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5"/>
        <w:jc w:val="left"/>
        <w:spacing w:before="120" w:after="120" w:line="360" w:lineRule="auto"/>
        <w:rPr>
          <w:rFonts w:hint="eastAsia" w:ascii="Arial" w:hAnsi="Arial" w:eastAsia="黑体"/>
          <w:b/>
          <w:bCs/>
          <w:color w:val="000000"/>
          <w:sz w:val="48"/>
          <w:szCs w:val="48"/>
        </w:rPr>
      </w:pPr>
      <w:r>
        <w:rPr>
          <w:rFonts w:hint="eastAsia" w:ascii="Arial" w:hAnsi="Arial" w:eastAsia="黑体"/>
          <w:b/>
          <w:bCs/>
          <w:color w:val="000000"/>
          <w:sz w:val="48"/>
          <w:szCs w:val="48"/>
        </w:rPr>
      </w:r>
      <w:r/>
    </w:p>
    <w:p>
      <w:pPr>
        <w:pStyle w:val="895"/>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895"/>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ind w:firstLine="0"/>
        <w:jc w:val="left"/>
        <w:spacing w:before="120" w:after="120" w:line="660" w:lineRule="exact"/>
        <w:rPr>
          <w:rFonts w:hint="eastAsia" w:ascii="宋体" w:hAnsi="宋体" w:cs="宋体"/>
          <w:b/>
          <w:bCs/>
          <w:color w:val="000000"/>
          <w:sz w:val="32"/>
          <w:szCs w:val="32"/>
        </w:rPr>
      </w:pPr>
      <w:r>
        <w:rPr>
          <w:rFonts w:ascii="宋体" w:hAnsi="宋体" w:cs="宋体"/>
          <w:b/>
          <w:bCs/>
          <w:color w:val="000000"/>
          <w:sz w:val="32"/>
          <w:szCs w:val="32"/>
          <w:highlight w:val="none"/>
        </w:rPr>
      </w:r>
      <w:r>
        <w:rPr>
          <w:rFonts w:ascii="宋体" w:hAnsi="宋体" w:cs="宋体"/>
          <w:b/>
          <w:bCs/>
          <w:color w:val="000000"/>
          <w:sz w:val="32"/>
          <w:szCs w:val="32"/>
          <w:highlight w:val="none"/>
        </w:rPr>
      </w:r>
      <w:r/>
    </w:p>
    <w:p>
      <w:pPr>
        <w:pStyle w:val="895"/>
        <w:ind w:firstLine="0"/>
        <w:jc w:val="center"/>
        <w:spacing w:before="120" w:after="120" w:line="660" w:lineRule="exact"/>
        <w:rPr>
          <w:rFonts w:ascii="宋体" w:hAnsi="宋体" w:cs="宋体"/>
          <w:b/>
          <w:bCs/>
          <w:color w:val="000000"/>
          <w:sz w:val="32"/>
          <w:szCs w:val="32"/>
          <w:highlight w:val="none"/>
        </w:rPr>
      </w:pPr>
      <w:r>
        <w:rPr>
          <w:rFonts w:hint="eastAsia" w:ascii="宋体" w:hAnsi="宋体" w:cs="宋体"/>
          <w:b/>
          <w:bCs/>
          <w:color w:val="000000"/>
          <w:sz w:val="32"/>
          <w:szCs w:val="32"/>
        </w:rPr>
        <w:t xml:space="preserve">项目名称：</w:t>
      </w:r>
      <w:r>
        <w:rPr>
          <w:rFonts w:ascii="宋体" w:hAnsi="宋体" w:cs="宋体"/>
          <w:b/>
          <w:bCs/>
          <w:color w:val="000000"/>
          <w:sz w:val="32"/>
          <w:szCs w:val="32"/>
        </w:rPr>
        <w:t xml:space="preserve">江苏省未来网络创新研究院服务器采购</w:t>
      </w:r>
      <w:r>
        <w:rPr>
          <w:rFonts w:hint="eastAsia" w:ascii="宋体" w:hAnsi="宋体" w:cs="宋体"/>
          <w:b/>
          <w:bCs/>
          <w:color w:val="000000"/>
          <w:sz w:val="32"/>
          <w:szCs w:val="32"/>
        </w:rPr>
      </w:r>
      <w:r/>
    </w:p>
    <w:p>
      <w:pPr>
        <w:pStyle w:val="895"/>
        <w:ind w:firstLine="0"/>
        <w:jc w:val="center"/>
        <w:spacing w:before="120" w:after="120" w:line="660" w:lineRule="exact"/>
        <w:rPr>
          <w:rFonts w:hint="eastAsia" w:ascii="宋体" w:hAnsi="宋体" w:cs="宋体"/>
          <w:b/>
          <w:bCs/>
          <w:color w:val="000000"/>
          <w:sz w:val="32"/>
          <w:szCs w:val="32"/>
        </w:rPr>
      </w:pPr>
      <w:r>
        <w:rPr>
          <w:rFonts w:hint="eastAsia" w:ascii="宋体" w:hAnsi="宋体" w:cs="宋体"/>
          <w:b/>
          <w:bCs/>
          <w:color w:val="000000"/>
          <w:sz w:val="32"/>
          <w:szCs w:val="32"/>
        </w:rPr>
        <w:t xml:space="preserve">采购编号：</w:t>
      </w:r>
      <w:r>
        <w:rPr>
          <w:rFonts w:ascii="宋体" w:hAnsi="宋体" w:cs="宋体"/>
          <w:b/>
          <w:bCs/>
          <w:color w:val="000000"/>
          <w:sz w:val="32"/>
          <w:szCs w:val="32"/>
        </w:rPr>
        <w:t xml:space="preserve">JSZC-320000-SCZX-G2026-0315</w:t>
      </w:r>
      <w:r>
        <w:rPr>
          <w:rFonts w:hint="eastAsia" w:ascii="宋体" w:hAnsi="宋体" w:cs="宋体"/>
          <w:b/>
          <w:bCs/>
          <w:color w:val="000000"/>
          <w:sz w:val="32"/>
          <w:szCs w:val="32"/>
        </w:rPr>
      </w:r>
      <w:r/>
    </w:p>
    <w:p>
      <w:pPr>
        <w:pStyle w:val="895"/>
        <w:jc w:val="left"/>
        <w:spacing w:line="360" w:lineRule="auto"/>
        <w:rPr>
          <w:rFonts w:hint="eastAsia" w:ascii="宋体" w:hAnsi="宋体" w:cs="宋体"/>
          <w:b/>
          <w:bCs/>
          <w:color w:val="000000"/>
          <w:sz w:val="32"/>
          <w:szCs w:val="32"/>
        </w:rPr>
      </w:pPr>
      <w:r>
        <w:rPr>
          <w:rFonts w:hint="eastAsia" w:ascii="宋体" w:hAnsi="宋体" w:cs="宋体"/>
          <w:b/>
          <w:bCs/>
          <w:color w:val="000000"/>
          <w:sz w:val="32"/>
          <w:szCs w:val="32"/>
        </w:rPr>
      </w:r>
      <w:r/>
    </w:p>
    <w:p>
      <w:pPr>
        <w:pStyle w:val="895"/>
        <w:jc w:val="left"/>
        <w:spacing w:line="360" w:lineRule="auto"/>
        <w:rPr>
          <w:rFonts w:hint="eastAsia" w:ascii="宋体" w:hAnsi="宋体" w:cs="宋体"/>
          <w:b/>
          <w:bCs/>
          <w:color w:val="000000"/>
          <w:sz w:val="32"/>
          <w:szCs w:val="32"/>
        </w:rPr>
      </w:pPr>
      <w:r>
        <w:rPr>
          <w:rFonts w:hint="eastAsia" w:ascii="宋体" w:hAnsi="宋体" w:cs="宋体"/>
          <w:b/>
          <w:bCs/>
          <w:color w:val="000000"/>
          <w:sz w:val="32"/>
          <w:szCs w:val="32"/>
        </w:rPr>
      </w:r>
      <w:r/>
    </w:p>
    <w:p>
      <w:pPr>
        <w:pStyle w:val="895"/>
        <w:jc w:val="left"/>
        <w:spacing w:line="360" w:lineRule="auto"/>
        <w:rPr>
          <w:rFonts w:hint="eastAsia" w:ascii="宋体" w:hAnsi="宋体" w:cs="宋体"/>
          <w:b/>
          <w:bCs/>
          <w:color w:val="000000"/>
          <w:sz w:val="32"/>
          <w:szCs w:val="32"/>
        </w:rPr>
      </w:pPr>
      <w:r>
        <w:rPr>
          <w:rFonts w:hint="eastAsia" w:ascii="宋体" w:hAnsi="宋体" w:cs="宋体"/>
          <w:b/>
          <w:bCs/>
          <w:color w:val="000000"/>
          <w:sz w:val="32"/>
          <w:szCs w:val="32"/>
        </w:rPr>
      </w:r>
      <w:r/>
    </w:p>
    <w:p>
      <w:pPr>
        <w:pStyle w:val="895"/>
        <w:jc w:val="left"/>
        <w:spacing w:line="360" w:lineRule="auto"/>
        <w:rPr>
          <w:rFonts w:hint="eastAsia" w:ascii="宋体" w:hAnsi="宋体" w:cs="宋体"/>
          <w:b/>
          <w:bCs/>
          <w:color w:val="000000"/>
          <w:sz w:val="32"/>
          <w:szCs w:val="32"/>
        </w:rPr>
      </w:pPr>
      <w:r>
        <w:rPr>
          <w:rFonts w:hint="eastAsia" w:ascii="宋体" w:hAnsi="宋体" w:cs="宋体"/>
          <w:b/>
          <w:bCs/>
          <w:color w:val="000000"/>
          <w:sz w:val="32"/>
          <w:szCs w:val="32"/>
        </w:rPr>
      </w:r>
      <w:r/>
    </w:p>
    <w:p>
      <w:pPr>
        <w:pStyle w:val="895"/>
        <w:jc w:val="left"/>
        <w:spacing w:line="660" w:lineRule="exact"/>
        <w:rPr>
          <w:rFonts w:hint="eastAsia" w:ascii="宋体" w:hAnsi="宋体" w:cs="宋体"/>
          <w:b/>
          <w:bCs/>
          <w:color w:val="000000"/>
          <w:sz w:val="32"/>
          <w:szCs w:val="32"/>
        </w:rPr>
      </w:pPr>
      <w:r>
        <w:rPr>
          <w:rFonts w:hint="eastAsia" w:ascii="宋体" w:hAnsi="宋体" w:cs="宋体"/>
          <w:b/>
          <w:bCs/>
          <w:color w:val="000000"/>
          <w:sz w:val="32"/>
          <w:szCs w:val="32"/>
        </w:rPr>
      </w:r>
      <w:r/>
    </w:p>
    <w:p>
      <w:pPr>
        <w:pStyle w:val="895"/>
        <w:jc w:val="center"/>
        <w:spacing w:before="120" w:after="120" w:line="660" w:lineRule="exact"/>
        <w:rPr>
          <w:rFonts w:hint="eastAsia" w:ascii="宋体" w:hAnsi="宋体" w:cs="宋体"/>
          <w:b/>
          <w:bCs/>
          <w:color w:val="000000"/>
          <w:sz w:val="32"/>
          <w:szCs w:val="32"/>
        </w:rPr>
      </w:pPr>
      <w:r>
        <w:rPr>
          <w:rFonts w:hint="eastAsia" w:ascii="宋体" w:hAnsi="宋体" w:cs="宋体"/>
          <w:b/>
          <w:bCs/>
          <w:color w:val="000000"/>
          <w:sz w:val="32"/>
          <w:szCs w:val="32"/>
        </w:rPr>
        <w:t xml:space="preserve">江苏省政府采购中心</w:t>
      </w:r>
      <w:r/>
    </w:p>
    <w:p>
      <w:pPr>
        <w:pStyle w:val="895"/>
        <w:jc w:val="center"/>
        <w:spacing w:before="120" w:after="120" w:line="660" w:lineRule="exact"/>
        <w:rPr>
          <w:rFonts w:hint="eastAsia" w:ascii="宋体" w:hAnsi="宋体" w:cs="宋体"/>
          <w:b/>
          <w:bCs/>
          <w:color w:val="000000"/>
          <w:sz w:val="32"/>
          <w:szCs w:val="32"/>
        </w:rPr>
      </w:pPr>
      <w:r>
        <w:rPr>
          <w:rFonts w:hint="eastAsia" w:ascii="宋体" w:hAnsi="宋体" w:cs="宋体"/>
          <w:b/>
          <w:bCs/>
          <w:color w:val="000000"/>
          <w:sz w:val="32"/>
          <w:szCs w:val="32"/>
        </w:rPr>
        <w:t xml:space="preserve">2026年7月</w:t>
      </w:r>
      <w:r/>
    </w:p>
    <w:p>
      <w:pPr>
        <w:pStyle w:val="895"/>
        <w:jc w:val="left"/>
        <w:spacing w:before="120" w:after="120" w:line="360" w:lineRule="auto"/>
        <w:rPr>
          <w:rFonts w:hint="eastAsia" w:ascii="宋体" w:hAnsi="宋体" w:cs="宋体"/>
          <w:b/>
          <w:bCs/>
          <w:color w:val="000000"/>
          <w:sz w:val="32"/>
          <w:szCs w:val="32"/>
          <w:u w:val="single"/>
        </w:rPr>
      </w:pPr>
      <w:r>
        <w:rPr>
          <w:rFonts w:hint="eastAsia" w:ascii="宋体" w:hAnsi="宋体" w:cs="宋体"/>
          <w:b/>
          <w:bCs/>
          <w:color w:val="000000"/>
          <w:sz w:val="32"/>
          <w:szCs w:val="32"/>
        </w:rPr>
        <w:t xml:space="preserve">                        </w:t>
      </w:r>
      <w:r>
        <w:rPr>
          <w:rFonts w:hint="eastAsia" w:ascii="宋体" w:hAnsi="宋体" w:cs="宋体"/>
          <w:b/>
          <w:bCs/>
          <w:color w:val="000000"/>
          <w:sz w:val="32"/>
          <w:szCs w:val="32"/>
          <w:u w:val="single"/>
        </w:rPr>
      </w:r>
      <w:r/>
    </w:p>
    <w:p>
      <w:pPr>
        <w:pStyle w:val="895"/>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95"/>
        <w:jc w:val="center"/>
        <w:spacing w:line="660" w:lineRule="exact"/>
        <w:rPr>
          <w:rFonts w:hint="eastAsia"/>
          <w:color w:val="000000"/>
          <w:szCs w:val="21"/>
        </w:rPr>
        <w:outlineLvl w:val="0"/>
      </w:pPr>
      <w:r>
        <w:rPr>
          <w:color w:val="000000"/>
          <w:szCs w:val="21"/>
        </w:rPr>
        <w:br w:type="page" w:clear="all"/>
      </w:r>
      <w:bookmarkStart w:id="0" w:name="_Toc120614210"/>
      <w:r/>
      <w:bookmarkStart w:id="1" w:name="_Toc20823272"/>
      <w:r/>
      <w:bookmarkStart w:id="2" w:name="_Toc16938516"/>
      <w:r/>
      <w:bookmarkStart w:id="3" w:name="_Toc479757206"/>
      <w:r/>
      <w:bookmarkStart w:id="4" w:name="_Toc523127445"/>
      <w:r/>
      <w:bookmarkStart w:id="5" w:name="_Toc513029200"/>
      <w:r>
        <w:rPr>
          <w:rFonts w:hint="eastAsia"/>
          <w:color w:val="000000"/>
          <w:szCs w:val="21"/>
        </w:rPr>
      </w:r>
      <w:r/>
    </w:p>
    <w:p>
      <w:pPr>
        <w:pStyle w:val="895"/>
        <w:jc w:val="center"/>
        <w:spacing w:line="660" w:lineRule="exact"/>
        <w:rPr>
          <w:rFonts w:hint="eastAsia"/>
          <w:color w:val="000000"/>
          <w:szCs w:val="21"/>
        </w:rPr>
        <w:outlineLvl w:val="0"/>
      </w:pPr>
      <w:r>
        <w:rPr>
          <w:rFonts w:hint="eastAsia" w:ascii="黑体" w:hAnsi="黑体" w:eastAsia="黑体" w:cs="黑体"/>
          <w:bCs/>
          <w:color w:val="000000"/>
          <w:sz w:val="36"/>
          <w:szCs w:val="36"/>
        </w:rPr>
        <w:t xml:space="preserve">总  目  录</w:t>
      </w:r>
      <w:r>
        <w:rPr>
          <w:rFonts w:hint="eastAsia"/>
          <w:color w:val="000000"/>
          <w:szCs w:val="21"/>
        </w:rPr>
      </w:r>
      <w:r/>
    </w:p>
    <w:p>
      <w:pPr>
        <w:pStyle w:val="895"/>
        <w:spacing w:line="480" w:lineRule="auto"/>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895"/>
        <w:spacing w:line="660" w:lineRule="exact"/>
        <w:rPr>
          <w:rFonts w:hint="eastAsia" w:ascii="黑体" w:hAnsi="黑体" w:eastAsia="黑体" w:cs="黑体"/>
          <w:color w:val="000000"/>
          <w:sz w:val="36"/>
          <w:szCs w:val="36"/>
        </w:rPr>
        <w:outlineLvl w:val="0"/>
      </w:pPr>
      <w:r>
        <w:rPr>
          <w:rFonts w:hint="eastAsia" w:ascii="黑体" w:hAnsi="黑体" w:eastAsia="黑体" w:cs="黑体"/>
          <w:color w:val="000000"/>
          <w:sz w:val="36"/>
          <w:szCs w:val="36"/>
        </w:rPr>
        <w:t xml:space="preserve">第一章 投标邀请……………………………………3 </w:t>
      </w:r>
      <w:r/>
    </w:p>
    <w:p>
      <w:pPr>
        <w:pStyle w:val="895"/>
        <w:spacing w:line="660" w:lineRule="exact"/>
        <w:rPr>
          <w:rFonts w:hint="eastAsia" w:ascii="黑体" w:hAnsi="黑体" w:eastAsia="黑体" w:cs="黑体"/>
          <w:color w:val="000000"/>
          <w:sz w:val="36"/>
          <w:szCs w:val="36"/>
        </w:rPr>
        <w:outlineLvl w:val="0"/>
      </w:pPr>
      <w:r>
        <w:rPr>
          <w:rFonts w:hint="eastAsia" w:ascii="黑体" w:hAnsi="黑体" w:eastAsia="黑体" w:cs="黑体"/>
          <w:bCs/>
          <w:color w:val="000000"/>
          <w:sz w:val="36"/>
          <w:szCs w:val="36"/>
        </w:rPr>
        <w:t xml:space="preserve">第二章 投标人须知</w:t>
      </w:r>
      <w:r>
        <w:rPr>
          <w:rFonts w:hint="eastAsia" w:ascii="黑体" w:hAnsi="黑体" w:eastAsia="黑体" w:cs="黑体"/>
          <w:color w:val="000000"/>
          <w:sz w:val="36"/>
          <w:szCs w:val="36"/>
        </w:rPr>
        <w:t xml:space="preserve">…………………………………6  </w:t>
      </w:r>
      <w:r/>
    </w:p>
    <w:p>
      <w:pPr>
        <w:pStyle w:val="895"/>
        <w:spacing w:line="660" w:lineRule="exact"/>
        <w:rPr>
          <w:rFonts w:hint="eastAsia" w:ascii="黑体" w:hAnsi="黑体" w:eastAsia="黑体" w:cs="黑体"/>
          <w:color w:val="000000"/>
          <w:sz w:val="36"/>
          <w:szCs w:val="36"/>
        </w:rPr>
        <w:outlineLvl w:val="0"/>
      </w:pPr>
      <w:r>
        <w:rPr>
          <w:rFonts w:hint="eastAsia" w:ascii="黑体" w:hAnsi="黑体" w:eastAsia="黑体" w:cs="黑体"/>
          <w:color w:val="000000"/>
          <w:sz w:val="36"/>
          <w:szCs w:val="36"/>
        </w:rPr>
        <w:t xml:space="preserve">第三章 合同文本……………………………………17</w:t>
      </w:r>
      <w:r/>
    </w:p>
    <w:p>
      <w:pPr>
        <w:pStyle w:val="895"/>
        <w:spacing w:line="660" w:lineRule="exact"/>
        <w:rPr>
          <w:rFonts w:hint="eastAsia" w:ascii="黑体" w:hAnsi="黑体" w:eastAsia="黑体" w:cs="黑体"/>
          <w:color w:val="000000"/>
          <w:sz w:val="36"/>
          <w:szCs w:val="36"/>
        </w:rPr>
        <w:outlineLvl w:val="0"/>
      </w:pPr>
      <w:r>
        <w:rPr>
          <w:rFonts w:hint="eastAsia" w:ascii="黑体" w:hAnsi="黑体" w:eastAsia="黑体" w:cs="黑体"/>
          <w:color w:val="000000"/>
          <w:sz w:val="36"/>
          <w:szCs w:val="36"/>
        </w:rPr>
        <w:t xml:space="preserve">第四章 采购需求……………………………………23</w:t>
      </w:r>
      <w:r/>
    </w:p>
    <w:p>
      <w:pPr>
        <w:pStyle w:val="895"/>
        <w:spacing w:line="660" w:lineRule="exact"/>
        <w:rPr>
          <w:rFonts w:hint="eastAsia" w:ascii="黑体" w:hAnsi="黑体" w:eastAsia="黑体" w:cs="黑体"/>
          <w:color w:val="000000"/>
          <w:sz w:val="36"/>
          <w:szCs w:val="36"/>
        </w:rPr>
        <w:outlineLvl w:val="0"/>
      </w:pPr>
      <w:r>
        <w:rPr>
          <w:rFonts w:hint="eastAsia" w:ascii="黑体" w:hAnsi="黑体" w:eastAsia="黑体" w:cs="黑体"/>
          <w:bCs/>
          <w:color w:val="000000"/>
          <w:sz w:val="36"/>
          <w:szCs w:val="36"/>
        </w:rPr>
        <w:t xml:space="preserve">第五章 评标方法与评标标准</w:t>
      </w:r>
      <w:r>
        <w:rPr>
          <w:rFonts w:hint="eastAsia" w:ascii="黑体" w:hAnsi="黑体" w:eastAsia="黑体" w:cs="黑体"/>
          <w:color w:val="000000"/>
          <w:sz w:val="36"/>
          <w:szCs w:val="36"/>
        </w:rPr>
        <w:t xml:space="preserve">………………………35</w:t>
      </w:r>
      <w:r/>
    </w:p>
    <w:p>
      <w:pPr>
        <w:pStyle w:val="895"/>
        <w:spacing w:line="660" w:lineRule="exact"/>
        <w:rPr>
          <w:rFonts w:hint="eastAsia" w:ascii="黑体" w:hAnsi="黑体" w:eastAsia="黑体" w:cs="黑体"/>
          <w:color w:val="000000"/>
          <w:sz w:val="36"/>
          <w:szCs w:val="36"/>
        </w:rPr>
        <w:outlineLvl w:val="0"/>
      </w:pPr>
      <w:r>
        <w:rPr>
          <w:rFonts w:hint="eastAsia" w:ascii="黑体" w:hAnsi="黑体" w:eastAsia="黑体" w:cs="黑体"/>
          <w:color w:val="000000"/>
          <w:sz w:val="36"/>
          <w:szCs w:val="36"/>
        </w:rPr>
        <w:t xml:space="preserve">第六章 投标文件格式………………………………38</w:t>
      </w:r>
      <w:r/>
    </w:p>
    <w:p>
      <w:pPr>
        <w:pStyle w:val="895"/>
        <w:rPr>
          <w:rFonts w:hint="eastAsia" w:ascii="黑体" w:hAnsi="黑体" w:eastAsia="黑体" w:cs="黑体"/>
          <w:color w:val="000000"/>
          <w:sz w:val="36"/>
          <w:szCs w:val="36"/>
        </w:rPr>
      </w:pPr>
      <w:r>
        <w:rPr>
          <w:rFonts w:hint="eastAsia" w:ascii="黑体" w:hAnsi="黑体" w:eastAsia="黑体" w:cs="黑体"/>
          <w:color w:val="000000"/>
          <w:sz w:val="36"/>
          <w:szCs w:val="36"/>
        </w:rPr>
      </w:r>
      <w:r/>
    </w:p>
    <w:p>
      <w:pPr>
        <w:pStyle w:val="895"/>
        <w:rPr>
          <w:rFonts w:hint="eastAsia"/>
          <w:color w:val="000000"/>
          <w:szCs w:val="21"/>
        </w:rPr>
      </w:pPr>
      <w:r>
        <w:rPr>
          <w:rFonts w:hint="eastAsia"/>
          <w:color w:val="000000"/>
          <w:szCs w:val="21"/>
        </w:rPr>
      </w:r>
      <w:r/>
    </w:p>
    <w:p>
      <w:pPr>
        <w:pStyle w:val="895"/>
        <w:rPr>
          <w:rFonts w:hint="eastAsia"/>
          <w:color w:val="000000"/>
          <w:szCs w:val="21"/>
        </w:rPr>
      </w:pPr>
      <w:r>
        <w:rPr>
          <w:rFonts w:hint="eastAsia"/>
          <w:color w:val="000000"/>
          <w:szCs w:val="21"/>
        </w:rPr>
      </w:r>
      <w:r/>
    </w:p>
    <w:p>
      <w:pPr>
        <w:pStyle w:val="895"/>
        <w:rPr>
          <w:rFonts w:hint="eastAsia"/>
          <w:color w:val="000000"/>
          <w:szCs w:val="21"/>
        </w:rPr>
      </w:pPr>
      <w:r>
        <w:rPr>
          <w:rFonts w:hint="eastAsia"/>
          <w:color w:val="000000"/>
          <w:szCs w:val="21"/>
        </w:rPr>
      </w:r>
      <w:r/>
    </w:p>
    <w:p>
      <w:pPr>
        <w:pStyle w:val="895"/>
        <w:rPr>
          <w:rFonts w:hint="eastAsia"/>
          <w:color w:val="000000"/>
          <w:szCs w:val="21"/>
        </w:rPr>
      </w:pPr>
      <w:r>
        <w:rPr>
          <w:rFonts w:hint="eastAsia"/>
          <w:color w:val="000000"/>
          <w:szCs w:val="21"/>
        </w:rPr>
      </w:r>
      <w:r/>
    </w:p>
    <w:p>
      <w:pPr>
        <w:pStyle w:val="895"/>
        <w:rPr>
          <w:rFonts w:hint="eastAsia"/>
          <w:color w:val="000000"/>
          <w:szCs w:val="21"/>
        </w:rPr>
      </w:pPr>
      <w:r>
        <w:rPr>
          <w:rFonts w:hint="eastAsia"/>
          <w:color w:val="000000"/>
          <w:szCs w:val="21"/>
        </w:rPr>
      </w:r>
      <w:r/>
    </w:p>
    <w:p>
      <w:pPr>
        <w:pStyle w:val="895"/>
        <w:rPr>
          <w:rFonts w:hint="eastAsia"/>
          <w:color w:val="000000"/>
          <w:szCs w:val="21"/>
        </w:rPr>
      </w:pPr>
      <w:r>
        <w:rPr>
          <w:rFonts w:hint="eastAsia"/>
          <w:color w:val="000000"/>
          <w:szCs w:val="21"/>
        </w:rPr>
      </w:r>
      <w:r/>
    </w:p>
    <w:p>
      <w:pPr>
        <w:rPr>
          <w:rFonts w:hint="eastAsia"/>
          <w:color w:val="000000"/>
        </w:rPr>
      </w:pPr>
      <w:r>
        <w:rPr>
          <w:rFonts w:hint="eastAsia"/>
          <w:color w:val="000000"/>
          <w:szCs w:val="21"/>
        </w:rPr>
      </w:r>
      <w:r>
        <w:rPr>
          <w:rFonts w:hint="eastAsia"/>
          <w:color w:val="000000"/>
          <w:szCs w:val="21"/>
        </w:rPr>
      </w:r>
      <w:r/>
    </w:p>
    <w:p>
      <w:pPr>
        <w:rPr>
          <w:rFonts w:hint="eastAsia"/>
          <w:color w:val="000000"/>
        </w:rPr>
      </w:pPr>
      <w:r>
        <w:rPr>
          <w:rFonts w:hint="eastAsia"/>
          <w:color w:val="000000"/>
        </w:rPr>
      </w:r>
      <w:r>
        <w:rPr>
          <w:rFonts w:hint="eastAsia"/>
          <w:color w:val="000000"/>
        </w:rPr>
      </w:r>
      <w:r/>
    </w:p>
    <w:p>
      <w:pPr>
        <w:rPr>
          <w:rFonts w:hint="eastAsia"/>
          <w:color w:val="000000"/>
        </w:rPr>
      </w:pPr>
      <w:r>
        <w:rPr>
          <w:rFonts w:hint="eastAsia"/>
          <w:color w:val="000000"/>
        </w:rPr>
      </w:r>
      <w:r>
        <w:rPr>
          <w:rFonts w:hint="eastAsia"/>
          <w:color w:val="000000"/>
        </w:rPr>
      </w:r>
      <w:r/>
    </w:p>
    <w:p>
      <w:pPr>
        <w:pStyle w:val="895"/>
        <w:rPr>
          <w:rFonts w:hint="eastAsia"/>
          <w:color w:val="000000"/>
        </w:rPr>
      </w:pPr>
      <w:r>
        <w:rPr>
          <w:rFonts w:hint="eastAsia"/>
          <w:color w:val="000000"/>
          <w:szCs w:val="21"/>
        </w:rPr>
      </w:r>
      <w:r/>
    </w:p>
    <w:p>
      <w:pPr>
        <w:pStyle w:val="895"/>
        <w:rPr>
          <w:rFonts w:hint="eastAsia"/>
          <w:color w:val="000000"/>
          <w:szCs w:val="21"/>
        </w:rPr>
      </w:pPr>
      <w:r>
        <w:rPr>
          <w:rFonts w:hint="eastAsia"/>
          <w:color w:val="000000"/>
          <w:szCs w:val="21"/>
        </w:rPr>
      </w:r>
      <w:r/>
    </w:p>
    <w:p>
      <w:pPr>
        <w:pStyle w:val="895"/>
        <w:rPr>
          <w:rFonts w:hint="eastAsia"/>
          <w:color w:val="000000"/>
          <w:szCs w:val="21"/>
        </w:rPr>
      </w:pPr>
      <w:r>
        <w:rPr>
          <w:rFonts w:hint="eastAsia"/>
          <w:color w:val="000000"/>
          <w:szCs w:val="21"/>
        </w:rPr>
      </w:r>
      <w:r/>
    </w:p>
    <w:p>
      <w:pPr>
        <w:rPr>
          <w:rFonts w:hint="eastAsia"/>
          <w:color w:val="000000"/>
        </w:rPr>
      </w:pPr>
      <w:r>
        <w:rPr>
          <w:rFonts w:hint="eastAsia"/>
          <w:color w:val="000000"/>
          <w:szCs w:val="21"/>
        </w:rPr>
      </w:r>
      <w:r>
        <w:rPr>
          <w:rFonts w:hint="eastAsia"/>
          <w:color w:val="000000"/>
          <w:szCs w:val="21"/>
        </w:rPr>
      </w:r>
    </w:p>
    <w:p>
      <w:pPr>
        <w:rPr>
          <w:rFonts w:hint="eastAsia"/>
          <w:color w:val="000000"/>
        </w:rPr>
      </w:pPr>
      <w:r>
        <w:rPr>
          <w:rFonts w:hint="eastAsia"/>
          <w:color w:val="000000"/>
        </w:rPr>
      </w:r>
      <w:r>
        <w:rPr>
          <w:rFonts w:hint="eastAsia"/>
          <w:color w:val="000000"/>
        </w:rPr>
      </w:r>
    </w:p>
    <w:p>
      <w:pPr>
        <w:pStyle w:val="895"/>
        <w:rPr>
          <w:rFonts w:hint="eastAsia"/>
          <w:color w:val="000000"/>
        </w:rPr>
      </w:pPr>
      <w:r>
        <w:rPr>
          <w:rFonts w:hint="eastAsia"/>
          <w:color w:val="000000"/>
          <w:szCs w:val="21"/>
        </w:rPr>
      </w:r>
      <w:r/>
    </w:p>
    <w:p>
      <w:pPr>
        <w:pStyle w:val="895"/>
        <w:rPr>
          <w:rFonts w:hint="eastAsia"/>
          <w:color w:val="000000"/>
          <w:szCs w:val="21"/>
        </w:rPr>
      </w:pPr>
      <w:r>
        <w:rPr>
          <w:rFonts w:hint="eastAsia"/>
          <w:color w:val="000000"/>
          <w:szCs w:val="21"/>
        </w:rPr>
      </w:r>
      <w:r/>
    </w:p>
    <w:p>
      <w:pPr>
        <w:pStyle w:val="895"/>
        <w:rPr>
          <w:rFonts w:hint="eastAsia"/>
          <w:color w:val="000000"/>
          <w:szCs w:val="21"/>
        </w:rPr>
      </w:pPr>
      <w:r>
        <w:rPr>
          <w:rFonts w:hint="eastAsia"/>
          <w:color w:val="000000"/>
          <w:szCs w:val="21"/>
        </w:rPr>
      </w:r>
      <w:r/>
    </w:p>
    <w:p>
      <w:pPr>
        <w:pStyle w:val="895"/>
        <w:rPr>
          <w:rFonts w:hint="eastAsia"/>
          <w:color w:val="000000"/>
          <w:szCs w:val="21"/>
        </w:rPr>
      </w:pPr>
      <w:r>
        <w:rPr>
          <w:rFonts w:hint="eastAsia"/>
          <w:color w:val="000000"/>
          <w:szCs w:val="21"/>
        </w:rPr>
      </w:r>
      <w:r/>
    </w:p>
    <w:p>
      <w:pPr>
        <w:pStyle w:val="895"/>
        <w:rPr>
          <w:rFonts w:hint="eastAsia"/>
          <w:color w:val="000000"/>
          <w:szCs w:val="21"/>
        </w:rPr>
      </w:pPr>
      <w:r>
        <w:rPr>
          <w:rFonts w:hint="eastAsia"/>
          <w:color w:val="000000"/>
          <w:szCs w:val="21"/>
        </w:rPr>
      </w:r>
      <w:r/>
    </w:p>
    <w:p>
      <w:pPr>
        <w:pStyle w:val="895"/>
        <w:rPr>
          <w:rFonts w:hint="eastAsia"/>
          <w:color w:val="000000"/>
          <w:szCs w:val="21"/>
        </w:rPr>
      </w:pPr>
      <w:r>
        <w:rPr>
          <w:rFonts w:hint="eastAsia"/>
          <w:color w:val="000000"/>
          <w:szCs w:val="21"/>
        </w:rPr>
      </w:r>
      <w:r/>
    </w:p>
    <w:p>
      <w:pPr>
        <w:pStyle w:val="895"/>
        <w:rPr>
          <w:rFonts w:hint="eastAsia"/>
          <w:color w:val="000000"/>
          <w:szCs w:val="21"/>
        </w:rPr>
      </w:pPr>
      <w:r>
        <w:rPr>
          <w:rFonts w:hint="eastAsia"/>
          <w:color w:val="000000"/>
          <w:szCs w:val="21"/>
        </w:rPr>
      </w:r>
      <w:r/>
    </w:p>
    <w:p>
      <w:pPr>
        <w:pStyle w:val="895"/>
        <w:rPr>
          <w:rFonts w:hint="eastAsia"/>
          <w:color w:val="000000"/>
          <w:szCs w:val="21"/>
        </w:rPr>
      </w:pPr>
      <w:r>
        <w:rPr>
          <w:rFonts w:hint="eastAsia"/>
          <w:color w:val="000000"/>
          <w:szCs w:val="21"/>
        </w:rPr>
      </w:r>
      <w:r/>
    </w:p>
    <w:p>
      <w:pPr>
        <w:pStyle w:val="895"/>
        <w:rPr>
          <w:rFonts w:hint="eastAsia"/>
          <w:color w:val="000000"/>
          <w:szCs w:val="21"/>
        </w:rPr>
      </w:pPr>
      <w:r>
        <w:rPr>
          <w:rFonts w:hint="eastAsia"/>
          <w:color w:val="000000"/>
          <w:szCs w:val="21"/>
        </w:rPr>
      </w:r>
      <w:r/>
    </w:p>
    <w:p>
      <w:pPr>
        <w:pStyle w:val="895"/>
        <w:rPr>
          <w:rFonts w:hint="eastAsia"/>
          <w:color w:val="000000"/>
          <w:szCs w:val="21"/>
        </w:rPr>
      </w:pPr>
      <w:r>
        <w:rPr>
          <w:rFonts w:hint="eastAsia"/>
          <w:color w:val="000000"/>
          <w:szCs w:val="21"/>
        </w:rPr>
      </w:r>
      <w:r/>
    </w:p>
    <w:p>
      <w:pPr>
        <w:pStyle w:val="895"/>
        <w:rPr>
          <w:rFonts w:hint="eastAsia"/>
          <w:color w:val="000000"/>
          <w:szCs w:val="21"/>
        </w:rPr>
      </w:pPr>
      <w:r>
        <w:rPr>
          <w:rFonts w:hint="eastAsia"/>
          <w:color w:val="000000"/>
          <w:szCs w:val="21"/>
        </w:rPr>
      </w:r>
      <w:r/>
    </w:p>
    <w:p>
      <w:pPr>
        <w:pStyle w:val="895"/>
        <w:rPr>
          <w:rFonts w:hint="eastAsia"/>
          <w:color w:val="000000"/>
          <w:szCs w:val="21"/>
        </w:rPr>
      </w:pPr>
      <w:r>
        <w:rPr>
          <w:rFonts w:hint="eastAsia"/>
          <w:color w:val="000000"/>
          <w:szCs w:val="21"/>
        </w:rPr>
      </w:r>
      <w:r/>
    </w:p>
    <w:p>
      <w:pPr>
        <w:pStyle w:val="895"/>
        <w:rPr>
          <w:rFonts w:hint="eastAsia"/>
          <w:color w:val="000000"/>
          <w:szCs w:val="21"/>
        </w:rPr>
      </w:pPr>
      <w:r>
        <w:rPr>
          <w:rFonts w:hint="eastAsia"/>
          <w:color w:val="000000"/>
          <w:szCs w:val="21"/>
        </w:rPr>
      </w:r>
      <w:r/>
    </w:p>
    <w:p>
      <w:pPr>
        <w:pStyle w:val="895"/>
        <w:jc w:val="center"/>
        <w:keepNext/>
        <w:rPr>
          <w:rFonts w:hint="eastAsia" w:ascii="黑体" w:eastAsia="黑体"/>
          <w:color w:val="000000"/>
          <w:sz w:val="44"/>
          <w:szCs w:val="44"/>
        </w:rPr>
        <w:outlineLvl w:val="0"/>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p>
    <w:p>
      <w:pPr>
        <w:pStyle w:val="895"/>
        <w:ind w:firstLine="48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受江苏省未来网络创新研究院的委托，江苏省政府采购中心就</w:t>
      </w:r>
      <w:r>
        <w:rPr>
          <w:rFonts w:ascii="宋体" w:hAnsi="宋体" w:cs="宋体"/>
          <w:color w:val="000000"/>
          <w:sz w:val="24"/>
          <w:szCs w:val="24"/>
        </w:rPr>
        <w:t xml:space="preserve">江苏省未来网络创新研究院服务器采购</w:t>
      </w:r>
      <w:r>
        <w:rPr>
          <w:rFonts w:hint="eastAsia" w:ascii="宋体" w:hAnsi="宋体" w:cs="宋体"/>
          <w:color w:val="000000"/>
          <w:sz w:val="24"/>
          <w:szCs w:val="24"/>
        </w:rPr>
        <w:t xml:space="preserve">(</w:t>
      </w:r>
      <w:r>
        <w:rPr>
          <w:rFonts w:ascii="宋体" w:hAnsi="宋体" w:cs="宋体"/>
          <w:color w:val="000000"/>
          <w:sz w:val="24"/>
          <w:szCs w:val="24"/>
        </w:rPr>
        <w:t xml:space="preserve">JSZC-320000-SCZX-G2026-0315</w:t>
      </w:r>
      <w:r>
        <w:rPr>
          <w:rFonts w:hint="eastAsia" w:ascii="宋体" w:hAnsi="宋体" w:cs="宋体"/>
          <w:color w:val="000000"/>
          <w:sz w:val="24"/>
          <w:szCs w:val="24"/>
        </w:rPr>
        <w:t xml:space="preserve">)项目进行公开招标采购，欢迎符合条件的供应商投标。</w:t>
      </w:r>
      <w:r/>
    </w:p>
    <w:p>
      <w:pPr>
        <w:pStyle w:val="895"/>
        <w:ind w:firstLine="480"/>
        <w:spacing w:line="560" w:lineRule="exact"/>
        <w:rPr>
          <w:rFonts w:hint="eastAsia" w:ascii="宋体" w:hAnsi="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rPr>
        <w:t xml:space="preserve">项目概况</w:t>
      </w:r>
      <w:r/>
    </w:p>
    <w:p>
      <w:pPr>
        <w:pStyle w:val="895"/>
        <w:ind w:firstLine="480"/>
        <w:spacing w:line="560" w:lineRule="exact"/>
        <w:rPr>
          <w:rFonts w:hint="eastAsia" w:ascii="宋体" w:hAnsi="宋体" w:cs="宋体"/>
          <w:color w:val="000000"/>
          <w:sz w:val="24"/>
          <w:szCs w:val="24"/>
        </w:rPr>
        <w:pBdr>
          <w:top w:val="single" w:color="000000" w:sz="4" w:space="1"/>
          <w:left w:val="single" w:color="000000" w:sz="4" w:space="4"/>
          <w:bottom w:val="single" w:color="000000" w:sz="4" w:space="1"/>
          <w:right w:val="single" w:color="000000" w:sz="4" w:space="4"/>
        </w:pBdr>
      </w:pPr>
      <w:r>
        <w:rPr>
          <w:rFonts w:ascii="宋体" w:hAnsi="宋体" w:cs="宋体"/>
          <w:color w:val="000000"/>
          <w:sz w:val="24"/>
          <w:szCs w:val="24"/>
        </w:rPr>
        <w:t xml:space="preserve">江苏省未来网络创新研究院服务器采购</w:t>
      </w:r>
      <w:r>
        <w:rPr>
          <w:rFonts w:hint="eastAsia" w:ascii="宋体" w:hAnsi="宋体" w:cs="宋体"/>
          <w:color w:val="000000"/>
          <w:sz w:val="24"/>
          <w:szCs w:val="24"/>
        </w:rPr>
        <w:t xml:space="preserve">招标项目的潜在投标人可在</w:t>
      </w:r>
      <w:r>
        <w:rPr>
          <w:rFonts w:hint="eastAsia" w:ascii="宋体" w:hAnsi="宋体" w:cs="宋体"/>
          <w:color w:val="000000"/>
          <w:sz w:val="24"/>
          <w:szCs w:val="24"/>
          <w:u w:val="single"/>
        </w:rPr>
        <w:t xml:space="preserve">“江苏政府采购网”自行免费下载</w:t>
      </w:r>
      <w:r>
        <w:rPr>
          <w:rFonts w:hint="eastAsia" w:ascii="宋体" w:hAnsi="宋体" w:cs="宋体"/>
          <w:color w:val="000000"/>
          <w:sz w:val="24"/>
          <w:szCs w:val="24"/>
        </w:rPr>
        <w:t xml:space="preserve">招标文件，并于</w:t>
      </w:r>
      <w:r>
        <w:rPr>
          <w:rFonts w:hint="eastAsia" w:ascii="宋体" w:hAnsi="宋体" w:cs="宋体"/>
          <w:color w:val="000000"/>
          <w:sz w:val="24"/>
          <w:szCs w:val="24"/>
          <w:u w:val="single"/>
        </w:rPr>
        <w:t xml:space="preserve">2026</w:t>
      </w:r>
      <w:r>
        <w:rPr>
          <w:rFonts w:hint="eastAsia" w:ascii="宋体" w:hAnsi="宋体" w:cs="宋体"/>
          <w:bCs/>
          <w:color w:val="000000"/>
          <w:sz w:val="24"/>
          <w:szCs w:val="24"/>
          <w:u w:val="single"/>
        </w:rPr>
        <w:t xml:space="preserve">年8</w:t>
      </w:r>
      <w:r>
        <w:rPr>
          <w:rFonts w:hint="eastAsia" w:ascii="宋体" w:hAnsi="宋体" w:cs="宋体"/>
          <w:bCs/>
          <w:color w:val="000000"/>
          <w:sz w:val="24"/>
          <w:szCs w:val="24"/>
          <w:u w:val="single"/>
        </w:rPr>
        <w:t xml:space="preserve">月14</w:t>
      </w:r>
      <w:r>
        <w:rPr>
          <w:rFonts w:hint="eastAsia" w:ascii="宋体" w:hAnsi="宋体" w:cs="宋体"/>
          <w:bCs/>
          <w:color w:val="000000"/>
          <w:sz w:val="24"/>
          <w:szCs w:val="24"/>
          <w:u w:val="single"/>
        </w:rPr>
        <w:t xml:space="preserve">日</w:t>
      </w:r>
      <w:r>
        <w:rPr>
          <w:rFonts w:hint="eastAsia" w:ascii="宋体" w:hAnsi="宋体" w:cs="宋体"/>
          <w:color w:val="000000"/>
          <w:sz w:val="24"/>
          <w:szCs w:val="24"/>
          <w:u w:val="single"/>
        </w:rPr>
        <w:t xml:space="preserve">14时30</w:t>
      </w:r>
      <w:r>
        <w:rPr>
          <w:rFonts w:hint="eastAsia" w:ascii="宋体" w:hAnsi="宋体" w:cs="宋体"/>
          <w:bCs/>
          <w:color w:val="000000"/>
          <w:sz w:val="24"/>
          <w:szCs w:val="24"/>
          <w:u w:val="single"/>
        </w:rPr>
        <w:t xml:space="preserve">分</w:t>
      </w:r>
      <w:r>
        <w:rPr>
          <w:rFonts w:hint="eastAsia" w:ascii="宋体" w:hAnsi="宋体" w:cs="宋体"/>
          <w:bCs/>
          <w:color w:val="000000"/>
          <w:sz w:val="24"/>
          <w:szCs w:val="24"/>
        </w:rPr>
        <w:t xml:space="preserve">（北京时间）前递交投标文件</w:t>
      </w:r>
      <w:r>
        <w:rPr>
          <w:rFonts w:hint="eastAsia" w:ascii="宋体" w:hAnsi="宋体" w:cs="宋体"/>
          <w:color w:val="000000"/>
          <w:sz w:val="24"/>
          <w:szCs w:val="24"/>
        </w:rPr>
        <w:t xml:space="preserve">。</w:t>
      </w:r>
      <w:r/>
    </w:p>
    <w:p>
      <w:pPr>
        <w:pStyle w:val="895"/>
        <w:ind w:firstLine="640"/>
        <w:jc w:val="left"/>
        <w:keepNext/>
        <w:spacing w:line="560" w:lineRule="exact"/>
        <w:rPr>
          <w:rFonts w:hint="eastAsia" w:ascii="方正黑体_GBK" w:hAnsi="方正黑体_GBK" w:eastAsia="方正黑体_GBK" w:cs="方正黑体_GBK"/>
          <w:color w:val="000000"/>
          <w:sz w:val="32"/>
          <w:szCs w:val="32"/>
        </w:rPr>
        <w:outlineLvl w:val="0"/>
      </w:pPr>
      <w:r/>
      <w:bookmarkStart w:id="6" w:name="_Toc35393790"/>
      <w:r/>
      <w:bookmarkStart w:id="7" w:name="_Toc28359079"/>
      <w:r/>
      <w:bookmarkStart w:id="8" w:name="_Toc38985263"/>
      <w:r/>
      <w:bookmarkStart w:id="9" w:name="_Toc28359002"/>
      <w:r/>
      <w:bookmarkStart w:id="10" w:name="_Toc35393621"/>
      <w:r/>
      <w:bookmarkStart w:id="11" w:name="_Hlk24379207"/>
      <w:r>
        <w:rPr>
          <w:rFonts w:hint="eastAsia" w:ascii="方正黑体_GBK" w:hAnsi="方正黑体_GBK" w:eastAsia="方正黑体_GBK" w:cs="方正黑体_GBK"/>
          <w:color w:val="000000"/>
          <w:sz w:val="32"/>
          <w:szCs w:val="32"/>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sz w:val="32"/>
          <w:szCs w:val="32"/>
        </w:rPr>
      </w:r>
      <w:r/>
    </w:p>
    <w:p>
      <w:pPr>
        <w:pStyle w:val="89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1.采购编号：</w:t>
      </w:r>
      <w:r>
        <w:rPr>
          <w:rFonts w:ascii="宋体" w:hAnsi="宋体"/>
          <w:color w:val="000000"/>
          <w:sz w:val="24"/>
          <w:szCs w:val="24"/>
        </w:rPr>
        <w:t xml:space="preserve">JSZC-320000-SCZX-G2026-0315</w:t>
      </w:r>
      <w:r>
        <w:rPr>
          <w:rFonts w:hint="eastAsia" w:ascii="宋体" w:hAnsi="宋体"/>
          <w:color w:val="000000"/>
          <w:sz w:val="24"/>
          <w:szCs w:val="24"/>
        </w:rPr>
      </w:r>
      <w:r/>
    </w:p>
    <w:p>
      <w:pPr>
        <w:pStyle w:val="89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2.项目名称：</w:t>
      </w:r>
      <w:r>
        <w:rPr>
          <w:rFonts w:ascii="宋体" w:hAnsi="宋体"/>
          <w:color w:val="000000"/>
          <w:sz w:val="24"/>
          <w:szCs w:val="24"/>
        </w:rPr>
        <w:t xml:space="preserve">江苏省未来网络创新研究院服务器采购</w:t>
      </w:r>
      <w:r>
        <w:rPr>
          <w:rFonts w:hint="eastAsia" w:ascii="宋体" w:hAnsi="宋体"/>
          <w:color w:val="000000"/>
          <w:sz w:val="24"/>
          <w:szCs w:val="24"/>
        </w:rPr>
      </w:r>
      <w:r/>
    </w:p>
    <w:p>
      <w:pPr>
        <w:pStyle w:val="895"/>
        <w:ind w:firstLine="480"/>
        <w:spacing w:line="400" w:lineRule="exact"/>
        <w:rPr>
          <w:rFonts w:ascii="宋体" w:hAnsi="宋体"/>
          <w:color w:val="000000"/>
          <w:sz w:val="24"/>
          <w:szCs w:val="24"/>
        </w:rPr>
      </w:pPr>
      <w:r/>
      <w:bookmarkEnd w:id="11"/>
      <w:r/>
      <w:bookmarkStart w:id="12" w:name="_Toc28359003"/>
      <w:r/>
      <w:bookmarkStart w:id="13" w:name="_Toc28359080"/>
      <w:r/>
      <w:bookmarkStart w:id="14" w:name="_Toc35393791"/>
      <w:r/>
      <w:bookmarkStart w:id="15" w:name="_Toc35393622"/>
      <w:r/>
      <w:bookmarkStart w:id="16" w:name="_Toc38985264"/>
      <w:r>
        <w:rPr>
          <w:rFonts w:hint="eastAsia" w:ascii="宋体" w:hAnsi="宋体"/>
          <w:color w:val="000000"/>
          <w:sz w:val="24"/>
          <w:szCs w:val="24"/>
        </w:rPr>
        <w:t xml:space="preserve">3.预算金额：人民币36</w:t>
      </w:r>
      <w:r>
        <w:rPr>
          <w:rFonts w:ascii="宋体" w:hAnsi="宋体"/>
          <w:color w:val="000000"/>
          <w:sz w:val="24"/>
          <w:szCs w:val="24"/>
        </w:rPr>
        <w:t xml:space="preserve">万元</w:t>
      </w:r>
      <w:r/>
    </w:p>
    <w:p>
      <w:pPr>
        <w:pStyle w:val="895"/>
        <w:ind w:firstLine="480"/>
        <w:spacing w:line="400" w:lineRule="exact"/>
        <w:rPr>
          <w:rFonts w:ascii="宋体" w:hAnsi="宋体"/>
          <w:color w:val="000000"/>
          <w:sz w:val="24"/>
          <w:szCs w:val="24"/>
        </w:rPr>
      </w:pPr>
      <w:r>
        <w:rPr>
          <w:rFonts w:hint="eastAsia" w:ascii="宋体" w:hAnsi="宋体"/>
          <w:color w:val="000000"/>
          <w:sz w:val="24"/>
          <w:szCs w:val="24"/>
        </w:rPr>
        <w:t xml:space="preserve">4.最高</w:t>
      </w:r>
      <w:r>
        <w:rPr>
          <w:rFonts w:ascii="宋体" w:hAnsi="宋体"/>
          <w:color w:val="000000"/>
          <w:sz w:val="24"/>
          <w:szCs w:val="24"/>
        </w:rPr>
        <w:t xml:space="preserve">限价</w:t>
      </w:r>
      <w:r>
        <w:rPr>
          <w:rFonts w:hint="eastAsia" w:ascii="宋体" w:hAnsi="宋体"/>
          <w:color w:val="000000"/>
          <w:sz w:val="24"/>
          <w:szCs w:val="24"/>
        </w:rPr>
        <w:t xml:space="preserve">：本项目设定最高限价，最高限价人民币36</w:t>
      </w:r>
      <w:r>
        <w:rPr>
          <w:rFonts w:ascii="宋体" w:hAnsi="宋体"/>
          <w:color w:val="000000"/>
          <w:sz w:val="24"/>
          <w:szCs w:val="24"/>
        </w:rPr>
        <w:t xml:space="preserve">万元</w:t>
      </w:r>
      <w:r/>
    </w:p>
    <w:p>
      <w:pPr>
        <w:pStyle w:val="895"/>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5.采购需求(简介)：江苏省未来网络创新研究院拟采购算力项目所需设备。</w:t>
      </w:r>
      <w:r>
        <w:rPr>
          <w:rFonts w:hint="eastAsia" w:ascii="宋体" w:hAnsi="宋体" w:cs="宋体"/>
          <w:color w:val="000000"/>
          <w:sz w:val="24"/>
          <w:szCs w:val="24"/>
        </w:rPr>
        <w:t xml:space="preserve">（详细内容见本招标文件第四章）</w:t>
      </w:r>
      <w:r>
        <w:rPr>
          <w:rFonts w:ascii="宋体" w:hAnsi="宋体"/>
          <w:color w:val="000000"/>
          <w:sz w:val="24"/>
          <w:szCs w:val="24"/>
          <w:u w:val="single"/>
        </w:rPr>
      </w:r>
      <w:r/>
    </w:p>
    <w:p>
      <w:pPr>
        <w:pStyle w:val="895"/>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6.合同履行期限：合同签订之日起10日内交付至采购人指定地点</w:t>
      </w:r>
      <w:r>
        <w:rPr>
          <w:rFonts w:ascii="宋体" w:hAnsi="宋体"/>
          <w:color w:val="000000"/>
          <w:sz w:val="24"/>
          <w:szCs w:val="24"/>
          <w:u w:val="single"/>
        </w:rPr>
      </w:r>
      <w:r/>
    </w:p>
    <w:p>
      <w:pPr>
        <w:pStyle w:val="895"/>
        <w:ind w:firstLine="640"/>
        <w:jc w:val="left"/>
        <w:keepNext/>
        <w:spacing w:line="560" w:lineRule="exact"/>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color w:val="000000"/>
          <w:sz w:val="32"/>
          <w:szCs w:val="32"/>
        </w:rPr>
      </w:r>
      <w:r/>
    </w:p>
    <w:p>
      <w:pPr>
        <w:pStyle w:val="895"/>
        <w:ind w:firstLine="560"/>
        <w:spacing w:line="560" w:lineRule="exact"/>
        <w:rPr>
          <w:rFonts w:hint="eastAsia" w:ascii="方正楷体_GBK" w:hAnsi="方正楷体_GBK" w:eastAsia="方正楷体_GBK" w:cs="方正楷体_GBK"/>
          <w:color w:val="000000"/>
          <w:sz w:val="28"/>
          <w:szCs w:val="28"/>
        </w:rPr>
      </w:pPr>
      <w:r/>
      <w:bookmarkStart w:id="17" w:name="_Toc35393623"/>
      <w:r/>
      <w:bookmarkStart w:id="18" w:name="_Toc38985265"/>
      <w:r/>
      <w:bookmarkStart w:id="19" w:name="_Toc28359081"/>
      <w:r/>
      <w:bookmarkStart w:id="20" w:name="_Toc28359004"/>
      <w:r/>
      <w:bookmarkStart w:id="21" w:name="_Toc35393792"/>
      <w:r>
        <w:rPr>
          <w:rFonts w:hint="eastAsia" w:ascii="方正楷体_GBK" w:hAnsi="方正楷体_GBK" w:eastAsia="方正楷体_GBK" w:cs="方正楷体_GBK"/>
          <w:color w:val="000000"/>
          <w:sz w:val="28"/>
          <w:szCs w:val="28"/>
        </w:rPr>
        <w:t xml:space="preserve">（一）通用资格要求</w:t>
      </w:r>
      <w:r/>
    </w:p>
    <w:p>
      <w:pPr>
        <w:pStyle w:val="895"/>
        <w:ind w:firstLine="48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1.满足《中华人民共和国政府采购法》第二十二条规定，并提供下列材料：</w:t>
      </w:r>
      <w:r/>
    </w:p>
    <w:p>
      <w:pPr>
        <w:pStyle w:val="895"/>
        <w:ind w:firstLine="48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1.1 法人或者其他组织的营业执照等证明文件，自然人的身份证明；</w:t>
      </w:r>
      <w:r/>
    </w:p>
    <w:p>
      <w:pPr>
        <w:pStyle w:val="895"/>
        <w:ind w:firstLine="48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1.2上一年度的财务状况报告（成立不满一年无需提供）；</w:t>
      </w:r>
      <w:r/>
    </w:p>
    <w:p>
      <w:pPr>
        <w:pStyle w:val="895"/>
        <w:ind w:firstLine="48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95"/>
        <w:ind w:firstLine="48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1.4具备履行合同所必需的设备和专业技术能力的书面声明；</w:t>
      </w:r>
      <w:r/>
    </w:p>
    <w:p>
      <w:pPr>
        <w:pStyle w:val="895"/>
        <w:ind w:firstLine="48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1.5参加政府采购活动前3年内在经营活动中没有重大违法记录的书面声明。</w:t>
      </w:r>
      <w:r/>
    </w:p>
    <w:p>
      <w:pPr>
        <w:pStyle w:val="895"/>
        <w:ind w:firstLine="480"/>
        <w:spacing w:line="560" w:lineRule="exact"/>
        <w:rPr>
          <w:rFonts w:hint="eastAsia" w:ascii="宋体" w:hAnsi="宋体" w:cs="宋体"/>
          <w:sz w:val="24"/>
          <w:szCs w:val="24"/>
        </w:rPr>
      </w:pPr>
      <w:r>
        <w:rPr>
          <w:rFonts w:hint="eastAsia" w:ascii="宋体" w:hAnsi="宋体" w:cs="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pStyle w:val="895"/>
        <w:ind w:firstLine="480"/>
        <w:spacing w:line="400" w:lineRule="exact"/>
        <w:rPr>
          <w:rFonts w:ascii="宋体" w:hAnsi="宋体" w:cs="宋体"/>
          <w:color w:val="000000"/>
          <w:sz w:val="24"/>
          <w:szCs w:val="24"/>
        </w:rPr>
      </w:pPr>
      <w:r>
        <w:rPr>
          <w:rFonts w:hint="eastAsia" w:ascii="宋体" w:hAnsi="宋体"/>
          <w:color w:val="000000"/>
          <w:sz w:val="24"/>
          <w:szCs w:val="24"/>
        </w:rPr>
        <w:t xml:space="preserve">3.落实政府采购政策需满足的资格要求：无</w:t>
      </w:r>
      <w:r>
        <w:rPr>
          <w:rFonts w:ascii="宋体" w:hAnsi="宋体" w:cs="宋体"/>
          <w:color w:val="000000"/>
          <w:sz w:val="24"/>
          <w:szCs w:val="24"/>
        </w:rPr>
      </w:r>
      <w:r/>
    </w:p>
    <w:p>
      <w:pPr>
        <w:pStyle w:val="895"/>
        <w:ind w:firstLine="480"/>
        <w:spacing w:line="360" w:lineRule="auto"/>
        <w:rPr>
          <w:rFonts w:ascii="宋体" w:hAnsi="宋体"/>
          <w:color w:val="000000"/>
          <w:sz w:val="24"/>
          <w:szCs w:val="24"/>
        </w:rPr>
      </w:pPr>
      <w:r>
        <w:rPr>
          <w:rFonts w:hint="eastAsia" w:ascii="宋体" w:hAnsi="宋体"/>
          <w:color w:val="000000"/>
          <w:sz w:val="24"/>
          <w:szCs w:val="24"/>
        </w:rPr>
        <w:t xml:space="preserve">4.联合</w:t>
      </w:r>
      <w:r>
        <w:rPr>
          <w:rFonts w:ascii="宋体" w:hAnsi="宋体"/>
          <w:color w:val="000000"/>
          <w:sz w:val="24"/>
          <w:szCs w:val="24"/>
        </w:rPr>
        <w:t xml:space="preserve">体投标</w:t>
      </w:r>
      <w:r>
        <w:rPr>
          <w:rFonts w:hint="eastAsia" w:ascii="宋体" w:hAnsi="宋体"/>
          <w:color w:val="000000"/>
          <w:sz w:val="24"/>
          <w:szCs w:val="24"/>
        </w:rPr>
        <w:t xml:space="preserve">：本项目</w:t>
      </w:r>
      <w:r>
        <w:rPr>
          <w:rFonts w:hint="eastAsia" w:ascii="宋体" w:hAnsi="宋体"/>
          <w:color w:val="000000"/>
          <w:sz w:val="24"/>
          <w:szCs w:val="24"/>
          <w:u w:val="single"/>
        </w:rPr>
        <w:t xml:space="preserve">不接受</w:t>
      </w:r>
      <w:r>
        <w:rPr>
          <w:rFonts w:hint="eastAsia" w:ascii="宋体" w:hAnsi="宋体"/>
          <w:color w:val="000000"/>
          <w:sz w:val="24"/>
          <w:szCs w:val="24"/>
        </w:rPr>
        <w:t xml:space="preserve">联合体投标</w:t>
      </w:r>
      <w:r>
        <w:rPr>
          <w:rFonts w:ascii="宋体" w:hAnsi="宋体"/>
          <w:color w:val="000000"/>
          <w:sz w:val="24"/>
          <w:szCs w:val="24"/>
        </w:rPr>
      </w:r>
      <w:r/>
    </w:p>
    <w:p>
      <w:pPr>
        <w:pStyle w:val="89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（二）本项目的特定资格要求</w:t>
      </w:r>
      <w:r/>
    </w:p>
    <w:p>
      <w:pPr>
        <w:pStyle w:val="89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无</w:t>
      </w:r>
      <w:r/>
    </w:p>
    <w:p>
      <w:pPr>
        <w:pStyle w:val="895"/>
        <w:ind w:firstLine="640"/>
        <w:jc w:val="left"/>
        <w:keepNext/>
        <w:spacing w:line="560" w:lineRule="exact"/>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三、获取招标文件</w:t>
      </w:r>
      <w:r/>
    </w:p>
    <w:p>
      <w:pPr>
        <w:pStyle w:val="895"/>
        <w:ind w:firstLine="480"/>
        <w:spacing w:line="560" w:lineRule="exact"/>
        <w:rPr>
          <w:rFonts w:hint="eastAsia" w:ascii="宋体" w:hAnsi="宋体" w:cs="宋体"/>
          <w:sz w:val="24"/>
          <w:szCs w:val="24"/>
        </w:rPr>
      </w:pPr>
      <w:r>
        <w:rPr>
          <w:rFonts w:hint="eastAsia" w:ascii="宋体" w:hAnsi="宋体" w:cs="宋体"/>
          <w:sz w:val="24"/>
          <w:szCs w:val="24"/>
        </w:rPr>
        <w:t xml:space="preserve">1.时间：自招标文件公告发布之日起5个工作日。</w:t>
      </w:r>
      <w:r/>
    </w:p>
    <w:p>
      <w:pPr>
        <w:pStyle w:val="895"/>
        <w:ind w:firstLine="480"/>
        <w:spacing w:line="560" w:lineRule="exact"/>
        <w:rPr>
          <w:rFonts w:hint="eastAsia" w:ascii="宋体" w:hAnsi="宋体" w:cs="宋体"/>
          <w:sz w:val="24"/>
          <w:szCs w:val="24"/>
        </w:rPr>
      </w:pPr>
      <w:r>
        <w:rPr>
          <w:rFonts w:hint="eastAsia" w:ascii="宋体" w:hAnsi="宋体" w:cs="宋体"/>
          <w:sz w:val="24"/>
          <w:szCs w:val="24"/>
        </w:rPr>
        <w:t xml:space="preserve">2.方式：在“江苏政府采购网”自行免费下载招标文件。</w:t>
      </w:r>
      <w:r/>
    </w:p>
    <w:p>
      <w:pPr>
        <w:pStyle w:val="895"/>
        <w:ind w:firstLine="640"/>
        <w:jc w:val="left"/>
        <w:keepNext/>
        <w:spacing w:line="560" w:lineRule="exact"/>
        <w:rPr>
          <w:rFonts w:hint="eastAsia" w:ascii="方正黑体_GBK" w:hAnsi="方正黑体_GBK" w:eastAsia="方正黑体_GBK" w:cs="方正黑体_GBK"/>
          <w:color w:val="000000"/>
          <w:sz w:val="32"/>
          <w:szCs w:val="32"/>
        </w:rPr>
        <w:outlineLvl w:val="0"/>
      </w:pPr>
      <w:r/>
      <w:bookmarkEnd w:id="17"/>
      <w:r/>
      <w:bookmarkEnd w:id="18"/>
      <w:r/>
      <w:bookmarkEnd w:id="19"/>
      <w:r/>
      <w:bookmarkEnd w:id="20"/>
      <w:r/>
      <w:bookmarkEnd w:id="21"/>
      <w:r/>
      <w:bookmarkStart w:id="22" w:name="_Toc28359005"/>
      <w:r/>
      <w:bookmarkStart w:id="23" w:name="_Toc28359082"/>
      <w:r/>
      <w:bookmarkStart w:id="24" w:name="_Toc35393624"/>
      <w:r/>
      <w:bookmarkStart w:id="25" w:name="_Toc38985266"/>
      <w:r/>
      <w:bookmarkStart w:id="26" w:name="_Toc35393793"/>
      <w:r>
        <w:rPr>
          <w:rFonts w:hint="eastAsia" w:ascii="方正黑体_GBK" w:hAnsi="方正黑体_GBK" w:eastAsia="方正黑体_GBK" w:cs="方正黑体_GBK"/>
          <w:color w:val="000000"/>
          <w:sz w:val="32"/>
          <w:szCs w:val="32"/>
        </w:rPr>
        <w:t xml:space="preserve">四、提交投标文件</w:t>
      </w:r>
      <w:bookmarkEnd w:id="22"/>
      <w:r/>
      <w:bookmarkEnd w:id="23"/>
      <w:r>
        <w:rPr>
          <w:rFonts w:hint="eastAsia" w:ascii="方正黑体_GBK" w:hAnsi="方正黑体_GBK" w:eastAsia="方正黑体_GBK" w:cs="方正黑体_GBK"/>
          <w:color w:val="000000"/>
          <w:sz w:val="32"/>
          <w:szCs w:val="32"/>
        </w:rPr>
        <w:t xml:space="preserve">截止时间、开标时间和地点</w:t>
      </w:r>
      <w:bookmarkEnd w:id="24"/>
      <w:r/>
      <w:bookmarkEnd w:id="25"/>
      <w:r/>
      <w:bookmarkEnd w:id="26"/>
      <w:r>
        <w:rPr>
          <w:rFonts w:hint="eastAsia" w:ascii="方正黑体_GBK" w:hAnsi="方正黑体_GBK" w:eastAsia="方正黑体_GBK" w:cs="方正黑体_GBK"/>
          <w:color w:val="000000"/>
          <w:sz w:val="32"/>
          <w:szCs w:val="32"/>
        </w:rPr>
      </w:r>
      <w:r/>
    </w:p>
    <w:p>
      <w:pPr>
        <w:pStyle w:val="895"/>
        <w:ind w:firstLine="480"/>
        <w:spacing w:line="560" w:lineRule="exact"/>
        <w:rPr>
          <w:rFonts w:hint="eastAsia" w:ascii="宋体" w:hAnsi="宋体" w:cs="宋体"/>
          <w:bCs/>
          <w:color w:val="000000"/>
          <w:sz w:val="24"/>
          <w:szCs w:val="24"/>
          <w:u w:val="single"/>
        </w:rPr>
      </w:pPr>
      <w:r>
        <w:rPr>
          <w:rFonts w:hint="eastAsia" w:ascii="宋体" w:hAnsi="宋体" w:cs="宋体"/>
          <w:sz w:val="24"/>
          <w:szCs w:val="24"/>
        </w:rPr>
        <w:t xml:space="preserve">1.2026</w:t>
      </w:r>
      <w:r>
        <w:rPr>
          <w:rFonts w:hint="eastAsia" w:ascii="宋体" w:hAnsi="宋体" w:cs="宋体"/>
          <w:bCs/>
          <w:color w:val="000000"/>
          <w:sz w:val="24"/>
          <w:szCs w:val="24"/>
        </w:rPr>
        <w:t xml:space="preserve">年8</w:t>
      </w:r>
      <w:r>
        <w:rPr>
          <w:rFonts w:hint="eastAsia" w:ascii="宋体" w:hAnsi="宋体" w:cs="宋体"/>
          <w:bCs/>
          <w:color w:val="000000"/>
          <w:sz w:val="24"/>
          <w:szCs w:val="24"/>
        </w:rPr>
        <w:t xml:space="preserve">月</w:t>
      </w:r>
      <w:r>
        <w:rPr>
          <w:rFonts w:hint="eastAsia" w:ascii="宋体" w:hAnsi="宋体" w:cs="宋体"/>
          <w:bCs/>
          <w:color w:val="000000"/>
          <w:sz w:val="24"/>
          <w:szCs w:val="24"/>
        </w:rPr>
        <w:t xml:space="preserve">14日</w:t>
      </w:r>
      <w:r>
        <w:rPr>
          <w:rFonts w:hint="eastAsia" w:ascii="宋体" w:hAnsi="宋体" w:cs="宋体"/>
          <w:sz w:val="24"/>
          <w:szCs w:val="24"/>
        </w:rPr>
        <w:t xml:space="preserve">14</w:t>
      </w:r>
      <w:r>
        <w:rPr>
          <w:rFonts w:hint="eastAsia" w:ascii="宋体" w:hAnsi="宋体" w:cs="宋体"/>
          <w:color w:val="000000"/>
          <w:sz w:val="24"/>
          <w:szCs w:val="24"/>
        </w:rPr>
        <w:t xml:space="preserve">时30</w:t>
      </w:r>
      <w:r>
        <w:rPr>
          <w:rFonts w:hint="eastAsia" w:ascii="宋体" w:hAnsi="宋体" w:cs="宋体"/>
          <w:bCs/>
          <w:color w:val="000000"/>
          <w:sz w:val="24"/>
          <w:szCs w:val="24"/>
        </w:rPr>
        <w:t xml:space="preserve">分（北京时间）</w:t>
      </w:r>
      <w:r>
        <w:rPr>
          <w:rFonts w:hint="eastAsia" w:ascii="宋体" w:hAnsi="宋体" w:cs="宋体"/>
          <w:sz w:val="24"/>
          <w:szCs w:val="24"/>
        </w:rPr>
        <w:t xml:space="preserve">。</w:t>
      </w:r>
      <w:r>
        <w:rPr>
          <w:rFonts w:hint="eastAsia" w:ascii="宋体" w:hAnsi="宋体" w:cs="宋体"/>
          <w:bCs/>
          <w:color w:val="000000"/>
          <w:sz w:val="24"/>
          <w:szCs w:val="24"/>
          <w:u w:val="single"/>
        </w:rPr>
      </w:r>
      <w:r/>
    </w:p>
    <w:p>
      <w:pPr>
        <w:pStyle w:val="895"/>
        <w:ind w:firstLine="480"/>
        <w:spacing w:line="560" w:lineRule="exact"/>
        <w:rPr>
          <w:rFonts w:hint="eastAsia" w:ascii="宋体" w:hAnsi="宋体" w:cs="宋体"/>
          <w:sz w:val="24"/>
          <w:szCs w:val="24"/>
        </w:rPr>
      </w:pPr>
      <w:r>
        <w:rPr>
          <w:rFonts w:hint="eastAsia" w:ascii="宋体" w:hAnsi="宋体" w:cs="宋体"/>
          <w:sz w:val="24"/>
          <w:szCs w:val="24"/>
        </w:rPr>
        <w:t xml:space="preserve">2.地点：“苏采云”政府采购交易系统。</w:t>
      </w:r>
      <w:r/>
    </w:p>
    <w:p>
      <w:pPr>
        <w:pStyle w:val="895"/>
        <w:ind w:firstLine="640"/>
        <w:jc w:val="left"/>
        <w:keepNext/>
        <w:spacing w:line="560" w:lineRule="exact"/>
        <w:rPr>
          <w:rFonts w:hint="eastAsia" w:ascii="方正黑体_GBK" w:hAnsi="方正黑体_GBK" w:eastAsia="方正黑体_GBK" w:cs="方正黑体_GBK"/>
          <w:color w:val="000000"/>
          <w:sz w:val="32"/>
          <w:szCs w:val="32"/>
        </w:rPr>
        <w:outlineLvl w:val="0"/>
      </w:pPr>
      <w:r/>
      <w:bookmarkStart w:id="27" w:name="_Toc35393625"/>
      <w:r/>
      <w:bookmarkStart w:id="28" w:name="_Toc28359007"/>
      <w:r/>
      <w:bookmarkStart w:id="29" w:name="_Toc38985267"/>
      <w:r/>
      <w:bookmarkStart w:id="30" w:name="_Toc35393794"/>
      <w:r/>
      <w:bookmarkStart w:id="31" w:name="_Toc28359084"/>
      <w:r>
        <w:rPr>
          <w:rFonts w:hint="eastAsia" w:ascii="方正黑体_GBK" w:hAnsi="方正黑体_GBK" w:eastAsia="方正黑体_GBK" w:cs="方正黑体_GBK"/>
          <w:color w:val="000000"/>
          <w:sz w:val="32"/>
          <w:szCs w:val="32"/>
        </w:rPr>
        <w:t xml:space="preserve">五、公告期限</w:t>
      </w:r>
      <w:bookmarkEnd w:id="27"/>
      <w:r/>
      <w:bookmarkEnd w:id="28"/>
      <w:r/>
      <w:bookmarkEnd w:id="29"/>
      <w:r/>
      <w:bookmarkEnd w:id="30"/>
      <w:r/>
      <w:bookmarkEnd w:id="31"/>
      <w:r>
        <w:rPr>
          <w:rFonts w:hint="eastAsia" w:ascii="方正黑体_GBK" w:hAnsi="方正黑体_GBK" w:eastAsia="方正黑体_GBK" w:cs="方正黑体_GBK"/>
          <w:color w:val="000000"/>
          <w:sz w:val="32"/>
          <w:szCs w:val="32"/>
        </w:rPr>
      </w:r>
      <w:r/>
    </w:p>
    <w:p>
      <w:pPr>
        <w:pStyle w:val="895"/>
        <w:ind w:firstLine="480"/>
        <w:spacing w:line="560" w:lineRule="exact"/>
        <w:rPr>
          <w:rFonts w:hint="eastAsia" w:ascii="宋体" w:hAnsi="宋体" w:cs="宋体"/>
          <w:sz w:val="24"/>
          <w:szCs w:val="24"/>
        </w:rPr>
      </w:pPr>
      <w:r>
        <w:rPr>
          <w:rFonts w:hint="eastAsia" w:ascii="宋体" w:hAnsi="宋体" w:cs="宋体"/>
          <w:sz w:val="24"/>
          <w:szCs w:val="24"/>
        </w:rPr>
        <w:t xml:space="preserve">招标公告及招标文件公告期限为自本公告发布之日起5个工作日。</w:t>
      </w:r>
      <w:r/>
    </w:p>
    <w:p>
      <w:pPr>
        <w:pStyle w:val="895"/>
        <w:ind w:firstLine="640"/>
        <w:jc w:val="left"/>
        <w:keepNext/>
        <w:spacing w:line="560" w:lineRule="exact"/>
        <w:rPr>
          <w:rFonts w:hint="eastAsia" w:ascii="方正黑体_GBK" w:hAnsi="方正黑体_GBK" w:eastAsia="方正黑体_GBK" w:cs="方正黑体_GBK"/>
          <w:color w:val="000000"/>
          <w:sz w:val="32"/>
          <w:szCs w:val="32"/>
        </w:rPr>
        <w:outlineLvl w:val="0"/>
      </w:pPr>
      <w:r/>
      <w:bookmarkStart w:id="32" w:name="_Toc38985268"/>
      <w:r/>
      <w:bookmarkStart w:id="33" w:name="_Toc35393626"/>
      <w:r/>
      <w:bookmarkStart w:id="34" w:name="_Toc35393795"/>
      <w:r>
        <w:rPr>
          <w:rFonts w:hint="eastAsia" w:ascii="方正黑体_GBK" w:hAnsi="方正黑体_GBK" w:eastAsia="方正黑体_GBK" w:cs="方正黑体_GBK"/>
          <w:color w:val="000000"/>
          <w:sz w:val="32"/>
          <w:szCs w:val="32"/>
        </w:rPr>
        <w:t xml:space="preserve">六、其他补充事宜</w:t>
      </w:r>
      <w:bookmarkEnd w:id="32"/>
      <w:r/>
      <w:bookmarkEnd w:id="33"/>
      <w:r/>
      <w:bookmarkEnd w:id="34"/>
      <w:r>
        <w:rPr>
          <w:rFonts w:hint="eastAsia" w:ascii="方正黑体_GBK" w:hAnsi="方正黑体_GBK" w:eastAsia="方正黑体_GBK" w:cs="方正黑体_GBK"/>
          <w:color w:val="000000"/>
          <w:sz w:val="32"/>
          <w:szCs w:val="32"/>
        </w:rPr>
      </w:r>
      <w:r/>
    </w:p>
    <w:p>
      <w:pPr>
        <w:pStyle w:val="895"/>
        <w:ind w:firstLine="480"/>
        <w:spacing w:line="560" w:lineRule="exact"/>
        <w:rPr>
          <w:rFonts w:hint="eastAsia" w:ascii="宋体" w:hAnsi="宋体" w:cs="宋体"/>
          <w:sz w:val="24"/>
          <w:szCs w:val="24"/>
        </w:rPr>
      </w:pPr>
      <w:r>
        <w:rPr>
          <w:rFonts w:hint="eastAsia" w:ascii="宋体" w:hAnsi="宋体" w:cs="宋体"/>
          <w:sz w:val="24"/>
          <w:szCs w:val="24"/>
        </w:rPr>
        <w:t xml:space="preserve">无</w:t>
      </w:r>
      <w:r/>
    </w:p>
    <w:p>
      <w:pPr>
        <w:pStyle w:val="895"/>
        <w:ind w:firstLine="640"/>
        <w:jc w:val="left"/>
        <w:keepNext/>
        <w:spacing w:line="560" w:lineRule="exact"/>
        <w:rPr>
          <w:rFonts w:hint="eastAsia" w:ascii="方正黑体_GBK" w:hAnsi="方正黑体_GBK" w:eastAsia="方正黑体_GBK" w:cs="方正黑体_GBK"/>
          <w:color w:val="000000"/>
          <w:sz w:val="32"/>
          <w:szCs w:val="32"/>
        </w:rPr>
        <w:outlineLvl w:val="0"/>
      </w:pPr>
      <w:r/>
      <w:bookmarkStart w:id="35" w:name="_Toc28359085"/>
      <w:r/>
      <w:bookmarkStart w:id="36" w:name="_Toc35393796"/>
      <w:r/>
      <w:bookmarkStart w:id="37" w:name="_Toc35393627"/>
      <w:r/>
      <w:bookmarkStart w:id="38" w:name="_Toc38985269"/>
      <w:r/>
      <w:bookmarkStart w:id="39" w:name="_Toc28359008"/>
      <w:r>
        <w:rPr>
          <w:rFonts w:hint="eastAsia" w:ascii="方正黑体_GBK" w:hAnsi="方正黑体_GBK" w:eastAsia="方正黑体_GBK" w:cs="方正黑体_GBK"/>
          <w:color w:val="000000"/>
          <w:sz w:val="32"/>
          <w:szCs w:val="32"/>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color w:val="000000"/>
          <w:sz w:val="32"/>
          <w:szCs w:val="32"/>
        </w:rPr>
      </w:r>
      <w:r/>
    </w:p>
    <w:p>
      <w:pPr>
        <w:pStyle w:val="895"/>
        <w:ind w:firstLine="480"/>
        <w:jc w:val="left"/>
        <w:spacing w:line="400" w:lineRule="exact"/>
        <w:widowControl/>
        <w:rPr>
          <w:rFonts w:ascii="宋体" w:hAnsi="宋体" w:cs="宋体"/>
          <w:sz w:val="24"/>
          <w:szCs w:val="24"/>
        </w:rPr>
      </w:pPr>
      <w:r/>
      <w:bookmarkStart w:id="40" w:name="_Toc28359009"/>
      <w:r/>
      <w:bookmarkStart w:id="41" w:name="_Toc28359086"/>
      <w:r>
        <w:rPr>
          <w:rFonts w:hint="eastAsia" w:ascii="宋体" w:hAnsi="宋体" w:cs="宋体"/>
          <w:sz w:val="24"/>
          <w:szCs w:val="24"/>
        </w:rPr>
        <w:t xml:space="preserve">1.采购人信息</w:t>
      </w:r>
      <w:r>
        <w:rPr>
          <w:rFonts w:ascii="宋体" w:hAnsi="宋体" w:cs="宋体"/>
          <w:sz w:val="24"/>
          <w:szCs w:val="24"/>
        </w:rPr>
      </w:r>
      <w:r/>
    </w:p>
    <w:p>
      <w:pPr>
        <w:pStyle w:val="895"/>
        <w:ind w:firstLine="480"/>
        <w:jc w:val="left"/>
        <w:spacing w:line="400" w:lineRule="exact"/>
        <w:widowControl/>
        <w:rPr>
          <w:rFonts w:ascii="宋体" w:hAnsi="宋体" w:cs="宋体"/>
          <w:sz w:val="24"/>
          <w:szCs w:val="24"/>
        </w:rPr>
      </w:pPr>
      <w:r>
        <w:rPr>
          <w:rFonts w:hint="eastAsia" w:ascii="宋体" w:hAnsi="宋体" w:cs="宋体"/>
          <w:sz w:val="24"/>
          <w:szCs w:val="24"/>
        </w:rPr>
        <w:t xml:space="preserve">名 称：江苏省未来网络创新研究院</w:t>
      </w:r>
      <w:r>
        <w:rPr>
          <w:rFonts w:ascii="宋体" w:hAnsi="宋体" w:cs="宋体"/>
          <w:sz w:val="24"/>
          <w:szCs w:val="24"/>
        </w:rPr>
      </w:r>
      <w:r/>
    </w:p>
    <w:p>
      <w:pPr>
        <w:pStyle w:val="895"/>
        <w:ind w:firstLine="480"/>
        <w:jc w:val="left"/>
        <w:spacing w:line="400" w:lineRule="exact"/>
        <w:widowControl/>
        <w:rPr>
          <w:rFonts w:ascii="宋体" w:hAnsi="宋体" w:cs="宋体"/>
          <w:sz w:val="24"/>
          <w:szCs w:val="24"/>
        </w:rPr>
      </w:pPr>
      <w:r>
        <w:rPr>
          <w:rFonts w:hint="eastAsia" w:ascii="宋体" w:hAnsi="宋体" w:cs="宋体"/>
          <w:sz w:val="24"/>
          <w:szCs w:val="24"/>
        </w:rPr>
        <w:t xml:space="preserve">地 址：南京市江宁区秣周东路7号未来网络大厦</w:t>
      </w:r>
      <w:r>
        <w:rPr>
          <w:rFonts w:ascii="宋体" w:hAnsi="宋体" w:cs="宋体"/>
          <w:sz w:val="24"/>
          <w:szCs w:val="24"/>
        </w:rPr>
      </w:r>
      <w:r/>
    </w:p>
    <w:p>
      <w:pPr>
        <w:pStyle w:val="895"/>
        <w:ind w:firstLine="480"/>
        <w:jc w:val="left"/>
        <w:spacing w:line="400" w:lineRule="exact"/>
        <w:widowControl/>
        <w:rPr>
          <w:rFonts w:ascii="宋体" w:hAnsi="宋体" w:cs="宋体"/>
          <w:sz w:val="24"/>
          <w:szCs w:val="24"/>
        </w:rPr>
      </w:pPr>
      <w:r>
        <w:rPr>
          <w:rFonts w:hint="eastAsia" w:ascii="宋体" w:hAnsi="宋体" w:cs="宋体"/>
          <w:sz w:val="24"/>
          <w:szCs w:val="24"/>
        </w:rPr>
        <w:t xml:space="preserve">联系人：徐梦婷</w:t>
      </w:r>
      <w:r>
        <w:rPr>
          <w:rFonts w:ascii="宋体" w:hAnsi="宋体" w:cs="宋体"/>
          <w:sz w:val="24"/>
          <w:szCs w:val="24"/>
        </w:rPr>
      </w:r>
      <w:r/>
    </w:p>
    <w:p>
      <w:pPr>
        <w:pStyle w:val="895"/>
        <w:ind w:firstLine="480"/>
        <w:jc w:val="left"/>
        <w:spacing w:line="400" w:lineRule="exact"/>
        <w:widowControl/>
        <w:rPr>
          <w:rFonts w:ascii="宋体" w:hAnsi="宋体" w:cs="宋体"/>
          <w:sz w:val="24"/>
          <w:szCs w:val="24"/>
        </w:rPr>
      </w:pPr>
      <w:r>
        <w:rPr>
          <w:rFonts w:hint="eastAsia" w:ascii="宋体" w:hAnsi="宋体" w:cs="宋体"/>
          <w:sz w:val="24"/>
          <w:szCs w:val="24"/>
        </w:rPr>
        <w:t xml:space="preserve">联系方式：025-57926635 </w:t>
      </w:r>
      <w:r>
        <w:rPr>
          <w:rFonts w:ascii="宋体" w:hAnsi="宋体" w:cs="宋体"/>
          <w:sz w:val="24"/>
          <w:szCs w:val="24"/>
        </w:rPr>
      </w:r>
      <w:r/>
    </w:p>
    <w:p>
      <w:pPr>
        <w:pStyle w:val="895"/>
        <w:ind w:firstLine="480"/>
        <w:jc w:val="left"/>
        <w:spacing w:line="400" w:lineRule="exact"/>
        <w:widowControl/>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 江苏省政府采购中心信息</w:t>
      </w:r>
      <w:r>
        <w:rPr>
          <w:rFonts w:ascii="宋体" w:hAnsi="宋体" w:cs="宋体"/>
          <w:sz w:val="24"/>
          <w:szCs w:val="24"/>
        </w:rPr>
      </w:r>
      <w:r/>
    </w:p>
    <w:p>
      <w:pPr>
        <w:pStyle w:val="895"/>
        <w:ind w:firstLine="480"/>
        <w:jc w:val="left"/>
        <w:spacing w:line="400" w:lineRule="exact"/>
        <w:widowControl/>
        <w:rPr>
          <w:rFonts w:ascii="宋体" w:hAnsi="宋体" w:cs="宋体"/>
          <w:sz w:val="24"/>
          <w:szCs w:val="24"/>
        </w:rPr>
      </w:pPr>
      <w:r>
        <w:rPr>
          <w:rFonts w:hint="eastAsia" w:ascii="宋体" w:hAnsi="宋体" w:cs="宋体"/>
          <w:sz w:val="24"/>
          <w:szCs w:val="24"/>
        </w:rPr>
        <w:t xml:space="preserve">名 称：江苏省政府采购中心</w:t>
      </w:r>
      <w:r>
        <w:rPr>
          <w:rFonts w:ascii="宋体" w:hAnsi="宋体" w:cs="宋体"/>
          <w:sz w:val="24"/>
          <w:szCs w:val="24"/>
        </w:rPr>
      </w:r>
      <w:r/>
    </w:p>
    <w:p>
      <w:pPr>
        <w:pStyle w:val="895"/>
        <w:ind w:firstLine="480"/>
        <w:jc w:val="left"/>
        <w:spacing w:line="400" w:lineRule="exact"/>
        <w:widowControl/>
        <w:rPr>
          <w:rFonts w:ascii="宋体" w:hAnsi="宋体" w:cs="宋体"/>
          <w:sz w:val="24"/>
          <w:szCs w:val="24"/>
        </w:rPr>
      </w:pPr>
      <w:r>
        <w:rPr>
          <w:rFonts w:hint="eastAsia" w:ascii="宋体" w:hAnsi="宋体" w:cs="宋体"/>
          <w:sz w:val="24"/>
          <w:szCs w:val="24"/>
        </w:rPr>
        <w:t xml:space="preserve">地 址：</w:t>
      </w:r>
      <w:r>
        <w:rPr>
          <w:rFonts w:ascii="宋体" w:hAnsi="宋体" w:cs="宋体"/>
          <w:sz w:val="24"/>
          <w:szCs w:val="24"/>
        </w:rPr>
        <w:t xml:space="preserve">南京市汉中门大街</w:t>
      </w:r>
      <w:r>
        <w:rPr>
          <w:rFonts w:hint="eastAsia" w:ascii="宋体" w:hAnsi="宋体" w:cs="宋体"/>
          <w:sz w:val="24"/>
          <w:szCs w:val="24"/>
        </w:rPr>
        <w:t xml:space="preserve">145号省政务中心二期3楼南区</w:t>
      </w:r>
      <w:r>
        <w:rPr>
          <w:rFonts w:ascii="宋体" w:hAnsi="宋体" w:cs="宋体"/>
          <w:sz w:val="24"/>
          <w:szCs w:val="24"/>
        </w:rPr>
      </w:r>
      <w:r/>
    </w:p>
    <w:p>
      <w:pPr>
        <w:pStyle w:val="895"/>
        <w:ind w:firstLine="480"/>
        <w:jc w:val="left"/>
        <w:spacing w:line="400" w:lineRule="exact"/>
        <w:widowControl/>
        <w:rPr>
          <w:rFonts w:ascii="宋体" w:hAnsi="宋体" w:cs="宋体"/>
          <w:sz w:val="24"/>
          <w:szCs w:val="24"/>
        </w:rPr>
      </w:pPr>
      <w:r>
        <w:rPr>
          <w:rFonts w:hint="eastAsia" w:ascii="宋体" w:hAnsi="宋体" w:cs="宋体"/>
          <w:sz w:val="24"/>
          <w:szCs w:val="24"/>
        </w:rPr>
        <w:t xml:space="preserve">联系人：张倩</w:t>
      </w:r>
      <w:r>
        <w:rPr>
          <w:rFonts w:ascii="宋体" w:hAnsi="宋体" w:cs="宋体"/>
          <w:sz w:val="24"/>
          <w:szCs w:val="24"/>
        </w:rPr>
      </w:r>
      <w:r/>
    </w:p>
    <w:p>
      <w:pPr>
        <w:pStyle w:val="895"/>
        <w:ind w:firstLine="480"/>
        <w:jc w:val="left"/>
        <w:spacing w:line="400" w:lineRule="exact"/>
        <w:widowControl/>
        <w:rPr>
          <w:rFonts w:ascii="宋体" w:hAnsi="宋体" w:cs="宋体"/>
          <w:sz w:val="24"/>
          <w:szCs w:val="24"/>
        </w:rPr>
      </w:pPr>
      <w:r>
        <w:rPr>
          <w:rFonts w:hint="eastAsia" w:ascii="宋体" w:hAnsi="宋体" w:cs="宋体"/>
          <w:sz w:val="24"/>
          <w:szCs w:val="24"/>
        </w:rPr>
        <w:t xml:space="preserve">联系方式：025-83668527</w:t>
      </w:r>
      <w:r>
        <w:rPr>
          <w:rFonts w:ascii="宋体" w:hAnsi="宋体" w:cs="宋体"/>
          <w:sz w:val="24"/>
          <w:szCs w:val="24"/>
        </w:rPr>
      </w:r>
      <w:r/>
    </w:p>
    <w:p>
      <w:pPr>
        <w:pStyle w:val="895"/>
        <w:jc w:val="left"/>
        <w:spacing w:line="560" w:lineRule="exact"/>
        <w:widowControl/>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t xml:space="preserve">八、其他</w:t>
      </w:r>
      <w:r/>
    </w:p>
    <w:p>
      <w:pPr>
        <w:pStyle w:val="895"/>
        <w:ind w:firstLine="480"/>
        <w:spacing w:line="560" w:lineRule="exact"/>
        <w:tabs>
          <w:tab w:val="left" w:pos="900" w:leader="none"/>
        </w:tabs>
        <w:rPr>
          <w:rFonts w:hint="eastAsia" w:ascii="宋体" w:hAnsi="宋体" w:cs="宋体"/>
          <w:bCs/>
          <w:sz w:val="24"/>
          <w:szCs w:val="24"/>
        </w:rPr>
      </w:pPr>
      <w:r>
        <w:rPr>
          <w:rFonts w:hint="eastAsia" w:ascii="宋体" w:hAnsi="宋体" w:cs="宋体"/>
          <w:sz w:val="24"/>
          <w:szCs w:val="24"/>
        </w:rPr>
        <w:t xml:space="preserve">1.</w:t>
      </w:r>
      <w:r>
        <w:rPr>
          <w:rFonts w:hint="eastAsia" w:ascii="宋体" w:hAnsi="宋体" w:cs="宋体"/>
          <w:bCs/>
          <w:sz w:val="24"/>
          <w:szCs w:val="24"/>
        </w:rPr>
        <w:t xml:space="preserve">根据省财政厅《关于更换全省政府采购交易系统CA数字证书和电子签章的通知》（苏财购〔2023〕101号），</w:t>
      </w:r>
      <w:r>
        <w:rPr>
          <w:rFonts w:hint="eastAsia" w:ascii="宋体" w:hAnsi="宋体" w:cs="宋体"/>
          <w:sz w:val="24"/>
          <w:szCs w:val="24"/>
        </w:rPr>
        <w:t xml:space="preserve">“苏采云”政府采购交易系统（以下简称苏采云系统）</w:t>
      </w:r>
      <w:r>
        <w:rPr>
          <w:rFonts w:hint="eastAsia" w:ascii="宋体" w:hAnsi="宋体" w:cs="宋体"/>
          <w:bCs/>
          <w:sz w:val="24"/>
          <w:szCs w:val="24"/>
        </w:rPr>
        <w:t xml:space="preserve">的CA数字证书、电子签章已更换为江苏省电子政务证书认证中心CA和方正国际软件（北京）有限公司电子签章。具体办理指南和操作手册见链接：</w:t>
      </w:r>
      <w:r/>
    </w:p>
    <w:p>
      <w:pPr>
        <w:pStyle w:val="895"/>
        <w:ind w:firstLine="480"/>
        <w:spacing w:line="560" w:lineRule="exact"/>
        <w:tabs>
          <w:tab w:val="left" w:pos="900" w:leader="none"/>
        </w:tabs>
        <w:rPr>
          <w:rFonts w:hint="eastAsia" w:ascii="宋体" w:hAnsi="宋体" w:cs="宋体"/>
          <w:bCs/>
          <w:sz w:val="24"/>
          <w:szCs w:val="24"/>
        </w:rPr>
      </w:pPr>
      <w:r>
        <w:rPr>
          <w:rFonts w:hint="eastAsia" w:ascii="宋体" w:hAnsi="宋体" w:cs="宋体"/>
          <w:sz w:val="24"/>
          <w:szCs w:val="24"/>
        </w:rPr>
        <w:t xml:space="preserve">http://www.ccgp-jiangsu.gov.cn/jiangsu/zlxz/ee/ee3a4bc5a3454aa2b0d9312230633ce9.html。</w:t>
      </w:r>
      <w:r>
        <w:rPr>
          <w:rFonts w:hint="eastAsia" w:ascii="宋体" w:hAnsi="宋体" w:cs="宋体"/>
          <w:bCs/>
          <w:sz w:val="24"/>
          <w:szCs w:val="24"/>
        </w:rPr>
      </w:r>
      <w:r/>
    </w:p>
    <w:p>
      <w:pPr>
        <w:pStyle w:val="895"/>
        <w:ind w:firstLine="480"/>
        <w:spacing w:line="560" w:lineRule="exact"/>
        <w:tabs>
          <w:tab w:val="left" w:pos="900" w:leader="none"/>
        </w:tabs>
        <w:rPr>
          <w:rFonts w:hint="eastAsia" w:ascii="宋体" w:hAnsi="宋体" w:cs="宋体"/>
          <w:bCs/>
          <w:sz w:val="24"/>
          <w:szCs w:val="24"/>
        </w:rPr>
      </w:pPr>
      <w:r>
        <w:rPr>
          <w:rFonts w:hint="eastAsia" w:ascii="宋体" w:hAnsi="宋体" w:cs="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pStyle w:val="895"/>
        <w:ind w:firstLine="480"/>
        <w:spacing w:line="560" w:lineRule="exact"/>
        <w:tabs>
          <w:tab w:val="left" w:pos="900" w:leader="none"/>
        </w:tabs>
        <w:rPr>
          <w:rFonts w:hint="eastAsia" w:ascii="宋体" w:hAnsi="宋体" w:cs="宋体"/>
          <w:bCs/>
          <w:sz w:val="24"/>
          <w:szCs w:val="24"/>
        </w:rPr>
      </w:pPr>
      <w:r>
        <w:rPr>
          <w:rFonts w:hint="eastAsia" w:ascii="宋体" w:hAnsi="宋体" w:cs="宋体"/>
          <w:bCs/>
          <w:sz w:val="24"/>
          <w:szCs w:val="24"/>
        </w:rPr>
        <w:t xml:space="preserve">2.有关本次招标的事项若存在变动或修改，敬请及时关注江苏省政府采购中心在“江苏政府采购网”发布的更正公告。</w:t>
      </w:r>
      <w:r/>
    </w:p>
    <w:p>
      <w:pPr>
        <w:pStyle w:val="895"/>
        <w:ind w:firstLine="480"/>
        <w:spacing w:line="560" w:lineRule="exact"/>
        <w:tabs>
          <w:tab w:val="left" w:pos="900" w:leader="none"/>
        </w:tabs>
        <w:rPr>
          <w:rFonts w:hint="eastAsia" w:ascii="方正仿宋_GBK" w:hAnsi="方正仿宋_GBK" w:eastAsia="方正仿宋_GBK" w:cs="方正仿宋_GBK"/>
          <w:sz w:val="32"/>
          <w:szCs w:val="32"/>
          <w:highlight w:val="none"/>
        </w:rPr>
      </w:pPr>
      <w:r>
        <w:rPr>
          <w:rFonts w:hint="eastAsia" w:ascii="宋体" w:hAnsi="宋体" w:cs="宋体"/>
          <w:bCs/>
          <w:sz w:val="24"/>
          <w:szCs w:val="24"/>
        </w:rPr>
        <w:t xml:space="preserve">3.本次招标不收取投标保证金。</w:t>
      </w:r>
      <w:r>
        <w:rPr>
          <w:rFonts w:hint="eastAsia" w:ascii="方正仿宋_GBK" w:hAnsi="方正仿宋_GBK" w:eastAsia="方正仿宋_GBK" w:cs="方正仿宋_GBK"/>
          <w:bCs/>
          <w:sz w:val="32"/>
          <w:szCs w:val="32"/>
        </w:rPr>
      </w:r>
      <w:r/>
    </w:p>
    <w:p>
      <w:pPr>
        <w:ind w:firstLine="480"/>
        <w:spacing w:line="560" w:lineRule="exact"/>
        <w:tabs>
          <w:tab w:val="left" w:pos="90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rPr>
          <w:rFonts w:hint="eastAsia" w:ascii="方正仿宋_GBK" w:hAnsi="方正仿宋_GBK" w:eastAsia="方正仿宋_GBK" w:cs="方正仿宋_GBK"/>
          <w:sz w:val="32"/>
          <w:szCs w:val="32"/>
        </w:rPr>
      </w:r>
      <w:r/>
    </w:p>
    <w:p>
      <w:pPr>
        <w:ind w:firstLine="480"/>
        <w:spacing w:line="560" w:lineRule="exact"/>
        <w:tabs>
          <w:tab w:val="left" w:pos="90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rPr>
          <w:rFonts w:hint="eastAsia" w:ascii="方正仿宋_GBK" w:hAnsi="方正仿宋_GBK" w:eastAsia="方正仿宋_GBK" w:cs="方正仿宋_GBK"/>
          <w:sz w:val="32"/>
          <w:szCs w:val="32"/>
        </w:rPr>
      </w:r>
      <w:r/>
    </w:p>
    <w:p>
      <w:pPr>
        <w:ind w:firstLine="480"/>
        <w:spacing w:line="560" w:lineRule="exact"/>
        <w:tabs>
          <w:tab w:val="left" w:pos="90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rPr>
          <w:rFonts w:hint="eastAsia" w:ascii="方正仿宋_GBK" w:hAnsi="方正仿宋_GBK" w:eastAsia="方正仿宋_GBK" w:cs="方正仿宋_GBK"/>
          <w:sz w:val="32"/>
          <w:szCs w:val="32"/>
        </w:rPr>
      </w:r>
      <w:r/>
    </w:p>
    <w:p>
      <w:pPr>
        <w:ind w:firstLine="480"/>
        <w:spacing w:line="560" w:lineRule="exact"/>
        <w:tabs>
          <w:tab w:val="left" w:pos="90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bCs/>
          <w:sz w:val="32"/>
          <w:szCs w:val="32"/>
          <w:highlight w:val="none"/>
        </w:rPr>
      </w:r>
      <w:r>
        <w:rPr>
          <w:rFonts w:hint="eastAsia" w:ascii="方正仿宋_GBK" w:hAnsi="方正仿宋_GBK" w:eastAsia="方正仿宋_GBK" w:cs="方正仿宋_GBK"/>
          <w:bCs/>
          <w:sz w:val="32"/>
          <w:szCs w:val="32"/>
          <w:highlight w:val="none"/>
        </w:rPr>
      </w:r>
      <w:r/>
    </w:p>
    <w:p>
      <w:pPr>
        <w:pStyle w:val="895"/>
        <w:ind w:right="840"/>
        <w:rPr>
          <w:rFonts w:hint="eastAsia" w:ascii="宋体" w:hAnsi="宋体"/>
          <w:color w:val="000000"/>
          <w:sz w:val="24"/>
          <w:szCs w:val="24"/>
        </w:rPr>
      </w:pPr>
      <w:r>
        <w:rPr>
          <w:rFonts w:hint="eastAsia" w:ascii="宋体" w:hAnsi="宋体"/>
          <w:color w:val="000000"/>
          <w:sz w:val="24"/>
          <w:szCs w:val="24"/>
        </w:rPr>
      </w:r>
      <w:r/>
    </w:p>
    <w:p>
      <w:pPr>
        <w:pStyle w:val="895"/>
        <w:ind w:right="840"/>
        <w:rPr>
          <w:rFonts w:hint="eastAsia" w:ascii="宋体" w:hAnsi="宋体"/>
          <w:color w:val="000000"/>
          <w:sz w:val="24"/>
          <w:szCs w:val="24"/>
        </w:rPr>
      </w:pPr>
      <w:r>
        <w:rPr>
          <w:rFonts w:hint="eastAsia" w:ascii="宋体" w:hAnsi="宋体"/>
          <w:color w:val="000000"/>
          <w:sz w:val="24"/>
          <w:szCs w:val="24"/>
        </w:rPr>
      </w:r>
      <w:r/>
    </w:p>
    <w:p>
      <w:pPr>
        <w:pStyle w:val="895"/>
        <w:ind w:right="840"/>
        <w:rPr>
          <w:rFonts w:hint="eastAsia" w:ascii="宋体" w:hAnsi="宋体"/>
          <w:color w:val="000000"/>
          <w:sz w:val="24"/>
          <w:szCs w:val="24"/>
        </w:rPr>
      </w:pPr>
      <w:r>
        <w:rPr>
          <w:rFonts w:hint="eastAsia" w:ascii="宋体" w:hAnsi="宋体"/>
          <w:color w:val="000000"/>
          <w:sz w:val="24"/>
          <w:szCs w:val="24"/>
        </w:rPr>
      </w:r>
      <w:r/>
    </w:p>
    <w:p>
      <w:pPr>
        <w:pStyle w:val="895"/>
        <w:ind w:firstLine="2429"/>
        <w:keepLines/>
        <w:keepNext/>
        <w:spacing w:before="260" w:after="260" w:line="416" w:lineRule="auto"/>
        <w:rPr>
          <w:rFonts w:hint="eastAsia" w:ascii="黑体" w:hAnsi="Arial" w:eastAsia="黑体" w:cs="Arial"/>
          <w:b/>
          <w:bCs/>
          <w:color w:val="000000"/>
          <w:sz w:val="44"/>
          <w:szCs w:val="44"/>
        </w:rPr>
        <w:outlineLvl w:val="1"/>
      </w:pPr>
      <w:r/>
      <w:bookmarkStart w:id="42" w:name="_Toc120614211"/>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2"/>
      <w:r/>
      <w:bookmarkStart w:id="43" w:name="_Toc120614213"/>
      <w:r/>
      <w:bookmarkStart w:id="44" w:name="_Toc513029202"/>
      <w:r/>
      <w:bookmarkStart w:id="45" w:name="_Toc16938518"/>
      <w:r/>
      <w:bookmarkStart w:id="46" w:name="_Toc20823274"/>
      <w:r>
        <w:rPr>
          <w:rFonts w:hint="eastAsia" w:ascii="黑体" w:hAnsi="Arial" w:eastAsia="黑体" w:cs="Arial"/>
          <w:b/>
          <w:bCs/>
          <w:color w:val="000000"/>
          <w:sz w:val="44"/>
          <w:szCs w:val="44"/>
        </w:rPr>
        <w:t xml:space="preserve">投标人须知</w:t>
      </w:r>
      <w:bookmarkEnd w:id="43"/>
      <w:r/>
      <w:bookmarkEnd w:id="44"/>
      <w:r/>
      <w:bookmarkEnd w:id="45"/>
      <w:r/>
      <w:bookmarkEnd w:id="46"/>
      <w:r>
        <w:rPr>
          <w:rFonts w:hint="eastAsia" w:ascii="黑体" w:hAnsi="Arial" w:eastAsia="黑体" w:cs="Arial"/>
          <w:b/>
          <w:bCs/>
          <w:color w:val="000000"/>
          <w:sz w:val="44"/>
          <w:szCs w:val="44"/>
        </w:rPr>
      </w:r>
      <w:r/>
    </w:p>
    <w:p>
      <w:pPr>
        <w:pStyle w:val="895"/>
        <w:ind w:firstLine="498"/>
        <w:keepLines/>
        <w:keepNext/>
        <w:spacing w:before="156" w:after="156" w:line="400" w:lineRule="exact"/>
        <w:rPr>
          <w:rFonts w:hint="eastAsia"/>
          <w:b/>
          <w:bCs/>
          <w:color w:val="000000"/>
          <w:sz w:val="32"/>
          <w:szCs w:val="32"/>
        </w:rPr>
        <w:outlineLvl w:val="2"/>
      </w:pPr>
      <w:r/>
      <w:bookmarkStart w:id="47" w:name="_Toc120614214"/>
      <w:r/>
      <w:bookmarkStart w:id="48" w:name="_Toc513029203"/>
      <w:r/>
      <w:bookmarkStart w:id="49" w:name="_Toc16938519"/>
      <w:r/>
      <w:bookmarkStart w:id="50" w:name="_Toc20823275"/>
      <w:r/>
      <w:bookmarkStart w:id="51" w:name="_Toc513029234"/>
      <w:r/>
      <w:bookmarkStart w:id="52" w:name="_Toc16938550"/>
      <w:r/>
      <w:bookmarkStart w:id="53" w:name="_Toc20823306"/>
      <w:r>
        <w:rPr>
          <w:rFonts w:hint="eastAsia"/>
          <w:b/>
          <w:bCs/>
          <w:color w:val="000000"/>
          <w:sz w:val="32"/>
          <w:szCs w:val="32"/>
        </w:rPr>
        <w:t xml:space="preserve">一、总则</w:t>
      </w:r>
      <w:bookmarkEnd w:id="47"/>
      <w:r/>
      <w:bookmarkEnd w:id="48"/>
      <w:r/>
      <w:bookmarkEnd w:id="49"/>
      <w:r/>
      <w:bookmarkEnd w:id="50"/>
      <w:r>
        <w:rPr>
          <w:rFonts w:hint="eastAsia"/>
          <w:b/>
          <w:bCs/>
          <w:color w:val="000000"/>
          <w:sz w:val="32"/>
          <w:szCs w:val="32"/>
        </w:rPr>
      </w:r>
      <w:r/>
    </w:p>
    <w:p>
      <w:pPr>
        <w:pStyle w:val="895"/>
        <w:ind w:firstLine="420"/>
        <w:keepLines/>
        <w:keepNext/>
        <w:spacing w:line="400" w:lineRule="exact"/>
        <w:rPr>
          <w:rFonts w:hint="eastAsia" w:ascii="Arial" w:hAnsi="Arial" w:eastAsia="黑体" w:cs="Arial"/>
          <w:color w:val="000000"/>
          <w:sz w:val="28"/>
          <w:szCs w:val="28"/>
        </w:rPr>
        <w:outlineLvl w:val="3"/>
      </w:pPr>
      <w:r/>
      <w:bookmarkStart w:id="54" w:name="_Toc20823276"/>
      <w:r/>
      <w:bookmarkStart w:id="55" w:name="_Toc513029204"/>
      <w:r/>
      <w:bookmarkStart w:id="56" w:name="_Hlt16619475"/>
      <w:r/>
      <w:bookmarkEnd w:id="56"/>
      <w:r/>
      <w:bookmarkStart w:id="57" w:name="_Toc458694821"/>
      <w:r/>
      <w:bookmarkStart w:id="58" w:name="_Toc16938520"/>
      <w:r>
        <w:rPr>
          <w:rFonts w:hint="eastAsia" w:ascii="Arial" w:hAnsi="Arial" w:eastAsia="黑体" w:cs="Arial"/>
          <w:color w:val="000000"/>
          <w:sz w:val="28"/>
          <w:szCs w:val="28"/>
        </w:rPr>
        <w:t xml:space="preserve">1</w:t>
      </w:r>
      <w:bookmarkEnd w:id="57"/>
      <w:r>
        <w:rPr>
          <w:rFonts w:hint="eastAsia" w:ascii="Arial" w:hAnsi="Arial" w:eastAsia="黑体" w:cs="Arial"/>
          <w:color w:val="000000"/>
          <w:sz w:val="28"/>
          <w:szCs w:val="28"/>
        </w:rPr>
        <w:t xml:space="preserve">、招标方式</w:t>
      </w:r>
      <w:bookmarkEnd w:id="54"/>
      <w:r/>
      <w:bookmarkEnd w:id="55"/>
      <w:r/>
      <w:bookmarkEnd w:id="58"/>
      <w:r>
        <w:rPr>
          <w:rFonts w:hint="eastAsia" w:ascii="Arial" w:hAnsi="Arial" w:eastAsia="黑体" w:cs="Arial"/>
          <w:color w:val="000000"/>
          <w:sz w:val="28"/>
          <w:szCs w:val="28"/>
        </w:rPr>
      </w:r>
      <w:r/>
    </w:p>
    <w:p>
      <w:pPr>
        <w:pStyle w:val="895"/>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p>
    <w:p>
      <w:pPr>
        <w:pStyle w:val="895"/>
        <w:ind w:firstLine="420"/>
        <w:keepLines/>
        <w:keepNext/>
        <w:spacing w:line="400" w:lineRule="exact"/>
        <w:rPr>
          <w:rFonts w:hint="eastAsia" w:ascii="Arial" w:hAnsi="Arial" w:eastAsia="黑体" w:cs="Arial"/>
          <w:color w:val="000000"/>
          <w:sz w:val="28"/>
          <w:szCs w:val="28"/>
        </w:rPr>
        <w:outlineLvl w:val="3"/>
      </w:pPr>
      <w:r/>
      <w:bookmarkStart w:id="59" w:name="_Toc16938521"/>
      <w:r/>
      <w:bookmarkStart w:id="60" w:name="_Toc513029205"/>
      <w:r/>
      <w:bookmarkStart w:id="61" w:name="_Toc20823277"/>
      <w:r>
        <w:rPr>
          <w:rFonts w:hint="eastAsia" w:ascii="Arial" w:hAnsi="Arial" w:eastAsia="黑体" w:cs="Arial"/>
          <w:color w:val="000000"/>
          <w:sz w:val="28"/>
          <w:szCs w:val="28"/>
        </w:rPr>
        <w:t xml:space="preserve">2、合格的投标人</w:t>
      </w:r>
      <w:bookmarkEnd w:id="59"/>
      <w:r/>
      <w:bookmarkEnd w:id="60"/>
      <w:r/>
      <w:bookmarkEnd w:id="61"/>
      <w:r>
        <w:rPr>
          <w:rFonts w:hint="eastAsia" w:ascii="Arial" w:hAnsi="Arial" w:eastAsia="黑体" w:cs="Arial"/>
          <w:color w:val="000000"/>
          <w:sz w:val="28"/>
          <w:szCs w:val="28"/>
        </w:rPr>
      </w:r>
      <w:r/>
    </w:p>
    <w:p>
      <w:pPr>
        <w:pStyle w:val="89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pStyle w:val="89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p>
    <w:p>
      <w:pPr>
        <w:pStyle w:val="895"/>
        <w:ind w:firstLine="420"/>
        <w:keepLines/>
        <w:keepNext/>
        <w:spacing w:line="400" w:lineRule="exact"/>
        <w:rPr>
          <w:rFonts w:hint="eastAsia" w:ascii="Arial" w:hAnsi="Arial" w:eastAsia="黑体" w:cs="Arial"/>
          <w:color w:val="000000"/>
          <w:sz w:val="28"/>
          <w:szCs w:val="28"/>
        </w:rPr>
        <w:outlineLvl w:val="3"/>
      </w:pPr>
      <w:r/>
      <w:bookmarkStart w:id="62" w:name="_Toc20823278"/>
      <w:r/>
      <w:bookmarkStart w:id="63" w:name="_Toc16938522"/>
      <w:r/>
      <w:bookmarkStart w:id="64" w:name="_Toc513029206"/>
      <w:r>
        <w:rPr>
          <w:rFonts w:hint="eastAsia" w:ascii="Arial" w:hAnsi="Arial" w:eastAsia="黑体" w:cs="Arial"/>
          <w:color w:val="000000"/>
          <w:sz w:val="28"/>
          <w:szCs w:val="28"/>
        </w:rPr>
        <w:t xml:space="preserve">3、适用法律</w:t>
      </w:r>
      <w:bookmarkEnd w:id="62"/>
      <w:r/>
      <w:bookmarkEnd w:id="63"/>
      <w:r/>
      <w:bookmarkEnd w:id="64"/>
      <w:r>
        <w:rPr>
          <w:rFonts w:hint="eastAsia" w:ascii="Arial" w:hAnsi="Arial" w:eastAsia="黑体" w:cs="Arial"/>
          <w:color w:val="000000"/>
          <w:sz w:val="28"/>
          <w:szCs w:val="28"/>
        </w:rPr>
        <w:t xml:space="preserve">和标准</w:t>
      </w:r>
      <w:r/>
    </w:p>
    <w:p>
      <w:pPr>
        <w:pStyle w:val="895"/>
        <w:ind w:firstLine="420"/>
        <w:spacing w:line="400" w:lineRule="exact"/>
        <w:rPr>
          <w:rFonts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p>
    <w:p>
      <w:pPr>
        <w:pStyle w:val="895"/>
        <w:ind w:firstLine="420"/>
        <w:spacing w:line="400" w:lineRule="exact"/>
        <w:rPr>
          <w:rFonts w:hint="eastAsia" w:ascii="宋体" w:hAnsi="宋体"/>
          <w:color w:val="000000"/>
          <w:sz w:val="24"/>
          <w:szCs w:val="21"/>
        </w:rPr>
      </w:pPr>
      <w:r>
        <w:rPr>
          <w:rFonts w:hint="eastAsia" w:ascii="宋体" w:hAnsi="宋体"/>
          <w:color w:val="000000"/>
          <w:sz w:val="24"/>
          <w:szCs w:val="21"/>
        </w:rPr>
        <w:t xml:space="preserve">3.2 在本项目政府采购活动过程中，如果所执行的标准有更新的，按照最新标准执行。</w:t>
      </w:r>
      <w:r/>
    </w:p>
    <w:p>
      <w:pPr>
        <w:pStyle w:val="895"/>
        <w:ind w:firstLine="420"/>
        <w:keepLines/>
        <w:keepNext/>
        <w:spacing w:line="400" w:lineRule="exact"/>
        <w:rPr>
          <w:rFonts w:hint="eastAsia" w:ascii="Arial" w:hAnsi="Arial" w:eastAsia="黑体" w:cs="Arial"/>
          <w:color w:val="000000"/>
          <w:sz w:val="28"/>
          <w:szCs w:val="28"/>
        </w:rPr>
        <w:outlineLvl w:val="3"/>
      </w:pPr>
      <w:r/>
      <w:bookmarkStart w:id="65" w:name="_Toc462564067"/>
      <w:r/>
      <w:bookmarkStart w:id="66" w:name="_Toc20823279"/>
      <w:r/>
      <w:bookmarkStart w:id="67" w:name="_Toc513029207"/>
      <w:r/>
      <w:bookmarkStart w:id="68" w:name="_Toc16938523"/>
      <w:r>
        <w:rPr>
          <w:rFonts w:hint="eastAsia" w:ascii="Arial" w:hAnsi="Arial" w:eastAsia="黑体" w:cs="Arial"/>
          <w:color w:val="000000"/>
          <w:sz w:val="28"/>
          <w:szCs w:val="28"/>
        </w:rPr>
        <w:t xml:space="preserve">4、投标费用</w:t>
      </w:r>
      <w:bookmarkEnd w:id="65"/>
      <w:r/>
      <w:bookmarkEnd w:id="66"/>
      <w:r/>
      <w:bookmarkEnd w:id="67"/>
      <w:r/>
      <w:bookmarkEnd w:id="68"/>
      <w:r>
        <w:rPr>
          <w:rFonts w:hint="eastAsia" w:ascii="Arial" w:hAnsi="Arial" w:eastAsia="黑体" w:cs="Arial"/>
          <w:color w:val="000000"/>
          <w:sz w:val="28"/>
          <w:szCs w:val="28"/>
        </w:rPr>
      </w:r>
      <w:r/>
    </w:p>
    <w:p>
      <w:pPr>
        <w:pStyle w:val="895"/>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投标人应自行承担所有与参加投标有关的费用，无论投标过程中的做法和结果如何，江苏省政府采购中心（以下简称采购中心）在任何情况下均无义务和责任承担这些费用。</w:t>
      </w:r>
      <w:r/>
    </w:p>
    <w:p>
      <w:pPr>
        <w:pStyle w:val="895"/>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4.2本次招标采购中心和采购人不收取标书工本费与中标服务费。</w:t>
      </w:r>
      <w:r/>
    </w:p>
    <w:p>
      <w:pPr>
        <w:pStyle w:val="895"/>
        <w:ind w:firstLine="452"/>
        <w:keepLines/>
        <w:keepNext/>
        <w:spacing w:line="40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p>
    <w:p>
      <w:pPr>
        <w:pStyle w:val="895"/>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pStyle w:val="895"/>
        <w:ind w:firstLine="321"/>
        <w:keepLines/>
        <w:keepNext/>
        <w:spacing w:before="156" w:after="156" w:line="400" w:lineRule="exact"/>
        <w:rPr>
          <w:rFonts w:hint="eastAsia"/>
          <w:b/>
          <w:bCs/>
          <w:color w:val="000000"/>
          <w:sz w:val="32"/>
          <w:szCs w:val="32"/>
        </w:rPr>
        <w:outlineLvl w:val="2"/>
      </w:pPr>
      <w:r/>
      <w:bookmarkStart w:id="69" w:name="_Toc16938525"/>
      <w:r/>
      <w:bookmarkStart w:id="70" w:name="_Toc513029209"/>
      <w:r/>
      <w:bookmarkStart w:id="71" w:name="_Toc20823281"/>
      <w:r/>
      <w:bookmarkStart w:id="72" w:name="_Toc120614215"/>
      <w:r>
        <w:rPr>
          <w:rFonts w:hint="eastAsia"/>
          <w:b/>
          <w:bCs/>
          <w:color w:val="000000"/>
          <w:sz w:val="32"/>
          <w:szCs w:val="32"/>
        </w:rPr>
        <w:t xml:space="preserve">二、招标文件</w:t>
      </w:r>
      <w:bookmarkEnd w:id="69"/>
      <w:r/>
      <w:bookmarkEnd w:id="70"/>
      <w:r/>
      <w:bookmarkEnd w:id="71"/>
      <w:r/>
      <w:bookmarkEnd w:id="72"/>
      <w:r>
        <w:rPr>
          <w:rFonts w:hint="eastAsia"/>
          <w:b/>
          <w:bCs/>
          <w:color w:val="000000"/>
          <w:sz w:val="32"/>
          <w:szCs w:val="32"/>
        </w:rPr>
      </w:r>
      <w:r/>
    </w:p>
    <w:p>
      <w:pPr>
        <w:pStyle w:val="895"/>
        <w:ind w:firstLine="420"/>
        <w:keepLines/>
        <w:keepNext/>
        <w:spacing w:line="400" w:lineRule="exact"/>
        <w:rPr>
          <w:rFonts w:hint="eastAsia" w:ascii="Arial" w:hAnsi="Arial" w:eastAsia="黑体" w:cs="Arial"/>
          <w:color w:val="000000"/>
          <w:sz w:val="28"/>
          <w:szCs w:val="28"/>
        </w:rPr>
        <w:outlineLvl w:val="3"/>
      </w:pPr>
      <w:r/>
      <w:bookmarkStart w:id="73" w:name="_Toc16938526"/>
      <w:r/>
      <w:bookmarkStart w:id="74" w:name="_Toc513029210"/>
      <w:r/>
      <w:bookmarkStart w:id="75" w:name="_Toc20823282"/>
      <w:r>
        <w:rPr>
          <w:rFonts w:hint="eastAsia" w:ascii="Arial" w:hAnsi="Arial" w:eastAsia="黑体" w:cs="Arial"/>
          <w:color w:val="000000"/>
          <w:sz w:val="28"/>
          <w:szCs w:val="28"/>
        </w:rPr>
        <w:t xml:space="preserve">6、招标文件构成</w:t>
      </w:r>
      <w:bookmarkEnd w:id="73"/>
      <w:r/>
      <w:bookmarkEnd w:id="74"/>
      <w:r/>
      <w:bookmarkEnd w:id="75"/>
      <w:r>
        <w:rPr>
          <w:rFonts w:hint="eastAsia" w:ascii="Arial" w:hAnsi="Arial" w:eastAsia="黑体" w:cs="Arial"/>
          <w:color w:val="000000"/>
          <w:sz w:val="28"/>
          <w:szCs w:val="28"/>
        </w:rPr>
      </w:r>
      <w:r/>
    </w:p>
    <w:p>
      <w:pPr>
        <w:pStyle w:val="895"/>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p>
    <w:p>
      <w:pPr>
        <w:pStyle w:val="895"/>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895"/>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pStyle w:val="895"/>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p>
    <w:p>
      <w:pPr>
        <w:pStyle w:val="895"/>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p>
    <w:p>
      <w:pPr>
        <w:pStyle w:val="895"/>
        <w:ind w:firstLine="360"/>
        <w:spacing w:line="400" w:lineRule="exact"/>
        <w:rPr>
          <w:rFonts w:hint="eastAsia"/>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rPr>
          <w:rFonts w:hint="eastAsia"/>
          <w:color w:val="000000"/>
          <w:sz w:val="24"/>
          <w:szCs w:val="24"/>
        </w:rPr>
      </w:r>
      <w:r/>
    </w:p>
    <w:p>
      <w:pPr>
        <w:pStyle w:val="895"/>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p>
    <w:p>
      <w:pPr>
        <w:pStyle w:val="895"/>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请仔细检查招标文件是否齐全，如有缺漏请立即与采购中心联系解决。</w:t>
      </w:r>
      <w:r/>
    </w:p>
    <w:p>
      <w:pPr>
        <w:pStyle w:val="895"/>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95"/>
        <w:ind w:firstLine="560"/>
        <w:keepLines/>
        <w:keepNext/>
        <w:spacing w:line="400" w:lineRule="exact"/>
        <w:rPr>
          <w:rFonts w:hint="eastAsia" w:ascii="Arial" w:hAnsi="Arial" w:eastAsia="黑体" w:cs="Arial"/>
          <w:color w:val="000000"/>
          <w:sz w:val="28"/>
          <w:szCs w:val="28"/>
        </w:rPr>
        <w:outlineLvl w:val="3"/>
      </w:pPr>
      <w:r/>
      <w:bookmarkStart w:id="76" w:name="_Toc16938528"/>
      <w:r/>
      <w:bookmarkStart w:id="77" w:name="_Toc513029212"/>
      <w:r/>
      <w:bookmarkStart w:id="78" w:name="_Toc462564071"/>
      <w:r/>
      <w:bookmarkStart w:id="79" w:name="_Toc20823284"/>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、招标文件的修改</w:t>
      </w:r>
      <w:bookmarkEnd w:id="76"/>
      <w:r/>
      <w:bookmarkEnd w:id="77"/>
      <w:r/>
      <w:bookmarkEnd w:id="78"/>
      <w:r/>
      <w:bookmarkEnd w:id="79"/>
      <w:r>
        <w:rPr>
          <w:rFonts w:hint="eastAsia" w:ascii="Arial" w:hAnsi="Arial" w:eastAsia="黑体" w:cs="Arial"/>
          <w:color w:val="000000"/>
          <w:sz w:val="28"/>
          <w:szCs w:val="28"/>
        </w:rPr>
      </w:r>
      <w:r/>
    </w:p>
    <w:p>
      <w:pPr>
        <w:pStyle w:val="895"/>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，采购中心可以对招标文件进行修改。</w:t>
      </w:r>
      <w:r/>
    </w:p>
    <w:p>
      <w:pPr>
        <w:pStyle w:val="895"/>
        <w:ind w:firstLine="480"/>
        <w:spacing w:line="400" w:lineRule="exact"/>
        <w:rPr>
          <w:rFonts w:hint="eastAsia"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 </w:t>
      </w:r>
      <w:r>
        <w:rPr>
          <w:rFonts w:hint="eastAsia" w:ascii="宋体" w:hAnsi="宋体"/>
          <w:color w:val="000000"/>
          <w:sz w:val="24"/>
          <w:szCs w:val="21"/>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rPr>
          <w:rFonts w:hint="eastAsia" w:ascii="宋体" w:hAnsi="Arial"/>
          <w:color w:val="000000"/>
          <w:sz w:val="28"/>
          <w:szCs w:val="21"/>
        </w:rPr>
      </w:r>
      <w:r/>
    </w:p>
    <w:p>
      <w:pPr>
        <w:pStyle w:val="895"/>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p>
    <w:p>
      <w:pPr>
        <w:pStyle w:val="895"/>
        <w:ind w:firstLine="482"/>
        <w:keepLines/>
        <w:keepNext/>
        <w:spacing w:before="156" w:after="156" w:line="400" w:lineRule="exact"/>
        <w:rPr>
          <w:rFonts w:hint="eastAsia"/>
          <w:b/>
          <w:bCs/>
          <w:color w:val="000000"/>
          <w:sz w:val="32"/>
          <w:szCs w:val="32"/>
        </w:rPr>
        <w:outlineLvl w:val="2"/>
      </w:pPr>
      <w:r/>
      <w:bookmarkStart w:id="80" w:name="_Toc513029213"/>
      <w:r/>
      <w:bookmarkStart w:id="81" w:name="_Toc20823285"/>
      <w:r/>
      <w:bookmarkStart w:id="82" w:name="_Toc16938529"/>
      <w:r/>
      <w:bookmarkStart w:id="83" w:name="_Toc120614216"/>
      <w:r/>
      <w:bookmarkStart w:id="84" w:name="_Toc462564072"/>
      <w:r>
        <w:rPr>
          <w:rFonts w:hint="eastAsia"/>
          <w:b/>
          <w:bCs/>
          <w:color w:val="000000"/>
          <w:sz w:val="32"/>
          <w:szCs w:val="32"/>
        </w:rPr>
        <w:t xml:space="preserve">三、投标文件的编制</w:t>
      </w:r>
      <w:bookmarkEnd w:id="80"/>
      <w:r/>
      <w:bookmarkEnd w:id="81"/>
      <w:r/>
      <w:bookmarkEnd w:id="82"/>
      <w:r/>
      <w:bookmarkEnd w:id="83"/>
      <w:r/>
      <w:bookmarkEnd w:id="84"/>
      <w:r>
        <w:rPr>
          <w:rFonts w:hint="eastAsia"/>
          <w:b/>
          <w:bCs/>
          <w:color w:val="000000"/>
          <w:sz w:val="32"/>
          <w:szCs w:val="32"/>
        </w:rPr>
      </w:r>
      <w:r/>
    </w:p>
    <w:p>
      <w:pPr>
        <w:pStyle w:val="895"/>
        <w:ind w:firstLine="560"/>
        <w:keepLines/>
        <w:keepNext/>
        <w:spacing w:line="400" w:lineRule="exact"/>
        <w:rPr>
          <w:rFonts w:hint="eastAsia" w:ascii="Arial" w:hAnsi="Arial" w:eastAsia="黑体" w:cs="Arial"/>
          <w:b/>
          <w:color w:val="000000"/>
          <w:sz w:val="28"/>
          <w:szCs w:val="28"/>
        </w:rPr>
        <w:outlineLvl w:val="3"/>
      </w:pPr>
      <w:r/>
      <w:bookmarkStart w:id="85" w:name="_Toc20823286"/>
      <w:r/>
      <w:bookmarkStart w:id="86" w:name="_Toc513029214"/>
      <w:r/>
      <w:bookmarkStart w:id="87" w:name="_Toc16938530"/>
      <w:r/>
      <w:bookmarkStart w:id="88" w:name="_Toc462564073"/>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、投标文件的语言及度量衡单位</w:t>
      </w:r>
      <w:bookmarkEnd w:id="85"/>
      <w:r/>
      <w:bookmarkEnd w:id="86"/>
      <w:r/>
      <w:bookmarkEnd w:id="87"/>
      <w:r/>
      <w:bookmarkEnd w:id="88"/>
      <w:r>
        <w:rPr>
          <w:rFonts w:hint="eastAsia" w:ascii="Arial" w:hAnsi="Arial" w:eastAsia="黑体" w:cs="Arial"/>
          <w:b/>
          <w:color w:val="000000"/>
          <w:sz w:val="28"/>
          <w:szCs w:val="28"/>
        </w:rPr>
      </w:r>
      <w:r/>
    </w:p>
    <w:p>
      <w:pPr>
        <w:pStyle w:val="895"/>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 投标人提交的投标文件以及投标人与采购中心就有关投标的所有来往通知、函件和文件均应使用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pStyle w:val="895"/>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 除技术性能另有规定外，投标文件所使用的度量衡单位，均须采用国家法定计量单位。</w:t>
      </w:r>
      <w:r/>
    </w:p>
    <w:p>
      <w:pPr>
        <w:pStyle w:val="895"/>
        <w:ind w:firstLine="420"/>
        <w:keepLines/>
        <w:keepNext/>
        <w:spacing w:line="400" w:lineRule="exact"/>
        <w:rPr>
          <w:rFonts w:hint="eastAsia" w:ascii="Arial" w:hAnsi="Arial" w:eastAsia="黑体" w:cs="Arial"/>
          <w:color w:val="000000"/>
          <w:sz w:val="28"/>
          <w:szCs w:val="28"/>
        </w:rPr>
        <w:outlineLvl w:val="3"/>
      </w:pPr>
      <w:r/>
      <w:bookmarkStart w:id="89" w:name="_Toc16938531"/>
      <w:r/>
      <w:bookmarkStart w:id="90" w:name="_Toc513029215"/>
      <w:r/>
      <w:bookmarkStart w:id="91" w:name="_Toc20823287"/>
      <w:r/>
      <w:bookmarkStart w:id="92" w:name="_Toc462564074"/>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、投标文件构成</w:t>
      </w:r>
      <w:bookmarkEnd w:id="89"/>
      <w:r/>
      <w:bookmarkEnd w:id="90"/>
      <w:r/>
      <w:bookmarkEnd w:id="91"/>
      <w:r/>
      <w:bookmarkEnd w:id="92"/>
      <w:r>
        <w:rPr>
          <w:rFonts w:hint="eastAsia" w:ascii="Arial" w:hAnsi="Arial" w:eastAsia="黑体" w:cs="Arial"/>
          <w:color w:val="000000"/>
          <w:sz w:val="28"/>
          <w:szCs w:val="28"/>
        </w:rPr>
      </w:r>
      <w:r/>
    </w:p>
    <w:p>
      <w:pPr>
        <w:pStyle w:val="895"/>
        <w:ind w:firstLine="480"/>
        <w:spacing w:line="400" w:lineRule="exact"/>
        <w:rPr>
          <w:rFonts w:hint="eastAsia"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、投标分项报价表、技术要求响应及偏离表、商务要求响应及偏离表、其他证明文件、投标函、开标一览表等部分。</w:t>
      </w:r>
      <w:r/>
    </w:p>
    <w:p>
      <w:pPr>
        <w:pStyle w:val="895"/>
        <w:ind w:firstLine="480"/>
        <w:spacing w:line="400" w:lineRule="exact"/>
        <w:rPr>
          <w:rFonts w:hint="eastAsia"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.2 如标书制作工具中格式和内容与“江苏政府采购网”发布的招标文件不一致，请以“江苏政府采购网”发布的招标文件为准。</w:t>
      </w:r>
      <w:r/>
    </w:p>
    <w:p>
      <w:pPr>
        <w:pStyle w:val="895"/>
        <w:ind w:firstLine="420"/>
        <w:keepLines/>
        <w:keepNext/>
        <w:spacing w:line="400" w:lineRule="exact"/>
        <w:rPr>
          <w:rFonts w:hint="eastAsia" w:ascii="Arial" w:hAnsi="Arial" w:eastAsia="黑体" w:cs="Arial"/>
          <w:color w:val="000000"/>
          <w:sz w:val="28"/>
          <w:szCs w:val="28"/>
        </w:rPr>
        <w:outlineLvl w:val="3"/>
      </w:pPr>
      <w:r/>
      <w:bookmarkStart w:id="93" w:name="_Hlt26954838"/>
      <w:r/>
      <w:bookmarkEnd w:id="93"/>
      <w:r/>
      <w:bookmarkStart w:id="94" w:name="_Hlt26668975"/>
      <w:r/>
      <w:bookmarkEnd w:id="94"/>
      <w:r/>
      <w:bookmarkStart w:id="95" w:name="_Toc49090509"/>
      <w:r/>
      <w:bookmarkStart w:id="96" w:name="_Toc513029219"/>
      <w:r/>
      <w:bookmarkStart w:id="97" w:name="_Toc14577357"/>
      <w:r/>
      <w:bookmarkStart w:id="98" w:name="_Toc513029216"/>
      <w:r/>
      <w:bookmarkStart w:id="99" w:name="_Toc49090507"/>
      <w:r/>
      <w:bookmarkStart w:id="100" w:name="_Toc14577354"/>
      <w:r/>
      <w:bookmarkStart w:id="101" w:name="_Toc14577355"/>
      <w:r/>
      <w:bookmarkStart w:id="102" w:name="_Toc49090508"/>
      <w:r/>
      <w:bookmarkStart w:id="103" w:name="_Hlt26670360"/>
      <w:r/>
      <w:bookmarkEnd w:id="103"/>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、证明投标人及投标标的符合招标文件规定的文件</w:t>
      </w:r>
      <w:bookmarkEnd w:id="95"/>
      <w:r/>
      <w:bookmarkEnd w:id="96"/>
      <w:r/>
      <w:bookmarkEnd w:id="97"/>
      <w:r>
        <w:rPr>
          <w:rFonts w:hint="eastAsia" w:ascii="Arial" w:hAnsi="Arial" w:eastAsia="黑体" w:cs="Arial"/>
          <w:color w:val="000000"/>
          <w:sz w:val="28"/>
          <w:szCs w:val="28"/>
        </w:rPr>
      </w:r>
      <w:r/>
    </w:p>
    <w:p>
      <w:pPr>
        <w:pStyle w:val="895"/>
        <w:spacing w:line="400" w:lineRule="exact"/>
        <w:rPr>
          <w:rFonts w:hint="eastAsia" w:ascii="宋体" w:hAnsi="宋体"/>
          <w:color w:val="000000"/>
          <w:sz w:val="24"/>
          <w:szCs w:val="24"/>
        </w:rPr>
      </w:pPr>
      <w:r/>
      <w:bookmarkEnd w:id="98"/>
      <w:r/>
      <w:bookmarkEnd w:id="99"/>
      <w:r/>
      <w:bookmarkEnd w:id="100"/>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投标人应按照招标文件要求提交证明文件，证明其及投标标的符合招标文件规定。</w:t>
      </w:r>
      <w:r/>
    </w:p>
    <w:p>
      <w:pPr>
        <w:pStyle w:val="89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p>
    <w:p>
      <w:pPr>
        <w:pStyle w:val="895"/>
        <w:ind w:firstLine="420"/>
        <w:keepLines/>
        <w:keepNext/>
        <w:spacing w:line="400" w:lineRule="exact"/>
        <w:rPr>
          <w:rFonts w:hint="eastAsia" w:ascii="Arial" w:hAnsi="Arial" w:eastAsia="黑体" w:cs="Arial"/>
          <w:color w:val="000000"/>
          <w:sz w:val="28"/>
          <w:szCs w:val="28"/>
        </w:rPr>
        <w:outlineLvl w:val="3"/>
      </w:pPr>
      <w:r/>
      <w:bookmarkEnd w:id="101"/>
      <w:r/>
      <w:bookmarkEnd w:id="102"/>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r/>
    </w:p>
    <w:p>
      <w:pPr>
        <w:pStyle w:val="895"/>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 投</w:t>
      </w:r>
      <w:bookmarkStart w:id="104" w:name="_Hlt26954840"/>
      <w:r/>
      <w:bookmarkEnd w:id="104"/>
      <w:r>
        <w:rPr>
          <w:rFonts w:hint="eastAsia" w:ascii="宋体" w:hAnsi="宋体"/>
          <w:sz w:val="24"/>
          <w:szCs w:val="21"/>
        </w:rPr>
        <w:t xml:space="preserve">标人按照招标文件规定格式填报投标分项报价表</w:t>
      </w:r>
      <w:bookmarkStart w:id="105" w:name="_Hlt26670399"/>
      <w:r/>
      <w:bookmarkEnd w:id="105"/>
      <w:r>
        <w:rPr>
          <w:rFonts w:hint="eastAsia" w:ascii="宋体" w:hAnsi="宋体"/>
          <w:sz w:val="24"/>
          <w:szCs w:val="21"/>
        </w:rPr>
        <w:t xml:space="preserve">。</w:t>
      </w:r>
      <w:r>
        <w:rPr>
          <w:rFonts w:hint="eastAsia" w:ascii="宋体" w:hAnsi="宋体"/>
          <w:bCs/>
          <w:sz w:val="24"/>
          <w:szCs w:val="21"/>
        </w:rPr>
      </w:r>
      <w:r/>
    </w:p>
    <w:p>
      <w:pPr>
        <w:pStyle w:val="895"/>
        <w:ind w:firstLine="480"/>
        <w:spacing w:line="4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rPr>
          <w:rFonts w:hint="eastAsia" w:ascii="宋体" w:hAnsi="宋体"/>
          <w:bCs/>
          <w:sz w:val="24"/>
          <w:szCs w:val="21"/>
        </w:rPr>
      </w:r>
      <w:r/>
    </w:p>
    <w:p>
      <w:pPr>
        <w:pStyle w:val="895"/>
        <w:ind w:firstLine="420"/>
        <w:keepLines/>
        <w:keepNext/>
        <w:spacing w:line="400" w:lineRule="exact"/>
        <w:rPr>
          <w:rFonts w:hint="eastAsia" w:ascii="Arial" w:hAnsi="Arial" w:eastAsia="黑体" w:cs="Arial"/>
          <w:sz w:val="28"/>
          <w:szCs w:val="28"/>
        </w:rPr>
        <w:outlineLvl w:val="3"/>
      </w:pPr>
      <w:r/>
      <w:bookmarkStart w:id="106" w:name="_Hlt26954731"/>
      <w:r/>
      <w:bookmarkEnd w:id="106"/>
      <w:r/>
      <w:bookmarkStart w:id="107" w:name="_Hlt26954846"/>
      <w:r/>
      <w:bookmarkEnd w:id="107"/>
      <w:r/>
      <w:bookmarkStart w:id="108" w:name="_Hlt26954848"/>
      <w:r/>
      <w:bookmarkEnd w:id="108"/>
      <w:r/>
      <w:bookmarkStart w:id="109" w:name="_Hlt26670482"/>
      <w:r/>
      <w:bookmarkEnd w:id="109"/>
      <w:r/>
      <w:bookmarkStart w:id="110" w:name="_Hlt26670486"/>
      <w:r/>
      <w:bookmarkEnd w:id="110"/>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pStyle w:val="895"/>
        <w:ind w:firstLine="480"/>
        <w:spacing w:line="400" w:lineRule="exact"/>
        <w:rPr>
          <w:rFonts w:hint="eastAsia" w:ascii="宋体" w:hAnsi="Arial" w:cs="宋体"/>
          <w:sz w:val="24"/>
          <w:szCs w:val="21"/>
          <w:lang w:val="zh-CN"/>
        </w:rPr>
      </w:pPr>
      <w:r>
        <w:rPr>
          <w:rFonts w:ascii="宋体" w:hAnsi="Arial" w:cs="宋体"/>
          <w:bCs/>
          <w:sz w:val="24"/>
          <w:szCs w:val="21"/>
          <w:lang w:val="zh-CN"/>
        </w:rPr>
        <w:t xml:space="preserve">12.1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投标人需对招标文件中的技术要求与商务要求逐项作出响应或偏离，并说明原因。</w:t>
      </w:r>
      <w:r/>
    </w:p>
    <w:p>
      <w:pPr>
        <w:pStyle w:val="895"/>
        <w:ind w:firstLine="480"/>
        <w:spacing w:line="400" w:lineRule="exact"/>
        <w:rPr>
          <w:rFonts w:hint="eastAsia"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 投标人需按照招标文件要求，在投标文件中提供与技术要求和商务要求相关的证明材料。</w:t>
      </w:r>
      <w:r/>
    </w:p>
    <w:p>
      <w:pPr>
        <w:pStyle w:val="895"/>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p>
    <w:p>
      <w:pPr>
        <w:pStyle w:val="895"/>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pStyle w:val="89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 投标人需根据招标文件要求提供培训计划。</w:t>
      </w:r>
      <w:r/>
    </w:p>
    <w:p>
      <w:pPr>
        <w:pStyle w:val="89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 投标人需根据招标文件要求提供</w:t>
      </w:r>
      <w:r>
        <w:rPr>
          <w:rFonts w:hint="eastAsia" w:ascii="宋体" w:hAnsi="Arial" w:cs="宋体"/>
          <w:color w:val="000000"/>
          <w:sz w:val="24"/>
          <w:szCs w:val="21"/>
          <w:lang w:val="zh-CN"/>
        </w:rPr>
        <w:t xml:space="preserve">所投标的的主要组成部分、功能设计、实现思路及关键技术等。</w:t>
      </w:r>
      <w:r>
        <w:rPr>
          <w:rFonts w:hint="eastAsia" w:ascii="宋体" w:hAnsi="宋体"/>
          <w:color w:val="000000"/>
          <w:sz w:val="24"/>
          <w:szCs w:val="24"/>
        </w:rPr>
      </w:r>
      <w:r/>
    </w:p>
    <w:p>
      <w:pPr>
        <w:pStyle w:val="895"/>
        <w:ind w:firstLine="420"/>
        <w:keepLines/>
        <w:keepNext/>
        <w:spacing w:line="400" w:lineRule="exact"/>
        <w:rPr>
          <w:rFonts w:hint="eastAsia" w:ascii="Arial" w:hAnsi="Arial" w:eastAsia="黑体" w:cs="Arial"/>
          <w:color w:val="000000"/>
          <w:sz w:val="28"/>
          <w:szCs w:val="28"/>
        </w:rPr>
        <w:outlineLvl w:val="3"/>
      </w:pPr>
      <w:r/>
      <w:bookmarkStart w:id="111" w:name="_Toc49090510"/>
      <w:r/>
      <w:bookmarkStart w:id="112" w:name="_Toc14577359"/>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r/>
    </w:p>
    <w:p>
      <w:pPr>
        <w:pStyle w:val="895"/>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 投标人应按照招标文件中提供的格式完整、正确填写投标函、开标一览表。</w:t>
      </w:r>
      <w:r/>
    </w:p>
    <w:p>
      <w:pPr>
        <w:pStyle w:val="895"/>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 对于采用货币报价的项目，开标一览表中的投标总报价应与投标分项报价表中的投标总报价一致，如不一致，不作为无效投标处理，但评标时按开标一览表中价格为准。</w:t>
      </w:r>
      <w:r/>
    </w:p>
    <w:p>
      <w:pPr>
        <w:pStyle w:val="895"/>
        <w:ind w:firstLine="420"/>
        <w:keepLines/>
        <w:keepNext/>
        <w:spacing w:line="400" w:lineRule="exact"/>
        <w:rPr>
          <w:rFonts w:hint="eastAsia" w:ascii="Arial" w:hAnsi="Arial" w:eastAsia="黑体" w:cs="Arial"/>
          <w:color w:val="000000"/>
          <w:sz w:val="28"/>
          <w:szCs w:val="28"/>
        </w:rPr>
        <w:outlineLvl w:val="3"/>
      </w:pPr>
      <w:r/>
      <w:bookmarkEnd w:id="111"/>
      <w:r/>
      <w:bookmarkEnd w:id="112"/>
      <w:r/>
      <w:bookmarkStart w:id="113" w:name="_Toc14577360"/>
      <w:r/>
      <w:bookmarkStart w:id="114" w:name="_Toc49090511"/>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bookmarkEnd w:id="113"/>
      <w:r/>
      <w:bookmarkEnd w:id="114"/>
      <w:r>
        <w:rPr>
          <w:rFonts w:hint="eastAsia" w:ascii="Arial" w:hAnsi="Arial" w:eastAsia="黑体" w:cs="Arial"/>
          <w:color w:val="000000"/>
          <w:sz w:val="28"/>
          <w:szCs w:val="28"/>
        </w:rPr>
      </w:r>
      <w:r/>
    </w:p>
    <w:p>
      <w:pPr>
        <w:pStyle w:val="89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.1投标有效期为采购中心规定的开标之日后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p>
    <w:p>
      <w:pPr>
        <w:pStyle w:val="895"/>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r/>
    </w:p>
    <w:p>
      <w:pPr>
        <w:pStyle w:val="89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p>
    <w:p>
      <w:pPr>
        <w:pStyle w:val="895"/>
        <w:keepLines/>
        <w:keepNext/>
        <w:spacing w:before="156" w:after="156" w:line="400" w:lineRule="exact"/>
        <w:rPr>
          <w:rFonts w:hint="eastAsia"/>
          <w:b/>
          <w:bCs/>
          <w:color w:val="000000"/>
          <w:sz w:val="32"/>
          <w:szCs w:val="32"/>
        </w:rPr>
        <w:outlineLvl w:val="2"/>
      </w:pPr>
      <w:r/>
      <w:bookmarkStart w:id="115" w:name="_Hlt26954852"/>
      <w:r/>
      <w:bookmarkEnd w:id="115"/>
      <w:r/>
      <w:bookmarkStart w:id="116" w:name="_Hlt26954739"/>
      <w:r/>
      <w:bookmarkEnd w:id="116"/>
      <w:r/>
      <w:bookmarkStart w:id="117" w:name="_Toc20823296"/>
      <w:r/>
      <w:bookmarkStart w:id="118" w:name="_Toc120614217"/>
      <w:r/>
      <w:bookmarkStart w:id="119" w:name="_Toc513029224"/>
      <w:r/>
      <w:bookmarkStart w:id="120" w:name="_Toc16938540"/>
      <w:r>
        <w:rPr>
          <w:rFonts w:hint="eastAsia"/>
          <w:b/>
          <w:bCs/>
          <w:color w:val="000000"/>
          <w:sz w:val="32"/>
          <w:szCs w:val="32"/>
        </w:rPr>
        <w:t xml:space="preserve">四、投标文件的递交</w:t>
      </w:r>
      <w:bookmarkEnd w:id="117"/>
      <w:r/>
      <w:bookmarkEnd w:id="118"/>
      <w:r/>
      <w:bookmarkEnd w:id="119"/>
      <w:r/>
      <w:bookmarkEnd w:id="120"/>
      <w:r>
        <w:rPr>
          <w:rFonts w:hint="eastAsia"/>
          <w:b/>
          <w:bCs/>
          <w:color w:val="000000"/>
          <w:sz w:val="32"/>
          <w:szCs w:val="32"/>
        </w:rPr>
      </w:r>
      <w:r/>
    </w:p>
    <w:p>
      <w:pPr>
        <w:pStyle w:val="895"/>
        <w:ind w:firstLine="420"/>
        <w:keepLines/>
        <w:keepNext/>
        <w:spacing w:line="400" w:lineRule="exact"/>
        <w:rPr>
          <w:rFonts w:hint="eastAsia" w:ascii="黑体" w:hAnsi="Arial" w:eastAsia="黑体" w:cs="Arial"/>
          <w:color w:val="000000"/>
          <w:sz w:val="28"/>
          <w:szCs w:val="28"/>
        </w:rPr>
        <w:outlineLvl w:val="3"/>
      </w:pPr>
      <w:r/>
      <w:bookmarkStart w:id="121" w:name="_Toc16938541"/>
      <w:r/>
      <w:bookmarkStart w:id="122" w:name="_Toc513029225"/>
      <w:r/>
      <w:bookmarkStart w:id="123" w:name="_Toc462564084"/>
      <w:r/>
      <w:bookmarkStart w:id="124" w:name="_Toc20823297"/>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21"/>
      <w:r/>
      <w:bookmarkEnd w:id="122"/>
      <w:r/>
      <w:bookmarkEnd w:id="123"/>
      <w:r/>
      <w:bookmarkEnd w:id="124"/>
      <w:r>
        <w:rPr>
          <w:rFonts w:hint="eastAsia" w:ascii="黑体" w:hAnsi="Arial" w:eastAsia="黑体" w:cs="Arial"/>
          <w:color w:val="000000"/>
          <w:sz w:val="28"/>
          <w:szCs w:val="28"/>
        </w:rPr>
        <w:t xml:space="preserve">的递交</w:t>
      </w:r>
      <w:r/>
    </w:p>
    <w:p>
      <w:pPr>
        <w:pStyle w:val="895"/>
        <w:ind w:left="52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rPr>
          <w:rFonts w:ascii="宋体" w:hAnsi="宋体"/>
          <w:bCs/>
          <w:color w:val="000000"/>
          <w:sz w:val="24"/>
          <w:szCs w:val="21"/>
        </w:rPr>
      </w:r>
      <w:r/>
    </w:p>
    <w:p>
      <w:pPr>
        <w:pStyle w:val="895"/>
        <w:spacing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125" w:name="_Toc513029226"/>
      <w:r/>
      <w:bookmarkStart w:id="126" w:name="_Toc16938542"/>
      <w:r/>
      <w:bookmarkStart w:id="127" w:name="_Toc20823298"/>
      <w:r>
        <w:rPr>
          <w:rFonts w:ascii="宋体" w:hAnsi="宋体"/>
          <w:bCs/>
          <w:color w:val="000000"/>
          <w:sz w:val="24"/>
          <w:szCs w:val="21"/>
        </w:rPr>
      </w:r>
      <w:r/>
    </w:p>
    <w:p>
      <w:pPr>
        <w:pStyle w:val="895"/>
        <w:ind w:firstLine="420"/>
        <w:keepLines/>
        <w:keepNext/>
        <w:spacing w:before="280" w:after="290" w:line="40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18</w:t>
      </w:r>
      <w:r>
        <w:rPr>
          <w:rFonts w:hint="eastAsia" w:ascii="Arial" w:hAnsi="Arial" w:eastAsia="黑体" w:cs="Arial"/>
          <w:bCs/>
          <w:color w:val="000000"/>
          <w:sz w:val="28"/>
          <w:szCs w:val="28"/>
        </w:rPr>
        <w:t xml:space="preserve">、投标截止日期</w:t>
      </w:r>
      <w:bookmarkEnd w:id="125"/>
      <w:r/>
      <w:bookmarkEnd w:id="126"/>
      <w:r/>
      <w:bookmarkEnd w:id="127"/>
      <w:r>
        <w:rPr>
          <w:rFonts w:hint="eastAsia" w:ascii="宋体" w:hAnsi="宋体" w:eastAsia="黑体" w:cs="Arial"/>
          <w:bCs/>
          <w:color w:val="000000"/>
          <w:sz w:val="24"/>
          <w:szCs w:val="28"/>
        </w:rPr>
      </w:r>
      <w:r/>
    </w:p>
    <w:p>
      <w:pPr>
        <w:pStyle w:val="895"/>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 投标人上传电子投标文件的时间不得迟于招标公告中规定的投标截止时间。</w:t>
      </w:r>
      <w:r/>
    </w:p>
    <w:p>
      <w:pPr>
        <w:pStyle w:val="89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p>
    <w:p>
      <w:pPr>
        <w:pStyle w:val="895"/>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 采购中心可以按照规定，通过修改招标文件酌情延长投标截止日期，在此情况下，投标人的所有权利和义务以及投标人受制的截止日期均应以延长后新的截止日期为准。</w:t>
      </w:r>
      <w:r/>
    </w:p>
    <w:p>
      <w:pPr>
        <w:pStyle w:val="895"/>
        <w:ind w:firstLine="420"/>
        <w:keepLines/>
        <w:keepNext/>
        <w:spacing w:line="400" w:lineRule="exact"/>
        <w:rPr>
          <w:rFonts w:hint="eastAsia" w:ascii="Arial" w:hAnsi="Arial" w:eastAsia="黑体" w:cs="Arial"/>
          <w:color w:val="000000"/>
          <w:sz w:val="28"/>
          <w:szCs w:val="28"/>
        </w:rPr>
        <w:outlineLvl w:val="3"/>
      </w:pPr>
      <w:r/>
      <w:bookmarkStart w:id="128" w:name="_Toc20823299"/>
      <w:r/>
      <w:bookmarkStart w:id="129" w:name="_Toc16938543"/>
      <w:r/>
      <w:bookmarkStart w:id="130" w:name="_Toc513029227"/>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w:t>
      </w:r>
      <w:bookmarkEnd w:id="128"/>
      <w:r/>
      <w:bookmarkEnd w:id="129"/>
      <w:r/>
      <w:bookmarkEnd w:id="130"/>
      <w:r>
        <w:rPr>
          <w:rFonts w:hint="eastAsia" w:ascii="Arial" w:hAnsi="Arial" w:eastAsia="黑体" w:cs="Arial"/>
          <w:color w:val="000000"/>
          <w:sz w:val="28"/>
          <w:szCs w:val="28"/>
        </w:rPr>
        <w:t xml:space="preserve">的拒收</w:t>
      </w:r>
      <w:r/>
    </w:p>
    <w:p>
      <w:pPr>
        <w:pStyle w:val="895"/>
        <w:ind w:firstLine="480"/>
        <w:spacing w:line="400" w:lineRule="exact"/>
        <w:rPr>
          <w:rFonts w:hint="eastAsia"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 采购中心拒绝接收在其规定的投标截止时间后上传的任何投标文件。</w:t>
      </w:r>
      <w:r/>
    </w:p>
    <w:p>
      <w:pPr>
        <w:pStyle w:val="895"/>
        <w:ind w:firstLine="420"/>
        <w:keepLines/>
        <w:keepNext/>
        <w:spacing w:line="400" w:lineRule="exact"/>
        <w:rPr>
          <w:rFonts w:hint="eastAsia" w:ascii="Arial" w:hAnsi="Arial" w:eastAsia="黑体" w:cs="Arial"/>
          <w:color w:val="000000"/>
          <w:sz w:val="28"/>
          <w:szCs w:val="28"/>
        </w:rPr>
        <w:outlineLvl w:val="3"/>
      </w:pPr>
      <w:r/>
      <w:bookmarkStart w:id="131" w:name="_Toc16938544"/>
      <w:r/>
      <w:bookmarkStart w:id="132" w:name="_Toc20823300"/>
      <w:r/>
      <w:bookmarkStart w:id="133" w:name="_Toc51302922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bookmarkEnd w:id="131"/>
      <w:r/>
      <w:bookmarkEnd w:id="132"/>
      <w:r/>
      <w:bookmarkEnd w:id="133"/>
      <w:r>
        <w:rPr>
          <w:rFonts w:hint="eastAsia" w:ascii="Arial" w:hAnsi="Arial" w:eastAsia="黑体" w:cs="Arial"/>
          <w:color w:val="000000"/>
          <w:sz w:val="28"/>
          <w:szCs w:val="28"/>
        </w:rPr>
      </w:r>
      <w:r/>
    </w:p>
    <w:p>
      <w:pPr>
        <w:pStyle w:val="895"/>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 投标文件的撤回</w:t>
      </w:r>
      <w:r/>
    </w:p>
    <w:p>
      <w:pPr>
        <w:pStyle w:val="895"/>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 电子投标文件的撤回</w:t>
      </w:r>
      <w:r/>
    </w:p>
    <w:p>
      <w:pPr>
        <w:pStyle w:val="895"/>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pStyle w:val="89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pStyle w:val="89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 投标文件的修改</w:t>
      </w:r>
      <w:r/>
    </w:p>
    <w:p>
      <w:pPr>
        <w:pStyle w:val="895"/>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p>
    <w:p>
      <w:pPr>
        <w:pStyle w:val="895"/>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p>
    <w:p>
      <w:pPr>
        <w:pStyle w:val="895"/>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p>
    <w:p>
      <w:pPr>
        <w:pStyle w:val="895"/>
        <w:ind w:firstLine="482"/>
        <w:keepLines/>
        <w:keepNext/>
        <w:spacing w:before="156" w:after="156" w:line="400" w:lineRule="exact"/>
        <w:rPr>
          <w:rFonts w:hint="eastAsia"/>
          <w:b/>
          <w:bCs/>
          <w:color w:val="000000"/>
          <w:sz w:val="32"/>
          <w:szCs w:val="32"/>
        </w:rPr>
        <w:outlineLvl w:val="2"/>
      </w:pPr>
      <w:r/>
      <w:bookmarkStart w:id="134" w:name="_Toc513029229"/>
      <w:r/>
      <w:bookmarkStart w:id="135" w:name="_Toc20823301"/>
      <w:r/>
      <w:bookmarkStart w:id="136" w:name="_Toc16938545"/>
      <w:r/>
      <w:bookmarkStart w:id="137" w:name="_Toc120614218"/>
      <w:r>
        <w:rPr>
          <w:rFonts w:hint="eastAsia"/>
          <w:b/>
          <w:bCs/>
          <w:color w:val="000000"/>
          <w:sz w:val="32"/>
          <w:szCs w:val="32"/>
        </w:rPr>
        <w:t xml:space="preserve">五、开标与评标</w:t>
      </w:r>
      <w:bookmarkEnd w:id="134"/>
      <w:r/>
      <w:bookmarkEnd w:id="135"/>
      <w:r/>
      <w:bookmarkEnd w:id="136"/>
      <w:r/>
      <w:bookmarkEnd w:id="137"/>
      <w:r>
        <w:rPr>
          <w:rFonts w:hint="eastAsia"/>
          <w:b/>
          <w:bCs/>
          <w:color w:val="000000"/>
          <w:sz w:val="32"/>
          <w:szCs w:val="32"/>
        </w:rPr>
      </w:r>
      <w:r/>
    </w:p>
    <w:p>
      <w:pPr>
        <w:pStyle w:val="895"/>
        <w:ind w:firstLine="420"/>
        <w:keepLines/>
        <w:keepNext/>
        <w:spacing w:line="400" w:lineRule="exact"/>
        <w:rPr>
          <w:rFonts w:hint="eastAsia" w:ascii="Arial" w:hAnsi="Arial" w:eastAsia="黑体" w:cs="Arial"/>
          <w:color w:val="000000"/>
          <w:sz w:val="28"/>
          <w:szCs w:val="28"/>
        </w:rPr>
        <w:outlineLvl w:val="3"/>
      </w:pPr>
      <w:r/>
      <w:bookmarkStart w:id="138" w:name="_Toc16938546"/>
      <w:r/>
      <w:bookmarkStart w:id="139" w:name="_Toc20823302"/>
      <w:r/>
      <w:bookmarkStart w:id="140" w:name="_Toc513029230"/>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bookmarkEnd w:id="138"/>
      <w:r/>
      <w:bookmarkEnd w:id="139"/>
      <w:r/>
      <w:bookmarkEnd w:id="140"/>
      <w:r>
        <w:rPr>
          <w:rFonts w:hint="eastAsia" w:ascii="Arial" w:hAnsi="Arial" w:eastAsia="黑体" w:cs="Arial"/>
          <w:color w:val="000000"/>
          <w:sz w:val="28"/>
          <w:szCs w:val="28"/>
        </w:rPr>
      </w:r>
      <w:r/>
    </w:p>
    <w:p>
      <w:pPr>
        <w:pStyle w:val="895"/>
        <w:ind w:firstLine="480"/>
        <w:spacing w:line="400" w:lineRule="exact"/>
        <w:rPr>
          <w:rFonts w:hint="eastAsia"/>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szCs w:val="21"/>
        </w:rPr>
      </w:r>
      <w:r/>
    </w:p>
    <w:p>
      <w:pPr>
        <w:pStyle w:val="895"/>
        <w:ind w:firstLine="480"/>
        <w:spacing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pStyle w:val="895"/>
        <w:ind w:firstLine="480"/>
        <w:spacing w:line="400" w:lineRule="exact"/>
        <w:rPr>
          <w:rFonts w:hint="eastAsia"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rPr>
          <w:rFonts w:hint="eastAsia"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895"/>
        <w:ind w:firstLine="420"/>
        <w:keepLines/>
        <w:keepNext/>
        <w:spacing w:line="400" w:lineRule="exact"/>
        <w:rPr>
          <w:rFonts w:hint="eastAsia" w:ascii="Arial" w:hAnsi="Arial" w:eastAsia="黑体" w:cs="Arial"/>
          <w:sz w:val="28"/>
          <w:szCs w:val="28"/>
        </w:rPr>
        <w:outlineLvl w:val="3"/>
      </w:pPr>
      <w:r/>
      <w:bookmarkStart w:id="141" w:name="_Toc16938547"/>
      <w:r/>
      <w:bookmarkStart w:id="142" w:name="_Toc513029231"/>
      <w:r/>
      <w:bookmarkStart w:id="143" w:name="_Toc20823303"/>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p>
    <w:p>
      <w:pPr>
        <w:pStyle w:val="895"/>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开标后，采购中心将立即组织评标委员会进行评标。</w:t>
      </w:r>
      <w:r>
        <w:rPr>
          <w:rFonts w:hint="eastAsia" w:ascii="宋体" w:hAnsi="宋体"/>
          <w:b/>
          <w:color w:val="000000"/>
          <w:sz w:val="24"/>
          <w:szCs w:val="24"/>
        </w:rPr>
      </w:r>
      <w:r/>
    </w:p>
    <w:p>
      <w:pPr>
        <w:pStyle w:val="895"/>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 评标委员会由采购人代表和有关技术、经济等方面的专家组成，且人员构成符合政府采购有关规定。</w:t>
      </w:r>
      <w:r/>
    </w:p>
    <w:p>
      <w:pPr>
        <w:pStyle w:val="895"/>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.3评标委员会独立工作，负责评审所有投标文件并确定中标侯选人。</w:t>
      </w:r>
      <w:r/>
    </w:p>
    <w:p>
      <w:pPr>
        <w:pStyle w:val="895"/>
        <w:ind w:firstLine="420"/>
        <w:keepLines/>
        <w:keepNext/>
        <w:spacing w:line="400" w:lineRule="exac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、评标过程的保密与公正</w:t>
      </w:r>
      <w:r/>
    </w:p>
    <w:p>
      <w:pPr>
        <w:pStyle w:val="895"/>
        <w:ind w:firstLine="480"/>
        <w:spacing w:line="400" w:lineRule="exact"/>
        <w:rPr>
          <w:rFonts w:hint="eastAsia" w:ascii="宋体" w:hAnsi="宋体"/>
          <w:bCs/>
          <w:color w:val="000000"/>
          <w:sz w:val="24"/>
          <w:szCs w:val="21"/>
        </w:rPr>
      </w:pPr>
      <w:r/>
      <w:bookmarkEnd w:id="141"/>
      <w:r/>
      <w:bookmarkEnd w:id="142"/>
      <w:r/>
      <w:bookmarkEnd w:id="143"/>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凡是与审查、澄清、评价和比较投标的有关资料以及授标建议等，采购人、评委、采购中心均不得向投标人或与评标无关的其他人员透露。</w:t>
      </w:r>
      <w:r/>
    </w:p>
    <w:p>
      <w:pPr>
        <w:pStyle w:val="895"/>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p>
    <w:p>
      <w:pPr>
        <w:pStyle w:val="895"/>
        <w:ind w:firstLine="480"/>
        <w:spacing w:line="400" w:lineRule="exact"/>
        <w:rPr>
          <w:rFonts w:hint="eastAsia"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采购中心和评标委员会不向未中标的投标人解释未中标原因，也不公布评标过程中的相关细节。</w:t>
      </w:r>
      <w:r/>
    </w:p>
    <w:p>
      <w:pPr>
        <w:pStyle w:val="895"/>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rPr>
          <w:rFonts w:ascii="宋体" w:hAnsi="宋体"/>
          <w:sz w:val="24"/>
          <w:szCs w:val="24"/>
        </w:rPr>
      </w:r>
      <w:r/>
    </w:p>
    <w:p>
      <w:pPr>
        <w:pStyle w:val="895"/>
        <w:ind w:firstLine="420"/>
        <w:keepLines/>
        <w:keepNext/>
        <w:spacing w:line="400" w:lineRule="exact"/>
        <w:rPr>
          <w:rFonts w:hint="eastAsia" w:ascii="Arial" w:hAnsi="Arial" w:eastAsia="黑体" w:cs="Arial"/>
          <w:color w:val="000000"/>
          <w:sz w:val="28"/>
          <w:szCs w:val="28"/>
        </w:rPr>
        <w:outlineLvl w:val="3"/>
      </w:pPr>
      <w:r/>
      <w:bookmarkStart w:id="144" w:name="_Toc16938548"/>
      <w:r/>
      <w:bookmarkStart w:id="145" w:name="_Toc20823304"/>
      <w:r/>
      <w:bookmarkStart w:id="146" w:name="_Toc513029232"/>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、投标文件的澄清</w:t>
      </w:r>
      <w:bookmarkEnd w:id="144"/>
      <w:r/>
      <w:bookmarkEnd w:id="145"/>
      <w:r/>
      <w:bookmarkEnd w:id="146"/>
      <w:r>
        <w:rPr>
          <w:rFonts w:hint="eastAsia" w:ascii="Arial" w:hAnsi="Arial" w:eastAsia="黑体" w:cs="Arial"/>
          <w:color w:val="000000"/>
          <w:sz w:val="28"/>
          <w:szCs w:val="28"/>
        </w:rPr>
      </w:r>
      <w:r/>
    </w:p>
    <w:p>
      <w:pPr>
        <w:pStyle w:val="895"/>
        <w:ind w:firstLine="480"/>
        <w:spacing w:line="400" w:lineRule="exact"/>
        <w:rPr>
          <w:rFonts w:ascii="宋体" w:hAnsi="宋体"/>
          <w:color w:val="000000"/>
          <w:sz w:val="24"/>
          <w:szCs w:val="24"/>
        </w:rPr>
      </w:pPr>
      <w:r/>
      <w:bookmarkStart w:id="147" w:name="_Toc20823305"/>
      <w:r/>
      <w:bookmarkStart w:id="148" w:name="_Toc16938549"/>
      <w:r/>
      <w:bookmarkStart w:id="149" w:name="_Toc513029233"/>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评标期间，评标委员会对投标文件中含义不明确、同类问题表述不一致或者有明显文字和计算错误的内容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rPr>
          <w:rFonts w:ascii="宋体" w:hAnsi="宋体"/>
          <w:color w:val="000000"/>
          <w:sz w:val="24"/>
          <w:szCs w:val="24"/>
        </w:rPr>
      </w:r>
      <w:r/>
    </w:p>
    <w:p>
      <w:pPr>
        <w:pStyle w:val="895"/>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89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p>
    <w:p>
      <w:pPr>
        <w:pStyle w:val="895"/>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.2需要供应商进行澄清、说明和补正的，评标委员会</w:t>
      </w:r>
      <w:r>
        <w:rPr>
          <w:rFonts w:hint="eastAsia" w:ascii="宋体" w:hAnsi="宋体"/>
          <w:sz w:val="24"/>
          <w:szCs w:val="24"/>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szCs w:val="24"/>
        </w:rPr>
      </w:r>
      <w:r/>
    </w:p>
    <w:p>
      <w:pPr>
        <w:pStyle w:val="89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接到评标委员会澄清、说明和补正要求的投标人如未按规定做出澄清、说明和补正，其风险由投标人自行承担。</w:t>
      </w:r>
      <w:r/>
    </w:p>
    <w:p>
      <w:pPr>
        <w:pStyle w:val="895"/>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bookmarkEnd w:id="147"/>
      <w:r/>
      <w:bookmarkEnd w:id="148"/>
      <w:r/>
      <w:bookmarkEnd w:id="149"/>
      <w:r>
        <w:rPr>
          <w:rFonts w:hint="eastAsia" w:ascii="Arial" w:hAnsi="Arial" w:eastAsia="黑体" w:cs="Arial"/>
          <w:color w:val="000000"/>
          <w:sz w:val="28"/>
          <w:szCs w:val="28"/>
        </w:rPr>
      </w:r>
      <w:r/>
    </w:p>
    <w:p>
      <w:pPr>
        <w:pStyle w:val="895"/>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pStyle w:val="89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资格审查：依据法律法规和招标文件的规定，由采购人对投标文件中的资格证明文件进行审查。资格审查的结论，采购人以书面形式向评标委员会进行反馈。</w:t>
      </w:r>
      <w:r/>
    </w:p>
    <w:p>
      <w:pPr>
        <w:pStyle w:val="89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t>
      </w:r>
      <w:r>
        <w:rPr>
          <w:bCs/>
          <w:color w:val="000000"/>
          <w:szCs w:val="21"/>
        </w:rPr>
        <w:t xml:space="preserve">（www.creditchina.gov.cn）</w:t>
      </w:r>
      <w:r>
        <w:rPr>
          <w:rFonts w:hint="eastAsia" w:ascii="宋体" w:hAnsi="宋体"/>
          <w:bCs/>
          <w:color w:val="000000"/>
          <w:sz w:val="24"/>
          <w:szCs w:val="21"/>
        </w:rPr>
        <w:t xml:space="preserve">查询投标人的信用记录，以确定投标人是否具备投标资格,查询结果留存并归档。</w:t>
      </w:r>
      <w:r/>
    </w:p>
    <w:p>
      <w:pPr>
        <w:pStyle w:val="89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9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 符合性审查：依据招标文件的规定，由评标委员会从投标文件的有效性、完整性和对招标文件的响应程度进行审查，以确定是否对招标文件的实质性要求作出响应。</w:t>
      </w:r>
      <w:r/>
    </w:p>
    <w:p>
      <w:pPr>
        <w:pStyle w:val="895"/>
        <w:ind w:firstLine="480"/>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 未通过资格审查或符合性审查的投标人，采购中心将</w:t>
      </w:r>
      <w:r>
        <w:rPr>
          <w:rFonts w:hint="eastAsia" w:ascii="宋体" w:hAnsi="宋体"/>
          <w:bCs/>
          <w:sz w:val="24"/>
          <w:szCs w:val="21"/>
        </w:rPr>
        <w:t xml:space="preserve">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中告知未通过资格审查或符合性审查的原因，评审结束后，采购中心将不再告知未通过资格审查或符合性审查的原因。</w:t>
      </w:r>
      <w:r/>
    </w:p>
    <w:p>
      <w:pPr>
        <w:pStyle w:val="895"/>
        <w:ind w:firstLine="480"/>
        <w:spacing w:line="400" w:lineRule="exact"/>
        <w:rPr>
          <w:rFonts w:hint="eastAsia" w:ascii="宋体" w:hAnsi="宋体"/>
          <w:color w:val="000000"/>
          <w:sz w:val="24"/>
          <w:szCs w:val="24"/>
        </w:rPr>
      </w:pPr>
      <w:r>
        <w:rPr>
          <w:rFonts w:hint="eastAsia" w:ascii="宋体" w:hAnsi="宋体"/>
          <w:sz w:val="24"/>
          <w:szCs w:val="21"/>
        </w:rPr>
        <w:t xml:space="preserve">2</w:t>
      </w:r>
      <w:r>
        <w:rPr>
          <w:rFonts w:ascii="宋体" w:hAnsi="宋体"/>
          <w:color w:val="000000"/>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在详细评标之前，评标委员会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pStyle w:val="895"/>
        <w:ind w:firstLine="480"/>
        <w:spacing w:line="4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p>
    <w:p>
      <w:pPr>
        <w:pStyle w:val="895"/>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如果投标文件实质上没有响应招标文件的要求，评标委员会将予以拒绝，投标人不得通过修改或撤销不合要求的偏离或保留而使其投标成为实质性响应的投标。</w:t>
      </w:r>
      <w:r/>
    </w:p>
    <w:p>
      <w:pPr>
        <w:pStyle w:val="895"/>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rPr>
        <w:t xml:space="preserve">评标委员会将对确定为实质性响应的投标进行进一步审核，看其是否有计算上或累加上的算术错误，修正错误的原则如下：</w:t>
      </w:r>
      <w:r/>
    </w:p>
    <w:p>
      <w:pPr>
        <w:pStyle w:val="895"/>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rPr>
          <w:rFonts w:ascii="宋体" w:hAnsi="宋体"/>
          <w:bCs/>
          <w:color w:val="000000"/>
          <w:sz w:val="24"/>
          <w:szCs w:val="21"/>
        </w:rPr>
      </w:r>
      <w:r/>
    </w:p>
    <w:p>
      <w:pPr>
        <w:pStyle w:val="895"/>
        <w:ind w:firstLine="480"/>
        <w:spacing w:line="4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rPr>
          <w:rFonts w:ascii="宋体" w:hAnsi="宋体"/>
          <w:bCs/>
          <w:color w:val="000000"/>
          <w:sz w:val="24"/>
          <w:szCs w:val="21"/>
        </w:rPr>
      </w:r>
      <w:r/>
    </w:p>
    <w:p>
      <w:pPr>
        <w:pStyle w:val="895"/>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rPr>
          <w:rFonts w:ascii="宋体" w:hAnsi="宋体"/>
          <w:bCs/>
          <w:color w:val="000000"/>
          <w:sz w:val="24"/>
          <w:szCs w:val="21"/>
        </w:rPr>
      </w:r>
      <w:r/>
    </w:p>
    <w:p>
      <w:pPr>
        <w:pStyle w:val="89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pStyle w:val="89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pStyle w:val="895"/>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rPr>
        <w:t xml:space="preserve">评标委员会将按上述修正错误的方法调整投标文件中的投标报价</w:t>
      </w:r>
      <w:r>
        <w:rPr>
          <w:rFonts w:hint="eastAsia" w:ascii="宋体" w:hAnsi="宋体"/>
          <w:bCs/>
          <w:sz w:val="24"/>
          <w:szCs w:val="21"/>
        </w:rPr>
        <w:t xml:space="preserve">，并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rPr>
          <w:rFonts w:ascii="宋体" w:hAnsi="宋体"/>
          <w:bCs/>
          <w:color w:val="000000"/>
          <w:sz w:val="24"/>
          <w:szCs w:val="21"/>
        </w:rPr>
      </w:r>
      <w:r/>
    </w:p>
    <w:p>
      <w:pPr>
        <w:pStyle w:val="895"/>
        <w:ind w:firstLine="480"/>
        <w:spacing w:line="40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pStyle w:val="895"/>
        <w:ind w:firstLine="480"/>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pStyle w:val="895"/>
        <w:ind w:firstLine="420"/>
        <w:spacing w:line="4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hint="eastAsia" w:ascii="宋体" w:hAnsi="宋体"/>
          <w:color w:val="000000"/>
          <w:sz w:val="24"/>
          <w:szCs w:val="21"/>
        </w:rPr>
      </w:r>
      <w:r/>
    </w:p>
    <w:p>
      <w:pPr>
        <w:pStyle w:val="895"/>
        <w:ind w:firstLine="420"/>
        <w:spacing w:line="400" w:lineRule="exact"/>
        <w:rPr>
          <w:rFonts w:hint="eastAsia" w:ascii="方正仿宋_GBK" w:hAnsi="方正仿宋_GBK" w:eastAsia="方正仿宋_GBK" w:cs="方正仿宋_GBK"/>
          <w:bCs/>
          <w:sz w:val="32"/>
          <w:szCs w:val="32"/>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.7投标人在开、评标全过程中应保持通</w:t>
      </w:r>
      <w:r>
        <w:rPr>
          <w:rFonts w:hint="eastAsia" w:ascii="宋体" w:hAnsi="宋体"/>
          <w:sz w:val="24"/>
          <w:szCs w:val="21"/>
        </w:rPr>
        <w:t xml:space="preserve">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并安排专人与采购中心及评标委员会联系。</w:t>
      </w:r>
      <w:r>
        <w:rPr>
          <w:rFonts w:hint="eastAsia" w:ascii="方正仿宋_GBK" w:hAnsi="方正仿宋_GBK" w:eastAsia="方正仿宋_GBK" w:cs="方正仿宋_GBK"/>
          <w:bCs/>
          <w:sz w:val="32"/>
          <w:szCs w:val="32"/>
        </w:rPr>
      </w:r>
      <w:r/>
    </w:p>
    <w:p>
      <w:pPr>
        <w:pStyle w:val="895"/>
        <w:ind w:firstLine="480"/>
        <w:spacing w:line="400" w:lineRule="exact"/>
        <w:tabs>
          <w:tab w:val="left" w:pos="900" w:leader="none"/>
        </w:tabs>
        <w:rPr>
          <w:rFonts w:hint="eastAsia" w:ascii="宋体" w:hAnsi="宋体" w:cs="宋体"/>
          <w:bCs/>
          <w:sz w:val="24"/>
          <w:szCs w:val="24"/>
        </w:rPr>
      </w:pPr>
      <w:r>
        <w:rPr>
          <w:rFonts w:hint="eastAsia" w:ascii="宋体" w:hAnsi="宋体" w:cs="宋体"/>
          <w:bCs/>
          <w:sz w:val="24"/>
          <w:szCs w:val="24"/>
        </w:rPr>
        <w:t xml:space="preserve">25.8 异常低价投标审查</w:t>
      </w:r>
      <w:r/>
    </w:p>
    <w:p>
      <w:pPr>
        <w:pStyle w:val="895"/>
        <w:ind w:firstLine="480"/>
        <w:spacing w:line="400" w:lineRule="exact"/>
        <w:tabs>
          <w:tab w:val="left" w:pos="900" w:leader="none"/>
        </w:tabs>
        <w:rPr>
          <w:rFonts w:hint="eastAsia" w:ascii="宋体" w:hAnsi="宋体" w:cs="宋体"/>
          <w:bCs/>
          <w:sz w:val="24"/>
          <w:szCs w:val="24"/>
        </w:rPr>
      </w:pPr>
      <w:r>
        <w:rPr>
          <w:rFonts w:hint="eastAsia" w:ascii="宋体" w:hAnsi="宋体" w:cs="宋体"/>
          <w:bCs/>
          <w:sz w:val="24"/>
          <w:szCs w:val="24"/>
        </w:rPr>
        <w:t xml:space="preserve">25.8.1 评标过程中出现下列情形之一的，评标委员会应当启动异常低价投标审查程序：</w:t>
      </w:r>
      <w:r/>
    </w:p>
    <w:p>
      <w:pPr>
        <w:pStyle w:val="895"/>
        <w:ind w:firstLine="480"/>
        <w:spacing w:line="400" w:lineRule="exact"/>
        <w:tabs>
          <w:tab w:val="left" w:pos="900" w:leader="none"/>
        </w:tabs>
        <w:rPr>
          <w:rFonts w:hint="eastAsia" w:ascii="宋体" w:hAnsi="宋体" w:cs="宋体"/>
          <w:bCs/>
          <w:sz w:val="24"/>
          <w:szCs w:val="24"/>
        </w:rPr>
      </w:pPr>
      <w:r>
        <w:rPr>
          <w:rFonts w:hint="eastAsia" w:ascii="宋体" w:hAnsi="宋体" w:cs="宋体"/>
          <w:bCs/>
          <w:sz w:val="24"/>
          <w:szCs w:val="24"/>
        </w:rPr>
        <w:t xml:space="preserve">（1）投标报价低于全部通过符合性审查供应商投标报价平均值50%的，即投标报价&lt;全部通过符合性审查供应商投标报价平均值×50%；</w:t>
      </w:r>
      <w:r/>
    </w:p>
    <w:p>
      <w:pPr>
        <w:pStyle w:val="895"/>
        <w:ind w:firstLine="480"/>
        <w:spacing w:line="400" w:lineRule="exact"/>
        <w:tabs>
          <w:tab w:val="left" w:pos="900" w:leader="none"/>
        </w:tabs>
        <w:rPr>
          <w:rFonts w:hint="eastAsia" w:ascii="宋体" w:hAnsi="宋体" w:cs="宋体"/>
          <w:bCs/>
          <w:sz w:val="24"/>
          <w:szCs w:val="24"/>
        </w:rPr>
      </w:pPr>
      <w:r>
        <w:rPr>
          <w:rFonts w:hint="eastAsia" w:ascii="宋体" w:hAnsi="宋体" w:cs="宋体"/>
          <w:bCs/>
          <w:sz w:val="24"/>
          <w:szCs w:val="24"/>
        </w:rPr>
        <w:t xml:space="preserve">（2）投标报价低于通过符合性审查的次低报价供应商投标报价50%的，即投标报价&lt;通过符合性审查的次低报价供应商投标报价×50%；</w:t>
      </w:r>
      <w:r/>
    </w:p>
    <w:p>
      <w:pPr>
        <w:pStyle w:val="895"/>
        <w:ind w:firstLine="480"/>
        <w:spacing w:line="400" w:lineRule="exact"/>
        <w:tabs>
          <w:tab w:val="left" w:pos="900" w:leader="none"/>
        </w:tabs>
        <w:rPr>
          <w:rFonts w:hint="eastAsia" w:ascii="宋体" w:hAnsi="宋体" w:cs="宋体"/>
          <w:bCs/>
          <w:sz w:val="24"/>
          <w:szCs w:val="24"/>
        </w:rPr>
      </w:pPr>
      <w:r>
        <w:rPr>
          <w:rFonts w:hint="eastAsia" w:ascii="宋体" w:hAnsi="宋体" w:cs="宋体"/>
          <w:bCs/>
          <w:sz w:val="24"/>
          <w:szCs w:val="24"/>
        </w:rPr>
        <w:t xml:space="preserve">（3）投标报价低于采购项目最高限价45%的，即投标报价&lt;采购项目最高限价×45%；</w:t>
      </w:r>
      <w:r/>
    </w:p>
    <w:p>
      <w:pPr>
        <w:pStyle w:val="895"/>
        <w:ind w:firstLine="480"/>
        <w:spacing w:line="400" w:lineRule="exact"/>
        <w:tabs>
          <w:tab w:val="left" w:pos="900" w:leader="none"/>
        </w:tabs>
        <w:rPr>
          <w:rFonts w:hint="eastAsia" w:ascii="宋体" w:hAnsi="宋体" w:cs="宋体"/>
          <w:bCs/>
          <w:sz w:val="24"/>
          <w:szCs w:val="24"/>
        </w:rPr>
      </w:pPr>
      <w:r>
        <w:rPr>
          <w:rFonts w:hint="eastAsia" w:ascii="宋体" w:hAnsi="宋体" w:cs="宋体"/>
          <w:bCs/>
          <w:sz w:val="24"/>
          <w:szCs w:val="24"/>
        </w:rPr>
        <w:t xml:space="preserve">（4）评标委员会基于专业判断，认为供应商报价过低，有可能影响产品质量或者不能诚信履约的其他情形。</w:t>
      </w:r>
      <w:r/>
    </w:p>
    <w:p>
      <w:pPr>
        <w:pStyle w:val="895"/>
        <w:ind w:firstLine="480"/>
        <w:spacing w:line="400" w:lineRule="exact"/>
        <w:tabs>
          <w:tab w:val="left" w:pos="900" w:leader="none"/>
        </w:tabs>
        <w:rPr>
          <w:rFonts w:hint="eastAsia" w:ascii="宋体" w:hAnsi="宋体" w:cs="宋体"/>
          <w:bCs/>
          <w:sz w:val="24"/>
          <w:szCs w:val="24"/>
        </w:rPr>
      </w:pPr>
      <w:r>
        <w:rPr>
          <w:rFonts w:hint="eastAsia" w:ascii="宋体" w:hAnsi="宋体" w:cs="宋体"/>
          <w:bCs/>
          <w:sz w:val="24"/>
          <w:szCs w:val="24"/>
        </w:rPr>
        <w:t xml:space="preserve">25.8.2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pStyle w:val="895"/>
        <w:ind w:firstLine="480"/>
        <w:spacing w:line="400" w:lineRule="exact"/>
        <w:tabs>
          <w:tab w:val="left" w:pos="900" w:leader="none"/>
        </w:tabs>
        <w:rPr>
          <w:rFonts w:hint="eastAsia" w:ascii="宋体" w:hAnsi="宋体" w:cs="宋体"/>
          <w:bCs/>
          <w:sz w:val="24"/>
          <w:szCs w:val="24"/>
        </w:rPr>
      </w:pPr>
      <w:r>
        <w:rPr>
          <w:rFonts w:hint="eastAsia" w:ascii="宋体" w:hAnsi="宋体" w:cs="宋体"/>
          <w:bCs/>
          <w:sz w:val="24"/>
          <w:szCs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895"/>
        <w:ind w:firstLine="480"/>
        <w:keepLines/>
        <w:keepNext/>
        <w:spacing w:line="400" w:lineRule="exact"/>
        <w:rPr>
          <w:rFonts w:hint="eastAsia" w:ascii="宋体" w:hAnsi="宋体" w:cs="宋体"/>
          <w:sz w:val="24"/>
          <w:szCs w:val="24"/>
        </w:rPr>
        <w:outlineLvl w:val="3"/>
      </w:pPr>
      <w:r>
        <w:rPr>
          <w:rFonts w:hint="eastAsia" w:ascii="宋体" w:hAnsi="宋体" w:cs="宋体"/>
          <w:sz w:val="24"/>
          <w:szCs w:val="24"/>
        </w:rPr>
        <w:t xml:space="preserve">2</w:t>
      </w:r>
      <w:bookmarkEnd w:id="51"/>
      <w:r/>
      <w:bookmarkEnd w:id="52"/>
      <w:r/>
      <w:bookmarkEnd w:id="53"/>
      <w:r>
        <w:rPr>
          <w:rFonts w:hint="eastAsia" w:ascii="宋体" w:hAnsi="宋体" w:cs="宋体"/>
          <w:sz w:val="24"/>
          <w:szCs w:val="24"/>
        </w:rPr>
        <w:t xml:space="preserve">6.无效投标条款和废标条款</w:t>
      </w:r>
      <w:bookmarkStart w:id="150" w:name="_Toc16938551"/>
      <w:r/>
      <w:bookmarkStart w:id="151" w:name="_Toc513029235"/>
      <w:r/>
      <w:bookmarkStart w:id="152" w:name="_Toc20823307"/>
      <w:r>
        <w:rPr>
          <w:rFonts w:hint="eastAsia" w:ascii="宋体" w:hAnsi="宋体" w:cs="宋体"/>
          <w:sz w:val="24"/>
          <w:szCs w:val="24"/>
        </w:rPr>
      </w:r>
      <w:r/>
    </w:p>
    <w:p>
      <w:pPr>
        <w:pStyle w:val="895"/>
        <w:ind w:firstLine="480"/>
        <w:keepLines/>
        <w:keepNext/>
        <w:spacing w:line="400" w:lineRule="exact"/>
        <w:rPr>
          <w:rFonts w:hint="eastAsia" w:ascii="宋体" w:hAnsi="宋体" w:cs="宋体"/>
          <w:bCs/>
          <w:sz w:val="24"/>
          <w:szCs w:val="24"/>
        </w:rPr>
        <w:outlineLvl w:val="3"/>
      </w:pPr>
      <w:r>
        <w:rPr>
          <w:rFonts w:hint="eastAsia" w:ascii="宋体" w:hAnsi="宋体" w:cs="宋体"/>
          <w:bCs/>
          <w:sz w:val="24"/>
          <w:szCs w:val="24"/>
        </w:rPr>
        <w:t xml:space="preserve">26.1无效投标条款</w:t>
      </w:r>
      <w:r/>
    </w:p>
    <w:p>
      <w:pPr>
        <w:pStyle w:val="895"/>
        <w:ind w:firstLine="480"/>
        <w:spacing w:line="400" w:lineRule="exact"/>
        <w:rPr>
          <w:rFonts w:hint="eastAsia" w:ascii="宋体" w:hAnsi="宋体" w:cs="宋体"/>
          <w:bCs/>
          <w:sz w:val="24"/>
          <w:szCs w:val="24"/>
        </w:rPr>
      </w:pPr>
      <w:r>
        <w:rPr>
          <w:rFonts w:hint="eastAsia" w:ascii="宋体" w:hAnsi="宋体" w:cs="宋体"/>
          <w:bCs/>
          <w:sz w:val="24"/>
          <w:szCs w:val="24"/>
        </w:rPr>
        <w:t xml:space="preserve">26.1.1 投标人在</w:t>
      </w:r>
      <w:r>
        <w:rPr>
          <w:rFonts w:hint="eastAsia" w:ascii="宋体" w:hAnsi="宋体" w:cs="宋体"/>
          <w:sz w:val="24"/>
          <w:szCs w:val="24"/>
        </w:rPr>
        <w:t xml:space="preserve">苏采云系统</w:t>
      </w:r>
      <w:r>
        <w:rPr>
          <w:rFonts w:hint="eastAsia" w:ascii="宋体" w:hAnsi="宋体" w:cs="宋体"/>
          <w:bCs/>
          <w:sz w:val="24"/>
          <w:szCs w:val="24"/>
        </w:rPr>
        <w:t xml:space="preserve">规定的时间内未成功解密电子投标文件的。</w:t>
      </w:r>
      <w:r/>
    </w:p>
    <w:p>
      <w:pPr>
        <w:pStyle w:val="895"/>
        <w:ind w:firstLine="480"/>
        <w:spacing w:line="400" w:lineRule="exact"/>
        <w:rPr>
          <w:rFonts w:hint="eastAsia" w:ascii="宋体" w:hAnsi="宋体" w:cs="宋体"/>
          <w:bCs/>
          <w:color w:val="000000"/>
          <w:sz w:val="24"/>
          <w:szCs w:val="24"/>
        </w:rPr>
      </w:pPr>
      <w:r>
        <w:rPr>
          <w:rFonts w:hint="eastAsia" w:ascii="宋体" w:hAnsi="宋体" w:cs="宋体"/>
          <w:bCs/>
          <w:sz w:val="24"/>
          <w:szCs w:val="24"/>
        </w:rPr>
        <w:t xml:space="preserve">26.1.2 投标人未按照招标文件</w:t>
      </w:r>
      <w:r>
        <w:rPr>
          <w:rFonts w:hint="eastAsia" w:ascii="宋体" w:hAnsi="宋体" w:cs="宋体"/>
          <w:bCs/>
          <w:color w:val="000000"/>
          <w:sz w:val="24"/>
          <w:szCs w:val="24"/>
        </w:rPr>
        <w:t xml:space="preserve">要求上传电子投标文件的。</w:t>
      </w:r>
      <w:r/>
    </w:p>
    <w:p>
      <w:pPr>
        <w:pStyle w:val="895"/>
        <w:ind w:firstLine="480"/>
        <w:spacing w:line="400" w:lineRule="exact"/>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.1.3 投标人</w:t>
      </w:r>
      <w:r>
        <w:rPr>
          <w:rFonts w:hint="eastAsia" w:ascii="宋体" w:hAnsi="宋体" w:cs="宋体"/>
          <w:bCs/>
          <w:sz w:val="24"/>
          <w:szCs w:val="24"/>
        </w:rPr>
        <w:t xml:space="preserve">同一采购包提</w:t>
      </w:r>
      <w:r>
        <w:rPr>
          <w:rFonts w:hint="eastAsia" w:ascii="宋体" w:hAnsi="宋体" w:cs="宋体"/>
          <w:bCs/>
          <w:color w:val="000000"/>
          <w:sz w:val="24"/>
          <w:szCs w:val="24"/>
        </w:rPr>
        <w:t xml:space="preserve">交两个（含两个）以上不同的投标报价的。</w:t>
      </w:r>
      <w:r/>
    </w:p>
    <w:p>
      <w:pPr>
        <w:pStyle w:val="895"/>
        <w:ind w:firstLine="480"/>
        <w:spacing w:line="400" w:lineRule="exact"/>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.1.4投标人不具备招标文件中规定资格要求的。</w:t>
      </w:r>
      <w:r/>
    </w:p>
    <w:p>
      <w:pPr>
        <w:pStyle w:val="895"/>
        <w:ind w:firstLine="480"/>
        <w:spacing w:line="400" w:lineRule="exact"/>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.1.5投标人的报价超过了采购预算或最高限价的。</w:t>
      </w:r>
      <w:r/>
    </w:p>
    <w:p>
      <w:pPr>
        <w:pStyle w:val="895"/>
        <w:ind w:firstLine="480"/>
        <w:spacing w:line="400" w:lineRule="exact"/>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.1.6未通过符合性审查的。</w:t>
      </w:r>
      <w:r/>
    </w:p>
    <w:p>
      <w:pPr>
        <w:pStyle w:val="895"/>
        <w:ind w:firstLine="480"/>
        <w:spacing w:line="400" w:lineRule="exact"/>
        <w:rPr>
          <w:rFonts w:hint="eastAsia" w:ascii="宋体" w:hAnsi="宋体" w:cs="宋体"/>
          <w:bCs/>
          <w:i/>
          <w:color w:val="000000"/>
          <w:sz w:val="24"/>
          <w:szCs w:val="24"/>
          <w:u w:val="single"/>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.1.7不符合招标文件中规定的实质性要求的</w:t>
      </w:r>
      <w:r>
        <w:rPr>
          <w:rFonts w:hint="eastAsia" w:ascii="宋体" w:hAnsi="宋体" w:cs="宋体"/>
          <w:b/>
          <w:bCs/>
          <w:sz w:val="24"/>
          <w:szCs w:val="24"/>
        </w:rPr>
        <w:t xml:space="preserve">（本招标文件中</w:t>
      </w:r>
      <w:r>
        <w:rPr>
          <w:rFonts w:hint="eastAsia" w:ascii="宋体" w:hAnsi="宋体" w:cs="宋体"/>
          <w:b/>
          <w:bCs/>
          <w:i/>
          <w:sz w:val="24"/>
          <w:szCs w:val="24"/>
          <w:u w:val="single"/>
        </w:rPr>
        <w:t xml:space="preserve">斜体且有下划线部分</w:t>
      </w:r>
      <w:r>
        <w:rPr>
          <w:rFonts w:hint="eastAsia" w:ascii="宋体" w:hAnsi="宋体" w:cs="宋体"/>
          <w:b/>
          <w:bCs/>
          <w:sz w:val="24"/>
          <w:szCs w:val="24"/>
        </w:rPr>
        <w:t xml:space="preserve">或加*号条款为实质性要求）</w:t>
      </w:r>
      <w:r>
        <w:rPr>
          <w:rFonts w:hint="eastAsia" w:ascii="宋体" w:hAnsi="宋体" w:cs="宋体"/>
          <w:bCs/>
          <w:i/>
          <w:color w:val="000000"/>
          <w:sz w:val="24"/>
          <w:szCs w:val="24"/>
          <w:u w:val="single"/>
        </w:rPr>
      </w:r>
      <w:r/>
    </w:p>
    <w:p>
      <w:pPr>
        <w:pStyle w:val="895"/>
        <w:ind w:firstLine="480"/>
        <w:spacing w:line="400" w:lineRule="exact"/>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.1.8 投标人被 “信用中国”网站（</w:t>
      </w:r>
      <w:r>
        <w:rPr>
          <w:rFonts w:hint="eastAsia" w:ascii="宋体" w:hAnsi="宋体" w:cs="宋体"/>
          <w:sz w:val="24"/>
          <w:szCs w:val="24"/>
        </w:rPr>
        <w:t xml:space="preserve">www.creditchina.gov.cn</w:t>
      </w:r>
      <w:r>
        <w:rPr>
          <w:rFonts w:hint="eastAsia" w:ascii="宋体" w:hAnsi="宋体" w:cs="宋体"/>
          <w:bCs/>
          <w:color w:val="000000"/>
          <w:sz w:val="24"/>
          <w:szCs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95"/>
        <w:ind w:firstLine="480"/>
        <w:spacing w:line="400" w:lineRule="exact"/>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.1.9 投标文件含有采购人不能接受的附加条件的。</w:t>
      </w:r>
      <w:r/>
    </w:p>
    <w:p>
      <w:pPr>
        <w:pStyle w:val="895"/>
        <w:ind w:firstLine="480"/>
        <w:spacing w:line="400" w:lineRule="exact"/>
        <w:rPr>
          <w:rFonts w:hint="eastAsia" w:ascii="宋体" w:hAnsi="宋体" w:cs="宋体"/>
          <w:sz w:val="24"/>
          <w:szCs w:val="24"/>
        </w:rPr>
      </w:pPr>
      <w:r>
        <w:rPr>
          <w:rFonts w:hint="eastAsia" w:ascii="宋体" w:hAnsi="宋体" w:cs="宋体"/>
          <w:sz w:val="24"/>
          <w:szCs w:val="24"/>
        </w:rPr>
        <w:t xml:space="preserve">26.1.10 评标委员会按照本招标文件规定对投标人进行异常低价投标审查后，认为投标人不能证明其报价合理性的。</w:t>
      </w:r>
      <w:r/>
    </w:p>
    <w:p>
      <w:pPr>
        <w:pStyle w:val="895"/>
        <w:ind w:firstLine="480"/>
        <w:spacing w:line="400" w:lineRule="exact"/>
        <w:rPr>
          <w:rFonts w:hint="eastAsia" w:ascii="宋体" w:hAnsi="宋体" w:cs="宋体"/>
          <w:sz w:val="24"/>
          <w:szCs w:val="24"/>
        </w:rPr>
      </w:pPr>
      <w:r>
        <w:rPr>
          <w:rFonts w:hint="eastAsia" w:ascii="宋体" w:hAnsi="宋体" w:cs="宋体"/>
          <w:sz w:val="24"/>
          <w:szCs w:val="24"/>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95"/>
        <w:ind w:firstLine="480"/>
        <w:spacing w:line="400" w:lineRule="exact"/>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.1.12 投标文件未按照招标文件要求加盖CA电子公章的。</w:t>
      </w:r>
      <w:r/>
    </w:p>
    <w:p>
      <w:pPr>
        <w:pStyle w:val="895"/>
        <w:ind w:firstLine="480"/>
        <w:spacing w:line="400" w:lineRule="exact"/>
        <w:rPr>
          <w:rFonts w:hint="eastAsia" w:ascii="宋体" w:hAnsi="宋体" w:cs="宋体"/>
          <w:sz w:val="24"/>
          <w:szCs w:val="24"/>
        </w:rPr>
      </w:pPr>
      <w:r>
        <w:rPr>
          <w:rFonts w:hint="eastAsia" w:ascii="宋体" w:hAnsi="宋体" w:cs="宋体"/>
          <w:sz w:val="24"/>
          <w:szCs w:val="24"/>
        </w:rPr>
        <w:t xml:space="preserve">26.1.13 投标人所投标产品不符合招标文件中所列国家强制性标准的。</w:t>
      </w:r>
      <w:r/>
    </w:p>
    <w:p>
      <w:pPr>
        <w:pStyle w:val="895"/>
        <w:ind w:firstLine="480"/>
        <w:spacing w:line="400" w:lineRule="exact"/>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.1.14其他法律、法规及本招标文件规定的属无效投标的情形。</w:t>
      </w:r>
      <w:r/>
    </w:p>
    <w:p>
      <w:pPr>
        <w:pStyle w:val="895"/>
        <w:ind w:firstLine="480"/>
        <w:spacing w:line="400" w:lineRule="exact"/>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.2废标条款 </w:t>
      </w:r>
      <w:r/>
    </w:p>
    <w:p>
      <w:pPr>
        <w:pStyle w:val="895"/>
        <w:ind w:firstLine="480"/>
        <w:spacing w:line="400" w:lineRule="exact"/>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.2.1符合专业条件的供应商或者对招标文件作实质响应的供应商不足三家的。</w:t>
      </w:r>
      <w:r/>
    </w:p>
    <w:p>
      <w:pPr>
        <w:pStyle w:val="895"/>
        <w:ind w:firstLine="480"/>
        <w:spacing w:line="400" w:lineRule="exact"/>
        <w:rPr>
          <w:rFonts w:hint="eastAsia" w:ascii="宋体" w:hAnsi="宋体" w:cs="宋体"/>
          <w:bCs/>
          <w:color w:val="000000"/>
          <w:sz w:val="24"/>
          <w:szCs w:val="24"/>
        </w:rPr>
      </w:pPr>
      <w:r>
        <w:rPr>
          <w:rFonts w:hint="eastAsia" w:ascii="宋体" w:hAnsi="宋体" w:cs="宋体"/>
          <w:bCs/>
          <w:color w:val="000000"/>
          <w:sz w:val="24"/>
          <w:szCs w:val="24"/>
        </w:rPr>
        <w:t xml:space="preserve">26.2.2出现影响采购公正的违法、违规行为的。</w:t>
      </w:r>
      <w:r/>
    </w:p>
    <w:p>
      <w:pPr>
        <w:pStyle w:val="895"/>
        <w:ind w:firstLine="480"/>
        <w:spacing w:line="400" w:lineRule="exact"/>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.2.3因重大变故，采购任务取消的。</w:t>
      </w:r>
      <w:r/>
    </w:p>
    <w:p>
      <w:pPr>
        <w:pStyle w:val="895"/>
        <w:ind w:firstLine="480"/>
        <w:spacing w:line="400" w:lineRule="exact"/>
        <w:rPr>
          <w:rFonts w:hint="eastAsia" w:ascii="宋体" w:hAnsi="宋体" w:cs="宋体"/>
          <w:bCs/>
          <w:color w:val="000000"/>
          <w:sz w:val="24"/>
          <w:szCs w:val="24"/>
        </w:rPr>
      </w:pPr>
      <w:r>
        <w:rPr>
          <w:rFonts w:hint="eastAsia" w:ascii="宋体" w:hAnsi="宋体" w:cs="宋体"/>
          <w:bCs/>
          <w:color w:val="000000"/>
          <w:sz w:val="24"/>
          <w:szCs w:val="24"/>
        </w:rPr>
        <w:t xml:space="preserve">26.2.4评标委员会认定招标文件存在歧义、重大缺陷导致评审工作无法进行。</w:t>
      </w:r>
      <w:r/>
    </w:p>
    <w:p>
      <w:pPr>
        <w:pStyle w:val="895"/>
        <w:ind w:firstLine="480"/>
        <w:spacing w:line="400" w:lineRule="exact"/>
        <w:rPr>
          <w:rFonts w:hint="eastAsia" w:ascii="宋体" w:hAnsi="宋体" w:cs="宋体"/>
          <w:bCs/>
          <w:sz w:val="24"/>
          <w:szCs w:val="24"/>
        </w:rPr>
      </w:pPr>
      <w:r>
        <w:rPr>
          <w:rFonts w:hint="eastAsia" w:ascii="宋体" w:hAnsi="宋体" w:cs="宋体"/>
          <w:bCs/>
          <w:color w:val="000000"/>
          <w:sz w:val="24"/>
          <w:szCs w:val="24"/>
        </w:rPr>
        <w:t xml:space="preserve">26.2</w:t>
      </w:r>
      <w:r>
        <w:rPr>
          <w:rFonts w:hint="eastAsia" w:ascii="宋体" w:hAnsi="宋体" w:cs="宋体"/>
          <w:bCs/>
          <w:sz w:val="24"/>
          <w:szCs w:val="24"/>
        </w:rPr>
        <w:t xml:space="preserve">.5 因</w:t>
      </w:r>
      <w:r>
        <w:rPr>
          <w:rFonts w:hint="eastAsia" w:ascii="宋体" w:hAnsi="宋体" w:cs="宋体"/>
          <w:sz w:val="24"/>
          <w:szCs w:val="24"/>
        </w:rPr>
        <w:t xml:space="preserve">苏采云</w:t>
      </w:r>
      <w:r>
        <w:rPr>
          <w:rFonts w:hint="eastAsia" w:ascii="宋体" w:hAnsi="宋体" w:cs="宋体"/>
          <w:bCs/>
          <w:sz w:val="24"/>
          <w:szCs w:val="24"/>
        </w:rPr>
        <w:t xml:space="preserve">系统故障原因造成开标不成功的。  </w:t>
      </w:r>
      <w:r/>
    </w:p>
    <w:p>
      <w:pPr>
        <w:pStyle w:val="895"/>
        <w:ind w:firstLine="480"/>
        <w:spacing w:line="400" w:lineRule="exact"/>
        <w:rPr>
          <w:rFonts w:hint="eastAsia" w:ascii="宋体" w:hAnsi="宋体" w:cs="宋体"/>
          <w:bCs/>
          <w:color w:val="000000"/>
          <w:sz w:val="24"/>
          <w:szCs w:val="24"/>
        </w:rPr>
      </w:pPr>
      <w:r>
        <w:rPr>
          <w:rFonts w:hint="eastAsia" w:ascii="宋体" w:hAnsi="宋体" w:cs="宋体"/>
          <w:bCs/>
          <w:sz w:val="24"/>
          <w:szCs w:val="24"/>
        </w:rPr>
        <w:t xml:space="preserve">26.3 投标截止时间结束后</w:t>
      </w:r>
      <w:r>
        <w:rPr>
          <w:rFonts w:hint="eastAsia" w:ascii="宋体" w:hAnsi="宋体" w:cs="宋体"/>
          <w:bCs/>
          <w:color w:val="000000"/>
          <w:sz w:val="24"/>
          <w:szCs w:val="24"/>
        </w:rPr>
        <w:t xml:space="preserve">参加投标的供应商不足三家的处理：</w:t>
      </w:r>
      <w:r/>
    </w:p>
    <w:p>
      <w:pPr>
        <w:pStyle w:val="895"/>
        <w:ind w:firstLine="480"/>
        <w:spacing w:line="400" w:lineRule="exact"/>
        <w:rPr>
          <w:rFonts w:hint="eastAsia" w:ascii="宋体" w:hAnsi="宋体" w:cs="宋体"/>
          <w:bCs/>
          <w:color w:val="000000"/>
          <w:sz w:val="24"/>
          <w:szCs w:val="24"/>
        </w:rPr>
      </w:pPr>
      <w:r>
        <w:rPr>
          <w:rFonts w:hint="eastAsia" w:ascii="宋体" w:hAnsi="宋体" w:cs="宋体"/>
          <w:bCs/>
          <w:color w:val="000000"/>
          <w:sz w:val="24"/>
          <w:szCs w:val="24"/>
        </w:rPr>
        <w:t xml:space="preserve">26.3.1如出现投标截止时间结束后参加投标的供应商或者在评标期间对招标文件做出实质响应的供应商不足三家情况，按政府采购相关规定执行。</w:t>
      </w:r>
      <w:r/>
    </w:p>
    <w:p>
      <w:pPr>
        <w:pStyle w:val="895"/>
        <w:ind w:firstLine="482"/>
        <w:keepLines/>
        <w:keepNext/>
        <w:spacing w:before="156" w:after="156" w:line="400" w:lineRule="exact"/>
        <w:rPr>
          <w:rFonts w:hint="eastAsia"/>
          <w:b/>
          <w:bCs/>
          <w:color w:val="000000"/>
          <w:sz w:val="32"/>
          <w:szCs w:val="32"/>
        </w:rPr>
        <w:outlineLvl w:val="2"/>
      </w:pPr>
      <w:r/>
      <w:bookmarkEnd w:id="150"/>
      <w:r/>
      <w:bookmarkEnd w:id="151"/>
      <w:r/>
      <w:bookmarkEnd w:id="152"/>
      <w:r/>
      <w:bookmarkStart w:id="153" w:name="_Toc120614219"/>
      <w:r>
        <w:rPr>
          <w:rFonts w:hint="eastAsia"/>
          <w:b/>
          <w:bCs/>
          <w:color w:val="000000"/>
          <w:sz w:val="32"/>
          <w:szCs w:val="32"/>
        </w:rPr>
        <w:t xml:space="preserve">六、定标</w:t>
      </w:r>
      <w:bookmarkEnd w:id="153"/>
      <w:r>
        <w:rPr>
          <w:rFonts w:hint="eastAsia"/>
          <w:b/>
          <w:bCs/>
          <w:color w:val="000000"/>
          <w:sz w:val="32"/>
          <w:szCs w:val="32"/>
        </w:rPr>
      </w:r>
      <w:r/>
    </w:p>
    <w:p>
      <w:pPr>
        <w:pStyle w:val="895"/>
        <w:ind w:firstLine="600"/>
        <w:keepLines/>
        <w:keepNext/>
        <w:spacing w:line="400" w:lineRule="exact"/>
        <w:rPr>
          <w:rFonts w:hint="eastAsia" w:ascii="黑体" w:hAnsi="宋体" w:eastAsia="黑体"/>
          <w:bCs/>
          <w:color w:val="000000"/>
          <w:sz w:val="30"/>
          <w:szCs w:val="30"/>
        </w:rPr>
        <w:outlineLvl w:val="3"/>
      </w:pPr>
      <w:r/>
      <w:bookmarkStart w:id="154" w:name="_Toc513029238"/>
      <w:r/>
      <w:bookmarkStart w:id="155" w:name="_Toc16938554"/>
      <w:r/>
      <w:bookmarkStart w:id="156" w:name="_Toc20823310"/>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154"/>
      <w:r>
        <w:rPr>
          <w:rFonts w:hint="eastAsia" w:ascii="黑体" w:hAnsi="宋体" w:eastAsia="黑体"/>
          <w:bCs/>
          <w:color w:val="000000"/>
          <w:sz w:val="30"/>
          <w:szCs w:val="30"/>
        </w:rPr>
        <w:t xml:space="preserve">确定</w:t>
      </w:r>
      <w:bookmarkEnd w:id="155"/>
      <w:r/>
      <w:bookmarkEnd w:id="156"/>
      <w:r>
        <w:rPr>
          <w:rFonts w:hint="eastAsia" w:ascii="黑体" w:hAnsi="宋体" w:eastAsia="黑体"/>
          <w:bCs/>
          <w:color w:val="000000"/>
          <w:sz w:val="30"/>
          <w:szCs w:val="30"/>
        </w:rPr>
        <w:t xml:space="preserve">中标单位</w:t>
      </w:r>
      <w:r/>
    </w:p>
    <w:p>
      <w:pPr>
        <w:pStyle w:val="89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p>
    <w:p>
      <w:pPr>
        <w:pStyle w:val="89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27.2 采购人应根据评标委员会推荐的中标候选人确定中标供应商。</w:t>
      </w:r>
      <w:r/>
    </w:p>
    <w:p>
      <w:pPr>
        <w:pStyle w:val="895"/>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rPr>
        <w:t xml:space="preserve">采购中心将在“江苏政府采购网”发布中标公告，公告期限为1个工作日。</w:t>
      </w:r>
      <w:r/>
    </w:p>
    <w:p>
      <w:pPr>
        <w:pStyle w:val="89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 若有充分证据证明，中标供应商出现下列情况之一的，一经查实，将被取消中标资格：</w:t>
      </w:r>
      <w:r/>
    </w:p>
    <w:p>
      <w:pPr>
        <w:pStyle w:val="89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p>
    <w:p>
      <w:pPr>
        <w:pStyle w:val="89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27.4.2向采购人、采购中心行贿或者提供其他不正当利益的。</w:t>
      </w:r>
      <w:r/>
    </w:p>
    <w:p>
      <w:pPr>
        <w:pStyle w:val="89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27.4.3属于本文件规定的无效条件，但在评标过程中又未被评标委员会发现的。</w:t>
      </w:r>
      <w:r/>
    </w:p>
    <w:p>
      <w:pPr>
        <w:pStyle w:val="89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p>
    <w:p>
      <w:pPr>
        <w:pStyle w:val="89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p>
    <w:p>
      <w:pPr>
        <w:pStyle w:val="895"/>
        <w:ind w:firstLine="480"/>
        <w:spacing w:line="400" w:lineRule="exact"/>
        <w:rPr>
          <w:rFonts w:ascii="宋体" w:hAnsi="宋体"/>
          <w:color w:val="000000"/>
          <w:sz w:val="24"/>
          <w:szCs w:val="24"/>
        </w:rPr>
      </w:pPr>
      <w:r/>
      <w:bookmarkStart w:id="157" w:name="_Toc200451960"/>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rPr>
          <w:rFonts w:ascii="宋体" w:hAnsi="宋体"/>
          <w:color w:val="000000"/>
          <w:sz w:val="24"/>
          <w:szCs w:val="24"/>
        </w:rPr>
      </w:r>
      <w:r/>
    </w:p>
    <w:p>
      <w:pPr>
        <w:pStyle w:val="895"/>
        <w:ind w:firstLine="480"/>
        <w:spacing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rPr>
          <w:rFonts w:ascii="宋体" w:hAnsi="宋体"/>
          <w:color w:val="000000"/>
          <w:sz w:val="24"/>
          <w:szCs w:val="24"/>
        </w:rPr>
      </w:r>
      <w:r/>
    </w:p>
    <w:p>
      <w:pPr>
        <w:pStyle w:val="895"/>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rPr>
          <w:rFonts w:ascii="宋体" w:hAnsi="宋体"/>
          <w:color w:val="000000"/>
          <w:sz w:val="24"/>
          <w:szCs w:val="24"/>
        </w:rPr>
      </w:r>
      <w:r/>
    </w:p>
    <w:p>
      <w:pPr>
        <w:pStyle w:val="895"/>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895"/>
        <w:ind w:firstLine="480"/>
        <w:spacing w:line="4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rPr>
          <w:rFonts w:ascii="宋体" w:hAnsi="宋体"/>
          <w:color w:val="000000"/>
          <w:sz w:val="24"/>
          <w:szCs w:val="24"/>
        </w:rPr>
      </w:r>
      <w:r/>
    </w:p>
    <w:p>
      <w:pPr>
        <w:pStyle w:val="895"/>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bookmarkEnd w:id="157"/>
      <w:r>
        <w:rPr>
          <w:rFonts w:hint="eastAsia" w:ascii="黑体" w:hAnsi="宋体" w:eastAsia="黑体"/>
          <w:bCs/>
          <w:color w:val="000000"/>
          <w:sz w:val="30"/>
          <w:szCs w:val="30"/>
        </w:rPr>
      </w:r>
      <w:r/>
    </w:p>
    <w:p>
      <w:pPr>
        <w:pStyle w:val="895"/>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pStyle w:val="895"/>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895"/>
        <w:ind w:firstLine="480"/>
        <w:spacing w:line="400" w:lineRule="exact"/>
        <w:rPr>
          <w:rFonts w:hint="eastAsia"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br w:type="textWrapping" w:clear="all"/>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br w:type="textWrapping" w:clear="all"/>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rPr>
          <w:rFonts w:hint="eastAsia" w:hAnsi="宋体" w:cs="宋体"/>
          <w:color w:val="000000"/>
          <w:sz w:val="24"/>
          <w:szCs w:val="24"/>
        </w:rPr>
      </w:r>
      <w:r/>
    </w:p>
    <w:p>
      <w:pPr>
        <w:pStyle w:val="895"/>
        <w:ind w:firstLine="480"/>
        <w:spacing w:line="400" w:lineRule="exact"/>
        <w:rPr>
          <w:rFonts w:hint="eastAsia"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供应商应当在法定质疑期内一次性提出针对同一采购程序环节的质疑。供应商如在法定期限内对同一采购程序环节提出多次质疑的，采购中心、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pStyle w:val="895"/>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pStyle w:val="895"/>
        <w:ind w:firstLine="480"/>
        <w:spacing w:line="40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4 供应商（含潜在</w:t>
      </w:r>
      <w:r>
        <w:rPr>
          <w:rFonts w:ascii="宋体" w:hAnsi="宋体"/>
          <w:sz w:val="24"/>
          <w:szCs w:val="24"/>
        </w:rPr>
        <w:t xml:space="preserve">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招标文件中采购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及</w:t>
      </w:r>
      <w:r>
        <w:rPr>
          <w:rFonts w:ascii="宋体" w:hAnsi="宋体"/>
          <w:sz w:val="24"/>
          <w:szCs w:val="24"/>
        </w:rPr>
        <w:t xml:space="preserve">资格</w:t>
      </w:r>
      <w:r>
        <w:rPr>
          <w:rFonts w:hint="eastAsia" w:ascii="宋体" w:hAnsi="宋体"/>
          <w:sz w:val="24"/>
          <w:szCs w:val="24"/>
        </w:rPr>
        <w:t xml:space="preserve">审查结果的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pStyle w:val="895"/>
        <w:ind w:firstLine="480"/>
        <w:spacing w:line="400" w:lineRule="exact"/>
        <w:rPr>
          <w:rFonts w:hint="eastAsia" w:ascii="宋体" w:hAnsi="宋体"/>
          <w:sz w:val="24"/>
          <w:szCs w:val="24"/>
        </w:rPr>
      </w:pPr>
      <w:r>
        <w:rPr>
          <w:rFonts w:hint="eastAsia" w:ascii="宋体" w:hAnsi="宋体"/>
          <w:sz w:val="24"/>
          <w:szCs w:val="24"/>
        </w:rPr>
        <w:t xml:space="preserve">采购人及采购中心只接收以纸质原件形式送达的质疑,建议供应商尽量通过邮寄方式提交质疑（采购人和采购中心不接受无快递运</w:t>
      </w:r>
      <w:r>
        <w:rPr>
          <w:rFonts w:ascii="宋体" w:hAnsi="宋体"/>
          <w:sz w:val="24"/>
          <w:szCs w:val="24"/>
        </w:rPr>
        <w:t xml:space="preserve">单号</w:t>
      </w:r>
      <w:r>
        <w:rPr>
          <w:rFonts w:hint="eastAsia" w:ascii="宋体" w:hAnsi="宋体"/>
          <w:sz w:val="24"/>
          <w:szCs w:val="24"/>
        </w:rPr>
        <w:t xml:space="preserve">的快递）。</w:t>
      </w:r>
      <w:r/>
    </w:p>
    <w:p>
      <w:pPr>
        <w:pStyle w:val="895"/>
        <w:ind w:firstLine="480"/>
        <w:spacing w:line="400" w:lineRule="exact"/>
        <w:rPr>
          <w:rFonts w:hint="eastAsia" w:ascii="方正仿宋_GBK" w:hAnsi="方正仿宋_GBK" w:eastAsia="方正仿宋_GBK" w:cs="方正仿宋_GBK"/>
          <w:bCs/>
          <w:sz w:val="32"/>
          <w:szCs w:val="32"/>
          <w:highlight w:val="yellow"/>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rPr>
          <w:rFonts w:hint="eastAsia" w:ascii="方正仿宋_GBK" w:hAnsi="方正仿宋_GBK" w:eastAsia="方正仿宋_GBK" w:cs="方正仿宋_GBK"/>
          <w:bCs/>
          <w:sz w:val="32"/>
          <w:szCs w:val="32"/>
          <w:highlight w:val="yellow"/>
        </w:rPr>
      </w:r>
      <w:r/>
    </w:p>
    <w:p>
      <w:pPr>
        <w:pStyle w:val="895"/>
        <w:ind w:firstLine="480"/>
        <w:spacing w:line="400" w:lineRule="exact"/>
        <w:rPr>
          <w:rFonts w:hint="eastAsia" w:ascii="宋体" w:hAnsi="宋体"/>
          <w:color w:val="000000"/>
          <w:sz w:val="24"/>
          <w:szCs w:val="24"/>
        </w:rPr>
      </w:pPr>
      <w:r/>
      <w:bookmarkStart w:id="158" w:name="_Toc120614221"/>
      <w:r/>
      <w:bookmarkStart w:id="159" w:name="_Toc16938558"/>
      <w:r/>
      <w:bookmarkStart w:id="160" w:name="_Toc20823314"/>
      <w:r/>
      <w:bookmarkStart w:id="161" w:name="_Toc513029242"/>
      <w:r/>
      <w:bookmarkStart w:id="162" w:name="_Toc479757207"/>
      <w:r>
        <w:rPr>
          <w:rFonts w:ascii="宋体" w:hAnsi="宋体"/>
          <w:color w:val="000000"/>
          <w:sz w:val="24"/>
          <w:szCs w:val="24"/>
        </w:rPr>
        <w:t xml:space="preserve">28.</w:t>
      </w:r>
      <w:r>
        <w:rPr>
          <w:rFonts w:hint="eastAsia" w:ascii="宋体" w:hAnsi="宋体"/>
          <w:color w:val="000000"/>
          <w:sz w:val="24"/>
          <w:szCs w:val="24"/>
        </w:rPr>
        <w:t xml:space="preserve">5 以下情形的质疑不予受理</w:t>
      </w:r>
      <w:r/>
    </w:p>
    <w:p>
      <w:pPr>
        <w:pStyle w:val="895"/>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 内容不符合《政府采购质疑和投诉办法》第十二条规定的质疑。</w:t>
      </w:r>
      <w:r/>
    </w:p>
    <w:p>
      <w:pPr>
        <w:pStyle w:val="895"/>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 超出政府采购法定期限的质疑。</w:t>
      </w:r>
      <w:r/>
    </w:p>
    <w:p>
      <w:pPr>
        <w:pStyle w:val="895"/>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 以传真、电子邮件等方式递交的非原件形式的质疑。</w:t>
      </w:r>
      <w:r/>
    </w:p>
    <w:p>
      <w:pPr>
        <w:pStyle w:val="895"/>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 未参加投标活动的供应商或在投标活动中自身权益未受到损害的供应商所提出的质疑。</w:t>
      </w:r>
      <w:r/>
    </w:p>
    <w:p>
      <w:pPr>
        <w:pStyle w:val="895"/>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p>
    <w:p>
      <w:pPr>
        <w:pStyle w:val="895"/>
        <w:ind w:firstLine="468"/>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95"/>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r/>
    </w:p>
    <w:p>
      <w:pPr>
        <w:pStyle w:val="895"/>
        <w:ind w:firstLine="600"/>
        <w:spacing w:line="400" w:lineRule="exact"/>
        <w:rPr>
          <w:rFonts w:hint="eastAsia" w:ascii="宋体" w:hAnsi="宋体"/>
          <w:sz w:val="24"/>
          <w:szCs w:val="24"/>
        </w:rPr>
      </w:pPr>
      <w:r>
        <w:rPr>
          <w:rFonts w:ascii="宋体" w:hAnsi="宋体"/>
          <w:color w:val="000000"/>
          <w:sz w:val="24"/>
          <w:szCs w:val="24"/>
        </w:rPr>
        <w:t xml:space="preserve">29.</w:t>
      </w:r>
      <w:r>
        <w:rPr>
          <w:rFonts w:hint="eastAsia" w:ascii="宋体" w:hAnsi="宋体"/>
          <w:color w:val="000000"/>
          <w:sz w:val="24"/>
          <w:szCs w:val="24"/>
        </w:rPr>
        <w:t xml:space="preserve">l中标结果确定后，采购中心将向中标供应商发出中标通知书。请中标供应商在中标结果公告届满之日起30日内,使用CA</w:t>
      </w:r>
      <w:r>
        <w:rPr>
          <w:rFonts w:hint="eastAsia" w:ascii="宋体" w:hAnsi="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895"/>
        <w:ind w:firstLine="600"/>
        <w:spacing w:line="40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pStyle w:val="895"/>
        <w:keepLines/>
        <w:keepNext/>
        <w:spacing w:before="156" w:after="156" w:line="400" w:lineRule="exact"/>
        <w:rPr>
          <w:rFonts w:hint="eastAsia"/>
          <w:b/>
          <w:bCs/>
          <w:color w:val="000000"/>
          <w:sz w:val="32"/>
          <w:szCs w:val="32"/>
        </w:rPr>
        <w:outlineLvl w:val="2"/>
      </w:pPr>
      <w:r/>
      <w:bookmarkStart w:id="163" w:name="_Toc513029236"/>
      <w:r/>
      <w:bookmarkStart w:id="164" w:name="_Toc20823308"/>
      <w:r/>
      <w:bookmarkStart w:id="165" w:name="_Toc16938552"/>
      <w:r/>
      <w:bookmarkStart w:id="166" w:name="_Toc120614220"/>
      <w:r>
        <w:rPr>
          <w:rFonts w:hint="eastAsia"/>
          <w:b/>
          <w:bCs/>
          <w:color w:val="000000"/>
          <w:sz w:val="32"/>
          <w:szCs w:val="32"/>
        </w:rPr>
        <w:t xml:space="preserve">七、授予合同</w:t>
      </w:r>
      <w:bookmarkEnd w:id="166"/>
      <w:r>
        <w:rPr>
          <w:rFonts w:hint="eastAsia"/>
          <w:b/>
          <w:bCs/>
          <w:color w:val="000000"/>
          <w:sz w:val="32"/>
          <w:szCs w:val="32"/>
        </w:rPr>
      </w:r>
      <w:r/>
    </w:p>
    <w:p>
      <w:pPr>
        <w:pStyle w:val="895"/>
        <w:ind w:firstLine="600"/>
        <w:keepLines/>
        <w:keepNext/>
        <w:spacing w:line="400" w:lineRule="exact"/>
        <w:rPr>
          <w:rFonts w:hint="eastAsia" w:ascii="黑体" w:hAnsi="宋体" w:eastAsia="黑体"/>
          <w:bCs/>
          <w:color w:val="000000"/>
          <w:sz w:val="30"/>
          <w:szCs w:val="30"/>
        </w:rPr>
        <w:outlineLvl w:val="3"/>
      </w:pPr>
      <w:r/>
      <w:bookmarkEnd w:id="163"/>
      <w:r/>
      <w:bookmarkEnd w:id="164"/>
      <w:r/>
      <w:bookmarkEnd w:id="165"/>
      <w:r/>
      <w:bookmarkStart w:id="167" w:name="_Toc20823309"/>
      <w:r/>
      <w:bookmarkStart w:id="168" w:name="_Toc16938553"/>
      <w:r/>
      <w:bookmarkStart w:id="169" w:name="_Toc513029237"/>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、签订合同</w:t>
      </w:r>
      <w:r/>
    </w:p>
    <w:p>
      <w:pPr>
        <w:pStyle w:val="895"/>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pStyle w:val="895"/>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pStyle w:val="895"/>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895"/>
        <w:ind w:firstLine="600"/>
        <w:keepLines/>
        <w:keepNext/>
        <w:spacing w:line="40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、货物（包含与货物相关的服务）的追加</w:t>
      </w:r>
      <w:r/>
    </w:p>
    <w:p>
      <w:pPr>
        <w:pStyle w:val="89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pStyle w:val="895"/>
        <w:ind w:firstLine="600"/>
        <w:keepLines/>
        <w:keepNext/>
        <w:spacing w:line="400" w:lineRule="exact"/>
        <w:rPr>
          <w:rFonts w:ascii="黑体" w:hAnsi="宋体" w:eastAsia="黑体"/>
          <w:bCs/>
          <w:color w:val="000000"/>
          <w:sz w:val="30"/>
          <w:szCs w:val="30"/>
        </w:rPr>
        <w:outlineLvl w:val="3"/>
      </w:pPr>
      <w:r/>
      <w:bookmarkEnd w:id="167"/>
      <w:r/>
      <w:bookmarkEnd w:id="168"/>
      <w:r/>
      <w:bookmarkEnd w:id="169"/>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、政府采购履约资金扶持政策</w:t>
      </w:r>
      <w:r>
        <w:rPr>
          <w:rFonts w:ascii="黑体" w:hAnsi="宋体" w:eastAsia="黑体"/>
          <w:bCs/>
          <w:color w:val="000000"/>
          <w:sz w:val="30"/>
          <w:szCs w:val="30"/>
        </w:rPr>
      </w:r>
      <w:r/>
    </w:p>
    <w:p>
      <w:pPr>
        <w:pStyle w:val="895"/>
        <w:ind w:firstLine="555"/>
        <w:spacing w:line="40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p>
    <w:p>
      <w:pPr>
        <w:pStyle w:val="895"/>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r>
      <w:r/>
    </w:p>
    <w:p>
      <w:pPr>
        <w:pStyle w:val="895"/>
        <w:ind w:firstLine="420"/>
        <w:spacing w:line="400" w:lineRule="exact"/>
        <w:rPr>
          <w:rFonts w:hint="eastAsia"/>
          <w:color w:val="000000"/>
          <w:szCs w:val="21"/>
        </w:rPr>
      </w:pPr>
      <w:r>
        <w:rPr>
          <w:rFonts w:hint="eastAsia"/>
          <w:color w:val="000000"/>
          <w:szCs w:val="21"/>
        </w:rPr>
      </w:r>
      <w:r/>
    </w:p>
    <w:p>
      <w:pPr>
        <w:pStyle w:val="895"/>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895"/>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895"/>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895"/>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895"/>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895"/>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895"/>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895"/>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895"/>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895"/>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895"/>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895"/>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895"/>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895"/>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895"/>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895"/>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895"/>
        <w:ind w:firstLine="2640"/>
        <w:jc w:val="left"/>
        <w:keepNext/>
        <w:rPr>
          <w:rFonts w:hint="eastAsia" w:ascii="黑体" w:eastAsia="黑体"/>
          <w:bCs/>
          <w:color w:val="000000"/>
          <w:sz w:val="44"/>
          <w:szCs w:val="28"/>
        </w:rPr>
        <w:outlineLvl w:val="0"/>
      </w:pPr>
      <w:r/>
      <w:bookmarkEnd w:id="158"/>
      <w:r/>
      <w:bookmarkEnd w:id="159"/>
      <w:r/>
      <w:bookmarkEnd w:id="160"/>
      <w:r/>
      <w:bookmarkEnd w:id="161"/>
      <w:r/>
      <w:bookmarkEnd w:id="162"/>
      <w:r/>
      <w:bookmarkStart w:id="170" w:name="_Toc20823346"/>
      <w:r/>
      <w:bookmarkStart w:id="171" w:name="_Toc16938590"/>
      <w:r/>
      <w:bookmarkStart w:id="172" w:name="_Toc120614244"/>
      <w:r/>
      <w:bookmarkStart w:id="173" w:name="_Hlt16619350"/>
      <w:r/>
      <w:bookmarkStart w:id="174" w:name="_Toc479757211"/>
      <w:r/>
      <w:bookmarkStart w:id="175" w:name="_Toc462564139"/>
      <w:r>
        <w:rPr>
          <w:rFonts w:hint="eastAsia" w:ascii="黑体" w:eastAsia="黑体"/>
          <w:bCs/>
          <w:color w:val="000000"/>
          <w:sz w:val="44"/>
          <w:szCs w:val="28"/>
        </w:rPr>
        <w:t xml:space="preserve">第三章  合同文本</w:t>
      </w:r>
      <w:r/>
    </w:p>
    <w:p>
      <w:pPr>
        <w:pStyle w:val="895"/>
        <w:ind w:firstLine="480"/>
        <w:spacing w:line="500" w:lineRule="exact"/>
        <w:rPr>
          <w:rFonts w:ascii="宋体" w:hAnsi="宋体"/>
          <w:bCs/>
          <w:color w:val="000000"/>
          <w:sz w:val="24"/>
          <w:szCs w:val="21"/>
        </w:rPr>
      </w:pPr>
      <w:r/>
      <w:bookmarkEnd w:id="170"/>
      <w:r/>
      <w:bookmarkEnd w:id="171"/>
      <w:r/>
      <w:bookmarkEnd w:id="172"/>
      <w:r/>
      <w:bookmarkEnd w:id="173"/>
      <w:r/>
      <w:bookmarkStart w:id="176" w:name="_Toc20823315"/>
      <w:r/>
      <w:bookmarkStart w:id="177" w:name="_Toc513029243"/>
      <w:r/>
      <w:bookmarkStart w:id="178" w:name="_Toc16938559"/>
      <w:r/>
      <w:bookmarkStart w:id="179" w:name="_Toc26554093"/>
      <w:r/>
      <w:bookmarkStart w:id="180" w:name="_Toc49090575"/>
      <w:r/>
      <w:bookmarkStart w:id="181" w:name="_Toc120614281"/>
      <w:r>
        <w:rPr>
          <w:rFonts w:hint="eastAsia" w:ascii="宋体" w:hAnsi="宋体"/>
          <w:bCs/>
          <w:color w:val="000000"/>
          <w:sz w:val="24"/>
          <w:szCs w:val="21"/>
        </w:rPr>
        <w:t xml:space="preserve">以下为中标后签定本项目合同的通用条款，中标人不得提出实质性的修改。</w:t>
      </w:r>
      <w:r>
        <w:rPr>
          <w:rFonts w:ascii="宋体" w:hAnsi="宋体"/>
          <w:bCs/>
          <w:color w:val="000000"/>
          <w:sz w:val="24"/>
          <w:szCs w:val="21"/>
        </w:rPr>
      </w:r>
      <w:r/>
    </w:p>
    <w:p>
      <w:pPr>
        <w:pStyle w:val="895"/>
        <w:jc w:val="center"/>
        <w:spacing w:before="145" w:after="145"/>
        <w:rPr>
          <w:rFonts w:ascii="宋体" w:hAnsi="宋体"/>
          <w:b/>
          <w:bCs/>
          <w:sz w:val="30"/>
          <w:szCs w:val="20"/>
        </w:rPr>
        <w:outlineLvl w:val="0"/>
      </w:pPr>
      <w:r/>
      <w:bookmarkEnd w:id="176"/>
      <w:r/>
      <w:bookmarkEnd w:id="177"/>
      <w:r/>
      <w:bookmarkEnd w:id="178"/>
      <w:r/>
      <w:bookmarkStart w:id="182" w:name="_Hlt16619369"/>
      <w:r/>
      <w:bookmarkEnd w:id="182"/>
      <w:r>
        <w:rPr>
          <w:rFonts w:hint="eastAsia" w:ascii="宋体" w:hAnsi="宋体"/>
          <w:b/>
          <w:sz w:val="30"/>
          <w:szCs w:val="21"/>
        </w:rPr>
        <w:t xml:space="preserve">江苏省政府采购合同（货物）（合同编号）</w:t>
      </w:r>
      <w:r>
        <w:rPr>
          <w:rFonts w:ascii="宋体" w:hAnsi="宋体"/>
          <w:b/>
          <w:bCs/>
          <w:sz w:val="30"/>
          <w:szCs w:val="20"/>
        </w:rPr>
      </w:r>
      <w:r/>
    </w:p>
    <w:p>
      <w:pPr>
        <w:pStyle w:val="895"/>
        <w:ind w:firstLine="562"/>
        <w:spacing w:line="500" w:lineRule="exact"/>
        <w:rPr>
          <w:rFonts w:ascii="仿宋" w:hAnsi="仿宋" w:eastAsia="仿宋" w:cs="仿宋"/>
          <w:b/>
          <w:sz w:val="28"/>
          <w:szCs w:val="28"/>
        </w:rPr>
      </w:pPr>
      <w:r>
        <w:rPr>
          <w:rFonts w:ascii="仿宋" w:hAnsi="仿宋" w:eastAsia="仿宋" w:cs="仿宋"/>
          <w:b/>
          <w:sz w:val="28"/>
          <w:szCs w:val="28"/>
        </w:rPr>
      </w:r>
      <w:r/>
    </w:p>
    <w:p>
      <w:pPr>
        <w:pStyle w:val="895"/>
        <w:ind w:firstLine="562"/>
        <w:spacing w:line="500" w:lineRule="exact"/>
        <w:rPr>
          <w:rFonts w:ascii="仿宋" w:hAnsi="仿宋" w:eastAsia="仿宋" w:cs="仿宋"/>
          <w:b/>
          <w:sz w:val="28"/>
          <w:szCs w:val="28"/>
        </w:rPr>
      </w:pPr>
      <w:r>
        <w:rPr>
          <w:rFonts w:hint="eastAsia" w:ascii="仿宋" w:hAnsi="仿宋" w:eastAsia="仿宋" w:cs="仿宋"/>
          <w:b/>
          <w:sz w:val="28"/>
          <w:szCs w:val="28"/>
        </w:rPr>
        <w:t xml:space="preserve">甲方（买方）：江苏省未来</w:t>
      </w:r>
      <w:r>
        <w:rPr>
          <w:rFonts w:ascii="仿宋" w:hAnsi="仿宋" w:eastAsia="仿宋" w:cs="仿宋"/>
          <w:b/>
          <w:sz w:val="28"/>
          <w:szCs w:val="28"/>
        </w:rPr>
        <w:t xml:space="preserve">网络创新研究院</w:t>
      </w:r>
      <w:r>
        <w:rPr>
          <w:rFonts w:hint="eastAsia" w:ascii="仿宋" w:hAnsi="仿宋" w:eastAsia="仿宋" w:cs="仿宋"/>
          <w:b/>
          <w:sz w:val="28"/>
          <w:szCs w:val="28"/>
        </w:rPr>
        <w:t xml:space="preserve">  </w:t>
      </w:r>
      <w:r>
        <w:rPr>
          <w:rFonts w:ascii="仿宋" w:hAnsi="仿宋" w:eastAsia="仿宋" w:cs="仿宋"/>
          <w:b/>
          <w:sz w:val="28"/>
          <w:szCs w:val="28"/>
        </w:rPr>
      </w:r>
      <w:r/>
    </w:p>
    <w:p>
      <w:pPr>
        <w:pStyle w:val="895"/>
        <w:ind w:firstLine="562"/>
        <w:spacing w:line="500" w:lineRule="exact"/>
        <w:rPr>
          <w:rFonts w:ascii="仿宋" w:hAnsi="仿宋" w:eastAsia="仿宋" w:cs="仿宋"/>
          <w:b/>
          <w:sz w:val="28"/>
          <w:szCs w:val="28"/>
        </w:rPr>
      </w:pPr>
      <w:r>
        <w:rPr>
          <w:rFonts w:hint="eastAsia" w:ascii="仿宋" w:hAnsi="仿宋" w:eastAsia="仿宋" w:cs="仿宋"/>
          <w:b/>
          <w:sz w:val="28"/>
          <w:szCs w:val="28"/>
        </w:rPr>
        <w:t xml:space="preserve">法定代表人：刘韵洁</w:t>
      </w:r>
      <w:r>
        <w:rPr>
          <w:rFonts w:ascii="仿宋" w:hAnsi="仿宋" w:eastAsia="仿宋" w:cs="仿宋"/>
          <w:b/>
          <w:sz w:val="28"/>
          <w:szCs w:val="28"/>
        </w:rPr>
      </w:r>
      <w:r/>
    </w:p>
    <w:p>
      <w:pPr>
        <w:pStyle w:val="895"/>
        <w:ind w:firstLine="562"/>
        <w:spacing w:line="500" w:lineRule="exact"/>
        <w:rPr>
          <w:rFonts w:ascii="仿宋" w:hAnsi="仿宋" w:eastAsia="仿宋" w:cs="仿宋"/>
          <w:b/>
          <w:sz w:val="28"/>
          <w:szCs w:val="28"/>
        </w:rPr>
      </w:pPr>
      <w:r>
        <w:rPr>
          <w:rFonts w:ascii="仿宋" w:hAnsi="仿宋" w:eastAsia="仿宋" w:cs="仿宋"/>
          <w:b/>
          <w:sz w:val="28"/>
          <w:szCs w:val="28"/>
        </w:rPr>
        <w:t xml:space="preserve">统一</w:t>
      </w:r>
      <w:r>
        <w:rPr>
          <w:rFonts w:hint="eastAsia" w:ascii="仿宋" w:hAnsi="仿宋" w:eastAsia="仿宋" w:cs="仿宋"/>
          <w:b/>
          <w:sz w:val="28"/>
          <w:szCs w:val="28"/>
        </w:rPr>
        <w:t xml:space="preserve">社会</w:t>
      </w:r>
      <w:r>
        <w:rPr>
          <w:rFonts w:ascii="仿宋" w:hAnsi="仿宋" w:eastAsia="仿宋" w:cs="仿宋"/>
          <w:b/>
          <w:sz w:val="28"/>
          <w:szCs w:val="28"/>
        </w:rPr>
        <w:t xml:space="preserve">信用代码：</w:t>
      </w:r>
      <w:r>
        <w:rPr>
          <w:rFonts w:hint="eastAsia"/>
          <w:sz w:val="28"/>
          <w:szCs w:val="28"/>
        </w:rPr>
        <w:t xml:space="preserve">12320100589403821X</w:t>
      </w:r>
      <w:r>
        <w:rPr>
          <w:rFonts w:ascii="仿宋" w:hAnsi="仿宋" w:eastAsia="仿宋" w:cs="仿宋"/>
          <w:b/>
          <w:sz w:val="28"/>
          <w:szCs w:val="28"/>
        </w:rPr>
      </w:r>
      <w:r/>
    </w:p>
    <w:p>
      <w:pPr>
        <w:pStyle w:val="895"/>
        <w:ind w:firstLine="562"/>
        <w:spacing w:line="500" w:lineRule="exact"/>
        <w:rPr>
          <w:rFonts w:ascii="仿宋" w:hAnsi="仿宋" w:eastAsia="仿宋" w:cs="仿宋"/>
          <w:b/>
          <w:sz w:val="28"/>
          <w:szCs w:val="28"/>
        </w:rPr>
      </w:pPr>
      <w:r>
        <w:rPr>
          <w:rFonts w:hint="eastAsia" w:ascii="仿宋" w:hAnsi="仿宋" w:eastAsia="仿宋" w:cs="仿宋"/>
          <w:b/>
          <w:sz w:val="28"/>
          <w:szCs w:val="28"/>
        </w:rPr>
        <w:t xml:space="preserve">地址：南京市江宁区秣周东路7号</w:t>
      </w:r>
      <w:r>
        <w:rPr>
          <w:rFonts w:ascii="仿宋" w:hAnsi="仿宋" w:eastAsia="仿宋" w:cs="仿宋"/>
          <w:b/>
          <w:sz w:val="28"/>
          <w:szCs w:val="28"/>
        </w:rPr>
      </w:r>
      <w:r/>
    </w:p>
    <w:p>
      <w:pPr>
        <w:pStyle w:val="895"/>
        <w:ind w:firstLine="562"/>
        <w:spacing w:line="500" w:lineRule="exact"/>
        <w:rPr>
          <w:rFonts w:ascii="仿宋" w:hAnsi="仿宋" w:eastAsia="仿宋" w:cs="仿宋"/>
          <w:b/>
          <w:sz w:val="28"/>
          <w:szCs w:val="28"/>
        </w:rPr>
      </w:pPr>
      <w:r>
        <w:rPr>
          <w:rFonts w:ascii="仿宋" w:hAnsi="仿宋" w:eastAsia="仿宋" w:cs="仿宋"/>
          <w:b/>
          <w:sz w:val="28"/>
          <w:szCs w:val="28"/>
        </w:rPr>
      </w:r>
      <w:r/>
    </w:p>
    <w:p>
      <w:pPr>
        <w:pStyle w:val="895"/>
        <w:ind w:firstLine="562"/>
        <w:spacing w:line="500" w:lineRule="exact"/>
        <w:rPr>
          <w:rFonts w:ascii="仿宋" w:hAnsi="仿宋" w:eastAsia="仿宋" w:cs="仿宋"/>
          <w:b/>
          <w:sz w:val="28"/>
          <w:szCs w:val="28"/>
        </w:rPr>
      </w:pPr>
      <w:r>
        <w:rPr>
          <w:rFonts w:hint="eastAsia" w:ascii="仿宋" w:hAnsi="仿宋" w:eastAsia="仿宋" w:cs="仿宋"/>
          <w:b/>
          <w:sz w:val="28"/>
          <w:szCs w:val="28"/>
        </w:rPr>
        <w:t xml:space="preserve">乙方（卖方）： </w:t>
      </w:r>
      <w:r>
        <w:rPr>
          <w:rFonts w:ascii="仿宋" w:hAnsi="仿宋" w:eastAsia="仿宋" w:cs="仿宋"/>
          <w:b/>
          <w:sz w:val="28"/>
          <w:szCs w:val="28"/>
        </w:rPr>
      </w:r>
      <w:r/>
    </w:p>
    <w:p>
      <w:pPr>
        <w:pStyle w:val="895"/>
        <w:ind w:firstLine="562"/>
        <w:spacing w:line="500" w:lineRule="exact"/>
        <w:rPr>
          <w:rFonts w:ascii="仿宋" w:hAnsi="仿宋" w:eastAsia="仿宋" w:cs="仿宋"/>
          <w:b/>
          <w:sz w:val="28"/>
          <w:szCs w:val="28"/>
        </w:rPr>
      </w:pPr>
      <w:r>
        <w:rPr>
          <w:rFonts w:hint="eastAsia" w:ascii="仿宋" w:hAnsi="仿宋" w:eastAsia="仿宋" w:cs="仿宋"/>
          <w:b/>
          <w:sz w:val="28"/>
          <w:szCs w:val="28"/>
        </w:rPr>
        <w:t xml:space="preserve">法定代表人：</w:t>
      </w:r>
      <w:r>
        <w:rPr>
          <w:rFonts w:ascii="仿宋" w:hAnsi="仿宋" w:eastAsia="仿宋" w:cs="仿宋"/>
          <w:b/>
          <w:sz w:val="28"/>
          <w:szCs w:val="28"/>
        </w:rPr>
      </w:r>
      <w:r/>
    </w:p>
    <w:p>
      <w:pPr>
        <w:pStyle w:val="895"/>
        <w:ind w:firstLine="562"/>
        <w:spacing w:line="500" w:lineRule="exact"/>
        <w:rPr>
          <w:rFonts w:ascii="仿宋" w:hAnsi="仿宋" w:eastAsia="仿宋" w:cs="仿宋"/>
          <w:b/>
          <w:sz w:val="28"/>
          <w:szCs w:val="28"/>
        </w:rPr>
      </w:pPr>
      <w:r>
        <w:rPr>
          <w:rFonts w:ascii="仿宋" w:hAnsi="仿宋" w:eastAsia="仿宋" w:cs="仿宋"/>
          <w:b/>
          <w:sz w:val="28"/>
          <w:szCs w:val="28"/>
        </w:rPr>
        <w:t xml:space="preserve">统一</w:t>
      </w:r>
      <w:r>
        <w:rPr>
          <w:rFonts w:hint="eastAsia" w:ascii="仿宋" w:hAnsi="仿宋" w:eastAsia="仿宋" w:cs="仿宋"/>
          <w:b/>
          <w:sz w:val="28"/>
          <w:szCs w:val="28"/>
        </w:rPr>
        <w:t xml:space="preserve">社会</w:t>
      </w:r>
      <w:r>
        <w:rPr>
          <w:rFonts w:ascii="仿宋" w:hAnsi="仿宋" w:eastAsia="仿宋" w:cs="仿宋"/>
          <w:b/>
          <w:sz w:val="28"/>
          <w:szCs w:val="28"/>
        </w:rPr>
        <w:t xml:space="preserve">信用代码：</w:t>
      </w:r>
      <w:r>
        <w:rPr>
          <w:rFonts w:hint="eastAsia" w:ascii="仿宋" w:hAnsi="仿宋" w:eastAsia="仿宋" w:cs="仿宋"/>
          <w:b/>
          <w:sz w:val="28"/>
          <w:szCs w:val="28"/>
        </w:rPr>
        <w:t xml:space="preserve">                            </w:t>
      </w:r>
      <w:r>
        <w:rPr>
          <w:rFonts w:ascii="仿宋" w:hAnsi="仿宋" w:eastAsia="仿宋" w:cs="仿宋"/>
          <w:b/>
          <w:sz w:val="28"/>
          <w:szCs w:val="28"/>
        </w:rPr>
      </w:r>
      <w:r/>
    </w:p>
    <w:p>
      <w:pPr>
        <w:pStyle w:val="895"/>
        <w:ind w:firstLine="562"/>
        <w:spacing w:line="500" w:lineRule="exact"/>
        <w:rPr>
          <w:rFonts w:ascii="仿宋" w:hAnsi="仿宋" w:eastAsia="仿宋" w:cs="仿宋"/>
          <w:b/>
          <w:sz w:val="28"/>
          <w:szCs w:val="28"/>
        </w:rPr>
      </w:pPr>
      <w:r>
        <w:rPr>
          <w:rFonts w:hint="eastAsia" w:ascii="仿宋" w:hAnsi="仿宋" w:eastAsia="仿宋" w:cs="仿宋"/>
          <w:b/>
          <w:sz w:val="28"/>
          <w:szCs w:val="28"/>
        </w:rPr>
        <w:t xml:space="preserve">地址：</w:t>
      </w:r>
      <w:r>
        <w:rPr>
          <w:rFonts w:ascii="仿宋" w:hAnsi="仿宋" w:eastAsia="仿宋" w:cs="仿宋"/>
          <w:b/>
          <w:sz w:val="28"/>
          <w:szCs w:val="28"/>
        </w:rPr>
      </w:r>
      <w:r/>
    </w:p>
    <w:p>
      <w:pPr>
        <w:pStyle w:val="895"/>
        <w:ind w:firstLine="562"/>
        <w:spacing w:line="500" w:lineRule="exact"/>
        <w:rPr>
          <w:rFonts w:ascii="仿宋" w:hAnsi="仿宋" w:eastAsia="仿宋" w:cs="仿宋"/>
          <w:b/>
          <w:sz w:val="28"/>
          <w:szCs w:val="28"/>
        </w:rPr>
      </w:pPr>
      <w:r>
        <w:rPr>
          <w:rFonts w:ascii="仿宋" w:hAnsi="仿宋" w:eastAsia="仿宋" w:cs="仿宋"/>
          <w:b/>
          <w:sz w:val="28"/>
          <w:szCs w:val="28"/>
        </w:rPr>
      </w:r>
      <w:r/>
    </w:p>
    <w:p>
      <w:pPr>
        <w:pStyle w:val="895"/>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甲乙双方根据《中华人民共和国民法典》及有关法律、法规的规定，遵循公平、平等和诚实信用的原则，为规范合同当事人的交易行为，保护合同双方的合法权益，保证设备质量，经双方协商一致，签订如下</w:t>
      </w:r>
      <w:r>
        <w:rPr>
          <w:rFonts w:ascii="仿宋" w:hAnsi="仿宋" w:eastAsia="仿宋" w:cs="仿宋"/>
          <w:sz w:val="28"/>
          <w:szCs w:val="28"/>
        </w:rPr>
        <w:t xml:space="preserve">条款</w:t>
      </w:r>
      <w:r>
        <w:rPr>
          <w:rFonts w:hint="eastAsia" w:ascii="仿宋" w:hAnsi="仿宋" w:eastAsia="仿宋" w:cs="仿宋"/>
          <w:sz w:val="28"/>
          <w:szCs w:val="28"/>
        </w:rPr>
        <w:t xml:space="preserve">。</w:t>
      </w:r>
      <w:r>
        <w:rPr>
          <w:rFonts w:ascii="仿宋" w:hAnsi="仿宋" w:eastAsia="仿宋" w:cs="仿宋"/>
          <w:sz w:val="28"/>
          <w:szCs w:val="28"/>
        </w:rPr>
      </w:r>
      <w:r/>
    </w:p>
    <w:p>
      <w:pPr>
        <w:pStyle w:val="1010"/>
        <w:numPr>
          <w:ilvl w:val="0"/>
          <w:numId w:val="4"/>
        </w:numPr>
      </w:pPr>
      <w:r>
        <w:rPr>
          <w:rFonts w:hint="eastAsia" w:ascii="宋体" w:hAnsi="宋体" w:eastAsia="宋体" w:cs="宋体"/>
        </w:rPr>
        <w:t xml:space="preserve">合同标的</w:t>
      </w:r>
      <w:r/>
    </w:p>
    <w:p>
      <w:pPr>
        <w:pStyle w:val="895"/>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乙方需根据甲方需求提供下列设备:</w:t>
      </w:r>
      <w:r>
        <w:rPr>
          <w:rFonts w:ascii="仿宋" w:hAnsi="仿宋" w:eastAsia="仿宋" w:cs="仿宋"/>
          <w:sz w:val="28"/>
          <w:szCs w:val="28"/>
        </w:rPr>
      </w:r>
      <w:r/>
    </w:p>
    <w:tbl>
      <w:tblPr>
        <w:tblW w:w="910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9"/>
        <w:gridCol w:w="1118"/>
        <w:gridCol w:w="3022"/>
        <w:gridCol w:w="937"/>
        <w:gridCol w:w="1018"/>
        <w:gridCol w:w="1136"/>
        <w:gridCol w:w="1028"/>
      </w:tblGrid>
      <w:tr>
        <w:trPr>
          <w:trHeight w:val="848"/>
        </w:trPr>
        <w:tc>
          <w:tcPr>
            <w:tcW w:w="849" w:type="dxa"/>
            <w:vAlign w:val="center"/>
            <w:textDirection w:val="lrTb"/>
            <w:noWrap w:val="false"/>
          </w:tcPr>
          <w:p>
            <w:pPr>
              <w:pStyle w:val="895"/>
              <w:jc w:val="center"/>
              <w:spacing w:line="500" w:lineRule="exact"/>
              <w:rPr>
                <w:rFonts w:ascii="仿宋" w:hAnsi="仿宋" w:eastAsia="仿宋" w:cs="仿宋"/>
                <w:sz w:val="24"/>
              </w:rPr>
            </w:pPr>
            <w:r>
              <w:rPr>
                <w:rFonts w:hint="eastAsia" w:ascii="仿宋" w:hAnsi="仿宋" w:eastAsia="仿宋" w:cs="仿宋"/>
                <w:sz w:val="24"/>
              </w:rPr>
              <w:t xml:space="preserve">序号</w:t>
            </w:r>
            <w:r>
              <w:rPr>
                <w:rFonts w:ascii="仿宋" w:hAnsi="仿宋" w:eastAsia="仿宋" w:cs="仿宋"/>
                <w:sz w:val="24"/>
              </w:rPr>
            </w:r>
            <w:r/>
          </w:p>
        </w:tc>
        <w:tc>
          <w:tcPr>
            <w:tcW w:w="1118" w:type="dxa"/>
            <w:vAlign w:val="center"/>
            <w:textDirection w:val="lrTb"/>
            <w:noWrap w:val="false"/>
          </w:tcPr>
          <w:p>
            <w:pPr>
              <w:pStyle w:val="974"/>
              <w:ind w:left="0"/>
              <w:jc w:val="both"/>
              <w:spacing w:line="500" w:lineRule="exact"/>
              <w:rPr>
                <w:rFonts w:ascii="仿宋" w:hAnsi="仿宋" w:eastAsia="仿宋" w:cs="仿宋"/>
                <w:lang w:val="en-US"/>
              </w:rPr>
            </w:pPr>
            <w:r>
              <w:rPr>
                <w:rFonts w:hint="eastAsia" w:ascii="仿宋" w:hAnsi="仿宋" w:eastAsia="仿宋" w:cs="仿宋"/>
                <w:lang w:val="en-US"/>
              </w:rPr>
              <w:t xml:space="preserve">名称</w:t>
            </w:r>
            <w:r>
              <w:rPr>
                <w:rFonts w:ascii="仿宋" w:hAnsi="仿宋" w:eastAsia="仿宋" w:cs="仿宋"/>
                <w:lang w:val="en-US"/>
              </w:rPr>
            </w:r>
            <w:r/>
          </w:p>
        </w:tc>
        <w:tc>
          <w:tcPr>
            <w:tcW w:w="3022" w:type="dxa"/>
            <w:vAlign w:val="center"/>
            <w:textDirection w:val="lrTb"/>
            <w:noWrap w:val="false"/>
          </w:tcPr>
          <w:p>
            <w:pPr>
              <w:pStyle w:val="974"/>
              <w:ind w:left="0"/>
              <w:jc w:val="both"/>
              <w:spacing w:line="500" w:lineRule="exact"/>
              <w:rPr>
                <w:rFonts w:ascii="仿宋" w:hAnsi="仿宋" w:eastAsia="仿宋" w:cs="仿宋"/>
                <w:lang w:val="en-US"/>
              </w:rPr>
            </w:pPr>
            <w:r>
              <w:rPr>
                <w:rFonts w:hint="eastAsia" w:ascii="仿宋" w:hAnsi="仿宋" w:eastAsia="仿宋" w:cs="仿宋"/>
                <w:lang w:val="en-US"/>
              </w:rPr>
              <w:t xml:space="preserve">品牌、型号、规格</w:t>
            </w:r>
            <w:r>
              <w:rPr>
                <w:rFonts w:ascii="仿宋" w:hAnsi="仿宋" w:eastAsia="仿宋" w:cs="仿宋"/>
                <w:lang w:val="en-US"/>
              </w:rPr>
            </w:r>
            <w:r/>
          </w:p>
        </w:tc>
        <w:tc>
          <w:tcPr>
            <w:tcW w:w="937" w:type="dxa"/>
            <w:vAlign w:val="center"/>
            <w:textDirection w:val="lrTb"/>
            <w:noWrap w:val="false"/>
          </w:tcPr>
          <w:p>
            <w:pPr>
              <w:pStyle w:val="974"/>
              <w:ind w:left="0"/>
              <w:jc w:val="both"/>
              <w:spacing w:line="500" w:lineRule="exact"/>
              <w:rPr>
                <w:rFonts w:ascii="仿宋" w:hAnsi="仿宋" w:eastAsia="仿宋" w:cs="仿宋"/>
                <w:lang w:val="en-US"/>
              </w:rPr>
            </w:pPr>
            <w:r>
              <w:rPr>
                <w:rFonts w:hint="eastAsia" w:ascii="仿宋" w:hAnsi="仿宋" w:eastAsia="仿宋" w:cs="仿宋"/>
                <w:lang w:val="en-US"/>
              </w:rPr>
              <w:t xml:space="preserve">数量</w:t>
            </w:r>
            <w:r>
              <w:rPr>
                <w:rFonts w:ascii="仿宋" w:hAnsi="仿宋" w:eastAsia="仿宋" w:cs="仿宋"/>
                <w:lang w:val="en-US"/>
              </w:rPr>
            </w:r>
            <w:r/>
          </w:p>
        </w:tc>
        <w:tc>
          <w:tcPr>
            <w:tcW w:w="1018" w:type="dxa"/>
            <w:vAlign w:val="center"/>
            <w:textDirection w:val="lrTb"/>
            <w:noWrap w:val="false"/>
          </w:tcPr>
          <w:p>
            <w:pPr>
              <w:pStyle w:val="974"/>
              <w:ind w:left="0"/>
              <w:jc w:val="both"/>
              <w:spacing w:line="500" w:lineRule="exact"/>
              <w:rPr>
                <w:rFonts w:ascii="仿宋" w:hAnsi="仿宋" w:eastAsia="仿宋" w:cs="仿宋"/>
                <w:lang w:val="en-US"/>
              </w:rPr>
            </w:pPr>
            <w:r>
              <w:rPr>
                <w:rFonts w:hint="eastAsia" w:ascii="仿宋" w:hAnsi="仿宋" w:eastAsia="仿宋" w:cs="仿宋"/>
                <w:lang w:val="en-US"/>
              </w:rPr>
              <w:t xml:space="preserve">单价（元）</w:t>
            </w:r>
            <w:r>
              <w:rPr>
                <w:rFonts w:ascii="仿宋" w:hAnsi="仿宋" w:eastAsia="仿宋" w:cs="仿宋"/>
                <w:lang w:val="en-US"/>
              </w:rPr>
            </w:r>
            <w:r/>
          </w:p>
        </w:tc>
        <w:tc>
          <w:tcPr>
            <w:tcW w:w="1136" w:type="dxa"/>
            <w:vAlign w:val="center"/>
            <w:textDirection w:val="lrTb"/>
            <w:noWrap w:val="false"/>
          </w:tcPr>
          <w:p>
            <w:pPr>
              <w:pStyle w:val="974"/>
              <w:ind w:left="0"/>
              <w:jc w:val="both"/>
              <w:spacing w:line="500" w:lineRule="exact"/>
              <w:rPr>
                <w:rFonts w:ascii="仿宋" w:hAnsi="仿宋" w:eastAsia="仿宋" w:cs="仿宋"/>
                <w:lang w:val="en-US" w:eastAsia="zh-CN"/>
              </w:rPr>
            </w:pPr>
            <w:r>
              <w:rPr>
                <w:rFonts w:hint="eastAsia" w:ascii="仿宋" w:hAnsi="仿宋" w:eastAsia="仿宋" w:cs="仿宋"/>
                <w:lang w:val="en-US" w:eastAsia="zh-CN"/>
              </w:rPr>
              <w:t xml:space="preserve">增值税税率（%）</w:t>
            </w:r>
            <w:r>
              <w:rPr>
                <w:rFonts w:ascii="仿宋" w:hAnsi="仿宋" w:eastAsia="仿宋" w:cs="仿宋"/>
                <w:lang w:val="en-US" w:eastAsia="zh-CN"/>
              </w:rPr>
            </w:r>
            <w:r/>
          </w:p>
        </w:tc>
        <w:tc>
          <w:tcPr>
            <w:tcW w:w="1028" w:type="dxa"/>
            <w:vAlign w:val="center"/>
            <w:textDirection w:val="lrTb"/>
            <w:noWrap w:val="false"/>
          </w:tcPr>
          <w:p>
            <w:pPr>
              <w:pStyle w:val="974"/>
              <w:ind w:left="0"/>
              <w:jc w:val="both"/>
              <w:spacing w:line="500" w:lineRule="exact"/>
              <w:rPr>
                <w:rFonts w:ascii="仿宋" w:hAnsi="仿宋" w:eastAsia="仿宋" w:cs="仿宋"/>
                <w:lang w:val="en-US"/>
              </w:rPr>
            </w:pPr>
            <w:r>
              <w:rPr>
                <w:rFonts w:hint="eastAsia" w:ascii="仿宋" w:hAnsi="仿宋" w:eastAsia="仿宋" w:cs="仿宋"/>
                <w:lang w:val="en-US"/>
              </w:rPr>
              <w:t xml:space="preserve">总计（元）</w:t>
            </w:r>
            <w:r>
              <w:rPr>
                <w:rFonts w:ascii="仿宋" w:hAnsi="仿宋" w:eastAsia="仿宋" w:cs="仿宋"/>
                <w:lang w:val="en-US"/>
              </w:rPr>
            </w:r>
            <w:r/>
          </w:p>
        </w:tc>
      </w:tr>
      <w:tr>
        <w:trPr/>
        <w:tc>
          <w:tcPr>
            <w:tcW w:w="849" w:type="dxa"/>
            <w:vAlign w:val="center"/>
            <w:textDirection w:val="lrTb"/>
            <w:noWrap w:val="false"/>
          </w:tcPr>
          <w:p>
            <w:pPr>
              <w:pStyle w:val="895"/>
              <w:jc w:val="center"/>
              <w:spacing w:line="500" w:lineRule="exact"/>
              <w:rPr>
                <w:rFonts w:ascii="仿宋" w:hAnsi="仿宋" w:eastAsia="仿宋" w:cs="仿宋"/>
                <w:sz w:val="24"/>
              </w:rPr>
            </w:pPr>
            <w:r>
              <w:rPr>
                <w:rFonts w:hint="eastAsia" w:ascii="仿宋" w:hAnsi="仿宋" w:eastAsia="仿宋" w:cs="仿宋"/>
                <w:sz w:val="24"/>
              </w:rPr>
              <w:t xml:space="preserve">1</w:t>
            </w:r>
            <w:r>
              <w:rPr>
                <w:rFonts w:ascii="仿宋" w:hAnsi="仿宋" w:eastAsia="仿宋" w:cs="仿宋"/>
                <w:sz w:val="24"/>
              </w:rPr>
            </w:r>
            <w:r/>
          </w:p>
        </w:tc>
        <w:tc>
          <w:tcPr>
            <w:tcW w:w="1118" w:type="dxa"/>
            <w:vAlign w:val="center"/>
            <w:textDirection w:val="lrTb"/>
            <w:noWrap w:val="false"/>
          </w:tcPr>
          <w:p>
            <w:pPr>
              <w:pStyle w:val="974"/>
              <w:ind w:firstLine="480"/>
              <w:jc w:val="center"/>
              <w:spacing w:line="500" w:lineRule="exact"/>
              <w:rPr>
                <w:rFonts w:ascii="仿宋" w:hAnsi="仿宋" w:eastAsia="仿宋" w:cs="仿宋"/>
                <w:lang w:val="en-US"/>
              </w:rPr>
            </w:pPr>
            <w:r>
              <w:rPr>
                <w:rFonts w:ascii="仿宋" w:hAnsi="仿宋" w:eastAsia="仿宋" w:cs="仿宋"/>
                <w:lang w:val="en-US"/>
              </w:rPr>
            </w:r>
            <w:r/>
          </w:p>
        </w:tc>
        <w:tc>
          <w:tcPr>
            <w:tcW w:w="3022" w:type="dxa"/>
            <w:vAlign w:val="center"/>
            <w:textDirection w:val="lrTb"/>
            <w:noWrap w:val="false"/>
          </w:tcPr>
          <w:p>
            <w:pPr>
              <w:pStyle w:val="974"/>
              <w:ind w:firstLine="480"/>
              <w:jc w:val="center"/>
              <w:spacing w:line="500" w:lineRule="exact"/>
              <w:rPr>
                <w:rFonts w:ascii="仿宋" w:hAnsi="仿宋" w:eastAsia="仿宋" w:cs="仿宋"/>
                <w:lang w:val="en-US"/>
              </w:rPr>
            </w:pPr>
            <w:r>
              <w:rPr>
                <w:rFonts w:ascii="仿宋" w:hAnsi="仿宋" w:eastAsia="仿宋" w:cs="仿宋"/>
                <w:lang w:val="en-US"/>
              </w:rPr>
            </w:r>
            <w:r/>
          </w:p>
        </w:tc>
        <w:tc>
          <w:tcPr>
            <w:tcW w:w="937" w:type="dxa"/>
            <w:vAlign w:val="center"/>
            <w:textDirection w:val="lrTb"/>
            <w:noWrap w:val="false"/>
          </w:tcPr>
          <w:p>
            <w:pPr>
              <w:pStyle w:val="974"/>
              <w:ind w:firstLine="480"/>
              <w:jc w:val="center"/>
              <w:spacing w:line="500" w:lineRule="exact"/>
              <w:rPr>
                <w:rFonts w:ascii="仿宋" w:hAnsi="仿宋" w:eastAsia="仿宋" w:cs="仿宋"/>
                <w:lang w:val="en-US"/>
              </w:rPr>
            </w:pPr>
            <w:r>
              <w:rPr>
                <w:rFonts w:ascii="仿宋" w:hAnsi="仿宋" w:eastAsia="仿宋" w:cs="仿宋"/>
                <w:lang w:val="en-US"/>
              </w:rPr>
            </w:r>
            <w:r/>
          </w:p>
        </w:tc>
        <w:tc>
          <w:tcPr>
            <w:tcW w:w="1018" w:type="dxa"/>
            <w:vAlign w:val="center"/>
            <w:textDirection w:val="lrTb"/>
            <w:noWrap w:val="false"/>
          </w:tcPr>
          <w:p>
            <w:pPr>
              <w:pStyle w:val="974"/>
              <w:ind w:firstLine="480"/>
              <w:jc w:val="center"/>
              <w:spacing w:line="500" w:lineRule="exact"/>
              <w:rPr>
                <w:rFonts w:ascii="仿宋" w:hAnsi="仿宋" w:eastAsia="仿宋" w:cs="仿宋"/>
                <w:lang w:val="en-US"/>
              </w:rPr>
            </w:pPr>
            <w:r>
              <w:rPr>
                <w:rFonts w:ascii="仿宋" w:hAnsi="仿宋" w:eastAsia="仿宋" w:cs="仿宋"/>
                <w:lang w:val="en-US"/>
              </w:rPr>
            </w:r>
            <w:r/>
          </w:p>
        </w:tc>
        <w:tc>
          <w:tcPr>
            <w:tcW w:w="1136" w:type="dxa"/>
            <w:vAlign w:val="center"/>
            <w:textDirection w:val="lrTb"/>
            <w:noWrap w:val="false"/>
          </w:tcPr>
          <w:p>
            <w:pPr>
              <w:pStyle w:val="974"/>
              <w:ind w:firstLine="480"/>
              <w:jc w:val="center"/>
              <w:spacing w:line="500" w:lineRule="exact"/>
              <w:rPr>
                <w:rFonts w:ascii="仿宋" w:hAnsi="仿宋" w:eastAsia="仿宋" w:cs="仿宋"/>
                <w:lang w:val="en-US"/>
              </w:rPr>
            </w:pPr>
            <w:r>
              <w:rPr>
                <w:rFonts w:ascii="仿宋" w:hAnsi="仿宋" w:eastAsia="仿宋" w:cs="仿宋"/>
                <w:lang w:val="en-US"/>
              </w:rPr>
            </w:r>
            <w:r/>
          </w:p>
        </w:tc>
        <w:tc>
          <w:tcPr>
            <w:tcW w:w="1028" w:type="dxa"/>
            <w:vAlign w:val="center"/>
            <w:textDirection w:val="lrTb"/>
            <w:noWrap w:val="false"/>
          </w:tcPr>
          <w:p>
            <w:pPr>
              <w:pStyle w:val="974"/>
              <w:ind w:firstLine="480"/>
              <w:jc w:val="center"/>
              <w:spacing w:line="500" w:lineRule="exact"/>
              <w:rPr>
                <w:rFonts w:ascii="仿宋" w:hAnsi="仿宋" w:eastAsia="仿宋" w:cs="仿宋"/>
                <w:lang w:val="en-US"/>
              </w:rPr>
            </w:pPr>
            <w:r>
              <w:rPr>
                <w:rFonts w:ascii="仿宋" w:hAnsi="仿宋" w:eastAsia="仿宋" w:cs="仿宋"/>
                <w:lang w:val="en-US"/>
              </w:rPr>
            </w:r>
            <w:r/>
          </w:p>
        </w:tc>
      </w:tr>
      <w:tr>
        <w:trPr/>
        <w:tc>
          <w:tcPr>
            <w:tcW w:w="849" w:type="dxa"/>
            <w:vAlign w:val="center"/>
            <w:textDirection w:val="lrTb"/>
            <w:noWrap w:val="false"/>
          </w:tcPr>
          <w:p>
            <w:pPr>
              <w:pStyle w:val="895"/>
              <w:jc w:val="center"/>
              <w:spacing w:line="500" w:lineRule="exact"/>
              <w:rPr>
                <w:rFonts w:ascii="仿宋" w:hAnsi="仿宋" w:eastAsia="仿宋" w:cs="仿宋"/>
                <w:sz w:val="24"/>
              </w:rPr>
            </w:pPr>
            <w:r>
              <w:rPr>
                <w:rFonts w:hint="eastAsia" w:ascii="仿宋" w:hAnsi="仿宋" w:eastAsia="仿宋" w:cs="仿宋"/>
                <w:sz w:val="24"/>
              </w:rPr>
              <w:t xml:space="preserve">2</w:t>
            </w:r>
            <w:r>
              <w:rPr>
                <w:rFonts w:ascii="仿宋" w:hAnsi="仿宋" w:eastAsia="仿宋" w:cs="仿宋"/>
                <w:sz w:val="24"/>
              </w:rPr>
            </w:r>
            <w:r/>
          </w:p>
        </w:tc>
        <w:tc>
          <w:tcPr>
            <w:tcW w:w="1118" w:type="dxa"/>
            <w:vAlign w:val="center"/>
            <w:textDirection w:val="lrTb"/>
            <w:noWrap w:val="false"/>
          </w:tcPr>
          <w:p>
            <w:pPr>
              <w:pStyle w:val="974"/>
              <w:ind w:firstLine="480"/>
              <w:jc w:val="center"/>
              <w:spacing w:line="500" w:lineRule="exact"/>
              <w:rPr>
                <w:rFonts w:ascii="仿宋" w:hAnsi="仿宋" w:eastAsia="仿宋" w:cs="仿宋"/>
                <w:lang w:val="en-US"/>
              </w:rPr>
            </w:pPr>
            <w:r>
              <w:rPr>
                <w:rFonts w:ascii="仿宋" w:hAnsi="仿宋" w:eastAsia="仿宋" w:cs="仿宋"/>
                <w:lang w:val="en-US"/>
              </w:rPr>
            </w:r>
            <w:r/>
          </w:p>
        </w:tc>
        <w:tc>
          <w:tcPr>
            <w:tcW w:w="3022" w:type="dxa"/>
            <w:vAlign w:val="center"/>
            <w:textDirection w:val="lrTb"/>
            <w:noWrap w:val="false"/>
          </w:tcPr>
          <w:p>
            <w:pPr>
              <w:pStyle w:val="974"/>
              <w:ind w:firstLine="480"/>
              <w:jc w:val="center"/>
              <w:spacing w:line="500" w:lineRule="exact"/>
              <w:rPr>
                <w:rFonts w:ascii="仿宋" w:hAnsi="仿宋" w:eastAsia="仿宋" w:cs="仿宋"/>
                <w:lang w:val="en-US"/>
              </w:rPr>
            </w:pPr>
            <w:r>
              <w:rPr>
                <w:rFonts w:ascii="仿宋" w:hAnsi="仿宋" w:eastAsia="仿宋" w:cs="仿宋"/>
                <w:lang w:val="en-US"/>
              </w:rPr>
            </w:r>
            <w:r/>
          </w:p>
        </w:tc>
        <w:tc>
          <w:tcPr>
            <w:tcW w:w="937" w:type="dxa"/>
            <w:vAlign w:val="center"/>
            <w:textDirection w:val="lrTb"/>
            <w:noWrap w:val="false"/>
          </w:tcPr>
          <w:p>
            <w:pPr>
              <w:pStyle w:val="974"/>
              <w:ind w:firstLine="480"/>
              <w:jc w:val="center"/>
              <w:spacing w:line="500" w:lineRule="exact"/>
              <w:rPr>
                <w:rFonts w:ascii="仿宋" w:hAnsi="仿宋" w:eastAsia="仿宋" w:cs="仿宋"/>
                <w:lang w:val="en-US"/>
              </w:rPr>
            </w:pPr>
            <w:r>
              <w:rPr>
                <w:rFonts w:ascii="仿宋" w:hAnsi="仿宋" w:eastAsia="仿宋" w:cs="仿宋"/>
                <w:lang w:val="en-US"/>
              </w:rPr>
            </w:r>
            <w:r/>
          </w:p>
        </w:tc>
        <w:tc>
          <w:tcPr>
            <w:tcW w:w="1018" w:type="dxa"/>
            <w:vAlign w:val="center"/>
            <w:textDirection w:val="lrTb"/>
            <w:noWrap w:val="false"/>
          </w:tcPr>
          <w:p>
            <w:pPr>
              <w:pStyle w:val="974"/>
              <w:ind w:firstLine="480"/>
              <w:jc w:val="center"/>
              <w:spacing w:line="500" w:lineRule="exact"/>
              <w:rPr>
                <w:rFonts w:ascii="仿宋" w:hAnsi="仿宋" w:eastAsia="仿宋" w:cs="仿宋"/>
                <w:lang w:val="en-US"/>
              </w:rPr>
            </w:pPr>
            <w:r>
              <w:rPr>
                <w:rFonts w:ascii="仿宋" w:hAnsi="仿宋" w:eastAsia="仿宋" w:cs="仿宋"/>
                <w:lang w:val="en-US"/>
              </w:rPr>
            </w:r>
            <w:r/>
          </w:p>
        </w:tc>
        <w:tc>
          <w:tcPr>
            <w:tcW w:w="1136" w:type="dxa"/>
            <w:vAlign w:val="center"/>
            <w:textDirection w:val="lrTb"/>
            <w:noWrap w:val="false"/>
          </w:tcPr>
          <w:p>
            <w:pPr>
              <w:pStyle w:val="974"/>
              <w:ind w:firstLine="480"/>
              <w:jc w:val="center"/>
              <w:spacing w:line="500" w:lineRule="exact"/>
              <w:rPr>
                <w:rFonts w:ascii="仿宋" w:hAnsi="仿宋" w:eastAsia="仿宋" w:cs="仿宋"/>
                <w:lang w:val="en-US"/>
              </w:rPr>
            </w:pPr>
            <w:r>
              <w:rPr>
                <w:rFonts w:ascii="仿宋" w:hAnsi="仿宋" w:eastAsia="仿宋" w:cs="仿宋"/>
                <w:lang w:val="en-US"/>
              </w:rPr>
            </w:r>
            <w:r/>
          </w:p>
        </w:tc>
        <w:tc>
          <w:tcPr>
            <w:tcW w:w="1028" w:type="dxa"/>
            <w:vAlign w:val="center"/>
            <w:textDirection w:val="lrTb"/>
            <w:noWrap w:val="false"/>
          </w:tcPr>
          <w:p>
            <w:pPr>
              <w:pStyle w:val="974"/>
              <w:ind w:firstLine="480"/>
              <w:jc w:val="center"/>
              <w:spacing w:line="500" w:lineRule="exact"/>
              <w:rPr>
                <w:rFonts w:ascii="仿宋" w:hAnsi="仿宋" w:eastAsia="仿宋" w:cs="仿宋"/>
                <w:lang w:val="en-US"/>
              </w:rPr>
            </w:pPr>
            <w:r>
              <w:rPr>
                <w:rFonts w:ascii="仿宋" w:hAnsi="仿宋" w:eastAsia="仿宋" w:cs="仿宋"/>
                <w:lang w:val="en-US"/>
              </w:rPr>
            </w:r>
            <w:r/>
          </w:p>
        </w:tc>
      </w:tr>
      <w:tr>
        <w:trPr/>
        <w:tc>
          <w:tcPr>
            <w:tcW w:w="849" w:type="dxa"/>
            <w:vAlign w:val="center"/>
            <w:textDirection w:val="lrTb"/>
            <w:noWrap w:val="false"/>
          </w:tcPr>
          <w:p>
            <w:pPr>
              <w:pStyle w:val="895"/>
              <w:jc w:val="center"/>
              <w:spacing w:line="500" w:lineRule="exact"/>
              <w:rPr>
                <w:rFonts w:ascii="仿宋" w:hAnsi="仿宋" w:eastAsia="仿宋" w:cs="仿宋"/>
                <w:sz w:val="24"/>
              </w:rPr>
            </w:pPr>
            <w:r>
              <w:rPr>
                <w:rFonts w:hint="eastAsia" w:ascii="仿宋" w:hAnsi="仿宋" w:eastAsia="仿宋" w:cs="仿宋"/>
                <w:sz w:val="24"/>
              </w:rPr>
              <w:t xml:space="preserve">3</w:t>
            </w:r>
            <w:r>
              <w:rPr>
                <w:rFonts w:ascii="仿宋" w:hAnsi="仿宋" w:eastAsia="仿宋" w:cs="仿宋"/>
                <w:sz w:val="24"/>
              </w:rPr>
            </w:r>
            <w:r/>
          </w:p>
        </w:tc>
        <w:tc>
          <w:tcPr>
            <w:tcW w:w="1118" w:type="dxa"/>
            <w:vAlign w:val="center"/>
            <w:textDirection w:val="lrTb"/>
            <w:noWrap w:val="false"/>
          </w:tcPr>
          <w:p>
            <w:pPr>
              <w:pStyle w:val="974"/>
              <w:ind w:firstLine="480"/>
              <w:jc w:val="center"/>
              <w:spacing w:line="500" w:lineRule="exact"/>
              <w:rPr>
                <w:rFonts w:ascii="仿宋" w:hAnsi="仿宋" w:eastAsia="仿宋" w:cs="仿宋"/>
                <w:lang w:val="en-US"/>
              </w:rPr>
            </w:pPr>
            <w:r>
              <w:rPr>
                <w:rFonts w:ascii="仿宋" w:hAnsi="仿宋" w:eastAsia="仿宋" w:cs="仿宋"/>
                <w:lang w:val="en-US"/>
              </w:rPr>
            </w:r>
            <w:r/>
          </w:p>
        </w:tc>
        <w:tc>
          <w:tcPr>
            <w:tcW w:w="3022" w:type="dxa"/>
            <w:vAlign w:val="center"/>
            <w:textDirection w:val="lrTb"/>
            <w:noWrap w:val="false"/>
          </w:tcPr>
          <w:p>
            <w:pPr>
              <w:pStyle w:val="974"/>
              <w:ind w:firstLine="480"/>
              <w:jc w:val="center"/>
              <w:spacing w:line="500" w:lineRule="exact"/>
              <w:rPr>
                <w:rFonts w:ascii="仿宋" w:hAnsi="仿宋" w:eastAsia="仿宋" w:cs="仿宋"/>
                <w:lang w:val="en-US"/>
              </w:rPr>
            </w:pPr>
            <w:r>
              <w:rPr>
                <w:rFonts w:ascii="仿宋" w:hAnsi="仿宋" w:eastAsia="仿宋" w:cs="仿宋"/>
                <w:lang w:val="en-US"/>
              </w:rPr>
            </w:r>
            <w:r/>
          </w:p>
        </w:tc>
        <w:tc>
          <w:tcPr>
            <w:tcW w:w="937" w:type="dxa"/>
            <w:vAlign w:val="center"/>
            <w:textDirection w:val="lrTb"/>
            <w:noWrap w:val="false"/>
          </w:tcPr>
          <w:p>
            <w:pPr>
              <w:pStyle w:val="974"/>
              <w:ind w:firstLine="480"/>
              <w:jc w:val="center"/>
              <w:spacing w:line="500" w:lineRule="exact"/>
              <w:rPr>
                <w:rFonts w:ascii="仿宋" w:hAnsi="仿宋" w:eastAsia="仿宋" w:cs="仿宋"/>
                <w:lang w:val="en-US"/>
              </w:rPr>
            </w:pPr>
            <w:r>
              <w:rPr>
                <w:rFonts w:ascii="仿宋" w:hAnsi="仿宋" w:eastAsia="仿宋" w:cs="仿宋"/>
                <w:lang w:val="en-US"/>
              </w:rPr>
            </w:r>
            <w:r/>
          </w:p>
        </w:tc>
        <w:tc>
          <w:tcPr>
            <w:tcW w:w="1018" w:type="dxa"/>
            <w:vAlign w:val="center"/>
            <w:textDirection w:val="lrTb"/>
            <w:noWrap w:val="false"/>
          </w:tcPr>
          <w:p>
            <w:pPr>
              <w:pStyle w:val="974"/>
              <w:ind w:firstLine="480"/>
              <w:jc w:val="center"/>
              <w:spacing w:line="500" w:lineRule="exact"/>
              <w:rPr>
                <w:rFonts w:ascii="仿宋" w:hAnsi="仿宋" w:eastAsia="仿宋" w:cs="仿宋"/>
                <w:lang w:val="en-US"/>
              </w:rPr>
            </w:pPr>
            <w:r>
              <w:rPr>
                <w:rFonts w:ascii="仿宋" w:hAnsi="仿宋" w:eastAsia="仿宋" w:cs="仿宋"/>
                <w:lang w:val="en-US"/>
              </w:rPr>
            </w:r>
            <w:r/>
          </w:p>
        </w:tc>
        <w:tc>
          <w:tcPr>
            <w:tcW w:w="1136" w:type="dxa"/>
            <w:vAlign w:val="center"/>
            <w:textDirection w:val="lrTb"/>
            <w:noWrap w:val="false"/>
          </w:tcPr>
          <w:p>
            <w:pPr>
              <w:pStyle w:val="974"/>
              <w:ind w:firstLine="480"/>
              <w:jc w:val="center"/>
              <w:spacing w:line="500" w:lineRule="exact"/>
              <w:rPr>
                <w:rFonts w:ascii="仿宋" w:hAnsi="仿宋" w:eastAsia="仿宋" w:cs="仿宋"/>
                <w:lang w:val="en-US"/>
              </w:rPr>
            </w:pPr>
            <w:r>
              <w:rPr>
                <w:rFonts w:ascii="仿宋" w:hAnsi="仿宋" w:eastAsia="仿宋" w:cs="仿宋"/>
                <w:lang w:val="en-US"/>
              </w:rPr>
            </w:r>
            <w:r/>
          </w:p>
        </w:tc>
        <w:tc>
          <w:tcPr>
            <w:tcW w:w="1028" w:type="dxa"/>
            <w:vAlign w:val="center"/>
            <w:textDirection w:val="lrTb"/>
            <w:noWrap w:val="false"/>
          </w:tcPr>
          <w:p>
            <w:pPr>
              <w:pStyle w:val="974"/>
              <w:ind w:firstLine="480"/>
              <w:jc w:val="center"/>
              <w:spacing w:line="500" w:lineRule="exact"/>
              <w:rPr>
                <w:rFonts w:ascii="仿宋" w:hAnsi="仿宋" w:eastAsia="仿宋" w:cs="仿宋"/>
                <w:lang w:val="en-US"/>
              </w:rPr>
            </w:pPr>
            <w:r>
              <w:rPr>
                <w:rFonts w:ascii="仿宋" w:hAnsi="仿宋" w:eastAsia="仿宋" w:cs="仿宋"/>
                <w:lang w:val="en-US"/>
              </w:rPr>
            </w:r>
            <w:r/>
          </w:p>
        </w:tc>
      </w:tr>
      <w:tr>
        <w:trPr/>
        <w:tc>
          <w:tcPr>
            <w:tcW w:w="849" w:type="dxa"/>
            <w:vAlign w:val="center"/>
            <w:textDirection w:val="lrTb"/>
            <w:noWrap w:val="false"/>
          </w:tcPr>
          <w:p>
            <w:pPr>
              <w:pStyle w:val="895"/>
              <w:jc w:val="center"/>
              <w:spacing w:line="500" w:lineRule="exact"/>
              <w:rPr>
                <w:rFonts w:ascii="仿宋" w:hAnsi="仿宋" w:eastAsia="仿宋" w:cs="仿宋"/>
                <w:sz w:val="24"/>
              </w:rPr>
            </w:pPr>
            <w:r>
              <w:rPr>
                <w:rFonts w:hint="eastAsia" w:ascii="仿宋" w:hAnsi="仿宋" w:eastAsia="仿宋" w:cs="仿宋"/>
                <w:sz w:val="24"/>
              </w:rPr>
              <w:t xml:space="preserve">4</w:t>
            </w:r>
            <w:r>
              <w:rPr>
                <w:rFonts w:ascii="仿宋" w:hAnsi="仿宋" w:eastAsia="仿宋" w:cs="仿宋"/>
                <w:sz w:val="24"/>
              </w:rPr>
            </w:r>
            <w:r/>
          </w:p>
        </w:tc>
        <w:tc>
          <w:tcPr>
            <w:tcW w:w="1118" w:type="dxa"/>
            <w:vAlign w:val="center"/>
            <w:textDirection w:val="lrTb"/>
            <w:noWrap w:val="false"/>
          </w:tcPr>
          <w:p>
            <w:pPr>
              <w:pStyle w:val="974"/>
              <w:ind w:firstLine="480"/>
              <w:jc w:val="center"/>
              <w:spacing w:line="500" w:lineRule="exact"/>
              <w:rPr>
                <w:rFonts w:ascii="仿宋" w:hAnsi="仿宋" w:eastAsia="仿宋" w:cs="仿宋"/>
                <w:lang w:val="en-US"/>
              </w:rPr>
            </w:pPr>
            <w:r>
              <w:rPr>
                <w:rFonts w:ascii="仿宋" w:hAnsi="仿宋" w:eastAsia="仿宋" w:cs="仿宋"/>
                <w:lang w:val="en-US"/>
              </w:rPr>
            </w:r>
            <w:r/>
          </w:p>
        </w:tc>
        <w:tc>
          <w:tcPr>
            <w:tcW w:w="3022" w:type="dxa"/>
            <w:vAlign w:val="center"/>
            <w:textDirection w:val="lrTb"/>
            <w:noWrap w:val="false"/>
          </w:tcPr>
          <w:p>
            <w:pPr>
              <w:pStyle w:val="974"/>
              <w:ind w:firstLine="480"/>
              <w:jc w:val="center"/>
              <w:spacing w:line="500" w:lineRule="exact"/>
              <w:rPr>
                <w:rFonts w:ascii="仿宋" w:hAnsi="仿宋" w:eastAsia="仿宋" w:cs="仿宋"/>
                <w:lang w:val="en-US"/>
              </w:rPr>
            </w:pPr>
            <w:r>
              <w:rPr>
                <w:rFonts w:ascii="仿宋" w:hAnsi="仿宋" w:eastAsia="仿宋" w:cs="仿宋"/>
                <w:lang w:val="en-US"/>
              </w:rPr>
            </w:r>
            <w:r/>
          </w:p>
        </w:tc>
        <w:tc>
          <w:tcPr>
            <w:tcW w:w="937" w:type="dxa"/>
            <w:vAlign w:val="center"/>
            <w:textDirection w:val="lrTb"/>
            <w:noWrap w:val="false"/>
          </w:tcPr>
          <w:p>
            <w:pPr>
              <w:pStyle w:val="974"/>
              <w:ind w:firstLine="480"/>
              <w:jc w:val="center"/>
              <w:spacing w:line="500" w:lineRule="exact"/>
              <w:rPr>
                <w:rFonts w:ascii="仿宋" w:hAnsi="仿宋" w:eastAsia="仿宋" w:cs="仿宋"/>
                <w:lang w:val="en-US"/>
              </w:rPr>
            </w:pPr>
            <w:r>
              <w:rPr>
                <w:rFonts w:ascii="仿宋" w:hAnsi="仿宋" w:eastAsia="仿宋" w:cs="仿宋"/>
                <w:lang w:val="en-US"/>
              </w:rPr>
            </w:r>
            <w:r/>
          </w:p>
        </w:tc>
        <w:tc>
          <w:tcPr>
            <w:tcW w:w="1018" w:type="dxa"/>
            <w:vAlign w:val="center"/>
            <w:textDirection w:val="lrTb"/>
            <w:noWrap w:val="false"/>
          </w:tcPr>
          <w:p>
            <w:pPr>
              <w:pStyle w:val="974"/>
              <w:ind w:firstLine="480"/>
              <w:jc w:val="center"/>
              <w:spacing w:line="500" w:lineRule="exact"/>
              <w:rPr>
                <w:rFonts w:ascii="仿宋" w:hAnsi="仿宋" w:eastAsia="仿宋" w:cs="仿宋"/>
                <w:lang w:val="en-US"/>
              </w:rPr>
            </w:pPr>
            <w:r>
              <w:rPr>
                <w:rFonts w:ascii="仿宋" w:hAnsi="仿宋" w:eastAsia="仿宋" w:cs="仿宋"/>
                <w:lang w:val="en-US"/>
              </w:rPr>
            </w:r>
            <w:r/>
          </w:p>
        </w:tc>
        <w:tc>
          <w:tcPr>
            <w:tcW w:w="1136" w:type="dxa"/>
            <w:vAlign w:val="center"/>
            <w:textDirection w:val="lrTb"/>
            <w:noWrap w:val="false"/>
          </w:tcPr>
          <w:p>
            <w:pPr>
              <w:pStyle w:val="974"/>
              <w:ind w:firstLine="480"/>
              <w:jc w:val="center"/>
              <w:spacing w:line="500" w:lineRule="exact"/>
              <w:rPr>
                <w:rFonts w:ascii="仿宋" w:hAnsi="仿宋" w:eastAsia="仿宋" w:cs="仿宋"/>
                <w:lang w:val="en-US"/>
              </w:rPr>
            </w:pPr>
            <w:r>
              <w:rPr>
                <w:rFonts w:ascii="仿宋" w:hAnsi="仿宋" w:eastAsia="仿宋" w:cs="仿宋"/>
                <w:lang w:val="en-US"/>
              </w:rPr>
            </w:r>
            <w:r/>
          </w:p>
        </w:tc>
        <w:tc>
          <w:tcPr>
            <w:tcW w:w="1028" w:type="dxa"/>
            <w:vAlign w:val="center"/>
            <w:textDirection w:val="lrTb"/>
            <w:noWrap w:val="false"/>
          </w:tcPr>
          <w:p>
            <w:pPr>
              <w:pStyle w:val="974"/>
              <w:ind w:firstLine="480"/>
              <w:jc w:val="center"/>
              <w:spacing w:line="500" w:lineRule="exact"/>
              <w:rPr>
                <w:rFonts w:ascii="仿宋" w:hAnsi="仿宋" w:eastAsia="仿宋" w:cs="仿宋"/>
                <w:lang w:val="en-US"/>
              </w:rPr>
            </w:pPr>
            <w:r>
              <w:rPr>
                <w:rFonts w:ascii="仿宋" w:hAnsi="仿宋" w:eastAsia="仿宋" w:cs="仿宋"/>
                <w:lang w:val="en-US"/>
              </w:rPr>
            </w:r>
            <w:r/>
          </w:p>
        </w:tc>
      </w:tr>
      <w:tr>
        <w:trPr/>
        <w:tc>
          <w:tcPr>
            <w:tcW w:w="849" w:type="dxa"/>
            <w:vAlign w:val="center"/>
            <w:textDirection w:val="lrTb"/>
            <w:noWrap w:val="false"/>
          </w:tcPr>
          <w:p>
            <w:pPr>
              <w:pStyle w:val="895"/>
              <w:jc w:val="center"/>
              <w:spacing w:line="500" w:lineRule="exact"/>
              <w:rPr>
                <w:rFonts w:ascii="仿宋" w:hAnsi="仿宋" w:eastAsia="仿宋" w:cs="仿宋"/>
                <w:sz w:val="24"/>
              </w:rPr>
            </w:pPr>
            <w:r>
              <w:rPr>
                <w:rFonts w:ascii="仿宋" w:hAnsi="仿宋" w:eastAsia="仿宋" w:cs="仿宋"/>
                <w:sz w:val="24"/>
              </w:rPr>
              <w:t xml:space="preserve">5</w:t>
            </w:r>
            <w:r/>
          </w:p>
        </w:tc>
        <w:tc>
          <w:tcPr>
            <w:tcW w:w="1118" w:type="dxa"/>
            <w:vAlign w:val="center"/>
            <w:textDirection w:val="lrTb"/>
            <w:noWrap w:val="false"/>
          </w:tcPr>
          <w:p>
            <w:pPr>
              <w:pStyle w:val="974"/>
              <w:ind w:firstLine="480"/>
              <w:jc w:val="center"/>
              <w:spacing w:line="500" w:lineRule="exact"/>
              <w:rPr>
                <w:rFonts w:ascii="仿宋" w:hAnsi="仿宋" w:eastAsia="仿宋" w:cs="仿宋"/>
                <w:lang w:val="en-US"/>
              </w:rPr>
            </w:pPr>
            <w:r>
              <w:rPr>
                <w:rFonts w:ascii="仿宋" w:hAnsi="仿宋" w:eastAsia="仿宋" w:cs="仿宋"/>
                <w:lang w:val="en-US"/>
              </w:rPr>
            </w:r>
            <w:r/>
          </w:p>
        </w:tc>
        <w:tc>
          <w:tcPr>
            <w:tcW w:w="3022" w:type="dxa"/>
            <w:vAlign w:val="center"/>
            <w:textDirection w:val="lrTb"/>
            <w:noWrap w:val="false"/>
          </w:tcPr>
          <w:p>
            <w:pPr>
              <w:pStyle w:val="974"/>
              <w:ind w:firstLine="480"/>
              <w:jc w:val="center"/>
              <w:spacing w:line="500" w:lineRule="exact"/>
              <w:rPr>
                <w:rFonts w:ascii="仿宋" w:hAnsi="仿宋" w:eastAsia="仿宋" w:cs="仿宋"/>
                <w:lang w:val="en-US"/>
              </w:rPr>
            </w:pPr>
            <w:r>
              <w:rPr>
                <w:rFonts w:ascii="仿宋" w:hAnsi="仿宋" w:eastAsia="仿宋" w:cs="仿宋"/>
                <w:lang w:val="en-US"/>
              </w:rPr>
            </w:r>
            <w:r/>
          </w:p>
        </w:tc>
        <w:tc>
          <w:tcPr>
            <w:tcW w:w="937" w:type="dxa"/>
            <w:vAlign w:val="center"/>
            <w:textDirection w:val="lrTb"/>
            <w:noWrap w:val="false"/>
          </w:tcPr>
          <w:p>
            <w:pPr>
              <w:pStyle w:val="974"/>
              <w:ind w:firstLine="480"/>
              <w:jc w:val="center"/>
              <w:spacing w:line="500" w:lineRule="exact"/>
              <w:rPr>
                <w:rFonts w:ascii="仿宋" w:hAnsi="仿宋" w:eastAsia="仿宋" w:cs="仿宋"/>
                <w:lang w:val="en-US"/>
              </w:rPr>
            </w:pPr>
            <w:r>
              <w:rPr>
                <w:rFonts w:ascii="仿宋" w:hAnsi="仿宋" w:eastAsia="仿宋" w:cs="仿宋"/>
                <w:lang w:val="en-US"/>
              </w:rPr>
            </w:r>
            <w:r/>
          </w:p>
        </w:tc>
        <w:tc>
          <w:tcPr>
            <w:tcW w:w="1018" w:type="dxa"/>
            <w:vAlign w:val="center"/>
            <w:textDirection w:val="lrTb"/>
            <w:noWrap w:val="false"/>
          </w:tcPr>
          <w:p>
            <w:pPr>
              <w:pStyle w:val="974"/>
              <w:ind w:firstLine="480"/>
              <w:jc w:val="center"/>
              <w:spacing w:line="500" w:lineRule="exact"/>
              <w:rPr>
                <w:rFonts w:ascii="仿宋" w:hAnsi="仿宋" w:eastAsia="仿宋" w:cs="仿宋"/>
                <w:lang w:val="en-US"/>
              </w:rPr>
            </w:pPr>
            <w:r>
              <w:rPr>
                <w:rFonts w:ascii="仿宋" w:hAnsi="仿宋" w:eastAsia="仿宋" w:cs="仿宋"/>
                <w:lang w:val="en-US"/>
              </w:rPr>
            </w:r>
            <w:r/>
          </w:p>
        </w:tc>
        <w:tc>
          <w:tcPr>
            <w:tcW w:w="1136" w:type="dxa"/>
            <w:vAlign w:val="center"/>
            <w:textDirection w:val="lrTb"/>
            <w:noWrap w:val="false"/>
          </w:tcPr>
          <w:p>
            <w:pPr>
              <w:pStyle w:val="974"/>
              <w:ind w:firstLine="480"/>
              <w:jc w:val="center"/>
              <w:spacing w:line="500" w:lineRule="exact"/>
              <w:rPr>
                <w:rFonts w:ascii="仿宋" w:hAnsi="仿宋" w:eastAsia="仿宋" w:cs="仿宋"/>
                <w:lang w:val="en-US"/>
              </w:rPr>
            </w:pPr>
            <w:r>
              <w:rPr>
                <w:rFonts w:ascii="仿宋" w:hAnsi="仿宋" w:eastAsia="仿宋" w:cs="仿宋"/>
                <w:lang w:val="en-US"/>
              </w:rPr>
            </w:r>
            <w:r/>
          </w:p>
        </w:tc>
        <w:tc>
          <w:tcPr>
            <w:tcW w:w="1028" w:type="dxa"/>
            <w:vAlign w:val="center"/>
            <w:textDirection w:val="lrTb"/>
            <w:noWrap w:val="false"/>
          </w:tcPr>
          <w:p>
            <w:pPr>
              <w:pStyle w:val="974"/>
              <w:ind w:firstLine="480"/>
              <w:jc w:val="center"/>
              <w:spacing w:line="500" w:lineRule="exact"/>
              <w:rPr>
                <w:rFonts w:ascii="仿宋" w:hAnsi="仿宋" w:eastAsia="仿宋" w:cs="仿宋"/>
                <w:lang w:val="en-US"/>
              </w:rPr>
            </w:pPr>
            <w:r>
              <w:rPr>
                <w:rFonts w:ascii="仿宋" w:hAnsi="仿宋" w:eastAsia="仿宋" w:cs="仿宋"/>
                <w:lang w:val="en-US"/>
              </w:rPr>
            </w:r>
            <w:r/>
          </w:p>
        </w:tc>
      </w:tr>
      <w:tr>
        <w:trPr/>
        <w:tc>
          <w:tcPr>
            <w:gridSpan w:val="6"/>
            <w:tcW w:w="8080" w:type="dxa"/>
            <w:vAlign w:val="center"/>
            <w:textDirection w:val="lrTb"/>
            <w:noWrap w:val="false"/>
          </w:tcPr>
          <w:p>
            <w:pPr>
              <w:pStyle w:val="895"/>
              <w:jc w:val="center"/>
              <w:spacing w:line="500" w:lineRule="exact"/>
              <w:rPr>
                <w:rFonts w:ascii="仿宋" w:hAnsi="仿宋" w:eastAsia="仿宋" w:cs="仿宋"/>
                <w:sz w:val="24"/>
              </w:rPr>
            </w:pPr>
            <w:r>
              <w:rPr>
                <w:rFonts w:hint="eastAsia" w:ascii="仿宋" w:hAnsi="仿宋" w:eastAsia="仿宋" w:cs="仿宋"/>
                <w:sz w:val="24"/>
              </w:rPr>
              <w:t xml:space="preserve">合计（含税）</w:t>
            </w:r>
            <w:r>
              <w:rPr>
                <w:rFonts w:ascii="仿宋" w:hAnsi="仿宋" w:eastAsia="仿宋" w:cs="仿宋"/>
                <w:sz w:val="24"/>
              </w:rPr>
            </w:r>
            <w:r/>
          </w:p>
        </w:tc>
        <w:tc>
          <w:tcPr>
            <w:tcW w:w="1028" w:type="dxa"/>
            <w:vAlign w:val="center"/>
            <w:textDirection w:val="lrTb"/>
            <w:noWrap w:val="false"/>
          </w:tcPr>
          <w:p>
            <w:pPr>
              <w:pStyle w:val="895"/>
              <w:spacing w:line="500" w:lineRule="exact"/>
              <w:rPr>
                <w:rFonts w:ascii="仿宋" w:hAnsi="仿宋" w:eastAsia="仿宋" w:cs="仿宋"/>
                <w:sz w:val="24"/>
              </w:rPr>
            </w:pPr>
            <w:r>
              <w:rPr>
                <w:rFonts w:ascii="仿宋" w:hAnsi="仿宋" w:eastAsia="仿宋" w:cs="仿宋"/>
                <w:sz w:val="24"/>
              </w:rPr>
            </w:r>
            <w:r/>
          </w:p>
        </w:tc>
      </w:tr>
    </w:tbl>
    <w:p>
      <w:pPr>
        <w:pStyle w:val="895"/>
        <w:ind w:firstLine="420"/>
        <w:spacing w:line="500" w:lineRule="exact"/>
        <w:rPr>
          <w:rFonts w:ascii="仿宋" w:hAnsi="仿宋" w:eastAsia="仿宋" w:cs="仿宋"/>
          <w:sz w:val="28"/>
          <w:szCs w:val="28"/>
        </w:rPr>
      </w:pPr>
      <w:r>
        <w:rPr>
          <w:rFonts w:hint="eastAsia" w:ascii="仿宋" w:hAnsi="仿宋" w:eastAsia="仿宋" w:cs="仿宋"/>
          <w:sz w:val="28"/>
          <w:szCs w:val="28"/>
        </w:rPr>
        <w:t xml:space="preserve">备注：上述设备必备的备品备件为：</w:t>
      </w:r>
      <w:r>
        <w:rPr>
          <w:rFonts w:hint="eastAsia" w:ascii="仿宋" w:hAnsi="仿宋" w:eastAsia="仿宋" w:cs="仿宋"/>
          <w:sz w:val="28"/>
          <w:szCs w:val="28"/>
          <w:u w:val="single"/>
        </w:rPr>
        <w:t xml:space="preserve">           </w:t>
      </w:r>
      <w:r>
        <w:rPr>
          <w:rFonts w:ascii="仿宋" w:hAnsi="仿宋" w:eastAsia="仿宋" w:cs="仿宋"/>
          <w:sz w:val="28"/>
          <w:szCs w:val="28"/>
          <w:u w:val="single"/>
        </w:rPr>
        <w:t xml:space="preserve">，详情请见附件    </w:t>
      </w:r>
      <w:r>
        <w:rPr>
          <w:rFonts w:hint="eastAsia" w:ascii="仿宋" w:hAnsi="仿宋" w:eastAsia="仿宋" w:cs="仿宋"/>
          <w:sz w:val="28"/>
          <w:szCs w:val="28"/>
        </w:rPr>
        <w:t xml:space="preserve">。</w:t>
      </w:r>
      <w:r>
        <w:rPr>
          <w:rFonts w:ascii="仿宋" w:hAnsi="仿宋" w:eastAsia="仿宋" w:cs="仿宋"/>
          <w:sz w:val="28"/>
          <w:szCs w:val="28"/>
        </w:rPr>
      </w:r>
      <w:r/>
    </w:p>
    <w:p>
      <w:pPr>
        <w:pStyle w:val="895"/>
        <w:ind w:firstLine="562"/>
        <w:spacing w:line="500" w:lineRule="exact"/>
        <w:rPr>
          <w:rFonts w:ascii="仿宋" w:hAnsi="仿宋" w:eastAsia="仿宋" w:cs="仿宋"/>
          <w:b/>
          <w:sz w:val="28"/>
          <w:szCs w:val="28"/>
        </w:rPr>
        <w:outlineLvl w:val="0"/>
      </w:pPr>
      <w:r/>
      <w:bookmarkStart w:id="183" w:name="_Toc22244"/>
      <w:r>
        <w:rPr>
          <w:rFonts w:hint="eastAsia" w:ascii="仿宋" w:hAnsi="仿宋" w:eastAsia="仿宋" w:cs="仿宋"/>
          <w:b/>
          <w:sz w:val="28"/>
          <w:szCs w:val="28"/>
        </w:rPr>
        <w:t xml:space="preserve">二、价款及支付</w:t>
      </w:r>
      <w:bookmarkEnd w:id="183"/>
      <w:r>
        <w:rPr>
          <w:rFonts w:ascii="仿宋" w:hAnsi="仿宋" w:eastAsia="仿宋" w:cs="仿宋"/>
          <w:b/>
          <w:sz w:val="28"/>
          <w:szCs w:val="28"/>
        </w:rPr>
      </w:r>
      <w:r/>
    </w:p>
    <w:p>
      <w:pPr>
        <w:pStyle w:val="974"/>
        <w:ind w:left="0" w:firstLine="560"/>
        <w:spacing w:line="500" w:lineRule="exact"/>
        <w:rPr>
          <w:rFonts w:ascii="仿宋" w:hAnsi="仿宋" w:eastAsia="仿宋" w:cs="仿宋"/>
          <w:sz w:val="28"/>
          <w:szCs w:val="28"/>
          <w:lang w:eastAsia="zh-CN"/>
        </w:rPr>
      </w:pPr>
      <w:r>
        <w:rPr>
          <w:rFonts w:hint="eastAsia" w:ascii="仿宋" w:hAnsi="仿宋" w:eastAsia="仿宋" w:cs="仿宋"/>
          <w:sz w:val="28"/>
          <w:szCs w:val="28"/>
          <w:lang w:eastAsia="zh-CN"/>
        </w:rPr>
        <w:t xml:space="preserve">1、本合同总价款为人民币（大写</w:t>
      </w:r>
      <w:r>
        <w:rPr>
          <w:rFonts w:hint="eastAsia" w:ascii="仿宋" w:hAnsi="仿宋" w:eastAsia="仿宋" w:cs="仿宋"/>
          <w:sz w:val="28"/>
          <w:szCs w:val="28"/>
          <w:u w:val="single"/>
          <w:lang w:eastAsia="zh-CN"/>
        </w:rPr>
        <w:t xml:space="preserve">）            </w:t>
      </w:r>
      <w:r>
        <w:rPr>
          <w:rFonts w:hint="eastAsia" w:ascii="仿宋" w:hAnsi="仿宋" w:eastAsia="仿宋" w:cs="仿宋"/>
          <w:sz w:val="28"/>
          <w:szCs w:val="28"/>
          <w:lang w:eastAsia="zh-CN"/>
        </w:rPr>
        <w:t xml:space="preserve">元整（￥</w:t>
      </w:r>
      <w:r>
        <w:rPr>
          <w:rFonts w:hint="eastAsia" w:ascii="仿宋" w:hAnsi="仿宋" w:eastAsia="仿宋" w:cs="仿宋"/>
          <w:sz w:val="28"/>
          <w:szCs w:val="28"/>
          <w:u w:val="single"/>
          <w:lang w:eastAsia="zh-CN"/>
        </w:rPr>
        <w:t xml:space="preserve">        </w:t>
      </w:r>
      <w:r>
        <w:rPr>
          <w:rFonts w:hint="eastAsia" w:ascii="仿宋" w:hAnsi="仿宋" w:eastAsia="仿宋" w:cs="仿宋"/>
          <w:sz w:val="28"/>
          <w:szCs w:val="28"/>
          <w:lang w:eastAsia="zh-CN"/>
        </w:rPr>
        <w:t xml:space="preserve">），增值税税率为</w:t>
      </w:r>
      <w:r>
        <w:rPr>
          <w:rFonts w:hint="eastAsia" w:ascii="仿宋" w:hAnsi="仿宋" w:eastAsia="仿宋" w:cs="仿宋"/>
          <w:sz w:val="28"/>
          <w:szCs w:val="28"/>
          <w:u w:val="single"/>
          <w:lang w:eastAsia="zh-CN"/>
        </w:rPr>
        <w:t xml:space="preserve">  </w:t>
      </w:r>
      <w:r>
        <w:rPr>
          <w:rFonts w:hint="eastAsia" w:ascii="仿宋" w:hAnsi="仿宋" w:eastAsia="仿宋" w:cs="仿宋"/>
          <w:sz w:val="28"/>
          <w:szCs w:val="28"/>
          <w:lang w:eastAsia="zh-CN"/>
        </w:rPr>
        <w:t xml:space="preserve">%</w:t>
      </w:r>
      <w:r>
        <w:rPr>
          <w:rFonts w:ascii="仿宋" w:hAnsi="仿宋" w:eastAsia="仿宋" w:cs="仿宋"/>
          <w:sz w:val="28"/>
          <w:szCs w:val="28"/>
          <w:lang w:eastAsia="zh-CN"/>
        </w:rPr>
        <w:t xml:space="preserve">。</w:t>
      </w:r>
      <w:r>
        <w:rPr>
          <w:rFonts w:hint="eastAsia" w:ascii="仿宋" w:hAnsi="仿宋" w:eastAsia="仿宋" w:cs="仿宋"/>
          <w:sz w:val="28"/>
          <w:szCs w:val="28"/>
          <w:lang w:eastAsia="zh-CN"/>
        </w:rPr>
        <w:t xml:space="preserve">付款方式同招标文件商务条款。</w:t>
      </w:r>
      <w:r>
        <w:rPr>
          <w:rFonts w:ascii="仿宋" w:hAnsi="仿宋" w:eastAsia="仿宋" w:cs="仿宋"/>
          <w:sz w:val="28"/>
          <w:szCs w:val="28"/>
          <w:lang w:eastAsia="zh-CN"/>
        </w:rPr>
      </w:r>
      <w:r/>
    </w:p>
    <w:p>
      <w:pPr>
        <w:pStyle w:val="974"/>
        <w:ind w:left="0" w:firstLine="560"/>
        <w:spacing w:line="500" w:lineRule="exact"/>
        <w:rPr>
          <w:rFonts w:ascii="仿宋" w:hAnsi="仿宋" w:eastAsia="仿宋" w:cs="仿宋"/>
          <w:sz w:val="28"/>
          <w:szCs w:val="28"/>
          <w:lang w:eastAsia="zh-CN"/>
        </w:rPr>
      </w:pPr>
      <w:r>
        <w:rPr>
          <w:rFonts w:hint="eastAsia" w:ascii="仿宋" w:hAnsi="仿宋" w:eastAsia="仿宋" w:cs="仿宋"/>
          <w:sz w:val="28"/>
          <w:szCs w:val="28"/>
          <w:lang w:eastAsia="zh-CN"/>
        </w:rPr>
        <w:t xml:space="preserve">2、本合同总价款包括增值税税金、设备设计、制造、包装、仓储、运输、装卸、保险、安装以及验收合格前和保修期内设备及其备品备件更换及维修发生的费用等所有费用。</w:t>
      </w:r>
      <w:r>
        <w:rPr>
          <w:rFonts w:ascii="仿宋" w:hAnsi="仿宋" w:eastAsia="仿宋" w:cs="仿宋"/>
          <w:sz w:val="28"/>
          <w:szCs w:val="28"/>
          <w:lang w:eastAsia="zh-CN"/>
        </w:rPr>
      </w:r>
      <w:r/>
    </w:p>
    <w:p>
      <w:pPr>
        <w:pStyle w:val="974"/>
        <w:ind w:left="0" w:firstLine="562"/>
        <w:spacing w:line="500" w:lineRule="exact"/>
        <w:rPr>
          <w:rFonts w:ascii="仿宋" w:hAnsi="仿宋" w:eastAsia="仿宋" w:cs="仿宋"/>
          <w:b/>
          <w:sz w:val="28"/>
          <w:szCs w:val="28"/>
          <w:lang w:eastAsia="zh-CN"/>
        </w:rPr>
        <w:outlineLvl w:val="0"/>
      </w:pPr>
      <w:r/>
      <w:bookmarkStart w:id="184" w:name="_Toc13801"/>
      <w:r>
        <w:rPr>
          <w:rFonts w:hint="eastAsia" w:ascii="仿宋" w:hAnsi="仿宋" w:eastAsia="仿宋" w:cs="仿宋"/>
          <w:b/>
          <w:sz w:val="28"/>
          <w:szCs w:val="28"/>
          <w:lang w:eastAsia="zh-CN"/>
        </w:rPr>
        <w:t xml:space="preserve">三、质量保证和承诺</w:t>
      </w:r>
      <w:bookmarkEnd w:id="184"/>
      <w:r>
        <w:rPr>
          <w:rFonts w:ascii="仿宋" w:hAnsi="仿宋" w:eastAsia="仿宋" w:cs="仿宋"/>
          <w:b/>
          <w:sz w:val="28"/>
          <w:szCs w:val="28"/>
          <w:lang w:eastAsia="zh-CN"/>
        </w:rPr>
      </w:r>
      <w:r/>
    </w:p>
    <w:p>
      <w:pPr>
        <w:pStyle w:val="974"/>
        <w:ind w:left="0" w:firstLine="560"/>
        <w:spacing w:line="500" w:lineRule="exact"/>
        <w:rPr>
          <w:rFonts w:ascii="仿宋" w:hAnsi="仿宋" w:eastAsia="仿宋" w:cs="仿宋"/>
          <w:sz w:val="28"/>
          <w:szCs w:val="28"/>
          <w:lang w:eastAsia="zh-CN"/>
        </w:rPr>
      </w:pPr>
      <w:r>
        <w:rPr>
          <w:rFonts w:hint="eastAsia" w:ascii="仿宋" w:hAnsi="仿宋" w:eastAsia="仿宋" w:cs="仿宋"/>
          <w:sz w:val="28"/>
          <w:szCs w:val="28"/>
          <w:lang w:eastAsia="zh-CN"/>
        </w:rPr>
        <w:t xml:space="preserve">1、乙方提供的设备应符合国家标准、行业标准和企业标准中标准高的标准。</w:t>
      </w:r>
      <w:r>
        <w:rPr>
          <w:rFonts w:ascii="仿宋" w:hAnsi="仿宋" w:eastAsia="仿宋" w:cs="仿宋"/>
          <w:sz w:val="28"/>
          <w:szCs w:val="28"/>
          <w:lang w:eastAsia="zh-CN"/>
        </w:rPr>
      </w:r>
      <w:r/>
    </w:p>
    <w:p>
      <w:pPr>
        <w:pStyle w:val="974"/>
        <w:ind w:left="0" w:firstLine="560"/>
        <w:spacing w:line="500" w:lineRule="exact"/>
        <w:rPr>
          <w:rFonts w:ascii="仿宋" w:hAnsi="仿宋" w:eastAsia="仿宋" w:cs="仿宋"/>
          <w:sz w:val="28"/>
          <w:szCs w:val="28"/>
          <w:lang w:eastAsia="zh-CN"/>
        </w:rPr>
      </w:pPr>
      <w:r>
        <w:rPr>
          <w:rFonts w:hint="eastAsia" w:ascii="仿宋" w:hAnsi="仿宋" w:eastAsia="仿宋" w:cs="仿宋"/>
          <w:sz w:val="28"/>
          <w:szCs w:val="28"/>
          <w:lang w:eastAsia="zh-CN"/>
        </w:rPr>
        <w:t xml:space="preserve">2、乙方应保证设备是全新、未使用过的原厂原装合格正品，并完全符合甲方的技术标准以及合同约定的验收标准，所附各种材料及配件等必须齐全。乙方应保证其提供的设备在正确安装、正常使用和保养条件下，在其使用寿命内具有良好的性能。</w:t>
      </w:r>
      <w:r>
        <w:rPr>
          <w:rFonts w:ascii="仿宋" w:hAnsi="仿宋" w:eastAsia="仿宋" w:cs="仿宋"/>
          <w:sz w:val="28"/>
          <w:szCs w:val="28"/>
          <w:lang w:eastAsia="zh-CN"/>
        </w:rPr>
      </w:r>
      <w:r/>
    </w:p>
    <w:p>
      <w:pPr>
        <w:pStyle w:val="974"/>
        <w:ind w:left="0" w:firstLine="560"/>
        <w:spacing w:line="500" w:lineRule="exact"/>
        <w:rPr>
          <w:rFonts w:ascii="仿宋" w:hAnsi="仿宋" w:eastAsia="仿宋" w:cs="仿宋"/>
          <w:sz w:val="28"/>
          <w:szCs w:val="28"/>
          <w:lang w:eastAsia="zh-CN"/>
        </w:rPr>
      </w:pPr>
      <w:r>
        <w:rPr>
          <w:rFonts w:hint="eastAsia" w:ascii="仿宋" w:hAnsi="仿宋" w:eastAsia="仿宋" w:cs="仿宋"/>
          <w:sz w:val="28"/>
          <w:szCs w:val="28"/>
          <w:lang w:eastAsia="zh-CN"/>
        </w:rPr>
        <w:t xml:space="preserve">3、乙方应保证提供的设备（包括各种材料及配件）未侵犯第三方的知识产权，必要时向甲方提供权属证明文件。如设备本身或者甲方在合同范围内合理使用时发生侵犯第三方知识产权，乙方应当承担由此产生的全部损失和赔偿责任。</w:t>
      </w:r>
      <w:r>
        <w:rPr>
          <w:rFonts w:ascii="仿宋" w:hAnsi="仿宋" w:eastAsia="仿宋" w:cs="仿宋"/>
          <w:sz w:val="28"/>
          <w:szCs w:val="28"/>
          <w:lang w:eastAsia="zh-CN"/>
        </w:rPr>
      </w:r>
      <w:r/>
    </w:p>
    <w:p>
      <w:pPr>
        <w:pStyle w:val="974"/>
        <w:ind w:left="0" w:firstLine="562"/>
        <w:spacing w:line="500" w:lineRule="exact"/>
        <w:rPr>
          <w:rFonts w:ascii="仿宋" w:hAnsi="仿宋" w:eastAsia="仿宋" w:cs="仿宋"/>
          <w:b/>
          <w:sz w:val="28"/>
          <w:szCs w:val="28"/>
          <w:lang w:eastAsia="zh-CN"/>
        </w:rPr>
        <w:outlineLvl w:val="0"/>
      </w:pPr>
      <w:r/>
      <w:bookmarkStart w:id="185" w:name="_Toc14858"/>
      <w:r>
        <w:rPr>
          <w:rFonts w:hint="eastAsia" w:ascii="仿宋" w:hAnsi="仿宋" w:eastAsia="仿宋" w:cs="仿宋"/>
          <w:b/>
          <w:sz w:val="28"/>
          <w:szCs w:val="28"/>
          <w:lang w:eastAsia="zh-CN"/>
        </w:rPr>
        <w:t xml:space="preserve">四、交货和验收</w:t>
      </w:r>
      <w:bookmarkEnd w:id="185"/>
      <w:r>
        <w:rPr>
          <w:rFonts w:ascii="仿宋" w:hAnsi="仿宋" w:eastAsia="仿宋" w:cs="仿宋"/>
          <w:b/>
          <w:sz w:val="28"/>
          <w:szCs w:val="28"/>
          <w:lang w:eastAsia="zh-CN"/>
        </w:rPr>
      </w:r>
      <w:r/>
    </w:p>
    <w:p>
      <w:pPr>
        <w:pStyle w:val="974"/>
        <w:ind w:left="0" w:firstLine="560"/>
        <w:spacing w:line="500" w:lineRule="exact"/>
        <w:rPr>
          <w:rFonts w:ascii="仿宋" w:hAnsi="仿宋" w:eastAsia="仿宋" w:cs="仿宋"/>
          <w:sz w:val="28"/>
          <w:szCs w:val="28"/>
          <w:lang w:eastAsia="zh-CN"/>
        </w:rPr>
      </w:pPr>
      <w:r>
        <w:rPr>
          <w:rFonts w:hint="eastAsia" w:ascii="仿宋" w:hAnsi="仿宋" w:eastAsia="仿宋" w:cs="仿宋"/>
          <w:sz w:val="28"/>
          <w:szCs w:val="28"/>
          <w:lang w:eastAsia="zh-CN"/>
        </w:rPr>
        <w:t xml:space="preserve">1、乙方应在本合同生效，接到</w:t>
      </w:r>
      <w:r>
        <w:rPr>
          <w:rFonts w:ascii="仿宋" w:hAnsi="仿宋" w:eastAsia="仿宋" w:cs="仿宋"/>
          <w:sz w:val="28"/>
          <w:szCs w:val="28"/>
          <w:lang w:eastAsia="zh-CN"/>
        </w:rPr>
        <w:t xml:space="preserve">甲方</w:t>
      </w:r>
      <w:r>
        <w:rPr>
          <w:rFonts w:hint="eastAsia" w:ascii="仿宋" w:hAnsi="仿宋" w:eastAsia="仿宋" w:cs="仿宋"/>
          <w:sz w:val="28"/>
          <w:szCs w:val="28"/>
          <w:lang w:eastAsia="zh-CN"/>
        </w:rPr>
        <w:t xml:space="preserve">书面</w:t>
      </w:r>
      <w:r>
        <w:rPr>
          <w:rFonts w:ascii="仿宋" w:hAnsi="仿宋" w:eastAsia="仿宋" w:cs="仿宋"/>
          <w:sz w:val="28"/>
          <w:szCs w:val="28"/>
          <w:lang w:eastAsia="zh-CN"/>
        </w:rPr>
        <w:t xml:space="preserve">（</w:t>
      </w:r>
      <w:r>
        <w:rPr>
          <w:rFonts w:hint="eastAsia" w:ascii="仿宋" w:hAnsi="仿宋" w:eastAsia="仿宋" w:cs="仿宋"/>
          <w:sz w:val="28"/>
          <w:szCs w:val="28"/>
          <w:lang w:eastAsia="zh-CN"/>
        </w:rPr>
        <w:t xml:space="preserve">含邮件</w:t>
      </w:r>
      <w:r>
        <w:rPr>
          <w:rFonts w:ascii="仿宋" w:hAnsi="仿宋" w:eastAsia="仿宋" w:cs="仿宋"/>
          <w:sz w:val="28"/>
          <w:szCs w:val="28"/>
          <w:lang w:eastAsia="zh-CN"/>
        </w:rPr>
        <w:t xml:space="preserve">）</w:t>
      </w:r>
      <w:r>
        <w:rPr>
          <w:rFonts w:hint="eastAsia" w:ascii="仿宋" w:hAnsi="仿宋" w:eastAsia="仿宋" w:cs="仿宋"/>
          <w:sz w:val="28"/>
          <w:szCs w:val="28"/>
          <w:lang w:eastAsia="zh-CN"/>
        </w:rPr>
        <w:t xml:space="preserve">通知</w:t>
      </w:r>
      <w:r>
        <w:rPr>
          <w:rFonts w:ascii="仿宋" w:hAnsi="仿宋" w:eastAsia="仿宋" w:cs="仿宋"/>
          <w:sz w:val="28"/>
          <w:szCs w:val="28"/>
          <w:lang w:eastAsia="zh-CN"/>
        </w:rPr>
        <w:t xml:space="preserve">后，于</w:t>
      </w:r>
      <w:r>
        <w:rPr>
          <w:rFonts w:hint="eastAsia" w:ascii="仿宋" w:hAnsi="仿宋" w:eastAsia="仿宋" w:cs="仿宋"/>
          <w:sz w:val="28"/>
          <w:szCs w:val="28"/>
          <w:u w:val="single"/>
          <w:lang w:eastAsia="zh-CN"/>
        </w:rPr>
        <w:t xml:space="preserve">   日</w:t>
      </w:r>
      <w:r>
        <w:rPr>
          <w:rFonts w:hint="eastAsia" w:ascii="仿宋" w:hAnsi="仿宋" w:eastAsia="仿宋" w:cs="仿宋"/>
          <w:sz w:val="28"/>
          <w:szCs w:val="28"/>
          <w:lang w:eastAsia="zh-CN"/>
        </w:rPr>
        <w:t xml:space="preserve">内将本合同约定的设备（含所有备品备件）运送至甲方指定</w:t>
      </w:r>
      <w:r>
        <w:rPr>
          <w:rFonts w:ascii="仿宋" w:hAnsi="仿宋" w:eastAsia="仿宋" w:cs="仿宋"/>
          <w:sz w:val="28"/>
          <w:szCs w:val="28"/>
          <w:lang w:eastAsia="zh-CN"/>
        </w:rPr>
        <w:t xml:space="preserve">地址</w:t>
      </w:r>
      <w:r>
        <w:rPr>
          <w:rFonts w:hint="eastAsia" w:ascii="仿宋" w:hAnsi="仿宋" w:eastAsia="仿宋" w:cs="仿宋"/>
          <w:sz w:val="28"/>
          <w:szCs w:val="28"/>
          <w:lang w:eastAsia="zh-CN"/>
        </w:rPr>
        <w:t xml:space="preserve">并完成安装，运费由乙方承担。</w:t>
      </w:r>
      <w:r>
        <w:rPr>
          <w:rFonts w:ascii="仿宋" w:hAnsi="仿宋" w:eastAsia="仿宋" w:cs="仿宋"/>
          <w:sz w:val="28"/>
          <w:szCs w:val="28"/>
          <w:lang w:eastAsia="zh-CN"/>
        </w:rPr>
      </w:r>
      <w:r/>
    </w:p>
    <w:p>
      <w:pPr>
        <w:pStyle w:val="895"/>
        <w:ind w:firstLine="405"/>
        <w:spacing w:line="500" w:lineRule="exact"/>
        <w:rPr>
          <w:rFonts w:ascii="仿宋" w:hAnsi="仿宋" w:eastAsia="仿宋" w:cs="仿宋"/>
          <w:sz w:val="28"/>
          <w:szCs w:val="28"/>
        </w:rPr>
      </w:pPr>
      <w:r>
        <w:rPr>
          <w:rFonts w:ascii="仿宋" w:hAnsi="仿宋" w:eastAsia="仿宋" w:cs="仿宋"/>
          <w:sz w:val="28"/>
          <w:szCs w:val="28"/>
        </w:rPr>
        <w:t xml:space="preserve">备注：</w:t>
      </w:r>
      <w:r/>
    </w:p>
    <w:p>
      <w:pPr>
        <w:pStyle w:val="895"/>
        <w:spacing w:line="500" w:lineRule="exact"/>
        <w:rPr>
          <w:rFonts w:ascii="仿宋" w:hAnsi="仿宋" w:eastAsia="仿宋" w:cs="仿宋"/>
          <w:sz w:val="28"/>
          <w:szCs w:val="28"/>
        </w:rPr>
      </w:pPr>
      <w:r>
        <w:rPr>
          <w:rFonts w:hint="eastAsia" w:ascii="仿宋" w:hAnsi="仿宋" w:eastAsia="仿宋" w:cs="仿宋"/>
          <w:sz w:val="28"/>
          <w:szCs w:val="28"/>
        </w:rPr>
        <w:t xml:space="preserve">（</w:t>
      </w:r>
      <w:r>
        <w:rPr>
          <w:rFonts w:ascii="仿宋" w:hAnsi="仿宋" w:eastAsia="仿宋" w:cs="仿宋"/>
          <w:sz w:val="28"/>
          <w:szCs w:val="28"/>
        </w:rPr>
        <w:t xml:space="preserve">1</w:t>
      </w:r>
      <w:r>
        <w:rPr>
          <w:rFonts w:hint="eastAsia" w:ascii="仿宋" w:hAnsi="仿宋" w:eastAsia="仿宋" w:cs="仿宋"/>
          <w:sz w:val="28"/>
          <w:szCs w:val="28"/>
        </w:rPr>
        <w:t xml:space="preserve">）</w:t>
      </w:r>
      <w:r>
        <w:rPr>
          <w:rFonts w:ascii="仿宋" w:hAnsi="仿宋" w:eastAsia="仿宋" w:cs="仿宋"/>
          <w:sz w:val="28"/>
          <w:szCs w:val="28"/>
        </w:rPr>
        <w:t xml:space="preserve">甲方</w:t>
      </w:r>
      <w:r>
        <w:rPr>
          <w:rFonts w:hint="eastAsia" w:ascii="仿宋" w:hAnsi="仿宋" w:eastAsia="仿宋" w:cs="仿宋"/>
          <w:sz w:val="28"/>
          <w:szCs w:val="28"/>
        </w:rPr>
        <w:t xml:space="preserve">未签收之前，货物</w:t>
      </w:r>
      <w:r>
        <w:rPr>
          <w:rFonts w:ascii="仿宋" w:hAnsi="仿宋" w:eastAsia="仿宋" w:cs="仿宋"/>
          <w:sz w:val="28"/>
          <w:szCs w:val="28"/>
        </w:rPr>
        <w:t xml:space="preserve">损毁、</w:t>
      </w:r>
      <w:r>
        <w:rPr>
          <w:rFonts w:hint="eastAsia" w:ascii="仿宋" w:hAnsi="仿宋" w:eastAsia="仿宋" w:cs="仿宋"/>
          <w:sz w:val="28"/>
          <w:szCs w:val="28"/>
        </w:rPr>
        <w:t xml:space="preserve">灭失的风险由乙方承担。</w:t>
      </w:r>
      <w:r>
        <w:rPr>
          <w:rFonts w:ascii="仿宋" w:hAnsi="仿宋" w:eastAsia="仿宋" w:cs="仿宋"/>
          <w:sz w:val="28"/>
          <w:szCs w:val="28"/>
        </w:rPr>
      </w:r>
      <w:r/>
    </w:p>
    <w:p>
      <w:pPr>
        <w:pStyle w:val="974"/>
        <w:ind w:hanging="720"/>
        <w:spacing w:line="500" w:lineRule="exact"/>
        <w:rPr>
          <w:rFonts w:ascii="仿宋" w:hAnsi="仿宋" w:eastAsia="仿宋" w:cs="仿宋"/>
          <w:sz w:val="28"/>
          <w:szCs w:val="28"/>
          <w:lang w:eastAsia="zh-CN"/>
        </w:rPr>
      </w:pPr>
      <w:r>
        <w:rPr>
          <w:rFonts w:ascii="仿宋" w:hAnsi="仿宋" w:eastAsia="仿宋" w:cs="仿宋"/>
          <w:sz w:val="28"/>
          <w:szCs w:val="28"/>
          <w:lang w:eastAsia="zh-CN"/>
        </w:rPr>
        <w:t xml:space="preserve">（2）交货时间</w:t>
      </w:r>
      <w:r>
        <w:rPr>
          <w:rFonts w:hint="eastAsia" w:ascii="仿宋" w:hAnsi="仿宋" w:eastAsia="仿宋" w:cs="仿宋"/>
          <w:sz w:val="28"/>
          <w:szCs w:val="28"/>
          <w:lang w:eastAsia="zh-CN"/>
        </w:rPr>
        <w:t xml:space="preserve">是指</w:t>
      </w:r>
      <w:r>
        <w:rPr>
          <w:rFonts w:ascii="仿宋" w:hAnsi="仿宋" w:eastAsia="仿宋" w:cs="仿宋"/>
          <w:sz w:val="28"/>
          <w:szCs w:val="28"/>
          <w:lang w:eastAsia="zh-CN"/>
        </w:rPr>
        <w:t xml:space="preserve">货物实际到达</w:t>
      </w:r>
      <w:r>
        <w:rPr>
          <w:rFonts w:hint="eastAsia" w:ascii="仿宋" w:hAnsi="仿宋" w:eastAsia="仿宋" w:cs="仿宋"/>
          <w:sz w:val="28"/>
          <w:szCs w:val="28"/>
          <w:lang w:eastAsia="zh-CN"/>
        </w:rPr>
        <w:t xml:space="preserve">甲方指定地点的</w:t>
      </w:r>
      <w:r>
        <w:rPr>
          <w:rFonts w:ascii="仿宋" w:hAnsi="仿宋" w:eastAsia="仿宋" w:cs="仿宋"/>
          <w:sz w:val="28"/>
          <w:szCs w:val="28"/>
          <w:lang w:eastAsia="zh-CN"/>
        </w:rPr>
        <w:t xml:space="preserve">时间。</w:t>
      </w:r>
      <w:r/>
    </w:p>
    <w:p>
      <w:pPr>
        <w:pStyle w:val="974"/>
        <w:ind w:hanging="720"/>
        <w:spacing w:line="500" w:lineRule="exact"/>
        <w:rPr>
          <w:rFonts w:ascii="仿宋" w:hAnsi="仿宋" w:eastAsia="仿宋" w:cs="仿宋"/>
          <w:sz w:val="28"/>
          <w:szCs w:val="28"/>
          <w:lang w:eastAsia="zh-CN"/>
        </w:rPr>
      </w:pPr>
      <w:r>
        <w:rPr>
          <w:rFonts w:hint="eastAsia" w:ascii="仿宋" w:hAnsi="仿宋" w:eastAsia="仿宋" w:cs="仿宋"/>
          <w:sz w:val="28"/>
          <w:szCs w:val="28"/>
          <w:lang w:eastAsia="zh-CN"/>
        </w:rPr>
        <w:t xml:space="preserve">（3）甲方指定的交货地点：</w:t>
      </w:r>
      <w:r>
        <w:rPr>
          <w:rFonts w:ascii="仿宋" w:hAnsi="仿宋" w:eastAsia="仿宋" w:cs="仿宋"/>
          <w:sz w:val="28"/>
          <w:szCs w:val="28"/>
          <w:lang w:eastAsia="zh-CN"/>
        </w:rPr>
      </w:r>
      <w:r/>
    </w:p>
    <w:p>
      <w:pPr>
        <w:pStyle w:val="974"/>
        <w:ind w:left="0" w:firstLine="560"/>
        <w:spacing w:line="500" w:lineRule="exact"/>
        <w:rPr>
          <w:rFonts w:ascii="仿宋" w:hAnsi="仿宋" w:eastAsia="仿宋" w:cs="仿宋"/>
          <w:sz w:val="28"/>
          <w:szCs w:val="28"/>
          <w:lang w:eastAsia="zh-CN"/>
        </w:rPr>
      </w:pPr>
      <w:r>
        <w:rPr>
          <w:rFonts w:hint="eastAsia" w:ascii="仿宋" w:hAnsi="仿宋" w:eastAsia="仿宋" w:cs="仿宋"/>
          <w:sz w:val="28"/>
          <w:szCs w:val="28"/>
          <w:lang w:eastAsia="zh-CN"/>
        </w:rPr>
        <w:t xml:space="preserve">2、乙方交付设备的签收验收标准为：</w:t>
      </w:r>
      <w:r>
        <w:rPr>
          <w:rFonts w:ascii="仿宋" w:hAnsi="仿宋" w:eastAsia="仿宋" w:cs="仿宋"/>
          <w:sz w:val="28"/>
          <w:szCs w:val="28"/>
          <w:lang w:eastAsia="zh-CN"/>
        </w:rPr>
      </w:r>
      <w:r/>
    </w:p>
    <w:p>
      <w:pPr>
        <w:pStyle w:val="974"/>
        <w:ind w:left="0" w:firstLine="560"/>
        <w:spacing w:line="500" w:lineRule="exact"/>
        <w:rPr>
          <w:rFonts w:ascii="仿宋" w:hAnsi="仿宋" w:eastAsia="仿宋" w:cs="仿宋"/>
          <w:sz w:val="28"/>
          <w:szCs w:val="28"/>
          <w:lang w:eastAsia="zh-CN"/>
        </w:rPr>
      </w:pPr>
      <w:r>
        <w:rPr>
          <w:rFonts w:hint="eastAsia" w:ascii="仿宋" w:hAnsi="仿宋" w:eastAsia="仿宋" w:cs="仿宋"/>
          <w:sz w:val="28"/>
          <w:szCs w:val="28"/>
          <w:lang w:eastAsia="zh-CN"/>
        </w:rPr>
        <w:t xml:space="preserve">（1）应当完全符合本合同所约定的设备、品牌、型号、数量和规格要求及产品正常质量标准（若无此标准，则以国家或行业针对标的设备的标准中较高的为准）。</w:t>
      </w:r>
      <w:r>
        <w:rPr>
          <w:rFonts w:ascii="仿宋" w:hAnsi="仿宋" w:eastAsia="仿宋" w:cs="仿宋"/>
          <w:sz w:val="28"/>
          <w:szCs w:val="28"/>
          <w:lang w:eastAsia="zh-CN"/>
        </w:rPr>
      </w:r>
      <w:r/>
    </w:p>
    <w:p>
      <w:pPr>
        <w:pStyle w:val="974"/>
        <w:ind w:left="0" w:firstLine="560"/>
        <w:spacing w:line="500" w:lineRule="exact"/>
        <w:rPr>
          <w:rFonts w:ascii="仿宋" w:hAnsi="仿宋" w:eastAsia="仿宋" w:cs="仿宋"/>
          <w:sz w:val="28"/>
          <w:szCs w:val="28"/>
          <w:lang w:eastAsia="zh-CN"/>
        </w:rPr>
      </w:pPr>
      <w:r>
        <w:rPr>
          <w:rFonts w:hint="eastAsia" w:ascii="仿宋" w:hAnsi="仿宋" w:eastAsia="仿宋" w:cs="仿宋"/>
          <w:sz w:val="28"/>
          <w:szCs w:val="28"/>
          <w:lang w:eastAsia="zh-CN"/>
        </w:rPr>
        <w:t xml:space="preserve">（2）设备外观无破损，零件、部件、备品备件、工具、附件、质保书、合格证、说明书和其他图纸、技术文件无缺损。</w:t>
      </w:r>
      <w:r>
        <w:rPr>
          <w:rFonts w:ascii="仿宋" w:hAnsi="仿宋" w:eastAsia="仿宋" w:cs="仿宋"/>
          <w:sz w:val="28"/>
          <w:szCs w:val="28"/>
          <w:lang w:eastAsia="zh-CN"/>
        </w:rPr>
      </w:r>
      <w:r/>
    </w:p>
    <w:p>
      <w:pPr>
        <w:pStyle w:val="974"/>
        <w:ind w:left="0" w:firstLine="560"/>
        <w:spacing w:line="500" w:lineRule="exact"/>
        <w:rPr>
          <w:rFonts w:ascii="仿宋" w:hAnsi="仿宋" w:eastAsia="仿宋" w:cs="仿宋"/>
          <w:sz w:val="28"/>
          <w:szCs w:val="28"/>
          <w:lang w:eastAsia="zh-CN"/>
        </w:rPr>
      </w:pPr>
      <w:r>
        <w:rPr>
          <w:rFonts w:hint="eastAsia" w:ascii="仿宋" w:hAnsi="仿宋" w:eastAsia="仿宋" w:cs="仿宋"/>
          <w:sz w:val="28"/>
          <w:szCs w:val="28"/>
          <w:lang w:eastAsia="zh-CN"/>
        </w:rPr>
        <w:t xml:space="preserve">（3）设备为100%全新未使用过新品，所有设备安装完毕且外观验收后并经过72小时正常运行及测试合格。</w:t>
      </w:r>
      <w:r>
        <w:rPr>
          <w:rFonts w:ascii="仿宋" w:hAnsi="仿宋" w:eastAsia="仿宋" w:cs="仿宋"/>
          <w:sz w:val="28"/>
          <w:szCs w:val="28"/>
          <w:lang w:eastAsia="zh-CN"/>
        </w:rPr>
      </w:r>
      <w:r/>
    </w:p>
    <w:p>
      <w:pPr>
        <w:pStyle w:val="974"/>
        <w:ind w:left="0" w:firstLine="560"/>
        <w:spacing w:line="500" w:lineRule="exact"/>
        <w:rPr>
          <w:rFonts w:ascii="仿宋" w:hAnsi="仿宋" w:eastAsia="仿宋" w:cs="仿宋"/>
          <w:sz w:val="28"/>
          <w:szCs w:val="28"/>
          <w:lang w:eastAsia="zh-CN"/>
        </w:rPr>
      </w:pPr>
      <w:r>
        <w:rPr>
          <w:rFonts w:hint="eastAsia" w:ascii="仿宋" w:hAnsi="仿宋" w:eastAsia="仿宋" w:cs="仿宋"/>
          <w:sz w:val="28"/>
          <w:szCs w:val="28"/>
          <w:lang w:eastAsia="zh-CN"/>
        </w:rPr>
        <w:t xml:space="preserve">（4）本合同项下所有标的均由乙方根据实际需要安装完毕，负责安装的人员须经过乙方专业培训，安装施工责任由乙方承担。</w:t>
      </w:r>
      <w:r>
        <w:rPr>
          <w:rFonts w:ascii="仿宋" w:hAnsi="仿宋" w:eastAsia="仿宋" w:cs="仿宋"/>
          <w:sz w:val="28"/>
          <w:szCs w:val="28"/>
          <w:lang w:eastAsia="zh-CN"/>
        </w:rPr>
      </w:r>
      <w:r/>
    </w:p>
    <w:p>
      <w:pPr>
        <w:pStyle w:val="974"/>
        <w:ind w:left="0" w:firstLine="560"/>
        <w:spacing w:line="500" w:lineRule="exact"/>
        <w:rPr>
          <w:rFonts w:ascii="仿宋" w:hAnsi="仿宋" w:eastAsia="仿宋" w:cs="仿宋"/>
          <w:sz w:val="28"/>
          <w:szCs w:val="28"/>
          <w:lang w:eastAsia="zh-CN"/>
        </w:rPr>
      </w:pPr>
      <w:r>
        <w:rPr>
          <w:rFonts w:hint="eastAsia" w:ascii="仿宋" w:hAnsi="仿宋" w:eastAsia="仿宋" w:cs="仿宋"/>
          <w:sz w:val="28"/>
          <w:szCs w:val="28"/>
          <w:lang w:eastAsia="zh-CN"/>
        </w:rPr>
        <w:t xml:space="preserve">3、甲方应当收货后的</w:t>
      </w:r>
      <w:r>
        <w:rPr>
          <w:rFonts w:hint="eastAsia" w:ascii="仿宋" w:hAnsi="仿宋" w:eastAsia="仿宋" w:cs="仿宋"/>
          <w:sz w:val="28"/>
          <w:szCs w:val="28"/>
          <w:u w:val="single"/>
          <w:lang w:eastAsia="zh-CN"/>
        </w:rPr>
        <w:t xml:space="preserve"> </w:t>
      </w:r>
      <w:r>
        <w:rPr>
          <w:rFonts w:ascii="仿宋" w:hAnsi="仿宋" w:eastAsia="仿宋" w:cs="仿宋"/>
          <w:sz w:val="28"/>
          <w:szCs w:val="28"/>
          <w:u w:val="single"/>
          <w:lang w:eastAsia="zh-CN"/>
        </w:rPr>
        <w:t xml:space="preserve">10 </w:t>
      </w:r>
      <w:r>
        <w:rPr>
          <w:rFonts w:hint="eastAsia" w:ascii="仿宋" w:hAnsi="仿宋" w:eastAsia="仿宋" w:cs="仿宋"/>
          <w:sz w:val="28"/>
          <w:szCs w:val="28"/>
          <w:lang w:eastAsia="zh-CN"/>
        </w:rPr>
        <w:t xml:space="preserve">个工作日内对货物进行外观验收，验收包括：型号、规格、数量、外观质量、及货物包装是否完好，用户手册、原厂保修卡、随机资料及配件、随机工具等是否齐全。</w:t>
      </w:r>
      <w:r>
        <w:rPr>
          <w:rFonts w:ascii="仿宋" w:hAnsi="仿宋" w:eastAsia="仿宋" w:cs="仿宋"/>
          <w:sz w:val="28"/>
          <w:szCs w:val="28"/>
          <w:lang w:eastAsia="zh-CN"/>
        </w:rPr>
      </w:r>
      <w:r/>
    </w:p>
    <w:p>
      <w:pPr>
        <w:pStyle w:val="974"/>
        <w:ind w:left="0" w:firstLine="560"/>
        <w:spacing w:line="500" w:lineRule="exact"/>
        <w:rPr>
          <w:rFonts w:ascii="仿宋" w:hAnsi="仿宋" w:eastAsia="仿宋" w:cs="仿宋"/>
          <w:sz w:val="28"/>
          <w:szCs w:val="28"/>
          <w:lang w:eastAsia="zh-CN"/>
        </w:rPr>
      </w:pPr>
      <w:r>
        <w:rPr>
          <w:rFonts w:hint="eastAsia" w:ascii="仿宋" w:hAnsi="仿宋" w:eastAsia="仿宋" w:cs="仿宋"/>
          <w:sz w:val="28"/>
          <w:szCs w:val="28"/>
          <w:lang w:eastAsia="zh-CN"/>
        </w:rPr>
        <w:t xml:space="preserve">4、乙方须在约定的时间内完成标的的安装、调试和启动，并负责解决合同标的在安装调试、试运行中发现的质量及性能等有关问题；且乙方须提供与本合同标的有关的产品说明书，配合甲方进行试验、验收、检修，并提供相应的技术指导、技术配合、技术培训等全过程的服务。</w:t>
      </w:r>
      <w:r>
        <w:rPr>
          <w:rFonts w:ascii="仿宋" w:hAnsi="仿宋" w:eastAsia="仿宋" w:cs="仿宋"/>
          <w:sz w:val="28"/>
          <w:szCs w:val="28"/>
          <w:lang w:eastAsia="zh-CN"/>
        </w:rPr>
      </w:r>
      <w:r/>
    </w:p>
    <w:p>
      <w:pPr>
        <w:pStyle w:val="974"/>
        <w:ind w:left="0" w:firstLine="560"/>
        <w:spacing w:line="500" w:lineRule="exact"/>
        <w:rPr>
          <w:rFonts w:ascii="仿宋" w:hAnsi="仿宋" w:eastAsia="仿宋" w:cs="仿宋"/>
          <w:sz w:val="28"/>
          <w:szCs w:val="28"/>
          <w:lang w:eastAsia="zh-CN"/>
        </w:rPr>
      </w:pPr>
      <w:r>
        <w:rPr>
          <w:rFonts w:hint="eastAsia" w:ascii="仿宋" w:hAnsi="仿宋" w:eastAsia="仿宋" w:cs="仿宋"/>
          <w:sz w:val="28"/>
          <w:szCs w:val="28"/>
          <w:lang w:eastAsia="zh-CN"/>
        </w:rPr>
        <w:t xml:space="preserve">5、甲方若对乙方提供的设备有任何异议，应于收到设备之日起30天内向乙方提出</w:t>
      </w:r>
      <w:r>
        <w:rPr>
          <w:rFonts w:ascii="仿宋" w:hAnsi="仿宋" w:eastAsia="仿宋" w:cs="仿宋"/>
          <w:sz w:val="28"/>
          <w:szCs w:val="28"/>
          <w:lang w:eastAsia="zh-CN"/>
        </w:rPr>
        <w:t xml:space="preserve">，</w:t>
      </w:r>
      <w:r>
        <w:rPr>
          <w:rFonts w:hint="eastAsia" w:ascii="仿宋" w:hAnsi="仿宋" w:eastAsia="仿宋" w:cs="仿宋"/>
          <w:sz w:val="28"/>
          <w:szCs w:val="28"/>
          <w:lang w:eastAsia="zh-CN"/>
        </w:rPr>
        <w:t xml:space="preserve">但甲方未提出</w:t>
      </w:r>
      <w:r>
        <w:rPr>
          <w:rFonts w:ascii="仿宋" w:hAnsi="仿宋" w:eastAsia="仿宋" w:cs="仿宋"/>
          <w:sz w:val="28"/>
          <w:szCs w:val="28"/>
          <w:lang w:eastAsia="zh-CN"/>
        </w:rPr>
        <w:t xml:space="preserve">异议不</w:t>
      </w:r>
      <w:r>
        <w:rPr>
          <w:rFonts w:hint="eastAsia" w:ascii="仿宋" w:hAnsi="仿宋" w:eastAsia="仿宋" w:cs="仿宋"/>
          <w:sz w:val="28"/>
          <w:szCs w:val="28"/>
          <w:lang w:eastAsia="zh-CN"/>
        </w:rPr>
        <w:t xml:space="preserve">视为</w:t>
      </w:r>
      <w:r>
        <w:rPr>
          <w:rFonts w:ascii="仿宋" w:hAnsi="仿宋" w:eastAsia="仿宋" w:cs="仿宋"/>
          <w:sz w:val="28"/>
          <w:szCs w:val="28"/>
          <w:lang w:eastAsia="zh-CN"/>
        </w:rPr>
        <w:t xml:space="preserve">认同</w:t>
      </w:r>
      <w:r>
        <w:rPr>
          <w:rFonts w:hint="eastAsia" w:ascii="仿宋" w:hAnsi="仿宋" w:eastAsia="仿宋" w:cs="仿宋"/>
          <w:sz w:val="28"/>
          <w:szCs w:val="28"/>
          <w:lang w:eastAsia="zh-CN"/>
        </w:rPr>
        <w:t xml:space="preserve">标的物</w:t>
      </w:r>
      <w:r>
        <w:rPr>
          <w:rFonts w:ascii="仿宋" w:hAnsi="仿宋" w:eastAsia="仿宋" w:cs="仿宋"/>
          <w:sz w:val="28"/>
          <w:szCs w:val="28"/>
          <w:lang w:eastAsia="zh-CN"/>
        </w:rPr>
        <w:t xml:space="preserve">符合合同约定</w:t>
      </w:r>
      <w:r>
        <w:rPr>
          <w:rFonts w:hint="eastAsia" w:ascii="仿宋" w:hAnsi="仿宋" w:eastAsia="仿宋" w:cs="仿宋"/>
          <w:sz w:val="28"/>
          <w:szCs w:val="28"/>
          <w:lang w:eastAsia="zh-CN"/>
        </w:rPr>
        <w:t xml:space="preserve">，若设备存在质量问题，非甲方原因导致的，乙方仍应承担违约责任。</w:t>
      </w:r>
      <w:r>
        <w:rPr>
          <w:rFonts w:ascii="仿宋" w:hAnsi="仿宋" w:eastAsia="仿宋" w:cs="仿宋"/>
          <w:sz w:val="28"/>
          <w:szCs w:val="28"/>
          <w:lang w:eastAsia="zh-CN"/>
        </w:rPr>
      </w:r>
      <w:r/>
    </w:p>
    <w:p>
      <w:pPr>
        <w:pStyle w:val="974"/>
        <w:ind w:left="0" w:firstLine="562"/>
        <w:spacing w:line="500" w:lineRule="exact"/>
        <w:rPr>
          <w:rFonts w:ascii="仿宋" w:hAnsi="仿宋" w:eastAsia="仿宋" w:cs="仿宋"/>
          <w:b/>
          <w:sz w:val="28"/>
          <w:szCs w:val="28"/>
          <w:lang w:eastAsia="zh-CN"/>
        </w:rPr>
        <w:outlineLvl w:val="0"/>
      </w:pPr>
      <w:r/>
      <w:bookmarkStart w:id="186" w:name="_Toc582"/>
      <w:r>
        <w:rPr>
          <w:rFonts w:hint="eastAsia" w:ascii="仿宋" w:hAnsi="仿宋" w:eastAsia="仿宋" w:cs="仿宋"/>
          <w:b/>
          <w:sz w:val="28"/>
          <w:szCs w:val="28"/>
          <w:lang w:eastAsia="zh-CN"/>
        </w:rPr>
        <w:t xml:space="preserve">五、售后服务</w:t>
      </w:r>
      <w:bookmarkEnd w:id="186"/>
      <w:r>
        <w:rPr>
          <w:rFonts w:ascii="仿宋" w:hAnsi="仿宋" w:eastAsia="仿宋" w:cs="仿宋"/>
          <w:b/>
          <w:sz w:val="28"/>
          <w:szCs w:val="28"/>
          <w:lang w:eastAsia="zh-CN"/>
        </w:rPr>
      </w:r>
      <w:r/>
    </w:p>
    <w:p>
      <w:pPr>
        <w:pStyle w:val="974"/>
        <w:ind w:left="0" w:firstLine="560"/>
        <w:spacing w:line="500" w:lineRule="exact"/>
        <w:rPr>
          <w:rFonts w:ascii="仿宋" w:hAnsi="仿宋" w:eastAsia="仿宋" w:cs="仿宋"/>
          <w:sz w:val="28"/>
          <w:szCs w:val="28"/>
          <w:lang w:eastAsia="zh-CN"/>
        </w:rPr>
      </w:pPr>
      <w:r>
        <w:rPr>
          <w:rFonts w:hint="eastAsia" w:ascii="仿宋" w:hAnsi="仿宋" w:eastAsia="仿宋" w:cs="仿宋"/>
          <w:sz w:val="28"/>
          <w:szCs w:val="28"/>
          <w:lang w:eastAsia="zh-CN"/>
        </w:rPr>
        <w:t xml:space="preserve">1、乙方服务承诺详见附件（请卖方提供，服务</w:t>
      </w:r>
      <w:r>
        <w:rPr>
          <w:rFonts w:ascii="仿宋" w:hAnsi="仿宋" w:eastAsia="仿宋" w:cs="仿宋"/>
          <w:sz w:val="28"/>
          <w:szCs w:val="28"/>
          <w:lang w:eastAsia="zh-CN"/>
        </w:rPr>
        <w:t xml:space="preserve">标准不得低于投标文件承诺</w:t>
      </w:r>
      <w:r>
        <w:rPr>
          <w:rFonts w:hint="eastAsia" w:ascii="仿宋" w:hAnsi="仿宋" w:eastAsia="仿宋" w:cs="仿宋"/>
          <w:sz w:val="28"/>
          <w:szCs w:val="28"/>
          <w:lang w:eastAsia="zh-CN"/>
        </w:rPr>
        <w:t xml:space="preserve">，卖方还应</w:t>
      </w:r>
      <w:r>
        <w:rPr>
          <w:rFonts w:ascii="仿宋" w:hAnsi="仿宋" w:eastAsia="仿宋" w:cs="仿宋"/>
          <w:sz w:val="28"/>
          <w:szCs w:val="28"/>
          <w:lang w:eastAsia="zh-CN"/>
        </w:rPr>
        <w:t xml:space="preserve">提供设备生产单位质保承诺函原件</w:t>
      </w:r>
      <w:r>
        <w:rPr>
          <w:rFonts w:hint="eastAsia" w:ascii="仿宋" w:hAnsi="仿宋" w:eastAsia="仿宋" w:cs="仿宋"/>
          <w:sz w:val="28"/>
          <w:szCs w:val="28"/>
          <w:lang w:eastAsia="zh-CN"/>
        </w:rPr>
        <w:t xml:space="preserve">）。</w:t>
      </w:r>
      <w:r>
        <w:rPr>
          <w:rFonts w:ascii="仿宋" w:hAnsi="仿宋" w:eastAsia="仿宋" w:cs="仿宋"/>
          <w:sz w:val="28"/>
          <w:szCs w:val="28"/>
          <w:lang w:eastAsia="zh-CN"/>
        </w:rPr>
      </w:r>
      <w:r/>
    </w:p>
    <w:p>
      <w:pPr>
        <w:pStyle w:val="895"/>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2、标的物保质期为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年，自</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之日起计算。在保修期内，所有设备售后服务所产生的一切费用（包括但不限于配件费、维修费、检测费、维修人员差旅费等）由乙方承担。若乙方维修人员不能及时解决问题，乙方必须无偿提供备设备供甲方使用，待设备维修完成可正常使用之后，乙方方可取回备机，未能提供备用设备的应承担因设备停止使用的全部损失。</w:t>
      </w:r>
      <w:r>
        <w:rPr>
          <w:rFonts w:ascii="仿宋" w:hAnsi="仿宋" w:eastAsia="仿宋" w:cs="仿宋"/>
          <w:sz w:val="28"/>
          <w:szCs w:val="28"/>
        </w:rPr>
      </w:r>
      <w:r/>
    </w:p>
    <w:p>
      <w:pPr>
        <w:pStyle w:val="974"/>
        <w:ind w:left="0" w:firstLine="562"/>
        <w:spacing w:line="500" w:lineRule="exact"/>
        <w:rPr>
          <w:rFonts w:ascii="仿宋" w:hAnsi="仿宋" w:eastAsia="仿宋" w:cs="仿宋"/>
          <w:b/>
          <w:sz w:val="28"/>
          <w:szCs w:val="28"/>
          <w:lang w:eastAsia="zh-CN"/>
        </w:rPr>
        <w:outlineLvl w:val="0"/>
      </w:pPr>
      <w:r/>
      <w:bookmarkStart w:id="187" w:name="_Toc17189"/>
      <w:r>
        <w:rPr>
          <w:rFonts w:hint="eastAsia" w:ascii="仿宋" w:hAnsi="仿宋" w:eastAsia="仿宋" w:cs="仿宋"/>
          <w:b/>
          <w:sz w:val="28"/>
          <w:szCs w:val="28"/>
          <w:lang w:eastAsia="zh-CN"/>
        </w:rPr>
        <w:t xml:space="preserve">六、违约责任</w:t>
      </w:r>
      <w:bookmarkEnd w:id="187"/>
      <w:r>
        <w:rPr>
          <w:rFonts w:ascii="仿宋" w:hAnsi="仿宋" w:eastAsia="仿宋" w:cs="仿宋"/>
          <w:b/>
          <w:sz w:val="28"/>
          <w:szCs w:val="28"/>
          <w:lang w:eastAsia="zh-CN"/>
        </w:rPr>
      </w:r>
      <w:r/>
    </w:p>
    <w:p>
      <w:pPr>
        <w:pStyle w:val="974"/>
        <w:ind w:left="0" w:firstLine="560"/>
        <w:spacing w:line="500" w:lineRule="exact"/>
        <w:rPr>
          <w:rFonts w:ascii="仿宋" w:hAnsi="仿宋" w:eastAsia="仿宋" w:cs="仿宋"/>
          <w:sz w:val="28"/>
          <w:szCs w:val="28"/>
          <w:lang w:eastAsia="zh-CN"/>
        </w:rPr>
      </w:pPr>
      <w:r>
        <w:rPr>
          <w:rFonts w:hint="eastAsia" w:ascii="仿宋" w:hAnsi="仿宋" w:eastAsia="仿宋" w:cs="仿宋"/>
          <w:sz w:val="28"/>
          <w:szCs w:val="28"/>
          <w:lang w:eastAsia="zh-CN"/>
        </w:rPr>
        <w:t xml:space="preserve">1、乙方逾期交付货物的，每逾期1天，乙方向甲方偿付逾期交货部分货款总额的 5‰ 的</w:t>
      </w:r>
      <w:r>
        <w:rPr>
          <w:rFonts w:ascii="仿宋" w:hAnsi="仿宋" w:eastAsia="仿宋" w:cs="仿宋"/>
          <w:sz w:val="28"/>
          <w:szCs w:val="28"/>
          <w:lang w:eastAsia="zh-CN"/>
        </w:rPr>
        <w:t xml:space="preserve">违约</w:t>
      </w:r>
      <w:r>
        <w:rPr>
          <w:rFonts w:hint="eastAsia" w:ascii="仿宋" w:hAnsi="仿宋" w:eastAsia="仿宋" w:cs="仿宋"/>
          <w:sz w:val="28"/>
          <w:szCs w:val="28"/>
          <w:lang w:eastAsia="zh-CN"/>
        </w:rPr>
        <w:t xml:space="preserve">金。如乙方逾期交货达 10 天，甲方有权解除合同，解除合同的通知自到达乙方时生效，甲方解除合同的，乙方</w:t>
      </w:r>
      <w:r>
        <w:rPr>
          <w:rFonts w:ascii="仿宋" w:hAnsi="仿宋" w:eastAsia="仿宋" w:cs="仿宋"/>
          <w:sz w:val="28"/>
          <w:szCs w:val="28"/>
          <w:lang w:eastAsia="zh-CN"/>
        </w:rPr>
        <w:t xml:space="preserve">应当向甲方</w:t>
      </w:r>
      <w:r>
        <w:rPr>
          <w:rFonts w:hint="eastAsia" w:ascii="仿宋" w:hAnsi="仿宋" w:eastAsia="仿宋" w:cs="仿宋"/>
          <w:sz w:val="28"/>
          <w:szCs w:val="28"/>
          <w:lang w:eastAsia="zh-CN"/>
        </w:rPr>
        <w:t xml:space="preserve">返还</w:t>
      </w:r>
      <w:r>
        <w:rPr>
          <w:rFonts w:ascii="仿宋" w:hAnsi="仿宋" w:eastAsia="仿宋" w:cs="仿宋"/>
          <w:sz w:val="28"/>
          <w:szCs w:val="28"/>
          <w:lang w:eastAsia="zh-CN"/>
        </w:rPr>
        <w:t xml:space="preserve">已收货款，</w:t>
      </w:r>
      <w:r>
        <w:rPr>
          <w:rFonts w:hint="eastAsia" w:ascii="仿宋" w:hAnsi="仿宋" w:eastAsia="仿宋" w:cs="仿宋"/>
          <w:sz w:val="28"/>
          <w:szCs w:val="28"/>
          <w:lang w:eastAsia="zh-CN"/>
        </w:rPr>
        <w:t xml:space="preserve">同时</w:t>
      </w:r>
      <w:r>
        <w:rPr>
          <w:rFonts w:ascii="仿宋" w:hAnsi="仿宋" w:eastAsia="仿宋" w:cs="仿宋"/>
          <w:sz w:val="28"/>
          <w:szCs w:val="28"/>
          <w:lang w:eastAsia="zh-CN"/>
        </w:rPr>
        <w:t xml:space="preserve">，</w:t>
      </w:r>
      <w:r>
        <w:rPr>
          <w:rFonts w:hint="eastAsia" w:ascii="仿宋" w:hAnsi="仿宋" w:eastAsia="仿宋" w:cs="仿宋"/>
          <w:sz w:val="28"/>
          <w:szCs w:val="28"/>
          <w:lang w:eastAsia="zh-CN"/>
        </w:rPr>
        <w:t xml:space="preserve">支付甲方合同总价</w:t>
      </w:r>
      <w:r>
        <w:rPr>
          <w:rFonts w:ascii="仿宋" w:hAnsi="仿宋" w:eastAsia="仿宋" w:cs="仿宋"/>
          <w:sz w:val="28"/>
          <w:szCs w:val="28"/>
          <w:lang w:eastAsia="zh-CN"/>
        </w:rPr>
        <w:t xml:space="preserve">款</w:t>
      </w:r>
      <w:r>
        <w:rPr>
          <w:rFonts w:hint="eastAsia" w:ascii="仿宋" w:hAnsi="仿宋" w:eastAsia="仿宋" w:cs="仿宋"/>
          <w:sz w:val="28"/>
          <w:szCs w:val="28"/>
          <w:lang w:eastAsia="zh-CN"/>
        </w:rPr>
        <w:t xml:space="preserve">5%的违约金，并赔偿甲方全部损失。</w:t>
      </w:r>
      <w:r>
        <w:rPr>
          <w:rFonts w:ascii="仿宋" w:hAnsi="仿宋" w:eastAsia="仿宋" w:cs="仿宋"/>
          <w:sz w:val="28"/>
          <w:szCs w:val="28"/>
          <w:lang w:eastAsia="zh-CN"/>
        </w:rPr>
      </w:r>
      <w:r/>
    </w:p>
    <w:p>
      <w:pPr>
        <w:pStyle w:val="974"/>
        <w:ind w:left="0" w:firstLine="560"/>
        <w:spacing w:line="500" w:lineRule="exact"/>
        <w:rPr>
          <w:rFonts w:ascii="仿宋" w:hAnsi="仿宋" w:eastAsia="仿宋" w:cs="仿宋"/>
          <w:sz w:val="28"/>
          <w:szCs w:val="28"/>
          <w:lang w:eastAsia="zh-CN"/>
        </w:rPr>
      </w:pPr>
      <w:r>
        <w:rPr>
          <w:rFonts w:hint="eastAsia" w:ascii="仿宋" w:hAnsi="仿宋" w:eastAsia="仿宋" w:cs="仿宋"/>
          <w:sz w:val="28"/>
          <w:szCs w:val="28"/>
          <w:lang w:eastAsia="zh-CN"/>
        </w:rPr>
        <w:t xml:space="preserve">2、乙方所交付的货物品种、型号、规格不符合合同规定的，甲方有权拒收且视为未交付；无论甲方拒收与否，乙方均应向甲方另行支付合同总</w:t>
      </w:r>
      <w:r>
        <w:rPr>
          <w:rFonts w:ascii="仿宋" w:hAnsi="仿宋" w:eastAsia="仿宋" w:cs="仿宋"/>
          <w:sz w:val="28"/>
          <w:szCs w:val="28"/>
          <w:lang w:eastAsia="zh-CN"/>
        </w:rPr>
        <w:t xml:space="preserve">价款</w:t>
      </w:r>
      <w:r>
        <w:rPr>
          <w:rFonts w:hint="eastAsia" w:ascii="仿宋" w:hAnsi="仿宋" w:eastAsia="仿宋" w:cs="仿宋"/>
          <w:sz w:val="28"/>
          <w:szCs w:val="28"/>
          <w:lang w:eastAsia="zh-CN"/>
        </w:rPr>
        <w:t xml:space="preserve">5%的违约金</w:t>
      </w:r>
      <w:r>
        <w:rPr>
          <w:rFonts w:ascii="仿宋" w:hAnsi="仿宋" w:eastAsia="仿宋" w:cs="仿宋"/>
          <w:sz w:val="28"/>
          <w:szCs w:val="28"/>
          <w:lang w:eastAsia="zh-CN"/>
        </w:rPr>
        <w:t xml:space="preserve">，</w:t>
      </w:r>
      <w:r>
        <w:rPr>
          <w:rFonts w:hint="eastAsia" w:ascii="仿宋" w:hAnsi="仿宋" w:eastAsia="仿宋" w:cs="仿宋"/>
          <w:sz w:val="28"/>
          <w:szCs w:val="28"/>
          <w:lang w:eastAsia="zh-CN"/>
        </w:rPr>
        <w:t xml:space="preserve">并</w:t>
      </w:r>
      <w:r>
        <w:rPr>
          <w:rFonts w:ascii="仿宋" w:hAnsi="仿宋" w:eastAsia="仿宋" w:cs="仿宋"/>
          <w:sz w:val="28"/>
          <w:szCs w:val="28"/>
          <w:lang w:eastAsia="zh-CN"/>
        </w:rPr>
        <w:t xml:space="preserve">向甲方</w:t>
      </w:r>
      <w:r>
        <w:rPr>
          <w:rFonts w:hint="eastAsia" w:ascii="仿宋" w:hAnsi="仿宋" w:eastAsia="仿宋" w:cs="仿宋"/>
          <w:sz w:val="28"/>
          <w:szCs w:val="28"/>
          <w:lang w:eastAsia="zh-CN"/>
        </w:rPr>
        <w:t xml:space="preserve">返还</w:t>
      </w:r>
      <w:r>
        <w:rPr>
          <w:rFonts w:ascii="仿宋" w:hAnsi="仿宋" w:eastAsia="仿宋" w:cs="仿宋"/>
          <w:sz w:val="28"/>
          <w:szCs w:val="28"/>
          <w:lang w:eastAsia="zh-CN"/>
        </w:rPr>
        <w:t xml:space="preserve">已收货款</w:t>
      </w:r>
      <w:r>
        <w:rPr>
          <w:rFonts w:hint="eastAsia" w:ascii="仿宋" w:hAnsi="仿宋" w:eastAsia="仿宋" w:cs="仿宋"/>
          <w:sz w:val="28"/>
          <w:szCs w:val="28"/>
          <w:lang w:eastAsia="zh-CN"/>
        </w:rPr>
        <w:t xml:space="preserve">。若被查出所供货物或其部件是假冒伪劣产品的，甲方有权选择无条件退货并收回货款或要求换货并要求乙方承担合同总</w:t>
      </w:r>
      <w:r>
        <w:rPr>
          <w:rFonts w:ascii="仿宋" w:hAnsi="仿宋" w:eastAsia="仿宋" w:cs="仿宋"/>
          <w:sz w:val="28"/>
          <w:szCs w:val="28"/>
          <w:lang w:eastAsia="zh-CN"/>
        </w:rPr>
        <w:t xml:space="preserve">价款</w:t>
      </w:r>
      <w:r>
        <w:rPr>
          <w:rFonts w:hint="eastAsia" w:ascii="仿宋" w:hAnsi="仿宋" w:eastAsia="仿宋" w:cs="仿宋"/>
          <w:sz w:val="28"/>
          <w:szCs w:val="28"/>
          <w:lang w:eastAsia="zh-CN"/>
        </w:rPr>
        <w:t xml:space="preserve">5%的违约金。</w:t>
      </w:r>
      <w:r>
        <w:rPr>
          <w:rFonts w:ascii="仿宋" w:hAnsi="仿宋" w:eastAsia="仿宋" w:cs="仿宋"/>
          <w:sz w:val="28"/>
          <w:szCs w:val="28"/>
          <w:lang w:eastAsia="zh-CN"/>
        </w:rPr>
      </w:r>
      <w:r/>
    </w:p>
    <w:p>
      <w:pPr>
        <w:pStyle w:val="974"/>
        <w:ind w:left="0" w:firstLine="560"/>
        <w:spacing w:line="500" w:lineRule="exact"/>
        <w:rPr>
          <w:rFonts w:ascii="仿宋" w:hAnsi="仿宋" w:eastAsia="仿宋" w:cs="仿宋"/>
          <w:sz w:val="28"/>
          <w:szCs w:val="28"/>
          <w:lang w:eastAsia="zh-CN"/>
        </w:rPr>
      </w:pPr>
      <w:r>
        <w:rPr>
          <w:rFonts w:hint="eastAsia" w:ascii="仿宋" w:hAnsi="仿宋" w:eastAsia="仿宋" w:cs="仿宋"/>
          <w:sz w:val="28"/>
          <w:szCs w:val="28"/>
          <w:lang w:eastAsia="zh-CN"/>
        </w:rPr>
        <w:t xml:space="preserve">3、因</w:t>
      </w:r>
      <w:r>
        <w:rPr>
          <w:rFonts w:ascii="仿宋" w:hAnsi="仿宋" w:eastAsia="仿宋" w:cs="仿宋"/>
          <w:sz w:val="28"/>
          <w:szCs w:val="28"/>
          <w:lang w:eastAsia="zh-CN"/>
        </w:rPr>
        <w:t xml:space="preserve">乙方的</w:t>
      </w:r>
      <w:r>
        <w:rPr>
          <w:rFonts w:hint="eastAsia" w:ascii="仿宋" w:hAnsi="仿宋" w:eastAsia="仿宋" w:cs="仿宋"/>
          <w:sz w:val="28"/>
          <w:szCs w:val="28"/>
          <w:lang w:eastAsia="zh-CN"/>
        </w:rPr>
        <w:t xml:space="preserve">交付的</w:t>
      </w:r>
      <w:r>
        <w:rPr>
          <w:rFonts w:ascii="仿宋" w:hAnsi="仿宋" w:eastAsia="仿宋" w:cs="仿宋"/>
          <w:sz w:val="28"/>
          <w:szCs w:val="28"/>
          <w:lang w:eastAsia="zh-CN"/>
        </w:rPr>
        <w:t xml:space="preserve">货物</w:t>
      </w:r>
      <w:r>
        <w:rPr>
          <w:rFonts w:hint="eastAsia" w:ascii="仿宋" w:hAnsi="仿宋" w:eastAsia="仿宋" w:cs="仿宋"/>
          <w:sz w:val="28"/>
          <w:szCs w:val="28"/>
          <w:lang w:eastAsia="zh-CN"/>
        </w:rPr>
        <w:t xml:space="preserve">侵犯</w:t>
      </w:r>
      <w:r>
        <w:rPr>
          <w:rFonts w:ascii="仿宋" w:hAnsi="仿宋" w:eastAsia="仿宋" w:cs="仿宋"/>
          <w:sz w:val="28"/>
          <w:szCs w:val="28"/>
          <w:lang w:eastAsia="zh-CN"/>
        </w:rPr>
        <w:t xml:space="preserve">第三人权利</w:t>
      </w:r>
      <w:r>
        <w:rPr>
          <w:rFonts w:hint="eastAsia" w:ascii="仿宋" w:hAnsi="仿宋" w:eastAsia="仿宋" w:cs="仿宋"/>
          <w:sz w:val="28"/>
          <w:szCs w:val="28"/>
          <w:lang w:eastAsia="zh-CN"/>
        </w:rPr>
        <w:t xml:space="preserve">所引发的责任</w:t>
      </w:r>
      <w:r>
        <w:rPr>
          <w:rFonts w:ascii="仿宋" w:hAnsi="仿宋" w:eastAsia="仿宋" w:cs="仿宋"/>
          <w:sz w:val="28"/>
          <w:szCs w:val="28"/>
          <w:lang w:eastAsia="zh-CN"/>
        </w:rPr>
        <w:t xml:space="preserve">，</w:t>
      </w:r>
      <w:r>
        <w:rPr>
          <w:rFonts w:hint="eastAsia" w:ascii="仿宋" w:hAnsi="仿宋" w:eastAsia="仿宋" w:cs="仿宋"/>
          <w:sz w:val="28"/>
          <w:szCs w:val="28"/>
          <w:lang w:eastAsia="zh-CN"/>
        </w:rPr>
        <w:t xml:space="preserve">由</w:t>
      </w:r>
      <w:r>
        <w:rPr>
          <w:rFonts w:ascii="仿宋" w:hAnsi="仿宋" w:eastAsia="仿宋" w:cs="仿宋"/>
          <w:sz w:val="28"/>
          <w:szCs w:val="28"/>
          <w:lang w:eastAsia="zh-CN"/>
        </w:rPr>
        <w:t xml:space="preserve">乙方自行承担</w:t>
      </w:r>
      <w:r>
        <w:rPr>
          <w:rFonts w:hint="eastAsia" w:ascii="仿宋" w:hAnsi="仿宋" w:eastAsia="仿宋" w:cs="仿宋"/>
          <w:sz w:val="28"/>
          <w:szCs w:val="28"/>
          <w:lang w:eastAsia="zh-CN"/>
        </w:rPr>
        <w:t xml:space="preserve">，给甲方造成的一切损失由乙方赔偿</w:t>
      </w:r>
      <w:r>
        <w:rPr>
          <w:rFonts w:ascii="仿宋" w:hAnsi="仿宋" w:eastAsia="仿宋" w:cs="仿宋"/>
          <w:sz w:val="28"/>
          <w:szCs w:val="28"/>
          <w:lang w:eastAsia="zh-CN"/>
        </w:rPr>
        <w:t xml:space="preserve">。</w:t>
      </w:r>
      <w:r>
        <w:rPr>
          <w:rFonts w:hint="eastAsia" w:ascii="仿宋" w:hAnsi="仿宋" w:eastAsia="仿宋" w:cs="仿宋"/>
          <w:sz w:val="28"/>
          <w:szCs w:val="28"/>
          <w:lang w:eastAsia="zh-CN"/>
        </w:rPr>
        <w:t xml:space="preserve">除此之外，乙方应另行向甲方支付与合同总</w:t>
      </w:r>
      <w:r>
        <w:rPr>
          <w:rFonts w:ascii="仿宋" w:hAnsi="仿宋" w:eastAsia="仿宋" w:cs="仿宋"/>
          <w:sz w:val="28"/>
          <w:szCs w:val="28"/>
          <w:lang w:eastAsia="zh-CN"/>
        </w:rPr>
        <w:t xml:space="preserve">价款同</w:t>
      </w:r>
      <w:r>
        <w:rPr>
          <w:rFonts w:hint="eastAsia" w:ascii="仿宋" w:hAnsi="仿宋" w:eastAsia="仿宋" w:cs="仿宋"/>
          <w:sz w:val="28"/>
          <w:szCs w:val="28"/>
          <w:lang w:eastAsia="zh-CN"/>
        </w:rPr>
        <w:t xml:space="preserve">等</w:t>
      </w:r>
      <w:r>
        <w:rPr>
          <w:rFonts w:ascii="仿宋" w:hAnsi="仿宋" w:eastAsia="仿宋" w:cs="仿宋"/>
          <w:sz w:val="28"/>
          <w:szCs w:val="28"/>
          <w:lang w:eastAsia="zh-CN"/>
        </w:rPr>
        <w:t xml:space="preserve">金额</w:t>
      </w:r>
      <w:r>
        <w:rPr>
          <w:rFonts w:hint="eastAsia" w:ascii="仿宋" w:hAnsi="仿宋" w:eastAsia="仿宋" w:cs="仿宋"/>
          <w:sz w:val="28"/>
          <w:szCs w:val="28"/>
          <w:lang w:eastAsia="zh-CN"/>
        </w:rPr>
        <w:t xml:space="preserve">的违约金。</w:t>
      </w:r>
      <w:r>
        <w:rPr>
          <w:rFonts w:ascii="仿宋" w:hAnsi="仿宋" w:eastAsia="仿宋" w:cs="仿宋"/>
          <w:sz w:val="28"/>
          <w:szCs w:val="28"/>
          <w:lang w:eastAsia="zh-CN"/>
        </w:rPr>
      </w:r>
      <w:r/>
    </w:p>
    <w:p>
      <w:pPr>
        <w:pStyle w:val="974"/>
        <w:ind w:left="0" w:firstLine="560"/>
        <w:spacing w:line="500" w:lineRule="exact"/>
        <w:rPr>
          <w:rFonts w:ascii="仿宋" w:hAnsi="仿宋" w:eastAsia="仿宋" w:cs="仿宋"/>
          <w:sz w:val="28"/>
          <w:szCs w:val="28"/>
          <w:lang w:eastAsia="zh-CN"/>
        </w:rPr>
      </w:pPr>
      <w:r>
        <w:rPr>
          <w:rFonts w:hint="eastAsia" w:ascii="仿宋" w:hAnsi="仿宋" w:eastAsia="仿宋" w:cs="仿宋"/>
          <w:sz w:val="28"/>
          <w:szCs w:val="28"/>
          <w:lang w:eastAsia="zh-CN"/>
        </w:rPr>
        <w:t xml:space="preserve">4、本合同标的物的保修期为</w:t>
      </w:r>
      <w:r>
        <w:rPr>
          <w:rFonts w:hint="eastAsia" w:ascii="仿宋" w:hAnsi="仿宋" w:eastAsia="仿宋" w:cs="仿宋"/>
          <w:sz w:val="28"/>
          <w:szCs w:val="28"/>
          <w:u w:val="single"/>
          <w:lang w:eastAsia="zh-CN"/>
        </w:rPr>
        <w:t xml:space="preserve">   </w:t>
      </w:r>
      <w:r>
        <w:rPr>
          <w:rFonts w:hint="eastAsia" w:ascii="仿宋" w:hAnsi="仿宋" w:eastAsia="仿宋" w:cs="仿宋"/>
          <w:sz w:val="28"/>
          <w:szCs w:val="28"/>
          <w:lang w:eastAsia="zh-CN"/>
        </w:rPr>
        <w:t xml:space="preserve">年，质量保证期内，如经乙方三次维修或更换，仍不能达到设备正常质量标准，甲方有权解除本合同，乙方应退回全部货款，并按合同总价款的10%向甲方承担违约责任，同时，乙方还须赔偿甲方因此遭受的</w:t>
      </w:r>
      <w:r>
        <w:rPr>
          <w:rFonts w:ascii="仿宋" w:hAnsi="仿宋" w:eastAsia="仿宋" w:cs="仿宋"/>
          <w:sz w:val="28"/>
          <w:szCs w:val="28"/>
          <w:lang w:eastAsia="zh-CN"/>
        </w:rPr>
        <w:t xml:space="preserve">所有</w:t>
      </w:r>
      <w:r>
        <w:rPr>
          <w:rFonts w:hint="eastAsia" w:ascii="仿宋" w:hAnsi="仿宋" w:eastAsia="仿宋" w:cs="仿宋"/>
          <w:sz w:val="28"/>
          <w:szCs w:val="28"/>
          <w:lang w:eastAsia="zh-CN"/>
        </w:rPr>
        <w:t xml:space="preserve">损失。</w:t>
      </w:r>
      <w:r>
        <w:rPr>
          <w:rFonts w:ascii="仿宋" w:hAnsi="仿宋" w:eastAsia="仿宋" w:cs="仿宋"/>
          <w:sz w:val="28"/>
          <w:szCs w:val="28"/>
          <w:lang w:eastAsia="zh-CN"/>
        </w:rPr>
      </w:r>
      <w:r/>
    </w:p>
    <w:p>
      <w:pPr>
        <w:pStyle w:val="974"/>
        <w:ind w:left="0" w:firstLine="560"/>
        <w:spacing w:line="500" w:lineRule="exact"/>
        <w:rPr>
          <w:rFonts w:ascii="仿宋" w:hAnsi="仿宋" w:eastAsia="仿宋" w:cs="仿宋"/>
          <w:sz w:val="28"/>
          <w:szCs w:val="28"/>
          <w:lang w:eastAsia="zh-CN"/>
        </w:rPr>
      </w:pPr>
      <w:r>
        <w:rPr>
          <w:rFonts w:hint="eastAsia" w:ascii="仿宋" w:hAnsi="仿宋" w:eastAsia="仿宋" w:cs="仿宋"/>
          <w:sz w:val="28"/>
          <w:szCs w:val="28"/>
          <w:lang w:eastAsia="zh-CN"/>
        </w:rPr>
        <w:t xml:space="preserve">5、乙方未按本合同约定的“服务承诺”提供售后服务的，应按合同总价款的10%向甲方承担违约责任，且甲方有权另行选择其他服务提供商另行提供售后服务，费用由乙方承担。</w:t>
      </w:r>
      <w:r>
        <w:rPr>
          <w:rFonts w:ascii="仿宋" w:hAnsi="仿宋" w:eastAsia="仿宋" w:cs="仿宋"/>
          <w:sz w:val="28"/>
          <w:szCs w:val="28"/>
          <w:lang w:eastAsia="zh-CN"/>
        </w:rPr>
      </w:r>
      <w:r/>
    </w:p>
    <w:p>
      <w:pPr>
        <w:pStyle w:val="974"/>
        <w:ind w:left="63" w:firstLine="560"/>
        <w:spacing w:line="500" w:lineRule="exact"/>
        <w:rPr>
          <w:rFonts w:ascii="仿宋" w:hAnsi="仿宋" w:eastAsia="仿宋" w:cs="仿宋"/>
          <w:sz w:val="28"/>
          <w:szCs w:val="28"/>
          <w:lang w:eastAsia="zh-CN"/>
        </w:rPr>
      </w:pPr>
      <w:r>
        <w:rPr>
          <w:rFonts w:hint="eastAsia" w:ascii="仿宋" w:hAnsi="仿宋" w:eastAsia="仿宋" w:cs="仿宋"/>
          <w:sz w:val="28"/>
          <w:szCs w:val="28"/>
          <w:lang w:eastAsia="zh-CN"/>
        </w:rPr>
        <w:t xml:space="preserve">6、</w:t>
      </w:r>
      <w:r>
        <w:rPr>
          <w:rFonts w:ascii="仿宋" w:hAnsi="仿宋" w:eastAsia="仿宋" w:cs="仿宋"/>
          <w:sz w:val="28"/>
          <w:szCs w:val="28"/>
          <w:lang w:eastAsia="zh-CN"/>
        </w:rPr>
        <w:t xml:space="preserve">如</w:t>
      </w:r>
      <w:r>
        <w:rPr>
          <w:rFonts w:hint="eastAsia" w:ascii="仿宋" w:hAnsi="仿宋" w:eastAsia="仿宋" w:cs="仿宋"/>
          <w:sz w:val="28"/>
          <w:szCs w:val="28"/>
          <w:lang w:eastAsia="zh-CN"/>
        </w:rPr>
        <w:t xml:space="preserve">乙方</w:t>
      </w:r>
      <w:r>
        <w:rPr>
          <w:rFonts w:ascii="仿宋" w:hAnsi="仿宋" w:eastAsia="仿宋" w:cs="仿宋"/>
          <w:sz w:val="28"/>
          <w:szCs w:val="28"/>
          <w:lang w:eastAsia="zh-CN"/>
        </w:rPr>
        <w:t xml:space="preserve">不按照本合同约定</w:t>
      </w:r>
      <w:r>
        <w:rPr>
          <w:rFonts w:hint="eastAsia" w:ascii="仿宋" w:hAnsi="仿宋" w:eastAsia="仿宋" w:cs="仿宋"/>
          <w:sz w:val="28"/>
          <w:szCs w:val="28"/>
          <w:lang w:eastAsia="zh-CN"/>
        </w:rPr>
        <w:t xml:space="preserve">履行</w:t>
      </w:r>
      <w:r>
        <w:rPr>
          <w:rFonts w:ascii="仿宋" w:hAnsi="仿宋" w:eastAsia="仿宋" w:cs="仿宋"/>
          <w:sz w:val="28"/>
          <w:szCs w:val="28"/>
          <w:lang w:eastAsia="zh-CN"/>
        </w:rPr>
        <w:t xml:space="preserve">各项义务</w:t>
      </w:r>
      <w:r>
        <w:rPr>
          <w:rFonts w:hint="eastAsia" w:ascii="仿宋" w:hAnsi="仿宋" w:eastAsia="仿宋" w:cs="仿宋"/>
          <w:sz w:val="28"/>
          <w:szCs w:val="28"/>
          <w:lang w:eastAsia="zh-CN"/>
        </w:rPr>
        <w:t xml:space="preserve">或</w:t>
      </w:r>
      <w:r>
        <w:rPr>
          <w:rFonts w:ascii="仿宋" w:hAnsi="仿宋" w:eastAsia="仿宋" w:cs="仿宋"/>
          <w:sz w:val="28"/>
          <w:szCs w:val="28"/>
          <w:lang w:eastAsia="zh-CN"/>
        </w:rPr>
        <w:t xml:space="preserve">履行义务不符合甲方的要求，</w:t>
      </w:r>
      <w:r>
        <w:rPr>
          <w:rFonts w:hint="eastAsia" w:ascii="仿宋" w:hAnsi="仿宋" w:eastAsia="仿宋" w:cs="仿宋"/>
          <w:sz w:val="28"/>
          <w:szCs w:val="28"/>
          <w:lang w:eastAsia="zh-CN"/>
        </w:rPr>
        <w:t xml:space="preserve">导致</w:t>
      </w:r>
      <w:r>
        <w:rPr>
          <w:rFonts w:ascii="仿宋" w:hAnsi="仿宋" w:eastAsia="仿宋" w:cs="仿宋"/>
          <w:sz w:val="28"/>
          <w:szCs w:val="28"/>
          <w:lang w:eastAsia="zh-CN"/>
        </w:rPr>
        <w:t xml:space="preserve">本合同</w:t>
      </w:r>
      <w:r>
        <w:rPr>
          <w:rFonts w:hint="eastAsia" w:ascii="仿宋" w:hAnsi="仿宋" w:eastAsia="仿宋" w:cs="仿宋"/>
          <w:sz w:val="28"/>
          <w:szCs w:val="28"/>
          <w:lang w:eastAsia="zh-CN"/>
        </w:rPr>
        <w:t xml:space="preserve">目的</w:t>
      </w:r>
      <w:r>
        <w:rPr>
          <w:rFonts w:ascii="仿宋" w:hAnsi="仿宋" w:eastAsia="仿宋" w:cs="仿宋"/>
          <w:sz w:val="28"/>
          <w:szCs w:val="28"/>
          <w:lang w:eastAsia="zh-CN"/>
        </w:rPr>
        <w:t xml:space="preserve">无法实现</w:t>
      </w:r>
      <w:r>
        <w:rPr>
          <w:rFonts w:hint="eastAsia" w:ascii="仿宋" w:hAnsi="仿宋" w:eastAsia="仿宋" w:cs="仿宋"/>
          <w:sz w:val="28"/>
          <w:szCs w:val="28"/>
          <w:lang w:eastAsia="zh-CN"/>
        </w:rPr>
        <w:t xml:space="preserve">的</w:t>
      </w:r>
      <w:r>
        <w:rPr>
          <w:rFonts w:ascii="仿宋" w:hAnsi="仿宋" w:eastAsia="仿宋" w:cs="仿宋"/>
          <w:sz w:val="28"/>
          <w:szCs w:val="28"/>
          <w:lang w:eastAsia="zh-CN"/>
        </w:rPr>
        <w:t xml:space="preserve">，甲方有权单方面解除</w:t>
      </w:r>
      <w:r>
        <w:rPr>
          <w:rFonts w:hint="eastAsia" w:ascii="仿宋" w:hAnsi="仿宋" w:eastAsia="仿宋" w:cs="仿宋"/>
          <w:sz w:val="28"/>
          <w:szCs w:val="28"/>
          <w:lang w:eastAsia="zh-CN"/>
        </w:rPr>
        <w:t xml:space="preserve">本合同</w:t>
      </w:r>
      <w:r>
        <w:rPr>
          <w:rFonts w:ascii="仿宋" w:hAnsi="仿宋" w:eastAsia="仿宋" w:cs="仿宋"/>
          <w:sz w:val="28"/>
          <w:szCs w:val="28"/>
          <w:lang w:eastAsia="zh-CN"/>
        </w:rPr>
        <w:t xml:space="preserve">，</w:t>
      </w:r>
      <w:r>
        <w:rPr>
          <w:rFonts w:hint="eastAsia" w:ascii="仿宋" w:hAnsi="仿宋" w:eastAsia="仿宋" w:cs="仿宋"/>
          <w:sz w:val="28"/>
          <w:szCs w:val="28"/>
          <w:lang w:eastAsia="zh-CN"/>
        </w:rPr>
        <w:t xml:space="preserve">并</w:t>
      </w:r>
      <w:r>
        <w:rPr>
          <w:rFonts w:ascii="仿宋" w:hAnsi="仿宋" w:eastAsia="仿宋" w:cs="仿宋"/>
          <w:sz w:val="28"/>
          <w:szCs w:val="28"/>
          <w:lang w:eastAsia="zh-CN"/>
        </w:rPr>
        <w:t xml:space="preserve">要求乙方返还已收取的货款，</w:t>
      </w:r>
      <w:r>
        <w:rPr>
          <w:rFonts w:hint="eastAsia" w:ascii="仿宋" w:hAnsi="仿宋" w:eastAsia="仿宋" w:cs="仿宋"/>
          <w:sz w:val="28"/>
          <w:szCs w:val="28"/>
          <w:lang w:eastAsia="zh-CN"/>
        </w:rPr>
        <w:t xml:space="preserve">并要求乙方支付本合同</w:t>
      </w:r>
      <w:r>
        <w:rPr>
          <w:rFonts w:ascii="仿宋" w:hAnsi="仿宋" w:eastAsia="仿宋" w:cs="仿宋"/>
          <w:sz w:val="28"/>
          <w:szCs w:val="28"/>
          <w:lang w:eastAsia="zh-CN"/>
        </w:rPr>
        <w:t xml:space="preserve">总</w:t>
      </w:r>
      <w:r>
        <w:rPr>
          <w:rFonts w:hint="eastAsia" w:ascii="仿宋" w:hAnsi="仿宋" w:eastAsia="仿宋" w:cs="仿宋"/>
          <w:sz w:val="28"/>
          <w:szCs w:val="28"/>
          <w:lang w:eastAsia="zh-CN"/>
        </w:rPr>
        <w:t xml:space="preserve">价款</w:t>
      </w:r>
      <w:r>
        <w:rPr>
          <w:rFonts w:ascii="仿宋" w:hAnsi="仿宋" w:eastAsia="仿宋" w:cs="仿宋"/>
          <w:sz w:val="28"/>
          <w:szCs w:val="28"/>
          <w:lang w:eastAsia="zh-CN"/>
        </w:rPr>
        <w:t xml:space="preserve">20%</w:t>
      </w:r>
      <w:r>
        <w:rPr>
          <w:rFonts w:hint="eastAsia" w:ascii="仿宋" w:hAnsi="仿宋" w:eastAsia="仿宋" w:cs="仿宋"/>
          <w:sz w:val="28"/>
          <w:szCs w:val="28"/>
          <w:lang w:eastAsia="zh-CN"/>
        </w:rPr>
        <w:t xml:space="preserve">的违约金</w:t>
      </w:r>
      <w:r>
        <w:rPr>
          <w:rFonts w:ascii="仿宋" w:hAnsi="仿宋" w:eastAsia="仿宋" w:cs="仿宋"/>
          <w:sz w:val="28"/>
          <w:szCs w:val="28"/>
          <w:lang w:eastAsia="zh-CN"/>
        </w:rPr>
        <w:t xml:space="preserve">，</w:t>
      </w:r>
      <w:r>
        <w:rPr>
          <w:rFonts w:hint="eastAsia" w:ascii="仿宋" w:hAnsi="仿宋" w:eastAsia="仿宋" w:cs="仿宋"/>
          <w:sz w:val="28"/>
          <w:szCs w:val="28"/>
          <w:lang w:eastAsia="zh-CN"/>
        </w:rPr>
        <w:t xml:space="preserve">因解除本合同给甲方造成的损失额超过总价款的</w:t>
      </w:r>
      <w:r>
        <w:rPr>
          <w:rFonts w:ascii="仿宋" w:hAnsi="仿宋" w:eastAsia="仿宋" w:cs="仿宋"/>
          <w:sz w:val="28"/>
          <w:szCs w:val="28"/>
          <w:lang w:eastAsia="zh-CN"/>
        </w:rPr>
        <w:t xml:space="preserve">20%</w:t>
      </w:r>
      <w:r>
        <w:rPr>
          <w:rFonts w:hint="eastAsia" w:ascii="仿宋" w:hAnsi="仿宋" w:eastAsia="仿宋" w:cs="仿宋"/>
          <w:sz w:val="28"/>
          <w:szCs w:val="28"/>
          <w:lang w:eastAsia="zh-CN"/>
        </w:rPr>
        <w:t xml:space="preserve">的，乙方应对甲方的损失进行充分补偿，直到损失得到完全弥补为止</w:t>
      </w:r>
      <w:r>
        <w:rPr>
          <w:rFonts w:ascii="仿宋" w:hAnsi="仿宋" w:eastAsia="仿宋" w:cs="仿宋"/>
          <w:sz w:val="28"/>
          <w:szCs w:val="28"/>
          <w:lang w:eastAsia="zh-CN"/>
        </w:rPr>
        <w:t xml:space="preserve">。</w:t>
      </w:r>
      <w:r/>
    </w:p>
    <w:p>
      <w:pPr>
        <w:pStyle w:val="974"/>
        <w:ind w:left="0" w:firstLine="562"/>
        <w:spacing w:line="500" w:lineRule="exact"/>
        <w:rPr>
          <w:rFonts w:ascii="仿宋" w:hAnsi="仿宋" w:eastAsia="仿宋" w:cs="仿宋"/>
          <w:b/>
          <w:sz w:val="28"/>
          <w:szCs w:val="28"/>
          <w:lang w:eastAsia="zh-CN"/>
        </w:rPr>
        <w:outlineLvl w:val="0"/>
      </w:pPr>
      <w:r/>
      <w:bookmarkStart w:id="188" w:name="_Toc11649"/>
      <w:r>
        <w:rPr>
          <w:rFonts w:hint="eastAsia" w:ascii="仿宋" w:hAnsi="仿宋" w:eastAsia="仿宋" w:cs="仿宋"/>
          <w:b/>
          <w:sz w:val="28"/>
          <w:szCs w:val="28"/>
          <w:lang w:eastAsia="zh-CN"/>
        </w:rPr>
        <w:t xml:space="preserve">七、不可抗力</w:t>
      </w:r>
      <w:bookmarkEnd w:id="188"/>
      <w:r>
        <w:rPr>
          <w:rFonts w:ascii="仿宋" w:hAnsi="仿宋" w:eastAsia="仿宋" w:cs="仿宋"/>
          <w:b/>
          <w:sz w:val="28"/>
          <w:szCs w:val="28"/>
          <w:lang w:eastAsia="zh-CN"/>
        </w:rPr>
      </w:r>
      <w:r/>
    </w:p>
    <w:p>
      <w:pPr>
        <w:pStyle w:val="974"/>
        <w:ind w:left="0" w:firstLine="560"/>
        <w:spacing w:line="500" w:lineRule="exact"/>
        <w:rPr>
          <w:rFonts w:ascii="仿宋" w:hAnsi="仿宋" w:eastAsia="仿宋" w:cs="仿宋"/>
          <w:sz w:val="28"/>
          <w:szCs w:val="28"/>
          <w:lang w:eastAsia="zh-CN"/>
        </w:rPr>
      </w:pPr>
      <w:r>
        <w:rPr>
          <w:rFonts w:hint="eastAsia" w:ascii="仿宋" w:hAnsi="仿宋" w:eastAsia="仿宋" w:cs="仿宋"/>
          <w:sz w:val="28"/>
          <w:szCs w:val="28"/>
          <w:lang w:eastAsia="zh-CN"/>
        </w:rPr>
        <w:t xml:space="preserve">1、不可抗力是指严重的自然灾害和灾难，如台风、洪水、地震、火灾、爆炸、战争等，是不可预见、不可控制、难以避免的。</w:t>
      </w:r>
      <w:r>
        <w:rPr>
          <w:rFonts w:ascii="仿宋" w:hAnsi="仿宋" w:eastAsia="仿宋" w:cs="仿宋"/>
          <w:sz w:val="28"/>
          <w:szCs w:val="28"/>
          <w:lang w:eastAsia="zh-CN"/>
        </w:rPr>
      </w:r>
      <w:r/>
    </w:p>
    <w:p>
      <w:pPr>
        <w:pStyle w:val="974"/>
        <w:ind w:left="0" w:firstLine="560"/>
        <w:spacing w:line="500" w:lineRule="exact"/>
        <w:rPr>
          <w:rFonts w:ascii="仿宋" w:hAnsi="仿宋" w:eastAsia="仿宋" w:cs="仿宋"/>
          <w:sz w:val="28"/>
          <w:szCs w:val="28"/>
          <w:lang w:eastAsia="zh-CN"/>
        </w:rPr>
      </w:pPr>
      <w:r>
        <w:rPr>
          <w:rFonts w:hint="eastAsia" w:ascii="仿宋" w:hAnsi="仿宋" w:eastAsia="仿宋" w:cs="仿宋"/>
          <w:sz w:val="28"/>
          <w:szCs w:val="28"/>
          <w:lang w:eastAsia="zh-CN"/>
        </w:rPr>
        <w:t xml:space="preserve">2、受到不可抗力影响的一方应在不可抗力事故发生后，可尽快将所发生的不可抗力时间的情况通知另一方，并在3日内</w:t>
      </w:r>
      <w:r>
        <w:rPr>
          <w:rFonts w:ascii="仿宋" w:hAnsi="仿宋" w:eastAsia="仿宋" w:cs="仿宋"/>
          <w:sz w:val="28"/>
          <w:szCs w:val="28"/>
          <w:lang w:eastAsia="zh-CN"/>
        </w:rPr>
        <w:t xml:space="preserve">提供</w:t>
      </w:r>
      <w:r>
        <w:rPr>
          <w:rFonts w:hint="eastAsia" w:ascii="仿宋" w:hAnsi="仿宋" w:eastAsia="仿宋" w:cs="仿宋"/>
          <w:sz w:val="28"/>
          <w:szCs w:val="28"/>
          <w:lang w:eastAsia="zh-CN"/>
        </w:rPr>
        <w:t xml:space="preserve">不可抗力事件</w:t>
      </w:r>
      <w:r>
        <w:rPr>
          <w:rFonts w:ascii="仿宋" w:hAnsi="仿宋" w:eastAsia="仿宋" w:cs="仿宋"/>
          <w:sz w:val="28"/>
          <w:szCs w:val="28"/>
          <w:lang w:eastAsia="zh-CN"/>
        </w:rPr>
        <w:t xml:space="preserve">的理由及相关</w:t>
      </w:r>
      <w:r>
        <w:rPr>
          <w:rFonts w:hint="eastAsia" w:ascii="仿宋" w:hAnsi="仿宋" w:eastAsia="仿宋" w:cs="仿宋"/>
          <w:sz w:val="28"/>
          <w:szCs w:val="28"/>
          <w:lang w:eastAsia="zh-CN"/>
        </w:rPr>
        <w:t xml:space="preserve">证明文件</w:t>
      </w:r>
      <w:r>
        <w:rPr>
          <w:rFonts w:ascii="仿宋" w:hAnsi="仿宋" w:eastAsia="仿宋" w:cs="仿宋"/>
          <w:sz w:val="28"/>
          <w:szCs w:val="28"/>
          <w:lang w:eastAsia="zh-CN"/>
        </w:rPr>
        <w:t xml:space="preserve">给</w:t>
      </w:r>
      <w:r>
        <w:rPr>
          <w:rFonts w:hint="eastAsia" w:ascii="仿宋" w:hAnsi="仿宋" w:eastAsia="仿宋" w:cs="仿宋"/>
          <w:sz w:val="28"/>
          <w:szCs w:val="28"/>
          <w:lang w:eastAsia="zh-CN"/>
        </w:rPr>
        <w:t xml:space="preserve">另一方</w:t>
      </w:r>
      <w:r>
        <w:rPr>
          <w:rFonts w:ascii="仿宋" w:hAnsi="仿宋" w:eastAsia="仿宋" w:cs="仿宋"/>
          <w:sz w:val="28"/>
          <w:szCs w:val="28"/>
          <w:lang w:eastAsia="zh-CN"/>
        </w:rPr>
        <w:t xml:space="preserve">。</w:t>
      </w:r>
      <w:r/>
    </w:p>
    <w:p>
      <w:pPr>
        <w:pStyle w:val="974"/>
        <w:ind w:left="0" w:firstLine="560"/>
        <w:spacing w:line="500" w:lineRule="exact"/>
        <w:rPr>
          <w:rFonts w:ascii="仿宋" w:hAnsi="仿宋" w:eastAsia="仿宋" w:cs="仿宋"/>
          <w:sz w:val="28"/>
          <w:szCs w:val="28"/>
          <w:lang w:eastAsia="zh-CN"/>
        </w:rPr>
      </w:pPr>
      <w:r>
        <w:rPr>
          <w:rFonts w:hint="eastAsia" w:ascii="仿宋" w:hAnsi="仿宋" w:eastAsia="仿宋" w:cs="仿宋"/>
          <w:sz w:val="28"/>
          <w:szCs w:val="28"/>
          <w:lang w:eastAsia="zh-CN"/>
        </w:rPr>
        <w:t xml:space="preserve">3、如果</w:t>
      </w:r>
      <w:r>
        <w:rPr>
          <w:rFonts w:ascii="仿宋" w:hAnsi="仿宋" w:eastAsia="仿宋" w:cs="仿宋"/>
          <w:sz w:val="28"/>
          <w:szCs w:val="28"/>
          <w:lang w:eastAsia="zh-CN"/>
        </w:rPr>
        <w:t xml:space="preserve">不可</w:t>
      </w:r>
      <w:r>
        <w:rPr>
          <w:rFonts w:hint="eastAsia" w:ascii="仿宋" w:hAnsi="仿宋" w:eastAsia="仿宋" w:cs="仿宋"/>
          <w:sz w:val="28"/>
          <w:szCs w:val="28"/>
          <w:lang w:eastAsia="zh-CN"/>
        </w:rPr>
        <w:t xml:space="preserve">抗力</w:t>
      </w:r>
      <w:r>
        <w:rPr>
          <w:rFonts w:ascii="仿宋" w:hAnsi="仿宋" w:eastAsia="仿宋" w:cs="仿宋"/>
          <w:sz w:val="28"/>
          <w:szCs w:val="28"/>
          <w:lang w:eastAsia="zh-CN"/>
        </w:rPr>
        <w:t xml:space="preserve">事件发生，任何一方不应对另一方因此产生的无法或迟延履行的任何损失承担责任，并且该无法或迟延履行不</w:t>
      </w:r>
      <w:r>
        <w:rPr>
          <w:rFonts w:hint="eastAsia" w:ascii="仿宋" w:hAnsi="仿宋" w:eastAsia="仿宋" w:cs="仿宋"/>
          <w:sz w:val="28"/>
          <w:szCs w:val="28"/>
          <w:lang w:eastAsia="zh-CN"/>
        </w:rPr>
        <w:t xml:space="preserve">视为</w:t>
      </w:r>
      <w:r>
        <w:rPr>
          <w:rFonts w:ascii="仿宋" w:hAnsi="仿宋" w:eastAsia="仿宋" w:cs="仿宋"/>
          <w:sz w:val="28"/>
          <w:szCs w:val="28"/>
          <w:lang w:eastAsia="zh-CN"/>
        </w:rPr>
        <w:t xml:space="preserve">对本合同的违反。</w:t>
      </w:r>
      <w:r>
        <w:rPr>
          <w:rFonts w:hint="eastAsia" w:ascii="仿宋" w:hAnsi="仿宋" w:eastAsia="仿宋" w:cs="仿宋"/>
          <w:sz w:val="28"/>
          <w:szCs w:val="28"/>
          <w:lang w:eastAsia="zh-CN"/>
        </w:rPr>
        <w:t xml:space="preserve">但</w:t>
      </w:r>
      <w:r>
        <w:rPr>
          <w:rFonts w:ascii="仿宋" w:hAnsi="仿宋" w:eastAsia="仿宋" w:cs="仿宋"/>
          <w:sz w:val="28"/>
          <w:szCs w:val="28"/>
          <w:lang w:eastAsia="zh-CN"/>
        </w:rPr>
        <w:t xml:space="preserve">本合同项下的所有</w:t>
      </w:r>
      <w:r>
        <w:rPr>
          <w:rFonts w:hint="eastAsia" w:ascii="仿宋" w:hAnsi="仿宋" w:eastAsia="仿宋" w:cs="仿宋"/>
          <w:sz w:val="28"/>
          <w:szCs w:val="28"/>
          <w:lang w:eastAsia="zh-CN"/>
        </w:rPr>
        <w:t xml:space="preserve">义务</w:t>
      </w:r>
      <w:r>
        <w:rPr>
          <w:rFonts w:ascii="仿宋" w:hAnsi="仿宋" w:eastAsia="仿宋" w:cs="仿宋"/>
          <w:sz w:val="28"/>
          <w:szCs w:val="28"/>
          <w:lang w:eastAsia="zh-CN"/>
        </w:rPr>
        <w:t xml:space="preserve">及履行</w:t>
      </w:r>
      <w:r>
        <w:rPr>
          <w:rFonts w:hint="eastAsia" w:ascii="仿宋" w:hAnsi="仿宋" w:eastAsia="仿宋" w:cs="仿宋"/>
          <w:sz w:val="28"/>
          <w:szCs w:val="28"/>
          <w:lang w:eastAsia="zh-CN"/>
        </w:rPr>
        <w:t xml:space="preserve">时间仍然</w:t>
      </w:r>
      <w:r>
        <w:rPr>
          <w:rFonts w:ascii="仿宋" w:hAnsi="仿宋" w:eastAsia="仿宋" w:cs="仿宋"/>
          <w:sz w:val="28"/>
          <w:szCs w:val="28"/>
          <w:lang w:eastAsia="zh-CN"/>
        </w:rPr>
        <w:t xml:space="preserve">有效。</w:t>
      </w:r>
      <w:r/>
    </w:p>
    <w:p>
      <w:pPr>
        <w:pStyle w:val="974"/>
        <w:ind w:left="0" w:firstLine="560"/>
        <w:spacing w:line="500" w:lineRule="exact"/>
        <w:rPr>
          <w:rFonts w:ascii="仿宋" w:hAnsi="仿宋" w:eastAsia="仿宋" w:cs="仿宋"/>
          <w:sz w:val="28"/>
          <w:szCs w:val="28"/>
          <w:lang w:eastAsia="zh-CN"/>
        </w:rPr>
      </w:pPr>
      <w:r>
        <w:rPr>
          <w:rFonts w:hint="eastAsia" w:ascii="仿宋" w:hAnsi="仿宋" w:eastAsia="仿宋" w:cs="仿宋"/>
          <w:sz w:val="28"/>
          <w:szCs w:val="28"/>
          <w:lang w:eastAsia="zh-CN"/>
        </w:rPr>
        <w:t xml:space="preserve">4、遭受</w:t>
      </w:r>
      <w:r>
        <w:rPr>
          <w:rFonts w:ascii="仿宋" w:hAnsi="仿宋" w:eastAsia="仿宋" w:cs="仿宋"/>
          <w:sz w:val="28"/>
          <w:szCs w:val="28"/>
          <w:lang w:eastAsia="zh-CN"/>
        </w:rPr>
        <w:t xml:space="preserve">不可抗力</w:t>
      </w:r>
      <w:r>
        <w:rPr>
          <w:rFonts w:hint="eastAsia" w:ascii="仿宋" w:hAnsi="仿宋" w:eastAsia="仿宋" w:cs="仿宋"/>
          <w:sz w:val="28"/>
          <w:szCs w:val="28"/>
          <w:lang w:eastAsia="zh-CN"/>
        </w:rPr>
        <w:t xml:space="preserve">影响一方应</w:t>
      </w:r>
      <w:r>
        <w:rPr>
          <w:rFonts w:ascii="仿宋" w:hAnsi="仿宋" w:eastAsia="仿宋" w:cs="仿宋"/>
          <w:sz w:val="28"/>
          <w:szCs w:val="28"/>
          <w:lang w:eastAsia="zh-CN"/>
        </w:rPr>
        <w:t xml:space="preserve">当采取适当措施</w:t>
      </w:r>
      <w:r>
        <w:rPr>
          <w:rFonts w:hint="eastAsia" w:ascii="仿宋" w:hAnsi="仿宋" w:eastAsia="仿宋" w:cs="仿宋"/>
          <w:sz w:val="28"/>
          <w:szCs w:val="28"/>
          <w:lang w:eastAsia="zh-CN"/>
        </w:rPr>
        <w:t xml:space="preserve">尽量减小</w:t>
      </w:r>
      <w:r>
        <w:rPr>
          <w:rFonts w:ascii="仿宋" w:hAnsi="仿宋" w:eastAsia="仿宋" w:cs="仿宋"/>
          <w:sz w:val="28"/>
          <w:szCs w:val="28"/>
          <w:lang w:eastAsia="zh-CN"/>
        </w:rPr>
        <w:t xml:space="preserve">或排除不可抗力所造成的损失</w:t>
      </w:r>
      <w:r>
        <w:rPr>
          <w:rFonts w:hint="eastAsia" w:ascii="仿宋" w:hAnsi="仿宋" w:eastAsia="仿宋" w:cs="仿宋"/>
          <w:sz w:val="28"/>
          <w:szCs w:val="28"/>
          <w:lang w:eastAsia="zh-CN"/>
        </w:rPr>
        <w:t xml:space="preserve">，尽可能防止损失的扩大</w:t>
      </w:r>
      <w:r>
        <w:rPr>
          <w:rFonts w:ascii="仿宋" w:hAnsi="仿宋" w:eastAsia="仿宋" w:cs="仿宋"/>
          <w:sz w:val="28"/>
          <w:szCs w:val="28"/>
          <w:lang w:eastAsia="zh-CN"/>
        </w:rPr>
        <w:t xml:space="preserve">。</w:t>
      </w:r>
      <w:r>
        <w:rPr>
          <w:rFonts w:hint="eastAsia" w:ascii="仿宋" w:hAnsi="仿宋" w:eastAsia="仿宋" w:cs="仿宋"/>
          <w:sz w:val="28"/>
          <w:szCs w:val="28"/>
          <w:lang w:eastAsia="zh-CN"/>
        </w:rPr>
        <w:t xml:space="preserve">若因该方未采取适当措施，导致损失不合理扩大的，扩大部分的损失由该方承担。一旦不可抗力的影响消除后，应立即</w:t>
      </w:r>
      <w:r>
        <w:rPr>
          <w:rFonts w:ascii="仿宋" w:hAnsi="仿宋" w:eastAsia="仿宋" w:cs="仿宋"/>
          <w:sz w:val="28"/>
          <w:szCs w:val="28"/>
          <w:lang w:eastAsia="zh-CN"/>
        </w:rPr>
        <w:t xml:space="preserve">恢复履行</w:t>
      </w:r>
      <w:r>
        <w:rPr>
          <w:rFonts w:hint="eastAsia" w:ascii="仿宋" w:hAnsi="仿宋" w:eastAsia="仿宋" w:cs="仿宋"/>
          <w:sz w:val="28"/>
          <w:szCs w:val="28"/>
          <w:lang w:eastAsia="zh-CN"/>
        </w:rPr>
        <w:t xml:space="preserve">本合同义务。</w:t>
      </w:r>
      <w:r>
        <w:rPr>
          <w:rFonts w:ascii="仿宋" w:hAnsi="仿宋" w:eastAsia="仿宋" w:cs="仿宋"/>
          <w:sz w:val="28"/>
          <w:szCs w:val="28"/>
          <w:lang w:eastAsia="zh-CN"/>
        </w:rPr>
      </w:r>
      <w:r/>
    </w:p>
    <w:p>
      <w:pPr>
        <w:pStyle w:val="974"/>
        <w:ind w:left="0" w:firstLine="562"/>
        <w:spacing w:line="500" w:lineRule="exact"/>
        <w:rPr>
          <w:rFonts w:ascii="仿宋" w:hAnsi="仿宋" w:eastAsia="仿宋" w:cs="仿宋"/>
          <w:b/>
          <w:sz w:val="28"/>
          <w:szCs w:val="28"/>
          <w:lang w:eastAsia="zh-CN"/>
        </w:rPr>
        <w:outlineLvl w:val="0"/>
      </w:pPr>
      <w:r/>
      <w:bookmarkStart w:id="189" w:name="_Toc14964"/>
      <w:r>
        <w:rPr>
          <w:rFonts w:hint="eastAsia" w:ascii="仿宋" w:hAnsi="仿宋" w:eastAsia="仿宋" w:cs="仿宋"/>
          <w:b/>
          <w:sz w:val="28"/>
          <w:szCs w:val="28"/>
          <w:lang w:eastAsia="zh-CN"/>
        </w:rPr>
        <w:t xml:space="preserve">八、争议解决</w:t>
      </w:r>
      <w:r>
        <w:rPr>
          <w:rFonts w:ascii="仿宋" w:hAnsi="仿宋" w:eastAsia="仿宋" w:cs="仿宋"/>
          <w:b/>
          <w:sz w:val="28"/>
          <w:szCs w:val="28"/>
          <w:lang w:eastAsia="zh-CN"/>
        </w:rPr>
        <w:t xml:space="preserve">方式</w:t>
      </w:r>
      <w:bookmarkEnd w:id="189"/>
      <w:r>
        <w:rPr>
          <w:rFonts w:ascii="仿宋" w:hAnsi="仿宋" w:eastAsia="仿宋" w:cs="仿宋"/>
          <w:b/>
          <w:sz w:val="28"/>
          <w:szCs w:val="28"/>
          <w:lang w:eastAsia="zh-CN"/>
        </w:rPr>
      </w:r>
      <w:r/>
    </w:p>
    <w:p>
      <w:pPr>
        <w:pStyle w:val="974"/>
        <w:ind w:left="0" w:firstLine="560"/>
        <w:spacing w:line="500" w:lineRule="exact"/>
        <w:rPr>
          <w:rFonts w:ascii="仿宋" w:hAnsi="仿宋" w:eastAsia="仿宋" w:cs="仿宋"/>
          <w:sz w:val="28"/>
          <w:szCs w:val="28"/>
          <w:lang w:eastAsia="zh-CN"/>
        </w:rPr>
      </w:pPr>
      <w:r>
        <w:rPr>
          <w:rFonts w:hint="eastAsia" w:ascii="仿宋" w:hAnsi="仿宋" w:eastAsia="仿宋" w:cs="仿宋"/>
          <w:sz w:val="28"/>
          <w:szCs w:val="28"/>
          <w:lang w:eastAsia="zh-CN"/>
        </w:rPr>
        <w:t xml:space="preserve">因履行本合同引起的或与本合同有关的争议，甲乙双方首先应友好协商解决</w:t>
      </w:r>
      <w:r>
        <w:rPr>
          <w:rFonts w:ascii="仿宋" w:hAnsi="仿宋" w:eastAsia="仿宋" w:cs="仿宋"/>
          <w:sz w:val="28"/>
          <w:szCs w:val="28"/>
          <w:lang w:eastAsia="zh-CN"/>
        </w:rPr>
        <w:t xml:space="preserve">，</w:t>
      </w:r>
      <w:r>
        <w:rPr>
          <w:rFonts w:hint="eastAsia" w:ascii="仿宋" w:hAnsi="仿宋" w:eastAsia="仿宋" w:cs="仿宋"/>
          <w:sz w:val="28"/>
          <w:szCs w:val="28"/>
          <w:lang w:eastAsia="zh-CN"/>
        </w:rPr>
        <w:t xml:space="preserve">可以签订</w:t>
      </w:r>
      <w:r>
        <w:rPr>
          <w:rFonts w:ascii="仿宋" w:hAnsi="仿宋" w:eastAsia="仿宋" w:cs="仿宋"/>
          <w:sz w:val="28"/>
          <w:szCs w:val="28"/>
          <w:lang w:eastAsia="zh-CN"/>
        </w:rPr>
        <w:t xml:space="preserve">补充</w:t>
      </w:r>
      <w:r>
        <w:rPr>
          <w:rFonts w:hint="eastAsia" w:ascii="仿宋" w:hAnsi="仿宋" w:eastAsia="仿宋" w:cs="仿宋"/>
          <w:sz w:val="28"/>
          <w:szCs w:val="28"/>
          <w:lang w:eastAsia="zh-CN"/>
        </w:rPr>
        <w:t xml:space="preserve">协议</w:t>
      </w:r>
      <w:r>
        <w:rPr>
          <w:rFonts w:ascii="仿宋" w:hAnsi="仿宋" w:eastAsia="仿宋" w:cs="仿宋"/>
          <w:sz w:val="28"/>
          <w:szCs w:val="28"/>
          <w:lang w:eastAsia="zh-CN"/>
        </w:rPr>
        <w:t xml:space="preserve">，补充</w:t>
      </w:r>
      <w:r>
        <w:rPr>
          <w:rFonts w:hint="eastAsia" w:ascii="仿宋" w:hAnsi="仿宋" w:eastAsia="仿宋" w:cs="仿宋"/>
          <w:sz w:val="28"/>
          <w:szCs w:val="28"/>
          <w:lang w:eastAsia="zh-CN"/>
        </w:rPr>
        <w:t xml:space="preserve">协议</w:t>
      </w:r>
      <w:r>
        <w:rPr>
          <w:rFonts w:ascii="仿宋" w:hAnsi="仿宋" w:eastAsia="仿宋" w:cs="仿宋"/>
          <w:sz w:val="28"/>
          <w:szCs w:val="28"/>
          <w:lang w:eastAsia="zh-CN"/>
        </w:rPr>
        <w:t xml:space="preserve">与本合同具有同等效力</w:t>
      </w:r>
      <w:r>
        <w:rPr>
          <w:rFonts w:hint="eastAsia" w:ascii="仿宋" w:hAnsi="仿宋" w:eastAsia="仿宋" w:cs="仿宋"/>
          <w:sz w:val="28"/>
          <w:szCs w:val="28"/>
          <w:lang w:eastAsia="zh-CN"/>
        </w:rPr>
        <w:t xml:space="preserve">；协商不成的，任何一方可以向甲方所在地人民法院提起诉讼。</w:t>
      </w:r>
      <w:r>
        <w:rPr>
          <w:rFonts w:ascii="仿宋" w:hAnsi="仿宋" w:eastAsia="仿宋" w:cs="仿宋"/>
          <w:sz w:val="28"/>
          <w:szCs w:val="28"/>
          <w:lang w:eastAsia="zh-CN"/>
        </w:rPr>
      </w:r>
      <w:r/>
    </w:p>
    <w:p>
      <w:pPr>
        <w:pStyle w:val="974"/>
        <w:ind w:firstLine="560"/>
        <w:spacing w:line="500" w:lineRule="exact"/>
        <w:rPr>
          <w:rFonts w:ascii="仿宋" w:hAnsi="仿宋" w:eastAsia="仿宋" w:cs="仿宋"/>
          <w:sz w:val="28"/>
          <w:szCs w:val="28"/>
          <w:lang w:eastAsia="zh-CN"/>
        </w:rPr>
      </w:pPr>
      <w:r>
        <w:rPr>
          <w:rFonts w:ascii="仿宋" w:hAnsi="仿宋" w:eastAsia="仿宋" w:cs="仿宋"/>
          <w:sz w:val="28"/>
          <w:szCs w:val="28"/>
          <w:lang w:eastAsia="zh-CN"/>
        </w:rPr>
      </w:r>
      <w:r/>
    </w:p>
    <w:p>
      <w:pPr>
        <w:pStyle w:val="974"/>
        <w:ind w:left="0" w:firstLine="562"/>
        <w:spacing w:line="500" w:lineRule="exact"/>
        <w:rPr>
          <w:rFonts w:ascii="仿宋" w:hAnsi="仿宋" w:eastAsia="仿宋" w:cs="仿宋"/>
          <w:b/>
          <w:sz w:val="28"/>
          <w:szCs w:val="28"/>
          <w:lang w:eastAsia="zh-CN"/>
        </w:rPr>
        <w:outlineLvl w:val="0"/>
      </w:pPr>
      <w:r/>
      <w:bookmarkStart w:id="190" w:name="_Toc30388"/>
      <w:r>
        <w:rPr>
          <w:rFonts w:hint="eastAsia" w:ascii="仿宋" w:hAnsi="仿宋" w:eastAsia="仿宋" w:cs="仿宋"/>
          <w:b/>
          <w:sz w:val="28"/>
          <w:szCs w:val="28"/>
          <w:lang w:eastAsia="zh-CN"/>
        </w:rPr>
        <w:t xml:space="preserve">九、其他</w:t>
      </w:r>
      <w:bookmarkEnd w:id="190"/>
      <w:r>
        <w:rPr>
          <w:rFonts w:ascii="仿宋" w:hAnsi="仿宋" w:eastAsia="仿宋" w:cs="仿宋"/>
          <w:b/>
          <w:sz w:val="28"/>
          <w:szCs w:val="28"/>
          <w:lang w:eastAsia="zh-CN"/>
        </w:rPr>
      </w:r>
      <w:r/>
    </w:p>
    <w:p>
      <w:pPr>
        <w:pStyle w:val="974"/>
        <w:ind w:left="63" w:firstLine="560"/>
        <w:spacing w:line="500" w:lineRule="exact"/>
        <w:rPr>
          <w:rFonts w:ascii="仿宋" w:hAnsi="仿宋" w:eastAsia="仿宋" w:cs="仿宋"/>
          <w:sz w:val="28"/>
          <w:szCs w:val="28"/>
          <w:lang w:eastAsia="zh-CN"/>
        </w:rPr>
      </w:pPr>
      <w:r>
        <w:rPr>
          <w:rFonts w:hint="eastAsia" w:ascii="仿宋" w:hAnsi="仿宋" w:eastAsia="仿宋" w:cs="仿宋"/>
          <w:sz w:val="28"/>
          <w:szCs w:val="28"/>
          <w:lang w:eastAsia="zh-CN"/>
        </w:rPr>
        <w:t xml:space="preserve">1、本合同自甲乙双方授权的代表签字</w:t>
      </w:r>
      <w:r>
        <w:rPr>
          <w:rFonts w:ascii="仿宋" w:hAnsi="仿宋" w:eastAsia="仿宋" w:cs="仿宋"/>
          <w:sz w:val="28"/>
          <w:szCs w:val="28"/>
          <w:lang w:eastAsia="zh-CN"/>
        </w:rPr>
        <w:t xml:space="preserve">并</w:t>
      </w:r>
      <w:r>
        <w:rPr>
          <w:rFonts w:hint="eastAsia" w:ascii="仿宋" w:hAnsi="仿宋" w:eastAsia="仿宋" w:cs="仿宋"/>
          <w:sz w:val="28"/>
          <w:szCs w:val="28"/>
          <w:lang w:eastAsia="zh-CN"/>
        </w:rPr>
        <w:t xml:space="preserve">盖章后生效，至本合同</w:t>
      </w:r>
      <w:r>
        <w:rPr>
          <w:rFonts w:ascii="仿宋" w:hAnsi="仿宋" w:eastAsia="仿宋" w:cs="仿宋"/>
          <w:sz w:val="28"/>
          <w:szCs w:val="28"/>
          <w:lang w:eastAsia="zh-CN"/>
        </w:rPr>
        <w:t xml:space="preserve">约定的</w:t>
      </w:r>
      <w:r>
        <w:rPr>
          <w:rFonts w:hint="eastAsia" w:ascii="仿宋" w:hAnsi="仿宋" w:eastAsia="仿宋" w:cs="仿宋"/>
          <w:sz w:val="28"/>
          <w:szCs w:val="28"/>
          <w:lang w:eastAsia="zh-CN"/>
        </w:rPr>
        <w:t xml:space="preserve">全部</w:t>
      </w:r>
      <w:r>
        <w:rPr>
          <w:rFonts w:ascii="仿宋" w:hAnsi="仿宋" w:eastAsia="仿宋" w:cs="仿宋"/>
          <w:sz w:val="28"/>
          <w:szCs w:val="28"/>
          <w:lang w:eastAsia="zh-CN"/>
        </w:rPr>
        <w:t xml:space="preserve">义务履行完毕</w:t>
      </w:r>
      <w:r>
        <w:rPr>
          <w:rFonts w:hint="eastAsia" w:ascii="仿宋" w:hAnsi="仿宋" w:eastAsia="仿宋" w:cs="仿宋"/>
          <w:sz w:val="28"/>
          <w:szCs w:val="28"/>
          <w:lang w:eastAsia="zh-CN"/>
        </w:rPr>
        <w:t xml:space="preserve">之日终止。</w:t>
      </w:r>
      <w:r>
        <w:rPr>
          <w:rFonts w:ascii="仿宋" w:hAnsi="仿宋" w:eastAsia="仿宋" w:cs="仿宋"/>
          <w:sz w:val="28"/>
          <w:szCs w:val="28"/>
          <w:lang w:eastAsia="zh-CN"/>
        </w:rPr>
      </w:r>
      <w:r/>
    </w:p>
    <w:p>
      <w:pPr>
        <w:pStyle w:val="974"/>
        <w:ind w:left="63" w:firstLine="560"/>
        <w:spacing w:line="500" w:lineRule="exact"/>
        <w:rPr>
          <w:rFonts w:ascii="仿宋" w:hAnsi="仿宋" w:eastAsia="仿宋" w:cs="仿宋"/>
          <w:sz w:val="28"/>
          <w:szCs w:val="28"/>
          <w:lang w:eastAsia="zh-CN"/>
        </w:rPr>
      </w:pPr>
      <w:r>
        <w:rPr>
          <w:rFonts w:hint="eastAsia" w:ascii="仿宋" w:hAnsi="仿宋" w:eastAsia="仿宋" w:cs="仿宋"/>
          <w:sz w:val="28"/>
          <w:szCs w:val="28"/>
          <w:lang w:eastAsia="zh-CN"/>
        </w:rPr>
        <w:t xml:space="preserve">2、本合同未尽事宜，双方可另行协商，可签署书面补充协议，补充协议与本协议具有同等法律效力。</w:t>
      </w:r>
      <w:r>
        <w:rPr>
          <w:rFonts w:ascii="仿宋" w:hAnsi="仿宋" w:eastAsia="仿宋" w:cs="仿宋"/>
          <w:sz w:val="28"/>
          <w:szCs w:val="28"/>
          <w:lang w:eastAsia="zh-CN"/>
        </w:rPr>
      </w:r>
      <w:r/>
    </w:p>
    <w:p>
      <w:pPr>
        <w:pStyle w:val="974"/>
        <w:ind w:left="63" w:firstLine="560"/>
        <w:spacing w:line="500" w:lineRule="exact"/>
        <w:rPr>
          <w:rFonts w:ascii="仿宋" w:hAnsi="仿宋" w:eastAsia="仿宋" w:cs="仿宋"/>
          <w:sz w:val="28"/>
          <w:szCs w:val="28"/>
          <w:lang w:eastAsia="zh-CN"/>
        </w:rPr>
      </w:pPr>
      <w:r>
        <w:rPr>
          <w:rFonts w:hint="eastAsia" w:ascii="仿宋" w:hAnsi="仿宋" w:eastAsia="仿宋" w:cs="仿宋"/>
          <w:sz w:val="28"/>
          <w:szCs w:val="28"/>
          <w:lang w:eastAsia="zh-CN"/>
        </w:rPr>
        <w:t xml:space="preserve">3、甲方</w:t>
      </w:r>
      <w:r>
        <w:rPr>
          <w:rFonts w:ascii="仿宋" w:hAnsi="仿宋" w:eastAsia="仿宋" w:cs="仿宋"/>
          <w:sz w:val="28"/>
          <w:szCs w:val="28"/>
          <w:lang w:eastAsia="zh-CN"/>
        </w:rPr>
        <w:t xml:space="preserve">发布的编号为</w:t>
      </w:r>
      <w:r>
        <w:rPr>
          <w:rFonts w:hint="eastAsia" w:ascii="仿宋" w:hAnsi="仿宋" w:eastAsia="仿宋" w:cs="仿宋"/>
          <w:sz w:val="28"/>
          <w:szCs w:val="28"/>
          <w:u w:val="single"/>
          <w:lang w:eastAsia="zh-CN"/>
        </w:rPr>
        <w:t xml:space="preserve">       </w:t>
      </w:r>
      <w:r>
        <w:rPr>
          <w:rFonts w:hint="eastAsia" w:ascii="仿宋" w:hAnsi="仿宋" w:eastAsia="仿宋" w:cs="仿宋"/>
          <w:sz w:val="28"/>
          <w:szCs w:val="28"/>
          <w:lang w:eastAsia="zh-CN"/>
        </w:rPr>
        <w:t xml:space="preserve">的招标文件（包括但</w:t>
      </w:r>
      <w:r>
        <w:rPr>
          <w:rFonts w:ascii="仿宋" w:hAnsi="仿宋" w:eastAsia="仿宋" w:cs="仿宋"/>
          <w:sz w:val="28"/>
          <w:szCs w:val="28"/>
          <w:lang w:eastAsia="zh-CN"/>
        </w:rPr>
        <w:t xml:space="preserve">不限于澄清文件）</w:t>
      </w:r>
      <w:r>
        <w:rPr>
          <w:rFonts w:hint="eastAsia" w:ascii="仿宋" w:hAnsi="仿宋" w:eastAsia="仿宋" w:cs="仿宋"/>
          <w:sz w:val="28"/>
          <w:szCs w:val="28"/>
          <w:lang w:eastAsia="zh-CN"/>
        </w:rPr>
        <w:t xml:space="preserve">、乙方</w:t>
      </w:r>
      <w:r>
        <w:rPr>
          <w:rFonts w:ascii="仿宋" w:hAnsi="仿宋" w:eastAsia="仿宋" w:cs="仿宋"/>
          <w:sz w:val="28"/>
          <w:szCs w:val="28"/>
          <w:lang w:eastAsia="zh-CN"/>
        </w:rPr>
        <w:t xml:space="preserve">针对</w:t>
      </w:r>
      <w:r>
        <w:rPr>
          <w:rFonts w:hint="eastAsia" w:ascii="仿宋" w:hAnsi="仿宋" w:eastAsia="仿宋" w:cs="仿宋"/>
          <w:sz w:val="28"/>
          <w:szCs w:val="28"/>
          <w:lang w:eastAsia="zh-CN"/>
        </w:rPr>
        <w:t xml:space="preserve">该招标</w:t>
      </w:r>
      <w:r>
        <w:rPr>
          <w:rFonts w:ascii="仿宋" w:hAnsi="仿宋" w:eastAsia="仿宋" w:cs="仿宋"/>
          <w:sz w:val="28"/>
          <w:szCs w:val="28"/>
          <w:lang w:eastAsia="zh-CN"/>
        </w:rPr>
        <w:t xml:space="preserve">文件递交的投标文件</w:t>
      </w:r>
      <w:r>
        <w:rPr>
          <w:rFonts w:hint="eastAsia" w:ascii="仿宋" w:hAnsi="仿宋" w:eastAsia="仿宋" w:cs="仿宋"/>
          <w:sz w:val="28"/>
          <w:szCs w:val="28"/>
          <w:lang w:eastAsia="zh-CN"/>
        </w:rPr>
        <w:t xml:space="preserve">和本合同的附件是本合同的组成部分，具有与本合同同等法律效力。</w:t>
      </w:r>
      <w:r>
        <w:rPr>
          <w:rFonts w:ascii="仿宋" w:hAnsi="仿宋" w:eastAsia="仿宋" w:cs="仿宋"/>
          <w:sz w:val="28"/>
          <w:szCs w:val="28"/>
          <w:lang w:eastAsia="zh-CN"/>
        </w:rPr>
      </w:r>
      <w:r/>
    </w:p>
    <w:p>
      <w:pPr>
        <w:pStyle w:val="974"/>
        <w:ind w:left="0" w:firstLine="560"/>
        <w:spacing w:line="500" w:lineRule="exact"/>
        <w:rPr>
          <w:rFonts w:ascii="仿宋" w:hAnsi="仿宋" w:eastAsia="仿宋" w:cs="仿宋"/>
          <w:sz w:val="28"/>
          <w:szCs w:val="28"/>
          <w:lang w:eastAsia="zh-CN"/>
        </w:rPr>
      </w:pPr>
      <w:r>
        <w:rPr>
          <w:rFonts w:hint="eastAsia" w:ascii="仿宋" w:hAnsi="仿宋" w:eastAsia="仿宋" w:cs="仿宋"/>
          <w:sz w:val="28"/>
          <w:szCs w:val="28"/>
          <w:lang w:eastAsia="zh-CN"/>
        </w:rPr>
        <w:t xml:space="preserve">4、本合同一式肆份，甲乙双方各执贰份，具有同等法律效力。</w:t>
      </w:r>
      <w:r>
        <w:rPr>
          <w:rFonts w:ascii="仿宋" w:hAnsi="仿宋" w:eastAsia="仿宋" w:cs="仿宋"/>
          <w:sz w:val="28"/>
          <w:szCs w:val="28"/>
          <w:lang w:eastAsia="zh-CN"/>
        </w:rPr>
      </w:r>
      <w:r/>
    </w:p>
    <w:p>
      <w:pPr>
        <w:pStyle w:val="974"/>
        <w:ind w:left="0" w:firstLine="560"/>
        <w:spacing w:line="500" w:lineRule="exact"/>
        <w:rPr>
          <w:rFonts w:ascii="仿宋" w:hAnsi="仿宋" w:eastAsia="仿宋" w:cs="仿宋"/>
          <w:sz w:val="28"/>
          <w:szCs w:val="28"/>
          <w:lang w:eastAsia="zh-CN"/>
        </w:rPr>
      </w:pPr>
      <w:r>
        <w:rPr>
          <w:rFonts w:hint="eastAsia" w:ascii="仿宋" w:hAnsi="仿宋" w:eastAsia="仿宋" w:cs="仿宋"/>
          <w:sz w:val="28"/>
          <w:szCs w:val="28"/>
          <w:lang w:eastAsia="zh-CN"/>
        </w:rPr>
        <w:t xml:space="preserve">5、本合同应按照中华人民共和国的现行法律进行解释。</w:t>
      </w:r>
      <w:r>
        <w:rPr>
          <w:rFonts w:ascii="仿宋" w:hAnsi="仿宋" w:eastAsia="仿宋" w:cs="仿宋"/>
          <w:sz w:val="28"/>
          <w:szCs w:val="28"/>
          <w:lang w:eastAsia="zh-CN"/>
        </w:rPr>
      </w:r>
      <w:r/>
    </w:p>
    <w:p>
      <w:pPr>
        <w:pStyle w:val="895"/>
        <w:jc w:val="center"/>
        <w:spacing w:line="500" w:lineRule="exact"/>
        <w:rPr>
          <w:rFonts w:ascii="仿宋" w:hAnsi="仿宋" w:eastAsia="仿宋" w:cs="仿宋"/>
          <w:sz w:val="28"/>
          <w:szCs w:val="28"/>
        </w:rPr>
      </w:pPr>
      <w:r>
        <w:rPr>
          <w:rFonts w:ascii="仿宋" w:hAnsi="仿宋" w:eastAsia="仿宋" w:cs="仿宋"/>
          <w:sz w:val="28"/>
          <w:szCs w:val="28"/>
        </w:rPr>
        <w:t xml:space="preserve">（以下无正文）</w:t>
      </w:r>
      <w:r/>
    </w:p>
    <w:tbl>
      <w:tblPr>
        <w:tblW w:w="903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45"/>
        <w:gridCol w:w="4594"/>
      </w:tblGrid>
      <w:tr>
        <w:trPr/>
        <w:tc>
          <w:tcPr>
            <w:tcW w:w="4445" w:type="dxa"/>
            <w:vAlign w:val="top"/>
            <w:textDirection w:val="lrTb"/>
            <w:noWrap w:val="false"/>
          </w:tcPr>
          <w:p>
            <w:pPr>
              <w:pStyle w:val="895"/>
              <w:spacing w:line="500" w:lineRule="exact"/>
              <w:rPr>
                <w:rFonts w:ascii="仿宋" w:hAnsi="仿宋" w:eastAsia="仿宋" w:cs="仿宋"/>
                <w:sz w:val="28"/>
                <w:szCs w:val="28"/>
              </w:rPr>
            </w:pPr>
            <w:r>
              <w:rPr>
                <w:rFonts w:hint="eastAsia" w:ascii="仿宋" w:hAnsi="仿宋" w:eastAsia="仿宋" w:cs="仿宋"/>
                <w:sz w:val="28"/>
                <w:szCs w:val="28"/>
              </w:rPr>
              <w:t xml:space="preserve">甲方：江苏省</w:t>
            </w:r>
            <w:r>
              <w:rPr>
                <w:rFonts w:ascii="仿宋" w:hAnsi="仿宋" w:eastAsia="仿宋" w:cs="仿宋"/>
                <w:sz w:val="28"/>
                <w:szCs w:val="28"/>
              </w:rPr>
              <w:t xml:space="preserve">未来</w:t>
            </w:r>
            <w:r>
              <w:rPr>
                <w:rFonts w:hint="eastAsia" w:ascii="仿宋" w:hAnsi="仿宋" w:eastAsia="仿宋" w:cs="仿宋"/>
                <w:sz w:val="28"/>
                <w:szCs w:val="28"/>
              </w:rPr>
              <w:t xml:space="preserve">网络</w:t>
            </w:r>
            <w:r>
              <w:rPr>
                <w:rFonts w:ascii="仿宋" w:hAnsi="仿宋" w:eastAsia="仿宋" w:cs="仿宋"/>
                <w:sz w:val="28"/>
                <w:szCs w:val="28"/>
              </w:rPr>
              <w:t xml:space="preserve">创新研究院</w:t>
            </w:r>
            <w:r/>
          </w:p>
          <w:p>
            <w:pPr>
              <w:pStyle w:val="895"/>
              <w:ind w:firstLine="700"/>
              <w:spacing w:line="500" w:lineRule="exact"/>
              <w:rPr>
                <w:rFonts w:ascii="仿宋" w:hAnsi="仿宋" w:eastAsia="仿宋" w:cs="仿宋"/>
                <w:sz w:val="28"/>
                <w:szCs w:val="28"/>
              </w:rPr>
            </w:pPr>
            <w:r>
              <w:rPr>
                <w:rFonts w:hint="eastAsia" w:ascii="仿宋" w:hAnsi="仿宋" w:eastAsia="仿宋" w:cs="仿宋"/>
                <w:sz w:val="28"/>
                <w:szCs w:val="28"/>
              </w:rPr>
              <w:t xml:space="preserve">（盖章） </w:t>
            </w:r>
            <w:r>
              <w:rPr>
                <w:rFonts w:ascii="仿宋" w:hAnsi="仿宋" w:eastAsia="仿宋" w:cs="仿宋"/>
                <w:sz w:val="28"/>
                <w:szCs w:val="28"/>
              </w:rPr>
            </w:r>
            <w:r/>
          </w:p>
          <w:p>
            <w:pPr>
              <w:pStyle w:val="895"/>
              <w:spacing w:line="500" w:lineRule="exact"/>
              <w:rPr>
                <w:rFonts w:ascii="仿宋" w:hAnsi="仿宋" w:eastAsia="仿宋" w:cs="仿宋"/>
                <w:sz w:val="28"/>
                <w:szCs w:val="28"/>
              </w:rPr>
            </w:pPr>
            <w:r>
              <w:rPr>
                <w:rFonts w:hint="eastAsia" w:ascii="仿宋" w:hAnsi="仿宋" w:eastAsia="仿宋" w:cs="仿宋"/>
                <w:sz w:val="28"/>
                <w:szCs w:val="28"/>
              </w:rPr>
              <w:t xml:space="preserve">地址:南京市江宁区秣周东路7号</w:t>
            </w:r>
            <w:r>
              <w:rPr>
                <w:rFonts w:ascii="仿宋" w:hAnsi="仿宋" w:eastAsia="仿宋" w:cs="仿宋"/>
                <w:sz w:val="28"/>
                <w:szCs w:val="28"/>
              </w:rPr>
            </w:r>
            <w:r/>
          </w:p>
          <w:p>
            <w:pPr>
              <w:pStyle w:val="895"/>
              <w:spacing w:line="500" w:lineRule="exact"/>
              <w:rPr>
                <w:rFonts w:ascii="仿宋" w:hAnsi="仿宋" w:eastAsia="仿宋" w:cs="仿宋"/>
                <w:sz w:val="28"/>
                <w:szCs w:val="28"/>
              </w:rPr>
            </w:pPr>
            <w:r>
              <w:rPr>
                <w:rFonts w:ascii="仿宋" w:hAnsi="仿宋" w:eastAsia="仿宋" w:cs="仿宋"/>
                <w:sz w:val="28"/>
                <w:szCs w:val="28"/>
              </w:rPr>
            </w:r>
            <w:r/>
          </w:p>
          <w:p>
            <w:pPr>
              <w:pStyle w:val="895"/>
              <w:spacing w:line="500" w:lineRule="exact"/>
              <w:rPr>
                <w:rFonts w:ascii="仿宋" w:hAnsi="仿宋" w:eastAsia="仿宋" w:cs="仿宋"/>
                <w:sz w:val="28"/>
                <w:szCs w:val="28"/>
              </w:rPr>
            </w:pPr>
            <w:r>
              <w:rPr>
                <w:rFonts w:hint="eastAsia" w:ascii="仿宋" w:hAnsi="仿宋" w:eastAsia="仿宋" w:cs="仿宋"/>
                <w:sz w:val="28"/>
                <w:szCs w:val="28"/>
              </w:rPr>
              <w:t xml:space="preserve">税号：</w:t>
            </w:r>
            <w:r>
              <w:rPr>
                <w:rFonts w:hint="eastAsia"/>
                <w:sz w:val="28"/>
                <w:szCs w:val="28"/>
              </w:rPr>
              <w:t xml:space="preserve">12320100589403821X</w:t>
            </w:r>
            <w:r>
              <w:rPr>
                <w:rFonts w:ascii="仿宋" w:hAnsi="仿宋" w:eastAsia="仿宋" w:cs="仿宋"/>
                <w:sz w:val="28"/>
                <w:szCs w:val="28"/>
              </w:rPr>
            </w:r>
            <w:r/>
          </w:p>
          <w:p>
            <w:pPr>
              <w:pStyle w:val="895"/>
              <w:spacing w:line="500" w:lineRule="exact"/>
              <w:rPr>
                <w:rFonts w:ascii="仿宋" w:hAnsi="仿宋" w:eastAsia="仿宋" w:cs="仿宋"/>
                <w:sz w:val="28"/>
                <w:szCs w:val="28"/>
              </w:rPr>
            </w:pPr>
            <w:r>
              <w:rPr>
                <w:rFonts w:ascii="仿宋" w:hAnsi="仿宋" w:eastAsia="仿宋" w:cs="仿宋"/>
                <w:sz w:val="28"/>
                <w:szCs w:val="28"/>
              </w:rPr>
            </w:r>
            <w:r/>
          </w:p>
          <w:p>
            <w:pPr>
              <w:pStyle w:val="895"/>
              <w:spacing w:line="500" w:lineRule="exact"/>
              <w:rPr>
                <w:rFonts w:ascii="仿宋" w:hAnsi="仿宋" w:eastAsia="仿宋" w:cs="仿宋"/>
                <w:sz w:val="28"/>
                <w:szCs w:val="28"/>
              </w:rPr>
            </w:pPr>
            <w:r>
              <w:rPr>
                <w:rFonts w:hint="eastAsia" w:ascii="仿宋" w:hAnsi="仿宋" w:eastAsia="仿宋" w:cs="仿宋"/>
                <w:sz w:val="28"/>
                <w:szCs w:val="28"/>
              </w:rPr>
              <w:t xml:space="preserve">开户银行：</w:t>
            </w:r>
            <w:r>
              <w:rPr>
                <w:rFonts w:hint="eastAsia"/>
                <w:sz w:val="28"/>
                <w:szCs w:val="28"/>
              </w:rPr>
              <w:t xml:space="preserve">中国银行南京江宁经济开发区支行</w:t>
            </w:r>
            <w:r>
              <w:rPr>
                <w:rFonts w:ascii="仿宋" w:hAnsi="仿宋" w:eastAsia="仿宋" w:cs="仿宋"/>
                <w:sz w:val="28"/>
                <w:szCs w:val="28"/>
              </w:rPr>
            </w:r>
            <w:r/>
          </w:p>
          <w:p>
            <w:pPr>
              <w:pStyle w:val="895"/>
              <w:spacing w:line="500" w:lineRule="exact"/>
              <w:rPr>
                <w:rFonts w:ascii="仿宋" w:hAnsi="仿宋" w:eastAsia="仿宋" w:cs="仿宋"/>
                <w:sz w:val="28"/>
                <w:szCs w:val="28"/>
              </w:rPr>
            </w:pPr>
            <w:r>
              <w:rPr>
                <w:rFonts w:hint="eastAsia" w:ascii="仿宋" w:hAnsi="仿宋" w:eastAsia="仿宋" w:cs="仿宋"/>
                <w:sz w:val="28"/>
                <w:szCs w:val="28"/>
              </w:rPr>
              <w:t xml:space="preserve">账号：</w:t>
            </w:r>
            <w:r>
              <w:rPr>
                <w:sz w:val="28"/>
                <w:szCs w:val="28"/>
              </w:rPr>
              <w:t xml:space="preserve">478059814337</w:t>
            </w:r>
            <w:r>
              <w:rPr>
                <w:rFonts w:ascii="仿宋" w:hAnsi="仿宋" w:eastAsia="仿宋" w:cs="仿宋"/>
                <w:sz w:val="28"/>
                <w:szCs w:val="28"/>
              </w:rPr>
            </w:r>
            <w:r/>
          </w:p>
          <w:p>
            <w:pPr>
              <w:pStyle w:val="895"/>
              <w:spacing w:line="500" w:lineRule="exact"/>
              <w:rPr>
                <w:rFonts w:ascii="仿宋" w:hAnsi="仿宋" w:eastAsia="仿宋" w:cs="仿宋"/>
                <w:sz w:val="28"/>
                <w:szCs w:val="28"/>
              </w:rPr>
            </w:pPr>
            <w:r>
              <w:rPr>
                <w:rFonts w:ascii="仿宋" w:hAnsi="仿宋" w:eastAsia="仿宋" w:cs="仿宋"/>
                <w:sz w:val="28"/>
                <w:szCs w:val="28"/>
              </w:rPr>
            </w:r>
            <w:r/>
          </w:p>
          <w:p>
            <w:pPr>
              <w:pStyle w:val="895"/>
              <w:spacing w:line="500" w:lineRule="exact"/>
              <w:rPr>
                <w:rFonts w:ascii="仿宋" w:hAnsi="仿宋" w:eastAsia="仿宋" w:cs="仿宋"/>
                <w:sz w:val="28"/>
                <w:szCs w:val="28"/>
              </w:rPr>
            </w:pPr>
            <w:r>
              <w:rPr>
                <w:rFonts w:hint="eastAsia" w:ascii="仿宋" w:hAnsi="仿宋" w:eastAsia="仿宋" w:cs="仿宋"/>
                <w:sz w:val="28"/>
                <w:szCs w:val="28"/>
              </w:rPr>
              <w:t xml:space="preserve">电话:</w:t>
            </w:r>
            <w:r>
              <w:rPr>
                <w:rFonts w:ascii="仿宋" w:hAnsi="仿宋" w:eastAsia="仿宋" w:cs="仿宋"/>
                <w:sz w:val="28"/>
                <w:szCs w:val="28"/>
              </w:rPr>
              <w:t xml:space="preserve">025-57926663</w:t>
            </w:r>
            <w:r/>
          </w:p>
          <w:p>
            <w:pPr>
              <w:pStyle w:val="895"/>
              <w:spacing w:line="500" w:lineRule="exact"/>
              <w:rPr>
                <w:rFonts w:ascii="仿宋" w:hAnsi="仿宋" w:eastAsia="仿宋" w:cs="仿宋"/>
                <w:sz w:val="28"/>
                <w:szCs w:val="28"/>
              </w:rPr>
            </w:pPr>
            <w:r>
              <w:rPr>
                <w:rFonts w:ascii="仿宋" w:hAnsi="仿宋" w:eastAsia="仿宋" w:cs="仿宋"/>
                <w:sz w:val="28"/>
                <w:szCs w:val="28"/>
              </w:rPr>
            </w:r>
            <w:r/>
          </w:p>
          <w:p>
            <w:pPr>
              <w:pStyle w:val="895"/>
              <w:spacing w:line="500" w:lineRule="exact"/>
              <w:rPr>
                <w:rFonts w:ascii="仿宋" w:hAnsi="仿宋" w:eastAsia="仿宋" w:cs="仿宋"/>
                <w:sz w:val="28"/>
                <w:szCs w:val="28"/>
              </w:rPr>
            </w:pPr>
            <w:r>
              <w:rPr>
                <w:rFonts w:hint="eastAsia" w:ascii="仿宋" w:hAnsi="仿宋" w:eastAsia="仿宋" w:cs="仿宋"/>
                <w:sz w:val="28"/>
                <w:szCs w:val="28"/>
              </w:rPr>
              <w:t xml:space="preserve">授权代表:</w:t>
            </w:r>
            <w:r>
              <w:rPr>
                <w:rFonts w:ascii="仿宋" w:hAnsi="仿宋" w:eastAsia="仿宋" w:cs="仿宋"/>
                <w:sz w:val="28"/>
                <w:szCs w:val="28"/>
              </w:rPr>
            </w:r>
            <w:r/>
          </w:p>
          <w:p>
            <w:pPr>
              <w:pStyle w:val="895"/>
              <w:jc w:val="left"/>
              <w:spacing w:line="500" w:lineRule="exact"/>
              <w:rPr>
                <w:rFonts w:ascii="仿宋" w:hAnsi="仿宋" w:eastAsia="仿宋" w:cs="仿宋"/>
                <w:sz w:val="28"/>
                <w:szCs w:val="28"/>
              </w:rPr>
            </w:pPr>
            <w:r>
              <w:rPr>
                <w:rFonts w:ascii="仿宋" w:hAnsi="仿宋" w:eastAsia="仿宋" w:cs="仿宋"/>
                <w:sz w:val="28"/>
                <w:szCs w:val="28"/>
              </w:rPr>
            </w:r>
            <w:r/>
          </w:p>
          <w:p>
            <w:pPr>
              <w:pStyle w:val="895"/>
              <w:jc w:val="left"/>
              <w:spacing w:line="500" w:lineRule="exact"/>
              <w:rPr>
                <w:rFonts w:ascii="仿宋" w:hAnsi="仿宋" w:eastAsia="仿宋" w:cs="仿宋"/>
                <w:sz w:val="28"/>
                <w:szCs w:val="28"/>
              </w:rPr>
            </w:pPr>
            <w:r>
              <w:rPr>
                <w:rFonts w:hint="eastAsia" w:ascii="仿宋" w:hAnsi="仿宋" w:eastAsia="仿宋" w:cs="仿宋"/>
                <w:sz w:val="28"/>
                <w:szCs w:val="28"/>
              </w:rPr>
              <w:t xml:space="preserve">签订日期：    年    月     日</w:t>
            </w:r>
            <w:r>
              <w:rPr>
                <w:rFonts w:ascii="仿宋" w:hAnsi="仿宋" w:eastAsia="仿宋" w:cs="仿宋"/>
                <w:sz w:val="28"/>
                <w:szCs w:val="28"/>
              </w:rPr>
            </w:r>
            <w:r/>
          </w:p>
        </w:tc>
        <w:tc>
          <w:tcPr>
            <w:tcW w:w="4594" w:type="dxa"/>
            <w:vAlign w:val="top"/>
            <w:textDirection w:val="lrTb"/>
            <w:noWrap w:val="false"/>
          </w:tcPr>
          <w:p>
            <w:pPr>
              <w:pStyle w:val="895"/>
              <w:spacing w:line="500" w:lineRule="exact"/>
              <w:rPr>
                <w:rFonts w:ascii="仿宋" w:hAnsi="仿宋" w:eastAsia="仿宋" w:cs="仿宋"/>
                <w:sz w:val="28"/>
                <w:szCs w:val="28"/>
              </w:rPr>
            </w:pPr>
            <w:r>
              <w:rPr>
                <w:rFonts w:hint="eastAsia" w:ascii="仿宋" w:hAnsi="仿宋" w:eastAsia="仿宋" w:cs="仿宋"/>
                <w:sz w:val="28"/>
                <w:szCs w:val="28"/>
              </w:rPr>
              <w:t xml:space="preserve">乙方：（盖章）</w:t>
            </w:r>
            <w:r>
              <w:rPr>
                <w:rFonts w:ascii="仿宋" w:hAnsi="仿宋" w:eastAsia="仿宋" w:cs="仿宋"/>
                <w:sz w:val="28"/>
                <w:szCs w:val="28"/>
              </w:rPr>
            </w:r>
            <w:r/>
          </w:p>
          <w:p>
            <w:pPr>
              <w:pStyle w:val="895"/>
              <w:spacing w:line="500" w:lineRule="exact"/>
              <w:rPr>
                <w:rFonts w:ascii="仿宋" w:hAnsi="仿宋" w:eastAsia="仿宋" w:cs="仿宋"/>
                <w:sz w:val="28"/>
                <w:szCs w:val="28"/>
              </w:rPr>
            </w:pPr>
            <w:r>
              <w:rPr>
                <w:rFonts w:ascii="仿宋" w:hAnsi="仿宋" w:eastAsia="仿宋" w:cs="仿宋"/>
                <w:sz w:val="28"/>
                <w:szCs w:val="28"/>
              </w:rPr>
            </w:r>
            <w:r/>
          </w:p>
          <w:p>
            <w:pPr>
              <w:pStyle w:val="895"/>
              <w:spacing w:line="500" w:lineRule="exact"/>
              <w:rPr>
                <w:rFonts w:ascii="仿宋" w:hAnsi="仿宋" w:eastAsia="仿宋" w:cs="仿宋"/>
                <w:sz w:val="28"/>
                <w:szCs w:val="28"/>
              </w:rPr>
            </w:pPr>
            <w:r>
              <w:rPr>
                <w:rFonts w:hint="eastAsia" w:ascii="仿宋" w:hAnsi="仿宋" w:eastAsia="仿宋" w:cs="仿宋"/>
                <w:sz w:val="28"/>
                <w:szCs w:val="28"/>
              </w:rPr>
              <w:t xml:space="preserve">地址:         </w:t>
            </w:r>
            <w:r>
              <w:rPr>
                <w:rFonts w:ascii="仿宋" w:hAnsi="仿宋" w:eastAsia="仿宋" w:cs="仿宋"/>
                <w:sz w:val="28"/>
                <w:szCs w:val="28"/>
              </w:rPr>
            </w:r>
            <w:r/>
          </w:p>
          <w:p>
            <w:pPr>
              <w:pStyle w:val="895"/>
              <w:spacing w:line="500" w:lineRule="exact"/>
              <w:rPr>
                <w:rFonts w:ascii="仿宋" w:hAnsi="仿宋" w:eastAsia="仿宋" w:cs="仿宋"/>
                <w:sz w:val="28"/>
                <w:szCs w:val="28"/>
              </w:rPr>
            </w:pPr>
            <w:r>
              <w:rPr>
                <w:rFonts w:ascii="仿宋" w:hAnsi="仿宋" w:eastAsia="仿宋" w:cs="仿宋"/>
                <w:sz w:val="28"/>
                <w:szCs w:val="28"/>
              </w:rPr>
            </w:r>
            <w:r/>
          </w:p>
          <w:p>
            <w:pPr>
              <w:pStyle w:val="895"/>
              <w:spacing w:line="500" w:lineRule="exact"/>
              <w:rPr>
                <w:rFonts w:ascii="仿宋" w:hAnsi="仿宋" w:eastAsia="仿宋" w:cs="仿宋"/>
                <w:sz w:val="28"/>
                <w:szCs w:val="28"/>
              </w:rPr>
            </w:pPr>
            <w:r>
              <w:rPr>
                <w:rFonts w:hint="eastAsia" w:ascii="仿宋" w:hAnsi="仿宋" w:eastAsia="仿宋" w:cs="仿宋"/>
                <w:sz w:val="28"/>
                <w:szCs w:val="28"/>
              </w:rPr>
              <w:t xml:space="preserve">税号：</w:t>
            </w:r>
            <w:r>
              <w:rPr>
                <w:rFonts w:ascii="仿宋" w:hAnsi="仿宋" w:eastAsia="仿宋" w:cs="仿宋"/>
                <w:sz w:val="28"/>
                <w:szCs w:val="28"/>
              </w:rPr>
            </w:r>
            <w:r/>
          </w:p>
          <w:p>
            <w:pPr>
              <w:pStyle w:val="895"/>
              <w:spacing w:line="500" w:lineRule="exact"/>
              <w:rPr>
                <w:rFonts w:ascii="仿宋" w:hAnsi="仿宋" w:eastAsia="仿宋" w:cs="仿宋"/>
                <w:sz w:val="28"/>
                <w:szCs w:val="28"/>
              </w:rPr>
            </w:pPr>
            <w:r>
              <w:rPr>
                <w:rFonts w:ascii="仿宋" w:hAnsi="仿宋" w:eastAsia="仿宋" w:cs="仿宋"/>
                <w:sz w:val="28"/>
                <w:szCs w:val="28"/>
              </w:rPr>
            </w:r>
            <w:r/>
          </w:p>
          <w:p>
            <w:pPr>
              <w:pStyle w:val="895"/>
              <w:spacing w:line="500" w:lineRule="exact"/>
              <w:rPr>
                <w:rFonts w:ascii="仿宋" w:hAnsi="仿宋" w:eastAsia="仿宋" w:cs="仿宋"/>
                <w:sz w:val="28"/>
                <w:szCs w:val="28"/>
              </w:rPr>
            </w:pPr>
            <w:r>
              <w:rPr>
                <w:rFonts w:hint="eastAsia" w:ascii="仿宋" w:hAnsi="仿宋" w:eastAsia="仿宋" w:cs="仿宋"/>
                <w:sz w:val="28"/>
                <w:szCs w:val="28"/>
              </w:rPr>
              <w:t xml:space="preserve">开户银行：</w:t>
            </w:r>
            <w:r>
              <w:rPr>
                <w:rFonts w:ascii="仿宋" w:hAnsi="仿宋" w:eastAsia="仿宋" w:cs="仿宋"/>
                <w:sz w:val="28"/>
                <w:szCs w:val="28"/>
              </w:rPr>
            </w:r>
            <w:r/>
          </w:p>
          <w:p>
            <w:pPr>
              <w:pStyle w:val="895"/>
              <w:spacing w:line="500" w:lineRule="exact"/>
              <w:rPr>
                <w:rFonts w:ascii="仿宋" w:hAnsi="仿宋" w:eastAsia="仿宋" w:cs="仿宋"/>
                <w:sz w:val="28"/>
                <w:szCs w:val="28"/>
              </w:rPr>
            </w:pPr>
            <w:r>
              <w:rPr>
                <w:rFonts w:ascii="仿宋" w:hAnsi="仿宋" w:eastAsia="仿宋" w:cs="仿宋"/>
                <w:sz w:val="28"/>
                <w:szCs w:val="28"/>
              </w:rPr>
            </w:r>
            <w:r/>
          </w:p>
          <w:p>
            <w:pPr>
              <w:pStyle w:val="895"/>
              <w:spacing w:line="500" w:lineRule="exact"/>
              <w:rPr>
                <w:rFonts w:ascii="仿宋" w:hAnsi="仿宋" w:eastAsia="仿宋" w:cs="仿宋"/>
                <w:sz w:val="28"/>
                <w:szCs w:val="28"/>
              </w:rPr>
            </w:pPr>
            <w:r>
              <w:rPr>
                <w:rFonts w:hint="eastAsia" w:ascii="仿宋" w:hAnsi="仿宋" w:eastAsia="仿宋" w:cs="仿宋"/>
                <w:sz w:val="28"/>
                <w:szCs w:val="28"/>
              </w:rPr>
              <w:t xml:space="preserve">账号：</w:t>
            </w:r>
            <w:r>
              <w:rPr>
                <w:rFonts w:ascii="仿宋" w:hAnsi="仿宋" w:eastAsia="仿宋" w:cs="仿宋"/>
                <w:sz w:val="28"/>
                <w:szCs w:val="28"/>
              </w:rPr>
            </w:r>
            <w:r/>
          </w:p>
          <w:p>
            <w:pPr>
              <w:pStyle w:val="895"/>
              <w:jc w:val="left"/>
              <w:spacing w:line="500" w:lineRule="exact"/>
              <w:rPr>
                <w:rFonts w:ascii="仿宋" w:hAnsi="仿宋" w:eastAsia="仿宋" w:cs="仿宋"/>
                <w:sz w:val="28"/>
                <w:szCs w:val="28"/>
              </w:rPr>
            </w:pPr>
            <w:r>
              <w:rPr>
                <w:rFonts w:ascii="仿宋" w:hAnsi="仿宋" w:eastAsia="仿宋" w:cs="仿宋"/>
                <w:sz w:val="28"/>
                <w:szCs w:val="28"/>
              </w:rPr>
            </w:r>
            <w:r/>
          </w:p>
          <w:p>
            <w:pPr>
              <w:pStyle w:val="895"/>
              <w:jc w:val="left"/>
              <w:spacing w:line="500" w:lineRule="exact"/>
              <w:rPr>
                <w:rFonts w:ascii="仿宋" w:hAnsi="仿宋" w:eastAsia="仿宋" w:cs="仿宋"/>
                <w:sz w:val="28"/>
                <w:szCs w:val="28"/>
              </w:rPr>
            </w:pPr>
            <w:r>
              <w:rPr>
                <w:rFonts w:hint="eastAsia" w:ascii="仿宋" w:hAnsi="仿宋" w:eastAsia="仿宋" w:cs="仿宋"/>
                <w:sz w:val="28"/>
                <w:szCs w:val="28"/>
              </w:rPr>
              <w:t xml:space="preserve">电话:  </w:t>
            </w:r>
            <w:r>
              <w:rPr>
                <w:rFonts w:ascii="仿宋" w:hAnsi="仿宋" w:eastAsia="仿宋" w:cs="仿宋"/>
                <w:sz w:val="28"/>
                <w:szCs w:val="28"/>
              </w:rPr>
            </w:r>
            <w:r/>
          </w:p>
          <w:p>
            <w:pPr>
              <w:pStyle w:val="895"/>
              <w:jc w:val="left"/>
              <w:spacing w:line="500" w:lineRule="exact"/>
              <w:rPr>
                <w:rFonts w:ascii="仿宋" w:hAnsi="仿宋" w:eastAsia="仿宋" w:cs="仿宋"/>
                <w:sz w:val="28"/>
                <w:szCs w:val="28"/>
              </w:rPr>
            </w:pPr>
            <w:r>
              <w:rPr>
                <w:rFonts w:ascii="仿宋" w:hAnsi="仿宋" w:eastAsia="仿宋" w:cs="仿宋"/>
                <w:sz w:val="28"/>
                <w:szCs w:val="28"/>
              </w:rPr>
            </w:r>
            <w:r/>
          </w:p>
          <w:p>
            <w:pPr>
              <w:pStyle w:val="895"/>
              <w:jc w:val="left"/>
              <w:spacing w:line="500" w:lineRule="exact"/>
              <w:rPr>
                <w:rFonts w:ascii="仿宋" w:hAnsi="仿宋" w:eastAsia="仿宋" w:cs="仿宋"/>
                <w:sz w:val="28"/>
                <w:szCs w:val="28"/>
              </w:rPr>
            </w:pPr>
            <w:r>
              <w:rPr>
                <w:rFonts w:hint="eastAsia" w:ascii="仿宋" w:hAnsi="仿宋" w:eastAsia="仿宋" w:cs="仿宋"/>
                <w:sz w:val="28"/>
                <w:szCs w:val="28"/>
              </w:rPr>
              <w:t xml:space="preserve">授权代表: </w:t>
            </w:r>
            <w:r>
              <w:rPr>
                <w:rFonts w:ascii="仿宋" w:hAnsi="仿宋" w:eastAsia="仿宋" w:cs="仿宋"/>
                <w:sz w:val="28"/>
                <w:szCs w:val="28"/>
              </w:rPr>
            </w:r>
            <w:r/>
          </w:p>
          <w:p>
            <w:pPr>
              <w:pStyle w:val="895"/>
              <w:spacing w:line="500" w:lineRule="exact"/>
              <w:rPr>
                <w:rFonts w:ascii="仿宋" w:hAnsi="仿宋" w:eastAsia="仿宋" w:cs="仿宋"/>
                <w:sz w:val="28"/>
                <w:szCs w:val="28"/>
              </w:rPr>
            </w:pPr>
            <w:r>
              <w:rPr>
                <w:rFonts w:ascii="仿宋" w:hAnsi="仿宋" w:eastAsia="仿宋" w:cs="仿宋"/>
                <w:sz w:val="28"/>
                <w:szCs w:val="28"/>
              </w:rPr>
            </w:r>
            <w:r/>
          </w:p>
          <w:p>
            <w:pPr>
              <w:pStyle w:val="895"/>
              <w:spacing w:line="500" w:lineRule="exact"/>
              <w:rPr>
                <w:rFonts w:ascii="仿宋" w:hAnsi="仿宋" w:eastAsia="仿宋" w:cs="仿宋"/>
                <w:sz w:val="28"/>
                <w:szCs w:val="28"/>
              </w:rPr>
            </w:pPr>
            <w:r>
              <w:rPr>
                <w:rFonts w:hint="eastAsia" w:ascii="仿宋" w:hAnsi="仿宋" w:eastAsia="仿宋" w:cs="仿宋"/>
                <w:sz w:val="28"/>
                <w:szCs w:val="28"/>
              </w:rPr>
              <w:t xml:space="preserve">签订日期：    年    月     日</w:t>
            </w:r>
            <w:r>
              <w:rPr>
                <w:rFonts w:ascii="仿宋" w:hAnsi="仿宋" w:eastAsia="仿宋" w:cs="仿宋"/>
                <w:sz w:val="28"/>
                <w:szCs w:val="28"/>
              </w:rPr>
            </w:r>
            <w:r/>
          </w:p>
        </w:tc>
      </w:tr>
    </w:tbl>
    <w:p>
      <w:pPr>
        <w:pStyle w:val="895"/>
        <w:jc w:val="center"/>
        <w:spacing w:before="120" w:after="120" w:line="0" w:lineRule="atLeast"/>
        <w:rPr>
          <w:rFonts w:hint="eastAsia" w:ascii="宋体" w:hAnsi="宋体" w:cs="Courier New"/>
          <w:color w:val="000000"/>
          <w:sz w:val="24"/>
          <w:szCs w:val="24"/>
        </w:rPr>
      </w:pPr>
      <w:r>
        <w:rPr>
          <w:rFonts w:ascii="黑体" w:hAnsi="Courier New" w:eastAsia="黑体" w:cs="Courier New"/>
          <w:bCs/>
          <w:color w:val="000000"/>
          <w:sz w:val="44"/>
          <w:szCs w:val="21"/>
        </w:rPr>
        <w:br w:type="page" w:clear="all"/>
      </w:r>
      <w:r>
        <w:rPr>
          <w:rFonts w:hint="eastAsia" w:ascii="黑体" w:hAnsi="Courier New" w:eastAsia="黑体" w:cs="Courier New"/>
          <w:bCs/>
          <w:color w:val="000000"/>
          <w:sz w:val="44"/>
          <w:szCs w:val="21"/>
        </w:rPr>
        <w:t xml:space="preserve">第四章 采购需求</w:t>
      </w:r>
      <w:r>
        <w:rPr>
          <w:rFonts w:hint="eastAsia" w:ascii="宋体" w:hAnsi="宋体" w:cs="Courier New"/>
          <w:color w:val="000000"/>
          <w:sz w:val="24"/>
          <w:szCs w:val="24"/>
        </w:rPr>
      </w:r>
      <w:r/>
    </w:p>
    <w:p>
      <w:pPr>
        <w:pStyle w:val="895"/>
        <w:spacing w:line="0" w:lineRule="atLeast"/>
        <w:rPr>
          <w:rFonts w:ascii="宋体" w:hAnsi="宋体"/>
          <w:b/>
          <w:color w:val="000000"/>
          <w:sz w:val="24"/>
          <w:szCs w:val="24"/>
        </w:rPr>
        <w:outlineLvl w:val="1"/>
      </w:pPr>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545"/>
        <w:gridCol w:w="3291"/>
        <w:gridCol w:w="2852"/>
      </w:tblGrid>
      <w:tr>
        <w:trPr>
          <w:cantSplit/>
        </w:trPr>
        <w:tc>
          <w:tcPr>
            <w:tcW w:w="545" w:type="dxa"/>
            <w:vAlign w:val="top"/>
            <w:textDirection w:val="lrTb"/>
            <w:noWrap w:val="false"/>
          </w:tcPr>
          <w:p>
            <w:pPr>
              <w:pStyle w:val="895"/>
              <w:jc w:val="center"/>
              <w:spacing w:line="0" w:lineRule="atLeast"/>
              <w:rPr>
                <w:rFonts w:ascii="宋体" w:hAnsi="宋体"/>
                <w:color w:val="000000"/>
                <w:sz w:val="24"/>
                <w:szCs w:val="24"/>
              </w:rPr>
            </w:pPr>
            <w:r>
              <w:rPr>
                <w:rFonts w:hint="eastAsia" w:ascii="宋体" w:hAnsi="宋体"/>
                <w:color w:val="000000"/>
                <w:sz w:val="24"/>
                <w:szCs w:val="24"/>
              </w:rPr>
              <w:t xml:space="preserve">分包</w:t>
            </w:r>
            <w:r>
              <w:rPr>
                <w:rFonts w:ascii="宋体" w:hAnsi="宋体"/>
                <w:color w:val="000000"/>
                <w:sz w:val="24"/>
                <w:szCs w:val="24"/>
              </w:rPr>
            </w:r>
            <w:r/>
          </w:p>
        </w:tc>
        <w:tc>
          <w:tcPr>
            <w:tcW w:w="545" w:type="dxa"/>
            <w:vAlign w:val="center"/>
            <w:textDirection w:val="lrTb"/>
            <w:noWrap w:val="false"/>
          </w:tcPr>
          <w:p>
            <w:pPr>
              <w:pStyle w:val="895"/>
              <w:jc w:val="center"/>
              <w:spacing w:line="0" w:lineRule="atLeast"/>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3291" w:type="dxa"/>
            <w:vAlign w:val="center"/>
            <w:textDirection w:val="lrTb"/>
            <w:noWrap w:val="false"/>
          </w:tcPr>
          <w:p>
            <w:pPr>
              <w:pStyle w:val="895"/>
              <w:jc w:val="center"/>
              <w:spacing w:line="0" w:lineRule="atLeast"/>
              <w:rPr>
                <w:rFonts w:ascii="宋体" w:hAnsi="宋体"/>
                <w:color w:val="000000"/>
                <w:sz w:val="24"/>
                <w:szCs w:val="24"/>
              </w:rPr>
            </w:pPr>
            <w:r>
              <w:rPr>
                <w:rFonts w:hint="eastAsia" w:ascii="宋体" w:hAnsi="宋体"/>
                <w:color w:val="000000"/>
                <w:sz w:val="24"/>
                <w:szCs w:val="24"/>
              </w:rPr>
              <w:t xml:space="preserve">采购</w:t>
            </w:r>
            <w:r>
              <w:rPr>
                <w:rFonts w:ascii="宋体" w:hAnsi="宋体"/>
                <w:color w:val="000000"/>
                <w:sz w:val="24"/>
                <w:szCs w:val="24"/>
              </w:rPr>
              <w:t xml:space="preserve">标的</w:t>
            </w:r>
            <w:r/>
          </w:p>
        </w:tc>
        <w:tc>
          <w:tcPr>
            <w:tcW w:w="2852" w:type="dxa"/>
            <w:vAlign w:val="center"/>
            <w:textDirection w:val="lrTb"/>
            <w:noWrap w:val="false"/>
          </w:tcPr>
          <w:p>
            <w:pPr>
              <w:pStyle w:val="895"/>
              <w:jc w:val="center"/>
              <w:spacing w:line="0" w:lineRule="atLeast"/>
              <w:rPr>
                <w:rFonts w:ascii="宋体" w:hAnsi="宋体"/>
                <w:color w:val="000000"/>
                <w:sz w:val="24"/>
                <w:szCs w:val="24"/>
              </w:rPr>
            </w:pPr>
            <w:r>
              <w:rPr>
                <w:rFonts w:hint="eastAsia" w:ascii="宋体" w:hAnsi="宋体"/>
                <w:color w:val="000000"/>
                <w:sz w:val="24"/>
                <w:szCs w:val="24"/>
              </w:rPr>
              <w:t xml:space="preserve">对应中</w:t>
            </w:r>
            <w:r>
              <w:rPr>
                <w:rFonts w:ascii="宋体" w:hAnsi="宋体"/>
                <w:color w:val="000000"/>
                <w:sz w:val="24"/>
                <w:szCs w:val="24"/>
              </w:rPr>
              <w:t xml:space="preserve">小企业划分标准所属行业</w:t>
            </w:r>
            <w:r/>
          </w:p>
        </w:tc>
      </w:tr>
      <w:tr>
        <w:trPr>
          <w:cantSplit/>
          <w:trHeight w:val="291"/>
        </w:trPr>
        <w:tc>
          <w:tcPr>
            <w:tcW w:w="545" w:type="dxa"/>
            <w:vAlign w:val="top"/>
            <w:textDirection w:val="lrTb"/>
            <w:noWrap w:val="false"/>
          </w:tcPr>
          <w:p>
            <w:pPr>
              <w:pStyle w:val="895"/>
              <w:jc w:val="center"/>
              <w:spacing w:line="0" w:lineRule="atLeast"/>
              <w:rPr>
                <w:rFonts w:ascii="宋体" w:hAnsi="宋体"/>
                <w:color w:val="000000"/>
                <w:sz w:val="24"/>
                <w:szCs w:val="24"/>
              </w:rPr>
            </w:pPr>
            <w:r>
              <w:rPr>
                <w:rFonts w:hint="eastAsia" w:ascii="宋体" w:hAnsi="宋体"/>
                <w:color w:val="000000"/>
                <w:sz w:val="24"/>
                <w:szCs w:val="24"/>
              </w:rPr>
              <w:t xml:space="preserve">一</w:t>
            </w:r>
            <w:r>
              <w:rPr>
                <w:rFonts w:ascii="宋体" w:hAnsi="宋体"/>
                <w:color w:val="000000"/>
                <w:sz w:val="24"/>
                <w:szCs w:val="24"/>
              </w:rPr>
            </w:r>
            <w:r/>
          </w:p>
        </w:tc>
        <w:tc>
          <w:tcPr>
            <w:tcW w:w="545" w:type="dxa"/>
            <w:vAlign w:val="top"/>
            <w:textDirection w:val="lrTb"/>
            <w:noWrap w:val="false"/>
          </w:tcPr>
          <w:p>
            <w:pPr>
              <w:pStyle w:val="895"/>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91" w:type="dxa"/>
            <w:vAlign w:val="top"/>
            <w:textDirection w:val="lrTb"/>
            <w:noWrap w:val="false"/>
          </w:tcPr>
          <w:p>
            <w:pPr>
              <w:pStyle w:val="895"/>
              <w:jc w:val="center"/>
              <w:spacing w:line="0" w:lineRule="atLeast"/>
              <w:tabs>
                <w:tab w:val="left" w:pos="2020" w:leader="none"/>
              </w:tabs>
              <w:rPr>
                <w:rFonts w:ascii="宋体" w:hAnsi="宋体"/>
                <w:color w:val="000000"/>
                <w:sz w:val="24"/>
                <w:szCs w:val="24"/>
              </w:rPr>
            </w:pPr>
            <w:r>
              <w:rPr>
                <w:rFonts w:hint="eastAsia" w:ascii="宋体" w:hAnsi="宋体"/>
                <w:color w:val="000000"/>
                <w:sz w:val="24"/>
                <w:szCs w:val="24"/>
              </w:rPr>
              <w:t xml:space="preserve">服务器</w:t>
            </w:r>
            <w:r>
              <w:rPr>
                <w:rFonts w:ascii="宋体" w:hAnsi="宋体"/>
                <w:color w:val="000000"/>
                <w:sz w:val="24"/>
                <w:szCs w:val="24"/>
              </w:rPr>
            </w:r>
            <w:r/>
          </w:p>
        </w:tc>
        <w:tc>
          <w:tcPr>
            <w:tcW w:w="2852" w:type="dxa"/>
            <w:vAlign w:val="top"/>
            <w:textDirection w:val="lrTb"/>
            <w:noWrap w:val="false"/>
          </w:tcPr>
          <w:p>
            <w:pPr>
              <w:pStyle w:val="895"/>
              <w:jc w:val="center"/>
              <w:spacing w:line="0" w:lineRule="atLeast"/>
              <w:rPr>
                <w:rFonts w:ascii="宋体" w:hAnsi="宋体"/>
                <w:color w:val="000000"/>
                <w:sz w:val="24"/>
                <w:szCs w:val="24"/>
              </w:rPr>
            </w:pPr>
            <w:r>
              <w:rPr>
                <w:rFonts w:hint="eastAsia" w:ascii="宋体" w:hAnsi="宋体"/>
                <w:color w:val="000000"/>
                <w:sz w:val="24"/>
                <w:szCs w:val="24"/>
              </w:rPr>
              <w:t xml:space="preserve">工业</w:t>
            </w:r>
            <w:r>
              <w:rPr>
                <w:rFonts w:ascii="宋体" w:hAnsi="宋体"/>
                <w:color w:val="000000"/>
                <w:sz w:val="24"/>
                <w:szCs w:val="24"/>
              </w:rPr>
            </w:r>
            <w:r/>
          </w:p>
        </w:tc>
      </w:tr>
    </w:tbl>
    <w:p>
      <w:pPr>
        <w:pStyle w:val="895"/>
        <w:spacing w:line="0" w:lineRule="atLeast"/>
        <w:rPr>
          <w:rFonts w:ascii="宋体" w:hAnsi="宋体"/>
          <w:b/>
          <w:color w:val="000000"/>
          <w:sz w:val="24"/>
          <w:szCs w:val="24"/>
        </w:rPr>
      </w:pPr>
      <w:r>
        <w:rPr>
          <w:rFonts w:ascii="宋体" w:hAnsi="宋体"/>
          <w:b/>
          <w:color w:val="000000"/>
          <w:sz w:val="24"/>
          <w:szCs w:val="24"/>
        </w:rPr>
      </w:r>
      <w:r/>
    </w:p>
    <w:p>
      <w:pPr>
        <w:pStyle w:val="895"/>
        <w:spacing w:line="0" w:lineRule="atLeast"/>
        <w:rPr>
          <w:rFonts w:ascii="宋体" w:hAnsi="宋体"/>
          <w:b/>
          <w:color w:val="000000"/>
          <w:sz w:val="24"/>
          <w:szCs w:val="24"/>
        </w:rPr>
        <w:outlineLvl w:val="1"/>
      </w:pPr>
      <w:r>
        <w:rPr>
          <w:rFonts w:hint="eastAsia" w:ascii="宋体" w:hAnsi="宋体"/>
          <w:b/>
          <w:color w:val="000000"/>
          <w:sz w:val="24"/>
          <w:szCs w:val="24"/>
        </w:rPr>
        <w:t xml:space="preserve">二</w:t>
      </w:r>
      <w:r>
        <w:rPr>
          <w:rFonts w:ascii="宋体" w:hAnsi="宋体"/>
          <w:b/>
          <w:color w:val="000000"/>
          <w:sz w:val="24"/>
          <w:szCs w:val="24"/>
        </w:rPr>
        <w:t xml:space="preserve">、技术要求</w:t>
      </w:r>
      <w:r/>
    </w:p>
    <w:p>
      <w:pPr>
        <w:pStyle w:val="895"/>
        <w:ind w:firstLine="480"/>
        <w:jc w:val="left"/>
        <w:spacing w:before="156" w:after="156" w:line="500" w:lineRule="exact"/>
        <w:rPr>
          <w:rFonts w:ascii="宋体" w:hAnsi="宋体"/>
          <w:sz w:val="24"/>
          <w:szCs w:val="24"/>
        </w:rPr>
      </w:pPr>
      <w:r>
        <w:rPr>
          <w:rFonts w:ascii="宋体" w:hAnsi="宋体"/>
          <w:sz w:val="24"/>
          <w:szCs w:val="24"/>
        </w:rPr>
        <w:t xml:space="preserve">本项目共需</w:t>
      </w:r>
      <w:r>
        <w:rPr>
          <w:rFonts w:hint="eastAsia" w:ascii="宋体" w:hAnsi="宋体"/>
          <w:sz w:val="24"/>
          <w:szCs w:val="24"/>
        </w:rPr>
        <w:t xml:space="preserve">3</w:t>
      </w:r>
      <w:r>
        <w:rPr>
          <w:rFonts w:ascii="宋体" w:hAnsi="宋体"/>
          <w:sz w:val="24"/>
          <w:szCs w:val="24"/>
        </w:rPr>
        <w:t xml:space="preserve">台</w:t>
      </w:r>
      <w:r>
        <w:rPr>
          <w:rFonts w:hint="eastAsia" w:ascii="宋体" w:hAnsi="宋体"/>
          <w:sz w:val="24"/>
          <w:szCs w:val="24"/>
        </w:rPr>
        <w:t xml:space="preserve">GPU</w:t>
      </w:r>
      <w:r>
        <w:rPr>
          <w:rFonts w:ascii="宋体" w:hAnsi="宋体"/>
          <w:sz w:val="24"/>
          <w:szCs w:val="24"/>
        </w:rPr>
        <w:t xml:space="preserve">服务器。总限价不高于</w:t>
      </w:r>
      <w:r>
        <w:rPr>
          <w:rFonts w:hint="eastAsia" w:ascii="宋体" w:hAnsi="宋体"/>
          <w:sz w:val="24"/>
          <w:szCs w:val="24"/>
        </w:rPr>
        <w:t xml:space="preserve">36</w:t>
      </w:r>
      <w:r>
        <w:rPr>
          <w:rFonts w:ascii="宋体" w:hAnsi="宋体"/>
          <w:sz w:val="24"/>
          <w:szCs w:val="24"/>
        </w:rPr>
        <w:t xml:space="preserve">万元。</w:t>
      </w:r>
      <w:r>
        <w:rPr>
          <w:rFonts w:hint="eastAsia" w:ascii="宋体" w:hAnsi="宋体"/>
          <w:sz w:val="24"/>
          <w:szCs w:val="24"/>
        </w:rPr>
        <w:t xml:space="preserve">（项目属性：货物类）</w:t>
      </w:r>
      <w:r>
        <w:rPr>
          <w:rFonts w:ascii="宋体" w:hAnsi="宋体"/>
          <w:sz w:val="24"/>
          <w:szCs w:val="24"/>
        </w:rPr>
      </w:r>
      <w:r/>
    </w:p>
    <w:tbl>
      <w:tblPr>
        <w:tblW w:w="7946"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111"/>
        <w:gridCol w:w="2919"/>
        <w:gridCol w:w="1774"/>
        <w:gridCol w:w="2142"/>
      </w:tblGrid>
      <w:tr>
        <w:trPr>
          <w:trHeight w:val="62"/>
        </w:trPr>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95"/>
              <w:jc w:val="center"/>
              <w:widowControl/>
              <w:rPr>
                <w:rFonts w:ascii="微软雅黑" w:hAnsi="微软雅黑" w:eastAsia="微软雅黑" w:cs="微软雅黑"/>
                <w:b/>
                <w:bCs/>
                <w:sz w:val="24"/>
                <w:szCs w:val="21"/>
              </w:rPr>
            </w:pPr>
            <w:r>
              <w:rPr>
                <w:rFonts w:hint="eastAsia" w:ascii="微软雅黑" w:hAnsi="微软雅黑" w:eastAsia="微软雅黑" w:cs="微软雅黑"/>
                <w:b/>
                <w:bCs/>
                <w:sz w:val="24"/>
                <w:szCs w:val="21"/>
              </w:rPr>
              <w:t xml:space="preserve">序号</w:t>
            </w:r>
            <w:r>
              <w:rPr>
                <w:rFonts w:ascii="微软雅黑" w:hAnsi="微软雅黑" w:eastAsia="微软雅黑" w:cs="微软雅黑"/>
                <w:b/>
                <w:bCs/>
                <w:sz w:val="24"/>
                <w:szCs w:val="21"/>
              </w:rPr>
            </w:r>
            <w:r/>
          </w:p>
        </w:tc>
        <w:tc>
          <w:tcPr>
            <w:tcBorders>
              <w:top w:val="single" w:color="000000" w:sz="4" w:space="0"/>
              <w:left w:val="single" w:color="000000" w:sz="4" w:space="0"/>
              <w:bottom w:val="single" w:color="000000" w:sz="4" w:space="0"/>
              <w:right w:val="single" w:color="000000" w:sz="4" w:space="0"/>
            </w:tcBorders>
            <w:tcW w:w="2919" w:type="dxa"/>
            <w:vAlign w:val="center"/>
            <w:textDirection w:val="lrTb"/>
            <w:noWrap w:val="false"/>
          </w:tcPr>
          <w:p>
            <w:pPr>
              <w:pStyle w:val="895"/>
              <w:jc w:val="center"/>
              <w:widowControl/>
              <w:rPr>
                <w:rFonts w:ascii="微软雅黑" w:hAnsi="微软雅黑" w:eastAsia="微软雅黑" w:cs="微软雅黑"/>
                <w:b/>
                <w:bCs/>
                <w:sz w:val="24"/>
                <w:szCs w:val="21"/>
              </w:rPr>
            </w:pPr>
            <w:r>
              <w:rPr>
                <w:rFonts w:hint="eastAsia" w:ascii="微软雅黑" w:hAnsi="微软雅黑" w:eastAsia="微软雅黑" w:cs="微软雅黑"/>
                <w:b/>
                <w:bCs/>
                <w:sz w:val="24"/>
                <w:szCs w:val="21"/>
              </w:rPr>
              <w:t xml:space="preserve">设备名称</w:t>
            </w:r>
            <w:r>
              <w:rPr>
                <w:rFonts w:ascii="微软雅黑" w:hAnsi="微软雅黑" w:eastAsia="微软雅黑" w:cs="微软雅黑"/>
                <w:b/>
                <w:bCs/>
                <w:sz w:val="24"/>
                <w:szCs w:val="21"/>
              </w:rPr>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pStyle w:val="895"/>
              <w:jc w:val="center"/>
              <w:widowControl/>
              <w:rPr>
                <w:rFonts w:ascii="微软雅黑" w:hAnsi="微软雅黑" w:eastAsia="微软雅黑" w:cs="微软雅黑"/>
                <w:b/>
                <w:bCs/>
                <w:sz w:val="24"/>
                <w:szCs w:val="21"/>
              </w:rPr>
            </w:pPr>
            <w:r>
              <w:rPr>
                <w:rFonts w:hint="eastAsia" w:ascii="微软雅黑" w:hAnsi="微软雅黑" w:eastAsia="微软雅黑" w:cs="微软雅黑"/>
                <w:b/>
                <w:bCs/>
                <w:sz w:val="24"/>
                <w:szCs w:val="21"/>
              </w:rPr>
              <w:t xml:space="preserve">数量（台）</w:t>
            </w:r>
            <w:r>
              <w:rPr>
                <w:rFonts w:ascii="微软雅黑" w:hAnsi="微软雅黑" w:eastAsia="微软雅黑" w:cs="微软雅黑"/>
                <w:b/>
                <w:bCs/>
                <w:sz w:val="24"/>
                <w:szCs w:val="21"/>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pStyle w:val="895"/>
              <w:jc w:val="center"/>
              <w:widowControl/>
              <w:rPr>
                <w:rFonts w:ascii="微软雅黑" w:hAnsi="微软雅黑" w:eastAsia="微软雅黑" w:cs="微软雅黑"/>
                <w:b/>
                <w:bCs/>
                <w:sz w:val="24"/>
                <w:szCs w:val="21"/>
              </w:rPr>
            </w:pPr>
            <w:r>
              <w:rPr>
                <w:rFonts w:hint="eastAsia" w:ascii="微软雅黑" w:hAnsi="微软雅黑" w:eastAsia="微软雅黑" w:cs="微软雅黑"/>
                <w:b/>
                <w:bCs/>
                <w:sz w:val="24"/>
                <w:szCs w:val="21"/>
              </w:rPr>
              <w:t xml:space="preserve">最高单价限价（元）</w:t>
            </w:r>
            <w:r>
              <w:rPr>
                <w:rFonts w:ascii="微软雅黑" w:hAnsi="微软雅黑" w:eastAsia="微软雅黑" w:cs="微软雅黑"/>
                <w:b/>
                <w:bCs/>
                <w:sz w:val="24"/>
                <w:szCs w:val="21"/>
              </w:rPr>
            </w:r>
            <w:r/>
          </w:p>
        </w:tc>
      </w:tr>
      <w:tr>
        <w:trPr>
          <w:trHeight w:val="578"/>
        </w:trPr>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95"/>
              <w:jc w:val="center"/>
              <w:widowControl/>
              <w:rPr>
                <w:rFonts w:ascii="微软雅黑" w:hAnsi="微软雅黑" w:eastAsia="微软雅黑" w:cs="微软雅黑"/>
                <w:color w:val="000000"/>
                <w:sz w:val="18"/>
                <w:szCs w:val="18"/>
                <w:shd w:val="clear" w:color="auto" w:fill="ffffff"/>
              </w:rPr>
            </w:pPr>
            <w:r>
              <w:rPr>
                <w:rFonts w:hint="eastAsia" w:ascii="微软雅黑" w:hAnsi="微软雅黑" w:eastAsia="微软雅黑" w:cs="微软雅黑"/>
                <w:color w:val="000000"/>
                <w:sz w:val="18"/>
                <w:szCs w:val="18"/>
                <w:shd w:val="clear" w:color="auto" w:fill="ffffff"/>
              </w:rPr>
              <w:t xml:space="preserve">1</w:t>
            </w:r>
            <w:r>
              <w:rPr>
                <w:rFonts w:ascii="微软雅黑" w:hAnsi="微软雅黑" w:eastAsia="微软雅黑" w:cs="微软雅黑"/>
                <w:color w:val="000000"/>
                <w:sz w:val="18"/>
                <w:szCs w:val="18"/>
                <w:shd w:val="clear" w:color="auto" w:fill="ffffff"/>
              </w:rPr>
            </w:r>
            <w:r/>
          </w:p>
        </w:tc>
        <w:tc>
          <w:tcPr>
            <w:tcBorders>
              <w:top w:val="single" w:color="000000" w:sz="4" w:space="0"/>
              <w:left w:val="single" w:color="000000" w:sz="4" w:space="0"/>
              <w:bottom w:val="single" w:color="000000" w:sz="4" w:space="0"/>
              <w:right w:val="single" w:color="000000" w:sz="4" w:space="0"/>
            </w:tcBorders>
            <w:tcW w:w="2919" w:type="dxa"/>
            <w:vAlign w:val="center"/>
            <w:textDirection w:val="lrTb"/>
            <w:noWrap w:val="false"/>
          </w:tcPr>
          <w:p>
            <w:pPr>
              <w:pStyle w:val="895"/>
              <w:jc w:val="center"/>
              <w:widowControl/>
              <w:rPr>
                <w:rFonts w:ascii="微软雅黑" w:hAnsi="微软雅黑" w:eastAsia="微软雅黑" w:cs="微软雅黑"/>
                <w:color w:val="000000"/>
                <w:sz w:val="18"/>
                <w:szCs w:val="18"/>
                <w:shd w:val="clear" w:color="auto" w:fill="ffffff"/>
              </w:rPr>
            </w:pPr>
            <w:r>
              <w:rPr>
                <w:rFonts w:ascii="微软雅黑" w:hAnsi="微软雅黑" w:eastAsia="微软雅黑" w:cs="微软雅黑"/>
                <w:color w:val="000000"/>
                <w:sz w:val="18"/>
                <w:szCs w:val="18"/>
                <w:shd w:val="clear" w:color="auto" w:fill="ffffff"/>
              </w:rPr>
              <w:t xml:space="preserve">服务器</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pStyle w:val="895"/>
              <w:jc w:val="center"/>
              <w:widowControl/>
              <w:rPr>
                <w:rFonts w:ascii="微软雅黑" w:hAnsi="微软雅黑" w:eastAsia="微软雅黑" w:cs="微软雅黑"/>
                <w:color w:val="000000"/>
                <w:sz w:val="18"/>
                <w:szCs w:val="18"/>
                <w:shd w:val="clear" w:color="auto" w:fill="ffffff"/>
              </w:rPr>
            </w:pPr>
            <w:r>
              <w:rPr>
                <w:rFonts w:hint="eastAsia" w:ascii="微软雅黑" w:hAnsi="微软雅黑" w:eastAsia="微软雅黑" w:cs="微软雅黑"/>
                <w:color w:val="000000"/>
                <w:sz w:val="18"/>
                <w:szCs w:val="18"/>
                <w:shd w:val="clear" w:color="auto" w:fill="ffffff"/>
              </w:rPr>
              <w:t xml:space="preserve">3</w:t>
            </w:r>
            <w:r>
              <w:rPr>
                <w:rFonts w:ascii="微软雅黑" w:hAnsi="微软雅黑" w:eastAsia="微软雅黑" w:cs="微软雅黑"/>
                <w:color w:val="000000"/>
                <w:sz w:val="18"/>
                <w:szCs w:val="18"/>
                <w:shd w:val="clear" w:color="auto" w:fill="ffffff"/>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pStyle w:val="895"/>
              <w:jc w:val="center"/>
              <w:widowControl/>
              <w:rPr>
                <w:rFonts w:ascii="微软雅黑" w:hAnsi="微软雅黑" w:eastAsia="微软雅黑" w:cs="微软雅黑"/>
                <w:color w:val="000000"/>
                <w:sz w:val="18"/>
                <w:szCs w:val="18"/>
                <w:shd w:val="clear" w:color="auto" w:fill="ffffff"/>
              </w:rPr>
            </w:pPr>
            <w:r>
              <w:rPr>
                <w:rFonts w:hint="eastAsia" w:ascii="微软雅黑" w:hAnsi="微软雅黑" w:eastAsia="微软雅黑" w:cs="微软雅黑"/>
                <w:color w:val="000000"/>
                <w:sz w:val="18"/>
                <w:szCs w:val="18"/>
                <w:shd w:val="clear" w:color="auto" w:fill="ffffff"/>
              </w:rPr>
              <w:t xml:space="preserve">120000</w:t>
            </w:r>
            <w:r>
              <w:rPr>
                <w:rFonts w:ascii="微软雅黑" w:hAnsi="微软雅黑" w:eastAsia="微软雅黑" w:cs="微软雅黑"/>
                <w:color w:val="000000"/>
                <w:sz w:val="18"/>
                <w:szCs w:val="18"/>
                <w:shd w:val="clear" w:color="auto" w:fill="ffffff"/>
              </w:rPr>
            </w:r>
            <w:r/>
          </w:p>
        </w:tc>
      </w:tr>
    </w:tbl>
    <w:p>
      <w:pPr>
        <w:pStyle w:val="898"/>
        <w:ind w:left="420"/>
        <w:spacing w:line="276" w:lineRule="auto"/>
        <w:rPr>
          <w:rFonts w:ascii="宋体" w:hAnsi="宋体" w:cs="宋体"/>
          <w:bCs w:val="0"/>
        </w:rPr>
      </w:pPr>
      <w:r>
        <w:rPr>
          <w:rFonts w:ascii="宋体" w:hAnsi="宋体"/>
          <w:color w:val="000000"/>
          <w:sz w:val="21"/>
          <w:szCs w:val="21"/>
        </w:rPr>
        <w:t xml:space="preserve">GPU服务器</w:t>
      </w:r>
      <w:r>
        <w:rPr>
          <w:rFonts w:hint="eastAsia" w:ascii="宋体" w:hAnsi="宋体"/>
          <w:color w:val="000000"/>
          <w:sz w:val="21"/>
          <w:szCs w:val="21"/>
        </w:rPr>
        <w:t xml:space="preserve">（3台）</w:t>
      </w:r>
      <w:r>
        <w:rPr>
          <w:rFonts w:ascii="宋体" w:hAnsi="宋体" w:cs="宋体"/>
          <w:bCs w:val="0"/>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9"/>
        <w:gridCol w:w="6803"/>
      </w:tblGrid>
      <w:tr>
        <w:trPr/>
        <w:tc>
          <w:tcPr>
            <w:tcW w:w="1719" w:type="dxa"/>
            <w:vAlign w:val="center"/>
            <w:textDirection w:val="lrTb"/>
            <w:noWrap w:val="false"/>
          </w:tcPr>
          <w:p>
            <w:pPr>
              <w:pStyle w:val="895"/>
              <w:jc w:val="center"/>
              <w:rPr>
                <w:rFonts w:ascii="宋体" w:hAnsi="宋体"/>
                <w:color w:val="000000"/>
              </w:rPr>
            </w:pPr>
            <w:r>
              <w:rPr>
                <w:rFonts w:hint="eastAsia" w:ascii="宋体" w:hAnsi="宋体"/>
                <w:b/>
                <w:color w:val="000000"/>
              </w:rPr>
              <w:t xml:space="preserve">指标项</w:t>
            </w:r>
            <w:r>
              <w:rPr>
                <w:rFonts w:ascii="宋体" w:hAnsi="宋体"/>
                <w:color w:val="000000"/>
              </w:rPr>
            </w:r>
            <w:r/>
          </w:p>
        </w:tc>
        <w:tc>
          <w:tcPr>
            <w:tcW w:w="6803" w:type="dxa"/>
            <w:vAlign w:val="center"/>
            <w:textDirection w:val="lrTb"/>
            <w:noWrap w:val="false"/>
          </w:tcPr>
          <w:p>
            <w:pPr>
              <w:pStyle w:val="895"/>
              <w:jc w:val="center"/>
              <w:rPr>
                <w:rFonts w:ascii="宋体" w:hAnsi="宋体"/>
                <w:color w:val="000000"/>
              </w:rPr>
            </w:pPr>
            <w:r>
              <w:rPr>
                <w:rFonts w:hint="eastAsia" w:ascii="宋体" w:hAnsi="宋体"/>
                <w:b/>
                <w:color w:val="000000"/>
              </w:rPr>
              <w:t xml:space="preserve">指标要求</w:t>
            </w:r>
            <w:r>
              <w:rPr>
                <w:rFonts w:ascii="宋体" w:hAnsi="宋体"/>
                <w:color w:val="000000"/>
              </w:rPr>
            </w:r>
            <w:r/>
          </w:p>
        </w:tc>
      </w:tr>
      <w:tr>
        <w:trPr/>
        <w:tc>
          <w:tcPr>
            <w:tcW w:w="1719" w:type="dxa"/>
            <w:vAlign w:val="center"/>
            <w:textDirection w:val="lrTb"/>
            <w:noWrap w:val="false"/>
          </w:tcPr>
          <w:p>
            <w:pPr>
              <w:pStyle w:val="895"/>
              <w:jc w:val="center"/>
              <w:rPr>
                <w:rFonts w:ascii="宋体" w:hAnsi="宋体"/>
                <w:bCs w:val="0"/>
                <w:i/>
                <w:iCs/>
                <w:color w:val="000000"/>
                <w:u w:val="single"/>
              </w:rPr>
            </w:pPr>
            <w:r>
              <w:rPr>
                <w:rFonts w:hint="eastAsia" w:ascii="宋体" w:hAnsi="宋体"/>
                <w:i/>
                <w:iCs/>
                <w:color w:val="000000"/>
                <w:u w:val="single"/>
              </w:rPr>
              <w:t xml:space="preserve">CPU信息</w:t>
            </w:r>
            <w:r>
              <w:rPr>
                <w:i/>
                <w:iCs/>
              </w:rPr>
            </w:r>
            <w:r/>
          </w:p>
        </w:tc>
        <w:tc>
          <w:tcPr>
            <w:tcW w:w="6803" w:type="dxa"/>
            <w:vAlign w:val="center"/>
            <w:textDirection w:val="lrTb"/>
            <w:noWrap w:val="false"/>
          </w:tcPr>
          <w:p>
            <w:pPr>
              <w:pStyle w:val="895"/>
              <w:rPr>
                <w:rFonts w:ascii="宋体" w:hAnsi="宋体"/>
                <w:bCs w:val="0"/>
                <w:i/>
                <w:iCs/>
                <w:color w:val="000000"/>
                <w:u w:val="single"/>
              </w:rPr>
            </w:pPr>
            <w:r>
              <w:rPr>
                <w:rFonts w:hint="eastAsia" w:ascii="宋体" w:hAnsi="宋体"/>
                <w:i/>
                <w:iCs/>
                <w:color w:val="000000"/>
                <w:u w:val="single"/>
              </w:rPr>
              <w:t xml:space="preserve">实配≥2 颗多路 X86 架构处理器</w:t>
            </w:r>
            <w:bookmarkStart w:id="191" w:name="_GoBack"/>
            <w:r>
              <w:rPr>
                <w:i/>
                <w:iCs/>
              </w:rPr>
            </w:r>
            <w:bookmarkEnd w:id="191"/>
            <w:r>
              <w:rPr>
                <w:rFonts w:hint="eastAsia" w:ascii="宋体" w:hAnsi="宋体"/>
                <w:i/>
                <w:iCs/>
                <w:color w:val="000000"/>
                <w:u w:val="single"/>
              </w:rPr>
              <w:t xml:space="preserve">；单颗基础主频≥2.1GHz，核心数≥32核，缓存≥160MB，功耗≤270W</w:t>
            </w:r>
            <w:r>
              <w:rPr>
                <w:i/>
                <w:iCs/>
              </w:rPr>
            </w:r>
            <w:r/>
          </w:p>
        </w:tc>
      </w:tr>
      <w:tr>
        <w:trPr/>
        <w:tc>
          <w:tcPr>
            <w:tcW w:w="1719" w:type="dxa"/>
            <w:vAlign w:val="center"/>
            <w:textDirection w:val="lrTb"/>
            <w:noWrap w:val="false"/>
          </w:tcPr>
          <w:p>
            <w:pPr>
              <w:pStyle w:val="895"/>
              <w:jc w:val="center"/>
              <w:rPr>
                <w:rFonts w:ascii="宋体" w:hAnsi="宋体"/>
                <w:bCs w:val="0"/>
                <w:i/>
                <w:iCs/>
                <w:color w:val="000000"/>
                <w:u w:val="single"/>
              </w:rPr>
            </w:pPr>
            <w:r>
              <w:rPr>
                <w:rFonts w:hint="eastAsia" w:ascii="宋体" w:hAnsi="宋体"/>
                <w:i/>
                <w:iCs/>
                <w:color w:val="000000"/>
                <w:u w:val="single"/>
              </w:rPr>
              <w:t xml:space="preserve">主板支持的CPU 和内存情况</w:t>
            </w:r>
            <w:r>
              <w:rPr>
                <w:i/>
                <w:iCs/>
              </w:rPr>
            </w:r>
            <w:r/>
          </w:p>
        </w:tc>
        <w:tc>
          <w:tcPr>
            <w:tcW w:w="6803" w:type="dxa"/>
            <w:vAlign w:val="center"/>
            <w:textDirection w:val="lrTb"/>
            <w:noWrap w:val="false"/>
          </w:tcPr>
          <w:p>
            <w:pPr>
              <w:pStyle w:val="895"/>
              <w:rPr>
                <w:rFonts w:ascii="宋体" w:hAnsi="宋体"/>
                <w:bCs w:val="0"/>
                <w:i/>
                <w:iCs/>
                <w:color w:val="000000"/>
                <w:u w:val="single"/>
              </w:rPr>
            </w:pPr>
            <w:r>
              <w:rPr>
                <w:rFonts w:hint="eastAsia" w:ascii="宋体" w:hAnsi="宋体"/>
                <w:i/>
                <w:iCs/>
                <w:color w:val="000000"/>
                <w:u w:val="single"/>
              </w:rPr>
              <w:t xml:space="preserve">实配≥4根32GB 5600MHz DDR5，支持≥32个内存插槽</w:t>
            </w:r>
            <w:r>
              <w:rPr>
                <w:i/>
                <w:iCs/>
              </w:rPr>
            </w:r>
            <w:r/>
          </w:p>
        </w:tc>
      </w:tr>
      <w:tr>
        <w:trPr>
          <w:trHeight w:val="433"/>
        </w:trPr>
        <w:tc>
          <w:tcPr>
            <w:tcW w:w="1719" w:type="dxa"/>
            <w:vAlign w:val="center"/>
            <w:textDirection w:val="lrTb"/>
            <w:noWrap w:val="false"/>
          </w:tcPr>
          <w:p>
            <w:pPr>
              <w:pStyle w:val="895"/>
              <w:jc w:val="center"/>
              <w:rPr>
                <w:rFonts w:ascii="宋体" w:hAnsi="宋体"/>
                <w:bCs w:val="0"/>
                <w:i/>
                <w:iCs/>
                <w:color w:val="000000"/>
                <w:u w:val="single"/>
              </w:rPr>
            </w:pPr>
            <w:r>
              <w:rPr>
                <w:rFonts w:hint="eastAsia" w:ascii="宋体" w:hAnsi="宋体"/>
                <w:i/>
                <w:iCs/>
                <w:color w:val="000000"/>
                <w:u w:val="single"/>
              </w:rPr>
              <w:t xml:space="preserve">主板内存槽数量</w:t>
            </w:r>
            <w:r>
              <w:rPr>
                <w:i/>
                <w:iCs/>
              </w:rPr>
            </w:r>
            <w:r/>
          </w:p>
        </w:tc>
        <w:tc>
          <w:tcPr>
            <w:tcW w:w="6803" w:type="dxa"/>
            <w:vAlign w:val="center"/>
            <w:textDirection w:val="lrTb"/>
            <w:noWrap w:val="false"/>
          </w:tcPr>
          <w:p>
            <w:pPr>
              <w:pStyle w:val="895"/>
              <w:rPr>
                <w:rFonts w:ascii="宋体" w:hAnsi="宋体"/>
                <w:bCs w:val="0"/>
                <w:i/>
                <w:iCs/>
                <w:color w:val="000000"/>
                <w:u w:val="single"/>
              </w:rPr>
            </w:pPr>
            <w:r>
              <w:rPr>
                <w:rFonts w:hint="eastAsia" w:ascii="宋体" w:hAnsi="宋体"/>
                <w:i/>
                <w:iCs/>
                <w:color w:val="000000"/>
                <w:u w:val="single"/>
              </w:rPr>
              <w:t xml:space="preserve">非板载内存的可扩展插槽数量应不少于</w:t>
            </w:r>
            <w:r>
              <w:rPr>
                <w:rFonts w:ascii="宋体" w:hAnsi="宋体"/>
                <w:i/>
                <w:iCs/>
                <w:color w:val="000000"/>
                <w:u w:val="single"/>
              </w:rPr>
              <w:t xml:space="preserve">32</w:t>
            </w:r>
            <w:r>
              <w:rPr>
                <w:rFonts w:hint="eastAsia" w:ascii="宋体" w:hAnsi="宋体"/>
                <w:i/>
                <w:iCs/>
                <w:color w:val="000000"/>
                <w:u w:val="single"/>
              </w:rPr>
              <w:t xml:space="preserve">个</w:t>
            </w:r>
            <w:r>
              <w:rPr>
                <w:i/>
                <w:iCs/>
              </w:rPr>
            </w:r>
            <w:r/>
          </w:p>
        </w:tc>
      </w:tr>
      <w:tr>
        <w:trPr>
          <w:trHeight w:val="433"/>
        </w:trPr>
        <w:tc>
          <w:tcPr>
            <w:tcW w:w="1719" w:type="dxa"/>
            <w:vAlign w:val="center"/>
            <w:textDirection w:val="lrTb"/>
            <w:noWrap w:val="false"/>
          </w:tcPr>
          <w:p>
            <w:pPr>
              <w:pStyle w:val="895"/>
              <w:jc w:val="center"/>
              <w:rPr>
                <w:rFonts w:ascii="宋体" w:hAnsi="宋体"/>
                <w:bCs w:val="0"/>
                <w:i/>
                <w:iCs/>
                <w:color w:val="000000"/>
                <w:u w:val="single"/>
              </w:rPr>
            </w:pPr>
            <w:r>
              <w:rPr>
                <w:rFonts w:hint="eastAsia" w:ascii="宋体" w:hAnsi="宋体"/>
                <w:i/>
                <w:iCs/>
                <w:color w:val="000000"/>
                <w:u w:val="single"/>
              </w:rPr>
              <w:t xml:space="preserve">主板存储接口</w:t>
            </w:r>
            <w:r>
              <w:rPr>
                <w:i/>
                <w:iCs/>
              </w:rPr>
            </w:r>
            <w:r/>
          </w:p>
        </w:tc>
        <w:tc>
          <w:tcPr>
            <w:tcW w:w="6803" w:type="dxa"/>
            <w:vAlign w:val="center"/>
            <w:textDirection w:val="lrTb"/>
            <w:noWrap w:val="false"/>
          </w:tcPr>
          <w:p>
            <w:pPr>
              <w:pStyle w:val="895"/>
              <w:rPr>
                <w:rFonts w:ascii="宋体" w:hAnsi="宋体"/>
                <w:bCs w:val="0"/>
                <w:i/>
                <w:iCs/>
                <w:color w:val="000000"/>
                <w:u w:val="single"/>
              </w:rPr>
            </w:pPr>
            <w:r>
              <w:rPr>
                <w:rFonts w:hint="eastAsia" w:ascii="宋体" w:hAnsi="宋体"/>
                <w:i/>
                <w:iCs/>
                <w:color w:val="000000"/>
                <w:u w:val="single"/>
              </w:rPr>
              <w:t xml:space="preserve">至少支持</w:t>
            </w:r>
            <w:r>
              <w:rPr>
                <w:rFonts w:ascii="宋体" w:hAnsi="宋体"/>
                <w:i/>
                <w:iCs/>
                <w:color w:val="000000"/>
                <w:u w:val="single"/>
              </w:rPr>
              <w:t xml:space="preserve">SATA</w:t>
            </w:r>
            <w:r>
              <w:rPr>
                <w:rFonts w:hint="eastAsia" w:ascii="宋体" w:hAnsi="宋体"/>
                <w:i/>
                <w:iCs/>
                <w:color w:val="000000"/>
                <w:u w:val="single"/>
              </w:rPr>
              <w:t xml:space="preserve">、</w:t>
            </w:r>
            <w:r>
              <w:rPr>
                <w:rFonts w:ascii="宋体" w:hAnsi="宋体"/>
                <w:i/>
                <w:iCs/>
                <w:color w:val="000000"/>
                <w:u w:val="single"/>
              </w:rPr>
              <w:t xml:space="preserve">SAS</w:t>
            </w:r>
            <w:r>
              <w:rPr>
                <w:rFonts w:hint="eastAsia" w:ascii="宋体" w:hAnsi="宋体"/>
                <w:i/>
                <w:iCs/>
                <w:color w:val="000000"/>
                <w:u w:val="single"/>
              </w:rPr>
              <w:t xml:space="preserve">、</w:t>
            </w:r>
            <w:r>
              <w:rPr>
                <w:rFonts w:ascii="宋体" w:hAnsi="宋体"/>
                <w:i/>
                <w:iCs/>
                <w:color w:val="000000"/>
                <w:u w:val="single"/>
              </w:rPr>
              <w:t xml:space="preserve">M.2</w:t>
            </w:r>
            <w:r>
              <w:rPr>
                <w:rFonts w:hint="eastAsia" w:ascii="宋体" w:hAnsi="宋体"/>
                <w:i/>
                <w:iCs/>
                <w:color w:val="000000"/>
                <w:u w:val="single"/>
              </w:rPr>
              <w:t xml:space="preserve">、</w:t>
            </w:r>
            <w:r>
              <w:rPr>
                <w:rFonts w:ascii="宋体" w:hAnsi="宋体"/>
                <w:i/>
                <w:iCs/>
                <w:color w:val="000000"/>
                <w:u w:val="single"/>
              </w:rPr>
              <w:t xml:space="preserve">U.2 </w:t>
            </w:r>
            <w:r>
              <w:rPr>
                <w:rFonts w:hint="eastAsia" w:ascii="宋体" w:hAnsi="宋体"/>
                <w:i/>
                <w:iCs/>
                <w:color w:val="000000"/>
                <w:u w:val="single"/>
              </w:rPr>
              <w:t xml:space="preserve">等存储接口中的</w:t>
            </w:r>
            <w:r>
              <w:rPr>
                <w:rFonts w:ascii="宋体" w:hAnsi="宋体"/>
                <w:i/>
                <w:iCs/>
                <w:color w:val="000000"/>
                <w:u w:val="single"/>
              </w:rPr>
              <w:t xml:space="preserve">1 </w:t>
            </w:r>
            <w:r>
              <w:rPr>
                <w:rFonts w:hint="eastAsia" w:ascii="宋体" w:hAnsi="宋体"/>
                <w:i/>
                <w:iCs/>
                <w:color w:val="000000"/>
                <w:u w:val="single"/>
              </w:rPr>
              <w:t xml:space="preserve">种</w:t>
            </w:r>
            <w:r>
              <w:rPr>
                <w:i/>
                <w:iCs/>
              </w:rPr>
            </w:r>
            <w:r/>
          </w:p>
        </w:tc>
      </w:tr>
      <w:tr>
        <w:trPr/>
        <w:tc>
          <w:tcPr>
            <w:tcW w:w="1719" w:type="dxa"/>
            <w:vAlign w:val="center"/>
            <w:textDirection w:val="lrTb"/>
            <w:noWrap w:val="false"/>
          </w:tcPr>
          <w:p>
            <w:pPr>
              <w:pStyle w:val="895"/>
              <w:jc w:val="center"/>
              <w:rPr>
                <w:rFonts w:ascii="宋体" w:hAnsi="宋体"/>
                <w:bCs w:val="0"/>
                <w:i/>
                <w:iCs/>
                <w:color w:val="000000"/>
                <w:u w:val="single"/>
              </w:rPr>
            </w:pPr>
            <w:r>
              <w:rPr>
                <w:rFonts w:hint="eastAsia" w:ascii="宋体" w:hAnsi="宋体"/>
                <w:i/>
                <w:iCs/>
                <w:color w:val="000000"/>
                <w:u w:val="single"/>
              </w:rPr>
              <w:t xml:space="preserve">PCle插槽接口</w:t>
            </w:r>
            <w:r>
              <w:rPr>
                <w:i/>
                <w:iCs/>
              </w:rPr>
            </w:r>
            <w:r/>
          </w:p>
        </w:tc>
        <w:tc>
          <w:tcPr>
            <w:tcW w:w="6803" w:type="dxa"/>
            <w:vAlign w:val="center"/>
            <w:textDirection w:val="lrTb"/>
            <w:noWrap w:val="false"/>
          </w:tcPr>
          <w:p>
            <w:pPr>
              <w:pStyle w:val="895"/>
              <w:rPr>
                <w:rFonts w:ascii="宋体" w:hAnsi="宋体"/>
                <w:bCs w:val="0"/>
                <w:i/>
                <w:iCs/>
                <w:color w:val="000000"/>
                <w:u w:val="single"/>
              </w:rPr>
            </w:pPr>
            <w:r>
              <w:rPr>
                <w:rFonts w:hint="eastAsia" w:ascii="宋体" w:hAnsi="宋体"/>
                <w:i/>
                <w:iCs/>
                <w:color w:val="000000"/>
                <w:u w:val="single"/>
              </w:rPr>
              <w:t xml:space="preserve">符合PCle</w:t>
            </w:r>
            <w:r>
              <w:rPr>
                <w:rFonts w:ascii="宋体" w:hAnsi="宋体"/>
                <w:i/>
                <w:iCs/>
                <w:color w:val="000000"/>
                <w:u w:val="single"/>
              </w:rPr>
              <w:t xml:space="preserve">4</w:t>
            </w:r>
            <w:r>
              <w:rPr>
                <w:rFonts w:hint="eastAsia" w:ascii="宋体" w:hAnsi="宋体"/>
                <w:i/>
                <w:iCs/>
                <w:color w:val="000000"/>
                <w:u w:val="single"/>
              </w:rPr>
              <w:t xml:space="preserve">.0或以上的高速串行计算机扩展总线标准，PCle的接口速率与位宽需保证向下兼容</w:t>
            </w:r>
            <w:r>
              <w:rPr>
                <w:i/>
                <w:iCs/>
              </w:rPr>
            </w:r>
            <w:r/>
          </w:p>
        </w:tc>
      </w:tr>
      <w:tr>
        <w:trPr/>
        <w:tc>
          <w:tcPr>
            <w:tcW w:w="1719" w:type="dxa"/>
            <w:vAlign w:val="center"/>
            <w:textDirection w:val="lrTb"/>
            <w:noWrap w:val="false"/>
          </w:tcPr>
          <w:p>
            <w:pPr>
              <w:pStyle w:val="895"/>
              <w:jc w:val="center"/>
              <w:rPr>
                <w:rFonts w:ascii="宋体" w:hAnsi="宋体"/>
                <w:bCs w:val="0"/>
                <w:i/>
                <w:iCs/>
                <w:color w:val="000000"/>
                <w:u w:val="single"/>
              </w:rPr>
            </w:pPr>
            <w:r>
              <w:rPr>
                <w:rFonts w:hint="eastAsia" w:ascii="宋体" w:hAnsi="宋体"/>
                <w:i/>
                <w:iCs/>
                <w:color w:val="000000"/>
                <w:u w:val="single"/>
              </w:rPr>
              <w:t xml:space="preserve">主板PCle插槽数量及规格</w:t>
            </w:r>
            <w:r>
              <w:rPr>
                <w:i/>
                <w:iCs/>
              </w:rPr>
            </w:r>
            <w:r/>
          </w:p>
        </w:tc>
        <w:tc>
          <w:tcPr>
            <w:tcW w:w="6803" w:type="dxa"/>
            <w:vAlign w:val="center"/>
            <w:textDirection w:val="lrTb"/>
            <w:noWrap w:val="false"/>
          </w:tcPr>
          <w:p>
            <w:pPr>
              <w:pStyle w:val="895"/>
              <w:rPr>
                <w:rFonts w:ascii="宋体" w:hAnsi="宋体"/>
                <w:bCs w:val="0"/>
                <w:i/>
                <w:iCs/>
                <w:color w:val="000000"/>
                <w:u w:val="single"/>
              </w:rPr>
            </w:pPr>
            <w:r>
              <w:rPr>
                <w:rFonts w:hint="eastAsia" w:ascii="宋体" w:hAnsi="宋体"/>
                <w:i/>
                <w:iCs/>
                <w:color w:val="000000"/>
                <w:u w:val="single"/>
              </w:rPr>
              <w:t xml:space="preserve">PCle</w:t>
            </w:r>
            <w:r>
              <w:rPr>
                <w:rFonts w:ascii="宋体" w:hAnsi="宋体"/>
                <w:i/>
                <w:iCs/>
                <w:color w:val="000000"/>
                <w:u w:val="single"/>
              </w:rPr>
              <w:t xml:space="preserve"> </w:t>
            </w:r>
            <w:r>
              <w:rPr>
                <w:rFonts w:hint="eastAsia" w:ascii="宋体" w:hAnsi="宋体"/>
                <w:i/>
                <w:iCs/>
                <w:color w:val="000000"/>
                <w:u w:val="single"/>
              </w:rPr>
              <w:t xml:space="preserve">X16插槽或接口应不少于</w:t>
            </w:r>
            <w:r>
              <w:rPr>
                <w:rFonts w:ascii="宋体" w:hAnsi="宋体"/>
                <w:i/>
                <w:iCs/>
                <w:color w:val="000000"/>
                <w:u w:val="single"/>
              </w:rPr>
              <w:t xml:space="preserve">8</w:t>
            </w:r>
            <w:r>
              <w:rPr>
                <w:rFonts w:hint="eastAsia" w:ascii="宋体" w:hAnsi="宋体"/>
                <w:i/>
                <w:iCs/>
                <w:color w:val="000000"/>
                <w:u w:val="single"/>
              </w:rPr>
              <w:t xml:space="preserve">个</w:t>
            </w:r>
            <w:r>
              <w:rPr>
                <w:i/>
                <w:iCs/>
              </w:rPr>
            </w:r>
            <w:r/>
          </w:p>
        </w:tc>
      </w:tr>
      <w:tr>
        <w:trPr>
          <w:trHeight w:val="90"/>
        </w:trPr>
        <w:tc>
          <w:tcPr>
            <w:tcW w:w="1719" w:type="dxa"/>
            <w:vAlign w:val="center"/>
            <w:textDirection w:val="lrTb"/>
            <w:noWrap w:val="false"/>
          </w:tcPr>
          <w:p>
            <w:pPr>
              <w:pStyle w:val="895"/>
              <w:jc w:val="center"/>
              <w:rPr>
                <w:rFonts w:ascii="宋体" w:hAnsi="宋体"/>
                <w:bCs w:val="0"/>
                <w:i/>
                <w:iCs/>
                <w:color w:val="000000"/>
                <w:u w:val="single"/>
              </w:rPr>
            </w:pPr>
            <w:r>
              <w:rPr>
                <w:rFonts w:hint="eastAsia" w:ascii="宋体" w:hAnsi="宋体"/>
                <w:i/>
                <w:iCs/>
                <w:color w:val="000000"/>
                <w:u w:val="single"/>
              </w:rPr>
              <w:t xml:space="preserve">内存数量</w:t>
            </w:r>
            <w:r>
              <w:rPr>
                <w:i/>
                <w:iCs/>
              </w:rPr>
            </w:r>
            <w:r/>
          </w:p>
        </w:tc>
        <w:tc>
          <w:tcPr>
            <w:tcW w:w="6803" w:type="dxa"/>
            <w:vAlign w:val="center"/>
            <w:textDirection w:val="lrTb"/>
            <w:noWrap w:val="false"/>
          </w:tcPr>
          <w:p>
            <w:pPr>
              <w:pStyle w:val="895"/>
              <w:rPr>
                <w:rFonts w:ascii="宋体" w:hAnsi="宋体"/>
                <w:bCs w:val="0"/>
                <w:i/>
                <w:iCs/>
                <w:color w:val="000000"/>
                <w:u w:val="single"/>
              </w:rPr>
            </w:pPr>
            <w:r>
              <w:rPr>
                <w:rFonts w:hint="eastAsia" w:ascii="宋体" w:hAnsi="宋体"/>
                <w:i/>
                <w:iCs/>
                <w:color w:val="000000"/>
                <w:u w:val="single"/>
              </w:rPr>
              <w:t xml:space="preserve">≥4</w:t>
            </w:r>
            <w:r>
              <w:rPr>
                <w:i/>
                <w:iCs/>
              </w:rPr>
            </w:r>
            <w:r/>
          </w:p>
        </w:tc>
      </w:tr>
      <w:tr>
        <w:trPr/>
        <w:tc>
          <w:tcPr>
            <w:tcW w:w="1719" w:type="dxa"/>
            <w:vAlign w:val="center"/>
            <w:textDirection w:val="lrTb"/>
            <w:noWrap w:val="false"/>
          </w:tcPr>
          <w:p>
            <w:pPr>
              <w:pStyle w:val="895"/>
              <w:jc w:val="center"/>
              <w:rPr>
                <w:rFonts w:ascii="宋体" w:hAnsi="宋体"/>
                <w:bCs w:val="0"/>
                <w:i/>
                <w:iCs/>
                <w:color w:val="000000"/>
                <w:u w:val="single"/>
              </w:rPr>
            </w:pPr>
            <w:r>
              <w:rPr>
                <w:rFonts w:hint="eastAsia" w:ascii="宋体" w:hAnsi="宋体"/>
                <w:i/>
                <w:iCs/>
                <w:color w:val="000000"/>
                <w:u w:val="single"/>
              </w:rPr>
              <w:t xml:space="preserve">内存规格</w:t>
            </w:r>
            <w:r>
              <w:rPr>
                <w:i/>
                <w:iCs/>
              </w:rPr>
            </w:r>
            <w:r/>
          </w:p>
        </w:tc>
        <w:tc>
          <w:tcPr>
            <w:tcW w:w="6803" w:type="dxa"/>
            <w:vAlign w:val="center"/>
            <w:textDirection w:val="lrTb"/>
            <w:noWrap w:val="false"/>
          </w:tcPr>
          <w:p>
            <w:pPr>
              <w:pStyle w:val="895"/>
              <w:rPr>
                <w:rFonts w:ascii="宋体" w:hAnsi="宋体"/>
                <w:bCs w:val="0"/>
                <w:i/>
                <w:iCs/>
                <w:color w:val="000000"/>
                <w:u w:val="single"/>
              </w:rPr>
            </w:pPr>
            <w:r>
              <w:rPr>
                <w:rFonts w:hint="eastAsia" w:ascii="宋体" w:hAnsi="宋体"/>
                <w:i/>
                <w:iCs/>
                <w:color w:val="000000"/>
                <w:u w:val="single"/>
              </w:rPr>
              <w:t xml:space="preserve">≥</w:t>
            </w:r>
            <w:r>
              <w:rPr>
                <w:rFonts w:ascii="宋体" w:hAnsi="宋体"/>
                <w:i/>
                <w:iCs/>
                <w:color w:val="000000"/>
                <w:u w:val="single"/>
              </w:rPr>
              <w:t xml:space="preserve">DDR</w:t>
            </w:r>
            <w:r>
              <w:rPr>
                <w:rFonts w:hint="eastAsia" w:ascii="宋体" w:hAnsi="宋体"/>
                <w:i/>
                <w:iCs/>
                <w:color w:val="000000"/>
                <w:u w:val="single"/>
              </w:rPr>
              <w:t xml:space="preserve">5</w:t>
            </w:r>
            <w:r>
              <w:rPr>
                <w:i/>
                <w:iCs/>
              </w:rPr>
            </w:r>
            <w:r/>
          </w:p>
        </w:tc>
      </w:tr>
      <w:tr>
        <w:trPr/>
        <w:tc>
          <w:tcPr>
            <w:tcW w:w="1719" w:type="dxa"/>
            <w:vAlign w:val="center"/>
            <w:textDirection w:val="lrTb"/>
            <w:noWrap w:val="false"/>
          </w:tcPr>
          <w:p>
            <w:pPr>
              <w:pStyle w:val="895"/>
              <w:jc w:val="center"/>
              <w:rPr>
                <w:rFonts w:ascii="宋体" w:hAnsi="宋体"/>
                <w:bCs w:val="0"/>
                <w:i/>
                <w:iCs/>
                <w:color w:val="000000"/>
                <w:u w:val="single"/>
              </w:rPr>
            </w:pPr>
            <w:r>
              <w:rPr>
                <w:rFonts w:hint="eastAsia" w:ascii="宋体" w:hAnsi="宋体"/>
                <w:i/>
                <w:iCs/>
                <w:color w:val="000000"/>
                <w:u w:val="single"/>
              </w:rPr>
              <w:t xml:space="preserve">内存通道</w:t>
            </w:r>
            <w:r>
              <w:rPr>
                <w:i/>
                <w:iCs/>
              </w:rPr>
            </w:r>
            <w:r/>
          </w:p>
        </w:tc>
        <w:tc>
          <w:tcPr>
            <w:tcW w:w="6803" w:type="dxa"/>
            <w:vAlign w:val="center"/>
            <w:textDirection w:val="lrTb"/>
            <w:noWrap w:val="false"/>
          </w:tcPr>
          <w:p>
            <w:pPr>
              <w:pStyle w:val="895"/>
              <w:rPr>
                <w:rFonts w:ascii="宋体" w:hAnsi="宋体"/>
                <w:bCs w:val="0"/>
                <w:i/>
                <w:iCs/>
                <w:color w:val="000000"/>
                <w:u w:val="single"/>
              </w:rPr>
            </w:pPr>
            <w:r>
              <w:rPr>
                <w:rFonts w:hint="eastAsia" w:ascii="宋体" w:hAnsi="宋体"/>
                <w:i/>
                <w:iCs/>
                <w:color w:val="000000"/>
                <w:u w:val="single"/>
              </w:rPr>
              <w:t xml:space="preserve">支持多个内存接口通道，每个通道可支持</w:t>
            </w:r>
            <w:r>
              <w:rPr>
                <w:rFonts w:ascii="宋体" w:hAnsi="宋体"/>
                <w:i/>
                <w:iCs/>
                <w:color w:val="000000"/>
                <w:u w:val="single"/>
              </w:rPr>
              <w:t xml:space="preserve">1DPC </w:t>
            </w:r>
            <w:r>
              <w:rPr>
                <w:rFonts w:hint="eastAsia" w:ascii="宋体" w:hAnsi="宋体"/>
                <w:i/>
                <w:iCs/>
                <w:color w:val="000000"/>
                <w:u w:val="single"/>
              </w:rPr>
              <w:t xml:space="preserve">或</w:t>
            </w:r>
            <w:r>
              <w:rPr>
                <w:rFonts w:ascii="宋体" w:hAnsi="宋体"/>
                <w:i/>
                <w:iCs/>
                <w:color w:val="000000"/>
                <w:u w:val="single"/>
              </w:rPr>
              <w:t xml:space="preserve">2DPC</w:t>
            </w:r>
            <w:r>
              <w:rPr>
                <w:rFonts w:hint="eastAsia" w:ascii="宋体" w:hAnsi="宋体"/>
                <w:i/>
                <w:iCs/>
                <w:color w:val="000000"/>
                <w:u w:val="single"/>
              </w:rPr>
              <w:t xml:space="preserve">，当支持</w:t>
            </w:r>
            <w:r>
              <w:rPr>
                <w:rFonts w:ascii="宋体" w:hAnsi="宋体"/>
                <w:i/>
                <w:iCs/>
                <w:color w:val="000000"/>
                <w:u w:val="single"/>
              </w:rPr>
              <w:t xml:space="preserve">2DPC</w:t>
            </w:r>
            <w:r>
              <w:rPr>
                <w:rFonts w:hint="eastAsia" w:ascii="宋体" w:hAnsi="宋体"/>
                <w:i/>
                <w:iCs/>
                <w:color w:val="000000"/>
                <w:u w:val="single"/>
              </w:rPr>
              <w:t xml:space="preserve">时，印制电路板上应具备插槽的序号标识，具体通道数应在随机文件中明确</w:t>
            </w:r>
            <w:r>
              <w:rPr>
                <w:i/>
                <w:iCs/>
              </w:rPr>
            </w:r>
            <w:r/>
          </w:p>
        </w:tc>
      </w:tr>
      <w:tr>
        <w:trPr/>
        <w:tc>
          <w:tcPr>
            <w:tcW w:w="1719" w:type="dxa"/>
            <w:vAlign w:val="center"/>
            <w:textDirection w:val="lrTb"/>
            <w:noWrap w:val="false"/>
          </w:tcPr>
          <w:p>
            <w:pPr>
              <w:pStyle w:val="895"/>
              <w:jc w:val="center"/>
              <w:rPr>
                <w:rFonts w:ascii="宋体" w:hAnsi="宋体"/>
                <w:bCs w:val="0"/>
                <w:i/>
                <w:iCs/>
                <w:color w:val="000000"/>
                <w:u w:val="single"/>
              </w:rPr>
            </w:pPr>
            <w:r>
              <w:rPr>
                <w:rFonts w:hint="eastAsia" w:ascii="宋体" w:hAnsi="宋体"/>
                <w:i/>
                <w:iCs/>
                <w:color w:val="000000"/>
                <w:u w:val="single"/>
              </w:rPr>
              <w:t xml:space="preserve">硬磁盘实配容量</w:t>
            </w:r>
            <w:r>
              <w:rPr>
                <w:i/>
                <w:iCs/>
              </w:rPr>
            </w:r>
            <w:r/>
          </w:p>
        </w:tc>
        <w:tc>
          <w:tcPr>
            <w:tcW w:w="6803" w:type="dxa"/>
            <w:vAlign w:val="center"/>
            <w:textDirection w:val="lrTb"/>
            <w:noWrap w:val="false"/>
          </w:tcPr>
          <w:p>
            <w:pPr>
              <w:pStyle w:val="895"/>
              <w:rPr>
                <w:rFonts w:ascii="宋体" w:hAnsi="宋体"/>
                <w:bCs w:val="0"/>
                <w:i/>
                <w:iCs/>
                <w:color w:val="000000"/>
                <w:u w:val="single"/>
              </w:rPr>
            </w:pPr>
            <w:r>
              <w:rPr>
                <w:rFonts w:hint="eastAsia" w:ascii="宋体" w:hAnsi="宋体"/>
                <w:i/>
                <w:iCs/>
                <w:color w:val="000000"/>
                <w:u w:val="single"/>
              </w:rPr>
              <w:t xml:space="preserve">实配3.5寸SATA SSD固态盘单盘可用容量不小于480GB，</w:t>
            </w:r>
            <w:r>
              <w:rPr>
                <w:rFonts w:ascii="宋体" w:hAnsi="宋体"/>
                <w:i/>
                <w:iCs/>
                <w:color w:val="000000"/>
                <w:u w:val="single"/>
              </w:rPr>
              <w:t xml:space="preserve">7.2K SATA HDD硬盘</w:t>
            </w:r>
            <w:r>
              <w:rPr>
                <w:rFonts w:hint="eastAsia" w:ascii="宋体" w:hAnsi="宋体"/>
                <w:i/>
                <w:iCs/>
                <w:color w:val="000000"/>
                <w:u w:val="single"/>
              </w:rPr>
              <w:t xml:space="preserve">单盘容量不小于8</w:t>
            </w:r>
            <w:r>
              <w:rPr>
                <w:rFonts w:ascii="宋体" w:hAnsi="宋体"/>
                <w:i/>
                <w:iCs/>
                <w:color w:val="000000"/>
                <w:u w:val="single"/>
              </w:rPr>
              <w:t xml:space="preserve">TB</w:t>
            </w:r>
            <w:r>
              <w:rPr>
                <w:rFonts w:hint="eastAsia" w:ascii="宋体" w:hAnsi="宋体"/>
                <w:i/>
                <w:iCs/>
                <w:color w:val="000000"/>
                <w:u w:val="single"/>
              </w:rPr>
              <w:t xml:space="preserve">，可支持硬盘数量应不少于</w:t>
            </w:r>
            <w:r>
              <w:rPr>
                <w:rFonts w:ascii="宋体" w:hAnsi="宋体"/>
                <w:i/>
                <w:iCs/>
                <w:color w:val="000000"/>
                <w:u w:val="single"/>
              </w:rPr>
              <w:t xml:space="preserve">8</w:t>
            </w:r>
            <w:r>
              <w:rPr>
                <w:rFonts w:hint="eastAsia" w:ascii="宋体" w:hAnsi="宋体"/>
                <w:i/>
                <w:iCs/>
                <w:color w:val="000000"/>
                <w:u w:val="single"/>
              </w:rPr>
              <w:t xml:space="preserve">块</w:t>
            </w:r>
            <w:r>
              <w:rPr>
                <w:i/>
                <w:iCs/>
              </w:rPr>
            </w:r>
            <w:r/>
          </w:p>
        </w:tc>
      </w:tr>
      <w:tr>
        <w:trPr/>
        <w:tc>
          <w:tcPr>
            <w:tcW w:w="1719" w:type="dxa"/>
            <w:vAlign w:val="center"/>
            <w:textDirection w:val="lrTb"/>
            <w:noWrap w:val="false"/>
          </w:tcPr>
          <w:p>
            <w:pPr>
              <w:pStyle w:val="895"/>
              <w:jc w:val="center"/>
              <w:rPr>
                <w:rFonts w:ascii="宋体" w:hAnsi="宋体"/>
                <w:bCs w:val="0"/>
                <w:i/>
                <w:iCs/>
                <w:color w:val="000000"/>
                <w:u w:val="single"/>
              </w:rPr>
            </w:pPr>
            <w:r>
              <w:rPr>
                <w:rFonts w:hint="eastAsia" w:ascii="宋体" w:hAnsi="宋体"/>
                <w:i/>
                <w:iCs/>
                <w:color w:val="000000"/>
                <w:u w:val="single"/>
              </w:rPr>
              <w:t xml:space="preserve">硬磁盘实配数量</w:t>
            </w:r>
            <w:r>
              <w:rPr>
                <w:i/>
                <w:iCs/>
              </w:rPr>
            </w:r>
            <w:r/>
          </w:p>
        </w:tc>
        <w:tc>
          <w:tcPr>
            <w:tcW w:w="6803" w:type="dxa"/>
            <w:vAlign w:val="center"/>
            <w:textDirection w:val="lrTb"/>
            <w:noWrap w:val="false"/>
          </w:tcPr>
          <w:p>
            <w:pPr>
              <w:pStyle w:val="895"/>
              <w:rPr>
                <w:rFonts w:ascii="宋体" w:hAnsi="宋体"/>
                <w:bCs w:val="0"/>
                <w:i/>
                <w:iCs/>
                <w:color w:val="000000"/>
                <w:u w:val="single"/>
              </w:rPr>
            </w:pPr>
            <w:r>
              <w:rPr>
                <w:rFonts w:hint="eastAsia" w:ascii="宋体" w:hAnsi="宋体"/>
                <w:i/>
                <w:iCs/>
                <w:color w:val="000000"/>
                <w:u w:val="single"/>
              </w:rPr>
              <w:t xml:space="preserve">实配固态盘数应不小于</w:t>
            </w:r>
            <w:r>
              <w:rPr>
                <w:rFonts w:ascii="宋体" w:hAnsi="宋体"/>
                <w:i/>
                <w:iCs/>
                <w:color w:val="000000"/>
                <w:u w:val="single"/>
              </w:rPr>
              <w:t xml:space="preserve">2</w:t>
            </w:r>
            <w:r>
              <w:rPr>
                <w:rFonts w:hint="eastAsia" w:ascii="宋体" w:hAnsi="宋体"/>
                <w:i/>
                <w:iCs/>
                <w:color w:val="000000"/>
                <w:u w:val="single"/>
              </w:rPr>
              <w:t xml:space="preserve">块，</w:t>
            </w:r>
            <w:r>
              <w:rPr>
                <w:rFonts w:ascii="宋体" w:hAnsi="宋体"/>
                <w:i/>
                <w:iCs/>
                <w:color w:val="000000"/>
                <w:u w:val="single"/>
              </w:rPr>
              <w:t xml:space="preserve">HDD盘不小于</w:t>
            </w:r>
            <w:r>
              <w:rPr>
                <w:rFonts w:hint="eastAsia" w:ascii="宋体" w:hAnsi="宋体"/>
                <w:i/>
                <w:iCs/>
                <w:color w:val="000000"/>
                <w:u w:val="single"/>
              </w:rPr>
              <w:t xml:space="preserve">6块</w:t>
            </w:r>
            <w:r>
              <w:rPr>
                <w:i/>
                <w:iCs/>
              </w:rPr>
            </w:r>
            <w:r/>
          </w:p>
        </w:tc>
      </w:tr>
      <w:tr>
        <w:trPr/>
        <w:tc>
          <w:tcPr>
            <w:tcW w:w="1719" w:type="dxa"/>
            <w:vAlign w:val="center"/>
            <w:textDirection w:val="lrTb"/>
            <w:noWrap w:val="false"/>
          </w:tcPr>
          <w:p>
            <w:pPr>
              <w:pStyle w:val="895"/>
              <w:jc w:val="center"/>
              <w:rPr>
                <w:rFonts w:ascii="宋体" w:hAnsi="宋体"/>
                <w:bCs w:val="0"/>
                <w:i/>
                <w:iCs/>
                <w:color w:val="000000"/>
                <w:u w:val="single"/>
              </w:rPr>
            </w:pPr>
            <w:r>
              <w:rPr>
                <w:rFonts w:hint="eastAsia" w:ascii="宋体" w:hAnsi="宋体"/>
                <w:i/>
                <w:iCs/>
                <w:color w:val="000000"/>
                <w:u w:val="single"/>
              </w:rPr>
              <w:t xml:space="preserve">硬盘插槽数量及规格</w:t>
            </w:r>
            <w:r>
              <w:rPr>
                <w:i/>
                <w:iCs/>
              </w:rPr>
            </w:r>
            <w:r/>
          </w:p>
        </w:tc>
        <w:tc>
          <w:tcPr>
            <w:tcW w:w="6803" w:type="dxa"/>
            <w:vAlign w:val="center"/>
            <w:textDirection w:val="lrTb"/>
            <w:noWrap w:val="false"/>
          </w:tcPr>
          <w:p>
            <w:pPr>
              <w:pStyle w:val="895"/>
              <w:rPr>
                <w:rFonts w:ascii="宋体" w:hAnsi="宋体"/>
                <w:bCs w:val="0"/>
                <w:i/>
                <w:iCs/>
                <w:color w:val="000000"/>
                <w:u w:val="single"/>
              </w:rPr>
            </w:pPr>
            <w:r>
              <w:rPr>
                <w:rFonts w:hint="eastAsia" w:ascii="宋体" w:hAnsi="宋体"/>
                <w:i/>
                <w:iCs/>
                <w:color w:val="000000"/>
                <w:u w:val="single"/>
              </w:rPr>
              <w:t xml:space="preserve">支持≥12块2.5/3.5英寸 SAS/SATA/NVMe（最大可支持8块NVMe）</w:t>
            </w:r>
            <w:r>
              <w:rPr>
                <w:i/>
                <w:iCs/>
              </w:rPr>
            </w:r>
            <w:r/>
          </w:p>
        </w:tc>
      </w:tr>
      <w:tr>
        <w:trPr/>
        <w:tc>
          <w:tcPr>
            <w:tcW w:w="1719" w:type="dxa"/>
            <w:vAlign w:val="center"/>
            <w:textDirection w:val="lrTb"/>
            <w:noWrap w:val="false"/>
          </w:tcPr>
          <w:p>
            <w:pPr>
              <w:pStyle w:val="895"/>
              <w:jc w:val="center"/>
              <w:rPr>
                <w:rFonts w:ascii="宋体" w:hAnsi="宋体"/>
                <w:bCs w:val="0"/>
                <w:i/>
                <w:iCs/>
                <w:color w:val="000000"/>
                <w:u w:val="single"/>
              </w:rPr>
            </w:pPr>
            <w:r>
              <w:rPr>
                <w:rFonts w:hint="eastAsia" w:ascii="宋体" w:hAnsi="宋体"/>
                <w:i/>
                <w:iCs/>
                <w:color w:val="000000"/>
                <w:u w:val="single"/>
              </w:rPr>
              <w:t xml:space="preserve">网口速率和数量</w:t>
            </w:r>
            <w:r>
              <w:rPr>
                <w:i/>
                <w:iCs/>
              </w:rPr>
            </w:r>
            <w:r/>
          </w:p>
        </w:tc>
        <w:tc>
          <w:tcPr>
            <w:tcW w:w="6803" w:type="dxa"/>
            <w:vAlign w:val="center"/>
            <w:textDirection w:val="lrTb"/>
            <w:noWrap w:val="false"/>
          </w:tcPr>
          <w:p>
            <w:pPr>
              <w:pStyle w:val="895"/>
              <w:rPr>
                <w:rFonts w:ascii="宋体" w:hAnsi="宋体"/>
                <w:bCs w:val="0"/>
                <w:i/>
                <w:iCs/>
                <w:color w:val="000000"/>
                <w:u w:val="single"/>
              </w:rPr>
            </w:pPr>
            <w:r>
              <w:rPr>
                <w:rFonts w:hint="eastAsia" w:ascii="宋体" w:hAnsi="宋体"/>
                <w:i/>
                <w:iCs/>
                <w:color w:val="000000"/>
                <w:u w:val="single"/>
              </w:rPr>
              <w:t xml:space="preserve">实配 4口千兆网卡≥1个，双口万兆光网卡≥2个并含多模模块</w:t>
            </w:r>
            <w:r>
              <w:rPr>
                <w:i/>
                <w:iCs/>
              </w:rPr>
            </w:r>
            <w:r/>
          </w:p>
        </w:tc>
      </w:tr>
      <w:tr>
        <w:trPr>
          <w:trHeight w:val="90"/>
        </w:trPr>
        <w:tc>
          <w:tcPr>
            <w:tcW w:w="1719" w:type="dxa"/>
            <w:vAlign w:val="center"/>
            <w:textDirection w:val="lrTb"/>
            <w:noWrap w:val="false"/>
          </w:tcPr>
          <w:p>
            <w:pPr>
              <w:pStyle w:val="895"/>
              <w:jc w:val="center"/>
              <w:rPr>
                <w:rFonts w:ascii="宋体" w:hAnsi="宋体"/>
                <w:bCs w:val="0"/>
                <w:i/>
                <w:iCs/>
                <w:color w:val="000000"/>
                <w:u w:val="single"/>
              </w:rPr>
            </w:pPr>
            <w:r>
              <w:rPr>
                <w:rFonts w:hint="eastAsia" w:ascii="宋体" w:hAnsi="宋体"/>
                <w:i/>
                <w:iCs/>
                <w:color w:val="000000"/>
                <w:u w:val="single"/>
              </w:rPr>
              <w:t xml:space="preserve">显示接口</w:t>
            </w:r>
            <w:r>
              <w:rPr>
                <w:i/>
                <w:iCs/>
              </w:rPr>
            </w:r>
            <w:r/>
          </w:p>
        </w:tc>
        <w:tc>
          <w:tcPr>
            <w:tcW w:w="6803" w:type="dxa"/>
            <w:vAlign w:val="center"/>
            <w:textDirection w:val="lrTb"/>
            <w:noWrap w:val="false"/>
          </w:tcPr>
          <w:p>
            <w:pPr>
              <w:pStyle w:val="895"/>
              <w:rPr>
                <w:rFonts w:ascii="宋体" w:hAnsi="宋体"/>
                <w:bCs w:val="0"/>
                <w:i/>
                <w:iCs/>
                <w:color w:val="000000"/>
                <w:u w:val="single"/>
              </w:rPr>
            </w:pPr>
            <w:r>
              <w:rPr>
                <w:rFonts w:hint="eastAsia" w:ascii="宋体" w:hAnsi="宋体"/>
                <w:i/>
                <w:iCs/>
                <w:color w:val="000000"/>
                <w:u w:val="single"/>
              </w:rPr>
              <w:t xml:space="preserve">显示接口类型应不少于1种，如：VGA、DP、HDMI 等</w:t>
            </w:r>
            <w:r>
              <w:rPr>
                <w:i/>
                <w:iCs/>
              </w:rPr>
            </w:r>
            <w:r/>
          </w:p>
        </w:tc>
      </w:tr>
      <w:tr>
        <w:trPr/>
        <w:tc>
          <w:tcPr>
            <w:tcW w:w="1719" w:type="dxa"/>
            <w:vAlign w:val="center"/>
            <w:textDirection w:val="lrTb"/>
            <w:noWrap w:val="false"/>
          </w:tcPr>
          <w:p>
            <w:pPr>
              <w:pStyle w:val="895"/>
              <w:jc w:val="center"/>
              <w:rPr>
                <w:rFonts w:ascii="宋体" w:hAnsi="宋体"/>
                <w:bCs w:val="0"/>
                <w:i/>
                <w:iCs/>
                <w:color w:val="000000"/>
                <w:u w:val="single"/>
              </w:rPr>
            </w:pPr>
            <w:r>
              <w:rPr>
                <w:rFonts w:hint="eastAsia" w:ascii="宋体" w:hAnsi="宋体"/>
                <w:i/>
                <w:iCs/>
                <w:color w:val="000000"/>
                <w:u w:val="single"/>
              </w:rPr>
              <w:t xml:space="preserve">USB 接口</w:t>
            </w:r>
            <w:r>
              <w:rPr>
                <w:i/>
                <w:iCs/>
              </w:rPr>
            </w:r>
            <w:r/>
          </w:p>
        </w:tc>
        <w:tc>
          <w:tcPr>
            <w:tcW w:w="6803" w:type="dxa"/>
            <w:vAlign w:val="center"/>
            <w:textDirection w:val="lrTb"/>
            <w:noWrap w:val="false"/>
          </w:tcPr>
          <w:p>
            <w:pPr>
              <w:pStyle w:val="895"/>
              <w:rPr>
                <w:rFonts w:ascii="宋体" w:hAnsi="宋体"/>
                <w:bCs w:val="0"/>
                <w:i/>
                <w:iCs/>
                <w:color w:val="000000"/>
                <w:u w:val="single"/>
              </w:rPr>
            </w:pPr>
            <w:r>
              <w:rPr>
                <w:rFonts w:hint="eastAsia" w:ascii="宋体" w:hAnsi="宋体"/>
                <w:i/>
                <w:iCs/>
                <w:color w:val="000000"/>
                <w:u w:val="single"/>
              </w:rPr>
              <w:t xml:space="preserve">配备 USB 接口，如USB2.0、USB3.0等</w:t>
            </w:r>
            <w:r>
              <w:rPr>
                <w:i/>
                <w:iCs/>
              </w:rPr>
            </w:r>
            <w:r/>
          </w:p>
        </w:tc>
      </w:tr>
      <w:tr>
        <w:trPr/>
        <w:tc>
          <w:tcPr>
            <w:tcW w:w="1719" w:type="dxa"/>
            <w:vAlign w:val="center"/>
            <w:textDirection w:val="lrTb"/>
            <w:noWrap w:val="false"/>
          </w:tcPr>
          <w:p>
            <w:pPr>
              <w:pStyle w:val="895"/>
              <w:jc w:val="center"/>
              <w:rPr>
                <w:rFonts w:ascii="宋体" w:hAnsi="宋体"/>
                <w:bCs w:val="0"/>
                <w:i/>
                <w:iCs/>
                <w:color w:val="000000"/>
                <w:u w:val="single"/>
              </w:rPr>
            </w:pPr>
            <w:r>
              <w:rPr>
                <w:rFonts w:hint="eastAsia" w:ascii="宋体" w:hAnsi="宋体"/>
                <w:i/>
                <w:iCs/>
                <w:color w:val="000000"/>
                <w:u w:val="single"/>
              </w:rPr>
              <w:t xml:space="preserve">电源模块数量</w:t>
            </w:r>
            <w:r>
              <w:rPr>
                <w:i/>
                <w:iCs/>
              </w:rPr>
            </w:r>
            <w:r/>
          </w:p>
        </w:tc>
        <w:tc>
          <w:tcPr>
            <w:tcW w:w="6803" w:type="dxa"/>
            <w:vAlign w:val="center"/>
            <w:textDirection w:val="lrTb"/>
            <w:noWrap w:val="false"/>
          </w:tcPr>
          <w:p>
            <w:pPr>
              <w:pStyle w:val="895"/>
              <w:rPr>
                <w:rFonts w:ascii="宋体" w:hAnsi="宋体"/>
                <w:bCs w:val="0"/>
                <w:i/>
                <w:iCs/>
                <w:color w:val="000000"/>
                <w:u w:val="single"/>
              </w:rPr>
            </w:pPr>
            <w:r>
              <w:rPr>
                <w:rFonts w:hint="eastAsia" w:ascii="宋体" w:hAnsi="宋体"/>
                <w:i/>
                <w:iCs/>
                <w:color w:val="000000"/>
                <w:u w:val="single"/>
              </w:rPr>
              <w:t xml:space="preserve">实配≥2个2700W铂金电源，冗余热插拔风扇</w:t>
            </w:r>
            <w:r>
              <w:rPr>
                <w:i/>
                <w:iCs/>
              </w:rPr>
            </w:r>
            <w:r/>
          </w:p>
        </w:tc>
      </w:tr>
      <w:tr>
        <w:trPr/>
        <w:tc>
          <w:tcPr>
            <w:tcW w:w="1719" w:type="dxa"/>
            <w:vAlign w:val="center"/>
            <w:textDirection w:val="lrTb"/>
            <w:noWrap w:val="false"/>
          </w:tcPr>
          <w:p>
            <w:pPr>
              <w:pStyle w:val="895"/>
              <w:jc w:val="center"/>
              <w:rPr>
                <w:rFonts w:ascii="宋体" w:hAnsi="宋体"/>
                <w:bCs w:val="0"/>
                <w:i/>
                <w:iCs/>
                <w:color w:val="000000"/>
                <w:u w:val="single"/>
              </w:rPr>
            </w:pPr>
            <w:r>
              <w:rPr>
                <w:rFonts w:hint="eastAsia" w:ascii="宋体" w:hAnsi="宋体"/>
                <w:i/>
                <w:iCs/>
                <w:color w:val="000000"/>
                <w:u w:val="single"/>
              </w:rPr>
              <w:t xml:space="preserve">电源功率</w:t>
            </w:r>
            <w:r>
              <w:rPr>
                <w:i/>
                <w:iCs/>
              </w:rPr>
            </w:r>
            <w:r/>
          </w:p>
        </w:tc>
        <w:tc>
          <w:tcPr>
            <w:tcW w:w="6803" w:type="dxa"/>
            <w:vAlign w:val="center"/>
            <w:textDirection w:val="lrTb"/>
            <w:noWrap w:val="false"/>
          </w:tcPr>
          <w:p>
            <w:pPr>
              <w:pStyle w:val="895"/>
              <w:rPr>
                <w:rFonts w:ascii="宋体" w:hAnsi="宋体"/>
                <w:bCs w:val="0"/>
                <w:i/>
                <w:iCs/>
                <w:color w:val="000000"/>
                <w:u w:val="single"/>
              </w:rPr>
            </w:pPr>
            <w:r>
              <w:rPr>
                <w:rFonts w:hint="eastAsia" w:ascii="宋体" w:hAnsi="宋体"/>
                <w:i/>
                <w:iCs/>
                <w:color w:val="000000"/>
                <w:u w:val="single"/>
              </w:rPr>
              <w:t xml:space="preserve">单电源模块功率≥27</w:t>
            </w:r>
            <w:r>
              <w:rPr>
                <w:rFonts w:ascii="宋体" w:hAnsi="宋体"/>
                <w:i/>
                <w:iCs/>
                <w:color w:val="000000"/>
                <w:u w:val="single"/>
              </w:rPr>
              <w:t xml:space="preserve">00W</w:t>
            </w:r>
            <w:r>
              <w:rPr>
                <w:rFonts w:hint="eastAsia" w:ascii="宋体" w:hAnsi="宋体"/>
                <w:i/>
                <w:iCs/>
                <w:color w:val="000000"/>
                <w:u w:val="single"/>
              </w:rPr>
              <w:t xml:space="preserve">，整机电源模块应具备热插拔功能，支持过流及短路保护的功能</w:t>
            </w:r>
            <w:r>
              <w:rPr>
                <w:i/>
                <w:iCs/>
              </w:rPr>
            </w:r>
            <w:r/>
          </w:p>
        </w:tc>
      </w:tr>
      <w:tr>
        <w:trPr/>
        <w:tc>
          <w:tcPr>
            <w:tcW w:w="1719" w:type="dxa"/>
            <w:vAlign w:val="center"/>
            <w:textDirection w:val="lrTb"/>
            <w:noWrap w:val="false"/>
          </w:tcPr>
          <w:p>
            <w:pPr>
              <w:pStyle w:val="895"/>
              <w:jc w:val="center"/>
              <w:rPr>
                <w:rFonts w:ascii="宋体" w:hAnsi="宋体"/>
                <w:bCs w:val="0"/>
                <w:i/>
                <w:iCs/>
                <w:color w:val="000000"/>
                <w:u w:val="single"/>
              </w:rPr>
            </w:pPr>
            <w:r>
              <w:rPr>
                <w:rFonts w:hint="eastAsia" w:ascii="宋体" w:hAnsi="宋体"/>
                <w:i/>
                <w:iCs/>
                <w:color w:val="000000"/>
                <w:u w:val="single"/>
              </w:rPr>
              <w:t xml:space="preserve">外观和结构</w:t>
            </w:r>
            <w:r>
              <w:rPr>
                <w:i/>
                <w:iCs/>
              </w:rPr>
            </w:r>
            <w:r/>
          </w:p>
        </w:tc>
        <w:tc>
          <w:tcPr>
            <w:tcW w:w="6803" w:type="dxa"/>
            <w:vAlign w:val="center"/>
            <w:textDirection w:val="lrTb"/>
            <w:noWrap w:val="false"/>
          </w:tcPr>
          <w:p>
            <w:pPr>
              <w:pStyle w:val="895"/>
              <w:rPr>
                <w:rFonts w:ascii="宋体" w:hAnsi="宋体"/>
                <w:bCs w:val="0"/>
                <w:i/>
                <w:iCs/>
                <w:color w:val="000000"/>
                <w:u w:val="single"/>
              </w:rPr>
            </w:pPr>
            <w:r>
              <w:rPr>
                <w:rFonts w:hint="eastAsia" w:ascii="宋体" w:hAnsi="宋体"/>
                <w:i/>
                <w:iCs/>
                <w:color w:val="000000"/>
                <w:u w:val="single"/>
              </w:rPr>
              <w:t xml:space="preserve">a)服务器的零部件应紧固无松动，可插拔部件应可靠连接，开关、按钮和其它控制部件应灵活可靠，布局应方便使用；</w:t>
            </w:r>
            <w:r>
              <w:rPr>
                <w:i/>
                <w:iCs/>
              </w:rPr>
            </w:r>
            <w:r/>
          </w:p>
          <w:p>
            <w:pPr>
              <w:pStyle w:val="895"/>
              <w:rPr>
                <w:rFonts w:ascii="宋体" w:hAnsi="宋体"/>
                <w:bCs w:val="0"/>
                <w:i/>
                <w:iCs/>
                <w:color w:val="000000"/>
                <w:u w:val="single"/>
              </w:rPr>
            </w:pPr>
            <w:r>
              <w:rPr>
                <w:rFonts w:hint="eastAsia" w:ascii="宋体" w:hAnsi="宋体"/>
                <w:i/>
                <w:iCs/>
                <w:color w:val="000000"/>
                <w:u w:val="single"/>
              </w:rPr>
              <w:t xml:space="preserve">b) 产品表面不应有明显的凹痕、划伤、裂缝、变形和污染等。表面涂层均匀，不应起泡、龟裂、脱落和磨损，金属零部件无锈蚀及其它机械损伤；</w:t>
            </w:r>
            <w:r>
              <w:rPr>
                <w:i/>
                <w:iCs/>
              </w:rPr>
            </w:r>
            <w:r/>
          </w:p>
          <w:p>
            <w:pPr>
              <w:pStyle w:val="895"/>
              <w:rPr>
                <w:rFonts w:ascii="宋体" w:hAnsi="宋体"/>
                <w:bCs w:val="0"/>
                <w:i/>
                <w:iCs/>
                <w:color w:val="000000"/>
                <w:u w:val="single"/>
              </w:rPr>
            </w:pPr>
            <w:r>
              <w:rPr>
                <w:rFonts w:hint="eastAsia" w:ascii="宋体" w:hAnsi="宋体"/>
                <w:i/>
                <w:iCs/>
                <w:color w:val="000000"/>
                <w:u w:val="single"/>
              </w:rPr>
              <w:t xml:space="preserve">c) 产品表面说明功能的文字、符号和标志应清晰、端正且牢固；</w:t>
            </w:r>
            <w:r>
              <w:rPr>
                <w:i/>
                <w:iCs/>
              </w:rPr>
            </w:r>
            <w:r/>
          </w:p>
          <w:p>
            <w:pPr>
              <w:pStyle w:val="895"/>
              <w:rPr>
                <w:rFonts w:ascii="宋体" w:hAnsi="宋体"/>
                <w:bCs w:val="0"/>
                <w:i/>
                <w:iCs/>
                <w:color w:val="000000"/>
                <w:u w:val="single"/>
              </w:rPr>
            </w:pPr>
            <w:r>
              <w:rPr>
                <w:rFonts w:hint="eastAsia" w:ascii="宋体" w:hAnsi="宋体"/>
                <w:i/>
                <w:iCs/>
                <w:color w:val="000000"/>
                <w:u w:val="single"/>
              </w:rPr>
              <w:t xml:space="preserve">d) 应在服务器的显著位置提供运行状态的指示功能，并在随机文件中明确具体含义；</w:t>
            </w:r>
            <w:r>
              <w:rPr>
                <w:i/>
                <w:iCs/>
              </w:rPr>
            </w:r>
            <w:r/>
          </w:p>
          <w:p>
            <w:pPr>
              <w:pStyle w:val="895"/>
              <w:rPr>
                <w:rFonts w:ascii="宋体" w:hAnsi="宋体"/>
                <w:bCs w:val="0"/>
                <w:i/>
                <w:iCs/>
                <w:color w:val="000000"/>
                <w:u w:val="single"/>
              </w:rPr>
            </w:pPr>
            <w:r>
              <w:rPr>
                <w:rFonts w:hint="eastAsia" w:ascii="宋体" w:hAnsi="宋体"/>
                <w:i/>
                <w:iCs/>
                <w:color w:val="000000"/>
                <w:u w:val="single"/>
              </w:rPr>
              <w:t xml:space="preserve">e) 机架、机箱的尺寸应符合通用机柜的安装要求，插入总线插座的电路板接口外形尺寸应符合有关总线标准的规定，将机箱固定在机柜上，机箱底面最大下垂变形不得干涉相邻机体；</w:t>
            </w:r>
            <w:r>
              <w:rPr>
                <w:i/>
                <w:iCs/>
              </w:rPr>
            </w:r>
            <w:r/>
          </w:p>
          <w:p>
            <w:pPr>
              <w:pStyle w:val="895"/>
              <w:rPr>
                <w:rFonts w:ascii="宋体" w:hAnsi="宋体"/>
                <w:bCs w:val="0"/>
                <w:i/>
                <w:iCs/>
                <w:color w:val="000000"/>
                <w:u w:val="single"/>
              </w:rPr>
            </w:pPr>
            <w:r>
              <w:rPr>
                <w:rFonts w:hint="eastAsia" w:ascii="宋体" w:hAnsi="宋体"/>
                <w:i/>
                <w:iCs/>
                <w:color w:val="000000"/>
                <w:u w:val="single"/>
              </w:rPr>
              <w:t xml:space="preserve">f) 高密度服务器应给出 CPU 个数与机柜高度；</w:t>
            </w:r>
            <w:r>
              <w:rPr>
                <w:i/>
                <w:iCs/>
              </w:rPr>
            </w:r>
            <w:r/>
          </w:p>
          <w:p>
            <w:pPr>
              <w:pStyle w:val="895"/>
              <w:rPr>
                <w:rFonts w:ascii="宋体" w:hAnsi="宋体"/>
                <w:bCs w:val="0"/>
                <w:i/>
                <w:iCs/>
                <w:color w:val="000000"/>
                <w:u w:val="single"/>
              </w:rPr>
            </w:pPr>
            <w:r>
              <w:rPr>
                <w:rFonts w:hint="eastAsia" w:ascii="宋体" w:hAnsi="宋体"/>
                <w:i/>
                <w:iCs/>
                <w:color w:val="000000"/>
                <w:u w:val="single"/>
              </w:rPr>
              <w:t xml:space="preserve">g) 服务器尺寸具体要求在随机文件中明确</w:t>
            </w:r>
            <w:r>
              <w:rPr>
                <w:i/>
                <w:iCs/>
              </w:rPr>
            </w:r>
            <w:r/>
          </w:p>
        </w:tc>
      </w:tr>
      <w:tr>
        <w:trPr/>
        <w:tc>
          <w:tcPr>
            <w:tcW w:w="1719" w:type="dxa"/>
            <w:vAlign w:val="center"/>
            <w:textDirection w:val="lrTb"/>
            <w:noWrap w:val="false"/>
          </w:tcPr>
          <w:p>
            <w:pPr>
              <w:pStyle w:val="895"/>
              <w:jc w:val="center"/>
              <w:rPr>
                <w:rFonts w:ascii="宋体" w:hAnsi="宋体"/>
                <w:bCs w:val="0"/>
                <w:i/>
                <w:iCs/>
                <w:color w:val="000000"/>
                <w:u w:val="single"/>
              </w:rPr>
            </w:pPr>
            <w:r>
              <w:rPr>
                <w:rFonts w:hint="eastAsia" w:ascii="宋体" w:hAnsi="宋体"/>
                <w:i/>
                <w:iCs/>
                <w:color w:val="000000"/>
                <w:u w:val="single"/>
              </w:rPr>
              <w:t xml:space="preserve">尺寸（高×宽×深）</w:t>
            </w:r>
            <w:r>
              <w:rPr>
                <w:i/>
                <w:iCs/>
              </w:rPr>
            </w:r>
            <w:r/>
          </w:p>
        </w:tc>
        <w:tc>
          <w:tcPr>
            <w:tcW w:w="6803" w:type="dxa"/>
            <w:vAlign w:val="center"/>
            <w:textDirection w:val="lrTb"/>
            <w:noWrap w:val="false"/>
          </w:tcPr>
          <w:p>
            <w:pPr>
              <w:pStyle w:val="895"/>
              <w:rPr>
                <w:rFonts w:ascii="宋体" w:hAnsi="宋体"/>
                <w:bCs w:val="0"/>
                <w:i/>
                <w:iCs/>
                <w:color w:val="000000"/>
                <w:u w:val="single"/>
              </w:rPr>
            </w:pPr>
            <w:r>
              <w:rPr>
                <w:rFonts w:hint="eastAsia" w:ascii="宋体" w:hAnsi="宋体"/>
                <w:i/>
                <w:iCs/>
                <w:color w:val="000000"/>
                <w:u w:val="single"/>
              </w:rPr>
              <w:t xml:space="preserve">服务器高度≥4U，供应商给出产品尺寸；设计应遵循标准化、系列化的要求；机箱的内部结构符合通用部件的安装需要</w:t>
            </w:r>
            <w:r>
              <w:rPr>
                <w:i/>
                <w:iCs/>
              </w:rPr>
            </w:r>
            <w:r/>
          </w:p>
        </w:tc>
      </w:tr>
      <w:tr>
        <w:trPr/>
        <w:tc>
          <w:tcPr>
            <w:tcW w:w="1719" w:type="dxa"/>
            <w:vAlign w:val="center"/>
            <w:textDirection w:val="lrTb"/>
            <w:noWrap w:val="false"/>
          </w:tcPr>
          <w:p>
            <w:pPr>
              <w:pStyle w:val="895"/>
              <w:jc w:val="center"/>
              <w:rPr>
                <w:rFonts w:ascii="宋体" w:hAnsi="宋体"/>
                <w:bCs w:val="0"/>
                <w:i/>
                <w:iCs/>
                <w:color w:val="000000"/>
                <w:highlight w:val="white"/>
                <w:u w:val="single"/>
              </w:rPr>
            </w:pPr>
            <w:r>
              <w:rPr>
                <w:rFonts w:hint="eastAsia" w:ascii="宋体" w:hAnsi="宋体"/>
                <w:i/>
                <w:iCs/>
                <w:color w:val="000000"/>
                <w:highlight w:val="white"/>
                <w:u w:val="single"/>
              </w:rPr>
              <w:t xml:space="preserve">环境适应性</w:t>
            </w:r>
            <w:r>
              <w:rPr>
                <w:i/>
                <w:iCs/>
                <w:highlight w:val="white"/>
              </w:rPr>
            </w:r>
            <w:r/>
          </w:p>
        </w:tc>
        <w:tc>
          <w:tcPr>
            <w:tcW w:w="6803" w:type="dxa"/>
            <w:vAlign w:val="center"/>
            <w:textDirection w:val="lrTb"/>
            <w:noWrap w:val="false"/>
          </w:tcPr>
          <w:p>
            <w:pPr>
              <w:pStyle w:val="895"/>
              <w:rPr>
                <w:rFonts w:ascii="宋体" w:hAnsi="宋体"/>
                <w:bCs w:val="0"/>
                <w:i/>
                <w:iCs/>
                <w:color w:val="000000"/>
                <w:highlight w:val="white"/>
                <w:u w:val="single"/>
              </w:rPr>
            </w:pPr>
            <w:r>
              <w:rPr>
                <w:rFonts w:hint="eastAsia" w:ascii="宋体" w:hAnsi="宋体"/>
                <w:i/>
                <w:iCs/>
                <w:color w:val="000000"/>
                <w:highlight w:val="white"/>
                <w:u w:val="single"/>
              </w:rPr>
              <w:t xml:space="preserve">气候环境适应性应符合GB/T9813.3 的有关规定，工作温度10～35℃，贮存运输温度-40～55℃；工作相对湿度35%～80%，贮存运输相对湿度20％～93%（40℃）；大气压86～106kPa</w:t>
            </w:r>
            <w:r>
              <w:rPr>
                <w:i/>
                <w:iCs/>
                <w:highlight w:val="white"/>
              </w:rPr>
            </w:r>
            <w:r/>
          </w:p>
        </w:tc>
      </w:tr>
      <w:tr>
        <w:trPr/>
        <w:tc>
          <w:tcPr>
            <w:tcW w:w="1719" w:type="dxa"/>
            <w:vAlign w:val="center"/>
            <w:textDirection w:val="lrTb"/>
            <w:noWrap w:val="false"/>
          </w:tcPr>
          <w:p>
            <w:pPr>
              <w:pStyle w:val="895"/>
              <w:jc w:val="center"/>
              <w:rPr>
                <w:rFonts w:ascii="宋体" w:hAnsi="宋体"/>
                <w:bCs w:val="0"/>
                <w:i/>
                <w:iCs/>
                <w:color w:val="000000"/>
                <w:highlight w:val="white"/>
                <w:u w:val="single"/>
              </w:rPr>
            </w:pPr>
            <w:r>
              <w:rPr>
                <w:rFonts w:hint="eastAsia" w:ascii="宋体" w:hAnsi="宋体"/>
                <w:i/>
                <w:iCs/>
                <w:color w:val="000000"/>
                <w:highlight w:val="white"/>
                <w:u w:val="single"/>
              </w:rPr>
              <w:t xml:space="preserve">机械环境适应性</w:t>
            </w:r>
            <w:r>
              <w:rPr>
                <w:i/>
                <w:iCs/>
                <w:highlight w:val="white"/>
              </w:rPr>
            </w:r>
            <w:r/>
          </w:p>
        </w:tc>
        <w:tc>
          <w:tcPr>
            <w:tcW w:w="6803" w:type="dxa"/>
            <w:vAlign w:val="center"/>
            <w:textDirection w:val="lrTb"/>
            <w:noWrap w:val="false"/>
          </w:tcPr>
          <w:p>
            <w:pPr>
              <w:pStyle w:val="895"/>
              <w:rPr>
                <w:rFonts w:ascii="宋体" w:hAnsi="宋体"/>
                <w:bCs w:val="0"/>
                <w:i/>
                <w:iCs/>
                <w:color w:val="000000"/>
                <w:highlight w:val="white"/>
                <w:u w:val="single"/>
              </w:rPr>
            </w:pPr>
            <w:r>
              <w:rPr>
                <w:rFonts w:hint="eastAsia" w:ascii="宋体" w:hAnsi="宋体"/>
                <w:i/>
                <w:iCs/>
                <w:color w:val="000000"/>
                <w:highlight w:val="white"/>
                <w:u w:val="single"/>
              </w:rPr>
              <w:t xml:space="preserve">机械环境适应性应符合 GB/T9813.3 的有关规定</w:t>
            </w:r>
            <w:r>
              <w:rPr>
                <w:i/>
                <w:iCs/>
                <w:highlight w:val="white"/>
              </w:rPr>
            </w:r>
            <w:r/>
          </w:p>
        </w:tc>
      </w:tr>
      <w:tr>
        <w:trPr/>
        <w:tc>
          <w:tcPr>
            <w:tcW w:w="1719" w:type="dxa"/>
            <w:vAlign w:val="center"/>
            <w:textDirection w:val="lrTb"/>
            <w:noWrap w:val="false"/>
          </w:tcPr>
          <w:p>
            <w:pPr>
              <w:pStyle w:val="895"/>
              <w:jc w:val="center"/>
              <w:rPr>
                <w:rFonts w:ascii="宋体" w:hAnsi="宋体"/>
                <w:bCs w:val="0"/>
                <w:i/>
                <w:iCs/>
                <w:color w:val="000000"/>
                <w:highlight w:val="white"/>
                <w:u w:val="single"/>
              </w:rPr>
            </w:pPr>
            <w:r>
              <w:rPr>
                <w:rFonts w:hint="eastAsia" w:ascii="宋体" w:hAnsi="宋体"/>
                <w:i/>
                <w:iCs/>
                <w:color w:val="000000"/>
                <w:highlight w:val="white"/>
                <w:u w:val="single"/>
              </w:rPr>
              <w:t xml:space="preserve">噪声</w:t>
            </w:r>
            <w:r>
              <w:rPr>
                <w:i/>
                <w:iCs/>
                <w:highlight w:val="white"/>
              </w:rPr>
            </w:r>
            <w:r/>
          </w:p>
        </w:tc>
        <w:tc>
          <w:tcPr>
            <w:tcW w:w="6803" w:type="dxa"/>
            <w:vAlign w:val="center"/>
            <w:textDirection w:val="lrTb"/>
            <w:noWrap w:val="false"/>
          </w:tcPr>
          <w:p>
            <w:pPr>
              <w:pStyle w:val="895"/>
              <w:rPr>
                <w:rFonts w:ascii="宋体" w:hAnsi="宋体"/>
                <w:bCs w:val="0"/>
                <w:i/>
                <w:iCs/>
                <w:color w:val="000000"/>
                <w:highlight w:val="white"/>
                <w:u w:val="single"/>
              </w:rPr>
            </w:pPr>
            <w:r>
              <w:rPr>
                <w:rFonts w:hint="eastAsia" w:ascii="宋体" w:hAnsi="宋体"/>
                <w:i/>
                <w:iCs/>
                <w:color w:val="000000"/>
                <w:highlight w:val="white"/>
                <w:u w:val="single"/>
              </w:rPr>
              <w:t xml:space="preserve">符合GB/T 9813.3的有关规定，在产品说明中给出具体测试值塔式服务器噪声在空闲状态下不大于 50dB</w:t>
            </w:r>
            <w:r>
              <w:rPr>
                <w:i/>
                <w:iCs/>
                <w:highlight w:val="white"/>
              </w:rPr>
            </w:r>
            <w:r/>
          </w:p>
        </w:tc>
      </w:tr>
      <w:tr>
        <w:trPr/>
        <w:tc>
          <w:tcPr>
            <w:tcW w:w="1719" w:type="dxa"/>
            <w:vAlign w:val="center"/>
            <w:textDirection w:val="lrTb"/>
            <w:noWrap w:val="false"/>
          </w:tcPr>
          <w:p>
            <w:pPr>
              <w:pStyle w:val="895"/>
              <w:jc w:val="center"/>
              <w:rPr>
                <w:rFonts w:ascii="宋体" w:hAnsi="宋体"/>
                <w:bCs w:val="0"/>
                <w:i/>
                <w:iCs/>
                <w:color w:val="000000"/>
                <w:highlight w:val="white"/>
                <w:u w:val="single"/>
              </w:rPr>
            </w:pPr>
            <w:r>
              <w:rPr>
                <w:rFonts w:hint="eastAsia" w:ascii="宋体" w:hAnsi="宋体"/>
                <w:i/>
                <w:iCs/>
                <w:color w:val="000000"/>
                <w:highlight w:val="white"/>
                <w:u w:val="single"/>
              </w:rPr>
              <w:t xml:space="preserve">机柜尺寸</w:t>
            </w:r>
            <w:r>
              <w:rPr>
                <w:i/>
                <w:iCs/>
                <w:highlight w:val="white"/>
              </w:rPr>
            </w:r>
            <w:r/>
          </w:p>
        </w:tc>
        <w:tc>
          <w:tcPr>
            <w:tcW w:w="6803" w:type="dxa"/>
            <w:vAlign w:val="center"/>
            <w:textDirection w:val="lrTb"/>
            <w:noWrap w:val="false"/>
          </w:tcPr>
          <w:p>
            <w:pPr>
              <w:pStyle w:val="895"/>
              <w:rPr>
                <w:rFonts w:ascii="宋体" w:hAnsi="宋体"/>
                <w:bCs w:val="0"/>
                <w:i/>
                <w:iCs/>
                <w:color w:val="000000"/>
                <w:highlight w:val="white"/>
                <w:u w:val="single"/>
              </w:rPr>
            </w:pPr>
            <w:r>
              <w:rPr>
                <w:rFonts w:hint="eastAsia" w:ascii="宋体" w:hAnsi="宋体"/>
                <w:i/>
                <w:iCs/>
                <w:color w:val="000000"/>
                <w:highlight w:val="white"/>
                <w:u w:val="single"/>
              </w:rPr>
              <w:t xml:space="preserve">供应商给出长度、高度和深度</w:t>
            </w:r>
            <w:r>
              <w:rPr>
                <w:i/>
                <w:iCs/>
                <w:highlight w:val="white"/>
              </w:rPr>
            </w:r>
            <w:r/>
          </w:p>
        </w:tc>
      </w:tr>
      <w:tr>
        <w:trPr/>
        <w:tc>
          <w:tcPr>
            <w:tcW w:w="1719" w:type="dxa"/>
            <w:vAlign w:val="center"/>
            <w:textDirection w:val="lrTb"/>
            <w:noWrap w:val="false"/>
          </w:tcPr>
          <w:p>
            <w:pPr>
              <w:pStyle w:val="895"/>
              <w:jc w:val="center"/>
              <w:rPr>
                <w:rFonts w:ascii="宋体" w:hAnsi="宋体"/>
                <w:bCs w:val="0"/>
                <w:i/>
                <w:iCs/>
                <w:color w:val="000000"/>
                <w:highlight w:val="white"/>
                <w:u w:val="single"/>
              </w:rPr>
            </w:pPr>
            <w:r>
              <w:rPr>
                <w:rFonts w:hint="eastAsia" w:ascii="宋体" w:hAnsi="宋体"/>
                <w:i/>
                <w:iCs/>
                <w:color w:val="000000"/>
                <w:highlight w:val="white"/>
                <w:u w:val="single"/>
              </w:rPr>
              <w:t xml:space="preserve">主板外部</w:t>
            </w:r>
            <w:r>
              <w:rPr>
                <w:i/>
                <w:iCs/>
                <w:highlight w:val="white"/>
              </w:rPr>
            </w:r>
            <w:r/>
          </w:p>
        </w:tc>
        <w:tc>
          <w:tcPr>
            <w:tcW w:w="6803" w:type="dxa"/>
            <w:vAlign w:val="center"/>
            <w:textDirection w:val="lrTb"/>
            <w:noWrap w:val="false"/>
          </w:tcPr>
          <w:p>
            <w:pPr>
              <w:pStyle w:val="895"/>
              <w:jc w:val="left"/>
              <w:rPr>
                <w:rFonts w:ascii="宋体" w:hAnsi="宋体"/>
                <w:bCs w:val="0"/>
                <w:i/>
                <w:iCs/>
                <w:color w:val="000000"/>
                <w:highlight w:val="white"/>
                <w:u w:val="single"/>
              </w:rPr>
            </w:pPr>
            <w:r>
              <w:rPr>
                <w:rFonts w:hint="eastAsia" w:ascii="宋体" w:hAnsi="宋体"/>
                <w:i/>
                <w:iCs/>
                <w:color w:val="000000"/>
                <w:highlight w:val="white"/>
                <w:u w:val="single"/>
              </w:rPr>
              <w:t xml:space="preserve">支持</w:t>
            </w:r>
            <w:r>
              <w:rPr>
                <w:rFonts w:ascii="宋体" w:hAnsi="宋体"/>
                <w:i/>
                <w:iCs/>
                <w:color w:val="000000"/>
                <w:highlight w:val="white"/>
                <w:u w:val="single"/>
              </w:rPr>
              <w:t xml:space="preserve">USB</w:t>
            </w:r>
            <w:r>
              <w:rPr>
                <w:rFonts w:hint="eastAsia" w:ascii="宋体" w:hAnsi="宋体"/>
                <w:i/>
                <w:iCs/>
                <w:color w:val="000000"/>
                <w:highlight w:val="white"/>
                <w:u w:val="single"/>
              </w:rPr>
              <w:t xml:space="preserve">、显示、管理等接口，如</w:t>
            </w:r>
            <w:r>
              <w:rPr>
                <w:rFonts w:ascii="宋体" w:hAnsi="宋体"/>
                <w:i/>
                <w:iCs/>
                <w:color w:val="000000"/>
                <w:highlight w:val="white"/>
                <w:u w:val="single"/>
              </w:rPr>
              <w:t xml:space="preserve">VGA</w:t>
            </w:r>
            <w:r>
              <w:rPr>
                <w:rFonts w:hint="eastAsia" w:ascii="宋体" w:hAnsi="宋体"/>
                <w:i/>
                <w:iCs/>
                <w:color w:val="000000"/>
                <w:highlight w:val="white"/>
                <w:u w:val="single"/>
              </w:rPr>
              <w:t xml:space="preserve">、</w:t>
            </w:r>
            <w:r>
              <w:rPr>
                <w:rFonts w:ascii="宋体" w:hAnsi="宋体"/>
                <w:i/>
                <w:iCs/>
                <w:color w:val="000000"/>
                <w:highlight w:val="white"/>
                <w:u w:val="single"/>
              </w:rPr>
              <w:t xml:space="preserve">DP</w:t>
            </w:r>
            <w:r>
              <w:rPr>
                <w:rFonts w:hint="eastAsia" w:ascii="宋体" w:hAnsi="宋体"/>
                <w:i/>
                <w:iCs/>
                <w:color w:val="000000"/>
                <w:highlight w:val="white"/>
                <w:u w:val="single"/>
              </w:rPr>
              <w:t xml:space="preserve">、</w:t>
            </w:r>
            <w:r>
              <w:rPr>
                <w:rFonts w:ascii="宋体" w:hAnsi="宋体"/>
                <w:i/>
                <w:iCs/>
                <w:color w:val="000000"/>
                <w:highlight w:val="white"/>
                <w:u w:val="single"/>
              </w:rPr>
              <w:t xml:space="preserve">HDMI</w:t>
            </w:r>
            <w:r>
              <w:rPr>
                <w:rFonts w:hint="eastAsia" w:ascii="宋体" w:hAnsi="宋体"/>
                <w:i/>
                <w:iCs/>
                <w:color w:val="000000"/>
                <w:highlight w:val="white"/>
                <w:u w:val="single"/>
              </w:rPr>
              <w:t xml:space="preserve">、</w:t>
            </w:r>
            <w:r>
              <w:rPr>
                <w:rFonts w:ascii="宋体" w:hAnsi="宋体"/>
                <w:i/>
                <w:iCs/>
                <w:color w:val="000000"/>
                <w:highlight w:val="white"/>
                <w:u w:val="single"/>
              </w:rPr>
              <w:t xml:space="preserve">USB3.0</w:t>
            </w:r>
            <w:r>
              <w:rPr>
                <w:rFonts w:hint="eastAsia" w:ascii="宋体" w:hAnsi="宋体"/>
                <w:i/>
                <w:iCs/>
                <w:color w:val="000000"/>
                <w:highlight w:val="white"/>
                <w:u w:val="single"/>
              </w:rPr>
              <w:t xml:space="preserve">、</w:t>
            </w:r>
            <w:r>
              <w:rPr>
                <w:rFonts w:ascii="宋体" w:hAnsi="宋体"/>
                <w:i/>
                <w:iCs/>
                <w:color w:val="000000"/>
                <w:highlight w:val="white"/>
                <w:u w:val="single"/>
              </w:rPr>
              <w:t xml:space="preserve">PS/2 </w:t>
            </w:r>
            <w:r>
              <w:rPr>
                <w:rFonts w:hint="eastAsia" w:ascii="宋体" w:hAnsi="宋体"/>
                <w:i/>
                <w:iCs/>
                <w:color w:val="000000"/>
                <w:highlight w:val="white"/>
                <w:u w:val="single"/>
              </w:rPr>
              <w:t xml:space="preserve">接口、</w:t>
            </w:r>
            <w:r>
              <w:rPr>
                <w:rFonts w:ascii="宋体" w:hAnsi="宋体"/>
                <w:i/>
                <w:iCs/>
                <w:color w:val="000000"/>
                <w:highlight w:val="white"/>
                <w:u w:val="single"/>
              </w:rPr>
              <w:t xml:space="preserve">BMC </w:t>
            </w:r>
            <w:r>
              <w:rPr>
                <w:rFonts w:hint="eastAsia" w:ascii="宋体" w:hAnsi="宋体"/>
                <w:i/>
                <w:iCs/>
                <w:color w:val="000000"/>
                <w:highlight w:val="white"/>
                <w:u w:val="single"/>
              </w:rPr>
              <w:t xml:space="preserve">管理端口</w:t>
            </w:r>
            <w:r>
              <w:rPr>
                <w:i/>
                <w:iCs/>
                <w:highlight w:val="white"/>
              </w:rPr>
            </w:r>
            <w:r/>
          </w:p>
        </w:tc>
      </w:tr>
      <w:tr>
        <w:trPr/>
        <w:tc>
          <w:tcPr>
            <w:tcW w:w="1719" w:type="dxa"/>
            <w:vAlign w:val="center"/>
            <w:textDirection w:val="lrTb"/>
            <w:noWrap w:val="false"/>
          </w:tcPr>
          <w:p>
            <w:pPr>
              <w:pStyle w:val="895"/>
              <w:jc w:val="center"/>
              <w:rPr>
                <w:rFonts w:ascii="宋体" w:hAnsi="宋体"/>
                <w:bCs w:val="0"/>
                <w:i/>
                <w:iCs/>
                <w:color w:val="000000"/>
                <w:highlight w:val="white"/>
                <w:u w:val="single"/>
              </w:rPr>
            </w:pPr>
            <w:r>
              <w:rPr>
                <w:rFonts w:hint="eastAsia" w:ascii="宋体" w:hAnsi="宋体"/>
                <w:i/>
                <w:iCs/>
                <w:color w:val="000000"/>
                <w:highlight w:val="white"/>
                <w:u w:val="single"/>
              </w:rPr>
              <w:t xml:space="preserve">网络功能</w:t>
            </w:r>
            <w:r>
              <w:rPr>
                <w:i/>
                <w:iCs/>
                <w:highlight w:val="white"/>
              </w:rPr>
            </w:r>
            <w:r/>
          </w:p>
        </w:tc>
        <w:tc>
          <w:tcPr>
            <w:tcW w:w="6803" w:type="dxa"/>
            <w:vAlign w:val="center"/>
            <w:textDirection w:val="lrTb"/>
            <w:noWrap w:val="false"/>
          </w:tcPr>
          <w:p>
            <w:pPr>
              <w:pStyle w:val="895"/>
              <w:jc w:val="left"/>
              <w:rPr>
                <w:rFonts w:ascii="宋体" w:hAnsi="宋体"/>
                <w:bCs w:val="0"/>
                <w:i/>
                <w:iCs/>
                <w:color w:val="000000"/>
                <w:highlight w:val="white"/>
                <w:u w:val="single"/>
              </w:rPr>
            </w:pPr>
            <w:r>
              <w:rPr>
                <w:rFonts w:hint="eastAsia" w:ascii="宋体" w:hAnsi="宋体"/>
                <w:i/>
                <w:iCs/>
                <w:color w:val="000000"/>
                <w:highlight w:val="white"/>
                <w:u w:val="single"/>
              </w:rPr>
              <w:t xml:space="preserve">支持网络连接、网络访问、数据交换和网络管控功能</w:t>
            </w:r>
            <w:r>
              <w:rPr>
                <w:i/>
                <w:iCs/>
                <w:highlight w:val="white"/>
              </w:rPr>
            </w:r>
            <w:r/>
          </w:p>
        </w:tc>
      </w:tr>
      <w:tr>
        <w:trPr/>
        <w:tc>
          <w:tcPr>
            <w:tcW w:w="1719" w:type="dxa"/>
            <w:vAlign w:val="center"/>
            <w:textDirection w:val="lrTb"/>
            <w:noWrap w:val="false"/>
          </w:tcPr>
          <w:p>
            <w:pPr>
              <w:pStyle w:val="895"/>
              <w:jc w:val="center"/>
              <w:rPr>
                <w:rFonts w:ascii="宋体" w:hAnsi="宋体"/>
                <w:bCs w:val="0"/>
                <w:i/>
                <w:iCs/>
                <w:color w:val="000000"/>
                <w:highlight w:val="white"/>
                <w:u w:val="single"/>
              </w:rPr>
            </w:pPr>
            <w:r>
              <w:rPr>
                <w:rFonts w:hint="eastAsia" w:ascii="宋体" w:hAnsi="宋体"/>
                <w:i/>
                <w:iCs/>
                <w:color w:val="000000"/>
                <w:highlight w:val="white"/>
                <w:u w:val="single"/>
              </w:rPr>
              <w:t xml:space="preserve">计算处理</w:t>
            </w:r>
            <w:r>
              <w:rPr>
                <w:i/>
                <w:iCs/>
                <w:highlight w:val="white"/>
              </w:rPr>
            </w:r>
            <w:r/>
          </w:p>
        </w:tc>
        <w:tc>
          <w:tcPr>
            <w:tcW w:w="6803" w:type="dxa"/>
            <w:vAlign w:val="center"/>
            <w:textDirection w:val="lrTb"/>
            <w:noWrap w:val="false"/>
          </w:tcPr>
          <w:p>
            <w:pPr>
              <w:pStyle w:val="895"/>
              <w:rPr>
                <w:rFonts w:ascii="宋体" w:hAnsi="宋体"/>
                <w:bCs w:val="0"/>
                <w:i/>
                <w:iCs/>
                <w:color w:val="000000"/>
                <w:highlight w:val="white"/>
                <w:u w:val="single"/>
              </w:rPr>
            </w:pPr>
            <w:r>
              <w:rPr>
                <w:rFonts w:hint="eastAsia" w:ascii="宋体" w:hAnsi="宋体"/>
                <w:i/>
                <w:iCs/>
                <w:color w:val="000000"/>
                <w:highlight w:val="white"/>
                <w:u w:val="single"/>
              </w:rPr>
              <w:t xml:space="preserve">支持通用计算及虚拟化功能。处理器需集成整型计算单元、浮点计算单元、内存控制器、I/O 模块等，处理器与存储部件、网络部件、I/O部件等组成计算系统，提供数据处理、网络接入等计算相关功能</w:t>
            </w:r>
            <w:r>
              <w:rPr>
                <w:i/>
                <w:iCs/>
                <w:highlight w:val="white"/>
              </w:rPr>
            </w:r>
            <w:r/>
          </w:p>
        </w:tc>
      </w:tr>
      <w:tr>
        <w:trPr/>
        <w:tc>
          <w:tcPr>
            <w:tcW w:w="1719" w:type="dxa"/>
            <w:vAlign w:val="center"/>
            <w:textDirection w:val="lrTb"/>
            <w:noWrap w:val="false"/>
          </w:tcPr>
          <w:p>
            <w:pPr>
              <w:pStyle w:val="895"/>
              <w:jc w:val="center"/>
              <w:rPr>
                <w:rFonts w:ascii="宋体" w:hAnsi="宋体"/>
                <w:bCs w:val="0"/>
                <w:i/>
                <w:iCs/>
                <w:color w:val="000000"/>
                <w:highlight w:val="white"/>
                <w:u w:val="single"/>
              </w:rPr>
            </w:pPr>
            <w:r>
              <w:rPr>
                <w:rFonts w:hint="eastAsia" w:ascii="宋体" w:hAnsi="宋体"/>
                <w:i/>
                <w:iCs/>
                <w:color w:val="000000"/>
                <w:highlight w:val="white"/>
                <w:u w:val="single"/>
              </w:rPr>
              <w:t xml:space="preserve">密码算法实现</w:t>
            </w:r>
            <w:r>
              <w:rPr>
                <w:i/>
                <w:iCs/>
                <w:highlight w:val="white"/>
              </w:rPr>
            </w:r>
            <w:r/>
          </w:p>
        </w:tc>
        <w:tc>
          <w:tcPr>
            <w:tcW w:w="6803" w:type="dxa"/>
            <w:vAlign w:val="center"/>
            <w:textDirection w:val="lrTb"/>
            <w:noWrap w:val="false"/>
          </w:tcPr>
          <w:p>
            <w:pPr>
              <w:pStyle w:val="895"/>
              <w:rPr>
                <w:rFonts w:ascii="宋体" w:hAnsi="宋体"/>
                <w:bCs w:val="0"/>
                <w:i/>
                <w:iCs/>
                <w:color w:val="000000"/>
                <w:highlight w:val="white"/>
                <w:u w:val="single"/>
              </w:rPr>
            </w:pPr>
            <w:r>
              <w:rPr>
                <w:rFonts w:hint="eastAsia" w:ascii="宋体" w:hAnsi="宋体"/>
                <w:i/>
                <w:iCs/>
                <w:color w:val="000000"/>
                <w:highlight w:val="white"/>
                <w:u w:val="single"/>
              </w:rPr>
              <w:t xml:space="preserve">CPU 芯片应符合 GM/T 0008 的相关规定，或芯片密码模块应符合 GB/T37092 或 GM/T 0028 的相关规定</w:t>
            </w:r>
            <w:r>
              <w:rPr>
                <w:i/>
                <w:iCs/>
                <w:highlight w:val="white"/>
              </w:rPr>
            </w:r>
            <w:r/>
          </w:p>
        </w:tc>
      </w:tr>
      <w:tr>
        <w:trPr/>
        <w:tc>
          <w:tcPr>
            <w:tcW w:w="1719" w:type="dxa"/>
            <w:vAlign w:val="center"/>
            <w:textDirection w:val="lrTb"/>
            <w:noWrap w:val="false"/>
          </w:tcPr>
          <w:p>
            <w:pPr>
              <w:pStyle w:val="895"/>
              <w:jc w:val="center"/>
              <w:rPr>
                <w:rFonts w:ascii="宋体" w:hAnsi="宋体"/>
                <w:bCs w:val="0"/>
                <w:i/>
                <w:iCs/>
                <w:color w:val="000000"/>
                <w:highlight w:val="white"/>
                <w:u w:val="single"/>
              </w:rPr>
            </w:pPr>
            <w:r>
              <w:rPr>
                <w:rFonts w:hint="eastAsia" w:ascii="宋体" w:hAnsi="宋体"/>
                <w:i/>
                <w:iCs/>
                <w:color w:val="000000"/>
                <w:highlight w:val="white"/>
                <w:u w:val="single"/>
              </w:rPr>
              <w:t xml:space="preserve">电源热插拔</w:t>
            </w:r>
            <w:r>
              <w:rPr>
                <w:i/>
                <w:iCs/>
                <w:highlight w:val="white"/>
              </w:rPr>
            </w:r>
            <w:r/>
          </w:p>
        </w:tc>
        <w:tc>
          <w:tcPr>
            <w:tcW w:w="6803" w:type="dxa"/>
            <w:vAlign w:val="center"/>
            <w:textDirection w:val="lrTb"/>
            <w:noWrap w:val="false"/>
          </w:tcPr>
          <w:p>
            <w:pPr>
              <w:pStyle w:val="895"/>
              <w:rPr>
                <w:rFonts w:ascii="宋体" w:hAnsi="宋体"/>
                <w:bCs w:val="0"/>
                <w:i/>
                <w:iCs/>
                <w:color w:val="000000"/>
                <w:highlight w:val="white"/>
                <w:u w:val="single"/>
              </w:rPr>
            </w:pPr>
            <w:r>
              <w:rPr>
                <w:rFonts w:hint="eastAsia" w:ascii="宋体" w:hAnsi="宋体"/>
                <w:i/>
                <w:iCs/>
                <w:color w:val="000000"/>
                <w:highlight w:val="white"/>
                <w:u w:val="single"/>
              </w:rPr>
              <w:t xml:space="preserve">整机电源模块应具备热插拔功能</w:t>
            </w:r>
            <w:r>
              <w:rPr>
                <w:i/>
                <w:iCs/>
                <w:highlight w:val="white"/>
              </w:rPr>
            </w:r>
            <w:r/>
          </w:p>
        </w:tc>
      </w:tr>
      <w:tr>
        <w:trPr/>
        <w:tc>
          <w:tcPr>
            <w:tcW w:w="1719" w:type="dxa"/>
            <w:vAlign w:val="center"/>
            <w:textDirection w:val="lrTb"/>
            <w:noWrap w:val="false"/>
          </w:tcPr>
          <w:p>
            <w:pPr>
              <w:pStyle w:val="895"/>
              <w:jc w:val="center"/>
              <w:rPr>
                <w:rFonts w:ascii="宋体" w:hAnsi="宋体"/>
                <w:bCs w:val="0"/>
                <w:i/>
                <w:iCs/>
                <w:color w:val="000000"/>
                <w:highlight w:val="white"/>
                <w:u w:val="single"/>
              </w:rPr>
            </w:pPr>
            <w:r>
              <w:rPr>
                <w:rFonts w:hint="eastAsia" w:ascii="宋体" w:hAnsi="宋体"/>
                <w:i/>
                <w:iCs/>
                <w:color w:val="000000"/>
                <w:highlight w:val="white"/>
                <w:u w:val="single"/>
              </w:rPr>
              <w:t xml:space="preserve">电源过流保护</w:t>
            </w:r>
            <w:r>
              <w:rPr>
                <w:i/>
                <w:iCs/>
                <w:highlight w:val="white"/>
              </w:rPr>
            </w:r>
            <w:r/>
          </w:p>
        </w:tc>
        <w:tc>
          <w:tcPr>
            <w:tcW w:w="6803" w:type="dxa"/>
            <w:vAlign w:val="center"/>
            <w:textDirection w:val="lrTb"/>
            <w:noWrap w:val="false"/>
          </w:tcPr>
          <w:p>
            <w:pPr>
              <w:pStyle w:val="895"/>
              <w:rPr>
                <w:rFonts w:ascii="宋体" w:hAnsi="宋体"/>
                <w:bCs w:val="0"/>
                <w:i/>
                <w:iCs/>
                <w:color w:val="000000"/>
                <w:highlight w:val="white"/>
                <w:u w:val="single"/>
              </w:rPr>
            </w:pPr>
            <w:r>
              <w:rPr>
                <w:rFonts w:hint="eastAsia" w:ascii="宋体" w:hAnsi="宋体"/>
                <w:i/>
                <w:iCs/>
                <w:color w:val="000000"/>
                <w:highlight w:val="white"/>
                <w:u w:val="single"/>
              </w:rPr>
              <w:t xml:space="preserve">支持过流及短路保护的功能</w:t>
            </w:r>
            <w:r>
              <w:rPr>
                <w:i/>
                <w:iCs/>
                <w:highlight w:val="white"/>
              </w:rPr>
            </w:r>
            <w:r/>
          </w:p>
        </w:tc>
      </w:tr>
      <w:tr>
        <w:trPr/>
        <w:tc>
          <w:tcPr>
            <w:tcW w:w="1719" w:type="dxa"/>
            <w:vAlign w:val="center"/>
            <w:textDirection w:val="lrTb"/>
            <w:noWrap w:val="false"/>
          </w:tcPr>
          <w:p>
            <w:pPr>
              <w:pStyle w:val="895"/>
              <w:jc w:val="center"/>
              <w:rPr>
                <w:rFonts w:ascii="宋体" w:hAnsi="宋体"/>
                <w:bCs w:val="0"/>
                <w:i/>
                <w:iCs/>
                <w:color w:val="000000"/>
                <w:highlight w:val="white"/>
                <w:u w:val="single"/>
              </w:rPr>
            </w:pPr>
            <w:r>
              <w:rPr>
                <w:rFonts w:hint="eastAsia" w:ascii="宋体" w:hAnsi="宋体"/>
                <w:i/>
                <w:iCs/>
                <w:color w:val="000000"/>
                <w:highlight w:val="white"/>
                <w:u w:val="single"/>
              </w:rPr>
              <w:t xml:space="preserve">散热方式</w:t>
            </w:r>
            <w:r>
              <w:rPr>
                <w:i/>
                <w:iCs/>
                <w:highlight w:val="white"/>
              </w:rPr>
            </w:r>
            <w:r/>
          </w:p>
        </w:tc>
        <w:tc>
          <w:tcPr>
            <w:tcW w:w="6803" w:type="dxa"/>
            <w:vAlign w:val="center"/>
            <w:textDirection w:val="lrTb"/>
            <w:noWrap w:val="false"/>
          </w:tcPr>
          <w:p>
            <w:pPr>
              <w:pStyle w:val="895"/>
              <w:rPr>
                <w:rFonts w:ascii="宋体" w:hAnsi="宋体"/>
                <w:bCs w:val="0"/>
                <w:i/>
                <w:iCs/>
                <w:color w:val="000000"/>
                <w:highlight w:val="white"/>
                <w:u w:val="single"/>
              </w:rPr>
            </w:pPr>
            <w:r>
              <w:rPr>
                <w:rFonts w:hint="eastAsia" w:ascii="宋体" w:hAnsi="宋体"/>
                <w:i/>
                <w:iCs/>
                <w:color w:val="000000"/>
                <w:highlight w:val="white"/>
                <w:u w:val="single"/>
              </w:rPr>
              <w:t xml:space="preserve">支持风冷或液冷等散热方式</w:t>
            </w:r>
            <w:r>
              <w:rPr>
                <w:i/>
                <w:iCs/>
                <w:highlight w:val="white"/>
              </w:rPr>
            </w:r>
            <w:r/>
          </w:p>
        </w:tc>
      </w:tr>
      <w:tr>
        <w:trPr/>
        <w:tc>
          <w:tcPr>
            <w:tcW w:w="1719" w:type="dxa"/>
            <w:vAlign w:val="center"/>
            <w:textDirection w:val="lrTb"/>
            <w:noWrap w:val="false"/>
          </w:tcPr>
          <w:p>
            <w:pPr>
              <w:pStyle w:val="895"/>
              <w:jc w:val="center"/>
              <w:rPr>
                <w:rFonts w:ascii="宋体" w:hAnsi="宋体"/>
                <w:bCs w:val="0"/>
                <w:i/>
                <w:iCs/>
                <w:color w:val="000000"/>
                <w:highlight w:val="white"/>
                <w:u w:val="single"/>
              </w:rPr>
            </w:pPr>
            <w:r>
              <w:rPr>
                <w:rFonts w:hint="eastAsia" w:ascii="宋体" w:hAnsi="宋体"/>
                <w:i/>
                <w:iCs/>
                <w:color w:val="000000"/>
                <w:highlight w:val="white"/>
                <w:u w:val="single"/>
              </w:rPr>
              <w:t xml:space="preserve">BMC 固件基础功能</w:t>
            </w:r>
            <w:r>
              <w:rPr>
                <w:i/>
                <w:iCs/>
                <w:highlight w:val="white"/>
              </w:rPr>
            </w:r>
            <w:r/>
          </w:p>
        </w:tc>
        <w:tc>
          <w:tcPr>
            <w:tcW w:w="6803" w:type="dxa"/>
            <w:vAlign w:val="center"/>
            <w:textDirection w:val="lrTb"/>
            <w:noWrap w:val="false"/>
          </w:tcPr>
          <w:p>
            <w:pPr>
              <w:pStyle w:val="895"/>
              <w:rPr>
                <w:rFonts w:ascii="宋体" w:hAnsi="宋体"/>
                <w:bCs w:val="0"/>
                <w:i/>
                <w:iCs/>
                <w:color w:val="000000"/>
                <w:highlight w:val="white"/>
                <w:u w:val="single"/>
              </w:rPr>
            </w:pPr>
            <w:r>
              <w:rPr>
                <w:rFonts w:hint="eastAsia" w:ascii="宋体" w:hAnsi="宋体"/>
                <w:i/>
                <w:iCs/>
                <w:color w:val="000000"/>
                <w:highlight w:val="white"/>
                <w:u w:val="single"/>
              </w:rPr>
              <w:t xml:space="preserve">1) 支持 DHCP 设置网络功能；2)支持静态 IP 设置网络功能；3)支持设备日志记录，包括但不限于登录日志、操作日志和报警日志等功能；4)支持日志信息导出和记录删除功能；5)支持通过管理接口向外输出准确的报警信息功能；6)设备的 BMC 管理软件应能够按报警的严重程度进行区分；7)支持 IPMI2.0、SNMP 或 Redfish等接口功能；8)支持键盘、鼠标和视</w:t>
            </w:r>
            <w:r>
              <w:rPr>
                <w:rFonts w:hint="eastAsia" w:ascii="宋体" w:hAnsi="宋体"/>
                <w:i/>
                <w:iCs/>
                <w:color w:val="000000"/>
                <w:highlight w:val="white"/>
                <w:u w:val="single"/>
              </w:rPr>
              <w:t xml:space="preserve">频的重定向、文本控制台的重定向、远程虚拟媒体、高可靠的硬件监控和管理功能；9)支持基于网络开启、关闭和重启设备的功能，并查询当前设备开机运行状态；10)支持故障提示功能，并可通过接口读取服务器故障信息；11)支持基于网络的固件更新功能，包括 BMC 和 BIOS 等；12)支持基于网络安装操作系统的功能，并可通过网络控制台访问设备；13)支持通过本地的硬盘或光驱等存储设备，基于网络完成设备的操作系统安装功能；14)支持通过浏览器打开管理界面并登录功能；15)支持设置口令策略功能；16)支持访问权限设置功能，</w:t>
            </w:r>
            <w:r>
              <w:rPr>
                <w:rFonts w:hint="eastAsia" w:ascii="宋体" w:hAnsi="宋体"/>
                <w:i/>
                <w:iCs/>
                <w:color w:val="000000"/>
                <w:highlight w:val="white"/>
                <w:u w:val="single"/>
              </w:rPr>
              <w:t xml:space="preserve">并通过日志记录访问事件；17)支持对出厂默认的用户名及口令进行安全保护功能，并提供默认口令修改提示；18)支持读取设备主板的工作环境温度功能；19)支持读取服务器 CPU 等核心器件的温度功能；20)支持通过外部管理工具进行 BMC参数设置的功能，并可基于网络通过外部管理工具对 BMC 进行管理；21)应支持固件版本查询、固件升级22)支持基于网络实现开关机和复位控制的功能；23)BMC 启动时间应不超过 180s，实现功能包括网络、IPMI、散热、传感器服务可用；24)支持 BMC 固件设置的恢复出厂功能</w:t>
            </w:r>
            <w:r>
              <w:rPr>
                <w:i/>
                <w:iCs/>
                <w:highlight w:val="white"/>
              </w:rPr>
            </w:r>
            <w:r/>
          </w:p>
        </w:tc>
      </w:tr>
      <w:tr>
        <w:trPr/>
        <w:tc>
          <w:tcPr>
            <w:tcW w:w="1719" w:type="dxa"/>
            <w:vAlign w:val="center"/>
            <w:textDirection w:val="lrTb"/>
            <w:noWrap w:val="false"/>
          </w:tcPr>
          <w:p>
            <w:pPr>
              <w:pStyle w:val="895"/>
              <w:jc w:val="center"/>
              <w:rPr>
                <w:rFonts w:ascii="宋体" w:hAnsi="宋体"/>
                <w:bCs w:val="0"/>
                <w:i/>
                <w:iCs/>
                <w:color w:val="000000"/>
                <w:highlight w:val="white"/>
                <w:u w:val="single"/>
              </w:rPr>
            </w:pPr>
            <w:r>
              <w:rPr>
                <w:rFonts w:hint="eastAsia" w:ascii="宋体" w:hAnsi="宋体"/>
                <w:i/>
                <w:iCs/>
                <w:color w:val="000000"/>
                <w:highlight w:val="white"/>
                <w:u w:val="single"/>
              </w:rPr>
              <w:t xml:space="preserve">BIOS 固件基础功能</w:t>
            </w:r>
            <w:r>
              <w:rPr>
                <w:i/>
                <w:iCs/>
                <w:highlight w:val="white"/>
              </w:rPr>
            </w:r>
            <w:r/>
          </w:p>
        </w:tc>
        <w:tc>
          <w:tcPr>
            <w:tcW w:w="6803" w:type="dxa"/>
            <w:vAlign w:val="center"/>
            <w:textDirection w:val="lrTb"/>
            <w:noWrap w:val="false"/>
          </w:tcPr>
          <w:p>
            <w:pPr>
              <w:pStyle w:val="895"/>
              <w:rPr>
                <w:rFonts w:ascii="宋体" w:hAnsi="宋体"/>
                <w:bCs w:val="0"/>
                <w:i/>
                <w:iCs/>
                <w:color w:val="000000"/>
                <w:highlight w:val="white"/>
                <w:u w:val="single"/>
              </w:rPr>
            </w:pPr>
            <w:r>
              <w:rPr>
                <w:rFonts w:hint="eastAsia" w:ascii="宋体" w:hAnsi="宋体"/>
                <w:i/>
                <w:iCs/>
                <w:color w:val="000000"/>
                <w:highlight w:val="white"/>
                <w:u w:val="single"/>
              </w:rPr>
              <w:t xml:space="preserve">a）支持查看固件版本、内存信息、主板信息、处理器信息和系统时间信息功能；b）支持上电初始化界面显示 CPU 信息、内存信息、固件</w:t>
            </w:r>
            <w:r>
              <w:rPr>
                <w:rFonts w:hint="eastAsia" w:ascii="宋体" w:hAnsi="宋体"/>
                <w:i/>
                <w:iCs/>
                <w:color w:val="000000"/>
                <w:highlight w:val="white"/>
                <w:u w:val="single"/>
              </w:rPr>
              <w:t xml:space="preserve">版本和部分快捷键信息功能；c）支持设置界面中英文显示切换功能；d）支持查看 PCIe 设备信息，SATA设备信息功能；e）支持操作系统安装和引导功能，应并向操作系统提供计算机主板信息和服务接口；f）支持设置启动顺序，并按照设置的启动顺序启动功能；g）支持安全启动功能；h）支持设置口令、修改口令、验证口令功能；i）支持板载显示控制或独立显卡的显示控制功能；j）支持 RAID 识别和启动功能；k）支持串口重定向功能；l）支持固件更新功能；m）支持 BIOS 固件设置的恢复出厂功能；n）支持网络引导启用和关闭功能</w:t>
            </w:r>
            <w:r>
              <w:rPr>
                <w:i/>
                <w:iCs/>
                <w:highlight w:val="white"/>
              </w:rPr>
            </w:r>
            <w:r/>
          </w:p>
        </w:tc>
      </w:tr>
      <w:tr>
        <w:trPr/>
        <w:tc>
          <w:tcPr>
            <w:tcW w:w="1719" w:type="dxa"/>
            <w:vAlign w:val="center"/>
            <w:textDirection w:val="lrTb"/>
            <w:noWrap w:val="false"/>
          </w:tcPr>
          <w:p>
            <w:pPr>
              <w:pStyle w:val="895"/>
              <w:jc w:val="center"/>
              <w:rPr>
                <w:rFonts w:ascii="宋体" w:hAnsi="宋体"/>
                <w:bCs w:val="0"/>
                <w:i/>
                <w:iCs/>
                <w:color w:val="000000"/>
                <w:highlight w:val="white"/>
                <w:u w:val="single"/>
              </w:rPr>
            </w:pPr>
            <w:r>
              <w:rPr>
                <w:rFonts w:hint="eastAsia" w:ascii="宋体" w:hAnsi="宋体"/>
                <w:i/>
                <w:iCs/>
                <w:color w:val="000000"/>
                <w:highlight w:val="white"/>
                <w:u w:val="single"/>
              </w:rPr>
              <w:t xml:space="preserve">远程控制</w:t>
            </w:r>
            <w:r>
              <w:rPr>
                <w:i/>
                <w:iCs/>
                <w:highlight w:val="white"/>
              </w:rPr>
            </w:r>
            <w:r/>
          </w:p>
        </w:tc>
        <w:tc>
          <w:tcPr>
            <w:tcW w:w="6803" w:type="dxa"/>
            <w:vAlign w:val="center"/>
            <w:textDirection w:val="lrTb"/>
            <w:noWrap w:val="false"/>
          </w:tcPr>
          <w:p>
            <w:pPr>
              <w:pStyle w:val="895"/>
              <w:rPr>
                <w:rFonts w:ascii="宋体" w:hAnsi="宋体"/>
                <w:bCs w:val="0"/>
                <w:i/>
                <w:iCs/>
                <w:color w:val="000000"/>
                <w:highlight w:val="white"/>
                <w:u w:val="single"/>
              </w:rPr>
            </w:pPr>
            <w:r>
              <w:rPr>
                <w:rFonts w:hint="eastAsia" w:ascii="宋体" w:hAnsi="宋体"/>
                <w:i/>
                <w:iCs/>
                <w:color w:val="000000"/>
                <w:highlight w:val="white"/>
                <w:u w:val="single"/>
              </w:rPr>
              <w:t xml:space="preserve">支持远程关机和重新启动功能</w:t>
            </w:r>
            <w:r>
              <w:rPr>
                <w:i/>
                <w:iCs/>
                <w:highlight w:val="white"/>
              </w:rPr>
            </w:r>
            <w:r/>
          </w:p>
        </w:tc>
      </w:tr>
      <w:tr>
        <w:trPr/>
        <w:tc>
          <w:tcPr>
            <w:tcW w:w="1719" w:type="dxa"/>
            <w:vAlign w:val="center"/>
            <w:textDirection w:val="lrTb"/>
            <w:noWrap w:val="false"/>
          </w:tcPr>
          <w:p>
            <w:pPr>
              <w:pStyle w:val="895"/>
              <w:jc w:val="center"/>
              <w:rPr>
                <w:rFonts w:ascii="宋体" w:hAnsi="宋体"/>
                <w:bCs w:val="0"/>
                <w:i/>
                <w:iCs/>
                <w:color w:val="000000"/>
                <w:highlight w:val="white"/>
                <w:u w:val="single"/>
              </w:rPr>
            </w:pPr>
            <w:r>
              <w:rPr>
                <w:rFonts w:hint="eastAsia" w:ascii="宋体" w:hAnsi="宋体"/>
                <w:i/>
                <w:iCs/>
                <w:color w:val="000000"/>
                <w:highlight w:val="white"/>
                <w:u w:val="single"/>
              </w:rPr>
              <w:t xml:space="preserve">操作系统及驱动的升级</w:t>
            </w:r>
            <w:r>
              <w:rPr>
                <w:i/>
                <w:iCs/>
                <w:highlight w:val="white"/>
              </w:rPr>
            </w:r>
            <w:r/>
          </w:p>
        </w:tc>
        <w:tc>
          <w:tcPr>
            <w:tcW w:w="6803" w:type="dxa"/>
            <w:vAlign w:val="center"/>
            <w:textDirection w:val="lrTb"/>
            <w:noWrap w:val="false"/>
          </w:tcPr>
          <w:p>
            <w:pPr>
              <w:pStyle w:val="895"/>
              <w:rPr>
                <w:rFonts w:ascii="宋体" w:hAnsi="宋体"/>
                <w:bCs w:val="0"/>
                <w:i/>
                <w:iCs/>
                <w:color w:val="000000"/>
                <w:highlight w:val="white"/>
                <w:u w:val="single"/>
              </w:rPr>
            </w:pPr>
            <w:r>
              <w:rPr>
                <w:rFonts w:hint="eastAsia" w:ascii="宋体" w:hAnsi="宋体"/>
                <w:i/>
                <w:iCs/>
                <w:color w:val="000000"/>
                <w:highlight w:val="white"/>
                <w:u w:val="single"/>
              </w:rPr>
              <w:t xml:space="preserve">支持通过网络、闪存盘对操作系统、驱动进行升级</w:t>
            </w:r>
            <w:r>
              <w:rPr>
                <w:i/>
                <w:iCs/>
                <w:highlight w:val="white"/>
              </w:rPr>
            </w:r>
            <w:r/>
          </w:p>
        </w:tc>
      </w:tr>
      <w:tr>
        <w:trPr/>
        <w:tc>
          <w:tcPr>
            <w:tcW w:w="1719" w:type="dxa"/>
            <w:vAlign w:val="center"/>
            <w:textDirection w:val="lrTb"/>
            <w:noWrap w:val="false"/>
          </w:tcPr>
          <w:p>
            <w:pPr>
              <w:pStyle w:val="895"/>
              <w:jc w:val="center"/>
              <w:rPr>
                <w:rFonts w:ascii="宋体" w:hAnsi="宋体"/>
                <w:bCs w:val="0"/>
                <w:i/>
                <w:iCs/>
                <w:color w:val="000000"/>
                <w:highlight w:val="white"/>
                <w:u w:val="single"/>
              </w:rPr>
            </w:pPr>
            <w:r>
              <w:rPr>
                <w:rFonts w:hint="eastAsia" w:ascii="宋体" w:hAnsi="宋体"/>
                <w:i/>
                <w:iCs/>
                <w:color w:val="000000"/>
                <w:highlight w:val="white"/>
                <w:u w:val="single"/>
              </w:rPr>
              <w:t xml:space="preserve">操作系统功能</w:t>
            </w:r>
            <w:r>
              <w:rPr>
                <w:i/>
                <w:iCs/>
                <w:highlight w:val="white"/>
              </w:rPr>
            </w:r>
            <w:r/>
          </w:p>
        </w:tc>
        <w:tc>
          <w:tcPr>
            <w:tcW w:w="6803" w:type="dxa"/>
            <w:vAlign w:val="center"/>
            <w:textDirection w:val="lrTb"/>
            <w:noWrap w:val="false"/>
          </w:tcPr>
          <w:p>
            <w:pPr>
              <w:pStyle w:val="895"/>
              <w:rPr>
                <w:rFonts w:ascii="宋体" w:hAnsi="宋体"/>
                <w:bCs w:val="0"/>
                <w:i/>
                <w:iCs/>
                <w:color w:val="000000"/>
                <w:highlight w:val="white"/>
                <w:u w:val="single"/>
              </w:rPr>
            </w:pPr>
            <w:r>
              <w:rPr>
                <w:rFonts w:ascii="宋体" w:hAnsi="宋体"/>
                <w:i/>
                <w:iCs/>
                <w:color w:val="000000"/>
                <w:highlight w:val="white"/>
                <w:u w:val="single"/>
              </w:rPr>
              <w:t xml:space="preserve">a) </w:t>
            </w:r>
            <w:r>
              <w:rPr>
                <w:rFonts w:hint="eastAsia" w:ascii="宋体" w:hAnsi="宋体"/>
                <w:i/>
                <w:iCs/>
                <w:color w:val="000000"/>
                <w:highlight w:val="white"/>
                <w:u w:val="single"/>
              </w:rPr>
              <w:t xml:space="preserve">支持访问控制、安全审计、网络接入鉴别等功能；</w:t>
            </w:r>
            <w:r>
              <w:rPr>
                <w:rFonts w:ascii="宋体" w:hAnsi="宋体"/>
                <w:i/>
                <w:iCs/>
                <w:color w:val="000000"/>
                <w:highlight w:val="white"/>
                <w:u w:val="single"/>
              </w:rPr>
              <w:t xml:space="preserve">b) </w:t>
            </w:r>
            <w:r>
              <w:rPr>
                <w:rFonts w:hint="eastAsia" w:ascii="宋体" w:hAnsi="宋体"/>
                <w:i/>
                <w:iCs/>
                <w:color w:val="000000"/>
                <w:highlight w:val="white"/>
                <w:u w:val="single"/>
              </w:rPr>
              <w:t xml:space="preserve">操作系统其他功能应满足操作系统政府采购需求标准中加</w:t>
            </w:r>
            <w:r>
              <w:rPr>
                <w:rFonts w:ascii="宋体" w:hAnsi="宋体"/>
                <w:i/>
                <w:iCs/>
                <w:color w:val="000000"/>
                <w:highlight w:val="white"/>
                <w:u w:val="single"/>
              </w:rPr>
              <w:t xml:space="preserve">*</w:t>
            </w:r>
            <w:r>
              <w:rPr>
                <w:rFonts w:hint="eastAsia" w:ascii="宋体" w:hAnsi="宋体"/>
                <w:i/>
                <w:iCs/>
                <w:color w:val="000000"/>
                <w:highlight w:val="white"/>
                <w:u w:val="single"/>
              </w:rPr>
              <w:t xml:space="preserve">的指标要求</w:t>
            </w:r>
            <w:r>
              <w:rPr>
                <w:i/>
                <w:iCs/>
                <w:highlight w:val="white"/>
              </w:rPr>
            </w:r>
            <w:r/>
          </w:p>
        </w:tc>
      </w:tr>
      <w:tr>
        <w:trPr/>
        <w:tc>
          <w:tcPr>
            <w:tcW w:w="1719" w:type="dxa"/>
            <w:vAlign w:val="center"/>
            <w:textDirection w:val="lrTb"/>
            <w:noWrap w:val="false"/>
          </w:tcPr>
          <w:p>
            <w:pPr>
              <w:pStyle w:val="895"/>
              <w:jc w:val="center"/>
              <w:rPr>
                <w:rFonts w:ascii="宋体" w:hAnsi="宋体"/>
                <w:bCs w:val="0"/>
                <w:i/>
                <w:iCs/>
                <w:color w:val="000000"/>
                <w:highlight w:val="white"/>
                <w:u w:val="single"/>
              </w:rPr>
            </w:pPr>
            <w:r>
              <w:rPr>
                <w:rFonts w:hint="eastAsia" w:ascii="宋体" w:hAnsi="宋体"/>
                <w:i/>
                <w:iCs/>
                <w:color w:val="000000"/>
                <w:highlight w:val="white"/>
                <w:u w:val="single"/>
              </w:rPr>
              <w:t xml:space="preserve">中文信息处理</w:t>
            </w:r>
            <w:r>
              <w:rPr>
                <w:i/>
                <w:iCs/>
                <w:highlight w:val="white"/>
              </w:rPr>
            </w:r>
            <w:r/>
          </w:p>
        </w:tc>
        <w:tc>
          <w:tcPr>
            <w:tcW w:w="6803" w:type="dxa"/>
            <w:vAlign w:val="center"/>
            <w:textDirection w:val="lrTb"/>
            <w:noWrap w:val="false"/>
          </w:tcPr>
          <w:p>
            <w:pPr>
              <w:pStyle w:val="895"/>
              <w:rPr>
                <w:rFonts w:ascii="宋体" w:hAnsi="宋体"/>
                <w:bCs w:val="0"/>
                <w:i/>
                <w:iCs/>
                <w:color w:val="000000"/>
                <w:highlight w:val="white"/>
                <w:u w:val="single"/>
              </w:rPr>
            </w:pPr>
            <w:r>
              <w:rPr>
                <w:rFonts w:hint="eastAsia" w:ascii="宋体" w:hAnsi="宋体"/>
                <w:i/>
                <w:iCs/>
                <w:color w:val="000000"/>
                <w:highlight w:val="white"/>
                <w:u w:val="single"/>
              </w:rPr>
              <w:t xml:space="preserve">符合 GB 18030 的有关规定</w:t>
            </w:r>
            <w:r>
              <w:rPr>
                <w:i/>
                <w:iCs/>
                <w:highlight w:val="white"/>
              </w:rPr>
            </w:r>
            <w:r/>
          </w:p>
        </w:tc>
      </w:tr>
      <w:tr>
        <w:trPr/>
        <w:tc>
          <w:tcPr>
            <w:tcW w:w="1719" w:type="dxa"/>
            <w:vAlign w:val="center"/>
            <w:textDirection w:val="lrTb"/>
            <w:noWrap w:val="false"/>
          </w:tcPr>
          <w:p>
            <w:pPr>
              <w:pStyle w:val="895"/>
              <w:jc w:val="center"/>
              <w:rPr>
                <w:rFonts w:ascii="宋体" w:hAnsi="宋体"/>
                <w:bCs w:val="0"/>
                <w:i/>
                <w:iCs/>
                <w:color w:val="000000"/>
                <w:highlight w:val="white"/>
                <w:u w:val="single"/>
              </w:rPr>
            </w:pPr>
            <w:r>
              <w:rPr>
                <w:rFonts w:hint="eastAsia" w:ascii="宋体" w:hAnsi="宋体"/>
                <w:i/>
                <w:iCs/>
                <w:color w:val="000000"/>
                <w:highlight w:val="white"/>
                <w:u w:val="single"/>
              </w:rPr>
              <w:t xml:space="preserve">故障检测</w:t>
            </w:r>
            <w:r>
              <w:rPr>
                <w:i/>
                <w:iCs/>
                <w:highlight w:val="white"/>
              </w:rPr>
            </w:r>
            <w:r/>
          </w:p>
        </w:tc>
        <w:tc>
          <w:tcPr>
            <w:tcW w:w="6803" w:type="dxa"/>
            <w:vAlign w:val="center"/>
            <w:textDirection w:val="lrTb"/>
            <w:noWrap w:val="false"/>
          </w:tcPr>
          <w:p>
            <w:pPr>
              <w:pStyle w:val="895"/>
              <w:rPr>
                <w:rFonts w:ascii="宋体" w:hAnsi="宋体"/>
                <w:bCs w:val="0"/>
                <w:i/>
                <w:iCs/>
                <w:color w:val="000000"/>
                <w:highlight w:val="white"/>
                <w:u w:val="single"/>
              </w:rPr>
            </w:pPr>
            <w:r>
              <w:rPr>
                <w:rFonts w:hint="eastAsia" w:ascii="宋体" w:hAnsi="宋体"/>
                <w:i/>
                <w:iCs/>
                <w:color w:val="000000"/>
                <w:highlight w:val="white"/>
                <w:u w:val="single"/>
              </w:rPr>
              <w:t xml:space="preserve">支持故障检测功能，可以检测到具体的 FRU（内存、硬盘等）的故障并发出告警</w:t>
            </w:r>
            <w:r>
              <w:rPr>
                <w:i/>
                <w:iCs/>
                <w:highlight w:val="white"/>
              </w:rPr>
            </w:r>
            <w:r/>
          </w:p>
        </w:tc>
      </w:tr>
      <w:tr>
        <w:trPr/>
        <w:tc>
          <w:tcPr>
            <w:tcW w:w="1719" w:type="dxa"/>
            <w:vAlign w:val="center"/>
            <w:textDirection w:val="lrTb"/>
            <w:noWrap w:val="false"/>
          </w:tcPr>
          <w:p>
            <w:pPr>
              <w:pStyle w:val="895"/>
              <w:jc w:val="center"/>
              <w:rPr>
                <w:rFonts w:ascii="宋体" w:hAnsi="宋体"/>
                <w:bCs w:val="0"/>
                <w:i/>
                <w:iCs/>
                <w:color w:val="000000"/>
                <w:highlight w:val="white"/>
                <w:u w:val="single"/>
              </w:rPr>
            </w:pPr>
            <w:r>
              <w:rPr>
                <w:rFonts w:hint="eastAsia" w:ascii="宋体" w:hAnsi="宋体"/>
                <w:i/>
                <w:iCs/>
                <w:color w:val="000000"/>
                <w:highlight w:val="white"/>
                <w:u w:val="single"/>
              </w:rPr>
              <w:t xml:space="preserve">弱口令字典检查</w:t>
            </w:r>
            <w:r>
              <w:rPr>
                <w:i/>
                <w:iCs/>
                <w:highlight w:val="white"/>
              </w:rPr>
            </w:r>
            <w:r/>
          </w:p>
        </w:tc>
        <w:tc>
          <w:tcPr>
            <w:tcW w:w="6803" w:type="dxa"/>
            <w:vAlign w:val="center"/>
            <w:textDirection w:val="lrTb"/>
            <w:noWrap w:val="false"/>
          </w:tcPr>
          <w:p>
            <w:pPr>
              <w:pStyle w:val="895"/>
              <w:rPr>
                <w:rFonts w:ascii="宋体" w:hAnsi="宋体"/>
                <w:bCs w:val="0"/>
                <w:i/>
                <w:iCs/>
                <w:color w:val="000000"/>
                <w:highlight w:val="white"/>
                <w:u w:val="single"/>
              </w:rPr>
            </w:pPr>
            <w:r>
              <w:rPr>
                <w:rFonts w:hint="eastAsia" w:ascii="宋体" w:hAnsi="宋体"/>
                <w:i/>
                <w:iCs/>
                <w:color w:val="000000"/>
                <w:highlight w:val="white"/>
                <w:u w:val="single"/>
              </w:rPr>
              <w:t xml:space="preserve">支持弱口令字典检查功能，出现在弱口令字典中的字符串不能被设置为用户口令</w:t>
            </w:r>
            <w:r>
              <w:rPr>
                <w:i/>
                <w:iCs/>
                <w:highlight w:val="white"/>
              </w:rPr>
            </w:r>
            <w:r/>
          </w:p>
        </w:tc>
      </w:tr>
      <w:tr>
        <w:trPr/>
        <w:tc>
          <w:tcPr>
            <w:tcW w:w="1719" w:type="dxa"/>
            <w:vAlign w:val="center"/>
            <w:textDirection w:val="lrTb"/>
            <w:noWrap w:val="false"/>
          </w:tcPr>
          <w:p>
            <w:pPr>
              <w:pStyle w:val="895"/>
              <w:jc w:val="center"/>
              <w:rPr>
                <w:rFonts w:ascii="宋体" w:hAnsi="宋体"/>
                <w:bCs w:val="0"/>
                <w:i/>
                <w:iCs/>
                <w:color w:val="000000"/>
                <w:highlight w:val="white"/>
                <w:u w:val="single"/>
              </w:rPr>
            </w:pPr>
            <w:r>
              <w:rPr>
                <w:rFonts w:hint="eastAsia" w:ascii="宋体" w:hAnsi="宋体"/>
                <w:i/>
                <w:iCs/>
                <w:color w:val="000000"/>
                <w:highlight w:val="white"/>
                <w:u w:val="single"/>
              </w:rPr>
              <w:t xml:space="preserve">白名单访问控制</w:t>
            </w:r>
            <w:r>
              <w:rPr>
                <w:i/>
                <w:iCs/>
                <w:highlight w:val="white"/>
              </w:rPr>
            </w:r>
            <w:r/>
          </w:p>
        </w:tc>
        <w:tc>
          <w:tcPr>
            <w:tcW w:w="6803" w:type="dxa"/>
            <w:vAlign w:val="center"/>
            <w:textDirection w:val="lrTb"/>
            <w:noWrap w:val="false"/>
          </w:tcPr>
          <w:p>
            <w:pPr>
              <w:pStyle w:val="895"/>
              <w:rPr>
                <w:rFonts w:ascii="宋体" w:hAnsi="宋体"/>
                <w:bCs w:val="0"/>
                <w:i/>
                <w:iCs/>
                <w:color w:val="000000"/>
                <w:highlight w:val="white"/>
                <w:u w:val="single"/>
              </w:rPr>
            </w:pPr>
            <w:r>
              <w:rPr>
                <w:rFonts w:hint="eastAsia" w:ascii="宋体" w:hAnsi="宋体"/>
                <w:i/>
                <w:iCs/>
                <w:color w:val="000000"/>
                <w:highlight w:val="white"/>
                <w:u w:val="single"/>
              </w:rPr>
              <w:t xml:space="preserve">支持基于时间、IP 或 MAC 白名单访问控制</w:t>
            </w:r>
            <w:r>
              <w:rPr>
                <w:i/>
                <w:iCs/>
                <w:highlight w:val="white"/>
              </w:rPr>
            </w:r>
            <w:r/>
          </w:p>
        </w:tc>
      </w:tr>
      <w:tr>
        <w:trPr/>
        <w:tc>
          <w:tcPr>
            <w:tcW w:w="1719" w:type="dxa"/>
            <w:vAlign w:val="center"/>
            <w:textDirection w:val="lrTb"/>
            <w:noWrap w:val="false"/>
          </w:tcPr>
          <w:p>
            <w:pPr>
              <w:pStyle w:val="895"/>
              <w:jc w:val="center"/>
              <w:rPr>
                <w:rFonts w:ascii="宋体" w:hAnsi="宋体"/>
                <w:bCs w:val="0"/>
                <w:i/>
                <w:iCs/>
                <w:color w:val="000000"/>
                <w:highlight w:val="white"/>
                <w:u w:val="single"/>
              </w:rPr>
            </w:pPr>
            <w:r>
              <w:rPr>
                <w:rFonts w:hint="eastAsia" w:ascii="宋体" w:hAnsi="宋体"/>
                <w:i/>
                <w:iCs/>
                <w:color w:val="000000"/>
                <w:highlight w:val="white"/>
                <w:u w:val="single"/>
              </w:rPr>
              <w:t xml:space="preserve">二次鉴别</w:t>
            </w:r>
            <w:r>
              <w:rPr>
                <w:i/>
                <w:iCs/>
                <w:highlight w:val="white"/>
              </w:rPr>
            </w:r>
            <w:r/>
          </w:p>
        </w:tc>
        <w:tc>
          <w:tcPr>
            <w:tcW w:w="6803" w:type="dxa"/>
            <w:vAlign w:val="center"/>
            <w:textDirection w:val="lrTb"/>
            <w:noWrap w:val="false"/>
          </w:tcPr>
          <w:p>
            <w:pPr>
              <w:pStyle w:val="895"/>
              <w:rPr>
                <w:rFonts w:ascii="宋体" w:hAnsi="宋体"/>
                <w:bCs w:val="0"/>
                <w:i/>
                <w:iCs/>
                <w:color w:val="000000"/>
                <w:highlight w:val="white"/>
                <w:u w:val="single"/>
              </w:rPr>
            </w:pPr>
            <w:r>
              <w:rPr>
                <w:rFonts w:hint="eastAsia" w:ascii="宋体" w:hAnsi="宋体"/>
                <w:i/>
                <w:iCs/>
                <w:color w:val="000000"/>
                <w:highlight w:val="white"/>
                <w:u w:val="single"/>
              </w:rPr>
              <w:t xml:space="preserve">支持二次鉴别功能。对于用户配置、权限配置、公钥导入等重要的管理操作，已登录用户应通过二次鉴别后，才能执行操作</w:t>
            </w:r>
            <w:r>
              <w:rPr>
                <w:i/>
                <w:iCs/>
                <w:highlight w:val="white"/>
              </w:rPr>
            </w:r>
            <w:r/>
          </w:p>
        </w:tc>
      </w:tr>
      <w:tr>
        <w:trPr/>
        <w:tc>
          <w:tcPr>
            <w:tcW w:w="1719" w:type="dxa"/>
            <w:vAlign w:val="center"/>
            <w:textDirection w:val="lrTb"/>
            <w:noWrap w:val="false"/>
          </w:tcPr>
          <w:p>
            <w:pPr>
              <w:pStyle w:val="895"/>
              <w:jc w:val="center"/>
              <w:rPr>
                <w:rFonts w:ascii="宋体" w:hAnsi="宋体"/>
                <w:bCs w:val="0"/>
                <w:i/>
                <w:iCs/>
                <w:color w:val="000000"/>
                <w:highlight w:val="white"/>
                <w:u w:val="single"/>
              </w:rPr>
            </w:pPr>
            <w:r>
              <w:rPr>
                <w:rFonts w:hint="eastAsia" w:ascii="宋体" w:hAnsi="宋体"/>
                <w:i/>
                <w:iCs/>
                <w:color w:val="000000"/>
                <w:highlight w:val="white"/>
                <w:u w:val="single"/>
              </w:rPr>
              <w:t xml:space="preserve">密码证书安全加密存储</w:t>
            </w:r>
            <w:r>
              <w:rPr>
                <w:i/>
                <w:iCs/>
                <w:highlight w:val="white"/>
              </w:rPr>
            </w:r>
            <w:r/>
          </w:p>
        </w:tc>
        <w:tc>
          <w:tcPr>
            <w:tcW w:w="6803" w:type="dxa"/>
            <w:vAlign w:val="center"/>
            <w:textDirection w:val="lrTb"/>
            <w:noWrap w:val="false"/>
          </w:tcPr>
          <w:p>
            <w:pPr>
              <w:pStyle w:val="895"/>
              <w:rPr>
                <w:rFonts w:ascii="宋体" w:hAnsi="宋体"/>
                <w:bCs w:val="0"/>
                <w:i/>
                <w:iCs/>
                <w:color w:val="000000"/>
                <w:highlight w:val="white"/>
                <w:u w:val="single"/>
              </w:rPr>
            </w:pPr>
            <w:r>
              <w:rPr>
                <w:rFonts w:hint="eastAsia" w:ascii="宋体" w:hAnsi="宋体"/>
                <w:i/>
                <w:iCs/>
                <w:color w:val="000000"/>
                <w:highlight w:val="white"/>
                <w:u w:val="single"/>
              </w:rPr>
              <w:t xml:space="preserve">支持对带外管理系统中的用户口令和证书等敏感信息进行加密存储，禁止使用私有的和业界已知不安全的密码算法</w:t>
            </w:r>
            <w:r>
              <w:rPr>
                <w:i/>
                <w:iCs/>
                <w:highlight w:val="white"/>
              </w:rPr>
            </w:r>
            <w:r/>
          </w:p>
        </w:tc>
      </w:tr>
      <w:tr>
        <w:trPr/>
        <w:tc>
          <w:tcPr>
            <w:tcW w:w="1719" w:type="dxa"/>
            <w:vAlign w:val="center"/>
            <w:textDirection w:val="lrTb"/>
            <w:noWrap w:val="false"/>
          </w:tcPr>
          <w:p>
            <w:pPr>
              <w:pStyle w:val="895"/>
              <w:jc w:val="center"/>
              <w:rPr>
                <w:rFonts w:ascii="宋体" w:hAnsi="宋体"/>
                <w:bCs w:val="0"/>
                <w:i/>
                <w:iCs/>
                <w:color w:val="000000"/>
                <w:highlight w:val="white"/>
                <w:u w:val="single"/>
              </w:rPr>
            </w:pPr>
            <w:r>
              <w:rPr>
                <w:rFonts w:hint="eastAsia" w:ascii="宋体" w:hAnsi="宋体"/>
                <w:i/>
                <w:iCs/>
                <w:color w:val="000000"/>
                <w:highlight w:val="white"/>
                <w:u w:val="single"/>
              </w:rPr>
              <w:t xml:space="preserve">敏感信息安全加密传输</w:t>
            </w:r>
            <w:r>
              <w:rPr>
                <w:i/>
                <w:iCs/>
                <w:highlight w:val="white"/>
              </w:rPr>
            </w:r>
            <w:r/>
          </w:p>
        </w:tc>
        <w:tc>
          <w:tcPr>
            <w:tcW w:w="6803" w:type="dxa"/>
            <w:vAlign w:val="center"/>
            <w:textDirection w:val="lrTb"/>
            <w:noWrap w:val="false"/>
          </w:tcPr>
          <w:p>
            <w:pPr>
              <w:pStyle w:val="895"/>
              <w:rPr>
                <w:rFonts w:ascii="宋体" w:hAnsi="宋体"/>
                <w:bCs w:val="0"/>
                <w:i/>
                <w:iCs/>
                <w:color w:val="000000"/>
                <w:highlight w:val="white"/>
                <w:u w:val="single"/>
              </w:rPr>
            </w:pPr>
            <w:r>
              <w:rPr>
                <w:rFonts w:hint="eastAsia" w:ascii="宋体" w:hAnsi="宋体"/>
                <w:i/>
                <w:iCs/>
                <w:color w:val="000000"/>
                <w:highlight w:val="white"/>
                <w:u w:val="single"/>
              </w:rPr>
              <w:t xml:space="preserve">支持使用安全的传输加密协议（如SSH 或 HTTPS 等）传输用户的敏感信息</w:t>
            </w:r>
            <w:r>
              <w:rPr>
                <w:i/>
                <w:iCs/>
                <w:highlight w:val="white"/>
              </w:rPr>
            </w:r>
            <w:r/>
          </w:p>
        </w:tc>
      </w:tr>
      <w:tr>
        <w:trPr/>
        <w:tc>
          <w:tcPr>
            <w:tcW w:w="1719" w:type="dxa"/>
            <w:vAlign w:val="center"/>
            <w:textDirection w:val="lrTb"/>
            <w:noWrap w:val="false"/>
          </w:tcPr>
          <w:p>
            <w:pPr>
              <w:pStyle w:val="895"/>
              <w:jc w:val="center"/>
              <w:rPr>
                <w:rFonts w:ascii="宋体" w:hAnsi="宋体"/>
                <w:bCs w:val="0"/>
                <w:i/>
                <w:iCs/>
                <w:color w:val="000000"/>
                <w:highlight w:val="white"/>
                <w:u w:val="single"/>
              </w:rPr>
            </w:pPr>
            <w:r>
              <w:rPr>
                <w:rFonts w:hint="eastAsia" w:ascii="宋体" w:hAnsi="宋体"/>
                <w:i/>
                <w:iCs/>
                <w:color w:val="000000"/>
                <w:highlight w:val="white"/>
                <w:u w:val="single"/>
              </w:rPr>
              <w:t xml:space="preserve">研发过程安全</w:t>
            </w:r>
            <w:r>
              <w:rPr>
                <w:i/>
                <w:iCs/>
                <w:highlight w:val="white"/>
              </w:rPr>
            </w:r>
            <w:r/>
          </w:p>
        </w:tc>
        <w:tc>
          <w:tcPr>
            <w:tcW w:w="6803" w:type="dxa"/>
            <w:vAlign w:val="center"/>
            <w:textDirection w:val="lrTb"/>
            <w:noWrap w:val="false"/>
          </w:tcPr>
          <w:p>
            <w:pPr>
              <w:pStyle w:val="895"/>
              <w:rPr>
                <w:rFonts w:ascii="宋体" w:hAnsi="宋体"/>
                <w:bCs w:val="0"/>
                <w:i/>
                <w:iCs/>
                <w:color w:val="000000"/>
                <w:highlight w:val="white"/>
                <w:u w:val="single"/>
              </w:rPr>
            </w:pPr>
            <w:r>
              <w:rPr>
                <w:rFonts w:hint="eastAsia" w:ascii="宋体" w:hAnsi="宋体"/>
                <w:i/>
                <w:iCs/>
                <w:color w:val="000000"/>
                <w:highlight w:val="white"/>
                <w:u w:val="single"/>
              </w:rPr>
              <w:t xml:space="preserve">供应商承诺，生产商已建立从需求、设计、开发、测试、维护端到端的开发流程管理机制，输出和保存开发流程中每个阶段的产品需求清单、设计文档、开发文档、测试记录等材料，保证各个流程可追溯</w:t>
            </w:r>
            <w:r>
              <w:rPr>
                <w:i/>
                <w:iCs/>
                <w:highlight w:val="white"/>
              </w:rPr>
            </w:r>
            <w:r/>
          </w:p>
        </w:tc>
      </w:tr>
      <w:tr>
        <w:trPr/>
        <w:tc>
          <w:tcPr>
            <w:tcW w:w="1719" w:type="dxa"/>
            <w:vAlign w:val="center"/>
            <w:textDirection w:val="lrTb"/>
            <w:noWrap w:val="false"/>
          </w:tcPr>
          <w:p>
            <w:pPr>
              <w:pStyle w:val="895"/>
              <w:jc w:val="center"/>
              <w:rPr>
                <w:rFonts w:ascii="宋体" w:hAnsi="宋体"/>
                <w:bCs w:val="0"/>
                <w:i/>
                <w:iCs/>
                <w:color w:val="000000"/>
                <w:highlight w:val="white"/>
                <w:u w:val="single"/>
              </w:rPr>
            </w:pPr>
            <w:r>
              <w:rPr>
                <w:rFonts w:hint="eastAsia" w:ascii="宋体" w:hAnsi="宋体"/>
                <w:i/>
                <w:iCs/>
                <w:color w:val="000000"/>
                <w:highlight w:val="white"/>
                <w:u w:val="single"/>
              </w:rPr>
              <w:t xml:space="preserve">物理安全</w:t>
            </w:r>
            <w:r>
              <w:rPr>
                <w:i/>
                <w:iCs/>
                <w:highlight w:val="white"/>
              </w:rPr>
            </w:r>
            <w:r/>
          </w:p>
        </w:tc>
        <w:tc>
          <w:tcPr>
            <w:tcW w:w="6803" w:type="dxa"/>
            <w:vAlign w:val="center"/>
            <w:textDirection w:val="lrTb"/>
            <w:noWrap w:val="false"/>
          </w:tcPr>
          <w:p>
            <w:pPr>
              <w:pStyle w:val="895"/>
              <w:rPr>
                <w:rFonts w:ascii="宋体" w:hAnsi="宋体"/>
                <w:bCs w:val="0"/>
                <w:i/>
                <w:iCs/>
                <w:color w:val="000000"/>
                <w:highlight w:val="white"/>
                <w:u w:val="single"/>
              </w:rPr>
            </w:pPr>
            <w:r>
              <w:rPr>
                <w:rFonts w:hint="eastAsia" w:ascii="宋体" w:hAnsi="宋体"/>
                <w:i/>
                <w:iCs/>
                <w:color w:val="000000"/>
                <w:highlight w:val="white"/>
                <w:u w:val="single"/>
              </w:rPr>
              <w:t xml:space="preserve">安全要求应符合 GB 4943.1 的规定</w:t>
            </w:r>
            <w:r>
              <w:rPr>
                <w:i/>
                <w:iCs/>
                <w:highlight w:val="white"/>
              </w:rPr>
            </w:r>
            <w:r/>
          </w:p>
        </w:tc>
      </w:tr>
      <w:tr>
        <w:trPr/>
        <w:tc>
          <w:tcPr>
            <w:tcW w:w="1719" w:type="dxa"/>
            <w:vAlign w:val="center"/>
            <w:textDirection w:val="lrTb"/>
            <w:noWrap w:val="false"/>
          </w:tcPr>
          <w:p>
            <w:pPr>
              <w:pStyle w:val="895"/>
              <w:jc w:val="center"/>
              <w:rPr>
                <w:rFonts w:ascii="宋体" w:hAnsi="宋体"/>
                <w:bCs w:val="0"/>
                <w:i/>
                <w:iCs/>
                <w:color w:val="000000"/>
                <w:highlight w:val="white"/>
                <w:u w:val="single"/>
              </w:rPr>
            </w:pPr>
            <w:r>
              <w:rPr>
                <w:rFonts w:hint="eastAsia" w:ascii="宋体" w:hAnsi="宋体"/>
                <w:i/>
                <w:iCs/>
                <w:color w:val="000000"/>
                <w:highlight w:val="white"/>
                <w:u w:val="single"/>
              </w:rPr>
              <w:t xml:space="preserve">限用物质的限量要求</w:t>
            </w:r>
            <w:r>
              <w:rPr>
                <w:i/>
                <w:iCs/>
                <w:highlight w:val="white"/>
              </w:rPr>
            </w:r>
            <w:r/>
          </w:p>
        </w:tc>
        <w:tc>
          <w:tcPr>
            <w:tcW w:w="6803" w:type="dxa"/>
            <w:vAlign w:val="center"/>
            <w:textDirection w:val="lrTb"/>
            <w:noWrap w:val="false"/>
          </w:tcPr>
          <w:p>
            <w:pPr>
              <w:pStyle w:val="895"/>
              <w:rPr>
                <w:rFonts w:ascii="宋体" w:hAnsi="宋体"/>
                <w:bCs w:val="0"/>
                <w:i/>
                <w:iCs/>
                <w:color w:val="000000"/>
                <w:highlight w:val="white"/>
                <w:u w:val="single"/>
              </w:rPr>
            </w:pPr>
            <w:r>
              <w:rPr>
                <w:rFonts w:hint="eastAsia" w:ascii="宋体" w:hAnsi="宋体"/>
                <w:i/>
                <w:iCs/>
                <w:color w:val="000000"/>
                <w:highlight w:val="white"/>
                <w:u w:val="single"/>
              </w:rPr>
              <w:t xml:space="preserve">限用物质的限量应符合 GB/T 26572的要求</w:t>
            </w:r>
            <w:r>
              <w:rPr>
                <w:i/>
                <w:iCs/>
                <w:highlight w:val="white"/>
              </w:rPr>
            </w:r>
            <w:r/>
          </w:p>
        </w:tc>
      </w:tr>
      <w:tr>
        <w:trPr/>
        <w:tc>
          <w:tcPr>
            <w:tcW w:w="1719" w:type="dxa"/>
            <w:vAlign w:val="center"/>
            <w:textDirection w:val="lrTb"/>
            <w:noWrap w:val="false"/>
          </w:tcPr>
          <w:p>
            <w:pPr>
              <w:pStyle w:val="895"/>
              <w:jc w:val="center"/>
              <w:rPr>
                <w:rFonts w:ascii="宋体" w:hAnsi="宋体"/>
                <w:bCs w:val="0"/>
                <w:i/>
                <w:iCs/>
                <w:color w:val="000000"/>
                <w:highlight w:val="white"/>
                <w:u w:val="single"/>
              </w:rPr>
            </w:pPr>
            <w:r>
              <w:rPr>
                <w:rFonts w:ascii="宋体" w:hAnsi="宋体"/>
                <w:i/>
                <w:iCs/>
                <w:color w:val="000000"/>
                <w:highlight w:val="white"/>
                <w:u w:val="single"/>
              </w:rPr>
              <w:t xml:space="preserve">CPU</w:t>
            </w:r>
            <w:r>
              <w:rPr>
                <w:rFonts w:hint="eastAsia" w:ascii="宋体" w:hAnsi="宋体"/>
                <w:i/>
                <w:iCs/>
                <w:color w:val="000000"/>
                <w:highlight w:val="white"/>
                <w:u w:val="single"/>
              </w:rPr>
              <w:t xml:space="preserve">主频</w:t>
            </w:r>
            <w:r>
              <w:rPr>
                <w:i/>
                <w:iCs/>
                <w:highlight w:val="white"/>
              </w:rPr>
            </w:r>
            <w:r/>
          </w:p>
        </w:tc>
        <w:tc>
          <w:tcPr>
            <w:tcW w:w="6803" w:type="dxa"/>
            <w:vAlign w:val="center"/>
            <w:textDirection w:val="lrTb"/>
            <w:noWrap w:val="false"/>
          </w:tcPr>
          <w:p>
            <w:pPr>
              <w:pStyle w:val="895"/>
              <w:rPr>
                <w:rFonts w:ascii="宋体" w:hAnsi="宋体"/>
                <w:bCs w:val="0"/>
                <w:i/>
                <w:iCs/>
                <w:color w:val="000000"/>
                <w:highlight w:val="white"/>
                <w:u w:val="single"/>
              </w:rPr>
            </w:pPr>
            <w:r>
              <w:rPr>
                <w:rFonts w:hint="eastAsia" w:ascii="宋体" w:hAnsi="宋体"/>
                <w:i/>
                <w:iCs/>
                <w:color w:val="000000"/>
                <w:highlight w:val="white"/>
                <w:u w:val="single"/>
              </w:rPr>
              <w:t xml:space="preserve">≥</w:t>
            </w:r>
            <w:r>
              <w:rPr>
                <w:rFonts w:ascii="宋体" w:hAnsi="宋体"/>
                <w:i/>
                <w:iCs/>
                <w:color w:val="000000"/>
                <w:highlight w:val="white"/>
                <w:u w:val="single"/>
              </w:rPr>
              <w:t xml:space="preserve">2.</w:t>
            </w:r>
            <w:r>
              <w:rPr>
                <w:rFonts w:hint="eastAsia" w:ascii="宋体" w:hAnsi="宋体"/>
                <w:i/>
                <w:iCs/>
                <w:color w:val="000000"/>
                <w:highlight w:val="white"/>
                <w:u w:val="single"/>
              </w:rPr>
              <w:t xml:space="preserve">1</w:t>
            </w:r>
            <w:r>
              <w:rPr>
                <w:rFonts w:ascii="宋体" w:hAnsi="宋体"/>
                <w:i/>
                <w:iCs/>
                <w:color w:val="000000"/>
                <w:highlight w:val="white"/>
                <w:u w:val="single"/>
              </w:rPr>
              <w:t xml:space="preserve">GHz</w:t>
            </w:r>
            <w:r>
              <w:rPr>
                <w:i/>
                <w:iCs/>
                <w:highlight w:val="white"/>
              </w:rPr>
            </w:r>
            <w:r/>
          </w:p>
        </w:tc>
      </w:tr>
      <w:tr>
        <w:trPr/>
        <w:tc>
          <w:tcPr>
            <w:tcW w:w="1719" w:type="dxa"/>
            <w:vAlign w:val="center"/>
            <w:textDirection w:val="lrTb"/>
            <w:noWrap w:val="false"/>
          </w:tcPr>
          <w:p>
            <w:pPr>
              <w:pStyle w:val="895"/>
              <w:jc w:val="center"/>
              <w:rPr>
                <w:rFonts w:ascii="宋体" w:hAnsi="宋体"/>
                <w:bCs w:val="0"/>
                <w:i/>
                <w:iCs/>
                <w:color w:val="000000"/>
                <w:highlight w:val="white"/>
                <w:u w:val="single"/>
              </w:rPr>
            </w:pPr>
            <w:r>
              <w:rPr>
                <w:rFonts w:hint="eastAsia" w:ascii="宋体" w:hAnsi="宋体"/>
                <w:i/>
                <w:iCs/>
                <w:color w:val="000000"/>
                <w:highlight w:val="white"/>
                <w:u w:val="single"/>
              </w:rPr>
              <w:t xml:space="preserve">单</w:t>
            </w:r>
            <w:r>
              <w:rPr>
                <w:rFonts w:ascii="宋体" w:hAnsi="宋体"/>
                <w:i/>
                <w:iCs/>
                <w:color w:val="000000"/>
                <w:highlight w:val="white"/>
                <w:u w:val="single"/>
              </w:rPr>
              <w:t xml:space="preserve">CPU</w:t>
            </w:r>
            <w:r>
              <w:rPr>
                <w:rFonts w:hint="eastAsia" w:ascii="宋体" w:hAnsi="宋体"/>
                <w:i/>
                <w:iCs/>
                <w:color w:val="000000"/>
                <w:highlight w:val="white"/>
                <w:u w:val="single"/>
              </w:rPr>
              <w:t xml:space="preserve">核数</w:t>
            </w:r>
            <w:r>
              <w:rPr>
                <w:i/>
                <w:iCs/>
                <w:highlight w:val="white"/>
              </w:rPr>
            </w:r>
            <w:r/>
          </w:p>
        </w:tc>
        <w:tc>
          <w:tcPr>
            <w:tcW w:w="6803" w:type="dxa"/>
            <w:vAlign w:val="center"/>
            <w:textDirection w:val="lrTb"/>
            <w:noWrap w:val="false"/>
          </w:tcPr>
          <w:p>
            <w:pPr>
              <w:pStyle w:val="895"/>
              <w:jc w:val="left"/>
              <w:rPr>
                <w:rFonts w:ascii="宋体" w:hAnsi="宋体"/>
                <w:bCs w:val="0"/>
                <w:i/>
                <w:iCs/>
                <w:color w:val="000000"/>
                <w:highlight w:val="white"/>
                <w:u w:val="single"/>
              </w:rPr>
            </w:pPr>
            <w:r>
              <w:rPr>
                <w:rFonts w:hint="eastAsia" w:ascii="宋体" w:hAnsi="宋体"/>
                <w:i/>
                <w:iCs/>
                <w:color w:val="000000"/>
                <w:highlight w:val="white"/>
                <w:u w:val="single"/>
              </w:rPr>
              <w:t xml:space="preserve">≥32</w:t>
            </w:r>
            <w:r>
              <w:rPr>
                <w:i/>
                <w:iCs/>
                <w:highlight w:val="white"/>
              </w:rPr>
            </w:r>
            <w:r/>
          </w:p>
        </w:tc>
      </w:tr>
      <w:tr>
        <w:trPr/>
        <w:tc>
          <w:tcPr>
            <w:tcW w:w="1719" w:type="dxa"/>
            <w:vAlign w:val="center"/>
            <w:textDirection w:val="lrTb"/>
            <w:noWrap w:val="false"/>
          </w:tcPr>
          <w:p>
            <w:pPr>
              <w:pStyle w:val="895"/>
              <w:jc w:val="center"/>
              <w:rPr>
                <w:rFonts w:ascii="宋体" w:hAnsi="宋体"/>
                <w:bCs w:val="0"/>
                <w:i/>
                <w:iCs/>
                <w:color w:val="000000"/>
                <w:highlight w:val="white"/>
                <w:u w:val="single"/>
              </w:rPr>
            </w:pPr>
            <w:r>
              <w:rPr>
                <w:rFonts w:hint="eastAsia" w:ascii="宋体" w:hAnsi="宋体"/>
                <w:i/>
                <w:iCs/>
                <w:color w:val="000000"/>
                <w:highlight w:val="white"/>
                <w:u w:val="single"/>
              </w:rPr>
              <w:t xml:space="preserve">单</w:t>
            </w:r>
            <w:r>
              <w:rPr>
                <w:rFonts w:ascii="宋体" w:hAnsi="宋体"/>
                <w:i/>
                <w:iCs/>
                <w:color w:val="000000"/>
                <w:highlight w:val="white"/>
                <w:u w:val="single"/>
              </w:rPr>
              <w:t xml:space="preserve">CPU</w:t>
            </w:r>
            <w:r>
              <w:rPr>
                <w:rFonts w:hint="eastAsia" w:ascii="宋体" w:hAnsi="宋体"/>
                <w:i/>
                <w:iCs/>
                <w:color w:val="000000"/>
                <w:highlight w:val="white"/>
                <w:u w:val="single"/>
              </w:rPr>
              <w:t xml:space="preserve">末级缓存容量</w:t>
            </w:r>
            <w:r>
              <w:rPr>
                <w:i/>
                <w:iCs/>
                <w:highlight w:val="white"/>
              </w:rPr>
            </w:r>
            <w:r/>
          </w:p>
        </w:tc>
        <w:tc>
          <w:tcPr>
            <w:tcW w:w="6803" w:type="dxa"/>
            <w:vAlign w:val="center"/>
            <w:textDirection w:val="lrTb"/>
            <w:noWrap w:val="false"/>
          </w:tcPr>
          <w:p>
            <w:pPr>
              <w:pStyle w:val="895"/>
              <w:jc w:val="left"/>
              <w:rPr>
                <w:rFonts w:ascii="宋体" w:hAnsi="宋体"/>
                <w:bCs w:val="0"/>
                <w:i/>
                <w:iCs/>
                <w:color w:val="000000"/>
                <w:highlight w:val="white"/>
                <w:u w:val="single"/>
              </w:rPr>
            </w:pPr>
            <w:r>
              <w:rPr>
                <w:rFonts w:hint="eastAsia" w:ascii="宋体" w:hAnsi="宋体"/>
                <w:i/>
                <w:iCs/>
                <w:color w:val="000000"/>
                <w:highlight w:val="white"/>
                <w:u w:val="single"/>
              </w:rPr>
              <w:t xml:space="preserve">≥160</w:t>
            </w:r>
            <w:r>
              <w:rPr>
                <w:rFonts w:ascii="宋体" w:hAnsi="宋体"/>
                <w:i/>
                <w:iCs/>
                <w:color w:val="000000"/>
                <w:highlight w:val="white"/>
                <w:u w:val="single"/>
              </w:rPr>
              <w:t xml:space="preserve">MB</w:t>
            </w:r>
            <w:r>
              <w:rPr>
                <w:i/>
                <w:iCs/>
                <w:highlight w:val="white"/>
              </w:rPr>
            </w:r>
            <w:r/>
          </w:p>
        </w:tc>
      </w:tr>
      <w:tr>
        <w:trPr/>
        <w:tc>
          <w:tcPr>
            <w:tcW w:w="1719" w:type="dxa"/>
            <w:vAlign w:val="center"/>
            <w:textDirection w:val="lrTb"/>
            <w:noWrap w:val="false"/>
          </w:tcPr>
          <w:p>
            <w:pPr>
              <w:pStyle w:val="895"/>
              <w:jc w:val="center"/>
              <w:rPr>
                <w:rFonts w:ascii="宋体" w:hAnsi="宋体"/>
                <w:bCs w:val="0"/>
                <w:i/>
                <w:iCs/>
                <w:color w:val="000000"/>
                <w:highlight w:val="white"/>
                <w:u w:val="single"/>
              </w:rPr>
            </w:pPr>
            <w:r>
              <w:rPr>
                <w:rFonts w:hint="eastAsia" w:ascii="宋体" w:hAnsi="宋体"/>
                <w:i/>
                <w:iCs/>
                <w:color w:val="000000"/>
                <w:highlight w:val="white"/>
                <w:u w:val="single"/>
              </w:rPr>
              <w:t xml:space="preserve">内存速率</w:t>
            </w:r>
            <w:r>
              <w:rPr>
                <w:i/>
                <w:iCs/>
                <w:highlight w:val="white"/>
              </w:rPr>
            </w:r>
            <w:r/>
          </w:p>
        </w:tc>
        <w:tc>
          <w:tcPr>
            <w:tcW w:w="6803" w:type="dxa"/>
            <w:vAlign w:val="center"/>
            <w:textDirection w:val="lrTb"/>
            <w:noWrap w:val="false"/>
          </w:tcPr>
          <w:p>
            <w:pPr>
              <w:pStyle w:val="895"/>
              <w:rPr>
                <w:rFonts w:ascii="宋体" w:hAnsi="宋体"/>
                <w:bCs w:val="0"/>
                <w:i/>
                <w:iCs/>
                <w:color w:val="000000"/>
                <w:highlight w:val="white"/>
                <w:u w:val="single"/>
              </w:rPr>
            </w:pPr>
            <w:r>
              <w:rPr>
                <w:rFonts w:hint="eastAsia" w:ascii="宋体" w:hAnsi="宋体"/>
                <w:i/>
                <w:iCs/>
                <w:color w:val="000000"/>
                <w:highlight w:val="white"/>
                <w:u w:val="single"/>
              </w:rPr>
              <w:t xml:space="preserve">≥5600</w:t>
            </w:r>
            <w:r>
              <w:rPr>
                <w:rFonts w:ascii="宋体" w:hAnsi="宋体"/>
                <w:i/>
                <w:iCs/>
                <w:color w:val="000000"/>
                <w:highlight w:val="white"/>
                <w:u w:val="single"/>
              </w:rPr>
              <w:t xml:space="preserve">MT/s</w:t>
            </w:r>
            <w:r>
              <w:rPr>
                <w:i/>
                <w:iCs/>
                <w:highlight w:val="white"/>
              </w:rPr>
            </w:r>
            <w:r/>
          </w:p>
        </w:tc>
      </w:tr>
      <w:tr>
        <w:trPr/>
        <w:tc>
          <w:tcPr>
            <w:tcW w:w="1719" w:type="dxa"/>
            <w:vAlign w:val="center"/>
            <w:textDirection w:val="lrTb"/>
            <w:noWrap w:val="false"/>
          </w:tcPr>
          <w:p>
            <w:pPr>
              <w:pStyle w:val="895"/>
              <w:jc w:val="center"/>
              <w:rPr>
                <w:rFonts w:ascii="宋体" w:hAnsi="宋体"/>
                <w:bCs w:val="0"/>
                <w:i/>
                <w:iCs/>
                <w:color w:val="000000"/>
                <w:highlight w:val="white"/>
                <w:u w:val="single"/>
              </w:rPr>
            </w:pPr>
            <w:r>
              <w:rPr>
                <w:rFonts w:hint="eastAsia" w:ascii="宋体" w:hAnsi="宋体"/>
                <w:i/>
                <w:iCs/>
                <w:color w:val="000000"/>
                <w:highlight w:val="white"/>
                <w:u w:val="single"/>
              </w:rPr>
              <w:t xml:space="preserve">电源能耗</w:t>
            </w:r>
            <w:r>
              <w:rPr>
                <w:i/>
                <w:iCs/>
                <w:highlight w:val="white"/>
              </w:rPr>
            </w:r>
            <w:r/>
          </w:p>
        </w:tc>
        <w:tc>
          <w:tcPr>
            <w:tcW w:w="6803" w:type="dxa"/>
            <w:vAlign w:val="center"/>
            <w:textDirection w:val="lrTb"/>
            <w:noWrap w:val="false"/>
          </w:tcPr>
          <w:p>
            <w:pPr>
              <w:pStyle w:val="895"/>
              <w:rPr>
                <w:rFonts w:ascii="宋体" w:hAnsi="宋体"/>
                <w:bCs w:val="0"/>
                <w:i/>
                <w:iCs/>
                <w:color w:val="000000"/>
                <w:highlight w:val="white"/>
                <w:u w:val="single"/>
              </w:rPr>
            </w:pPr>
            <w:r>
              <w:rPr>
                <w:rFonts w:hint="eastAsia" w:ascii="宋体" w:hAnsi="宋体"/>
                <w:i/>
                <w:iCs/>
                <w:color w:val="000000"/>
                <w:highlight w:val="white"/>
                <w:u w:val="single"/>
              </w:rPr>
              <w:t xml:space="preserve">符合 GB/T 9813.3 的有关规定</w:t>
            </w:r>
            <w:r>
              <w:rPr>
                <w:i/>
                <w:iCs/>
                <w:highlight w:val="white"/>
              </w:rPr>
            </w:r>
            <w:r/>
          </w:p>
        </w:tc>
      </w:tr>
      <w:tr>
        <w:trPr/>
        <w:tc>
          <w:tcPr>
            <w:tcW w:w="1719" w:type="dxa"/>
            <w:vAlign w:val="center"/>
            <w:textDirection w:val="lrTb"/>
            <w:noWrap w:val="false"/>
          </w:tcPr>
          <w:p>
            <w:pPr>
              <w:pStyle w:val="895"/>
              <w:jc w:val="center"/>
              <w:rPr>
                <w:rFonts w:ascii="宋体" w:hAnsi="宋体"/>
                <w:bCs w:val="0"/>
                <w:i/>
                <w:iCs/>
                <w:color w:val="000000"/>
                <w:highlight w:val="white"/>
                <w:u w:val="single"/>
              </w:rPr>
            </w:pPr>
            <w:r>
              <w:rPr>
                <w:rFonts w:hint="eastAsia" w:ascii="宋体" w:hAnsi="宋体"/>
                <w:i/>
                <w:iCs/>
                <w:color w:val="000000"/>
                <w:highlight w:val="white"/>
                <w:u w:val="single"/>
              </w:rPr>
              <w:t xml:space="preserve">内存兼容性</w:t>
            </w:r>
            <w:r>
              <w:rPr>
                <w:i/>
                <w:iCs/>
                <w:highlight w:val="white"/>
              </w:rPr>
            </w:r>
            <w:r/>
          </w:p>
        </w:tc>
        <w:tc>
          <w:tcPr>
            <w:tcW w:w="6803" w:type="dxa"/>
            <w:vAlign w:val="center"/>
            <w:textDirection w:val="lrTb"/>
            <w:noWrap w:val="false"/>
          </w:tcPr>
          <w:p>
            <w:pPr>
              <w:pStyle w:val="895"/>
              <w:rPr>
                <w:rFonts w:ascii="宋体" w:hAnsi="宋体"/>
                <w:bCs w:val="0"/>
                <w:i/>
                <w:iCs/>
                <w:color w:val="000000"/>
                <w:highlight w:val="white"/>
                <w:u w:val="single"/>
              </w:rPr>
            </w:pPr>
            <w:r>
              <w:rPr>
                <w:rFonts w:hint="eastAsia" w:ascii="宋体" w:hAnsi="宋体"/>
                <w:i/>
                <w:iCs/>
                <w:color w:val="000000"/>
                <w:highlight w:val="white"/>
                <w:u w:val="single"/>
              </w:rPr>
              <w:t xml:space="preserve">适配 3 种及以上厂商的内存产品，且均不低于产品支持的内存规格</w:t>
            </w:r>
            <w:r>
              <w:rPr>
                <w:i/>
                <w:iCs/>
                <w:highlight w:val="white"/>
              </w:rPr>
            </w:r>
            <w:r/>
          </w:p>
        </w:tc>
      </w:tr>
      <w:tr>
        <w:trPr/>
        <w:tc>
          <w:tcPr>
            <w:tcW w:w="1719" w:type="dxa"/>
            <w:vAlign w:val="center"/>
            <w:textDirection w:val="lrTb"/>
            <w:noWrap w:val="false"/>
          </w:tcPr>
          <w:p>
            <w:pPr>
              <w:pStyle w:val="895"/>
              <w:jc w:val="center"/>
              <w:rPr>
                <w:bCs/>
                <w:i/>
                <w:highlight w:val="white"/>
              </w:rPr>
            </w:pPr>
            <w:r>
              <w:rPr>
                <w:rFonts w:hint="eastAsia" w:ascii="宋体" w:hAnsi="宋体"/>
                <w:i/>
                <w:iCs/>
                <w:color w:val="000000"/>
                <w:highlight w:val="white"/>
                <w:u w:val="single"/>
              </w:rPr>
              <w:t xml:space="preserve">固态存储兼容性</w:t>
            </w:r>
            <w:r>
              <w:rPr>
                <w:i/>
                <w:iCs/>
                <w:highlight w:val="white"/>
              </w:rPr>
            </w:r>
            <w:r/>
          </w:p>
        </w:tc>
        <w:tc>
          <w:tcPr>
            <w:tcW w:w="6803" w:type="dxa"/>
            <w:vAlign w:val="center"/>
            <w:textDirection w:val="lrTb"/>
            <w:noWrap w:val="false"/>
          </w:tcPr>
          <w:p>
            <w:pPr>
              <w:pStyle w:val="895"/>
              <w:rPr>
                <w:rFonts w:ascii="宋体" w:hAnsi="宋体"/>
                <w:bCs w:val="0"/>
                <w:i/>
                <w:iCs/>
                <w:color w:val="000000"/>
                <w:highlight w:val="white"/>
                <w:u w:val="single"/>
              </w:rPr>
            </w:pPr>
            <w:r>
              <w:rPr>
                <w:rFonts w:hint="eastAsia" w:ascii="宋体" w:hAnsi="宋体"/>
                <w:i/>
                <w:iCs/>
                <w:color w:val="000000"/>
                <w:highlight w:val="white"/>
                <w:u w:val="single"/>
              </w:rPr>
              <w:t xml:space="preserve">适配 3 种或以上厂商的固态存储产品，且均不低于产品支持的固态存储设备规格</w:t>
            </w:r>
            <w:r>
              <w:rPr>
                <w:i/>
                <w:iCs/>
                <w:highlight w:val="white"/>
              </w:rPr>
            </w:r>
            <w:r/>
          </w:p>
        </w:tc>
      </w:tr>
      <w:tr>
        <w:trPr/>
        <w:tc>
          <w:tcPr>
            <w:tcW w:w="1719" w:type="dxa"/>
            <w:vAlign w:val="center"/>
            <w:textDirection w:val="lrTb"/>
            <w:noWrap w:val="false"/>
          </w:tcPr>
          <w:p>
            <w:pPr>
              <w:pStyle w:val="895"/>
              <w:jc w:val="center"/>
              <w:rPr>
                <w:rFonts w:ascii="宋体" w:hAnsi="宋体"/>
                <w:bCs w:val="0"/>
                <w:i/>
                <w:iCs/>
                <w:color w:val="000000"/>
                <w:highlight w:val="white"/>
                <w:u w:val="single"/>
              </w:rPr>
            </w:pPr>
            <w:r>
              <w:rPr>
                <w:rFonts w:hint="eastAsia" w:ascii="宋体" w:hAnsi="宋体"/>
                <w:i/>
                <w:iCs/>
                <w:color w:val="000000"/>
                <w:highlight w:val="white"/>
                <w:u w:val="single"/>
              </w:rPr>
              <w:t xml:space="preserve">网卡兼容性</w:t>
            </w:r>
            <w:r>
              <w:rPr>
                <w:i/>
                <w:iCs/>
                <w:highlight w:val="white"/>
              </w:rPr>
            </w:r>
            <w:r/>
          </w:p>
        </w:tc>
        <w:tc>
          <w:tcPr>
            <w:tcW w:w="6803" w:type="dxa"/>
            <w:vAlign w:val="center"/>
            <w:textDirection w:val="lrTb"/>
            <w:noWrap w:val="false"/>
          </w:tcPr>
          <w:p>
            <w:pPr>
              <w:pStyle w:val="895"/>
              <w:rPr>
                <w:rFonts w:ascii="宋体" w:hAnsi="宋体"/>
                <w:bCs w:val="0"/>
                <w:i/>
                <w:iCs/>
                <w:color w:val="000000"/>
                <w:highlight w:val="white"/>
                <w:u w:val="single"/>
              </w:rPr>
            </w:pPr>
            <w:r>
              <w:rPr>
                <w:rFonts w:hint="eastAsia" w:ascii="宋体" w:hAnsi="宋体"/>
                <w:i/>
                <w:iCs/>
                <w:color w:val="000000"/>
                <w:highlight w:val="white"/>
                <w:u w:val="single"/>
              </w:rPr>
              <w:t xml:space="preserve">网卡应适配两种或以上厂商产品</w:t>
            </w:r>
            <w:r>
              <w:rPr>
                <w:i/>
                <w:iCs/>
                <w:highlight w:val="white"/>
              </w:rPr>
            </w:r>
            <w:r/>
          </w:p>
        </w:tc>
      </w:tr>
      <w:tr>
        <w:trPr/>
        <w:tc>
          <w:tcPr>
            <w:tcW w:w="1719" w:type="dxa"/>
            <w:vAlign w:val="center"/>
            <w:textDirection w:val="lrTb"/>
            <w:noWrap w:val="false"/>
          </w:tcPr>
          <w:p>
            <w:pPr>
              <w:pStyle w:val="895"/>
              <w:jc w:val="center"/>
              <w:rPr>
                <w:rFonts w:ascii="宋体" w:hAnsi="宋体"/>
                <w:bCs w:val="0"/>
                <w:i/>
                <w:iCs/>
                <w:color w:val="000000"/>
                <w:highlight w:val="white"/>
                <w:u w:val="single"/>
              </w:rPr>
            </w:pPr>
            <w:r>
              <w:rPr>
                <w:rFonts w:hint="eastAsia" w:ascii="宋体" w:hAnsi="宋体"/>
                <w:i/>
                <w:iCs/>
                <w:color w:val="000000"/>
                <w:highlight w:val="white"/>
                <w:u w:val="single"/>
              </w:rPr>
              <w:t xml:space="preserve">功能卡兼容性</w:t>
            </w:r>
            <w:r>
              <w:rPr>
                <w:i/>
                <w:iCs/>
                <w:highlight w:val="white"/>
              </w:rPr>
            </w:r>
            <w:r/>
          </w:p>
        </w:tc>
        <w:tc>
          <w:tcPr>
            <w:tcW w:w="6803" w:type="dxa"/>
            <w:vAlign w:val="center"/>
            <w:textDirection w:val="lrTb"/>
            <w:noWrap w:val="false"/>
          </w:tcPr>
          <w:p>
            <w:pPr>
              <w:pStyle w:val="895"/>
              <w:rPr>
                <w:rFonts w:ascii="宋体" w:hAnsi="宋体"/>
                <w:bCs w:val="0"/>
                <w:i/>
                <w:iCs/>
                <w:color w:val="000000"/>
                <w:highlight w:val="white"/>
                <w:u w:val="single"/>
              </w:rPr>
            </w:pPr>
            <w:r>
              <w:rPr>
                <w:rFonts w:hint="eastAsia" w:ascii="宋体" w:hAnsi="宋体"/>
                <w:i/>
                <w:iCs/>
                <w:color w:val="000000"/>
                <w:highlight w:val="white"/>
                <w:u w:val="single"/>
              </w:rPr>
              <w:t xml:space="preserve">内置或适配符合PCIe的功能卡，如：网络功能卡、存储功能卡及图形显示功能卡</w:t>
            </w:r>
            <w:r>
              <w:rPr>
                <w:i/>
                <w:iCs/>
                <w:highlight w:val="white"/>
              </w:rPr>
            </w:r>
            <w:r/>
          </w:p>
        </w:tc>
      </w:tr>
      <w:tr>
        <w:trPr/>
        <w:tc>
          <w:tcPr>
            <w:tcW w:w="1719" w:type="dxa"/>
            <w:vAlign w:val="center"/>
            <w:textDirection w:val="lrTb"/>
            <w:noWrap w:val="false"/>
          </w:tcPr>
          <w:p>
            <w:pPr>
              <w:pStyle w:val="895"/>
              <w:jc w:val="center"/>
              <w:rPr>
                <w:rFonts w:ascii="宋体" w:hAnsi="宋体"/>
                <w:bCs w:val="0"/>
                <w:i/>
                <w:iCs/>
                <w:color w:val="000000"/>
                <w:highlight w:val="white"/>
                <w:u w:val="single"/>
              </w:rPr>
            </w:pPr>
            <w:r>
              <w:rPr>
                <w:rFonts w:hint="eastAsia" w:ascii="宋体" w:hAnsi="宋体"/>
                <w:i/>
                <w:iCs/>
                <w:color w:val="000000"/>
                <w:highlight w:val="white"/>
                <w:u w:val="single"/>
              </w:rPr>
              <w:t xml:space="preserve">外设兼容性</w:t>
            </w:r>
            <w:r>
              <w:rPr>
                <w:i/>
                <w:iCs/>
                <w:highlight w:val="white"/>
              </w:rPr>
            </w:r>
            <w:r/>
          </w:p>
        </w:tc>
        <w:tc>
          <w:tcPr>
            <w:tcW w:w="6803" w:type="dxa"/>
            <w:vAlign w:val="center"/>
            <w:textDirection w:val="lrTb"/>
            <w:noWrap w:val="false"/>
          </w:tcPr>
          <w:p>
            <w:pPr>
              <w:pStyle w:val="895"/>
              <w:rPr>
                <w:rFonts w:ascii="宋体" w:hAnsi="宋体"/>
                <w:bCs w:val="0"/>
                <w:i/>
                <w:iCs/>
                <w:color w:val="000000"/>
                <w:highlight w:val="white"/>
                <w:u w:val="single"/>
              </w:rPr>
            </w:pPr>
            <w:r>
              <w:rPr>
                <w:rFonts w:hint="eastAsia" w:ascii="宋体" w:hAnsi="宋体"/>
                <w:i/>
                <w:iCs/>
                <w:color w:val="000000"/>
                <w:highlight w:val="white"/>
                <w:u w:val="single"/>
              </w:rPr>
              <w:t xml:space="preserve">兼容多种主流生产商的外部设备，包括显示器、键盘、鼠标、闪存盘、移动硬盘、USB 光驱及 KVM 等，要求使用不同厂商的外部设备时，系统均能正常识别和安装驱动</w:t>
            </w:r>
            <w:r>
              <w:rPr>
                <w:i/>
                <w:iCs/>
                <w:highlight w:val="white"/>
              </w:rPr>
            </w:r>
            <w:r/>
          </w:p>
        </w:tc>
      </w:tr>
      <w:tr>
        <w:trPr/>
        <w:tc>
          <w:tcPr>
            <w:tcW w:w="1719" w:type="dxa"/>
            <w:vAlign w:val="center"/>
            <w:textDirection w:val="lrTb"/>
            <w:noWrap w:val="false"/>
          </w:tcPr>
          <w:p>
            <w:pPr>
              <w:pStyle w:val="895"/>
              <w:jc w:val="center"/>
              <w:rPr>
                <w:rFonts w:ascii="宋体" w:hAnsi="宋体"/>
                <w:bCs w:val="0"/>
                <w:i/>
                <w:iCs/>
                <w:color w:val="000000"/>
                <w:highlight w:val="white"/>
                <w:u w:val="single"/>
              </w:rPr>
            </w:pPr>
            <w:r>
              <w:rPr>
                <w:rFonts w:hint="eastAsia" w:ascii="宋体" w:hAnsi="宋体"/>
                <w:i/>
                <w:iCs/>
                <w:color w:val="000000"/>
                <w:highlight w:val="white"/>
                <w:u w:val="single"/>
              </w:rPr>
              <w:t xml:space="preserve">数据库兼容</w:t>
            </w:r>
            <w:r>
              <w:rPr>
                <w:i/>
                <w:iCs/>
                <w:highlight w:val="white"/>
              </w:rPr>
            </w:r>
            <w:r/>
          </w:p>
        </w:tc>
        <w:tc>
          <w:tcPr>
            <w:tcW w:w="6803" w:type="dxa"/>
            <w:vAlign w:val="center"/>
            <w:textDirection w:val="lrTb"/>
            <w:noWrap w:val="false"/>
          </w:tcPr>
          <w:p>
            <w:pPr>
              <w:pStyle w:val="895"/>
              <w:rPr>
                <w:rFonts w:ascii="宋体" w:hAnsi="宋体"/>
                <w:bCs w:val="0"/>
                <w:i/>
                <w:iCs/>
                <w:color w:val="000000"/>
                <w:highlight w:val="white"/>
                <w:u w:val="single"/>
              </w:rPr>
            </w:pPr>
            <w:r>
              <w:rPr>
                <w:rFonts w:hint="eastAsia" w:ascii="宋体" w:hAnsi="宋体"/>
                <w:i/>
                <w:iCs/>
                <w:color w:val="000000"/>
                <w:highlight w:val="white"/>
                <w:u w:val="single"/>
              </w:rPr>
              <w:t xml:space="preserve">兼容</w:t>
            </w:r>
            <w:r>
              <w:rPr>
                <w:rFonts w:ascii="宋体" w:hAnsi="宋体"/>
                <w:i/>
                <w:iCs/>
                <w:color w:val="000000"/>
                <w:highlight w:val="white"/>
                <w:u w:val="single"/>
              </w:rPr>
              <w:t xml:space="preserve">3 </w:t>
            </w:r>
            <w:r>
              <w:rPr>
                <w:rFonts w:hint="eastAsia" w:ascii="宋体" w:hAnsi="宋体"/>
                <w:i/>
                <w:iCs/>
                <w:color w:val="000000"/>
                <w:highlight w:val="white"/>
                <w:u w:val="single"/>
              </w:rPr>
              <w:t xml:space="preserve">个及以上厂商的数据库产品</w:t>
            </w:r>
            <w:r>
              <w:rPr>
                <w:i/>
                <w:iCs/>
                <w:highlight w:val="white"/>
              </w:rPr>
            </w:r>
            <w:r/>
          </w:p>
        </w:tc>
      </w:tr>
      <w:tr>
        <w:trPr/>
        <w:tc>
          <w:tcPr>
            <w:tcW w:w="1719" w:type="dxa"/>
            <w:vAlign w:val="center"/>
            <w:textDirection w:val="lrTb"/>
            <w:noWrap w:val="false"/>
          </w:tcPr>
          <w:p>
            <w:pPr>
              <w:pStyle w:val="895"/>
              <w:jc w:val="center"/>
              <w:rPr>
                <w:rFonts w:ascii="宋体" w:hAnsi="宋体"/>
                <w:bCs w:val="0"/>
                <w:i/>
                <w:iCs/>
                <w:color w:val="000000"/>
                <w:highlight w:val="white"/>
                <w:u w:val="single"/>
              </w:rPr>
            </w:pPr>
            <w:r>
              <w:rPr>
                <w:rFonts w:hint="eastAsia" w:ascii="宋体" w:hAnsi="宋体"/>
                <w:i/>
                <w:iCs/>
                <w:color w:val="000000"/>
                <w:highlight w:val="white"/>
                <w:u w:val="single"/>
              </w:rPr>
              <w:t xml:space="preserve">中间件兼容</w:t>
            </w:r>
            <w:r>
              <w:rPr>
                <w:i/>
                <w:iCs/>
                <w:highlight w:val="white"/>
              </w:rPr>
            </w:r>
            <w:r/>
          </w:p>
        </w:tc>
        <w:tc>
          <w:tcPr>
            <w:tcW w:w="6803" w:type="dxa"/>
            <w:vAlign w:val="center"/>
            <w:textDirection w:val="lrTb"/>
            <w:noWrap w:val="false"/>
          </w:tcPr>
          <w:p>
            <w:pPr>
              <w:pStyle w:val="895"/>
              <w:rPr>
                <w:rFonts w:ascii="宋体" w:hAnsi="宋体"/>
                <w:bCs w:val="0"/>
                <w:i/>
                <w:iCs/>
                <w:color w:val="000000"/>
                <w:highlight w:val="white"/>
                <w:u w:val="single"/>
              </w:rPr>
            </w:pPr>
            <w:r>
              <w:rPr>
                <w:rFonts w:hint="eastAsia" w:ascii="宋体" w:hAnsi="宋体"/>
                <w:i/>
                <w:iCs/>
                <w:color w:val="000000"/>
                <w:highlight w:val="white"/>
                <w:u w:val="single"/>
              </w:rPr>
              <w:t xml:space="preserve">兼容</w:t>
            </w:r>
            <w:r>
              <w:rPr>
                <w:rFonts w:ascii="宋体" w:hAnsi="宋体"/>
                <w:i/>
                <w:iCs/>
                <w:color w:val="000000"/>
                <w:highlight w:val="white"/>
                <w:u w:val="single"/>
              </w:rPr>
              <w:t xml:space="preserve">3 </w:t>
            </w:r>
            <w:r>
              <w:rPr>
                <w:rFonts w:hint="eastAsia" w:ascii="宋体" w:hAnsi="宋体"/>
                <w:i/>
                <w:iCs/>
                <w:color w:val="000000"/>
                <w:highlight w:val="white"/>
                <w:u w:val="single"/>
              </w:rPr>
              <w:t xml:space="preserve">个及以上厂商的中间件产品</w:t>
            </w:r>
            <w:r>
              <w:rPr>
                <w:i/>
                <w:iCs/>
                <w:highlight w:val="white"/>
              </w:rPr>
            </w:r>
            <w:r/>
          </w:p>
        </w:tc>
      </w:tr>
      <w:tr>
        <w:trPr/>
        <w:tc>
          <w:tcPr>
            <w:tcW w:w="1719" w:type="dxa"/>
            <w:vAlign w:val="center"/>
            <w:textDirection w:val="lrTb"/>
            <w:noWrap w:val="false"/>
          </w:tcPr>
          <w:p>
            <w:pPr>
              <w:pStyle w:val="895"/>
              <w:jc w:val="center"/>
              <w:rPr>
                <w:rFonts w:ascii="宋体" w:hAnsi="宋体"/>
                <w:bCs w:val="0"/>
                <w:i/>
                <w:iCs/>
                <w:color w:val="000000"/>
                <w:highlight w:val="white"/>
                <w:u w:val="single"/>
              </w:rPr>
            </w:pPr>
            <w:r>
              <w:rPr>
                <w:rFonts w:hint="eastAsia" w:ascii="宋体" w:hAnsi="宋体"/>
                <w:i/>
                <w:iCs/>
                <w:color w:val="000000"/>
                <w:highlight w:val="white"/>
                <w:u w:val="single"/>
              </w:rPr>
              <w:t xml:space="preserve">平台软件兼容</w:t>
            </w:r>
            <w:r>
              <w:rPr>
                <w:i/>
                <w:iCs/>
                <w:highlight w:val="white"/>
              </w:rPr>
            </w:r>
            <w:r/>
          </w:p>
        </w:tc>
        <w:tc>
          <w:tcPr>
            <w:tcW w:w="6803" w:type="dxa"/>
            <w:vAlign w:val="center"/>
            <w:textDirection w:val="lrTb"/>
            <w:noWrap w:val="false"/>
          </w:tcPr>
          <w:p>
            <w:pPr>
              <w:pStyle w:val="895"/>
              <w:rPr>
                <w:rFonts w:ascii="宋体" w:hAnsi="宋体"/>
                <w:bCs w:val="0"/>
                <w:i/>
                <w:iCs/>
                <w:color w:val="000000"/>
                <w:highlight w:val="white"/>
                <w:u w:val="single"/>
              </w:rPr>
            </w:pPr>
            <w:r>
              <w:rPr>
                <w:rFonts w:hint="eastAsia" w:ascii="宋体" w:hAnsi="宋体"/>
                <w:i/>
                <w:iCs/>
                <w:color w:val="000000"/>
                <w:highlight w:val="white"/>
                <w:u w:val="single"/>
              </w:rPr>
              <w:t xml:space="preserve">兼容</w:t>
            </w:r>
            <w:r>
              <w:rPr>
                <w:rFonts w:ascii="宋体" w:hAnsi="宋体"/>
                <w:i/>
                <w:iCs/>
                <w:color w:val="000000"/>
                <w:highlight w:val="white"/>
                <w:u w:val="single"/>
              </w:rPr>
              <w:t xml:space="preserve">3 </w:t>
            </w:r>
            <w:r>
              <w:rPr>
                <w:rFonts w:hint="eastAsia" w:ascii="宋体" w:hAnsi="宋体"/>
                <w:i/>
                <w:iCs/>
                <w:color w:val="000000"/>
                <w:highlight w:val="white"/>
                <w:u w:val="single"/>
              </w:rPr>
              <w:t xml:space="preserve">个及以上厂商的大数据平台</w:t>
            </w:r>
            <w:r>
              <w:rPr>
                <w:i/>
                <w:iCs/>
                <w:highlight w:val="white"/>
              </w:rPr>
            </w:r>
            <w:r/>
          </w:p>
        </w:tc>
      </w:tr>
      <w:tr>
        <w:trPr/>
        <w:tc>
          <w:tcPr>
            <w:tcW w:w="1719" w:type="dxa"/>
            <w:vAlign w:val="center"/>
            <w:textDirection w:val="lrTb"/>
            <w:noWrap w:val="false"/>
          </w:tcPr>
          <w:p>
            <w:pPr>
              <w:pStyle w:val="895"/>
              <w:jc w:val="center"/>
              <w:rPr>
                <w:rFonts w:ascii="宋体" w:hAnsi="宋体"/>
                <w:bCs w:val="0"/>
                <w:i/>
                <w:iCs/>
                <w:color w:val="000000"/>
                <w:highlight w:val="white"/>
                <w:u w:val="single"/>
              </w:rPr>
            </w:pPr>
            <w:r>
              <w:rPr>
                <w:rFonts w:hint="eastAsia" w:ascii="宋体" w:hAnsi="宋体"/>
                <w:i/>
                <w:iCs/>
                <w:color w:val="000000"/>
                <w:highlight w:val="white"/>
                <w:u w:val="single"/>
              </w:rPr>
              <w:t xml:space="preserve">整机可靠性</w:t>
            </w:r>
            <w:r>
              <w:rPr>
                <w:i/>
                <w:iCs/>
                <w:highlight w:val="white"/>
              </w:rPr>
            </w:r>
            <w:r/>
          </w:p>
        </w:tc>
        <w:tc>
          <w:tcPr>
            <w:tcW w:w="6803" w:type="dxa"/>
            <w:vAlign w:val="center"/>
            <w:textDirection w:val="lrTb"/>
            <w:noWrap w:val="false"/>
          </w:tcPr>
          <w:p>
            <w:pPr>
              <w:pStyle w:val="895"/>
              <w:rPr>
                <w:rFonts w:ascii="宋体" w:hAnsi="宋体"/>
                <w:bCs w:val="0"/>
                <w:i/>
                <w:iCs/>
                <w:color w:val="000000"/>
                <w:highlight w:val="white"/>
                <w:u w:val="single"/>
              </w:rPr>
            </w:pPr>
            <w:r>
              <w:rPr>
                <w:rFonts w:hint="eastAsia" w:ascii="宋体" w:hAnsi="宋体"/>
                <w:i/>
                <w:iCs/>
                <w:color w:val="000000"/>
                <w:highlight w:val="white"/>
                <w:u w:val="single"/>
              </w:rPr>
              <w:t xml:space="preserve">m1 值（MTBF 的不可接受值）不得低于 30000h</w:t>
            </w:r>
            <w:r>
              <w:rPr>
                <w:i/>
                <w:iCs/>
                <w:highlight w:val="white"/>
              </w:rPr>
            </w:r>
            <w:r/>
          </w:p>
        </w:tc>
      </w:tr>
      <w:tr>
        <w:trPr/>
        <w:tc>
          <w:tcPr>
            <w:tcW w:w="1719" w:type="dxa"/>
            <w:vAlign w:val="center"/>
            <w:textDirection w:val="lrTb"/>
            <w:noWrap w:val="false"/>
          </w:tcPr>
          <w:p>
            <w:pPr>
              <w:pStyle w:val="895"/>
              <w:jc w:val="center"/>
              <w:rPr>
                <w:rFonts w:ascii="宋体" w:hAnsi="宋体"/>
                <w:bCs w:val="0"/>
                <w:i/>
                <w:iCs/>
                <w:color w:val="000000"/>
                <w:highlight w:val="white"/>
                <w:u w:val="single"/>
              </w:rPr>
            </w:pPr>
            <w:r>
              <w:rPr>
                <w:rFonts w:hint="eastAsia" w:ascii="宋体" w:hAnsi="宋体"/>
                <w:i/>
                <w:iCs/>
                <w:color w:val="000000"/>
                <w:highlight w:val="white"/>
                <w:u w:val="single"/>
              </w:rPr>
              <w:t xml:space="preserve">风扇可靠性</w:t>
            </w:r>
            <w:r>
              <w:rPr>
                <w:i/>
                <w:iCs/>
                <w:highlight w:val="white"/>
              </w:rPr>
            </w:r>
            <w:r/>
          </w:p>
        </w:tc>
        <w:tc>
          <w:tcPr>
            <w:tcW w:w="6803" w:type="dxa"/>
            <w:vAlign w:val="center"/>
            <w:textDirection w:val="lrTb"/>
            <w:noWrap w:val="false"/>
          </w:tcPr>
          <w:p>
            <w:pPr>
              <w:pStyle w:val="895"/>
              <w:rPr>
                <w:rFonts w:ascii="宋体" w:hAnsi="宋体"/>
                <w:bCs w:val="0"/>
                <w:i/>
                <w:iCs/>
                <w:color w:val="000000"/>
                <w:highlight w:val="white"/>
                <w:u w:val="single"/>
              </w:rPr>
            </w:pPr>
            <w:r>
              <w:rPr>
                <w:rFonts w:hint="eastAsia" w:ascii="宋体" w:hAnsi="宋体"/>
                <w:i/>
                <w:iCs/>
                <w:color w:val="000000"/>
                <w:highlight w:val="white"/>
                <w:u w:val="single"/>
              </w:rPr>
              <w:t xml:space="preserve">风扇寿命应不低于 40000h</w:t>
            </w:r>
            <w:r>
              <w:rPr>
                <w:i/>
                <w:iCs/>
                <w:highlight w:val="white"/>
              </w:rPr>
            </w:r>
            <w:r/>
          </w:p>
        </w:tc>
      </w:tr>
      <w:tr>
        <w:trPr/>
        <w:tc>
          <w:tcPr>
            <w:tcW w:w="1719" w:type="dxa"/>
            <w:vAlign w:val="center"/>
            <w:textDirection w:val="lrTb"/>
            <w:noWrap w:val="false"/>
          </w:tcPr>
          <w:p>
            <w:pPr>
              <w:pStyle w:val="895"/>
              <w:jc w:val="center"/>
              <w:rPr>
                <w:rFonts w:ascii="宋体" w:hAnsi="宋体"/>
                <w:bCs w:val="0"/>
                <w:i/>
                <w:iCs/>
                <w:color w:val="000000"/>
                <w:highlight w:val="white"/>
                <w:u w:val="single"/>
              </w:rPr>
            </w:pPr>
            <w:r>
              <w:rPr>
                <w:rFonts w:hint="eastAsia" w:ascii="宋体" w:hAnsi="宋体"/>
                <w:i/>
                <w:iCs/>
                <w:color w:val="000000"/>
                <w:highlight w:val="white"/>
                <w:u w:val="single"/>
              </w:rPr>
              <w:t xml:space="preserve">部件可靠性</w:t>
            </w:r>
            <w:r>
              <w:rPr>
                <w:i/>
                <w:iCs/>
                <w:highlight w:val="white"/>
              </w:rPr>
            </w:r>
            <w:r/>
          </w:p>
        </w:tc>
        <w:tc>
          <w:tcPr>
            <w:tcW w:w="6803" w:type="dxa"/>
            <w:vAlign w:val="center"/>
            <w:textDirection w:val="lrTb"/>
            <w:noWrap w:val="false"/>
          </w:tcPr>
          <w:p>
            <w:pPr>
              <w:pStyle w:val="895"/>
              <w:rPr>
                <w:rFonts w:ascii="宋体" w:hAnsi="宋体"/>
                <w:bCs w:val="0"/>
                <w:i/>
                <w:iCs/>
                <w:color w:val="000000"/>
                <w:highlight w:val="white"/>
                <w:u w:val="single"/>
              </w:rPr>
            </w:pPr>
            <w:r>
              <w:rPr>
                <w:rFonts w:hint="eastAsia" w:ascii="宋体" w:hAnsi="宋体"/>
                <w:i/>
                <w:iCs/>
                <w:color w:val="000000"/>
                <w:highlight w:val="white"/>
                <w:u w:val="single"/>
              </w:rPr>
              <w:t xml:space="preserve">支持硬盘、电源、风扇热插拔(内置风扇除外)</w:t>
            </w:r>
            <w:r>
              <w:rPr>
                <w:i/>
                <w:iCs/>
                <w:highlight w:val="white"/>
              </w:rPr>
            </w:r>
            <w:r/>
          </w:p>
        </w:tc>
      </w:tr>
      <w:tr>
        <w:trPr/>
        <w:tc>
          <w:tcPr>
            <w:tcW w:w="1719" w:type="dxa"/>
            <w:vAlign w:val="center"/>
            <w:textDirection w:val="lrTb"/>
            <w:noWrap w:val="false"/>
          </w:tcPr>
          <w:p>
            <w:pPr>
              <w:pStyle w:val="895"/>
              <w:jc w:val="center"/>
              <w:rPr>
                <w:rFonts w:ascii="宋体" w:hAnsi="宋体"/>
                <w:bCs w:val="0"/>
                <w:i/>
                <w:iCs/>
                <w:color w:val="000000"/>
                <w:highlight w:val="white"/>
                <w:u w:val="single"/>
              </w:rPr>
            </w:pPr>
            <w:r>
              <w:rPr>
                <w:rFonts w:hint="eastAsia" w:ascii="宋体" w:hAnsi="宋体"/>
                <w:i/>
                <w:iCs/>
                <w:color w:val="000000"/>
                <w:highlight w:val="white"/>
                <w:u w:val="single"/>
              </w:rPr>
              <w:t xml:space="preserve">标志、包装、运输和贮存</w:t>
            </w:r>
            <w:r>
              <w:rPr>
                <w:i/>
                <w:iCs/>
                <w:highlight w:val="white"/>
              </w:rPr>
            </w:r>
            <w:r/>
          </w:p>
        </w:tc>
        <w:tc>
          <w:tcPr>
            <w:tcW w:w="6803" w:type="dxa"/>
            <w:vAlign w:val="center"/>
            <w:textDirection w:val="lrTb"/>
            <w:noWrap w:val="false"/>
          </w:tcPr>
          <w:p>
            <w:pPr>
              <w:pStyle w:val="895"/>
              <w:rPr>
                <w:rFonts w:ascii="宋体" w:hAnsi="宋体"/>
                <w:bCs w:val="0"/>
                <w:i/>
                <w:iCs/>
                <w:color w:val="000000"/>
                <w:highlight w:val="white"/>
                <w:u w:val="single"/>
              </w:rPr>
            </w:pPr>
            <w:r>
              <w:rPr>
                <w:rFonts w:hint="eastAsia" w:ascii="宋体" w:hAnsi="宋体"/>
                <w:i/>
                <w:iCs/>
                <w:color w:val="000000"/>
                <w:highlight w:val="white"/>
                <w:u w:val="single"/>
              </w:rPr>
              <w:t xml:space="preserve">符合 GB/T 9813.3 和商品包装政府采购需求标准的相关规定</w:t>
            </w:r>
            <w:r>
              <w:rPr>
                <w:i/>
                <w:iCs/>
                <w:highlight w:val="white"/>
              </w:rPr>
            </w:r>
            <w:r/>
          </w:p>
        </w:tc>
      </w:tr>
      <w:tr>
        <w:trPr/>
        <w:tc>
          <w:tcPr>
            <w:tcW w:w="1719" w:type="dxa"/>
            <w:vAlign w:val="center"/>
            <w:textDirection w:val="lrTb"/>
            <w:noWrap w:val="false"/>
          </w:tcPr>
          <w:p>
            <w:pPr>
              <w:pStyle w:val="895"/>
              <w:jc w:val="center"/>
              <w:rPr>
                <w:rFonts w:ascii="宋体" w:hAnsi="宋体"/>
                <w:bCs w:val="0"/>
                <w:i/>
                <w:iCs/>
                <w:color w:val="000000"/>
                <w:highlight w:val="white"/>
                <w:u w:val="single"/>
              </w:rPr>
            </w:pPr>
            <w:r>
              <w:rPr>
                <w:rFonts w:hint="eastAsia" w:ascii="宋体" w:hAnsi="宋体"/>
                <w:i/>
                <w:iCs/>
                <w:color w:val="000000"/>
                <w:highlight w:val="white"/>
                <w:u w:val="single"/>
              </w:rPr>
              <w:t xml:space="preserve">服务响应</w:t>
            </w:r>
            <w:r>
              <w:rPr>
                <w:i/>
                <w:iCs/>
                <w:highlight w:val="white"/>
              </w:rPr>
            </w:r>
            <w:r/>
          </w:p>
        </w:tc>
        <w:tc>
          <w:tcPr>
            <w:tcW w:w="6803" w:type="dxa"/>
            <w:vAlign w:val="center"/>
            <w:textDirection w:val="lrTb"/>
            <w:noWrap w:val="false"/>
          </w:tcPr>
          <w:p>
            <w:pPr>
              <w:pStyle w:val="895"/>
              <w:rPr>
                <w:rFonts w:ascii="宋体" w:hAnsi="宋体"/>
                <w:bCs w:val="0"/>
                <w:i/>
                <w:iCs/>
                <w:color w:val="000000"/>
                <w:highlight w:val="white"/>
                <w:u w:val="single"/>
              </w:rPr>
            </w:pPr>
            <w:r>
              <w:rPr>
                <w:rFonts w:hint="eastAsia" w:ascii="宋体" w:hAnsi="宋体"/>
                <w:i/>
                <w:iCs/>
                <w:color w:val="000000"/>
                <w:highlight w:val="white"/>
                <w:u w:val="single"/>
              </w:rPr>
              <w:t xml:space="preserve">a) 提供电话、电子邮件、远程连接等多种形式服务；b) 提供同城 4h、异地 12h 技术响应服务，2 个工作日解决问题，对于未能解决的问题和故障应提供可行的升级方案，并提供周转设备；c) 建立全国技术服务体系和服务团体，符合专业服务体系标准要求，提供原厂中文服务；d) 服务周期内提供产品的维修、换件和升级服务</w:t>
            </w:r>
            <w:r>
              <w:rPr>
                <w:i/>
                <w:iCs/>
                <w:highlight w:val="white"/>
              </w:rPr>
            </w:r>
            <w:r/>
          </w:p>
        </w:tc>
      </w:tr>
      <w:tr>
        <w:trPr/>
        <w:tc>
          <w:tcPr>
            <w:tcW w:w="1719" w:type="dxa"/>
            <w:vAlign w:val="center"/>
            <w:textDirection w:val="lrTb"/>
            <w:noWrap w:val="false"/>
          </w:tcPr>
          <w:p>
            <w:pPr>
              <w:pStyle w:val="895"/>
              <w:jc w:val="center"/>
              <w:rPr>
                <w:rFonts w:ascii="宋体" w:hAnsi="宋体"/>
                <w:bCs w:val="0"/>
                <w:i/>
                <w:iCs/>
                <w:color w:val="000000"/>
                <w:highlight w:val="white"/>
                <w:u w:val="single"/>
              </w:rPr>
            </w:pPr>
            <w:r>
              <w:rPr>
                <w:rFonts w:hint="eastAsia" w:ascii="宋体" w:hAnsi="宋体"/>
                <w:i/>
                <w:iCs/>
                <w:color w:val="000000"/>
                <w:highlight w:val="white"/>
                <w:u w:val="single"/>
              </w:rPr>
              <w:t xml:space="preserve">培训服务</w:t>
            </w:r>
            <w:r>
              <w:rPr>
                <w:i/>
                <w:iCs/>
                <w:highlight w:val="white"/>
              </w:rPr>
            </w:r>
            <w:r/>
          </w:p>
        </w:tc>
        <w:tc>
          <w:tcPr>
            <w:tcW w:w="6803" w:type="dxa"/>
            <w:vAlign w:val="center"/>
            <w:textDirection w:val="lrTb"/>
            <w:noWrap w:val="false"/>
          </w:tcPr>
          <w:p>
            <w:pPr>
              <w:pStyle w:val="895"/>
              <w:rPr>
                <w:rFonts w:ascii="宋体" w:hAnsi="宋体"/>
                <w:bCs w:val="0"/>
                <w:i/>
                <w:iCs/>
                <w:color w:val="000000"/>
                <w:highlight w:val="white"/>
                <w:u w:val="single"/>
              </w:rPr>
            </w:pPr>
            <w:r>
              <w:rPr>
                <w:rFonts w:hint="eastAsia" w:ascii="宋体" w:hAnsi="宋体"/>
                <w:i/>
                <w:iCs/>
                <w:color w:val="000000"/>
                <w:highlight w:val="white"/>
                <w:u w:val="single"/>
              </w:rPr>
              <w:t xml:space="preserve">供应商提供培训材料、产品手册、培训视频等培训相关内容</w:t>
            </w:r>
            <w:r>
              <w:rPr>
                <w:i/>
                <w:iCs/>
                <w:highlight w:val="white"/>
              </w:rPr>
            </w:r>
            <w:r/>
          </w:p>
        </w:tc>
      </w:tr>
      <w:tr>
        <w:trPr/>
        <w:tc>
          <w:tcPr>
            <w:tcW w:w="1719" w:type="dxa"/>
            <w:vAlign w:val="center"/>
            <w:textDirection w:val="lrTb"/>
            <w:noWrap w:val="false"/>
          </w:tcPr>
          <w:p>
            <w:pPr>
              <w:pStyle w:val="895"/>
              <w:jc w:val="center"/>
              <w:rPr>
                <w:rFonts w:ascii="宋体" w:hAnsi="宋体"/>
                <w:bCs w:val="0"/>
                <w:i/>
                <w:iCs/>
                <w:color w:val="000000"/>
                <w:highlight w:val="white"/>
                <w:u w:val="single"/>
              </w:rPr>
            </w:pPr>
            <w:r>
              <w:rPr>
                <w:rFonts w:hint="eastAsia" w:ascii="宋体" w:hAnsi="宋体"/>
                <w:i/>
                <w:iCs/>
                <w:color w:val="000000"/>
                <w:highlight w:val="white"/>
                <w:u w:val="single"/>
              </w:rPr>
              <w:t xml:space="preserve">服务周期</w:t>
            </w:r>
            <w:r>
              <w:rPr>
                <w:i/>
                <w:iCs/>
                <w:highlight w:val="white"/>
              </w:rPr>
            </w:r>
            <w:r/>
          </w:p>
        </w:tc>
        <w:tc>
          <w:tcPr>
            <w:tcW w:w="6803" w:type="dxa"/>
            <w:vAlign w:val="center"/>
            <w:textDirection w:val="lrTb"/>
            <w:noWrap w:val="false"/>
          </w:tcPr>
          <w:p>
            <w:pPr>
              <w:pStyle w:val="895"/>
              <w:rPr>
                <w:rFonts w:ascii="宋体" w:hAnsi="宋体"/>
                <w:bCs w:val="0"/>
                <w:i/>
                <w:iCs/>
                <w:color w:val="000000"/>
                <w:highlight w:val="white"/>
                <w:u w:val="single"/>
              </w:rPr>
            </w:pPr>
            <w:r>
              <w:rPr>
                <w:rFonts w:hint="eastAsia" w:ascii="宋体" w:hAnsi="宋体"/>
                <w:i/>
                <w:iCs/>
                <w:color w:val="000000"/>
                <w:highlight w:val="white"/>
                <w:u w:val="single"/>
              </w:rPr>
              <w:t xml:space="preserve">a) 产品免费服务周期（含换件和维修）应不小于 3 年；b) 设备停产后继续提供质量保障服务（含备品备件），服务终止时间与最后一批设备交付时间间隔不低于 6 年；c) 产品停止服务时间应提前 1 年告知客户；d) 产品发布日期需在随机文件中明确</w:t>
            </w:r>
            <w:r>
              <w:rPr>
                <w:i/>
                <w:iCs/>
                <w:highlight w:val="white"/>
              </w:rPr>
            </w:r>
            <w:r/>
          </w:p>
        </w:tc>
      </w:tr>
      <w:tr>
        <w:trPr/>
        <w:tc>
          <w:tcPr>
            <w:tcW w:w="1719" w:type="dxa"/>
            <w:vAlign w:val="center"/>
            <w:textDirection w:val="lrTb"/>
            <w:noWrap w:val="false"/>
          </w:tcPr>
          <w:p>
            <w:pPr>
              <w:pStyle w:val="895"/>
              <w:jc w:val="center"/>
              <w:rPr>
                <w:rFonts w:ascii="宋体" w:hAnsi="宋体"/>
                <w:bCs w:val="0"/>
                <w:i/>
                <w:iCs/>
                <w:color w:val="000000"/>
                <w:highlight w:val="white"/>
                <w:u w:val="single"/>
              </w:rPr>
            </w:pPr>
            <w:r>
              <w:rPr>
                <w:rFonts w:hint="eastAsia" w:ascii="宋体" w:hAnsi="宋体"/>
                <w:i/>
                <w:iCs/>
                <w:color w:val="000000"/>
                <w:highlight w:val="white"/>
                <w:u w:val="single"/>
              </w:rPr>
              <w:t xml:space="preserve">工具要求</w:t>
            </w:r>
            <w:r>
              <w:rPr>
                <w:i/>
                <w:iCs/>
                <w:highlight w:val="white"/>
              </w:rPr>
            </w:r>
            <w:r/>
          </w:p>
        </w:tc>
        <w:tc>
          <w:tcPr>
            <w:tcW w:w="6803" w:type="dxa"/>
            <w:vAlign w:val="center"/>
            <w:textDirection w:val="lrTb"/>
            <w:noWrap w:val="false"/>
          </w:tcPr>
          <w:p>
            <w:pPr>
              <w:pStyle w:val="895"/>
              <w:rPr>
                <w:rFonts w:ascii="宋体" w:hAnsi="宋体"/>
                <w:bCs w:val="0"/>
                <w:i/>
                <w:iCs/>
                <w:color w:val="000000"/>
                <w:highlight w:val="white"/>
                <w:u w:val="single"/>
              </w:rPr>
            </w:pPr>
            <w:r>
              <w:rPr>
                <w:rFonts w:hint="eastAsia" w:ascii="宋体" w:hAnsi="宋体"/>
                <w:i/>
                <w:iCs/>
                <w:color w:val="000000"/>
                <w:highlight w:val="white"/>
                <w:u w:val="single"/>
              </w:rPr>
              <w:t xml:space="preserve">供应商提供设置服务器硬件、辅助操作系统安装等功能的辅助工具和管理软件。且随附软件应具有合法授权或版权</w:t>
            </w:r>
            <w:r>
              <w:rPr>
                <w:i/>
                <w:iCs/>
                <w:highlight w:val="white"/>
              </w:rPr>
            </w:r>
            <w:r/>
          </w:p>
        </w:tc>
      </w:tr>
      <w:tr>
        <w:trPr/>
        <w:tc>
          <w:tcPr>
            <w:tcW w:w="1719" w:type="dxa"/>
            <w:vAlign w:val="center"/>
            <w:textDirection w:val="lrTb"/>
            <w:noWrap w:val="false"/>
          </w:tcPr>
          <w:p>
            <w:pPr>
              <w:pStyle w:val="895"/>
              <w:jc w:val="center"/>
              <w:rPr>
                <w:rFonts w:ascii="宋体" w:hAnsi="宋体"/>
                <w:bCs w:val="0"/>
                <w:i/>
                <w:iCs/>
                <w:color w:val="000000"/>
                <w:highlight w:val="white"/>
                <w:u w:val="single"/>
              </w:rPr>
            </w:pPr>
            <w:r>
              <w:rPr>
                <w:rFonts w:hint="eastAsia" w:ascii="宋体" w:hAnsi="宋体"/>
                <w:i/>
                <w:iCs/>
                <w:color w:val="000000"/>
                <w:highlight w:val="white"/>
                <w:u w:val="single"/>
              </w:rPr>
              <w:t xml:space="preserve">驱动安装升级指引</w:t>
            </w:r>
            <w:r>
              <w:rPr>
                <w:i/>
                <w:iCs/>
                <w:highlight w:val="white"/>
              </w:rPr>
            </w:r>
            <w:r/>
          </w:p>
        </w:tc>
        <w:tc>
          <w:tcPr>
            <w:tcW w:w="6803" w:type="dxa"/>
            <w:vAlign w:val="center"/>
            <w:textDirection w:val="lrTb"/>
            <w:noWrap w:val="false"/>
          </w:tcPr>
          <w:p>
            <w:pPr>
              <w:pStyle w:val="895"/>
              <w:rPr>
                <w:rFonts w:ascii="宋体" w:hAnsi="宋体"/>
                <w:bCs w:val="0"/>
                <w:i/>
                <w:iCs/>
                <w:color w:val="000000"/>
                <w:highlight w:val="white"/>
                <w:u w:val="single"/>
              </w:rPr>
            </w:pPr>
            <w:r>
              <w:rPr>
                <w:rFonts w:hint="eastAsia" w:ascii="宋体" w:hAnsi="宋体"/>
                <w:i/>
                <w:iCs/>
                <w:color w:val="000000"/>
                <w:highlight w:val="white"/>
                <w:u w:val="single"/>
              </w:rPr>
              <w:t xml:space="preserve">供应商提供出厂安装的配件所需的驱动程序，形式包括但不限于驱动光盘、驱动下载链接等。其他配件应提供指引</w:t>
            </w:r>
            <w:r>
              <w:rPr>
                <w:i/>
                <w:iCs/>
                <w:highlight w:val="white"/>
              </w:rPr>
            </w:r>
            <w:r/>
          </w:p>
        </w:tc>
      </w:tr>
      <w:tr>
        <w:trPr/>
        <w:tc>
          <w:tcPr>
            <w:tcW w:w="1719" w:type="dxa"/>
            <w:vAlign w:val="center"/>
            <w:textDirection w:val="lrTb"/>
            <w:noWrap w:val="false"/>
          </w:tcPr>
          <w:p>
            <w:pPr>
              <w:pStyle w:val="895"/>
              <w:jc w:val="center"/>
              <w:rPr>
                <w:rFonts w:ascii="宋体" w:hAnsi="宋体"/>
                <w:bCs w:val="0"/>
                <w:i/>
                <w:iCs/>
                <w:color w:val="000000"/>
                <w:highlight w:val="white"/>
                <w:u w:val="single"/>
              </w:rPr>
            </w:pPr>
            <w:r>
              <w:rPr>
                <w:rFonts w:hint="eastAsia" w:ascii="宋体" w:hAnsi="宋体"/>
                <w:i/>
                <w:iCs/>
                <w:color w:val="000000"/>
                <w:highlight w:val="white"/>
                <w:u w:val="single"/>
              </w:rPr>
              <w:t xml:space="preserve">管理软件</w:t>
            </w:r>
            <w:r>
              <w:rPr>
                <w:i/>
                <w:iCs/>
                <w:highlight w:val="white"/>
              </w:rPr>
            </w:r>
            <w:r/>
          </w:p>
        </w:tc>
        <w:tc>
          <w:tcPr>
            <w:tcW w:w="6803" w:type="dxa"/>
            <w:vAlign w:val="center"/>
            <w:textDirection w:val="lrTb"/>
            <w:noWrap w:val="false"/>
          </w:tcPr>
          <w:p>
            <w:pPr>
              <w:pStyle w:val="895"/>
              <w:rPr>
                <w:rFonts w:ascii="宋体" w:hAnsi="宋体"/>
                <w:bCs w:val="0"/>
                <w:i/>
                <w:iCs/>
                <w:color w:val="000000"/>
                <w:highlight w:val="white"/>
                <w:u w:val="single"/>
              </w:rPr>
            </w:pPr>
            <w:r>
              <w:rPr>
                <w:rFonts w:hint="eastAsia" w:ascii="宋体" w:hAnsi="宋体"/>
                <w:i/>
                <w:iCs/>
                <w:color w:val="000000"/>
                <w:highlight w:val="white"/>
                <w:u w:val="single"/>
              </w:rPr>
              <w:t xml:space="preserve">具备资源管理、系统管理、性能监控、健康监控、基于网络控制、报警设置功能</w:t>
            </w:r>
            <w:r>
              <w:rPr>
                <w:i/>
                <w:iCs/>
                <w:highlight w:val="white"/>
              </w:rPr>
            </w:r>
            <w:r/>
          </w:p>
        </w:tc>
      </w:tr>
      <w:tr>
        <w:trPr/>
        <w:tc>
          <w:tcPr>
            <w:tcW w:w="1719" w:type="dxa"/>
            <w:vAlign w:val="center"/>
            <w:textDirection w:val="lrTb"/>
            <w:noWrap w:val="false"/>
          </w:tcPr>
          <w:p>
            <w:pPr>
              <w:pStyle w:val="895"/>
              <w:jc w:val="center"/>
              <w:rPr>
                <w:rFonts w:ascii="宋体" w:hAnsi="宋体"/>
                <w:bCs w:val="0"/>
                <w:i/>
                <w:iCs/>
                <w:color w:val="000000"/>
                <w:highlight w:val="white"/>
                <w:u w:val="single"/>
              </w:rPr>
            </w:pPr>
            <w:r>
              <w:rPr>
                <w:rFonts w:hint="eastAsia" w:ascii="宋体" w:hAnsi="宋体"/>
                <w:i/>
                <w:iCs/>
                <w:color w:val="000000"/>
                <w:highlight w:val="white"/>
                <w:u w:val="single"/>
              </w:rPr>
              <w:t xml:space="preserve">厂家升级产品软件与扩容服务</w:t>
            </w:r>
            <w:r>
              <w:rPr>
                <w:i/>
                <w:iCs/>
                <w:highlight w:val="white"/>
              </w:rPr>
            </w:r>
            <w:r/>
          </w:p>
        </w:tc>
        <w:tc>
          <w:tcPr>
            <w:tcW w:w="6803" w:type="dxa"/>
            <w:vAlign w:val="center"/>
            <w:textDirection w:val="lrTb"/>
            <w:noWrap w:val="false"/>
          </w:tcPr>
          <w:p>
            <w:pPr>
              <w:pStyle w:val="895"/>
              <w:rPr>
                <w:rFonts w:ascii="宋体" w:hAnsi="宋体"/>
                <w:bCs w:val="0"/>
                <w:i/>
                <w:iCs/>
                <w:color w:val="000000"/>
                <w:highlight w:val="white"/>
                <w:u w:val="single"/>
              </w:rPr>
            </w:pPr>
            <w:r>
              <w:rPr>
                <w:rFonts w:hint="eastAsia" w:ascii="宋体" w:hAnsi="宋体"/>
                <w:i/>
                <w:iCs/>
                <w:color w:val="000000"/>
                <w:highlight w:val="white"/>
                <w:u w:val="single"/>
              </w:rPr>
              <w:t xml:space="preserve">供应商提供原厂级的部件/软件产品升级和扩容能力</w:t>
            </w:r>
            <w:r>
              <w:rPr>
                <w:i/>
                <w:iCs/>
                <w:highlight w:val="white"/>
              </w:rPr>
            </w:r>
            <w:r/>
          </w:p>
        </w:tc>
      </w:tr>
      <w:tr>
        <w:trPr/>
        <w:tc>
          <w:tcPr>
            <w:tcW w:w="1719" w:type="dxa"/>
            <w:vAlign w:val="center"/>
            <w:textDirection w:val="lrTb"/>
            <w:noWrap w:val="false"/>
          </w:tcPr>
          <w:p>
            <w:pPr>
              <w:pStyle w:val="895"/>
              <w:jc w:val="center"/>
              <w:rPr>
                <w:rFonts w:ascii="宋体" w:hAnsi="宋体"/>
                <w:bCs w:val="0"/>
                <w:i/>
                <w:iCs/>
                <w:color w:val="000000"/>
                <w:highlight w:val="white"/>
                <w:u w:val="single"/>
              </w:rPr>
            </w:pPr>
            <w:r>
              <w:rPr>
                <w:rFonts w:hint="eastAsia" w:ascii="宋体" w:hAnsi="宋体"/>
                <w:i/>
                <w:iCs/>
                <w:color w:val="000000"/>
                <w:highlight w:val="white"/>
                <w:u w:val="single"/>
              </w:rPr>
              <w:t xml:space="preserve">提供上门服务</w:t>
            </w:r>
            <w:r>
              <w:rPr>
                <w:i/>
                <w:iCs/>
                <w:highlight w:val="white"/>
              </w:rPr>
            </w:r>
            <w:r/>
          </w:p>
        </w:tc>
        <w:tc>
          <w:tcPr>
            <w:tcW w:w="6803" w:type="dxa"/>
            <w:vAlign w:val="center"/>
            <w:textDirection w:val="lrTb"/>
            <w:noWrap w:val="false"/>
          </w:tcPr>
          <w:p>
            <w:pPr>
              <w:pStyle w:val="895"/>
              <w:rPr>
                <w:rFonts w:ascii="宋体" w:hAnsi="宋体"/>
                <w:bCs w:val="0"/>
                <w:i/>
                <w:iCs/>
                <w:color w:val="000000"/>
                <w:highlight w:val="white"/>
                <w:u w:val="single"/>
              </w:rPr>
            </w:pPr>
            <w:r>
              <w:rPr>
                <w:rFonts w:hint="eastAsia" w:ascii="宋体" w:hAnsi="宋体"/>
                <w:i/>
                <w:iCs/>
                <w:color w:val="000000"/>
                <w:highlight w:val="white"/>
                <w:u w:val="single"/>
              </w:rPr>
              <w:t xml:space="preserve">供应商具备提供上门服务的能力</w:t>
            </w:r>
            <w:r>
              <w:rPr>
                <w:i/>
                <w:iCs/>
                <w:highlight w:val="white"/>
              </w:rPr>
            </w:r>
            <w:r/>
          </w:p>
        </w:tc>
      </w:tr>
      <w:tr>
        <w:trPr>
          <w:trHeight w:val="58"/>
        </w:trPr>
        <w:tc>
          <w:tcPr>
            <w:tcW w:w="1719" w:type="dxa"/>
            <w:vAlign w:val="center"/>
            <w:textDirection w:val="lrTb"/>
            <w:noWrap w:val="false"/>
          </w:tcPr>
          <w:p>
            <w:pPr>
              <w:pStyle w:val="895"/>
              <w:jc w:val="center"/>
              <w:rPr>
                <w:rFonts w:ascii="宋体" w:hAnsi="宋体"/>
                <w:bCs w:val="0"/>
                <w:i/>
                <w:iCs/>
                <w:color w:val="000000"/>
                <w:highlight w:val="white"/>
                <w:u w:val="single"/>
              </w:rPr>
            </w:pPr>
            <w:r>
              <w:rPr>
                <w:rFonts w:hint="eastAsia" w:ascii="宋体" w:hAnsi="宋体"/>
                <w:i/>
                <w:iCs/>
                <w:color w:val="000000"/>
                <w:highlight w:val="white"/>
                <w:u w:val="single"/>
              </w:rPr>
              <w:t xml:space="preserve">抗干扰性</w:t>
            </w:r>
            <w:r>
              <w:rPr>
                <w:i/>
                <w:iCs/>
                <w:highlight w:val="white"/>
              </w:rPr>
            </w:r>
            <w:r/>
          </w:p>
        </w:tc>
        <w:tc>
          <w:tcPr>
            <w:tcW w:w="6803" w:type="dxa"/>
            <w:vAlign w:val="center"/>
            <w:textDirection w:val="lrTb"/>
            <w:noWrap w:val="false"/>
          </w:tcPr>
          <w:p>
            <w:pPr>
              <w:pStyle w:val="895"/>
              <w:rPr>
                <w:rFonts w:ascii="宋体" w:hAnsi="宋体"/>
                <w:bCs w:val="0"/>
                <w:i/>
                <w:iCs/>
                <w:color w:val="000000"/>
                <w:highlight w:val="white"/>
                <w:u w:val="single"/>
              </w:rPr>
            </w:pPr>
            <w:r>
              <w:rPr>
                <w:rFonts w:hint="eastAsia" w:ascii="宋体" w:hAnsi="宋体"/>
                <w:i/>
                <w:iCs/>
                <w:color w:val="000000"/>
                <w:highlight w:val="white"/>
                <w:u w:val="single"/>
              </w:rPr>
              <w:t xml:space="preserve">当产品部件出现供应风险时，应通知客户并提供风险应对方案确保产品的服务保障，必要时应停止相关受影响产品的销售</w:t>
            </w:r>
            <w:r>
              <w:rPr>
                <w:i/>
                <w:iCs/>
                <w:highlight w:val="white"/>
              </w:rPr>
            </w:r>
            <w:r/>
          </w:p>
        </w:tc>
      </w:tr>
      <w:tr>
        <w:trPr/>
        <w:tc>
          <w:tcPr>
            <w:tcW w:w="1719" w:type="dxa"/>
            <w:vAlign w:val="center"/>
            <w:textDirection w:val="lrTb"/>
            <w:noWrap w:val="false"/>
          </w:tcPr>
          <w:p>
            <w:pPr>
              <w:pStyle w:val="895"/>
              <w:jc w:val="center"/>
              <w:rPr>
                <w:rFonts w:ascii="宋体" w:hAnsi="宋体"/>
                <w:bCs w:val="0"/>
                <w:i/>
                <w:iCs/>
                <w:color w:val="000000"/>
                <w:highlight w:val="white"/>
                <w:u w:val="single"/>
              </w:rPr>
            </w:pPr>
            <w:r>
              <w:rPr>
                <w:rFonts w:hint="eastAsia" w:ascii="宋体" w:hAnsi="宋体"/>
                <w:i/>
                <w:iCs/>
                <w:color w:val="000000"/>
                <w:highlight w:val="white"/>
                <w:u w:val="single"/>
              </w:rPr>
              <w:t xml:space="preserve">供应能力证明</w:t>
            </w:r>
            <w:r>
              <w:rPr>
                <w:i/>
                <w:iCs/>
                <w:highlight w:val="white"/>
              </w:rPr>
            </w:r>
            <w:r/>
          </w:p>
        </w:tc>
        <w:tc>
          <w:tcPr>
            <w:tcW w:w="6803" w:type="dxa"/>
            <w:vAlign w:val="center"/>
            <w:textDirection w:val="lrTb"/>
            <w:noWrap w:val="false"/>
          </w:tcPr>
          <w:p>
            <w:pPr>
              <w:pStyle w:val="895"/>
              <w:rPr>
                <w:rFonts w:ascii="宋体" w:hAnsi="宋体"/>
                <w:bCs w:val="0"/>
                <w:i/>
                <w:iCs/>
                <w:color w:val="000000"/>
                <w:highlight w:val="white"/>
                <w:u w:val="single"/>
              </w:rPr>
            </w:pPr>
            <w:r>
              <w:rPr>
                <w:rFonts w:hint="eastAsia" w:ascii="宋体" w:hAnsi="宋体"/>
                <w:i/>
                <w:iCs/>
                <w:color w:val="000000"/>
                <w:highlight w:val="white"/>
                <w:u w:val="single"/>
              </w:rPr>
              <w:t xml:space="preserve">供应商提供供应链稳定承诺书，确保产品的部件在产品服务周期内稳定供货</w:t>
            </w:r>
            <w:r>
              <w:rPr>
                <w:i/>
                <w:iCs/>
                <w:highlight w:val="white"/>
              </w:rPr>
            </w:r>
            <w:r/>
          </w:p>
        </w:tc>
      </w:tr>
      <w:tr>
        <w:trPr/>
        <w:tc>
          <w:tcPr>
            <w:tcW w:w="1719" w:type="dxa"/>
            <w:vAlign w:val="center"/>
            <w:textDirection w:val="lrTb"/>
            <w:noWrap w:val="false"/>
          </w:tcPr>
          <w:p>
            <w:pPr>
              <w:pStyle w:val="895"/>
              <w:jc w:val="center"/>
              <w:rPr>
                <w:rFonts w:ascii="宋体" w:hAnsi="宋体"/>
                <w:bCs/>
                <w:i/>
                <w:color w:val="000000"/>
                <w:highlight w:val="white"/>
              </w:rPr>
            </w:pPr>
            <w:r>
              <w:rPr>
                <w:rFonts w:ascii="宋体" w:hAnsi="宋体"/>
                <w:i/>
                <w:iCs/>
                <w:color w:val="000000"/>
                <w:highlight w:val="white"/>
              </w:rPr>
              <w:t xml:space="preserve">GPU扩展</w:t>
            </w:r>
            <w:r>
              <w:rPr>
                <w:i/>
                <w:iCs/>
                <w:highlight w:val="white"/>
              </w:rPr>
            </w:r>
            <w:r/>
          </w:p>
        </w:tc>
        <w:tc>
          <w:tcPr>
            <w:tcW w:w="6803" w:type="dxa"/>
            <w:vAlign w:val="center"/>
            <w:textDirection w:val="lrTb"/>
            <w:noWrap w:val="false"/>
          </w:tcPr>
          <w:p>
            <w:pPr>
              <w:pStyle w:val="895"/>
              <w:rPr>
                <w:rFonts w:ascii="宋体" w:hAnsi="宋体"/>
                <w:bCs/>
                <w:i/>
                <w:color w:val="000000"/>
                <w:highlight w:val="white"/>
              </w:rPr>
            </w:pPr>
            <w:r>
              <w:rPr>
                <w:rFonts w:hint="eastAsia" w:ascii="宋体" w:hAnsi="宋体" w:cs="宋体"/>
                <w:i/>
                <w:iCs/>
                <w:color w:val="000000"/>
                <w:highlight w:val="white"/>
              </w:rPr>
              <w:t xml:space="preserve">▲</w:t>
            </w:r>
            <w:r>
              <w:rPr>
                <w:rFonts w:hint="eastAsia" w:ascii="宋体" w:hAnsi="宋体"/>
                <w:i/>
                <w:iCs/>
                <w:color w:val="000000"/>
                <w:highlight w:val="white"/>
              </w:rPr>
              <w:t xml:space="preserve">标配支持8个双宽PCIe GPU卡，最大可以支持10个双宽GPU</w:t>
            </w:r>
            <w:r>
              <w:rPr>
                <w:i/>
                <w:iCs/>
                <w:highlight w:val="white"/>
              </w:rPr>
            </w:r>
            <w:r/>
          </w:p>
          <w:p>
            <w:pPr>
              <w:pStyle w:val="895"/>
              <w:rPr>
                <w:rFonts w:ascii="宋体" w:hAnsi="宋体"/>
                <w:bCs/>
                <w:i/>
                <w:color w:val="00b050"/>
                <w:highlight w:val="white"/>
              </w:rPr>
            </w:pPr>
            <w:r>
              <w:rPr>
                <w:rFonts w:hint="eastAsia" w:ascii="宋体" w:hAnsi="宋体"/>
                <w:i/>
                <w:iCs/>
                <w:color w:val="000000"/>
                <w:highlight w:val="white"/>
              </w:rPr>
              <w:t xml:space="preserve">CPU和GPU挂载比可支持1:4、1:8、直通等多种拓扑配置</w:t>
            </w:r>
            <w:r>
              <w:rPr>
                <w:rFonts w:hint="eastAsia" w:ascii="宋体" w:hAnsi="宋体"/>
                <w:b/>
                <w:bCs/>
                <w:i/>
                <w:iCs/>
                <w:color w:val="000000"/>
                <w:highlight w:val="white"/>
              </w:rPr>
              <w:t xml:space="preserve">提供官网截图证明</w:t>
            </w:r>
            <w:r>
              <w:rPr>
                <w:i/>
                <w:iCs/>
                <w:highlight w:val="white"/>
              </w:rPr>
            </w:r>
            <w:r/>
          </w:p>
        </w:tc>
      </w:tr>
      <w:tr>
        <w:trPr/>
        <w:tc>
          <w:tcPr>
            <w:tcW w:w="1719" w:type="dxa"/>
            <w:vAlign w:val="center"/>
            <w:textDirection w:val="lrTb"/>
            <w:noWrap w:val="false"/>
          </w:tcPr>
          <w:p>
            <w:pPr>
              <w:pStyle w:val="895"/>
              <w:jc w:val="center"/>
              <w:rPr>
                <w:rFonts w:ascii="宋体" w:hAnsi="宋体"/>
                <w:bCs/>
                <w:i/>
                <w:color w:val="000000"/>
                <w:highlight w:val="white"/>
              </w:rPr>
            </w:pPr>
            <w:r>
              <w:rPr>
                <w:rFonts w:hint="eastAsia" w:ascii="宋体" w:hAnsi="宋体"/>
                <w:i/>
                <w:iCs/>
                <w:color w:val="000000"/>
                <w:highlight w:val="white"/>
              </w:rPr>
              <w:t xml:space="preserve">阵列卡</w:t>
            </w:r>
            <w:r>
              <w:rPr>
                <w:i/>
                <w:iCs/>
                <w:highlight w:val="white"/>
              </w:rPr>
            </w:r>
            <w:r/>
          </w:p>
        </w:tc>
        <w:tc>
          <w:tcPr>
            <w:tcW w:w="6803" w:type="dxa"/>
            <w:vAlign w:val="center"/>
            <w:textDirection w:val="lrTb"/>
            <w:noWrap w:val="false"/>
          </w:tcPr>
          <w:p>
            <w:pPr>
              <w:pStyle w:val="895"/>
              <w:rPr>
                <w:rFonts w:ascii="宋体" w:hAnsi="宋体"/>
                <w:bCs/>
                <w:i/>
                <w:color w:val="000000"/>
                <w:highlight w:val="white"/>
              </w:rPr>
            </w:pPr>
            <w:r>
              <w:rPr>
                <w:rFonts w:hint="eastAsia" w:ascii="宋体" w:hAnsi="宋体"/>
                <w:i/>
                <w:iCs/>
                <w:color w:val="000000"/>
                <w:highlight w:val="white"/>
              </w:rPr>
              <w:t xml:space="preserve">配置一块阵列卡，缓存≥4G，支持RAID0/1/10/5/6/50/60等</w:t>
            </w:r>
            <w:r>
              <w:rPr>
                <w:i/>
                <w:iCs/>
                <w:highlight w:val="white"/>
              </w:rPr>
            </w:r>
            <w:r/>
          </w:p>
        </w:tc>
      </w:tr>
      <w:tr>
        <w:trPr>
          <w:trHeight w:val="90"/>
        </w:trPr>
        <w:tc>
          <w:tcPr>
            <w:tcW w:w="1719" w:type="dxa"/>
            <w:vAlign w:val="center"/>
            <w:textDirection w:val="lrTb"/>
            <w:noWrap w:val="false"/>
          </w:tcPr>
          <w:p>
            <w:pPr>
              <w:pStyle w:val="895"/>
              <w:jc w:val="center"/>
              <w:rPr>
                <w:rFonts w:ascii="宋体" w:hAnsi="宋体"/>
                <w:bCs/>
                <w:i/>
                <w:color w:val="000000"/>
                <w:highlight w:val="white"/>
              </w:rPr>
            </w:pPr>
            <w:r>
              <w:rPr>
                <w:rFonts w:ascii="宋体" w:hAnsi="宋体"/>
                <w:i/>
                <w:iCs/>
                <w:color w:val="000000"/>
                <w:highlight w:val="white"/>
              </w:rPr>
              <w:t xml:space="preserve">温度监控</w:t>
            </w:r>
            <w:r>
              <w:rPr>
                <w:i/>
                <w:iCs/>
                <w:highlight w:val="white"/>
              </w:rPr>
            </w:r>
            <w:r/>
          </w:p>
        </w:tc>
        <w:tc>
          <w:tcPr>
            <w:tcW w:w="6803" w:type="dxa"/>
            <w:vAlign w:val="center"/>
            <w:textDirection w:val="lrTb"/>
            <w:noWrap w:val="false"/>
          </w:tcPr>
          <w:p>
            <w:pPr>
              <w:pStyle w:val="895"/>
              <w:rPr>
                <w:rFonts w:ascii="宋体" w:hAnsi="宋体"/>
                <w:bCs/>
                <w:i/>
                <w:color w:val="000000"/>
                <w:highlight w:val="white"/>
              </w:rPr>
            </w:pPr>
            <w:r>
              <w:rPr>
                <w:rFonts w:hint="eastAsia" w:ascii="宋体" w:hAnsi="宋体"/>
                <w:i/>
                <w:iCs/>
                <w:color w:val="000000"/>
                <w:highlight w:val="white"/>
              </w:rPr>
              <w:t xml:space="preserve">▲支持智能温度监控功能，支持图形化部件温度显示，支持以图形化的方式显示的温度传感器信息和温度告警，能够显示对应的温度传感器的名称、状态、读数、告警阈值等内容</w:t>
            </w:r>
            <w:r>
              <w:rPr>
                <w:i/>
                <w:iCs/>
                <w:highlight w:val="white"/>
              </w:rPr>
            </w:r>
            <w:r/>
          </w:p>
        </w:tc>
      </w:tr>
      <w:tr>
        <w:trPr/>
        <w:tc>
          <w:tcPr>
            <w:tcW w:w="1719" w:type="dxa"/>
            <w:vAlign w:val="center"/>
            <w:textDirection w:val="lrTb"/>
            <w:noWrap w:val="false"/>
          </w:tcPr>
          <w:p>
            <w:pPr>
              <w:pStyle w:val="895"/>
              <w:jc w:val="center"/>
              <w:rPr>
                <w:rFonts w:ascii="宋体" w:hAnsi="宋体"/>
                <w:bCs/>
                <w:i/>
                <w:color w:val="000000"/>
                <w:highlight w:val="white"/>
              </w:rPr>
            </w:pPr>
            <w:r>
              <w:rPr>
                <w:rFonts w:hint="eastAsia" w:ascii="宋体" w:hAnsi="宋体"/>
                <w:i/>
                <w:iCs/>
                <w:color w:val="000000"/>
                <w:highlight w:val="white"/>
              </w:rPr>
              <w:t xml:space="preserve">告警功能</w:t>
            </w:r>
            <w:r>
              <w:rPr>
                <w:i/>
                <w:iCs/>
                <w:highlight w:val="white"/>
              </w:rPr>
            </w:r>
            <w:r/>
          </w:p>
        </w:tc>
        <w:tc>
          <w:tcPr>
            <w:tcW w:w="6803" w:type="dxa"/>
            <w:vAlign w:val="center"/>
            <w:textDirection w:val="lrTb"/>
            <w:noWrap w:val="false"/>
          </w:tcPr>
          <w:p>
            <w:pPr>
              <w:pStyle w:val="895"/>
              <w:rPr>
                <w:rFonts w:ascii="宋体" w:hAnsi="宋体"/>
                <w:bCs/>
                <w:i/>
                <w:color w:val="000000"/>
                <w:highlight w:val="white"/>
              </w:rPr>
            </w:pPr>
            <w:r>
              <w:rPr>
                <w:rFonts w:hint="eastAsia" w:ascii="宋体" w:hAnsi="宋体"/>
                <w:i/>
                <w:iCs/>
                <w:color w:val="000000"/>
                <w:highlight w:val="white"/>
              </w:rPr>
              <w:t xml:space="preserve">▲可配置机箱入侵侦测，在外部打开机箱时提供报警功能</w:t>
            </w:r>
            <w:r>
              <w:rPr>
                <w:i/>
                <w:iCs/>
                <w:highlight w:val="white"/>
              </w:rPr>
            </w:r>
            <w:r/>
          </w:p>
        </w:tc>
      </w:tr>
      <w:tr>
        <w:trPr/>
        <w:tc>
          <w:tcPr>
            <w:tcW w:w="1719" w:type="dxa"/>
            <w:vAlign w:val="center"/>
            <w:textDirection w:val="lrTb"/>
            <w:noWrap w:val="false"/>
          </w:tcPr>
          <w:p>
            <w:pPr>
              <w:pStyle w:val="895"/>
              <w:jc w:val="center"/>
              <w:rPr>
                <w:rFonts w:ascii="宋体" w:hAnsi="宋体"/>
                <w:bCs/>
                <w:i/>
                <w:color w:val="000000"/>
                <w:highlight w:val="white"/>
              </w:rPr>
            </w:pPr>
            <w:r>
              <w:rPr>
                <w:rFonts w:hint="eastAsia" w:ascii="宋体" w:hAnsi="宋体"/>
                <w:i/>
                <w:iCs/>
                <w:color w:val="000000"/>
                <w:highlight w:val="white"/>
              </w:rPr>
              <w:t xml:space="preserve">固件升级功能</w:t>
            </w:r>
            <w:r>
              <w:rPr>
                <w:i/>
                <w:iCs/>
                <w:highlight w:val="white"/>
              </w:rPr>
            </w:r>
            <w:r/>
          </w:p>
        </w:tc>
        <w:tc>
          <w:tcPr>
            <w:tcW w:w="6803" w:type="dxa"/>
            <w:vAlign w:val="center"/>
            <w:textDirection w:val="lrTb"/>
            <w:noWrap w:val="false"/>
          </w:tcPr>
          <w:p>
            <w:pPr>
              <w:pStyle w:val="895"/>
              <w:rPr>
                <w:rFonts w:ascii="宋体" w:hAnsi="宋体"/>
                <w:bCs/>
                <w:i/>
                <w:color w:val="000000"/>
                <w:highlight w:val="white"/>
              </w:rPr>
            </w:pPr>
            <w:r>
              <w:rPr>
                <w:rFonts w:hint="eastAsia" w:ascii="宋体" w:hAnsi="宋体"/>
                <w:i/>
                <w:iCs/>
                <w:color w:val="000000"/>
                <w:highlight w:val="white"/>
              </w:rPr>
              <w:t xml:space="preserve">▲支持全面的固件升级功能，可带外升级固件版本，通过升级包一次升级多个部件的固件（如网卡、存储卡、硬盘、BMC、BIOS、CPLD等）</w:t>
            </w:r>
            <w:r>
              <w:rPr>
                <w:i/>
                <w:iCs/>
                <w:highlight w:val="white"/>
              </w:rPr>
            </w:r>
            <w:r/>
          </w:p>
        </w:tc>
      </w:tr>
      <w:tr>
        <w:trPr/>
        <w:tc>
          <w:tcPr>
            <w:tcW w:w="1719" w:type="dxa"/>
            <w:vAlign w:val="center"/>
            <w:textDirection w:val="lrTb"/>
            <w:noWrap w:val="false"/>
          </w:tcPr>
          <w:p>
            <w:pPr>
              <w:pStyle w:val="895"/>
              <w:jc w:val="center"/>
              <w:rPr>
                <w:rFonts w:ascii="宋体" w:hAnsi="宋体"/>
                <w:bCs/>
                <w:i/>
                <w:color w:val="000000"/>
                <w:highlight w:val="white"/>
              </w:rPr>
            </w:pPr>
            <w:r>
              <w:rPr>
                <w:rFonts w:hint="eastAsia" w:ascii="宋体" w:hAnsi="宋体"/>
                <w:i/>
                <w:iCs/>
                <w:color w:val="000000"/>
                <w:highlight w:val="white"/>
              </w:rPr>
              <w:t xml:space="preserve">数据安全性</w:t>
            </w:r>
            <w:r>
              <w:rPr>
                <w:i/>
                <w:iCs/>
                <w:highlight w:val="white"/>
              </w:rPr>
            </w:r>
            <w:r/>
          </w:p>
        </w:tc>
        <w:tc>
          <w:tcPr>
            <w:tcW w:w="6803" w:type="dxa"/>
            <w:vAlign w:val="center"/>
            <w:textDirection w:val="lrTb"/>
            <w:noWrap w:val="false"/>
          </w:tcPr>
          <w:p>
            <w:pPr>
              <w:pStyle w:val="895"/>
              <w:rPr>
                <w:rFonts w:ascii="宋体" w:hAnsi="宋体"/>
                <w:bCs/>
                <w:i/>
                <w:color w:val="000000"/>
                <w:highlight w:val="white"/>
              </w:rPr>
            </w:pPr>
            <w:r>
              <w:rPr>
                <w:rFonts w:hint="eastAsia" w:ascii="宋体" w:hAnsi="宋体"/>
                <w:i/>
                <w:iCs/>
                <w:color w:val="000000"/>
                <w:highlight w:val="white"/>
              </w:rPr>
              <w:t xml:space="preserve">▲为保障数据安全性，支持对登录用户执行静态密码+一次性随机动态密码（国密算法）的双因素认证，在数据协议层构建可信安全</w:t>
            </w:r>
            <w:r>
              <w:rPr>
                <w:i/>
                <w:iCs/>
                <w:highlight w:val="white"/>
              </w:rPr>
            </w:r>
            <w:r/>
          </w:p>
        </w:tc>
      </w:tr>
      <w:tr>
        <w:trPr/>
        <w:tc>
          <w:tcPr>
            <w:tcW w:w="1719" w:type="dxa"/>
            <w:vAlign w:val="center"/>
            <w:textDirection w:val="lrTb"/>
            <w:noWrap w:val="false"/>
          </w:tcPr>
          <w:p>
            <w:pPr>
              <w:pStyle w:val="895"/>
              <w:jc w:val="center"/>
              <w:rPr>
                <w:rFonts w:ascii="宋体" w:hAnsi="宋体"/>
                <w:bCs/>
                <w:i/>
                <w:color w:val="000000"/>
                <w:highlight w:val="white"/>
              </w:rPr>
            </w:pPr>
            <w:r>
              <w:rPr>
                <w:rFonts w:hint="eastAsia" w:ascii="宋体" w:hAnsi="宋体"/>
                <w:i/>
                <w:iCs/>
                <w:color w:val="000000"/>
                <w:highlight w:val="white"/>
              </w:rPr>
              <w:t xml:space="preserve">硬件高可靠性</w:t>
            </w:r>
            <w:r>
              <w:rPr>
                <w:i/>
                <w:iCs/>
                <w:highlight w:val="white"/>
              </w:rPr>
            </w:r>
            <w:r/>
          </w:p>
        </w:tc>
        <w:tc>
          <w:tcPr>
            <w:tcW w:w="6803" w:type="dxa"/>
            <w:vAlign w:val="center"/>
            <w:textDirection w:val="lrTb"/>
            <w:noWrap w:val="false"/>
          </w:tcPr>
          <w:p>
            <w:pPr>
              <w:pStyle w:val="895"/>
              <w:rPr>
                <w:rFonts w:ascii="宋体" w:hAnsi="宋体"/>
                <w:bCs/>
                <w:i/>
                <w:color w:val="000000"/>
                <w:highlight w:val="white"/>
              </w:rPr>
            </w:pPr>
            <w:r>
              <w:rPr>
                <w:rFonts w:hint="eastAsia" w:ascii="宋体" w:hAnsi="宋体"/>
                <w:i/>
                <w:iCs/>
                <w:color w:val="000000"/>
                <w:highlight w:val="white"/>
              </w:rPr>
              <w:t xml:space="preserve">▲为保障硬件高可靠性，支持对设备节点的故障预测，包括硬盘故障预测、内存故障预测等功能，支持对SSD硬盘和NVME硬盘剩余寿命检测，支持定制发送故障告警邮件，采用U盘下载设备故障诊断日志</w:t>
            </w:r>
            <w:r>
              <w:rPr>
                <w:i/>
                <w:iCs/>
                <w:highlight w:val="white"/>
              </w:rPr>
            </w:r>
            <w:r/>
          </w:p>
        </w:tc>
      </w:tr>
      <w:tr>
        <w:trPr/>
        <w:tc>
          <w:tcPr>
            <w:tcW w:w="1719" w:type="dxa"/>
            <w:vAlign w:val="center"/>
            <w:textDirection w:val="lrTb"/>
            <w:noWrap w:val="false"/>
          </w:tcPr>
          <w:p>
            <w:pPr>
              <w:pStyle w:val="895"/>
              <w:jc w:val="center"/>
              <w:rPr>
                <w:rFonts w:ascii="宋体" w:hAnsi="宋体"/>
                <w:bCs/>
                <w:i/>
                <w:color w:val="000000"/>
                <w:highlight w:val="white"/>
              </w:rPr>
            </w:pPr>
            <w:r>
              <w:rPr>
                <w:rFonts w:hint="eastAsia" w:ascii="宋体" w:hAnsi="宋体"/>
                <w:i/>
                <w:iCs/>
                <w:color w:val="000000"/>
                <w:highlight w:val="white"/>
                <w:u w:val="single"/>
              </w:rPr>
              <w:t xml:space="preserve">售后承诺</w:t>
            </w:r>
            <w:r>
              <w:rPr>
                <w:i/>
                <w:iCs/>
                <w:highlight w:val="white"/>
              </w:rPr>
            </w:r>
            <w:r/>
          </w:p>
        </w:tc>
        <w:tc>
          <w:tcPr>
            <w:tcW w:w="6803" w:type="dxa"/>
            <w:vAlign w:val="center"/>
            <w:textDirection w:val="lrTb"/>
            <w:noWrap w:val="false"/>
          </w:tcPr>
          <w:p>
            <w:pPr>
              <w:pStyle w:val="895"/>
              <w:rPr>
                <w:rFonts w:ascii="宋体" w:hAnsi="宋体"/>
                <w:bCs w:val="0"/>
                <w:i/>
                <w:iCs/>
                <w:color w:val="000000"/>
                <w:highlight w:val="white"/>
                <w:u w:val="single"/>
              </w:rPr>
            </w:pPr>
            <w:r>
              <w:rPr>
                <w:rFonts w:hint="eastAsia" w:ascii="宋体" w:hAnsi="宋体"/>
                <w:i/>
                <w:iCs/>
                <w:color w:val="000000"/>
                <w:highlight w:val="white"/>
                <w:u w:val="single"/>
              </w:rPr>
              <w:t xml:space="preserve">所有服务器整机提供不少于 3 年设备原厂 7×24 小时全备件上门质保，全程由设备生产厂商官方服务体系提供维保，不接受第三方转包维保；</w:t>
            </w:r>
            <w:r>
              <w:rPr>
                <w:i/>
                <w:iCs/>
                <w:highlight w:val="white"/>
              </w:rPr>
            </w:r>
            <w:r/>
          </w:p>
          <w:p>
            <w:pPr>
              <w:pStyle w:val="895"/>
              <w:rPr>
                <w:rFonts w:ascii="宋体" w:hAnsi="宋体"/>
                <w:bCs w:val="0"/>
                <w:i/>
                <w:iCs/>
                <w:color w:val="000000"/>
                <w:highlight w:val="white"/>
                <w:u w:val="single"/>
              </w:rPr>
            </w:pPr>
            <w:r>
              <w:rPr>
                <w:rFonts w:hint="eastAsia" w:ascii="宋体" w:hAnsi="宋体"/>
                <w:b/>
                <w:i/>
                <w:iCs/>
                <w:color w:val="000000"/>
                <w:highlight w:val="white"/>
                <w:u w:val="single"/>
              </w:rPr>
              <w:t xml:space="preserve">投标文件需承诺中标后</w:t>
            </w:r>
            <w:r>
              <w:rPr>
                <w:rFonts w:hint="eastAsia" w:ascii="宋体" w:hAnsi="宋体"/>
                <w:b/>
                <w:bCs/>
                <w:i/>
                <w:iCs/>
                <w:color w:val="000000"/>
                <w:highlight w:val="white"/>
                <w:u w:val="single"/>
              </w:rPr>
              <w:t xml:space="preserve">设备厂商提供本项目专项售后服务</w:t>
            </w:r>
            <w:r>
              <w:rPr>
                <w:rFonts w:hint="eastAsia" w:ascii="宋体" w:hAnsi="宋体"/>
                <w:i/>
                <w:iCs/>
                <w:color w:val="000000"/>
                <w:highlight w:val="white"/>
                <w:u w:val="single"/>
              </w:rPr>
              <w:t xml:space="preserve">；签订合同前提供原厂承诺函原件核验，无法提供则取消中标资格；</w:t>
            </w:r>
            <w:r>
              <w:rPr>
                <w:i/>
                <w:iCs/>
                <w:highlight w:val="white"/>
              </w:rPr>
            </w:r>
            <w:r/>
          </w:p>
          <w:p>
            <w:pPr>
              <w:pStyle w:val="895"/>
              <w:rPr>
                <w:rFonts w:ascii="宋体" w:hAnsi="宋体"/>
                <w:bCs w:val="0"/>
                <w:i/>
                <w:iCs/>
                <w:color w:val="000000"/>
                <w:highlight w:val="white"/>
                <w:u w:val="single"/>
              </w:rPr>
            </w:pPr>
            <w:r>
              <w:rPr>
                <w:rFonts w:hint="eastAsia" w:ascii="宋体" w:hAnsi="宋体"/>
                <w:i/>
                <w:iCs/>
                <w:color w:val="000000"/>
                <w:highlight w:val="white"/>
                <w:u w:val="single"/>
              </w:rPr>
              <w:t xml:space="preserve">质保期内所有硬件备件、人工上门、系统固件补丁更新全部免费。</w:t>
            </w:r>
            <w:r>
              <w:rPr>
                <w:i/>
                <w:iCs/>
                <w:highlight w:val="white"/>
              </w:rPr>
            </w:r>
            <w:r/>
          </w:p>
          <w:p>
            <w:pPr>
              <w:pStyle w:val="895"/>
              <w:rPr>
                <w:rFonts w:ascii="宋体" w:hAnsi="宋体"/>
                <w:bCs/>
                <w:i/>
                <w:color w:val="000000"/>
                <w:highlight w:val="white"/>
              </w:rPr>
            </w:pPr>
            <w:r>
              <w:rPr>
                <w:rFonts w:ascii="宋体" w:hAnsi="宋体"/>
                <w:i/>
                <w:iCs/>
                <w:color w:val="000000"/>
                <w:highlight w:val="white"/>
              </w:rPr>
            </w:r>
            <w:r>
              <w:rPr>
                <w:i/>
                <w:iCs/>
                <w:highlight w:val="white"/>
              </w:rPr>
            </w:r>
            <w:r/>
          </w:p>
        </w:tc>
      </w:tr>
    </w:tbl>
    <w:p>
      <w:pPr>
        <w:pStyle w:val="895"/>
        <w:rPr>
          <w:color w:val="000000"/>
          <w:highlight w:val="white"/>
        </w:rPr>
      </w:pPr>
      <w:r>
        <w:rPr>
          <w:color w:val="000000"/>
          <w:highlight w:val="white"/>
        </w:rPr>
      </w:r>
      <w:r>
        <w:rPr>
          <w:highlight w:val="white"/>
        </w:rPr>
      </w:r>
      <w:r/>
    </w:p>
    <w:p>
      <w:pPr>
        <w:pStyle w:val="895"/>
        <w:spacing w:line="0" w:lineRule="atLeast"/>
        <w:rPr>
          <w:rFonts w:ascii="宋体" w:hAnsi="宋体"/>
          <w:b/>
          <w:bCs/>
          <w:color w:val="000000"/>
          <w:sz w:val="24"/>
          <w:szCs w:val="24"/>
          <w:highlight w:val="white"/>
        </w:rPr>
      </w:pPr>
      <w:r>
        <w:rPr>
          <w:rFonts w:ascii="宋体" w:hAnsi="宋体"/>
          <w:b/>
          <w:bCs/>
          <w:color w:val="000000"/>
          <w:sz w:val="24"/>
          <w:szCs w:val="24"/>
          <w:highlight w:val="white"/>
        </w:rPr>
      </w:r>
      <w:r>
        <w:rPr>
          <w:highlight w:val="white"/>
        </w:rPr>
      </w:r>
      <w:r/>
    </w:p>
    <w:p>
      <w:pPr>
        <w:pStyle w:val="895"/>
        <w:spacing w:line="0" w:lineRule="atLeast"/>
        <w:rPr>
          <w:rFonts w:ascii="宋体" w:hAnsi="宋体"/>
          <w:b/>
          <w:bCs/>
          <w:color w:val="000000"/>
          <w:sz w:val="24"/>
          <w:szCs w:val="24"/>
          <w:highlight w:val="white"/>
        </w:rPr>
        <w:outlineLvl w:val="1"/>
      </w:pPr>
      <w:r>
        <w:rPr>
          <w:rFonts w:hint="eastAsia" w:ascii="宋体" w:hAnsi="宋体"/>
          <w:b/>
          <w:bCs/>
          <w:color w:val="000000"/>
          <w:sz w:val="24"/>
          <w:szCs w:val="24"/>
          <w:highlight w:val="white"/>
        </w:rPr>
        <w:t xml:space="preserve">三</w:t>
      </w:r>
      <w:r>
        <w:rPr>
          <w:rFonts w:ascii="宋体" w:hAnsi="宋体"/>
          <w:b/>
          <w:bCs/>
          <w:color w:val="000000"/>
          <w:sz w:val="24"/>
          <w:szCs w:val="24"/>
          <w:highlight w:val="white"/>
        </w:rPr>
        <w:t xml:space="preserve">、</w:t>
      </w:r>
      <w:r>
        <w:rPr>
          <w:rFonts w:hint="eastAsia" w:ascii="宋体" w:hAnsi="宋体"/>
          <w:b/>
          <w:bCs/>
          <w:color w:val="000000"/>
          <w:sz w:val="24"/>
          <w:szCs w:val="24"/>
          <w:highlight w:val="white"/>
        </w:rPr>
        <w:t xml:space="preserve">商务</w:t>
      </w:r>
      <w:r>
        <w:rPr>
          <w:rFonts w:ascii="宋体" w:hAnsi="宋体"/>
          <w:b/>
          <w:bCs/>
          <w:color w:val="000000"/>
          <w:sz w:val="24"/>
          <w:szCs w:val="24"/>
          <w:highlight w:val="white"/>
        </w:rPr>
        <w:t xml:space="preserve">要求</w:t>
      </w:r>
      <w:r>
        <w:rPr>
          <w:highlight w:val="white"/>
        </w:rPr>
      </w:r>
      <w:r/>
    </w:p>
    <w:p>
      <w:pPr>
        <w:pStyle w:val="895"/>
        <w:spacing w:line="0" w:lineRule="atLeast"/>
        <w:rPr>
          <w:rFonts w:ascii="宋体" w:hAnsi="宋体"/>
          <w:b w:val="0"/>
          <w:bCs/>
          <w:i/>
          <w:color w:val="000000"/>
          <w:sz w:val="24"/>
          <w:szCs w:val="24"/>
          <w:highlight w:val="white"/>
          <w:u w:val="single"/>
        </w:rPr>
      </w:pPr>
      <w:r>
        <w:rPr>
          <w:rFonts w:hint="eastAsia" w:ascii="宋体" w:hAnsi="宋体"/>
          <w:bCs/>
          <w:color w:val="000000"/>
          <w:sz w:val="24"/>
          <w:szCs w:val="24"/>
          <w:highlight w:val="white"/>
        </w:rPr>
        <w:t xml:space="preserve">商务要求是指取得采购标的的时间、地点、财务和服务要求，包括交付（实施）的时间（期限）和地点（范围），付款条件（进度和方法），包装和运输，售后服务，保险等</w:t>
      </w:r>
      <w:r>
        <w:rPr>
          <w:rFonts w:hint="eastAsia" w:ascii="宋体" w:hAnsi="宋体"/>
          <w:b w:val="0"/>
          <w:bCs w:val="0"/>
          <w:i/>
          <w:iCs/>
          <w:color w:val="000000"/>
          <w:sz w:val="24"/>
          <w:szCs w:val="24"/>
          <w:highlight w:val="white"/>
        </w:rPr>
        <w:t xml:space="preserve">。</w:t>
      </w:r>
      <w:r>
        <w:rPr>
          <w:rFonts w:hint="eastAsia" w:ascii="宋体" w:hAnsi="宋体"/>
          <w:b w:val="0"/>
          <w:bCs w:val="0"/>
          <w:i/>
          <w:iCs/>
          <w:color w:val="000000"/>
          <w:sz w:val="24"/>
          <w:szCs w:val="24"/>
          <w:highlight w:val="white"/>
          <w:u w:val="single"/>
        </w:rPr>
        <w:t xml:space="preserve">其中</w:t>
      </w:r>
      <w:r>
        <w:rPr>
          <w:rFonts w:hint="eastAsia" w:ascii="宋体" w:hAnsi="宋体"/>
          <w:b w:val="0"/>
          <w:bCs w:val="0"/>
          <w:i/>
          <w:iCs/>
          <w:color w:val="000000"/>
          <w:sz w:val="24"/>
          <w:szCs w:val="24"/>
          <w:highlight w:val="white"/>
          <w:u w:val="single"/>
        </w:rPr>
        <w:t xml:space="preserve">必须满足的实质性要求加斜体</w:t>
      </w:r>
      <w:r>
        <w:rPr>
          <w:rFonts w:ascii="宋体" w:hAnsi="宋体"/>
          <w:b w:val="0"/>
          <w:bCs w:val="0"/>
          <w:i/>
          <w:iCs/>
          <w:color w:val="000000"/>
          <w:sz w:val="24"/>
          <w:szCs w:val="24"/>
          <w:highlight w:val="white"/>
          <w:u w:val="single"/>
        </w:rPr>
        <w:t xml:space="preserve">下划线</w:t>
      </w:r>
      <w:r>
        <w:rPr>
          <w:rFonts w:hint="eastAsia" w:ascii="宋体" w:hAnsi="宋体"/>
          <w:b w:val="0"/>
          <w:bCs w:val="0"/>
          <w:i/>
          <w:iCs/>
          <w:color w:val="000000"/>
          <w:sz w:val="24"/>
          <w:szCs w:val="24"/>
          <w:highlight w:val="white"/>
          <w:u w:val="single"/>
        </w:rPr>
        <w:t xml:space="preserve">。</w:t>
      </w:r>
      <w:r>
        <w:rPr>
          <w:b w:val="0"/>
          <w:bCs w:val="0"/>
          <w:i/>
          <w:iCs/>
          <w:highlight w:val="white"/>
        </w:rPr>
      </w:r>
      <w:r/>
    </w:p>
    <w:p>
      <w:pPr>
        <w:pStyle w:val="895"/>
        <w:spacing w:line="360" w:lineRule="auto"/>
        <w:rPr>
          <w:rFonts w:ascii="宋体" w:hAnsi="宋体" w:cs="宋体"/>
          <w:b/>
          <w:bCs/>
          <w:i/>
          <w:color w:val="000000"/>
          <w:sz w:val="24"/>
          <w:szCs w:val="24"/>
          <w:highlight w:val="white"/>
          <w:u w:val="single"/>
        </w:rPr>
      </w:pPr>
      <w:r>
        <w:rPr>
          <w:rFonts w:hint="eastAsia" w:ascii="宋体" w:hAnsi="宋体" w:cs="宋体"/>
          <w:b/>
          <w:bCs/>
          <w:i/>
          <w:iCs/>
          <w:color w:val="000000"/>
          <w:sz w:val="24"/>
          <w:szCs w:val="24"/>
          <w:highlight w:val="white"/>
          <w:u w:val="single"/>
        </w:rPr>
        <w:t xml:space="preserve">1.质保期：合同内标的全部到货之日起3年</w:t>
      </w:r>
      <w:r>
        <w:rPr>
          <w:b/>
          <w:bCs/>
          <w:i/>
          <w:iCs/>
          <w:highlight w:val="white"/>
        </w:rPr>
      </w:r>
      <w:r/>
    </w:p>
    <w:p>
      <w:pPr>
        <w:pStyle w:val="895"/>
        <w:spacing w:line="360" w:lineRule="auto"/>
        <w:rPr>
          <w:rFonts w:ascii="宋体" w:hAnsi="宋体" w:cs="宋体"/>
          <w:b/>
          <w:bCs/>
          <w:i/>
          <w:color w:val="000000"/>
          <w:sz w:val="24"/>
          <w:szCs w:val="24"/>
          <w:highlight w:val="white"/>
          <w:u w:val="single"/>
        </w:rPr>
      </w:pPr>
      <w:r>
        <w:rPr>
          <w:rFonts w:ascii="宋体" w:hAnsi="宋体" w:cs="宋体"/>
          <w:b/>
          <w:bCs/>
          <w:i/>
          <w:iCs/>
          <w:color w:val="000000"/>
          <w:sz w:val="24"/>
          <w:szCs w:val="24"/>
          <w:highlight w:val="white"/>
          <w:u w:val="single"/>
        </w:rPr>
        <w:t xml:space="preserve">2.交货期：</w:t>
      </w:r>
      <w:r>
        <w:rPr>
          <w:rFonts w:hint="eastAsia" w:ascii="宋体" w:hAnsi="宋体" w:cs="宋体"/>
          <w:b/>
          <w:bCs/>
          <w:i/>
          <w:iCs/>
          <w:color w:val="000000"/>
          <w:sz w:val="24"/>
          <w:szCs w:val="24"/>
          <w:highlight w:val="white"/>
          <w:u w:val="single"/>
        </w:rPr>
        <w:t xml:space="preserve">合同签订之日起10日内交付至采购人指定地点</w:t>
      </w:r>
      <w:r>
        <w:rPr>
          <w:b/>
          <w:bCs/>
          <w:i/>
          <w:iCs/>
          <w:highlight w:val="white"/>
        </w:rPr>
      </w:r>
      <w:r/>
    </w:p>
    <w:p>
      <w:pPr>
        <w:pStyle w:val="895"/>
        <w:spacing w:line="360" w:lineRule="auto"/>
        <w:rPr>
          <w:rFonts w:ascii="宋体" w:hAnsi="宋体" w:cs="宋体"/>
          <w:color w:val="000000"/>
          <w:sz w:val="24"/>
          <w:szCs w:val="24"/>
          <w:highlight w:val="white"/>
        </w:rPr>
      </w:pPr>
      <w:r>
        <w:rPr>
          <w:rFonts w:hint="eastAsia" w:ascii="宋体" w:hAnsi="宋体" w:cs="宋体"/>
          <w:color w:val="000000"/>
          <w:sz w:val="24"/>
          <w:szCs w:val="24"/>
          <w:highlight w:val="white"/>
        </w:rPr>
        <w:t xml:space="preserve">3.交付地点：采购人指定地点（</w:t>
      </w:r>
      <w:r>
        <w:rPr>
          <w:rFonts w:hint="eastAsia"/>
          <w:bCs/>
          <w:color w:val="000000"/>
          <w:sz w:val="24"/>
          <w:szCs w:val="24"/>
          <w:highlight w:val="white"/>
        </w:rPr>
        <w:t xml:space="preserve">南京）</w:t>
      </w:r>
      <w:r>
        <w:rPr>
          <w:highlight w:val="white"/>
        </w:rPr>
      </w:r>
      <w:r/>
    </w:p>
    <w:p>
      <w:pPr>
        <w:pStyle w:val="895"/>
        <w:spacing w:line="360" w:lineRule="auto"/>
        <w:rPr>
          <w:rFonts w:ascii="宋体" w:hAnsi="宋体" w:cs="宋体"/>
          <w:color w:val="000000"/>
          <w:sz w:val="24"/>
          <w:szCs w:val="24"/>
          <w:highlight w:val="white"/>
        </w:rPr>
      </w:pPr>
      <w:r>
        <w:rPr>
          <w:rFonts w:ascii="宋体" w:hAnsi="宋体" w:cs="宋体"/>
          <w:color w:val="000000"/>
          <w:sz w:val="24"/>
          <w:szCs w:val="24"/>
          <w:highlight w:val="white"/>
        </w:rPr>
        <w:t xml:space="preserve">4.付款方式：</w:t>
      </w:r>
      <w:r>
        <w:rPr>
          <w:highlight w:val="white"/>
        </w:rPr>
      </w:r>
      <w:r/>
    </w:p>
    <w:p>
      <w:pPr>
        <w:pStyle w:val="895"/>
        <w:spacing w:line="360" w:lineRule="auto"/>
        <w:rPr>
          <w:rFonts w:ascii="宋体" w:hAnsi="宋体" w:cs="宋体"/>
          <w:color w:val="000000"/>
          <w:sz w:val="24"/>
          <w:szCs w:val="24"/>
          <w:highlight w:val="white"/>
        </w:rPr>
      </w:pPr>
      <w:r>
        <w:rPr>
          <w:rFonts w:hint="eastAsia" w:ascii="宋体" w:hAnsi="宋体" w:cs="宋体"/>
          <w:color w:val="000000"/>
          <w:sz w:val="24"/>
          <w:szCs w:val="24"/>
          <w:highlight w:val="white"/>
        </w:rPr>
        <w:t xml:space="preserve">（1）合同签订后，乙方开具合同总额</w:t>
      </w:r>
      <w:r>
        <w:rPr>
          <w:rFonts w:ascii="宋体" w:hAnsi="宋体" w:cs="宋体"/>
          <w:color w:val="000000"/>
          <w:sz w:val="24"/>
          <w:szCs w:val="24"/>
          <w:highlight w:val="white"/>
        </w:rPr>
        <w:t xml:space="preserve">3</w:t>
      </w:r>
      <w:r>
        <w:rPr>
          <w:rFonts w:hint="eastAsia" w:ascii="宋体" w:hAnsi="宋体" w:cs="宋体"/>
          <w:color w:val="000000"/>
          <w:sz w:val="24"/>
          <w:szCs w:val="24"/>
          <w:highlight w:val="white"/>
        </w:rPr>
        <w:t xml:space="preserve">0%的收据，同时提交付款申请书经甲方审核通过后原则上1</w:t>
      </w:r>
      <w:r>
        <w:rPr>
          <w:rFonts w:ascii="宋体" w:hAnsi="宋体" w:cs="宋体"/>
          <w:color w:val="000000"/>
          <w:sz w:val="24"/>
          <w:szCs w:val="24"/>
          <w:highlight w:val="white"/>
        </w:rPr>
        <w:t xml:space="preserve">0</w:t>
      </w:r>
      <w:r>
        <w:rPr>
          <w:rFonts w:hint="eastAsia" w:ascii="宋体" w:hAnsi="宋体" w:cs="宋体"/>
          <w:color w:val="000000"/>
          <w:sz w:val="24"/>
          <w:szCs w:val="24"/>
          <w:highlight w:val="white"/>
        </w:rPr>
        <w:t xml:space="preserve">日内甲方支付30%预付款；</w:t>
      </w:r>
      <w:r>
        <w:rPr>
          <w:highlight w:val="white"/>
        </w:rPr>
      </w:r>
      <w:r/>
    </w:p>
    <w:p>
      <w:pPr>
        <w:pStyle w:val="895"/>
        <w:spacing w:line="360" w:lineRule="auto"/>
        <w:rPr>
          <w:rFonts w:ascii="宋体" w:hAnsi="宋体" w:cs="宋体"/>
          <w:color w:val="000000"/>
          <w:sz w:val="24"/>
          <w:szCs w:val="24"/>
          <w:highlight w:val="white"/>
        </w:rPr>
      </w:pPr>
      <w:r>
        <w:rPr>
          <w:rFonts w:hint="eastAsia" w:ascii="宋体" w:hAnsi="宋体" w:cs="宋体"/>
          <w:color w:val="000000"/>
          <w:sz w:val="24"/>
          <w:szCs w:val="24"/>
          <w:highlight w:val="white"/>
        </w:rPr>
        <w:t xml:space="preserve">（2）合同内标的全部到货后且上架通电、正常运行24小时经甲方确认后，</w:t>
      </w:r>
      <w:bookmarkStart w:id="192" w:name="_Hlk163045861"/>
      <w:r>
        <w:rPr>
          <w:rFonts w:hint="eastAsia" w:ascii="宋体" w:hAnsi="宋体" w:cs="宋体"/>
          <w:color w:val="000000"/>
          <w:sz w:val="24"/>
          <w:szCs w:val="24"/>
          <w:highlight w:val="white"/>
        </w:rPr>
        <w:t xml:space="preserve">乙方开具合同总额100%的增值税专用发票，同时提交付款申请书经甲方审核通过后原则上30日内</w:t>
      </w:r>
      <w:bookmarkEnd w:id="192"/>
      <w:r>
        <w:rPr>
          <w:rFonts w:hint="eastAsia" w:ascii="宋体" w:hAnsi="宋体" w:cs="宋体"/>
          <w:color w:val="000000"/>
          <w:sz w:val="24"/>
          <w:szCs w:val="24"/>
          <w:highlight w:val="white"/>
        </w:rPr>
        <w:t xml:space="preserve">，甲方向乙方支付合同总额70%的款项；</w:t>
      </w:r>
      <w:r>
        <w:rPr>
          <w:highlight w:val="white"/>
        </w:rPr>
      </w:r>
      <w:r/>
    </w:p>
    <w:p>
      <w:pPr>
        <w:pStyle w:val="895"/>
        <w:spacing w:line="0" w:lineRule="atLeast"/>
        <w:rPr>
          <w:rFonts w:ascii="宋体" w:hAnsi="宋体"/>
          <w:b/>
          <w:color w:val="000000"/>
          <w:sz w:val="24"/>
          <w:szCs w:val="24"/>
          <w:highlight w:val="white"/>
        </w:rPr>
        <w:outlineLvl w:val="1"/>
      </w:pPr>
      <w:r>
        <w:rPr>
          <w:rFonts w:hint="eastAsia" w:ascii="宋体" w:hAnsi="宋体"/>
          <w:b/>
          <w:color w:val="000000"/>
          <w:sz w:val="24"/>
          <w:szCs w:val="24"/>
          <w:highlight w:val="white"/>
        </w:rPr>
        <w:t xml:space="preserve">四</w:t>
      </w:r>
      <w:r>
        <w:rPr>
          <w:rFonts w:ascii="宋体" w:hAnsi="宋体"/>
          <w:b/>
          <w:color w:val="000000"/>
          <w:sz w:val="24"/>
          <w:szCs w:val="24"/>
          <w:highlight w:val="white"/>
        </w:rPr>
        <w:t xml:space="preserve">、其他要求</w:t>
      </w:r>
      <w:r>
        <w:rPr>
          <w:highlight w:val="white"/>
        </w:rPr>
      </w:r>
      <w:r/>
    </w:p>
    <w:p>
      <w:pPr>
        <w:pStyle w:val="895"/>
        <w:spacing w:line="0" w:lineRule="atLeast"/>
        <w:rPr>
          <w:rFonts w:ascii="宋体" w:hAnsi="宋体"/>
          <w:color w:val="000000"/>
          <w:sz w:val="24"/>
          <w:szCs w:val="24"/>
          <w:highlight w:val="white"/>
        </w:rPr>
      </w:pPr>
      <w:r>
        <w:rPr>
          <w:rFonts w:hint="eastAsia" w:ascii="宋体" w:hAnsi="宋体"/>
          <w:color w:val="000000"/>
          <w:sz w:val="24"/>
          <w:szCs w:val="24"/>
          <w:highlight w:val="white"/>
        </w:rPr>
        <w:t xml:space="preserve">1. 项目属性:货物类项目。</w:t>
      </w:r>
      <w:r>
        <w:rPr>
          <w:highlight w:val="white"/>
        </w:rPr>
      </w:r>
      <w:r/>
    </w:p>
    <w:p>
      <w:pPr>
        <w:pStyle w:val="895"/>
        <w:spacing w:line="0" w:lineRule="atLeast"/>
        <w:rPr>
          <w:rFonts w:ascii="宋体" w:hAnsi="宋体"/>
          <w:color w:val="000000"/>
          <w:sz w:val="24"/>
          <w:szCs w:val="24"/>
          <w:highlight w:val="white"/>
        </w:rPr>
      </w:pPr>
      <w:r>
        <w:rPr>
          <w:rFonts w:ascii="宋体" w:hAnsi="宋体"/>
          <w:color w:val="000000"/>
          <w:sz w:val="24"/>
          <w:szCs w:val="24"/>
          <w:highlight w:val="white"/>
        </w:rPr>
        <w:t xml:space="preserve">2</w:t>
      </w:r>
      <w:r>
        <w:rPr>
          <w:rFonts w:hint="eastAsia" w:ascii="宋体" w:hAnsi="宋体"/>
          <w:color w:val="000000"/>
          <w:sz w:val="24"/>
          <w:szCs w:val="24"/>
          <w:highlight w:val="white"/>
        </w:rPr>
        <w:t xml:space="preserve">．核心产品</w:t>
      </w:r>
      <w:r>
        <w:rPr>
          <w:highlight w:val="white"/>
        </w:rPr>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top"/>
            <w:textDirection w:val="lrTb"/>
            <w:noWrap w:val="false"/>
          </w:tcPr>
          <w:p>
            <w:pPr>
              <w:pStyle w:val="895"/>
              <w:jc w:val="center"/>
              <w:rPr>
                <w:rFonts w:ascii="宋体" w:hAnsi="宋体"/>
                <w:color w:val="000000"/>
                <w:szCs w:val="21"/>
                <w:highlight w:val="white"/>
              </w:rPr>
            </w:pPr>
            <w:r>
              <w:rPr>
                <w:rFonts w:hint="eastAsia" w:ascii="宋体" w:hAnsi="宋体"/>
                <w:color w:val="000000"/>
                <w:szCs w:val="21"/>
                <w:highlight w:val="white"/>
              </w:rPr>
              <w:t xml:space="preserve">分包</w:t>
            </w:r>
            <w:r>
              <w:rPr>
                <w:rFonts w:ascii="宋体" w:hAnsi="宋体"/>
                <w:color w:val="000000"/>
                <w:szCs w:val="21"/>
                <w:highlight w:val="white"/>
              </w:rPr>
              <w:t xml:space="preserve">号</w:t>
            </w:r>
            <w:r>
              <w:rPr>
                <w:highlight w:val="white"/>
              </w:rPr>
            </w:r>
            <w:r/>
          </w:p>
        </w:tc>
        <w:tc>
          <w:tcPr>
            <w:tcW w:w="3052" w:type="dxa"/>
            <w:vAlign w:val="top"/>
            <w:textDirection w:val="lrTb"/>
            <w:noWrap w:val="false"/>
          </w:tcPr>
          <w:p>
            <w:pPr>
              <w:pStyle w:val="895"/>
              <w:jc w:val="center"/>
              <w:rPr>
                <w:rFonts w:ascii="宋体" w:hAnsi="宋体"/>
                <w:color w:val="000000"/>
                <w:szCs w:val="21"/>
                <w:highlight w:val="white"/>
              </w:rPr>
            </w:pPr>
            <w:r>
              <w:rPr>
                <w:rFonts w:hint="eastAsia" w:ascii="宋体" w:hAnsi="宋体"/>
                <w:color w:val="000000"/>
                <w:szCs w:val="21"/>
                <w:highlight w:val="white"/>
              </w:rPr>
              <w:t xml:space="preserve">核心产品</w:t>
            </w:r>
            <w:r>
              <w:rPr>
                <w:highlight w:val="white"/>
              </w:rPr>
            </w:r>
            <w:r/>
          </w:p>
        </w:tc>
      </w:tr>
      <w:tr>
        <w:trPr/>
        <w:tc>
          <w:tcPr>
            <w:tcW w:w="896" w:type="dxa"/>
            <w:vAlign w:val="top"/>
            <w:textDirection w:val="lrTb"/>
            <w:noWrap w:val="false"/>
          </w:tcPr>
          <w:p>
            <w:pPr>
              <w:pStyle w:val="895"/>
              <w:jc w:val="center"/>
              <w:rPr>
                <w:rFonts w:ascii="宋体" w:hAnsi="宋体"/>
                <w:color w:val="000000"/>
                <w:szCs w:val="21"/>
                <w:highlight w:val="white"/>
              </w:rPr>
            </w:pPr>
            <w:r>
              <w:rPr>
                <w:rFonts w:hint="eastAsia" w:ascii="宋体" w:hAnsi="宋体"/>
                <w:color w:val="000000"/>
                <w:szCs w:val="21"/>
                <w:highlight w:val="white"/>
              </w:rPr>
              <w:t xml:space="preserve">1</w:t>
            </w:r>
            <w:r>
              <w:rPr>
                <w:highlight w:val="white"/>
              </w:rPr>
            </w:r>
            <w:r/>
          </w:p>
        </w:tc>
        <w:tc>
          <w:tcPr>
            <w:tcW w:w="3052" w:type="dxa"/>
            <w:vAlign w:val="top"/>
            <w:textDirection w:val="lrTb"/>
            <w:noWrap w:val="false"/>
          </w:tcPr>
          <w:p>
            <w:pPr>
              <w:pStyle w:val="895"/>
              <w:jc w:val="center"/>
              <w:rPr>
                <w:rFonts w:ascii="宋体" w:hAnsi="宋体"/>
                <w:color w:val="000000"/>
                <w:szCs w:val="21"/>
                <w:highlight w:val="white"/>
              </w:rPr>
            </w:pPr>
            <w:r>
              <w:rPr>
                <w:rFonts w:hint="eastAsia" w:ascii="宋体" w:hAnsi="宋体"/>
                <w:color w:val="000000"/>
                <w:szCs w:val="21"/>
                <w:highlight w:val="white"/>
              </w:rPr>
              <w:t xml:space="preserve">GPU服务器</w:t>
            </w:r>
            <w:r>
              <w:rPr>
                <w:highlight w:val="white"/>
              </w:rPr>
            </w:r>
            <w:r/>
          </w:p>
        </w:tc>
      </w:tr>
    </w:tbl>
    <w:p>
      <w:pPr>
        <w:pStyle w:val="895"/>
        <w:spacing w:line="0" w:lineRule="atLeast"/>
        <w:rPr>
          <w:rFonts w:ascii="宋体" w:hAnsi="宋体"/>
          <w:color w:val="000000"/>
          <w:sz w:val="24"/>
          <w:szCs w:val="24"/>
          <w:highlight w:val="white"/>
        </w:rPr>
      </w:pPr>
      <w:r>
        <w:rPr>
          <w:rFonts w:ascii="宋体" w:hAnsi="宋体"/>
          <w:color w:val="000000"/>
          <w:sz w:val="24"/>
          <w:szCs w:val="24"/>
          <w:highlight w:val="white"/>
        </w:rPr>
      </w:r>
      <w:r>
        <w:rPr>
          <w:highlight w:val="white"/>
        </w:rPr>
      </w:r>
      <w:r/>
    </w:p>
    <w:p>
      <w:pPr>
        <w:pStyle w:val="895"/>
        <w:spacing w:line="0" w:lineRule="atLeast"/>
        <w:rPr>
          <w:rFonts w:ascii="宋体" w:hAnsi="宋体"/>
          <w:b/>
          <w:color w:val="000000"/>
          <w:sz w:val="24"/>
          <w:szCs w:val="24"/>
          <w:highlight w:val="white"/>
        </w:rPr>
        <w:outlineLvl w:val="1"/>
      </w:pPr>
      <w:r>
        <w:rPr>
          <w:rFonts w:hint="eastAsia" w:ascii="宋体" w:hAnsi="宋体"/>
          <w:b/>
          <w:color w:val="000000"/>
          <w:sz w:val="24"/>
          <w:szCs w:val="24"/>
          <w:highlight w:val="white"/>
        </w:rPr>
        <w:t xml:space="preserve">五.项目要求</w:t>
      </w:r>
      <w:r>
        <w:rPr>
          <w:highlight w:val="white"/>
        </w:rPr>
      </w:r>
      <w:r/>
    </w:p>
    <w:p>
      <w:pPr>
        <w:pStyle w:val="1011"/>
        <w:numPr>
          <w:ilvl w:val="0"/>
          <w:numId w:val="5"/>
        </w:numPr>
        <w:jc w:val="both"/>
        <w:spacing w:line="500" w:lineRule="exact"/>
        <w:widowControl w:val="off"/>
        <w:rPr>
          <w:rFonts w:ascii="宋体" w:hAnsi="宋体" w:cs="宋体"/>
          <w:bCs/>
          <w:color w:val="000000"/>
          <w:highlight w:val="white"/>
        </w:rPr>
      </w:pPr>
      <w:r>
        <w:rPr>
          <w:rFonts w:hint="eastAsia" w:ascii="宋体" w:hAnsi="宋体" w:cs="宋体"/>
          <w:bCs/>
          <w:color w:val="000000"/>
          <w:highlight w:val="white"/>
          <w:lang w:eastAsia="zh-CN"/>
        </w:rPr>
        <w:t xml:space="preserve">集成要求：投标人除了完成标的物设备安装调试之外，应严格按照项目的实际需求免费提供联调测试相关集成工作，包括但不限于服务器安装调试，配合适配各种类型的GPU卡确保构建异构的算力网络环境满足项目建设要求。</w:t>
      </w:r>
      <w:r>
        <w:rPr>
          <w:highlight w:val="white"/>
        </w:rPr>
      </w:r>
      <w:r/>
    </w:p>
    <w:p>
      <w:pPr>
        <w:pStyle w:val="1011"/>
        <w:numPr>
          <w:ilvl w:val="0"/>
          <w:numId w:val="5"/>
        </w:numPr>
        <w:jc w:val="both"/>
        <w:spacing w:line="500" w:lineRule="exact"/>
        <w:widowControl w:val="off"/>
        <w:rPr>
          <w:rFonts w:ascii="宋体" w:hAnsi="宋体" w:cs="宋体"/>
          <w:bCs/>
          <w:color w:val="000000"/>
          <w:highlight w:val="white"/>
        </w:rPr>
      </w:pPr>
      <w:r>
        <w:rPr>
          <w:rFonts w:hint="eastAsia" w:ascii="宋体" w:hAnsi="宋体" w:cs="宋体"/>
          <w:bCs/>
          <w:color w:val="000000"/>
          <w:highlight w:val="white"/>
          <w:lang w:eastAsia="zh-CN"/>
        </w:rPr>
        <w:t xml:space="preserve">本次招标采购标的物整体要求</w:t>
      </w:r>
      <w:r>
        <w:rPr>
          <w:highlight w:val="white"/>
        </w:rPr>
      </w:r>
      <w:r/>
    </w:p>
    <w:p>
      <w:pPr>
        <w:pStyle w:val="895"/>
        <w:ind w:firstLine="480"/>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2.1、本次采购标的物要求为原厂设备，非OEM产品。 </w:t>
      </w:r>
      <w:r>
        <w:rPr>
          <w:highlight w:val="white"/>
        </w:rPr>
      </w:r>
      <w:r/>
    </w:p>
    <w:p>
      <w:pPr>
        <w:pStyle w:val="895"/>
        <w:ind w:firstLine="480"/>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2.2  本次采购标的物需按照招标单位要求完成安装和调试。</w:t>
      </w:r>
      <w:r>
        <w:rPr>
          <w:highlight w:val="white"/>
        </w:rPr>
      </w:r>
      <w:r/>
    </w:p>
    <w:p>
      <w:pPr>
        <w:pStyle w:val="895"/>
        <w:ind w:firstLine="480"/>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2.3、标的物验收及售后要求</w:t>
      </w:r>
      <w:r>
        <w:rPr>
          <w:highlight w:val="white"/>
        </w:rPr>
      </w:r>
      <w:r/>
    </w:p>
    <w:p>
      <w:pPr>
        <w:pStyle w:val="895"/>
        <w:ind w:firstLine="480"/>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2.3.1、外观与数量</w:t>
      </w:r>
      <w:r>
        <w:rPr>
          <w:highlight w:val="white"/>
        </w:rPr>
      </w:r>
      <w:r/>
    </w:p>
    <w:p>
      <w:pPr>
        <w:pStyle w:val="895"/>
        <w:ind w:firstLine="480"/>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设备到达指定地点后，应查看设备外观包装是否损坏，清点设备及配件清单，确保正常使用。</w:t>
      </w:r>
      <w:r>
        <w:rPr>
          <w:highlight w:val="white"/>
        </w:rPr>
      </w:r>
      <w:r/>
    </w:p>
    <w:p>
      <w:pPr>
        <w:pStyle w:val="895"/>
        <w:ind w:firstLine="480"/>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2.3.2、验收不合格事项</w:t>
      </w:r>
      <w:r>
        <w:rPr>
          <w:highlight w:val="white"/>
        </w:rPr>
      </w:r>
      <w:r/>
    </w:p>
    <w:p>
      <w:pPr>
        <w:pStyle w:val="895"/>
        <w:ind w:firstLine="480"/>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因产品质量、数量、品种、配套附件、资料文件、技术指标及其他事项与本合同规定的不相符合而导致产品验收不合格，甲方应及时向乙方提出异议，经协调后由乙方负责解决。如双方发生争议，进行质量鉴定。产品符合本合同规定的，鉴定费由甲方承担；不符合本合同规定的，鉴定费由乙方承担。</w:t>
      </w:r>
      <w:r>
        <w:rPr>
          <w:highlight w:val="white"/>
        </w:rPr>
      </w:r>
      <w:r/>
    </w:p>
    <w:p>
      <w:pPr>
        <w:pStyle w:val="1011"/>
        <w:numPr>
          <w:ilvl w:val="0"/>
          <w:numId w:val="5"/>
        </w:numPr>
        <w:jc w:val="both"/>
        <w:spacing w:line="500" w:lineRule="exact"/>
        <w:widowControl w:val="off"/>
        <w:rPr>
          <w:rFonts w:ascii="宋体" w:hAnsi="宋体" w:cs="宋体"/>
          <w:bCs/>
          <w:color w:val="000000"/>
          <w:highlight w:val="white"/>
        </w:rPr>
      </w:pPr>
      <w:r>
        <w:rPr>
          <w:rFonts w:hint="eastAsia" w:ascii="宋体" w:hAnsi="宋体" w:cs="宋体"/>
          <w:bCs/>
          <w:color w:val="000000"/>
          <w:highlight w:val="white"/>
        </w:rPr>
        <w:t xml:space="preserve">质保</w:t>
      </w:r>
      <w:r>
        <w:rPr>
          <w:highlight w:val="white"/>
        </w:rPr>
      </w:r>
      <w:r/>
    </w:p>
    <w:p>
      <w:pPr>
        <w:pStyle w:val="895"/>
        <w:ind w:firstLine="480"/>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质保期为合同内标的全部到货之日起3年，在质保期间出现故障，投标单位或设备生产厂商在接收到招标单位通知后及时予以回应、提出解决方案。</w:t>
      </w:r>
      <w:r>
        <w:rPr>
          <w:highlight w:val="white"/>
        </w:rPr>
      </w:r>
      <w:r/>
    </w:p>
    <w:p>
      <w:pPr>
        <w:pStyle w:val="1011"/>
        <w:numPr>
          <w:ilvl w:val="0"/>
          <w:numId w:val="5"/>
        </w:numPr>
        <w:jc w:val="both"/>
        <w:spacing w:line="500" w:lineRule="exact"/>
        <w:widowControl w:val="off"/>
        <w:rPr>
          <w:rFonts w:ascii="宋体" w:hAnsi="宋体" w:cs="宋体"/>
          <w:bCs/>
          <w:color w:val="000000"/>
          <w:highlight w:val="white"/>
        </w:rPr>
      </w:pPr>
      <w:r>
        <w:rPr>
          <w:rFonts w:hint="eastAsia" w:ascii="宋体" w:hAnsi="宋体" w:cs="宋体"/>
          <w:bCs/>
          <w:color w:val="000000"/>
          <w:highlight w:val="white"/>
        </w:rPr>
        <w:t xml:space="preserve">供货</w:t>
      </w:r>
      <w:r>
        <w:rPr>
          <w:highlight w:val="white"/>
        </w:rPr>
      </w:r>
      <w:r/>
    </w:p>
    <w:p>
      <w:pPr>
        <w:pStyle w:val="895"/>
        <w:ind w:firstLine="480"/>
        <w:spacing w:line="500" w:lineRule="exact"/>
        <w:rPr>
          <w:rFonts w:hint="eastAsia" w:ascii="宋体" w:hAnsi="宋体" w:cs="宋体"/>
          <w:bCs/>
          <w:color w:val="000000"/>
          <w:sz w:val="24"/>
          <w:szCs w:val="24"/>
          <w:highlight w:val="white"/>
        </w:rPr>
      </w:pPr>
      <w:r>
        <w:rPr>
          <w:rFonts w:hint="eastAsia" w:ascii="宋体" w:hAnsi="宋体"/>
          <w:color w:val="000000"/>
          <w:sz w:val="24"/>
          <w:szCs w:val="24"/>
          <w:highlight w:val="white"/>
        </w:rPr>
        <w:t xml:space="preserve">合同签订之日起10日内交付至采购人指定地点。</w:t>
      </w:r>
      <w:r>
        <w:rPr>
          <w:highlight w:val="white"/>
        </w:rPr>
      </w:r>
      <w:r/>
    </w:p>
    <w:p>
      <w:pPr>
        <w:pStyle w:val="1011"/>
        <w:numPr>
          <w:ilvl w:val="0"/>
          <w:numId w:val="5"/>
        </w:numPr>
        <w:jc w:val="both"/>
        <w:spacing w:line="500" w:lineRule="exact"/>
        <w:widowControl w:val="off"/>
        <w:rPr>
          <w:rFonts w:ascii="宋体" w:hAnsi="宋体" w:cs="宋体"/>
          <w:bCs/>
          <w:color w:val="000000"/>
          <w:highlight w:val="white"/>
        </w:rPr>
      </w:pPr>
      <w:r>
        <w:rPr>
          <w:highlight w:val="white"/>
        </w:rPr>
      </w:r>
      <w:bookmarkStart w:id="193" w:name="_Toc32631_WPSOffice_Level1"/>
      <w:r>
        <w:rPr>
          <w:rFonts w:hint="eastAsia" w:ascii="宋体" w:hAnsi="宋体" w:cs="宋体"/>
          <w:bCs/>
          <w:color w:val="000000"/>
          <w:highlight w:val="white"/>
        </w:rPr>
        <w:t xml:space="preserve">工程施工</w:t>
      </w:r>
      <w:bookmarkEnd w:id="193"/>
      <w:r>
        <w:rPr>
          <w:highlight w:val="white"/>
        </w:rPr>
      </w:r>
      <w:r/>
    </w:p>
    <w:p>
      <w:pPr>
        <w:pStyle w:val="895"/>
        <w:ind w:firstLine="480"/>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投标方负责完成服务器安装节点机房与其它设备的对接工作，具体内容包含但不限于：按照招标方的要求完成与交换机设备的光纤或网线对接，并完成网络联通调试；按照招标方的要求完成与交换机设备的光纤或网线对接，并完成网络联通调试；按照招标方的要求完成服务器设备操作系统安装，安装并适配显卡驱动，并完成管理IP的配置；</w:t>
      </w:r>
      <w:r>
        <w:rPr>
          <w:highlight w:val="white"/>
        </w:rPr>
      </w:r>
      <w:r/>
    </w:p>
    <w:p>
      <w:pPr>
        <w:pStyle w:val="895"/>
        <w:ind w:firstLine="480"/>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个别节点相应配套未到位，需要配合供应以下物资</w:t>
      </w:r>
      <w:r>
        <w:rPr>
          <w:highlight w:val="white"/>
        </w:rPr>
      </w:r>
      <w:r/>
    </w:p>
    <w:p>
      <w:pPr>
        <w:pStyle w:val="895"/>
        <w:ind w:firstLine="480"/>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投标方负责完成设备的硬件安装，并负责提供所需的所有配件如导轨、螺栓、光纤、网线等（含配件安装）。工程施工需要符合以下规范要求。</w:t>
      </w:r>
      <w:r>
        <w:rPr>
          <w:highlight w:val="white"/>
        </w:rPr>
      </w:r>
      <w:r/>
    </w:p>
    <w:p>
      <w:pPr>
        <w:pStyle w:val="895"/>
        <w:ind w:firstLine="480"/>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5.1 硬件安装规范 </w:t>
      </w:r>
      <w:r>
        <w:rPr>
          <w:highlight w:val="white"/>
        </w:rPr>
      </w:r>
      <w:r/>
    </w:p>
    <w:p>
      <w:pPr>
        <w:pStyle w:val="895"/>
        <w:ind w:firstLine="480"/>
        <w:spacing w:line="500" w:lineRule="exact"/>
        <w:rPr>
          <w:rFonts w:ascii="宋体" w:hAnsi="宋体" w:cs="宋体"/>
          <w:bCs/>
          <w:color w:val="000000"/>
          <w:sz w:val="24"/>
          <w:szCs w:val="24"/>
          <w:highlight w:val="white"/>
        </w:rPr>
      </w:pPr>
      <w:r>
        <w:rPr>
          <w:highlight w:val="white"/>
        </w:rPr>
      </w:r>
      <w:bookmarkStart w:id="194" w:name="_Toc475028016"/>
      <w:r>
        <w:rPr>
          <w:rFonts w:hint="eastAsia" w:ascii="宋体" w:hAnsi="宋体" w:cs="宋体"/>
          <w:bCs/>
          <w:color w:val="000000"/>
          <w:sz w:val="24"/>
          <w:szCs w:val="24"/>
          <w:highlight w:val="white"/>
        </w:rPr>
        <w:t xml:space="preserve">5.1.1 设备子架安装</w:t>
      </w:r>
      <w:bookmarkEnd w:id="194"/>
      <w:r>
        <w:rPr>
          <w:rFonts w:hint="eastAsia" w:ascii="宋体" w:hAnsi="宋体" w:cs="宋体"/>
          <w:bCs/>
          <w:color w:val="000000"/>
          <w:sz w:val="24"/>
          <w:szCs w:val="24"/>
          <w:highlight w:val="white"/>
        </w:rPr>
        <w:t xml:space="preserve">要求</w:t>
      </w:r>
      <w:r>
        <w:rPr>
          <w:highlight w:val="white"/>
        </w:rPr>
      </w:r>
      <w:r/>
    </w:p>
    <w:p>
      <w:pPr>
        <w:pStyle w:val="895"/>
        <w:ind w:firstLine="480"/>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（1）设备子架安装位置和子架内板件槽位应符合设计要求。</w:t>
      </w:r>
      <w:r>
        <w:rPr>
          <w:highlight w:val="white"/>
        </w:rPr>
      </w:r>
      <w:r/>
    </w:p>
    <w:p>
      <w:pPr>
        <w:pStyle w:val="895"/>
        <w:ind w:firstLine="480"/>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（2）子架与机架的加固应牢固、端正，符合设备装配要求，不得影响机架的整体形状和机架门的顺畅开合。</w:t>
      </w:r>
      <w:r>
        <w:rPr>
          <w:highlight w:val="white"/>
        </w:rPr>
      </w:r>
      <w:r/>
    </w:p>
    <w:p>
      <w:pPr>
        <w:pStyle w:val="895"/>
        <w:ind w:firstLine="480"/>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（3）子架上的饰件、零配件应装配齐全，接地线应与机架接地端子可靠连接。</w:t>
      </w:r>
      <w:r>
        <w:rPr>
          <w:highlight w:val="white"/>
        </w:rPr>
      </w:r>
      <w:r/>
    </w:p>
    <w:p>
      <w:pPr>
        <w:pStyle w:val="895"/>
        <w:ind w:firstLine="480"/>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（4）子架内插接件接触良好，空槽位宜安装空板件或假面板。</w:t>
      </w:r>
      <w:r>
        <w:rPr>
          <w:highlight w:val="white"/>
        </w:rPr>
      </w:r>
      <w:r/>
    </w:p>
    <w:p>
      <w:pPr>
        <w:pStyle w:val="895"/>
        <w:ind w:firstLine="480"/>
        <w:spacing w:line="500" w:lineRule="exact"/>
        <w:rPr>
          <w:rFonts w:ascii="宋体" w:hAnsi="宋体" w:cs="宋体"/>
          <w:bCs/>
          <w:color w:val="000000"/>
          <w:sz w:val="24"/>
          <w:szCs w:val="24"/>
          <w:highlight w:val="white"/>
        </w:rPr>
      </w:pPr>
      <w:r>
        <w:rPr>
          <w:highlight w:val="white"/>
        </w:rPr>
      </w:r>
      <w:bookmarkStart w:id="195" w:name="_Toc475028019"/>
      <w:r>
        <w:rPr>
          <w:rFonts w:hint="eastAsia" w:ascii="宋体" w:hAnsi="宋体" w:cs="宋体"/>
          <w:bCs/>
          <w:color w:val="000000"/>
          <w:sz w:val="24"/>
          <w:szCs w:val="24"/>
          <w:highlight w:val="white"/>
        </w:rPr>
        <w:t xml:space="preserve">5.1.2 光纤连接线布放</w:t>
      </w:r>
      <w:bookmarkEnd w:id="195"/>
      <w:r>
        <w:rPr>
          <w:rFonts w:hint="eastAsia" w:ascii="宋体" w:hAnsi="宋体" w:cs="宋体"/>
          <w:bCs/>
          <w:color w:val="000000"/>
          <w:sz w:val="24"/>
          <w:szCs w:val="24"/>
          <w:highlight w:val="white"/>
        </w:rPr>
        <w:t xml:space="preserve">要求</w:t>
      </w:r>
      <w:r>
        <w:rPr>
          <w:highlight w:val="white"/>
        </w:rPr>
      </w:r>
      <w:r/>
    </w:p>
    <w:p>
      <w:pPr>
        <w:pStyle w:val="895"/>
        <w:ind w:firstLine="480"/>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（1）光纤连接线布放路由、不同类型纤芯的光纤连接线外皮颜色、收信、发信排列方式应符合设计要求。</w:t>
      </w:r>
      <w:r>
        <w:rPr>
          <w:highlight w:val="white"/>
        </w:rPr>
      </w:r>
      <w:r/>
    </w:p>
    <w:p>
      <w:pPr>
        <w:pStyle w:val="895"/>
        <w:ind w:firstLine="480"/>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（2）光纤连接线宜布放在光纤护槽内，应保持光纤顺直，无明显扭绞；无光纤护槽时，光纤连接线应加穿光纤保护管；保护管应顺直绑扎在电缆槽道内或走线架上。</w:t>
      </w:r>
      <w:r>
        <w:rPr>
          <w:highlight w:val="white"/>
        </w:rPr>
      </w:r>
      <w:r/>
    </w:p>
    <w:p>
      <w:pPr>
        <w:pStyle w:val="895"/>
        <w:ind w:firstLine="480"/>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（3）光纤连接线从护槽引出宜采用螺纹光纤保护管保护。</w:t>
      </w:r>
      <w:r>
        <w:rPr>
          <w:highlight w:val="white"/>
        </w:rPr>
      </w:r>
      <w:r/>
    </w:p>
    <w:p>
      <w:pPr>
        <w:pStyle w:val="895"/>
        <w:ind w:firstLine="480"/>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（4）严禁用尼龙扎带直接捆绑无套管保护的光纤连接线，宜用扎线绑扎或自粘式绷带缠扎，绑扎松紧适度。</w:t>
      </w:r>
      <w:r>
        <w:rPr>
          <w:highlight w:val="white"/>
        </w:rPr>
      </w:r>
      <w:r/>
    </w:p>
    <w:p>
      <w:pPr>
        <w:pStyle w:val="895"/>
        <w:ind w:firstLine="480"/>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（5）光纤连接线活接头处应留一定的富余，余长应依据接头位置等情况确定，一般不宜超过2m。光纤连接线余长部分应整齐盘放，曲率半径应不小于30mm。</w:t>
      </w:r>
      <w:r>
        <w:rPr>
          <w:highlight w:val="white"/>
        </w:rPr>
      </w:r>
      <w:r/>
    </w:p>
    <w:p>
      <w:pPr>
        <w:pStyle w:val="895"/>
        <w:ind w:firstLine="480"/>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（6）光纤连接线应整条布放，中间不得做接头。</w:t>
      </w:r>
      <w:r>
        <w:rPr>
          <w:highlight w:val="white"/>
        </w:rPr>
      </w:r>
      <w:r/>
    </w:p>
    <w:p>
      <w:pPr>
        <w:pStyle w:val="895"/>
        <w:ind w:firstLine="480"/>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（7）光纤连接线两端应粘贴标签，标签应粘贴整齐一致，标识应清晰、准确、规范。</w:t>
      </w:r>
      <w:r>
        <w:rPr>
          <w:highlight w:val="white"/>
        </w:rPr>
      </w:r>
      <w:r/>
    </w:p>
    <w:p>
      <w:pPr>
        <w:pStyle w:val="895"/>
        <w:ind w:firstLine="480"/>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5.1.3电力电缆布放要求</w:t>
      </w:r>
      <w:r>
        <w:rPr>
          <w:highlight w:val="white"/>
        </w:rPr>
      </w:r>
      <w:r/>
    </w:p>
    <w:p>
      <w:pPr>
        <w:pStyle w:val="895"/>
        <w:ind w:firstLine="480"/>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（1）电力电缆规格程式、布放路由、芯线间的绝缘电阻应符合设计要求。</w:t>
      </w:r>
      <w:r>
        <w:rPr>
          <w:highlight w:val="white"/>
        </w:rPr>
      </w:r>
      <w:r/>
    </w:p>
    <w:p>
      <w:pPr>
        <w:pStyle w:val="895"/>
        <w:ind w:firstLine="480"/>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（2）电力电缆应整条布放，中间不得做接头。</w:t>
      </w:r>
      <w:r>
        <w:rPr>
          <w:highlight w:val="white"/>
        </w:rPr>
      </w:r>
      <w:r/>
    </w:p>
    <w:p>
      <w:pPr>
        <w:pStyle w:val="895"/>
        <w:ind w:firstLine="480"/>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（3）在槽道内或走线架上布放应顺直，捆扎牢固，转弯处不得出现电缆外皮起皱现象。</w:t>
      </w:r>
      <w:r>
        <w:rPr>
          <w:highlight w:val="white"/>
        </w:rPr>
      </w:r>
      <w:r/>
    </w:p>
    <w:p>
      <w:pPr>
        <w:pStyle w:val="895"/>
        <w:ind w:firstLine="480"/>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4）直流电源线中的负极线和工作地线应顺直绑扎成一束；当电源线较多需要多束布放时，电缆束间不应留间隙。10平方毫米及以下单股电力线可采用打接头圈方式与接线排连接，打圈绕向与螺丝固紧方向一致；铜芯多股电力线接头圈应镀锡。螺丝和接头圈间应安装平垫圈和弹簧垫圈。10平方毫米以上的电力电缆应采用缆线鼻子制做终端头，鼻子与缆线连接处的材料应与电缆材料相吻合。</w:t>
      </w:r>
      <w:r>
        <w:rPr>
          <w:highlight w:val="white"/>
        </w:rPr>
      </w:r>
      <w:r/>
    </w:p>
    <w:p>
      <w:pPr>
        <w:pStyle w:val="895"/>
        <w:ind w:firstLine="480"/>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铜鼻子的规格必须与电源线规格一致，剥露的铜线长度适当，并保证铜缆芯完整接入铜鼻子压接管内，严禁损伤和剪切铜缆芯线。</w:t>
      </w:r>
      <w:r>
        <w:rPr>
          <w:highlight w:val="white"/>
        </w:rPr>
      </w:r>
      <w:r/>
    </w:p>
    <w:p>
      <w:pPr>
        <w:pStyle w:val="895"/>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铜鼻子压接管外侧应采用绝缘材料保护，正极宜用红色、负极宜用蓝色、保护地宜用黄色。</w:t>
      </w:r>
      <w:r>
        <w:rPr>
          <w:highlight w:val="white"/>
        </w:rPr>
      </w:r>
      <w:r/>
    </w:p>
    <w:p>
      <w:pPr>
        <w:pStyle w:val="895"/>
        <w:ind w:firstLine="480"/>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5.2安全及文明施工规范</w:t>
      </w:r>
      <w:r>
        <w:rPr>
          <w:highlight w:val="white"/>
        </w:rPr>
      </w:r>
      <w:r/>
    </w:p>
    <w:p>
      <w:pPr>
        <w:pStyle w:val="895"/>
        <w:ind w:firstLine="480"/>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（1）投标方应严格遵守通信行业标准YD 5201-2014《通信建设工程安全生产操作规范》和工信部规[2015] 406号《通信建设工程安全生产管理规定》等国家相关规范。</w:t>
      </w:r>
      <w:r>
        <w:rPr>
          <w:highlight w:val="white"/>
        </w:rPr>
      </w:r>
      <w:r/>
    </w:p>
    <w:p>
      <w:pPr>
        <w:pStyle w:val="895"/>
        <w:ind w:firstLine="480"/>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2）投标方还应遵守招标方相关规范、质量和安全管理文件，设立逐级安全、质量管理制度和人员。投标方派出的施工队长应具备相关专业施工现场技术负责人资质，也可为经招标方考察认可人员，施工人员应保持相对稳定。</w:t>
      </w:r>
      <w:r>
        <w:rPr>
          <w:highlight w:val="white"/>
        </w:rPr>
      </w:r>
      <w:r/>
    </w:p>
    <w:p>
      <w:pPr>
        <w:pStyle w:val="895"/>
        <w:ind w:firstLine="480"/>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（3）投标方开工前需按要求办理开工进场手续，并对施工人员进行招标方相关规章制度和安全教育，务必熟悉有关施工规范和安全生产要求。</w:t>
      </w:r>
      <w:r>
        <w:rPr>
          <w:highlight w:val="white"/>
        </w:rPr>
      </w:r>
      <w:r/>
    </w:p>
    <w:p>
      <w:pPr>
        <w:pStyle w:val="895"/>
        <w:ind w:firstLine="480"/>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（4）投标方开工前必须仔细阅读工程设计文件，了解工程概况和现场情况，提交详细的施工组织设计和必要的施工方案，并按工期要求合理配置施工人员。</w:t>
      </w:r>
      <w:r>
        <w:rPr>
          <w:highlight w:val="white"/>
        </w:rPr>
      </w:r>
      <w:r/>
    </w:p>
    <w:p>
      <w:pPr>
        <w:pStyle w:val="895"/>
        <w:ind w:firstLine="480"/>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（5）投标方在安装前应向招标方提供施工及督导调试人员的名单及其本人具备安装调测验收合同设备的资质认证文件。</w:t>
      </w:r>
      <w:r>
        <w:rPr>
          <w:highlight w:val="white"/>
        </w:rPr>
      </w:r>
      <w:r/>
    </w:p>
    <w:p>
      <w:pPr>
        <w:pStyle w:val="895"/>
        <w:ind w:firstLine="480"/>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6）在严格按照审核通过的设计进行施工的同时，对设计中出现的与现场实际情况不符或不规范的情况要立即向招标方及设计单位反映，经招标方与设计单位研究同意后，投标方方可按变更后的设计方案继续施工，不得将错就错。</w:t>
      </w:r>
      <w:r>
        <w:rPr>
          <w:highlight w:val="white"/>
        </w:rPr>
      </w:r>
      <w:r/>
    </w:p>
    <w:p>
      <w:pPr>
        <w:pStyle w:val="895"/>
        <w:ind w:firstLine="480"/>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（7）施工现场所有人员挂牌上岗，同时必须设立安全员，严禁使用不合要求的工具和安全防护用品，严格安全操作规程施工，确保人身和设备安全，杜绝重大安全责任事故发生。</w:t>
      </w:r>
      <w:r>
        <w:rPr>
          <w:highlight w:val="white"/>
        </w:rPr>
      </w:r>
      <w:r/>
    </w:p>
    <w:p>
      <w:pPr>
        <w:pStyle w:val="895"/>
        <w:ind w:firstLine="480"/>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（8）投标方施工人员出入机房必须严格遵守机房相关管理规定，不得操作、查看机房内与本次工程无关的通信设备。</w:t>
      </w:r>
      <w:r>
        <w:rPr>
          <w:highlight w:val="white"/>
        </w:rPr>
      </w:r>
      <w:r/>
    </w:p>
    <w:p>
      <w:pPr>
        <w:pStyle w:val="895"/>
        <w:ind w:firstLine="480"/>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（9）投标方施工人员必须做到安全施工、文明施工。在工程完工之前每次临时离开施工现场时，必须将现场收拾整齐和打扫干净。</w:t>
      </w:r>
      <w:r>
        <w:rPr>
          <w:highlight w:val="white"/>
        </w:rPr>
      </w:r>
      <w:r/>
    </w:p>
    <w:p>
      <w:pPr>
        <w:pStyle w:val="895"/>
        <w:ind w:firstLine="480"/>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（10）施工工艺要求应严格按照行业施工规范要求进行，投标方并应保证在施工过程中已安装运行设备的正常工作，同时在保证安全、质量的前提下，还要保证设备安装的美观。</w:t>
      </w:r>
      <w:r>
        <w:rPr>
          <w:highlight w:val="white"/>
        </w:rPr>
      </w:r>
      <w:r/>
    </w:p>
    <w:p>
      <w:pPr>
        <w:pStyle w:val="895"/>
        <w:ind w:firstLine="480"/>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（11）在施工过程中，投标方应自觉维护好与施工区域周围人员的关系，不得为了赶进度而强行施工，并应保持施工场所涉及区域的卫生环境。</w:t>
      </w:r>
      <w:r>
        <w:rPr>
          <w:highlight w:val="white"/>
        </w:rPr>
      </w:r>
      <w:r/>
    </w:p>
    <w:p>
      <w:pPr>
        <w:pStyle w:val="895"/>
        <w:ind w:firstLine="480"/>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（12）工程期间，因投标方原因造成的材料缺失或者损耗，需投标方自行承担。</w:t>
      </w:r>
      <w:r>
        <w:rPr>
          <w:highlight w:val="white"/>
        </w:rPr>
      </w:r>
      <w:r/>
    </w:p>
    <w:p>
      <w:pPr>
        <w:pStyle w:val="895"/>
        <w:ind w:firstLine="480"/>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（13）工程期间，投标方应根据招标方的要求，以日报、周报或月报等形式向招标方汇报工程进展情况，并说明遇到的困难及需招标方协助解决的问题。</w:t>
      </w:r>
      <w:r>
        <w:rPr>
          <w:highlight w:val="white"/>
        </w:rPr>
      </w:r>
      <w:r/>
    </w:p>
    <w:p>
      <w:pPr>
        <w:pStyle w:val="1011"/>
        <w:numPr>
          <w:ilvl w:val="0"/>
          <w:numId w:val="5"/>
        </w:numPr>
        <w:jc w:val="both"/>
        <w:spacing w:line="500" w:lineRule="exact"/>
        <w:widowControl w:val="off"/>
        <w:rPr>
          <w:rFonts w:ascii="宋体" w:hAnsi="宋体" w:cs="宋体"/>
          <w:bCs/>
          <w:color w:val="000000"/>
          <w:highlight w:val="white"/>
        </w:rPr>
      </w:pPr>
      <w:r>
        <w:rPr>
          <w:highlight w:val="white"/>
        </w:rPr>
      </w:r>
      <w:bookmarkStart w:id="196" w:name="_Toc16516_WPSOffice_Level1"/>
      <w:r>
        <w:rPr>
          <w:highlight w:val="white"/>
        </w:rPr>
      </w:r>
      <w:bookmarkStart w:id="197" w:name="_Toc107048577"/>
      <w:r>
        <w:rPr>
          <w:rFonts w:hint="eastAsia" w:ascii="宋体" w:hAnsi="宋体" w:cs="宋体"/>
          <w:bCs/>
          <w:color w:val="000000"/>
          <w:highlight w:val="white"/>
          <w:lang w:eastAsia="zh-CN"/>
        </w:rPr>
        <w:t xml:space="preserve"> </w:t>
      </w:r>
      <w:r>
        <w:rPr>
          <w:rFonts w:hint="eastAsia" w:ascii="宋体" w:hAnsi="宋体" w:cs="宋体"/>
          <w:bCs/>
          <w:color w:val="000000"/>
          <w:highlight w:val="white"/>
        </w:rPr>
        <w:t xml:space="preserve">特殊情况下的服务</w:t>
      </w:r>
      <w:bookmarkEnd w:id="196"/>
      <w:r>
        <w:rPr>
          <w:highlight w:val="white"/>
        </w:rPr>
      </w:r>
      <w:bookmarkEnd w:id="197"/>
      <w:r>
        <w:rPr>
          <w:highlight w:val="white"/>
        </w:rPr>
      </w:r>
      <w:r/>
    </w:p>
    <w:p>
      <w:pPr>
        <w:pStyle w:val="895"/>
        <w:ind w:firstLine="480"/>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在工程保修期内，由于特殊原因而可能引起的设备搬迁等情况，投标方应无条件配合搬迁，并提供现场人力、物力与技术支持。</w:t>
      </w:r>
      <w:r>
        <w:rPr>
          <w:highlight w:val="white"/>
        </w:rPr>
      </w:r>
      <w:r/>
    </w:p>
    <w:p>
      <w:pPr>
        <w:pStyle w:val="895"/>
        <w:numPr>
          <w:ilvl w:val="0"/>
          <w:numId w:val="5"/>
        </w:numPr>
        <w:spacing w:line="500" w:lineRule="exact"/>
        <w:rPr>
          <w:rFonts w:ascii="宋体" w:hAnsi="宋体" w:cs="宋体"/>
          <w:b/>
          <w:color w:val="000000"/>
          <w:sz w:val="24"/>
          <w:szCs w:val="24"/>
          <w:highlight w:val="white"/>
        </w:rPr>
      </w:pPr>
      <w:r>
        <w:rPr>
          <w:rFonts w:hint="eastAsia" w:ascii="宋体" w:hAnsi="宋体" w:cs="宋体"/>
          <w:b/>
          <w:color w:val="000000"/>
          <w:sz w:val="24"/>
          <w:szCs w:val="24"/>
          <w:highlight w:val="white"/>
        </w:rPr>
        <w:t xml:space="preserve">项目实施方案</w:t>
      </w:r>
      <w:r>
        <w:rPr>
          <w:highlight w:val="white"/>
        </w:rPr>
      </w:r>
      <w:r/>
    </w:p>
    <w:p>
      <w:pPr>
        <w:pStyle w:val="895"/>
        <w:spacing w:line="50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7.1成立项目组</w:t>
      </w:r>
      <w:r>
        <w:rPr>
          <w:highlight w:val="white"/>
        </w:rPr>
      </w:r>
      <w:r/>
    </w:p>
    <w:p>
      <w:pPr>
        <w:pStyle w:val="895"/>
        <w:ind w:firstLine="480"/>
        <w:spacing w:line="50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首先成立专业的项目组。项目组负责项目的具体施工、测试、验收等工作，并对施工进度与质量负责。按照项目实施的标准流程在招标方要求的时间内完成交付。</w:t>
      </w:r>
      <w:r>
        <w:rPr>
          <w:highlight w:val="white"/>
        </w:rPr>
      </w:r>
      <w:r/>
    </w:p>
    <w:p>
      <w:pPr>
        <w:pStyle w:val="895"/>
        <w:spacing w:line="500" w:lineRule="exact"/>
        <w:rPr>
          <w:rFonts w:ascii="宋体" w:hAnsi="宋体" w:cs="宋体"/>
          <w:color w:val="000000"/>
          <w:sz w:val="24"/>
          <w:szCs w:val="24"/>
          <w:highlight w:val="white"/>
        </w:rPr>
      </w:pPr>
      <w:r>
        <w:rPr>
          <w:highlight w:val="white"/>
        </w:rPr>
      </w:r>
      <w:bookmarkStart w:id="198" w:name="_Toc12117901"/>
      <w:r>
        <w:rPr>
          <w:rFonts w:hint="eastAsia" w:ascii="宋体" w:hAnsi="宋体" w:cs="宋体"/>
          <w:color w:val="000000"/>
          <w:sz w:val="24"/>
          <w:szCs w:val="24"/>
          <w:highlight w:val="white"/>
        </w:rPr>
        <w:t xml:space="preserve">7.2制定详细的项目建设计划</w:t>
      </w:r>
      <w:bookmarkEnd w:id="198"/>
      <w:r>
        <w:rPr>
          <w:highlight w:val="white"/>
        </w:rPr>
      </w:r>
      <w:r/>
    </w:p>
    <w:p>
      <w:pPr>
        <w:pStyle w:val="895"/>
        <w:ind w:firstLine="480"/>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项目启动后，需要立即组织项目相关的所有人员熟悉本项目相关的所有细节，熟悉项目的具体内容，制定详细的施工计划与进度表。项目计划文档至少包含如下内容：（1）项目施工人员名单，确定联络人，项目组人员的具体分工与职责；（2）实施过程需要的工具与设备；（3）具体的施工计划与详细的进度表；（4）具体的施工方案文档编写与汇总，每个节点都需要提供施工方案文档；（5）阶段性的验收报告；（6）施工过程中意外情况的处理；（7）培训的时间、内容、规模等；（8）明确具体的安全策略、测试方法、验收标准、完工文档等；</w:t>
      </w:r>
      <w:r>
        <w:rPr>
          <w:highlight w:val="white"/>
        </w:rPr>
      </w:r>
      <w:r/>
    </w:p>
    <w:p>
      <w:pPr>
        <w:pStyle w:val="895"/>
        <w:spacing w:line="500" w:lineRule="exact"/>
        <w:rPr>
          <w:rFonts w:ascii="宋体" w:hAnsi="宋体" w:cs="宋体"/>
          <w:color w:val="000000"/>
          <w:sz w:val="24"/>
          <w:szCs w:val="24"/>
          <w:highlight w:val="white"/>
        </w:rPr>
      </w:pPr>
      <w:r>
        <w:rPr>
          <w:highlight w:val="white"/>
        </w:rPr>
      </w:r>
      <w:bookmarkStart w:id="199" w:name="_Toc12117902"/>
      <w:r>
        <w:rPr>
          <w:rFonts w:hint="eastAsia" w:ascii="宋体" w:hAnsi="宋体" w:cs="宋体"/>
          <w:color w:val="000000"/>
          <w:sz w:val="24"/>
          <w:szCs w:val="24"/>
          <w:highlight w:val="white"/>
        </w:rPr>
        <w:t xml:space="preserve">7.3进行施工前的工程勘察</w:t>
      </w:r>
      <w:bookmarkEnd w:id="199"/>
      <w:r>
        <w:rPr>
          <w:highlight w:val="white"/>
        </w:rPr>
      </w:r>
      <w:r/>
    </w:p>
    <w:p>
      <w:pPr>
        <w:pStyle w:val="895"/>
        <w:ind w:firstLine="480"/>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 提前与招标方确认好施工时间，在正式施工前提前进行勘察，勘察后编写《工程勘察纪要》，确定设备的安装和集成详细部署方案。</w:t>
      </w:r>
      <w:r>
        <w:rPr>
          <w:highlight w:val="white"/>
        </w:rPr>
      </w:r>
      <w:r/>
    </w:p>
    <w:p>
      <w:pPr>
        <w:pStyle w:val="895"/>
        <w:spacing w:line="50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7.4</w:t>
      </w:r>
      <w:r>
        <w:rPr>
          <w:rFonts w:hint="eastAsia" w:ascii="宋体" w:hAnsi="宋体" w:cs="宋体"/>
          <w:color w:val="000000"/>
          <w:sz w:val="24"/>
          <w:szCs w:val="24"/>
          <w:highlight w:val="white"/>
        </w:rPr>
        <w:t xml:space="preserve">发货与进场施工</w:t>
      </w:r>
      <w:r>
        <w:rPr>
          <w:highlight w:val="white"/>
        </w:rPr>
      </w:r>
      <w:r/>
    </w:p>
    <w:p>
      <w:pPr>
        <w:pStyle w:val="895"/>
        <w:ind w:firstLine="480"/>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按照招标方要求的时间发货，安装施工人员负责综合布线与设备上架，完成设备互联调试工作，编写实施文档等工作。</w:t>
      </w:r>
      <w:r>
        <w:rPr>
          <w:highlight w:val="white"/>
        </w:rPr>
      </w:r>
      <w:r/>
    </w:p>
    <w:p>
      <w:pPr>
        <w:pStyle w:val="895"/>
        <w:spacing w:line="50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7.5项目施工质量管理</w:t>
      </w:r>
      <w:r>
        <w:rPr>
          <w:highlight w:val="white"/>
        </w:rPr>
      </w:r>
      <w:r/>
    </w:p>
    <w:p>
      <w:pPr>
        <w:pStyle w:val="895"/>
        <w:ind w:firstLine="480"/>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为了保证施工质量，需要制定质量管理计划、质量控制标准、质量保证措施、沟通管理计划、变更管理计划等。</w:t>
      </w:r>
      <w:r>
        <w:rPr>
          <w:highlight w:val="white"/>
        </w:rPr>
      </w:r>
      <w:r/>
    </w:p>
    <w:p>
      <w:pPr>
        <w:pStyle w:val="895"/>
        <w:spacing w:line="50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7.6项目风险管理</w:t>
      </w:r>
      <w:r>
        <w:rPr>
          <w:highlight w:val="white"/>
        </w:rPr>
      </w:r>
      <w:r/>
    </w:p>
    <w:p>
      <w:pPr>
        <w:pStyle w:val="895"/>
        <w:ind w:firstLine="480"/>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在工程实施过程中，需要进行风险管理。风险管理内容至少包含风险识别、风险预警、风险量化、风险对策实施控制等。</w:t>
      </w:r>
      <w:r>
        <w:rPr>
          <w:highlight w:val="white"/>
        </w:rPr>
      </w:r>
      <w:r/>
    </w:p>
    <w:p>
      <w:pPr>
        <w:pStyle w:val="895"/>
        <w:spacing w:line="50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7.7 应急措施</w:t>
      </w:r>
      <w:r>
        <w:rPr>
          <w:highlight w:val="white"/>
        </w:rPr>
      </w:r>
      <w:r/>
    </w:p>
    <w:p>
      <w:pPr>
        <w:pStyle w:val="895"/>
        <w:ind w:firstLine="480"/>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针对施工过程中的突发情况，需要提前准备应急措施，应对如何在施工时受到意外事件影响而进行恢复。</w:t>
      </w:r>
      <w:r>
        <w:rPr>
          <w:highlight w:val="white"/>
        </w:rPr>
      </w:r>
      <w:r/>
    </w:p>
    <w:p>
      <w:pPr>
        <w:pStyle w:val="895"/>
        <w:spacing w:line="50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7.8</w:t>
      </w:r>
      <w:r>
        <w:rPr>
          <w:rFonts w:hint="eastAsia" w:ascii="宋体" w:hAnsi="宋体" w:cs="宋体"/>
          <w:color w:val="000000"/>
          <w:sz w:val="24"/>
          <w:szCs w:val="24"/>
          <w:highlight w:val="white"/>
        </w:rPr>
        <w:t xml:space="preserve">服务质量控制</w:t>
      </w:r>
      <w:r>
        <w:rPr>
          <w:highlight w:val="white"/>
        </w:rPr>
      </w:r>
      <w:r/>
    </w:p>
    <w:p>
      <w:pPr>
        <w:pStyle w:val="895"/>
        <w:ind w:firstLine="480"/>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在实施期间双方将本着友好合作的态度完成各自的职责。需要制定成熟可行的方案以保证招标方在整个项目施工过程中任意阶段（比如安装阶段、验收阶段、日常维护阶段）对服务质量不满意的情况下，能够得到及时的响应与改善。</w:t>
      </w:r>
      <w:r>
        <w:rPr>
          <w:highlight w:val="white"/>
        </w:rPr>
      </w:r>
      <w:r/>
    </w:p>
    <w:p>
      <w:pPr>
        <w:pStyle w:val="895"/>
        <w:spacing w:line="50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7.9项目培训</w:t>
      </w:r>
      <w:r>
        <w:rPr>
          <w:highlight w:val="white"/>
        </w:rPr>
      </w:r>
      <w:r/>
    </w:p>
    <w:p>
      <w:pPr>
        <w:pStyle w:val="895"/>
        <w:ind w:firstLine="480"/>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为了保证项目的质量与运行、维护需要，对产品和系统使用的相关人员进行系统的技术培训。</w:t>
      </w:r>
      <w:r>
        <w:rPr>
          <w:highlight w:val="white"/>
        </w:rPr>
      </w:r>
      <w:r/>
    </w:p>
    <w:p>
      <w:pPr>
        <w:pStyle w:val="895"/>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8、验收方案</w:t>
      </w:r>
      <w:r>
        <w:rPr>
          <w:highlight w:val="white"/>
        </w:rPr>
      </w:r>
      <w:r/>
    </w:p>
    <w:p>
      <w:pPr>
        <w:pStyle w:val="895"/>
        <w:ind w:firstLine="480"/>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（1）验收工作由招标人组织实施，由招标人、中标人及原厂商共同完成。</w:t>
      </w:r>
      <w:r>
        <w:rPr>
          <w:highlight w:val="white"/>
        </w:rPr>
      </w:r>
      <w:r/>
    </w:p>
    <w:p>
      <w:pPr>
        <w:pStyle w:val="895"/>
        <w:ind w:firstLine="480"/>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（2）中标人保质保量、按整体解决方案如期完成全部工作，满足项目的全部建设要求。</w:t>
      </w:r>
      <w:r>
        <w:rPr>
          <w:highlight w:val="white"/>
        </w:rPr>
      </w:r>
      <w:r/>
    </w:p>
    <w:p>
      <w:pPr>
        <w:pStyle w:val="895"/>
        <w:ind w:firstLine="480"/>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（3）中标人应按照招标人要求，移交本包实施过程中的各类文档，并经过招标人验收签字。</w:t>
      </w:r>
      <w:r>
        <w:rPr>
          <w:highlight w:val="white"/>
        </w:rPr>
      </w:r>
      <w:r/>
    </w:p>
    <w:p>
      <w:pPr>
        <w:pStyle w:val="895"/>
        <w:ind w:firstLine="480"/>
        <w:spacing w:line="500" w:lineRule="exact"/>
        <w:rPr>
          <w:rFonts w:ascii="宋体" w:hAnsi="宋体" w:cs="宋体"/>
          <w:bCs/>
          <w:sz w:val="24"/>
          <w:szCs w:val="24"/>
          <w:highlight w:val="white"/>
        </w:rPr>
      </w:pPr>
      <w:r>
        <w:rPr>
          <w:rFonts w:hint="eastAsia" w:ascii="宋体" w:hAnsi="宋体" w:cs="宋体"/>
          <w:bCs/>
          <w:color w:val="000000"/>
          <w:sz w:val="24"/>
          <w:szCs w:val="24"/>
          <w:highlight w:val="white"/>
        </w:rPr>
        <w:t xml:space="preserve">（4）中标人应就安装、调试、集成工作，采取文档讲解、会议研讨、在日常工作中进行传帮带等方式，完成对招标人的知识转移工作</w:t>
      </w:r>
      <w:r>
        <w:rPr>
          <w:rFonts w:hint="eastAsia" w:ascii="宋体" w:hAnsi="宋体" w:cs="宋体"/>
          <w:bCs/>
          <w:sz w:val="24"/>
          <w:szCs w:val="24"/>
          <w:highlight w:val="white"/>
        </w:rPr>
        <w:t xml:space="preserve">。</w:t>
      </w:r>
      <w:r>
        <w:rPr>
          <w:highlight w:val="white"/>
        </w:rPr>
      </w:r>
      <w:r/>
    </w:p>
    <w:p>
      <w:pPr>
        <w:pStyle w:val="895"/>
        <w:ind w:firstLine="240"/>
        <w:spacing w:line="500" w:lineRule="exact"/>
        <w:rPr>
          <w:b/>
          <w:highlight w:val="white"/>
        </w:rPr>
      </w:pPr>
      <w:r>
        <w:rPr>
          <w:rFonts w:hint="eastAsia" w:ascii="宋体" w:hAnsi="宋体" w:cs="宋体"/>
          <w:b/>
          <w:color w:val="000000"/>
          <w:sz w:val="24"/>
          <w:szCs w:val="24"/>
          <w:highlight w:val="white"/>
        </w:rPr>
        <w:t xml:space="preserve">9、售后服务要求</w:t>
      </w:r>
      <w:r>
        <w:rPr>
          <w:highlight w:val="white"/>
        </w:rPr>
      </w:r>
      <w:r/>
    </w:p>
    <w:p>
      <w:pPr>
        <w:pStyle w:val="895"/>
        <w:ind w:firstLine="480"/>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9.1 原厂质保与授权要求</w:t>
      </w:r>
      <w:r>
        <w:rPr>
          <w:highlight w:val="white"/>
        </w:rPr>
      </w:r>
      <w:r/>
    </w:p>
    <w:p>
      <w:pPr>
        <w:pStyle w:val="895"/>
        <w:ind w:firstLine="240"/>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为规范投标方承诺提供的售后服务，保障招标方应享有的服务品质，特作如下要求</w:t>
      </w:r>
      <w:r>
        <w:rPr>
          <w:highlight w:val="white"/>
        </w:rPr>
      </w:r>
      <w:r/>
    </w:p>
    <w:tbl>
      <w:tblPr>
        <w:tblW w:w="9555"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838"/>
        <w:gridCol w:w="2753"/>
        <w:gridCol w:w="4249"/>
        <w:gridCol w:w="1715"/>
      </w:tblGrid>
      <w:tr>
        <w:trPr>
          <w:trHeight w:val="454"/>
        </w:trPr>
        <w:tc>
          <w:tcPr>
            <w:shd w:val="clear" w:color="000000" w:fill="d9d9d9"/>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895"/>
              <w:jc w:val="center"/>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序号</w:t>
            </w:r>
            <w:r>
              <w:rPr>
                <w:highlight w:val="white"/>
              </w:rPr>
            </w:r>
            <w:r/>
          </w:p>
        </w:tc>
        <w:tc>
          <w:tcPr>
            <w:shd w:val="clear" w:color="000000" w:fill="d9d9d9"/>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pStyle w:val="895"/>
              <w:jc w:val="center"/>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服务内容</w:t>
            </w:r>
            <w:r>
              <w:rPr>
                <w:highlight w:val="white"/>
              </w:rPr>
            </w:r>
            <w:r/>
          </w:p>
        </w:tc>
        <w:tc>
          <w:tcPr>
            <w:shd w:val="clear" w:color="000000" w:fill="d9d9d9"/>
            <w:tcBorders>
              <w:top w:val="single" w:color="000000" w:sz="4" w:space="0"/>
              <w:left w:val="none" w:color="000000" w:sz="4" w:space="0"/>
              <w:bottom w:val="single" w:color="000000" w:sz="4" w:space="0"/>
              <w:right w:val="single" w:color="000000" w:sz="4" w:space="0"/>
            </w:tcBorders>
            <w:tcW w:w="4249" w:type="dxa"/>
            <w:vAlign w:val="center"/>
            <w:textDirection w:val="lrTb"/>
            <w:noWrap w:val="false"/>
          </w:tcPr>
          <w:p>
            <w:pPr>
              <w:pStyle w:val="895"/>
              <w:jc w:val="center"/>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服务内容描述</w:t>
            </w:r>
            <w:r>
              <w:rPr>
                <w:highlight w:val="white"/>
              </w:rPr>
            </w:r>
            <w:r/>
          </w:p>
        </w:tc>
        <w:tc>
          <w:tcPr>
            <w:shd w:val="clear" w:color="000000" w:fill="d9d9d9"/>
            <w:tcBorders>
              <w:top w:val="single" w:color="000000" w:sz="4" w:space="0"/>
              <w:left w:val="none" w:color="000000" w:sz="4" w:space="0"/>
              <w:bottom w:val="single" w:color="000000" w:sz="4" w:space="0"/>
              <w:right w:val="single" w:color="000000" w:sz="4" w:space="0"/>
            </w:tcBorders>
            <w:tcW w:w="1715" w:type="dxa"/>
            <w:vAlign w:val="center"/>
            <w:textDirection w:val="lrTb"/>
            <w:noWrap w:val="false"/>
          </w:tcPr>
          <w:p>
            <w:pPr>
              <w:pStyle w:val="895"/>
              <w:jc w:val="center"/>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服务响应时间</w:t>
            </w:r>
            <w:r>
              <w:rPr>
                <w:highlight w:val="white"/>
              </w:rPr>
            </w:r>
            <w:r/>
          </w:p>
        </w:tc>
      </w:tr>
      <w:tr>
        <w:trPr>
          <w:trHeight w:val="454"/>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95"/>
              <w:jc w:val="center"/>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1</w:t>
            </w:r>
            <w:r>
              <w:rPr>
                <w:highlight w:val="white"/>
              </w:rPr>
            </w:r>
            <w:r/>
          </w:p>
        </w:tc>
        <w:tc>
          <w:tcPr>
            <w:tcBorders>
              <w:top w:val="none" w:color="000000" w:sz="4" w:space="0"/>
              <w:left w:val="single" w:color="000000" w:sz="4" w:space="0"/>
              <w:bottom w:val="single" w:color="000000" w:sz="4" w:space="0"/>
              <w:right w:val="single" w:color="000000" w:sz="4" w:space="0"/>
            </w:tcBorders>
            <w:tcW w:w="2753" w:type="dxa"/>
            <w:vAlign w:val="center"/>
            <w:textDirection w:val="lrTb"/>
            <w:noWrap w:val="false"/>
          </w:tcPr>
          <w:p>
            <w:pPr>
              <w:pStyle w:val="895"/>
              <w:jc w:val="center"/>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服务热线支持</w:t>
            </w:r>
            <w:r>
              <w:rPr>
                <w:highlight w:val="white"/>
              </w:rPr>
            </w:r>
            <w:r/>
          </w:p>
        </w:tc>
        <w:tc>
          <w:tcPr>
            <w:tcBorders>
              <w:top w:val="none" w:color="000000" w:sz="4" w:space="0"/>
              <w:left w:val="none" w:color="000000" w:sz="4" w:space="0"/>
              <w:bottom w:val="single" w:color="000000" w:sz="4" w:space="0"/>
              <w:right w:val="single" w:color="000000" w:sz="4" w:space="0"/>
            </w:tcBorders>
            <w:tcW w:w="4249" w:type="dxa"/>
            <w:vAlign w:val="center"/>
            <w:textDirection w:val="lrTb"/>
            <w:noWrap w:val="false"/>
          </w:tcPr>
          <w:p>
            <w:pPr>
              <w:pStyle w:val="895"/>
              <w:jc w:val="left"/>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7×24覆盖，实时响应</w:t>
            </w:r>
            <w:r>
              <w:rPr>
                <w:highlight w:val="white"/>
              </w:rPr>
            </w:r>
            <w:r/>
          </w:p>
        </w:tc>
        <w:tc>
          <w:tcPr>
            <w:tcBorders>
              <w:top w:val="none" w:color="000000" w:sz="4" w:space="0"/>
              <w:left w:val="none" w:color="000000" w:sz="4" w:space="0"/>
              <w:bottom w:val="single" w:color="000000" w:sz="4" w:space="0"/>
              <w:right w:val="single" w:color="000000" w:sz="4" w:space="0"/>
            </w:tcBorders>
            <w:tcW w:w="1715" w:type="dxa"/>
            <w:vAlign w:val="center"/>
            <w:textDirection w:val="lrTb"/>
            <w:noWrap w:val="false"/>
          </w:tcPr>
          <w:p>
            <w:pPr>
              <w:pStyle w:val="895"/>
              <w:jc w:val="center"/>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7×24</w:t>
            </w:r>
            <w:r>
              <w:rPr>
                <w:highlight w:val="white"/>
              </w:rPr>
            </w:r>
            <w:r/>
          </w:p>
        </w:tc>
      </w:tr>
      <w:tr>
        <w:trPr>
          <w:trHeight w:val="454"/>
        </w:trPr>
        <w:tc>
          <w:tcPr>
            <w:tcBorders>
              <w:top w:val="none" w:color="000000" w:sz="4" w:space="0"/>
              <w:left w:val="single" w:color="000000" w:sz="4" w:space="0"/>
              <w:bottom w:val="none" w:color="000000" w:sz="4" w:space="0"/>
              <w:right w:val="single" w:color="000000" w:sz="4" w:space="0"/>
            </w:tcBorders>
            <w:tcW w:w="838" w:type="dxa"/>
            <w:vAlign w:val="center"/>
            <w:textDirection w:val="lrTb"/>
            <w:noWrap w:val="false"/>
          </w:tcPr>
          <w:p>
            <w:pPr>
              <w:pStyle w:val="895"/>
              <w:jc w:val="center"/>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2</w:t>
            </w:r>
            <w:r>
              <w:rPr>
                <w:highlight w:val="white"/>
              </w:rPr>
            </w:r>
            <w:r/>
          </w:p>
        </w:tc>
        <w:tc>
          <w:tcPr>
            <w:tcBorders>
              <w:top w:val="none" w:color="000000" w:sz="4" w:space="0"/>
              <w:left w:val="single" w:color="000000" w:sz="4" w:space="0"/>
              <w:bottom w:val="none" w:color="000000" w:sz="4" w:space="0"/>
              <w:right w:val="single" w:color="000000" w:sz="4" w:space="0"/>
            </w:tcBorders>
            <w:tcW w:w="2753" w:type="dxa"/>
            <w:vAlign w:val="center"/>
            <w:textDirection w:val="lrTb"/>
            <w:noWrap w:val="false"/>
          </w:tcPr>
          <w:p>
            <w:pPr>
              <w:pStyle w:val="895"/>
              <w:jc w:val="center"/>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远程问题处理</w:t>
            </w:r>
            <w:r>
              <w:rPr>
                <w:highlight w:val="white"/>
              </w:rPr>
            </w:r>
            <w:r/>
          </w:p>
        </w:tc>
        <w:tc>
          <w:tcPr>
            <w:tcBorders>
              <w:top w:val="none" w:color="000000" w:sz="4" w:space="0"/>
              <w:left w:val="none" w:color="000000" w:sz="4" w:space="0"/>
              <w:bottom w:val="single" w:color="000000" w:sz="4" w:space="0"/>
              <w:right w:val="single" w:color="000000" w:sz="4" w:space="0"/>
            </w:tcBorders>
            <w:tcW w:w="4249" w:type="dxa"/>
            <w:vAlign w:val="center"/>
            <w:textDirection w:val="lrTb"/>
            <w:noWrap w:val="false"/>
          </w:tcPr>
          <w:p>
            <w:pPr>
              <w:pStyle w:val="895"/>
              <w:jc w:val="left"/>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7×24覆盖，电话+远程接入</w:t>
            </w:r>
            <w:r>
              <w:rPr>
                <w:highlight w:val="white"/>
              </w:rPr>
            </w:r>
            <w:r/>
          </w:p>
        </w:tc>
        <w:tc>
          <w:tcPr>
            <w:tcBorders>
              <w:top w:val="none" w:color="000000" w:sz="4" w:space="0"/>
              <w:left w:val="none" w:color="000000" w:sz="4" w:space="0"/>
              <w:bottom w:val="single" w:color="000000" w:sz="4" w:space="0"/>
              <w:right w:val="single" w:color="000000" w:sz="4" w:space="0"/>
            </w:tcBorders>
            <w:tcW w:w="1715" w:type="dxa"/>
            <w:vAlign w:val="center"/>
            <w:textDirection w:val="lrTb"/>
            <w:noWrap w:val="false"/>
          </w:tcPr>
          <w:p>
            <w:pPr>
              <w:pStyle w:val="895"/>
              <w:jc w:val="center"/>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7×24</w:t>
            </w:r>
            <w:r>
              <w:rPr>
                <w:highlight w:val="white"/>
              </w:rPr>
            </w:r>
            <w:r/>
          </w:p>
        </w:tc>
      </w:tr>
      <w:tr>
        <w:trPr>
          <w:trHeight w:val="454"/>
        </w:trPr>
        <w:tc>
          <w:tcPr>
            <w:tcBorders>
              <w:top w:val="single" w:color="000000" w:sz="4" w:space="0"/>
              <w:left w:val="single" w:color="000000" w:sz="4" w:space="0"/>
              <w:bottom w:val="none" w:color="000000" w:sz="4" w:space="0"/>
              <w:right w:val="single" w:color="000000" w:sz="4" w:space="0"/>
            </w:tcBorders>
            <w:tcW w:w="838" w:type="dxa"/>
            <w:vAlign w:val="center"/>
            <w:textDirection w:val="lrTb"/>
            <w:noWrap w:val="false"/>
          </w:tcPr>
          <w:p>
            <w:pPr>
              <w:pStyle w:val="895"/>
              <w:jc w:val="center"/>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3</w:t>
            </w:r>
            <w:r>
              <w:rPr>
                <w:highlight w:val="white"/>
              </w:rPr>
            </w:r>
            <w:r/>
          </w:p>
        </w:tc>
        <w:tc>
          <w:tcPr>
            <w:tcBorders>
              <w:top w:val="single" w:color="000000" w:sz="4" w:space="0"/>
              <w:left w:val="single" w:color="000000" w:sz="4" w:space="0"/>
              <w:bottom w:val="none" w:color="000000" w:sz="4" w:space="0"/>
              <w:right w:val="single" w:color="000000" w:sz="4" w:space="0"/>
            </w:tcBorders>
            <w:tcW w:w="2753" w:type="dxa"/>
            <w:vAlign w:val="center"/>
            <w:textDirection w:val="lrTb"/>
            <w:noWrap w:val="false"/>
          </w:tcPr>
          <w:p>
            <w:pPr>
              <w:pStyle w:val="895"/>
              <w:jc w:val="center"/>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在线技术支持</w:t>
            </w:r>
            <w:r>
              <w:rPr>
                <w:highlight w:val="white"/>
              </w:rPr>
            </w:r>
            <w:r/>
          </w:p>
        </w:tc>
        <w:tc>
          <w:tcPr>
            <w:tcBorders>
              <w:top w:val="none" w:color="000000" w:sz="4" w:space="0"/>
              <w:left w:val="none" w:color="000000" w:sz="4" w:space="0"/>
              <w:bottom w:val="single" w:color="000000" w:sz="4" w:space="0"/>
              <w:right w:val="single" w:color="000000" w:sz="4" w:space="0"/>
            </w:tcBorders>
            <w:tcW w:w="4249" w:type="dxa"/>
            <w:vAlign w:val="center"/>
            <w:textDirection w:val="lrTb"/>
            <w:noWrap w:val="false"/>
          </w:tcPr>
          <w:p>
            <w:pPr>
              <w:pStyle w:val="895"/>
              <w:jc w:val="left"/>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技术信息共享和补丁下载</w:t>
            </w:r>
            <w:r>
              <w:rPr>
                <w:highlight w:val="white"/>
              </w:rPr>
            </w:r>
            <w:r/>
          </w:p>
        </w:tc>
        <w:tc>
          <w:tcPr>
            <w:tcBorders>
              <w:top w:val="none" w:color="000000" w:sz="4" w:space="0"/>
              <w:left w:val="none" w:color="000000" w:sz="4" w:space="0"/>
              <w:bottom w:val="single" w:color="000000" w:sz="4" w:space="0"/>
              <w:right w:val="single" w:color="000000" w:sz="4" w:space="0"/>
            </w:tcBorders>
            <w:tcW w:w="1715" w:type="dxa"/>
            <w:vAlign w:val="center"/>
            <w:textDirection w:val="lrTb"/>
            <w:noWrap w:val="false"/>
          </w:tcPr>
          <w:p>
            <w:pPr>
              <w:pStyle w:val="895"/>
              <w:jc w:val="center"/>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7×24</w:t>
            </w:r>
            <w:r>
              <w:rPr>
                <w:highlight w:val="white"/>
              </w:rPr>
            </w:r>
            <w:r/>
          </w:p>
        </w:tc>
      </w:tr>
      <w:tr>
        <w:trPr>
          <w:trHeight w:val="454"/>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895"/>
              <w:jc w:val="center"/>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4</w:t>
            </w:r>
            <w:r>
              <w:rPr>
                <w:highlight w:val="white"/>
              </w:rPr>
            </w:r>
            <w:r/>
          </w:p>
        </w:tc>
        <w:tc>
          <w:tcPr>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pStyle w:val="895"/>
              <w:jc w:val="center"/>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软件更新服务</w:t>
            </w:r>
            <w:r>
              <w:rPr>
                <w:highlight w:val="white"/>
              </w:rPr>
            </w:r>
            <w:r/>
          </w:p>
        </w:tc>
        <w:tc>
          <w:tcPr>
            <w:tcBorders>
              <w:top w:val="none" w:color="000000" w:sz="4" w:space="0"/>
              <w:left w:val="none" w:color="000000" w:sz="4" w:space="0"/>
              <w:bottom w:val="single" w:color="000000" w:sz="4" w:space="0"/>
              <w:right w:val="single" w:color="000000" w:sz="4" w:space="0"/>
            </w:tcBorders>
            <w:tcW w:w="4249" w:type="dxa"/>
            <w:vAlign w:val="center"/>
            <w:textDirection w:val="lrTb"/>
            <w:noWrap w:val="false"/>
          </w:tcPr>
          <w:p>
            <w:pPr>
              <w:pStyle w:val="895"/>
              <w:jc w:val="left"/>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提供设备版本软件更新服务</w:t>
            </w:r>
            <w:r>
              <w:rPr>
                <w:highlight w:val="white"/>
              </w:rPr>
            </w:r>
            <w:r/>
          </w:p>
        </w:tc>
        <w:tc>
          <w:tcPr>
            <w:tcBorders>
              <w:top w:val="none" w:color="000000" w:sz="4" w:space="0"/>
              <w:left w:val="none" w:color="000000" w:sz="4" w:space="0"/>
              <w:bottom w:val="single" w:color="000000" w:sz="4" w:space="0"/>
              <w:right w:val="single" w:color="000000" w:sz="4" w:space="0"/>
            </w:tcBorders>
            <w:tcW w:w="1715" w:type="dxa"/>
            <w:vAlign w:val="center"/>
            <w:textDirection w:val="lrTb"/>
            <w:noWrap w:val="false"/>
          </w:tcPr>
          <w:p>
            <w:pPr>
              <w:pStyle w:val="895"/>
              <w:jc w:val="center"/>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7×24</w:t>
            </w:r>
            <w:r>
              <w:rPr>
                <w:highlight w:val="white"/>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895"/>
              <w:jc w:val="center"/>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5</w:t>
            </w:r>
            <w:r>
              <w:rPr>
                <w:highlight w:val="white"/>
              </w:rPr>
            </w:r>
            <w:r/>
          </w:p>
        </w:tc>
        <w:tc>
          <w:tcPr>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pStyle w:val="895"/>
              <w:jc w:val="center"/>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备件服务</w:t>
            </w:r>
            <w:r>
              <w:rPr>
                <w:highlight w:val="white"/>
              </w:rPr>
            </w:r>
            <w:r/>
          </w:p>
        </w:tc>
        <w:tc>
          <w:tcPr>
            <w:tcBorders>
              <w:top w:val="single" w:color="000000" w:sz="4" w:space="0"/>
              <w:left w:val="none" w:color="000000" w:sz="4" w:space="0"/>
              <w:bottom w:val="single" w:color="000000" w:sz="4" w:space="0"/>
              <w:right w:val="single" w:color="000000" w:sz="4" w:space="0"/>
            </w:tcBorders>
            <w:tcW w:w="4249" w:type="dxa"/>
            <w:vAlign w:val="center"/>
            <w:vMerge w:val="restart"/>
            <w:textDirection w:val="lrTb"/>
            <w:noWrap w:val="false"/>
          </w:tcPr>
          <w:p>
            <w:pPr>
              <w:pStyle w:val="895"/>
              <w:jc w:val="left"/>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7×24覆盖，实时响应。省会城市、直辖市4小时内到现场，其它城市24小时内到现场。</w:t>
            </w:r>
            <w:r>
              <w:rPr>
                <w:highlight w:val="white"/>
              </w:rPr>
            </w:r>
            <w:r/>
          </w:p>
        </w:tc>
        <w:tc>
          <w:tcPr>
            <w:tcBorders>
              <w:top w:val="single" w:color="000000" w:sz="4" w:space="0"/>
              <w:left w:val="none" w:color="000000" w:sz="4" w:space="0"/>
              <w:bottom w:val="none" w:color="000000" w:sz="4" w:space="0"/>
              <w:right w:val="single" w:color="000000" w:sz="4" w:space="0"/>
            </w:tcBorders>
            <w:tcW w:w="1715" w:type="dxa"/>
            <w:vAlign w:val="center"/>
            <w:vMerge w:val="restart"/>
            <w:textDirection w:val="lrTb"/>
            <w:noWrap w:val="false"/>
          </w:tcPr>
          <w:p>
            <w:pPr>
              <w:pStyle w:val="895"/>
              <w:jc w:val="center"/>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7×24</w:t>
            </w:r>
            <w:r>
              <w:rPr>
                <w:highlight w:val="white"/>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895"/>
              <w:jc w:val="center"/>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6</w:t>
            </w:r>
            <w:r>
              <w:rPr>
                <w:highlight w:val="white"/>
              </w:rPr>
            </w:r>
            <w:r/>
          </w:p>
        </w:tc>
        <w:tc>
          <w:tcPr>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pStyle w:val="895"/>
              <w:jc w:val="center"/>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现场工程师硬件更换</w:t>
            </w:r>
            <w:r>
              <w:rPr>
                <w:highlight w:val="white"/>
              </w:rPr>
            </w:r>
            <w:r/>
          </w:p>
        </w:tc>
        <w:tc>
          <w:tcPr>
            <w:tcBorders>
              <w:top w:val="single" w:color="000000" w:sz="4" w:space="0"/>
              <w:left w:val="none" w:color="000000" w:sz="4" w:space="0"/>
              <w:bottom w:val="single" w:color="000000" w:sz="4" w:space="0"/>
              <w:right w:val="single" w:color="000000" w:sz="4" w:space="0"/>
            </w:tcBorders>
            <w:tcW w:w="4249" w:type="dxa"/>
            <w:vAlign w:val="center"/>
            <w:vMerge w:val="continue"/>
            <w:textDirection w:val="lrTb"/>
            <w:noWrap w:val="false"/>
          </w:tcPr>
          <w:p>
            <w:pPr>
              <w:pStyle w:val="895"/>
              <w:jc w:val="left"/>
              <w:spacing w:line="500" w:lineRule="exact"/>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none" w:color="000000" w:sz="4" w:space="0"/>
              <w:right w:val="single" w:color="000000" w:sz="4" w:space="0"/>
            </w:tcBorders>
            <w:tcW w:w="1715" w:type="dxa"/>
            <w:vAlign w:val="center"/>
            <w:vMerge w:val="continue"/>
            <w:textDirection w:val="lrTb"/>
            <w:noWrap w:val="false"/>
          </w:tcPr>
          <w:p>
            <w:pPr>
              <w:pStyle w:val="895"/>
              <w:jc w:val="center"/>
              <w:spacing w:line="500" w:lineRule="exact"/>
              <w:rPr>
                <w:rFonts w:ascii="宋体" w:hAnsi="宋体" w:cs="宋体"/>
                <w:bCs/>
                <w:color w:val="000000"/>
                <w:sz w:val="24"/>
                <w:szCs w:val="24"/>
              </w:rPr>
            </w:pPr>
            <w:r>
              <w:rPr>
                <w:rFonts w:ascii="宋体" w:hAnsi="宋体" w:cs="宋体"/>
                <w:bCs/>
                <w:color w:val="000000"/>
                <w:sz w:val="24"/>
                <w:szCs w:val="24"/>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895"/>
              <w:jc w:val="center"/>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7</w:t>
            </w:r>
            <w:r>
              <w:rPr>
                <w:highlight w:val="white"/>
              </w:rPr>
            </w:r>
            <w:r/>
          </w:p>
        </w:tc>
        <w:tc>
          <w:tcPr>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pStyle w:val="895"/>
              <w:jc w:val="center"/>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现场问题处理</w:t>
            </w:r>
            <w:r>
              <w:rPr>
                <w:highlight w:val="white"/>
              </w:rPr>
            </w:r>
            <w:r/>
          </w:p>
        </w:tc>
        <w:tc>
          <w:tcPr>
            <w:tcBorders>
              <w:top w:val="single" w:color="000000" w:sz="4" w:space="0"/>
              <w:left w:val="none" w:color="000000" w:sz="4" w:space="0"/>
              <w:bottom w:val="single" w:color="000000" w:sz="4" w:space="0"/>
              <w:right w:val="single" w:color="000000" w:sz="4" w:space="0"/>
            </w:tcBorders>
            <w:tcW w:w="4249" w:type="dxa"/>
            <w:vAlign w:val="center"/>
            <w:vMerge w:val="continue"/>
            <w:textDirection w:val="lrTb"/>
            <w:noWrap w:val="false"/>
          </w:tcPr>
          <w:p>
            <w:pPr>
              <w:pStyle w:val="895"/>
              <w:jc w:val="left"/>
              <w:spacing w:line="500" w:lineRule="exact"/>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715" w:type="dxa"/>
            <w:vAlign w:val="center"/>
            <w:vMerge w:val="continue"/>
            <w:textDirection w:val="lrTb"/>
            <w:noWrap w:val="false"/>
          </w:tcPr>
          <w:p>
            <w:pPr>
              <w:pStyle w:val="895"/>
              <w:jc w:val="center"/>
              <w:spacing w:line="500" w:lineRule="exact"/>
              <w:rPr>
                <w:rFonts w:ascii="宋体" w:hAnsi="宋体" w:cs="宋体"/>
                <w:bCs/>
                <w:color w:val="000000"/>
                <w:sz w:val="24"/>
                <w:szCs w:val="24"/>
              </w:rPr>
            </w:pPr>
            <w:r>
              <w:rPr>
                <w:rFonts w:ascii="宋体" w:hAnsi="宋体" w:cs="宋体"/>
                <w:bCs/>
                <w:color w:val="000000"/>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895"/>
              <w:jc w:val="center"/>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8</w:t>
            </w:r>
            <w:r>
              <w:rPr>
                <w:highlight w:val="white"/>
              </w:rPr>
            </w:r>
            <w:r/>
          </w:p>
        </w:tc>
        <w:tc>
          <w:tcPr>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pStyle w:val="895"/>
              <w:jc w:val="center"/>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设备健康巡检</w:t>
            </w:r>
            <w:r>
              <w:rPr>
                <w:highlight w:val="white"/>
              </w:rPr>
            </w:r>
            <w:r/>
          </w:p>
        </w:tc>
        <w:tc>
          <w:tcPr>
            <w:tcBorders>
              <w:top w:val="single" w:color="000000" w:sz="4" w:space="0"/>
              <w:left w:val="none" w:color="000000" w:sz="4" w:space="0"/>
              <w:bottom w:val="single" w:color="000000" w:sz="4" w:space="0"/>
              <w:right w:val="single" w:color="000000" w:sz="4" w:space="0"/>
            </w:tcBorders>
            <w:tcW w:w="4249" w:type="dxa"/>
            <w:vAlign w:val="center"/>
            <w:textDirection w:val="lrTb"/>
            <w:noWrap w:val="false"/>
          </w:tcPr>
          <w:p>
            <w:pPr>
              <w:pStyle w:val="895"/>
              <w:jc w:val="left"/>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不少于每年2次</w:t>
            </w:r>
            <w:r>
              <w:rPr>
                <w:highlight w:val="white"/>
              </w:rPr>
            </w:r>
            <w:r/>
          </w:p>
        </w:tc>
        <w:tc>
          <w:tcPr>
            <w:tcBorders>
              <w:top w:val="single" w:color="000000" w:sz="4" w:space="0"/>
              <w:left w:val="none" w:color="000000" w:sz="4" w:space="0"/>
              <w:bottom w:val="single" w:color="000000" w:sz="4" w:space="0"/>
              <w:right w:val="single" w:color="000000" w:sz="4" w:space="0"/>
            </w:tcBorders>
            <w:tcW w:w="1715" w:type="dxa"/>
            <w:vAlign w:val="center"/>
            <w:textDirection w:val="lrTb"/>
            <w:noWrap w:val="false"/>
          </w:tcPr>
          <w:p>
            <w:pPr>
              <w:pStyle w:val="895"/>
              <w:jc w:val="center"/>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7×24</w:t>
            </w:r>
            <w:r>
              <w:rPr>
                <w:highlight w:val="white"/>
              </w:rPr>
            </w:r>
            <w:r/>
          </w:p>
        </w:tc>
      </w:tr>
    </w:tbl>
    <w:p>
      <w:pPr>
        <w:pStyle w:val="895"/>
        <w:ind w:firstLine="480"/>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9.2、服务内容</w:t>
      </w:r>
      <w:r>
        <w:rPr>
          <w:highlight w:val="white"/>
        </w:rPr>
      </w:r>
      <w:r/>
    </w:p>
    <w:p>
      <w:pPr>
        <w:pStyle w:val="895"/>
        <w:ind w:firstLine="480"/>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9.2.1 服务热线支持</w:t>
      </w:r>
      <w:r>
        <w:rPr>
          <w:highlight w:val="white"/>
        </w:rPr>
      </w:r>
      <w:r/>
    </w:p>
    <w:p>
      <w:pPr>
        <w:pStyle w:val="895"/>
        <w:ind w:firstLine="480"/>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服务热线支持要求投标方为招标方提供24小时不间断的售后技术支持（故障申报、硬件报修等）、 销售及购买咨询、服务政策咨询、投诉及建议等服务请求受理。</w:t>
      </w:r>
      <w:r>
        <w:rPr>
          <w:highlight w:val="white"/>
        </w:rPr>
      </w:r>
      <w:r/>
    </w:p>
    <w:p>
      <w:pPr>
        <w:pStyle w:val="895"/>
        <w:ind w:firstLine="480"/>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9.2.2 远程问题处理</w:t>
      </w:r>
      <w:r>
        <w:rPr>
          <w:highlight w:val="white"/>
        </w:rPr>
      </w:r>
      <w:r/>
    </w:p>
    <w:p>
      <w:pPr>
        <w:pStyle w:val="895"/>
        <w:ind w:firstLine="480"/>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远程问题处理应包括电话支持和远程接入。</w:t>
      </w:r>
      <w:r>
        <w:rPr>
          <w:highlight w:val="white"/>
        </w:rPr>
      </w:r>
      <w:r/>
    </w:p>
    <w:p>
      <w:pPr>
        <w:pStyle w:val="895"/>
        <w:ind w:firstLine="480"/>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9.2.3 电话支持</w:t>
      </w:r>
      <w:r>
        <w:rPr>
          <w:highlight w:val="white"/>
        </w:rPr>
      </w:r>
      <w:r/>
    </w:p>
    <w:p>
      <w:pPr>
        <w:pStyle w:val="895"/>
        <w:ind w:firstLine="480"/>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投标方在接到招标方服务请求后，应在服务等级规定的响应时间内通过电话支持进行响应，帮助招标方对问题进行分析、诊断以及定位，提供解决问题的方案，并引导实施。</w:t>
      </w:r>
      <w:r>
        <w:rPr>
          <w:highlight w:val="white"/>
        </w:rPr>
      </w:r>
      <w:r/>
    </w:p>
    <w:p>
      <w:pPr>
        <w:pStyle w:val="895"/>
        <w:ind w:firstLine="480"/>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9.2.4 远程接入</w:t>
      </w:r>
      <w:r>
        <w:rPr>
          <w:highlight w:val="white"/>
        </w:rPr>
      </w:r>
      <w:r/>
    </w:p>
    <w:p>
      <w:pPr>
        <w:pStyle w:val="895"/>
        <w:ind w:firstLine="480"/>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对于通过电话支持不能解决的故障或问题，得到招标方授权后，投标方应通过远程终端登陆到招标方故障设备中调查和收集数据，分析故障原因，提出解决方案，指导招标方工程师实施，必要时可以远程协助操作。</w:t>
      </w:r>
      <w:r>
        <w:rPr>
          <w:highlight w:val="white"/>
        </w:rPr>
      </w:r>
      <w:r/>
    </w:p>
    <w:p>
      <w:pPr>
        <w:pStyle w:val="895"/>
        <w:ind w:firstLine="480"/>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9.2.5 在线技术支持</w:t>
      </w:r>
      <w:r>
        <w:rPr>
          <w:highlight w:val="white"/>
        </w:rPr>
      </w:r>
      <w:r/>
    </w:p>
    <w:p>
      <w:pPr>
        <w:pStyle w:val="895"/>
        <w:ind w:firstLine="480"/>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投标方应帮助招标方相关人员开通网站相应权限，使招标方可以访问公司网站并下载相关资料，及时掌握最新的维护经验和技巧、获得最新的产品知识。</w:t>
      </w:r>
      <w:r>
        <w:rPr>
          <w:highlight w:val="white"/>
        </w:rPr>
      </w:r>
      <w:r/>
    </w:p>
    <w:p>
      <w:pPr>
        <w:pStyle w:val="895"/>
        <w:ind w:firstLine="480"/>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9.2.6 软件更新服务</w:t>
      </w:r>
      <w:r>
        <w:rPr>
          <w:highlight w:val="white"/>
        </w:rPr>
      </w:r>
      <w:r/>
    </w:p>
    <w:p>
      <w:pPr>
        <w:pStyle w:val="895"/>
        <w:ind w:firstLine="480"/>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为确保招标方购买设备的稳定运行，投标方应提供软件修正补丁，并进行安装。补丁是指本软件运行过程中已发现问题的解决措施。</w:t>
      </w:r>
      <w:r>
        <w:rPr>
          <w:highlight w:val="white"/>
        </w:rPr>
      </w:r>
      <w:r/>
    </w:p>
    <w:p>
      <w:pPr>
        <w:pStyle w:val="895"/>
        <w:ind w:firstLine="480"/>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9.2.7 </w:t>
      </w:r>
      <w:r>
        <w:rPr>
          <w:rFonts w:hint="eastAsia" w:ascii="宋体" w:hAnsi="宋体" w:cs="宋体"/>
          <w:bCs/>
          <w:color w:val="000000"/>
          <w:sz w:val="24"/>
          <w:szCs w:val="24"/>
          <w:highlight w:val="white"/>
        </w:rPr>
        <w:t xml:space="preserve">备件服务</w:t>
      </w:r>
      <w:r>
        <w:rPr>
          <w:highlight w:val="white"/>
        </w:rPr>
      </w:r>
      <w:r/>
    </w:p>
    <w:p>
      <w:pPr>
        <w:pStyle w:val="895"/>
        <w:ind w:firstLine="480"/>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备件在招标方不具备备件时，由投标方提供。在保修期内，当用户急需备件或返修过程中，投标方应在接到用户申请的24小时以内提供备件到现场（省会城市4小时内提供备件到现场）。</w:t>
      </w:r>
      <w:r>
        <w:rPr>
          <w:highlight w:val="white"/>
        </w:rPr>
      </w:r>
      <w:r/>
    </w:p>
    <w:p>
      <w:pPr>
        <w:pStyle w:val="895"/>
        <w:ind w:firstLine="480"/>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9.2.8 现场工程师硬件更换</w:t>
      </w:r>
      <w:r>
        <w:rPr>
          <w:highlight w:val="white"/>
        </w:rPr>
      </w:r>
      <w:r/>
    </w:p>
    <w:p>
      <w:pPr>
        <w:pStyle w:val="895"/>
        <w:ind w:firstLine="480"/>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对于远程定位为需要硬件更换才能解决的问题，投标方应安排经验丰富的技术支持工程师在双方协商的时间内赴现场，进行现场硬件更换，排除故障使系统恢复正常运行。</w:t>
      </w:r>
      <w:r>
        <w:rPr>
          <w:highlight w:val="white"/>
        </w:rPr>
      </w:r>
      <w:r/>
    </w:p>
    <w:p>
      <w:pPr>
        <w:pStyle w:val="895"/>
        <w:ind w:firstLine="480"/>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9.2.9 </w:t>
      </w:r>
      <w:r>
        <w:rPr>
          <w:rFonts w:hint="eastAsia" w:ascii="宋体" w:hAnsi="宋体" w:cs="宋体"/>
          <w:bCs/>
          <w:color w:val="000000"/>
          <w:sz w:val="24"/>
          <w:szCs w:val="24"/>
          <w:highlight w:val="white"/>
        </w:rPr>
        <w:t xml:space="preserve">现场问题处理</w:t>
      </w:r>
      <w:r>
        <w:rPr>
          <w:highlight w:val="white"/>
        </w:rPr>
      </w:r>
      <w:r/>
    </w:p>
    <w:p>
      <w:pPr>
        <w:pStyle w:val="895"/>
        <w:ind w:firstLine="480"/>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如果遇到通过远程技术支持不能有效解决的设备问题，投标方应安排经验丰富的技术支持工程师在双方协商的时间内赴现场，协助招标方进行现场故障诊断、制定故障恢复方案并现场排除故障。</w:t>
      </w:r>
      <w:r>
        <w:rPr>
          <w:highlight w:val="white"/>
        </w:rPr>
      </w:r>
      <w:r/>
    </w:p>
    <w:p>
      <w:pPr>
        <w:pStyle w:val="895"/>
        <w:ind w:firstLine="480"/>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9.2.10 </w:t>
      </w:r>
      <w:r>
        <w:rPr>
          <w:rFonts w:hint="eastAsia" w:ascii="宋体" w:hAnsi="宋体" w:cs="宋体"/>
          <w:bCs/>
          <w:color w:val="000000"/>
          <w:sz w:val="24"/>
          <w:szCs w:val="24"/>
          <w:highlight w:val="white"/>
        </w:rPr>
        <w:t xml:space="preserve">设备健康巡检</w:t>
      </w:r>
      <w:r>
        <w:rPr>
          <w:highlight w:val="white"/>
        </w:rPr>
      </w:r>
      <w:r/>
    </w:p>
    <w:p>
      <w:pPr>
        <w:pStyle w:val="895"/>
        <w:ind w:firstLine="480"/>
        <w:spacing w:line="500" w:lineRule="exact"/>
        <w:rPr>
          <w:rFonts w:ascii="宋体" w:hAnsi="宋体" w:cs="宋体"/>
          <w:bCs/>
          <w:color w:val="000000"/>
          <w:sz w:val="24"/>
          <w:szCs w:val="24"/>
          <w:highlight w:val="white"/>
        </w:rPr>
      </w:pPr>
      <w:r>
        <w:rPr>
          <w:rFonts w:hint="eastAsia" w:ascii="宋体" w:hAnsi="宋体" w:cs="宋体"/>
          <w:bCs/>
          <w:color w:val="000000"/>
          <w:sz w:val="24"/>
          <w:szCs w:val="24"/>
          <w:highlight w:val="white"/>
        </w:rPr>
        <w:t xml:space="preserve">投标方应根据计划对招标方网络中设备的数据配置、运行状态等各项内容检查和分析，发现设备运行中存在的问题和潜在风险，并对检查结果进行总结报告和提出相应的措施建议，保障网络安全、高效运行。</w:t>
      </w:r>
      <w:r>
        <w:rPr>
          <w:highlight w:val="white"/>
        </w:rPr>
      </w:r>
      <w:r/>
    </w:p>
    <w:p>
      <w:pPr>
        <w:pStyle w:val="895"/>
        <w:spacing w:line="0" w:lineRule="atLeast"/>
        <w:rPr>
          <w:rFonts w:hint="eastAsia" w:ascii="宋体" w:hAnsi="宋体"/>
          <w:color w:val="000000"/>
          <w:sz w:val="24"/>
          <w:szCs w:val="24"/>
        </w:rPr>
      </w:pPr>
      <w:r>
        <w:rPr>
          <w:rFonts w:hint="eastAsia" w:ascii="宋体" w:hAnsi="宋体"/>
          <w:color w:val="000000"/>
          <w:sz w:val="24"/>
          <w:szCs w:val="24"/>
        </w:rPr>
      </w:r>
      <w:r/>
    </w:p>
    <w:p>
      <w:pPr>
        <w:pStyle w:val="895"/>
        <w:spacing w:line="0" w:lineRule="atLeast"/>
        <w:rPr>
          <w:rFonts w:hint="eastAsia" w:ascii="宋体" w:hAnsi="宋体"/>
          <w:color w:val="000000"/>
          <w:sz w:val="24"/>
          <w:szCs w:val="24"/>
        </w:rPr>
      </w:pPr>
      <w:r>
        <w:rPr>
          <w:rFonts w:hint="eastAsia" w:ascii="宋体" w:hAnsi="宋体"/>
          <w:color w:val="000000"/>
          <w:sz w:val="24"/>
          <w:szCs w:val="24"/>
        </w:rPr>
      </w:r>
      <w:r/>
    </w:p>
    <w:p>
      <w:pPr>
        <w:pStyle w:val="895"/>
        <w:spacing w:line="0" w:lineRule="atLeast"/>
        <w:rPr>
          <w:rFonts w:ascii="宋体" w:hAnsi="宋体"/>
          <w:color w:val="000000"/>
          <w:sz w:val="24"/>
          <w:szCs w:val="24"/>
        </w:rPr>
      </w:pPr>
      <w:r>
        <w:rPr>
          <w:rFonts w:ascii="宋体" w:hAnsi="宋体"/>
          <w:color w:val="000000"/>
          <w:sz w:val="24"/>
          <w:szCs w:val="24"/>
        </w:rPr>
      </w:r>
      <w:r/>
    </w:p>
    <w:p>
      <w:pPr>
        <w:pStyle w:val="895"/>
        <w:jc w:val="center"/>
        <w:keepNext/>
        <w:rPr>
          <w:rFonts w:hint="eastAsia" w:ascii="黑体" w:eastAsia="黑体"/>
          <w:bCs/>
          <w:color w:val="000000"/>
          <w:sz w:val="44"/>
          <w:szCs w:val="28"/>
        </w:rPr>
        <w:outlineLvl w:val="0"/>
      </w:pPr>
      <w:r>
        <w:rPr>
          <w:rFonts w:hint="eastAsia" w:ascii="黑体" w:eastAsia="黑体"/>
          <w:bCs/>
          <w:color w:val="000000"/>
          <w:sz w:val="44"/>
          <w:szCs w:val="28"/>
        </w:rPr>
        <w:t xml:space="preserve">第五章  评标方法与评标标准</w:t>
      </w:r>
      <w:r>
        <w:rPr>
          <w:rFonts w:hint="eastAsia" w:ascii="黑体" w:eastAsia="黑体"/>
          <w:bCs/>
          <w:color w:val="000000"/>
          <w:sz w:val="44"/>
          <w:szCs w:val="28"/>
        </w:rPr>
      </w:r>
      <w:r/>
    </w:p>
    <w:p>
      <w:pPr>
        <w:pStyle w:val="895"/>
        <w:ind w:firstLine="480"/>
        <w:spacing w:line="0" w:lineRule="atLeast"/>
        <w:rPr>
          <w:rFonts w:ascii="宋体" w:hAnsi="宋体"/>
          <w:color w:val="000000"/>
          <w:sz w:val="24"/>
          <w:szCs w:val="24"/>
        </w:rPr>
      </w:pPr>
      <w:r>
        <w:rPr>
          <w:rFonts w:ascii="宋体" w:hAnsi="宋体"/>
          <w:color w:val="000000"/>
          <w:sz w:val="24"/>
          <w:szCs w:val="24"/>
        </w:rPr>
        <w:t xml:space="preserve">采用综合评分法的，评标结果按评审后得分由高到低顺序排列。得分相同的，按投标报价由低到高顺序排列。得分且投标报价相同的并列。</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895"/>
              <w:jc w:val="center"/>
              <w:rPr>
                <w:rFonts w:hint="eastAsia" w:ascii="宋体" w:hAnsi="宋体"/>
                <w:szCs w:val="21"/>
              </w:rPr>
            </w:pPr>
            <w:r>
              <w:rPr>
                <w:rFonts w:hint="eastAsia" w:ascii="宋体" w:hAnsi="宋体"/>
                <w:szCs w:val="21"/>
              </w:rPr>
              <w:t xml:space="preserve">采购包号</w:t>
            </w:r>
            <w:r/>
          </w:p>
        </w:tc>
        <w:tc>
          <w:tcPr>
            <w:tcW w:w="1610" w:type="dxa"/>
            <w:vAlign w:val="top"/>
            <w:textDirection w:val="lrTb"/>
            <w:noWrap w:val="false"/>
          </w:tcPr>
          <w:p>
            <w:pPr>
              <w:pStyle w:val="895"/>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中标候选人数量</w:t>
            </w:r>
            <w:r>
              <w:rPr>
                <w:rFonts w:hint="eastAsia" w:ascii="宋体" w:hAnsi="宋体"/>
                <w:szCs w:val="21"/>
              </w:rPr>
            </w:r>
            <w:r/>
          </w:p>
        </w:tc>
        <w:tc>
          <w:tcPr>
            <w:tcW w:w="4325" w:type="dxa"/>
            <w:vAlign w:val="top"/>
            <w:textDirection w:val="lrTb"/>
            <w:noWrap w:val="false"/>
          </w:tcPr>
          <w:p>
            <w:pPr>
              <w:pStyle w:val="895"/>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中标候选人的原则</w:t>
            </w:r>
            <w:r>
              <w:rPr>
                <w:rFonts w:hint="eastAsia" w:ascii="宋体" w:hAnsi="宋体"/>
                <w:szCs w:val="21"/>
              </w:rPr>
            </w:r>
            <w:r/>
          </w:p>
        </w:tc>
      </w:tr>
      <w:tr>
        <w:trPr/>
        <w:tc>
          <w:tcPr>
            <w:tcW w:w="1148" w:type="dxa"/>
            <w:vAlign w:val="top"/>
            <w:textDirection w:val="lrTb"/>
            <w:noWrap w:val="false"/>
          </w:tcPr>
          <w:p>
            <w:pPr>
              <w:pStyle w:val="895"/>
              <w:jc w:val="center"/>
              <w:rPr>
                <w:rFonts w:ascii="宋体" w:hAnsi="宋体"/>
                <w:szCs w:val="21"/>
              </w:rPr>
            </w:pPr>
            <w:r>
              <w:rPr>
                <w:rFonts w:hint="eastAsia" w:ascii="宋体" w:hAnsi="宋体"/>
                <w:szCs w:val="21"/>
              </w:rPr>
              <w:t xml:space="preserve">1</w:t>
            </w:r>
            <w:r>
              <w:rPr>
                <w:rFonts w:ascii="宋体" w:hAnsi="宋体"/>
                <w:szCs w:val="21"/>
              </w:rPr>
            </w:r>
            <w:r/>
          </w:p>
        </w:tc>
        <w:tc>
          <w:tcPr>
            <w:tcW w:w="1610" w:type="dxa"/>
            <w:vAlign w:val="top"/>
            <w:textDirection w:val="lrTb"/>
            <w:noWrap w:val="false"/>
          </w:tcPr>
          <w:p>
            <w:pPr>
              <w:pStyle w:val="895"/>
              <w:jc w:val="center"/>
              <w:rPr>
                <w:rFonts w:ascii="宋体" w:hAnsi="宋体"/>
                <w:szCs w:val="21"/>
              </w:rPr>
            </w:pPr>
            <w:r>
              <w:rPr>
                <w:rFonts w:hint="eastAsia" w:ascii="宋体" w:hAnsi="宋体"/>
                <w:szCs w:val="21"/>
              </w:rPr>
              <w:t xml:space="preserve">1</w:t>
            </w:r>
            <w:r>
              <w:rPr>
                <w:rFonts w:ascii="宋体" w:hAnsi="宋体"/>
                <w:szCs w:val="21"/>
              </w:rPr>
            </w:r>
            <w:r/>
          </w:p>
        </w:tc>
        <w:tc>
          <w:tcPr>
            <w:tcW w:w="4325" w:type="dxa"/>
            <w:vAlign w:val="top"/>
            <w:textDirection w:val="lrTb"/>
            <w:noWrap w:val="false"/>
          </w:tcPr>
          <w:p>
            <w:pPr>
              <w:pStyle w:val="895"/>
              <w:jc w:val="left"/>
              <w:rPr>
                <w:rFonts w:hint="eastAsia" w:ascii="宋体" w:hAnsi="宋体"/>
                <w:szCs w:val="21"/>
              </w:rPr>
            </w:pPr>
            <w:r>
              <w:rPr>
                <w:rFonts w:hint="eastAsia" w:ascii="宋体" w:hAnsi="宋体"/>
                <w:szCs w:val="21"/>
              </w:rPr>
              <w:t xml:space="preserve">满足招标文件全部实质性要求，且按照评审因素的量化指标评审得分最高的投标人为中标候选人。</w:t>
            </w:r>
            <w:r/>
          </w:p>
        </w:tc>
      </w:tr>
    </w:tbl>
    <w:p>
      <w:pPr>
        <w:pStyle w:val="895"/>
        <w:ind w:firstLine="441"/>
        <w:jc w:val="left"/>
        <w:spacing w:before="120" w:after="120" w:line="0" w:lineRule="atLeast"/>
        <w:rPr>
          <w:rFonts w:hint="eastAsia" w:ascii="宋体" w:hAnsi="宋体"/>
          <w:b/>
          <w:sz w:val="24"/>
          <w:szCs w:val="24"/>
          <w:highlight w:val="yellow"/>
        </w:rPr>
      </w:pPr>
      <w:r>
        <w:rPr>
          <w:rFonts w:hint="eastAsia" w:ascii="宋体" w:hAnsi="宋体"/>
          <w:b/>
          <w:sz w:val="24"/>
          <w:szCs w:val="24"/>
        </w:rPr>
        <w:t xml:space="preserve">政府采购政策功能落实</w:t>
      </w:r>
      <w:r>
        <w:rPr>
          <w:rFonts w:hint="eastAsia" w:ascii="宋体" w:hAnsi="宋体"/>
          <w:b/>
          <w:sz w:val="24"/>
          <w:szCs w:val="24"/>
          <w:highlight w:val="yellow"/>
        </w:rPr>
      </w:r>
      <w:r/>
    </w:p>
    <w:p>
      <w:pPr>
        <w:pStyle w:val="895"/>
        <w:ind w:firstLine="420"/>
        <w:jc w:val="left"/>
        <w:spacing w:before="120" w:after="120" w:line="0" w:lineRule="atLeast"/>
        <w:rPr>
          <w:rFonts w:hint="eastAsia" w:ascii="宋体" w:hAnsi="宋体"/>
          <w:color w:val="000000"/>
          <w:szCs w:val="21"/>
        </w:rPr>
      </w:pPr>
      <w:r>
        <w:rPr>
          <w:rFonts w:hint="eastAsia" w:ascii="宋体" w:hAnsi="宋体"/>
          <w:color w:val="000000"/>
          <w:szCs w:val="21"/>
        </w:rPr>
        <w:t xml:space="preserve">1、小微型企业价格扣除</w:t>
      </w:r>
      <w:r/>
    </w:p>
    <w:p>
      <w:pPr>
        <w:pStyle w:val="895"/>
        <w:ind w:firstLine="315"/>
        <w:jc w:val="left"/>
        <w:spacing w:before="120" w:after="120" w:line="0" w:lineRule="atLeast"/>
        <w:rPr>
          <w:rFonts w:hint="eastAsia" w:ascii="宋体" w:hAnsi="宋体"/>
          <w:color w:val="000000"/>
          <w:szCs w:val="21"/>
        </w:rPr>
      </w:pPr>
      <w:r>
        <w:rPr>
          <w:rFonts w:hint="eastAsia" w:ascii="宋体" w:hAnsi="宋体"/>
          <w:color w:val="000000"/>
          <w:szCs w:val="21"/>
        </w:rPr>
        <w:t xml:space="preserve">（1）本项目对小型和微型企业产品给予</w:t>
      </w:r>
      <w:r>
        <w:rPr>
          <w:rFonts w:hint="eastAsia" w:ascii="宋体" w:hAnsi="宋体"/>
          <w:color w:val="000000"/>
          <w:szCs w:val="21"/>
          <w:u w:val="single"/>
        </w:rPr>
        <w:t xml:space="preserve">10%</w:t>
      </w:r>
      <w:r>
        <w:rPr>
          <w:rFonts w:hint="eastAsia" w:ascii="宋体" w:hAnsi="宋体"/>
          <w:color w:val="000000"/>
          <w:szCs w:val="21"/>
        </w:rPr>
        <w:t xml:space="preserve">的扣除价格，用扣除后的价格参与评审。</w:t>
      </w:r>
      <w:r/>
    </w:p>
    <w:p>
      <w:pPr>
        <w:pStyle w:val="895"/>
        <w:ind w:firstLine="315"/>
        <w:jc w:val="left"/>
        <w:spacing w:before="120" w:after="120" w:line="0" w:lineRule="atLeast"/>
        <w:rPr>
          <w:rFonts w:hint="eastAsia" w:ascii="宋体" w:hAnsi="宋体"/>
          <w:color w:val="000000"/>
          <w:szCs w:val="21"/>
        </w:rPr>
      </w:pPr>
      <w:r>
        <w:rPr>
          <w:rFonts w:hint="eastAsia" w:ascii="宋体" w:hAnsi="宋体"/>
          <w:color w:val="000000"/>
          <w:szCs w:val="21"/>
        </w:rPr>
        <w:t xml:space="preserve">（2）供应商需按照采购文件的要求提供相应的</w:t>
      </w:r>
      <w:r>
        <w:rPr>
          <w:rFonts w:hint="eastAsia" w:ascii="宋体" w:hAnsi="宋体"/>
          <w:szCs w:val="21"/>
        </w:rPr>
        <w:t xml:space="preserve">《中小</w:t>
      </w:r>
      <w:r>
        <w:rPr>
          <w:rFonts w:hint="eastAsia" w:ascii="宋体" w:hAnsi="宋体"/>
          <w:color w:val="000000"/>
          <w:szCs w:val="21"/>
        </w:rPr>
        <w:t xml:space="preserve">微企业声明函》。</w:t>
      </w:r>
      <w:r/>
    </w:p>
    <w:p>
      <w:pPr>
        <w:pStyle w:val="895"/>
        <w:ind w:firstLine="420"/>
        <w:jc w:val="left"/>
        <w:spacing w:before="120" w:after="120" w:line="0" w:lineRule="atLeast"/>
        <w:rPr>
          <w:rFonts w:hint="eastAsia" w:ascii="宋体" w:hAnsi="宋体"/>
          <w:color w:val="000000"/>
          <w:szCs w:val="21"/>
        </w:rPr>
      </w:pPr>
      <w:r>
        <w:rPr>
          <w:rFonts w:hint="eastAsia" w:ascii="宋体" w:hAnsi="宋体"/>
          <w:color w:val="000000"/>
          <w:szCs w:val="21"/>
        </w:rPr>
        <w:t xml:space="preserve">2、残疾人福利单位价格扣除</w:t>
      </w:r>
      <w:r/>
    </w:p>
    <w:p>
      <w:pPr>
        <w:pStyle w:val="895"/>
        <w:ind w:left="120" w:firstLine="315"/>
        <w:jc w:val="left"/>
        <w:spacing w:before="120" w:after="120" w:line="0" w:lineRule="atLeast"/>
        <w:rPr>
          <w:rFonts w:hint="eastAsia" w:ascii="宋体" w:hAnsi="宋体"/>
          <w:color w:val="000000"/>
          <w:szCs w:val="21"/>
        </w:rPr>
      </w:pPr>
      <w:r>
        <w:rPr>
          <w:rFonts w:hint="eastAsia" w:ascii="宋体" w:hAnsi="宋体"/>
          <w:color w:val="000000"/>
          <w:szCs w:val="21"/>
        </w:rPr>
        <w:t xml:space="preserve">（1）本项目对残疾人福利性单位视同小型、微型企业，给予</w:t>
      </w:r>
      <w:r>
        <w:rPr>
          <w:rFonts w:hint="eastAsia" w:ascii="宋体" w:hAnsi="宋体"/>
          <w:color w:val="000000"/>
          <w:szCs w:val="21"/>
          <w:u w:val="single"/>
        </w:rPr>
        <w:t xml:space="preserve">10%</w:t>
      </w:r>
      <w:r>
        <w:rPr>
          <w:rFonts w:hint="eastAsia" w:ascii="宋体" w:hAnsi="宋体"/>
          <w:color w:val="000000"/>
          <w:szCs w:val="21"/>
        </w:rPr>
        <w:t xml:space="preserve">的价格扣除，用扣除后的价格参与评审。</w:t>
      </w:r>
      <w:r/>
    </w:p>
    <w:p>
      <w:pPr>
        <w:pStyle w:val="895"/>
        <w:ind w:left="120" w:firstLine="315"/>
        <w:jc w:val="left"/>
        <w:spacing w:before="120" w:after="120" w:line="0" w:lineRule="atLeast"/>
        <w:rPr>
          <w:rFonts w:hint="eastAsia" w:ascii="宋体" w:hAnsi="宋体"/>
          <w:color w:val="000000"/>
          <w:szCs w:val="21"/>
        </w:rPr>
      </w:pPr>
      <w:r>
        <w:rPr>
          <w:rFonts w:hint="eastAsia" w:ascii="宋体" w:hAnsi="宋体"/>
          <w:color w:val="000000"/>
          <w:szCs w:val="21"/>
        </w:rPr>
        <w:t xml:space="preserve">（2）残疾人福利单位需按照采购文件的要求提供《残疾人福利性单位声明函》。</w:t>
      </w:r>
      <w:r/>
    </w:p>
    <w:p>
      <w:pPr>
        <w:pStyle w:val="895"/>
        <w:ind w:left="120" w:firstLine="315"/>
        <w:jc w:val="left"/>
        <w:spacing w:before="120" w:after="120" w:line="0" w:lineRule="atLeast"/>
        <w:rPr>
          <w:rFonts w:hint="eastAsia" w:ascii="宋体" w:hAnsi="宋体"/>
          <w:color w:val="000000"/>
          <w:szCs w:val="21"/>
        </w:rPr>
      </w:pPr>
      <w:r>
        <w:rPr>
          <w:rFonts w:hint="eastAsia" w:ascii="宋体" w:hAnsi="宋体"/>
          <w:color w:val="000000"/>
          <w:szCs w:val="21"/>
        </w:rPr>
        <w:t xml:space="preserve">（3）残疾人福利单位标准请参照《关于促进残疾人就业政府采购政策的通知》（财库〔2017〕141号）。</w:t>
      </w:r>
      <w:r/>
    </w:p>
    <w:p>
      <w:pPr>
        <w:pStyle w:val="895"/>
        <w:ind w:firstLine="420"/>
        <w:jc w:val="left"/>
        <w:spacing w:before="120" w:after="120" w:line="0" w:lineRule="atLeast"/>
        <w:rPr>
          <w:rFonts w:hint="eastAsia" w:ascii="宋体" w:hAnsi="宋体"/>
          <w:color w:val="000000"/>
          <w:szCs w:val="21"/>
        </w:rPr>
      </w:pPr>
      <w:r>
        <w:rPr>
          <w:rFonts w:hint="eastAsia" w:ascii="宋体" w:hAnsi="宋体"/>
          <w:color w:val="000000"/>
          <w:szCs w:val="21"/>
        </w:rPr>
        <w:t xml:space="preserve">3、监狱和戒毒企业价格扣除</w:t>
      </w:r>
      <w:r/>
    </w:p>
    <w:p>
      <w:pPr>
        <w:pStyle w:val="895"/>
        <w:ind w:firstLine="420"/>
        <w:jc w:val="left"/>
        <w:spacing w:before="120" w:after="120" w:line="0" w:lineRule="atLeast"/>
        <w:rPr>
          <w:rFonts w:hint="eastAsia" w:ascii="宋体" w:hAnsi="宋体"/>
          <w:color w:val="000000"/>
          <w:szCs w:val="21"/>
        </w:rPr>
      </w:pPr>
      <w:r>
        <w:rPr>
          <w:rFonts w:hint="eastAsia" w:ascii="宋体" w:hAnsi="宋体"/>
          <w:color w:val="000000"/>
          <w:szCs w:val="21"/>
        </w:rPr>
        <w:t xml:space="preserve">（1）本项目对监狱和戒毒企业（简称监狱企业）视同小型、微型企业，给予</w:t>
      </w:r>
      <w:r>
        <w:rPr>
          <w:rFonts w:hint="eastAsia" w:ascii="宋体" w:hAnsi="宋体"/>
          <w:color w:val="000000"/>
          <w:szCs w:val="21"/>
          <w:u w:val="single"/>
        </w:rPr>
        <w:t xml:space="preserve">10%</w:t>
      </w:r>
      <w:r>
        <w:rPr>
          <w:rFonts w:hint="eastAsia" w:ascii="宋体" w:hAnsi="宋体"/>
          <w:color w:val="000000"/>
          <w:szCs w:val="21"/>
        </w:rPr>
        <w:t xml:space="preserve">的价格扣除，用扣除后的价格参与评审。</w:t>
      </w:r>
      <w:r/>
    </w:p>
    <w:p>
      <w:pPr>
        <w:pStyle w:val="895"/>
        <w:ind w:firstLine="420"/>
        <w:jc w:val="left"/>
        <w:spacing w:before="120" w:after="120" w:line="0" w:lineRule="atLeast"/>
        <w:rPr>
          <w:rFonts w:hint="eastAsia" w:ascii="宋体" w:hAnsi="宋体"/>
          <w:color w:val="000000"/>
          <w:szCs w:val="21"/>
        </w:rPr>
      </w:pPr>
      <w:r>
        <w:rPr>
          <w:rFonts w:hint="eastAsia" w:ascii="宋体" w:hAnsi="宋体"/>
          <w:color w:val="000000"/>
          <w:szCs w:val="21"/>
        </w:rPr>
        <w:t xml:space="preserve">（2）监狱企业参加政府采购活动时，需提供由省级以上监狱管理局、戒毒管理局(含新疆生产建设兵团)出具的属于监狱企业的证明文件。</w:t>
      </w:r>
      <w:r>
        <w:rPr>
          <w:rFonts w:hint="eastAsia" w:ascii="宋体" w:hAnsi="宋体"/>
          <w:color w:val="000000"/>
          <w:szCs w:val="21"/>
        </w:rPr>
        <w:t xml:space="preserve">供应商如不提供上述证明文件，价格将不做相应扣除</w:t>
      </w:r>
      <w:r>
        <w:rPr>
          <w:rFonts w:hint="eastAsia" w:ascii="宋体" w:hAnsi="宋体"/>
          <w:color w:val="000000"/>
          <w:szCs w:val="21"/>
        </w:rPr>
        <w:t xml:space="preserve">。</w:t>
      </w:r>
      <w:r/>
    </w:p>
    <w:p>
      <w:pPr>
        <w:pStyle w:val="895"/>
        <w:ind w:firstLine="420"/>
        <w:jc w:val="left"/>
        <w:spacing w:before="120" w:after="120" w:line="0" w:lineRule="atLeast"/>
        <w:rPr>
          <w:rFonts w:hint="eastAsia" w:ascii="宋体" w:hAnsi="宋体"/>
          <w:color w:val="000000"/>
          <w:szCs w:val="21"/>
        </w:rPr>
      </w:pPr>
      <w:r>
        <w:rPr>
          <w:rFonts w:hint="eastAsia" w:ascii="宋体" w:hAnsi="宋体"/>
          <w:color w:val="000000"/>
          <w:szCs w:val="21"/>
        </w:rPr>
        <w:t xml:space="preserve">（3）监狱企业标准请参照《关于政府采购支持监狱企业发展有关问题的通知》（</w:t>
      </w:r>
      <w:r>
        <w:rPr>
          <w:rFonts w:ascii="宋体" w:hAnsi="宋体"/>
          <w:color w:val="000000"/>
          <w:szCs w:val="21"/>
        </w:rPr>
        <w:t xml:space="preserve">财库</w:t>
      </w:r>
      <w:r>
        <w:rPr>
          <w:rFonts w:hint="eastAsia" w:ascii="宋体" w:hAnsi="宋体"/>
          <w:color w:val="000000"/>
          <w:szCs w:val="21"/>
        </w:rPr>
        <w:t xml:space="preserve">〔</w:t>
      </w:r>
      <w:r>
        <w:rPr>
          <w:rFonts w:ascii="宋体" w:hAnsi="宋体"/>
          <w:color w:val="000000"/>
          <w:szCs w:val="21"/>
        </w:rPr>
        <w:t xml:space="preserve">2014</w:t>
      </w:r>
      <w:r>
        <w:rPr>
          <w:rFonts w:hint="eastAsia" w:ascii="宋体" w:hAnsi="宋体"/>
          <w:color w:val="000000"/>
          <w:szCs w:val="21"/>
        </w:rPr>
        <w:t xml:space="preserve">〕</w:t>
      </w:r>
      <w:r>
        <w:rPr>
          <w:rFonts w:ascii="宋体" w:hAnsi="宋体"/>
          <w:color w:val="000000"/>
          <w:szCs w:val="21"/>
        </w:rPr>
        <w:t xml:space="preserve">68号</w:t>
      </w:r>
      <w:r>
        <w:rPr>
          <w:rFonts w:hint="eastAsia" w:ascii="宋体" w:hAnsi="宋体"/>
          <w:color w:val="000000"/>
          <w:szCs w:val="21"/>
        </w:rPr>
        <w:t xml:space="preserve">）。</w:t>
      </w:r>
      <w:r/>
    </w:p>
    <w:p>
      <w:pPr>
        <w:pStyle w:val="895"/>
        <w:ind w:firstLine="420"/>
        <w:jc w:val="left"/>
        <w:spacing w:before="120" w:after="120" w:line="400" w:lineRule="exact"/>
        <w:rPr>
          <w:rFonts w:hint="eastAsia" w:ascii="宋体" w:hAnsi="宋体"/>
          <w:color w:val="000000"/>
          <w:szCs w:val="21"/>
        </w:rPr>
      </w:pPr>
      <w:r>
        <w:rPr>
          <w:rFonts w:hint="eastAsia" w:ascii="宋体" w:hAnsi="宋体"/>
          <w:color w:val="000000"/>
          <w:szCs w:val="21"/>
        </w:rPr>
        <w:t xml:space="preserve">4、残疾人福利单位、监狱企业属于小型、微型企业的，不重复享受政策。</w:t>
      </w:r>
      <w:r/>
    </w:p>
    <w:p>
      <w:pPr>
        <w:pStyle w:val="895"/>
        <w:ind w:firstLine="420"/>
        <w:jc w:val="left"/>
        <w:spacing w:before="120" w:after="120" w:line="400" w:lineRule="exact"/>
        <w:rPr>
          <w:rFonts w:hint="eastAsia" w:ascii="宋体" w:hAnsi="宋体"/>
          <w:color w:val="000000"/>
          <w:szCs w:val="21"/>
        </w:rPr>
      </w:pPr>
      <w:r>
        <w:rPr>
          <w:rFonts w:hint="eastAsia" w:ascii="宋体" w:hAnsi="宋体"/>
          <w:color w:val="000000"/>
          <w:szCs w:val="21"/>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Cs w:val="21"/>
          <w:u w:val="single"/>
        </w:rPr>
        <w:t xml:space="preserve">4</w:t>
      </w:r>
      <w:r>
        <w:rPr>
          <w:rFonts w:hint="eastAsia" w:ascii="宋体" w:hAnsi="宋体"/>
          <w:color w:val="000000"/>
          <w:szCs w:val="21"/>
          <w:u w:val="single"/>
        </w:rPr>
        <w:t xml:space="preserve">%</w:t>
      </w:r>
      <w:r>
        <w:rPr>
          <w:rFonts w:hint="eastAsia" w:ascii="宋体" w:hAnsi="宋体"/>
          <w:color w:val="000000"/>
          <w:szCs w:val="21"/>
        </w:rPr>
        <w:t xml:space="preserve">的价格扣除，用扣除后的价格参与评审。6、联合体各方均为小型、微型企业（残疾人福利单位、监狱企业）的，联合体享受</w:t>
      </w:r>
      <w:r>
        <w:rPr>
          <w:rFonts w:hint="eastAsia" w:ascii="宋体" w:hAnsi="宋体"/>
          <w:color w:val="000000"/>
          <w:szCs w:val="21"/>
          <w:u w:val="single"/>
        </w:rPr>
        <w:t xml:space="preserve">10%</w:t>
      </w:r>
      <w:r>
        <w:rPr>
          <w:rFonts w:hint="eastAsia" w:ascii="宋体" w:hAnsi="宋体"/>
          <w:color w:val="000000"/>
          <w:szCs w:val="21"/>
        </w:rPr>
        <w:t xml:space="preserve">价格扣除，用扣除后的价格参与评审。</w:t>
      </w:r>
      <w:r/>
    </w:p>
    <w:p>
      <w:pPr>
        <w:pStyle w:val="895"/>
        <w:ind w:firstLine="420"/>
        <w:jc w:val="left"/>
        <w:spacing w:line="400" w:lineRule="exact"/>
        <w:rPr>
          <w:rFonts w:hint="eastAsia" w:ascii="宋体" w:hAnsi="宋体" w:cs="宋体"/>
          <w:szCs w:val="21"/>
        </w:rPr>
      </w:pPr>
      <w:r>
        <w:rPr>
          <w:rFonts w:hint="eastAsia" w:ascii="宋体" w:hAnsi="宋体" w:cs="宋体"/>
          <w:szCs w:val="21"/>
        </w:rPr>
        <w:t xml:space="preserve">7、采购本国产品的支持政策</w:t>
      </w:r>
      <w:r/>
    </w:p>
    <w:p>
      <w:pPr>
        <w:pStyle w:val="895"/>
        <w:ind w:firstLine="420"/>
        <w:jc w:val="left"/>
        <w:spacing w:line="400" w:lineRule="exact"/>
        <w:rPr>
          <w:rFonts w:hint="eastAsia" w:ascii="宋体" w:hAnsi="宋体" w:cs="宋体"/>
          <w:szCs w:val="21"/>
        </w:rPr>
      </w:pPr>
      <w:r>
        <w:rPr>
          <w:rFonts w:hint="eastAsia" w:ascii="宋体" w:hAnsi="宋体" w:cs="宋体"/>
          <w:szCs w:val="21"/>
        </w:rPr>
        <w:t xml:space="preserve">7.1 本项目政府采购活动中既有本国产品又有非本国产品参与竞争的，依法对本国产品给予价格评审优惠，对本国产品的报价给予</w:t>
      </w:r>
      <w:r>
        <w:rPr>
          <w:rFonts w:hint="eastAsia" w:ascii="宋体" w:hAnsi="宋体" w:cs="宋体"/>
          <w:szCs w:val="21"/>
          <w:u w:val="single"/>
        </w:rPr>
        <w:t xml:space="preserve">20%</w:t>
      </w:r>
      <w:r>
        <w:rPr>
          <w:rFonts w:hint="eastAsia" w:ascii="宋体" w:hAnsi="宋体" w:cs="宋体"/>
          <w:szCs w:val="21"/>
        </w:rPr>
        <w:t xml:space="preserve">的价格扣除，用扣除后的价格参与评审。</w:t>
      </w:r>
      <w:r/>
    </w:p>
    <w:p>
      <w:pPr>
        <w:pStyle w:val="895"/>
        <w:ind w:firstLine="420"/>
        <w:jc w:val="left"/>
        <w:spacing w:line="400" w:lineRule="exact"/>
        <w:rPr>
          <w:rFonts w:hint="eastAsia" w:ascii="宋体" w:hAnsi="宋体" w:cs="宋体"/>
          <w:szCs w:val="21"/>
        </w:rPr>
      </w:pPr>
      <w:r>
        <w:rPr>
          <w:rFonts w:hint="eastAsia" w:ascii="宋体" w:hAnsi="宋体" w:cs="宋体"/>
          <w:szCs w:val="21"/>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szCs w:val="21"/>
          <w:u w:val="single"/>
        </w:rPr>
        <w:t xml:space="preserve">80%</w:t>
      </w:r>
      <w:r>
        <w:rPr>
          <w:rFonts w:hint="eastAsia" w:ascii="宋体" w:hAnsi="宋体" w:cs="宋体"/>
          <w:szCs w:val="21"/>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cs="宋体"/>
          <w:szCs w:val="21"/>
          <w:u w:val="single"/>
        </w:rPr>
        <w:t xml:space="preserve">20%</w:t>
      </w:r>
      <w:r>
        <w:rPr>
          <w:rFonts w:hint="eastAsia" w:ascii="宋体" w:hAnsi="宋体" w:cs="宋体"/>
          <w:szCs w:val="21"/>
        </w:rPr>
        <w:t xml:space="preserve">的价格扣除，用扣除后的价格参与评审。供应商未填写比例数值，或比例数值不足</w:t>
      </w:r>
      <w:r>
        <w:rPr>
          <w:rFonts w:hint="eastAsia" w:ascii="宋体" w:hAnsi="宋体" w:cs="宋体"/>
          <w:szCs w:val="21"/>
          <w:u w:val="single"/>
        </w:rPr>
        <w:t xml:space="preserve">80%</w:t>
      </w:r>
      <w:r>
        <w:rPr>
          <w:rFonts w:hint="eastAsia" w:ascii="宋体" w:hAnsi="宋体" w:cs="宋体"/>
          <w:szCs w:val="21"/>
        </w:rPr>
        <w:t xml:space="preserve">的，将不享受本国产品价格评审优惠。</w:t>
      </w:r>
      <w:r/>
    </w:p>
    <w:p>
      <w:pPr>
        <w:pStyle w:val="895"/>
        <w:ind w:firstLine="420"/>
        <w:jc w:val="left"/>
        <w:spacing w:line="400" w:lineRule="exact"/>
        <w:rPr>
          <w:rFonts w:hint="eastAsia" w:ascii="宋体" w:hAnsi="宋体" w:cs="宋体"/>
          <w:szCs w:val="21"/>
        </w:rPr>
      </w:pPr>
      <w:r>
        <w:rPr>
          <w:rFonts w:hint="eastAsia" w:ascii="宋体" w:hAnsi="宋体" w:cs="宋体"/>
          <w:szCs w:val="21"/>
        </w:rPr>
        <w:t xml:space="preserve">7.3 供应商需按照招标文件的要求提供《关于符合本国产品标准的声明函》（以下简称《声明函》），如不提供将不享受本国产品价格评审优惠。</w:t>
      </w:r>
      <w:r/>
    </w:p>
    <w:p>
      <w:pPr>
        <w:pStyle w:val="895"/>
        <w:ind w:firstLine="420"/>
        <w:jc w:val="left"/>
        <w:spacing w:line="400" w:lineRule="exact"/>
        <w:rPr>
          <w:rFonts w:hint="eastAsia" w:ascii="宋体" w:hAnsi="宋体" w:cs="宋体"/>
          <w:szCs w:val="21"/>
        </w:rPr>
      </w:pPr>
      <w:r>
        <w:rPr>
          <w:rFonts w:hint="eastAsia" w:ascii="宋体" w:hAnsi="宋体" w:cs="宋体"/>
          <w:szCs w:val="21"/>
        </w:rPr>
        <w:t xml:space="preserve">7.4 供应商需在《声明函》中逐一、准确填写产品名称、厂名、生产厂址三项信息（《声明函》中标注</w:t>
      </w:r>
      <w:r>
        <w:rPr>
          <w:rFonts w:hint="eastAsia" w:ascii="宋体" w:hAnsi="宋体" w:cs="宋体"/>
          <w:szCs w:val="21"/>
          <w:u w:val="single"/>
        </w:rPr>
        <w:t xml:space="preserve">“  /  ”</w:t>
      </w:r>
      <w:r>
        <w:rPr>
          <w:rFonts w:hint="eastAsia" w:ascii="宋体" w:hAnsi="宋体" w:cs="宋体"/>
          <w:szCs w:val="21"/>
        </w:rPr>
        <w:t xml:space="preserve">的地方无需填写），三项信息中任意一项未填写的视为该项产品不符合本国产品标准，不享受本国产品价格评审优惠。</w:t>
      </w:r>
      <w:r/>
    </w:p>
    <w:p>
      <w:pPr>
        <w:pStyle w:val="895"/>
        <w:ind w:firstLine="420"/>
        <w:jc w:val="left"/>
        <w:spacing w:line="400" w:lineRule="exact"/>
        <w:rPr>
          <w:rFonts w:hint="eastAsia" w:ascii="宋体" w:hAnsi="宋体" w:cs="宋体"/>
          <w:szCs w:val="21"/>
        </w:rPr>
      </w:pPr>
      <w:r>
        <w:rPr>
          <w:rFonts w:hint="eastAsia" w:ascii="宋体" w:hAnsi="宋体" w:cs="宋体"/>
          <w:szCs w:val="21"/>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95"/>
        <w:ind w:firstLine="482"/>
        <w:jc w:val="left"/>
        <w:spacing w:before="120" w:after="120" w:line="0" w:lineRule="atLeast"/>
        <w:rPr>
          <w:rFonts w:ascii="宋体" w:hAnsi="宋体"/>
          <w:b/>
          <w:color w:val="000000"/>
          <w:sz w:val="24"/>
          <w:szCs w:val="24"/>
          <w:highlight w:val="yellow"/>
        </w:rPr>
      </w:pPr>
      <w:r>
        <w:rPr>
          <w:rFonts w:hint="eastAsia" w:ascii="宋体" w:hAnsi="宋体"/>
          <w:b/>
          <w:color w:val="000000"/>
          <w:sz w:val="24"/>
          <w:szCs w:val="24"/>
        </w:rPr>
        <w:t xml:space="preserve">评标方法与评标标准</w:t>
      </w:r>
      <w:r>
        <w:rPr>
          <w:rFonts w:ascii="宋体" w:hAnsi="宋体"/>
          <w:b/>
          <w:color w:val="000000"/>
          <w:sz w:val="24"/>
          <w:szCs w:val="24"/>
          <w:highlight w:val="yellow"/>
        </w:rPr>
      </w:r>
      <w:r/>
    </w:p>
    <w:tbl>
      <w:tblPr>
        <w:tblW w:w="512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17"/>
        <w:gridCol w:w="1419"/>
        <w:gridCol w:w="876"/>
        <w:gridCol w:w="3077"/>
      </w:tblGrid>
      <w:tr>
        <w:trPr/>
        <w:tc>
          <w:tcPr>
            <w:gridSpan w:val="2"/>
            <w:tcW w:w="2536" w:type="dxa"/>
            <w:vAlign w:val="center"/>
            <w:textDirection w:val="lrTb"/>
            <w:noWrap w:val="false"/>
          </w:tcPr>
          <w:p>
            <w:pPr>
              <w:pStyle w:val="895"/>
              <w:jc w:val="center"/>
              <w:spacing w:line="276" w:lineRule="auto"/>
              <w:rPr>
                <w:rFonts w:ascii="宋体" w:hAnsi="宋体"/>
              </w:rPr>
            </w:pPr>
            <w:r>
              <w:rPr>
                <w:rFonts w:ascii="宋体" w:hAnsi="宋体"/>
                <w:b/>
              </w:rPr>
              <w:t xml:space="preserve">评审因素</w:t>
            </w:r>
            <w:r>
              <w:rPr>
                <w:rFonts w:ascii="宋体" w:hAnsi="宋体"/>
              </w:rPr>
            </w:r>
            <w:r/>
          </w:p>
        </w:tc>
        <w:tc>
          <w:tcPr>
            <w:tcW w:w="876" w:type="dxa"/>
            <w:vAlign w:val="center"/>
            <w:textDirection w:val="lrTb"/>
            <w:noWrap w:val="false"/>
          </w:tcPr>
          <w:p>
            <w:pPr>
              <w:pStyle w:val="895"/>
              <w:jc w:val="center"/>
              <w:spacing w:line="276" w:lineRule="auto"/>
              <w:rPr>
                <w:rFonts w:ascii="宋体" w:hAnsi="宋体"/>
                <w:b/>
              </w:rPr>
            </w:pPr>
            <w:r>
              <w:rPr>
                <w:rFonts w:ascii="宋体" w:hAnsi="宋体"/>
                <w:b/>
              </w:rPr>
            </w:r>
            <w:r>
              <w:rPr>
                <w:rFonts w:ascii="宋体" w:hAnsi="宋体"/>
                <w:b/>
              </w:rPr>
              <w:t xml:space="preserve">分数（分）</w:t>
            </w:r>
            <w:r>
              <w:rPr>
                <w:rFonts w:ascii="宋体" w:hAnsi="宋体"/>
                <w:b/>
              </w:rPr>
            </w:r>
            <w:r/>
          </w:p>
        </w:tc>
        <w:tc>
          <w:tcPr>
            <w:tcW w:w="3077" w:type="dxa"/>
            <w:vAlign w:val="center"/>
            <w:textDirection w:val="lrTb"/>
            <w:noWrap w:val="false"/>
          </w:tcPr>
          <w:p>
            <w:pPr>
              <w:pStyle w:val="895"/>
              <w:jc w:val="center"/>
              <w:spacing w:line="276" w:lineRule="auto"/>
              <w:rPr>
                <w:rFonts w:ascii="宋体" w:hAnsi="宋体"/>
              </w:rPr>
            </w:pPr>
            <w:r>
              <w:rPr>
                <w:rFonts w:ascii="宋体" w:hAnsi="宋体"/>
              </w:rPr>
            </w:r>
            <w:r>
              <w:rPr>
                <w:rFonts w:ascii="宋体" w:hAnsi="宋体"/>
                <w:b/>
              </w:rPr>
              <w:t xml:space="preserve">评审标准</w:t>
            </w:r>
            <w:r>
              <w:rPr>
                <w:rFonts w:ascii="宋体" w:hAnsi="宋体"/>
              </w:rPr>
            </w:r>
            <w:r/>
          </w:p>
        </w:tc>
      </w:tr>
      <w:tr>
        <w:trPr/>
        <w:tc>
          <w:tcPr>
            <w:tcW w:w="1117" w:type="dxa"/>
            <w:vAlign w:val="center"/>
            <w:textDirection w:val="lrTb"/>
            <w:noWrap w:val="false"/>
          </w:tcPr>
          <w:p>
            <w:pPr>
              <w:pStyle w:val="895"/>
              <w:jc w:val="center"/>
              <w:spacing w:line="276" w:lineRule="auto"/>
              <w:rPr>
                <w:rFonts w:ascii="宋体" w:hAnsi="宋体"/>
              </w:rPr>
            </w:pPr>
            <w:r>
              <w:rPr>
                <w:rFonts w:hint="eastAsia" w:ascii="宋体" w:hAnsi="宋体"/>
              </w:rPr>
              <w:t xml:space="preserve">1</w:t>
            </w:r>
            <w:r>
              <w:rPr>
                <w:rFonts w:ascii="宋体" w:hAnsi="宋体"/>
              </w:rPr>
              <w:t xml:space="preserve">价格</w:t>
            </w:r>
            <w:r>
              <w:rPr>
                <w:rFonts w:hint="eastAsia" w:ascii="宋体" w:hAnsi="宋体"/>
              </w:rPr>
              <w:t xml:space="preserve">部分</w:t>
            </w:r>
            <w:r>
              <w:rPr>
                <w:rFonts w:ascii="宋体" w:hAnsi="宋体"/>
              </w:rPr>
            </w:r>
            <w:r/>
          </w:p>
          <w:p>
            <w:pPr>
              <w:pStyle w:val="895"/>
              <w:jc w:val="center"/>
              <w:spacing w:line="276" w:lineRule="auto"/>
              <w:rPr>
                <w:rFonts w:ascii="宋体" w:hAnsi="宋体"/>
              </w:rPr>
            </w:pPr>
            <w:r>
              <w:rPr>
                <w:rFonts w:ascii="宋体" w:hAnsi="宋体"/>
              </w:rPr>
              <w:t xml:space="preserve">（</w:t>
            </w:r>
            <w:r>
              <w:rPr>
                <w:rFonts w:hint="eastAsia" w:ascii="宋体" w:hAnsi="宋体"/>
              </w:rPr>
              <w:t xml:space="preserve">40</w:t>
            </w:r>
            <w:r>
              <w:rPr>
                <w:rFonts w:ascii="宋体" w:hAnsi="宋体"/>
              </w:rPr>
              <w:t xml:space="preserve">分）</w:t>
            </w:r>
            <w:r/>
          </w:p>
        </w:tc>
        <w:tc>
          <w:tcPr>
            <w:tcW w:w="1419" w:type="dxa"/>
            <w:vAlign w:val="center"/>
            <w:textDirection w:val="lrTb"/>
            <w:noWrap w:val="false"/>
          </w:tcPr>
          <w:p>
            <w:pPr>
              <w:pStyle w:val="895"/>
              <w:jc w:val="center"/>
              <w:spacing w:line="276" w:lineRule="auto"/>
              <w:rPr>
                <w:rFonts w:ascii="宋体" w:hAnsi="宋体"/>
              </w:rPr>
            </w:pPr>
            <w:r>
              <w:rPr>
                <w:rFonts w:ascii="宋体" w:hAnsi="宋体"/>
              </w:rPr>
              <w:t xml:space="preserve">价格</w:t>
            </w:r>
            <w:r/>
          </w:p>
        </w:tc>
        <w:tc>
          <w:tcPr>
            <w:tcW w:w="876" w:type="dxa"/>
            <w:vAlign w:val="center"/>
            <w:textDirection w:val="lrTb"/>
            <w:noWrap w:val="false"/>
          </w:tcPr>
          <w:p>
            <w:pPr>
              <w:pStyle w:val="895"/>
              <w:jc w:val="center"/>
              <w:spacing w:line="276" w:lineRule="auto"/>
              <w:rPr>
                <w:rFonts w:ascii="宋体" w:hAnsi="宋体"/>
              </w:rPr>
            </w:pPr>
            <w:r>
              <w:rPr>
                <w:rFonts w:hint="eastAsia" w:ascii="宋体" w:hAnsi="宋体"/>
              </w:rPr>
              <w:t xml:space="preserve">40</w:t>
            </w:r>
            <w:r>
              <w:rPr>
                <w:rFonts w:ascii="宋体" w:hAnsi="宋体"/>
              </w:rPr>
            </w:r>
            <w:r/>
          </w:p>
        </w:tc>
        <w:tc>
          <w:tcPr>
            <w:tcW w:w="3077" w:type="dxa"/>
            <w:vAlign w:val="center"/>
            <w:textDirection w:val="lrTb"/>
            <w:noWrap w:val="false"/>
          </w:tcPr>
          <w:p>
            <w:pPr>
              <w:pStyle w:val="895"/>
              <w:spacing w:line="276" w:lineRule="auto"/>
              <w:rPr>
                <w:rFonts w:ascii="宋体" w:hAnsi="宋体"/>
                <w:bCs/>
                <w:sz w:val="24"/>
              </w:rPr>
            </w:pPr>
            <w:r>
              <w:rPr>
                <w:rFonts w:ascii="宋体" w:hAnsi="宋体"/>
              </w:rPr>
              <w:t xml:space="preserve">价格分采用低价优先法计算，即满足采购文件要求且</w:t>
            </w:r>
            <w:r>
              <w:rPr>
                <w:rFonts w:hint="eastAsia" w:ascii="宋体" w:hAnsi="宋体"/>
              </w:rPr>
              <w:t xml:space="preserve">投标价格</w:t>
            </w:r>
            <w:r>
              <w:rPr>
                <w:rFonts w:ascii="宋体" w:hAnsi="宋体"/>
              </w:rPr>
              <w:t xml:space="preserve">最低的投标人</w:t>
            </w:r>
            <w:r>
              <w:rPr>
                <w:rFonts w:hint="eastAsia" w:ascii="宋体" w:hAnsi="宋体"/>
              </w:rPr>
              <w:t xml:space="preserve">投标</w:t>
            </w:r>
            <w:r>
              <w:rPr>
                <w:rFonts w:ascii="宋体" w:hAnsi="宋体"/>
              </w:rPr>
              <w:t xml:space="preserve">报价为评标基准价，其价格分为满分</w:t>
            </w:r>
            <w:r>
              <w:rPr>
                <w:rFonts w:hint="eastAsia" w:ascii="宋体" w:hAnsi="宋体"/>
              </w:rPr>
              <w:t xml:space="preserve">40</w:t>
            </w:r>
            <w:r>
              <w:rPr>
                <w:rFonts w:ascii="宋体" w:hAnsi="宋体"/>
              </w:rPr>
              <w:t xml:space="preserve">分，其它投标人的价格分统一按照以下公式计算：投标报价得分=（评标基准价/该投标人的投标报价）×</w:t>
            </w:r>
            <w:r>
              <w:rPr>
                <w:rFonts w:hint="eastAsia" w:ascii="宋体" w:hAnsi="宋体"/>
              </w:rPr>
              <w:t xml:space="preserve">40</w:t>
            </w:r>
            <w:r>
              <w:rPr>
                <w:rFonts w:ascii="宋体" w:hAnsi="宋体"/>
              </w:rPr>
              <w:t xml:space="preserve">分。分值保留小数点后</w:t>
            </w:r>
            <w:r>
              <w:rPr>
                <w:rFonts w:hint="eastAsia" w:ascii="宋体" w:hAnsi="宋体"/>
              </w:rPr>
              <w:t xml:space="preserve">1</w:t>
            </w:r>
            <w:r>
              <w:rPr>
                <w:rFonts w:ascii="宋体" w:hAnsi="宋体"/>
              </w:rPr>
              <w:t xml:space="preserve">位。</w:t>
            </w:r>
            <w:r>
              <w:rPr>
                <w:rFonts w:ascii="宋体" w:hAnsi="宋体"/>
                <w:bCs/>
                <w:sz w:val="24"/>
              </w:rPr>
            </w:r>
            <w:r/>
          </w:p>
        </w:tc>
      </w:tr>
      <w:tr>
        <w:trPr/>
        <w:tc>
          <w:tcPr>
            <w:tcW w:w="1117" w:type="dxa"/>
            <w:vAlign w:val="center"/>
            <w:textDirection w:val="lrTb"/>
            <w:noWrap w:val="false"/>
          </w:tcPr>
          <w:p>
            <w:pPr>
              <w:pStyle w:val="895"/>
              <w:jc w:val="center"/>
              <w:spacing w:line="276" w:lineRule="auto"/>
              <w:rPr>
                <w:rFonts w:ascii="宋体" w:hAnsi="宋体"/>
              </w:rPr>
            </w:pPr>
            <w:r>
              <w:rPr>
                <w:rFonts w:hint="eastAsia" w:ascii="宋体" w:hAnsi="宋体"/>
              </w:rPr>
              <w:t xml:space="preserve">2</w:t>
            </w:r>
            <w:r>
              <w:rPr>
                <w:rFonts w:ascii="宋体" w:hAnsi="宋体"/>
              </w:rPr>
              <w:t xml:space="preserve">技术</w:t>
            </w:r>
            <w:r>
              <w:rPr>
                <w:rFonts w:hint="eastAsia" w:ascii="宋体" w:hAnsi="宋体"/>
              </w:rPr>
              <w:t xml:space="preserve">响应</w:t>
            </w:r>
            <w:r>
              <w:rPr>
                <w:rFonts w:ascii="宋体" w:hAnsi="宋体"/>
              </w:rPr>
              <w:t xml:space="preserve">（</w:t>
            </w:r>
            <w:r>
              <w:rPr>
                <w:rFonts w:hint="eastAsia" w:ascii="宋体" w:hAnsi="宋体"/>
              </w:rPr>
              <w:t xml:space="preserve">45</w:t>
            </w:r>
            <w:r>
              <w:rPr>
                <w:rFonts w:ascii="宋体" w:hAnsi="宋体"/>
              </w:rPr>
              <w:t xml:space="preserve">分）</w:t>
            </w:r>
            <w:r/>
          </w:p>
        </w:tc>
        <w:tc>
          <w:tcPr>
            <w:tcW w:w="1419" w:type="dxa"/>
            <w:vAlign w:val="center"/>
            <w:textDirection w:val="lrTb"/>
            <w:noWrap w:val="false"/>
          </w:tcPr>
          <w:p>
            <w:pPr>
              <w:pStyle w:val="895"/>
              <w:jc w:val="center"/>
              <w:spacing w:line="276" w:lineRule="auto"/>
              <w:rPr>
                <w:rFonts w:ascii="宋体" w:hAnsi="宋体"/>
              </w:rPr>
            </w:pPr>
            <w:r>
              <w:rPr>
                <w:rFonts w:ascii="宋体" w:hAnsi="宋体"/>
              </w:rPr>
              <w:t xml:space="preserve">技术参数响应</w:t>
            </w:r>
            <w:r/>
          </w:p>
        </w:tc>
        <w:tc>
          <w:tcPr>
            <w:tcW w:w="876" w:type="dxa"/>
            <w:vAlign w:val="center"/>
            <w:textDirection w:val="lrTb"/>
            <w:noWrap w:val="false"/>
          </w:tcPr>
          <w:p>
            <w:pPr>
              <w:pStyle w:val="895"/>
              <w:jc w:val="center"/>
              <w:spacing w:line="276" w:lineRule="auto"/>
              <w:rPr>
                <w:rFonts w:ascii="宋体" w:hAnsi="宋体"/>
              </w:rPr>
            </w:pPr>
            <w:r>
              <w:rPr>
                <w:rFonts w:hint="eastAsia" w:ascii="宋体" w:hAnsi="宋体"/>
              </w:rPr>
              <w:t xml:space="preserve">45</w:t>
            </w:r>
            <w:r>
              <w:rPr>
                <w:rFonts w:ascii="宋体" w:hAnsi="宋体"/>
              </w:rPr>
            </w:r>
            <w:r/>
          </w:p>
        </w:tc>
        <w:tc>
          <w:tcPr>
            <w:tcW w:w="3077" w:type="dxa"/>
            <w:vAlign w:val="center"/>
            <w:textDirection w:val="lrTb"/>
            <w:noWrap w:val="false"/>
          </w:tcPr>
          <w:p>
            <w:pPr>
              <w:pStyle w:val="895"/>
              <w:spacing w:line="276" w:lineRule="auto"/>
              <w:rPr>
                <w:rFonts w:ascii="宋体" w:hAnsi="宋体"/>
              </w:rPr>
            </w:pPr>
            <w:r>
              <w:rPr>
                <w:rFonts w:hint="eastAsia" w:ascii="宋体" w:hAnsi="宋体"/>
              </w:rPr>
              <w:t xml:space="preserve">投标产品对招标文件具体需求的响应程度：全部响应即满足招标文件第四章“二、技术要求”的得45分，本招标文件中斜体下划指标要求为实质性要求和条款，不符合视为无效投标；打▲号（共6项）参数指标要求等有负偏离的每项扣7分，其他参数指标要求等有负偏离每项扣3分（共1项），扣完为止。（投标人需按照本采购文件具体功能技术要求在“技术参数响应及偏离表”中如实详细填列所投产品的参数，并按采购文件要求提供相应证明材料并在偏离表中标明所在页码）。</w:t>
            </w:r>
            <w:r>
              <w:rPr>
                <w:rFonts w:ascii="宋体" w:hAnsi="宋体"/>
              </w:rPr>
            </w:r>
            <w:r/>
          </w:p>
        </w:tc>
      </w:tr>
      <w:tr>
        <w:trPr>
          <w:cantSplit/>
        </w:trPr>
        <w:tc>
          <w:tcPr>
            <w:tcW w:w="1117" w:type="dxa"/>
            <w:vAlign w:val="center"/>
            <w:vMerge w:val="restart"/>
            <w:textDirection w:val="lrTb"/>
            <w:noWrap w:val="false"/>
          </w:tcPr>
          <w:p>
            <w:pPr>
              <w:pStyle w:val="895"/>
              <w:jc w:val="center"/>
              <w:spacing w:line="276" w:lineRule="auto"/>
              <w:rPr>
                <w:rFonts w:ascii="宋体" w:hAnsi="宋体"/>
              </w:rPr>
            </w:pPr>
            <w:r>
              <w:rPr>
                <w:rFonts w:hint="eastAsia" w:ascii="宋体" w:hAnsi="宋体"/>
              </w:rPr>
              <w:t xml:space="preserve">3技术方案及履约能力</w:t>
            </w:r>
            <w:r>
              <w:rPr>
                <w:rFonts w:ascii="宋体" w:hAnsi="宋体"/>
              </w:rPr>
              <w:t xml:space="preserve">（</w:t>
            </w:r>
            <w:r>
              <w:rPr>
                <w:rFonts w:hint="eastAsia" w:ascii="宋体" w:hAnsi="宋体"/>
              </w:rPr>
              <w:t xml:space="preserve">13</w:t>
            </w:r>
            <w:r>
              <w:rPr>
                <w:rFonts w:ascii="宋体" w:hAnsi="宋体"/>
              </w:rPr>
              <w:t xml:space="preserve">分）</w:t>
            </w:r>
            <w:r/>
          </w:p>
        </w:tc>
        <w:tc>
          <w:tcPr>
            <w:tcW w:w="1419" w:type="dxa"/>
            <w:vAlign w:val="center"/>
            <w:textDirection w:val="lrTb"/>
            <w:noWrap w:val="false"/>
          </w:tcPr>
          <w:p>
            <w:pPr>
              <w:pStyle w:val="895"/>
              <w:jc w:val="center"/>
              <w:spacing w:line="276" w:lineRule="auto"/>
              <w:rPr>
                <w:rFonts w:ascii="宋体" w:hAnsi="宋体"/>
              </w:rPr>
            </w:pPr>
            <w:r>
              <w:rPr>
                <w:rFonts w:hint="eastAsia" w:ascii="宋体" w:hAnsi="宋体"/>
              </w:rPr>
              <w:t xml:space="preserve">3.1</w:t>
            </w:r>
            <w:r>
              <w:rPr>
                <w:rFonts w:ascii="宋体" w:hAnsi="宋体"/>
              </w:rPr>
              <w:t xml:space="preserve">项目实施方案</w:t>
            </w:r>
            <w:r/>
          </w:p>
        </w:tc>
        <w:tc>
          <w:tcPr>
            <w:tcW w:w="876" w:type="dxa"/>
            <w:vAlign w:val="center"/>
            <w:textDirection w:val="lrTb"/>
            <w:noWrap w:val="false"/>
          </w:tcPr>
          <w:p>
            <w:pPr>
              <w:pStyle w:val="895"/>
              <w:jc w:val="center"/>
              <w:spacing w:line="276" w:lineRule="auto"/>
              <w:rPr>
                <w:rFonts w:ascii="宋体" w:hAnsi="宋体"/>
              </w:rPr>
            </w:pPr>
            <w:r>
              <w:rPr>
                <w:rFonts w:ascii="宋体" w:hAnsi="宋体"/>
              </w:rPr>
              <w:t xml:space="preserve">4</w:t>
            </w:r>
            <w:r/>
          </w:p>
        </w:tc>
        <w:tc>
          <w:tcPr>
            <w:tcW w:w="3077" w:type="dxa"/>
            <w:vAlign w:val="center"/>
            <w:textDirection w:val="lrTb"/>
            <w:noWrap w:val="false"/>
          </w:tcPr>
          <w:p>
            <w:pPr>
              <w:pStyle w:val="895"/>
              <w:spacing w:line="276" w:lineRule="auto"/>
              <w:rPr>
                <w:rFonts w:hint="eastAsia" w:ascii="宋体" w:hAnsi="宋体"/>
              </w:rPr>
            </w:pPr>
            <w:r>
              <w:rPr>
                <w:rFonts w:hint="eastAsia" w:ascii="宋体" w:hAnsi="宋体"/>
              </w:rPr>
              <w:t xml:space="preserve">（1）投标文件未符合“项目实施方案”中全部条款要求的，视为不符合招标文件，本项得0分;</w:t>
            </w:r>
            <w:r/>
          </w:p>
          <w:p>
            <w:pPr>
              <w:pStyle w:val="895"/>
              <w:spacing w:line="276" w:lineRule="auto"/>
              <w:rPr>
                <w:rFonts w:hint="eastAsia" w:ascii="宋体" w:hAnsi="宋体"/>
              </w:rPr>
            </w:pPr>
            <w:r>
              <w:rPr>
                <w:rFonts w:hint="eastAsia" w:ascii="宋体" w:hAnsi="宋体"/>
              </w:rPr>
              <w:t xml:space="preserve">(2)投标文件符合“项目实施方案”中全部条款要求的，视为符合招标文件，本项得2分;</w:t>
            </w:r>
            <w:r/>
          </w:p>
          <w:p>
            <w:pPr>
              <w:pStyle w:val="895"/>
              <w:spacing w:line="276" w:lineRule="auto"/>
              <w:rPr>
                <w:rFonts w:hint="eastAsia" w:ascii="宋体" w:hAnsi="宋体"/>
              </w:rPr>
            </w:pPr>
            <w:r>
              <w:rPr>
                <w:rFonts w:hint="eastAsia" w:ascii="宋体" w:hAnsi="宋体"/>
              </w:rPr>
              <w:t xml:space="preserve">(3)经评委认定，投标文件对“项目实施方案”中“发货与进场施工”、“服务质量控制”、要求的响应内容全部优于招标文件要求的(投标文件对“项目实施方案”中“发货与进场施工”、“服务质量控制”外其它要求响应内容符合招标文件要求)，本项得4分。</w:t>
            </w:r>
            <w:r/>
          </w:p>
        </w:tc>
      </w:tr>
      <w:tr>
        <w:trPr>
          <w:cantSplit/>
        </w:trPr>
        <w:tc>
          <w:tcPr>
            <w:tcW w:w="1117" w:type="dxa"/>
            <w:vAlign w:val="center"/>
            <w:vMerge w:val="continue"/>
            <w:textDirection w:val="lrTb"/>
            <w:noWrap w:val="false"/>
          </w:tcPr>
          <w:p>
            <w:pPr>
              <w:pStyle w:val="895"/>
              <w:jc w:val="center"/>
              <w:spacing w:line="276" w:lineRule="auto"/>
              <w:rPr>
                <w:rFonts w:ascii="宋体" w:hAnsi="宋体"/>
              </w:rPr>
            </w:pPr>
            <w:r>
              <w:rPr>
                <w:rFonts w:ascii="宋体" w:hAnsi="宋体"/>
              </w:rPr>
            </w:r>
            <w:r/>
          </w:p>
        </w:tc>
        <w:tc>
          <w:tcPr>
            <w:tcW w:w="1419" w:type="dxa"/>
            <w:vAlign w:val="center"/>
            <w:textDirection w:val="lrTb"/>
            <w:noWrap w:val="false"/>
          </w:tcPr>
          <w:p>
            <w:pPr>
              <w:pStyle w:val="895"/>
              <w:jc w:val="center"/>
              <w:spacing w:line="276" w:lineRule="auto"/>
              <w:rPr>
                <w:rFonts w:ascii="宋体" w:hAnsi="宋体"/>
              </w:rPr>
            </w:pPr>
            <w:r>
              <w:rPr>
                <w:rFonts w:hint="eastAsia" w:ascii="宋体" w:hAnsi="宋体"/>
              </w:rPr>
              <w:t xml:space="preserve">3.2</w:t>
            </w:r>
            <w:r>
              <w:rPr>
                <w:rFonts w:ascii="宋体" w:hAnsi="宋体"/>
              </w:rPr>
              <w:t xml:space="preserve">售后服务方案</w:t>
            </w:r>
            <w:r/>
          </w:p>
        </w:tc>
        <w:tc>
          <w:tcPr>
            <w:tcW w:w="876" w:type="dxa"/>
            <w:vAlign w:val="center"/>
            <w:textDirection w:val="lrTb"/>
            <w:noWrap w:val="false"/>
          </w:tcPr>
          <w:p>
            <w:pPr>
              <w:pStyle w:val="895"/>
              <w:jc w:val="center"/>
              <w:spacing w:line="276" w:lineRule="auto"/>
              <w:rPr>
                <w:rFonts w:ascii="宋体" w:hAnsi="宋体"/>
              </w:rPr>
            </w:pPr>
            <w:r>
              <w:rPr>
                <w:rFonts w:hint="eastAsia" w:ascii="宋体" w:hAnsi="宋体"/>
              </w:rPr>
              <w:t xml:space="preserve">4</w:t>
            </w:r>
            <w:r>
              <w:rPr>
                <w:rFonts w:ascii="宋体" w:hAnsi="宋体"/>
              </w:rPr>
            </w:r>
            <w:r/>
          </w:p>
        </w:tc>
        <w:tc>
          <w:tcPr>
            <w:tcW w:w="3077" w:type="dxa"/>
            <w:vAlign w:val="center"/>
            <w:textDirection w:val="lrTb"/>
            <w:noWrap w:val="false"/>
          </w:tcPr>
          <w:p>
            <w:pPr>
              <w:pStyle w:val="895"/>
              <w:spacing w:line="276" w:lineRule="auto"/>
              <w:rPr>
                <w:rFonts w:hint="eastAsia" w:ascii="宋体" w:hAnsi="宋体"/>
              </w:rPr>
            </w:pPr>
            <w:r>
              <w:rPr>
                <w:rFonts w:hint="eastAsia" w:ascii="宋体" w:hAnsi="宋体"/>
              </w:rPr>
              <w:t xml:space="preserve">（1）投标文件未符合“</w:t>
            </w:r>
            <w:r>
              <w:rPr>
                <w:rFonts w:ascii="宋体" w:hAnsi="宋体"/>
              </w:rPr>
              <w:t xml:space="preserve">售后服务方案</w:t>
            </w:r>
            <w:r>
              <w:rPr>
                <w:rFonts w:hint="eastAsia" w:ascii="宋体" w:hAnsi="宋体"/>
              </w:rPr>
              <w:t xml:space="preserve">”中全部条款要求的，视为不符合招标文件，本项得0分;</w:t>
            </w:r>
            <w:r/>
          </w:p>
          <w:p>
            <w:pPr>
              <w:pStyle w:val="895"/>
              <w:spacing w:line="276" w:lineRule="auto"/>
              <w:rPr>
                <w:rFonts w:ascii="宋体" w:hAnsi="宋体"/>
              </w:rPr>
            </w:pPr>
            <w:r>
              <w:rPr>
                <w:rFonts w:hint="eastAsia" w:ascii="宋体" w:hAnsi="宋体"/>
              </w:rPr>
              <w:t xml:space="preserve">(2)投标文件符合“</w:t>
            </w:r>
            <w:r>
              <w:rPr>
                <w:rFonts w:ascii="宋体" w:hAnsi="宋体"/>
              </w:rPr>
              <w:t xml:space="preserve">售后服务方案</w:t>
            </w:r>
            <w:r>
              <w:rPr>
                <w:rFonts w:hint="eastAsia" w:ascii="宋体" w:hAnsi="宋体"/>
              </w:rPr>
              <w:t xml:space="preserve">”中全部条款要求的，视为</w:t>
            </w:r>
            <w:r>
              <w:rPr>
                <w:rFonts w:ascii="宋体" w:hAnsi="宋体"/>
              </w:rPr>
              <w:t xml:space="preserve">符合招标文件，本项得2分;</w:t>
            </w:r>
            <w:r/>
          </w:p>
          <w:p>
            <w:pPr>
              <w:pStyle w:val="895"/>
              <w:spacing w:line="276" w:lineRule="auto"/>
              <w:rPr>
                <w:rFonts w:ascii="宋体" w:hAnsi="宋体"/>
              </w:rPr>
            </w:pPr>
            <w:r>
              <w:rPr>
                <w:rFonts w:ascii="宋体" w:hAnsi="宋体"/>
              </w:rPr>
              <w:t xml:space="preserve">(3)经评委认定，投标文件对“售后服务方案”中“备件服务”、“现场问题处理”、“设备健康巡检”要求的响应内容全部优于招标文件要求的(投标文件对“售后服务方案</w:t>
            </w:r>
            <w:r>
              <w:rPr>
                <w:rFonts w:hint="eastAsia" w:ascii="宋体" w:hAnsi="宋体"/>
              </w:rPr>
              <w:t xml:space="preserve">”中</w:t>
            </w:r>
            <w:r>
              <w:rPr>
                <w:rFonts w:ascii="宋体" w:hAnsi="宋体"/>
              </w:rPr>
              <w:t xml:space="preserve">“备件服务”、“现场问题处理”、“设备健康巡检”</w:t>
            </w:r>
            <w:r>
              <w:rPr>
                <w:rFonts w:hint="eastAsia" w:ascii="宋体" w:hAnsi="宋体"/>
              </w:rPr>
              <w:t xml:space="preserve">外其它要求响应内容符合招标文件要求)，本项得4分。</w:t>
            </w:r>
            <w:r>
              <w:rPr>
                <w:rFonts w:ascii="宋体" w:hAnsi="宋体"/>
              </w:rPr>
            </w:r>
            <w:r/>
          </w:p>
        </w:tc>
      </w:tr>
      <w:tr>
        <w:trPr>
          <w:cantSplit/>
        </w:trPr>
        <w:tc>
          <w:tcPr>
            <w:tcW w:w="1117" w:type="dxa"/>
            <w:vAlign w:val="center"/>
            <w:vMerge w:val="continue"/>
            <w:textDirection w:val="lrTb"/>
            <w:noWrap w:val="false"/>
          </w:tcPr>
          <w:p>
            <w:pPr>
              <w:pStyle w:val="895"/>
              <w:jc w:val="center"/>
              <w:spacing w:line="276" w:lineRule="auto"/>
              <w:rPr>
                <w:rFonts w:ascii="宋体" w:hAnsi="宋体"/>
              </w:rPr>
            </w:pPr>
            <w:r>
              <w:rPr>
                <w:rFonts w:ascii="宋体" w:hAnsi="宋体"/>
              </w:rPr>
            </w:r>
            <w:r/>
          </w:p>
        </w:tc>
        <w:tc>
          <w:tcPr>
            <w:tcW w:w="1419" w:type="dxa"/>
            <w:vAlign w:val="center"/>
            <w:textDirection w:val="lrTb"/>
            <w:noWrap w:val="false"/>
          </w:tcPr>
          <w:p>
            <w:pPr>
              <w:pStyle w:val="895"/>
              <w:jc w:val="center"/>
              <w:spacing w:line="276" w:lineRule="auto"/>
              <w:rPr>
                <w:rFonts w:ascii="宋体" w:hAnsi="宋体"/>
              </w:rPr>
            </w:pPr>
            <w:r>
              <w:rPr>
                <w:rFonts w:hint="eastAsia" w:ascii="宋体" w:hAnsi="宋体"/>
              </w:rPr>
              <w:t xml:space="preserve">3.3</w:t>
            </w:r>
            <w:r>
              <w:rPr>
                <w:rFonts w:hint="eastAsia" w:ascii="宋体" w:hAnsi="宋体"/>
                <w:lang w:eastAsia="en-US"/>
              </w:rPr>
              <w:t xml:space="preserve">业绩</w:t>
            </w:r>
            <w:r>
              <w:rPr>
                <w:rFonts w:ascii="宋体" w:hAnsi="宋体"/>
              </w:rPr>
            </w:r>
            <w:r/>
          </w:p>
        </w:tc>
        <w:tc>
          <w:tcPr>
            <w:tcW w:w="876" w:type="dxa"/>
            <w:vAlign w:val="center"/>
            <w:textDirection w:val="lrTb"/>
            <w:noWrap w:val="false"/>
          </w:tcPr>
          <w:p>
            <w:pPr>
              <w:pStyle w:val="895"/>
              <w:jc w:val="center"/>
              <w:spacing w:line="276" w:lineRule="auto"/>
              <w:rPr>
                <w:rFonts w:ascii="宋体" w:hAnsi="宋体"/>
              </w:rPr>
            </w:pPr>
            <w:r>
              <w:rPr>
                <w:rFonts w:ascii="宋体" w:hAnsi="宋体"/>
              </w:rPr>
              <w:t xml:space="preserve">5</w:t>
            </w:r>
            <w:r/>
          </w:p>
        </w:tc>
        <w:tc>
          <w:tcPr>
            <w:tcW w:w="3077" w:type="dxa"/>
            <w:vAlign w:val="center"/>
            <w:textDirection w:val="lrTb"/>
            <w:noWrap w:val="false"/>
          </w:tcPr>
          <w:p>
            <w:pPr>
              <w:pStyle w:val="895"/>
              <w:spacing w:line="276" w:lineRule="auto"/>
              <w:rPr>
                <w:rFonts w:ascii="宋体" w:hAnsi="宋体"/>
              </w:rPr>
            </w:pPr>
            <w:r>
              <w:rPr>
                <w:rFonts w:hint="eastAsia" w:ascii="宋体" w:hAnsi="宋体"/>
              </w:rPr>
              <w:t xml:space="preserve">投标人提供合同签订时间是2023年1月1日之后至投标截止时间，合同产品清单中含有服务器的项目业绩合同复印件，每提供一份有效合同复印件得1分，最多得</w:t>
            </w:r>
            <w:r>
              <w:rPr>
                <w:rFonts w:ascii="宋体" w:hAnsi="宋体"/>
              </w:rPr>
              <w:t xml:space="preserve">5</w:t>
            </w:r>
            <w:r>
              <w:rPr>
                <w:rFonts w:hint="eastAsia" w:ascii="宋体" w:hAnsi="宋体"/>
              </w:rPr>
              <w:t xml:space="preserve">分。（提供合同复印件并加盖公章）</w:t>
            </w:r>
            <w:r>
              <w:rPr>
                <w:rFonts w:ascii="宋体" w:hAnsi="宋体"/>
              </w:rPr>
            </w:r>
            <w:r/>
          </w:p>
        </w:tc>
      </w:tr>
      <w:tr>
        <w:trPr>
          <w:cantSplit/>
        </w:trPr>
        <w:tc>
          <w:tcPr>
            <w:tcW w:w="1117" w:type="dxa"/>
            <w:vAlign w:val="center"/>
            <w:vMerge w:val="restart"/>
            <w:textDirection w:val="lrTb"/>
            <w:noWrap w:val="false"/>
          </w:tcPr>
          <w:p>
            <w:pPr>
              <w:pStyle w:val="895"/>
              <w:jc w:val="center"/>
              <w:spacing w:line="276" w:lineRule="auto"/>
              <w:rPr>
                <w:rFonts w:ascii="宋体" w:hAnsi="宋体"/>
              </w:rPr>
            </w:pPr>
            <w:r>
              <w:rPr>
                <w:rFonts w:hint="eastAsia" w:ascii="宋体" w:hAnsi="宋体"/>
              </w:rPr>
              <w:t xml:space="preserve">4节能环保</w:t>
            </w:r>
            <w:r>
              <w:rPr>
                <w:rFonts w:ascii="宋体" w:hAnsi="宋体"/>
              </w:rPr>
              <w:t xml:space="preserve">（</w:t>
            </w:r>
            <w:r>
              <w:rPr>
                <w:rFonts w:hint="eastAsia" w:ascii="宋体" w:hAnsi="宋体"/>
              </w:rPr>
              <w:t xml:space="preserve">2</w:t>
            </w:r>
            <w:r>
              <w:rPr>
                <w:rFonts w:ascii="宋体" w:hAnsi="宋体"/>
              </w:rPr>
              <w:t xml:space="preserve">分）</w:t>
            </w:r>
            <w:r/>
          </w:p>
        </w:tc>
        <w:tc>
          <w:tcPr>
            <w:tcW w:w="1419" w:type="dxa"/>
            <w:vAlign w:val="center"/>
            <w:textDirection w:val="lrTb"/>
            <w:noWrap w:val="false"/>
          </w:tcPr>
          <w:p>
            <w:pPr>
              <w:pStyle w:val="895"/>
              <w:jc w:val="center"/>
              <w:spacing w:line="276" w:lineRule="auto"/>
              <w:rPr>
                <w:rFonts w:ascii="宋体" w:hAnsi="宋体"/>
                <w:szCs w:val="24"/>
              </w:rPr>
            </w:pPr>
            <w:r>
              <w:rPr>
                <w:rFonts w:hint="eastAsia" w:ascii="宋体" w:hAnsi="宋体"/>
                <w:szCs w:val="24"/>
              </w:rPr>
              <w:t xml:space="preserve">节能产品</w:t>
            </w:r>
            <w:r>
              <w:rPr>
                <w:rFonts w:ascii="宋体" w:hAnsi="宋体"/>
                <w:szCs w:val="24"/>
              </w:rPr>
            </w:r>
            <w:r/>
          </w:p>
        </w:tc>
        <w:tc>
          <w:tcPr>
            <w:tcW w:w="876" w:type="dxa"/>
            <w:vAlign w:val="center"/>
            <w:textDirection w:val="lrTb"/>
            <w:noWrap w:val="false"/>
          </w:tcPr>
          <w:p>
            <w:pPr>
              <w:pStyle w:val="895"/>
              <w:jc w:val="center"/>
              <w:spacing w:line="276" w:lineRule="auto"/>
              <w:rPr>
                <w:rFonts w:ascii="宋体" w:hAnsi="宋体"/>
              </w:rPr>
            </w:pPr>
            <w:r>
              <w:rPr>
                <w:rFonts w:hint="eastAsia" w:ascii="宋体" w:hAnsi="宋体"/>
              </w:rPr>
              <w:t xml:space="preserve">1</w:t>
            </w:r>
            <w:r>
              <w:rPr>
                <w:rFonts w:ascii="宋体" w:hAnsi="宋体"/>
              </w:rPr>
            </w:r>
            <w:r/>
          </w:p>
        </w:tc>
        <w:tc>
          <w:tcPr>
            <w:tcW w:w="3077" w:type="dxa"/>
            <w:vAlign w:val="center"/>
            <w:textDirection w:val="lrTb"/>
            <w:noWrap w:val="false"/>
          </w:tcPr>
          <w:p>
            <w:pPr>
              <w:pStyle w:val="895"/>
              <w:contextualSpacing/>
              <w:jc w:val="left"/>
              <w:spacing w:before="120" w:after="120"/>
              <w:rPr>
                <w:rFonts w:ascii="宋体" w:hAnsi="宋体"/>
              </w:rPr>
            </w:pPr>
            <w:r>
              <w:rPr>
                <w:rFonts w:hint="eastAsia" w:ascii="宋体" w:hAnsi="宋体"/>
              </w:rPr>
              <w:t xml:space="preserve">投标产品属于财政部、国家发改委公布的“节能产品品目清单”范围内的，投标人提供国家确定的认证机构出具的、处于有效期之内的该节能产品认证证书复印件的，得1分。</w:t>
            </w:r>
            <w:r>
              <w:rPr>
                <w:rFonts w:ascii="宋体" w:hAnsi="宋体"/>
              </w:rPr>
            </w:r>
            <w:r/>
          </w:p>
        </w:tc>
      </w:tr>
      <w:tr>
        <w:trPr>
          <w:cantSplit/>
        </w:trPr>
        <w:tc>
          <w:tcPr>
            <w:tcW w:w="1117" w:type="dxa"/>
            <w:vAlign w:val="center"/>
            <w:vMerge w:val="continue"/>
            <w:textDirection w:val="lrTb"/>
            <w:noWrap w:val="false"/>
          </w:tcPr>
          <w:p>
            <w:pPr>
              <w:pStyle w:val="895"/>
              <w:jc w:val="center"/>
              <w:spacing w:line="276" w:lineRule="auto"/>
              <w:rPr>
                <w:rFonts w:ascii="宋体" w:hAnsi="宋体"/>
              </w:rPr>
            </w:pPr>
            <w:r>
              <w:rPr>
                <w:rFonts w:ascii="宋体" w:hAnsi="宋体"/>
              </w:rPr>
            </w:r>
            <w:r/>
          </w:p>
        </w:tc>
        <w:tc>
          <w:tcPr>
            <w:tcW w:w="1419" w:type="dxa"/>
            <w:vAlign w:val="center"/>
            <w:textDirection w:val="lrTb"/>
            <w:noWrap w:val="false"/>
          </w:tcPr>
          <w:p>
            <w:pPr>
              <w:pStyle w:val="895"/>
              <w:jc w:val="center"/>
              <w:spacing w:line="276" w:lineRule="auto"/>
              <w:rPr>
                <w:rFonts w:ascii="宋体" w:hAnsi="宋体"/>
                <w:szCs w:val="24"/>
              </w:rPr>
            </w:pPr>
            <w:r>
              <w:rPr>
                <w:rFonts w:hint="eastAsia" w:ascii="宋体" w:hAnsi="宋体"/>
                <w:szCs w:val="24"/>
              </w:rPr>
              <w:t xml:space="preserve">环境标志</w:t>
            </w:r>
            <w:r>
              <w:rPr>
                <w:rFonts w:ascii="宋体" w:hAnsi="宋体"/>
                <w:szCs w:val="24"/>
              </w:rPr>
            </w:r>
            <w:r/>
          </w:p>
        </w:tc>
        <w:tc>
          <w:tcPr>
            <w:tcW w:w="876" w:type="dxa"/>
            <w:vAlign w:val="center"/>
            <w:textDirection w:val="lrTb"/>
            <w:noWrap w:val="false"/>
          </w:tcPr>
          <w:p>
            <w:pPr>
              <w:pStyle w:val="895"/>
              <w:jc w:val="center"/>
              <w:spacing w:line="276" w:lineRule="auto"/>
              <w:rPr>
                <w:rFonts w:ascii="宋体" w:hAnsi="宋体"/>
              </w:rPr>
            </w:pPr>
            <w:r>
              <w:rPr>
                <w:rFonts w:hint="eastAsia" w:ascii="宋体" w:hAnsi="宋体"/>
              </w:rPr>
              <w:t xml:space="preserve">1</w:t>
            </w:r>
            <w:r>
              <w:rPr>
                <w:rFonts w:ascii="宋体" w:hAnsi="宋体"/>
              </w:rPr>
            </w:r>
            <w:r/>
          </w:p>
        </w:tc>
        <w:tc>
          <w:tcPr>
            <w:tcW w:w="3077" w:type="dxa"/>
            <w:vAlign w:val="center"/>
            <w:textDirection w:val="lrTb"/>
            <w:noWrap w:val="false"/>
          </w:tcPr>
          <w:p>
            <w:pPr>
              <w:pStyle w:val="895"/>
              <w:rPr>
                <w:rFonts w:ascii="宋体" w:hAnsi="宋体"/>
                <w:szCs w:val="24"/>
              </w:rPr>
            </w:pPr>
            <w:r>
              <w:rPr>
                <w:rFonts w:hint="eastAsia" w:ascii="宋体" w:hAnsi="宋体"/>
              </w:rPr>
              <w:t xml:space="preserve">投标产品属于财政部、生态环境部公布的“环境标志产品品目清单”范围内的，投标人提供国家确定的认证机构出具的、处于有效期内的该环境标志产品认证证书复印件的，得1分。</w:t>
            </w:r>
            <w:r>
              <w:rPr>
                <w:rFonts w:ascii="宋体" w:hAnsi="宋体"/>
                <w:szCs w:val="24"/>
              </w:rPr>
            </w:r>
            <w:r/>
          </w:p>
        </w:tc>
      </w:tr>
    </w:tbl>
    <w:p>
      <w:pPr>
        <w:pStyle w:val="895"/>
        <w:ind w:firstLine="1806"/>
        <w:jc w:val="left"/>
        <w:spacing w:before="120" w:after="120" w:line="360" w:lineRule="auto"/>
        <w:rPr>
          <w:rFonts w:hint="eastAsia" w:ascii="方正魏碑_GBK" w:hAnsi="方正魏碑_GBK" w:eastAsia="方正魏碑_GBK" w:cs="方正魏碑_GBK"/>
          <w:color w:val="ff0000"/>
          <w:sz w:val="28"/>
          <w:szCs w:val="28"/>
          <w:highlight w:val="yellow"/>
        </w:rPr>
      </w:pPr>
      <w:r>
        <w:rPr>
          <w:rFonts w:hint="eastAsia" w:ascii="方正魏碑_GBK" w:hAnsi="方正魏碑_GBK" w:eastAsia="方正魏碑_GBK" w:cs="方正魏碑_GBK"/>
          <w:color w:val="ff0000"/>
          <w:sz w:val="28"/>
          <w:szCs w:val="28"/>
          <w:highlight w:val="yellow"/>
        </w:rPr>
      </w:r>
      <w:r/>
    </w:p>
    <w:p>
      <w:pPr>
        <w:pStyle w:val="895"/>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bookmarkEnd w:id="174"/>
      <w:r/>
      <w:bookmarkEnd w:id="175"/>
      <w:r/>
      <w:bookmarkEnd w:id="179"/>
      <w:r/>
      <w:bookmarkEnd w:id="180"/>
      <w:r/>
      <w:bookmarkEnd w:id="181"/>
      <w:r>
        <w:rPr>
          <w:rFonts w:hint="eastAsia"/>
        </w:rPr>
      </w:r>
      <w:r/>
    </w:p>
    <w:p>
      <w:pPr>
        <w:pStyle w:val="895"/>
        <w:rPr>
          <w:rFonts w:hint="eastAsia"/>
        </w:rPr>
      </w:pPr>
      <w:r>
        <w:rPr>
          <w:rFonts w:hint="eastAsia"/>
        </w:rPr>
      </w:r>
      <w:r/>
    </w:p>
    <w:p>
      <w:pPr>
        <w:rPr>
          <w:rFonts w:hint="eastAsia"/>
        </w:rPr>
      </w:pPr>
      <w:r>
        <w:rPr>
          <w:rFonts w:hint="eastAsia"/>
        </w:rPr>
      </w: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jc w:val="center"/>
        <w:keepNext/>
        <w:rPr>
          <w:rFonts w:hint="eastAsia" w:ascii="黑体" w:eastAsia="黑体"/>
          <w:bCs/>
          <w:color w:val="000000"/>
          <w:sz w:val="44"/>
          <w:szCs w:val="28"/>
        </w:rPr>
        <w:outlineLvl w:val="0"/>
      </w:pPr>
      <w:r>
        <w:rPr>
          <w:rFonts w:hint="eastAsia" w:ascii="黑体" w:eastAsia="黑体"/>
          <w:bCs/>
          <w:color w:val="000000"/>
          <w:sz w:val="44"/>
          <w:szCs w:val="28"/>
        </w:rPr>
        <w:t xml:space="preserve">第六章  投标文件格式</w:t>
      </w:r>
      <w:r/>
    </w:p>
    <w:p>
      <w:pPr>
        <w:pStyle w:val="895"/>
        <w:jc w:val="center"/>
        <w:rPr>
          <w:rFonts w:hint="eastAsia" w:ascii="宋体" w:hAnsi="宋体"/>
          <w:b/>
          <w:color w:val="000000"/>
          <w:sz w:val="72"/>
          <w:szCs w:val="21"/>
        </w:rPr>
      </w:pPr>
      <w:r/>
      <w:bookmarkStart w:id="200" w:name="_Hlt26671244"/>
      <w:r/>
      <w:bookmarkEnd w:id="200"/>
      <w:r/>
      <w:bookmarkStart w:id="201" w:name="_Hlt26955039"/>
      <w:r/>
      <w:bookmarkEnd w:id="201"/>
      <w:r/>
      <w:bookmarkStart w:id="202" w:name="_Toc26554094"/>
      <w:r/>
      <w:bookmarkStart w:id="203" w:name="_Toc49090576"/>
      <w:r/>
      <w:bookmarkStart w:id="204" w:name="_Toc120614282"/>
      <w:r>
        <w:rPr>
          <w:rFonts w:hint="eastAsia" w:ascii="宋体" w:hAnsi="宋体"/>
          <w:b/>
          <w:color w:val="000000"/>
          <w:sz w:val="72"/>
          <w:szCs w:val="21"/>
        </w:rPr>
      </w:r>
      <w:r/>
    </w:p>
    <w:p>
      <w:pPr>
        <w:pStyle w:val="895"/>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pStyle w:val="895"/>
        <w:jc w:val="center"/>
        <w:rPr>
          <w:rFonts w:hint="eastAsia" w:ascii="宋体" w:hAnsi="宋体"/>
          <w:b/>
          <w:color w:val="000000"/>
          <w:sz w:val="36"/>
          <w:szCs w:val="21"/>
        </w:rPr>
      </w:pPr>
      <w:r>
        <w:rPr>
          <w:rFonts w:hint="eastAsia" w:ascii="宋体" w:hAnsi="宋体"/>
          <w:b/>
          <w:color w:val="000000"/>
          <w:sz w:val="36"/>
          <w:szCs w:val="21"/>
        </w:rPr>
      </w:r>
      <w:r/>
    </w:p>
    <w:p>
      <w:pPr>
        <w:pStyle w:val="895"/>
        <w:jc w:val="center"/>
        <w:rPr>
          <w:rFonts w:hint="eastAsia" w:ascii="宋体" w:hAnsi="宋体"/>
          <w:b/>
          <w:color w:val="000000"/>
          <w:sz w:val="36"/>
          <w:szCs w:val="21"/>
        </w:rPr>
      </w:pPr>
      <w:r>
        <w:rPr>
          <w:rFonts w:hint="eastAsia" w:ascii="宋体" w:hAnsi="宋体"/>
          <w:b/>
          <w:color w:val="000000"/>
          <w:sz w:val="36"/>
          <w:szCs w:val="21"/>
        </w:rPr>
      </w:r>
      <w:r/>
    </w:p>
    <w:p>
      <w:pPr>
        <w:pStyle w:val="895"/>
        <w:jc w:val="center"/>
        <w:rPr>
          <w:rFonts w:hint="eastAsia" w:ascii="宋体" w:hAnsi="宋体"/>
          <w:b/>
          <w:color w:val="000000"/>
          <w:sz w:val="36"/>
          <w:szCs w:val="21"/>
        </w:rPr>
      </w:pPr>
      <w:r>
        <w:rPr>
          <w:rFonts w:hint="eastAsia" w:ascii="宋体" w:hAnsi="宋体"/>
          <w:b/>
          <w:color w:val="000000"/>
          <w:sz w:val="36"/>
          <w:szCs w:val="21"/>
        </w:rPr>
      </w:r>
      <w:r/>
    </w:p>
    <w:p>
      <w:pPr>
        <w:pStyle w:val="895"/>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895"/>
        <w:ind w:firstLine="1084"/>
        <w:rPr>
          <w:rFonts w:hint="eastAsia" w:ascii="宋体" w:hAnsi="宋体"/>
          <w:b/>
          <w:color w:val="000000"/>
          <w:sz w:val="36"/>
          <w:szCs w:val="21"/>
          <w:u w:val="single"/>
        </w:rPr>
      </w:pPr>
      <w:r>
        <w:rPr>
          <w:rFonts w:hint="eastAsia" w:ascii="宋体" w:hAnsi="宋体"/>
          <w:b/>
          <w:color w:val="000000"/>
          <w:sz w:val="36"/>
          <w:szCs w:val="21"/>
        </w:rPr>
        <w:t xml:space="preserve">采 购 编 号：</w:t>
      </w:r>
      <w:r>
        <w:rPr>
          <w:rFonts w:hint="eastAsia" w:ascii="宋体" w:hAnsi="宋体"/>
          <w:b/>
          <w:color w:val="000000"/>
          <w:sz w:val="36"/>
          <w:szCs w:val="21"/>
          <w:u w:val="single"/>
        </w:rPr>
        <w:t xml:space="preserve">               </w:t>
      </w:r>
      <w:r/>
    </w:p>
    <w:p>
      <w:pPr>
        <w:pStyle w:val="895"/>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pStyle w:val="895"/>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pStyle w:val="89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9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9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rPr>
          <w:rFonts w:hint="eastAsia" w:ascii="宋体" w:hAnsi="宋体"/>
          <w:b/>
          <w:bCs/>
          <w:color w:val="000000"/>
          <w:sz w:val="32"/>
          <w:szCs w:val="32"/>
        </w:rPr>
      </w:r>
      <w:r/>
    </w:p>
    <w:p>
      <w:pPr>
        <w:pStyle w:val="89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9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9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9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9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9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9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9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95"/>
        <w:jc w:val="center"/>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895"/>
        <w:ind w:left="480"/>
        <w:spacing w:line="400" w:lineRule="exact"/>
        <w:rPr>
          <w:rFonts w:ascii="宋体" w:hAnsi="宋体"/>
          <w:b/>
          <w:sz w:val="24"/>
          <w:szCs w:val="21"/>
        </w:rPr>
      </w:pPr>
      <w:r>
        <w:rPr>
          <w:rFonts w:hint="eastAsia" w:ascii="宋体" w:hAnsi="宋体"/>
          <w:b/>
          <w:sz w:val="24"/>
          <w:szCs w:val="21"/>
        </w:rPr>
        <w:t xml:space="preserve">一、基本目录</w:t>
      </w:r>
      <w:r>
        <w:rPr>
          <w:rFonts w:ascii="宋体" w:hAnsi="宋体"/>
          <w:b/>
          <w:sz w:val="24"/>
          <w:szCs w:val="21"/>
        </w:rPr>
      </w:r>
      <w:r/>
    </w:p>
    <w:p>
      <w:pPr>
        <w:pStyle w:val="895"/>
        <w:ind w:left="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p>
    <w:p>
      <w:pPr>
        <w:pStyle w:val="895"/>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rPr>
          <w:rFonts w:ascii="宋体" w:hAnsi="宋体"/>
          <w:sz w:val="24"/>
          <w:szCs w:val="21"/>
        </w:rPr>
      </w:r>
      <w:r/>
    </w:p>
    <w:p>
      <w:pPr>
        <w:pStyle w:val="895"/>
        <w:ind w:left="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rPr>
          <w:rFonts w:ascii="宋体" w:hAnsi="宋体"/>
          <w:sz w:val="24"/>
          <w:szCs w:val="21"/>
        </w:rPr>
      </w:r>
      <w:r/>
    </w:p>
    <w:p>
      <w:pPr>
        <w:pStyle w:val="895"/>
        <w:ind w:firstLine="480"/>
        <w:spacing w:line="400" w:lineRule="exact"/>
        <w:rPr>
          <w:rFonts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rPr>
          <w:rFonts w:ascii="宋体" w:hAnsi="宋体"/>
          <w:sz w:val="24"/>
          <w:szCs w:val="21"/>
        </w:rPr>
      </w:r>
      <w:r/>
    </w:p>
    <w:p>
      <w:pPr>
        <w:pStyle w:val="895"/>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rPr>
          <w:rFonts w:hint="eastAsia" w:ascii="宋体" w:hAnsi="宋体"/>
          <w:b/>
          <w:sz w:val="24"/>
          <w:szCs w:val="21"/>
        </w:rPr>
      </w:r>
      <w:r/>
    </w:p>
    <w:p>
      <w:pPr>
        <w:pStyle w:val="895"/>
        <w:ind w:left="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pStyle w:val="895"/>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上一年度的财务状况报告（投标人成立不满一年无需提供）</w:t>
      </w:r>
      <w:r/>
    </w:p>
    <w:p>
      <w:pPr>
        <w:pStyle w:val="895"/>
        <w:ind w:left="480"/>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w:t>
      </w:r>
      <w:r>
        <w:rPr>
          <w:rFonts w:ascii="宋体" w:hAnsi="宋体"/>
          <w:sz w:val="24"/>
          <w:szCs w:val="21"/>
        </w:rPr>
      </w:r>
      <w:r/>
    </w:p>
    <w:p>
      <w:pPr>
        <w:pStyle w:val="895"/>
        <w:spacing w:line="400" w:lineRule="exact"/>
        <w:rPr>
          <w:rFonts w:hint="eastAsia" w:ascii="宋体" w:hAnsi="宋体"/>
          <w:sz w:val="24"/>
          <w:szCs w:val="21"/>
        </w:rPr>
      </w:pPr>
      <w:r>
        <w:rPr>
          <w:rFonts w:hint="eastAsia" w:ascii="宋体" w:hAnsi="宋体"/>
          <w:sz w:val="24"/>
          <w:szCs w:val="21"/>
        </w:rPr>
        <w:t xml:space="preserve">前一年内至少一个月依法缴纳税收及缴纳社会保障资金的证明材料。投标人依法享受缓缴、免缴税收、社会保障资金的提供证明材料。）</w:t>
      </w:r>
      <w:r/>
    </w:p>
    <w:p>
      <w:pPr>
        <w:pStyle w:val="895"/>
        <w:ind w:left="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附件5</w:t>
      </w:r>
      <w:r>
        <w:rPr>
          <w:rFonts w:hint="eastAsia" w:ascii="宋体" w:hAnsi="宋体"/>
          <w:sz w:val="24"/>
          <w:szCs w:val="21"/>
        </w:rPr>
        <w:t xml:space="preserve">）</w:t>
      </w:r>
      <w:r>
        <w:rPr>
          <w:rFonts w:ascii="宋体" w:hAnsi="宋体"/>
          <w:sz w:val="24"/>
          <w:szCs w:val="21"/>
        </w:rPr>
      </w:r>
      <w:r/>
    </w:p>
    <w:p>
      <w:pPr>
        <w:pStyle w:val="895"/>
        <w:ind w:left="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w:t>
      </w:r>
      <w:r>
        <w:rPr>
          <w:rFonts w:ascii="宋体" w:hAnsi="宋体"/>
          <w:sz w:val="24"/>
          <w:szCs w:val="21"/>
        </w:rPr>
      </w:r>
      <w:r/>
    </w:p>
    <w:p>
      <w:pPr>
        <w:pStyle w:val="895"/>
        <w:spacing w:line="400" w:lineRule="exact"/>
        <w:rPr>
          <w:rFonts w:hint="eastAsia" w:ascii="宋体" w:hAnsi="宋体"/>
          <w:sz w:val="24"/>
          <w:szCs w:val="21"/>
        </w:rPr>
      </w:pPr>
      <w:r>
        <w:rPr>
          <w:rFonts w:hint="eastAsia" w:ascii="宋体" w:hAnsi="宋体"/>
          <w:sz w:val="24"/>
          <w:szCs w:val="21"/>
        </w:rPr>
        <w:t xml:space="preserve">明（格式见</w:t>
      </w:r>
      <w:r>
        <w:rPr>
          <w:rFonts w:ascii="宋体" w:hAnsi="宋体"/>
          <w:sz w:val="24"/>
          <w:szCs w:val="21"/>
        </w:rPr>
        <w:t xml:space="preserve">附件6</w:t>
      </w:r>
      <w:r>
        <w:rPr>
          <w:rFonts w:hint="eastAsia" w:ascii="宋体" w:hAnsi="宋体"/>
          <w:sz w:val="24"/>
          <w:szCs w:val="21"/>
        </w:rPr>
        <w:t xml:space="preserve">）</w:t>
      </w:r>
      <w:r/>
    </w:p>
    <w:p>
      <w:pPr>
        <w:pStyle w:val="895"/>
        <w:ind w:firstLine="480"/>
        <w:spacing w:line="400" w:lineRule="exact"/>
        <w:rPr>
          <w:rFonts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rPr>
          <w:rFonts w:ascii="宋体" w:hAnsi="宋体"/>
          <w:sz w:val="24"/>
          <w:szCs w:val="21"/>
        </w:rPr>
      </w:r>
      <w:r/>
    </w:p>
    <w:p>
      <w:pPr>
        <w:pStyle w:val="895"/>
        <w:ind w:firstLine="480"/>
        <w:spacing w:line="400" w:lineRule="exact"/>
        <w:rPr>
          <w:rFonts w:hint="eastAsia" w:ascii="宋体" w:hAnsi="宋体"/>
          <w:sz w:val="24"/>
          <w:szCs w:val="21"/>
        </w:rPr>
      </w:pPr>
      <w:r>
        <w:rPr>
          <w:rFonts w:hint="eastAsia" w:ascii="宋体" w:hAnsi="宋体"/>
          <w:sz w:val="24"/>
          <w:szCs w:val="21"/>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sz w:val="24"/>
          <w:szCs w:val="21"/>
        </w:rPr>
      </w:r>
      <w:r/>
    </w:p>
    <w:p>
      <w:pPr>
        <w:pStyle w:val="895"/>
        <w:ind w:firstLine="480"/>
        <w:spacing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ascii="宋体" w:hAnsi="宋体"/>
          <w:sz w:val="24"/>
          <w:szCs w:val="21"/>
        </w:rPr>
        <w:t xml:space="preserve">7</w:t>
      </w:r>
      <w:r>
        <w:rPr>
          <w:rFonts w:hint="eastAsia" w:ascii="宋体" w:hAnsi="宋体"/>
          <w:sz w:val="24"/>
          <w:szCs w:val="21"/>
        </w:rPr>
        <w:t xml:space="preserve">）</w:t>
      </w:r>
      <w:r/>
    </w:p>
    <w:p>
      <w:pPr>
        <w:pStyle w:val="895"/>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投标函（格式见附件</w:t>
      </w:r>
      <w:r>
        <w:rPr>
          <w:rFonts w:ascii="宋体" w:hAnsi="宋体"/>
          <w:sz w:val="24"/>
          <w:szCs w:val="21"/>
        </w:rPr>
        <w:t xml:space="preserve">8</w:t>
      </w:r>
      <w:r>
        <w:rPr>
          <w:rFonts w:hint="eastAsia" w:ascii="宋体" w:hAnsi="宋体"/>
          <w:sz w:val="24"/>
          <w:szCs w:val="21"/>
        </w:rPr>
        <w:t xml:space="preserve">）</w:t>
      </w:r>
      <w:r/>
    </w:p>
    <w:p>
      <w:pPr>
        <w:pStyle w:val="895"/>
        <w:ind w:left="480"/>
        <w:spacing w:line="400" w:lineRule="exact"/>
        <w:rPr>
          <w:rFonts w:ascii="宋体" w:hAnsi="宋体"/>
          <w:sz w:val="24"/>
          <w:szCs w:val="24"/>
        </w:rPr>
      </w:pPr>
      <w:r>
        <w:rPr>
          <w:rFonts w:hint="eastAsia" w:ascii="宋体" w:hAnsi="宋体"/>
          <w:sz w:val="24"/>
          <w:szCs w:val="24"/>
        </w:rPr>
        <w:t xml:space="preserve">总备注：上述“资格审查内容”中1-5条、</w:t>
      </w:r>
      <w:r>
        <w:rPr>
          <w:rFonts w:ascii="宋体" w:hAnsi="宋体"/>
          <w:sz w:val="24"/>
          <w:szCs w:val="24"/>
        </w:rPr>
        <w:t xml:space="preserve">8</w:t>
      </w:r>
      <w:r>
        <w:rPr>
          <w:rFonts w:hint="eastAsia" w:ascii="宋体" w:hAnsi="宋体"/>
          <w:sz w:val="24"/>
          <w:szCs w:val="24"/>
        </w:rPr>
        <w:t xml:space="preserve">、9条投标人必须在投标文件</w:t>
      </w:r>
      <w:r>
        <w:rPr>
          <w:rFonts w:ascii="宋体" w:hAnsi="宋体"/>
          <w:sz w:val="24"/>
          <w:szCs w:val="24"/>
        </w:rPr>
      </w:r>
      <w:r/>
    </w:p>
    <w:p>
      <w:pPr>
        <w:pStyle w:val="895"/>
        <w:spacing w:line="400" w:lineRule="exact"/>
        <w:rPr>
          <w:rFonts w:ascii="宋体" w:hAnsi="宋体"/>
          <w:sz w:val="24"/>
          <w:szCs w:val="24"/>
        </w:rPr>
      </w:pPr>
      <w:r>
        <w:rPr>
          <w:rFonts w:hint="eastAsia" w:ascii="宋体" w:hAnsi="宋体"/>
          <w:sz w:val="24"/>
          <w:szCs w:val="24"/>
        </w:rPr>
        <w:t xml:space="preserve">中提供相关材料，否则作无效投标处理；6、10、11、12条如招标文件要求必须提供相关材料而未提供的，作无效投标处理。</w:t>
      </w:r>
      <w:r>
        <w:rPr>
          <w:rFonts w:ascii="宋体" w:hAnsi="宋体"/>
          <w:sz w:val="24"/>
          <w:szCs w:val="24"/>
        </w:rPr>
      </w:r>
      <w:r/>
    </w:p>
    <w:p>
      <w:pPr>
        <w:pStyle w:val="895"/>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rPr>
          <w:rFonts w:hint="eastAsia" w:ascii="宋体" w:hAnsi="宋体"/>
          <w:b/>
          <w:sz w:val="24"/>
          <w:szCs w:val="21"/>
        </w:rPr>
      </w:r>
      <w:r/>
    </w:p>
    <w:p>
      <w:pPr>
        <w:pStyle w:val="895"/>
        <w:ind w:firstLine="480"/>
        <w:spacing w:line="400" w:lineRule="exact"/>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1"/>
        </w:rPr>
        <w:t xml:space="preserve">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，否则作无效投标处理。（格式见</w:t>
      </w:r>
      <w:r>
        <w:rPr>
          <w:rFonts w:ascii="宋体" w:hAnsi="宋体"/>
          <w:sz w:val="24"/>
          <w:szCs w:val="21"/>
        </w:rPr>
        <w:t xml:space="preserve">附件12</w:t>
      </w:r>
      <w:r>
        <w:rPr>
          <w:rFonts w:hint="eastAsia" w:ascii="宋体" w:hAnsi="宋体"/>
          <w:sz w:val="24"/>
          <w:szCs w:val="21"/>
        </w:rPr>
        <w:t xml:space="preserve">）</w:t>
      </w:r>
      <w:r/>
    </w:p>
    <w:p>
      <w:pPr>
        <w:pStyle w:val="895"/>
        <w:ind w:firstLine="48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p>
    <w:p>
      <w:pPr>
        <w:pStyle w:val="895"/>
        <w:ind w:firstLine="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中小微企业声明函（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p>
    <w:p>
      <w:pPr>
        <w:pStyle w:val="895"/>
        <w:ind w:firstLine="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p>
    <w:p>
      <w:pPr>
        <w:pStyle w:val="895"/>
        <w:ind w:firstLine="480"/>
        <w:spacing w:line="400" w:lineRule="exact"/>
        <w:rPr>
          <w:rFonts w:hint="eastAsia" w:ascii="宋体" w:hAnsi="宋体"/>
          <w:sz w:val="24"/>
          <w:szCs w:val="21"/>
        </w:rPr>
      </w:pPr>
      <w:r>
        <w:rPr>
          <w:rFonts w:hint="eastAsia" w:ascii="宋体" w:hAnsi="宋体"/>
          <w:sz w:val="24"/>
          <w:szCs w:val="21"/>
        </w:rPr>
        <w:t xml:space="preserve">3.关于符合本国产品标准的声明函（格式见附件13）</w:t>
      </w:r>
      <w:r>
        <w:rPr>
          <w:rFonts w:hint="eastAsia" w:ascii="宋体" w:hAnsi="宋体"/>
          <w:sz w:val="24"/>
          <w:szCs w:val="21"/>
        </w:rPr>
      </w:r>
      <w:r/>
    </w:p>
    <w:p>
      <w:pPr>
        <w:pStyle w:val="895"/>
        <w:jc w:val="center"/>
        <w:rPr>
          <w:rFonts w:hint="eastAsia"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rPr>
          <w:rFonts w:hint="eastAsia" w:eastAsia="仿宋_GB2312"/>
          <w:sz w:val="24"/>
          <w:szCs w:val="20"/>
        </w:rPr>
      </w:r>
      <w:r/>
    </w:p>
    <w:p>
      <w:pPr>
        <w:pStyle w:val="895"/>
        <w:ind w:firstLine="482"/>
        <w:spacing w:line="400" w:lineRule="exact"/>
        <w:rPr>
          <w:rFonts w:hint="eastAsia" w:ascii="宋体" w:hAnsi="宋体"/>
          <w:sz w:val="24"/>
          <w:szCs w:val="24"/>
        </w:rPr>
      </w:pPr>
      <w:r>
        <w:rPr>
          <w:rFonts w:hint="eastAsia" w:ascii="宋体" w:hAnsi="宋体"/>
          <w:sz w:val="24"/>
          <w:szCs w:val="24"/>
        </w:rPr>
        <w:t xml:space="preserve">投标人全称（加盖CA电子签章）：</w:t>
      </w:r>
      <w:r/>
    </w:p>
    <w:p>
      <w:pPr>
        <w:pStyle w:val="895"/>
        <w:ind w:firstLine="482"/>
        <w:spacing w:line="400" w:lineRule="exact"/>
        <w:rPr>
          <w:sz w:val="24"/>
          <w:szCs w:val="24"/>
        </w:rPr>
      </w:pPr>
      <w:r>
        <w:rPr>
          <w:rFonts w:hint="eastAsia" w:ascii="宋体" w:hAnsi="宋体"/>
          <w:sz w:val="24"/>
          <w:szCs w:val="24"/>
        </w:rPr>
        <w:t xml:space="preserve">项目名称：</w:t>
      </w:r>
      <w:r>
        <w:rPr>
          <w:sz w:val="24"/>
          <w:szCs w:val="24"/>
        </w:rPr>
      </w:r>
      <w:r/>
    </w:p>
    <w:p>
      <w:pPr>
        <w:pStyle w:val="895"/>
        <w:ind w:firstLine="482"/>
        <w:spacing w:line="400" w:lineRule="exact"/>
        <w:rPr>
          <w:rFonts w:ascii="宋体" w:hAnsi="宋体"/>
          <w:sz w:val="24"/>
          <w:szCs w:val="24"/>
        </w:rPr>
      </w:pPr>
      <w:r>
        <w:rPr>
          <w:rFonts w:hint="eastAsia" w:ascii="宋体" w:hAnsi="宋体"/>
          <w:sz w:val="24"/>
          <w:szCs w:val="24"/>
        </w:rPr>
        <w:t xml:space="preserve">采购编号：                                   </w:t>
      </w:r>
      <w:r>
        <w:rPr>
          <w:rFonts w:ascii="宋体" w:hAnsi="宋体"/>
          <w:sz w:val="24"/>
          <w:szCs w:val="24"/>
        </w:rPr>
      </w:r>
      <w:r/>
    </w:p>
    <w:p>
      <w:pPr>
        <w:pStyle w:val="895"/>
        <w:ind w:firstLine="482"/>
        <w:spacing w:line="400" w:lineRule="exac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895"/>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gridSpan w:val="2"/>
            <w:tcW w:w="8886" w:type="dxa"/>
            <w:vAlign w:val="center"/>
            <w:textDirection w:val="lrTb"/>
            <w:noWrap w:val="false"/>
          </w:tcPr>
          <w:p>
            <w:pPr>
              <w:pStyle w:val="895"/>
              <w:jc w:val="left"/>
              <w:spacing w:line="500" w:lineRule="exact"/>
              <w:rPr>
                <w:rFonts w:hint="eastAsia" w:ascii="宋体" w:hAnsi="宋体"/>
                <w:sz w:val="24"/>
                <w:szCs w:val="21"/>
              </w:rPr>
            </w:pPr>
            <w:r>
              <w:rPr>
                <w:rFonts w:hint="eastAsia" w:ascii="宋体" w:hAnsi="宋体" w:cs="宋体"/>
                <w:sz w:val="24"/>
                <w:szCs w:val="24"/>
              </w:rPr>
              <w:t xml:space="preserve">小写：                             （人民币：元）</w:t>
            </w:r>
            <w:r>
              <w:rPr>
                <w:rFonts w:hint="eastAsia" w:ascii="宋体" w:hAnsi="宋体"/>
                <w:sz w:val="24"/>
                <w:szCs w:val="21"/>
              </w:rPr>
            </w:r>
            <w:r/>
          </w:p>
        </w:tc>
      </w:tr>
      <w:tr>
        <w:trPr>
          <w:cantSplit/>
          <w:trHeight w:val="612"/>
        </w:trPr>
        <w:tc>
          <w:tcPr>
            <w:tcW w:w="2481" w:type="dxa"/>
            <w:vAlign w:val="center"/>
            <w:textDirection w:val="lrTb"/>
            <w:noWrap w:val="false"/>
          </w:tcPr>
          <w:p>
            <w:pPr>
              <w:pStyle w:val="895"/>
              <w:jc w:val="center"/>
              <w:spacing w:line="300" w:lineRule="auto"/>
              <w:rPr>
                <w:rFonts w:hint="eastAsia" w:ascii="宋体" w:hAnsi="宋体" w:cs="宋体"/>
                <w:sz w:val="24"/>
                <w:szCs w:val="24"/>
              </w:rPr>
            </w:pPr>
            <w:r>
              <w:rPr>
                <w:rFonts w:hint="eastAsia" w:ascii="宋体" w:hAnsi="宋体" w:cs="宋体"/>
                <w:sz w:val="24"/>
                <w:szCs w:val="24"/>
              </w:rPr>
              <w:t xml:space="preserve">核心产品品牌</w:t>
            </w:r>
            <w:r/>
          </w:p>
        </w:tc>
        <w:tc>
          <w:tcPr>
            <w:tcW w:w="6405" w:type="dxa"/>
            <w:vAlign w:val="center"/>
            <w:textDirection w:val="lrTb"/>
            <w:noWrap w:val="false"/>
          </w:tcPr>
          <w:p>
            <w:pPr>
              <w:pStyle w:val="895"/>
              <w:jc w:val="left"/>
              <w:spacing w:line="500" w:lineRule="exact"/>
              <w:rPr>
                <w:rFonts w:hint="eastAsia" w:ascii="宋体" w:hAnsi="宋体" w:cs="宋体"/>
                <w:sz w:val="24"/>
                <w:szCs w:val="24"/>
              </w:rPr>
            </w:pPr>
            <w:r>
              <w:rPr>
                <w:rFonts w:hint="eastAsia" w:ascii="宋体" w:hAnsi="宋体" w:cs="宋体"/>
                <w:sz w:val="24"/>
                <w:szCs w:val="24"/>
              </w:rPr>
            </w:r>
            <w:r/>
          </w:p>
        </w:tc>
      </w:tr>
    </w:tbl>
    <w:p>
      <w:pPr>
        <w:pStyle w:val="895"/>
        <w:rPr>
          <w:rFonts w:ascii="宋体" w:hAnsi="宋体"/>
          <w:sz w:val="24"/>
          <w:szCs w:val="24"/>
        </w:rPr>
      </w:pPr>
      <w:r>
        <w:rPr>
          <w:rFonts w:ascii="宋体" w:hAnsi="宋体"/>
          <w:sz w:val="24"/>
          <w:szCs w:val="24"/>
        </w:rPr>
      </w:r>
      <w:r/>
    </w:p>
    <w:p>
      <w:pPr>
        <w:pStyle w:val="895"/>
        <w:rPr>
          <w:rFonts w:ascii="宋体" w:hAnsi="宋体"/>
          <w:sz w:val="24"/>
          <w:szCs w:val="24"/>
        </w:rPr>
      </w:pPr>
      <w:r>
        <w:rPr>
          <w:rFonts w:ascii="宋体" w:hAnsi="宋体"/>
          <w:sz w:val="24"/>
          <w:szCs w:val="24"/>
        </w:rPr>
      </w:r>
      <w:r/>
    </w:p>
    <w:p>
      <w:pPr>
        <w:pStyle w:val="895"/>
        <w:rPr>
          <w:rFonts w:hint="eastAsia" w:ascii="宋体" w:hAnsi="宋体"/>
          <w:b/>
          <w:sz w:val="24"/>
          <w:szCs w:val="24"/>
        </w:rPr>
      </w:pPr>
      <w:r>
        <w:rPr>
          <w:rFonts w:hint="eastAsia" w:ascii="宋体" w:hAnsi="宋体"/>
          <w:b/>
          <w:sz w:val="24"/>
          <w:szCs w:val="24"/>
        </w:rPr>
      </w:r>
      <w:r/>
    </w:p>
    <w:p>
      <w:pPr>
        <w:pStyle w:val="895"/>
        <w:rPr>
          <w:rFonts w:hint="eastAsia" w:ascii="宋体" w:hAnsi="宋体"/>
          <w:b/>
          <w:sz w:val="24"/>
          <w:szCs w:val="24"/>
        </w:rPr>
      </w:pPr>
      <w:r>
        <w:rPr>
          <w:rFonts w:hint="eastAsia" w:ascii="宋体" w:hAnsi="宋体"/>
          <w:b/>
          <w:sz w:val="24"/>
          <w:szCs w:val="24"/>
        </w:rPr>
      </w:r>
      <w:r/>
    </w:p>
    <w:p>
      <w:pPr>
        <w:pStyle w:val="895"/>
        <w:jc w:val="center"/>
        <w:rPr>
          <w:rFonts w:ascii="宋体" w:hAnsi="宋体"/>
          <w:b/>
          <w:sz w:val="24"/>
          <w:szCs w:val="24"/>
        </w:rPr>
      </w:pPr>
      <w:r>
        <w:rPr>
          <w:rFonts w:ascii="宋体" w:hAnsi="宋体"/>
          <w:b/>
          <w:sz w:val="24"/>
          <w:szCs w:val="24"/>
        </w:rPr>
      </w:r>
      <w:r/>
    </w:p>
    <w:p>
      <w:pPr>
        <w:pStyle w:val="895"/>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t xml:space="preserve">2</w:t>
            </w:r>
            <w:r/>
          </w:p>
        </w:tc>
        <w:tc>
          <w:tcPr>
            <w:tcW w:w="938" w:type="dxa"/>
            <w:vAlign w:val="center"/>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pStyle w:val="895"/>
              <w:jc w:val="center"/>
              <w:spacing w:line="0" w:lineRule="atLeast"/>
              <w:rPr>
                <w:rFonts w:hint="eastAsia" w:ascii="宋体" w:hAnsi="宋体"/>
                <w:sz w:val="24"/>
                <w:szCs w:val="24"/>
              </w:rPr>
            </w:pPr>
            <w:r>
              <w:rPr>
                <w:rFonts w:ascii="宋体" w:hAnsi="宋体"/>
                <w:sz w:val="24"/>
                <w:szCs w:val="24"/>
              </w:rPr>
              <w:t xml:space="preserve">5</w:t>
            </w:r>
            <w:r>
              <w:rPr>
                <w:rFonts w:hint="eastAsia" w:ascii="宋体" w:hAnsi="宋体"/>
                <w:sz w:val="24"/>
                <w:szCs w:val="24"/>
              </w:rPr>
            </w:r>
            <w:r/>
          </w:p>
        </w:tc>
        <w:tc>
          <w:tcPr>
            <w:tcW w:w="1385" w:type="dxa"/>
            <w:vAlign w:val="center"/>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t xml:space="preserve">产品</w:t>
            </w:r>
            <w:r/>
          </w:p>
          <w:p>
            <w:pPr>
              <w:pStyle w:val="895"/>
              <w:jc w:val="center"/>
              <w:spacing w:line="0" w:lineRule="atLeast"/>
              <w:rPr>
                <w:rFonts w:hint="eastAsia" w:ascii="宋体" w:hAnsi="宋体"/>
                <w:sz w:val="24"/>
                <w:szCs w:val="24"/>
              </w:rPr>
            </w:pPr>
            <w:r>
              <w:rPr>
                <w:rFonts w:hint="eastAsia" w:ascii="宋体" w:hAnsi="宋体"/>
                <w:sz w:val="24"/>
                <w:szCs w:val="24"/>
              </w:rPr>
              <w:t xml:space="preserve">名称</w:t>
            </w:r>
            <w:r/>
          </w:p>
        </w:tc>
        <w:tc>
          <w:tcPr>
            <w:tcW w:w="728" w:type="dxa"/>
            <w:vAlign w:val="center"/>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t xml:space="preserve">品牌</w:t>
            </w:r>
            <w:r/>
          </w:p>
        </w:tc>
        <w:tc>
          <w:tcPr>
            <w:tcW w:w="938" w:type="dxa"/>
            <w:vAlign w:val="center"/>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t xml:space="preserve">规格</w:t>
            </w:r>
            <w:r/>
          </w:p>
          <w:p>
            <w:pPr>
              <w:pStyle w:val="895"/>
              <w:jc w:val="center"/>
              <w:spacing w:line="0" w:lineRule="atLeast"/>
              <w:rPr>
                <w:rFonts w:hint="eastAsia"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pStyle w:val="895"/>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895"/>
              <w:jc w:val="center"/>
              <w:spacing w:line="0" w:lineRule="atLeast"/>
              <w:rPr>
                <w:rFonts w:hint="eastAsia"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pStyle w:val="895"/>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895"/>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895"/>
              <w:jc w:val="center"/>
              <w:spacing w:line="0" w:lineRule="atLeast"/>
              <w:rPr>
                <w:rFonts w:hint="eastAsia" w:ascii="宋体" w:hAnsi="宋体"/>
                <w:sz w:val="24"/>
                <w:szCs w:val="24"/>
                <w:highlight w:val="cyan"/>
              </w:rPr>
            </w:pPr>
            <w:r>
              <w:rPr>
                <w:rFonts w:hint="eastAsia" w:ascii="宋体" w:hAnsi="宋体"/>
                <w:sz w:val="24"/>
                <w:szCs w:val="24"/>
                <w:highlight w:val="cyan"/>
              </w:rPr>
            </w:r>
            <w:r/>
          </w:p>
        </w:tc>
        <w:tc>
          <w:tcPr>
            <w:tcW w:w="1106" w:type="dxa"/>
            <w:vAlign w:val="top"/>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895"/>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924" w:type="dxa"/>
            <w:vAlign w:val="center"/>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pStyle w:val="895"/>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pStyle w:val="895"/>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728" w:type="dxa"/>
            <w:vAlign w:val="center"/>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r>
            <w:r/>
          </w:p>
        </w:tc>
      </w:tr>
      <w:tr>
        <w:trPr>
          <w:cantSplit/>
          <w:trHeight w:val="434"/>
        </w:trPr>
        <w:tc>
          <w:tcPr>
            <w:gridSpan w:val="10"/>
            <w:tcW w:w="9263" w:type="dxa"/>
            <w:vAlign w:val="top"/>
            <w:textDirection w:val="lrTb"/>
            <w:noWrap w:val="false"/>
          </w:tcPr>
          <w:p>
            <w:pPr>
              <w:pStyle w:val="895"/>
              <w:rPr>
                <w:rFonts w:ascii="宋体" w:hAnsi="宋体"/>
                <w:sz w:val="24"/>
                <w:szCs w:val="24"/>
                <w:u w:val="single"/>
              </w:rPr>
            </w:pPr>
            <w:r>
              <w:rPr>
                <w:rFonts w:hint="eastAsia" w:ascii="宋体" w:hAnsi="宋体"/>
                <w:sz w:val="24"/>
                <w:szCs w:val="24"/>
              </w:rPr>
              <w:t xml:space="preserve">投标总报价（人民币：元）</w:t>
            </w:r>
            <w:r>
              <w:rPr>
                <w:rFonts w:hint="eastAsia" w:ascii="宋体" w:hAnsi="宋体"/>
                <w:sz w:val="24"/>
                <w:szCs w:val="24"/>
                <w:u w:val="single"/>
              </w:rPr>
              <w:t xml:space="preserve">                             </w:t>
            </w:r>
            <w:r>
              <w:rPr>
                <w:rFonts w:ascii="宋体" w:hAnsi="宋体"/>
                <w:sz w:val="24"/>
                <w:szCs w:val="24"/>
                <w:u w:val="single"/>
              </w:rPr>
            </w:r>
            <w:r/>
          </w:p>
        </w:tc>
      </w:tr>
      <w:tr>
        <w:trPr>
          <w:cantSplit/>
          <w:trHeight w:val="767"/>
        </w:trPr>
        <w:tc>
          <w:tcPr>
            <w:gridSpan w:val="10"/>
            <w:tcW w:w="9263" w:type="dxa"/>
            <w:vAlign w:val="top"/>
            <w:textDirection w:val="lrTb"/>
            <w:noWrap w:val="false"/>
          </w:tcPr>
          <w:p>
            <w:pPr>
              <w:pStyle w:val="958"/>
              <w:spacing w:before="0" w:beforeAutospacing="0" w:after="0" w:afterAutospacing="0" w:line="0" w:lineRule="atLeast"/>
              <w:rPr>
                <w:rFonts w:hint="eastAsia"/>
              </w:rPr>
            </w:pPr>
            <w:r>
              <w:rPr>
                <w:rFonts w:hint="eastAsia"/>
              </w:rPr>
              <w:t xml:space="preserve">本采购包中提供的符合本国产品标准的产品成本之和占该采购包提供的全部产品成本之和的比例为</w:t>
            </w:r>
            <w:r>
              <w:rPr>
                <w:rFonts w:hint="eastAsia"/>
                <w:u w:val="single"/>
              </w:rPr>
              <w:t xml:space="preserve">***</w:t>
            </w:r>
            <w:r>
              <w:rPr>
                <w:rFonts w:hint="eastAsia"/>
              </w:rPr>
              <w:t xml:space="preserve">%。</w:t>
            </w:r>
            <w:r/>
          </w:p>
        </w:tc>
      </w:tr>
    </w:tbl>
    <w:p>
      <w:pPr>
        <w:pStyle w:val="895"/>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895"/>
        <w:spacing w:line="400" w:lineRule="exact"/>
        <w:rPr>
          <w:rFonts w:hint="eastAsia"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）及其他有关的为完成本项目发生的所有费用，招标文件中另有规定的除外。“投标总报价”数额为各“分项总价”之和。</w:t>
      </w:r>
      <w:r/>
    </w:p>
    <w:p>
      <w:pPr>
        <w:pStyle w:val="895"/>
        <w:spacing w:line="400" w:lineRule="exact"/>
        <w:rPr>
          <w:rFonts w:hint="eastAsia" w:ascii="宋体" w:hAnsi="宋体"/>
          <w:sz w:val="24"/>
          <w:szCs w:val="21"/>
        </w:rPr>
      </w:pPr>
      <w:r>
        <w:rPr>
          <w:rFonts w:hint="eastAsia" w:ascii="宋体" w:hAnsi="宋体"/>
          <w:sz w:val="24"/>
          <w:szCs w:val="21"/>
        </w:rPr>
        <w:t xml:space="preserve">2.</w:t>
      </w:r>
      <w:r>
        <w:rPr>
          <w:rFonts w:hint="eastAsia"/>
          <w:szCs w:val="21"/>
        </w:rPr>
        <w:t xml:space="preserve">“</w:t>
      </w:r>
      <w:r>
        <w:rPr>
          <w:rFonts w:hint="eastAsia" w:ascii="宋体" w:hAnsi="宋体"/>
          <w:sz w:val="24"/>
          <w:szCs w:val="21"/>
        </w:rPr>
        <w:t xml:space="preserve">投标分项报价表</w:t>
      </w:r>
      <w:r>
        <w:rPr>
          <w:rFonts w:hint="eastAsia"/>
          <w:szCs w:val="21"/>
        </w:rPr>
        <w:t xml:space="preserve">”</w:t>
      </w:r>
      <w:r>
        <w:rPr>
          <w:rFonts w:hint="eastAsia" w:ascii="宋体" w:hAnsi="宋体"/>
          <w:sz w:val="24"/>
          <w:szCs w:val="21"/>
        </w:rPr>
        <w:t xml:space="preserve">中“投标总报价”数额应当与“开标一览表”中“投标总报价”数额一致。</w:t>
      </w:r>
      <w:r/>
    </w:p>
    <w:p>
      <w:pPr>
        <w:pStyle w:val="895"/>
        <w:spacing w:line="400" w:lineRule="exact"/>
        <w:rPr>
          <w:rFonts w:hint="eastAsia" w:ascii="宋体" w:hAnsi="宋体"/>
          <w:sz w:val="24"/>
          <w:szCs w:val="21"/>
        </w:rPr>
      </w:pPr>
      <w:r>
        <w:rPr>
          <w:rFonts w:hint="eastAsia" w:ascii="宋体" w:hAnsi="宋体"/>
          <w:sz w:val="24"/>
          <w:szCs w:val="21"/>
        </w:rPr>
        <w:t xml:space="preserve">3.本采购包中含有多种产品时，供应商未填写本采购包中提供的符合本国产品标准的产品成本之和占该采购包提供的全部产品成本之和的比例数值的，或比例数值低于80%的，将不享受本国产品价格评审优惠。</w:t>
      </w:r>
      <w:r/>
    </w:p>
    <w:p>
      <w:pPr>
        <w:pStyle w:val="895"/>
        <w:spacing w:line="400" w:lineRule="exact"/>
        <w:rPr>
          <w:rFonts w:hint="eastAsia" w:ascii="宋体" w:hAnsi="宋体"/>
          <w:sz w:val="24"/>
          <w:szCs w:val="21"/>
        </w:rPr>
      </w:pPr>
      <w:r>
        <w:rPr>
          <w:rFonts w:hint="eastAsia" w:ascii="宋体" w:hAnsi="宋体"/>
          <w:sz w:val="24"/>
          <w:szCs w:val="21"/>
        </w:rPr>
        <w:t xml:space="preserve">4.投标人需认真填写本报价表，尤其注意规格型号的准确填写。</w:t>
      </w:r>
      <w:r/>
    </w:p>
    <w:p>
      <w:pPr>
        <w:pStyle w:val="895"/>
        <w:jc w:val="center"/>
        <w:rPr>
          <w:rFonts w:hint="eastAsia" w:ascii="宋体" w:hAnsi="宋体"/>
          <w:b/>
          <w:sz w:val="24"/>
          <w:szCs w:val="24"/>
        </w:rPr>
      </w:pPr>
      <w:r>
        <w:rPr>
          <w:rFonts w:hint="eastAsia" w:ascii="宋体" w:hAnsi="宋体"/>
          <w:b/>
          <w:sz w:val="24"/>
          <w:szCs w:val="24"/>
        </w:rPr>
      </w:r>
      <w:r/>
    </w:p>
    <w:p>
      <w:pPr>
        <w:pStyle w:val="895"/>
        <w:jc w:val="center"/>
        <w:rPr>
          <w:rFonts w:hint="eastAsia" w:ascii="宋体" w:hAnsi="宋体"/>
          <w:b/>
          <w:sz w:val="24"/>
          <w:szCs w:val="24"/>
        </w:rPr>
      </w:pPr>
      <w:r>
        <w:rPr>
          <w:rFonts w:hint="eastAsia" w:ascii="宋体" w:hAnsi="宋体"/>
          <w:b/>
          <w:sz w:val="24"/>
          <w:szCs w:val="24"/>
        </w:rPr>
      </w:r>
      <w:r/>
    </w:p>
    <w:p>
      <w:pPr>
        <w:pStyle w:val="895"/>
        <w:jc w:val="center"/>
        <w:rPr>
          <w:rFonts w:hint="eastAsia" w:ascii="宋体" w:hAnsi="宋体"/>
          <w:b/>
          <w:sz w:val="24"/>
          <w:szCs w:val="24"/>
        </w:rPr>
      </w:pPr>
      <w:r>
        <w:rPr>
          <w:rFonts w:hint="eastAsia" w:ascii="宋体" w:hAnsi="宋体"/>
          <w:b/>
          <w:sz w:val="24"/>
          <w:szCs w:val="24"/>
        </w:rPr>
      </w:r>
      <w:r/>
    </w:p>
    <w:p>
      <w:pPr>
        <w:pStyle w:val="895"/>
        <w:jc w:val="center"/>
        <w:rPr>
          <w:rFonts w:hint="eastAsia" w:ascii="宋体" w:hAnsi="宋体"/>
          <w:b/>
          <w:sz w:val="24"/>
          <w:szCs w:val="24"/>
        </w:rPr>
      </w:pPr>
      <w:r>
        <w:rPr>
          <w:rFonts w:hint="eastAsia" w:ascii="宋体" w:hAnsi="宋体"/>
          <w:b/>
          <w:sz w:val="24"/>
          <w:szCs w:val="24"/>
        </w:rPr>
      </w:r>
      <w:r/>
    </w:p>
    <w:p>
      <w:pPr>
        <w:pStyle w:val="895"/>
        <w:jc w:val="center"/>
        <w:rPr>
          <w:rFonts w:hint="eastAsia" w:ascii="宋体" w:hAnsi="宋体"/>
          <w:b/>
          <w:sz w:val="24"/>
          <w:szCs w:val="24"/>
        </w:rPr>
      </w:pPr>
      <w:r>
        <w:rPr>
          <w:rFonts w:hint="eastAsia" w:ascii="宋体" w:hAnsi="宋体"/>
          <w:b/>
          <w:sz w:val="24"/>
          <w:szCs w:val="24"/>
        </w:rPr>
      </w:r>
      <w:r/>
    </w:p>
    <w:p>
      <w:pPr>
        <w:pStyle w:val="895"/>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95"/>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r>
    </w:tbl>
    <w:p>
      <w:pPr>
        <w:pStyle w:val="895"/>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95"/>
        <w:spacing w:line="400" w:lineRule="exact"/>
        <w:rPr>
          <w:rFonts w:ascii="宋体" w:hAnsi="宋体"/>
          <w:sz w:val="24"/>
          <w:szCs w:val="24"/>
        </w:rPr>
      </w:pPr>
      <w:r>
        <w:rPr>
          <w:rFonts w:ascii="宋体" w:hAnsi="宋体"/>
          <w:sz w:val="24"/>
          <w:szCs w:val="24"/>
        </w:rPr>
      </w:r>
      <w:r/>
    </w:p>
    <w:p>
      <w:pPr>
        <w:pStyle w:val="895"/>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95"/>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95"/>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895"/>
        <w:spacing w:line="400" w:lineRule="exact"/>
        <w:rPr>
          <w:rFonts w:hint="eastAsia" w:ascii="宋体" w:hAnsi="宋体"/>
          <w:sz w:val="24"/>
          <w:szCs w:val="24"/>
        </w:rPr>
      </w:pPr>
      <w:r>
        <w:rPr>
          <w:rFonts w:hint="eastAsia" w:ascii="宋体" w:hAnsi="宋体"/>
          <w:sz w:val="24"/>
          <w:szCs w:val="24"/>
        </w:rPr>
      </w:r>
      <w:r/>
    </w:p>
    <w:p>
      <w:pPr>
        <w:pStyle w:val="895"/>
        <w:spacing w:line="400" w:lineRule="exact"/>
        <w:rPr>
          <w:rFonts w:hint="eastAsia" w:ascii="宋体" w:hAnsi="宋体"/>
          <w:sz w:val="24"/>
          <w:szCs w:val="24"/>
        </w:rPr>
      </w:pPr>
      <w:r>
        <w:rPr>
          <w:rFonts w:hint="eastAsia" w:ascii="宋体" w:hAnsi="宋体"/>
          <w:sz w:val="24"/>
          <w:szCs w:val="24"/>
        </w:rPr>
      </w:r>
      <w:r/>
    </w:p>
    <w:p>
      <w:pPr>
        <w:pStyle w:val="895"/>
        <w:spacing w:line="400" w:lineRule="exact"/>
        <w:rPr>
          <w:rFonts w:hint="eastAsia" w:ascii="宋体" w:hAnsi="宋体"/>
          <w:sz w:val="24"/>
          <w:szCs w:val="24"/>
        </w:rPr>
      </w:pPr>
      <w:r>
        <w:rPr>
          <w:rFonts w:hint="eastAsia" w:ascii="宋体" w:hAnsi="宋体"/>
          <w:sz w:val="24"/>
          <w:szCs w:val="24"/>
        </w:rPr>
      </w:r>
      <w:r/>
    </w:p>
    <w:p>
      <w:pPr>
        <w:pStyle w:val="895"/>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95"/>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r>
    </w:tbl>
    <w:p>
      <w:pPr>
        <w:pStyle w:val="895"/>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95"/>
        <w:spacing w:line="400" w:lineRule="exact"/>
        <w:rPr>
          <w:rFonts w:ascii="宋体" w:hAnsi="宋体"/>
          <w:sz w:val="24"/>
          <w:szCs w:val="24"/>
        </w:rPr>
      </w:pPr>
      <w:r>
        <w:rPr>
          <w:rFonts w:ascii="宋体" w:hAnsi="宋体"/>
          <w:sz w:val="24"/>
          <w:szCs w:val="24"/>
        </w:rPr>
      </w:r>
      <w:r/>
    </w:p>
    <w:p>
      <w:pPr>
        <w:pStyle w:val="895"/>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95"/>
        <w:spacing w:line="400" w:lineRule="exact"/>
        <w:rPr>
          <w:rFonts w:ascii="宋体" w:hAnsi="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95"/>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895"/>
        <w:rPr>
          <w:rFonts w:hint="eastAsia" w:ascii="宋体" w:hAnsi="宋体"/>
          <w:b/>
          <w:sz w:val="24"/>
          <w:szCs w:val="21"/>
        </w:rPr>
      </w:pPr>
      <w:r>
        <w:rPr>
          <w:rFonts w:hint="eastAsia" w:ascii="宋体" w:hAnsi="宋体"/>
          <w:b/>
          <w:sz w:val="24"/>
          <w:szCs w:val="21"/>
        </w:rPr>
      </w:r>
      <w:r/>
    </w:p>
    <w:p>
      <w:pPr>
        <w:pStyle w:val="895"/>
        <w:ind w:left="480"/>
        <w:rPr>
          <w:rFonts w:ascii="宋体" w:hAnsi="宋体"/>
          <w:b/>
          <w:color w:val="000000"/>
          <w:sz w:val="24"/>
          <w:szCs w:val="21"/>
        </w:rPr>
      </w:pPr>
      <w:r>
        <w:rPr>
          <w:rFonts w:ascii="宋体" w:hAnsi="宋体"/>
          <w:b/>
          <w:color w:val="000000"/>
          <w:sz w:val="24"/>
          <w:szCs w:val="21"/>
        </w:rPr>
      </w:r>
      <w:r/>
    </w:p>
    <w:p>
      <w:pPr>
        <w:pStyle w:val="895"/>
        <w:ind w:left="480"/>
        <w:rPr>
          <w:rFonts w:hint="eastAsia" w:ascii="宋体" w:hAnsi="宋体"/>
          <w:b/>
          <w:color w:val="000000"/>
          <w:sz w:val="24"/>
          <w:szCs w:val="21"/>
        </w:rPr>
      </w:pPr>
      <w:r>
        <w:rPr>
          <w:rFonts w:hint="eastAsia" w:ascii="宋体" w:hAnsi="宋体"/>
          <w:b/>
          <w:color w:val="000000"/>
          <w:sz w:val="24"/>
          <w:szCs w:val="21"/>
        </w:rPr>
      </w:r>
      <w:r/>
    </w:p>
    <w:p>
      <w:pPr>
        <w:pStyle w:val="895"/>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具备履行合同所必需的设备和专业技术能力的书面声明</w:t>
      </w:r>
      <w:r/>
    </w:p>
    <w:p>
      <w:pPr>
        <w:pStyle w:val="895"/>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pStyle w:val="895"/>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pStyle w:val="895"/>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pStyle w:val="895"/>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pStyle w:val="895"/>
        <w:ind w:left="480"/>
        <w:rPr>
          <w:rFonts w:ascii="宋体" w:hAnsi="宋体"/>
          <w:b/>
          <w:color w:val="000000"/>
          <w:sz w:val="24"/>
          <w:szCs w:val="21"/>
        </w:rPr>
      </w:pPr>
      <w:r>
        <w:rPr>
          <w:rFonts w:ascii="宋体" w:hAnsi="宋体"/>
          <w:b/>
          <w:color w:val="000000"/>
          <w:sz w:val="24"/>
          <w:szCs w:val="21"/>
        </w:rPr>
      </w:r>
      <w:r/>
    </w:p>
    <w:p>
      <w:pPr>
        <w:pStyle w:val="895"/>
        <w:ind w:left="480"/>
        <w:rPr>
          <w:rFonts w:ascii="宋体" w:hAnsi="宋体"/>
          <w:b/>
          <w:color w:val="000000"/>
          <w:sz w:val="24"/>
          <w:szCs w:val="21"/>
        </w:rPr>
      </w:pPr>
      <w:r>
        <w:rPr>
          <w:rFonts w:ascii="宋体" w:hAnsi="宋体"/>
          <w:b/>
          <w:color w:val="000000"/>
          <w:sz w:val="24"/>
          <w:szCs w:val="21"/>
        </w:rPr>
      </w:r>
      <w:r/>
    </w:p>
    <w:p>
      <w:pPr>
        <w:pStyle w:val="895"/>
        <w:ind w:left="480"/>
        <w:rPr>
          <w:rFonts w:ascii="宋体" w:hAnsi="宋体"/>
          <w:b/>
          <w:color w:val="000000"/>
          <w:sz w:val="24"/>
          <w:szCs w:val="21"/>
        </w:rPr>
      </w:pPr>
      <w:r>
        <w:rPr>
          <w:rFonts w:ascii="宋体" w:hAnsi="宋体"/>
          <w:b/>
          <w:color w:val="000000"/>
          <w:sz w:val="24"/>
          <w:szCs w:val="21"/>
        </w:rPr>
      </w:r>
      <w:r/>
    </w:p>
    <w:p>
      <w:pPr>
        <w:pStyle w:val="895"/>
        <w:ind w:left="480"/>
        <w:rPr>
          <w:rFonts w:hint="eastAsia" w:ascii="宋体" w:hAnsi="宋体"/>
          <w:b/>
          <w:color w:val="000000"/>
          <w:sz w:val="24"/>
          <w:szCs w:val="21"/>
        </w:rPr>
      </w:pPr>
      <w:r>
        <w:rPr>
          <w:rFonts w:hint="eastAsia" w:ascii="宋体" w:hAnsi="宋体"/>
          <w:b/>
          <w:color w:val="000000"/>
          <w:sz w:val="24"/>
          <w:szCs w:val="21"/>
        </w:rPr>
      </w:r>
      <w:r/>
    </w:p>
    <w:p>
      <w:pPr>
        <w:pStyle w:val="895"/>
        <w:ind w:left="480"/>
        <w:rPr>
          <w:rFonts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rPr>
        <w:t xml:space="preserve">参加政府采购活动前 3 年内在经营活动中没有重大违法记录的书</w:t>
      </w:r>
      <w:r>
        <w:rPr>
          <w:rFonts w:ascii="宋体" w:hAnsi="宋体"/>
          <w:b/>
          <w:color w:val="000000"/>
          <w:sz w:val="24"/>
          <w:szCs w:val="21"/>
        </w:rPr>
      </w:r>
      <w:r/>
    </w:p>
    <w:p>
      <w:pPr>
        <w:pStyle w:val="895"/>
        <w:rPr>
          <w:rFonts w:hint="eastAsia" w:ascii="宋体" w:hAnsi="宋体"/>
          <w:b/>
          <w:color w:val="000000"/>
          <w:sz w:val="24"/>
          <w:szCs w:val="21"/>
        </w:rPr>
      </w:pPr>
      <w:r>
        <w:rPr>
          <w:rFonts w:hint="eastAsia" w:ascii="宋体" w:hAnsi="宋体"/>
          <w:b/>
          <w:color w:val="000000"/>
          <w:sz w:val="24"/>
          <w:szCs w:val="21"/>
        </w:rPr>
        <w:t xml:space="preserve">面声明</w:t>
      </w:r>
      <w:r/>
    </w:p>
    <w:p>
      <w:pPr>
        <w:pStyle w:val="895"/>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bookmarkEnd w:id="202"/>
      <w:r/>
      <w:bookmarkEnd w:id="203"/>
      <w:r/>
      <w:bookmarkEnd w:id="204"/>
      <w:r/>
      <w:bookmarkStart w:id="205" w:name="_Toc120614284"/>
      <w:r>
        <w:rPr>
          <w:rFonts w:hint="eastAsia" w:ascii="宋体" w:hAnsi="宋体"/>
          <w:bCs/>
          <w:color w:val="000000"/>
          <w:sz w:val="24"/>
          <w:szCs w:val="21"/>
        </w:rPr>
      </w:r>
      <w:r/>
    </w:p>
    <w:p>
      <w:pPr>
        <w:pStyle w:val="895"/>
        <w:spacing w:line="460" w:lineRule="exact"/>
        <w:rPr>
          <w:rFonts w:hint="eastAsia" w:ascii="宋体" w:hAnsi="宋体"/>
          <w:b/>
          <w:color w:val="000000"/>
          <w:sz w:val="24"/>
          <w:szCs w:val="21"/>
        </w:rPr>
      </w:pPr>
      <w:r>
        <w:rPr>
          <w:rFonts w:hint="eastAsia" w:ascii="宋体" w:hAnsi="宋体"/>
          <w:b/>
          <w:color w:val="000000"/>
          <w:sz w:val="24"/>
          <w:szCs w:val="21"/>
        </w:rPr>
      </w:r>
      <w:r/>
    </w:p>
    <w:p>
      <w:pPr>
        <w:pStyle w:val="895"/>
        <w:ind w:firstLine="480"/>
        <w:spacing w:line="460" w:lineRule="exact"/>
        <w:rPr>
          <w:rFonts w:ascii="宋体" w:hAnsi="宋体"/>
          <w:b/>
          <w:color w:val="000000"/>
          <w:sz w:val="24"/>
          <w:szCs w:val="21"/>
        </w:rPr>
      </w:pPr>
      <w:r>
        <w:rPr>
          <w:rFonts w:ascii="宋体" w:hAnsi="宋体"/>
          <w:b/>
          <w:color w:val="000000"/>
          <w:sz w:val="24"/>
          <w:szCs w:val="21"/>
        </w:rPr>
      </w:r>
      <w:r/>
    </w:p>
    <w:p>
      <w:pPr>
        <w:pStyle w:val="895"/>
        <w:ind w:firstLine="480"/>
        <w:spacing w:line="460" w:lineRule="exact"/>
        <w:rPr>
          <w:rFonts w:ascii="宋体" w:hAnsi="宋体"/>
          <w:b/>
          <w:color w:val="000000"/>
          <w:sz w:val="24"/>
          <w:szCs w:val="21"/>
        </w:rPr>
      </w:pPr>
      <w:r>
        <w:rPr>
          <w:rFonts w:ascii="宋体" w:hAnsi="宋体"/>
          <w:b/>
          <w:color w:val="000000"/>
          <w:sz w:val="24"/>
          <w:szCs w:val="21"/>
        </w:rPr>
      </w:r>
      <w:r/>
    </w:p>
    <w:p>
      <w:pPr>
        <w:pStyle w:val="895"/>
        <w:ind w:firstLine="480"/>
        <w:spacing w:line="460" w:lineRule="exact"/>
        <w:rPr>
          <w:rFonts w:ascii="宋体" w:hAnsi="宋体"/>
          <w:b/>
          <w:color w:val="000000"/>
          <w:sz w:val="24"/>
          <w:szCs w:val="21"/>
        </w:rPr>
      </w:pPr>
      <w:r>
        <w:rPr>
          <w:rFonts w:ascii="宋体" w:hAnsi="宋体"/>
          <w:b/>
          <w:color w:val="000000"/>
          <w:sz w:val="24"/>
          <w:szCs w:val="21"/>
        </w:rPr>
      </w:r>
      <w:r/>
    </w:p>
    <w:p>
      <w:pPr>
        <w:pStyle w:val="895"/>
        <w:ind w:firstLine="480"/>
        <w:spacing w:line="460" w:lineRule="exact"/>
        <w:rPr>
          <w:rFonts w:ascii="宋体" w:hAnsi="宋体"/>
          <w:b/>
          <w:color w:val="000000"/>
          <w:sz w:val="24"/>
          <w:szCs w:val="21"/>
        </w:rPr>
      </w:pPr>
      <w:r>
        <w:rPr>
          <w:rFonts w:ascii="宋体" w:hAnsi="宋体"/>
          <w:b/>
          <w:color w:val="000000"/>
          <w:sz w:val="24"/>
          <w:szCs w:val="21"/>
        </w:rPr>
      </w:r>
      <w:r/>
    </w:p>
    <w:p>
      <w:pPr>
        <w:pStyle w:val="895"/>
        <w:ind w:firstLine="480"/>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法人授权书</w:t>
      </w:r>
      <w:r>
        <w:rPr>
          <w:rFonts w:hint="eastAsia" w:ascii="宋体" w:hAnsi="宋体"/>
          <w:bCs/>
          <w:color w:val="000000"/>
          <w:sz w:val="24"/>
          <w:szCs w:val="21"/>
        </w:rPr>
      </w:r>
      <w:r/>
    </w:p>
    <w:p>
      <w:pPr>
        <w:pStyle w:val="895"/>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本授权书声明：____________（投标人名称）授权________________（被授权人的姓名）为我方就采购编号为JSZC-320000-SCZX-G20**-****，</w:t>
      </w:r>
      <w:r>
        <w:rPr>
          <w:rFonts w:hint="eastAsia"/>
          <w:color w:val="000000"/>
          <w:sz w:val="24"/>
          <w:szCs w:val="24"/>
          <w:u w:val="single"/>
        </w:rPr>
        <w:t xml:space="preserve">      </w:t>
      </w:r>
      <w:r>
        <w:rPr>
          <w:rFonts w:hint="eastAsia"/>
          <w:color w:val="000000"/>
          <w:sz w:val="24"/>
          <w:szCs w:val="24"/>
        </w:rPr>
        <w:t xml:space="preserve">项目（项目名称）采购活动的合法代理人，以本单位名义全权处理一切与该项目采购有关的事务。</w:t>
      </w:r>
      <w:r/>
    </w:p>
    <w:p>
      <w:pPr>
        <w:pStyle w:val="895"/>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p>
    <w:p>
      <w:pPr>
        <w:pStyle w:val="895"/>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pStyle w:val="895"/>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p>
    <w:p>
      <w:pPr>
        <w:pStyle w:val="895"/>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rPr>
          <w:sz w:val="24"/>
          <w:szCs w:val="24"/>
          <w:u w:val="single"/>
        </w:rPr>
      </w:r>
      <w:r/>
    </w:p>
    <w:p>
      <w:pPr>
        <w:pStyle w:val="895"/>
        <w:ind w:firstLine="1200"/>
        <w:spacing w:line="400" w:lineRule="exact"/>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rPr>
          <w:rFonts w:hint="eastAsia"/>
          <w:color w:val="000000"/>
          <w:sz w:val="24"/>
          <w:szCs w:val="24"/>
        </w:rPr>
      </w:r>
      <w:r/>
    </w:p>
    <w:p>
      <w:pPr>
        <w:pStyle w:val="895"/>
        <w:ind w:firstLine="480"/>
        <w:spacing w:line="400" w:lineRule="exact"/>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p>
    <w:p>
      <w:pPr>
        <w:pStyle w:val="895"/>
        <w:ind w:firstLine="480"/>
        <w:spacing w:line="400" w:lineRule="exact"/>
        <w:tabs>
          <w:tab w:val="left" w:pos="360" w:leader="none"/>
        </w:tabs>
        <w:rPr>
          <w:rFonts w:hint="eastAsia"/>
          <w:color w:val="000000"/>
          <w:sz w:val="24"/>
          <w:szCs w:val="24"/>
        </w:rPr>
      </w:pPr>
      <w:r>
        <w:rPr>
          <w:rFonts w:hint="eastAsia"/>
          <w:color w:val="000000"/>
          <w:sz w:val="24"/>
          <w:szCs w:val="24"/>
        </w:rPr>
        <w:t xml:space="preserve">      日期：</w:t>
      </w:r>
      <w:bookmarkStart w:id="206" w:name="_Hlt26671380"/>
      <w:r/>
      <w:bookmarkEnd w:id="206"/>
      <w:r/>
      <w:bookmarkStart w:id="207" w:name="_格式3__银行出具的资信证明"/>
      <w:r/>
      <w:bookmarkEnd w:id="207"/>
      <w:r/>
      <w:bookmarkStart w:id="208" w:name="_Hlt26955070"/>
      <w:r/>
      <w:bookmarkEnd w:id="208"/>
      <w:r>
        <w:rPr>
          <w:rFonts w:hint="eastAsia"/>
          <w:color w:val="000000"/>
          <w:sz w:val="24"/>
          <w:szCs w:val="24"/>
          <w:u w:val="single"/>
        </w:rPr>
        <w:t xml:space="preserve">                                         </w:t>
      </w:r>
      <w:r>
        <w:rPr>
          <w:rFonts w:hint="eastAsia"/>
          <w:color w:val="000000"/>
          <w:sz w:val="24"/>
          <w:szCs w:val="24"/>
        </w:rPr>
      </w:r>
      <w:r/>
    </w:p>
    <w:p>
      <w:pPr>
        <w:pStyle w:val="895"/>
        <w:ind w:firstLine="480"/>
        <w:spacing w:line="400" w:lineRule="exact"/>
        <w:tabs>
          <w:tab w:val="left" w:pos="360" w:leader="none"/>
        </w:tabs>
        <w:rPr>
          <w:rFonts w:hint="eastAsia"/>
          <w:color w:val="000000"/>
          <w:sz w:val="24"/>
          <w:szCs w:val="24"/>
        </w:rPr>
      </w:pPr>
      <w:r>
        <w:rPr>
          <w:rFonts w:hint="eastAsia"/>
          <w:color w:val="000000"/>
          <w:sz w:val="24"/>
          <w:szCs w:val="24"/>
        </w:rPr>
      </w:r>
      <w:r/>
    </w:p>
    <w:p>
      <w:pPr>
        <w:pStyle w:val="895"/>
        <w:ind w:firstLine="480"/>
        <w:spacing w:line="400" w:lineRule="exact"/>
        <w:tabs>
          <w:tab w:val="left" w:pos="360" w:leader="none"/>
        </w:tabs>
        <w:rPr>
          <w:rFonts w:hint="eastAsia"/>
          <w:color w:val="000000"/>
          <w:sz w:val="24"/>
          <w:szCs w:val="24"/>
        </w:rPr>
      </w:pPr>
      <w:r>
        <w:rPr>
          <w:rFonts w:hint="eastAsia"/>
          <w:color w:val="000000"/>
          <w:sz w:val="24"/>
          <w:szCs w:val="24"/>
        </w:rPr>
      </w:r>
      <w:r/>
    </w:p>
    <w:p>
      <w:pPr>
        <w:pStyle w:val="895"/>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24"/>
          <w:szCs w:val="21"/>
        </w:rPr>
        <w:t xml:space="preserve">附件</w:t>
      </w:r>
      <w:r>
        <w:rPr>
          <w:rFonts w:ascii="宋体" w:hAnsi="宋体"/>
          <w:b/>
          <w:color w:val="000000"/>
          <w:sz w:val="24"/>
          <w:szCs w:val="21"/>
        </w:rPr>
        <w:t xml:space="preserve">8                            </w:t>
      </w:r>
      <w:r>
        <w:rPr>
          <w:rFonts w:hint="eastAsia" w:ascii="宋体" w:hAnsi="宋体"/>
          <w:b/>
          <w:color w:val="000000"/>
          <w:sz w:val="24"/>
          <w:szCs w:val="21"/>
        </w:rPr>
        <w:t xml:space="preserve">投标函</w:t>
      </w:r>
      <w:r>
        <w:rPr>
          <w:rFonts w:ascii="黑体" w:hAnsi="黑体" w:eastAsia="黑体"/>
          <w:b/>
          <w:i/>
          <w:color w:val="000000"/>
          <w:sz w:val="32"/>
          <w:szCs w:val="32"/>
          <w:u w:val="single"/>
        </w:rPr>
      </w:r>
      <w:r/>
    </w:p>
    <w:p>
      <w:pPr>
        <w:pStyle w:val="895"/>
        <w:jc w:val="left"/>
        <w:spacing w:line="420" w:lineRule="exact"/>
        <w:rPr>
          <w:rFonts w:ascii="宋体" w:hAnsi="宋体"/>
          <w:color w:val="000000"/>
          <w:sz w:val="24"/>
          <w:szCs w:val="21"/>
        </w:rPr>
      </w:pPr>
      <w:r>
        <w:rPr>
          <w:rFonts w:hint="eastAsia" w:ascii="宋体" w:hAnsi="宋体"/>
          <w:color w:val="000000"/>
          <w:sz w:val="24"/>
          <w:szCs w:val="21"/>
        </w:rPr>
        <w:t xml:space="preserve">致：江苏省政府采购中心</w:t>
      </w:r>
      <w:r>
        <w:rPr>
          <w:rFonts w:ascii="宋体" w:hAnsi="宋体"/>
          <w:color w:val="000000"/>
          <w:sz w:val="24"/>
          <w:szCs w:val="21"/>
        </w:rPr>
      </w:r>
      <w:r/>
    </w:p>
    <w:p>
      <w:pPr>
        <w:pStyle w:val="89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w:t>
      </w:r>
      <w:r>
        <w:rPr>
          <w:rFonts w:hint="eastAsia" w:ascii="宋体" w:hAnsi="宋体"/>
          <w:color w:val="000000"/>
          <w:sz w:val="24"/>
          <w:szCs w:val="21"/>
        </w:rPr>
        <w:t xml:space="preserve">的招标文件，正式授权下述签字人_____(姓名)代表我方_______（投标人的名称），全权处理本次项目投标的有关事宜。</w:t>
      </w:r>
      <w:r/>
    </w:p>
    <w:p>
      <w:pPr>
        <w:pStyle w:val="89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pStyle w:val="89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pStyle w:val="89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pStyle w:val="89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w:t>
      </w:r>
      <w:r/>
    </w:p>
    <w:p>
      <w:pPr>
        <w:pStyle w:val="89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pStyle w:val="895"/>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pStyle w:val="895"/>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pStyle w:val="895"/>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pStyle w:val="89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pStyle w:val="89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pStyle w:val="89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pStyle w:val="89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pStyle w:val="89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pStyle w:val="89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pStyle w:val="895"/>
        <w:ind w:left="420" w:firstLine="480"/>
        <w:jc w:val="right"/>
        <w:spacing w:line="420" w:lineRule="exact"/>
        <w:rPr>
          <w:rFonts w:hint="eastAsia" w:ascii="宋体" w:hAnsi="宋体"/>
          <w:color w:val="000000"/>
          <w:sz w:val="24"/>
          <w:szCs w:val="21"/>
        </w:rPr>
      </w:pPr>
      <w:r>
        <w:rPr>
          <w:rFonts w:hint="eastAsia" w:ascii="宋体" w:hAnsi="宋体"/>
          <w:color w:val="000000"/>
          <w:sz w:val="24"/>
          <w:szCs w:val="21"/>
        </w:rPr>
        <w:t xml:space="preserve">供应商全称（加盖CA电子公章）：</w:t>
      </w:r>
      <w:r/>
    </w:p>
    <w:p>
      <w:pPr>
        <w:pStyle w:val="895"/>
        <w:ind w:left="420" w:firstLine="480"/>
        <w:jc w:val="right"/>
        <w:spacing w:line="420" w:lineRule="exact"/>
        <w:rPr>
          <w:rFonts w:hint="eastAsia" w:ascii="宋体" w:hAnsi="宋体"/>
          <w:color w:val="000000"/>
          <w:sz w:val="24"/>
          <w:szCs w:val="21"/>
        </w:rPr>
      </w:pPr>
      <w:r>
        <w:rPr>
          <w:rFonts w:hint="eastAsia" w:ascii="宋体" w:hAnsi="宋体"/>
          <w:color w:val="000000"/>
          <w:sz w:val="24"/>
          <w:szCs w:val="21"/>
        </w:rPr>
        <w:t xml:space="preserve">日        期：___年____月____日</w:t>
      </w:r>
      <w:r>
        <w:rPr>
          <w:rFonts w:hint="eastAsia" w:ascii="宋体" w:hAnsi="宋体"/>
          <w:color w:val="000000"/>
          <w:sz w:val="24"/>
          <w:szCs w:val="21"/>
        </w:rPr>
      </w:r>
      <w:r/>
    </w:p>
    <w:p>
      <w:pPr>
        <w:pStyle w:val="895"/>
        <w:ind w:firstLine="0"/>
        <w:jc w:val="left"/>
        <w:spacing w:line="560" w:lineRule="exact"/>
        <w:rPr>
          <w:rFonts w:hint="eastAsia" w:ascii="宋体" w:hAnsi="宋体"/>
          <w:b/>
          <w:sz w:val="24"/>
          <w:szCs w:val="21"/>
        </w:rPr>
      </w:pPr>
      <w:r>
        <w:rPr>
          <w:rFonts w:hint="eastAsia" w:ascii="宋体" w:hAnsi="宋体"/>
          <w:b/>
          <w:sz w:val="24"/>
          <w:szCs w:val="21"/>
        </w:rPr>
        <w:t xml:space="preserve">        附件</w:t>
      </w:r>
      <w:r>
        <w:rPr>
          <w:rFonts w:ascii="宋体" w:hAnsi="宋体"/>
          <w:b/>
          <w:sz w:val="24"/>
          <w:szCs w:val="21"/>
        </w:rPr>
        <w:t xml:space="preserve">9</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rPr>
        <w:t xml:space="preserve">中小微企业声明函（货物类项目）（采购包号：**）</w:t>
      </w:r>
      <w:r/>
    </w:p>
    <w:p>
      <w:pPr>
        <w:pStyle w:val="895"/>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项目（项目名称）（采购包号：**）的采购活动，提供的货物全部由符合政策要求的中小微企业制造。相关企业（含联合体中的中小微企业、签订采购包意向协议的中小微企业）的具体情况如下：</w:t>
      </w:r>
      <w:r/>
    </w:p>
    <w:p>
      <w:pPr>
        <w:pStyle w:val="895"/>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95"/>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95"/>
        <w:ind w:firstLine="360"/>
        <w:spacing w:line="400" w:lineRule="exact"/>
        <w:rPr>
          <w:rFonts w:hint="eastAsia" w:ascii="宋体" w:hAnsi="宋体"/>
          <w:sz w:val="24"/>
          <w:szCs w:val="24"/>
        </w:rPr>
      </w:pPr>
      <w:r>
        <w:rPr>
          <w:rFonts w:hint="eastAsia" w:ascii="宋体" w:hAnsi="宋体"/>
          <w:sz w:val="24"/>
          <w:szCs w:val="24"/>
        </w:rPr>
        <w:t xml:space="preserve">……</w:t>
      </w:r>
      <w:r/>
    </w:p>
    <w:p>
      <w:pPr>
        <w:pStyle w:val="895"/>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895"/>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895"/>
        <w:ind w:right="720"/>
        <w:spacing w:line="400" w:lineRule="exact"/>
        <w:rPr>
          <w:rFonts w:hint="eastAsia" w:ascii="宋体" w:hAnsi="宋体"/>
          <w:sz w:val="24"/>
          <w:szCs w:val="24"/>
        </w:rPr>
      </w:pPr>
      <w:r>
        <w:rPr>
          <w:rFonts w:hint="eastAsia" w:ascii="宋体" w:hAnsi="宋体"/>
          <w:sz w:val="24"/>
          <w:szCs w:val="24"/>
        </w:rPr>
      </w:r>
      <w:r/>
    </w:p>
    <w:p>
      <w:pPr>
        <w:pStyle w:val="895"/>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pStyle w:val="895"/>
        <w:ind w:right="480" w:firstLine="4560"/>
        <w:spacing w:line="400" w:lineRule="exact"/>
        <w:rPr>
          <w:rFonts w:hint="eastAsia" w:ascii="宋体" w:hAnsi="宋体"/>
          <w:sz w:val="24"/>
          <w:szCs w:val="24"/>
        </w:rPr>
      </w:pPr>
      <w:r>
        <w:rPr>
          <w:rFonts w:hint="eastAsia" w:ascii="宋体" w:hAnsi="宋体"/>
          <w:sz w:val="24"/>
          <w:szCs w:val="24"/>
        </w:rPr>
        <w:t xml:space="preserve">日  期：</w:t>
      </w:r>
      <w:r>
        <w:rPr>
          <w:rFonts w:hint="eastAsia" w:ascii="宋体" w:hAnsi="宋体"/>
          <w:color w:val="000000"/>
          <w:sz w:val="24"/>
          <w:szCs w:val="21"/>
        </w:rPr>
        <w:t xml:space="preserve">___年____月____日</w:t>
      </w:r>
      <w:r>
        <w:rPr>
          <w:rFonts w:hint="eastAsia" w:ascii="宋体" w:hAnsi="宋体"/>
          <w:sz w:val="24"/>
          <w:szCs w:val="24"/>
        </w:rPr>
      </w:r>
      <w:r/>
    </w:p>
    <w:p>
      <w:pPr>
        <w:pStyle w:val="895"/>
        <w:spacing w:line="400" w:lineRule="exact"/>
        <w:rPr>
          <w:rFonts w:hint="eastAsia" w:ascii="宋体" w:hAnsi="宋体"/>
          <w:sz w:val="24"/>
          <w:szCs w:val="24"/>
        </w:rPr>
      </w:pPr>
      <w:r>
        <w:rPr>
          <w:rFonts w:hint="eastAsia"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pStyle w:val="895"/>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895"/>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w:t>
      </w:r>
      <w:r>
        <w:rPr>
          <w:rFonts w:ascii="宋体" w:hAnsi="宋体"/>
          <w:sz w:val="24"/>
          <w:szCs w:val="24"/>
        </w:rPr>
      </w:r>
      <w:r/>
    </w:p>
    <w:p>
      <w:pPr>
        <w:pStyle w:val="895"/>
        <w:spacing w:line="400" w:lineRule="exact"/>
        <w:rPr>
          <w:rFonts w:hint="eastAsia" w:ascii="黑体" w:hAnsi="黑体" w:eastAsia="黑体"/>
          <w:b/>
          <w:color w:val="000000"/>
          <w:sz w:val="32"/>
          <w:szCs w:val="32"/>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宋体" w:hAnsi="宋体"/>
          <w:color w:val="ff0000"/>
          <w:sz w:val="24"/>
          <w:szCs w:val="24"/>
        </w:rPr>
        <w:t xml:space="preserve">                                    </w:t>
      </w:r>
      <w:r>
        <w:rPr>
          <w:rFonts w:hint="eastAsia" w:ascii="黑体" w:hAnsi="黑体" w:eastAsia="黑体"/>
          <w:b/>
          <w:color w:val="000000"/>
          <w:sz w:val="32"/>
          <w:szCs w:val="32"/>
        </w:rPr>
      </w:r>
      <w:r/>
    </w:p>
    <w:p>
      <w:pPr>
        <w:pStyle w:val="895"/>
        <w:spacing w:line="40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95"/>
        <w:spacing w:line="40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95"/>
        <w:spacing w:line="40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95"/>
        <w:spacing w:line="400" w:lineRule="exact"/>
        <w:rPr>
          <w:rFonts w:hint="eastAsia" w:ascii="宋体" w:hAnsi="宋体"/>
          <w:color w:val="ff0000"/>
          <w:sz w:val="24"/>
          <w:szCs w:val="24"/>
        </w:rPr>
      </w:pP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残疾人福利性单位声明函（货物类项目）（采购包号：**）</w:t>
      </w:r>
      <w:r>
        <w:rPr>
          <w:rFonts w:hint="eastAsia" w:ascii="宋体" w:hAnsi="宋体"/>
          <w:color w:val="ff0000"/>
          <w:sz w:val="24"/>
          <w:szCs w:val="24"/>
        </w:rPr>
      </w:r>
      <w:r/>
    </w:p>
    <w:p>
      <w:pPr>
        <w:pStyle w:val="895"/>
        <w:ind w:firstLine="480"/>
        <w:spacing w:line="400"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中国残疾人联合会关于促进残疾人就业政府采购政策的通知》（财库〔2017〕141号）的规定，本单位为符合条件的残疾人福利性单位，且本单位参加______单位采购编号为</w:t>
      </w:r>
      <w:r>
        <w:rPr>
          <w:rFonts w:hint="eastAsia"/>
          <w:color w:val="000000"/>
          <w:sz w:val="24"/>
          <w:szCs w:val="24"/>
        </w:rPr>
        <w:t xml:space="preserve">JSZC-320000-SCZX-G20**-****</w:t>
      </w:r>
      <w:r>
        <w:rPr>
          <w:rFonts w:hint="eastAsia" w:ascii="宋体" w:hAnsi="宋体"/>
          <w:sz w:val="24"/>
          <w:szCs w:val="21"/>
        </w:rPr>
        <w:t xml:space="preserve">，</w:t>
      </w:r>
      <w:r>
        <w:rPr>
          <w:rFonts w:hint="eastAsia" w:ascii="宋体" w:hAnsi="宋体"/>
          <w:sz w:val="24"/>
          <w:szCs w:val="21"/>
          <w:u w:val="single"/>
        </w:rPr>
        <w:t xml:space="preserve">      </w:t>
      </w:r>
      <w:r>
        <w:rPr>
          <w:rFonts w:hint="eastAsia" w:ascii="宋体" w:hAnsi="宋体"/>
          <w:sz w:val="24"/>
          <w:szCs w:val="21"/>
        </w:rPr>
        <w:t xml:space="preserve">项目</w:t>
      </w:r>
      <w:r>
        <w:rPr>
          <w:rFonts w:hint="eastAsia" w:ascii="宋体" w:hAnsi="宋体"/>
          <w:sz w:val="24"/>
          <w:szCs w:val="24"/>
        </w:rPr>
        <w:t xml:space="preserve">（项目名称）</w:t>
      </w:r>
      <w:r>
        <w:rPr>
          <w:rFonts w:hint="eastAsia" w:ascii="宋体" w:hAnsi="宋体"/>
          <w:sz w:val="24"/>
          <w:szCs w:val="21"/>
        </w:rPr>
        <w:t xml:space="preserve">（采购包号：**）采购活动提供本单位制造的货物，或者提供其他残疾人福利性单位制造的货物（不包括使用非残疾人福利性单位注册商标的货物）。</w:t>
      </w:r>
      <w:r/>
    </w:p>
    <w:p>
      <w:pPr>
        <w:pStyle w:val="895"/>
        <w:ind w:firstLine="480"/>
        <w:spacing w:line="400"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pStyle w:val="895"/>
        <w:ind w:firstLine="480"/>
        <w:spacing w:line="400" w:lineRule="exact"/>
        <w:rPr>
          <w:rFonts w:ascii="宋体" w:hAnsi="宋体"/>
          <w:sz w:val="24"/>
          <w:szCs w:val="21"/>
        </w:rPr>
      </w:pPr>
      <w:r>
        <w:rPr>
          <w:rFonts w:ascii="宋体" w:hAnsi="宋体"/>
          <w:sz w:val="24"/>
          <w:szCs w:val="21"/>
        </w:rPr>
      </w:r>
      <w:r/>
    </w:p>
    <w:p>
      <w:pPr>
        <w:pStyle w:val="895"/>
        <w:ind w:firstLine="480"/>
        <w:spacing w:line="400" w:lineRule="exact"/>
        <w:rPr>
          <w:rFonts w:ascii="宋体" w:hAnsi="宋体"/>
          <w:sz w:val="24"/>
          <w:szCs w:val="21"/>
        </w:rPr>
      </w:pPr>
      <w:r>
        <w:rPr>
          <w:rFonts w:hint="eastAsia" w:ascii="宋体" w:hAnsi="宋体"/>
          <w:sz w:val="24"/>
          <w:szCs w:val="21"/>
        </w:rPr>
        <w:t xml:space="preserve">备注：</w:t>
      </w:r>
      <w:r>
        <w:rPr>
          <w:rFonts w:ascii="宋体" w:hAnsi="宋体"/>
          <w:sz w:val="24"/>
          <w:szCs w:val="21"/>
        </w:rPr>
      </w:r>
      <w:r/>
    </w:p>
    <w:p>
      <w:pPr>
        <w:pStyle w:val="895"/>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rPr>
          <w:rFonts w:ascii="宋体" w:hAnsi="宋体"/>
          <w:sz w:val="24"/>
          <w:szCs w:val="21"/>
        </w:rPr>
      </w:r>
      <w:r/>
    </w:p>
    <w:p>
      <w:pPr>
        <w:pStyle w:val="895"/>
        <w:ind w:firstLine="480"/>
        <w:spacing w:line="400" w:lineRule="exact"/>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rPr>
          <w:rFonts w:ascii="宋体" w:hAnsi="宋体"/>
          <w:sz w:val="24"/>
          <w:szCs w:val="21"/>
        </w:rPr>
      </w:r>
      <w:r/>
    </w:p>
    <w:p>
      <w:pPr>
        <w:pStyle w:val="895"/>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rPr>
          <w:rFonts w:ascii="宋体" w:hAnsi="宋体"/>
          <w:sz w:val="24"/>
          <w:szCs w:val="21"/>
        </w:rPr>
      </w:r>
      <w:r/>
    </w:p>
    <w:p>
      <w:pPr>
        <w:pStyle w:val="895"/>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95"/>
        <w:ind w:right="1559" w:firstLine="624"/>
        <w:jc w:val="center"/>
        <w:spacing w:line="400" w:lineRule="exact"/>
        <w:tabs>
          <w:tab w:val="left" w:pos="4860" w:leader="none"/>
        </w:tabs>
        <w:rPr>
          <w:rFonts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供应商全称（加盖CA电子公章）：</w:t>
      </w:r>
      <w:r>
        <w:rPr>
          <w:rFonts w:ascii="宋体" w:hAnsi="宋体"/>
          <w:sz w:val="24"/>
          <w:szCs w:val="21"/>
        </w:rPr>
      </w:r>
      <w:r/>
    </w:p>
    <w:p>
      <w:pPr>
        <w:pStyle w:val="895"/>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日  期：</w:t>
      </w:r>
      <w:r>
        <w:rPr>
          <w:rFonts w:hint="eastAsia" w:ascii="宋体" w:hAnsi="宋体"/>
          <w:color w:val="000000"/>
          <w:sz w:val="24"/>
          <w:szCs w:val="21"/>
        </w:rPr>
        <w:t xml:space="preserve">___年____月____日</w:t>
      </w:r>
      <w:r>
        <w:rPr>
          <w:rFonts w:hint="eastAsia" w:ascii="宋体" w:hAnsi="宋体" w:cs="宋体"/>
          <w:sz w:val="24"/>
          <w:szCs w:val="24"/>
          <w:shd w:val="clear" w:color="auto" w:fill="ffffff"/>
        </w:rPr>
        <w:t xml:space="preserve"> </w:t>
      </w:r>
      <w:r>
        <w:rPr>
          <w:rFonts w:ascii="宋体" w:hAnsi="宋体"/>
          <w:sz w:val="24"/>
          <w:szCs w:val="21"/>
        </w:rPr>
      </w:r>
      <w:r/>
    </w:p>
    <w:p>
      <w:pPr>
        <w:pStyle w:val="89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5"/>
        <w:jc w:val="center"/>
        <w:spacing w:line="560" w:lineRule="exac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11</w:t>
      </w:r>
      <w:r>
        <w:rPr>
          <w:rFonts w:hint="eastAsia" w:ascii="宋体" w:hAnsi="宋体"/>
          <w:b/>
          <w:sz w:val="24"/>
          <w:szCs w:val="24"/>
        </w:rPr>
        <w:t xml:space="preserve"> 联合体协议（参考格式）（采购包号：**）</w:t>
      </w:r>
      <w:r>
        <w:rPr>
          <w:rFonts w:ascii="宋体" w:hAnsi="宋体"/>
          <w:b/>
          <w:sz w:val="24"/>
          <w:szCs w:val="24"/>
        </w:rPr>
      </w:r>
      <w:r/>
    </w:p>
    <w:p>
      <w:pPr>
        <w:pStyle w:val="895"/>
        <w:spacing w:line="400" w:lineRule="exact"/>
        <w:rPr>
          <w:rFonts w:ascii="宋体" w:hAnsi="宋体"/>
          <w:sz w:val="24"/>
          <w:szCs w:val="21"/>
        </w:rPr>
      </w:pPr>
      <w:r>
        <w:rPr>
          <w:rFonts w:hint="eastAsia" w:ascii="宋体" w:hAnsi="宋体"/>
          <w:sz w:val="24"/>
          <w:szCs w:val="21"/>
        </w:rPr>
        <w:t xml:space="preserve">（联合体中各供应商全称）在此达成以下协议：</w:t>
      </w:r>
      <w:r>
        <w:rPr>
          <w:rFonts w:ascii="宋体" w:hAnsi="宋体"/>
          <w:sz w:val="24"/>
          <w:szCs w:val="21"/>
        </w:rPr>
      </w:r>
      <w:r/>
    </w:p>
    <w:p>
      <w:pPr>
        <w:pStyle w:val="895"/>
        <w:ind w:firstLine="645"/>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color w:val="000000"/>
          <w:sz w:val="24"/>
          <w:szCs w:val="24"/>
        </w:rPr>
        <w:t xml:space="preserve">JSZC-320000-SCZX-G20**-****</w:t>
      </w:r>
      <w:r>
        <w:rPr>
          <w:rFonts w:hint="eastAsia" w:ascii="宋体" w:hAnsi="宋体"/>
          <w:sz w:val="24"/>
          <w:szCs w:val="21"/>
        </w:rPr>
        <w:t xml:space="preserve">， </w:t>
      </w:r>
      <w:r>
        <w:rPr>
          <w:rFonts w:hint="eastAsia" w:ascii="宋体" w:hAnsi="宋体"/>
          <w:sz w:val="24"/>
          <w:szCs w:val="21"/>
          <w:u w:val="single"/>
        </w:rPr>
        <w:t xml:space="preserve">    </w:t>
      </w:r>
      <w:r>
        <w:rPr>
          <w:rFonts w:hint="eastAsia" w:ascii="宋体" w:hAnsi="宋体"/>
          <w:sz w:val="24"/>
          <w:szCs w:val="21"/>
        </w:rPr>
        <w:t xml:space="preserve">项目</w:t>
      </w:r>
      <w:r>
        <w:rPr>
          <w:rFonts w:hint="eastAsia" w:ascii="宋体" w:hAnsi="宋体"/>
          <w:sz w:val="24"/>
          <w:szCs w:val="24"/>
        </w:rPr>
        <w:t xml:space="preserve">（项目名称）</w:t>
      </w:r>
      <w:r>
        <w:rPr>
          <w:rFonts w:hint="eastAsia" w:ascii="宋体" w:hAnsi="宋体"/>
          <w:sz w:val="24"/>
          <w:szCs w:val="21"/>
        </w:rPr>
        <w:t xml:space="preserve">（采购包号：**）的政府采购活动，我联合体指定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895"/>
        <w:ind w:firstLine="645"/>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895"/>
        <w:ind w:firstLine="645"/>
        <w:spacing w:line="40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pStyle w:val="895"/>
        <w:ind w:firstLine="645"/>
        <w:spacing w:line="400" w:lineRule="exact"/>
        <w:rPr>
          <w:rFonts w:hint="eastAsia" w:ascii="宋体" w:hAnsi="宋体"/>
          <w:sz w:val="24"/>
          <w:szCs w:val="21"/>
        </w:rPr>
      </w:pPr>
      <w:r>
        <w:rPr>
          <w:rFonts w:hint="eastAsia" w:ascii="宋体" w:hAnsi="宋体"/>
          <w:sz w:val="24"/>
          <w:szCs w:val="21"/>
        </w:rPr>
      </w:r>
      <w:r/>
    </w:p>
    <w:p>
      <w:pPr>
        <w:pStyle w:val="895"/>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pStyle w:val="895"/>
        <w:ind w:firstLine="646"/>
        <w:jc w:val="right"/>
        <w:spacing w:line="40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pStyle w:val="895"/>
        <w:ind w:firstLine="646"/>
        <w:spacing w:line="40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hint="eastAsia" w:ascii="宋体" w:hAnsi="宋体"/>
          <w:color w:val="000000"/>
          <w:sz w:val="24"/>
          <w:szCs w:val="21"/>
        </w:rPr>
        <w:t xml:space="preserve">___年____月____日</w:t>
      </w:r>
      <w:r>
        <w:rPr>
          <w:rFonts w:hint="eastAsia" w:ascii="宋体" w:hAnsi="宋体" w:cs="宋体"/>
          <w:sz w:val="24"/>
          <w:szCs w:val="24"/>
          <w:shd w:val="clear" w:color="auto" w:fill="ffffff"/>
        </w:rPr>
        <w:t xml:space="preserve"> </w:t>
      </w:r>
      <w:r>
        <w:rPr>
          <w:rFonts w:ascii="宋体" w:hAnsi="宋体"/>
          <w:sz w:val="24"/>
          <w:szCs w:val="21"/>
        </w:rPr>
      </w:r>
      <w:r/>
    </w:p>
    <w:p>
      <w:pPr>
        <w:pStyle w:val="895"/>
        <w:ind w:firstLine="645"/>
        <w:spacing w:line="400" w:lineRule="exact"/>
        <w:rPr>
          <w:rFonts w:ascii="宋体" w:hAnsi="宋体"/>
          <w:sz w:val="24"/>
          <w:szCs w:val="21"/>
        </w:rPr>
      </w:pPr>
      <w:r>
        <w:rPr>
          <w:rFonts w:ascii="宋体" w:hAnsi="宋体"/>
          <w:sz w:val="24"/>
          <w:szCs w:val="21"/>
        </w:rPr>
      </w:r>
      <w:r/>
    </w:p>
    <w:p>
      <w:pPr>
        <w:pStyle w:val="895"/>
        <w:ind w:firstLine="645"/>
        <w:spacing w:line="400" w:lineRule="exact"/>
        <w:rPr>
          <w:rFonts w:ascii="宋体" w:hAnsi="宋体"/>
          <w:sz w:val="24"/>
          <w:szCs w:val="21"/>
        </w:rPr>
      </w:pPr>
      <w:r>
        <w:rPr>
          <w:rFonts w:ascii="宋体" w:hAnsi="宋体"/>
          <w:sz w:val="24"/>
          <w:szCs w:val="21"/>
        </w:rPr>
      </w:r>
      <w:r/>
    </w:p>
    <w:p>
      <w:pPr>
        <w:pStyle w:val="895"/>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rPr>
          <w:rFonts w:ascii="宋体" w:hAnsi="宋体"/>
          <w:sz w:val="24"/>
          <w:szCs w:val="21"/>
        </w:rPr>
      </w:r>
      <w:r/>
    </w:p>
    <w:p>
      <w:pPr>
        <w:pStyle w:val="895"/>
        <w:rPr>
          <w:color w:val="000000"/>
          <w:szCs w:val="21"/>
        </w:rPr>
      </w:pPr>
      <w:r>
        <w:rPr>
          <w:color w:val="000000"/>
          <w:szCs w:val="21"/>
        </w:rPr>
      </w:r>
      <w:r/>
    </w:p>
    <w:p>
      <w:pPr>
        <w:pStyle w:val="895"/>
        <w:rPr>
          <w:rFonts w:hint="eastAsia"/>
          <w:color w:val="000000"/>
          <w:szCs w:val="21"/>
        </w:rPr>
      </w:pPr>
      <w:r>
        <w:rPr>
          <w:rFonts w:hint="eastAsia"/>
          <w:color w:val="000000"/>
          <w:szCs w:val="21"/>
        </w:rPr>
      </w:r>
      <w:r/>
    </w:p>
    <w:p>
      <w:pPr>
        <w:pStyle w:val="895"/>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实质性要求响应及偏离表（采购包号：**）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sz w:val="24"/>
                <w:szCs w:val="24"/>
              </w:rPr>
            </w:r>
            <w:r/>
          </w:p>
        </w:tc>
        <w:tc>
          <w:tcPr>
            <w:tcW w:w="3317"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895"/>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r>
    </w:tbl>
    <w:p>
      <w:pPr>
        <w:pStyle w:val="895"/>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pStyle w:val="895"/>
        <w:spacing w:line="400" w:lineRule="exact"/>
        <w:rPr>
          <w:rFonts w:ascii="宋体" w:hAnsi="宋体"/>
          <w:sz w:val="24"/>
          <w:szCs w:val="24"/>
        </w:rPr>
      </w:pPr>
      <w:r>
        <w:rPr>
          <w:rFonts w:ascii="宋体" w:hAnsi="宋体"/>
          <w:sz w:val="24"/>
          <w:szCs w:val="24"/>
        </w:rPr>
      </w:r>
      <w:r/>
    </w:p>
    <w:p>
      <w:pPr>
        <w:pStyle w:val="895"/>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95"/>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95"/>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895"/>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pStyle w:val="895"/>
        <w:spacing w:line="400" w:lineRule="exact"/>
        <w:rPr>
          <w:rFonts w:hint="eastAsia" w:ascii="宋体" w:hAnsi="宋体"/>
          <w:sz w:val="24"/>
          <w:szCs w:val="24"/>
        </w:rPr>
      </w:pPr>
      <w:r>
        <w:rPr>
          <w:rFonts w:hint="eastAsia" w:ascii="宋体" w:hAnsi="宋体"/>
          <w:sz w:val="24"/>
          <w:szCs w:val="24"/>
        </w:rPr>
      </w:r>
      <w:r/>
    </w:p>
    <w:p>
      <w:pPr>
        <w:pStyle w:val="895"/>
        <w:spacing w:line="400" w:lineRule="exact"/>
        <w:rPr>
          <w:rFonts w:hint="eastAsia" w:ascii="宋体" w:hAnsi="宋体"/>
          <w:sz w:val="24"/>
          <w:szCs w:val="24"/>
        </w:rPr>
      </w:pPr>
      <w:r>
        <w:rPr>
          <w:rFonts w:hint="eastAsia" w:ascii="宋体" w:hAnsi="宋体"/>
          <w:sz w:val="24"/>
          <w:szCs w:val="24"/>
        </w:rPr>
      </w:r>
      <w:r/>
    </w:p>
    <w:p>
      <w:pPr>
        <w:jc w:val="center"/>
        <w:rPr>
          <w:rFonts w:hint="eastAsia" w:ascii="宋体" w:hAnsi="宋体" w:cs="宋体"/>
          <w:sz w:val="24"/>
          <w:szCs w:val="24"/>
        </w:rPr>
      </w:pPr>
      <w:r>
        <w:rPr>
          <w:rFonts w:hint="eastAsia" w:ascii="宋体" w:hAnsi="宋体" w:cs="宋体"/>
          <w:b/>
          <w:sz w:val="24"/>
          <w:szCs w:val="24"/>
          <w:highlight w:val="none"/>
        </w:rPr>
      </w:r>
      <w:r>
        <w:rPr>
          <w:rFonts w:hint="eastAsia" w:ascii="宋体" w:hAnsi="宋体" w:cs="宋体"/>
          <w:b/>
          <w:sz w:val="24"/>
          <w:szCs w:val="24"/>
          <w:highlight w:val="none"/>
        </w:rPr>
      </w:r>
      <w:r/>
    </w:p>
    <w:p>
      <w:pPr>
        <w:jc w:val="center"/>
        <w:rPr>
          <w:rFonts w:hint="eastAsia" w:ascii="宋体" w:hAnsi="宋体" w:cs="宋体"/>
          <w:b/>
          <w:bCs/>
          <w:sz w:val="24"/>
          <w:szCs w:val="24"/>
          <w:highlight w:val="none"/>
        </w:rPr>
      </w:pPr>
      <w:r>
        <w:rPr>
          <w:rFonts w:hint="eastAsia" w:ascii="宋体" w:hAnsi="宋体" w:cs="宋体"/>
          <w:b/>
          <w:sz w:val="24"/>
          <w:szCs w:val="24"/>
          <w:highlight w:val="none"/>
        </w:rPr>
      </w:r>
      <w:r>
        <w:rPr>
          <w:rFonts w:hint="eastAsia" w:ascii="宋体" w:hAnsi="宋体" w:cs="宋体"/>
          <w:b/>
          <w:sz w:val="24"/>
          <w:szCs w:val="24"/>
          <w:highlight w:val="none"/>
        </w:rPr>
      </w:r>
      <w:r/>
    </w:p>
    <w:p>
      <w:pPr>
        <w:jc w:val="center"/>
        <w:rPr>
          <w:rFonts w:hint="eastAsia" w:ascii="宋体" w:hAnsi="宋体" w:cs="宋体"/>
          <w:b/>
          <w:bCs/>
          <w:sz w:val="24"/>
          <w:szCs w:val="24"/>
          <w:highlight w:val="none"/>
        </w:rPr>
      </w:pPr>
      <w:r>
        <w:rPr>
          <w:rFonts w:hint="eastAsia" w:ascii="宋体" w:hAnsi="宋体" w:cs="宋体"/>
          <w:b/>
          <w:sz w:val="24"/>
          <w:szCs w:val="24"/>
          <w:highlight w:val="none"/>
        </w:rPr>
      </w:r>
      <w:r>
        <w:rPr>
          <w:rFonts w:hint="eastAsia" w:ascii="宋体" w:hAnsi="宋体" w:cs="宋体"/>
          <w:b/>
          <w:sz w:val="24"/>
          <w:szCs w:val="24"/>
          <w:highlight w:val="none"/>
        </w:rPr>
      </w:r>
      <w:r/>
    </w:p>
    <w:p>
      <w:pPr>
        <w:pStyle w:val="895"/>
        <w:jc w:val="center"/>
        <w:rPr>
          <w:rFonts w:hint="eastAsia" w:ascii="宋体" w:hAnsi="宋体" w:cs="宋体"/>
          <w:b/>
          <w:bCs/>
          <w:sz w:val="24"/>
          <w:szCs w:val="24"/>
          <w:highlight w:val="none"/>
        </w:rPr>
      </w:pPr>
      <w:r>
        <w:rPr>
          <w:rFonts w:hint="eastAsia" w:ascii="宋体" w:hAnsi="宋体" w:cs="宋体"/>
          <w:b/>
          <w:sz w:val="24"/>
          <w:szCs w:val="24"/>
        </w:rPr>
        <w:t xml:space="preserve">附件13  关于符合本国产品标准的声明函（采购包号：**）</w:t>
      </w:r>
      <w:r>
        <w:rPr>
          <w:rFonts w:hint="eastAsia" w:ascii="宋体" w:hAnsi="宋体" w:cs="宋体"/>
          <w:sz w:val="24"/>
          <w:szCs w:val="24"/>
        </w:rPr>
      </w:r>
      <w:r/>
    </w:p>
    <w:p>
      <w:pPr>
        <w:pStyle w:val="958"/>
        <w:ind w:firstLine="420"/>
        <w:spacing w:before="0" w:beforeAutospacing="0" w:after="0" w:afterAutospacing="0" w:line="0" w:lineRule="atLeast"/>
        <w:rPr>
          <w:rFonts w:hint="eastAsia"/>
        </w:rPr>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58"/>
        <w:ind w:firstLine="420"/>
        <w:spacing w:before="30" w:beforeAutospacing="0" w:after="30" w:afterAutospacing="0" w:line="0" w:lineRule="atLeast"/>
        <w:rPr>
          <w:rFonts w:hint="eastAsia"/>
        </w:rPr>
      </w:pPr>
      <w:r>
        <w:rPr>
          <w:rFonts w:hint="eastAsia"/>
          <w:shd w:val="clear" w:color="auto" w:fill="ffffff"/>
        </w:rPr>
        <w:t xml:space="preserve">1.</w:t>
      </w:r>
      <w:r>
        <w:rPr>
          <w:rStyle w:val="970"/>
          <w:rFonts w:hint="eastAsia"/>
          <w:i w:val="0"/>
          <w:u w:val="single"/>
          <w:shd w:val="clear" w:color="auto" w:fill="ffffff"/>
        </w:rPr>
        <w:t xml:space="preserve">（产品名称1）</w:t>
      </w:r>
      <w:r>
        <w:rPr>
          <w:rStyle w:val="970"/>
          <w:rFonts w:hint="eastAsia"/>
          <w:i w:val="0"/>
          <w:shd w:val="clear" w:color="auto" w:fill="ffffff"/>
          <w:vertAlign w:val="superscript"/>
        </w:rPr>
        <w:t xml:space="preserve">1</w:t>
      </w:r>
      <w:r>
        <w:rPr>
          <w:rFonts w:hint="eastAsia"/>
          <w:shd w:val="clear" w:color="auto" w:fill="ffffff"/>
        </w:rPr>
        <w:t xml:space="preserve">，生产厂为</w:t>
      </w:r>
      <w:r>
        <w:rPr>
          <w:rStyle w:val="970"/>
          <w:rFonts w:hint="eastAsia"/>
          <w:i w:val="0"/>
          <w:u w:val="single"/>
          <w:shd w:val="clear" w:color="auto" w:fill="ffffff"/>
        </w:rPr>
        <w:t xml:space="preserve">（厂名）</w:t>
      </w:r>
      <w:r>
        <w:rPr>
          <w:rStyle w:val="970"/>
          <w:rFonts w:hint="eastAsia"/>
          <w:i w:val="0"/>
          <w:shd w:val="clear" w:color="auto" w:fill="ffffff"/>
          <w:vertAlign w:val="superscript"/>
        </w:rPr>
        <w:t xml:space="preserve">2</w:t>
      </w:r>
      <w:r>
        <w:rPr>
          <w:rFonts w:hint="eastAsia"/>
          <w:shd w:val="clear" w:color="auto" w:fill="ffffff"/>
        </w:rPr>
        <w:t xml:space="preserve">，厂址为</w:t>
      </w:r>
      <w:r>
        <w:rPr>
          <w:rStyle w:val="970"/>
          <w:rFonts w:hint="eastAsia"/>
          <w:i w:val="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970"/>
          <w:rFonts w:hint="eastAsia"/>
          <w:i w:val="0"/>
          <w:u w:val="single"/>
          <w:shd w:val="clear" w:color="auto" w:fill="ffffff"/>
        </w:rPr>
        <w:t xml:space="preserve">/ </w:t>
      </w:r>
      <w:r>
        <w:rPr>
          <w:rFonts w:hint="eastAsia"/>
          <w:shd w:val="clear" w:color="auto" w:fill="ffffff"/>
        </w:rPr>
        <w:t xml:space="preserve">的中国境内生产的组件成本占比≥</w:t>
      </w:r>
      <w:r>
        <w:rPr>
          <w:rFonts w:hint="eastAsia"/>
          <w:u w:val="single"/>
          <w:shd w:val="clear" w:color="auto" w:fill="ffffff"/>
        </w:rPr>
        <w:t xml:space="preserve">  </w:t>
      </w:r>
      <w:r>
        <w:rPr>
          <w:rStyle w:val="970"/>
          <w:rFonts w:hint="eastAsia"/>
          <w:i w:val="0"/>
          <w:u w:val="single"/>
          <w:shd w:val="clear" w:color="auto" w:fill="ffffff"/>
        </w:rPr>
        <w:t xml:space="preserve">/  </w:t>
      </w:r>
      <w:r>
        <w:rPr>
          <w:rStyle w:val="970"/>
          <w:rFonts w:hint="eastAsia"/>
          <w:i w:val="0"/>
          <w:shd w:val="clear" w:color="auto" w:fill="ffffff"/>
          <w:vertAlign w:val="superscript"/>
        </w:rPr>
        <w:t xml:space="preserve">3</w:t>
      </w:r>
      <w:r>
        <w:rPr>
          <w:rFonts w:hint="eastAsia"/>
          <w:shd w:val="clear" w:color="auto" w:fill="ffffff"/>
        </w:rPr>
        <w:t xml:space="preserve">。</w:t>
      </w:r>
      <w:r>
        <w:rPr>
          <w:rFonts w:hint="eastAsia"/>
          <w:u w:val="single"/>
          <w:shd w:val="clear" w:color="auto" w:fill="ffffff"/>
        </w:rPr>
        <w:t xml:space="preserve">  </w:t>
      </w:r>
      <w:r>
        <w:rPr>
          <w:rStyle w:val="970"/>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970"/>
          <w:rFonts w:hint="eastAsia"/>
          <w:i w:val="0"/>
          <w:u w:val="single"/>
          <w:shd w:val="clear" w:color="auto" w:fill="ffffff"/>
        </w:rPr>
        <w:t xml:space="preserve">/  </w:t>
      </w:r>
      <w:r>
        <w:rPr>
          <w:rStyle w:val="970"/>
          <w:rFonts w:hint="eastAsia"/>
          <w:i w:val="0"/>
          <w:shd w:val="clear" w:color="auto" w:fill="ffffff"/>
          <w:vertAlign w:val="superscript"/>
        </w:rPr>
        <w:t xml:space="preserve">4</w:t>
      </w:r>
      <w:r>
        <w:rPr>
          <w:rFonts w:hint="eastAsia"/>
          <w:shd w:val="clear" w:color="auto" w:fill="ffffff"/>
        </w:rPr>
        <w:t xml:space="preserve">在中国境内生产。</w:t>
      </w:r>
      <w:r>
        <w:rPr>
          <w:rFonts w:hint="eastAsia"/>
          <w:u w:val="single"/>
          <w:shd w:val="clear" w:color="auto" w:fill="ffffff"/>
        </w:rPr>
        <w:t xml:space="preserve">  </w:t>
      </w:r>
      <w:r>
        <w:rPr>
          <w:rStyle w:val="970"/>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970"/>
          <w:rFonts w:hint="eastAsia"/>
          <w:i w:val="0"/>
          <w:u w:val="single"/>
          <w:shd w:val="clear" w:color="auto" w:fill="ffffff"/>
        </w:rPr>
        <w:t xml:space="preserve">/  </w:t>
      </w:r>
      <w:r>
        <w:rPr>
          <w:rStyle w:val="970"/>
          <w:rFonts w:hint="eastAsia"/>
          <w:i w:val="0"/>
          <w:shd w:val="clear" w:color="auto" w:fill="ffffff"/>
          <w:vertAlign w:val="superscript"/>
        </w:rPr>
        <w:t xml:space="preserve">5</w:t>
      </w:r>
      <w:r>
        <w:rPr>
          <w:rFonts w:hint="eastAsia"/>
          <w:shd w:val="clear" w:color="auto" w:fill="ffffff"/>
        </w:rPr>
        <w:t xml:space="preserve">在中国境内完成。</w:t>
      </w:r>
      <w:r>
        <w:rPr>
          <w:rFonts w:hint="eastAsia"/>
        </w:rPr>
      </w:r>
      <w:r/>
    </w:p>
    <w:p>
      <w:pPr>
        <w:pStyle w:val="958"/>
        <w:ind w:firstLine="420"/>
        <w:spacing w:before="30" w:beforeAutospacing="0" w:after="30" w:afterAutospacing="0" w:line="0" w:lineRule="atLeast"/>
        <w:rPr>
          <w:rFonts w:hint="eastAsia"/>
        </w:rPr>
      </w:pPr>
      <w:r>
        <w:rPr>
          <w:rFonts w:hint="eastAsia"/>
          <w:shd w:val="clear" w:color="auto" w:fill="ffffff"/>
        </w:rPr>
        <w:t xml:space="preserve">2.</w:t>
      </w:r>
      <w:r>
        <w:rPr>
          <w:rStyle w:val="970"/>
          <w:rFonts w:hint="eastAsia"/>
          <w:i w:val="0"/>
          <w:u w:val="single"/>
          <w:shd w:val="clear" w:color="auto" w:fill="ffffff"/>
        </w:rPr>
        <w:t xml:space="preserve">（产品名称2）</w:t>
      </w:r>
      <w:r>
        <w:rPr>
          <w:rFonts w:hint="eastAsia"/>
          <w:shd w:val="clear" w:color="auto" w:fill="ffffff"/>
        </w:rPr>
        <w:t xml:space="preserve">，生产厂为</w:t>
      </w:r>
      <w:r>
        <w:rPr>
          <w:rStyle w:val="970"/>
          <w:rFonts w:hint="eastAsia"/>
          <w:i w:val="0"/>
          <w:u w:val="single"/>
          <w:shd w:val="clear" w:color="auto" w:fill="ffffff"/>
        </w:rPr>
        <w:t xml:space="preserve">（厂名）</w:t>
      </w:r>
      <w:r>
        <w:rPr>
          <w:rFonts w:hint="eastAsia"/>
          <w:shd w:val="clear" w:color="auto" w:fill="ffffff"/>
        </w:rPr>
        <w:t xml:space="preserve">，厂址为</w:t>
      </w:r>
      <w:r>
        <w:rPr>
          <w:rStyle w:val="970"/>
          <w:rFonts w:hint="eastAsia"/>
          <w:i w:val="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970"/>
          <w:rFonts w:hint="eastAsia"/>
          <w:i w:val="0"/>
          <w:u w:val="single"/>
          <w:shd w:val="clear" w:color="auto" w:fill="ffffff"/>
        </w:rPr>
        <w:t xml:space="preserve">/  </w:t>
      </w:r>
      <w:r>
        <w:rPr>
          <w:rFonts w:hint="eastAsia"/>
          <w:shd w:val="clear" w:color="auto" w:fill="ffffff"/>
        </w:rPr>
        <w:t xml:space="preserve">的中国境内生产的组件成本占比≥</w:t>
      </w:r>
      <w:r>
        <w:rPr>
          <w:rFonts w:hint="eastAsia"/>
          <w:u w:val="single"/>
          <w:shd w:val="clear" w:color="auto" w:fill="ffffff"/>
        </w:rPr>
        <w:t xml:space="preserve">  </w:t>
      </w:r>
      <w:r>
        <w:rPr>
          <w:rStyle w:val="970"/>
          <w:rFonts w:hint="eastAsia"/>
          <w:i w:val="0"/>
          <w:u w:val="single"/>
          <w:shd w:val="clear" w:color="auto" w:fill="ffffff"/>
        </w:rPr>
        <w:t xml:space="preserve">/  </w:t>
      </w:r>
      <w:r>
        <w:rPr>
          <w:rFonts w:hint="eastAsia"/>
          <w:shd w:val="clear" w:color="auto" w:fill="ffffff"/>
        </w:rPr>
        <w:t xml:space="preserve">。</w:t>
      </w:r>
      <w:r>
        <w:rPr>
          <w:rFonts w:hint="eastAsia"/>
          <w:u w:val="single"/>
          <w:shd w:val="clear" w:color="auto" w:fill="ffffff"/>
        </w:rPr>
        <w:t xml:space="preserve">  </w:t>
      </w:r>
      <w:r>
        <w:rPr>
          <w:rStyle w:val="970"/>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970"/>
          <w:rFonts w:hint="eastAsia"/>
          <w:i w:val="0"/>
          <w:u w:val="single"/>
          <w:shd w:val="clear" w:color="auto" w:fill="ffffff"/>
        </w:rPr>
        <w:t xml:space="preserve">/  </w:t>
      </w:r>
      <w:r>
        <w:rPr>
          <w:rFonts w:hint="eastAsia"/>
          <w:shd w:val="clear" w:color="auto" w:fill="ffffff"/>
        </w:rPr>
        <w:t xml:space="preserve">在中国境内生产。</w:t>
      </w:r>
      <w:r>
        <w:rPr>
          <w:rFonts w:hint="eastAsia"/>
          <w:u w:val="single"/>
          <w:shd w:val="clear" w:color="auto" w:fill="ffffff"/>
        </w:rPr>
        <w:t xml:space="preserve">  </w:t>
      </w:r>
      <w:r>
        <w:rPr>
          <w:rStyle w:val="970"/>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970"/>
          <w:rFonts w:hint="eastAsia"/>
          <w:i w:val="0"/>
          <w:u w:val="single"/>
          <w:shd w:val="clear" w:color="auto" w:fill="ffffff"/>
        </w:rPr>
        <w:t xml:space="preserve">/  </w:t>
      </w:r>
      <w:r>
        <w:rPr>
          <w:rFonts w:hint="eastAsia"/>
          <w:shd w:val="clear" w:color="auto" w:fill="ffffff"/>
        </w:rPr>
        <w:t xml:space="preserve">在中国境内完成。</w:t>
      </w:r>
      <w:r>
        <w:rPr>
          <w:rFonts w:hint="eastAsia"/>
        </w:rPr>
      </w:r>
      <w:r/>
    </w:p>
    <w:p>
      <w:pPr>
        <w:pStyle w:val="958"/>
        <w:ind w:firstLine="420"/>
        <w:spacing w:before="30" w:beforeAutospacing="0" w:after="30" w:afterAutospacing="0" w:line="0" w:lineRule="atLeast"/>
        <w:rPr>
          <w:rFonts w:hint="eastAsia"/>
        </w:rPr>
      </w:pPr>
      <w:r>
        <w:rPr>
          <w:rFonts w:hint="eastAsia"/>
          <w:shd w:val="clear" w:color="auto" w:fill="ffffff"/>
        </w:rPr>
        <w:t xml:space="preserve">……</w:t>
      </w:r>
      <w:r>
        <w:rPr>
          <w:rFonts w:hint="eastAsia"/>
        </w:rPr>
      </w:r>
      <w:r/>
    </w:p>
    <w:p>
      <w:pPr>
        <w:pStyle w:val="958"/>
        <w:ind w:firstLine="420"/>
        <w:spacing w:before="30" w:beforeAutospacing="0" w:after="30" w:afterAutospacing="0" w:line="0" w:lineRule="atLeast"/>
        <w:rPr>
          <w:rFonts w:hint="eastAsia"/>
        </w:rPr>
      </w:pPr>
      <w:r>
        <w:rPr>
          <w:rFonts w:hint="eastAsia"/>
          <w:shd w:val="clear" w:color="auto" w:fill="ffffff"/>
        </w:rPr>
        <w:t xml:space="preserve">本公司（单位）对上述声明内容的真实性负责。如有虚假，愿承担相应法律责任。</w:t>
      </w:r>
      <w:r>
        <w:rPr>
          <w:rFonts w:hint="eastAsia"/>
        </w:rPr>
      </w:r>
      <w:r/>
    </w:p>
    <w:p>
      <w:pPr>
        <w:pStyle w:val="958"/>
        <w:spacing w:before="30" w:beforeAutospacing="0" w:after="30" w:afterAutospacing="0" w:line="0" w:lineRule="atLeast"/>
        <w:rPr>
          <w:rFonts w:hint="eastAsia"/>
        </w:rPr>
      </w:pPr>
      <w:r>
        <w:rPr>
          <w:rFonts w:hint="eastAsia"/>
        </w:rPr>
      </w:r>
      <w:r/>
    </w:p>
    <w:p>
      <w:pPr>
        <w:pStyle w:val="958"/>
        <w:jc w:val="right"/>
        <w:spacing w:before="30" w:beforeAutospacing="0" w:after="30" w:afterAutospacing="0" w:line="0" w:lineRule="atLeast"/>
        <w:rPr>
          <w:rFonts w:hint="eastAsia"/>
        </w:rPr>
      </w:pPr>
      <w:r>
        <w:rPr>
          <w:rFonts w:hint="eastAsia"/>
          <w:shd w:val="clear" w:color="auto" w:fill="ffffff"/>
        </w:rPr>
        <w:t xml:space="preserve">   公司（单位）名称（加盖CA电子公章）：　        </w:t>
      </w:r>
      <w:r>
        <w:rPr>
          <w:rFonts w:hint="eastAsia"/>
        </w:rPr>
      </w:r>
      <w:r/>
    </w:p>
    <w:p>
      <w:pPr>
        <w:pStyle w:val="958"/>
        <w:jc w:val="center"/>
        <w:spacing w:before="30" w:beforeAutospacing="0" w:after="30" w:afterAutospacing="0" w:line="0" w:lineRule="atLeast"/>
        <w:rPr>
          <w:rFonts w:hint="eastAsia"/>
        </w:rPr>
      </w:pPr>
      <w:r>
        <w:rPr>
          <w:rFonts w:hint="eastAsia"/>
          <w:shd w:val="clear" w:color="auto" w:fill="ffffff"/>
        </w:rPr>
        <w:t xml:space="preserve">     日期：</w:t>
      </w:r>
      <w:r>
        <w:rPr>
          <w:rFonts w:hint="eastAsia"/>
          <w:color w:val="000000"/>
          <w:szCs w:val="21"/>
        </w:rPr>
        <w:t xml:space="preserve">___年____月____日</w:t>
      </w:r>
      <w:r>
        <w:rPr>
          <w:rFonts w:hint="eastAsia"/>
          <w:shd w:val="clear" w:color="auto" w:fill="ffffff"/>
        </w:rPr>
        <w:t xml:space="preserve">        </w:t>
      </w:r>
      <w:r>
        <w:rPr>
          <w:rFonts w:hint="eastAsia"/>
        </w:rPr>
      </w:r>
      <w:r/>
    </w:p>
    <w:p>
      <w:pPr>
        <w:pStyle w:val="958"/>
        <w:spacing w:before="30" w:beforeAutospacing="0" w:after="30" w:afterAutospacing="0" w:line="0" w:lineRule="atLeast"/>
        <w:rPr>
          <w:rFonts w:hint="eastAsia"/>
        </w:rPr>
      </w:pPr>
      <w:r>
        <w:rPr>
          <w:rFonts w:hint="eastAsia"/>
          <w:shd w:val="clear" w:color="auto" w:fill="ffffff"/>
        </w:rPr>
        <w:t xml:space="preserve">__________________</w:t>
      </w:r>
      <w:r>
        <w:rPr>
          <w:rFonts w:hint="eastAsia"/>
        </w:rPr>
      </w:r>
      <w:r/>
    </w:p>
    <w:p>
      <w:pPr>
        <w:pStyle w:val="958"/>
        <w:spacing w:before="30" w:beforeAutospacing="0" w:after="30" w:afterAutospacing="0" w:line="0" w:lineRule="atLeast"/>
        <w:rPr>
          <w:rFonts w:hint="eastAsia"/>
        </w:rPr>
      </w:pPr>
      <w:r>
        <w:rPr>
          <w:rFonts w:hint="eastAsia"/>
          <w:shd w:val="clear" w:color="auto" w:fill="ffffff"/>
        </w:rPr>
        <w:t xml:space="preserve">1.产品如有型号，请在“产品名称”栏一并填写。</w:t>
      </w:r>
      <w:r>
        <w:rPr>
          <w:rFonts w:hint="eastAsia"/>
        </w:rPr>
      </w:r>
      <w:r/>
    </w:p>
    <w:p>
      <w:pPr>
        <w:pStyle w:val="958"/>
        <w:spacing w:before="30" w:beforeAutospacing="0" w:after="30" w:afterAutospacing="0" w:line="0" w:lineRule="atLeast"/>
        <w:rPr>
          <w:rFonts w:hint="eastAsia"/>
        </w:rPr>
      </w:pPr>
      <w:r>
        <w:rPr>
          <w:rFonts w:hint="eastAsia"/>
          <w:shd w:val="clear" w:color="auto" w:fill="ffffff"/>
        </w:rPr>
        <w:t xml:space="preserve">2.生产厂名与厂址应与生产厂营业执照载明的相关信息保持一致。</w:t>
      </w:r>
      <w:r>
        <w:rPr>
          <w:rFonts w:hint="eastAsia"/>
        </w:rPr>
      </w:r>
      <w:r/>
    </w:p>
    <w:p>
      <w:pPr>
        <w:pStyle w:val="958"/>
        <w:spacing w:before="30" w:beforeAutospacing="0" w:after="30" w:afterAutospacing="0" w:line="0" w:lineRule="atLeast"/>
        <w:rPr>
          <w:rFonts w:hint="eastAsia"/>
        </w:rPr>
      </w:pPr>
      <w:r>
        <w:rPr>
          <w:rFonts w:hint="eastAsia"/>
          <w:shd w:val="clear" w:color="auto" w:fill="ffffff"/>
        </w:rPr>
        <w:t xml:space="preserve">3.该产品的中国境内生产的组件成本占比相关要求实施前，“规定比例”栏可不填，下同。</w:t>
      </w:r>
      <w:r>
        <w:rPr>
          <w:rFonts w:hint="eastAsia"/>
        </w:rPr>
      </w:r>
      <w:r/>
    </w:p>
    <w:p>
      <w:pPr>
        <w:pStyle w:val="958"/>
        <w:spacing w:before="30" w:beforeAutospacing="0" w:after="30" w:afterAutospacing="0" w:line="0" w:lineRule="atLeast"/>
        <w:rPr>
          <w:rFonts w:hint="eastAsia"/>
        </w:rPr>
      </w:pPr>
      <w:r>
        <w:rPr>
          <w:rFonts w:hint="eastAsia"/>
          <w:shd w:val="clear" w:color="auto" w:fill="ffffff"/>
        </w:rPr>
        <w:t xml:space="preserve">4.该产品的关键组件要求实施前，“关键组件”栏可不填，下同。</w:t>
      </w:r>
      <w:r>
        <w:rPr>
          <w:rFonts w:hint="eastAsia"/>
        </w:rPr>
      </w:r>
      <w:r/>
    </w:p>
    <w:p>
      <w:pPr>
        <w:pStyle w:val="958"/>
        <w:spacing w:before="30" w:beforeAutospacing="0" w:after="30" w:afterAutospacing="0" w:line="0" w:lineRule="atLeast"/>
        <w:rPr>
          <w:rFonts w:hint="eastAsia"/>
          <w:shd w:val="clear" w:color="auto" w:fill="ffffff"/>
        </w:rPr>
      </w:pPr>
      <w:r>
        <w:rPr>
          <w:rFonts w:hint="eastAsia"/>
          <w:shd w:val="clear" w:color="auto" w:fill="ffffff"/>
        </w:rPr>
        <w:t xml:space="preserve">5.该产品的关键工序要求实施前，“关键工序”栏可不填，下同。</w:t>
      </w:r>
      <w:r/>
    </w:p>
    <w:p>
      <w:pPr>
        <w:pStyle w:val="958"/>
        <w:spacing w:before="30" w:beforeAutospacing="0" w:after="30" w:afterAutospacing="0" w:line="0" w:lineRule="atLeast"/>
        <w:rPr>
          <w:rFonts w:hint="eastAsia"/>
          <w:shd w:val="clear" w:color="auto" w:fill="ffffff"/>
        </w:rPr>
      </w:pPr>
      <w:r>
        <w:rPr>
          <w:rFonts w:hint="eastAsia"/>
          <w:shd w:val="clear" w:color="auto" w:fill="ffffff"/>
        </w:rPr>
        <w:t xml:space="preserve">6.《声明函》中标注“</w:t>
      </w:r>
      <w:r>
        <w:rPr>
          <w:rFonts w:hint="eastAsia"/>
          <w:u w:val="single"/>
          <w:shd w:val="clear" w:color="auto" w:fill="ffffff"/>
        </w:rPr>
        <w:t xml:space="preserve">  </w:t>
      </w:r>
      <w:r>
        <w:rPr>
          <w:rStyle w:val="970"/>
          <w:rFonts w:hint="eastAsia"/>
          <w:i w:val="0"/>
          <w:u w:val="single"/>
          <w:shd w:val="clear" w:color="auto" w:fill="ffffff"/>
        </w:rPr>
        <w:t xml:space="preserve">/  </w:t>
      </w:r>
      <w:r>
        <w:rPr>
          <w:rFonts w:hint="eastAsia"/>
          <w:shd w:val="clear" w:color="auto" w:fill="ffffff"/>
        </w:rPr>
        <w:t xml:space="preserve">”的地方无需填写。</w:t>
      </w:r>
      <w:r/>
    </w:p>
    <w:p>
      <w:pPr>
        <w:pStyle w:val="895"/>
        <w:jc w:val="center"/>
        <w:rPr>
          <w:rFonts w:ascii="黑体" w:hAnsi="黑体" w:eastAsia="黑体"/>
          <w:b/>
          <w:color w:val="000000"/>
          <w:sz w:val="32"/>
          <w:szCs w:val="32"/>
        </w:rPr>
      </w:pPr>
      <w:r>
        <w:rPr>
          <w:rFonts w:ascii="黑体" w:hAnsi="黑体" w:eastAsia="黑体"/>
          <w:b/>
          <w:color w:val="000000"/>
          <w:sz w:val="32"/>
          <w:szCs w:val="32"/>
        </w:rPr>
      </w:r>
      <w:r/>
    </w:p>
    <w:p>
      <w:pPr>
        <w:pStyle w:val="895"/>
        <w:jc w:val="center"/>
        <w:rPr>
          <w:rFonts w:ascii="黑体" w:hAnsi="黑体" w:eastAsia="黑体"/>
          <w:b/>
          <w:color w:val="000000"/>
          <w:sz w:val="32"/>
          <w:szCs w:val="32"/>
        </w:rPr>
      </w:pPr>
      <w:r>
        <w:rPr>
          <w:rFonts w:ascii="黑体" w:hAnsi="黑体" w:eastAsia="黑体"/>
          <w:b/>
          <w:color w:val="000000"/>
          <w:sz w:val="32"/>
          <w:szCs w:val="32"/>
        </w:rPr>
      </w:r>
      <w:r/>
    </w:p>
    <w:p>
      <w:pPr>
        <w:pStyle w:val="895"/>
        <w:rPr>
          <w:rFonts w:hint="eastAsia" w:ascii="宋体" w:hAnsi="宋体" w:cs="仿宋"/>
          <w:b/>
          <w:bCs/>
          <w:color w:val="000000"/>
          <w:sz w:val="32"/>
          <w:szCs w:val="32"/>
        </w:rPr>
      </w:pPr>
      <w:r/>
      <w:bookmarkEnd w:id="205"/>
      <w:r>
        <w:rPr>
          <w:rFonts w:hint="eastAsia" w:ascii="宋体" w:hAnsi="宋体" w:cs="仿宋"/>
          <w:b/>
          <w:bCs/>
          <w:color w:val="000000"/>
          <w:sz w:val="32"/>
          <w:szCs w:val="32"/>
        </w:rPr>
      </w:r>
      <w:r/>
    </w:p>
    <w:p>
      <w:pPr>
        <w:pStyle w:val="895"/>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895"/>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89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95"/>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95"/>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9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95"/>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95"/>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95"/>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895"/>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95"/>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9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95"/>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95"/>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89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9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95"/>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9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95"/>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9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895"/>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95"/>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89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95"/>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895"/>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895"/>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89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89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89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rPr>
          <w:rFonts w:ascii="宋体" w:hAnsi="宋体"/>
          <w:color w:val="000000"/>
          <w:sz w:val="24"/>
          <w:szCs w:val="24"/>
        </w:rPr>
      </w:r>
      <w:r/>
    </w:p>
    <w:p>
      <w:pPr>
        <w:pStyle w:val="89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89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89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89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895"/>
        <w:ind w:firstLine="480"/>
        <w:jc w:val="left"/>
        <w:spacing w:line="400" w:lineRule="exact"/>
        <w:widowControl/>
        <w:rPr>
          <w:rFonts w:ascii="宋体" w:hAnsi="宋体"/>
          <w:color w:val="000000"/>
          <w:sz w:val="24"/>
          <w:szCs w:val="24"/>
        </w:rPr>
      </w:pPr>
      <w:r>
        <w:rPr>
          <w:rFonts w:ascii="宋体" w:hAnsi="宋体"/>
          <w:color w:val="000000"/>
          <w:sz w:val="24"/>
          <w:szCs w:val="24"/>
        </w:rPr>
      </w:r>
      <w:r/>
    </w:p>
    <w:sectPr>
      <w:headerReference w:type="default" r:id="rId9"/>
      <w:footerReference w:type="default" r:id="rId10"/>
      <w:footerReference w:type="even" r:id="rId11"/>
      <w:footnotePr/>
      <w:endnotePr/>
      <w:type w:val="nextPage"/>
      <w:pgSz w:w="11906" w:h="16838" w:orient="portrait"/>
      <w:pgMar w:top="1588" w:right="1531" w:bottom="1588" w:left="153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方正楷体_GBK">
    <w:panose1 w:val="020B0503020202020204"/>
  </w:font>
  <w:font w:name="Symbol">
    <w:panose1 w:val="05050102010706020507"/>
  </w:font>
  <w:font w:name="方正仿宋_GBK">
    <w:panose1 w:val="020B0503020202020204"/>
  </w:font>
  <w:font w:name="方正黑体_GBK">
    <w:panose1 w:val="020B0503020202020204"/>
  </w:font>
  <w:font w:name="Tahoma">
    <w:panose1 w:val="020B0604030504040204"/>
  </w:font>
  <w:font w:name="Wingdings">
    <w:panose1 w:val="05000000000000000000"/>
  </w:font>
  <w:font w:name="华文楷体">
    <w:panose1 w:val="02010600040101010101"/>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Ari">
    <w:panose1 w:val="020B060602020203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3"/>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4</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89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3"/>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4</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895"/>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rPr>
        <w:rStyle w:val="968"/>
      </w:rPr>
      <w:framePr w:wrap="around" w:vAnchor="text" w:hAnchor="margin" w:xAlign="center" w:y="1"/>
    </w:pPr>
    <w:r>
      <w:fldChar w:fldCharType="begin"/>
    </w:r>
    <w:r>
      <w:rPr>
        <w:rStyle w:val="968"/>
      </w:rPr>
      <w:instrText xml:space="preserve">PAGE  </w:instrText>
    </w:r>
    <w:r>
      <w:fldChar w:fldCharType="separate"/>
    </w:r>
    <w:r>
      <w:rPr>
        <w:rStyle w:val="968"/>
      </w:rPr>
      <w:t xml:space="preserve">1</w:t>
    </w:r>
    <w:r>
      <w:fldChar w:fldCharType="end"/>
    </w:r>
    <w:r>
      <w:rPr>
        <w:rStyle w:val="968"/>
      </w:rPr>
    </w:r>
    <w:r/>
  </w:p>
  <w:p>
    <w:pPr>
      <w:pStyle w:val="94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pStyle w:val="895"/>
        <w:ind w:left="960" w:hanging="480"/>
      </w:pPr>
    </w:lvl>
    <w:lvl w:ilvl="1">
      <w:start w:val="1"/>
      <w:numFmt w:val="lowerLetter"/>
      <w:isLgl w:val="false"/>
      <w:suff w:val="tab"/>
      <w:lvlText w:val="%2)"/>
      <w:lvlJc w:val="left"/>
      <w:pPr>
        <w:pStyle w:val="895"/>
        <w:ind w:left="1320" w:hanging="420"/>
      </w:pPr>
    </w:lvl>
    <w:lvl w:ilvl="2">
      <w:start w:val="1"/>
      <w:numFmt w:val="lowerRoman"/>
      <w:isLgl w:val="false"/>
      <w:suff w:val="tab"/>
      <w:lvlText w:val="%3."/>
      <w:lvlJc w:val="right"/>
      <w:pPr>
        <w:pStyle w:val="895"/>
        <w:ind w:left="1740" w:hanging="420"/>
      </w:pPr>
    </w:lvl>
    <w:lvl w:ilvl="3">
      <w:start w:val="1"/>
      <w:numFmt w:val="decimal"/>
      <w:isLgl w:val="false"/>
      <w:suff w:val="tab"/>
      <w:lvlText w:val="%4."/>
      <w:lvlJc w:val="left"/>
      <w:pPr>
        <w:pStyle w:val="895"/>
        <w:ind w:left="2160" w:hanging="420"/>
      </w:pPr>
    </w:lvl>
    <w:lvl w:ilvl="4">
      <w:start w:val="1"/>
      <w:numFmt w:val="lowerLetter"/>
      <w:isLgl w:val="false"/>
      <w:suff w:val="tab"/>
      <w:lvlText w:val="%5)"/>
      <w:lvlJc w:val="left"/>
      <w:pPr>
        <w:pStyle w:val="895"/>
        <w:ind w:left="2580" w:hanging="420"/>
      </w:pPr>
    </w:lvl>
    <w:lvl w:ilvl="5">
      <w:start w:val="1"/>
      <w:numFmt w:val="lowerRoman"/>
      <w:isLgl w:val="false"/>
      <w:suff w:val="tab"/>
      <w:lvlText w:val="%6."/>
      <w:lvlJc w:val="right"/>
      <w:pPr>
        <w:pStyle w:val="895"/>
        <w:ind w:left="3000" w:hanging="420"/>
      </w:pPr>
    </w:lvl>
    <w:lvl w:ilvl="6">
      <w:start w:val="1"/>
      <w:numFmt w:val="decimal"/>
      <w:isLgl w:val="false"/>
      <w:suff w:val="tab"/>
      <w:lvlText w:val="%7."/>
      <w:lvlJc w:val="left"/>
      <w:pPr>
        <w:pStyle w:val="895"/>
        <w:ind w:left="3420" w:hanging="420"/>
      </w:pPr>
    </w:lvl>
    <w:lvl w:ilvl="7">
      <w:start w:val="1"/>
      <w:numFmt w:val="lowerLetter"/>
      <w:isLgl w:val="false"/>
      <w:suff w:val="tab"/>
      <w:lvlText w:val="%8)"/>
      <w:lvlJc w:val="left"/>
      <w:pPr>
        <w:pStyle w:val="895"/>
        <w:ind w:left="3840" w:hanging="420"/>
      </w:pPr>
    </w:lvl>
    <w:lvl w:ilvl="8">
      <w:start w:val="1"/>
      <w:numFmt w:val="lowerRoman"/>
      <w:isLgl w:val="false"/>
      <w:suff w:val="tab"/>
      <w:lvlText w:val="%9."/>
      <w:lvlJc w:val="right"/>
      <w:pPr>
        <w:pStyle w:val="895"/>
        <w:ind w:left="4260" w:hanging="420"/>
      </w:pPr>
    </w:lvl>
  </w:abstractNum>
  <w:abstractNum w:abstractNumId="1">
    <w:multiLevelType w:val="hybridMultilevel"/>
    <w:lvl w:ilvl="0">
      <w:start w:val="1"/>
      <w:numFmt w:val="upperLetter"/>
      <w:pStyle w:val="976"/>
      <w:isLgl w:val="false"/>
      <w:suff w:val="tab"/>
      <w:lvlText w:val="附录%1."/>
      <w:lvlJc w:val="left"/>
      <w:pPr>
        <w:pStyle w:val="89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95"/>
        <w:ind w:left="720" w:hanging="720"/>
      </w:pPr>
    </w:lvl>
    <w:lvl w:ilvl="1">
      <w:start w:val="1"/>
      <w:numFmt w:val="lowerLetter"/>
      <w:isLgl w:val="false"/>
      <w:suff w:val="tab"/>
      <w:lvlText w:val="%2)"/>
      <w:lvlJc w:val="left"/>
      <w:pPr>
        <w:pStyle w:val="895"/>
        <w:ind w:left="840" w:hanging="420"/>
      </w:pPr>
    </w:lvl>
    <w:lvl w:ilvl="2">
      <w:start w:val="1"/>
      <w:numFmt w:val="lowerRoman"/>
      <w:isLgl w:val="false"/>
      <w:suff w:val="tab"/>
      <w:lvlText w:val="%3."/>
      <w:lvlJc w:val="right"/>
      <w:pPr>
        <w:pStyle w:val="895"/>
        <w:ind w:left="1260" w:hanging="420"/>
      </w:pPr>
    </w:lvl>
    <w:lvl w:ilvl="3">
      <w:start w:val="1"/>
      <w:numFmt w:val="decimal"/>
      <w:isLgl w:val="false"/>
      <w:suff w:val="tab"/>
      <w:lvlText w:val="%4."/>
      <w:lvlJc w:val="left"/>
      <w:pPr>
        <w:pStyle w:val="895"/>
        <w:ind w:left="1680" w:hanging="420"/>
      </w:pPr>
    </w:lvl>
    <w:lvl w:ilvl="4">
      <w:start w:val="1"/>
      <w:numFmt w:val="lowerLetter"/>
      <w:isLgl w:val="false"/>
      <w:suff w:val="tab"/>
      <w:lvlText w:val="%5)"/>
      <w:lvlJc w:val="left"/>
      <w:pPr>
        <w:pStyle w:val="895"/>
        <w:ind w:left="2100" w:hanging="420"/>
      </w:pPr>
    </w:lvl>
    <w:lvl w:ilvl="5">
      <w:start w:val="1"/>
      <w:numFmt w:val="lowerRoman"/>
      <w:isLgl w:val="false"/>
      <w:suff w:val="tab"/>
      <w:lvlText w:val="%6."/>
      <w:lvlJc w:val="right"/>
      <w:pPr>
        <w:pStyle w:val="895"/>
        <w:ind w:left="2520" w:hanging="420"/>
      </w:pPr>
    </w:lvl>
    <w:lvl w:ilvl="6">
      <w:start w:val="1"/>
      <w:numFmt w:val="decimal"/>
      <w:isLgl w:val="false"/>
      <w:suff w:val="tab"/>
      <w:lvlText w:val="%7."/>
      <w:lvlJc w:val="left"/>
      <w:pPr>
        <w:pStyle w:val="895"/>
        <w:ind w:left="2940" w:hanging="420"/>
      </w:pPr>
    </w:lvl>
    <w:lvl w:ilvl="7">
      <w:start w:val="1"/>
      <w:numFmt w:val="lowerLetter"/>
      <w:isLgl w:val="false"/>
      <w:suff w:val="tab"/>
      <w:lvlText w:val="%8)"/>
      <w:lvlJc w:val="left"/>
      <w:pPr>
        <w:pStyle w:val="895"/>
        <w:ind w:left="3360" w:hanging="420"/>
      </w:pPr>
    </w:lvl>
    <w:lvl w:ilvl="8">
      <w:start w:val="1"/>
      <w:numFmt w:val="lowerRoman"/>
      <w:isLgl w:val="false"/>
      <w:suff w:val="tab"/>
      <w:lvlText w:val="%9."/>
      <w:lvlJc w:val="right"/>
      <w:pPr>
        <w:pStyle w:val="895"/>
        <w:ind w:left="3780" w:hanging="420"/>
      </w:pPr>
    </w:lvl>
  </w:abstractNum>
  <w:abstractNum w:abstractNumId="3">
    <w:multiLevelType w:val="hybridMultilevel"/>
    <w:lvl w:ilvl="0">
      <w:start w:val="1"/>
      <w:numFmt w:val="decimal"/>
      <w:pStyle w:val="1005"/>
      <w:isLgl w:val="false"/>
      <w:suff w:val="tab"/>
      <w:lvlText w:val="%1."/>
      <w:lvlJc w:val="left"/>
      <w:pPr>
        <w:pStyle w:val="895"/>
        <w:ind w:left="709" w:hanging="709"/>
        <w:tabs>
          <w:tab w:val="num" w:pos="709" w:leader="none"/>
        </w:tabs>
      </w:pPr>
      <w:rPr>
        <w:rFonts w:hint="eastAsia"/>
      </w:rPr>
    </w:lvl>
    <w:lvl w:ilvl="1">
      <w:start w:val="1"/>
      <w:numFmt w:val="decimal"/>
      <w:isLgl w:val="false"/>
      <w:suff w:val="tab"/>
      <w:lvlText w:val="%1.%2"/>
      <w:lvlJc w:val="left"/>
      <w:pPr>
        <w:pStyle w:val="895"/>
        <w:ind w:left="709" w:hanging="709"/>
        <w:tabs>
          <w:tab w:val="num" w:pos="709" w:leader="none"/>
        </w:tabs>
      </w:pPr>
      <w:rPr>
        <w:rFonts w:hint="eastAsia"/>
      </w:rPr>
    </w:lvl>
    <w:lvl w:ilvl="2">
      <w:start w:val="1"/>
      <w:numFmt w:val="decimal"/>
      <w:isLgl w:val="false"/>
      <w:suff w:val="tab"/>
      <w:lvlText w:val="%1.%2.%3."/>
      <w:lvlJc w:val="left"/>
      <w:pPr>
        <w:pStyle w:val="895"/>
        <w:ind w:left="425" w:hanging="425"/>
        <w:tabs>
          <w:tab w:val="num" w:pos="425" w:leader="none"/>
        </w:tabs>
      </w:pPr>
      <w:rPr>
        <w:rFonts w:hint="eastAsia"/>
      </w:rPr>
    </w:lvl>
    <w:lvl w:ilvl="3">
      <w:start w:val="1"/>
      <w:numFmt w:val="decimal"/>
      <w:isLgl w:val="false"/>
      <w:suff w:val="tab"/>
      <w:lvlText w:val="%1.%2.%3.%4."/>
      <w:lvlJc w:val="left"/>
      <w:pPr>
        <w:pStyle w:val="895"/>
        <w:ind w:left="851" w:hanging="851"/>
        <w:tabs>
          <w:tab w:val="num" w:pos="851" w:leader="none"/>
        </w:tabs>
      </w:pPr>
      <w:rPr>
        <w:rFonts w:hint="eastAsia"/>
      </w:rPr>
    </w:lvl>
    <w:lvl w:ilvl="4">
      <w:start w:val="1"/>
      <w:numFmt w:val="decimal"/>
      <w:isLgl w:val="false"/>
      <w:suff w:val="tab"/>
      <w:lvlText w:val="%1.%2.%3.%4.%5."/>
      <w:lvlJc w:val="left"/>
      <w:pPr>
        <w:pStyle w:val="895"/>
        <w:ind w:left="992" w:hanging="992"/>
        <w:tabs>
          <w:tab w:val="num" w:pos="992" w:leader="none"/>
        </w:tabs>
      </w:pPr>
      <w:rPr>
        <w:rFonts w:hint="eastAsia"/>
      </w:rPr>
    </w:lvl>
    <w:lvl w:ilvl="5">
      <w:start w:val="1"/>
      <w:numFmt w:val="decimal"/>
      <w:isLgl w:val="false"/>
      <w:suff w:val="tab"/>
      <w:lvlText w:val="%1.%2.%3.%4.%5.%6."/>
      <w:lvlJc w:val="left"/>
      <w:pPr>
        <w:pStyle w:val="895"/>
        <w:ind w:left="1134" w:hanging="1134"/>
        <w:tabs>
          <w:tab w:val="num" w:pos="1134" w:leader="none"/>
        </w:tabs>
      </w:pPr>
      <w:rPr>
        <w:rFonts w:hint="eastAsia"/>
      </w:rPr>
    </w:lvl>
    <w:lvl w:ilvl="6">
      <w:start w:val="1"/>
      <w:numFmt w:val="decimal"/>
      <w:isLgl w:val="false"/>
      <w:suff w:val="tab"/>
      <w:lvlText w:val="%1.%2.%3.%4.%5.%6.%7."/>
      <w:lvlJc w:val="left"/>
      <w:pPr>
        <w:pStyle w:val="895"/>
        <w:ind w:left="1276" w:hanging="1276"/>
        <w:tabs>
          <w:tab w:val="num" w:pos="1276" w:leader="none"/>
        </w:tabs>
      </w:pPr>
      <w:rPr>
        <w:rFonts w:hint="eastAsia"/>
      </w:rPr>
    </w:lvl>
    <w:lvl w:ilvl="7">
      <w:start w:val="1"/>
      <w:numFmt w:val="decimal"/>
      <w:isLgl w:val="false"/>
      <w:suff w:val="tab"/>
      <w:lvlText w:val="%1.%2.%3.%4.%5.%6.%7.%8."/>
      <w:lvlJc w:val="left"/>
      <w:pPr>
        <w:pStyle w:val="895"/>
        <w:ind w:left="1418" w:hanging="1418"/>
        <w:tabs>
          <w:tab w:val="num" w:pos="1418" w:leader="none"/>
        </w:tabs>
      </w:pPr>
      <w:rPr>
        <w:rFonts w:hint="eastAsia"/>
      </w:rPr>
    </w:lvl>
    <w:lvl w:ilvl="8">
      <w:start w:val="1"/>
      <w:numFmt w:val="decimal"/>
      <w:isLgl w:val="false"/>
      <w:suff w:val="tab"/>
      <w:lvlText w:val="%1.%2.%3.%4.%5.%6.%7.%8.%9."/>
      <w:lvlJc w:val="left"/>
      <w:pPr>
        <w:pStyle w:val="895"/>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895"/>
        <w:ind w:left="0" w:firstLine="0"/>
      </w:pPr>
      <w:rPr>
        <w:rFonts w:hint="eastAsia"/>
      </w:rPr>
    </w:lvl>
    <w:lvl w:ilvl="1">
      <w:start w:val="1"/>
      <w:numFmt w:val="decimal"/>
      <w:isLgl w:val="false"/>
      <w:suff w:val="nothing"/>
      <w:lvlText w:val="%2、"/>
      <w:lvlJc w:val="left"/>
      <w:pPr>
        <w:pStyle w:val="895"/>
        <w:ind w:left="0" w:firstLine="0"/>
      </w:pPr>
      <w:rPr>
        <w:rFonts w:hint="eastAsia"/>
      </w:rPr>
    </w:lvl>
    <w:lvl w:ilvl="2">
      <w:start w:val="1"/>
      <w:numFmt w:val="decimal"/>
      <w:isLgl w:val="false"/>
      <w:suff w:val="nothing"/>
      <w:lvlText w:val="%2.%3 "/>
      <w:lvlJc w:val="left"/>
      <w:pPr>
        <w:pStyle w:val="895"/>
        <w:ind w:left="0" w:firstLine="0"/>
      </w:pPr>
      <w:rPr>
        <w:rFonts w:hint="eastAsia"/>
      </w:rPr>
    </w:lvl>
    <w:lvl w:ilvl="3">
      <w:start w:val="1"/>
      <w:numFmt w:val="decimal"/>
      <w:isLgl w:val="false"/>
      <w:suff w:val="nothing"/>
      <w:lvlText w:val="%2.%3.%4 "/>
      <w:lvlJc w:val="left"/>
      <w:pPr>
        <w:pStyle w:val="895"/>
        <w:ind w:left="0" w:firstLine="0"/>
      </w:pPr>
      <w:rPr>
        <w:rFonts w:hint="eastAsia"/>
      </w:rPr>
    </w:lvl>
    <w:lvl w:ilvl="4">
      <w:start w:val="1"/>
      <w:numFmt w:val="decimal"/>
      <w:isLgl w:val="false"/>
      <w:suff w:val="nothing"/>
      <w:lvlText w:val="%2.%3.%4.%5 "/>
      <w:lvlJc w:val="left"/>
      <w:pPr>
        <w:pStyle w:val="895"/>
        <w:ind w:left="0" w:firstLine="0"/>
      </w:pPr>
      <w:rPr>
        <w:rFonts w:hint="eastAsia"/>
      </w:rPr>
    </w:lvl>
    <w:lvl w:ilvl="5">
      <w:start w:val="1"/>
      <w:numFmt w:val="decimal"/>
      <w:pStyle w:val="901"/>
      <w:isLgl w:val="false"/>
      <w:suff w:val="nothing"/>
      <w:lvlText w:val=""/>
      <w:lvlJc w:val="left"/>
      <w:pPr>
        <w:pStyle w:val="895"/>
        <w:ind w:left="0" w:firstLine="0"/>
      </w:pPr>
      <w:rPr>
        <w:rFonts w:hint="eastAsia"/>
      </w:rPr>
    </w:lvl>
    <w:lvl w:ilvl="6">
      <w:start w:val="1"/>
      <w:numFmt w:val="decimal"/>
      <w:pStyle w:val="902"/>
      <w:isLgl w:val="false"/>
      <w:suff w:val="nothing"/>
      <w:lvlText w:val=""/>
      <w:lvlJc w:val="left"/>
      <w:pPr>
        <w:pStyle w:val="895"/>
        <w:ind w:left="0" w:firstLine="0"/>
      </w:pPr>
      <w:rPr>
        <w:rFonts w:hint="eastAsia"/>
      </w:rPr>
    </w:lvl>
    <w:lvl w:ilvl="7">
      <w:start w:val="1"/>
      <w:numFmt w:val="decimal"/>
      <w:pStyle w:val="903"/>
      <w:isLgl w:val="false"/>
      <w:suff w:val="nothing"/>
      <w:lvlText w:val=""/>
      <w:lvlJc w:val="left"/>
      <w:pPr>
        <w:pStyle w:val="895"/>
        <w:ind w:left="0" w:firstLine="0"/>
      </w:pPr>
      <w:rPr>
        <w:rFonts w:hint="eastAsia"/>
      </w:rPr>
    </w:lvl>
    <w:lvl w:ilvl="8">
      <w:start w:val="1"/>
      <w:numFmt w:val="decimal"/>
      <w:pStyle w:val="904"/>
      <w:isLgl w:val="false"/>
      <w:suff w:val="nothing"/>
      <w:lvlText w:val=""/>
      <w:lvlJc w:val="left"/>
      <w:pPr>
        <w:pStyle w:val="895"/>
        <w:ind w:left="0" w:firstLine="0"/>
      </w:pPr>
      <w:rPr>
        <w:rFonts w:hint="eastAsia"/>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7">
    <w:name w:val="Heading 1"/>
    <w:basedOn w:val="895"/>
    <w:next w:val="895"/>
    <w:link w:val="718"/>
    <w:uiPriority w:val="9"/>
    <w:qFormat/>
    <w:pPr>
      <w:keepLines/>
      <w:keepNext/>
      <w:spacing w:before="480" w:after="200"/>
      <w:outlineLvl w:val="0"/>
    </w:pPr>
    <w:rPr>
      <w:rFonts w:ascii="Arial" w:hAnsi="Arial" w:eastAsia="Arial" w:cs="Arial"/>
      <w:sz w:val="40"/>
      <w:szCs w:val="40"/>
    </w:rPr>
  </w:style>
  <w:style w:type="character" w:styleId="718">
    <w:name w:val="Heading 1 Char"/>
    <w:link w:val="717"/>
    <w:uiPriority w:val="9"/>
    <w:rPr>
      <w:rFonts w:ascii="Arial" w:hAnsi="Arial" w:eastAsia="Arial" w:cs="Arial"/>
      <w:sz w:val="40"/>
      <w:szCs w:val="40"/>
    </w:rPr>
  </w:style>
  <w:style w:type="paragraph" w:styleId="719">
    <w:name w:val="Heading 2"/>
    <w:basedOn w:val="895"/>
    <w:next w:val="895"/>
    <w:link w:val="720"/>
    <w:uiPriority w:val="9"/>
    <w:unhideWhenUsed/>
    <w:qFormat/>
    <w:pPr>
      <w:keepLines/>
      <w:keepNext/>
      <w:spacing w:before="360" w:after="200"/>
      <w:outlineLvl w:val="1"/>
    </w:pPr>
    <w:rPr>
      <w:rFonts w:ascii="Arial" w:hAnsi="Arial" w:eastAsia="Arial" w:cs="Arial"/>
      <w:sz w:val="34"/>
    </w:rPr>
  </w:style>
  <w:style w:type="character" w:styleId="720">
    <w:name w:val="Heading 2 Char"/>
    <w:link w:val="719"/>
    <w:uiPriority w:val="9"/>
    <w:rPr>
      <w:rFonts w:ascii="Arial" w:hAnsi="Arial" w:eastAsia="Arial" w:cs="Arial"/>
      <w:sz w:val="34"/>
    </w:rPr>
  </w:style>
  <w:style w:type="paragraph" w:styleId="721">
    <w:name w:val="Heading 3"/>
    <w:basedOn w:val="895"/>
    <w:next w:val="895"/>
    <w:link w:val="722"/>
    <w:uiPriority w:val="9"/>
    <w:unhideWhenUsed/>
    <w:qFormat/>
    <w:pPr>
      <w:keepLines/>
      <w:keepNext/>
      <w:spacing w:before="320" w:after="200"/>
      <w:outlineLvl w:val="2"/>
    </w:pPr>
    <w:rPr>
      <w:rFonts w:ascii="Arial" w:hAnsi="Arial" w:eastAsia="Arial" w:cs="Arial"/>
      <w:sz w:val="30"/>
      <w:szCs w:val="30"/>
    </w:rPr>
  </w:style>
  <w:style w:type="character" w:styleId="722">
    <w:name w:val="Heading 3 Char"/>
    <w:link w:val="721"/>
    <w:uiPriority w:val="9"/>
    <w:rPr>
      <w:rFonts w:ascii="Arial" w:hAnsi="Arial" w:eastAsia="Arial" w:cs="Arial"/>
      <w:sz w:val="30"/>
      <w:szCs w:val="30"/>
    </w:rPr>
  </w:style>
  <w:style w:type="paragraph" w:styleId="723">
    <w:name w:val="Heading 4"/>
    <w:basedOn w:val="895"/>
    <w:next w:val="895"/>
    <w:link w:val="724"/>
    <w:uiPriority w:val="9"/>
    <w:unhideWhenUsed/>
    <w:qFormat/>
    <w:pPr>
      <w:keepLines/>
      <w:keepNext/>
      <w:spacing w:before="320" w:after="200"/>
      <w:outlineLvl w:val="3"/>
    </w:pPr>
    <w:rPr>
      <w:rFonts w:ascii="Arial" w:hAnsi="Arial" w:eastAsia="Arial" w:cs="Arial"/>
      <w:b/>
      <w:bCs/>
      <w:sz w:val="26"/>
      <w:szCs w:val="26"/>
    </w:rPr>
  </w:style>
  <w:style w:type="character" w:styleId="724">
    <w:name w:val="Heading 4 Char"/>
    <w:link w:val="723"/>
    <w:uiPriority w:val="9"/>
    <w:rPr>
      <w:rFonts w:ascii="Arial" w:hAnsi="Arial" w:eastAsia="Arial" w:cs="Arial"/>
      <w:b/>
      <w:bCs/>
      <w:sz w:val="26"/>
      <w:szCs w:val="26"/>
    </w:rPr>
  </w:style>
  <w:style w:type="paragraph" w:styleId="725">
    <w:name w:val="Heading 5"/>
    <w:basedOn w:val="895"/>
    <w:next w:val="895"/>
    <w:link w:val="726"/>
    <w:uiPriority w:val="9"/>
    <w:unhideWhenUsed/>
    <w:qFormat/>
    <w:pPr>
      <w:keepLines/>
      <w:keepNext/>
      <w:spacing w:before="320" w:after="200"/>
      <w:outlineLvl w:val="4"/>
    </w:pPr>
    <w:rPr>
      <w:rFonts w:ascii="Arial" w:hAnsi="Arial" w:eastAsia="Arial" w:cs="Arial"/>
      <w:b/>
      <w:bCs/>
      <w:sz w:val="24"/>
      <w:szCs w:val="24"/>
    </w:rPr>
  </w:style>
  <w:style w:type="character" w:styleId="726">
    <w:name w:val="Heading 5 Char"/>
    <w:link w:val="725"/>
    <w:uiPriority w:val="9"/>
    <w:rPr>
      <w:rFonts w:ascii="Arial" w:hAnsi="Arial" w:eastAsia="Arial" w:cs="Arial"/>
      <w:b/>
      <w:bCs/>
      <w:sz w:val="24"/>
      <w:szCs w:val="24"/>
    </w:rPr>
  </w:style>
  <w:style w:type="paragraph" w:styleId="727">
    <w:name w:val="Heading 6"/>
    <w:basedOn w:val="895"/>
    <w:next w:val="895"/>
    <w:link w:val="728"/>
    <w:uiPriority w:val="9"/>
    <w:unhideWhenUsed/>
    <w:qFormat/>
    <w:pPr>
      <w:keepLines/>
      <w:keepNext/>
      <w:spacing w:before="320" w:after="200"/>
      <w:outlineLvl w:val="5"/>
    </w:pPr>
    <w:rPr>
      <w:rFonts w:ascii="Arial" w:hAnsi="Arial" w:eastAsia="Arial" w:cs="Arial"/>
      <w:b/>
      <w:bCs/>
      <w:sz w:val="22"/>
      <w:szCs w:val="22"/>
    </w:rPr>
  </w:style>
  <w:style w:type="character" w:styleId="728">
    <w:name w:val="Heading 6 Char"/>
    <w:link w:val="727"/>
    <w:uiPriority w:val="9"/>
    <w:rPr>
      <w:rFonts w:ascii="Arial" w:hAnsi="Arial" w:eastAsia="Arial" w:cs="Arial"/>
      <w:b/>
      <w:bCs/>
      <w:sz w:val="22"/>
      <w:szCs w:val="22"/>
    </w:rPr>
  </w:style>
  <w:style w:type="paragraph" w:styleId="729">
    <w:name w:val="Heading 7"/>
    <w:basedOn w:val="895"/>
    <w:next w:val="895"/>
    <w:link w:val="730"/>
    <w:uiPriority w:val="9"/>
    <w:unhideWhenUsed/>
    <w:qFormat/>
    <w:pPr>
      <w:keepLines/>
      <w:keepNext/>
      <w:spacing w:before="320" w:after="200"/>
      <w:outlineLvl w:val="6"/>
    </w:pPr>
    <w:rPr>
      <w:rFonts w:ascii="Arial" w:hAnsi="Arial" w:eastAsia="Arial" w:cs="Arial"/>
      <w:b/>
      <w:bCs/>
      <w:i/>
      <w:iCs/>
      <w:sz w:val="22"/>
      <w:szCs w:val="22"/>
    </w:rPr>
  </w:style>
  <w:style w:type="character" w:styleId="730">
    <w:name w:val="Heading 7 Char"/>
    <w:link w:val="729"/>
    <w:uiPriority w:val="9"/>
    <w:rPr>
      <w:rFonts w:ascii="Arial" w:hAnsi="Arial" w:eastAsia="Arial" w:cs="Arial"/>
      <w:b/>
      <w:bCs/>
      <w:i/>
      <w:iCs/>
      <w:sz w:val="22"/>
      <w:szCs w:val="22"/>
    </w:rPr>
  </w:style>
  <w:style w:type="paragraph" w:styleId="731">
    <w:name w:val="Heading 8"/>
    <w:basedOn w:val="895"/>
    <w:next w:val="895"/>
    <w:link w:val="732"/>
    <w:uiPriority w:val="9"/>
    <w:unhideWhenUsed/>
    <w:qFormat/>
    <w:pPr>
      <w:keepLines/>
      <w:keepNext/>
      <w:spacing w:before="320" w:after="200"/>
      <w:outlineLvl w:val="7"/>
    </w:pPr>
    <w:rPr>
      <w:rFonts w:ascii="Arial" w:hAnsi="Arial" w:eastAsia="Arial" w:cs="Arial"/>
      <w:i/>
      <w:iCs/>
      <w:sz w:val="22"/>
      <w:szCs w:val="22"/>
    </w:rPr>
  </w:style>
  <w:style w:type="character" w:styleId="732">
    <w:name w:val="Heading 8 Char"/>
    <w:link w:val="731"/>
    <w:uiPriority w:val="9"/>
    <w:rPr>
      <w:rFonts w:ascii="Arial" w:hAnsi="Arial" w:eastAsia="Arial" w:cs="Arial"/>
      <w:i/>
      <w:iCs/>
      <w:sz w:val="22"/>
      <w:szCs w:val="22"/>
    </w:rPr>
  </w:style>
  <w:style w:type="paragraph" w:styleId="733">
    <w:name w:val="Heading 9"/>
    <w:basedOn w:val="895"/>
    <w:next w:val="895"/>
    <w:link w:val="734"/>
    <w:uiPriority w:val="9"/>
    <w:unhideWhenUsed/>
    <w:qFormat/>
    <w:pPr>
      <w:keepLines/>
      <w:keepNext/>
      <w:spacing w:before="320" w:after="200"/>
      <w:outlineLvl w:val="8"/>
    </w:pPr>
    <w:rPr>
      <w:rFonts w:ascii="Arial" w:hAnsi="Arial" w:eastAsia="Arial" w:cs="Arial"/>
      <w:i/>
      <w:iCs/>
      <w:sz w:val="21"/>
      <w:szCs w:val="21"/>
    </w:rPr>
  </w:style>
  <w:style w:type="character" w:styleId="734">
    <w:name w:val="Heading 9 Char"/>
    <w:link w:val="733"/>
    <w:uiPriority w:val="9"/>
    <w:rPr>
      <w:rFonts w:ascii="Arial" w:hAnsi="Arial" w:eastAsia="Arial" w:cs="Arial"/>
      <w:i/>
      <w:iCs/>
      <w:sz w:val="21"/>
      <w:szCs w:val="21"/>
    </w:rPr>
  </w:style>
  <w:style w:type="paragraph" w:styleId="735">
    <w:name w:val="List Paragraph"/>
    <w:basedOn w:val="895"/>
    <w:uiPriority w:val="34"/>
    <w:qFormat/>
    <w:pPr>
      <w:contextualSpacing/>
      <w:ind w:left="720"/>
    </w:pPr>
  </w:style>
  <w:style w:type="paragraph" w:styleId="736">
    <w:name w:val="No Spacing"/>
    <w:uiPriority w:val="1"/>
    <w:qFormat/>
    <w:pPr>
      <w:spacing w:before="0" w:after="0" w:line="240" w:lineRule="auto"/>
    </w:pPr>
  </w:style>
  <w:style w:type="paragraph" w:styleId="737">
    <w:name w:val="Title"/>
    <w:basedOn w:val="895"/>
    <w:next w:val="895"/>
    <w:link w:val="738"/>
    <w:uiPriority w:val="10"/>
    <w:qFormat/>
    <w:pPr>
      <w:contextualSpacing/>
      <w:spacing w:before="300" w:after="200"/>
    </w:pPr>
    <w:rPr>
      <w:sz w:val="48"/>
      <w:szCs w:val="48"/>
    </w:rPr>
  </w:style>
  <w:style w:type="character" w:styleId="738">
    <w:name w:val="Title Char"/>
    <w:link w:val="737"/>
    <w:uiPriority w:val="10"/>
    <w:rPr>
      <w:sz w:val="48"/>
      <w:szCs w:val="48"/>
    </w:rPr>
  </w:style>
  <w:style w:type="paragraph" w:styleId="739">
    <w:name w:val="Subtitle"/>
    <w:basedOn w:val="895"/>
    <w:next w:val="895"/>
    <w:link w:val="740"/>
    <w:uiPriority w:val="11"/>
    <w:qFormat/>
    <w:pPr>
      <w:spacing w:before="200" w:after="200"/>
    </w:pPr>
    <w:rPr>
      <w:sz w:val="24"/>
      <w:szCs w:val="24"/>
    </w:rPr>
  </w:style>
  <w:style w:type="character" w:styleId="740">
    <w:name w:val="Subtitle Char"/>
    <w:link w:val="739"/>
    <w:uiPriority w:val="11"/>
    <w:rPr>
      <w:sz w:val="24"/>
      <w:szCs w:val="24"/>
    </w:rPr>
  </w:style>
  <w:style w:type="paragraph" w:styleId="741">
    <w:name w:val="Quote"/>
    <w:basedOn w:val="895"/>
    <w:next w:val="895"/>
    <w:link w:val="742"/>
    <w:uiPriority w:val="29"/>
    <w:qFormat/>
    <w:pPr>
      <w:ind w:left="720" w:right="720"/>
    </w:pPr>
    <w:rPr>
      <w:i/>
    </w:rPr>
  </w:style>
  <w:style w:type="character" w:styleId="742">
    <w:name w:val="Quote Char"/>
    <w:link w:val="741"/>
    <w:uiPriority w:val="29"/>
    <w:rPr>
      <w:i/>
    </w:rPr>
  </w:style>
  <w:style w:type="paragraph" w:styleId="743">
    <w:name w:val="Intense Quote"/>
    <w:basedOn w:val="895"/>
    <w:next w:val="895"/>
    <w:link w:val="7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4">
    <w:name w:val="Intense Quote Char"/>
    <w:link w:val="743"/>
    <w:uiPriority w:val="30"/>
    <w:rPr>
      <w:i/>
    </w:rPr>
  </w:style>
  <w:style w:type="paragraph" w:styleId="745">
    <w:name w:val="Header"/>
    <w:basedOn w:val="895"/>
    <w:link w:val="746"/>
    <w:uiPriority w:val="99"/>
    <w:unhideWhenUsed/>
    <w:pPr>
      <w:spacing w:after="0" w:line="240" w:lineRule="auto"/>
      <w:tabs>
        <w:tab w:val="center" w:pos="7143" w:leader="none"/>
        <w:tab w:val="right" w:pos="14287" w:leader="none"/>
      </w:tabs>
    </w:pPr>
  </w:style>
  <w:style w:type="character" w:styleId="746">
    <w:name w:val="Header Char"/>
    <w:link w:val="745"/>
    <w:uiPriority w:val="99"/>
  </w:style>
  <w:style w:type="paragraph" w:styleId="747">
    <w:name w:val="Footer"/>
    <w:basedOn w:val="895"/>
    <w:link w:val="750"/>
    <w:uiPriority w:val="99"/>
    <w:unhideWhenUsed/>
    <w:pPr>
      <w:spacing w:after="0" w:line="240" w:lineRule="auto"/>
      <w:tabs>
        <w:tab w:val="center" w:pos="7143" w:leader="none"/>
        <w:tab w:val="right" w:pos="14287" w:leader="none"/>
      </w:tabs>
    </w:pPr>
  </w:style>
  <w:style w:type="character" w:styleId="748">
    <w:name w:val="Footer Char"/>
    <w:link w:val="747"/>
    <w:uiPriority w:val="99"/>
  </w:style>
  <w:style w:type="paragraph" w:styleId="749">
    <w:name w:val="Caption"/>
    <w:basedOn w:val="895"/>
    <w:next w:val="895"/>
    <w:uiPriority w:val="35"/>
    <w:semiHidden/>
    <w:unhideWhenUsed/>
    <w:qFormat/>
    <w:pPr>
      <w:spacing w:line="276" w:lineRule="auto"/>
    </w:pPr>
    <w:rPr>
      <w:b/>
      <w:bCs/>
      <w:color w:val="4f81bd" w:themeColor="accent1"/>
      <w:sz w:val="18"/>
      <w:szCs w:val="18"/>
    </w:rPr>
  </w:style>
  <w:style w:type="character" w:styleId="750">
    <w:name w:val="Caption Char"/>
    <w:basedOn w:val="749"/>
    <w:link w:val="747"/>
    <w:uiPriority w:val="99"/>
  </w:style>
  <w:style w:type="table" w:styleId="75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7">
    <w:name w:val="Hyperlink"/>
    <w:uiPriority w:val="99"/>
    <w:unhideWhenUsed/>
    <w:rPr>
      <w:color w:val="0000ff" w:themeColor="hyperlink"/>
      <w:u w:val="single"/>
    </w:rPr>
  </w:style>
  <w:style w:type="paragraph" w:styleId="878">
    <w:name w:val="footnote text"/>
    <w:basedOn w:val="895"/>
    <w:link w:val="879"/>
    <w:uiPriority w:val="99"/>
    <w:semiHidden/>
    <w:unhideWhenUsed/>
    <w:pPr>
      <w:spacing w:after="40" w:line="240" w:lineRule="auto"/>
    </w:pPr>
    <w:rPr>
      <w:sz w:val="18"/>
    </w:rPr>
  </w:style>
  <w:style w:type="character" w:styleId="879">
    <w:name w:val="Footnote Text Char"/>
    <w:link w:val="878"/>
    <w:uiPriority w:val="99"/>
    <w:rPr>
      <w:sz w:val="18"/>
    </w:rPr>
  </w:style>
  <w:style w:type="character" w:styleId="880">
    <w:name w:val="footnote reference"/>
    <w:uiPriority w:val="99"/>
    <w:unhideWhenUsed/>
    <w:rPr>
      <w:vertAlign w:val="superscript"/>
    </w:rPr>
  </w:style>
  <w:style w:type="paragraph" w:styleId="881">
    <w:name w:val="endnote text"/>
    <w:basedOn w:val="895"/>
    <w:link w:val="882"/>
    <w:uiPriority w:val="99"/>
    <w:semiHidden/>
    <w:unhideWhenUsed/>
    <w:pPr>
      <w:spacing w:after="0" w:line="240" w:lineRule="auto"/>
    </w:pPr>
    <w:rPr>
      <w:sz w:val="20"/>
    </w:rPr>
  </w:style>
  <w:style w:type="character" w:styleId="882">
    <w:name w:val="Endnote Text Char"/>
    <w:link w:val="881"/>
    <w:uiPriority w:val="99"/>
    <w:rPr>
      <w:sz w:val="20"/>
    </w:rPr>
  </w:style>
  <w:style w:type="character" w:styleId="883">
    <w:name w:val="endnote reference"/>
    <w:uiPriority w:val="99"/>
    <w:semiHidden/>
    <w:unhideWhenUsed/>
    <w:rPr>
      <w:vertAlign w:val="superscript"/>
    </w:rPr>
  </w:style>
  <w:style w:type="paragraph" w:styleId="884">
    <w:name w:val="toc 1"/>
    <w:basedOn w:val="895"/>
    <w:next w:val="895"/>
    <w:uiPriority w:val="39"/>
    <w:unhideWhenUsed/>
    <w:pPr>
      <w:ind w:left="0" w:right="0" w:firstLine="0"/>
      <w:spacing w:after="57"/>
    </w:pPr>
  </w:style>
  <w:style w:type="paragraph" w:styleId="885">
    <w:name w:val="toc 2"/>
    <w:basedOn w:val="895"/>
    <w:next w:val="895"/>
    <w:uiPriority w:val="39"/>
    <w:unhideWhenUsed/>
    <w:pPr>
      <w:ind w:left="283" w:right="0" w:firstLine="0"/>
      <w:spacing w:after="57"/>
    </w:pPr>
  </w:style>
  <w:style w:type="paragraph" w:styleId="886">
    <w:name w:val="toc 3"/>
    <w:basedOn w:val="895"/>
    <w:next w:val="895"/>
    <w:uiPriority w:val="39"/>
    <w:unhideWhenUsed/>
    <w:pPr>
      <w:ind w:left="567" w:right="0" w:firstLine="0"/>
      <w:spacing w:after="57"/>
    </w:pPr>
  </w:style>
  <w:style w:type="paragraph" w:styleId="887">
    <w:name w:val="toc 4"/>
    <w:basedOn w:val="895"/>
    <w:next w:val="895"/>
    <w:uiPriority w:val="39"/>
    <w:unhideWhenUsed/>
    <w:pPr>
      <w:ind w:left="850" w:right="0" w:firstLine="0"/>
      <w:spacing w:after="57"/>
    </w:pPr>
  </w:style>
  <w:style w:type="paragraph" w:styleId="888">
    <w:name w:val="toc 5"/>
    <w:basedOn w:val="895"/>
    <w:next w:val="895"/>
    <w:uiPriority w:val="39"/>
    <w:unhideWhenUsed/>
    <w:pPr>
      <w:ind w:left="1134" w:right="0" w:firstLine="0"/>
      <w:spacing w:after="57"/>
    </w:pPr>
  </w:style>
  <w:style w:type="paragraph" w:styleId="889">
    <w:name w:val="toc 6"/>
    <w:basedOn w:val="895"/>
    <w:next w:val="895"/>
    <w:uiPriority w:val="39"/>
    <w:unhideWhenUsed/>
    <w:pPr>
      <w:ind w:left="1417" w:right="0" w:firstLine="0"/>
      <w:spacing w:after="57"/>
    </w:pPr>
  </w:style>
  <w:style w:type="paragraph" w:styleId="890">
    <w:name w:val="toc 7"/>
    <w:basedOn w:val="895"/>
    <w:next w:val="895"/>
    <w:uiPriority w:val="39"/>
    <w:unhideWhenUsed/>
    <w:pPr>
      <w:ind w:left="1701" w:right="0" w:firstLine="0"/>
      <w:spacing w:after="57"/>
    </w:pPr>
  </w:style>
  <w:style w:type="paragraph" w:styleId="891">
    <w:name w:val="toc 8"/>
    <w:basedOn w:val="895"/>
    <w:next w:val="895"/>
    <w:uiPriority w:val="39"/>
    <w:unhideWhenUsed/>
    <w:pPr>
      <w:ind w:left="1984" w:right="0" w:firstLine="0"/>
      <w:spacing w:after="57"/>
    </w:pPr>
  </w:style>
  <w:style w:type="paragraph" w:styleId="892">
    <w:name w:val="toc 9"/>
    <w:basedOn w:val="895"/>
    <w:next w:val="895"/>
    <w:uiPriority w:val="39"/>
    <w:unhideWhenUsed/>
    <w:pPr>
      <w:ind w:left="2268" w:right="0" w:firstLine="0"/>
      <w:spacing w:after="57"/>
    </w:pPr>
  </w:style>
  <w:style w:type="paragraph" w:styleId="893">
    <w:name w:val="TOC Heading"/>
    <w:uiPriority w:val="39"/>
    <w:unhideWhenUsed/>
  </w:style>
  <w:style w:type="paragraph" w:styleId="894">
    <w:name w:val="table of figures"/>
    <w:basedOn w:val="895"/>
    <w:next w:val="895"/>
    <w:uiPriority w:val="99"/>
    <w:unhideWhenUsed/>
    <w:pPr>
      <w:spacing w:after="0" w:afterAutospacing="0"/>
    </w:pPr>
  </w:style>
  <w:style w:type="paragraph" w:styleId="895" w:default="1">
    <w:name w:val="Normal"/>
    <w:next w:val="895"/>
    <w:link w:val="895"/>
    <w:qFormat/>
    <w:pPr>
      <w:jc w:val="both"/>
      <w:widowControl w:val="off"/>
    </w:pPr>
    <w:rPr>
      <w:sz w:val="21"/>
      <w:szCs w:val="22"/>
      <w:lang w:val="en-US" w:eastAsia="zh-CN" w:bidi="ar-SA"/>
    </w:rPr>
  </w:style>
  <w:style w:type="paragraph" w:styleId="896">
    <w:name w:val="标题 1"/>
    <w:basedOn w:val="895"/>
    <w:next w:val="895"/>
    <w:link w:val="908"/>
    <w:qFormat/>
    <w:pPr>
      <w:jc w:val="center"/>
      <w:keepNext/>
      <w:outlineLvl w:val="0"/>
    </w:pPr>
    <w:rPr>
      <w:rFonts w:ascii="楷体_GB2312" w:eastAsia="楷体_GB2312"/>
      <w:sz w:val="28"/>
      <w:szCs w:val="28"/>
      <w:lang w:val="en-US" w:eastAsia="en-US"/>
    </w:rPr>
  </w:style>
  <w:style w:type="paragraph" w:styleId="897">
    <w:name w:val="标题 2"/>
    <w:basedOn w:val="895"/>
    <w:next w:val="910"/>
    <w:link w:val="909"/>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898">
    <w:name w:val="标题 3"/>
    <w:basedOn w:val="895"/>
    <w:next w:val="910"/>
    <w:link w:val="912"/>
    <w:qFormat/>
    <w:pPr>
      <w:keepLines/>
      <w:keepNext/>
      <w:spacing w:before="260" w:after="260" w:line="416" w:lineRule="auto"/>
      <w:outlineLvl w:val="2"/>
    </w:pPr>
    <w:rPr>
      <w:b/>
      <w:bCs/>
      <w:sz w:val="32"/>
      <w:szCs w:val="32"/>
      <w:lang w:val="en-US" w:eastAsia="en-US"/>
    </w:rPr>
  </w:style>
  <w:style w:type="paragraph" w:styleId="899">
    <w:name w:val="标题 4"/>
    <w:basedOn w:val="895"/>
    <w:next w:val="910"/>
    <w:link w:val="913"/>
    <w:qFormat/>
    <w:pPr>
      <w:keepLines/>
      <w:keepNext/>
      <w:spacing w:before="280" w:after="290" w:line="376" w:lineRule="auto"/>
      <w:outlineLvl w:val="3"/>
    </w:pPr>
    <w:rPr>
      <w:rFonts w:ascii="Arial" w:hAnsi="Arial" w:eastAsia="黑体"/>
      <w:b/>
      <w:bCs/>
      <w:sz w:val="28"/>
      <w:szCs w:val="28"/>
      <w:lang w:val="en-US" w:eastAsia="en-US"/>
    </w:rPr>
  </w:style>
  <w:style w:type="paragraph" w:styleId="900">
    <w:name w:val="标题 5"/>
    <w:basedOn w:val="895"/>
    <w:next w:val="910"/>
    <w:link w:val="914"/>
    <w:qFormat/>
    <w:pPr>
      <w:keepNext/>
      <w:outlineLvl w:val="4"/>
    </w:pPr>
    <w:rPr>
      <w:rFonts w:ascii="宋体"/>
      <w:color w:val="000000"/>
      <w:sz w:val="28"/>
      <w:szCs w:val="28"/>
      <w:lang w:val="en-US" w:eastAsia="en-US"/>
    </w:rPr>
  </w:style>
  <w:style w:type="paragraph" w:styleId="901">
    <w:name w:val="标题 6"/>
    <w:basedOn w:val="895"/>
    <w:next w:val="895"/>
    <w:link w:val="915"/>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902">
    <w:name w:val="标题 7"/>
    <w:basedOn w:val="895"/>
    <w:next w:val="895"/>
    <w:link w:val="916"/>
    <w:qFormat/>
    <w:pPr>
      <w:numPr>
        <w:ilvl w:val="6"/>
        <w:numId w:val="1"/>
      </w:numPr>
      <w:keepLines/>
      <w:keepNext/>
      <w:spacing w:before="240" w:after="64" w:line="320" w:lineRule="auto"/>
      <w:outlineLvl w:val="6"/>
    </w:pPr>
    <w:rPr>
      <w:b/>
      <w:bCs/>
      <w:sz w:val="24"/>
      <w:szCs w:val="24"/>
      <w:lang w:val="en-US" w:eastAsia="en-US"/>
    </w:rPr>
  </w:style>
  <w:style w:type="paragraph" w:styleId="903">
    <w:name w:val="标题 8"/>
    <w:basedOn w:val="895"/>
    <w:next w:val="895"/>
    <w:link w:val="917"/>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904">
    <w:name w:val="标题 9"/>
    <w:basedOn w:val="895"/>
    <w:next w:val="895"/>
    <w:link w:val="918"/>
    <w:qFormat/>
    <w:pPr>
      <w:numPr>
        <w:ilvl w:val="8"/>
        <w:numId w:val="1"/>
      </w:numPr>
      <w:keepLines/>
      <w:keepNext/>
      <w:spacing w:before="240" w:after="64" w:line="320" w:lineRule="auto"/>
      <w:outlineLvl w:val="8"/>
    </w:pPr>
    <w:rPr>
      <w:rFonts w:ascii="Arial" w:hAnsi="Arial" w:eastAsia="黑体"/>
      <w:sz w:val="20"/>
      <w:szCs w:val="21"/>
      <w:lang w:val="en-US" w:eastAsia="en-US"/>
    </w:rPr>
  </w:style>
  <w:style w:type="character" w:styleId="905">
    <w:name w:val="默认段落字体"/>
    <w:next w:val="905"/>
    <w:link w:val="895"/>
    <w:uiPriority w:val="1"/>
    <w:unhideWhenUsed/>
  </w:style>
  <w:style w:type="table" w:styleId="906">
    <w:name w:val="普通表格"/>
    <w:next w:val="906"/>
    <w:link w:val="895"/>
    <w:uiPriority w:val="99"/>
    <w:unhideWhenUsed/>
    <w:tblPr/>
  </w:style>
  <w:style w:type="numbering" w:styleId="907">
    <w:name w:val="无列表"/>
    <w:next w:val="907"/>
    <w:link w:val="895"/>
    <w:uiPriority w:val="99"/>
    <w:semiHidden/>
    <w:unhideWhenUsed/>
  </w:style>
  <w:style w:type="character" w:styleId="908">
    <w:name w:val="标题 1 Char"/>
    <w:next w:val="908"/>
    <w:link w:val="896"/>
    <w:rPr>
      <w:rFonts w:ascii="楷体_GB2312" w:hAnsi="Times New Roman" w:eastAsia="楷体_GB2312" w:cs="Times New Roman"/>
      <w:sz w:val="28"/>
      <w:szCs w:val="28"/>
    </w:rPr>
  </w:style>
  <w:style w:type="character" w:styleId="909">
    <w:name w:val="标题 2 Char"/>
    <w:next w:val="909"/>
    <w:link w:val="897"/>
    <w:rPr>
      <w:rFonts w:ascii="Arial" w:hAnsi="Arial" w:eastAsia="幼圆" w:cs="Arial"/>
      <w:b/>
      <w:bCs/>
      <w:sz w:val="44"/>
      <w:szCs w:val="44"/>
    </w:rPr>
  </w:style>
  <w:style w:type="paragraph" w:styleId="910">
    <w:name w:val="正文缩进"/>
    <w:basedOn w:val="895"/>
    <w:next w:val="910"/>
    <w:link w:val="911"/>
    <w:pPr>
      <w:ind w:firstLine="420"/>
    </w:pPr>
    <w:rPr>
      <w:sz w:val="20"/>
      <w:szCs w:val="21"/>
      <w:lang w:val="en-US" w:eastAsia="en-US"/>
    </w:rPr>
  </w:style>
  <w:style w:type="character" w:styleId="911">
    <w:name w:val="正文缩进 Char"/>
    <w:next w:val="911"/>
    <w:link w:val="910"/>
    <w:rPr>
      <w:szCs w:val="21"/>
    </w:rPr>
  </w:style>
  <w:style w:type="character" w:styleId="912">
    <w:name w:val="标题 3 Char"/>
    <w:next w:val="912"/>
    <w:link w:val="898"/>
    <w:rPr>
      <w:rFonts w:ascii="Times New Roman" w:hAnsi="Times New Roman" w:eastAsia="宋体" w:cs="Times New Roman"/>
      <w:b/>
      <w:bCs/>
      <w:sz w:val="32"/>
      <w:szCs w:val="32"/>
    </w:rPr>
  </w:style>
  <w:style w:type="character" w:styleId="913">
    <w:name w:val="标题 4 Char"/>
    <w:next w:val="913"/>
    <w:link w:val="899"/>
    <w:rPr>
      <w:rFonts w:ascii="Arial" w:hAnsi="Arial" w:eastAsia="黑体" w:cs="Arial"/>
      <w:b/>
      <w:bCs/>
      <w:sz w:val="28"/>
      <w:szCs w:val="28"/>
    </w:rPr>
  </w:style>
  <w:style w:type="character" w:styleId="914">
    <w:name w:val="标题 5 Char"/>
    <w:next w:val="914"/>
    <w:link w:val="900"/>
    <w:rPr>
      <w:rFonts w:ascii="宋体" w:hAnsi="Times New Roman" w:eastAsia="宋体" w:cs="Times New Roman"/>
      <w:color w:val="000000"/>
      <w:sz w:val="28"/>
      <w:szCs w:val="28"/>
    </w:rPr>
  </w:style>
  <w:style w:type="character" w:styleId="915">
    <w:name w:val="标题 6 Char"/>
    <w:next w:val="915"/>
    <w:link w:val="901"/>
    <w:rPr>
      <w:rFonts w:ascii="Arial" w:hAnsi="Arial" w:eastAsia="黑体" w:cs="Times New Roman"/>
      <w:b/>
      <w:bCs/>
      <w:sz w:val="24"/>
      <w:szCs w:val="24"/>
    </w:rPr>
  </w:style>
  <w:style w:type="character" w:styleId="916">
    <w:name w:val="标题 7 Char"/>
    <w:next w:val="916"/>
    <w:link w:val="902"/>
    <w:rPr>
      <w:rFonts w:ascii="Times New Roman" w:hAnsi="Times New Roman" w:eastAsia="宋体" w:cs="Times New Roman"/>
      <w:b/>
      <w:bCs/>
      <w:sz w:val="24"/>
      <w:szCs w:val="24"/>
    </w:rPr>
  </w:style>
  <w:style w:type="character" w:styleId="917">
    <w:name w:val="标题 8 Char"/>
    <w:next w:val="917"/>
    <w:link w:val="903"/>
    <w:rPr>
      <w:rFonts w:ascii="Arial" w:hAnsi="Arial" w:eastAsia="黑体" w:cs="Times New Roman"/>
      <w:sz w:val="24"/>
      <w:szCs w:val="24"/>
    </w:rPr>
  </w:style>
  <w:style w:type="character" w:styleId="918">
    <w:name w:val="标题 9 Char"/>
    <w:next w:val="918"/>
    <w:link w:val="904"/>
    <w:rPr>
      <w:rFonts w:ascii="Arial" w:hAnsi="Arial" w:eastAsia="黑体" w:cs="Times New Roman"/>
      <w:szCs w:val="21"/>
    </w:rPr>
  </w:style>
  <w:style w:type="paragraph" w:styleId="919">
    <w:name w:val="列表 3"/>
    <w:basedOn w:val="895"/>
    <w:next w:val="919"/>
    <w:link w:val="895"/>
    <w:pPr>
      <w:ind w:left="100" w:hanging="200"/>
    </w:pPr>
    <w:rPr>
      <w:rFonts w:ascii="Times New Roman" w:hAnsi="Times New Roman" w:eastAsia="宋体" w:cs="Times New Roman"/>
      <w:szCs w:val="21"/>
    </w:rPr>
  </w:style>
  <w:style w:type="paragraph" w:styleId="920">
    <w:name w:val="目录 7"/>
    <w:basedOn w:val="895"/>
    <w:next w:val="895"/>
    <w:link w:val="895"/>
    <w:semiHidden/>
    <w:pPr>
      <w:ind w:left="1260"/>
      <w:jc w:val="left"/>
    </w:pPr>
    <w:rPr>
      <w:rFonts w:ascii="Times New Roman" w:hAnsi="Times New Roman" w:eastAsia="宋体" w:cs="Times New Roman"/>
      <w:szCs w:val="21"/>
    </w:rPr>
  </w:style>
  <w:style w:type="paragraph" w:styleId="921">
    <w:name w:val="文档结构图"/>
    <w:basedOn w:val="895"/>
    <w:next w:val="921"/>
    <w:link w:val="922"/>
    <w:semiHidden/>
    <w:pPr>
      <w:shd w:val="clear" w:color="auto" w:fill="000080"/>
    </w:pPr>
    <w:rPr>
      <w:sz w:val="20"/>
      <w:szCs w:val="21"/>
      <w:lang w:val="en-US" w:eastAsia="en-US"/>
    </w:rPr>
  </w:style>
  <w:style w:type="character" w:styleId="922">
    <w:name w:val="文档结构图 Char"/>
    <w:next w:val="922"/>
    <w:link w:val="921"/>
    <w:semiHidden/>
    <w:rPr>
      <w:rFonts w:ascii="Times New Roman" w:hAnsi="Times New Roman" w:eastAsia="宋体" w:cs="Times New Roman"/>
      <w:szCs w:val="21"/>
      <w:shd w:val="clear" w:color="auto" w:fill="000080"/>
    </w:rPr>
  </w:style>
  <w:style w:type="paragraph" w:styleId="923">
    <w:name w:val="批注文字"/>
    <w:basedOn w:val="895"/>
    <w:next w:val="923"/>
    <w:link w:val="924"/>
    <w:uiPriority w:val="99"/>
    <w:unhideWhenUsed/>
    <w:pPr>
      <w:jc w:val="left"/>
    </w:pPr>
  </w:style>
  <w:style w:type="character" w:styleId="924">
    <w:name w:val="批注文字 Char"/>
    <w:next w:val="924"/>
    <w:link w:val="923"/>
    <w:uiPriority w:val="99"/>
    <w:semiHidden/>
  </w:style>
  <w:style w:type="paragraph" w:styleId="925">
    <w:name w:val="正文文本 3"/>
    <w:basedOn w:val="895"/>
    <w:next w:val="925"/>
    <w:link w:val="926"/>
    <w:rPr>
      <w:rFonts w:ascii="仿宋_GB2312" w:hAnsi="Arial" w:eastAsia="仿宋_GB2312"/>
      <w:sz w:val="32"/>
      <w:szCs w:val="32"/>
      <w:lang w:val="en-US" w:eastAsia="en-US"/>
    </w:rPr>
  </w:style>
  <w:style w:type="character" w:styleId="926">
    <w:name w:val="正文文本 3 Char"/>
    <w:next w:val="926"/>
    <w:link w:val="925"/>
    <w:rPr>
      <w:rFonts w:ascii="仿宋_GB2312" w:hAnsi="Arial" w:eastAsia="仿宋_GB2312" w:cs="Times New Roman"/>
      <w:sz w:val="32"/>
      <w:szCs w:val="32"/>
    </w:rPr>
  </w:style>
  <w:style w:type="paragraph" w:styleId="927">
    <w:name w:val="正文文本"/>
    <w:basedOn w:val="895"/>
    <w:next w:val="927"/>
    <w:link w:val="928"/>
    <w:rPr>
      <w:rFonts w:ascii="楷体_GB2312" w:hAnsi="Arial" w:eastAsia="楷体_GB2312"/>
      <w:sz w:val="28"/>
      <w:szCs w:val="28"/>
      <w:lang w:val="en-US" w:eastAsia="en-US"/>
    </w:rPr>
  </w:style>
  <w:style w:type="character" w:styleId="928">
    <w:name w:val="正文文本 Char"/>
    <w:next w:val="928"/>
    <w:link w:val="927"/>
    <w:rPr>
      <w:rFonts w:ascii="楷体_GB2312" w:hAnsi="Arial" w:eastAsia="楷体_GB2312" w:cs="Times New Roman"/>
      <w:sz w:val="28"/>
      <w:szCs w:val="28"/>
    </w:rPr>
  </w:style>
  <w:style w:type="paragraph" w:styleId="929">
    <w:name w:val="正文文本缩进"/>
    <w:basedOn w:val="895"/>
    <w:next w:val="929"/>
    <w:link w:val="930"/>
    <w:uiPriority w:val="99"/>
    <w:unhideWhenUsed/>
    <w:pPr>
      <w:ind w:left="420"/>
      <w:spacing w:after="120"/>
    </w:pPr>
  </w:style>
  <w:style w:type="character" w:styleId="930">
    <w:name w:val="正文文本缩进 Char"/>
    <w:next w:val="930"/>
    <w:link w:val="929"/>
    <w:uiPriority w:val="99"/>
    <w:semiHidden/>
  </w:style>
  <w:style w:type="paragraph" w:styleId="931">
    <w:name w:val="列表 2"/>
    <w:basedOn w:val="895"/>
    <w:next w:val="931"/>
    <w:link w:val="895"/>
    <w:pPr>
      <w:ind w:left="100" w:hanging="200"/>
    </w:pPr>
    <w:rPr>
      <w:rFonts w:ascii="Times New Roman" w:hAnsi="Times New Roman" w:eastAsia="宋体" w:cs="Times New Roman"/>
      <w:szCs w:val="21"/>
    </w:rPr>
  </w:style>
  <w:style w:type="paragraph" w:styleId="932">
    <w:name w:val="目录 5"/>
    <w:basedOn w:val="895"/>
    <w:next w:val="895"/>
    <w:link w:val="895"/>
    <w:semiHidden/>
    <w:pPr>
      <w:ind w:left="840"/>
      <w:jc w:val="left"/>
    </w:pPr>
    <w:rPr>
      <w:rFonts w:ascii="Times New Roman" w:hAnsi="Times New Roman" w:eastAsia="宋体" w:cs="Times New Roman"/>
      <w:szCs w:val="21"/>
    </w:rPr>
  </w:style>
  <w:style w:type="paragraph" w:styleId="933">
    <w:name w:val="目录 3"/>
    <w:basedOn w:val="895"/>
    <w:next w:val="895"/>
    <w:link w:val="895"/>
    <w:semiHidden/>
    <w:pPr>
      <w:ind w:left="420"/>
      <w:jc w:val="left"/>
    </w:pPr>
    <w:rPr>
      <w:rFonts w:ascii="Times New Roman" w:hAnsi="Times New Roman" w:eastAsia="宋体" w:cs="Times New Roman"/>
      <w:i/>
      <w:iCs/>
      <w:szCs w:val="24"/>
    </w:rPr>
  </w:style>
  <w:style w:type="paragraph" w:styleId="934">
    <w:name w:val="纯文本"/>
    <w:basedOn w:val="895"/>
    <w:next w:val="934"/>
    <w:link w:val="935"/>
    <w:qFormat/>
    <w:rPr>
      <w:rFonts w:ascii="宋体" w:hAnsi="Courier New"/>
      <w:sz w:val="20"/>
      <w:szCs w:val="21"/>
      <w:lang w:val="en-US" w:eastAsia="en-US"/>
    </w:rPr>
  </w:style>
  <w:style w:type="character" w:styleId="935">
    <w:name w:val="纯文本 Char"/>
    <w:next w:val="935"/>
    <w:link w:val="934"/>
    <w:rPr>
      <w:rFonts w:ascii="宋体" w:hAnsi="Courier New" w:eastAsia="宋体" w:cs="Courier New"/>
      <w:szCs w:val="21"/>
    </w:rPr>
  </w:style>
  <w:style w:type="paragraph" w:styleId="936">
    <w:name w:val="目录 8"/>
    <w:basedOn w:val="895"/>
    <w:next w:val="895"/>
    <w:link w:val="895"/>
    <w:semiHidden/>
    <w:pPr>
      <w:ind w:left="1470"/>
      <w:jc w:val="left"/>
    </w:pPr>
    <w:rPr>
      <w:rFonts w:ascii="Times New Roman" w:hAnsi="Times New Roman" w:eastAsia="宋体" w:cs="Times New Roman"/>
      <w:szCs w:val="21"/>
    </w:rPr>
  </w:style>
  <w:style w:type="paragraph" w:styleId="937">
    <w:name w:val="日期"/>
    <w:basedOn w:val="895"/>
    <w:next w:val="895"/>
    <w:link w:val="938"/>
    <w:rPr>
      <w:sz w:val="24"/>
      <w:szCs w:val="24"/>
      <w:lang w:val="en-US" w:eastAsia="en-US"/>
    </w:rPr>
  </w:style>
  <w:style w:type="character" w:styleId="938">
    <w:name w:val="日期 Char"/>
    <w:next w:val="938"/>
    <w:link w:val="937"/>
    <w:rPr>
      <w:rFonts w:ascii="Times New Roman" w:hAnsi="Times New Roman" w:eastAsia="宋体" w:cs="Times New Roman"/>
      <w:sz w:val="24"/>
      <w:szCs w:val="24"/>
    </w:rPr>
  </w:style>
  <w:style w:type="paragraph" w:styleId="939">
    <w:name w:val="正文文本缩进 2"/>
    <w:basedOn w:val="895"/>
    <w:next w:val="939"/>
    <w:link w:val="940"/>
    <w:pPr>
      <w:ind w:left="630" w:firstLine="645"/>
    </w:pPr>
    <w:rPr>
      <w:rFonts w:ascii="Arial" w:hAnsi="Arial" w:eastAsia="仿宋_GB2312"/>
      <w:sz w:val="32"/>
      <w:szCs w:val="32"/>
      <w:lang w:val="en-US" w:eastAsia="en-US"/>
    </w:rPr>
  </w:style>
  <w:style w:type="character" w:styleId="940">
    <w:name w:val="正文文本缩进 2 Char"/>
    <w:next w:val="940"/>
    <w:link w:val="939"/>
    <w:rPr>
      <w:rFonts w:ascii="Arial" w:hAnsi="Arial" w:eastAsia="仿宋_GB2312" w:cs="Arial"/>
      <w:sz w:val="32"/>
      <w:szCs w:val="32"/>
    </w:rPr>
  </w:style>
  <w:style w:type="paragraph" w:styleId="941">
    <w:name w:val="批注框文本"/>
    <w:basedOn w:val="895"/>
    <w:next w:val="941"/>
    <w:link w:val="942"/>
    <w:semiHidden/>
    <w:rPr>
      <w:sz w:val="18"/>
      <w:szCs w:val="18"/>
      <w:lang w:val="en-US" w:eastAsia="en-US"/>
    </w:rPr>
  </w:style>
  <w:style w:type="character" w:styleId="942">
    <w:name w:val="批注框文本 Char"/>
    <w:next w:val="942"/>
    <w:link w:val="941"/>
    <w:semiHidden/>
    <w:rPr>
      <w:rFonts w:ascii="Times New Roman" w:hAnsi="Times New Roman" w:eastAsia="宋体" w:cs="Times New Roman"/>
      <w:sz w:val="18"/>
      <w:szCs w:val="18"/>
    </w:rPr>
  </w:style>
  <w:style w:type="paragraph" w:styleId="943">
    <w:name w:val="页脚"/>
    <w:basedOn w:val="895"/>
    <w:next w:val="943"/>
    <w:link w:val="944"/>
    <w:uiPriority w:val="99"/>
    <w:pPr>
      <w:jc w:val="left"/>
      <w:tabs>
        <w:tab w:val="center" w:pos="4153" w:leader="none"/>
        <w:tab w:val="right" w:pos="8306" w:leader="none"/>
      </w:tabs>
    </w:pPr>
    <w:rPr>
      <w:sz w:val="18"/>
      <w:szCs w:val="18"/>
      <w:lang w:val="en-US" w:eastAsia="en-US"/>
    </w:rPr>
  </w:style>
  <w:style w:type="character" w:styleId="944">
    <w:name w:val="页脚 Char"/>
    <w:next w:val="944"/>
    <w:link w:val="943"/>
    <w:uiPriority w:val="99"/>
    <w:rPr>
      <w:rFonts w:ascii="Times New Roman" w:hAnsi="Times New Roman" w:eastAsia="宋体" w:cs="Times New Roman"/>
      <w:sz w:val="18"/>
      <w:szCs w:val="18"/>
    </w:rPr>
  </w:style>
  <w:style w:type="paragraph" w:styleId="945">
    <w:name w:val="页眉"/>
    <w:basedOn w:val="895"/>
    <w:next w:val="945"/>
    <w:link w:val="946"/>
    <w:pPr>
      <w:jc w:val="center"/>
      <w:tabs>
        <w:tab w:val="center" w:pos="4153" w:leader="none"/>
        <w:tab w:val="right" w:pos="8306" w:leader="none"/>
      </w:tabs>
      <w:pBdr>
        <w:bottom w:val="single" w:color="000000" w:sz="6" w:space="1"/>
      </w:pBdr>
    </w:pPr>
    <w:rPr>
      <w:sz w:val="18"/>
      <w:szCs w:val="18"/>
      <w:lang w:val="en-US" w:eastAsia="en-US"/>
    </w:rPr>
  </w:style>
  <w:style w:type="character" w:styleId="946">
    <w:name w:val="页眉 Char"/>
    <w:next w:val="946"/>
    <w:link w:val="945"/>
    <w:rPr>
      <w:rFonts w:ascii="Times New Roman" w:hAnsi="Times New Roman" w:eastAsia="宋体" w:cs="Times New Roman"/>
      <w:sz w:val="18"/>
      <w:szCs w:val="18"/>
    </w:rPr>
  </w:style>
  <w:style w:type="paragraph" w:styleId="947">
    <w:name w:val="目录 1"/>
    <w:basedOn w:val="895"/>
    <w:next w:val="895"/>
    <w:link w:val="895"/>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48">
    <w:name w:val="目录 4"/>
    <w:basedOn w:val="895"/>
    <w:next w:val="895"/>
    <w:link w:val="895"/>
    <w:semiHidden/>
    <w:pPr>
      <w:ind w:left="630"/>
      <w:jc w:val="left"/>
    </w:pPr>
    <w:rPr>
      <w:rFonts w:ascii="Times New Roman" w:hAnsi="Times New Roman" w:eastAsia="宋体" w:cs="Times New Roman"/>
      <w:szCs w:val="21"/>
    </w:rPr>
  </w:style>
  <w:style w:type="paragraph" w:styleId="949">
    <w:name w:val="列表"/>
    <w:basedOn w:val="895"/>
    <w:next w:val="949"/>
    <w:link w:val="895"/>
    <w:pPr>
      <w:ind w:left="200" w:hanging="200"/>
    </w:pPr>
    <w:rPr>
      <w:rFonts w:ascii="Times New Roman" w:hAnsi="Times New Roman" w:eastAsia="宋体" w:cs="Times New Roman"/>
      <w:szCs w:val="21"/>
    </w:rPr>
  </w:style>
  <w:style w:type="paragraph" w:styleId="950">
    <w:name w:val="目录 6"/>
    <w:basedOn w:val="895"/>
    <w:next w:val="895"/>
    <w:link w:val="895"/>
    <w:semiHidden/>
    <w:pPr>
      <w:ind w:left="1050"/>
      <w:jc w:val="left"/>
    </w:pPr>
    <w:rPr>
      <w:rFonts w:ascii="Times New Roman" w:hAnsi="Times New Roman" w:eastAsia="宋体" w:cs="Times New Roman"/>
      <w:szCs w:val="21"/>
    </w:rPr>
  </w:style>
  <w:style w:type="paragraph" w:styleId="951">
    <w:name w:val="正文文本缩进 3"/>
    <w:basedOn w:val="895"/>
    <w:next w:val="951"/>
    <w:link w:val="952"/>
    <w:pPr>
      <w:ind w:left="645" w:firstLine="645"/>
    </w:pPr>
    <w:rPr>
      <w:rFonts w:ascii="Arial" w:hAnsi="Arial" w:eastAsia="仿宋_GB2312"/>
      <w:color w:val="ffff00"/>
      <w:sz w:val="32"/>
      <w:szCs w:val="32"/>
      <w:lang w:val="en-US" w:eastAsia="en-US"/>
    </w:rPr>
  </w:style>
  <w:style w:type="character" w:styleId="952">
    <w:name w:val="正文文本缩进 3 Char"/>
    <w:next w:val="952"/>
    <w:link w:val="951"/>
    <w:rPr>
      <w:rFonts w:ascii="Arial" w:hAnsi="Arial" w:eastAsia="仿宋_GB2312" w:cs="Arial"/>
      <w:color w:val="ffff00"/>
      <w:sz w:val="32"/>
      <w:szCs w:val="32"/>
    </w:rPr>
  </w:style>
  <w:style w:type="paragraph" w:styleId="953">
    <w:name w:val="图表目录"/>
    <w:basedOn w:val="895"/>
    <w:next w:val="895"/>
    <w:link w:val="895"/>
    <w:semiHidden/>
    <w:pPr>
      <w:ind w:left="840" w:hanging="420"/>
    </w:pPr>
    <w:rPr>
      <w:rFonts w:ascii="Times New Roman" w:hAnsi="Times New Roman" w:eastAsia="宋体" w:cs="Times New Roman"/>
      <w:szCs w:val="21"/>
    </w:rPr>
  </w:style>
  <w:style w:type="paragraph" w:styleId="954">
    <w:name w:val="目录 2"/>
    <w:basedOn w:val="895"/>
    <w:next w:val="895"/>
    <w:link w:val="895"/>
    <w:semiHidden/>
    <w:pPr>
      <w:ind w:left="210"/>
      <w:jc w:val="left"/>
    </w:pPr>
    <w:rPr>
      <w:rFonts w:ascii="Times New Roman" w:hAnsi="Times New Roman" w:eastAsia="宋体" w:cs="Times New Roman"/>
      <w:smallCaps/>
      <w:szCs w:val="24"/>
    </w:rPr>
  </w:style>
  <w:style w:type="paragraph" w:styleId="955">
    <w:name w:val="目录 9"/>
    <w:basedOn w:val="895"/>
    <w:next w:val="895"/>
    <w:link w:val="895"/>
    <w:semiHidden/>
    <w:pPr>
      <w:ind w:left="1680"/>
      <w:jc w:val="left"/>
    </w:pPr>
    <w:rPr>
      <w:rFonts w:ascii="Times New Roman" w:hAnsi="Times New Roman" w:eastAsia="宋体" w:cs="Times New Roman"/>
      <w:szCs w:val="21"/>
    </w:rPr>
  </w:style>
  <w:style w:type="paragraph" w:styleId="956">
    <w:name w:val="正文文本 2"/>
    <w:basedOn w:val="895"/>
    <w:next w:val="956"/>
    <w:link w:val="957"/>
    <w:pPr>
      <w:jc w:val="center"/>
      <w:widowControl/>
    </w:pPr>
    <w:rPr>
      <w:rFonts w:ascii="楷体_GB2312" w:eastAsia="楷体_GB2312"/>
      <w:sz w:val="28"/>
      <w:szCs w:val="28"/>
      <w:lang w:val="en-US" w:eastAsia="en-US"/>
    </w:rPr>
  </w:style>
  <w:style w:type="character" w:styleId="957">
    <w:name w:val="正文文本 2 Char"/>
    <w:next w:val="957"/>
    <w:link w:val="956"/>
    <w:rPr>
      <w:rFonts w:ascii="楷体_GB2312" w:hAnsi="Times New Roman" w:eastAsia="楷体_GB2312" w:cs="Times New Roman"/>
      <w:sz w:val="28"/>
      <w:szCs w:val="28"/>
    </w:rPr>
  </w:style>
  <w:style w:type="paragraph" w:styleId="958">
    <w:name w:val="普通(网站)"/>
    <w:basedOn w:val="895"/>
    <w:next w:val="958"/>
    <w:link w:val="895"/>
    <w:uiPriority w:val="99"/>
    <w:pPr>
      <w:jc w:val="left"/>
      <w:spacing w:before="100" w:beforeAutospacing="1" w:after="100" w:afterAutospacing="1"/>
      <w:widowControl/>
    </w:pPr>
    <w:rPr>
      <w:rFonts w:ascii="宋体" w:hAnsi="宋体" w:eastAsia="宋体" w:cs="宋体"/>
      <w:sz w:val="24"/>
      <w:szCs w:val="24"/>
    </w:rPr>
  </w:style>
  <w:style w:type="paragraph" w:styleId="959">
    <w:name w:val="索引 1"/>
    <w:basedOn w:val="895"/>
    <w:next w:val="895"/>
    <w:link w:val="895"/>
    <w:semiHidden/>
    <w:pPr>
      <w:spacing w:line="240" w:lineRule="atLeast"/>
    </w:pPr>
    <w:rPr>
      <w:rFonts w:ascii="Times New Roman" w:hAnsi="Times New Roman" w:eastAsia="宋体" w:cs="Times New Roman"/>
      <w:b/>
      <w:bCs/>
      <w:szCs w:val="21"/>
    </w:rPr>
  </w:style>
  <w:style w:type="paragraph" w:styleId="960">
    <w:name w:val="批注主题"/>
    <w:basedOn w:val="923"/>
    <w:next w:val="923"/>
    <w:link w:val="961"/>
    <w:semiHidden/>
    <w:rPr>
      <w:b/>
      <w:bCs/>
      <w:sz w:val="20"/>
      <w:szCs w:val="21"/>
      <w:lang w:val="en-US" w:eastAsia="en-US"/>
    </w:rPr>
  </w:style>
  <w:style w:type="character" w:styleId="961">
    <w:name w:val="批注主题 Char"/>
    <w:next w:val="961"/>
    <w:link w:val="960"/>
    <w:semiHidden/>
    <w:rPr>
      <w:rFonts w:ascii="Times New Roman" w:hAnsi="Times New Roman" w:eastAsia="宋体" w:cs="Times New Roman"/>
      <w:b/>
      <w:bCs/>
      <w:szCs w:val="21"/>
    </w:rPr>
  </w:style>
  <w:style w:type="paragraph" w:styleId="962">
    <w:name w:val="正文首行缩进"/>
    <w:basedOn w:val="895"/>
    <w:next w:val="962"/>
    <w:link w:val="963"/>
    <w:pPr>
      <w:ind w:firstLine="200"/>
      <w:spacing w:line="360" w:lineRule="auto"/>
    </w:pPr>
    <w:rPr>
      <w:rFonts w:ascii="仿宋_GB2312" w:eastAsia="仿宋_GB2312"/>
      <w:sz w:val="30"/>
      <w:szCs w:val="30"/>
      <w:lang w:val="en-US" w:eastAsia="en-US"/>
    </w:rPr>
  </w:style>
  <w:style w:type="character" w:styleId="963">
    <w:name w:val="正文首行缩进 Char"/>
    <w:next w:val="963"/>
    <w:link w:val="962"/>
    <w:rPr>
      <w:rFonts w:ascii="仿宋_GB2312" w:hAnsi="Times New Roman" w:eastAsia="仿宋_GB2312" w:cs="Times New Roman"/>
      <w:sz w:val="30"/>
      <w:szCs w:val="30"/>
    </w:rPr>
  </w:style>
  <w:style w:type="paragraph" w:styleId="964">
    <w:name w:val="正文首行缩进 2"/>
    <w:basedOn w:val="929"/>
    <w:next w:val="964"/>
    <w:link w:val="965"/>
    <w:pPr>
      <w:ind w:left="0" w:firstLine="420"/>
      <w:spacing w:after="0" w:line="360" w:lineRule="auto"/>
    </w:pPr>
    <w:rPr>
      <w:rFonts w:ascii="宋体" w:hAnsi="宋体"/>
      <w:sz w:val="20"/>
      <w:szCs w:val="20"/>
      <w:lang w:val="en-US" w:eastAsia="en-US"/>
    </w:rPr>
  </w:style>
  <w:style w:type="character" w:styleId="965">
    <w:name w:val="正文首行缩进 2 Char"/>
    <w:next w:val="965"/>
    <w:link w:val="964"/>
    <w:rPr>
      <w:rFonts w:ascii="宋体" w:hAnsi="宋体" w:eastAsia="宋体" w:cs="Times New Roman"/>
      <w:szCs w:val="20"/>
    </w:rPr>
  </w:style>
  <w:style w:type="table" w:styleId="966">
    <w:name w:val="网格型"/>
    <w:basedOn w:val="906"/>
    <w:next w:val="966"/>
    <w:link w:val="895"/>
    <w:pPr>
      <w:jc w:val="both"/>
      <w:widowControl w:val="off"/>
    </w:pPr>
    <w:rPr>
      <w:rFonts w:ascii="Times New Roman" w:hAnsi="Times New Roman" w:eastAsia="宋体" w:cs="Times New Roman"/>
      <w:sz w:val="20"/>
      <w:szCs w:val="20"/>
    </w:rPr>
    <w:tblPr/>
  </w:style>
  <w:style w:type="character" w:styleId="967">
    <w:name w:val="要点"/>
    <w:basedOn w:val="905"/>
    <w:next w:val="967"/>
    <w:link w:val="895"/>
    <w:qFormat/>
    <w:rPr>
      <w:b/>
      <w:bCs/>
    </w:rPr>
  </w:style>
  <w:style w:type="character" w:styleId="968">
    <w:name w:val="页码"/>
    <w:next w:val="968"/>
    <w:link w:val="895"/>
  </w:style>
  <w:style w:type="character" w:styleId="969">
    <w:name w:val="已访问的超链接"/>
    <w:next w:val="969"/>
    <w:link w:val="895"/>
    <w:rPr>
      <w:color w:val="800080"/>
      <w:u w:val="single"/>
    </w:rPr>
  </w:style>
  <w:style w:type="character" w:styleId="970">
    <w:name w:val="强调"/>
    <w:basedOn w:val="905"/>
    <w:next w:val="970"/>
    <w:link w:val="895"/>
    <w:qFormat/>
    <w:rPr>
      <w:i/>
    </w:rPr>
  </w:style>
  <w:style w:type="character" w:styleId="971">
    <w:name w:val="超链接"/>
    <w:next w:val="971"/>
    <w:link w:val="895"/>
    <w:rPr>
      <w:color w:val="0000ff"/>
      <w:u w:val="single"/>
    </w:rPr>
  </w:style>
  <w:style w:type="character" w:styleId="972">
    <w:name w:val="批注引用"/>
    <w:next w:val="972"/>
    <w:link w:val="895"/>
    <w:semiHidden/>
    <w:rPr>
      <w:sz w:val="21"/>
      <w:szCs w:val="21"/>
    </w:rPr>
  </w:style>
  <w:style w:type="character" w:styleId="973">
    <w:name w:val="列出段落 Char,Bullet List Char,numbered Char,FooterText Char,List Paragraph1 Char,Paragraphe de liste1 Char"/>
    <w:next w:val="973"/>
    <w:link w:val="974"/>
    <w:qFormat/>
    <w:rPr>
      <w:rFonts w:ascii="Calibri" w:hAnsi="Calibri"/>
      <w:sz w:val="24"/>
      <w:szCs w:val="24"/>
      <w:lang w:eastAsia="en-US" w:bidi="en-US"/>
    </w:rPr>
  </w:style>
  <w:style w:type="paragraph" w:styleId="974">
    <w:name w:val="列出段落1"/>
    <w:basedOn w:val="895"/>
    <w:next w:val="974"/>
    <w:link w:val="973"/>
    <w:qFormat/>
    <w:pPr>
      <w:contextualSpacing/>
      <w:ind w:left="720"/>
      <w:jc w:val="left"/>
      <w:widowControl/>
    </w:pPr>
    <w:rPr>
      <w:rFonts w:ascii="Calibri" w:hAnsi="Calibri"/>
      <w:sz w:val="24"/>
      <w:szCs w:val="24"/>
      <w:lang w:val="en-US" w:eastAsia="en-US" w:bidi="en-US"/>
    </w:rPr>
  </w:style>
  <w:style w:type="character" w:styleId="975">
    <w:name w:val="二级目录 Char"/>
    <w:next w:val="975"/>
    <w:link w:val="976"/>
    <w:rPr>
      <w:b/>
      <w:sz w:val="30"/>
      <w:szCs w:val="28"/>
      <w:lang w:val="en-US" w:eastAsia="zh-CN" w:bidi="ar-SA"/>
    </w:rPr>
  </w:style>
  <w:style w:type="paragraph" w:styleId="976">
    <w:name w:val="二级目录"/>
    <w:next w:val="895"/>
    <w:link w:val="975"/>
    <w:pPr>
      <w:numPr>
        <w:ilvl w:val="0"/>
        <w:numId w:val="2"/>
      </w:numPr>
      <w:tabs>
        <w:tab w:val="left" w:pos="907" w:leader="none"/>
        <w:tab w:val="left" w:pos="1145" w:leader="none"/>
      </w:tabs>
      <w:outlineLvl w:val="1"/>
    </w:pPr>
    <w:rPr>
      <w:b/>
      <w:sz w:val="30"/>
      <w:szCs w:val="28"/>
      <w:lang w:val="en-US" w:eastAsia="zh-CN" w:bidi="ar-SA"/>
    </w:rPr>
  </w:style>
  <w:style w:type="character" w:styleId="977">
    <w:name w:val="font5 Char"/>
    <w:next w:val="977"/>
    <w:link w:val="895"/>
    <w:rPr>
      <w:rFonts w:ascii="宋体" w:hAnsi="宋体" w:eastAsia="宋体"/>
      <w:sz w:val="28"/>
      <w:szCs w:val="28"/>
      <w:lang w:val="en-US" w:eastAsia="zh-CN" w:bidi="ar-SA"/>
    </w:rPr>
  </w:style>
  <w:style w:type="paragraph" w:styleId="978">
    <w:name w:val="AONormal"/>
    <w:next w:val="978"/>
    <w:link w:val="895"/>
    <w:qFormat/>
    <w:pPr>
      <w:ind w:firstLine="440"/>
      <w:spacing w:line="400" w:lineRule="exact"/>
    </w:pPr>
    <w:rPr>
      <w:rFonts w:ascii="华文楷体" w:hAnsi="华文楷体" w:eastAsia="华文楷体" w:cs="华文楷体"/>
      <w:sz w:val="22"/>
      <w:szCs w:val="21"/>
      <w:lang w:val="en-US" w:eastAsia="zh-CN" w:bidi="ar-SA"/>
    </w:rPr>
  </w:style>
  <w:style w:type="paragraph" w:styleId="979">
    <w:name w:val=" Char Char Char Char"/>
    <w:basedOn w:val="921"/>
    <w:next w:val="979"/>
    <w:link w:val="895"/>
    <w:pPr>
      <w:spacing w:line="360" w:lineRule="auto"/>
    </w:pPr>
    <w:rPr>
      <w:rFonts w:ascii="Tahoma" w:hAnsi="Tahoma"/>
      <w:sz w:val="24"/>
      <w:szCs w:val="24"/>
    </w:rPr>
  </w:style>
  <w:style w:type="paragraph" w:styleId="980">
    <w:name w:val="Body Text(ch)"/>
    <w:basedOn w:val="895"/>
    <w:next w:val="927"/>
    <w:link w:val="895"/>
    <w:pPr>
      <w:spacing w:after="120"/>
    </w:pPr>
    <w:rPr>
      <w:rFonts w:ascii="宋体" w:hAnsi="Arial" w:eastAsia="宋体" w:cs="Times New Roman"/>
      <w:bCs/>
      <w:iCs/>
      <w:szCs w:val="24"/>
    </w:rPr>
  </w:style>
  <w:style w:type="paragraph" w:styleId="981">
    <w:name w:val="xl26"/>
    <w:basedOn w:val="895"/>
    <w:next w:val="981"/>
    <w:link w:val="89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2">
    <w:name w:val="font7"/>
    <w:basedOn w:val="895"/>
    <w:next w:val="982"/>
    <w:link w:val="895"/>
    <w:pPr>
      <w:jc w:val="left"/>
      <w:spacing w:before="100" w:beforeAutospacing="1" w:after="100" w:afterAutospacing="1"/>
      <w:widowControl/>
    </w:pPr>
    <w:rPr>
      <w:rFonts w:hint="eastAsia" w:ascii="宋体" w:hAnsi="宋体" w:eastAsia="宋体" w:cs="Times New Roman"/>
      <w:sz w:val="18"/>
      <w:szCs w:val="18"/>
    </w:rPr>
  </w:style>
  <w:style w:type="paragraph" w:styleId="983">
    <w:name w:val="列出段落"/>
    <w:basedOn w:val="895"/>
    <w:next w:val="983"/>
    <w:link w:val="895"/>
    <w:qFormat/>
    <w:pPr>
      <w:contextualSpacing/>
      <w:ind w:left="720"/>
      <w:jc w:val="left"/>
      <w:widowControl/>
    </w:pPr>
    <w:rPr>
      <w:rFonts w:ascii="Calibri" w:hAnsi="Calibri" w:eastAsia="宋体" w:cs="Times New Roman"/>
      <w:sz w:val="24"/>
      <w:szCs w:val="24"/>
      <w:lang w:eastAsia="en-US" w:bidi="en-US"/>
    </w:rPr>
  </w:style>
  <w:style w:type="paragraph" w:styleId="984">
    <w:name w:val="xl27"/>
    <w:basedOn w:val="895"/>
    <w:next w:val="984"/>
    <w:link w:val="89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5">
    <w:name w:val="font6"/>
    <w:basedOn w:val="895"/>
    <w:next w:val="985"/>
    <w:link w:val="895"/>
    <w:pPr>
      <w:jc w:val="left"/>
      <w:spacing w:before="100" w:beforeAutospacing="1" w:after="100" w:afterAutospacing="1"/>
      <w:widowControl/>
    </w:pPr>
    <w:rPr>
      <w:rFonts w:hint="eastAsia" w:ascii="宋体" w:hAnsi="宋体" w:eastAsia="宋体" w:cs="Times New Roman"/>
      <w:sz w:val="28"/>
      <w:szCs w:val="28"/>
      <w:u w:val="single"/>
    </w:rPr>
  </w:style>
  <w:style w:type="paragraph" w:styleId="986">
    <w:name w:val="font5"/>
    <w:basedOn w:val="895"/>
    <w:next w:val="986"/>
    <w:link w:val="895"/>
    <w:pPr>
      <w:jc w:val="left"/>
      <w:spacing w:before="100" w:beforeAutospacing="1" w:after="100" w:afterAutospacing="1"/>
      <w:widowControl/>
    </w:pPr>
    <w:rPr>
      <w:rFonts w:hint="eastAsia" w:ascii="宋体" w:hAnsi="宋体" w:eastAsia="宋体" w:cs="Times New Roman"/>
      <w:sz w:val="28"/>
      <w:szCs w:val="28"/>
    </w:rPr>
  </w:style>
  <w:style w:type="paragraph" w:styleId="987">
    <w:name w:val="table_lines"/>
    <w:basedOn w:val="895"/>
    <w:next w:val="987"/>
    <w:link w:val="895"/>
    <w:pPr>
      <w:jc w:val="left"/>
      <w:widowControl/>
    </w:pPr>
    <w:rPr>
      <w:rFonts w:ascii="Times New Roman" w:hAnsi="Times New Roman" w:eastAsia="宋体" w:cs="Times New Roman"/>
      <w:sz w:val="20"/>
      <w:szCs w:val="20"/>
      <w:lang w:val="de-DE" w:eastAsia="de-DE"/>
    </w:rPr>
  </w:style>
  <w:style w:type="paragraph" w:styleId="988">
    <w:name w:val="xl29"/>
    <w:basedOn w:val="895"/>
    <w:next w:val="988"/>
    <w:link w:val="895"/>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9">
    <w:name w:val=" Char Char Char Char Char Char Char Char Char Char"/>
    <w:basedOn w:val="895"/>
    <w:next w:val="989"/>
    <w:link w:val="895"/>
    <w:pPr>
      <w:spacing w:line="360" w:lineRule="auto"/>
    </w:pPr>
    <w:rPr>
      <w:rFonts w:ascii="Times New Roman" w:hAnsi="Times New Roman" w:eastAsia="宋体" w:cs="Times New Roman"/>
      <w:sz w:val="24"/>
      <w:szCs w:val="20"/>
    </w:rPr>
  </w:style>
  <w:style w:type="paragraph" w:styleId="990">
    <w:name w:val="table_1stline"/>
    <w:basedOn w:val="895"/>
    <w:next w:val="990"/>
    <w:link w:val="895"/>
    <w:pPr>
      <w:jc w:val="left"/>
      <w:spacing w:before="120"/>
      <w:widowControl/>
    </w:pPr>
    <w:rPr>
      <w:rFonts w:ascii="Times New Roman" w:hAnsi="Times New Roman" w:eastAsia="宋体" w:cs="Times New Roman"/>
      <w:bCs/>
      <w:sz w:val="20"/>
      <w:szCs w:val="20"/>
      <w:lang w:val="de-DE" w:eastAsia="de-DE"/>
    </w:rPr>
  </w:style>
  <w:style w:type="paragraph" w:styleId="991">
    <w:name w:val="4"/>
    <w:basedOn w:val="895"/>
    <w:next w:val="951"/>
    <w:link w:val="895"/>
    <w:pPr>
      <w:ind w:firstLine="420"/>
      <w:spacing w:line="360" w:lineRule="auto"/>
    </w:pPr>
    <w:rPr>
      <w:rFonts w:ascii="Times New Roman" w:hAnsi="Times New Roman" w:eastAsia="宋体" w:cs="Times New Roman"/>
      <w:color w:val="ff0000"/>
      <w:sz w:val="24"/>
      <w:szCs w:val="24"/>
    </w:rPr>
  </w:style>
  <w:style w:type="paragraph" w:styleId="992">
    <w:name w:val="普通 (Web)"/>
    <w:basedOn w:val="895"/>
    <w:next w:val="992"/>
    <w:link w:val="895"/>
    <w:pPr>
      <w:jc w:val="left"/>
      <w:spacing w:before="100" w:beforeAutospacing="1" w:after="100" w:afterAutospacing="1"/>
      <w:widowControl/>
    </w:pPr>
    <w:rPr>
      <w:rFonts w:ascii="宋体" w:hAnsi="宋体" w:eastAsia="宋体" w:cs="Times New Roman"/>
      <w:sz w:val="24"/>
      <w:szCs w:val="24"/>
    </w:rPr>
  </w:style>
  <w:style w:type="paragraph" w:styleId="993">
    <w:name w:val="Char"/>
    <w:basedOn w:val="895"/>
    <w:next w:val="993"/>
    <w:link w:val="895"/>
    <w:pPr>
      <w:ind w:firstLine="200"/>
      <w:tabs>
        <w:tab w:val="left" w:pos="360" w:leader="none"/>
      </w:tabs>
    </w:pPr>
    <w:rPr>
      <w:rFonts w:ascii="Times New Roman" w:hAnsi="Times New Roman" w:eastAsia="宋体" w:cs="Times New Roman"/>
      <w:sz w:val="28"/>
      <w:szCs w:val="30"/>
    </w:rPr>
  </w:style>
  <w:style w:type="paragraph" w:styleId="994">
    <w:name w:val="标题1"/>
    <w:basedOn w:val="895"/>
    <w:next w:val="895"/>
    <w:link w:val="895"/>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5">
    <w:name w:val="xl24"/>
    <w:basedOn w:val="895"/>
    <w:next w:val="995"/>
    <w:link w:val="89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6">
    <w:name w:val="Char Char Char Char"/>
    <w:basedOn w:val="921"/>
    <w:next w:val="996"/>
    <w:link w:val="895"/>
    <w:pPr>
      <w:spacing w:line="360" w:lineRule="auto"/>
    </w:pPr>
    <w:rPr>
      <w:rFonts w:ascii="Tahoma" w:hAnsi="Tahoma"/>
      <w:sz w:val="24"/>
      <w:szCs w:val="24"/>
    </w:rPr>
  </w:style>
  <w:style w:type="paragraph" w:styleId="997">
    <w:name w:val="标题3"/>
    <w:basedOn w:val="895"/>
    <w:next w:val="895"/>
    <w:link w:val="895"/>
    <w:pPr>
      <w:ind w:firstLine="624"/>
      <w:spacing w:line="590" w:lineRule="atLeast"/>
    </w:pPr>
    <w:rPr>
      <w:rFonts w:ascii="方正黑体_GBK" w:hAnsi="Times New Roman" w:eastAsia="方正黑体_GBK" w:cs="Times New Roman"/>
      <w:sz w:val="32"/>
      <w:szCs w:val="32"/>
    </w:rPr>
  </w:style>
  <w:style w:type="paragraph" w:styleId="998">
    <w:name w:val="无间隔"/>
    <w:next w:val="998"/>
    <w:link w:val="895"/>
    <w:uiPriority w:val="99"/>
    <w:qFormat/>
    <w:pPr>
      <w:jc w:val="both"/>
      <w:widowControl w:val="off"/>
    </w:pPr>
    <w:rPr>
      <w:sz w:val="21"/>
      <w:szCs w:val="21"/>
      <w:lang w:val="en-US" w:eastAsia="zh-CN" w:bidi="ar-SA"/>
    </w:rPr>
  </w:style>
  <w:style w:type="paragraph" w:styleId="999">
    <w:name w:val="附录1"/>
    <w:next w:val="999"/>
    <w:link w:val="895"/>
    <w:pPr>
      <w:numPr>
        <w:ilvl w:val="0"/>
        <w:numId w:val="2"/>
      </w:numPr>
      <w:spacing w:before="240" w:line="600" w:lineRule="atLeast"/>
      <w:tabs>
        <w:tab w:val="left" w:pos="907" w:leader="none"/>
      </w:tabs>
    </w:pPr>
    <w:rPr>
      <w:b/>
      <w:i/>
      <w:sz w:val="28"/>
      <w:lang w:val="en-US" w:eastAsia="zh-CN" w:bidi="ar-SA"/>
    </w:rPr>
  </w:style>
  <w:style w:type="paragraph" w:styleId="1000">
    <w:name w:val="修订"/>
    <w:next w:val="1000"/>
    <w:link w:val="895"/>
    <w:uiPriority w:val="99"/>
    <w:semiHidden/>
    <w:rPr>
      <w:sz w:val="21"/>
      <w:szCs w:val="21"/>
      <w:lang w:val="en-US" w:eastAsia="zh-CN" w:bidi="ar-SA"/>
    </w:rPr>
  </w:style>
  <w:style w:type="paragraph" w:styleId="1001">
    <w:name w:val="普通正文"/>
    <w:basedOn w:val="895"/>
    <w:next w:val="1001"/>
    <w:link w:val="895"/>
    <w:pPr>
      <w:ind w:firstLine="480"/>
      <w:jc w:val="left"/>
      <w:spacing w:before="120" w:after="120" w:line="360" w:lineRule="auto"/>
    </w:pPr>
    <w:rPr>
      <w:rFonts w:ascii="Arial" w:hAnsi="Arial" w:eastAsia="宋体" w:cs="Times New Roman"/>
      <w:sz w:val="24"/>
      <w:szCs w:val="24"/>
    </w:rPr>
  </w:style>
  <w:style w:type="paragraph" w:styleId="1002">
    <w:name w:val=" Char"/>
    <w:basedOn w:val="921"/>
    <w:next w:val="1002"/>
    <w:link w:val="895"/>
    <w:rPr>
      <w:rFonts w:ascii="Tahoma" w:hAnsi="Tahoma"/>
      <w:sz w:val="24"/>
      <w:szCs w:val="24"/>
    </w:rPr>
  </w:style>
  <w:style w:type="paragraph" w:styleId="1003">
    <w:name w:val="Char Char Char Char Char Char Char Char"/>
    <w:basedOn w:val="895"/>
    <w:next w:val="1003"/>
    <w:link w:val="895"/>
    <w:pPr>
      <w:jc w:val="left"/>
      <w:spacing w:after="160" w:line="240" w:lineRule="exact"/>
      <w:widowControl/>
    </w:pPr>
    <w:rPr>
      <w:rFonts w:ascii="Verdana" w:hAnsi="Verdana" w:eastAsia="宋体" w:cs="Times New Roman"/>
      <w:sz w:val="20"/>
      <w:szCs w:val="20"/>
      <w:lang w:eastAsia="en-US"/>
    </w:rPr>
  </w:style>
  <w:style w:type="paragraph" w:styleId="1004">
    <w:name w:val=" Char Char Char Char Char Char Char Char"/>
    <w:basedOn w:val="895"/>
    <w:next w:val="1004"/>
    <w:link w:val="895"/>
    <w:pPr>
      <w:jc w:val="left"/>
      <w:spacing w:after="160" w:line="240" w:lineRule="exact"/>
      <w:widowControl/>
    </w:pPr>
    <w:rPr>
      <w:rFonts w:ascii="Verdana" w:hAnsi="Verdana" w:eastAsia="宋体" w:cs="Times New Roman"/>
      <w:sz w:val="20"/>
      <w:szCs w:val="20"/>
      <w:lang w:eastAsia="en-US"/>
    </w:rPr>
  </w:style>
  <w:style w:type="paragraph" w:styleId="1005">
    <w:name w:val="样式1"/>
    <w:basedOn w:val="895"/>
    <w:next w:val="1005"/>
    <w:link w:val="895"/>
    <w:pPr>
      <w:numPr>
        <w:ilvl w:val="0"/>
        <w:numId w:val="3"/>
      </w:numPr>
      <w:tabs>
        <w:tab w:val="left" w:pos="709" w:leader="none"/>
      </w:tabs>
    </w:pPr>
    <w:rPr>
      <w:rFonts w:ascii="宋体" w:hAnsi="宋体" w:eastAsia="宋体" w:cs="Times New Roman"/>
      <w:szCs w:val="21"/>
    </w:rPr>
  </w:style>
  <w:style w:type="paragraph" w:styleId="1006">
    <w:name w:val="xl25"/>
    <w:basedOn w:val="895"/>
    <w:next w:val="1006"/>
    <w:link w:val="89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7">
    <w:name w:val="图标"/>
    <w:basedOn w:val="895"/>
    <w:next w:val="895"/>
    <w:link w:val="895"/>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08">
    <w:name w:val="xl28"/>
    <w:basedOn w:val="895"/>
    <w:next w:val="1008"/>
    <w:link w:val="89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09">
    <w:name w:val="xl30"/>
    <w:basedOn w:val="895"/>
    <w:next w:val="1009"/>
    <w:link w:val="895"/>
    <w:pPr>
      <w:jc w:val="center"/>
      <w:spacing w:before="100" w:beforeAutospacing="1" w:after="100" w:afterAutospacing="1"/>
      <w:widowControl/>
    </w:pPr>
    <w:rPr>
      <w:rFonts w:ascii="宋体" w:hAnsi="宋体" w:eastAsia="宋体" w:cs="Times New Roman"/>
      <w:b/>
      <w:bCs/>
      <w:sz w:val="36"/>
      <w:szCs w:val="36"/>
    </w:rPr>
  </w:style>
  <w:style w:type="paragraph" w:styleId="1010">
    <w:name w:val="文档正文"/>
    <w:basedOn w:val="895"/>
    <w:next w:val="1010"/>
    <w:link w:val="895"/>
    <w:qFormat/>
    <w:pPr>
      <w:ind w:firstLine="567"/>
      <w:spacing w:line="480" w:lineRule="atLeast"/>
    </w:pPr>
    <w:rPr>
      <w:rFonts w:ascii="Ari" w:hAnsi="Calibri" w:eastAsia="Ari"/>
      <w:sz w:val="28"/>
      <w:szCs w:val="20"/>
    </w:rPr>
  </w:style>
  <w:style w:type="paragraph" w:styleId="1011">
    <w:name w:val="列出段落2"/>
    <w:basedOn w:val="895"/>
    <w:next w:val="1011"/>
    <w:link w:val="895"/>
    <w:uiPriority w:val="34"/>
    <w:qFormat/>
    <w:pPr>
      <w:contextualSpacing/>
      <w:ind w:left="720"/>
      <w:jc w:val="left"/>
      <w:widowControl/>
    </w:pPr>
    <w:rPr>
      <w:rFonts w:ascii="Calibri" w:hAnsi="Calibri"/>
      <w:sz w:val="24"/>
      <w:szCs w:val="24"/>
      <w:lang w:eastAsia="en-US" w:bidi="en-US"/>
    </w:rPr>
  </w:style>
  <w:style w:type="character" w:styleId="1012" w:default="1">
    <w:name w:val="Default Paragraph Font"/>
    <w:uiPriority w:val="1"/>
    <w:semiHidden/>
    <w:unhideWhenUsed/>
  </w:style>
  <w:style w:type="numbering" w:styleId="1013" w:default="1">
    <w:name w:val="No List"/>
    <w:uiPriority w:val="99"/>
    <w:semiHidden/>
    <w:unhideWhenUsed/>
  </w:style>
  <w:style w:type="table" w:styleId="101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张倩</cp:lastModifiedBy>
  <cp:revision>2</cp:revision>
  <dcterms:modified xsi:type="dcterms:W3CDTF">2026-07-24T06:46:10Z</dcterms:modified>
</cp:coreProperties>
</file>