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0"/>
        <w:rPr>
          <w:rFonts w:eastAsia="黑体"/>
          <w:b/>
          <w:bCs/>
          <w:color w:val="000000"/>
          <w:sz w:val="84"/>
          <w:highlight w:val="none"/>
          <w:shd w:val="clear" w:color="ffffff" w:fill="d9d9d9"/>
        </w:rPr>
      </w:pPr>
      <w:r/>
      <w:bookmarkStart w:id="0" w:name="_GoBack"/>
      <w:r/>
      <w:bookmarkEnd w:id="0"/>
      <w:r>
        <w:rPr>
          <w:rFonts w:eastAsia="黑体"/>
          <w:b/>
          <w:bCs/>
          <w:color w:val="000000"/>
          <w:sz w:val="84"/>
          <w:highlight w:val="none"/>
          <w:shd w:val="clear" w:color="ffffff" w:fill="d9d9d9"/>
        </w:rPr>
      </w:r>
      <w:r/>
    </w:p>
    <w:p>
      <w:pPr>
        <w:pStyle w:val="712"/>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712"/>
        <w:jc w:val="center"/>
        <w:spacing w:line="360" w:lineRule="auto"/>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ascii="宋体" w:hAnsi="宋体" w:cs="宋体"/>
          <w:b/>
          <w:color w:val="000000"/>
          <w:sz w:val="52"/>
          <w:szCs w:val="52"/>
          <w:highlight w:val="none"/>
        </w:rPr>
      </w:r>
      <w:r/>
    </w:p>
    <w:p>
      <w:pPr>
        <w:pStyle w:val="712"/>
        <w:jc w:val="center"/>
        <w:spacing w:line="360" w:lineRule="auto"/>
        <w:rPr>
          <w:rFonts w:ascii="宋体" w:hAnsi="宋体"/>
          <w:b/>
          <w:bCs/>
          <w:color w:val="000000"/>
          <w:sz w:val="30"/>
          <w:highlight w:val="none"/>
        </w:rPr>
      </w:pPr>
      <w:r>
        <w:rPr>
          <w:rFonts w:hint="eastAsia" w:ascii="宋体" w:hAnsi="宋体"/>
          <w:b/>
          <w:bCs/>
          <w:color w:val="000000"/>
          <w:sz w:val="30"/>
          <w:highlight w:val="none"/>
        </w:rPr>
        <w:t xml:space="preserve">（全流程电子化</w:t>
      </w:r>
      <w:r>
        <w:rPr>
          <w:rFonts w:hint="eastAsia" w:ascii="宋体" w:hAnsi="宋体"/>
          <w:b/>
          <w:bCs/>
          <w:color w:val="000000"/>
          <w:sz w:val="30"/>
          <w:highlight w:val="none"/>
          <w:lang w:val="en-US" w:eastAsia="zh-CN"/>
        </w:rPr>
        <w:t xml:space="preserve">  暗标</w:t>
      </w:r>
      <w:r>
        <w:rPr>
          <w:rFonts w:hint="eastAsia" w:ascii="宋体" w:hAnsi="宋体"/>
          <w:b/>
          <w:bCs/>
          <w:color w:val="000000"/>
          <w:sz w:val="30"/>
          <w:highlight w:val="none"/>
        </w:rPr>
        <w:t xml:space="preserve">）</w:t>
      </w:r>
      <w:r>
        <w:rPr>
          <w:rFonts w:ascii="宋体" w:hAnsi="宋体"/>
          <w:b/>
          <w:bCs/>
          <w:color w:val="000000"/>
          <w:sz w:val="30"/>
          <w:highlight w:val="none"/>
        </w:rPr>
      </w:r>
      <w:r/>
    </w:p>
    <w:p>
      <w:pPr>
        <w:pStyle w:val="712"/>
        <w:spacing w:line="360" w:lineRule="auto"/>
        <w:rPr>
          <w:rFonts w:ascii="宋体" w:hAnsi="宋体"/>
          <w:b/>
          <w:bCs/>
          <w:color w:val="000000"/>
          <w:sz w:val="30"/>
          <w:highlight w:val="none"/>
        </w:rPr>
      </w:pPr>
      <w:r>
        <w:rPr>
          <w:rFonts w:ascii="宋体" w:hAnsi="宋体"/>
          <w:b/>
          <w:bCs/>
          <w:color w:val="000000"/>
          <w:sz w:val="30"/>
          <w:highlight w:val="none"/>
        </w:rPr>
      </w:r>
      <w:r/>
    </w:p>
    <w:p>
      <w:pPr>
        <w:pStyle w:val="1071"/>
        <w:ind w:firstLine="0"/>
        <w:jc w:val="center"/>
        <w:rPr>
          <w:rFonts w:hint="eastAsia" w:ascii="宋体" w:hAnsi="宋体" w:cs="宋体"/>
          <w:b/>
          <w:color w:val="000000"/>
          <w:spacing w:val="20"/>
          <w:sz w:val="52"/>
          <w:szCs w:val="52"/>
          <w:highlight w:val="none"/>
        </w:rPr>
      </w:pPr>
      <w:r>
        <w:rPr>
          <w:rFonts w:hint="eastAsia" w:ascii="宋体" w:hAnsi="宋体" w:cs="宋体"/>
          <w:b/>
          <w:color w:val="000000"/>
          <w:spacing w:val="20"/>
          <w:sz w:val="52"/>
          <w:szCs w:val="52"/>
          <w:highlight w:val="none"/>
        </w:rPr>
        <w:t xml:space="preserve">公开招标文件</w:t>
      </w:r>
      <w:r>
        <w:rPr>
          <w:rFonts w:hint="eastAsia" w:ascii="宋体" w:hAnsi="宋体" w:cs="宋体"/>
          <w:b/>
          <w:color w:val="000000"/>
          <w:spacing w:val="20"/>
          <w:sz w:val="52"/>
          <w:szCs w:val="52"/>
          <w:highlight w:val="none"/>
        </w:rPr>
      </w:r>
      <w:r/>
    </w:p>
    <w:p>
      <w:pPr>
        <w:pStyle w:val="1071"/>
        <w:ind w:firstLine="0"/>
        <w:jc w:val="center"/>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r>
      <w:r/>
    </w:p>
    <w:p>
      <w:pPr>
        <w:pStyle w:val="1071"/>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71"/>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1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JSZC-320213-SDRD-G2026-0004</w:t>
      </w:r>
      <w:r>
        <w:rPr>
          <w:rFonts w:hint="eastAsia" w:ascii="黑体" w:hAnsi="华文中宋" w:eastAsia="黑体"/>
          <w:bCs/>
          <w:color w:val="000000"/>
          <w:sz w:val="32"/>
          <w:szCs w:val="32"/>
          <w:highlight w:val="none"/>
          <w:lang w:eastAsia="zh-CN"/>
        </w:rPr>
      </w:r>
      <w:r/>
    </w:p>
    <w:p>
      <w:pPr>
        <w:pStyle w:val="71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无锡市梁溪区夹城里地块规划学校新建工程项目校园文化建设</w:t>
      </w:r>
      <w:r>
        <w:rPr>
          <w:rFonts w:hint="eastAsia" w:ascii="黑体" w:hAnsi="华文中宋" w:eastAsia="黑体"/>
          <w:bCs/>
          <w:color w:val="000000"/>
          <w:sz w:val="32"/>
          <w:szCs w:val="32"/>
          <w:highlight w:val="none"/>
          <w:lang w:eastAsia="zh-CN"/>
        </w:rPr>
      </w:r>
      <w:r/>
    </w:p>
    <w:p>
      <w:pPr>
        <w:pStyle w:val="71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无锡市梁溪区教育局</w:t>
      </w:r>
      <w:r>
        <w:rPr>
          <w:rFonts w:hint="eastAsia" w:ascii="黑体" w:hAnsi="华文中宋" w:eastAsia="黑体"/>
          <w:bCs/>
          <w:color w:val="000000"/>
          <w:sz w:val="32"/>
          <w:szCs w:val="32"/>
          <w:highlight w:val="none"/>
          <w:lang w:eastAsia="zh-CN"/>
        </w:rPr>
      </w:r>
      <w:r/>
    </w:p>
    <w:p>
      <w:pPr>
        <w:pStyle w:val="712"/>
        <w:ind w:firstLine="128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江苏达瑞德工程管理咨询有限公司</w:t>
      </w:r>
      <w:r>
        <w:rPr>
          <w:rFonts w:hint="eastAsia" w:ascii="黑体" w:hAnsi="华文中宋" w:eastAsia="黑体"/>
          <w:bCs/>
          <w:color w:val="000000"/>
          <w:sz w:val="32"/>
          <w:szCs w:val="32"/>
          <w:highlight w:val="none"/>
          <w:lang w:eastAsia="zh-CN"/>
        </w:rPr>
      </w:r>
      <w:r/>
    </w:p>
    <w:p>
      <w:pPr>
        <w:pStyle w:val="1071"/>
        <w:ind w:firstLine="0"/>
        <w:jc w:val="center"/>
        <w:spacing w:before="0" w:after="0"/>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1071"/>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rPr>
          <w:rFonts w:hint="eastAsia" w:ascii="黑体" w:hAnsi="华文中宋" w:eastAsia="黑体"/>
          <w:bCs/>
          <w:color w:val="000000"/>
          <w:sz w:val="32"/>
          <w:szCs w:val="32"/>
          <w:highlight w:val="none"/>
        </w:rPr>
      </w:r>
      <w:r/>
    </w:p>
    <w:p>
      <w:pPr>
        <w:pStyle w:val="1071"/>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1" w:name="_Toc120614210"/>
      <w:r/>
      <w:bookmarkStart w:id="2" w:name="_Toc523127445"/>
      <w:r/>
      <w:bookmarkStart w:id="3" w:name="_Toc16938516"/>
      <w:r/>
      <w:bookmarkStart w:id="4" w:name="_Toc513029200"/>
      <w:r/>
      <w:bookmarkStart w:id="5" w:name="_Toc479757206"/>
      <w:r/>
      <w:bookmarkStart w:id="6" w:name="_Toc20823272"/>
      <w:r>
        <w:rPr>
          <w:rFonts w:hint="eastAsia" w:ascii="黑体" w:hAnsi="黑体" w:eastAsia="黑体"/>
          <w:color w:val="000000"/>
          <w:sz w:val="36"/>
          <w:szCs w:val="36"/>
          <w:highlight w:val="none"/>
        </w:rPr>
        <w:t xml:space="preserve">总  目  录</w:t>
      </w:r>
      <w:r>
        <w:rPr>
          <w:rFonts w:ascii="黑体" w:hAnsi="黑体" w:eastAsia="黑体"/>
          <w:color w:val="000000"/>
          <w:sz w:val="36"/>
          <w:szCs w:val="36"/>
          <w:highlight w:val="none"/>
        </w:rPr>
      </w:r>
      <w:r/>
    </w:p>
    <w:p>
      <w:pPr>
        <w:pStyle w:val="1071"/>
        <w:ind w:firstLine="0"/>
        <w:jc w:val="center"/>
        <w:spacing w:before="0" w:after="0"/>
        <w:rPr>
          <w:rFonts w:ascii="黑体" w:hAnsi="华文中宋" w:eastAsia="黑体"/>
          <w:bCs/>
          <w:color w:val="000000"/>
          <w:sz w:val="32"/>
          <w:szCs w:val="32"/>
          <w:highlight w:val="none"/>
        </w:rPr>
      </w:pPr>
      <w:r>
        <w:rPr>
          <w:rFonts w:ascii="黑体" w:hAnsi="华文中宋" w:eastAsia="黑体"/>
          <w:bCs/>
          <w:color w:val="000000"/>
          <w:sz w:val="32"/>
          <w:szCs w:val="32"/>
          <w:highlight w:val="none"/>
        </w:rPr>
      </w:r>
      <w:r/>
    </w:p>
    <w:p>
      <w:pPr>
        <w:pStyle w:val="71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ascii="宋体" w:hAnsi="宋体"/>
          <w:color w:val="000000"/>
          <w:sz w:val="30"/>
          <w:szCs w:val="30"/>
          <w:highlight w:val="none"/>
        </w:rPr>
      </w:r>
      <w:r/>
    </w:p>
    <w:p>
      <w:pPr>
        <w:pStyle w:val="71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ascii="宋体" w:hAnsi="宋体"/>
          <w:color w:val="000000"/>
          <w:sz w:val="30"/>
          <w:szCs w:val="30"/>
          <w:highlight w:val="none"/>
        </w:rPr>
      </w:r>
      <w:r/>
    </w:p>
    <w:p>
      <w:pPr>
        <w:pStyle w:val="71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71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71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712"/>
        <w:numPr>
          <w:ilvl w:val="0"/>
          <w:numId w:val="4"/>
        </w:numPr>
        <w:spacing w:line="72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ascii="宋体" w:hAnsi="宋体"/>
          <w:color w:val="000000"/>
          <w:sz w:val="30"/>
          <w:szCs w:val="30"/>
          <w:highlight w:val="none"/>
        </w:rPr>
      </w:r>
      <w:r/>
    </w:p>
    <w:p>
      <w:pPr>
        <w:pStyle w:val="712"/>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1"/>
      <w:r>
        <w:rPr>
          <w:rFonts w:ascii="黑体" w:hAnsi="黑体" w:eastAsia="黑体"/>
          <w:color w:val="000000"/>
          <w:sz w:val="36"/>
          <w:szCs w:val="36"/>
          <w:highlight w:val="none"/>
        </w:rPr>
      </w:r>
      <w:r/>
    </w:p>
    <w:p>
      <w:pPr>
        <w:pStyle w:val="712"/>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无锡市梁溪区教育局</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江苏达瑞德工程管理咨询有限公司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无锡市梁溪区夹城里地块规划学校新建工程项目校园文化建设</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JSZC-320213-SDRD-G2026-0004</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71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71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无锡市梁溪区夹城里地块规划学校新建工程项目校园文化建设</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color w:val="000000"/>
          <w:sz w:val="24"/>
          <w:szCs w:val="24"/>
          <w:highlight w:val="none"/>
          <w:lang w:eastAsia="zh-CN"/>
        </w:rPr>
        <w:t xml:space="preserve">2026年</w:t>
      </w:r>
      <w:r>
        <w:rPr>
          <w:rFonts w:hint="eastAsia" w:ascii="宋体" w:hAnsi="宋体"/>
          <w:color w:val="000000"/>
          <w:sz w:val="24"/>
          <w:szCs w:val="24"/>
          <w:highlight w:val="none"/>
          <w:lang w:val="en-US" w:eastAsia="zh-CN"/>
        </w:rPr>
        <w:t xml:space="preserve">08</w:t>
      </w:r>
      <w:r>
        <w:rPr>
          <w:rFonts w:hint="eastAsia" w:ascii="宋体" w:hAnsi="宋体"/>
          <w:color w:val="000000"/>
          <w:sz w:val="24"/>
          <w:szCs w:val="24"/>
          <w:highlight w:val="none"/>
          <w:lang w:eastAsia="zh-CN"/>
        </w:rPr>
        <w:t xml:space="preserve">月</w:t>
      </w:r>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lang w:eastAsia="zh-CN"/>
        </w:rPr>
        <w:t xml:space="preserve">日</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lang w:eastAsia="zh-CN"/>
        </w:rPr>
        <w:t xml:space="preserve">点</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lang w:eastAsia="zh-CN"/>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844"/>
        <w:ind w:firstLine="452"/>
        <w:keepLines w:val="0"/>
        <w:keepNext w:val="0"/>
        <w:spacing w:before="0" w:after="0" w:line="500" w:lineRule="exact"/>
        <w:rPr>
          <w:color w:val="000000"/>
          <w:sz w:val="30"/>
          <w:szCs w:val="30"/>
          <w:highlight w:val="none"/>
          <w:lang w:eastAsia="zh-CN"/>
        </w:rPr>
      </w:pPr>
      <w:r/>
      <w:bookmarkStart w:id="7" w:name="_Toc38985263"/>
      <w:r/>
      <w:bookmarkStart w:id="8" w:name="_Toc35393621"/>
      <w:r/>
      <w:bookmarkStart w:id="9" w:name="_Toc35393790"/>
      <w:r/>
      <w:bookmarkStart w:id="10" w:name="_Toc28359079"/>
      <w:r/>
      <w:bookmarkStart w:id="11" w:name="_Toc28359002"/>
      <w:r/>
      <w:bookmarkStart w:id="12" w:name="_Hlk24379207"/>
      <w:r>
        <w:rPr>
          <w:rFonts w:hint="eastAsia"/>
          <w:color w:val="000000"/>
          <w:sz w:val="30"/>
          <w:szCs w:val="30"/>
          <w:highlight w:val="none"/>
          <w:lang w:eastAsia="zh-CN"/>
        </w:rPr>
        <w:t xml:space="preserve">一、项目基本情况</w:t>
      </w:r>
      <w:bookmarkEnd w:id="7"/>
      <w:r/>
      <w:bookmarkEnd w:id="8"/>
      <w:r/>
      <w:bookmarkEnd w:id="9"/>
      <w:r/>
      <w:bookmarkEnd w:id="10"/>
      <w:r/>
      <w:bookmarkEnd w:id="11"/>
      <w:r>
        <w:rPr>
          <w:color w:val="000000"/>
          <w:sz w:val="30"/>
          <w:szCs w:val="30"/>
          <w:highlight w:val="none"/>
          <w:lang w:eastAsia="zh-CN"/>
        </w:rPr>
      </w:r>
      <w:r/>
    </w:p>
    <w:p>
      <w:pPr>
        <w:pStyle w:val="71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JSZC-320213-SDRD-G2026-0004</w:t>
      </w:r>
      <w:r>
        <w:rPr>
          <w:rFonts w:hint="eastAsia" w:ascii="宋体" w:hAnsi="宋体" w:eastAsia="宋体"/>
          <w:color w:val="000000"/>
          <w:sz w:val="24"/>
          <w:szCs w:val="24"/>
          <w:highlight w:val="none"/>
          <w:lang w:eastAsia="zh-CN"/>
        </w:rPr>
      </w:r>
      <w:r/>
    </w:p>
    <w:p>
      <w:pPr>
        <w:pStyle w:val="71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2"/>
      <w:r>
        <w:rPr>
          <w:rFonts w:hint="eastAsia" w:ascii="宋体" w:hAnsi="宋体"/>
          <w:color w:val="000000"/>
          <w:sz w:val="24"/>
          <w:szCs w:val="24"/>
          <w:highlight w:val="none"/>
          <w:lang w:eastAsia="zh-CN"/>
        </w:rPr>
        <w:t xml:space="preserve">无锡市梁溪区夹城里地块规划学校新建工程项目校园文化建设</w:t>
      </w:r>
      <w:r>
        <w:rPr>
          <w:rFonts w:hint="eastAsia" w:ascii="宋体" w:hAnsi="宋体" w:eastAsia="宋体"/>
          <w:color w:val="000000"/>
          <w:sz w:val="24"/>
          <w:szCs w:val="24"/>
          <w:highlight w:val="none"/>
          <w:lang w:eastAsia="zh-CN"/>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w:t>
      </w:r>
      <w:r>
        <w:rPr>
          <w:rFonts w:hint="eastAsia" w:ascii="宋体" w:hAnsi="宋体"/>
          <w:color w:val="000000"/>
          <w:sz w:val="24"/>
          <w:szCs w:val="24"/>
          <w:highlight w:val="none"/>
          <w:lang w:val="en-US" w:eastAsia="zh-CN"/>
        </w:rPr>
        <w:t xml:space="preserve">500</w:t>
      </w:r>
      <w:r>
        <w:rPr>
          <w:rFonts w:hint="eastAsia" w:ascii="宋体" w:hAnsi="宋体"/>
          <w:color w:val="000000"/>
          <w:sz w:val="24"/>
          <w:szCs w:val="24"/>
          <w:highlight w:val="none"/>
        </w:rPr>
        <w:t xml:space="preserve">万元</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color w:val="000000"/>
          <w:sz w:val="24"/>
          <w:szCs w:val="24"/>
          <w:highlight w:val="none"/>
          <w:lang w:val="en-US" w:eastAsia="zh-CN"/>
        </w:rPr>
        <w:t xml:space="preserve">426.2803</w:t>
      </w:r>
      <w:r>
        <w:rPr>
          <w:rFonts w:hint="eastAsia" w:ascii="宋体"/>
          <w:color w:val="000000"/>
          <w:sz w:val="24"/>
          <w:szCs w:val="20"/>
          <w:highlight w:val="none"/>
        </w:rPr>
        <w:t xml:space="preserve">万元</w:t>
      </w:r>
      <w:r>
        <w:rPr>
          <w:rFonts w:ascii="宋体" w:hAnsi="宋体"/>
          <w:color w:val="000000"/>
          <w:sz w:val="24"/>
          <w:szCs w:val="24"/>
          <w:highlight w:val="none"/>
        </w:rPr>
      </w:r>
      <w:r/>
    </w:p>
    <w:p>
      <w:pPr>
        <w:pStyle w:val="71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712"/>
        <w:ind w:firstLine="48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bidi="ar"/>
        </w:rPr>
        <w:t xml:space="preserve">服务期：</w:t>
      </w:r>
      <w:r>
        <w:rPr>
          <w:rFonts w:hint="eastAsia" w:ascii="宋体" w:hAnsi="宋体" w:eastAsia="宋体" w:cs="Times New Roman"/>
          <w:bCs w:val="0"/>
          <w:color w:val="000000"/>
          <w:sz w:val="24"/>
          <w:szCs w:val="24"/>
          <w:highlight w:val="none"/>
          <w:lang w:val="en-US" w:eastAsia="zh-CN"/>
        </w:rPr>
        <w:t xml:space="preserve">5</w:t>
      </w:r>
      <w:r>
        <w:rPr>
          <w:rFonts w:hint="eastAsia" w:ascii="宋体" w:hAnsi="宋体" w:cs="宋体"/>
          <w:bCs/>
          <w:color w:val="000000"/>
          <w:sz w:val="24"/>
          <w:highlight w:val="none"/>
          <w:lang w:val="en-US" w:eastAsia="zh-CN"/>
        </w:rPr>
        <w:t xml:space="preserve">0日历天（第一阶段：双方签订合同之日起10日历天内按照采购人要求完成设计、制作方案的修改；第二阶段：经采购人确认后40日历天内完成制作、采购、安装，并通过采购人验收。）</w:t>
      </w:r>
      <w:r>
        <w:rPr>
          <w:rFonts w:ascii="宋体" w:hAnsi="宋体" w:eastAsia="宋体"/>
          <w:color w:val="000000"/>
          <w:sz w:val="24"/>
          <w:szCs w:val="24"/>
          <w:highlight w:val="none"/>
          <w:lang w:val="en-US" w:eastAsia="zh-CN"/>
        </w:rPr>
      </w:r>
      <w:r/>
    </w:p>
    <w:p>
      <w:pPr>
        <w:pStyle w:val="712"/>
        <w:ind w:firstLine="480"/>
        <w:spacing w:line="500" w:lineRule="exact"/>
        <w:rPr>
          <w:rFonts w:hint="eastAsia" w:ascii="宋体" w:hAnsi="宋体" w:cs="宋体"/>
          <w:sz w:val="24"/>
          <w:szCs w:val="24"/>
          <w:highlight w:val="none"/>
        </w:rPr>
      </w:pPr>
      <w:r/>
      <w:bookmarkStart w:id="13" w:name="_Toc35393622"/>
      <w:r/>
      <w:bookmarkStart w:id="14" w:name="_Toc28359003"/>
      <w:r/>
      <w:bookmarkStart w:id="15" w:name="_Toc38985264"/>
      <w:r/>
      <w:bookmarkStart w:id="16" w:name="_Toc35393791"/>
      <w:r/>
      <w:bookmarkStart w:id="17" w:name="_Toc28359080"/>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.采购需求：</w:t>
      </w:r>
      <w:r>
        <w:rPr>
          <w:rFonts w:hint="eastAsia" w:ascii="宋体" w:hAnsi="宋体" w:cs="宋体"/>
          <w:sz w:val="24"/>
          <w:szCs w:val="24"/>
          <w:highlight w:val="none"/>
        </w:rPr>
        <w:t xml:space="preserve">详见招标文件第四章《采购需求》</w:t>
      </w:r>
      <w:r>
        <w:rPr>
          <w:rFonts w:hint="eastAsia" w:ascii="宋体" w:hAnsi="宋体" w:cs="宋体"/>
          <w:sz w:val="24"/>
          <w:szCs w:val="24"/>
          <w:highlight w:val="none"/>
        </w:rPr>
      </w:r>
      <w:r/>
    </w:p>
    <w:p>
      <w:pPr>
        <w:pStyle w:val="712"/>
        <w:ind w:firstLine="480"/>
        <w:spacing w:line="50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.本项目不接受联合体投标。</w:t>
      </w:r>
      <w:r>
        <w:rPr>
          <w:rFonts w:ascii="宋体" w:hAnsi="宋体" w:cs="宋体"/>
          <w:sz w:val="24"/>
          <w:szCs w:val="24"/>
          <w:highlight w:val="none"/>
        </w:rPr>
      </w:r>
      <w:r/>
    </w:p>
    <w:p>
      <w:pPr>
        <w:pStyle w:val="844"/>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二、申请人的资格要求</w:t>
      </w:r>
      <w:bookmarkEnd w:id="13"/>
      <w:r/>
      <w:bookmarkEnd w:id="14"/>
      <w:r/>
      <w:bookmarkEnd w:id="15"/>
      <w:r/>
      <w:bookmarkEnd w:id="16"/>
      <w:r/>
      <w:bookmarkEnd w:id="17"/>
      <w:r>
        <w:rPr>
          <w:color w:val="000000"/>
          <w:sz w:val="30"/>
          <w:szCs w:val="30"/>
          <w:highlight w:val="none"/>
          <w:lang w:eastAsia="zh-CN"/>
        </w:rPr>
      </w:r>
      <w:r/>
    </w:p>
    <w:p>
      <w:pPr>
        <w:pStyle w:val="712"/>
        <w:ind w:firstLine="480"/>
        <w:spacing w:line="500" w:lineRule="exact"/>
        <w:rPr>
          <w:rFonts w:ascii="宋体" w:hAnsi="宋体"/>
          <w:color w:val="000000"/>
          <w:sz w:val="24"/>
          <w:szCs w:val="24"/>
          <w:highlight w:val="none"/>
        </w:rPr>
      </w:pPr>
      <w:r/>
      <w:bookmarkStart w:id="18" w:name="_Toc28359081"/>
      <w:r/>
      <w:bookmarkStart w:id="19" w:name="_Toc35393792"/>
      <w:r/>
      <w:bookmarkStart w:id="20" w:name="_Toc38985265"/>
      <w:r/>
      <w:bookmarkStart w:id="21" w:name="_Toc28359004"/>
      <w:r/>
      <w:bookmarkStart w:id="22" w:name="_Toc35393623"/>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ascii="宋体" w:hAnsi="宋体"/>
          <w:color w:val="000000"/>
          <w:sz w:val="24"/>
          <w:szCs w:val="24"/>
          <w:highlight w:val="none"/>
        </w:rPr>
      </w:r>
      <w:r/>
    </w:p>
    <w:p>
      <w:pPr>
        <w:pStyle w:val="712"/>
        <w:ind w:firstLine="480"/>
        <w:spacing w:line="500" w:lineRule="exact"/>
        <w:rPr>
          <w:rFonts w:hint="eastAsia" w:ascii="宋体" w:hAnsi="宋体"/>
          <w:color w:val="000000"/>
          <w:sz w:val="24"/>
          <w:szCs w:val="24"/>
          <w:highlight w:val="none"/>
        </w:rPr>
      </w:pPr>
      <w:r>
        <w:rPr>
          <w:rFonts w:ascii="宋体" w:hAnsi="宋体" w:eastAsia="宋体" w:cs="宋体"/>
          <w:color w:val="000000"/>
          <w:sz w:val="24"/>
          <w:highlight w:val="none"/>
        </w:rPr>
        <w:t xml:space="preserve">2.1中小企业政策：本项目专门面向</w:t>
      </w:r>
      <w:r>
        <w:rPr>
          <w:rFonts w:hint="eastAsia" w:ascii="宋体" w:hAnsi="宋体" w:cs="宋体"/>
          <w:color w:val="000000"/>
          <w:sz w:val="24"/>
          <w:highlight w:val="none"/>
          <w:lang w:val="en-US" w:eastAsia="zh-CN"/>
        </w:rPr>
        <w:t xml:space="preserve">中小</w:t>
      </w:r>
      <w:r>
        <w:rPr>
          <w:rFonts w:ascii="宋体" w:hAnsi="宋体" w:eastAsia="宋体" w:cs="宋体"/>
          <w:color w:val="000000"/>
          <w:sz w:val="24"/>
          <w:highlight w:val="none"/>
        </w:rPr>
        <w:t xml:space="preserve">企业；</w:t>
      </w:r>
      <w:r>
        <w:rPr>
          <w:rFonts w:hint="eastAsia" w:ascii="宋体" w:hAnsi="宋体"/>
          <w:color w:val="000000"/>
          <w:sz w:val="24"/>
          <w:szCs w:val="24"/>
          <w:highlight w:val="none"/>
        </w:rPr>
      </w:r>
      <w:r/>
    </w:p>
    <w:p>
      <w:pPr>
        <w:pStyle w:val="712"/>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2.2本项目标的所属行业：</w:t>
      </w:r>
      <w:r>
        <w:rPr>
          <w:rFonts w:hint="eastAsia" w:ascii="宋体" w:hAnsi="宋体"/>
          <w:color w:val="000000"/>
          <w:sz w:val="24"/>
          <w:szCs w:val="24"/>
          <w:highlight w:val="none"/>
          <w:lang w:val="zh-TW" w:eastAsia="zh-CN"/>
        </w:rPr>
        <w:t xml:space="preserve">其他未列明行业</w:t>
      </w:r>
      <w:r>
        <w:rPr>
          <w:rFonts w:hint="eastAsia" w:ascii="宋体" w:hAnsi="宋体" w:cs="宋体"/>
          <w:color w:val="000000"/>
          <w:sz w:val="24"/>
          <w:szCs w:val="24"/>
          <w:highlight w:val="none"/>
        </w:rPr>
        <w:t xml:space="preserve">。根据《中小企业划型标准规定》工信部联企业〔2011〕300号规定，</w:t>
      </w:r>
      <w:r>
        <w:rPr>
          <w:rFonts w:hint="eastAsia" w:ascii="宋体" w:hAnsi="宋体"/>
          <w:color w:val="000000"/>
          <w:sz w:val="24"/>
          <w:szCs w:val="24"/>
          <w:highlight w:val="none"/>
          <w:lang w:eastAsia="zh-CN"/>
        </w:rPr>
        <w:t xml:space="preserve">其他未列明行业</w:t>
      </w:r>
      <w:r>
        <w:rPr>
          <w:rFonts w:hint="eastAsia" w:ascii="宋体" w:hAnsi="宋体" w:cs="宋体"/>
          <w:color w:val="000000"/>
          <w:sz w:val="24"/>
          <w:szCs w:val="24"/>
          <w:highlight w:val="none"/>
        </w:rPr>
        <w:t xml:space="preserve">：</w:t>
      </w:r>
      <w:r>
        <w:rPr>
          <w:rFonts w:hint="eastAsia" w:ascii="宋体" w:hAnsi="宋体" w:cs="宋体"/>
          <w:color w:val="070707"/>
          <w:sz w:val="24"/>
          <w:szCs w:val="24"/>
          <w:highlight w:val="none"/>
          <w:lang w:eastAsia="zh-CN"/>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olor w:val="000000"/>
          <w:sz w:val="24"/>
          <w:szCs w:val="24"/>
          <w:highlight w:val="none"/>
          <w:lang w:eastAsia="zh-CN"/>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ascii="宋体" w:hAnsi="宋体"/>
          <w:color w:val="000000"/>
          <w:sz w:val="24"/>
          <w:szCs w:val="24"/>
          <w:highlight w:val="none"/>
        </w:rPr>
      </w:r>
      <w:r/>
    </w:p>
    <w:p>
      <w:pPr>
        <w:pStyle w:val="712"/>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hint="eastAsia" w:ascii="宋体" w:hAnsi="宋体"/>
          <w:color w:val="000000"/>
          <w:sz w:val="24"/>
          <w:szCs w:val="24"/>
          <w:highlight w:val="none"/>
        </w:rPr>
      </w:r>
      <w:r/>
    </w:p>
    <w:p>
      <w:pPr>
        <w:pStyle w:val="844"/>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三、获取招标文件</w:t>
      </w:r>
      <w:bookmarkEnd w:id="18"/>
      <w:r/>
      <w:bookmarkEnd w:id="19"/>
      <w:r/>
      <w:bookmarkEnd w:id="20"/>
      <w:r/>
      <w:bookmarkEnd w:id="21"/>
      <w:r/>
      <w:bookmarkEnd w:id="22"/>
      <w:r>
        <w:rPr>
          <w:color w:val="000000"/>
          <w:sz w:val="30"/>
          <w:szCs w:val="30"/>
          <w:highlight w:val="none"/>
          <w:lang w:eastAsia="zh-CN"/>
        </w:rPr>
      </w:r>
      <w:r/>
    </w:p>
    <w:p>
      <w:pPr>
        <w:pStyle w:val="712"/>
        <w:ind w:firstLine="540"/>
        <w:spacing w:line="500" w:lineRule="exact"/>
        <w:rPr>
          <w:rFonts w:ascii="宋体" w:hAnsi="宋体"/>
          <w:color w:val="000000"/>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ascii="宋体" w:hAnsi="宋体"/>
          <w:color w:val="000000"/>
          <w:sz w:val="24"/>
          <w:szCs w:val="24"/>
          <w:highlight w:val="none"/>
        </w:rPr>
      </w:r>
      <w:r/>
    </w:p>
    <w:p>
      <w:pPr>
        <w:pStyle w:val="71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ascii="宋体" w:hAnsi="宋体"/>
          <w:bCs/>
          <w:color w:val="000000"/>
          <w:sz w:val="24"/>
          <w:szCs w:val="24"/>
          <w:highlight w:val="none"/>
        </w:rPr>
      </w:r>
      <w:r/>
    </w:p>
    <w:p>
      <w:pPr>
        <w:pStyle w:val="712"/>
        <w:ind w:firstLine="540"/>
        <w:spacing w:line="500" w:lineRule="exact"/>
        <w:rPr>
          <w:rStyle w:val="921"/>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jszfcg.jscz.gov.cn</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jszc</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921"/>
          <w:color w:val="000000"/>
          <w:highlight w:val="none"/>
        </w:rPr>
      </w:r>
      <w:r/>
    </w:p>
    <w:p>
      <w:pPr>
        <w:pStyle w:val="71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844"/>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四、提交投标文件</w:t>
      </w:r>
      <w:bookmarkEnd w:id="23"/>
      <w:r/>
      <w:bookmarkEnd w:id="24"/>
      <w:r>
        <w:rPr>
          <w:rFonts w:hint="eastAsia"/>
          <w:color w:val="000000"/>
          <w:sz w:val="30"/>
          <w:szCs w:val="30"/>
          <w:highlight w:val="none"/>
          <w:lang w:eastAsia="zh-CN"/>
        </w:rPr>
        <w:t xml:space="preserve">截止时间、开标时间和地点</w:t>
      </w:r>
      <w:bookmarkEnd w:id="25"/>
      <w:r/>
      <w:bookmarkEnd w:id="26"/>
      <w:r/>
      <w:bookmarkEnd w:id="27"/>
      <w:r>
        <w:rPr>
          <w:color w:val="000000"/>
          <w:sz w:val="30"/>
          <w:szCs w:val="30"/>
          <w:highlight w:val="none"/>
          <w:lang w:eastAsia="zh-CN"/>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2026年</w:t>
      </w:r>
      <w:r>
        <w:rPr>
          <w:rFonts w:hint="eastAsia" w:ascii="宋体" w:hAnsi="宋体"/>
          <w:color w:val="000000"/>
          <w:sz w:val="24"/>
          <w:szCs w:val="24"/>
          <w:highlight w:val="none"/>
          <w:lang w:val="en-US" w:eastAsia="zh-CN"/>
        </w:rPr>
        <w:t xml:space="preserve">08</w:t>
      </w:r>
      <w:r>
        <w:rPr>
          <w:rFonts w:hint="eastAsia" w:ascii="宋体" w:hAnsi="宋体"/>
          <w:color w:val="000000"/>
          <w:sz w:val="24"/>
          <w:szCs w:val="24"/>
          <w:highlight w:val="none"/>
          <w:lang w:eastAsia="zh-CN"/>
        </w:rPr>
        <w:t xml:space="preserve">月</w:t>
      </w:r>
      <w:r>
        <w:rPr>
          <w:rFonts w:hint="eastAsia" w:ascii="宋体" w:hAnsi="宋体"/>
          <w:color w:val="000000"/>
          <w:sz w:val="24"/>
          <w:szCs w:val="24"/>
          <w:highlight w:val="none"/>
          <w:lang w:val="en-US" w:eastAsia="zh-CN"/>
        </w:rPr>
        <w:t xml:space="preserve">19</w:t>
      </w:r>
      <w:r>
        <w:rPr>
          <w:rFonts w:hint="eastAsia" w:ascii="宋体" w:hAnsi="宋体"/>
          <w:color w:val="000000"/>
          <w:sz w:val="24"/>
          <w:szCs w:val="24"/>
          <w:highlight w:val="none"/>
          <w:lang w:eastAsia="zh-CN"/>
        </w:rPr>
        <w:t xml:space="preserve">日</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lang w:eastAsia="zh-CN"/>
        </w:rPr>
        <w:t xml:space="preserve">点30分</w:t>
      </w:r>
      <w:r>
        <w:rPr>
          <w:rFonts w:ascii="宋体" w:hAnsi="宋体"/>
          <w:color w:val="000000"/>
          <w:sz w:val="24"/>
          <w:szCs w:val="24"/>
          <w:highlight w:val="none"/>
        </w:rPr>
        <w:t xml:space="preserve">（北京时</w:t>
      </w:r>
      <w:r>
        <w:rPr>
          <w:rFonts w:hint="eastAsia" w:ascii="宋体" w:hAnsi="宋体"/>
          <w:bCs/>
          <w:color w:val="000000"/>
          <w:sz w:val="24"/>
          <w:szCs w:val="24"/>
          <w:highlight w:val="none"/>
        </w:rPr>
        <w:t xml:space="preserve">间）</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ascii="宋体" w:hAnsi="宋体"/>
          <w:bCs/>
          <w:color w:val="000000"/>
          <w:sz w:val="24"/>
          <w:szCs w:val="24"/>
          <w:highlight w:val="none"/>
          <w:u w:val="single"/>
        </w:rPr>
      </w:r>
      <w:r/>
    </w:p>
    <w:p>
      <w:pPr>
        <w:pStyle w:val="844"/>
        <w:ind w:firstLine="452"/>
        <w:keepLines w:val="0"/>
        <w:keepNext w:val="0"/>
        <w:spacing w:before="0" w:after="0" w:line="500" w:lineRule="exact"/>
        <w:rPr>
          <w:color w:val="000000"/>
          <w:sz w:val="30"/>
          <w:szCs w:val="30"/>
          <w:highlight w:val="none"/>
          <w:lang w:eastAsia="zh-CN"/>
        </w:rPr>
      </w:pPr>
      <w:r/>
      <w:bookmarkStart w:id="28" w:name="_Toc38985267"/>
      <w:r/>
      <w:bookmarkStart w:id="29" w:name="_Toc35393625"/>
      <w:r/>
      <w:bookmarkStart w:id="30" w:name="_Toc28359007"/>
      <w:r/>
      <w:bookmarkStart w:id="31" w:name="_Toc28359084"/>
      <w:r/>
      <w:bookmarkStart w:id="32" w:name="_Toc35393794"/>
      <w:r>
        <w:rPr>
          <w:rFonts w:hint="eastAsia"/>
          <w:color w:val="000000"/>
          <w:sz w:val="30"/>
          <w:szCs w:val="30"/>
          <w:highlight w:val="none"/>
          <w:lang w:eastAsia="zh-CN"/>
        </w:rPr>
        <w:t xml:space="preserve">五、公告期限</w:t>
      </w:r>
      <w:bookmarkEnd w:id="28"/>
      <w:r/>
      <w:bookmarkEnd w:id="29"/>
      <w:r/>
      <w:bookmarkEnd w:id="30"/>
      <w:r/>
      <w:bookmarkEnd w:id="31"/>
      <w:r/>
      <w:bookmarkEnd w:id="32"/>
      <w:r>
        <w:rPr>
          <w:color w:val="000000"/>
          <w:sz w:val="30"/>
          <w:szCs w:val="30"/>
          <w:highlight w:val="none"/>
          <w:lang w:eastAsia="zh-CN"/>
        </w:rPr>
      </w:r>
      <w:r/>
    </w:p>
    <w:p>
      <w:pPr>
        <w:pStyle w:val="712"/>
        <w:ind w:firstLine="480"/>
        <w:spacing w:line="500" w:lineRule="exact"/>
        <w:rPr>
          <w:rFonts w:ascii="宋体" w:hAnsi="宋体" w:cs="宋体"/>
          <w:color w:val="000000"/>
          <w:sz w:val="24"/>
          <w:szCs w:val="24"/>
          <w:highlight w:val="none"/>
        </w:rPr>
      </w:pPr>
      <w:r/>
      <w:bookmarkStart w:id="33" w:name="_Toc35393626"/>
      <w:r/>
      <w:bookmarkStart w:id="34" w:name="_Toc35393795"/>
      <w:r/>
      <w:bookmarkStart w:id="35"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844"/>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六、其他补充事宜</w:t>
      </w:r>
      <w:bookmarkEnd w:id="33"/>
      <w:r/>
      <w:bookmarkEnd w:id="34"/>
      <w:r/>
      <w:bookmarkEnd w:id="35"/>
      <w:r>
        <w:rPr>
          <w:color w:val="000000"/>
          <w:sz w:val="30"/>
          <w:szCs w:val="30"/>
          <w:highlight w:val="none"/>
          <w:lang w:eastAsia="zh-CN"/>
        </w:rPr>
      </w:r>
      <w:r/>
    </w:p>
    <w:p>
      <w:pPr>
        <w:pStyle w:val="71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844"/>
        <w:ind w:firstLine="452"/>
        <w:keepLines w:val="0"/>
        <w:keepNext w:val="0"/>
        <w:spacing w:before="0" w:after="0" w:line="500" w:lineRule="exact"/>
        <w:rPr>
          <w:color w:val="000000"/>
          <w:sz w:val="30"/>
          <w:szCs w:val="30"/>
          <w:highlight w:val="none"/>
          <w:lang w:eastAsia="zh-CN"/>
        </w:rPr>
      </w:pPr>
      <w:r/>
      <w:bookmarkStart w:id="36" w:name="_Toc38985269"/>
      <w:r/>
      <w:bookmarkStart w:id="37" w:name="_Toc35393796"/>
      <w:r/>
      <w:bookmarkStart w:id="38" w:name="_Toc35393627"/>
      <w:r/>
      <w:bookmarkStart w:id="39" w:name="_Toc28359008"/>
      <w:r/>
      <w:bookmarkStart w:id="40" w:name="_Toc28359085"/>
      <w:r>
        <w:rPr>
          <w:rFonts w:hint="eastAsia"/>
          <w:color w:val="000000"/>
          <w:sz w:val="30"/>
          <w:szCs w:val="30"/>
          <w:highlight w:val="none"/>
          <w:lang w:eastAsia="zh-CN"/>
        </w:rPr>
        <w:t xml:space="preserve">七、本项目联系方式</w:t>
      </w:r>
      <w:bookmarkEnd w:id="36"/>
      <w:r/>
      <w:bookmarkEnd w:id="37"/>
      <w:r/>
      <w:bookmarkEnd w:id="38"/>
      <w:r/>
      <w:bookmarkEnd w:id="39"/>
      <w:r/>
      <w:bookmarkEnd w:id="40"/>
      <w:r>
        <w:rPr>
          <w:color w:val="000000"/>
          <w:sz w:val="30"/>
          <w:szCs w:val="30"/>
          <w:highlight w:val="none"/>
          <w:lang w:eastAsia="zh-CN"/>
        </w:rPr>
      </w:r>
      <w:r/>
    </w:p>
    <w:p>
      <w:pPr>
        <w:pStyle w:val="71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1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无锡市梁溪区教育局</w:t>
      </w:r>
      <w:r>
        <w:rPr>
          <w:rFonts w:hint="eastAsia" w:ascii="宋体" w:hAnsi="宋体" w:eastAsia="宋体" w:cs="宋体"/>
          <w:color w:val="000000"/>
          <w:sz w:val="24"/>
          <w:szCs w:val="24"/>
          <w:highlight w:val="none"/>
          <w:lang w:eastAsia="zh-CN"/>
        </w:rPr>
      </w:r>
      <w:r/>
    </w:p>
    <w:p>
      <w:pPr>
        <w:pStyle w:val="71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无锡市梁溪区通扬路221号</w:t>
      </w:r>
      <w:r>
        <w:rPr>
          <w:rFonts w:hint="eastAsia" w:ascii="宋体" w:hAnsi="宋体" w:eastAsia="宋体" w:cs="宋体"/>
          <w:color w:val="000000"/>
          <w:sz w:val="24"/>
          <w:szCs w:val="24"/>
          <w:highlight w:val="none"/>
          <w:lang w:eastAsia="zh-CN"/>
        </w:rPr>
      </w:r>
      <w:r/>
    </w:p>
    <w:p>
      <w:pPr>
        <w:pStyle w:val="71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1" w:name="_Toc28359009"/>
      <w:r/>
      <w:bookmarkStart w:id="42" w:name="_Toc28359086"/>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71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1"/>
      <w:r/>
      <w:bookmarkEnd w:id="42"/>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712"/>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江苏达瑞德工程管理咨询有限公司</w:t>
      </w:r>
      <w:r>
        <w:rPr>
          <w:rFonts w:hint="eastAsia" w:ascii="宋体" w:hAnsi="宋体" w:eastAsia="宋体" w:cs="宋体"/>
          <w:color w:val="000000"/>
          <w:sz w:val="24"/>
          <w:szCs w:val="24"/>
          <w:highlight w:val="none"/>
          <w:lang w:eastAsia="zh-CN"/>
        </w:rPr>
      </w:r>
      <w:r/>
    </w:p>
    <w:p>
      <w:pPr>
        <w:pStyle w:val="712"/>
        <w:ind w:firstLine="480"/>
        <w:spacing w:line="500" w:lineRule="exact"/>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eastAsia="宋体" w:cs="宋体"/>
          <w:sz w:val="24"/>
          <w:szCs w:val="24"/>
          <w:highlight w:val="none"/>
          <w:lang w:eastAsia="zh-CN"/>
        </w:rPr>
        <w:t xml:space="preserve">无锡市滨湖区蠡湖街道山明四村14、15号</w:t>
      </w:r>
      <w:r>
        <w:rPr>
          <w:rFonts w:hint="eastAsia" w:ascii="宋体" w:hAnsi="宋体" w:eastAsia="宋体" w:cs="宋体"/>
          <w:sz w:val="24"/>
          <w:szCs w:val="24"/>
          <w:highlight w:val="none"/>
          <w:lang w:eastAsia="zh-CN"/>
        </w:rPr>
      </w:r>
      <w:r/>
    </w:p>
    <w:p>
      <w:pPr>
        <w:pStyle w:val="71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ascii="宋体" w:hAnsi="宋体" w:cs="宋体"/>
          <w:color w:val="000000"/>
          <w:sz w:val="24"/>
          <w:szCs w:val="24"/>
          <w:highlight w:val="none"/>
        </w:rPr>
      </w:r>
      <w:r/>
    </w:p>
    <w:p>
      <w:pPr>
        <w:pStyle w:val="712"/>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1117"/>
        <w:rPr>
          <w:rFonts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采购</w:t>
      </w:r>
      <w:r>
        <w:rPr>
          <w:rFonts w:hint="eastAsia" w:ascii="宋体" w:hAnsi="宋体" w:eastAsia="宋体" w:cs="宋体"/>
          <w:color w:val="000000"/>
          <w:sz w:val="24"/>
          <w:szCs w:val="24"/>
          <w:highlight w:val="none"/>
          <w:lang w:val="en-US" w:eastAsia="zh-CN"/>
        </w:rPr>
        <w:t xml:space="preserve">人项目咨询联系人：奚晓枫 ； 电话：0510-82724534</w:t>
      </w:r>
      <w:r>
        <w:rPr>
          <w:rFonts w:ascii="宋体" w:hAnsi="宋体" w:eastAsia="宋体" w:cs="宋体"/>
          <w:color w:val="000000"/>
          <w:sz w:val="24"/>
          <w:szCs w:val="24"/>
          <w:highlight w:val="none"/>
          <w:lang w:val="en-US" w:eastAsia="zh-CN"/>
        </w:rPr>
      </w:r>
      <w:r/>
    </w:p>
    <w:p>
      <w:pPr>
        <w:pStyle w:val="111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en-US"/>
        </w:rPr>
        <w:t xml:space="preserve">采购人质疑受理联系人: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奚晓枫 ； 电话：0510-82724534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117"/>
        <w:rPr>
          <w:rFonts w:eastAsia="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奚彩杰、李文芳</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18061517651</w:t>
      </w:r>
      <w:r>
        <w:rPr>
          <w:rFonts w:eastAsia="宋体"/>
          <w:highlight w:val="none"/>
          <w:lang w:val="en-US" w:eastAsia="zh-CN"/>
        </w:rPr>
      </w:r>
      <w:r/>
    </w:p>
    <w:p>
      <w:pPr>
        <w:pStyle w:val="844"/>
        <w:ind w:firstLine="452"/>
        <w:keepLines w:val="0"/>
        <w:keepNext w:val="0"/>
        <w:spacing w:before="0" w:after="0" w:line="500" w:lineRule="exact"/>
        <w:rPr>
          <w:color w:val="000000"/>
          <w:sz w:val="30"/>
          <w:szCs w:val="30"/>
          <w:highlight w:val="none"/>
          <w:lang w:eastAsia="zh-CN"/>
        </w:rPr>
      </w:pPr>
      <w:r>
        <w:rPr>
          <w:rFonts w:hint="eastAsia"/>
          <w:color w:val="000000"/>
          <w:sz w:val="30"/>
          <w:szCs w:val="30"/>
          <w:highlight w:val="none"/>
          <w:lang w:eastAsia="zh-CN"/>
        </w:rPr>
        <w:t xml:space="preserve">八、其他</w:t>
      </w:r>
      <w:r>
        <w:rPr>
          <w:color w:val="000000"/>
          <w:sz w:val="30"/>
          <w:szCs w:val="30"/>
          <w:highlight w:val="none"/>
          <w:lang w:eastAsia="zh-CN"/>
        </w:rPr>
      </w:r>
      <w:r/>
    </w:p>
    <w:p>
      <w:pPr>
        <w:pStyle w:val="71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）访问“江苏省政府采购网”点击“江苏省政府采购（苏采云）平台”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w:t>
      </w:r>
      <w:r>
        <w:rPr>
          <w:rFonts w:ascii="宋体" w:hAnsi="宋体"/>
          <w:color w:val="000000"/>
          <w:sz w:val="24"/>
          <w:szCs w:val="24"/>
          <w:highlight w:val="none"/>
        </w:rPr>
        <w:t xml:space="preserve">http:</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jszfcg.jsczt.cn</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jszc</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login</w:t>
      </w:r>
      <w:r>
        <w:rPr>
          <w:rFonts w:hint="eastAsia" w:ascii="宋体" w:hAnsi="宋体"/>
          <w:color w:val="000000"/>
          <w:sz w:val="24"/>
          <w:szCs w:val="24"/>
          <w:highlight w:val="none"/>
        </w:rPr>
        <w:t xml:space="preserve">进入界面。</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号楼大厅</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jsxcmm.com</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help</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help.html。</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712"/>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712"/>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712"/>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江苏达瑞德工程管理咨询有限公司</w:t>
      </w:r>
      <w:r>
        <w:rPr>
          <w:rFonts w:hint="eastAsia" w:ascii="宋体" w:hAnsi="宋体"/>
          <w:bCs/>
          <w:color w:val="000000"/>
          <w:sz w:val="24"/>
          <w:szCs w:val="24"/>
          <w:highlight w:val="none"/>
        </w:rPr>
        <w:t xml:space="preserve">在“江苏政府采购网”发布的更正公告。</w:t>
      </w:r>
      <w:r>
        <w:rPr>
          <w:rFonts w:ascii="宋体" w:hAnsi="宋体"/>
          <w:bCs/>
          <w:color w:val="000000"/>
          <w:sz w:val="24"/>
          <w:szCs w:val="24"/>
          <w:highlight w:val="none"/>
        </w:rPr>
      </w:r>
      <w:r/>
    </w:p>
    <w:p>
      <w:pPr>
        <w:pStyle w:val="712"/>
        <w:ind w:firstLine="480"/>
        <w:spacing w:line="500" w:lineRule="exact"/>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ascii="宋体" w:hAnsi="宋体"/>
          <w:bCs/>
          <w:color w:val="000000"/>
          <w:sz w:val="24"/>
          <w:szCs w:val="24"/>
          <w:highlight w:val="none"/>
          <w:shd w:val="clear" w:color="ffffff" w:fill="d9d9d9"/>
        </w:rPr>
      </w:r>
      <w:r/>
    </w:p>
    <w:p>
      <w:pPr>
        <w:pStyle w:val="712"/>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auto" w:fill="auto"/>
        </w:rPr>
        <w:br w:type="page" w:clear="all"/>
      </w:r>
      <w:bookmarkStart w:id="43" w:name="_Toc120614211"/>
      <w:r>
        <w:rPr>
          <w:rFonts w:hint="eastAsia" w:ascii="黑体" w:hAnsi="黑体" w:eastAsia="黑体"/>
          <w:color w:val="000000"/>
          <w:sz w:val="36"/>
          <w:szCs w:val="36"/>
          <w:highlight w:val="none"/>
        </w:rPr>
        <w:t xml:space="preserve">第二章  </w:t>
      </w:r>
      <w:bookmarkEnd w:id="2"/>
      <w:r/>
      <w:bookmarkEnd w:id="3"/>
      <w:r/>
      <w:bookmarkEnd w:id="4"/>
      <w:r/>
      <w:bookmarkEnd w:id="5"/>
      <w:r/>
      <w:bookmarkEnd w:id="6"/>
      <w:r/>
      <w:bookmarkEnd w:id="43"/>
      <w:r/>
      <w:bookmarkStart w:id="44" w:name="_Toc20823274"/>
      <w:r/>
      <w:bookmarkStart w:id="45" w:name="_Toc513029202"/>
      <w:r/>
      <w:bookmarkStart w:id="46" w:name="_Toc16938518"/>
      <w:r/>
      <w:bookmarkStart w:id="47" w:name="_Toc120614213"/>
      <w:r>
        <w:rPr>
          <w:rFonts w:hint="eastAsia" w:ascii="黑体" w:hAnsi="黑体" w:eastAsia="黑体"/>
          <w:color w:val="000000"/>
          <w:sz w:val="36"/>
          <w:szCs w:val="36"/>
          <w:highlight w:val="none"/>
        </w:rPr>
        <w:t xml:space="preserve">投标人须知</w:t>
      </w:r>
      <w:bookmarkEnd w:id="44"/>
      <w:r/>
      <w:bookmarkEnd w:id="45"/>
      <w:r/>
      <w:bookmarkEnd w:id="46"/>
      <w:r/>
      <w:bookmarkEnd w:id="47"/>
      <w:r>
        <w:rPr>
          <w:rFonts w:ascii="黑体" w:hAnsi="黑体" w:eastAsia="黑体"/>
          <w:color w:val="000000"/>
          <w:sz w:val="36"/>
          <w:szCs w:val="36"/>
          <w:highlight w:val="none"/>
        </w:rPr>
      </w:r>
      <w:r/>
    </w:p>
    <w:p>
      <w:pPr>
        <w:pStyle w:val="844"/>
        <w:ind w:firstLine="452"/>
        <w:keepLines w:val="0"/>
        <w:keepNext w:val="0"/>
        <w:spacing w:before="0" w:after="0" w:line="500" w:lineRule="exact"/>
        <w:rPr>
          <w:color w:val="000000"/>
          <w:sz w:val="30"/>
          <w:szCs w:val="30"/>
          <w:highlight w:val="none"/>
          <w:lang w:eastAsia="zh-CN"/>
        </w:rPr>
      </w:pPr>
      <w:r/>
      <w:bookmarkStart w:id="48" w:name="_Toc513029203"/>
      <w:r/>
      <w:bookmarkStart w:id="49" w:name="_Toc20823275"/>
      <w:r/>
      <w:bookmarkStart w:id="50" w:name="_Toc16938519"/>
      <w:r/>
      <w:bookmarkStart w:id="51" w:name="_Toc120614214"/>
      <w:r>
        <w:rPr>
          <w:rFonts w:hint="eastAsia"/>
          <w:color w:val="000000"/>
          <w:sz w:val="30"/>
          <w:szCs w:val="30"/>
          <w:highlight w:val="none"/>
          <w:lang w:eastAsia="zh-CN"/>
        </w:rPr>
        <w:t xml:space="preserve">一、总则</w:t>
      </w:r>
      <w:bookmarkEnd w:id="48"/>
      <w:r/>
      <w:bookmarkEnd w:id="49"/>
      <w:r/>
      <w:bookmarkEnd w:id="50"/>
      <w:r/>
      <w:bookmarkEnd w:id="51"/>
      <w:r>
        <w:rPr>
          <w:color w:val="000000"/>
          <w:sz w:val="30"/>
          <w:szCs w:val="30"/>
          <w:highlight w:val="none"/>
          <w:lang w:eastAsia="zh-CN"/>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52" w:name="_Hlt16619475"/>
      <w:r/>
      <w:bookmarkEnd w:id="52"/>
      <w:r/>
      <w:bookmarkStart w:id="53" w:name="_Toc20823276"/>
      <w:r/>
      <w:bookmarkStart w:id="54" w:name="_Toc16938520"/>
      <w:r/>
      <w:bookmarkStart w:id="55" w:name="_Toc513029204"/>
      <w:r>
        <w:rPr>
          <w:rFonts w:hint="eastAsia" w:ascii="宋体" w:hAnsi="宋体" w:eastAsia="宋体"/>
          <w:bCs w:val="0"/>
          <w:color w:val="000000"/>
          <w:highlight w:val="none"/>
          <w:lang w:eastAsia="zh-CN"/>
        </w:rPr>
        <w:t xml:space="preserve">1.招标方式</w:t>
      </w:r>
      <w:bookmarkEnd w:id="53"/>
      <w:r/>
      <w:bookmarkEnd w:id="54"/>
      <w:r/>
      <w:bookmarkEnd w:id="55"/>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ascii="宋体" w:hAnsi="宋体"/>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56" w:name="_Toc513029205"/>
      <w:r/>
      <w:bookmarkStart w:id="57" w:name="_Toc16938521"/>
      <w:r/>
      <w:bookmarkStart w:id="58" w:name="_Toc20823277"/>
      <w:r>
        <w:rPr>
          <w:rFonts w:hint="eastAsia" w:ascii="宋体" w:hAnsi="宋体" w:eastAsia="宋体"/>
          <w:bCs w:val="0"/>
          <w:color w:val="000000"/>
          <w:highlight w:val="none"/>
          <w:lang w:eastAsia="zh-CN"/>
        </w:rPr>
        <w:t xml:space="preserve">2.</w:t>
      </w:r>
      <w:bookmarkEnd w:id="56"/>
      <w:r/>
      <w:bookmarkEnd w:id="57"/>
      <w:r/>
      <w:bookmarkEnd w:id="58"/>
      <w:r>
        <w:rPr>
          <w:rFonts w:hint="eastAsia" w:ascii="宋体" w:hAnsi="宋体" w:eastAsia="宋体"/>
          <w:bCs w:val="0"/>
          <w:color w:val="000000"/>
          <w:highlight w:val="none"/>
          <w:lang w:eastAsia="zh-CN"/>
        </w:rPr>
        <w:t xml:space="preserve">采购人、采购代理机构、投标人、联合体</w:t>
      </w:r>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color w:val="000000"/>
          <w:sz w:val="24"/>
          <w:szCs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59" w:name="_Toc513029206"/>
      <w:r/>
      <w:bookmarkStart w:id="60" w:name="_Toc20823278"/>
      <w:r/>
      <w:bookmarkStart w:id="61" w:name="_Toc16938522"/>
      <w:r>
        <w:rPr>
          <w:rFonts w:hint="eastAsia" w:ascii="宋体" w:hAnsi="宋体" w:eastAsia="宋体"/>
          <w:bCs w:val="0"/>
          <w:color w:val="000000"/>
          <w:highlight w:val="none"/>
          <w:lang w:eastAsia="zh-CN"/>
        </w:rPr>
        <w:t xml:space="preserve">3.适用法律</w:t>
      </w:r>
      <w:bookmarkEnd w:id="59"/>
      <w:r/>
      <w:bookmarkEnd w:id="60"/>
      <w:r/>
      <w:bookmarkEnd w:id="61"/>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ascii="宋体" w:hAnsi="宋体"/>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62" w:name="_Toc513029207"/>
      <w:r/>
      <w:bookmarkStart w:id="63" w:name="_Toc462564067"/>
      <w:r/>
      <w:bookmarkStart w:id="64" w:name="_Toc16938523"/>
      <w:r/>
      <w:bookmarkStart w:id="65" w:name="_Toc20823279"/>
      <w:r>
        <w:rPr>
          <w:rFonts w:hint="eastAsia" w:ascii="宋体" w:hAnsi="宋体" w:eastAsia="宋体"/>
          <w:bCs w:val="0"/>
          <w:color w:val="000000"/>
          <w:highlight w:val="none"/>
          <w:lang w:eastAsia="zh-CN"/>
        </w:rPr>
        <w:t xml:space="preserve">4.投标费用</w:t>
      </w:r>
      <w:bookmarkEnd w:id="62"/>
      <w:r/>
      <w:bookmarkEnd w:id="63"/>
      <w:r/>
      <w:bookmarkEnd w:id="64"/>
      <w:r/>
      <w:bookmarkEnd w:id="65"/>
      <w:r>
        <w:rPr>
          <w:rFonts w:ascii="宋体" w:hAnsi="宋体" w:eastAsia="宋体"/>
          <w:bCs w:val="0"/>
          <w:color w:val="000000"/>
          <w:highlight w:val="none"/>
          <w:lang w:eastAsia="zh-CN"/>
        </w:rPr>
      </w:r>
      <w:r/>
    </w:p>
    <w:p>
      <w:pPr>
        <w:pStyle w:val="847"/>
        <w:ind w:firstLine="422"/>
        <w:keepLines w:val="0"/>
        <w:keepNext w:val="0"/>
        <w:spacing w:before="0" w:after="0" w:line="500" w:lineRule="exact"/>
        <w:rPr>
          <w:rFonts w:hint="eastAsia" w:ascii="宋体" w:hAnsi="宋体" w:eastAsia="宋体" w:cs="Times New Roman"/>
          <w:b w:val="0"/>
          <w:bCs w:val="0"/>
          <w:color w:val="000000"/>
          <w:sz w:val="24"/>
          <w:szCs w:val="21"/>
          <w:highlight w:val="none"/>
          <w:lang w:val="en-US" w:eastAsia="zh-CN" w:bidi="ar-SA"/>
        </w:rPr>
      </w:pPr>
      <w:r>
        <w:rPr>
          <w:rFonts w:hint="eastAsia" w:ascii="宋体" w:hAnsi="宋体" w:eastAsia="宋体" w:cs="Times New Roman"/>
          <w:b w:val="0"/>
          <w:bCs w:val="0"/>
          <w:color w:val="000000"/>
          <w:sz w:val="24"/>
          <w:szCs w:val="21"/>
          <w:highlight w:val="none"/>
          <w:lang w:val="en-US" w:eastAsia="zh-CN" w:bidi="ar-SA"/>
        </w:rPr>
        <w:t xml:space="preserve">4.1投标人应自行承担所有与参加投标有关的费用，无论投标过程中的做法和结果如何，江苏达瑞德工程管理咨询有限公司（以下简称代理机构）在任何情况下均无义务和责任承担这些费用。</w:t>
      </w:r>
      <w:r>
        <w:rPr>
          <w:rFonts w:hint="eastAsia" w:ascii="宋体" w:hAnsi="宋体" w:eastAsia="宋体" w:cs="Times New Roman"/>
          <w:b w:val="0"/>
          <w:bCs w:val="0"/>
          <w:color w:val="000000"/>
          <w:sz w:val="24"/>
          <w:szCs w:val="21"/>
          <w:highlight w:val="none"/>
          <w:lang w:val="en-US" w:eastAsia="zh-CN" w:bidi="ar-SA"/>
        </w:rPr>
      </w:r>
      <w:r/>
    </w:p>
    <w:p>
      <w:pPr>
        <w:pStyle w:val="847"/>
        <w:ind w:firstLine="422"/>
        <w:keepLines w:val="0"/>
        <w:keepNext w:val="0"/>
        <w:spacing w:before="0" w:after="0" w:line="500" w:lineRule="exact"/>
        <w:rPr>
          <w:rFonts w:hint="eastAsia" w:ascii="宋体" w:hAnsi="宋体" w:eastAsia="宋体" w:cs="Times New Roman"/>
          <w:b w:val="0"/>
          <w:bCs w:val="0"/>
          <w:color w:val="000000"/>
          <w:sz w:val="24"/>
          <w:szCs w:val="21"/>
          <w:highlight w:val="none"/>
          <w:lang w:val="en-US" w:eastAsia="zh-CN" w:bidi="ar-SA"/>
        </w:rPr>
      </w:pPr>
      <w:r>
        <w:rPr>
          <w:rFonts w:hint="eastAsia" w:ascii="宋体" w:hAnsi="宋体" w:eastAsia="宋体" w:cs="Times New Roman"/>
          <w:b w:val="0"/>
          <w:bCs w:val="0"/>
          <w:color w:val="000000"/>
          <w:sz w:val="24"/>
          <w:szCs w:val="21"/>
          <w:highlight w:val="none"/>
          <w:lang w:val="en-US" w:eastAsia="zh-CN" w:bidi="ar-SA"/>
        </w:rPr>
        <w:t xml:space="preserve">4.2本次招标标书工本费、中标服务费、招标文件均免费。</w:t>
      </w:r>
      <w:r>
        <w:rPr>
          <w:rFonts w:hint="eastAsia" w:ascii="宋体" w:hAnsi="宋体" w:eastAsia="宋体" w:cs="Times New Roman"/>
          <w:b w:val="0"/>
          <w:bCs w:val="0"/>
          <w:color w:val="000000"/>
          <w:sz w:val="24"/>
          <w:szCs w:val="21"/>
          <w:highlight w:val="none"/>
          <w:lang w:val="en-US" w:eastAsia="zh-CN" w:bidi="ar-SA"/>
        </w:rPr>
      </w:r>
      <w:r/>
    </w:p>
    <w:p>
      <w:pPr>
        <w:pStyle w:val="847"/>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ascii="宋体" w:hAnsi="宋体"/>
          <w:color w:val="000000"/>
          <w:sz w:val="24"/>
          <w:szCs w:val="24"/>
          <w:highlight w:val="none"/>
        </w:rPr>
      </w:r>
      <w:r/>
    </w:p>
    <w:p>
      <w:pPr>
        <w:pStyle w:val="844"/>
        <w:ind w:firstLine="452"/>
        <w:keepLines w:val="0"/>
        <w:keepNext w:val="0"/>
        <w:spacing w:before="0" w:after="0" w:line="500" w:lineRule="exact"/>
        <w:rPr>
          <w:color w:val="000000"/>
          <w:sz w:val="30"/>
          <w:szCs w:val="30"/>
          <w:highlight w:val="none"/>
          <w:lang w:eastAsia="zh-CN"/>
        </w:rPr>
      </w:pPr>
      <w:r/>
      <w:bookmarkStart w:id="66" w:name="_Toc120614215"/>
      <w:r/>
      <w:bookmarkStart w:id="67" w:name="_Toc513029209"/>
      <w:r/>
      <w:bookmarkStart w:id="68" w:name="_Toc16938525"/>
      <w:r/>
      <w:bookmarkStart w:id="69" w:name="_Toc20823281"/>
      <w:r>
        <w:rPr>
          <w:rFonts w:hint="eastAsia"/>
          <w:color w:val="000000"/>
          <w:sz w:val="30"/>
          <w:szCs w:val="30"/>
          <w:highlight w:val="none"/>
          <w:lang w:eastAsia="zh-CN"/>
        </w:rPr>
        <w:t xml:space="preserve">二、招标文件</w:t>
      </w:r>
      <w:bookmarkEnd w:id="66"/>
      <w:r/>
      <w:bookmarkEnd w:id="67"/>
      <w:r/>
      <w:bookmarkEnd w:id="68"/>
      <w:r/>
      <w:bookmarkEnd w:id="69"/>
      <w:r>
        <w:rPr>
          <w:color w:val="000000"/>
          <w:sz w:val="30"/>
          <w:szCs w:val="30"/>
          <w:highlight w:val="none"/>
          <w:lang w:eastAsia="zh-CN"/>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70" w:name="_Toc513029210"/>
      <w:r/>
      <w:bookmarkStart w:id="71" w:name="_Toc20823282"/>
      <w:r/>
      <w:bookmarkStart w:id="72" w:name="_Toc16938526"/>
      <w:r>
        <w:rPr>
          <w:rFonts w:hint="eastAsia" w:ascii="宋体" w:hAnsi="宋体" w:eastAsia="宋体"/>
          <w:bCs w:val="0"/>
          <w:color w:val="000000"/>
          <w:highlight w:val="none"/>
          <w:lang w:eastAsia="zh-CN"/>
        </w:rPr>
        <w:t xml:space="preserve">6.招标文件构成</w:t>
      </w:r>
      <w:bookmarkEnd w:id="70"/>
      <w:r/>
      <w:bookmarkEnd w:id="71"/>
      <w:r/>
      <w:bookmarkEnd w:id="72"/>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ascii="宋体" w:hAnsi="宋体"/>
          <w:color w:val="000000"/>
          <w:sz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rPr>
          <w:rFonts w:ascii="宋体" w:hAnsi="宋体"/>
          <w:color w:val="000000"/>
          <w:sz w:val="24"/>
          <w:szCs w:val="24"/>
          <w:highlight w:val="none"/>
        </w:rPr>
      </w:r>
      <w:r/>
    </w:p>
    <w:p>
      <w:pPr>
        <w:pStyle w:val="712"/>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ascii="宋体" w:hAnsi="宋体"/>
          <w:color w:val="000000"/>
          <w:sz w:val="24"/>
          <w:szCs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73" w:name="_Toc462564070"/>
      <w:r/>
      <w:bookmarkStart w:id="74" w:name="_Toc513029211"/>
      <w:r/>
      <w:bookmarkStart w:id="75" w:name="_Toc16938527"/>
      <w:r/>
      <w:bookmarkStart w:id="76" w:name="_Toc20823283"/>
      <w:r>
        <w:rPr>
          <w:rFonts w:hint="eastAsia" w:ascii="宋体" w:hAnsi="宋体" w:eastAsia="宋体"/>
          <w:bCs w:val="0"/>
          <w:color w:val="000000"/>
          <w:highlight w:val="none"/>
          <w:lang w:eastAsia="zh-CN"/>
        </w:rPr>
        <w:t xml:space="preserve">7.招标文件的澄清</w:t>
      </w:r>
      <w:bookmarkEnd w:id="73"/>
      <w:r/>
      <w:bookmarkEnd w:id="74"/>
      <w:r/>
      <w:bookmarkEnd w:id="75"/>
      <w:r/>
      <w:bookmarkEnd w:id="76"/>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rPr>
          <w:rFonts w:ascii="宋体" w:hAnsi="宋体"/>
          <w:bCs/>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77" w:name="_Toc16938528"/>
      <w:r/>
      <w:bookmarkStart w:id="78" w:name="_Toc462564071"/>
      <w:r/>
      <w:bookmarkStart w:id="79" w:name="_Toc20823284"/>
      <w:r/>
      <w:bookmarkStart w:id="80" w:name="_Toc513029212"/>
      <w:r>
        <w:rPr>
          <w:rFonts w:hint="eastAsia" w:ascii="宋体" w:hAnsi="宋体" w:eastAsia="宋体"/>
          <w:bCs w:val="0"/>
          <w:color w:val="000000"/>
          <w:highlight w:val="none"/>
          <w:lang w:eastAsia="zh-CN"/>
        </w:rPr>
        <w:t xml:space="preserve">8.招标文件的修改</w:t>
      </w:r>
      <w:bookmarkEnd w:id="77"/>
      <w:r/>
      <w:bookmarkEnd w:id="78"/>
      <w:r/>
      <w:bookmarkEnd w:id="79"/>
      <w:r/>
      <w:bookmarkEnd w:id="80"/>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rPr>
          <w:rFonts w:ascii="宋体" w:hAnsi="宋体"/>
          <w:bCs/>
          <w:color w:val="000000"/>
          <w:sz w:val="24"/>
          <w:szCs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宋体" w:hAnsi="宋体"/>
          <w:color w:val="000000"/>
          <w:sz w:val="24"/>
          <w:highlight w:val="none"/>
        </w:rPr>
      </w:r>
      <w:r/>
    </w:p>
    <w:p>
      <w:pPr>
        <w:pStyle w:val="844"/>
        <w:ind w:firstLine="452"/>
        <w:keepLines w:val="0"/>
        <w:keepNext w:val="0"/>
        <w:spacing w:before="0" w:after="0" w:line="500" w:lineRule="exact"/>
        <w:rPr>
          <w:color w:val="000000"/>
          <w:sz w:val="30"/>
          <w:szCs w:val="30"/>
          <w:highlight w:val="none"/>
          <w:lang w:eastAsia="zh-CN"/>
        </w:rPr>
      </w:pPr>
      <w:r/>
      <w:bookmarkStart w:id="81" w:name="_Toc120614216"/>
      <w:r/>
      <w:bookmarkStart w:id="82" w:name="_Toc20823285"/>
      <w:r/>
      <w:bookmarkStart w:id="83" w:name="_Toc513029213"/>
      <w:r/>
      <w:bookmarkStart w:id="84" w:name="_Toc462564072"/>
      <w:r/>
      <w:bookmarkStart w:id="85" w:name="_Toc16938529"/>
      <w:r>
        <w:rPr>
          <w:rFonts w:hint="eastAsia"/>
          <w:color w:val="000000"/>
          <w:sz w:val="30"/>
          <w:szCs w:val="30"/>
          <w:highlight w:val="none"/>
          <w:lang w:eastAsia="zh-CN"/>
        </w:rPr>
        <w:t xml:space="preserve">三、投标文件的编制</w:t>
      </w:r>
      <w:bookmarkEnd w:id="81"/>
      <w:r/>
      <w:bookmarkEnd w:id="82"/>
      <w:r/>
      <w:bookmarkEnd w:id="83"/>
      <w:r/>
      <w:bookmarkEnd w:id="84"/>
      <w:r/>
      <w:bookmarkEnd w:id="85"/>
      <w:r>
        <w:rPr>
          <w:color w:val="000000"/>
          <w:sz w:val="30"/>
          <w:szCs w:val="30"/>
          <w:highlight w:val="none"/>
          <w:lang w:eastAsia="zh-CN"/>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86" w:name="_Toc462564073"/>
      <w:r/>
      <w:bookmarkStart w:id="87" w:name="_Toc16938530"/>
      <w:r/>
      <w:bookmarkStart w:id="88" w:name="_Toc513029214"/>
      <w:r/>
      <w:bookmarkStart w:id="89" w:name="_Toc20823286"/>
      <w:r>
        <w:rPr>
          <w:rFonts w:hint="eastAsia" w:ascii="宋体" w:hAnsi="宋体" w:eastAsia="宋体"/>
          <w:bCs w:val="0"/>
          <w:color w:val="000000"/>
          <w:highlight w:val="none"/>
          <w:lang w:eastAsia="zh-CN"/>
        </w:rPr>
        <w:t xml:space="preserve">9.投标文件的语言及度量衡单位</w:t>
      </w:r>
      <w:bookmarkEnd w:id="86"/>
      <w:r/>
      <w:bookmarkEnd w:id="87"/>
      <w:r/>
      <w:bookmarkEnd w:id="88"/>
      <w:r/>
      <w:bookmarkEnd w:id="89"/>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ascii="宋体" w:hAnsi="宋体"/>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90" w:name="_Toc20823287"/>
      <w:r/>
      <w:bookmarkStart w:id="91" w:name="_Toc513029215"/>
      <w:r/>
      <w:bookmarkStart w:id="92" w:name="_Toc462564074"/>
      <w:r/>
      <w:bookmarkStart w:id="93" w:name="_Toc16938531"/>
      <w:r>
        <w:rPr>
          <w:rFonts w:hint="eastAsia" w:ascii="宋体" w:hAnsi="宋体" w:eastAsia="宋体"/>
          <w:bCs w:val="0"/>
          <w:color w:val="000000"/>
          <w:highlight w:val="none"/>
          <w:lang w:eastAsia="zh-CN"/>
        </w:rPr>
        <w:t xml:space="preserve">10.投标文件构成</w:t>
      </w:r>
      <w:bookmarkEnd w:id="90"/>
      <w:r/>
      <w:bookmarkEnd w:id="91"/>
      <w:r/>
      <w:bookmarkEnd w:id="92"/>
      <w:r/>
      <w:bookmarkEnd w:id="93"/>
      <w:r>
        <w:rPr>
          <w:rFonts w:ascii="宋体" w:hAnsi="宋体" w:eastAsia="宋体"/>
          <w:bCs w:val="0"/>
          <w:color w:val="000000"/>
          <w:highlight w:val="none"/>
          <w:lang w:eastAsia="zh-CN"/>
        </w:rPr>
      </w:r>
      <w:r/>
    </w:p>
    <w:p>
      <w:pPr>
        <w:pStyle w:val="712"/>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color w:val="000000"/>
          <w:sz w:val="24"/>
          <w:highlight w:val="none"/>
        </w:rPr>
        <w:t xml:space="preserve">10.1</w:t>
      </w:r>
      <w:r>
        <w:rPr>
          <w:rFonts w:hint="eastAsia" w:ascii="宋体" w:hAnsi="宋体"/>
          <w:bCs/>
          <w:color w:val="000000"/>
          <w:sz w:val="24"/>
          <w:highlight w:val="none"/>
        </w:rPr>
        <w:t xml:space="preserve">投标文件分为明标和暗标，相应内容上传至投标客户端</w:t>
      </w:r>
      <w:r>
        <w:rPr>
          <w:rFonts w:hint="eastAsia" w:ascii="宋体" w:hAnsi="宋体" w:cs="宋体"/>
          <w:bCs/>
          <w:color w:val="000000"/>
          <w:sz w:val="24"/>
          <w:highlight w:val="none"/>
        </w:rPr>
        <w:t xml:space="preserve">。</w:t>
      </w:r>
      <w:r>
        <w:rPr>
          <w:rFonts w:hint="eastAsia" w:ascii="宋体" w:hAnsi="宋体"/>
          <w:color w:val="000000"/>
          <w:sz w:val="24"/>
          <w:highlight w:val="none"/>
        </w:rPr>
        <w:t xml:space="preserve">投标人编写的投标文件应包括</w:t>
      </w:r>
      <w:r>
        <w:rPr>
          <w:rFonts w:hint="eastAsia" w:ascii="宋体" w:hAnsi="宋体"/>
          <w:color w:val="000000"/>
          <w:sz w:val="24"/>
          <w:highlight w:val="none"/>
        </w:rPr>
        <w:t xml:space="preserve">资格证明文件、符合性证明文件（投标函、承诺书、开标一览表、分项报价表、《采购需求》中如有要求须提供的证明文件等）、其他证明文件（《评标方法与评标标准》中涉及的证明文件、其他投标人认为应附的文件）等内容。</w:t>
      </w:r>
      <w:r>
        <w:rPr>
          <w:rFonts w:hint="eastAsia" w:ascii="宋体" w:hAnsi="宋体"/>
          <w:color w:val="000000"/>
          <w:sz w:val="24"/>
          <w:highlight w:val="none"/>
          <w:lang w:val="en-US" w:eastAsia="zh-CN"/>
        </w:rPr>
        <w:t xml:space="preserve">其中</w:t>
      </w:r>
      <w:r>
        <w:rPr>
          <w:rFonts w:hint="eastAsia" w:ascii="宋体" w:hAnsi="宋体"/>
          <w:bCs/>
          <w:color w:val="000000"/>
          <w:sz w:val="24"/>
          <w:szCs w:val="24"/>
          <w:highlight w:val="none"/>
        </w:rPr>
        <w:t xml:space="preserve">暗标编制要求如下：</w:t>
      </w:r>
      <w:r>
        <w:rPr>
          <w:rFonts w:hint="eastAsia" w:ascii="宋体" w:hAnsi="宋体"/>
          <w:bCs/>
          <w:color w:val="000000"/>
          <w:sz w:val="24"/>
          <w:szCs w:val="24"/>
          <w:highlight w:val="none"/>
        </w:rPr>
      </w:r>
      <w:r/>
    </w:p>
    <w:p>
      <w:pPr>
        <w:pStyle w:val="1117"/>
        <w:ind w:firstLine="442"/>
        <w:spacing w:line="360" w:lineRule="auto"/>
        <w:widowControl w:val="off"/>
        <w:rPr>
          <w:rFonts w:hint="eastAsia" w:ascii="宋体" w:hAnsi="宋体" w:eastAsia="宋体" w:cs="宋体"/>
          <w:bCs/>
          <w:color w:val="ff0000"/>
          <w:sz w:val="24"/>
          <w:szCs w:val="24"/>
          <w:highlight w:val="none"/>
        </w:rPr>
      </w:pPr>
      <w:r>
        <w:rPr>
          <w:rFonts w:hint="eastAsia" w:ascii="宋体" w:hAnsi="宋体" w:eastAsia="宋体"/>
          <w:b/>
          <w:bCs/>
          <w:sz w:val="24"/>
          <w:szCs w:val="24"/>
          <w:highlight w:val="none"/>
        </w:rPr>
        <w:t xml:space="preserve">本项目技术方案为暗标，采用暗标形式，须按下列格式编制，凡是有一项方案编制不符合暗标要求的，</w:t>
      </w:r>
      <w:r>
        <w:rPr>
          <w:rFonts w:hint="eastAsia" w:ascii="宋体" w:hAnsi="宋体" w:eastAsia="宋体"/>
          <w:b/>
          <w:bCs/>
          <w:sz w:val="24"/>
          <w:szCs w:val="24"/>
          <w:highlight w:val="none"/>
          <w:u w:val="single"/>
        </w:rPr>
        <w:t xml:space="preserve">技术</w:t>
      </w:r>
      <w:r>
        <w:rPr>
          <w:rFonts w:hint="eastAsia" w:ascii="宋体" w:hAnsi="宋体" w:eastAsia="宋体"/>
          <w:b/>
          <w:bCs/>
          <w:sz w:val="24"/>
          <w:szCs w:val="24"/>
          <w:highlight w:val="none"/>
          <w:u w:val="single"/>
          <w:lang w:val="en-US" w:eastAsia="zh-CN"/>
        </w:rPr>
        <w:t xml:space="preserve">方案</w:t>
      </w:r>
      <w:r>
        <w:rPr>
          <w:rFonts w:hint="eastAsia" w:ascii="宋体" w:hAnsi="宋体" w:eastAsia="宋体"/>
          <w:b/>
          <w:bCs/>
          <w:sz w:val="24"/>
          <w:szCs w:val="24"/>
          <w:highlight w:val="none"/>
          <w:u w:val="single"/>
        </w:rPr>
        <w:t xml:space="preserve">按零分处理</w:t>
      </w:r>
      <w:r>
        <w:rPr>
          <w:rFonts w:hint="eastAsia" w:ascii="宋体" w:hAnsi="宋体" w:eastAsia="宋体"/>
          <w:b/>
          <w:bCs/>
          <w:sz w:val="24"/>
          <w:szCs w:val="24"/>
          <w:highlight w:val="none"/>
        </w:rPr>
        <w:t xml:space="preserve">：（1）技术文件正文所用文字采用“宋体”四号“常规”字（黑色），表格中所用文字采用“宋体”、“常规”字（黑色），四号。不得设置页码、页眉、页脚，纸张大小为A4纸。（2）技术文件内不得出现可识别投标供应商身份的任何字符和徽标（包括文字、符号、图案、标识、标志、人员姓名、企业名称等），相关人员姓名应以职务或职称代替。（3）技术文件中出现的效果图、照片、图片等可采用彩色图片，但不得出现能体现投标供应商身份的信息。（4）暗标的封面，统一上传至技术标的“技术方案”正文前，格式见附件。</w:t>
      </w:r>
      <w:r>
        <w:rPr>
          <w:rFonts w:hint="eastAsia" w:ascii="宋体" w:hAnsi="宋体" w:eastAsia="宋体" w:cs="宋体"/>
          <w:bCs/>
          <w:color w:val="ff0000"/>
          <w:sz w:val="24"/>
          <w:szCs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ascii="宋体" w:hAnsi="宋体"/>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94" w:name="_Hlt26668975"/>
      <w:r/>
      <w:bookmarkEnd w:id="94"/>
      <w:r/>
      <w:bookmarkStart w:id="95" w:name="_Hlt26954838"/>
      <w:r/>
      <w:bookmarkEnd w:id="95"/>
      <w:r/>
      <w:bookmarkStart w:id="96" w:name="_Hlt26670360"/>
      <w:r/>
      <w:bookmarkEnd w:id="96"/>
      <w:r/>
      <w:bookmarkStart w:id="97" w:name="_Toc49090507"/>
      <w:r/>
      <w:bookmarkStart w:id="98" w:name="_Toc513029219"/>
      <w:r/>
      <w:bookmarkStart w:id="99" w:name="_Toc49090509"/>
      <w:r/>
      <w:bookmarkStart w:id="100" w:name="_Toc513029216"/>
      <w:r/>
      <w:bookmarkStart w:id="101" w:name="_Toc14577354"/>
      <w:r/>
      <w:bookmarkStart w:id="102" w:name="_Toc14577357"/>
      <w:r>
        <w:rPr>
          <w:rFonts w:hint="eastAsia" w:ascii="宋体" w:hAnsi="宋体" w:eastAsia="宋体"/>
          <w:bCs w:val="0"/>
          <w:color w:val="000000"/>
          <w:highlight w:val="none"/>
          <w:lang w:eastAsia="zh-CN"/>
        </w:rPr>
        <w:t xml:space="preserve">11.证明投标人及投标标的符合招标文件规定的文件</w:t>
      </w:r>
      <w:bookmarkEnd w:id="97"/>
      <w:r/>
      <w:bookmarkEnd w:id="98"/>
      <w:r/>
      <w:bookmarkEnd w:id="99"/>
      <w:r/>
      <w:bookmarkEnd w:id="100"/>
      <w:r/>
      <w:bookmarkEnd w:id="101"/>
      <w:r/>
      <w:bookmarkEnd w:id="102"/>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bookmarkStart w:id="103" w:name="_Toc49090508"/>
      <w:r/>
      <w:bookmarkStart w:id="104"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ascii="宋体" w:hAnsi="宋体"/>
          <w:bCs/>
          <w:color w:val="000000"/>
          <w:sz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ascii="宋体" w:hAnsi="宋体"/>
          <w:color w:val="000000"/>
          <w:sz w:val="24"/>
          <w:szCs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05" w:name="_Toc49090510"/>
      <w:r/>
      <w:bookmarkStart w:id="106" w:name="_Toc14577359"/>
      <w:r>
        <w:rPr>
          <w:rFonts w:hint="eastAsia" w:ascii="宋体" w:hAnsi="宋体" w:eastAsia="宋体"/>
          <w:bCs w:val="0"/>
          <w:color w:val="000000"/>
          <w:highlight w:val="none"/>
          <w:lang w:eastAsia="zh-CN"/>
        </w:rPr>
        <w:t xml:space="preserve">12.投标函、承诺书和开标一览表</w:t>
      </w:r>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ascii="宋体" w:hAnsi="宋体"/>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Pr>
          <w:rFonts w:ascii="宋体" w:hAnsi="宋体"/>
          <w:bCs/>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103"/>
      <w:r/>
      <w:bookmarkEnd w:id="104"/>
      <w:r>
        <w:rPr>
          <w:rFonts w:hint="eastAsia" w:ascii="宋体" w:hAnsi="宋体" w:eastAsia="宋体"/>
          <w:bCs w:val="0"/>
          <w:color w:val="000000"/>
          <w:highlight w:val="none"/>
          <w:lang w:eastAsia="zh-CN"/>
        </w:rPr>
        <w:t xml:space="preserve">分项报价表</w:t>
      </w:r>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7" w:name="_Hlt26954840"/>
      <w:r/>
      <w:bookmarkEnd w:id="107"/>
      <w:r>
        <w:rPr>
          <w:rFonts w:hint="eastAsia" w:ascii="宋体" w:hAnsi="宋体"/>
          <w:color w:val="000000"/>
          <w:sz w:val="24"/>
          <w:highlight w:val="none"/>
        </w:rPr>
        <w:t xml:space="preserve">标人应按照招标文件规定格式填报</w:t>
      </w:r>
      <w:bookmarkStart w:id="108" w:name="_Hlt26670399"/>
      <w:r/>
      <w:bookmarkEnd w:id="108"/>
      <w:r>
        <w:rPr>
          <w:rFonts w:hint="eastAsia" w:ascii="宋体" w:hAnsi="宋体"/>
          <w:color w:val="000000"/>
          <w:sz w:val="24"/>
          <w:highlight w:val="none"/>
        </w:rPr>
        <w:t xml:space="preserve">分项报价表。</w:t>
      </w:r>
      <w:r>
        <w:rPr>
          <w:rFonts w:ascii="宋体" w:hAnsi="宋体"/>
          <w:bCs/>
          <w:color w:val="000000"/>
          <w:sz w:val="24"/>
          <w:highlight w:val="none"/>
        </w:rPr>
      </w:r>
      <w:r/>
    </w:p>
    <w:p>
      <w:pPr>
        <w:pStyle w:val="712"/>
        <w:ind w:firstLine="480"/>
        <w:spacing w:line="500" w:lineRule="exact"/>
        <w:tabs>
          <w:tab w:val="left" w:pos="1035" w:leader="none"/>
        </w:tabs>
        <w:rPr>
          <w:rFonts w:ascii="宋体" w:hAnsi="Arial" w:cs="宋体"/>
          <w:color w:val="000000"/>
          <w:sz w:val="24"/>
          <w:highlight w:val="none"/>
          <w:lang w:val="zh-CN"/>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ascii="宋体" w:hAnsi="Arial" w:cs="宋体"/>
          <w:color w:val="000000"/>
          <w:sz w:val="24"/>
          <w:highlight w:val="none"/>
          <w:lang w:val="zh-CN"/>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09" w:name="_Hlt26670489"/>
      <w:r/>
      <w:bookmarkEnd w:id="109"/>
      <w:r/>
      <w:bookmarkStart w:id="110" w:name="_Hlt26954734"/>
      <w:r/>
      <w:bookmarkEnd w:id="110"/>
      <w:r/>
      <w:bookmarkStart w:id="111" w:name="_Hlt26954850"/>
      <w:r/>
      <w:bookmarkEnd w:id="111"/>
      <w:r/>
      <w:bookmarkStart w:id="112" w:name="_Toc49090511"/>
      <w:r/>
      <w:bookmarkStart w:id="113" w:name="_Toc14577360"/>
      <w:r>
        <w:rPr>
          <w:rFonts w:hint="eastAsia" w:ascii="宋体" w:hAnsi="宋体" w:eastAsia="宋体"/>
          <w:bCs w:val="0"/>
          <w:color w:val="000000"/>
          <w:highlight w:val="none"/>
          <w:lang w:eastAsia="zh-CN"/>
        </w:rPr>
        <w:t xml:space="preserve">1</w:t>
      </w:r>
      <w:r>
        <w:rPr>
          <w:rFonts w:hint="eastAsia" w:ascii="宋体" w:hAnsi="宋体" w:eastAsia="宋体"/>
          <w:bCs w:val="0"/>
          <w:color w:val="000000"/>
          <w:highlight w:val="none"/>
          <w:lang w:val="en-US" w:eastAsia="zh-CN"/>
        </w:rPr>
        <w:t xml:space="preserve">4</w:t>
      </w:r>
      <w:r>
        <w:rPr>
          <w:rFonts w:hint="eastAsia" w:ascii="宋体" w:hAnsi="宋体" w:eastAsia="宋体"/>
          <w:bCs w:val="0"/>
          <w:color w:val="000000"/>
          <w:highlight w:val="none"/>
          <w:lang w:eastAsia="zh-CN"/>
        </w:rPr>
        <w:t xml:space="preserve">.投标有效期</w:t>
      </w:r>
      <w:bookmarkEnd w:id="112"/>
      <w:r/>
      <w:bookmarkEnd w:id="113"/>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ascii="宋体" w:hAnsi="宋体"/>
          <w:bCs/>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w:t>
      </w:r>
      <w:r>
        <w:rPr>
          <w:rFonts w:hint="eastAsia" w:ascii="宋体" w:hAnsi="宋体" w:eastAsia="宋体"/>
          <w:bCs w:val="0"/>
          <w:color w:val="000000"/>
          <w:highlight w:val="none"/>
          <w:lang w:val="en-US" w:eastAsia="zh-CN"/>
        </w:rPr>
        <w:t xml:space="preserve">5</w:t>
      </w:r>
      <w:r>
        <w:rPr>
          <w:rFonts w:hint="eastAsia" w:ascii="宋体" w:hAnsi="宋体" w:eastAsia="宋体"/>
          <w:bCs w:val="0"/>
          <w:color w:val="000000"/>
          <w:highlight w:val="none"/>
          <w:lang w:eastAsia="zh-CN"/>
        </w:rPr>
        <w:t xml:space="preserve">.投标有效期的延长</w:t>
      </w:r>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ascii="宋体" w:hAnsi="宋体"/>
          <w:bCs/>
          <w:color w:val="000000"/>
          <w:sz w:val="24"/>
          <w:highlight w:val="none"/>
        </w:rPr>
      </w:r>
      <w:r/>
    </w:p>
    <w:p>
      <w:pPr>
        <w:pStyle w:val="844"/>
        <w:ind w:firstLine="452"/>
        <w:keepLines w:val="0"/>
        <w:keepNext w:val="0"/>
        <w:spacing w:before="0" w:after="0" w:line="500" w:lineRule="exact"/>
        <w:rPr>
          <w:color w:val="000000"/>
          <w:sz w:val="30"/>
          <w:szCs w:val="30"/>
          <w:highlight w:val="none"/>
          <w:lang w:eastAsia="zh-CN"/>
        </w:rPr>
      </w:pPr>
      <w:r/>
      <w:bookmarkStart w:id="114" w:name="_Hlt26954739"/>
      <w:r/>
      <w:bookmarkEnd w:id="114"/>
      <w:r/>
      <w:bookmarkStart w:id="115" w:name="_Hlt26954852"/>
      <w:r/>
      <w:bookmarkEnd w:id="115"/>
      <w:r/>
      <w:bookmarkStart w:id="116" w:name="_Toc120614217"/>
      <w:r/>
      <w:bookmarkStart w:id="117" w:name="_Toc20823296"/>
      <w:r/>
      <w:bookmarkStart w:id="118" w:name="_Toc513029224"/>
      <w:r/>
      <w:bookmarkStart w:id="119" w:name="_Toc16938540"/>
      <w:r>
        <w:rPr>
          <w:rFonts w:hint="eastAsia"/>
          <w:color w:val="000000"/>
          <w:sz w:val="30"/>
          <w:szCs w:val="30"/>
          <w:highlight w:val="none"/>
          <w:lang w:eastAsia="zh-CN"/>
        </w:rPr>
        <w:t xml:space="preserve">四、投标文件的递交</w:t>
      </w:r>
      <w:bookmarkEnd w:id="116"/>
      <w:r/>
      <w:bookmarkEnd w:id="117"/>
      <w:r/>
      <w:bookmarkEnd w:id="118"/>
      <w:r/>
      <w:bookmarkEnd w:id="119"/>
      <w:r>
        <w:rPr>
          <w:color w:val="000000"/>
          <w:sz w:val="30"/>
          <w:szCs w:val="30"/>
          <w:highlight w:val="none"/>
          <w:lang w:eastAsia="zh-CN"/>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20" w:name="_Toc462564084"/>
      <w:r/>
      <w:bookmarkStart w:id="121" w:name="_Toc20823297"/>
      <w:r/>
      <w:bookmarkStart w:id="122" w:name="_Toc513029225"/>
      <w:r/>
      <w:bookmarkStart w:id="123" w:name="_Toc16938541"/>
      <w:r>
        <w:rPr>
          <w:rFonts w:hint="eastAsia" w:ascii="宋体" w:hAnsi="宋体" w:eastAsia="宋体"/>
          <w:bCs w:val="0"/>
          <w:color w:val="000000"/>
          <w:highlight w:val="none"/>
          <w:lang w:eastAsia="zh-CN"/>
        </w:rPr>
        <w:t xml:space="preserve">1</w:t>
      </w:r>
      <w:r>
        <w:rPr>
          <w:rFonts w:hint="eastAsia" w:ascii="宋体" w:hAnsi="宋体" w:eastAsia="宋体"/>
          <w:bCs w:val="0"/>
          <w:color w:val="000000"/>
          <w:highlight w:val="none"/>
          <w:lang w:val="en-US" w:eastAsia="zh-CN"/>
        </w:rPr>
        <w:t xml:space="preserve">6</w:t>
      </w:r>
      <w:r>
        <w:rPr>
          <w:rFonts w:hint="eastAsia" w:ascii="宋体" w:hAnsi="宋体" w:eastAsia="宋体"/>
          <w:bCs w:val="0"/>
          <w:color w:val="000000"/>
          <w:highlight w:val="none"/>
          <w:lang w:eastAsia="zh-CN"/>
        </w:rPr>
        <w:t xml:space="preserve">.投标文件</w:t>
      </w:r>
      <w:bookmarkEnd w:id="120"/>
      <w:r/>
      <w:bookmarkEnd w:id="121"/>
      <w:r/>
      <w:bookmarkEnd w:id="122"/>
      <w:r/>
      <w:bookmarkEnd w:id="123"/>
      <w:r>
        <w:rPr>
          <w:rFonts w:hint="eastAsia" w:ascii="宋体" w:hAnsi="宋体" w:eastAsia="宋体"/>
          <w:bCs w:val="0"/>
          <w:color w:val="000000"/>
          <w:highlight w:val="none"/>
          <w:lang w:eastAsia="zh-CN"/>
        </w:rPr>
        <w:t xml:space="preserve">的递交</w:t>
      </w:r>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w:t>
      </w:r>
      <w:r>
        <w:rPr>
          <w:rFonts w:hint="eastAsia" w:ascii="宋体" w:hAnsi="宋体"/>
          <w:bCs/>
          <w:color w:val="000000"/>
          <w:sz w:val="24"/>
          <w:highlight w:val="none"/>
        </w:rPr>
        <w:t xml:space="preserve">电子投标文件的递交</w:t>
      </w:r>
      <w:r>
        <w:rPr>
          <w:rFonts w:ascii="宋体" w:hAnsi="宋体"/>
          <w:bCs/>
          <w:color w:val="000000"/>
          <w:sz w:val="24"/>
          <w:highlight w:val="none"/>
        </w:rPr>
      </w:r>
      <w:r/>
    </w:p>
    <w:p>
      <w:pPr>
        <w:pStyle w:val="924"/>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24" w:name="_Toc20823298"/>
      <w:r/>
      <w:bookmarkStart w:id="125" w:name="_Toc513029226"/>
      <w:r/>
      <w:bookmarkStart w:id="126" w:name="_Toc16938542"/>
      <w:r>
        <w:rPr>
          <w:rFonts w:ascii="宋体" w:hAnsi="宋体"/>
          <w:bCs/>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w:t>
      </w:r>
      <w:r>
        <w:rPr>
          <w:rFonts w:hint="eastAsia" w:ascii="宋体" w:hAnsi="宋体" w:eastAsia="宋体"/>
          <w:bCs w:val="0"/>
          <w:color w:val="000000"/>
          <w:highlight w:val="none"/>
          <w:lang w:val="en-US" w:eastAsia="zh-CN"/>
        </w:rPr>
        <w:t xml:space="preserve">7</w:t>
      </w:r>
      <w:r>
        <w:rPr>
          <w:rFonts w:hint="eastAsia" w:ascii="宋体" w:hAnsi="宋体" w:eastAsia="宋体"/>
          <w:bCs w:val="0"/>
          <w:color w:val="000000"/>
          <w:highlight w:val="none"/>
          <w:lang w:eastAsia="zh-CN"/>
        </w:rPr>
        <w:t xml:space="preserve">.投标截止</w:t>
      </w:r>
      <w:bookmarkEnd w:id="124"/>
      <w:r/>
      <w:bookmarkEnd w:id="125"/>
      <w:r/>
      <w:bookmarkEnd w:id="126"/>
      <w:r>
        <w:rPr>
          <w:rFonts w:hint="eastAsia" w:ascii="宋体" w:hAnsi="宋体" w:eastAsia="宋体"/>
          <w:bCs w:val="0"/>
          <w:color w:val="000000"/>
          <w:highlight w:val="none"/>
          <w:lang w:eastAsia="zh-CN"/>
        </w:rPr>
        <w:t xml:space="preserve">时间</w:t>
      </w:r>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.1</w:t>
      </w:r>
      <w:r>
        <w:rPr>
          <w:rFonts w:hint="eastAsia" w:ascii="宋体" w:hAnsi="宋体"/>
          <w:bCs/>
          <w:color w:val="000000"/>
          <w:sz w:val="24"/>
          <w:highlight w:val="none"/>
        </w:rPr>
        <w:t xml:space="preserve">投标人上传电子投标文件的时间不得迟于招标公告中规定的投标截止时间。</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rPr>
          <w:rFonts w:ascii="宋体" w:hAnsi="宋体"/>
          <w:bCs/>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27" w:name="_Toc16938543"/>
      <w:r/>
      <w:bookmarkStart w:id="128" w:name="_Toc513029227"/>
      <w:r/>
      <w:bookmarkStart w:id="129" w:name="_Toc20823299"/>
      <w:r>
        <w:rPr>
          <w:rFonts w:hint="eastAsia" w:ascii="宋体" w:hAnsi="宋体" w:eastAsia="宋体"/>
          <w:bCs w:val="0"/>
          <w:color w:val="000000"/>
          <w:highlight w:val="none"/>
          <w:lang w:eastAsia="zh-CN"/>
        </w:rPr>
        <w:t xml:space="preserve">1</w:t>
      </w:r>
      <w:r>
        <w:rPr>
          <w:rFonts w:hint="eastAsia" w:ascii="宋体" w:hAnsi="宋体" w:eastAsia="宋体"/>
          <w:bCs w:val="0"/>
          <w:color w:val="000000"/>
          <w:highlight w:val="none"/>
          <w:lang w:val="en-US" w:eastAsia="zh-CN"/>
        </w:rPr>
        <w:t xml:space="preserve">8</w:t>
      </w:r>
      <w:r>
        <w:rPr>
          <w:rFonts w:hint="eastAsia" w:ascii="宋体" w:hAnsi="宋体" w:eastAsia="宋体"/>
          <w:bCs w:val="0"/>
          <w:color w:val="000000"/>
          <w:highlight w:val="none"/>
          <w:lang w:eastAsia="zh-CN"/>
        </w:rPr>
        <w:t xml:space="preserve">.投标文件</w:t>
      </w:r>
      <w:bookmarkEnd w:id="127"/>
      <w:r/>
      <w:bookmarkEnd w:id="128"/>
      <w:r/>
      <w:bookmarkEnd w:id="129"/>
      <w:r>
        <w:rPr>
          <w:rFonts w:hint="eastAsia" w:ascii="宋体" w:hAnsi="宋体" w:eastAsia="宋体"/>
          <w:bCs w:val="0"/>
          <w:color w:val="000000"/>
          <w:highlight w:val="none"/>
          <w:lang w:eastAsia="zh-CN"/>
        </w:rPr>
        <w:t xml:space="preserve">的拒收</w:t>
      </w:r>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.1</w:t>
      </w:r>
      <w:r>
        <w:rPr>
          <w:rFonts w:hint="eastAsia" w:ascii="宋体" w:hAnsi="宋体"/>
          <w:bCs/>
          <w:color w:val="000000"/>
          <w:sz w:val="24"/>
          <w:highlight w:val="none"/>
        </w:rPr>
        <w:t xml:space="preserve">代理机构拒绝接收在其规定的投标截止时间后上传的任何投标文件。</w:t>
      </w:r>
      <w:r>
        <w:rPr>
          <w:rFonts w:ascii="宋体" w:hAnsi="宋体"/>
          <w:bCs/>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30" w:name="_Toc16938544"/>
      <w:r/>
      <w:bookmarkStart w:id="131" w:name="_Toc20823300"/>
      <w:r/>
      <w:bookmarkStart w:id="132" w:name="_Toc513029228"/>
      <w:r>
        <w:rPr>
          <w:rFonts w:hint="eastAsia" w:ascii="宋体" w:hAnsi="宋体" w:eastAsia="宋体"/>
          <w:bCs w:val="0"/>
          <w:color w:val="000000"/>
          <w:highlight w:val="none"/>
          <w:lang w:val="en-US" w:eastAsia="zh-CN"/>
        </w:rPr>
        <w:t xml:space="preserve">19</w:t>
      </w:r>
      <w:r>
        <w:rPr>
          <w:rFonts w:hint="eastAsia" w:ascii="宋体" w:hAnsi="宋体" w:eastAsia="宋体"/>
          <w:bCs w:val="0"/>
          <w:color w:val="000000"/>
          <w:highlight w:val="none"/>
          <w:lang w:eastAsia="zh-CN"/>
        </w:rPr>
        <w:t xml:space="preserve">.投标文件的撤回和修改</w:t>
      </w:r>
      <w:bookmarkEnd w:id="130"/>
      <w:r/>
      <w:bookmarkEnd w:id="131"/>
      <w:r/>
      <w:bookmarkEnd w:id="132"/>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.1投标文件的撤回</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.1.1电子投标文件的撤回</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ascii="宋体" w:hAnsi="宋体"/>
          <w:color w:val="000000"/>
          <w:sz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szCs w:val="24"/>
          <w:highlight w:val="none"/>
        </w:rPr>
        <w:t xml:space="preserve">.2投标文件的修改</w:t>
      </w:r>
      <w:r>
        <w:rPr>
          <w:rFonts w:ascii="宋体" w:hAnsi="宋体"/>
          <w:color w:val="000000"/>
          <w:sz w:val="24"/>
          <w:szCs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.2.1投标人可在投标截止时间前，对其电子投标文件进行修改，具体操作方法见《操作手册》。</w:t>
      </w:r>
      <w:r>
        <w:rPr>
          <w:rFonts w:ascii="宋体" w:hAnsi="宋体"/>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.2.2</w:t>
      </w:r>
      <w:r>
        <w:rPr>
          <w:rFonts w:hint="eastAsia" w:ascii="宋体" w:hAnsi="宋体"/>
          <w:bCs/>
          <w:color w:val="000000"/>
          <w:sz w:val="24"/>
          <w:highlight w:val="none"/>
        </w:rPr>
        <w:t xml:space="preserve">在投标截止时间之后，投标人不得对其电子投标文件作任何修改。</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ascii="宋体" w:hAnsi="宋体"/>
          <w:bCs/>
          <w:color w:val="000000"/>
          <w:sz w:val="24"/>
          <w:highlight w:val="none"/>
        </w:rPr>
      </w:r>
      <w:r/>
    </w:p>
    <w:p>
      <w:pPr>
        <w:pStyle w:val="844"/>
        <w:ind w:firstLine="452"/>
        <w:keepLines w:val="0"/>
        <w:keepNext w:val="0"/>
        <w:spacing w:before="0" w:after="0" w:line="500" w:lineRule="exact"/>
        <w:rPr>
          <w:color w:val="000000"/>
          <w:sz w:val="30"/>
          <w:szCs w:val="30"/>
          <w:highlight w:val="none"/>
          <w:lang w:eastAsia="zh-CN"/>
        </w:rPr>
      </w:pPr>
      <w:r/>
      <w:bookmarkStart w:id="133" w:name="_Toc20823301"/>
      <w:r/>
      <w:bookmarkStart w:id="134" w:name="_Toc16938545"/>
      <w:r/>
      <w:bookmarkStart w:id="135" w:name="_Toc513029229"/>
      <w:r/>
      <w:bookmarkStart w:id="136" w:name="_Toc120614218"/>
      <w:r>
        <w:rPr>
          <w:rFonts w:hint="eastAsia"/>
          <w:color w:val="000000"/>
          <w:sz w:val="30"/>
          <w:szCs w:val="30"/>
          <w:highlight w:val="none"/>
          <w:lang w:eastAsia="zh-CN"/>
        </w:rPr>
        <w:t xml:space="preserve">五、开标与评标</w:t>
      </w:r>
      <w:bookmarkEnd w:id="133"/>
      <w:r/>
      <w:bookmarkEnd w:id="134"/>
      <w:r/>
      <w:bookmarkEnd w:id="135"/>
      <w:r/>
      <w:bookmarkEnd w:id="136"/>
      <w:r>
        <w:rPr>
          <w:color w:val="000000"/>
          <w:sz w:val="30"/>
          <w:szCs w:val="30"/>
          <w:highlight w:val="none"/>
          <w:lang w:eastAsia="zh-CN"/>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37" w:name="_Toc513029230"/>
      <w:r/>
      <w:bookmarkStart w:id="138" w:name="_Toc16938546"/>
      <w:r/>
      <w:bookmarkStart w:id="139" w:name="_Toc20823302"/>
      <w:r>
        <w:rPr>
          <w:rFonts w:hint="eastAsia" w:ascii="宋体" w:hAnsi="宋体" w:eastAsia="宋体"/>
          <w:bCs w:val="0"/>
          <w:color w:val="000000"/>
          <w:highlight w:val="none"/>
          <w:lang w:eastAsia="zh-CN"/>
        </w:rPr>
        <w:t xml:space="preserve">2</w:t>
      </w:r>
      <w:r>
        <w:rPr>
          <w:rFonts w:hint="eastAsia" w:ascii="宋体" w:hAnsi="宋体" w:eastAsia="宋体"/>
          <w:bCs w:val="0"/>
          <w:color w:val="000000"/>
          <w:highlight w:val="none"/>
          <w:lang w:val="en-US" w:eastAsia="zh-CN"/>
        </w:rPr>
        <w:t xml:space="preserve">0</w:t>
      </w:r>
      <w:r>
        <w:rPr>
          <w:rFonts w:hint="eastAsia" w:ascii="宋体" w:hAnsi="宋体" w:eastAsia="宋体"/>
          <w:bCs w:val="0"/>
          <w:color w:val="000000"/>
          <w:highlight w:val="none"/>
          <w:lang w:eastAsia="zh-CN"/>
        </w:rPr>
        <w:t xml:space="preserve">.开标</w:t>
      </w:r>
      <w:bookmarkEnd w:id="137"/>
      <w:r/>
      <w:bookmarkEnd w:id="138"/>
      <w:r/>
      <w:bookmarkEnd w:id="139"/>
      <w:r>
        <w:rPr>
          <w:rFonts w:ascii="宋体" w:hAnsi="宋体" w:eastAsia="宋体"/>
          <w:bCs w:val="0"/>
          <w:color w:val="000000"/>
          <w:highlight w:val="none"/>
          <w:lang w:eastAsia="zh-CN"/>
        </w:rPr>
      </w:r>
      <w:r/>
    </w:p>
    <w:p>
      <w:pPr>
        <w:pStyle w:val="712"/>
        <w:ind w:firstLine="480"/>
        <w:spacing w:line="500" w:lineRule="exact"/>
        <w:rPr>
          <w:color w:val="000000"/>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color w:val="000000"/>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.3投标人在开标过程中涉及的投标文件解密、开标结果确认等工作，应按照《操作手册》规定执行。</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40" w:name="_Toc20823303"/>
      <w:r/>
      <w:bookmarkStart w:id="141" w:name="_Toc513029231"/>
      <w:r/>
      <w:bookmarkStart w:id="142" w:name="_Toc16938547"/>
      <w:r>
        <w:rPr>
          <w:rFonts w:hint="eastAsia" w:ascii="宋体" w:hAnsi="宋体" w:eastAsia="宋体"/>
          <w:bCs w:val="0"/>
          <w:color w:val="000000"/>
          <w:highlight w:val="none"/>
          <w:lang w:eastAsia="zh-CN"/>
        </w:rPr>
        <w:t xml:space="preserve">2</w:t>
      </w:r>
      <w:r>
        <w:rPr>
          <w:rFonts w:hint="eastAsia" w:ascii="宋体" w:hAnsi="宋体" w:eastAsia="宋体"/>
          <w:bCs w:val="0"/>
          <w:color w:val="000000"/>
          <w:highlight w:val="none"/>
          <w:lang w:val="en-US" w:eastAsia="zh-CN"/>
        </w:rPr>
        <w:t xml:space="preserve">1</w:t>
      </w:r>
      <w:r>
        <w:rPr>
          <w:rFonts w:hint="eastAsia" w:ascii="宋体" w:hAnsi="宋体" w:eastAsia="宋体"/>
          <w:bCs w:val="0"/>
          <w:color w:val="000000"/>
          <w:highlight w:val="none"/>
          <w:lang w:eastAsia="zh-CN"/>
        </w:rPr>
        <w:t xml:space="preserve">.评标委员会</w:t>
      </w:r>
      <w:r>
        <w:rPr>
          <w:rFonts w:ascii="宋体" w:hAnsi="宋体" w:eastAsia="宋体"/>
          <w:bCs w:val="0"/>
          <w:color w:val="000000"/>
          <w:highlight w:val="none"/>
          <w:lang w:eastAsia="zh-CN"/>
        </w:rPr>
      </w:r>
      <w:r/>
    </w:p>
    <w:p>
      <w:pPr>
        <w:pStyle w:val="712"/>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.1开标后，代理机构将立即组织评标委员会（以下简称评委会）进行评标。</w:t>
      </w:r>
      <w:r>
        <w:rPr>
          <w:rFonts w:ascii="宋体" w:hAnsi="宋体"/>
          <w:b/>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.2评委会依法组建，且人员构成符合政府采购有关规定。</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.3评委会独立工作，负责评审所有投标文件并确定中标候选人。</w:t>
      </w:r>
      <w:r>
        <w:rPr>
          <w:rFonts w:ascii="宋体" w:hAnsi="宋体"/>
          <w:color w:val="000000"/>
          <w:sz w:val="24"/>
          <w:szCs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w:t>
      </w:r>
      <w:r>
        <w:rPr>
          <w:rFonts w:hint="eastAsia" w:ascii="宋体" w:hAnsi="宋体" w:eastAsia="宋体"/>
          <w:bCs w:val="0"/>
          <w:color w:val="000000"/>
          <w:highlight w:val="none"/>
          <w:lang w:val="en-US" w:eastAsia="zh-CN"/>
        </w:rPr>
        <w:t xml:space="preserve">2</w:t>
      </w:r>
      <w:r>
        <w:rPr>
          <w:rFonts w:hint="eastAsia" w:ascii="宋体" w:hAnsi="宋体" w:eastAsia="宋体"/>
          <w:bCs w:val="0"/>
          <w:color w:val="000000"/>
          <w:highlight w:val="none"/>
          <w:lang w:eastAsia="zh-CN"/>
        </w:rPr>
        <w:t xml:space="preserve">.评标过程的保密与公正</w:t>
      </w:r>
      <w:bookmarkEnd w:id="140"/>
      <w:r/>
      <w:bookmarkEnd w:id="141"/>
      <w:r/>
      <w:bookmarkEnd w:id="142"/>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rPr>
          <w:rFonts w:ascii="宋体" w:hAnsi="宋体"/>
          <w:bCs/>
          <w:color w:val="000000"/>
          <w:sz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ascii="宋体" w:hAnsi="宋体"/>
          <w:color w:val="000000"/>
          <w:sz w:val="24"/>
          <w:szCs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43" w:name="_Toc513029232"/>
      <w:r/>
      <w:bookmarkStart w:id="144" w:name="_Toc16938548"/>
      <w:r/>
      <w:bookmarkStart w:id="145" w:name="_Toc20823304"/>
      <w:r>
        <w:rPr>
          <w:rFonts w:hint="eastAsia" w:ascii="宋体" w:hAnsi="宋体" w:eastAsia="宋体"/>
          <w:bCs w:val="0"/>
          <w:color w:val="000000"/>
          <w:highlight w:val="none"/>
          <w:lang w:eastAsia="zh-CN"/>
        </w:rPr>
        <w:t xml:space="preserve">2</w:t>
      </w:r>
      <w:r>
        <w:rPr>
          <w:rFonts w:hint="eastAsia" w:ascii="宋体" w:hAnsi="宋体" w:eastAsia="宋体"/>
          <w:bCs w:val="0"/>
          <w:color w:val="000000"/>
          <w:highlight w:val="none"/>
          <w:lang w:val="en-US" w:eastAsia="zh-CN"/>
        </w:rPr>
        <w:t xml:space="preserve">3</w:t>
      </w:r>
      <w:r>
        <w:rPr>
          <w:rFonts w:hint="eastAsia" w:ascii="宋体" w:hAnsi="宋体" w:eastAsia="宋体"/>
          <w:bCs w:val="0"/>
          <w:color w:val="000000"/>
          <w:highlight w:val="none"/>
          <w:lang w:eastAsia="zh-CN"/>
        </w:rPr>
        <w:t xml:space="preserve">.投标文件的澄清</w:t>
      </w:r>
      <w:bookmarkEnd w:id="143"/>
      <w:r/>
      <w:bookmarkEnd w:id="144"/>
      <w:r/>
      <w:bookmarkEnd w:id="145"/>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3接到评委会澄清、说明和补正要求的投标人如未按规定及时作出澄清、说明和补正，其风险由投标人自行承担。</w:t>
      </w:r>
      <w:r>
        <w:rPr>
          <w:rFonts w:ascii="宋体" w:hAnsi="宋体"/>
          <w:color w:val="000000"/>
          <w:sz w:val="24"/>
          <w:szCs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46" w:name="_Toc16938549"/>
      <w:r/>
      <w:bookmarkStart w:id="147" w:name="_Toc20823305"/>
      <w:r/>
      <w:bookmarkStart w:id="148" w:name="_Toc513029233"/>
      <w:r>
        <w:rPr>
          <w:rFonts w:hint="eastAsia" w:ascii="宋体" w:hAnsi="宋体" w:eastAsia="宋体"/>
          <w:bCs w:val="0"/>
          <w:color w:val="000000"/>
          <w:highlight w:val="none"/>
          <w:lang w:eastAsia="zh-CN"/>
        </w:rPr>
        <w:t xml:space="preserve">2</w:t>
      </w:r>
      <w:r>
        <w:rPr>
          <w:rFonts w:hint="eastAsia" w:ascii="宋体" w:hAnsi="宋体" w:eastAsia="宋体"/>
          <w:bCs w:val="0"/>
          <w:color w:val="000000"/>
          <w:highlight w:val="none"/>
          <w:lang w:val="en-US" w:eastAsia="zh-CN"/>
        </w:rPr>
        <w:t xml:space="preserve">4</w:t>
      </w:r>
      <w:r>
        <w:rPr>
          <w:rFonts w:hint="eastAsia" w:ascii="宋体" w:hAnsi="宋体" w:eastAsia="宋体"/>
          <w:bCs w:val="0"/>
          <w:color w:val="000000"/>
          <w:highlight w:val="none"/>
          <w:lang w:eastAsia="zh-CN"/>
        </w:rPr>
        <w:t xml:space="preserve">.对投标文件的初审</w:t>
      </w:r>
      <w:bookmarkEnd w:id="146"/>
      <w:r/>
      <w:bookmarkEnd w:id="147"/>
      <w:r/>
      <w:bookmarkEnd w:id="148"/>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.1</w:t>
      </w:r>
      <w:r>
        <w:rPr>
          <w:rFonts w:hint="eastAsia" w:ascii="宋体" w:hAnsi="宋体"/>
          <w:bCs/>
          <w:color w:val="000000"/>
          <w:sz w:val="24"/>
          <w:highlight w:val="none"/>
        </w:rPr>
        <w:t xml:space="preserve">投标文件初审分为资格审查和符合性审查。</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.1.1资格审查：依据法律法规和招标文件的规定，由采购人对投标文件中的资格证明文件进行审查。</w:t>
      </w:r>
      <w:r>
        <w:rPr>
          <w:rFonts w:ascii="宋体" w:hAnsi="宋体"/>
          <w:bCs/>
          <w:color w:val="000000"/>
          <w:sz w:val="24"/>
          <w:highlight w:val="none"/>
        </w:rPr>
      </w:r>
      <w:r/>
    </w:p>
    <w:p>
      <w:pPr>
        <w:pStyle w:val="712"/>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ascii="宋体" w:hAnsi="宋体" w:cs="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.1.2符合性审查：依据招标文件的规定，由评委会从投标文件的有效性、完整性和对招标文件的响应程度进行审查，以确定是否对招标文件的实质性要求作出响应。</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ascii="宋体" w:hAnsi="宋体"/>
          <w:bCs/>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olor w:val="000000"/>
          <w:sz w:val="24"/>
          <w:highlight w:val="none"/>
        </w:rPr>
      </w:r>
      <w:r/>
    </w:p>
    <w:p>
      <w:pPr>
        <w:pStyle w:val="712"/>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712"/>
        <w:ind w:firstLine="420"/>
        <w:spacing w:line="500" w:lineRule="exact"/>
        <w:rPr>
          <w:rFonts w:hint="eastAsia" w:ascii="宋体" w:hAnsi="宋体"/>
          <w:color w:val="000000"/>
          <w:sz w:val="24"/>
          <w:highlight w:val="none"/>
        </w:rPr>
      </w:pPr>
      <w:r/>
      <w:bookmarkStart w:id="149" w:name="_Toc513029234"/>
      <w:r/>
      <w:bookmarkStart w:id="150" w:name="_Toc20823306"/>
      <w:r/>
      <w:bookmarkStart w:id="151" w:name="_Toc16938550"/>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w:t>
      </w:r>
      <w:r>
        <w:rPr>
          <w:rFonts w:hint="eastAsia" w:ascii="宋体" w:hAnsi="宋体" w:cs="Times New Roman"/>
          <w:color w:val="000000"/>
          <w:sz w:val="24"/>
          <w:highlight w:val="none"/>
          <w:lang w:val="en-US" w:eastAsia="zh-CN"/>
        </w:rPr>
        <w:t xml:space="preserve">4</w:t>
      </w:r>
      <w:r>
        <w:rPr>
          <w:rFonts w:hint="eastAsia" w:ascii="宋体" w:hAnsi="宋体" w:cs="Times New Roman"/>
          <w:color w:val="000000"/>
          <w:sz w:val="24"/>
          <w:highlight w:val="none"/>
        </w:rPr>
        <w:t xml:space="preserve">.7异常低价投标（响应）审查</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w:t>
      </w:r>
      <w:r>
        <w:rPr>
          <w:rFonts w:hint="eastAsia" w:ascii="宋体" w:hAnsi="宋体" w:cs="Times New Roman"/>
          <w:color w:val="000000"/>
          <w:sz w:val="24"/>
          <w:highlight w:val="none"/>
          <w:lang w:val="en-US" w:eastAsia="zh-CN"/>
        </w:rPr>
        <w:t xml:space="preserve">4</w:t>
      </w:r>
      <w:r>
        <w:rPr>
          <w:rFonts w:hint="eastAsia" w:ascii="宋体" w:hAnsi="宋体" w:cs="Times New Roman"/>
          <w:color w:val="000000"/>
          <w:sz w:val="24"/>
          <w:highlight w:val="none"/>
        </w:rPr>
        <w:t xml:space="preserve">.7.1根据《关于推动解决政府采购异常低价问题的通知》（财库〔2026〕2号）要求，政府采购评审中出现下列情形之一的，评审委员会应当启动异常低价投标（响应）审查程序：</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w:t>
      </w:r>
      <w:r>
        <w:rPr>
          <w:rFonts w:hint="eastAsia" w:ascii="宋体" w:hAnsi="宋体" w:cs="Times New Roman"/>
          <w:color w:val="000000"/>
          <w:sz w:val="24"/>
          <w:highlight w:val="none"/>
          <w:lang w:val="en-US" w:eastAsia="zh-CN"/>
        </w:rPr>
        <w:t xml:space="preserve">4</w:t>
      </w:r>
      <w:r>
        <w:rPr>
          <w:rFonts w:hint="eastAsia" w:ascii="宋体" w:hAnsi="宋体" w:cs="Times New Roman"/>
          <w:color w:val="000000"/>
          <w:sz w:val="24"/>
          <w:highlight w:val="none"/>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Times New Roman"/>
          <w:color w:val="000000"/>
          <w:sz w:val="24"/>
          <w:highlight w:val="none"/>
        </w:rPr>
      </w:r>
      <w:r/>
    </w:p>
    <w:p>
      <w:pPr>
        <w:pStyle w:val="712"/>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Times New Roman"/>
          <w:color w:val="000000"/>
          <w:sz w:val="24"/>
          <w:highlight w:val="none"/>
        </w:rPr>
      </w:r>
      <w:r/>
    </w:p>
    <w:p>
      <w:pPr>
        <w:pStyle w:val="712"/>
        <w:ind w:firstLine="420"/>
        <w:spacing w:line="500" w:lineRule="exact"/>
        <w:rPr>
          <w:rFonts w:hint="eastAsia" w:ascii="宋体" w:hAnsi="宋体"/>
          <w:color w:val="000000"/>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w:t>
      </w:r>
      <w:bookmarkEnd w:id="149"/>
      <w:r/>
      <w:bookmarkEnd w:id="150"/>
      <w:r/>
      <w:bookmarkEnd w:id="151"/>
      <w:r>
        <w:rPr>
          <w:rFonts w:hint="eastAsia" w:ascii="宋体" w:hAnsi="宋体" w:eastAsia="宋体"/>
          <w:bCs w:val="0"/>
          <w:color w:val="000000"/>
          <w:highlight w:val="none"/>
          <w:lang w:val="en-US" w:eastAsia="zh-CN"/>
        </w:rPr>
        <w:t xml:space="preserve">5</w:t>
      </w:r>
      <w:r>
        <w:rPr>
          <w:rFonts w:hint="eastAsia" w:ascii="宋体" w:hAnsi="宋体" w:eastAsia="宋体"/>
          <w:bCs w:val="0"/>
          <w:color w:val="000000"/>
          <w:highlight w:val="none"/>
          <w:lang w:eastAsia="zh-CN"/>
        </w:rPr>
        <w:t xml:space="preserve">.无效投标条款和废标条款</w:t>
      </w:r>
      <w:r>
        <w:rPr>
          <w:rFonts w:ascii="宋体" w:hAnsi="宋体" w:eastAsia="宋体"/>
          <w:bCs w:val="0"/>
          <w:color w:val="000000"/>
          <w:highlight w:val="none"/>
          <w:lang w:eastAsia="zh-CN"/>
        </w:rPr>
      </w:r>
      <w:r/>
    </w:p>
    <w:p>
      <w:pPr>
        <w:pStyle w:val="712"/>
        <w:ind w:left="479"/>
        <w:spacing w:line="500" w:lineRule="exact"/>
        <w:rPr>
          <w:rFonts w:ascii="宋体" w:hAnsi="宋体"/>
          <w:bCs/>
          <w:color w:val="000000"/>
          <w:sz w:val="24"/>
          <w:highlight w:val="none"/>
        </w:rPr>
      </w:pPr>
      <w:r/>
      <w:bookmarkStart w:id="152" w:name="_Toc20823307"/>
      <w:r/>
      <w:bookmarkStart w:id="153" w:name="_Toc513029235"/>
      <w:r/>
      <w:bookmarkStart w:id="154" w:name="_Toc16938551"/>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.1无效投标条款</w:t>
      </w:r>
      <w:r>
        <w:rPr>
          <w:rFonts w:ascii="宋体" w:hAnsi="宋体"/>
          <w:bCs/>
          <w:color w:val="000000"/>
          <w:sz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.1.2投标人在“苏采云”系统规定的时间内未成功解密电子投标文件的。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.1.5投标人的被授权代表无授权委托书或授权委托日期晚于投标截止日期的。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.1.6投标人不具备招标文件中规定的资格要求或未按招标文件规定的要求提供资格证明文件的。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.1.7</w:t>
      </w:r>
      <w:r>
        <w:rPr>
          <w:rFonts w:hint="eastAsia" w:ascii="宋体" w:hAnsi="宋体"/>
          <w:bCs/>
          <w:color w:val="000000"/>
          <w:sz w:val="24"/>
          <w:highlight w:val="none"/>
        </w:rPr>
        <w:t xml:space="preserve">同一投标人提交两种（含两种）以上不同的投标报价的。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.1.9投标文件未按招标文件规定的内容和要求填写的。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.1.11未通过符合性审查的。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.1.12投标文件含有采购人不能接受的附加条件的。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.1.13电子投标文件图片、字迹模糊不清、无法辨认导致无法评审的。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.1.14投标文件中有招标文件未允许提供的选择性内容。</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.1.15</w:t>
      </w:r>
      <w:r>
        <w:rPr>
          <w:rFonts w:hint="eastAsia" w:ascii="宋体" w:hAnsi="宋体"/>
          <w:bCs/>
          <w:color w:val="000000"/>
          <w:sz w:val="24"/>
          <w:szCs w:val="24"/>
          <w:highlight w:val="none"/>
        </w:rPr>
        <w:t xml:space="preserve">不同投标人委托同一单位或者个人办理投标事宜的。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.1.16</w:t>
      </w:r>
      <w:r>
        <w:rPr>
          <w:rFonts w:hint="eastAsia" w:ascii="宋体" w:hAnsi="宋体"/>
          <w:bCs/>
          <w:color w:val="000000"/>
          <w:sz w:val="24"/>
          <w:szCs w:val="24"/>
          <w:highlight w:val="none"/>
        </w:rPr>
        <w:t xml:space="preserve">不同投标人的单位负责人为同一人或者存在直接控股、管理关系的。</w:t>
      </w:r>
      <w:r>
        <w:rPr>
          <w:rFonts w:ascii="宋体" w:hAnsi="宋体"/>
          <w:bCs/>
          <w:color w:val="000000"/>
          <w:sz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.1.17不同投标人的投标文件的装订形式、纸张情况、目录序号、排版格式、文字风格等存在明显的相似性或一致性，特征显示由同一单位或者同一个人编制的。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.1.18不同投标人投标文件内容存在非正常一致、项目组成员出现同一人、投标文件中错误（或异常）一致或雷同、电子文档信息一致或雷同的、投标报价呈规律性差异的。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.1.19不同投标人的投标资料相互混装、不同投标人的委托代理人、项目负责人以及其他相关人员有在同一个单位缴纳社会保险、同一投标文件中单位名称落款与公章不是同一单位的。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.1.20</w:t>
      </w:r>
      <w:r>
        <w:rPr>
          <w:rFonts w:hint="eastAsia" w:ascii="宋体" w:hAnsi="宋体"/>
          <w:bCs/>
          <w:color w:val="000000"/>
          <w:sz w:val="24"/>
          <w:szCs w:val="24"/>
          <w:highlight w:val="none"/>
        </w:rPr>
        <w:t xml:space="preserve">提供虚假材料的（包括工商营业执照、财务报表、资格证明文件等）。</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ascii="宋体" w:hAnsi="宋体"/>
          <w:bCs/>
          <w:color w:val="000000"/>
          <w:sz w:val="24"/>
          <w:highlight w:val="none"/>
        </w:rPr>
      </w:r>
      <w:r/>
    </w:p>
    <w:p>
      <w:pPr>
        <w:pStyle w:val="712"/>
        <w:ind w:firstLine="480"/>
        <w:spacing w:line="500" w:lineRule="exact"/>
        <w:rPr>
          <w:rFonts w:hint="eastAsia" w:ascii="宋体" w:hAnsi="宋体" w:eastAsia="宋体" w:cs="宋体"/>
          <w:bCs/>
          <w:sz w:val="24"/>
          <w:highlight w:val="none"/>
          <w:shd w:val="clear" w:color="ffffff" w:fill="d9d9d9"/>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eastAsia="宋体" w:cs="宋体"/>
          <w:bCs/>
          <w:sz w:val="24"/>
          <w:highlight w:val="none"/>
          <w:shd w:val="clear" w:color="ffffff" w:fill="d9d9d9"/>
        </w:rPr>
      </w:r>
      <w:r/>
    </w:p>
    <w:p>
      <w:pPr>
        <w:pStyle w:val="712"/>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rPr>
          <w:rFonts w:hint="eastAsia" w:ascii="宋体" w:hAnsi="宋体" w:eastAsia="宋体" w:cs="宋体"/>
          <w:bCs/>
          <w:sz w:val="24"/>
          <w:highlight w:val="none"/>
        </w:rPr>
      </w:r>
      <w:r/>
    </w:p>
    <w:p>
      <w:pPr>
        <w:pStyle w:val="712"/>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w:t>
      </w: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rPr>
        <w:t xml:space="preserve">.1.24</w:t>
      </w:r>
      <w:r>
        <w:rPr>
          <w:rFonts w:hint="eastAsia" w:ascii="宋体" w:hAnsi="宋体"/>
          <w:bCs/>
          <w:color w:val="000000"/>
          <w:sz w:val="24"/>
          <w:highlight w:val="none"/>
        </w:rPr>
        <w:t xml:space="preserve">投标系统中不同投标人的MAC地址一致或标书制作工具客户端标识码一致的。</w:t>
      </w:r>
      <w:r>
        <w:rPr>
          <w:rFonts w:hint="eastAsia"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lang w:val="en-US" w:eastAsia="zh-CN"/>
        </w:rPr>
        <w:t xml:space="preserve">25.1.25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rPr>
          <w:rFonts w:ascii="宋体" w:hAnsi="宋体"/>
          <w:bCs/>
          <w:color w:val="000000"/>
          <w:sz w:val="24"/>
          <w:highlight w:val="none"/>
        </w:rPr>
      </w:r>
      <w:r/>
    </w:p>
    <w:p>
      <w:pPr>
        <w:pStyle w:val="71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.2废标条款</w:t>
      </w:r>
      <w:r>
        <w:rPr>
          <w:rFonts w:ascii="宋体" w:hAnsi="宋体"/>
          <w:bCs/>
          <w:color w:val="000000"/>
          <w:sz w:val="24"/>
          <w:highlight w:val="none"/>
        </w:rPr>
      </w:r>
      <w:r/>
    </w:p>
    <w:p>
      <w:pPr>
        <w:pStyle w:val="71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.2.1符合专业条件的供应商或者对招标文件做实质响应的供应商不足三家的。2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.2.2出现影响采购公正的违法、违规行为的。</w:t>
      </w:r>
      <w:r>
        <w:rPr>
          <w:rFonts w:ascii="宋体" w:hAnsi="宋体"/>
          <w:bCs/>
          <w:color w:val="000000"/>
          <w:sz w:val="24"/>
          <w:highlight w:val="none"/>
        </w:rPr>
      </w:r>
      <w:r/>
    </w:p>
    <w:p>
      <w:pPr>
        <w:pStyle w:val="71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.2.3因重大变故，采购任务取消的。</w:t>
      </w:r>
      <w:r>
        <w:rPr>
          <w:rFonts w:ascii="宋体" w:hAnsi="宋体"/>
          <w:bCs/>
          <w:color w:val="000000"/>
          <w:sz w:val="24"/>
          <w:highlight w:val="none"/>
        </w:rPr>
      </w:r>
      <w:r/>
    </w:p>
    <w:p>
      <w:pPr>
        <w:pStyle w:val="71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.2.4评标委员会认定招标文件存在歧义、重大缺陷导致评审工作无法进行。</w:t>
      </w:r>
      <w:r>
        <w:rPr>
          <w:rFonts w:ascii="宋体" w:hAnsi="宋体"/>
          <w:bCs/>
          <w:color w:val="000000"/>
          <w:sz w:val="24"/>
          <w:highlight w:val="none"/>
        </w:rPr>
      </w:r>
      <w:r/>
    </w:p>
    <w:p>
      <w:pPr>
        <w:pStyle w:val="71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ascii="宋体" w:hAnsi="宋体"/>
          <w:bCs/>
          <w:color w:val="000000"/>
          <w:sz w:val="24"/>
          <w:highlight w:val="none"/>
        </w:rPr>
      </w:r>
      <w:r/>
    </w:p>
    <w:p>
      <w:pPr>
        <w:pStyle w:val="712"/>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.2.6投标人的报价均超过采购预算，采购人不能支付的。</w:t>
      </w:r>
      <w:r>
        <w:rPr>
          <w:rFonts w:ascii="宋体" w:hAnsi="宋体"/>
          <w:bCs/>
          <w:color w:val="000000"/>
          <w:sz w:val="24"/>
          <w:highlight w:val="none"/>
        </w:rPr>
      </w:r>
      <w:r/>
    </w:p>
    <w:p>
      <w:pPr>
        <w:pStyle w:val="712"/>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.3 投标截止时间结束后参加投标的供应商不足三家的处理：</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.3.1如出现投标截止时间结束后参加投标的供应商或者在评标期间对招标文件做出实质响应的供应商不足三家情况，按政府采购相关规定执行。</w:t>
      </w:r>
      <w:r>
        <w:rPr>
          <w:rFonts w:ascii="宋体" w:hAnsi="宋体"/>
          <w:bCs/>
          <w:color w:val="000000"/>
          <w:sz w:val="24"/>
          <w:highlight w:val="none"/>
        </w:rPr>
      </w:r>
      <w:r/>
    </w:p>
    <w:p>
      <w:pPr>
        <w:pStyle w:val="844"/>
        <w:ind w:firstLine="452"/>
        <w:keepLines w:val="0"/>
        <w:keepNext w:val="0"/>
        <w:spacing w:before="0" w:after="0" w:line="500" w:lineRule="exact"/>
        <w:rPr>
          <w:color w:val="000000"/>
          <w:sz w:val="30"/>
          <w:szCs w:val="30"/>
          <w:highlight w:val="none"/>
          <w:lang w:eastAsia="zh-CN"/>
        </w:rPr>
      </w:pPr>
      <w:r/>
      <w:bookmarkStart w:id="155" w:name="_Toc120614219"/>
      <w:r>
        <w:rPr>
          <w:rFonts w:hint="eastAsia"/>
          <w:color w:val="000000"/>
          <w:sz w:val="30"/>
          <w:szCs w:val="30"/>
          <w:highlight w:val="none"/>
          <w:lang w:eastAsia="zh-CN"/>
        </w:rPr>
        <w:t xml:space="preserve">六、</w:t>
      </w:r>
      <w:bookmarkEnd w:id="152"/>
      <w:r/>
      <w:bookmarkEnd w:id="153"/>
      <w:r/>
      <w:bookmarkEnd w:id="154"/>
      <w:r>
        <w:rPr>
          <w:rFonts w:hint="eastAsia"/>
          <w:color w:val="000000"/>
          <w:sz w:val="30"/>
          <w:szCs w:val="30"/>
          <w:highlight w:val="none"/>
          <w:lang w:eastAsia="zh-CN"/>
        </w:rPr>
        <w:t xml:space="preserve">定标</w:t>
      </w:r>
      <w:bookmarkEnd w:id="155"/>
      <w:r>
        <w:rPr>
          <w:color w:val="000000"/>
          <w:sz w:val="30"/>
          <w:szCs w:val="30"/>
          <w:highlight w:val="none"/>
          <w:lang w:eastAsia="zh-CN"/>
        </w:rPr>
      </w:r>
      <w:r/>
    </w:p>
    <w:p>
      <w:pPr>
        <w:pStyle w:val="847"/>
        <w:ind w:firstLine="422"/>
        <w:keepLines w:val="0"/>
        <w:keepNext w:val="0"/>
        <w:spacing w:before="0" w:after="0" w:line="500" w:lineRule="exact"/>
        <w:rPr>
          <w:rFonts w:ascii="宋体" w:hAnsi="宋体" w:eastAsia="宋体"/>
          <w:bCs w:val="0"/>
          <w:color w:val="000000"/>
          <w:highlight w:val="none"/>
          <w:lang w:eastAsia="zh-CN"/>
        </w:rPr>
      </w:pPr>
      <w:r/>
      <w:bookmarkStart w:id="156" w:name="_Toc513029238"/>
      <w:r/>
      <w:bookmarkStart w:id="157" w:name="_Toc20823310"/>
      <w:r/>
      <w:bookmarkStart w:id="158" w:name="_Toc16938554"/>
      <w:r>
        <w:rPr>
          <w:rFonts w:hint="eastAsia" w:ascii="宋体" w:hAnsi="宋体" w:eastAsia="宋体"/>
          <w:bCs w:val="0"/>
          <w:color w:val="000000"/>
          <w:highlight w:val="none"/>
          <w:lang w:eastAsia="zh-CN"/>
        </w:rPr>
        <w:t xml:space="preserve">2</w:t>
      </w:r>
      <w:bookmarkEnd w:id="156"/>
      <w:r>
        <w:rPr>
          <w:rFonts w:hint="eastAsia" w:ascii="宋体" w:hAnsi="宋体" w:eastAsia="宋体"/>
          <w:bCs w:val="0"/>
          <w:color w:val="000000"/>
          <w:highlight w:val="none"/>
          <w:lang w:val="en-US" w:eastAsia="zh-CN"/>
        </w:rPr>
        <w:t xml:space="preserve">6</w:t>
      </w:r>
      <w:r>
        <w:rPr>
          <w:rFonts w:hint="eastAsia" w:ascii="宋体" w:hAnsi="宋体" w:eastAsia="宋体"/>
          <w:bCs w:val="0"/>
          <w:color w:val="000000"/>
          <w:highlight w:val="none"/>
          <w:lang w:eastAsia="zh-CN"/>
        </w:rPr>
        <w:t xml:space="preserve">.确定</w:t>
      </w:r>
      <w:bookmarkEnd w:id="157"/>
      <w:r/>
      <w:bookmarkEnd w:id="158"/>
      <w:r>
        <w:rPr>
          <w:rFonts w:hint="eastAsia" w:ascii="宋体" w:hAnsi="宋体" w:eastAsia="宋体"/>
          <w:bCs w:val="0"/>
          <w:color w:val="000000"/>
          <w:highlight w:val="none"/>
          <w:lang w:eastAsia="zh-CN"/>
        </w:rPr>
        <w:t xml:space="preserve">中标单位</w:t>
      </w:r>
      <w:r>
        <w:rPr>
          <w:rFonts w:ascii="宋体" w:hAnsi="宋体" w:eastAsia="宋体"/>
          <w:bCs w:val="0"/>
          <w:color w:val="000000"/>
          <w:highlight w:val="none"/>
          <w:lang w:eastAsia="zh-CN"/>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.1评标委员会根据招标文件规定的评标方法和评标标准进行评审，按招标文件的要求依法选取中标候选人，中标候选人的选取原则和数量见招标文件第五章规定。</w:t>
      </w:r>
      <w:r>
        <w:rPr>
          <w:rFonts w:ascii="宋体" w:hAnsi="宋体"/>
          <w:bCs/>
          <w:color w:val="000000"/>
          <w:sz w:val="24"/>
          <w:highlight w:val="none"/>
        </w:rPr>
      </w:r>
      <w:r/>
    </w:p>
    <w:p>
      <w:pPr>
        <w:pStyle w:val="712"/>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.2采购人应根据评委会推荐的中标候选人名单中按排名先后顺序确定一个投标人为中标单位。联合体中标的，联合体各方应当共同与采购人签订合同，就中标项目向采购人承担连带责任。</w:t>
      </w:r>
      <w:r>
        <w:rPr>
          <w:rFonts w:ascii="宋体" w:hAnsi="宋体"/>
          <w:bCs/>
          <w:color w:val="000000"/>
          <w:sz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.3</w:t>
      </w:r>
      <w:r>
        <w:rPr>
          <w:rFonts w:hint="eastAsia" w:ascii="宋体" w:hAnsi="宋体"/>
          <w:color w:val="000000"/>
          <w:sz w:val="24"/>
          <w:szCs w:val="24"/>
          <w:highlight w:val="none"/>
        </w:rPr>
        <w:t xml:space="preserve">代理机构将在“江苏政府采购网”发布中标公告，公告期限为1个工作日。</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.4中标无效的确认</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.4.1提供虚假材料谋取中标的。</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.4.2向采购人、代理机构行贿或者提供其他不正当利益的。</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.4.3属于本文件规定的无效投标文件条件的，但在评标过程中又未被评委会发现的。</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.4.4与采购人或者其他供应商恶意串通的。</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.4.5采取不正当手段诋毁、排挤其他供应商的。</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bookmarkStart w:id="159" w:name="_Toc200451960"/>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.4.7</w:t>
      </w:r>
      <w:r>
        <w:rPr>
          <w:rFonts w:hint="eastAsia" w:ascii="宋体" w:hAnsi="宋体"/>
          <w:bCs/>
          <w:color w:val="000000"/>
          <w:sz w:val="24"/>
          <w:szCs w:val="24"/>
          <w:highlight w:val="none"/>
        </w:rPr>
        <w:t xml:space="preserve">拒绝有关部门监督检查或者提供虚假情况的。</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.5.1不同投标人的投标文件由同一单位或者个人编制。</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.5.2不同投标人委托同一单位或者个人办理投标事宜。</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.5.3 不同投标人的投标文件载明的项目管理成员或者联系人员为同一人。</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.5.4不同投标人的投标文件异常一致或者投标报价呈规律性差异。</w:t>
      </w:r>
      <w:r>
        <w:rPr>
          <w:rFonts w:ascii="宋体" w:hAnsi="宋体"/>
          <w:color w:val="000000"/>
          <w:sz w:val="24"/>
          <w:szCs w:val="24"/>
          <w:highlight w:val="none"/>
        </w:rPr>
      </w:r>
      <w:r/>
    </w:p>
    <w:p>
      <w:pPr>
        <w:pStyle w:val="847"/>
        <w:ind w:firstLine="422"/>
        <w:keepLines w:val="0"/>
        <w:keepNext w:val="0"/>
        <w:spacing w:before="0" w:after="0" w:line="500" w:lineRule="exact"/>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w:t>
      </w:r>
      <w:r>
        <w:rPr>
          <w:rFonts w:hint="eastAsia" w:ascii="宋体" w:hAnsi="宋体" w:eastAsia="宋体"/>
          <w:bCs w:val="0"/>
          <w:color w:val="000000"/>
          <w:highlight w:val="none"/>
          <w:lang w:val="en-US" w:eastAsia="zh-CN"/>
        </w:rPr>
        <w:t xml:space="preserve">7</w:t>
      </w:r>
      <w:r>
        <w:rPr>
          <w:rFonts w:hint="eastAsia" w:ascii="宋体" w:hAnsi="宋体" w:eastAsia="宋体"/>
          <w:bCs w:val="0"/>
          <w:color w:val="000000"/>
          <w:highlight w:val="none"/>
          <w:lang w:eastAsia="zh-CN"/>
        </w:rPr>
        <w:t xml:space="preserve">.质疑处理</w:t>
      </w:r>
      <w:bookmarkEnd w:id="159"/>
      <w:r>
        <w:rPr>
          <w:rFonts w:ascii="宋体" w:hAnsi="宋体" w:eastAsia="宋体"/>
          <w:bCs w:val="0"/>
          <w:color w:val="000000"/>
          <w:highlight w:val="none"/>
          <w:lang w:eastAsia="zh-CN"/>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对可以质疑的采购文件提出质疑的，为收到采购文件之日或者采购文件公告期限届满之日；</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对采购过程提出质疑的，为各采购程序环节结束之日；</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对中标或者成交结果提出质疑的，为中标或者成交结果公告期限届满之日。</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ascii="宋体" w:hAnsi="宋体"/>
          <w:color w:val="000000"/>
          <w:sz w:val="24"/>
          <w:szCs w:val="24"/>
          <w:highlight w:val="none"/>
          <w:shd w:val="clear" w:color="ffffff" w:fill="d9d9d9"/>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 以下情形的质疑不予受理</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.5.1 内容不符合《政府采购质疑和投诉办法》第十二条规定的质疑。</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.5.2 超出政府采购法定期限的质疑。</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.5.3 以传真、电子邮件等方式递交的非原件形式的质疑。</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.5.4未参加投标活动的供应商或在投标活动中自身权益未受到损害的供应商所提出的质疑。</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.5.5供应商组成联合体参加投标，联合体中任何一方或多方未按要求签字、盖章、加盖公章的质疑。</w:t>
      </w:r>
      <w:r>
        <w:rPr>
          <w:rFonts w:ascii="宋体" w:hAnsi="宋体"/>
          <w:color w:val="000000"/>
          <w:sz w:val="24"/>
          <w:szCs w:val="24"/>
          <w:highlight w:val="none"/>
        </w:rPr>
      </w:r>
      <w:r/>
    </w:p>
    <w:p>
      <w:pPr>
        <w:pStyle w:val="712"/>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rPr>
          <w:rFonts w:ascii="宋体" w:hAnsi="宋体"/>
          <w:color w:val="000000"/>
          <w:sz w:val="24"/>
          <w:szCs w:val="24"/>
          <w:highlight w:val="none"/>
        </w:rPr>
      </w:r>
      <w:r/>
    </w:p>
    <w:p>
      <w:pPr>
        <w:pStyle w:val="71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rPr>
          <w:rFonts w:hint="eastAsia" w:ascii="宋体" w:hAnsi="宋体" w:eastAsia="宋体" w:cs="宋体"/>
          <w:sz w:val="24"/>
          <w:szCs w:val="24"/>
          <w:highlight w:val="none"/>
        </w:rPr>
      </w:r>
      <w:r/>
    </w:p>
    <w:p>
      <w:pPr>
        <w:pStyle w:val="71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highlight w:val="none"/>
        </w:rPr>
      </w:r>
      <w:r/>
    </w:p>
    <w:p>
      <w:pPr>
        <w:pStyle w:val="712"/>
        <w:ind w:firstLine="452"/>
        <w:jc w:val="both"/>
        <w:keepLines w:val="0"/>
        <w:keepNext w:val="0"/>
        <w:spacing w:before="0" w:after="0" w:line="500" w:lineRule="exact"/>
        <w:widowControl w:val="off"/>
        <w:rPr>
          <w:rFonts w:hint="eastAsia" w:ascii="宋体" w:hAnsi="宋体" w:eastAsia="宋体" w:cs="宋体"/>
          <w:b/>
          <w:bCs/>
          <w:sz w:val="30"/>
          <w:szCs w:val="30"/>
          <w:highlight w:val="none"/>
          <w:lang w:val="en-US" w:eastAsia="zh-CN" w:bidi="ar-SA"/>
        </w:rPr>
        <w:outlineLvl w:val="2"/>
      </w:pPr>
      <w:r/>
      <w:bookmarkStart w:id="160" w:name="_Toc120614220"/>
      <w:r/>
      <w:bookmarkStart w:id="161" w:name="_Toc20823308"/>
      <w:r/>
      <w:bookmarkStart w:id="162" w:name="_Toc513029236"/>
      <w:r/>
      <w:bookmarkStart w:id="163" w:name="_Toc16938552"/>
      <w:r>
        <w:rPr>
          <w:rFonts w:hint="eastAsia" w:ascii="宋体" w:hAnsi="宋体" w:eastAsia="宋体" w:cs="宋体"/>
          <w:b/>
          <w:bCs/>
          <w:sz w:val="30"/>
          <w:szCs w:val="30"/>
          <w:highlight w:val="none"/>
          <w:lang w:val="en-US" w:eastAsia="zh-CN" w:bidi="ar-SA"/>
        </w:rPr>
        <w:t xml:space="preserve">七、授予合同</w:t>
      </w:r>
      <w:bookmarkEnd w:id="160"/>
      <w:r>
        <w:rPr>
          <w:rFonts w:hint="eastAsia" w:ascii="宋体" w:hAnsi="宋体" w:eastAsia="宋体" w:cs="宋体"/>
          <w:b/>
          <w:bCs/>
          <w:sz w:val="30"/>
          <w:szCs w:val="30"/>
          <w:highlight w:val="none"/>
          <w:lang w:val="en-US" w:eastAsia="zh-CN" w:bidi="ar-SA"/>
        </w:rPr>
      </w:r>
      <w:r/>
    </w:p>
    <w:p>
      <w:pPr>
        <w:pStyle w:val="71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bookmarkEnd w:id="161"/>
      <w:r/>
      <w:bookmarkEnd w:id="162"/>
      <w:r/>
      <w:bookmarkEnd w:id="163"/>
      <w:r>
        <w:rPr>
          <w:rFonts w:hint="eastAsia" w:ascii="宋体" w:hAnsi="宋体" w:cs="宋体"/>
          <w:b/>
          <w:bCs w:val="0"/>
          <w:sz w:val="28"/>
          <w:szCs w:val="28"/>
          <w:highlight w:val="none"/>
          <w:lang w:val="en-US" w:eastAsia="zh-CN" w:bidi="ar-SA"/>
        </w:rPr>
        <w:t xml:space="preserve">29</w:t>
      </w:r>
      <w:r>
        <w:rPr>
          <w:rFonts w:hint="eastAsia" w:ascii="宋体" w:hAnsi="宋体" w:eastAsia="宋体" w:cs="宋体"/>
          <w:b/>
          <w:bCs w:val="0"/>
          <w:sz w:val="28"/>
          <w:szCs w:val="28"/>
          <w:highlight w:val="none"/>
          <w:lang w:val="en-US" w:eastAsia="zh-CN" w:bidi="ar-SA"/>
        </w:rPr>
        <w:t xml:space="preserve">.签订合同</w:t>
      </w:r>
      <w:r>
        <w:rPr>
          <w:rFonts w:hint="eastAsia" w:ascii="宋体" w:hAnsi="宋体" w:eastAsia="宋体" w:cs="宋体"/>
          <w:b/>
          <w:bCs w:val="0"/>
          <w:sz w:val="28"/>
          <w:szCs w:val="28"/>
          <w:highlight w:val="none"/>
          <w:lang w:val="en-US" w:eastAsia="zh-CN" w:bidi="ar-SA"/>
        </w:rPr>
      </w:r>
      <w:r/>
    </w:p>
    <w:p>
      <w:pPr>
        <w:pStyle w:val="712"/>
        <w:ind w:firstLine="480"/>
        <w:spacing w:line="500" w:lineRule="exact"/>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bCs/>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rPr>
          <w:rFonts w:hint="eastAsia" w:ascii="宋体" w:hAnsi="宋体" w:eastAsia="宋体" w:cs="宋体"/>
          <w:sz w:val="24"/>
          <w:szCs w:val="24"/>
          <w:highlight w:val="none"/>
        </w:rPr>
      </w:r>
      <w:r/>
    </w:p>
    <w:p>
      <w:pPr>
        <w:pStyle w:val="712"/>
        <w:ind w:firstLine="480"/>
        <w:spacing w:line="500" w:lineRule="exact"/>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sz w:val="24"/>
          <w:szCs w:val="24"/>
          <w:highlight w:val="none"/>
        </w:rPr>
        <w:t xml:space="preserve">.2中标人非因不可抗力未履行招、投标文件和合同规定的义务，一经查实，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rPr>
          <w:rFonts w:hint="eastAsia" w:ascii="宋体" w:hAnsi="宋体" w:eastAsia="宋体" w:cs="宋体"/>
          <w:sz w:val="24"/>
          <w:szCs w:val="24"/>
          <w:highlight w:val="none"/>
        </w:rPr>
      </w:r>
      <w:r/>
    </w:p>
    <w:p>
      <w:pPr>
        <w:pStyle w:val="712"/>
        <w:ind w:firstLine="480"/>
        <w:spacing w:line="500" w:lineRule="exact"/>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Cs/>
          <w:sz w:val="24"/>
          <w:szCs w:val="24"/>
          <w:highlight w:val="none"/>
        </w:rPr>
      </w:r>
      <w:r/>
    </w:p>
    <w:p>
      <w:pPr>
        <w:pStyle w:val="712"/>
        <w:ind w:firstLine="480"/>
        <w:spacing w:line="500" w:lineRule="exact"/>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29</w:t>
      </w:r>
      <w:r>
        <w:rPr>
          <w:rFonts w:hint="eastAsia" w:ascii="宋体" w:hAnsi="宋体" w:eastAsia="宋体" w:cs="宋体"/>
          <w:sz w:val="24"/>
          <w:szCs w:val="24"/>
          <w:highlight w:val="none"/>
        </w:rPr>
        <w:t xml:space="preserve">.4中标供应商向采购人缴纳的履约保证金不超过政府采购合同金额的10%。收取履约保证金的，采购人应当允许供应商自主选择以支票、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sz w:val="24"/>
          <w:szCs w:val="24"/>
          <w:highlight w:val="none"/>
        </w:rPr>
      </w:r>
      <w:r/>
    </w:p>
    <w:p>
      <w:pPr>
        <w:pStyle w:val="71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rPr>
          <w:rFonts w:hint="eastAsia" w:ascii="宋体" w:hAnsi="宋体" w:eastAsia="宋体" w:cs="宋体"/>
          <w:b/>
          <w:bCs w:val="0"/>
          <w:sz w:val="28"/>
          <w:szCs w:val="28"/>
          <w:highlight w:val="none"/>
          <w:lang w:val="en-US" w:eastAsia="zh-CN" w:bidi="ar-SA"/>
        </w:rPr>
        <w:t xml:space="preserve">3</w:t>
      </w:r>
      <w:r>
        <w:rPr>
          <w:rFonts w:hint="eastAsia" w:ascii="宋体" w:hAnsi="宋体" w:cs="宋体"/>
          <w:b/>
          <w:bCs w:val="0"/>
          <w:sz w:val="28"/>
          <w:szCs w:val="28"/>
          <w:highlight w:val="none"/>
          <w:lang w:val="en-US" w:eastAsia="zh-CN" w:bidi="ar-SA"/>
        </w:rPr>
        <w:t xml:space="preserve">0</w:t>
      </w:r>
      <w:r>
        <w:rPr>
          <w:rFonts w:hint="eastAsia" w:ascii="宋体" w:hAnsi="宋体" w:eastAsia="宋体" w:cs="宋体"/>
          <w:b/>
          <w:bCs w:val="0"/>
          <w:sz w:val="28"/>
          <w:szCs w:val="28"/>
          <w:highlight w:val="none"/>
          <w:lang w:val="en-US" w:eastAsia="zh-CN" w:bidi="ar-SA"/>
        </w:rPr>
        <w:t xml:space="preserve">.服务（包含与服务相关的货物）的追加</w:t>
      </w:r>
      <w:r>
        <w:rPr>
          <w:rFonts w:hint="eastAsia" w:ascii="宋体" w:hAnsi="宋体" w:eastAsia="宋体" w:cs="宋体"/>
          <w:b/>
          <w:bCs w:val="0"/>
          <w:sz w:val="28"/>
          <w:szCs w:val="28"/>
          <w:highlight w:val="none"/>
          <w:lang w:val="en-US" w:eastAsia="zh-CN" w:bidi="ar-SA"/>
        </w:rPr>
      </w:r>
      <w:r/>
    </w:p>
    <w:p>
      <w:pPr>
        <w:pStyle w:val="71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r>
      <w:r/>
    </w:p>
    <w:p>
      <w:pPr>
        <w:pStyle w:val="712"/>
        <w:ind w:firstLine="422"/>
        <w:jc w:val="both"/>
        <w:keepLines w:val="0"/>
        <w:keepNext w:val="0"/>
        <w:spacing w:before="0" w:after="0" w:line="500" w:lineRule="exact"/>
        <w:widowControl w:val="off"/>
        <w:rPr>
          <w:rFonts w:hint="eastAsia" w:ascii="宋体" w:hAnsi="宋体" w:eastAsia="宋体" w:cs="宋体"/>
          <w:b/>
          <w:bCs w:val="0"/>
          <w:sz w:val="28"/>
          <w:szCs w:val="28"/>
          <w:highlight w:val="none"/>
          <w:lang w:val="en-US" w:eastAsia="zh-CN" w:bidi="ar-SA"/>
        </w:rPr>
        <w:outlineLvl w:val="3"/>
      </w:pPr>
      <w:r>
        <w:rPr>
          <w:rFonts w:hint="eastAsia" w:ascii="宋体" w:hAnsi="宋体" w:eastAsia="宋体" w:cs="宋体"/>
          <w:b/>
          <w:bCs w:val="0"/>
          <w:sz w:val="28"/>
          <w:szCs w:val="28"/>
          <w:highlight w:val="none"/>
          <w:lang w:val="en-US" w:eastAsia="zh-CN" w:bidi="ar-SA"/>
        </w:rPr>
        <w:t xml:space="preserve">八、代理服务费</w:t>
      </w:r>
      <w:r>
        <w:rPr>
          <w:rFonts w:hint="eastAsia" w:ascii="宋体" w:hAnsi="宋体" w:eastAsia="宋体" w:cs="宋体"/>
          <w:b/>
          <w:bCs w:val="0"/>
          <w:sz w:val="28"/>
          <w:szCs w:val="28"/>
          <w:highlight w:val="none"/>
          <w:lang w:val="en-US" w:eastAsia="zh-CN" w:bidi="ar-SA"/>
        </w:rPr>
      </w:r>
      <w:r/>
    </w:p>
    <w:p>
      <w:pPr>
        <w:pStyle w:val="712"/>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.本项目代理服务费由中标单位支付，供应商的投标报价应当包含本项目代理服务费，该费用计入投标总价、结算价中，采购人不另行支付。</w:t>
      </w:r>
      <w:r>
        <w:rPr>
          <w:rFonts w:hint="eastAsia" w:ascii="宋体" w:hAnsi="宋体" w:eastAsia="宋体" w:cs="宋体"/>
          <w:sz w:val="24"/>
          <w:szCs w:val="24"/>
          <w:highlight w:val="none"/>
          <w:u w:val="none"/>
        </w:rPr>
        <w:t xml:space="preserve">代理服务费</w:t>
      </w:r>
      <w:r>
        <w:rPr>
          <w:rFonts w:hint="eastAsia" w:ascii="宋体" w:hAnsi="宋体" w:eastAsia="宋体" w:cs="宋体"/>
          <w:sz w:val="24"/>
          <w:szCs w:val="24"/>
          <w:highlight w:val="none"/>
          <w:u w:val="none"/>
          <w:lang w:val="en-US" w:eastAsia="zh-CN"/>
        </w:rPr>
        <w:t xml:space="preserve">按差额定率累进法计算</w:t>
      </w:r>
      <w:r>
        <w:rPr>
          <w:rFonts w:hint="eastAsia" w:ascii="宋体" w:hAnsi="宋体" w:eastAsia="宋体" w:cs="宋体"/>
          <w:sz w:val="24"/>
          <w:szCs w:val="24"/>
          <w:highlight w:val="none"/>
          <w:u w:val="none"/>
        </w:rPr>
        <w:t xml:space="preserve">，100万以下</w:t>
      </w:r>
      <w:r>
        <w:rPr>
          <w:rFonts w:hint="eastAsia" w:ascii="宋体" w:hAnsi="宋体" w:eastAsia="宋体" w:cs="宋体"/>
          <w:sz w:val="24"/>
          <w:szCs w:val="24"/>
          <w:highlight w:val="none"/>
          <w:u w:val="none"/>
          <w:lang w:val="en-US" w:eastAsia="zh-CN"/>
        </w:rPr>
        <w:t xml:space="preserve">部分</w:t>
      </w:r>
      <w:r>
        <w:rPr>
          <w:rFonts w:hint="eastAsia" w:ascii="宋体" w:hAnsi="宋体" w:eastAsia="宋体" w:cs="宋体"/>
          <w:sz w:val="24"/>
          <w:szCs w:val="24"/>
          <w:highlight w:val="none"/>
          <w:u w:val="none"/>
        </w:rPr>
        <w:t xml:space="preserve">费率</w:t>
      </w:r>
      <w:r>
        <w:rPr>
          <w:rFonts w:hint="eastAsia" w:ascii="宋体" w:hAnsi="宋体" w:eastAsia="宋体" w:cs="宋体"/>
          <w:sz w:val="24"/>
          <w:szCs w:val="24"/>
          <w:highlight w:val="none"/>
          <w:u w:val="none"/>
          <w:lang w:val="en-US" w:eastAsia="zh-CN"/>
        </w:rPr>
        <w:t xml:space="preserve">按</w:t>
      </w:r>
      <w:r>
        <w:rPr>
          <w:rFonts w:hint="eastAsia" w:ascii="宋体" w:hAnsi="宋体" w:eastAsia="宋体" w:cs="宋体"/>
          <w:sz w:val="24"/>
          <w:szCs w:val="24"/>
          <w:highlight w:val="none"/>
          <w:u w:val="none"/>
        </w:rPr>
        <w:t xml:space="preserve">1.</w:t>
      </w:r>
      <w:r>
        <w:rPr>
          <w:rFonts w:hint="eastAsia" w:ascii="宋体" w:hAnsi="宋体" w:eastAsia="宋体" w:cs="宋体"/>
          <w:sz w:val="24"/>
          <w:szCs w:val="24"/>
          <w:highlight w:val="none"/>
          <w:u w:val="none"/>
          <w:lang w:val="en-US" w:eastAsia="zh-CN"/>
        </w:rPr>
        <w:t xml:space="preserve">5</w:t>
      </w:r>
      <w:r>
        <w:rPr>
          <w:rFonts w:hint="eastAsia" w:ascii="宋体" w:hAnsi="宋体" w:eastAsia="宋体" w:cs="宋体"/>
          <w:sz w:val="24"/>
          <w:szCs w:val="24"/>
          <w:highlight w:val="none"/>
          <w:u w:val="none"/>
        </w:rPr>
        <w:t xml:space="preserve">%，100万-500万部分费率</w:t>
      </w:r>
      <w:r>
        <w:rPr>
          <w:rFonts w:hint="eastAsia" w:ascii="宋体" w:hAnsi="宋体" w:eastAsia="宋体" w:cs="宋体"/>
          <w:sz w:val="24"/>
          <w:szCs w:val="24"/>
          <w:highlight w:val="none"/>
          <w:u w:val="none"/>
          <w:lang w:val="en-US" w:eastAsia="zh-CN"/>
        </w:rPr>
        <w:t xml:space="preserve">按</w:t>
      </w:r>
      <w:r>
        <w:rPr>
          <w:rFonts w:hint="eastAsia" w:ascii="宋体" w:hAnsi="宋体" w:eastAsia="宋体" w:cs="宋体"/>
          <w:sz w:val="24"/>
          <w:szCs w:val="24"/>
          <w:highlight w:val="none"/>
          <w:u w:val="none"/>
        </w:rPr>
        <w:t xml:space="preserve">0.</w:t>
      </w:r>
      <w:r>
        <w:rPr>
          <w:rFonts w:hint="eastAsia" w:ascii="宋体" w:hAnsi="宋体" w:eastAsia="宋体" w:cs="宋体"/>
          <w:sz w:val="24"/>
          <w:szCs w:val="24"/>
          <w:highlight w:val="none"/>
          <w:u w:val="none"/>
          <w:lang w:val="en-US" w:eastAsia="zh-CN"/>
        </w:rPr>
        <w:t xml:space="preserve">8</w:t>
      </w:r>
      <w:r>
        <w:rPr>
          <w:rFonts w:hint="eastAsia" w:ascii="宋体" w:hAnsi="宋体" w:eastAsia="宋体" w:cs="宋体"/>
          <w:sz w:val="24"/>
          <w:szCs w:val="24"/>
          <w:highlight w:val="none"/>
          <w:u w:val="none"/>
        </w:rPr>
        <w:t xml:space="preserve">%，500</w:t>
      </w:r>
      <w:r>
        <w:rPr>
          <w:rFonts w:hint="eastAsia" w:ascii="宋体" w:hAnsi="宋体" w:eastAsia="宋体" w:cs="宋体"/>
          <w:sz w:val="24"/>
          <w:szCs w:val="24"/>
          <w:highlight w:val="none"/>
          <w:u w:val="none"/>
          <w:lang w:val="en-US" w:eastAsia="zh-CN"/>
        </w:rPr>
        <w:t xml:space="preserve">万</w:t>
      </w:r>
      <w:r>
        <w:rPr>
          <w:rFonts w:hint="eastAsia" w:ascii="宋体" w:hAnsi="宋体" w:eastAsia="宋体" w:cs="宋体"/>
          <w:sz w:val="24"/>
          <w:szCs w:val="24"/>
          <w:highlight w:val="none"/>
          <w:u w:val="none"/>
        </w:rPr>
        <w:t xml:space="preserve">-1000</w:t>
      </w:r>
      <w:r>
        <w:rPr>
          <w:rFonts w:hint="eastAsia" w:ascii="宋体" w:hAnsi="宋体" w:eastAsia="宋体" w:cs="宋体"/>
          <w:sz w:val="24"/>
          <w:szCs w:val="24"/>
          <w:highlight w:val="none"/>
          <w:u w:val="none"/>
          <w:lang w:val="en-US" w:eastAsia="zh-CN"/>
        </w:rPr>
        <w:t xml:space="preserve">万</w:t>
      </w:r>
      <w:r>
        <w:rPr>
          <w:rFonts w:hint="eastAsia" w:ascii="宋体" w:hAnsi="宋体" w:eastAsia="宋体" w:cs="宋体"/>
          <w:sz w:val="24"/>
          <w:szCs w:val="24"/>
          <w:highlight w:val="none"/>
          <w:u w:val="none"/>
        </w:rPr>
        <w:t xml:space="preserve">部分费率</w:t>
      </w:r>
      <w:r>
        <w:rPr>
          <w:rFonts w:hint="eastAsia" w:ascii="宋体" w:hAnsi="宋体" w:eastAsia="宋体" w:cs="宋体"/>
          <w:sz w:val="24"/>
          <w:szCs w:val="24"/>
          <w:highlight w:val="none"/>
          <w:u w:val="none"/>
          <w:lang w:val="en-US" w:eastAsia="zh-CN"/>
        </w:rPr>
        <w:t xml:space="preserve">按</w:t>
      </w:r>
      <w:r>
        <w:rPr>
          <w:rFonts w:hint="eastAsia" w:ascii="宋体" w:hAnsi="宋体" w:eastAsia="宋体" w:cs="宋体"/>
          <w:sz w:val="24"/>
          <w:szCs w:val="24"/>
          <w:highlight w:val="none"/>
          <w:u w:val="none"/>
        </w:rPr>
        <w:t xml:space="preserve">0.</w:t>
      </w:r>
      <w:r>
        <w:rPr>
          <w:rFonts w:hint="eastAsia" w:ascii="宋体" w:hAnsi="宋体" w:eastAsia="宋体" w:cs="宋体"/>
          <w:sz w:val="24"/>
          <w:szCs w:val="24"/>
          <w:highlight w:val="none"/>
          <w:u w:val="none"/>
          <w:lang w:val="en-US" w:eastAsia="zh-CN"/>
        </w:rPr>
        <w:t xml:space="preserve">45</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lang w:val="en-US" w:eastAsia="zh-CN"/>
        </w:rPr>
        <w:t xml:space="preserve">在以上计算方法</w:t>
      </w:r>
      <w:r>
        <w:rPr>
          <w:rFonts w:hint="eastAsia" w:ascii="宋体" w:hAnsi="宋体" w:eastAsia="宋体" w:cs="宋体"/>
          <w:sz w:val="24"/>
          <w:szCs w:val="24"/>
          <w:highlight w:val="none"/>
          <w:u w:val="none"/>
        </w:rPr>
        <w:t xml:space="preserve">的</w:t>
      </w:r>
      <w:r>
        <w:rPr>
          <w:rFonts w:hint="eastAsia" w:ascii="宋体" w:hAnsi="宋体" w:eastAsia="宋体" w:cs="宋体"/>
          <w:sz w:val="24"/>
          <w:szCs w:val="24"/>
          <w:highlight w:val="none"/>
          <w:u w:val="none"/>
          <w:lang w:val="en-US" w:eastAsia="zh-CN"/>
        </w:rPr>
        <w:t xml:space="preserve">基础上按八折计取，</w:t>
      </w:r>
      <w:r>
        <w:rPr>
          <w:rFonts w:hint="eastAsia" w:ascii="宋体" w:hAnsi="宋体" w:eastAsia="宋体" w:cs="宋体"/>
          <w:sz w:val="24"/>
          <w:szCs w:val="24"/>
          <w:highlight w:val="none"/>
          <w:u w:val="none"/>
        </w:rPr>
        <w:t xml:space="preserve">以成交价为计算基数</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rPr>
      </w:r>
      <w:r/>
    </w:p>
    <w:p>
      <w:pPr>
        <w:pStyle w:val="712"/>
        <w:ind w:firstLine="480"/>
        <w:jc w:val="center"/>
        <w:spacing w:line="500" w:lineRule="exact"/>
        <w:rPr>
          <w:rFonts w:ascii="黑体" w:hAnsi="黑体" w:eastAsia="黑体"/>
          <w:color w:val="000000"/>
          <w:sz w:val="36"/>
          <w:szCs w:val="36"/>
          <w:highlight w:val="none"/>
        </w:rPr>
        <w:outlineLvl w:val="9"/>
      </w:pPr>
      <w:r/>
      <w:bookmarkStart w:id="164" w:name="_Toc20823314"/>
      <w:r/>
      <w:bookmarkStart w:id="165" w:name="_Toc120614221"/>
      <w:r/>
      <w:bookmarkStart w:id="166" w:name="_Toc479757207"/>
      <w:r/>
      <w:bookmarkStart w:id="167" w:name="_Toc513029242"/>
      <w:r/>
      <w:bookmarkStart w:id="168" w:name="_Toc16938558"/>
      <w:r>
        <w:rPr>
          <w:rFonts w:hint="eastAsia" w:ascii="宋体" w:hAnsi="宋体" w:eastAsia="宋体" w:cs="宋体"/>
          <w:bCs w:val="0"/>
          <w:sz w:val="24"/>
          <w:szCs w:val="24"/>
          <w:highlight w:val="none"/>
          <w:shd w:val="clear" w:color="auto" w:fill="auto"/>
        </w:rPr>
        <w:br w:type="page" w:clear="all"/>
      </w:r>
      <w:r>
        <w:rPr>
          <w:rFonts w:hint="eastAsia" w:ascii="黑体" w:hAnsi="黑体" w:eastAsia="黑体"/>
          <w:color w:val="000000"/>
          <w:sz w:val="36"/>
          <w:szCs w:val="36"/>
          <w:highlight w:val="none"/>
        </w:rPr>
        <w:t xml:space="preserve">第三章  合同</w:t>
      </w:r>
      <w:bookmarkEnd w:id="164"/>
      <w:r/>
      <w:bookmarkEnd w:id="165"/>
      <w:r/>
      <w:bookmarkEnd w:id="166"/>
      <w:r/>
      <w:bookmarkEnd w:id="167"/>
      <w:r/>
      <w:bookmarkEnd w:id="168"/>
      <w:r>
        <w:rPr>
          <w:rFonts w:hint="eastAsia" w:ascii="黑体" w:hAnsi="黑体" w:eastAsia="黑体"/>
          <w:color w:val="000000"/>
          <w:sz w:val="36"/>
          <w:szCs w:val="36"/>
          <w:highlight w:val="none"/>
        </w:rPr>
        <w:t xml:space="preserve">文本</w:t>
      </w:r>
      <w:r>
        <w:rPr>
          <w:rFonts w:ascii="黑体" w:hAnsi="黑体" w:eastAsia="黑体"/>
          <w:color w:val="000000"/>
          <w:sz w:val="36"/>
          <w:szCs w:val="36"/>
          <w:highlight w:val="none"/>
        </w:rPr>
      </w:r>
      <w:r/>
    </w:p>
    <w:p>
      <w:pPr>
        <w:pStyle w:val="712"/>
        <w:spacing w:line="360" w:lineRule="exact"/>
        <w:rPr>
          <w:rFonts w:hint="eastAsia" w:ascii="宋体" w:hAnsi="宋体"/>
          <w:bCs/>
          <w:color w:val="000000"/>
          <w:sz w:val="24"/>
          <w:highlight w:val="none"/>
        </w:rPr>
      </w:pPr>
      <w:r/>
      <w:bookmarkStart w:id="169" w:name="_Toc16938590"/>
      <w:r/>
      <w:bookmarkStart w:id="170" w:name="_Toc20823346"/>
      <w:r/>
      <w:bookmarkStart w:id="171" w:name="_Toc120614244"/>
      <w:r/>
      <w:bookmarkStart w:id="172" w:name="_Hlt16619350"/>
      <w:r/>
      <w:bookmarkStart w:id="173" w:name="_Toc479757211"/>
      <w:r/>
      <w:bookmarkStart w:id="174" w:name="_Toc462564139"/>
      <w:r>
        <w:rPr>
          <w:rFonts w:hint="eastAsia" w:ascii="宋体" w:hAnsi="宋体"/>
          <w:bCs/>
          <w:color w:val="000000"/>
          <w:sz w:val="24"/>
          <w:highlight w:val="none"/>
        </w:rPr>
      </w:r>
      <w:r/>
    </w:p>
    <w:p>
      <w:pPr>
        <w:pStyle w:val="712"/>
        <w:spacing w:line="440" w:lineRule="exact"/>
        <w:rPr>
          <w:rFonts w:ascii="宋体" w:hAnsi="宋体" w:eastAsia="宋体" w:cs="宋体"/>
          <w:bCs/>
          <w:color w:val="000000"/>
          <w:sz w:val="24"/>
          <w:szCs w:val="20"/>
          <w:highlight w:val="none"/>
          <w:u w:val="single"/>
          <w:lang w:val="en-US" w:eastAsia="zh-CN"/>
        </w:rPr>
      </w:pPr>
      <w:r/>
      <w:bookmarkStart w:id="175" w:name="_Toc90019499"/>
      <w:r>
        <w:rPr>
          <w:rFonts w:hint="eastAsia" w:ascii="宋体" w:hAnsi="宋体" w:cs="宋体"/>
          <w:bCs/>
          <w:color w:val="000000"/>
          <w:sz w:val="24"/>
          <w:szCs w:val="20"/>
          <w:highlight w:val="none"/>
        </w:rPr>
        <w:t xml:space="preserve">甲方（采购人）：</w:t>
      </w:r>
      <w:r>
        <w:rPr>
          <w:rFonts w:hint="eastAsia" w:ascii="宋体" w:hAnsi="宋体" w:cs="宋体"/>
          <w:bCs/>
          <w:color w:val="000000"/>
          <w:sz w:val="24"/>
          <w:szCs w:val="20"/>
          <w:highlight w:val="none"/>
          <w:u w:val="single"/>
          <w:lang w:eastAsia="zh-CN"/>
        </w:rPr>
        <w:t xml:space="preserve">无锡市梁溪区教育局</w:t>
      </w:r>
      <w:r>
        <w:rPr>
          <w:rFonts w:hint="eastAsia" w:ascii="宋体" w:hAnsi="宋体" w:cs="宋体"/>
          <w:bCs/>
          <w:color w:val="000000"/>
          <w:sz w:val="24"/>
          <w:szCs w:val="20"/>
          <w:highlight w:val="none"/>
          <w:u w:val="single"/>
          <w:lang w:val="en-US" w:eastAsia="zh-CN"/>
        </w:rPr>
        <w:t xml:space="preserve">    </w:t>
      </w:r>
      <w:r>
        <w:rPr>
          <w:rFonts w:ascii="宋体" w:hAnsi="宋体" w:eastAsia="宋体" w:cs="宋体"/>
          <w:bCs/>
          <w:color w:val="000000"/>
          <w:sz w:val="24"/>
          <w:szCs w:val="20"/>
          <w:highlight w:val="none"/>
          <w:u w:val="single"/>
          <w:lang w:val="en-US" w:eastAsia="zh-CN"/>
        </w:rPr>
      </w:r>
      <w:r/>
    </w:p>
    <w:p>
      <w:pPr>
        <w:pStyle w:val="712"/>
        <w:spacing w:line="440" w:lineRule="exact"/>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rPr>
        <w:t xml:space="preserve">乙方（成交方）：</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u w:val="single"/>
        </w:rPr>
      </w:r>
      <w:r/>
    </w:p>
    <w:p>
      <w:pPr>
        <w:pStyle w:val="712"/>
        <w:ind w:left="0" w:firstLine="480"/>
        <w:keepLines w:val="0"/>
        <w:keepNext w:val="0"/>
        <w:pageBreakBefore w:val="0"/>
        <w:spacing w:line="440" w:lineRule="exact"/>
        <w:widowControl w:val="off"/>
        <w:tabs>
          <w:tab w:val="left" w:pos="735"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1.政府采购编号：</w:t>
      </w:r>
      <w:r>
        <w:rPr>
          <w:rFonts w:hint="eastAsia" w:ascii="宋体" w:hAnsi="宋体" w:cs="宋体"/>
          <w:bCs/>
          <w:color w:val="000000"/>
          <w:sz w:val="24"/>
          <w:szCs w:val="20"/>
          <w:highlight w:val="none"/>
          <w:u w:val="single"/>
          <w:lang w:eastAsia="zh-CN"/>
        </w:rPr>
        <w:t xml:space="preserve">JSZC-320213-SDRD-G2026-0004</w:t>
      </w:r>
      <w:r>
        <w:rPr>
          <w:rFonts w:hint="eastAsia" w:ascii="宋体" w:hAnsi="宋体" w:cs="宋体"/>
          <w:bCs/>
          <w:color w:val="000000"/>
          <w:sz w:val="24"/>
          <w:szCs w:val="20"/>
          <w:highlight w:val="none"/>
        </w:rPr>
      </w:r>
      <w:r/>
    </w:p>
    <w:p>
      <w:pPr>
        <w:pStyle w:val="712"/>
        <w:ind w:left="0" w:firstLine="480"/>
        <w:keepLines w:val="0"/>
        <w:keepNext w:val="0"/>
        <w:pageBreakBefore w:val="0"/>
        <w:spacing w:line="460" w:lineRule="exact"/>
        <w:widowControl w:val="off"/>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rPr>
        <w:t xml:space="preserve">2.采购内容：</w:t>
      </w:r>
      <w:r>
        <w:rPr>
          <w:rFonts w:hint="eastAsia" w:ascii="宋体" w:hAnsi="宋体" w:eastAsia="宋体" w:cs="宋体"/>
          <w:bCs/>
          <w:color w:val="000000"/>
          <w:sz w:val="24"/>
          <w:szCs w:val="20"/>
          <w:highlight w:val="none"/>
          <w:u w:val="single"/>
          <w:lang w:eastAsia="zh-CN"/>
        </w:rPr>
        <w:t xml:space="preserve">无锡市梁溪区夹城里地块规划学校新建工程项目校园文化建设，</w:t>
      </w:r>
      <w:r>
        <w:rPr>
          <w:rFonts w:hint="eastAsia" w:ascii="宋体" w:hAnsi="宋体" w:eastAsia="宋体" w:cs="宋体"/>
          <w:bCs/>
          <w:color w:val="000000"/>
          <w:sz w:val="24"/>
          <w:szCs w:val="20"/>
          <w:highlight w:val="none"/>
          <w:u w:val="single"/>
          <w:lang w:val="en-US" w:eastAsia="zh-CN"/>
        </w:rPr>
        <w:t xml:space="preserve">具体</w:t>
      </w:r>
      <w:r>
        <w:rPr>
          <w:rFonts w:hint="eastAsia" w:ascii="宋体" w:hAnsi="宋体" w:cs="宋体"/>
          <w:bCs/>
          <w:color w:val="000000"/>
          <w:sz w:val="24"/>
          <w:szCs w:val="20"/>
          <w:highlight w:val="none"/>
          <w:u w:val="single"/>
          <w:lang w:val="en-US" w:eastAsia="zh-CN"/>
        </w:rPr>
        <w:t xml:space="preserve">详见需求清单</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u w:val="single"/>
        </w:rPr>
      </w:r>
      <w:r/>
    </w:p>
    <w:p>
      <w:pPr>
        <w:pStyle w:val="712"/>
        <w:ind w:left="0" w:firstLine="480"/>
        <w:keepLines w:val="0"/>
        <w:keepNext w:val="0"/>
        <w:pageBreakBefore w:val="0"/>
        <w:spacing w:line="460" w:lineRule="exact"/>
        <w:widowControl w:val="off"/>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rPr>
        <w:t xml:space="preserve">3.合同总金额：</w:t>
      </w:r>
      <w:r>
        <w:rPr>
          <w:rFonts w:hint="eastAsia" w:ascii="宋体" w:hAnsi="宋体" w:cs="宋体"/>
          <w:bCs/>
          <w:color w:val="000000"/>
          <w:sz w:val="24"/>
          <w:szCs w:val="20"/>
          <w:highlight w:val="none"/>
          <w:u w:val="single"/>
        </w:rPr>
        <w:t xml:space="preserve">（大写）                     ；（小写）                         </w:t>
      </w:r>
      <w:r>
        <w:rPr>
          <w:rFonts w:hint="eastAsia" w:ascii="宋体" w:hAnsi="宋体" w:cs="宋体"/>
          <w:bCs/>
          <w:color w:val="000000"/>
          <w:sz w:val="24"/>
          <w:szCs w:val="20"/>
          <w:highlight w:val="none"/>
          <w:u w:val="single"/>
        </w:rPr>
      </w:r>
      <w:r/>
    </w:p>
    <w:p>
      <w:pPr>
        <w:pStyle w:val="712"/>
        <w:ind w:left="0" w:firstLine="480"/>
        <w:keepLines w:val="0"/>
        <w:keepNext w:val="0"/>
        <w:pageBreakBefore w:val="0"/>
        <w:spacing w:line="440" w:lineRule="exact"/>
        <w:widowControl w:val="off"/>
        <w:tabs>
          <w:tab w:val="left" w:pos="735"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4.质量标准：</w:t>
      </w:r>
      <w:r>
        <w:rPr>
          <w:rFonts w:hint="eastAsia" w:ascii="宋体" w:hAnsi="宋体" w:cs="宋体"/>
          <w:bCs/>
          <w:color w:val="000000"/>
          <w:sz w:val="24"/>
          <w:highlight w:val="none"/>
          <w:lang w:eastAsia="zh-CN"/>
        </w:rPr>
        <w:t xml:space="preserve">一次性验收合格，满足采购人需求</w:t>
      </w:r>
      <w:r>
        <w:rPr>
          <w:rFonts w:hint="eastAsia" w:ascii="宋体" w:hAnsi="宋体" w:cs="宋体"/>
          <w:bCs/>
          <w:color w:val="000000"/>
          <w:sz w:val="22"/>
          <w:szCs w:val="18"/>
          <w:highlight w:val="none"/>
          <w:u w:val="none"/>
        </w:rPr>
        <w:t xml:space="preserve">         </w:t>
      </w:r>
      <w:r>
        <w:rPr>
          <w:rFonts w:hint="eastAsia" w:ascii="宋体" w:hAnsi="宋体" w:cs="宋体"/>
          <w:bCs/>
          <w:color w:val="000000"/>
          <w:sz w:val="24"/>
          <w:szCs w:val="20"/>
          <w:highlight w:val="none"/>
          <w:u w:val="none"/>
        </w:rPr>
        <w:t xml:space="preserve">                         </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r>
      <w:r/>
    </w:p>
    <w:p>
      <w:pPr>
        <w:pStyle w:val="712"/>
        <w:ind w:left="0" w:firstLine="480"/>
        <w:keepLines w:val="0"/>
        <w:keepNext w:val="0"/>
        <w:pageBreakBefore w:val="0"/>
        <w:spacing w:line="440" w:lineRule="exact"/>
        <w:widowControl w:val="off"/>
        <w:tabs>
          <w:tab w:val="left" w:pos="735" w:leader="none"/>
          <w:tab w:val="left" w:pos="1260" w:leader="none"/>
        </w:tabs>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rPr>
        <w:t xml:space="preserve">5.合同履约期：</w:t>
      </w:r>
      <w:r>
        <w:rPr>
          <w:rFonts w:hint="eastAsia" w:ascii="宋体" w:hAnsi="宋体" w:eastAsia="宋体" w:cs="宋体"/>
          <w:bCs/>
          <w:color w:val="000000"/>
          <w:sz w:val="22"/>
          <w:szCs w:val="18"/>
          <w:highlight w:val="none"/>
          <w:u w:val="single"/>
          <w:lang w:val="en-US" w:eastAsia="zh-CN"/>
        </w:rPr>
        <w:t xml:space="preserve">50日历天（第一阶段：双方签订合同之日起10日历天内按照采购人要求完成设计、制作方案的修改；第二阶段：经采购人确认后40日历天内完成制作、采购、安装，并通过采购人验收。）</w:t>
      </w:r>
      <w:r>
        <w:rPr>
          <w:rFonts w:hint="eastAsia" w:ascii="宋体" w:hAnsi="宋体" w:cs="宋体"/>
          <w:color w:val="000000"/>
          <w:sz w:val="24"/>
          <w:highlight w:val="none"/>
          <w:u w:val="single"/>
        </w:rPr>
        <w:t xml:space="preserve">                                                      </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u w:val="single"/>
        </w:rPr>
      </w:r>
      <w:r/>
    </w:p>
    <w:p>
      <w:pPr>
        <w:pStyle w:val="712"/>
        <w:ind w:left="0" w:firstLine="480"/>
        <w:keepLines w:val="0"/>
        <w:keepNext w:val="0"/>
        <w:pageBreakBefore w:val="0"/>
        <w:spacing w:line="440" w:lineRule="exact"/>
        <w:widowControl w:val="off"/>
        <w:tabs>
          <w:tab w:val="left" w:pos="735" w:leader="none"/>
          <w:tab w:val="left" w:pos="1260" w:leader="none"/>
        </w:tabs>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rPr>
        <w:t xml:space="preserve">6.项目地点：</w:t>
      </w:r>
      <w:r>
        <w:rPr>
          <w:rFonts w:hint="eastAsia" w:ascii="宋体" w:hAnsi="宋体" w:cs="宋体"/>
          <w:bCs/>
          <w:color w:val="000000"/>
          <w:sz w:val="24"/>
          <w:szCs w:val="20"/>
          <w:highlight w:val="none"/>
          <w:u w:val="single"/>
          <w:lang w:val="en-US" w:eastAsia="zh-CN"/>
        </w:rPr>
        <w:t xml:space="preserve">按甲方指定地点</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u w:val="single"/>
        </w:rPr>
      </w:r>
      <w:r/>
    </w:p>
    <w:p>
      <w:pPr>
        <w:pStyle w:val="712"/>
        <w:ind w:left="0" w:firstLine="480"/>
        <w:keepLines w:val="0"/>
        <w:keepNext w:val="0"/>
        <w:pageBreakBefore w:val="0"/>
        <w:spacing w:line="440" w:lineRule="exact"/>
        <w:widowControl w:val="off"/>
        <w:tabs>
          <w:tab w:val="left" w:pos="735"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7.付款方式：</w:t>
      </w:r>
      <w:r>
        <w:rPr>
          <w:rFonts w:hint="eastAsia" w:ascii="宋体" w:hAnsi="宋体" w:cs="宋体"/>
          <w:bCs/>
          <w:color w:val="000000"/>
          <w:sz w:val="24"/>
          <w:szCs w:val="20"/>
          <w:highlight w:val="none"/>
          <w:u w:val="single"/>
        </w:rPr>
        <w:t xml:space="preserve">详见合同条款                                                     </w:t>
      </w:r>
      <w:r>
        <w:rPr>
          <w:rFonts w:hint="eastAsia" w:ascii="宋体" w:hAnsi="宋体" w:cs="宋体"/>
          <w:bCs/>
          <w:color w:val="000000"/>
          <w:sz w:val="24"/>
          <w:szCs w:val="20"/>
          <w:highlight w:val="non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8.违约责任：</w:t>
      </w:r>
      <w:r>
        <w:rPr>
          <w:rFonts w:hint="eastAsia" w:ascii="宋体" w:hAnsi="宋体" w:cs="宋体"/>
          <w:bCs/>
          <w:color w:val="000000"/>
          <w:sz w:val="24"/>
          <w:szCs w:val="20"/>
          <w:highlight w:val="none"/>
          <w:u w:val="single"/>
        </w:rPr>
        <w:t xml:space="preserve">详见合同条款                                                           </w:t>
      </w:r>
      <w:r>
        <w:rPr>
          <w:rFonts w:hint="eastAsia" w:ascii="宋体" w:hAnsi="宋体" w:cs="宋体"/>
          <w:bCs/>
          <w:color w:val="000000"/>
          <w:sz w:val="24"/>
          <w:szCs w:val="20"/>
          <w:highlight w:val="non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cs="宋体"/>
          <w:color w:val="000000"/>
          <w:sz w:val="24"/>
          <w:szCs w:val="20"/>
          <w:highlight w:val="none"/>
          <w:u w:val="single"/>
        </w:rPr>
      </w:pPr>
      <w:r>
        <w:rPr>
          <w:rFonts w:hint="eastAsia" w:ascii="宋体" w:hAnsi="宋体" w:cs="宋体"/>
          <w:color w:val="000000"/>
          <w:sz w:val="24"/>
          <w:szCs w:val="20"/>
          <w:highlight w:val="none"/>
        </w:rPr>
        <w:t xml:space="preserve">9.解决争议的方式：</w:t>
      </w:r>
      <w:r>
        <w:rPr>
          <w:rFonts w:hint="eastAsia" w:ascii="宋体" w:hAnsi="宋体" w:cs="宋体"/>
          <w:bCs/>
          <w:color w:val="000000"/>
          <w:sz w:val="24"/>
          <w:szCs w:val="20"/>
          <w:highlight w:val="none"/>
          <w:u w:val="single"/>
        </w:rPr>
        <w:t xml:space="preserve">详见合同条款</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u w:val="singl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10.其他事项：</w:t>
      </w:r>
      <w:r>
        <w:rPr>
          <w:rFonts w:hint="eastAsia" w:ascii="宋体" w:hAnsi="宋体" w:eastAsia="宋体" w:cs="宋体"/>
          <w:color w:val="000000"/>
          <w:sz w:val="22"/>
          <w:szCs w:val="18"/>
          <w:highlight w:val="none"/>
          <w:u w:val="single"/>
        </w:rPr>
        <w:t xml:space="preserve">乙方应确保货物按照规定运输，运输费及相关费用、运输保险费由乙方承担</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11.合同不可分割部分：</w:t>
      </w:r>
      <w:r>
        <w:rPr>
          <w:rFonts w:hint="eastAsia" w:ascii="宋体" w:hAnsi="宋体" w:cs="宋体"/>
          <w:bCs/>
          <w:color w:val="000000"/>
          <w:sz w:val="24"/>
          <w:szCs w:val="20"/>
          <w:highlight w:val="non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采购文件、投标文件、合同条款及中标通知书，乙方在投标过程中所作其他有关承诺、声明、书面澄清等均为合同不可分割的部分，与主合同具有同等法律效力。</w:t>
      </w:r>
      <w:r>
        <w:rPr>
          <w:rFonts w:hint="eastAsia" w:ascii="宋体" w:hAnsi="宋体" w:cs="宋体"/>
          <w:bCs/>
          <w:color w:val="000000"/>
          <w:sz w:val="24"/>
          <w:szCs w:val="20"/>
          <w:highlight w:val="non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12.合同备案：</w:t>
      </w:r>
      <w:r>
        <w:rPr>
          <w:rFonts w:hint="eastAsia" w:ascii="宋体" w:hAnsi="宋体" w:cs="宋体"/>
          <w:bCs/>
          <w:color w:val="000000"/>
          <w:sz w:val="24"/>
          <w:szCs w:val="20"/>
          <w:highlight w:val="non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合同一式柒份，甲方执肆份，乙方执贰份，采购代理机构壹份。</w:t>
      </w:r>
      <w:r>
        <w:rPr>
          <w:rFonts w:hint="eastAsia" w:ascii="宋体" w:hAnsi="宋体" w:cs="宋体"/>
          <w:bCs/>
          <w:color w:val="000000"/>
          <w:sz w:val="24"/>
          <w:szCs w:val="20"/>
          <w:highlight w:val="non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13.合同生效：</w:t>
      </w:r>
      <w:r>
        <w:rPr>
          <w:rFonts w:hint="eastAsia" w:ascii="宋体" w:hAnsi="宋体" w:cs="宋体"/>
          <w:bCs/>
          <w:color w:val="000000"/>
          <w:sz w:val="24"/>
          <w:szCs w:val="20"/>
          <w:highlight w:val="none"/>
        </w:rPr>
      </w:r>
      <w:r/>
    </w:p>
    <w:p>
      <w:pPr>
        <w:pStyle w:val="712"/>
        <w:ind w:left="0" w:firstLine="480"/>
        <w:keepLines w:val="0"/>
        <w:keepNext w:val="0"/>
        <w:pageBreakBefore w:val="0"/>
        <w:spacing w:line="440" w:lineRule="exact"/>
        <w:widowControl w:val="off"/>
        <w:tabs>
          <w:tab w:val="left" w:pos="0" w:leader="none"/>
          <w:tab w:val="left" w:pos="1260"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本合同由甲乙双方签字、盖章并经见证后生效。</w:t>
      </w:r>
      <w:r>
        <w:rPr>
          <w:rFonts w:hint="eastAsia" w:ascii="宋体" w:hAnsi="宋体" w:cs="宋体"/>
          <w:bCs/>
          <w:color w:val="000000"/>
          <w:sz w:val="24"/>
          <w:szCs w:val="20"/>
          <w:highlight w:val="none"/>
        </w:rPr>
      </w:r>
      <w:r/>
    </w:p>
    <w:tbl>
      <w:tblPr>
        <w:tblStyle w:val="76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8"/>
      </w:tblGrid>
      <w:tr>
        <w:trPr/>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vertAlign w:val="baseline"/>
              </w:rPr>
            </w:pPr>
            <w:r>
              <w:rPr>
                <w:rFonts w:hint="eastAsia" w:ascii="宋体" w:hAnsi="宋体" w:cs="宋体"/>
                <w:bCs/>
                <w:color w:val="000000"/>
                <w:sz w:val="24"/>
                <w:szCs w:val="20"/>
                <w:highlight w:val="none"/>
              </w:rPr>
              <w:t xml:space="preserve">甲方（采购人）：</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（盖章）</w:t>
            </w:r>
            <w:r>
              <w:rPr>
                <w:rFonts w:hint="eastAsia" w:ascii="宋体" w:hAnsi="宋体" w:cs="宋体"/>
                <w:bCs/>
                <w:color w:val="000000"/>
                <w:sz w:val="24"/>
                <w:szCs w:val="20"/>
                <w:highlight w:val="none"/>
                <w:vertAlign w:val="baseline"/>
              </w:rPr>
            </w:r>
            <w:r/>
          </w:p>
        </w:tc>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vertAlign w:val="baseline"/>
              </w:rPr>
            </w:pPr>
            <w:r>
              <w:rPr>
                <w:rFonts w:hint="eastAsia" w:ascii="宋体" w:hAnsi="宋体" w:cs="宋体"/>
                <w:bCs/>
                <w:color w:val="000000"/>
                <w:sz w:val="24"/>
                <w:szCs w:val="20"/>
                <w:highlight w:val="none"/>
              </w:rPr>
              <w:t xml:space="preserve">乙方（成交方）：</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（盖章）</w:t>
            </w:r>
            <w:r>
              <w:rPr>
                <w:rFonts w:hint="eastAsia" w:ascii="宋体" w:hAnsi="宋体" w:cs="宋体"/>
                <w:bCs/>
                <w:color w:val="000000"/>
                <w:sz w:val="24"/>
                <w:szCs w:val="20"/>
                <w:highlight w:val="none"/>
                <w:vertAlign w:val="baseline"/>
              </w:rPr>
            </w:r>
            <w:r/>
          </w:p>
        </w:tc>
      </w:tr>
      <w:tr>
        <w:trPr/>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vertAlign w:val="baseline"/>
              </w:rPr>
            </w:pPr>
            <w:r>
              <w:rPr>
                <w:rFonts w:hint="eastAsia" w:ascii="宋体" w:hAnsi="宋体" w:cs="宋体"/>
                <w:bCs/>
                <w:color w:val="000000"/>
                <w:sz w:val="24"/>
                <w:szCs w:val="20"/>
                <w:highlight w:val="none"/>
              </w:rPr>
              <w:t xml:space="preserve">法定（授权）代表人：</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vertAlign w:val="baseline"/>
              </w:rPr>
            </w:r>
            <w:r/>
          </w:p>
        </w:tc>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vertAlign w:val="baseline"/>
              </w:rPr>
            </w:pPr>
            <w:r>
              <w:rPr>
                <w:rFonts w:hint="eastAsia" w:ascii="宋体" w:hAnsi="宋体" w:cs="宋体"/>
                <w:bCs/>
                <w:color w:val="000000"/>
                <w:sz w:val="24"/>
                <w:szCs w:val="20"/>
                <w:highlight w:val="none"/>
              </w:rPr>
              <w:t xml:space="preserve">法定（授权）代表人：</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vertAlign w:val="baseline"/>
              </w:rPr>
            </w:r>
            <w:r/>
          </w:p>
        </w:tc>
      </w:tr>
      <w:tr>
        <w:trPr/>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vertAlign w:val="baseline"/>
              </w:rPr>
            </w:pP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年</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月</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日</w:t>
            </w:r>
            <w:r>
              <w:rPr>
                <w:rFonts w:hint="eastAsia" w:ascii="宋体" w:hAnsi="宋体" w:cs="宋体"/>
                <w:bCs/>
                <w:color w:val="000000"/>
                <w:sz w:val="24"/>
                <w:szCs w:val="20"/>
                <w:highlight w:val="none"/>
                <w:vertAlign w:val="baseline"/>
              </w:rPr>
            </w:r>
            <w:r/>
          </w:p>
        </w:tc>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vertAlign w:val="baseline"/>
              </w:rPr>
            </w:pP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年</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月</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日</w:t>
            </w:r>
            <w:r>
              <w:rPr>
                <w:rFonts w:hint="eastAsia" w:ascii="宋体" w:hAnsi="宋体" w:cs="宋体"/>
                <w:bCs/>
                <w:color w:val="000000"/>
                <w:sz w:val="24"/>
                <w:szCs w:val="20"/>
                <w:highlight w:val="none"/>
                <w:vertAlign w:val="baseline"/>
              </w:rPr>
            </w:r>
            <w:r/>
          </w:p>
        </w:tc>
      </w:tr>
      <w:tr>
        <w:trPr/>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u w:val="single"/>
              </w:rPr>
            </w:r>
            <w:r/>
          </w:p>
        </w:tc>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u w:val="single"/>
              </w:rPr>
            </w:r>
            <w:r/>
          </w:p>
        </w:tc>
      </w:tr>
      <w:tr>
        <w:trPr/>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见证单位（盖章）： </w:t>
            </w:r>
            <w:r>
              <w:rPr>
                <w:rFonts w:hint="eastAsia" w:ascii="宋体" w:hAnsi="宋体" w:cs="宋体"/>
                <w:bCs/>
                <w:color w:val="000000"/>
                <w:sz w:val="24"/>
                <w:szCs w:val="20"/>
                <w:highlight w:val="none"/>
              </w:rPr>
            </w:r>
            <w:r/>
          </w:p>
        </w:tc>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u w:val="single"/>
              </w:rPr>
            </w:r>
            <w:r/>
          </w:p>
        </w:tc>
      </w:tr>
      <w:tr>
        <w:trPr/>
        <w:tc>
          <w:tcPr>
            <w:tcW w:w="4983" w:type="dxa"/>
            <w:vAlign w:val="top"/>
            <w:textDirection w:val="lrTb"/>
            <w:noWrap w:val="false"/>
          </w:tcPr>
          <w:p>
            <w:pPr>
              <w:pStyle w:val="712"/>
              <w:spacing w:line="440" w:lineRule="exact"/>
              <w:rPr>
                <w:rFonts w:ascii="宋体" w:hAnsi="宋体" w:eastAsia="宋体" w:cs="宋体"/>
                <w:bCs/>
                <w:color w:val="000000"/>
                <w:sz w:val="24"/>
                <w:szCs w:val="20"/>
                <w:highlight w:val="none"/>
                <w:lang w:val="en-US" w:eastAsia="zh-CN"/>
              </w:rPr>
            </w:pPr>
            <w:r>
              <w:rPr>
                <w:rFonts w:hint="eastAsia" w:ascii="宋体" w:hAnsi="宋体" w:cs="宋体"/>
                <w:bCs/>
                <w:color w:val="000000"/>
                <w:sz w:val="24"/>
                <w:szCs w:val="20"/>
                <w:highlight w:val="none"/>
                <w:lang w:val="en-US" w:eastAsia="zh-CN"/>
              </w:rPr>
              <w:t xml:space="preserve">见证人：</w:t>
            </w:r>
            <w:r>
              <w:rPr>
                <w:rFonts w:ascii="宋体" w:hAnsi="宋体" w:eastAsia="宋体" w:cs="宋体"/>
                <w:bCs/>
                <w:color w:val="000000"/>
                <w:sz w:val="24"/>
                <w:szCs w:val="20"/>
                <w:highlight w:val="none"/>
                <w:lang w:val="en-US" w:eastAsia="zh-CN"/>
              </w:rPr>
            </w:r>
            <w:r/>
          </w:p>
        </w:tc>
        <w:tc>
          <w:tcPr>
            <w:tcW w:w="4983" w:type="dxa"/>
            <w:vAlign w:val="top"/>
            <w:textDirection w:val="lrTb"/>
            <w:noWrap w:val="false"/>
          </w:tcPr>
          <w:p>
            <w:pPr>
              <w:pStyle w:val="712"/>
              <w:spacing w:line="440" w:lineRule="exact"/>
              <w:rPr>
                <w:rFonts w:hint="eastAsia" w:ascii="宋体" w:hAnsi="宋体" w:cs="宋体"/>
                <w:bCs/>
                <w:color w:val="000000"/>
                <w:sz w:val="24"/>
                <w:szCs w:val="20"/>
                <w:highlight w:val="none"/>
                <w:u w:val="single"/>
              </w:rPr>
            </w:pPr>
            <w:r>
              <w:rPr>
                <w:rFonts w:hint="eastAsia" w:ascii="宋体" w:hAnsi="宋体" w:cs="宋体"/>
                <w:bCs/>
                <w:color w:val="000000"/>
                <w:sz w:val="24"/>
                <w:szCs w:val="20"/>
                <w:highlight w:val="none"/>
                <w:u w:val="single"/>
              </w:rPr>
            </w:r>
            <w:r/>
          </w:p>
        </w:tc>
      </w:tr>
    </w:tbl>
    <w:p>
      <w:pPr>
        <w:pStyle w:val="712"/>
        <w:spacing w:line="360" w:lineRule="auto"/>
        <w:rPr>
          <w:rFonts w:hint="eastAsia" w:ascii="宋体" w:hAnsi="宋体" w:cs="宋体"/>
          <w:bCs/>
          <w:color w:val="000000"/>
          <w:sz w:val="24"/>
          <w:szCs w:val="20"/>
          <w:highlight w:val="none"/>
        </w:rPr>
      </w:pPr>
      <w:r>
        <w:rPr>
          <w:rFonts w:hint="eastAsia" w:ascii="宋体" w:hAnsi="宋体" w:cs="宋体"/>
          <w:b/>
          <w:bCs/>
          <w:color w:val="000000"/>
          <w:sz w:val="24"/>
          <w:szCs w:val="20"/>
          <w:highlight w:val="none"/>
        </w:rPr>
        <w:t xml:space="preserve">注：</w:t>
      </w:r>
      <w:r>
        <w:rPr>
          <w:rFonts w:hint="eastAsia" w:ascii="宋体" w:hAnsi="宋体" w:cs="宋体"/>
          <w:bCs/>
          <w:color w:val="000000"/>
          <w:sz w:val="24"/>
          <w:szCs w:val="20"/>
          <w:highlight w:val="none"/>
        </w:rPr>
        <w:t xml:space="preserve">甲乙双方必须以本格式文本拟订合同。</w:t>
      </w:r>
      <w:r>
        <w:rPr>
          <w:rFonts w:hint="eastAsia" w:ascii="宋体" w:hAnsi="宋体" w:cs="宋体"/>
          <w:bCs/>
          <w:color w:val="000000"/>
          <w:sz w:val="24"/>
          <w:szCs w:val="20"/>
          <w:highlight w:val="none"/>
        </w:rPr>
      </w:r>
      <w:r/>
    </w:p>
    <w:p>
      <w:pPr>
        <w:pStyle w:val="712"/>
        <w:jc w:val="center"/>
        <w:spacing w:before="240" w:after="60" w:line="360" w:lineRule="auto"/>
        <w:rPr>
          <w:rFonts w:hint="eastAsia" w:ascii="宋体" w:hAnsi="宋体" w:cs="宋体"/>
          <w:bCs/>
          <w:color w:val="000000"/>
          <w:sz w:val="24"/>
          <w:highlight w:val="none"/>
        </w:rPr>
        <w:outlineLvl w:val="9"/>
      </w:pPr>
      <w:r>
        <w:rPr>
          <w:rFonts w:hint="eastAsia" w:ascii="宋体" w:hAnsi="宋体" w:cs="宋体"/>
          <w:b/>
          <w:color w:val="000000"/>
          <w:sz w:val="24"/>
          <w:highlight w:val="none"/>
        </w:rPr>
        <w:t xml:space="preserve">合同条款（格式）</w:t>
      </w:r>
      <w:r>
        <w:rPr>
          <w:rFonts w:hint="eastAsia" w:ascii="宋体" w:hAnsi="宋体" w:cs="宋体"/>
          <w:bCs/>
          <w:color w:val="000000"/>
          <w:sz w:val="24"/>
          <w:highlight w:val="none"/>
        </w:rPr>
      </w:r>
      <w:r/>
    </w:p>
    <w:p>
      <w:pPr>
        <w:pStyle w:val="712"/>
        <w:ind w:firstLine="480"/>
        <w:spacing w:line="360" w:lineRule="auto"/>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根据</w:t>
      </w:r>
      <w:r>
        <w:rPr>
          <w:rFonts w:hint="eastAsia" w:ascii="宋体" w:hAnsi="宋体" w:cs="宋体"/>
          <w:bCs/>
          <w:color w:val="000000"/>
          <w:sz w:val="24"/>
          <w:szCs w:val="20"/>
          <w:highlight w:val="none"/>
          <w:u w:val="single"/>
          <w:lang w:eastAsia="zh-CN"/>
        </w:rPr>
        <w:t xml:space="preserve">无锡市梁溪区夹城里地块规划学校新建工程项目校园文化建设</w:t>
      </w:r>
      <w:r>
        <w:rPr>
          <w:rFonts w:hint="eastAsia" w:ascii="宋体" w:hAnsi="宋体" w:cs="宋体"/>
          <w:bCs/>
          <w:color w:val="000000"/>
          <w:sz w:val="24"/>
          <w:szCs w:val="20"/>
          <w:highlight w:val="none"/>
        </w:rPr>
        <w:t xml:space="preserve">采购文件、投标文件、中标通知书，甲乙双方就此次项目及相关问题，同意按下列条款规定执行。</w:t>
      </w:r>
      <w:r>
        <w:rPr>
          <w:rFonts w:hint="eastAsia" w:ascii="宋体" w:hAnsi="宋体" w:cs="宋体"/>
          <w:bCs/>
          <w:color w:val="000000"/>
          <w:sz w:val="24"/>
          <w:szCs w:val="20"/>
          <w:highlight w:val="none"/>
        </w:rPr>
      </w:r>
      <w:r/>
    </w:p>
    <w:p>
      <w:pPr>
        <w:pStyle w:val="712"/>
        <w:ind w:firstLine="480"/>
        <w:spacing w:line="360" w:lineRule="auto"/>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（一） 合同内容：</w:t>
      </w:r>
      <w:r>
        <w:rPr>
          <w:rFonts w:hint="eastAsia" w:ascii="宋体" w:hAnsi="宋体" w:cs="宋体"/>
          <w:bCs/>
          <w:color w:val="000000"/>
          <w:sz w:val="24"/>
          <w:szCs w:val="20"/>
          <w:highlight w:val="none"/>
        </w:rPr>
      </w:r>
      <w:r/>
    </w:p>
    <w:p>
      <w:pPr>
        <w:pStyle w:val="712"/>
        <w:ind w:firstLine="525"/>
        <w:spacing w:line="360" w:lineRule="auto"/>
        <w:rPr>
          <w:rFonts w:hint="eastAsia" w:ascii="宋体" w:hAnsi="宋体" w:cs="宋体"/>
          <w:bCs/>
          <w:color w:val="000000"/>
          <w:sz w:val="24"/>
          <w:szCs w:val="20"/>
          <w:highlight w:val="none"/>
        </w:rPr>
      </w:pPr>
      <w:r>
        <w:rPr>
          <w:rFonts w:hint="eastAsia" w:ascii="宋体" w:hAnsi="宋体" w:cs="宋体"/>
          <w:color w:val="000000"/>
          <w:sz w:val="24"/>
          <w:highlight w:val="none"/>
        </w:rPr>
        <w:t xml:space="preserve">项目概况：</w:t>
      </w:r>
      <w:r>
        <w:rPr>
          <w:rFonts w:hint="eastAsia" w:ascii="宋体" w:hAnsi="宋体" w:eastAsia="宋体" w:cs="宋体"/>
          <w:bCs/>
          <w:color w:val="000000"/>
          <w:sz w:val="24"/>
          <w:szCs w:val="20"/>
          <w:highlight w:val="none"/>
          <w:u w:val="single"/>
          <w:lang w:eastAsia="zh-CN"/>
        </w:rPr>
        <w:t xml:space="preserve">无锡市梁溪区夹城里地块规划学校新建工程项目校园文化建设</w:t>
      </w:r>
      <w:r>
        <w:rPr>
          <w:rFonts w:hint="eastAsia" w:ascii="宋体" w:hAnsi="宋体" w:cs="宋体"/>
          <w:bCs/>
          <w:color w:val="000000"/>
          <w:sz w:val="24"/>
          <w:szCs w:val="20"/>
          <w:highlight w:val="none"/>
          <w:u w:val="single"/>
        </w:rPr>
        <w:t xml:space="preserve">，内容</w:t>
      </w:r>
      <w:r>
        <w:rPr>
          <w:rFonts w:hint="eastAsia" w:ascii="宋体" w:hAnsi="宋体" w:cs="宋体"/>
          <w:bCs/>
          <w:color w:val="000000"/>
          <w:sz w:val="24"/>
          <w:szCs w:val="20"/>
          <w:highlight w:val="none"/>
          <w:u w:val="single"/>
          <w:lang w:val="en-US" w:eastAsia="zh-CN"/>
        </w:rPr>
        <w:t xml:space="preserve">详见需求清单</w:t>
      </w:r>
      <w:r>
        <w:rPr>
          <w:rFonts w:hint="eastAsia" w:ascii="宋体" w:hAnsi="宋体" w:cs="宋体"/>
          <w:color w:val="000000"/>
          <w:sz w:val="24"/>
          <w:highlight w:val="none"/>
        </w:rPr>
        <w:t xml:space="preserve">。</w:t>
      </w:r>
      <w:r>
        <w:rPr>
          <w:rFonts w:hint="eastAsia" w:ascii="宋体" w:hAnsi="宋体" w:cs="宋体"/>
          <w:bCs/>
          <w:color w:val="000000"/>
          <w:sz w:val="24"/>
          <w:szCs w:val="20"/>
          <w:highlight w:val="none"/>
        </w:rPr>
      </w:r>
      <w:r/>
    </w:p>
    <w:p>
      <w:pPr>
        <w:pStyle w:val="712"/>
        <w:ind w:firstLine="525"/>
        <w:spacing w:line="360" w:lineRule="auto"/>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（二） 价格及支付：</w:t>
      </w:r>
      <w:r>
        <w:rPr>
          <w:rFonts w:hint="eastAsia" w:ascii="宋体" w:hAnsi="宋体" w:cs="宋体"/>
          <w:bCs/>
          <w:color w:val="000000"/>
          <w:sz w:val="24"/>
          <w:szCs w:val="20"/>
          <w:highlight w:val="none"/>
        </w:rPr>
      </w:r>
      <w:r/>
    </w:p>
    <w:p>
      <w:pPr>
        <w:pStyle w:val="712"/>
        <w:ind w:firstLine="525"/>
        <w:spacing w:line="360" w:lineRule="auto"/>
        <w:tabs>
          <w:tab w:val="left" w:pos="525" w:leader="none"/>
          <w:tab w:val="left" w:pos="1050"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1.</w:t>
      </w:r>
      <w:r>
        <w:rPr>
          <w:rFonts w:hint="eastAsia" w:ascii="宋体" w:hAnsi="宋体" w:cs="宋体"/>
          <w:bCs/>
          <w:color w:val="000000"/>
          <w:sz w:val="24"/>
          <w:szCs w:val="20"/>
          <w:highlight w:val="none"/>
        </w:rPr>
        <w:t xml:space="preserve">按此次成交价格执行，合同总标的额为</w:t>
      </w:r>
      <w:r>
        <w:rPr>
          <w:rFonts w:hint="eastAsia" w:ascii="宋体" w:hAnsi="宋体" w:cs="宋体"/>
          <w:bCs/>
          <w:color w:val="000000"/>
          <w:sz w:val="24"/>
          <w:szCs w:val="20"/>
          <w:highlight w:val="none"/>
          <w:u w:val="single"/>
        </w:rPr>
        <w:t xml:space="preserve">      </w:t>
      </w:r>
      <w:r>
        <w:rPr>
          <w:rFonts w:hint="eastAsia" w:ascii="宋体" w:hAnsi="宋体" w:cs="宋体"/>
          <w:bCs/>
          <w:color w:val="000000"/>
          <w:sz w:val="24"/>
          <w:szCs w:val="20"/>
          <w:highlight w:val="none"/>
        </w:rPr>
        <w:t xml:space="preserve">元。</w:t>
      </w:r>
      <w:r>
        <w:rPr>
          <w:rFonts w:hint="eastAsia" w:ascii="宋体" w:hAnsi="宋体" w:cs="宋体"/>
          <w:bCs/>
          <w:color w:val="000000"/>
          <w:sz w:val="24"/>
          <w:szCs w:val="20"/>
          <w:highlight w:val="none"/>
        </w:rPr>
      </w:r>
      <w:r/>
    </w:p>
    <w:p>
      <w:pPr>
        <w:pStyle w:val="712"/>
        <w:ind w:firstLine="525"/>
        <w:spacing w:line="360" w:lineRule="auto"/>
        <w:rPr>
          <w:rFonts w:hint="eastAsia" w:ascii="宋体" w:hAnsi="宋体" w:cs="宋体"/>
          <w:bCs/>
          <w:color w:val="000000"/>
          <w:sz w:val="24"/>
          <w:szCs w:val="20"/>
          <w:highlight w:val="none"/>
          <w:lang w:val="zh-CN"/>
        </w:rPr>
      </w:pPr>
      <w:r>
        <w:rPr>
          <w:rFonts w:hint="eastAsia" w:ascii="宋体" w:hAnsi="宋体" w:cs="宋体"/>
          <w:bCs/>
          <w:color w:val="000000"/>
          <w:sz w:val="24"/>
          <w:szCs w:val="20"/>
          <w:highlight w:val="none"/>
          <w:lang w:eastAsia="zh-CN"/>
        </w:rPr>
        <w:t xml:space="preserve">2.</w:t>
      </w:r>
      <w:r>
        <w:rPr>
          <w:rFonts w:hint="eastAsia" w:ascii="宋体" w:hAnsi="宋体" w:cs="宋体"/>
          <w:bCs/>
          <w:color w:val="000000"/>
          <w:sz w:val="24"/>
          <w:szCs w:val="20"/>
          <w:highlight w:val="none"/>
        </w:rPr>
        <w:t xml:space="preserve">付款方式：</w:t>
      </w:r>
      <w:r>
        <w:rPr>
          <w:rFonts w:hint="eastAsia" w:ascii="宋体" w:hAnsi="宋体" w:cs="宋体"/>
          <w:color w:val="000000"/>
          <w:sz w:val="24"/>
          <w:highlight w:val="none"/>
          <w:u w:val="single"/>
          <w:lang w:bidi="ar"/>
        </w:rPr>
        <w:t xml:space="preserve">合同签订生效后，支付合同价的</w:t>
      </w:r>
      <w:r>
        <w:rPr>
          <w:rFonts w:hint="eastAsia" w:ascii="宋体" w:hAnsi="宋体" w:cs="宋体"/>
          <w:color w:val="000000"/>
          <w:sz w:val="24"/>
          <w:highlight w:val="none"/>
          <w:u w:val="single"/>
          <w:lang w:val="en-US" w:eastAsia="zh-CN" w:bidi="ar"/>
        </w:rPr>
        <w:t xml:space="preserve">1</w:t>
      </w:r>
      <w:r>
        <w:rPr>
          <w:rFonts w:hint="eastAsia" w:ascii="宋体" w:hAnsi="宋体" w:cs="宋体"/>
          <w:color w:val="000000"/>
          <w:sz w:val="24"/>
          <w:highlight w:val="none"/>
          <w:u w:val="single"/>
          <w:lang w:bidi="ar"/>
        </w:rPr>
        <w:t xml:space="preserve">0%作为预付款,</w:t>
      </w:r>
      <w:r>
        <w:rPr>
          <w:rFonts w:hint="eastAsia" w:ascii="宋体" w:hAnsi="宋体" w:cs="宋体"/>
          <w:color w:val="000000"/>
          <w:sz w:val="24"/>
          <w:highlight w:val="none"/>
          <w:u w:val="single"/>
          <w:lang w:val="en-US" w:eastAsia="zh-CN" w:bidi="ar"/>
        </w:rPr>
        <w:t xml:space="preserve">图纸深化完成后付</w:t>
      </w:r>
      <w:r>
        <w:rPr>
          <w:rFonts w:hint="eastAsia" w:ascii="宋体" w:hAnsi="宋体"/>
          <w:b w:val="0"/>
          <w:bCs w:val="0"/>
          <w:color w:val="000000"/>
          <w:sz w:val="24"/>
          <w:highlight w:val="none"/>
          <w:u w:val="single"/>
        </w:rPr>
        <w:t xml:space="preserve">至合同价的3</w:t>
      </w:r>
      <w:r>
        <w:rPr>
          <w:rFonts w:ascii="宋体" w:hAnsi="宋体"/>
          <w:b w:val="0"/>
          <w:bCs w:val="0"/>
          <w:color w:val="000000"/>
          <w:sz w:val="24"/>
          <w:highlight w:val="none"/>
          <w:u w:val="single"/>
        </w:rPr>
        <w:t xml:space="preserve">0%</w:t>
      </w:r>
      <w:r>
        <w:rPr>
          <w:rFonts w:hint="eastAsia" w:ascii="宋体" w:hAnsi="宋体"/>
          <w:b w:val="0"/>
          <w:bCs w:val="0"/>
          <w:color w:val="000000"/>
          <w:sz w:val="24"/>
          <w:highlight w:val="none"/>
          <w:u w:val="single"/>
          <w:lang w:eastAsia="zh-CN"/>
        </w:rPr>
        <w:t xml:space="preserve">。</w:t>
      </w:r>
      <w:r>
        <w:rPr>
          <w:rFonts w:hint="eastAsia" w:ascii="宋体" w:hAnsi="宋体"/>
          <w:b w:val="0"/>
          <w:bCs w:val="0"/>
          <w:color w:val="000000"/>
          <w:sz w:val="24"/>
          <w:highlight w:val="none"/>
          <w:u w:val="single"/>
          <w:lang w:val="en-US" w:eastAsia="zh-CN"/>
        </w:rPr>
        <w:t xml:space="preserve">项目</w:t>
      </w:r>
      <w:r>
        <w:rPr>
          <w:rFonts w:hint="eastAsia" w:ascii="宋体" w:hAnsi="宋体" w:cs="宋体"/>
          <w:color w:val="000000"/>
          <w:sz w:val="24"/>
          <w:highlight w:val="none"/>
          <w:u w:val="single"/>
          <w:lang w:bidi="ar"/>
        </w:rPr>
        <w:t xml:space="preserve">完成通过验收合格以后付至合同价的70%，审计结束后一个月内付至100%。每次付款均在自收到中标供应商开具合法有效等额增值税发票后10日内支付。</w:t>
      </w:r>
      <w:r>
        <w:rPr>
          <w:rFonts w:hint="eastAsia" w:ascii="宋体" w:hAnsi="宋体" w:cs="宋体"/>
          <w:bCs/>
          <w:color w:val="000000"/>
          <w:sz w:val="24"/>
          <w:szCs w:val="20"/>
          <w:highlight w:val="none"/>
          <w:lang w:val="zh-CN"/>
        </w:rPr>
      </w:r>
      <w:r/>
    </w:p>
    <w:p>
      <w:pPr>
        <w:pStyle w:val="712"/>
        <w:ind w:firstLine="480"/>
        <w:spacing w:line="360" w:lineRule="auto"/>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3.</w:t>
      </w:r>
      <w:r>
        <w:rPr>
          <w:rFonts w:hint="eastAsia" w:ascii="宋体" w:hAnsi="宋体" w:cs="宋体"/>
          <w:bCs/>
          <w:color w:val="000000"/>
          <w:sz w:val="24"/>
          <w:szCs w:val="20"/>
          <w:highlight w:val="none"/>
        </w:rPr>
        <w:t xml:space="preserve">本合同</w:t>
      </w:r>
      <w:r>
        <w:rPr>
          <w:rFonts w:hint="eastAsia" w:ascii="宋体" w:hAnsi="宋体" w:cs="宋体"/>
          <w:bCs/>
          <w:color w:val="000000"/>
          <w:sz w:val="24"/>
          <w:szCs w:val="20"/>
          <w:highlight w:val="none"/>
          <w:lang w:val="en-US" w:eastAsia="zh-CN"/>
        </w:rPr>
        <w:t xml:space="preserve">为总价包干，</w:t>
      </w:r>
      <w:r>
        <w:rPr>
          <w:rFonts w:hint="eastAsia" w:ascii="宋体" w:hAnsi="宋体" w:cs="宋体"/>
          <w:color w:val="000000"/>
          <w:sz w:val="24"/>
          <w:highlight w:val="none"/>
          <w:lang w:bidi="ar"/>
        </w:rPr>
        <w:t xml:space="preserve">包括项目整体深化方案设计（含</w:t>
      </w:r>
      <w:r>
        <w:rPr>
          <w:rFonts w:hint="eastAsia" w:ascii="宋体" w:hAnsi="宋体" w:cs="宋体"/>
          <w:color w:val="000000"/>
          <w:sz w:val="24"/>
          <w:highlight w:val="none"/>
          <w:lang w:eastAsia="zh-CN" w:bidi="ar"/>
        </w:rPr>
        <w:t xml:space="preserve">实施</w:t>
      </w:r>
      <w:r>
        <w:rPr>
          <w:rFonts w:hint="eastAsia" w:ascii="宋体" w:hAnsi="宋体" w:cs="宋体"/>
          <w:color w:val="000000"/>
          <w:sz w:val="24"/>
          <w:highlight w:val="none"/>
          <w:lang w:bidi="ar"/>
        </w:rPr>
        <w:t xml:space="preserve">图设计）、</w:t>
      </w:r>
      <w:r>
        <w:rPr>
          <w:rFonts w:hint="eastAsia" w:ascii="宋体" w:hAnsi="宋体" w:eastAsia="宋体" w:cs="宋体"/>
          <w:color w:val="000000"/>
          <w:sz w:val="24"/>
          <w:szCs w:val="24"/>
          <w:highlight w:val="none"/>
        </w:rPr>
        <w:t xml:space="preserve">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w:t>
      </w:r>
      <w:r>
        <w:rPr>
          <w:rFonts w:hint="eastAsia" w:ascii="宋体" w:hAnsi="宋体" w:eastAsia="宋体" w:cs="宋体"/>
          <w:bCs/>
          <w:color w:val="000000"/>
          <w:sz w:val="24"/>
          <w:szCs w:val="24"/>
          <w:highlight w:val="none"/>
        </w:rPr>
        <w:t xml:space="preserve">垃圾清扫</w:t>
      </w:r>
      <w:r>
        <w:rPr>
          <w:rFonts w:hint="eastAsia" w:ascii="宋体" w:hAnsi="宋体" w:eastAsia="宋体" w:cs="宋体"/>
          <w:bCs/>
          <w:color w:val="000000"/>
          <w:sz w:val="24"/>
          <w:szCs w:val="24"/>
          <w:highlight w:val="none"/>
          <w:lang w:val="en-US" w:eastAsia="zh-CN"/>
        </w:rPr>
        <w:t xml:space="preserve">费、</w:t>
      </w:r>
      <w:r>
        <w:rPr>
          <w:rFonts w:hint="eastAsia" w:ascii="宋体" w:hAnsi="宋体" w:eastAsia="宋体" w:cs="宋体"/>
          <w:color w:val="000000"/>
          <w:sz w:val="24"/>
          <w:szCs w:val="24"/>
          <w:highlight w:val="none"/>
        </w:rPr>
        <w:t xml:space="preserve">验收费（含第三方验收）及其他附带服务的费用、保险、管理费、措施费、规费、利润、税金以及</w:t>
      </w:r>
      <w:r>
        <w:rPr>
          <w:rFonts w:hint="eastAsia" w:ascii="宋体" w:hAnsi="宋体" w:cs="宋体"/>
          <w:color w:val="000000"/>
          <w:sz w:val="24"/>
          <w:highlight w:val="none"/>
        </w:rPr>
        <w:t xml:space="preserve">免费维护期</w:t>
      </w:r>
      <w:r>
        <w:rPr>
          <w:rFonts w:hint="eastAsia" w:ascii="宋体" w:hAnsi="宋体" w:eastAsia="宋体" w:cs="宋体"/>
          <w:color w:val="000000"/>
          <w:sz w:val="24"/>
          <w:szCs w:val="24"/>
          <w:highlight w:val="none"/>
        </w:rPr>
        <w:t xml:space="preserve">内的售后服务</w:t>
      </w:r>
      <w:r>
        <w:rPr>
          <w:rFonts w:hint="eastAsia" w:ascii="宋体" w:hAnsi="宋体" w:cs="宋体"/>
          <w:color w:val="000000"/>
          <w:sz w:val="24"/>
          <w:szCs w:val="24"/>
          <w:highlight w:val="none"/>
          <w:lang w:eastAsia="zh-CN"/>
        </w:rPr>
        <w:t xml:space="preserve">及其他相关</w:t>
      </w:r>
      <w:r>
        <w:rPr>
          <w:rFonts w:hint="eastAsia" w:ascii="宋体" w:hAnsi="宋体" w:eastAsia="宋体" w:cs="宋体"/>
          <w:color w:val="000000"/>
          <w:sz w:val="24"/>
          <w:szCs w:val="24"/>
          <w:highlight w:val="none"/>
        </w:rPr>
        <w:t xml:space="preserve">费用等全部费用）</w:t>
      </w:r>
      <w:r>
        <w:rPr>
          <w:rFonts w:hint="eastAsia" w:ascii="宋体" w:hAnsi="宋体" w:cs="宋体"/>
          <w:bCs/>
          <w:color w:val="000000"/>
          <w:sz w:val="24"/>
          <w:szCs w:val="20"/>
          <w:highlight w:val="none"/>
          <w:lang w:val="en-US" w:eastAsia="zh-CN"/>
        </w:rPr>
        <w:t xml:space="preserve"> </w:t>
      </w:r>
      <w:r>
        <w:rPr>
          <w:rFonts w:hint="eastAsia" w:ascii="宋体" w:hAnsi="宋体" w:cs="宋体"/>
          <w:bCs/>
          <w:color w:val="000000"/>
          <w:sz w:val="24"/>
          <w:szCs w:val="20"/>
          <w:highlight w:val="none"/>
        </w:rPr>
        <w:t xml:space="preserve">。</w:t>
      </w:r>
      <w:r>
        <w:rPr>
          <w:rFonts w:hint="eastAsia" w:ascii="宋体" w:hAnsi="宋体" w:cs="宋体"/>
          <w:bCs/>
          <w:color w:val="000000"/>
          <w:sz w:val="24"/>
          <w:szCs w:val="20"/>
          <w:highlight w:val="none"/>
        </w:rPr>
      </w:r>
      <w:r/>
    </w:p>
    <w:p>
      <w:pPr>
        <w:pStyle w:val="712"/>
        <w:ind w:firstLine="480"/>
        <w:spacing w:line="360" w:lineRule="auto"/>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val="zh-CN"/>
        </w:rPr>
        <w:t xml:space="preserve">（三）</w:t>
      </w:r>
      <w:r>
        <w:rPr>
          <w:rFonts w:hint="eastAsia" w:ascii="宋体" w:hAnsi="宋体" w:cs="宋体"/>
          <w:bCs/>
          <w:color w:val="000000"/>
          <w:sz w:val="24"/>
          <w:szCs w:val="20"/>
          <w:highlight w:val="none"/>
        </w:rPr>
        <w:t xml:space="preserve"> 履约保证金：无。</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136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（四） 知识产权：</w:t>
      </w:r>
      <w:r>
        <w:rPr>
          <w:rFonts w:hint="eastAsia" w:ascii="宋体" w:hAnsi="宋体" w:cs="宋体"/>
          <w:bCs/>
          <w:color w:val="000000"/>
          <w:sz w:val="24"/>
          <w:szCs w:val="20"/>
          <w:highlight w:val="none"/>
        </w:rPr>
      </w:r>
      <w:r/>
    </w:p>
    <w:p>
      <w:pPr>
        <w:pStyle w:val="712"/>
        <w:ind w:firstLine="480"/>
        <w:spacing w:line="360" w:lineRule="auto"/>
        <w:tabs>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乙方应保证甲方在使用其服务及其任何部分时不受到第三方关于侵犯专利权、商标权或软件著作权等知识产权的指控。任何第三方如果提出侵权指控，乙方应承担可能发生的一切法律责任和费用。</w:t>
      </w:r>
      <w:r>
        <w:rPr>
          <w:rFonts w:hint="eastAsia" w:ascii="宋体" w:hAnsi="宋体" w:cs="宋体"/>
          <w:bCs/>
          <w:color w:val="000000"/>
          <w:sz w:val="24"/>
          <w:szCs w:val="20"/>
          <w:highlight w:val="none"/>
        </w:rPr>
      </w:r>
      <w:r/>
    </w:p>
    <w:p>
      <w:pPr>
        <w:pStyle w:val="712"/>
        <w:ind w:left="456"/>
        <w:spacing w:line="360" w:lineRule="auto"/>
        <w:tabs>
          <w:tab w:val="left" w:pos="73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（五） 质量与检验：</w:t>
      </w:r>
      <w:r>
        <w:rPr>
          <w:rFonts w:hint="eastAsia" w:ascii="宋体" w:hAnsi="宋体" w:cs="宋体"/>
          <w:bCs/>
          <w:color w:val="000000"/>
          <w:sz w:val="24"/>
          <w:szCs w:val="20"/>
          <w:highlight w:val="none"/>
        </w:rPr>
      </w:r>
      <w:r/>
    </w:p>
    <w:p>
      <w:pPr>
        <w:pStyle w:val="712"/>
        <w:ind w:firstLine="521"/>
        <w:spacing w:line="360" w:lineRule="auto"/>
        <w:tabs>
          <w:tab w:val="left" w:pos="525" w:leader="none"/>
          <w:tab w:val="left" w:pos="1050"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1.</w:t>
      </w:r>
      <w:r>
        <w:rPr>
          <w:rFonts w:hint="eastAsia" w:ascii="宋体" w:hAnsi="宋体" w:cs="宋体"/>
          <w:bCs/>
          <w:color w:val="000000"/>
          <w:sz w:val="24"/>
          <w:szCs w:val="20"/>
          <w:highlight w:val="none"/>
        </w:rPr>
        <w:t xml:space="preserve">乙方应严格按照采购文件的有关规定和乙方投标文件提供合格的货物与服务。                                   </w:t>
      </w:r>
      <w:r>
        <w:rPr>
          <w:rFonts w:hint="eastAsia" w:ascii="宋体" w:hAnsi="宋体" w:cs="宋体"/>
          <w:bCs/>
          <w:color w:val="000000"/>
          <w:sz w:val="24"/>
          <w:szCs w:val="20"/>
          <w:highlight w:val="none"/>
        </w:rPr>
      </w:r>
      <w:r/>
    </w:p>
    <w:p>
      <w:pPr>
        <w:pStyle w:val="712"/>
        <w:ind w:firstLine="521"/>
        <w:spacing w:line="360" w:lineRule="auto"/>
        <w:tabs>
          <w:tab w:val="left" w:pos="525" w:leader="none"/>
          <w:tab w:val="left" w:pos="1050"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2.</w:t>
      </w:r>
      <w:r>
        <w:rPr>
          <w:rFonts w:hint="eastAsia" w:ascii="宋体" w:hAnsi="宋体" w:cs="宋体"/>
          <w:bCs/>
          <w:color w:val="000000"/>
          <w:sz w:val="24"/>
          <w:szCs w:val="20"/>
          <w:highlight w:val="none"/>
        </w:rPr>
        <w:t xml:space="preserve">如果货物达不到采购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rPr>
          <w:rFonts w:hint="eastAsia" w:ascii="宋体" w:hAnsi="宋体" w:cs="宋体"/>
          <w:bCs/>
          <w:color w:val="000000"/>
          <w:sz w:val="24"/>
          <w:szCs w:val="20"/>
          <w:highlight w:val="none"/>
        </w:rPr>
      </w:r>
      <w:r/>
    </w:p>
    <w:p>
      <w:pPr>
        <w:pStyle w:val="712"/>
        <w:ind w:firstLine="521"/>
        <w:spacing w:line="360" w:lineRule="auto"/>
        <w:tabs>
          <w:tab w:val="left" w:pos="525" w:leader="none"/>
          <w:tab w:val="left" w:pos="1050"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3.</w:t>
      </w:r>
      <w:r>
        <w:rPr>
          <w:rFonts w:hint="eastAsia" w:ascii="宋体" w:hAnsi="宋体" w:cs="宋体"/>
          <w:bCs/>
          <w:color w:val="000000"/>
          <w:sz w:val="24"/>
          <w:szCs w:val="20"/>
          <w:highlight w:val="none"/>
        </w:rPr>
        <w:t xml:space="preserve">甲方不得擅自变更投标文件约定的相关内容，如有变更应按《中华人民共和国政府采购法》、财政部《政府采购货物和服务招标投标管理办法》的相关程序执行。</w:t>
      </w:r>
      <w:r>
        <w:rPr>
          <w:rFonts w:hint="eastAsia" w:ascii="宋体" w:hAnsi="宋体" w:cs="宋体"/>
          <w:bCs/>
          <w:color w:val="000000"/>
          <w:sz w:val="24"/>
          <w:szCs w:val="20"/>
          <w:highlight w:val="none"/>
        </w:rPr>
      </w:r>
      <w:r/>
    </w:p>
    <w:p>
      <w:pPr>
        <w:pStyle w:val="712"/>
        <w:ind w:firstLine="521"/>
        <w:spacing w:line="360" w:lineRule="auto"/>
        <w:tabs>
          <w:tab w:val="left" w:pos="525" w:leader="none"/>
          <w:tab w:val="left" w:pos="1050"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4.</w:t>
      </w:r>
      <w:r>
        <w:rPr>
          <w:rFonts w:hint="eastAsia" w:ascii="宋体" w:hAnsi="宋体" w:cs="宋体"/>
          <w:bCs/>
          <w:color w:val="000000"/>
          <w:sz w:val="24"/>
          <w:szCs w:val="20"/>
          <w:highlight w:val="none"/>
        </w:rPr>
        <w:t xml:space="preserve">在合同签订前和履行</w:t>
      </w:r>
      <w:r>
        <w:rPr>
          <w:rFonts w:hint="eastAsia" w:ascii="宋体" w:hAnsi="宋体" w:cs="宋体"/>
          <w:bCs/>
          <w:color w:val="000000"/>
          <w:sz w:val="24"/>
          <w:szCs w:val="20"/>
          <w:highlight w:val="none"/>
        </w:rPr>
        <w:t xml:space="preserve">过程中，乙方需提供与本项目产品相关的原材料（成品）检测报告，甲方有权进行复检（费用由甲方支付，乙方需配合送样；如检测不合格，费用由乙方承担）。若检测数据不合格，甲方有权要求乙方对全部货物进行更换，若乙方未按时完成更换或更换后仍不满足甲方要求的，则甲方有权要求乙方支付合同价款30%的违约金（甲方有权在应付乙方的款项中直接扣除赔偿金和违约金，不足扣除部分，甲方有权向乙方追偿）；情节严重的终止合同，由此造成的一切损失由乙方承担。如果双方对验收结果有异议，可委托权威机构进行检测，所产生的检测及验收费用由过失方承担。</w:t>
      </w:r>
      <w:r>
        <w:rPr>
          <w:rFonts w:hint="eastAsia" w:ascii="宋体" w:hAnsi="宋体" w:cs="宋体"/>
          <w:bCs/>
          <w:color w:val="000000"/>
          <w:sz w:val="24"/>
          <w:szCs w:val="20"/>
          <w:highlight w:val="none"/>
        </w:rPr>
      </w:r>
      <w:r/>
    </w:p>
    <w:p>
      <w:pPr>
        <w:pStyle w:val="712"/>
        <w:ind w:firstLine="521"/>
        <w:spacing w:line="360" w:lineRule="auto"/>
        <w:tabs>
          <w:tab w:val="left" w:pos="525" w:leader="none"/>
          <w:tab w:val="left" w:pos="1050"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5.</w:t>
      </w:r>
      <w:r>
        <w:rPr>
          <w:rFonts w:hint="eastAsia" w:ascii="宋体" w:hAnsi="宋体" w:cs="宋体"/>
          <w:bCs/>
          <w:color w:val="000000"/>
          <w:sz w:val="24"/>
          <w:szCs w:val="20"/>
          <w:highlight w:val="none"/>
        </w:rPr>
        <w:t xml:space="preserve">乙</w:t>
      </w:r>
      <w:r>
        <w:rPr>
          <w:rFonts w:hint="eastAsia" w:ascii="宋体" w:hAnsi="宋体" w:cs="宋体"/>
          <w:bCs/>
          <w:color w:val="000000"/>
          <w:sz w:val="24"/>
          <w:szCs w:val="20"/>
          <w:highlight w:val="none"/>
        </w:rPr>
        <w:t xml:space="preserve">方所供货物运送到场地后，甲方有权委托检测检验机构进行抽样验收，并出具书面检验报告（费用由甲方支付，乙方需配合送样；如检测不合格，费用由乙方承担）。若检测不合格，甲方有权要求乙方对全部货物进行更换，若乙方未按时完成更换或更换后仍不满足甲方要求的，则甲方有权要求乙方支付合同价款30%的违约金（甲方有权在应付乙方的款项中直接扣除赔偿金和违约金，不足扣除部分，甲方有权向乙方追偿）；情节严重的终止合同，由此造成的一切损失由乙方承担。如果双方对验收结果有异议，可委托权威机构进行检测，所产生的检测及验收费用由过失方承担。</w:t>
      </w:r>
      <w:r>
        <w:rPr>
          <w:rFonts w:hint="eastAsia" w:ascii="宋体" w:hAnsi="宋体" w:cs="宋体"/>
          <w:bCs/>
          <w:color w:val="000000"/>
          <w:sz w:val="24"/>
          <w:szCs w:val="20"/>
          <w:highlight w:val="none"/>
        </w:rPr>
      </w:r>
      <w:r/>
    </w:p>
    <w:p>
      <w:pPr>
        <w:pStyle w:val="712"/>
        <w:ind w:firstLine="521"/>
        <w:spacing w:line="360" w:lineRule="auto"/>
        <w:tabs>
          <w:tab w:val="left" w:pos="525" w:leader="none"/>
          <w:tab w:val="left" w:pos="1050"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6.</w:t>
      </w:r>
      <w:r>
        <w:rPr>
          <w:rFonts w:hint="eastAsia" w:ascii="宋体" w:hAnsi="宋体" w:cs="宋体"/>
          <w:bCs/>
          <w:color w:val="000000"/>
          <w:sz w:val="24"/>
          <w:szCs w:val="20"/>
          <w:highlight w:val="none"/>
        </w:rPr>
        <w:t xml:space="preserve">合同履行过程中，如发现实物与清单特征描述所用材质不符，甲方有权要求乙方对全部货物进行更换，若乙方未按时完成更换或更换后仍不满足甲方要求的，则甲方有权要求乙方支付合同价款30%的违约金（甲方有权在应付乙方的款项中直接扣除违约金，不足扣除部分，甲方有权向乙方追偿）；情节严重的终止合同，由此造成的一切损失由乙方承担。如果双方对试验结果有异议，可委托权威机构进行检测，所产生的检测及验收费用由过失方承担。</w:t>
      </w:r>
      <w:r>
        <w:rPr>
          <w:rFonts w:hint="eastAsia" w:ascii="宋体" w:hAnsi="宋体" w:cs="宋体"/>
          <w:bCs/>
          <w:color w:val="000000"/>
          <w:sz w:val="24"/>
          <w:szCs w:val="20"/>
          <w:highlight w:val="none"/>
        </w:rPr>
      </w:r>
      <w:r/>
    </w:p>
    <w:p>
      <w:pPr>
        <w:pStyle w:val="712"/>
        <w:ind w:firstLine="480"/>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（六）安装调试及售后服务：</w:t>
      </w:r>
      <w:r>
        <w:rPr>
          <w:rFonts w:hint="eastAsia" w:ascii="宋体" w:hAnsi="宋体" w:cs="宋体"/>
          <w:bCs/>
          <w:color w:val="000000"/>
          <w:sz w:val="24"/>
          <w:szCs w:val="20"/>
          <w:highlight w:val="none"/>
        </w:rPr>
      </w:r>
      <w:r/>
    </w:p>
    <w:p>
      <w:pPr>
        <w:pStyle w:val="712"/>
        <w:ind w:firstLine="480"/>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1.</w:t>
      </w:r>
      <w:r>
        <w:rPr>
          <w:rFonts w:hint="eastAsia" w:ascii="宋体" w:hAnsi="宋体" w:cs="宋体"/>
          <w:bCs/>
          <w:color w:val="000000"/>
          <w:sz w:val="24"/>
          <w:szCs w:val="20"/>
          <w:highlight w:val="none"/>
        </w:rPr>
        <w:t xml:space="preserve">乙方负责本项目的安装和调试，并保证其提供的货物符合国家、行业、地方、采购文件要求和乙方投标文件及合同规定的质量、性能和标准，并正确且安全地安装。</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2.</w:t>
      </w:r>
      <w:r>
        <w:rPr>
          <w:rFonts w:hint="eastAsia" w:ascii="宋体" w:hAnsi="宋体" w:cs="宋体"/>
          <w:bCs/>
          <w:color w:val="000000"/>
          <w:sz w:val="24"/>
          <w:szCs w:val="20"/>
          <w:highlight w:val="none"/>
        </w:rPr>
        <w:t xml:space="preserve">甲方有权派遣检验人员到乙方（或制造商处）会同乙方检验人员对货物的制造过程和质量进行监督、检验。</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3.</w:t>
      </w:r>
      <w:r>
        <w:rPr>
          <w:rFonts w:hint="eastAsia" w:ascii="宋体" w:hAnsi="宋体" w:cs="宋体"/>
          <w:bCs/>
          <w:color w:val="000000"/>
          <w:sz w:val="24"/>
          <w:szCs w:val="20"/>
          <w:highlight w:val="none"/>
        </w:rPr>
        <w:t xml:space="preserve">全部货物最终验收合格并交付前，货物毁损、灭失、火灾和其他风险均由乙方承担。如果任何被检验的货物不能满足本合同的要求，甲方可以拒绝接收该货物，乙方应按甲方要求在24小时内免费更换被拒绝的货物，或者免费进行必要的修改以满足本合同的要求；对此，甲方有选择权。如果乙方未在甲方要求的期限内完成更换或修改，甲方可自行向第三方购买，一应费用和风险由乙方承担，同时甲方对乙方行使的其他权利不受影响，乙方应承担逾期交货责任并赔偿给甲方造成的全部损失。交货日期以货物最终通过验收小组验收之日为准。</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4.</w:t>
      </w:r>
      <w:r>
        <w:rPr>
          <w:rFonts w:hint="eastAsia" w:ascii="宋体" w:hAnsi="宋体" w:cs="宋体"/>
          <w:bCs/>
          <w:color w:val="000000"/>
          <w:sz w:val="24"/>
          <w:szCs w:val="20"/>
          <w:highlight w:val="none"/>
        </w:rPr>
        <w:t xml:space="preserve">甲方验收机构</w:t>
      </w:r>
      <w:r>
        <w:rPr>
          <w:rFonts w:hint="eastAsia" w:ascii="宋体" w:hAnsi="宋体" w:cs="宋体"/>
          <w:bCs/>
          <w:color w:val="000000"/>
          <w:sz w:val="24"/>
          <w:szCs w:val="20"/>
          <w:highlight w:val="none"/>
          <w:lang w:eastAsia="zh-CN"/>
        </w:rPr>
        <w:t xml:space="preserve">、</w:t>
      </w:r>
      <w:r>
        <w:rPr>
          <w:rFonts w:hint="eastAsia" w:ascii="宋体" w:hAnsi="宋体" w:cs="宋体"/>
          <w:bCs/>
          <w:color w:val="000000"/>
          <w:sz w:val="24"/>
          <w:szCs w:val="20"/>
          <w:highlight w:val="none"/>
        </w:rPr>
        <w:t xml:space="preserve">人员在货物到达现场后对货物进行验收，必要时拒绝接收货物的权力，不会因为货物起运前通过了甲方或甲方代表的检验、测试认可而受到限制或放弃。</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5.</w:t>
      </w:r>
      <w:r>
        <w:rPr>
          <w:rFonts w:hint="eastAsia" w:ascii="宋体" w:hAnsi="宋体" w:cs="宋体"/>
          <w:bCs/>
          <w:color w:val="000000"/>
          <w:sz w:val="24"/>
          <w:szCs w:val="20"/>
          <w:highlight w:val="none"/>
        </w:rPr>
        <w:t xml:space="preserve">如果在本合同约定的</w:t>
      </w:r>
      <w:r>
        <w:rPr>
          <w:rFonts w:hint="eastAsia" w:ascii="宋体" w:hAnsi="宋体" w:cs="宋体"/>
          <w:color w:val="000000"/>
          <w:sz w:val="24"/>
          <w:highlight w:val="none"/>
        </w:rPr>
        <w:t xml:space="preserve">免费维护期</w:t>
      </w:r>
      <w:r>
        <w:rPr>
          <w:rFonts w:hint="eastAsia" w:ascii="宋体" w:hAnsi="宋体" w:cs="宋体"/>
          <w:bCs/>
          <w:color w:val="000000"/>
          <w:sz w:val="24"/>
          <w:szCs w:val="20"/>
          <w:highlight w:val="none"/>
        </w:rPr>
        <w:t xml:space="preserve">内，根据检验结果发现货物的质量、规格等与本合同要求不符，或货物被证实有缺陷，包括潜在的缺陷或使用不合适的材料等，甲方有权向乙方提出索赔。</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6.</w:t>
      </w:r>
      <w:r>
        <w:rPr>
          <w:rFonts w:hint="eastAsia" w:ascii="宋体" w:hAnsi="宋体" w:cs="宋体"/>
          <w:bCs/>
          <w:color w:val="000000"/>
          <w:sz w:val="24"/>
          <w:szCs w:val="20"/>
          <w:highlight w:val="none"/>
        </w:rPr>
        <w:t xml:space="preserve">甲乙双方、安装单位共同组成验收机构，按照安装、调试的相应要求对货物进行安装调试和验收工作，各方共同签署相应的《验收证明书》。该证书的签署，并不能免除乙方对所提供的货物在货物质量保证期期满前应承担的质量保证义务。</w:t>
      </w:r>
      <w:r>
        <w:rPr>
          <w:rFonts w:hint="eastAsia" w:ascii="宋体" w:hAnsi="宋体" w:cs="宋体"/>
          <w:bCs/>
          <w:color w:val="000000"/>
          <w:sz w:val="24"/>
          <w:szCs w:val="20"/>
          <w:highlight w:val="none"/>
        </w:rPr>
      </w:r>
      <w:r/>
    </w:p>
    <w:p>
      <w:pPr>
        <w:pStyle w:val="765"/>
        <w:ind w:left="0" w:right="15" w:firstLine="480"/>
        <w:jc w:val="left"/>
        <w:spacing w:line="360" w:lineRule="auto"/>
        <w:tabs>
          <w:tab w:val="left" w:pos="851"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7.</w:t>
      </w:r>
      <w:r>
        <w:rPr>
          <w:rFonts w:hint="eastAsia" w:ascii="宋体" w:hAnsi="宋体" w:cs="宋体"/>
          <w:color w:val="000000"/>
          <w:sz w:val="24"/>
          <w:szCs w:val="24"/>
          <w:highlight w:val="none"/>
        </w:rPr>
        <w:t xml:space="preserve">乙方应委派经验丰富的工作人员进行运输、卸货、安装、调试和培训，负责货物运输、卸货、安装、调试及培训期间的安全，遵守甲方的安全管理。如因乙方原因造成任一方人员伤亡或财产损失，均由乙方承担相关责任，并赔偿甲方及第三方因此造成的一切损失。</w:t>
      </w:r>
      <w:r>
        <w:rPr>
          <w:rFonts w:hint="eastAsia" w:ascii="宋体" w:hAnsi="宋体" w:cs="宋体"/>
          <w:bCs/>
          <w:color w:val="000000"/>
          <w:sz w:val="24"/>
          <w:szCs w:val="24"/>
          <w:highlight w:val="none"/>
        </w:rPr>
        <w:t xml:space="preserve">如一经发现乙方拟派本项目安装人员不具备相关从业证书的，甲方有权要求乙方进行更换，并处以2000元</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次的罚款；如相关人员不具备相关从业证书且在从业期间发生安全事故的，乙方自行承担一切经济及法律责任，且甲方有权对乙方处以合同总金额30%的罚款。上述违约金可从应支付的货款中直接扣除。</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8.</w:t>
      </w:r>
      <w:r>
        <w:rPr>
          <w:rFonts w:hint="eastAsia" w:ascii="宋体" w:hAnsi="宋体" w:cs="宋体"/>
          <w:bCs/>
          <w:color w:val="000000"/>
          <w:sz w:val="24"/>
          <w:szCs w:val="20"/>
          <w:highlight w:val="none"/>
        </w:rPr>
        <w:t xml:space="preserve">乙方提供的服务、产品全部按照国家有关法律法规规章和“三包”规定以及按照采购文件要求和乙方投标文件中的承诺执行。</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9.</w:t>
      </w:r>
      <w:r>
        <w:rPr>
          <w:rFonts w:hint="eastAsia" w:ascii="宋体" w:hAnsi="宋体" w:cs="宋体"/>
          <w:bCs/>
          <w:color w:val="000000"/>
          <w:sz w:val="24"/>
          <w:szCs w:val="20"/>
          <w:highlight w:val="none"/>
        </w:rPr>
        <w:t xml:space="preserve">免费</w:t>
      </w:r>
      <w:r>
        <w:rPr>
          <w:rFonts w:hint="eastAsia" w:ascii="宋体" w:hAnsi="宋体" w:cs="宋体"/>
          <w:bCs/>
          <w:color w:val="000000"/>
          <w:sz w:val="24"/>
          <w:szCs w:val="20"/>
          <w:highlight w:val="none"/>
          <w:lang w:val="en-US" w:eastAsia="zh-CN"/>
        </w:rPr>
        <w:t xml:space="preserve">维护期</w:t>
      </w:r>
      <w:r>
        <w:rPr>
          <w:rFonts w:hint="eastAsia" w:ascii="宋体" w:hAnsi="宋体" w:cs="宋体"/>
          <w:bCs/>
          <w:color w:val="000000"/>
          <w:sz w:val="24"/>
          <w:szCs w:val="20"/>
          <w:highlight w:val="none"/>
        </w:rPr>
        <w:t xml:space="preserve">：</w:t>
      </w:r>
      <w:r>
        <w:rPr>
          <w:rFonts w:hint="eastAsia" w:ascii="宋体" w:hAnsi="宋体" w:cs="宋体"/>
          <w:bCs/>
          <w:color w:val="000000"/>
          <w:sz w:val="24"/>
          <w:szCs w:val="20"/>
          <w:highlight w:val="none"/>
          <w:u w:val="single"/>
        </w:rPr>
        <w:t xml:space="preserve">      （以中标承诺为准）</w:t>
      </w:r>
      <w:r>
        <w:rPr>
          <w:rFonts w:hint="eastAsia" w:ascii="宋体" w:hAnsi="宋体" w:cs="宋体"/>
          <w:bCs/>
          <w:color w:val="000000"/>
          <w:sz w:val="24"/>
          <w:szCs w:val="20"/>
          <w:highlight w:val="none"/>
        </w:rPr>
        <w:t xml:space="preserve">，自项目验收合格之日起计。</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10.</w:t>
      </w:r>
      <w:r>
        <w:rPr>
          <w:rFonts w:hint="eastAsia" w:ascii="宋体" w:hAnsi="宋体" w:cs="宋体"/>
          <w:bCs/>
          <w:color w:val="000000"/>
          <w:sz w:val="24"/>
          <w:szCs w:val="20"/>
          <w:highlight w:val="none"/>
        </w:rPr>
        <w:t xml:space="preserve">甲方应向乙方现场调试的技术人员及维修人员提供方便条件，有关费用由乙方负责。</w:t>
      </w:r>
      <w:r>
        <w:rPr>
          <w:rFonts w:hint="eastAsia" w:ascii="宋体" w:hAnsi="宋体" w:cs="宋体"/>
          <w:bCs/>
          <w:color w:val="000000"/>
          <w:sz w:val="24"/>
          <w:szCs w:val="20"/>
          <w:highlight w:val="none"/>
        </w:rPr>
      </w:r>
      <w:r/>
    </w:p>
    <w:p>
      <w:pPr>
        <w:pStyle w:val="712"/>
        <w:ind w:left="2" w:firstLine="521"/>
        <w:spacing w:line="360" w:lineRule="auto"/>
        <w:tabs>
          <w:tab w:val="left" w:pos="945" w:leader="none"/>
          <w:tab w:val="left" w:pos="115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11.</w:t>
      </w:r>
      <w:r>
        <w:rPr>
          <w:rFonts w:hint="eastAsia" w:ascii="宋体" w:hAnsi="宋体" w:cs="宋体"/>
          <w:bCs/>
          <w:color w:val="000000"/>
          <w:sz w:val="24"/>
          <w:szCs w:val="20"/>
          <w:highlight w:val="none"/>
        </w:rPr>
        <w:t xml:space="preserve">甲方如要求乙方提供采购文件及乙方投标文件以外的其他服务，其费用另定。</w:t>
      </w:r>
      <w:r>
        <w:rPr>
          <w:rFonts w:hint="eastAsia" w:ascii="宋体" w:hAnsi="宋体" w:cs="宋体"/>
          <w:bCs/>
          <w:color w:val="000000"/>
          <w:sz w:val="24"/>
          <w:szCs w:val="20"/>
          <w:highlight w:val="none"/>
        </w:rPr>
      </w:r>
      <w:r/>
    </w:p>
    <w:p>
      <w:pPr>
        <w:pStyle w:val="712"/>
        <w:ind w:firstLine="480"/>
        <w:spacing w:line="360" w:lineRule="auto"/>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（七） 违约责任：</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1.</w:t>
      </w:r>
      <w:r>
        <w:rPr>
          <w:rFonts w:hint="eastAsia" w:ascii="宋体" w:hAnsi="宋体" w:cs="宋体"/>
          <w:bCs/>
          <w:color w:val="000000"/>
          <w:sz w:val="24"/>
          <w:szCs w:val="20"/>
          <w:highlight w:val="none"/>
        </w:rPr>
        <w:t xml:space="preserve">在履行合同的过程中，如果乙方遇到妨碍按时提供服务的情况时，应及时以书面形式将拖延的事实、可能拖延的时间和原因通知甲方。甲方在收到乙方通知后，应尽快对情况进行核实，并有权根据情况确定是否酌情延长期限，或向乙方发出书面通知书，提出解除部分或全部合同。延期应通过签订补充合同的方式由双方认可并履行。</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2.</w:t>
      </w:r>
      <w:r>
        <w:rPr>
          <w:rFonts w:hint="eastAsia" w:ascii="宋体" w:hAnsi="宋体" w:cs="宋体"/>
          <w:bCs/>
          <w:color w:val="000000"/>
          <w:sz w:val="24"/>
          <w:szCs w:val="20"/>
          <w:highlight w:val="none"/>
        </w:rPr>
        <w:t xml:space="preserve">乙方如无不可抗力，又未履行密封报价文件、投标文件和合同条款的，一经查实，由乙方赔偿由此给甲方造成的损失，并按照合同总价的30%向甲方支付违约金，因招、投标产生的其他责任及后果按密封报价文件的相关要求及处理方式执行。</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3.</w:t>
      </w:r>
      <w:r>
        <w:rPr>
          <w:rFonts w:hint="eastAsia" w:ascii="宋体" w:hAnsi="宋体" w:cs="宋体"/>
          <w:bCs/>
          <w:color w:val="000000"/>
          <w:sz w:val="24"/>
          <w:szCs w:val="20"/>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4.</w:t>
      </w:r>
      <w:r>
        <w:rPr>
          <w:rFonts w:hint="eastAsia" w:ascii="宋体" w:hAnsi="宋体" w:cs="宋体"/>
          <w:bCs/>
          <w:color w:val="000000"/>
          <w:sz w:val="24"/>
          <w:szCs w:val="20"/>
          <w:highlight w:val="none"/>
        </w:rPr>
        <w:t xml:space="preserve">合同中所述之“不可抗力”系指不可预见、不可避免、不可克服的事件，包括但不限于：战争、洪水、台风、地震及其他法律法规规定的事件。</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5.</w:t>
      </w:r>
      <w:r>
        <w:rPr>
          <w:rFonts w:hint="eastAsia" w:ascii="宋体" w:hAnsi="宋体" w:cs="宋体"/>
          <w:bCs/>
          <w:color w:val="000000"/>
          <w:sz w:val="24"/>
          <w:szCs w:val="20"/>
          <w:highlight w:val="none"/>
        </w:rPr>
        <w:t xml:space="preserve">如果乙方在本合同履行完毕之前破产或无清偿能力，甲方可在任何时候以书面形式通知乙方，提出解除合同。该终止合同将不损害或影响甲方已经采取或将要采取的任何行动或补救措施的权力。</w:t>
      </w:r>
      <w:r>
        <w:rPr>
          <w:rFonts w:hint="eastAsia" w:ascii="宋体" w:hAnsi="宋体" w:cs="宋体"/>
          <w:bCs/>
          <w:color w:val="000000"/>
          <w:sz w:val="24"/>
          <w:szCs w:val="20"/>
          <w:highlight w:val="none"/>
        </w:rPr>
      </w:r>
      <w:r/>
    </w:p>
    <w:p>
      <w:pPr>
        <w:pStyle w:val="712"/>
        <w:ind w:left="-2" w:firstLine="521"/>
        <w:spacing w:line="360" w:lineRule="auto"/>
        <w:rPr>
          <w:rFonts w:hint="eastAsia" w:ascii="宋体" w:hAnsi="宋体" w:cs="宋体"/>
          <w:bCs/>
          <w:color w:val="000000"/>
          <w:sz w:val="24"/>
          <w:szCs w:val="20"/>
          <w:highlight w:val="none"/>
        </w:rPr>
      </w:pPr>
      <w:r>
        <w:rPr>
          <w:rFonts w:hint="eastAsia" w:ascii="宋体" w:hAnsi="宋体" w:cs="宋体"/>
          <w:bCs/>
          <w:color w:val="000000"/>
          <w:sz w:val="24"/>
          <w:szCs w:val="20"/>
          <w:highlight w:val="none"/>
        </w:rPr>
        <w:t xml:space="preserve">（八） 合同生效及其他：</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1.</w:t>
      </w:r>
      <w:r>
        <w:rPr>
          <w:rFonts w:hint="eastAsia" w:ascii="宋体" w:hAnsi="宋体" w:cs="宋体"/>
          <w:bCs/>
          <w:color w:val="000000"/>
          <w:sz w:val="24"/>
          <w:szCs w:val="20"/>
          <w:highlight w:val="none"/>
        </w:rPr>
        <w:t xml:space="preserve">合同经甲乙双方代表签字并盖章，并经见证后即生效。</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2.</w:t>
      </w:r>
      <w:r>
        <w:rPr>
          <w:rFonts w:hint="eastAsia" w:ascii="宋体" w:hAnsi="宋体" w:cs="宋体"/>
          <w:bCs/>
          <w:color w:val="000000"/>
          <w:sz w:val="24"/>
          <w:szCs w:val="20"/>
          <w:highlight w:val="none"/>
        </w:rPr>
        <w:t xml:space="preserve">合同签订后甲乙双方即直接产生权利与义务的关系，合同执行过程中出现的问题应按照合同约定、法律法规的规定办理，在合同履行过程中，双方如有争议，由政府采购管理部门协调解决。如协商不能解决，双方可向当地仲裁委员会申请仲裁，仲裁期间，除仲裁委员会要求停止履行合同或出现一方确实无法继续履行合同的情形外，本合同应继续履行。</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3.</w:t>
      </w:r>
      <w:r>
        <w:rPr>
          <w:rFonts w:hint="eastAsia" w:ascii="宋体" w:hAnsi="宋体" w:cs="宋体"/>
          <w:bCs/>
          <w:color w:val="000000"/>
          <w:sz w:val="24"/>
          <w:szCs w:val="20"/>
          <w:highlight w:val="none"/>
        </w:rPr>
        <w:t xml:space="preserve">合同在执行过程中出现的未尽事宜，双方在不违背本合同和密封报价文件的原则下协商解决，协商结果以书面形式签订补充协议，且补充协议与本合同具有同等效力。</w:t>
      </w:r>
      <w:r>
        <w:rPr>
          <w:rFonts w:hint="eastAsia" w:ascii="宋体" w:hAnsi="宋体" w:cs="宋体"/>
          <w:bCs/>
          <w:color w:val="000000"/>
          <w:sz w:val="24"/>
          <w:szCs w:val="20"/>
          <w:highlight w:val="none"/>
        </w:rPr>
      </w:r>
      <w:r/>
    </w:p>
    <w:p>
      <w:pPr>
        <w:pStyle w:val="712"/>
        <w:ind w:firstLine="480"/>
        <w:spacing w:line="360" w:lineRule="auto"/>
        <w:tabs>
          <w:tab w:val="left" w:pos="0" w:leader="none"/>
          <w:tab w:val="left" w:pos="525" w:leader="none"/>
          <w:tab w:val="left" w:pos="945" w:leader="none"/>
        </w:tabs>
        <w:rPr>
          <w:rFonts w:hint="eastAsia" w:ascii="宋体" w:hAnsi="宋体" w:cs="宋体"/>
          <w:bCs/>
          <w:color w:val="000000"/>
          <w:sz w:val="24"/>
          <w:szCs w:val="20"/>
          <w:highlight w:val="none"/>
        </w:rPr>
      </w:pPr>
      <w:r>
        <w:rPr>
          <w:rFonts w:hint="eastAsia" w:ascii="宋体" w:hAnsi="宋体" w:cs="宋体"/>
          <w:bCs/>
          <w:color w:val="000000"/>
          <w:sz w:val="24"/>
          <w:szCs w:val="20"/>
          <w:highlight w:val="none"/>
          <w:lang w:eastAsia="zh-CN"/>
        </w:rPr>
        <w:t xml:space="preserve">4.</w:t>
      </w:r>
      <w:r>
        <w:rPr>
          <w:rFonts w:hint="eastAsia" w:ascii="宋体" w:hAnsi="宋体" w:cs="宋体"/>
          <w:bCs/>
          <w:color w:val="000000"/>
          <w:sz w:val="24"/>
          <w:szCs w:val="20"/>
          <w:highlight w:val="none"/>
        </w:rPr>
        <w:t xml:space="preserve">甲乙双方确认：对本合同条款及后果均已知悉，一致确认不存在欺诈、胁迫、乘人之危、重大误解、显失公平等任何可能导致合同无效或被撤销的情形。</w:t>
      </w:r>
      <w:r>
        <w:rPr>
          <w:rFonts w:hint="eastAsia" w:ascii="宋体" w:hAnsi="宋体" w:cs="宋体"/>
          <w:bCs/>
          <w:color w:val="000000"/>
          <w:sz w:val="24"/>
          <w:szCs w:val="20"/>
          <w:highlight w:val="none"/>
        </w:rPr>
      </w:r>
      <w:r/>
    </w:p>
    <w:p>
      <w:pPr>
        <w:pStyle w:val="712"/>
        <w:ind w:firstLine="960"/>
        <w:spacing w:line="360" w:lineRule="auto"/>
        <w:rPr>
          <w:rFonts w:ascii="宋体" w:hAnsi="宋体"/>
          <w:bCs/>
          <w:color w:val="000000"/>
          <w:sz w:val="24"/>
          <w:highlight w:val="none"/>
          <w:u w:val="single"/>
        </w:rPr>
      </w:pPr>
      <w:r>
        <w:rPr>
          <w:rFonts w:ascii="宋体" w:hAnsi="宋体"/>
          <w:bCs/>
          <w:color w:val="000000"/>
          <w:sz w:val="24"/>
          <w:highlight w:val="none"/>
          <w:u w:val="single"/>
        </w:rPr>
      </w:r>
      <w:r/>
    </w:p>
    <w:p>
      <w:pPr>
        <w:pStyle w:val="712"/>
        <w:jc w:val="left"/>
        <w:spacing w:line="360" w:lineRule="auto"/>
        <w:rPr>
          <w:rFonts w:hint="eastAsia" w:ascii="宋体" w:hAnsi="宋体" w:cs="宋体"/>
          <w:b/>
          <w:bCs/>
          <w:color w:val="000000"/>
          <w:sz w:val="32"/>
          <w:szCs w:val="32"/>
          <w:highlight w:val="none"/>
        </w:rPr>
        <w:sectPr>
          <w:headerReference w:type="default" r:id="rId9"/>
          <w:footerReference w:type="default" r:id="rId11"/>
          <w:footnotePr/>
          <w:endnotePr/>
          <w:type w:val="nextPage"/>
          <w:pgSz w:w="11906" w:h="16838" w:orient="portrait"/>
          <w:pgMar w:top="1020" w:right="1440" w:bottom="726" w:left="1327" w:header="851" w:footer="992" w:gutter="0"/>
          <w:cols w:num="1" w:sep="0" w:space="1701" w:equalWidth="1"/>
          <w:docGrid w:linePitch="360"/>
        </w:sectPr>
      </w:pPr>
      <w:r>
        <w:rPr>
          <w:rFonts w:hint="eastAsia" w:ascii="宋体" w:hAnsi="宋体" w:cs="宋体"/>
          <w:b/>
          <w:bCs/>
          <w:color w:val="000000"/>
          <w:sz w:val="32"/>
          <w:szCs w:val="32"/>
          <w:highlight w:val="none"/>
        </w:rPr>
      </w:r>
      <w:r/>
    </w:p>
    <w:p>
      <w:pPr>
        <w:pStyle w:val="712"/>
        <w:ind w:firstLine="480"/>
        <w:jc w:val="left"/>
        <w:spacing w:line="360" w:lineRule="auto"/>
        <w:widowControl/>
        <w:rPr>
          <w:bCs/>
          <w:sz w:val="24"/>
          <w:szCs w:val="32"/>
          <w:highlight w:val="none"/>
        </w:rPr>
      </w:pPr>
      <w:r>
        <w:rPr>
          <w:bCs/>
          <w:sz w:val="24"/>
          <w:szCs w:val="32"/>
          <w:highlight w:val="none"/>
        </w:rPr>
      </w:r>
      <w:r/>
    </w:p>
    <w:p>
      <w:pPr>
        <w:pStyle w:val="712"/>
        <w:jc w:val="center"/>
        <w:spacing w:line="500" w:lineRule="exact"/>
        <w:tabs>
          <w:tab w:val="left" w:pos="1440" w:leader="none"/>
        </w:tabs>
        <w:rPr>
          <w:rFonts w:ascii="黑体" w:hAnsi="黑体" w:eastAsia="黑体"/>
          <w:color w:val="000000"/>
          <w:sz w:val="36"/>
          <w:szCs w:val="36"/>
          <w:highlight w:val="none"/>
        </w:rPr>
        <w:outlineLvl w:val="0"/>
      </w:pPr>
      <w:r/>
      <w:bookmarkEnd w:id="175"/>
      <w:r>
        <w:rPr>
          <w:rFonts w:hint="eastAsia" w:ascii="黑体" w:hAnsi="黑体" w:eastAsia="黑体"/>
          <w:color w:val="000000"/>
          <w:sz w:val="36"/>
          <w:szCs w:val="36"/>
          <w:highlight w:val="none"/>
        </w:rPr>
        <w:t xml:space="preserve">第四章 </w:t>
      </w:r>
      <w:r>
        <w:rPr>
          <w:rFonts w:ascii="黑体" w:hAnsi="黑体" w:eastAsia="黑体"/>
          <w:color w:val="000000"/>
          <w:sz w:val="36"/>
          <w:szCs w:val="36"/>
          <w:highlight w:val="none"/>
        </w:rPr>
        <w:t xml:space="preserve"> </w:t>
      </w:r>
      <w:r>
        <w:rPr>
          <w:rFonts w:hint="eastAsia" w:ascii="黑体" w:hAnsi="黑体" w:eastAsia="黑体"/>
          <w:color w:val="000000"/>
          <w:sz w:val="36"/>
          <w:szCs w:val="36"/>
          <w:highlight w:val="none"/>
        </w:rPr>
        <w:t xml:space="preserve">采购需求</w:t>
      </w:r>
      <w:r>
        <w:rPr>
          <w:rFonts w:ascii="黑体" w:hAnsi="黑体" w:eastAsia="黑体"/>
          <w:color w:val="000000"/>
          <w:sz w:val="36"/>
          <w:szCs w:val="36"/>
          <w:highlight w:val="none"/>
        </w:rPr>
      </w:r>
      <w:r/>
    </w:p>
    <w:p>
      <w:pPr>
        <w:pStyle w:val="712"/>
        <w:ind w:firstLine="480"/>
        <w:spacing w:line="360" w:lineRule="auto"/>
        <w:tabs>
          <w:tab w:val="left" w:pos="3727" w:leader="none"/>
        </w:tabs>
        <w:rPr>
          <w:rFonts w:hint="eastAsia" w:ascii="黑体" w:hAnsi="黑体" w:eastAsia="黑体" w:cs="Times New Roman"/>
          <w:color w:val="000000"/>
          <w:sz w:val="30"/>
          <w:szCs w:val="30"/>
          <w:highlight w:val="none"/>
          <w:lang w:val="en-US" w:eastAsia="zh-CN"/>
        </w:rPr>
      </w:pPr>
      <w:r>
        <w:rPr>
          <w:rFonts w:hint="eastAsia" w:ascii="黑体" w:hAnsi="黑体" w:eastAsia="黑体" w:cs="Times New Roman"/>
          <w:color w:val="000000"/>
          <w:sz w:val="30"/>
          <w:szCs w:val="30"/>
          <w:highlight w:val="none"/>
          <w:lang w:val="en-US" w:eastAsia="zh-CN"/>
        </w:rPr>
      </w:r>
      <w:r/>
    </w:p>
    <w:p>
      <w:pPr>
        <w:pStyle w:val="712"/>
        <w:ind w:firstLine="600"/>
        <w:jc w:val="left"/>
        <w:spacing w:line="360" w:lineRule="auto"/>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712"/>
        <w:ind w:firstLine="480"/>
        <w:spacing w:line="360" w:lineRule="auto"/>
        <w:tabs>
          <w:tab w:val="left" w:pos="3727" w:leader="none"/>
        </w:tabs>
        <w:rPr>
          <w:rFonts w:ascii="宋体" w:hAnsi="宋体" w:cs="宋体"/>
          <w:b/>
          <w:bCs/>
          <w:color w:val="000000"/>
          <w:sz w:val="24"/>
          <w:highlight w:val="none"/>
          <w:lang w:val="en-US" w:eastAsia="zh-CN"/>
        </w:rPr>
      </w:pPr>
      <w:r>
        <w:rPr>
          <w:rFonts w:hint="eastAsia" w:ascii="宋体" w:hAnsi="宋体"/>
          <w:color w:val="000000"/>
          <w:sz w:val="24"/>
          <w:szCs w:val="24"/>
          <w:highlight w:val="none"/>
        </w:rPr>
        <w:t xml:space="preserve">本项目标的所属行业：</w:t>
      </w:r>
      <w:r>
        <w:rPr>
          <w:rFonts w:hint="eastAsia" w:ascii="宋体" w:hAnsi="宋体"/>
          <w:color w:val="000000"/>
          <w:sz w:val="24"/>
          <w:szCs w:val="24"/>
          <w:highlight w:val="none"/>
          <w:lang w:val="zh-TW" w:eastAsia="zh-CN"/>
        </w:rPr>
        <w:t xml:space="preserve">其他未列明行业</w:t>
      </w:r>
      <w:r>
        <w:rPr>
          <w:rFonts w:ascii="宋体" w:hAnsi="宋体" w:cs="宋体"/>
          <w:b/>
          <w:bCs/>
          <w:color w:val="000000"/>
          <w:sz w:val="24"/>
          <w:highlight w:val="none"/>
          <w:lang w:val="en-US" w:eastAsia="zh-CN"/>
        </w:rPr>
      </w:r>
      <w:r/>
    </w:p>
    <w:p>
      <w:pPr>
        <w:pStyle w:val="712"/>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一、项目</w:t>
      </w:r>
      <w:r>
        <w:rPr>
          <w:rFonts w:hint="eastAsia" w:ascii="宋体" w:hAnsi="宋体" w:eastAsia="宋体" w:cs="宋体"/>
          <w:b/>
          <w:bCs/>
          <w:color w:val="000000"/>
          <w:sz w:val="24"/>
          <w:highlight w:val="none"/>
          <w:lang w:val="en-US" w:eastAsia="zh-CN"/>
        </w:rPr>
        <w:t xml:space="preserve">简介</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712"/>
        <w:ind w:firstLine="482"/>
        <w:jc w:val="left"/>
        <w:keepLines w:val="0"/>
        <w:keepNext w:val="0"/>
        <w:pageBreakBefore w:val="0"/>
        <w:spacing w:line="360" w:lineRule="auto"/>
        <w:rPr>
          <w:rFonts w:hint="eastAsia" w:ascii="宋体" w:hAnsi="宋体" w:cs="宋体"/>
          <w:color w:val="000000"/>
          <w:sz w:val="24"/>
          <w:szCs w:val="24"/>
          <w:highlight w:val="none"/>
          <w:lang w:eastAsia="zh-CN" w:bidi="ar"/>
        </w:rPr>
      </w:pPr>
      <w:r>
        <w:rPr>
          <w:rFonts w:hint="eastAsia" w:ascii="宋体" w:hAnsi="宋体" w:cs="宋体"/>
          <w:b/>
          <w:bCs/>
          <w:color w:val="000000"/>
          <w:sz w:val="24"/>
          <w:szCs w:val="24"/>
          <w:highlight w:val="none"/>
          <w:lang w:val="en-US" w:eastAsia="zh-CN" w:bidi="ar"/>
        </w:rPr>
        <w:t xml:space="preserve">1</w:t>
      </w:r>
      <w:r>
        <w:rPr>
          <w:rFonts w:hint="eastAsia" w:ascii="宋体" w:hAnsi="宋体" w:cs="宋体"/>
          <w:b/>
          <w:bCs/>
          <w:color w:val="000000"/>
          <w:sz w:val="24"/>
          <w:szCs w:val="24"/>
          <w:highlight w:val="none"/>
          <w:lang w:bidi="ar"/>
        </w:rPr>
        <w:t xml:space="preserve">.项目名称</w:t>
      </w:r>
      <w:r>
        <w:rPr>
          <w:rFonts w:hint="eastAsia" w:ascii="宋体" w:hAnsi="宋体" w:cs="宋体"/>
          <w:b/>
          <w:bCs/>
          <w:color w:val="000000"/>
          <w:sz w:val="24"/>
          <w:szCs w:val="24"/>
          <w:highlight w:val="none"/>
          <w:lang w:eastAsia="zh-CN" w:bidi="ar"/>
        </w:rPr>
        <w:t xml:space="preserve">：</w:t>
      </w:r>
      <w:r>
        <w:rPr>
          <w:rFonts w:hint="eastAsia" w:ascii="宋体" w:hAnsi="宋体" w:cs="宋体"/>
          <w:b w:val="0"/>
          <w:bCs w:val="0"/>
          <w:color w:val="000000"/>
          <w:sz w:val="24"/>
          <w:szCs w:val="24"/>
          <w:highlight w:val="none"/>
          <w:lang w:eastAsia="zh-CN" w:bidi="ar"/>
        </w:rPr>
        <w:t xml:space="preserve">无锡市梁溪区夹城里地块规划学校新建工程项目校园文化建设</w:t>
      </w:r>
      <w:r>
        <w:rPr>
          <w:rFonts w:hint="eastAsia" w:ascii="宋体" w:hAnsi="宋体" w:cs="宋体"/>
          <w:b w:val="0"/>
          <w:bCs w:val="0"/>
          <w:color w:val="000000"/>
          <w:sz w:val="24"/>
          <w:szCs w:val="24"/>
          <w:highlight w:val="none"/>
          <w:lang w:val="en-US" w:eastAsia="zh-CN" w:bidi="ar"/>
        </w:rPr>
        <w:t xml:space="preserve">。</w:t>
      </w:r>
      <w:r>
        <w:rPr>
          <w:rFonts w:hint="eastAsia" w:ascii="宋体" w:hAnsi="宋体" w:cs="宋体"/>
          <w:color w:val="000000"/>
          <w:sz w:val="24"/>
          <w:szCs w:val="24"/>
          <w:highlight w:val="none"/>
          <w:lang w:eastAsia="zh-CN" w:bidi="ar"/>
        </w:rPr>
      </w:r>
      <w:r/>
    </w:p>
    <w:p>
      <w:pPr>
        <w:pStyle w:val="712"/>
        <w:ind w:firstLine="482"/>
        <w:jc w:val="left"/>
        <w:keepLines w:val="0"/>
        <w:keepNext w:val="0"/>
        <w:pageBreakBefore w:val="0"/>
        <w:spacing w:line="360" w:lineRule="auto"/>
        <w:rPr>
          <w:rFonts w:hint="eastAsia" w:ascii="宋体" w:hAnsi="宋体" w:cs="宋体"/>
          <w:color w:val="000000"/>
          <w:sz w:val="24"/>
          <w:highlight w:val="none"/>
          <w:lang w:eastAsia="zh-CN"/>
        </w:rPr>
      </w:pPr>
      <w:r>
        <w:rPr>
          <w:rFonts w:hint="eastAsia" w:ascii="宋体" w:hAnsi="宋体" w:cs="宋体"/>
          <w:b/>
          <w:bCs/>
          <w:color w:val="000000"/>
          <w:sz w:val="24"/>
          <w:szCs w:val="24"/>
          <w:highlight w:val="none"/>
          <w:lang w:val="en-US" w:eastAsia="zh-CN" w:bidi="ar"/>
        </w:rPr>
        <w:t xml:space="preserve">2</w:t>
      </w:r>
      <w:r>
        <w:rPr>
          <w:rFonts w:hint="eastAsia" w:ascii="宋体" w:hAnsi="宋体" w:cs="宋体"/>
          <w:b/>
          <w:bCs/>
          <w:color w:val="000000"/>
          <w:sz w:val="24"/>
          <w:szCs w:val="24"/>
          <w:highlight w:val="none"/>
          <w:lang w:bidi="ar"/>
        </w:rPr>
        <w:t xml:space="preserve">.项目概况：</w:t>
      </w:r>
      <w:r>
        <w:rPr>
          <w:rFonts w:hint="eastAsia" w:ascii="宋体" w:hAnsi="宋体" w:cs="宋体"/>
          <w:b w:val="0"/>
          <w:bCs w:val="0"/>
          <w:color w:val="000000"/>
          <w:sz w:val="24"/>
          <w:szCs w:val="24"/>
          <w:highlight w:val="none"/>
          <w:lang w:bidi="ar"/>
        </w:rPr>
        <w:t xml:space="preserve">学校选址于无锡市梁溪区红星路与迎龙路交界东南地块，西接红星路干道，另三边接规划道路</w:t>
      </w:r>
      <w:r>
        <w:rPr>
          <w:rFonts w:hint="eastAsia" w:ascii="宋体" w:hAnsi="宋体" w:cs="宋体"/>
          <w:b w:val="0"/>
          <w:bCs w:val="0"/>
          <w:color w:val="000000"/>
          <w:sz w:val="24"/>
          <w:szCs w:val="24"/>
          <w:highlight w:val="none"/>
          <w:lang w:eastAsia="zh-CN" w:bidi="ar"/>
        </w:rPr>
        <w:t xml:space="preserve">：</w:t>
      </w:r>
      <w:r>
        <w:rPr>
          <w:rFonts w:hint="eastAsia" w:ascii="宋体" w:hAnsi="宋体" w:cs="宋体"/>
          <w:b w:val="0"/>
          <w:bCs w:val="0"/>
          <w:color w:val="000000"/>
          <w:sz w:val="24"/>
          <w:szCs w:val="24"/>
          <w:highlight w:val="none"/>
          <w:lang w:bidi="ar"/>
        </w:rPr>
        <w:t xml:space="preserve">项目东西北三向地块均为住宅用地，南向为绿化用地。项目用地面积约40955.8平方米。项目总建筑面积约76575平方米，其中:地上建筑面积约48966平方米(计容面积48631平方米)，地下建筑面积约27609平方米。主要建设内容为教育及辅助用房。原则上按36班小学，24班中学办学规模进行规划设计。</w:t>
      </w:r>
      <w:r>
        <w:rPr>
          <w:rFonts w:hint="eastAsia" w:ascii="宋体" w:hAnsi="宋体" w:cs="宋体"/>
          <w:b w:val="0"/>
          <w:bCs w:val="0"/>
          <w:color w:val="000000"/>
          <w:sz w:val="24"/>
          <w:szCs w:val="24"/>
          <w:highlight w:val="none"/>
          <w:lang w:val="en-US" w:eastAsia="zh-CN" w:bidi="ar"/>
        </w:rPr>
        <w:t xml:space="preserve">本项目为新建校区教学空间环境优化及提升项目</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秉承连元教育集团文化，</w:t>
      </w:r>
      <w:r>
        <w:rPr>
          <w:rFonts w:hint="eastAsia" w:ascii="宋体" w:hAnsi="宋体" w:cs="宋体"/>
          <w:b w:val="0"/>
          <w:bCs w:val="0"/>
          <w:color w:val="000000"/>
          <w:sz w:val="24"/>
          <w:szCs w:val="24"/>
          <w:highlight w:val="none"/>
          <w:lang w:val="en-US" w:eastAsia="zh-CN" w:bidi="ar-SA"/>
        </w:rPr>
        <w:t xml:space="preserve">养根竢实，乐育英才的育人理念。</w:t>
      </w:r>
      <w:r>
        <w:rPr>
          <w:rFonts w:hint="eastAsia" w:ascii="宋体" w:hAnsi="宋体" w:cs="宋体"/>
          <w:b w:val="0"/>
          <w:bCs w:val="0"/>
          <w:color w:val="000000"/>
          <w:sz w:val="24"/>
          <w:highlight w:val="none"/>
          <w:lang w:val="en-US" w:eastAsia="zh-CN"/>
        </w:rPr>
        <w:t xml:space="preserve">具体内容</w:t>
      </w:r>
      <w:r>
        <w:rPr>
          <w:rFonts w:hint="eastAsia" w:ascii="宋体" w:hAnsi="宋体" w:eastAsia="宋体" w:cs="宋体"/>
          <w:b w:val="0"/>
          <w:bCs w:val="0"/>
          <w:color w:val="000000"/>
          <w:sz w:val="24"/>
          <w:szCs w:val="24"/>
          <w:highlight w:val="none"/>
          <w:lang w:val="en-US" w:eastAsia="zh-CN" w:bidi="ar-SA"/>
        </w:rPr>
        <w:t xml:space="preserve">包含</w:t>
      </w:r>
      <w:r>
        <w:rPr>
          <w:rFonts w:hint="eastAsia" w:ascii="宋体" w:hAnsi="宋体" w:cs="宋体"/>
          <w:b w:val="0"/>
          <w:bCs/>
          <w:color w:val="000000"/>
          <w:sz w:val="24"/>
          <w:szCs w:val="24"/>
          <w:highlight w:val="none"/>
          <w:lang w:val="en-US" w:eastAsia="zh-CN" w:bidi="ar"/>
        </w:rPr>
        <w:t xml:space="preserve">在原有空间基础上的优化和深化设计</w:t>
      </w:r>
      <w:r>
        <w:rPr>
          <w:rFonts w:hint="eastAsia" w:ascii="宋体" w:hAnsi="宋体" w:eastAsia="宋体" w:cs="宋体"/>
          <w:b w:val="0"/>
          <w:bCs w:val="0"/>
          <w:color w:val="000000"/>
          <w:sz w:val="24"/>
          <w:szCs w:val="24"/>
          <w:highlight w:val="none"/>
          <w:lang w:val="en-US" w:eastAsia="zh-CN" w:bidi="ar-SA"/>
        </w:rPr>
        <w:t xml:space="preserve">、制作、采购、安装等</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olor w:val="000000"/>
          <w:sz w:val="24"/>
          <w:szCs w:val="24"/>
          <w:highlight w:val="none"/>
        </w:rPr>
        <w:t xml:space="preserve">结合学校办学理念，进行文化延展与内容规划，包含导视</w:t>
      </w:r>
      <w:r>
        <w:rPr>
          <w:rFonts w:hint="eastAsia" w:ascii="宋体" w:hAnsi="宋体"/>
          <w:color w:val="000000"/>
          <w:sz w:val="24"/>
          <w:szCs w:val="24"/>
          <w:highlight w:val="none"/>
          <w:lang w:val="en-US" w:eastAsia="zh-CN"/>
        </w:rPr>
        <w:t xml:space="preserve">及视觉设计</w:t>
      </w:r>
      <w:r>
        <w:rPr>
          <w:rFonts w:hint="eastAsia" w:ascii="宋体" w:hAnsi="宋体" w:eastAsia="宋体"/>
          <w:color w:val="000000"/>
          <w:sz w:val="24"/>
          <w:szCs w:val="24"/>
          <w:highlight w:val="none"/>
        </w:rPr>
        <w:t xml:space="preserve">，办学理念文化，学校形象墙面文化，各</w:t>
      </w:r>
      <w:r>
        <w:rPr>
          <w:rFonts w:hint="eastAsia" w:ascii="宋体" w:hAnsi="宋体"/>
          <w:color w:val="000000"/>
          <w:sz w:val="24"/>
          <w:szCs w:val="24"/>
          <w:highlight w:val="none"/>
          <w:lang w:val="en-US" w:eastAsia="zh-CN"/>
        </w:rPr>
        <w:t xml:space="preserve">课程</w:t>
      </w:r>
      <w:r>
        <w:rPr>
          <w:rFonts w:hint="eastAsia" w:ascii="宋体" w:hAnsi="宋体" w:eastAsia="宋体"/>
          <w:color w:val="000000"/>
          <w:sz w:val="24"/>
          <w:szCs w:val="24"/>
          <w:highlight w:val="none"/>
        </w:rPr>
        <w:t xml:space="preserve">主题空间文化，标语文化，各学科角，</w:t>
      </w:r>
      <w:r>
        <w:rPr>
          <w:rFonts w:hint="eastAsia" w:ascii="宋体" w:hAnsi="宋体"/>
          <w:color w:val="000000"/>
          <w:sz w:val="24"/>
          <w:szCs w:val="24"/>
          <w:highlight w:val="none"/>
          <w:lang w:val="en-US" w:eastAsia="zh-CN"/>
        </w:rPr>
        <w:t xml:space="preserve">课程</w:t>
      </w:r>
      <w:r>
        <w:rPr>
          <w:rFonts w:hint="eastAsia" w:ascii="宋体" w:hAnsi="宋体" w:eastAsia="宋体"/>
          <w:color w:val="000000"/>
          <w:sz w:val="24"/>
          <w:szCs w:val="24"/>
          <w:highlight w:val="none"/>
        </w:rPr>
        <w:t xml:space="preserve">廊道文化，</w:t>
      </w:r>
      <w:r>
        <w:rPr>
          <w:rFonts w:hint="eastAsia" w:ascii="宋体" w:hAnsi="宋体"/>
          <w:color w:val="000000"/>
          <w:sz w:val="24"/>
          <w:szCs w:val="24"/>
          <w:highlight w:val="none"/>
          <w:lang w:val="en-US" w:eastAsia="zh-CN"/>
        </w:rPr>
        <w:t xml:space="preserve">公共课程空间</w:t>
      </w:r>
      <w:r>
        <w:rPr>
          <w:rFonts w:hint="eastAsia" w:ascii="宋体" w:hAnsi="宋体" w:eastAsia="宋体"/>
          <w:color w:val="000000"/>
          <w:sz w:val="24"/>
          <w:szCs w:val="24"/>
          <w:highlight w:val="none"/>
        </w:rPr>
        <w:t xml:space="preserve">设计等</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供应商</w:t>
      </w:r>
      <w:r>
        <w:rPr>
          <w:rFonts w:hint="eastAsia" w:ascii="宋体" w:hAnsi="宋体" w:eastAsia="宋体" w:cs="宋体"/>
          <w:b w:val="0"/>
          <w:bCs w:val="0"/>
          <w:color w:val="000000"/>
          <w:sz w:val="24"/>
          <w:szCs w:val="24"/>
          <w:highlight w:val="none"/>
          <w:lang w:val="en-US" w:eastAsia="zh-CN" w:bidi="ar-SA"/>
        </w:rPr>
        <w:t xml:space="preserve">需</w:t>
      </w:r>
      <w:r>
        <w:rPr>
          <w:rFonts w:hint="eastAsia" w:ascii="宋体" w:hAnsi="宋体" w:cs="宋体"/>
          <w:b w:val="0"/>
          <w:bCs w:val="0"/>
          <w:color w:val="000000"/>
          <w:sz w:val="24"/>
          <w:szCs w:val="24"/>
          <w:highlight w:val="none"/>
          <w:lang w:val="en-US" w:eastAsia="zh-CN" w:bidi="ar-SA"/>
        </w:rPr>
        <w:t xml:space="preserve">对</w:t>
      </w:r>
      <w:r>
        <w:rPr>
          <w:rFonts w:hint="eastAsia" w:ascii="宋体" w:hAnsi="宋体" w:eastAsia="宋体" w:cs="宋体"/>
          <w:b w:val="0"/>
          <w:bCs w:val="0"/>
          <w:color w:val="000000"/>
          <w:sz w:val="24"/>
          <w:szCs w:val="24"/>
          <w:highlight w:val="none"/>
          <w:lang w:val="en-US" w:eastAsia="zh-CN" w:bidi="ar-SA"/>
        </w:rPr>
        <w:t xml:space="preserve">项目现场整体环境及文化背景进行深入研究，提高整体设计氛围及艺术感，</w:t>
      </w:r>
      <w:r>
        <w:rPr>
          <w:rFonts w:hint="eastAsia" w:ascii="宋体" w:hAnsi="宋体" w:cs="宋体"/>
          <w:color w:val="000000"/>
          <w:sz w:val="24"/>
          <w:highlight w:val="none"/>
        </w:rPr>
        <w:t xml:space="preserve">完成校园文化布置</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712"/>
        <w:ind w:firstLine="482"/>
        <w:jc w:val="left"/>
        <w:keepLines w:val="0"/>
        <w:keepNext w:val="0"/>
        <w:pageBreakBefore w:val="0"/>
        <w:spacing w:line="360"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val="en-US" w:eastAsia="zh-CN" w:bidi="ar"/>
        </w:rPr>
        <w:t xml:space="preserve">3</w:t>
      </w:r>
      <w:r>
        <w:rPr>
          <w:rFonts w:hint="eastAsia" w:ascii="宋体" w:hAnsi="宋体" w:cs="宋体"/>
          <w:b/>
          <w:bCs/>
          <w:color w:val="000000"/>
          <w:sz w:val="24"/>
          <w:szCs w:val="24"/>
          <w:highlight w:val="none"/>
          <w:lang w:bidi="ar"/>
        </w:rPr>
        <w:t xml:space="preserve">.服务期：</w:t>
      </w:r>
      <w:r>
        <w:rPr>
          <w:rFonts w:hint="eastAsia" w:ascii="宋体" w:hAnsi="宋体" w:cs="宋体"/>
          <w:bCs/>
          <w:color w:val="000000"/>
          <w:sz w:val="24"/>
          <w:highlight w:val="none"/>
          <w:lang w:val="en-US" w:eastAsia="zh-CN"/>
        </w:rPr>
        <w:t xml:space="preserve">50日历天（第一阶段：双方签订合同之日起10日历天内按照采购人要求完成设计、制作方案的修改；第二阶段：经采购人确认后40日历天内完成制作、采购、安装，并通过采购人验收。）；</w:t>
      </w:r>
      <w:r>
        <w:rPr>
          <w:rFonts w:hint="eastAsia" w:ascii="宋体" w:hAnsi="宋体" w:cs="宋体"/>
          <w:b/>
          <w:bCs/>
          <w:color w:val="000000"/>
          <w:sz w:val="24"/>
          <w:szCs w:val="24"/>
          <w:highlight w:val="none"/>
          <w:lang w:bidi="ar"/>
        </w:rPr>
      </w:r>
      <w:r/>
    </w:p>
    <w:p>
      <w:pPr>
        <w:pStyle w:val="712"/>
        <w:ind w:firstLine="482"/>
        <w:jc w:val="left"/>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
          <w:bCs/>
          <w:color w:val="000000"/>
          <w:sz w:val="24"/>
          <w:szCs w:val="24"/>
          <w:highlight w:val="none"/>
          <w:lang w:val="en-US" w:eastAsia="zh-CN" w:bidi="ar"/>
        </w:rPr>
        <w:t xml:space="preserve">4</w:t>
      </w:r>
      <w:r>
        <w:rPr>
          <w:rFonts w:hint="eastAsia" w:ascii="宋体" w:hAnsi="宋体" w:cs="宋体"/>
          <w:b/>
          <w:bCs/>
          <w:color w:val="000000"/>
          <w:sz w:val="24"/>
          <w:szCs w:val="24"/>
          <w:highlight w:val="none"/>
          <w:lang w:bidi="ar"/>
        </w:rPr>
        <w:t xml:space="preserve">.质量要求：</w:t>
      </w:r>
      <w:r>
        <w:rPr>
          <w:rFonts w:hint="eastAsia" w:ascii="宋体" w:hAnsi="宋体" w:cs="宋体"/>
          <w:bCs/>
          <w:color w:val="000000"/>
          <w:sz w:val="24"/>
          <w:highlight w:val="none"/>
          <w:lang w:eastAsia="zh-CN"/>
        </w:rPr>
        <w:t xml:space="preserve">一次性验收合格，满足采购人需求；</w:t>
      </w:r>
      <w:r>
        <w:rPr>
          <w:rFonts w:ascii="宋体" w:hAnsi="宋体" w:cs="宋体"/>
          <w:bCs/>
          <w:color w:val="000000"/>
          <w:sz w:val="24"/>
          <w:szCs w:val="24"/>
          <w:highlight w:val="none"/>
        </w:rPr>
      </w:r>
      <w:r/>
    </w:p>
    <w:p>
      <w:pPr>
        <w:pStyle w:val="712"/>
        <w:ind w:firstLine="482"/>
        <w:jc w:val="left"/>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b/>
          <w:color w:val="000000"/>
          <w:sz w:val="24"/>
          <w:szCs w:val="24"/>
          <w:highlight w:val="none"/>
          <w:lang w:val="en-US" w:eastAsia="zh-CN" w:bidi="ar"/>
        </w:rPr>
        <w:t xml:space="preserve">5</w:t>
      </w:r>
      <w:r>
        <w:rPr>
          <w:rFonts w:hint="eastAsia" w:ascii="宋体" w:hAnsi="宋体" w:cs="宋体"/>
          <w:b/>
          <w:color w:val="000000"/>
          <w:sz w:val="24"/>
          <w:szCs w:val="24"/>
          <w:highlight w:val="none"/>
          <w:lang w:bidi="ar"/>
        </w:rPr>
        <w:t xml:space="preserve">.</w:t>
      </w:r>
      <w:r>
        <w:rPr>
          <w:rFonts w:hint="eastAsia" w:ascii="宋体" w:hAnsi="宋体" w:cs="宋体"/>
          <w:b/>
          <w:bCs/>
          <w:color w:val="000000"/>
          <w:sz w:val="24"/>
          <w:highlight w:val="none"/>
        </w:rPr>
        <w:t xml:space="preserve">质保期（免费维护期）：</w:t>
      </w:r>
      <w:r>
        <w:rPr>
          <w:rFonts w:hint="eastAsia" w:ascii="宋体" w:hAnsi="宋体" w:cs="宋体"/>
          <w:bCs/>
          <w:color w:val="000000"/>
          <w:sz w:val="24"/>
          <w:szCs w:val="24"/>
          <w:highlight w:val="none"/>
          <w:lang w:val="en-US" w:eastAsia="zh-CN"/>
        </w:rPr>
        <w:t xml:space="preserve">2年，自最终验收合格之日起算</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712"/>
        <w:ind w:firstLine="482"/>
        <w:jc w:val="left"/>
        <w:keepLines w:val="0"/>
        <w:keepNext w:val="0"/>
        <w:pageBreakBefore w:val="0"/>
        <w:spacing w:line="360" w:lineRule="auto"/>
        <w:rPr>
          <w:rFonts w:ascii="宋体" w:hAnsi="宋体" w:cs="宋体"/>
          <w:color w:val="000000"/>
          <w:sz w:val="24"/>
          <w:highlight w:val="none"/>
          <w:lang w:val="en-US" w:eastAsia="zh-CN"/>
        </w:rPr>
      </w:pPr>
      <w:r>
        <w:rPr>
          <w:rFonts w:hint="eastAsia" w:ascii="宋体" w:hAnsi="宋体" w:cs="宋体"/>
          <w:b/>
          <w:bCs/>
          <w:color w:val="000000"/>
          <w:sz w:val="24"/>
          <w:highlight w:val="none"/>
          <w:lang w:val="en-US" w:eastAsia="zh-CN"/>
        </w:rPr>
        <w:t xml:space="preserve">6.实施要求：</w:t>
      </w:r>
      <w:r>
        <w:rPr>
          <w:rFonts w:hint="eastAsia" w:ascii="宋体" w:hAnsi="宋体" w:cs="宋体"/>
          <w:color w:val="000000"/>
          <w:sz w:val="24"/>
          <w:highlight w:val="none"/>
          <w:lang w:val="en-US" w:eastAsia="zh-CN"/>
        </w:rPr>
        <w:t xml:space="preserve">实际设计及实施方案、成品样式，整体规格尺寸、质量标准、实现效果等须经甲方确认后方可批量制作安装、投入使用。</w:t>
      </w:r>
      <w:r>
        <w:rPr>
          <w:rFonts w:ascii="宋体" w:hAnsi="宋体" w:cs="宋体"/>
          <w:color w:val="000000"/>
          <w:sz w:val="24"/>
          <w:highlight w:val="none"/>
          <w:lang w:val="en-US" w:eastAsia="zh-CN"/>
        </w:rPr>
      </w:r>
      <w:r/>
    </w:p>
    <w:p>
      <w:pPr>
        <w:pStyle w:val="712"/>
        <w:ind w:firstLine="482"/>
        <w:jc w:val="left"/>
        <w:keepLines w:val="0"/>
        <w:keepNext w:val="0"/>
        <w:pageBreakBefore w:val="0"/>
        <w:spacing w:line="360" w:lineRule="auto"/>
        <w:rPr>
          <w:rFonts w:ascii="宋体" w:hAnsi="宋体" w:cs="宋体"/>
          <w:bCs/>
          <w:color w:val="000000"/>
          <w:sz w:val="24"/>
          <w:szCs w:val="24"/>
          <w:highlight w:val="none"/>
        </w:rPr>
      </w:pPr>
      <w:r>
        <w:rPr>
          <w:rFonts w:hint="eastAsia" w:ascii="宋体" w:hAnsi="宋体" w:cs="宋体"/>
          <w:b/>
          <w:color w:val="000000"/>
          <w:sz w:val="24"/>
          <w:szCs w:val="24"/>
          <w:highlight w:val="none"/>
          <w:lang w:val="en-US" w:eastAsia="zh-CN" w:bidi="ar"/>
        </w:rPr>
        <w:t xml:space="preserve">7</w:t>
      </w:r>
      <w:r>
        <w:rPr>
          <w:rFonts w:hint="eastAsia" w:ascii="宋体" w:hAnsi="宋体" w:cs="宋体"/>
          <w:b/>
          <w:color w:val="000000"/>
          <w:sz w:val="24"/>
          <w:szCs w:val="24"/>
          <w:highlight w:val="none"/>
          <w:lang w:bidi="ar"/>
        </w:rPr>
        <w:t xml:space="preserve">.安全要求：</w:t>
      </w:r>
      <w:r>
        <w:rPr>
          <w:rFonts w:hint="eastAsia" w:ascii="宋体" w:hAnsi="宋体" w:cs="宋体"/>
          <w:bCs/>
          <w:color w:val="000000"/>
          <w:sz w:val="24"/>
          <w:szCs w:val="24"/>
          <w:highlight w:val="none"/>
          <w:lang w:bidi="ar"/>
        </w:rPr>
        <w:t xml:space="preserve">制定明确的作业流程与规范，确保作业人员及他人人身安全。</w:t>
      </w:r>
      <w:r>
        <w:rPr>
          <w:rFonts w:ascii="宋体" w:hAnsi="宋体" w:cs="宋体"/>
          <w:bCs/>
          <w:color w:val="000000"/>
          <w:sz w:val="24"/>
          <w:szCs w:val="24"/>
          <w:highlight w:val="none"/>
        </w:rPr>
      </w:r>
      <w:r/>
    </w:p>
    <w:p>
      <w:pPr>
        <w:pStyle w:val="712"/>
        <w:ind w:firstLine="482"/>
        <w:keepLines w:val="0"/>
        <w:keepNext w:val="0"/>
        <w:pageBreakBefore w:val="0"/>
        <w:spacing w:line="360" w:lineRule="auto"/>
        <w:shd w:val="clear" w:color="auto" w:fill="ffffff"/>
        <w:rPr>
          <w:rFonts w:hint="eastAsia" w:ascii="宋体" w:hAnsi="宋体" w:eastAsia="宋体" w:cs="宋体"/>
          <w:bCs/>
          <w:color w:val="000000"/>
          <w:sz w:val="24"/>
          <w:szCs w:val="24"/>
          <w:highlight w:val="none"/>
          <w:lang w:val="en-US" w:eastAsia="zh-CN" w:bidi="ar-SA"/>
        </w:rPr>
      </w:pPr>
      <w:r>
        <w:rPr>
          <w:rFonts w:hint="eastAsia" w:ascii="宋体" w:hAnsi="宋体" w:cs="宋体"/>
          <w:b/>
          <w:bCs/>
          <w:color w:val="000000"/>
          <w:sz w:val="24"/>
          <w:szCs w:val="24"/>
          <w:highlight w:val="none"/>
          <w:shd w:val="clear" w:color="auto" w:fill="ffffff"/>
          <w:lang w:val="en-US" w:eastAsia="zh-CN" w:bidi="ar"/>
        </w:rPr>
        <w:t xml:space="preserve">8</w:t>
      </w:r>
      <w:r>
        <w:rPr>
          <w:rFonts w:hint="eastAsia" w:ascii="宋体" w:hAnsi="宋体" w:cs="宋体"/>
          <w:b/>
          <w:bCs/>
          <w:color w:val="000000"/>
          <w:sz w:val="24"/>
          <w:szCs w:val="24"/>
          <w:highlight w:val="none"/>
          <w:shd w:val="clear" w:color="auto" w:fill="ffffff"/>
          <w:lang w:bidi="ar"/>
        </w:rPr>
        <w:t xml:space="preserve">.付款方式</w:t>
      </w:r>
      <w:r>
        <w:rPr>
          <w:rFonts w:hint="eastAsia" w:ascii="宋体" w:hAnsi="宋体" w:cs="宋体"/>
          <w:b/>
          <w:bCs/>
          <w:color w:val="000000"/>
          <w:sz w:val="24"/>
          <w:szCs w:val="24"/>
          <w:highlight w:val="none"/>
          <w:shd w:val="clear" w:color="auto" w:fill="ffffff"/>
          <w:lang w:eastAsia="zh-CN" w:bidi="ar"/>
        </w:rPr>
        <w:t xml:space="preserve">：</w:t>
      </w:r>
      <w:r>
        <w:rPr>
          <w:rFonts w:hint="eastAsia" w:ascii="宋体" w:hAnsi="宋体" w:eastAsia="宋体" w:cs="宋体"/>
          <w:bCs/>
          <w:color w:val="000000"/>
          <w:sz w:val="24"/>
          <w:szCs w:val="24"/>
          <w:highlight w:val="none"/>
          <w:lang w:val="en-US" w:eastAsia="zh-CN" w:bidi="ar-SA"/>
        </w:rPr>
        <w:t xml:space="preserve">合同签订生效后，支付合同价的10%作为预付款,方案确定后付至合同价的30%，项目完成通过验收合格以后付至合同价的70%，审计结束后一个月内付至100%。每次付款均在自收到中标供应商开具合法有效等额增值税发票后10日内支付。</w:t>
      </w:r>
      <w:r>
        <w:rPr>
          <w:rFonts w:hint="eastAsia" w:ascii="宋体" w:hAnsi="宋体" w:eastAsia="宋体" w:cs="宋体"/>
          <w:bCs/>
          <w:color w:val="000000"/>
          <w:sz w:val="24"/>
          <w:szCs w:val="24"/>
          <w:highlight w:val="none"/>
          <w:lang w:val="en-US" w:eastAsia="zh-CN" w:bidi="ar-SA"/>
        </w:rPr>
      </w:r>
      <w:r/>
    </w:p>
    <w:p>
      <w:pPr>
        <w:pStyle w:val="712"/>
        <w:ind w:firstLine="482"/>
        <w:keepLines w:val="0"/>
        <w:keepNext w:val="0"/>
        <w:pageBreakBefore w:val="0"/>
        <w:spacing w:line="360" w:lineRule="auto"/>
        <w:tabs>
          <w:tab w:val="left" w:pos="945" w:leader="none"/>
        </w:tabs>
        <w:rPr>
          <w:rFonts w:hint="eastAsia" w:ascii="宋体" w:hAnsi="宋体" w:cs="宋体"/>
          <w:b/>
          <w:color w:val="000000"/>
          <w:sz w:val="24"/>
          <w:szCs w:val="24"/>
          <w:highlight w:val="none"/>
          <w:lang w:bidi="ar"/>
        </w:rPr>
        <w:outlineLvl w:val="0"/>
      </w:pPr>
      <w:r>
        <w:rPr>
          <w:rFonts w:hint="eastAsia" w:ascii="宋体" w:hAnsi="宋体" w:cs="宋体"/>
          <w:b/>
          <w:color w:val="000000"/>
          <w:sz w:val="24"/>
          <w:szCs w:val="24"/>
          <w:highlight w:val="none"/>
          <w:lang w:val="en-US" w:eastAsia="zh-CN" w:bidi="ar"/>
        </w:rPr>
        <w:t xml:space="preserve">二</w:t>
      </w:r>
      <w:r>
        <w:rPr>
          <w:rFonts w:hint="eastAsia" w:ascii="宋体" w:hAnsi="宋体" w:cs="宋体"/>
          <w:b/>
          <w:color w:val="000000"/>
          <w:sz w:val="24"/>
          <w:szCs w:val="24"/>
          <w:highlight w:val="none"/>
          <w:lang w:bidi="ar"/>
        </w:rPr>
        <w:t xml:space="preserve">、具体服务内容及要求</w:t>
      </w:r>
      <w:r>
        <w:rPr>
          <w:rFonts w:hint="eastAsia" w:ascii="宋体" w:hAnsi="宋体" w:cs="宋体"/>
          <w:b/>
          <w:color w:val="000000"/>
          <w:sz w:val="24"/>
          <w:szCs w:val="24"/>
          <w:highlight w:val="none"/>
          <w:lang w:bidi="ar"/>
        </w:rPr>
      </w:r>
      <w:r/>
    </w:p>
    <w:p>
      <w:pPr>
        <w:pStyle w:val="712"/>
        <w:ind w:firstLine="482"/>
        <w:jc w:val="left"/>
        <w:keepLines w:val="0"/>
        <w:keepNext w:val="0"/>
        <w:pageBreakBefore w:val="0"/>
        <w:spacing w:line="360" w:lineRule="auto"/>
        <w:rPr>
          <w:rFonts w:ascii="宋体" w:hAnsi="宋体" w:eastAsia="宋体" w:cs="宋体"/>
          <w:b w:val="0"/>
          <w:bCs/>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本项目名称为</w:t>
      </w:r>
      <w:r>
        <w:rPr>
          <w:rFonts w:hint="eastAsia" w:ascii="宋体" w:hAnsi="宋体" w:cs="宋体"/>
          <w:b w:val="0"/>
          <w:bCs w:val="0"/>
          <w:color w:val="000000"/>
          <w:sz w:val="24"/>
          <w:szCs w:val="24"/>
          <w:highlight w:val="none"/>
          <w:lang w:eastAsia="zh-CN" w:bidi="ar"/>
        </w:rPr>
        <w:t xml:space="preserve">无锡市梁溪区夹城里地块规划学校新建工程项目校园文化建设</w:t>
      </w:r>
      <w:r>
        <w:rPr>
          <w:rFonts w:hint="eastAsia" w:ascii="宋体" w:hAnsi="宋体" w:cs="宋体"/>
          <w:color w:val="000000"/>
          <w:sz w:val="24"/>
          <w:szCs w:val="24"/>
          <w:highlight w:val="none"/>
          <w:lang w:eastAsia="zh-CN" w:bidi="ar"/>
        </w:rPr>
        <w:t xml:space="preserve">，</w:t>
      </w:r>
      <w:r>
        <w:rPr>
          <w:rFonts w:hint="eastAsia" w:ascii="宋体" w:hAnsi="宋体" w:cs="宋体"/>
          <w:b w:val="0"/>
          <w:bCs/>
          <w:color w:val="000000"/>
          <w:sz w:val="24"/>
          <w:szCs w:val="24"/>
          <w:highlight w:val="none"/>
          <w:lang w:val="en-US" w:eastAsia="zh-CN" w:bidi="ar-SA"/>
        </w:rPr>
        <w:t xml:space="preserve">具体要求如下：</w:t>
      </w:r>
      <w:r>
        <w:rPr>
          <w:rFonts w:ascii="宋体" w:hAnsi="宋体" w:eastAsia="宋体" w:cs="宋体"/>
          <w:b w:val="0"/>
          <w:bCs/>
          <w:color w:val="000000"/>
          <w:sz w:val="24"/>
          <w:szCs w:val="24"/>
          <w:highlight w:val="none"/>
          <w:lang w:val="en-US" w:eastAsia="zh-CN" w:bidi="ar"/>
        </w:rPr>
      </w:r>
      <w:r/>
    </w:p>
    <w:p>
      <w:pPr>
        <w:pStyle w:val="712"/>
        <w:ind w:firstLine="482"/>
        <w:keepLines w:val="0"/>
        <w:keepNext w:val="0"/>
        <w:pageBreakBefore w:val="0"/>
        <w:spacing w:line="360" w:lineRule="auto"/>
        <w:tabs>
          <w:tab w:val="left" w:pos="945" w:leader="none"/>
        </w:tabs>
        <w:rPr>
          <w:rFonts w:hint="eastAsia" w:ascii="宋体" w:hAnsi="宋体" w:cs="宋体"/>
          <w:b/>
          <w:color w:val="000000"/>
          <w:sz w:val="24"/>
          <w:szCs w:val="24"/>
          <w:highlight w:val="none"/>
          <w:lang w:val="en-US" w:eastAsia="zh-CN" w:bidi="ar"/>
        </w:rPr>
        <w:outlineLvl w:val="0"/>
      </w:pPr>
      <w:r>
        <w:rPr>
          <w:rFonts w:hint="eastAsia" w:ascii="宋体" w:hAnsi="宋体" w:cs="宋体"/>
          <w:b/>
          <w:color w:val="000000"/>
          <w:sz w:val="24"/>
          <w:szCs w:val="24"/>
          <w:highlight w:val="none"/>
          <w:lang w:val="en-US" w:eastAsia="zh-CN" w:bidi="ar"/>
        </w:rPr>
        <w:t xml:space="preserve">1.深化和优化设计要求</w:t>
      </w:r>
      <w:r>
        <w:rPr>
          <w:rFonts w:hint="eastAsia" w:ascii="宋体" w:hAnsi="宋体" w:cs="宋体"/>
          <w:b/>
          <w:color w:val="000000"/>
          <w:sz w:val="24"/>
          <w:szCs w:val="24"/>
          <w:highlight w:val="none"/>
          <w:lang w:val="en-US" w:eastAsia="zh-CN" w:bidi="ar"/>
        </w:rPr>
      </w:r>
      <w:r/>
    </w:p>
    <w:p>
      <w:pPr>
        <w:pStyle w:val="712"/>
        <w:ind w:firstLine="480"/>
        <w:keepLines w:val="0"/>
        <w:keepNext w:val="0"/>
        <w:pageBreakBefore w:val="0"/>
        <w:spacing w:line="360" w:lineRule="auto"/>
        <w:tabs>
          <w:tab w:val="left" w:pos="945" w:leader="none"/>
        </w:tabs>
        <w:rPr>
          <w:rFonts w:hint="eastAsia" w:ascii="宋体" w:hAnsi="宋体" w:cs="宋体"/>
          <w:b w:val="0"/>
          <w:bCs/>
          <w:color w:val="000000"/>
          <w:sz w:val="24"/>
          <w:szCs w:val="24"/>
          <w:highlight w:val="none"/>
          <w:lang w:val="en-US" w:eastAsia="zh-CN" w:bidi="ar"/>
        </w:rPr>
        <w:outlineLvl w:val="0"/>
      </w:pPr>
      <w:r>
        <w:rPr>
          <w:rFonts w:hint="eastAsia" w:ascii="宋体" w:hAnsi="宋体" w:cs="宋体"/>
          <w:b w:val="0"/>
          <w:bCs/>
          <w:color w:val="000000"/>
          <w:sz w:val="24"/>
          <w:szCs w:val="24"/>
          <w:highlight w:val="none"/>
          <w:lang w:val="en-US" w:eastAsia="zh-CN" w:bidi="ar"/>
        </w:rPr>
        <w:t xml:space="preserve">（1）</w:t>
      </w:r>
      <w:r>
        <w:rPr>
          <w:rFonts w:hint="eastAsia" w:ascii="宋体" w:hAnsi="宋体" w:cs="宋体"/>
          <w:b w:val="0"/>
          <w:bCs w:val="0"/>
          <w:color w:val="000000"/>
          <w:sz w:val="24"/>
          <w:szCs w:val="24"/>
          <w:highlight w:val="none"/>
          <w:lang w:val="en-US" w:eastAsia="zh-CN" w:bidi="ar"/>
        </w:rPr>
        <w:t xml:space="preserve">全育教学空间环境优化及提升</w:t>
      </w:r>
      <w:r>
        <w:rPr>
          <w:rFonts w:hint="eastAsia" w:ascii="宋体" w:hAnsi="宋体" w:cs="宋体"/>
          <w:b w:val="0"/>
          <w:bCs/>
          <w:color w:val="000000"/>
          <w:sz w:val="24"/>
          <w:szCs w:val="24"/>
          <w:highlight w:val="none"/>
          <w:lang w:val="en-US" w:eastAsia="zh-CN" w:bidi="ar"/>
        </w:rPr>
        <w:t xml:space="preserve">的核心目的是通过系统化的规划和营造，构建具有教育性、凝聚力和特色的校园环境，服务于师生成长和学校发展。</w:t>
      </w:r>
      <w:r>
        <w:rPr>
          <w:rFonts w:hint="eastAsia" w:ascii="宋体" w:hAnsi="宋体" w:cs="宋体"/>
          <w:b w:val="0"/>
          <w:bCs w:val="0"/>
          <w:color w:val="000000"/>
          <w:sz w:val="24"/>
          <w:szCs w:val="24"/>
          <w:highlight w:val="none"/>
          <w:lang w:val="en-US" w:eastAsia="zh-CN" w:bidi="ar"/>
        </w:rPr>
        <w:t xml:space="preserve">全育教学空间环境优化及提升</w:t>
      </w:r>
      <w:r>
        <w:rPr>
          <w:rFonts w:hint="eastAsia" w:ascii="宋体" w:hAnsi="宋体" w:cs="宋体"/>
          <w:b w:val="0"/>
          <w:bCs/>
          <w:color w:val="000000"/>
          <w:sz w:val="24"/>
          <w:szCs w:val="24"/>
          <w:highlight w:val="none"/>
          <w:lang w:val="en-US" w:eastAsia="zh-CN" w:bidi="ar"/>
        </w:rPr>
        <w:t xml:space="preserve">作为一种环境教育力量，对学生的健康成长有着巨大的影响，其目标在于创建一种氛围，以陶冶学生的情操，构筑健康的人格，全面提高学生素质。通过营造良好的校园文化氛围，激发学生的学习热情和创新精神，促进交流和思想碰撞，形成浓厚的学习氛围，培养学生的综合素质。凝练学校核心精神（校训、办学理念等），通过视觉符号（标识）和校园景观文化等载 体实现隐性教育。通过空间设计传递教育理念：促进自主学习，展示科研过程，培养审美能力。</w:t>
      </w:r>
      <w:r>
        <w:rPr>
          <w:rFonts w:hint="eastAsia" w:ascii="宋体" w:hAnsi="宋体" w:cs="宋体"/>
          <w:b w:val="0"/>
          <w:bCs/>
          <w:color w:val="000000"/>
          <w:sz w:val="24"/>
          <w:szCs w:val="24"/>
          <w:highlight w:val="none"/>
          <w:lang w:val="en-US" w:eastAsia="zh-CN" w:bidi="ar"/>
        </w:rPr>
      </w:r>
      <w:r/>
    </w:p>
    <w:p>
      <w:pPr>
        <w:pStyle w:val="712"/>
        <w:ind w:firstLine="480"/>
        <w:keepLines w:val="0"/>
        <w:keepNext w:val="0"/>
        <w:pageBreakBefore w:val="0"/>
        <w:spacing w:line="360" w:lineRule="auto"/>
        <w:tabs>
          <w:tab w:val="left" w:pos="945" w:leader="none"/>
        </w:tabs>
        <w:rPr>
          <w:rFonts w:hint="eastAsia" w:ascii="宋体" w:hAnsi="宋体" w:cs="宋体"/>
          <w:b w:val="0"/>
          <w:bCs/>
          <w:color w:val="000000"/>
          <w:sz w:val="24"/>
          <w:szCs w:val="24"/>
          <w:highlight w:val="none"/>
          <w:lang w:val="en-US" w:eastAsia="zh-CN" w:bidi="ar"/>
        </w:rPr>
        <w:outlineLvl w:val="0"/>
      </w:pPr>
      <w:r>
        <w:rPr>
          <w:rFonts w:hint="eastAsia" w:ascii="宋体" w:hAnsi="宋体" w:cs="宋体"/>
          <w:b w:val="0"/>
          <w:bCs/>
          <w:color w:val="000000"/>
          <w:sz w:val="24"/>
          <w:szCs w:val="24"/>
          <w:highlight w:val="none"/>
          <w:lang w:val="en-US" w:eastAsia="zh-CN" w:bidi="ar"/>
        </w:rPr>
        <w:t xml:space="preserve">（2）深化完善校园导视系统，整合学校VI元素，同时融入校园文化，保持视觉统一性，采用分级检索与人性化设计，打造既美观、实用又能反映学校特色和文化的导视系统，通过有创意的设计提升校园环境的吸引力，增强校园文化建设和整体形象。</w:t>
      </w:r>
      <w:r>
        <w:rPr>
          <w:rFonts w:hint="eastAsia" w:ascii="宋体" w:hAnsi="宋体" w:cs="宋体"/>
          <w:b w:val="0"/>
          <w:bCs/>
          <w:color w:val="000000"/>
          <w:sz w:val="24"/>
          <w:szCs w:val="24"/>
          <w:highlight w:val="none"/>
          <w:lang w:val="en-US" w:eastAsia="zh-CN" w:bidi="ar"/>
        </w:rPr>
      </w:r>
      <w:r/>
    </w:p>
    <w:p>
      <w:pPr>
        <w:pStyle w:val="712"/>
        <w:ind w:firstLine="480"/>
        <w:keepLines w:val="0"/>
        <w:keepNext w:val="0"/>
        <w:pageBreakBefore w:val="0"/>
        <w:spacing w:line="360" w:lineRule="auto"/>
        <w:tabs>
          <w:tab w:val="left" w:pos="945" w:leader="none"/>
        </w:tabs>
        <w:rPr>
          <w:rFonts w:hint="eastAsia" w:ascii="宋体" w:hAnsi="宋体" w:cs="宋体"/>
          <w:b w:val="0"/>
          <w:bCs/>
          <w:color w:val="000000"/>
          <w:sz w:val="24"/>
          <w:szCs w:val="24"/>
          <w:highlight w:val="none"/>
          <w:lang w:val="en-US" w:eastAsia="zh-CN" w:bidi="ar"/>
        </w:rPr>
        <w:outlineLvl w:val="0"/>
      </w:pPr>
      <w:r>
        <w:rPr>
          <w:rFonts w:hint="eastAsia" w:ascii="宋体" w:hAnsi="宋体" w:cs="宋体"/>
          <w:b w:val="0"/>
          <w:bCs/>
          <w:color w:val="000000"/>
          <w:sz w:val="24"/>
          <w:szCs w:val="24"/>
          <w:highlight w:val="none"/>
          <w:lang w:val="en-US" w:eastAsia="zh-CN" w:bidi="ar"/>
        </w:rPr>
        <w:t xml:space="preserve">（3）户外文化设计，要求和学校理念、视觉系统一脉相承。以学校核心文化为主题，充分结合学校办学思想，整体风格与原有环境有机融合。在局部户外地带，结合现场功能及实际需求进行场景化改造并充分考虑用材选择的安全性与环保性，营造符合校园设计特色，形象鲜明的校园文化系统。</w:t>
      </w:r>
      <w:r>
        <w:rPr>
          <w:rFonts w:hint="eastAsia" w:ascii="宋体" w:hAnsi="宋体" w:cs="宋体"/>
          <w:b w:val="0"/>
          <w:bCs/>
          <w:color w:val="000000"/>
          <w:sz w:val="24"/>
          <w:szCs w:val="24"/>
          <w:highlight w:val="none"/>
          <w:lang w:val="en-US" w:eastAsia="zh-CN" w:bidi="ar"/>
        </w:rPr>
      </w:r>
      <w:r/>
    </w:p>
    <w:p>
      <w:pPr>
        <w:pStyle w:val="712"/>
        <w:ind w:firstLine="480"/>
        <w:keepLines w:val="0"/>
        <w:keepNext w:val="0"/>
        <w:pageBreakBefore w:val="0"/>
        <w:spacing w:line="360" w:lineRule="auto"/>
        <w:tabs>
          <w:tab w:val="left" w:pos="945" w:leader="none"/>
        </w:tabs>
        <w:rPr>
          <w:rFonts w:hint="eastAsia" w:ascii="宋体" w:hAnsi="宋体" w:cs="宋体"/>
          <w:b/>
          <w:color w:val="000000"/>
          <w:sz w:val="24"/>
          <w:szCs w:val="24"/>
          <w:highlight w:val="none"/>
          <w:lang w:val="en-US" w:eastAsia="zh-CN" w:bidi="ar"/>
        </w:rPr>
        <w:outlineLvl w:val="0"/>
      </w:pPr>
      <w:r>
        <w:rPr>
          <w:rFonts w:hint="eastAsia" w:ascii="宋体" w:hAnsi="宋体" w:cs="宋体"/>
          <w:b w:val="0"/>
          <w:bCs/>
          <w:color w:val="000000"/>
          <w:sz w:val="24"/>
          <w:szCs w:val="24"/>
          <w:highlight w:val="none"/>
          <w:lang w:val="en-US" w:eastAsia="zh-CN" w:bidi="ar"/>
        </w:rPr>
        <w:t xml:space="preserve">（4）根据学校班级、专用教室、风雨操场、公共空间、长廊、中庭、特色功能区、核心视觉地标及文化墙等不同空间的功能和特色，紧密结合校园文化理念以及独特的教育理念，进行系统全面的规划与设计，同时注重教育内容与校园环境的融合性，鼓励互动与参与，融入科技与创新元素，强调可持续发展和文化传承。依托原有装饰基础，营造一个充满教育氛围、艺术气息和创新活力的校园文化环境，促进学生全面发展。</w:t>
      </w:r>
      <w:r>
        <w:rPr>
          <w:rFonts w:hint="eastAsia" w:ascii="宋体" w:hAnsi="宋体" w:cs="宋体"/>
          <w:b/>
          <w:color w:val="000000"/>
          <w:sz w:val="24"/>
          <w:szCs w:val="24"/>
          <w:highlight w:val="none"/>
          <w:lang w:val="en-US" w:eastAsia="zh-CN" w:bidi="ar"/>
        </w:rPr>
      </w:r>
      <w:r/>
    </w:p>
    <w:p>
      <w:pPr>
        <w:pStyle w:val="712"/>
        <w:ind w:firstLine="482"/>
        <w:keepLines w:val="0"/>
        <w:keepNext w:val="0"/>
        <w:pageBreakBefore w:val="0"/>
        <w:spacing w:line="360" w:lineRule="auto"/>
        <w:tabs>
          <w:tab w:val="left" w:pos="945" w:leader="none"/>
        </w:tabs>
        <w:rPr>
          <w:rFonts w:hint="eastAsia" w:ascii="宋体" w:hAnsi="宋体" w:cs="宋体"/>
          <w:b/>
          <w:color w:val="000000"/>
          <w:sz w:val="24"/>
          <w:szCs w:val="24"/>
          <w:highlight w:val="none"/>
          <w:lang w:val="en-US" w:eastAsia="zh-CN" w:bidi="ar"/>
        </w:rPr>
        <w:outlineLvl w:val="0"/>
      </w:pPr>
      <w:r>
        <w:rPr>
          <w:rFonts w:hint="eastAsia" w:ascii="宋体" w:hAnsi="宋体" w:cs="宋体"/>
          <w:b/>
          <w:color w:val="000000"/>
          <w:sz w:val="24"/>
          <w:szCs w:val="24"/>
          <w:highlight w:val="none"/>
          <w:lang w:val="en-US" w:eastAsia="zh-CN" w:bidi="ar"/>
        </w:rPr>
        <w:t xml:space="preserve">2</w:t>
      </w:r>
      <w:r>
        <w:rPr>
          <w:rFonts w:hint="eastAsia" w:ascii="宋体" w:hAnsi="宋体" w:cs="宋体"/>
          <w:b/>
          <w:color w:val="000000"/>
          <w:sz w:val="24"/>
          <w:szCs w:val="24"/>
          <w:highlight w:val="none"/>
          <w:lang w:bidi="ar"/>
        </w:rPr>
        <w:t xml:space="preserve">.</w:t>
      </w:r>
      <w:r>
        <w:rPr>
          <w:rFonts w:hint="eastAsia" w:ascii="宋体" w:hAnsi="宋体" w:cs="宋体"/>
          <w:b/>
          <w:color w:val="000000"/>
          <w:sz w:val="24"/>
          <w:szCs w:val="24"/>
          <w:highlight w:val="none"/>
          <w:lang w:eastAsia="zh-CN" w:bidi="ar"/>
        </w:rPr>
        <w:t xml:space="preserve">布置清单</w:t>
      </w:r>
      <w:r>
        <w:rPr>
          <w:rFonts w:hint="eastAsia" w:ascii="宋体" w:hAnsi="宋体" w:cs="宋体"/>
          <w:b/>
          <w:color w:val="000000"/>
          <w:sz w:val="24"/>
          <w:szCs w:val="24"/>
          <w:highlight w:val="none"/>
          <w:lang w:bidi="ar"/>
        </w:rPr>
        <w:t xml:space="preserve">及技术要求</w:t>
      </w:r>
      <w:r>
        <w:rPr>
          <w:rFonts w:hint="eastAsia" w:ascii="宋体" w:hAnsi="宋体" w:cs="宋体"/>
          <w:b/>
          <w:color w:val="000000"/>
          <w:sz w:val="24"/>
          <w:szCs w:val="24"/>
          <w:highlight w:val="none"/>
          <w:lang w:val="en-US" w:eastAsia="zh-CN" w:bidi="ar"/>
        </w:rPr>
        <w:t xml:space="preserve">表</w:t>
      </w:r>
      <w:r>
        <w:rPr>
          <w:rFonts w:hint="eastAsia" w:ascii="宋体" w:hAnsi="宋体" w:cs="宋体"/>
          <w:b/>
          <w:color w:val="000000"/>
          <w:sz w:val="24"/>
          <w:szCs w:val="24"/>
          <w:highlight w:val="none"/>
          <w:lang w:val="en-US" w:eastAsia="zh-CN" w:bidi="ar"/>
        </w:rPr>
      </w:r>
      <w:r/>
    </w:p>
    <w:tbl>
      <w:tblPr>
        <w:tblW w:w="9073"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7"/>
        <w:gridCol w:w="1154"/>
        <w:gridCol w:w="1025"/>
        <w:gridCol w:w="1142"/>
        <w:gridCol w:w="668"/>
        <w:gridCol w:w="4317"/>
      </w:tblGrid>
      <w:tr>
        <w:trPr>
          <w:trHeight w:val="23"/>
        </w:trPr>
        <w:tc>
          <w:tcPr>
            <w:shd w:val="clear" w:color="auto" w:fill="d9d9d9"/>
            <w:tcW w:w="767"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shd w:val="clear" w:color="auto" w:fill="d9d9d9"/>
            <w:tcW w:w="1154"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rPr>
                <w:rFonts w:hint="eastAsia" w:ascii="宋体" w:hAnsi="宋体" w:eastAsia="宋体" w:cs="宋体"/>
                <w:b/>
                <w:bCs/>
                <w:i w:val="0"/>
                <w:iCs w:val="0"/>
                <w:color w:val="000000"/>
                <w:sz w:val="22"/>
                <w:szCs w:val="22"/>
                <w:highlight w:val="none"/>
                <w:u w:val="none"/>
              </w:rPr>
            </w:r>
            <w:r/>
          </w:p>
        </w:tc>
        <w:tc>
          <w:tcPr>
            <w:shd w:val="clear" w:color="auto" w:fill="d9d9d9"/>
            <w:tcW w:w="1025"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　</w:t>
            </w:r>
            <w:r>
              <w:rPr>
                <w:rFonts w:hint="eastAsia" w:ascii="宋体" w:hAnsi="宋体" w:eastAsia="宋体" w:cs="宋体"/>
                <w:b/>
                <w:bCs/>
                <w:i w:val="0"/>
                <w:iCs w:val="0"/>
                <w:color w:val="000000"/>
                <w:sz w:val="22"/>
                <w:szCs w:val="22"/>
                <w:highlight w:val="none"/>
                <w:u w:val="none"/>
              </w:rPr>
            </w:r>
            <w:r/>
          </w:p>
        </w:tc>
        <w:tc>
          <w:tcPr>
            <w:shd w:val="clear" w:color="auto" w:fill="d9d9d9"/>
            <w:tcW w:w="1142"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shd w:val="clear" w:color="auto" w:fill="d9d9d9"/>
            <w:tcW w:w="668"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shd w:val="clear" w:color="auto" w:fill="d9d9d9"/>
            <w:tcW w:w="4317" w:type="dxa"/>
            <w:vAlign w:val="center"/>
            <w:textDirection w:val="lrTb"/>
            <w:noWrap/>
          </w:tcPr>
          <w:p>
            <w:pPr>
              <w:pStyle w:val="712"/>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设计要求及材质工艺</w:t>
            </w:r>
            <w:r>
              <w:rPr>
                <w:rFonts w:hint="eastAsia" w:ascii="宋体" w:hAnsi="宋体" w:eastAsia="宋体" w:cs="宋体"/>
                <w:b/>
                <w:bCs/>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普通班级门牌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320*165*35mm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top"/>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设计要求：原创设计，门牌规格尺寸为≥320*165*35mm。严格按照规格参数设计制作，整体版型规整、比例协调，适配校园班级标准安装使用场景。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1、基础材质：采用国标S30408（06Cr19Ni10）不锈钢，板材厚度1.2mm（±0.2mm）。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2、表面及图文工艺：板面经钝化防腐处理后进行静电烤漆工艺；文字、图案均采用丝网印刷成型。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专业教室门牌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320*120*35mm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top"/>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原创设计，门牌规格尺寸为≥320*120*35mm，严格按照规格参数设计制作，整体版型规整、比例协调，适配校园专业教室门框安装使用场景。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1、基础材质：采用国标S30408（06Cr19Ni10）不锈钢，板材厚度1.2mm（±0.2mm）。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2、表面及图文工艺：板面经钝化防腐处理后进行静电烤漆工艺；文字、图案均采用丝网印刷成型。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职能门牌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320*120*35mm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top"/>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原创设计，门牌规格尺寸为≥320*120*35mm，严格按照规格参数设计制作，整体版型规整、比例协调，适配校园职能科室门框安装使用场景。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1、基础材质：采用国标S30408（06Cr19Ni10）不锈钢，板材厚度1.2mm（±0.2mm）。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2、表面及图文工艺：板面经钝化防腐处理后进行静电烤漆工艺；文字、图案均采用丝网印刷成型。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洗手间贴装门牌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1010*1160mm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原创设计，门牌规格尺寸为≥1010*1160mm，严格按照规格参数设计制作，整体版型规整、比例协调，适配校园洗手间贴装使用场景。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1、基础材质：采用铝板制作，板材厚度3mm（±0.2mm）。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2、表面及图文工艺：采用激光雕刻工艺成型图案，图案部位进行烤漆处理。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设备间门牌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180*60mm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138</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top"/>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原创设计，门牌规格尺寸为≥180*60mm，严格按照规格参数设计制作，整体版型规整、比例协调，适配校园设备间安装使用场景。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1、基础材质：采用亚克力材质制作，板材厚度5mm（±0.5mm）。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2、表面及图文工艺：整体采用激光雕刻烤漆工艺，文字内容采用丝网印刷成型。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公区墙面导视</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1620*280mm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原创设计，规格尺寸为≥1620*280mm，严格按照规格参数设计制作，整体版型规整、比例协调，适配校园公区墙面安装使用场景。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采用优质即时贴材质制作，版面平整、粘贴牢固、色泽均匀，耐晒耐老化，不易褪色起翘。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楼层标识</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H260mm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原创设计，标识高度≥H260mm，严格按照规格参数设计制作，整体版型规整、比例协调，适配校园楼层标识安装使用场景。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1、基础材质：采用亚克力材质制作，板材厚度5mm（±0.5mm）。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2、表面及图文工艺：采用激光雕刻烤漆工艺成型，做工精细、边缘平整、漆面均匀。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室内公告栏</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1450*850*160mm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860*850*160mm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原创设计，包含两种规格，尺寸分别为≥1450*850*160mm、≥860*850*160mm，严格按照规格参数设计制作，整体版型规整、结构稳固，适配校园室内公告展示使用场景。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1、框架材质：采用国标S30408（06Cr19Ni10）不锈钢，板材厚度1.2mm（±0.2mm）。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2、整体厚度：箱体整体厚度160mm（±10mm），采用钢化玻璃气泵式开启结构，开合顺畅、密封性好。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3、背板材质：配备10mm（±1mm）雪弗板背板，平整度高、不易变形。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4、图文工艺：配置3mm（±0.3mm）亚克力板材，经激光雕刻烤漆处理，图案采用丝网印刷成型，字迹图案清晰牢固。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楼层索引</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1600*545*10mm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原创设计，规格尺寸为≥1600*545*10mm，严格按照规格参数设计制作，整体版型规整、比例协调，适配校园楼层索引导视使用场景。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1、基础材质：采用国标S30408（06Cr19Ni10）不锈钢，板材厚度1.2mm（±0.2mm）。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2、整体厚度：成品整体厚度10mm（±1mm），结构平整稳固。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3、表面及图文工艺：板面经钝化处理后进行静电烤漆，文字、图案均采用丝网印刷成型，附着力强、耐久不褪色。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消火栓标识</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785*150mm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常规设计，规格尺寸为≥785*150mm，严格按照规格参数设计制作，整体版型规整、醒目清晰，适配校园消火栓区域标识使用场景。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1、基础材质：采用亚克力材质制作，板材厚度5mm（±0.5mm）。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2、表面及图文工艺：采用激光雕刻烤漆工艺，文字内容采用丝网印刷成型，标识清晰、耐磨耐久。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消防疏散图</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200*300mm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常规设计，规格尺寸为≥200*300mm，严格按照规格参数设计制作，整体版型规整、标识规范，适配校园消防疏散指引使用场景。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1、基础材质：采用亚克力材质制作，板材厚度5mm（±0.5mm）。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2、表面及图文工艺：采用激光雕刻烤漆工艺，版面图文采用UV印刷成型，色彩饱满、清晰度高、防晒耐磨。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普通温馨提示标识</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230*85mm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162</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原创设计，规格尺寸为≥230*85mm，严格按照规格参数设计制作，整体版型规整、小巧美观，适配校园日常温馨提示使用场景。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1、基础材质：采用亚克力材质制作，板材厚度5mm（±0.5mm）。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2、表面及图文工艺：采用激光雕刻烤漆工艺，文字内容采用丝网印刷成型，字迹清晰、不易脱落褪色。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栏杆温馨提示标识</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470*80mm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400*80mm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660*80mm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357</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原创设计，包含3种规格，尺寸分别为≥470*80mm、≥400*80mm、≥660*80mm，严格按照规格参数设计制作，整体版型规整，适配校园栏杆区域提示使用场景。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1、基础材质：采用雪弗板材质制作，板材厚度10mm（±1mm），质地紧实、不易变形。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2、表面及图文工艺：整体采用UV印刷工艺成型，色彩均匀、附着力强、耐候性好。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电梯编号</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H60mm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原创设计，标识高度≥H60mm，严格按照规格参数设计制作，整体版型规整、标识醒目，适配校园电梯编号标识使用场景。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1、基础材质：采用亚克力材质制作，板材厚度5mm（±0.5mm）。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2、表面及图文工艺：采用激光雕刻烤漆工艺成型，边缘光滑、漆面均匀、耐久度高。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火警勿用电梯牌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90*200mm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原创设计，规格尺寸为≥90*200mm，严格按照规格参数设计制作，整体版型规整、警示性强，适配校园电梯消防安全提示使用场景。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1、基础材质：采用亚克力材质制作，板材厚度5mm（±0.5mm）。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2、表面及图文工艺：采用激光雕刻烤漆工艺成型，图文清晰、醒目耐磨，符合消防标识使用要求。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教师卡、访客证</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常规设计，每组包含教师卡（1张）和访客证（1张），严格按照常规参数设计制作，整体版型规整、样式统一，适配校园师生、访客身份识别使用场景。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采用ABS材质定制制作，材质耐用、不易变形、质感优良。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会议台牌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原创设计，规格尺寸为≥20cm*10cm，严格按照规格参数设计制作，版型规整、比例协调，适配校园会议场景摆放使用。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采用水晶亚克力材质制作，磁吸结构设计，通透美观、拆装便捷、牢固耐用。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定制帆布袋</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原创设计，整体样式简约规整，适配校园文化宣传、日常使用场景，图案排版协调美观。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采用优质面料制作，根据校方需求定制校园文化图案，印刷清晰、附着力强、耐磨耐用。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方案、成品样式和规格需经甲方确认后方可批量制作。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食堂五常规范</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原创设计，版型规整、内容规范，适配校园食堂宣传公示使用场景，整体视觉整洁统一。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采用1.2mm（±0.2mm）雪弗板UV印刷搭配亚克力工艺制作，材质平整不易变形，图文清晰、耐擦洗、耐腐蚀。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方案、成品样式和具体数量需经甲方确认后方可批量制作。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可移动引导牌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原创设计，采用A3或A4标准版面，版型规整、标识醒目，适配校园各类场景导视使用。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采用移动式结构设计，稳固便携，结合定制学校logo及各类图案内容，图文清晰、色彩均匀。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校徽</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原创设计，根据学校办学特色，设计造型规整、比例协调，符合校园整体视觉形象标准，适配各类场景配套使用。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根据确定样式图案、配色定制制作，做工精细、质感优良、耐久不褪色。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八礼四仪落地展示</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1200*800mm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原创设计，规格尺寸为≥1200*800mm，版型规整、版面布局合理，适配校园德育文化宣传展示场景。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展示内容包含八礼四仪、核心价值观、中小学生守则等校园德育内容，根据校方特色定制设计，图文清晰、色彩饱满、耐晒耐老化。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德育宣传</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A4</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原创设计，采用A4标准尺寸，版面整洁规范，适配班级德育宣传公示使用场景。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内容涵盖班级八礼四仪等德育宣传内容，排版规整、图文清晰、印刷质量优良。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各类旗帜</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常规设计，旗帜版型标准、比例规范，适配校园党建、团建、少先队、校园环境布置等各类场景。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包含标准国旗、党旗、团旗、队旗各5面，班级中队旗100面，学校校旗5面，另含刀旗、三角挂旗等环境布置旗帜；所有旗帜按照国家标准及校方需求定制设计制作，面料平整、着色均匀、不易褪色。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教室前方毛毡板报墙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原创设计，高度匹配普通黑板标准高度，尺寸按现场实际尺寸定制，整体平整规整、贴合教室墙面。设计内容符合九年一贯各学段特点。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采用加厚高密度环保毛毡板材制作，材质环保无异味、平整度高、韧性好、不易起球变形，适配教室板书、展示使用需求。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定制校园纪念品套装</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原创设计，套装整体风格统一、简约大方，适配校园礼品馈赠、文化展示场景。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含定制礼品盒，内含签字笔等校园配套礼品，整体做工精细、质感优良，根据校方特色定制设计。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定制主题杯</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原创设计，造型规整、样式统一，适配校园日常使用、礼品配套场景。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分为定制logo主题杯、通用一次性水杯，根据校方特色定制学校logo及各类图案，印刷清晰、贴合牢固。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定制瓷杯</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原创设计，杯型规整、配色协调，整体风格统一，适配校园定制礼品使用场景。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采用优质瓷材制作，根据校方特色定制学校logo及专属图案，釉面均匀、图案清晰、耐磨耐热、不易脱落。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主题小信封</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原创设计，版型标准、样式整洁，适配校园文书、礼品配套使用场景。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采用优质纸质普通信封，定制学校logo及专属图案，印刷清晰、纸面平整、做工规整。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主题文件袋</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A4</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原创设计，采用标准A4尺寸，版型规整、容量适配，适配校园文件收纳使用场景。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基于标准A4规格制作，定制学校logo及专属图案，材质厚实耐用、印刷清晰、不易磨损。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定制主题文化辅材</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A4</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原创设计，标准A4版型，样式整洁统一，适配校园办公、记录使用场景。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采用优质A4标准裁切，定制学校logo及专属图案，纸面平整、打印流畅、显色清晰。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定制主题笔记手册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原创设计，整体版型规整、风格统一，适配校园师生日常记录、礼品配套场景。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采用软木材质封面，定制学校logo及专属图案，装订牢固、纸张优质、封面耐磨耐脏。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定制设计成长手册</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本</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原创设计，标准A4尺寸，版面排版美观合理，适配学生成长记录、校园档案留存场景。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采用硬壳封面设计，内页使用130g优质纸张，厚实平整、不易泛黄，整体图案内容根据校方需求定制设计，符合常规。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定制学校专用奖状</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原创设计，版面规范、样式正式，符合校园评优表彰使用场景，整体美观大气。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包含三好学生奖状、优秀班干部奖状及空白奖状组合，纸张厚实、印刷清晰、格式规范，可根据校方需求微调样式。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校风校训文化墙1</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10000*4400mm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原创设计，规格尺寸为≥10000*4400mm，严格按照规格参数设计制作，整体版型规整、造型精致，结构稳固，适配校园室内外露天长期展示使用场景。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1、基础材质：采用国标S30408（06Cr19Ni10）拉丝不锈钢板，板材厚度1.2mm（±0.2mm），无磁、耐腐蚀、抗氧化，耐风雨、耐紫外线，不易生锈变形。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2、成型参数：板面平整度高、韧性好，保障拉丝质感与造型精度，整体造型厚度50mm（±0.5mm）。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校风校训文化墙2</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10000*4400mm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原创设计，规格尺寸为≥10000*4400mm，严格按照规格参数设计制作，整体版型规整、造型精致，结构稳固，适配校园室内外露天长期展示使用场景。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1、基础材质：采用国标S30408（06Cr19Ni10）拉丝不锈钢板，板材厚度1.2mm（±0.2mm），无磁、耐腐蚀、抗氧化，耐风雨、耐紫外线，不易生锈变形。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2、成型参数：板面平整度高、韧性好，保障拉丝质感与造型精度，整体造型厚度50mm（±0.5mm）。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校风校训文化墙3</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10000*4400mm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原创设计，规格尺寸为≥10000*4400mm，严格按照规格参数设计制作，整体版型规整、造型精致，结构稳固，适配校园室内外露天长期展示使用场景。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1、基础材质：采用国标S30408（06Cr19Ni10）拉丝不锈钢板，板材厚度1.2mm（±0.2mm），无磁、耐腐蚀、抗氧化，耐风雨、耐紫外线，不易生锈变形。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2、成型参数：板面平整度高、韧性好，保障拉丝质感与造型精度，整体造型厚度50mm（±0.5mm）。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校风校训文化墙4</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10000*4400mm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原创设计，规格尺寸为≥10000*4400mm，严格按照规格参数设计制作，整体版型规整、造型精致，结构稳固，适配校园室内外露天长期展示使用场景。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1、基础材质：采用国标S30408（06Cr19Ni10）拉丝不锈钢板，板材厚度1.2mm（±0.2mm），无磁、耐腐蚀、抗氧化，耐风雨、耐紫外线，不易生锈变形。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2、成型参数：板面平整度高、韧性好，保障拉丝质感与造型精度，整体造型厚度50mm（±0.5mm）。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教师风采墙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11650*2750mm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原创设计，规格尺寸为≥11650*2750mm，整体布局层次分明、造型规整美观，结构稳固安全，适配校园室内文化展示场景。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1、基础结构：采用轻钢龙骨架结构，细木工板基层，基层厚度150mm（±10mm），墙体牢固不易变形。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2、表层工艺：定制装饰木饰面，开洞内嵌深度10mm（±1mm），搭配雪弗板方形插盒磁吸表层，拆装便捷、展示效果佳。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3、图文及配饰：配置LED装饰灯带，搭配5mm（±0.5mm）亚克力烤漆字，表面丝网印刷装饰图案，整体质感精致、视觉效果饱满。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荣誉墙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11530*2750mm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原创设计，规格尺寸为≥11530*2750mm，版面分区合理、造型大气规整，结构稳固承重性好，适配校园荣誉展示使用场景。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1、基础结构：采用轻钢龙骨架结构，细木工板基层，基层厚度250mm（±20mm），结构稳固、承载力强。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2、表层工艺：定制装饰木饰面，开洞内嵌深度20mm（±2mm），配置烤漆木质搁板，美观耐磨、承重力佳。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3、图文及配饰：配备LED装饰灯带，采用5mm（±0.5mm）亚克力烤漆字，搭配丝网印刷装饰图案，整体层次丰富、质感高级。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班级墙裙装饰</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1050*400mm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原创设计，规格尺寸为≥1050*400mm，版型规整、线条流畅，样式统一协调，适配教室墙面装饰美化场景。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采用定制铁皮烤漆工艺，板材厚度15mm（±1.5mm），搭配定制铁皮烤木纹漆包边装饰，漆面均匀、质感细腻、耐磨耐刮、不易脱落。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少先队室墙1</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原创设计，规格尺寸为≥9500*2750mm，整体布局规整、主题鲜明，层次丰富，适配少先队室文化展示使用场景。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1、基础结构：采用轻钢龙骨架+木工板基层，墙面厚度150mm（±10mm），结构平整稳固。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2、表层工艺：定制木饰面装饰，墙面采用宣绒布UV印刷，色彩饱满、画质清晰、耐晒耐老化。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3、图文及配饰：配置LED装饰灯带，使用5mm（±0.5mm）亚克力烤漆字、10mm（±1mm）雪弗板UV印刷造型，做工精细、立体效果佳。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少先队室墙2</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原创设计，规格尺寸为≥8600*2750mm，版面整洁规范、主题突出，适配少先队室整体文化氛围。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整墙采用宣绒布UV印刷工艺，搭配10mm（±1mm）雪弗板UV印刷造型、5mm（±0.5mm）亚克力烤漆字，配置定制磁吸白板，图文清晰、使用便捷、耐久美观。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少先队室墙3</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4950*2750mm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原创设计，规格尺寸为≥4950*2750mm，布局合理、造型规整，兼顾展示与实用，适配少先队室场景使用。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1、基础结构：采用轻钢龙骨架+木工板基层，墙面厚度150mm（±10mm），结构稳固平整。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2、表层工艺：墙面宣绒布UV印刷，色彩均匀、画质细腻。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3、图文及配饰：配备LED装饰灯带、5mm（±0.5mm）亚克力烤漆字，搭配定制木隔板，兼具美观与收纳展示功能。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党建室墙1</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原创设计，规格尺寸为≥5900*2750mm，版式庄重规整、主题鲜明，层次立体，适配党建室文化展示场景。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1、基础结构：采用轻钢龙骨架+木工板基层，墙面厚度150mm（±10mm），结构牢固平整。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2、表层工艺：定制木饰面装饰，整墙宣绒布UV印刷，画质高清、色彩持久、不易褪色。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3、图文及配饰：配置LED装饰灯带，采用5mm（±0.5mm）亚克力烤漆字、10mm（±1mm）雪弗板UV印刷造型，做工精细、质感庄重。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党建室墙2</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5950*2750mm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原创设计，规格尺寸为≥5950*2750mm，整体造型规整大气，布局协调统一，符合党建室整体装饰风格。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1、基础结构：采用轻钢龙骨架+木工板基层，墙面厚度250mm（±20mm），结构厚实稳固、平整度高。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2、表层工艺：定制木饰面装饰，墙面宣绒布UV印刷，色彩均匀饱满、耐候性强。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3、图文工艺：搭配10mm（±1mm）雪弗板UV印刷造型，图文清晰、立体效果好。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党建室墙3</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4950*2750mm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原创设计，规格尺寸为≥4950*2750mm，造型规整、功能与展示结合，适配党建室办公、展示一体化场景。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1、基础结构：采用轻钢龙骨架+木工板基层，墙面厚度250mm（±20mm），结构稳固、承载力强。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2、配套及工艺：配置定制木质柜，墙面采用宣绒布UV印刷，搭配10mm（±1mm）雪弗板UV印刷造型，质感统一、美观实用。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教室学风国旗</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1000*200+1010*200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+400*600mm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常规设计，每组3个规格，尺寸分别为≥1000*200mm、≥1010*200mm、≥400*600mm，版型规整、比例协调，样式统一庄重，适配教室墙面国旗展示场景。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1、基础材质：采用国标S30408（06Cr19Ni10）不锈钢，板材厚度1.2mm（±0.2mm），成品造型厚度20mm（±2mm），结构稳固、不易变形。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2、表面工艺：板面采用烤漆UV印刷工艺，色彩鲜艳、附着力强、耐晒耐磨、不易褪色脱落。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森境传声·美育主题墙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5200*11650mm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5200*11650mm，严格按照规格参数设计制作。整体围绕“森境传声、美育育人”核心主题，版面布局自然灵动、层次丰富，贴合校园美育文化氛围；异形传声造型设计新颖独特，与整体森境主题、校园美育文化深度融合，风格清新雅致、契合校园艺术教育展示定位，整体版型规整、布局协调，适配校园美育文化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1、基础结构：采用轻钢龙骨+木工板基层，基层厚度10mm（±1mm），墙面平整稳固、不易变形。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2、墙面工艺：墙面涂刷基膜液打底处理，整墙采用宣绒布UV印刷，画质清晰、色彩均匀、耐晒耐久。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3、造型工艺：定制传声筒异形造型，严格按照设计效果图定制制作，造型贴合整体版面设计，整体融合度高、美观协调。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方案、成品样式需经甲方确认后方可批量制作。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意念森华·智启繁花墙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10000*2750mm，严格按照规格参数设计制作。整体围绕“意念森华、智启繁花”校园美育核心主题打造，融合森林自然景观与艺术花艺造型，版面布局大气规整、层次立体丰富；整体设计适配一楼核心区域校园美育氛围，花艺造型与森境主题相辅相成，景观效果雅致生动，兼具观赏性与美育展示性，适配学生互动及校园沉浸式文化景观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基层工艺：一楼核心区域墙体采用骨架表层铺装工艺，使用10mm（±1mm）厚细木工板作为整体受力基层，板面平整、拼接严密，为饰面印刷、交互装置、花艺装置提供稳固安装基面；墙体全域涂刷基膜液，封闭基面、防潮防渗、增强饰面附着力，杜绝后期起鼓、脱胶、掉色问题，整体与校园森林主题墙面风格连贯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景观互动装置：配置轻量化、安全适配学生使用的花艺互动配套组件，整体操作简易、安全性高；设置三组独立配色仿生花卉造型模组，可根据场景氛围由学生意念控制实现花朵开合动态效果，视觉呈现直观生动，景观层次丰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花卉造型装置工艺：可定制真丝水仙、真丝百合、纸艺造型、向日葵、白掌、虞美人及配套绿植等开合花艺造型（样式由校方选定），花头直径40-80cm、整体高度100-220cm；根据墙面尺寸合理排布花艺数量与造型，搭配三色独立开合花朵模组，造型精致、开合流畅；装置采用环保柔性材质制作，表面无尖锐棱角，运行低噪音、低能耗，自带过载、防卡滞安全保护；采用嵌入式、贴合式安装，线路隐藏布设，整体整洁美观、安全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方案、设备选型、花艺样式及成品效果需经甲方确认后方可批量制作、安装。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碧波循净生态展区</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6200*11650mm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6200*11650mm，严格按照规格参数设计制作。整体围绕“碧波循净、生态保护、水环境科普”核心主题打造，版面布局开阔规整、层次立体饱满，贴合校园生态美育、绿色科普教育氛围。采用分段式立体翻页景观造型设计，三段式展示结构分区清晰、衔接流畅，可多角度呈现生态科普主题内容，景观动态展示效果柔和美观，兼具生态文化观赏性、科普宣传性与沉浸式体验感，适配校园生态文化、水环境知识科普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层与饰面工艺：墙面全域涂刷基膜液做封闭预处理，有效加固基面、防潮防渗、提升饰面附着力，避免后期起鼓、脱色、老化破损；整墙采用高品质宣绒布UV印刷工艺，画质高清细腻、色彩均匀饱满、耐晒耐磨，长效还原生态主题视觉氛围，整体质感高级适配校园美育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体框架结构工艺：展区采用分段式立体展示结构，共计三段展示单元，单段尺寸5000*3000mm（±50mm）；主体采用国标6063-T5加强型铝合金型材，内置加强筋结构，型材环保安全、抗氧化、耐腐蚀、耐久不变形，整体框架稳固扎实、承重性强，适配长期校园展示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立体翻页景观造型工艺：配备平稳式步进传动景观结构，采用双齿步进推进、多功能拨盘步进设计，传动顺畅平稳、无卡顿无抖动；核心传动部件采用PA66工业级尼龙材质，耐磨抗老化、使用寿命长；配置25mm（±2.5mm）电泳工艺钢质传动轴心，防锈耐腐、结构强度高。三棱柱展示单体规格规整，宽面132mm（±10mm），壁厚1.8mm（±0.2mm），线密度1.3kg/m（±0.1kg/m），造型匀称、承重均衡、运行稳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安全与结构设计：采用分体式独立单元结构，便于后期维护、检修与单独更换；配置万向防撞保护机制，可有效规避三棱柱运行碰撞、脱落等风险，运行安全系数高，适配校园师生观赏体验场景，安全防护到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5、内容结合碧波净水、生态环保、水资源保护等校园科普主题，定制整套展区展示图文资源，内容贴合校园美育科普体系，排版规整美观、知识内容科学规范。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方案、结构排布、画面内容、造型样式及成品整体展示效果需经甲方确认后方可批量制作、安装。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碧海循流·净泽归澜主题墙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10000*2750mm，严格按照规格参数设计制作。整体围绕“碧水净化、循流向善、节水科普”核心主题打造，版面布局错落有致、层次立体丰富，融合自然水系景观与科普教育理念。整体设计贴合校园生态美育、节水德育氛围，以水系循环、污水净化为视觉核心，搭配卡通自然场景造型，互动体验式景观设计趣味性十足，可让学生直观感受水质净化全过程，兼具景观观赏性、科普教育性与沉浸式体验感，适配校园生态科普、节水文化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1、基础基层工艺：墙面采用标准化结构</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工艺，采用轻钢龙骨搭配木工板基层，基层厚度10mm（±1mm），板面平整牢固、拼接严密，为整体饰面及科普造型装置提供稳固安装基面，结构不易变形、耐久度高。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层饰面材质工艺：墙面整体采用18mm（±2mm）密度板饰面，局部搭配15mm（±1mm）PE板、PC管材及4mm（±0.4mm）亚克力造型板材；整体采用UV打印水晶膜呈现主题图案，图案清晰细腻、色彩鲜亮均匀，画质耐久不褪色。所有用材安全环保、无异味，成品配件无裂纹、无色差，产品边缘打磨光滑、无毛刺、无锐边，杜绝磕碰安全隐患，适配校园学生互动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科普景观造型工艺：整墙打造一体化水系净化科普景观造型，分区设置雨水收集区、储水结构、多级过滤容器、清水收纳结构及手动摇杆互动装置；通过透明管道、透明容器组合排布，搭配不同色彩过滤材料与卡通城市、自然主题背景，视觉效果通透生动、层次丰富。采用手动摇杆驱动水流循环，可直观展示雨水收集、水流输送、多级过滤、污水净化、清水收纳的完整流程，让学生通过手动操作沉浸式观察水质由浊变清的全过程，科普展示效果直观立体、教育意义突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方案、版面图案、造型排布、材质配色及成品整体科普展示效果需经甲方确认后方可批量制作、安装。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太空轨道数理科普文化墙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5000*11650mm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5000*11650mm，严格按照规格参数设计制作。整体围绕“太空探索、数理科普、科创求知”核心主题打造，融合浩瀚星空宇宙美学与数理科学文化内涵，版面布局开阔大气、层次立体丰富；墙面搭配动态星际轨道造型，融入轻量化科普动态展示设计，可呈现模拟星体运动、轨道流转等科普动态效果，将数理曲线、物理运动轨迹、节奏变换等科学原理直观可视化展示，兼具动态科普教育性、艺术观赏性与沉浸式体验感，贴合校园科创美育建设氛围，适配校园数理科普、科创文化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1、墙面基层工艺：墙面采用标准化规范</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工艺，全域涂刷基膜液做封闭预处理，有效加固墙体基面、隔绝潮气、防渗防裂，大幅提升饰面附着力，杜绝后期墙面起鼓、脱层、褪色等问题，保障文化墙长期完整美观、耐久使用。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墙面饰面工艺：整墙采用高品质宣绒布搭配高精度UV数码印刷工艺，宣绒布肌理细腻、质感柔和，哑光质感适配校园美育场景；印刷色彩饱和度高、细节精致、层次丰富，具备耐晒耐磨、防水耐污特性，完美还原太空星空主题氛围，实现科学文化与视觉美育深度融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3、核心轨道动态科普造型工艺：核心科普轨道造型采用国标S3040（06Cr19Ni10）不锈钢材质，板材厚度1.2mm（±0.2mm），经折</w:t>
            </w:r>
            <w:r>
              <w:rPr>
                <w:rFonts w:hint="eastAsia" w:ascii="宋体" w:hAnsi="宋体" w:eastAsia="宋体" w:cs="宋体"/>
                <w:i w:val="0"/>
                <w:iCs w:val="0"/>
                <w:color w:val="000000"/>
                <w:sz w:val="22"/>
                <w:szCs w:val="22"/>
                <w:highlight w:val="none"/>
                <w:u w:val="none"/>
                <w:lang w:val="en-US" w:eastAsia="zh-CN" w:bidi="ar"/>
              </w:rPr>
              <w:t xml:space="preserve">弯成型作为轨道托底结构；采用5mm（±0.5mm）圆钢，按150mm（±10mm）间距弯折焊接制作，轨道整体半径140mm（±10mm）、轨道高度240mm（±20mm）；通过轨道角码配合M8膨胀螺丝固定于墙面，采用三长两短间接式排布，长轨道平均长度8000mm（±50mm），短轨道平均长度4400mm（±50mm）。整体轨道造型内置轻量化动态展示结构，可实现平稳、静音的轨道动态流转展示效果，依托造型动态变化直观展现太空星体运行、数理轨迹变化等科普内容，造型规整牢固、美观耐用，深度贴合太空探索数理科普主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方案、画面样式、轨道造型排布及成品整体效果需经甲方确认后方可批量制作、安装。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重力探索星际科普文化墙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10000*2750mm，严格按照规格参数设计制作。整体围绕“漫步星际、探索重力、天体科普”核心主题打造，依托太阳系八大行星科学内涵设计场景内容，版面开阔大气、层次立体饱满，星际主题氛围浓厚。将天体物理、重力差异等科学知识点融入沉浸式景观造型，以情景化、体验式展示形式替代传统静态科普，兼具星际美学观赏性、科学知识科普性与互动体验趣味性，贴合校园科创美育、研学体验建设定位，适配校园星际重力科普、科学启蒙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1、墙面基层工艺：墙面采用标准化稳固</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结构，采用轻钢龙骨搭配木工板基层，基层厚度10mm（±1mm），板面平整牢固、拼接严密，整体结构不易变形、承重性良好；墙面全域涂刷基膜液做封闭预处理，有效防潮防渗、加固基面、提升饰面附着力，杜绝后期起鼓、脱色、老化破损，保障墙面长效美观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墙面饰面工艺：整墙采用高品质宣绒布搭配高精度UV印刷工艺，根据校方定制星际科普主题内容排版制作，画质高清细腻、色彩层次丰富、色彩饱和度均匀，耐晒耐磨、防水耐污，完整还原浩瀚星际、太阳系天体的视觉氛围，打造沉浸式星际科普墙面景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整体桁架结构工艺：墙面满铺定制金属桁架结构，严格贴合墙面长宽尺寸量身排布安装，配套设置拉伸固定构件，整体结构贴合墙面、受力均匀、稳固牢靠；桁架整体采用白色喷漆工艺，漆面均匀光滑、无瑕疵色差，质感整洁高级，与星际主题墙面风格高度适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科普体验造型工艺：定制8组星球配重铝箱造型，对应太阳系八大行星科普体系，作为核心研学体验载体；依据八大行星真实引力比例打造差异化配重体验效果，以地球重力为基础参照，通过不同配重箱体直观呈现各大行星重力强弱区别，可让学生通过亲手实操、对比感知，沉浸式理解星际重力差异、天体物理等基础科学原理，科普展示效果直观生动、教育意义突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方案、桁架排布、铝箱造型、墙面主题画面及成品整体科普体验效果需经甲方确认后方可批量制作、安装。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模块化拼搭科创美育互动空间</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15200*2750mm，严格按照规格参数设计制作。整体围绕“模块化拼搭、科创实践、美育创造、互动研学”核心主题打造，版面布局规整大气、功能分区合理，兼顾校园景观装饰与科创教学功能。以自由拼搭互动场景为核心亮点，贴合小学生动手实践、创意创作、团队协作的美育科创需求，场景风格简约整洁、安全适配校园公共区域环境，兼具观赏性、实操性与科普教育性，适配校园科创美育、课后实践、创意互动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1、墙面基础工艺：墙面采用标准化稳固</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结构，采用轻钢龙骨搭配木工板基层，基层厚度10mm（±1mm），结构平整牢固、受力均匀、不易变形；墙面采用优质环保涂料饰面，搭配轨道射灯辅助氛围照明，整体视觉整洁通透、氛围舒适，适配校园公共空间常态化展示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专用底板基材工艺：整墙铺装高密度环保ABS专用积木底板，采用整面无缝铺装工艺，板面平整顺滑、承重均匀，具备不开裂、不变形、不掉色的优良性能；底板网格孔距标准规范，咬合精度高，适配通用大颗粒积木拼插，插拔顺畅、松紧适中，可满足小学生自主拼搭操作需求，杜绝卡粒、脱粒、滑粒等问题，实操体验优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环保与耐久标准：所有板材均符合校园室内装修E0级环保标准，安全无异味、无甲醛释放，绿色健康适配校园教学环境；整体材质具备防潮、防霉、耐擦洗性能，可适应校园日常温差变化、通风潮湿等复杂环境，支持学校全年高频次常态化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4、墙面安全</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工艺：整墙采用全屋找平固定+隐形紧固安装工艺，底板贴合牢固、贴合度高，不起鼓、不翘边、不脱落，可有效抵抗学生日常拉扯、按压、撞击，结构安全稳固，符合校园公共区域安全使用规范；墙面所有边角均采用圆角收边处理，无毛刺、无尖锐棱角，彻底杜绝磕碰安全隐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大颗粒积木配置工艺：全套采用校园专用超大颗粒积木，颗粒尺寸符合儿童防吞咽安全标准，材质厚实、壁厚均匀、韧性十足，不易断裂破损；积木采用全新环保ABS原生料制作，无毒无味、抗老化、抗紫外线，长期使用不易变黄、开裂、掉渣，耐磨耐摔，可适配校园高强度、高频次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创意积木品类配置：配套多元化全套创意积木套件，涵盖基础方块、转角件、弧形件、车轮件、门窗件、拼插连接件及各类异形创意件，品类齐全、组合性强；可自由拼搭房屋、桥梁、动植物、交通工具、几何结构、科创造型、文字图案等多种造型，充分满足学生自由创作、科创课程教学、团队搭建实践等多元使用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方案、底板铺装、积木配置、灯光排布及成品整体互动展示效果需经甲方确认后方可批量制作、安装。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方寸筑思·构创万象主题空间</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15200*2750mm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15200*2750mm，严格按照规格参数设计制作。整体围绕“方寸弈智、构创万象、文理融合、知行共育”核心主题打造，将中华传统棋类国粹文化与基础物理科普知识相结合，版面布局规整有序、功能分区清晰、层次立体丰富。兼顾传统文化传承与科创实践教育，集棋艺学习、实景对弈、物理实操、趣味探索于一体，场景风格雅致且富有科创活力，高度适配校园传统文化美育、科学启蒙实践教学场景，兼具观赏性、互动性与教育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1、基础基层与饰面工艺：墙面采用标准化稳固</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结构，采用轻钢龙骨搭配木工板基层，基层厚度10mm（±1mm），板面平整牢固、受力均匀、不易变形；墙面采用优质环保涂料饰面，搭配轨道射灯辅助氛围照明，整体视觉整洁通透、氛围雅致，适配校园公共空间常态化展示与实操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体材质与安全标准：互动装置整体采用高密度环保板材及复合型安全材质制作，核心用材包含18mm（±2mm）密度板、PVC板材、4mm（±0.4mm）亚克力板；所有用材环保安全、无异味、耐磨耐刮、不易变形，成品边角精细打磨、无尖锐棱角，符合校园学生互动实操安全标准，耐久适配校园高频次使用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3、传</w:t>
            </w:r>
            <w:r>
              <w:rPr>
                <w:rFonts w:hint="eastAsia" w:ascii="宋体" w:hAnsi="宋体" w:eastAsia="宋体" w:cs="宋体"/>
                <w:i w:val="0"/>
                <w:iCs w:val="0"/>
                <w:color w:val="000000"/>
                <w:sz w:val="22"/>
                <w:szCs w:val="22"/>
                <w:highlight w:val="none"/>
                <w:u w:val="none"/>
                <w:lang w:val="en-US" w:eastAsia="zh-CN" w:bidi="ar"/>
              </w:rPr>
              <w:t xml:space="preserve">统棋类文化板块工艺：装置分区打造围棋、象棋两大经典国粹棋艺互动场景，兼顾文化学习与实景对弈功能，以沉浸式互动形式传承中华棋艺文化。围棋文化互动区设置专业围棋对弈盘面，搭配可旋转棋子，支持学生自主对弈练习；配套围棋口诀文化展示区域，图文直观展示棋盘布局、围控技巧与对弈战术，助力学生掌握围棋策略知识。象棋文化互动区配备磁吸式象棋棋盘与吸附式棋子，走子稳固、操作顺畅；设置象棋规则教学展示区，通过示范棋盘图示讲解基础走法，重点展示马、炮特色走子技巧，依托楚河汉界经典场景还原博弈意境，锻炼学生战略布局与临场思辨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物理科普互动板块工艺：墙面同步打造沉浸式物理实操科普景观，配置多元化立体轨道结构与可移动滑动配件，整体结构稳固、滑动顺畅、无卡顿异响。以动手实操为核心，学生可自主推拉、移动、调试各类滑动配件，直观感知重力、惯性、摩擦力等基础物理现象，将抽象的课本理论知识转化为具象的实操体验，科普形式趣味直观、互动性强，有效提升学生科学探索与实践认知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方案、分区布局、图文样式、装置工艺及成品整体文化展示、互动体验效果需经甲方确认后方可批量制作、安装。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拼搭/建构地面文化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原创设计，总面积≥30㎡，严格按照场地尺寸及场景规划标准定制设计</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整体遵循主题化、场景化、安全化的建设思路，聚焦学生动手实践、益智搭建、自主探索的核心需求打造专属地面文化活动空间，场景风格简约适配校园科创美育氛围，与周边拼搭建构空间整体风格协调统一，兼具环境美化、功能实用、安全防护特性，适配校园室内常态化教学、学生自主活动、团队建构实践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1、整体铺装工艺：区域地面整体采用PVC环保防滑地贴满铺</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，铺装平整贴合、接缝严密、无起鼓、无翘边，整体版面规整统一，贴合地面基础、适配长期高频使用。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环保材质标准：所有地贴选材严格遵循校园绿色环保建设标准，材质安全无毒、无污染、无异味，环保性能优异，适配校园室内封闭教学活动空间，有效保障学生活动环境健康洁净，符合校园安全环保使用规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耐磨耐久性能：地贴材质韧性优良、耐磨抗压、抗弯折、不易老化，可完全适配学生频繁走动、蹲坐操作、积木拼搭、动手建构等高频使用场景，长期使用不易出现磨损、起皮、开裂、脱层等问题，适配校园长期精细化运维管理需求，使用寿命长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4、安全实用性能：地贴表面防滑耐磨，触感温润舒适，可有效降低学生活动磕碰、滑倒风险，安全防护性佳；整体铺装完成后整洁美观、易清洁打理，可常态化水洗擦拭，适配校园日常卫生维护标准。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方案、地贴样式、场景布局及成品整体效果需经甲方确认后方可批量制作、铺装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校园消防科普安全教育文化墙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9200*3850mm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9200*3850mm，严格按照规格参数设计制作。整体围绕校园消防安全、安全教育、科普育人核心主题打造，版面布局开阔规整、画面完整统一、主题鲜明突出，贴合校园消防科普及安全文化建设内容。以沉浸式整墙视觉设计呈现消防科普知识，兼具文化展示、模型展示、安全教育、观摩教学功能，视觉整洁规范、育人氛围浓厚，适配校园常态化消防安全科普、安全教育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1、墙面基层工艺：墙面采用标准化稳固</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结构，采用轻钢龙骨搭配木工板基层，基层厚度10mm（±1mm），板面平整紧实、拼接严密、结构稳固、承重性能优异，可长期承载消防模型展示、图文展示、科普陈列内容，耐久不易变形，适配校园常年开放观摩使用场景。墙面全域涂刷专用基膜液做封闭养护处理，有效加固基面、防潮防渗、提升饰面附着力，杜绝后期起鼓、脱层、褪色等问题，保障墙面长期整洁完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墙面饰面工艺：整墙满铺高品质宣绒布，无缝整体铺贴、质感统一温润，面料耐磨耐擦洗、抗老化、易清洁，符合校园文化墙面精致长效的建设标准；面层采用高清UV数码印刷工艺，一体化定制校园消防安全教育主题图案内容，色彩饱和细腻、画质高清立体、层次丰富，具备防水、防刮、耐晒耐磨、长久不褪色的特性，实现工艺质感与校园安全科普文化深度融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整体展示效果：整墙一体化成型、观感整洁规范，主题内容清晰直观、科普氛围浓厚，可常态化用于校园消防安全宣传、安全教育普及、课堂观摩教学，实用性、观赏性与教育性兼备，长效适配校园安全文化阵地建设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方案、画面内容、排版样式及成品整体科普展示效果需经甲方确认后方可批量制作、安装。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消防展示模型素材墙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规格尺寸为≥10000*2750mm，严格按照规格参数设计制作。整体围绕校园消防安全育人、安全文化浸润、沉浸式科普教学核心理念打造，版面布局开阔规整、分区清晰、层次立体丰富。摒弃传统单一图文宣传模式，融合图文展示、实物陈列、模型科普于一体，场景化、可视化呈现消防安全知识，科普氛围浓厚、教育属性突出，高度适配校园师生观摩学习、安全教育实训、常态化安全宣传场景，完善校园安全文化阵地建设体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1、墙面基层工艺：墙面采用标准化稳固工装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结构，采用轻钢龙骨骨架搭配10mm（±1mm）厚木工板基层，整体板面平整紧实、拼接严密、结构稳固、承重性能优异，不易变形开裂，可长期稳定承载各类消防模型、器材素材陈列，适配校园室内常态化展示使用场景。墙面全域涂刷专用基膜液进行固化防潮处理，有效封闭墙体基面、防霉防渗、防起灰开裂，大幅提升墙面结构稳定性与整体耐久度，适配校园长期精细化运维使用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墙面饰面工艺：整墙整体铺贴高品质宣绒布材质，面料肌理细腻、质感温润、色彩均匀饱满，具备耐磨耐擦洗、抗老化、易清洁的优良性能，符合校园公共展示空间建设标准；表层采用高清UV印刷工艺，一体化定制校园消防安全主题图文内容，图案清晰立体、层次丰富、色彩持久靓丽，具备防水、防刮、耐晒不褪色特性，系统展示消防安全常识、应急逃生技巧、消防装备科普等内容，营造浓厚的校园安全育人氛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科普素材配置工艺：墙面采用“实物陈列+模型展示+场景科普”一体化科普建设形式，系统化配套全套校园消防科普展示素材，涵盖消防防护模型、灭火科普模型、消防应急工具模型、安全标识系统等全品类展示内容，构建全方位、立体化的校园消防科普展示体系，将抽象的消防安全知识转化为直观可视、可观摩学习的实景场景，科普教育效果直观高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整体建设效果：整体墙面工艺规范、观感整洁大气，展示布局科学合理，兼顾景观美观性、知识科普性与教学实用性。深度融合消防安全教育与校园文化建设，打造可观摩、可教学、可常态化科普宣传的标准化校园安全教育阵地，有效助力校园消防安全常态化教育落地，筑牢校园安全文化育人防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方案、版面排版、图文内容、模型陈列布局及成品整体科普展示效果需经甲方确认后方可批量制作、安装。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消防交互展示文化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严格按照校园安全建设标准及场景规划要求制作。整体围绕校园消防安全育人、常态化安全实训、沉浸式科普宣传核心理念打造，聚焦校园安全教育、班级教学宣讲、安全实训巩固等多元校园场景，打造集文化展示、情景化科普、互动体验、知识巩固于一体的标准化校园消防文化阵地。整体设计贴合校园整体文化调性，操作简易、安全适配师生使用，可实现消防文化内容动态展示、场景化科普交互，适配安全教室、展厅、班级文化阵地等多场景落地，兼具景观展示性、科普教育性与实训实用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展示载体建设标准：定制标准化消防科普交互展示景观载体，展示区域尺寸≥1200*800mm，版面布局规整、视觉观感整洁大气，整体样式与校园安全文化体系高度统一。载体结构稳固安全、展示效果清晰，支持科普内容灵活切换、场景化展示呈现，可作为校园消防安全常态化宣传、师生自主学习、课堂宣讲展示的核心文化载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多元场景交互体验设计：适配校园分层安全教育需求，打造多元化科普体验模式，可满足教师集中授课指导、学生自主探索学习、社团科普活动、校园参观宣讲等不同场景使用。体验形式简易直观、适配不同学段师生认知需求，实现校园消防科普常态化、体系化落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消防图文科普景观模块：依托可视化图文展示形式，构建全方位消防知识科普体系，内容严格贴合《中小学安全教育指导纲要》及校园安全建设标准，内容通俗易懂、适配校园育人场景。全面涵盖安全知识、消防法规、火灾防控、隐患排查、火场逃生、校园消防、居家消防、森林防火、交通消防、消防新规、知识百科等全品类内容，覆盖校园、家庭、社会公共场景消防安全知识，沉浸式营造校园消防文化育人氛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主题动态宣教展示模块：配套系统化消防主题动态宣教内容，以情景化、可视化动态展示形式普及消防安全知识，适配校园安全第一课、主题班会、课后延时教育、常态化安全宣讲等校园活动场景。内容涵盖消防安全常识、消防标识认知、消防疏散规范、消火栓使用方法、校园及家庭火灾预防、高楼火灾自救、森林防火、四季防火等核心宣教内容，直观强化师生安全防范认知与应急处置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科普知识测评巩固模块：配套专业化校园适配型消防知识测评内容，题库总量不少于100道，全面覆盖校园消防常识、消防法律法规、火灾隐患排查、应急逃生技巧、消防器材使用、居家及森林防火等核心知识点。可用于校园消防知识竞赛、班级日常测评、安全教育考核、社团科普活动等，以学促练、以考促学，常态化巩固消防安全教育成果，完善校园安全育人评价体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6、整体建设效果与</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整体消防交互展示文化体系布局科学、内容系统、体验丰富，摒弃单一静态宣传形式，构建“图文科普+视听宣教+情景体验+测评巩固”四位一体的沉浸式消防育人场景，全面完善校园安全文化阵地建设。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方案、展示载体样式、科普内容排版、体验功能布局及成品整体展示效果需经甲方确认后方可批量制作、安装。</w:t>
            </w:r>
            <w:r>
              <w:rPr>
                <w:rFonts w:hint="eastAsia" w:ascii="宋体" w:hAnsi="宋体" w:eastAsia="宋体" w:cs="宋体"/>
                <w:i w:val="0"/>
                <w:iCs w:val="0"/>
                <w:color w:val="000000"/>
                <w:sz w:val="22"/>
                <w:szCs w:val="22"/>
                <w:highlight w:val="none"/>
                <w:u w:val="none"/>
              </w:rPr>
            </w:r>
            <w:r/>
          </w:p>
        </w:tc>
      </w:tr>
      <w:tr>
        <w:trPr>
          <w:trHeight w:val="6336"/>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结绳灭火科普文化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严格按照校园消防安全教育建设标准及场景规划要求制作。整体围绕消防应急自救、绳结实操教学、仿真灭火实训、安全技能育人核心主题打造，集绳结实操展示、可视化教学科普、全类型火灾模拟实训、知识测评考核于一体。场景功能分区清晰、实操性强、适配师生实训学习，以沉浸式、动手式体验替代传统静态科普，全方位覆盖消防逃生结绳技巧、各类火灾辨识与规范灭火操作，适配校园消防安全实训教学、主题安全教育、社团科普活动等多元场景，兼具景观展示性、实操教学性与安全科普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结绳自救展示配套工艺：定制标准化绳结科普展示场景，配套专用绳结实训绳、专用挂架、辅助展示辅材等全套展示配件，配件品类齐全、质感规整、安全耐用，适配学生常态化动手实操练习。整体展示布局规整有序，可直观展示各类消防自救绳结的标准打法、缠绕方式与使用场景，为校园绳结自救教学提供标准化实训载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24种消防绳结科普教学体系：配套完整系统化消防绳结教学资源与专属展示载体，涵盖24种常用应急自救绳结教学内容，包含半结、单结、止结、8字结、双股8字结、双股单结、单套腰结、双套腰结、三套腰结、双平结、床单连结、双重连结、蝴蝶结、捻结、多个单结、纤绳连结、单活扣连接、双活扣连接、交叉连接、双绕双结、卷结、单椅子结、腹带连结、锚结等全部实用绳结品类。通过可视化教学、实景实操练习，帮助师生熟练掌握各类绳结规范打法与应急使用技巧，提升复杂场景下的资源利用与逃生自救能力，科普教学内容全面、贴合校园应急育人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仿真灭火实训装置工艺：定制校园专用仿真灭火实训模型柜体，柜体采用优质镀锌铁皮折弯精工制作，表层采用乳白色环保喷塑工艺，漆面均匀光滑、耐刮耐磨、无毒环保；柜体边角采用不低于50度大圆角打磨处理，无尖锐棱角，彻底杜绝学生磕碰安全隐患。面板敷设优质UV亚克力板材，画质通透清晰、质感整洁高级，整体造型简约规整、安全耐用、适配校园常态化实训使用。实训模型底部配置感应压力结构，实现教具提起自动待机启动、落地自动休眠关机的人性化节能效果，操作简易、安全便捷、适配师生自主实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训交互体验功能设计：整套模拟灭火科普实训场景集成多元科普体验模块，包含灭火知识学习、灭火趣味问答、实景模拟灭火三大核心功能，形成“学习—巩固—实操”一体化科普育人体系。灭火知识模块以图文、情景化形式普及各类消防安全、火灾防控、器材使用知识；灭火问答模块配套专业题库，可随机筛选消防灭火知识题目供学生作答，以练促学巩固科普成果；模拟灭火模块适配专业灭火教学科普，实景还原真实灭火操作流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全品类火灾场景实训体系：模拟灭火系统涵盖A、B、C、D、E、F六大类标准火灾场景，配套不少于60种实景着火场景，全面覆盖各类火灾科普教学需求。包含固体物质火灾、液体及可熔化固体火灾、气体火灾、金属火灾、带电设备火灾、烹饪器具火灾六大类别，细分涵盖木材存放场、木制品加工区、粉尘工厂、电气厂区、棉花存放区、衣物仓库、化学品存放区、燃料储存场、多类型厨房场景、家居客厅场景、金属钢材存放场景等丰富实训场景，场景覆盖全面、贴合生活实际、科普专业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标准化实训交互与考核机制：体验过程高度还原真实灭火操作逻辑，学生手持定制仿真灭火器教具，按压喷雾按键对准场景着火区域即可开展模拟灭火实训。界面配备可视化火势进度条与实训倒计时机制，实时展示灭火进度与剩余实训时长，要求在规定时间内完成火势扑灭，超时则判定实训失败。实训结束后系统自动生成标准化操作评判结果，精准判别操作规范度，梳理操作短板与不足，直观纠正不规范灭火动作，助力师生掌握标准、专业的火灾扑救流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7、整体建设与</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要求：整套结绳灭火科普场景布局科学、功能完善、体验流畅、安全适配校园使用，实现消防自救技能与灭火实操技能双向科普育人。实际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方案、展示载体样式、绳结展示布局、实训场景配置及成品整体科普实训效果需经甲方确认后方可批量制作、安装调试。</w:t>
            </w:r>
            <w:r>
              <w:rPr>
                <w:rFonts w:hint="eastAsia" w:ascii="宋体" w:hAnsi="宋体" w:eastAsia="宋体" w:cs="宋体"/>
                <w:i w:val="0"/>
                <w:iCs w:val="0"/>
                <w:color w:val="000000"/>
                <w:sz w:val="22"/>
                <w:szCs w:val="22"/>
                <w:highlight w:val="none"/>
                <w:u w:val="none"/>
              </w:rPr>
            </w:r>
            <w:r/>
          </w:p>
        </w:tc>
      </w:tr>
      <w:tr>
        <w:trPr>
          <w:trHeight w:val="7955"/>
        </w:trPr>
        <w:tc>
          <w:tcPr>
            <w:tcW w:w="767" w:type="dxa"/>
            <w:vAlign w:val="center"/>
            <w:textDirection w:val="lrTb"/>
            <w:noWrap/>
          </w:tcPr>
          <w:p>
            <w:pPr>
              <w:pStyle w:val="712"/>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62</w:t>
            </w:r>
            <w:r>
              <w:rPr>
                <w:rFonts w:ascii="宋体" w:hAnsi="宋体" w:eastAsia="宋体" w:cs="宋体"/>
                <w:i w:val="0"/>
                <w:iCs w:val="0"/>
                <w:color w:val="000000"/>
                <w:sz w:val="22"/>
                <w:szCs w:val="22"/>
                <w:highlight w:val="none"/>
                <w:u w:val="none"/>
                <w:lang w:val="en-US" w:eastAsia="zh-CN" w:bidi="ar"/>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lang w:val="en-US" w:eastAsia="zh-CN" w:bidi="ar"/>
              </w:rPr>
              <w:t xml:space="preserve">消防服文化展示</w:t>
            </w:r>
            <w:r>
              <w:rPr>
                <w:rFonts w:hint="eastAsia" w:ascii="宋体" w:hAnsi="宋体" w:eastAsia="宋体" w:cs="宋体"/>
                <w:i w:val="0"/>
                <w:iCs w:val="0"/>
                <w:color w:val="000000"/>
                <w:sz w:val="22"/>
                <w:szCs w:val="22"/>
                <w:highlight w:val="none"/>
                <w:u w:val="none"/>
                <w:lang w:val="en-US" w:eastAsia="zh-CN" w:bidi="ar"/>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lang w:val="en-US" w:eastAsia="zh-CN" w:bidi="ar"/>
              </w:rPr>
            </w:r>
            <w:r/>
          </w:p>
        </w:tc>
        <w:tc>
          <w:tcPr>
            <w:tcW w:w="1142" w:type="dxa"/>
            <w:vAlign w:val="center"/>
            <w:textDirection w:val="lrTb"/>
            <w:noWrap/>
          </w:tcPr>
          <w:p>
            <w:pPr>
              <w:pStyle w:val="712"/>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4317" w:type="dxa"/>
            <w:vAlign w:val="center"/>
            <w:textDirection w:val="lrTb"/>
            <w:noWrap w:val="false"/>
          </w:tcPr>
          <w:p>
            <w:pPr>
              <w:pStyle w:val="712"/>
              <w:jc w:val="left"/>
              <w:keepLines w:val="0"/>
              <w:keepNext w:val="0"/>
              <w:widowControl/>
              <w:rPr>
                <w:rFonts w:hint="eastAsia" w:ascii="宋体" w:hAnsi="宋体" w:eastAsia="宋体" w:cs="宋体"/>
                <w:color w:val="000000"/>
                <w:sz w:val="22"/>
                <w:szCs w:val="22"/>
                <w:highlight w:val="none"/>
                <w:u w:val="none"/>
                <w:lang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常规设计，整体围绕校园消防安全文化宣传、服饰知识科普、沉浸式实景展示核心需求打造。以标准化人模穿戴展示为核心形式，直观呈现消防灭火防护服、抢险救援服标准穿戴效果，展示布局规整、陈列规范、主题鲜明，贴合校园消防安全教育整体氛围。摒弃传统图文单一宣传模式，以实物实景展示形式普及消防服饰功能、适用场景、防护作用等科普知识，兼具景观展示性、知识科普性与教学实用性，适配校园消防安全宣讲、课堂实训教学、校园文化阵地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color w:val="000000"/>
                <w:sz w:val="22"/>
                <w:szCs w:val="22"/>
                <w:highlight w:val="none"/>
                <w:u w:val="none"/>
                <w:lang w:val="en-US" w:eastAsia="zh-CN" w:bidi="ar"/>
              </w:rPr>
              <w:t xml:space="preserve">以实景化陈列为核心，集中展示灭火防护服、抢险救援服两类核心消防制式服饰。通过规范标准的穿戴陈列效果，直观呈现两类消防服饰的外观差异、适用场景、防护功能及规范穿戴要点，系统化普及消防服饰安全知识，丰富校园消防安全科普体系，让师生沉浸式、直观化学习消防防护知识，强化校园消防安全教育成效。</w:t>
            </w:r>
            <w:r>
              <w:rPr>
                <w:rFonts w:hint="eastAsia" w:ascii="宋体" w:hAnsi="宋体" w:eastAsia="宋体" w:cs="宋体"/>
                <w:color w:val="000000"/>
                <w:sz w:val="22"/>
                <w:szCs w:val="22"/>
                <w:highlight w:val="none"/>
                <w:u w:val="none"/>
                <w:lang w:bidi="ar"/>
              </w:rPr>
            </w:r>
            <w:r/>
          </w:p>
          <w:p>
            <w:pPr>
              <w:pStyle w:val="712"/>
              <w:jc w:val="both"/>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2、实施要求：实际展示方案、服饰制式、穿戴陈列样式及成品整体消防文化展示效果需经甲方确认后方可制作、安装陈列。</w:t>
            </w:r>
            <w:r>
              <w:rPr>
                <w:rFonts w:hint="eastAsia" w:ascii="宋体" w:hAnsi="宋体" w:eastAsia="宋体" w:cs="宋体"/>
                <w:i w:val="0"/>
                <w:iCs w:val="0"/>
                <w:color w:val="000000"/>
                <w:sz w:val="22"/>
                <w:szCs w:val="22"/>
                <w:highlight w:val="none"/>
                <w:u w:val="none"/>
                <w:lang w:val="en-US" w:eastAsia="zh-CN" w:bidi="ar"/>
              </w:rPr>
            </w:r>
            <w:r/>
          </w:p>
        </w:tc>
      </w:tr>
      <w:tr>
        <w:trPr>
          <w:trHeight w:val="14354"/>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逐风凌云·航启新知主题墙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10000*2750mm+7300*3850mm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包含两个规格，尺寸分别为≥10000*2750mm、≥7300*3850mm，严格按照规格参数设计制作。整体围绕“逐风凌云、航启新知、航天探索、科创启蒙”核心主题打造，版面布局开阔规整、层次立体饱满，航天主题氛围浓厚。设计贴合校园科创美育建设体系，融合航天文化、科学探索与求知育人理念，画面观感整洁大气、主题鲜明、风格适配校园整体文化调性，兼具景观观赏性、科创科普性与文化育人性，适配校园航天科普宣传、科创文化展示、沉浸式美育教学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1、墙面基层骨架工艺：墙面采用国标标准化工装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工艺，采用专业轻钢龙骨搭建整体受力骨架，龙骨排布规整、间距合规、受力均匀、结构稳固无松动。基层选用10mm（±1mm）优质实木木工板板材，板面平整紧实、拼接严密、承载力强，整体结构不易变形、不易开裂，长效适配校园室内常态化展示环境，保障墙面整体稳定性与耐久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墙体基膜固化工艺：全域墙面涂刷专用墙面基膜液做封闭固化预处理，可有效固化墙体表层粉尘、修补墙体细微缝隙，全面增强后续饰面材质与基层墙体的粘结附着力。从底层杜绝墙面起皮、脱胶、发霉、起鼓等常见问题，长效保障航天科普文化墙面整洁完好，适配校园长期精细化运维与常态化展示使用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墙面饰面材质与印刷工艺：整墙满铺高端优质宣绒布材质，整体无缝铺贴、衔接自然、无拼接瑕疵，面料肌理细腻温润、耐磨耐刮、耐擦洗、抗老化、无异味，完全符合校园绿色环保装修建设标准。面层采用高清UV数码印刷工艺，色彩饱和度高、色彩还原精准、画质细节清晰立体、层次丰富，具备防水防晒、耐磨防刮、长久不褪色的优良性能，墙面图文内容可根据校方实际需求定制设计排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4、整体建设效果与</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要求：整体墙面工艺规范、质感高级、主题氛围浓郁，完美呈现校园航天科创科普文化，有效丰富校园科创美育阵地体系，沉浸式营造探索求知的校园育人氛围。实际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方案、版面排版、图文内容、色彩样式及成品整体文化展示效果需经甲方确认后方可批量制作、安装。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定制长征火箭模型</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H1000mm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单模型高度≥H1000mm，严格按照航天火箭标准比例参数及效果图定制制作。整体围绕长征系列航天火箭科普育人、科创美育展示核心主题打造，精准还原长征火箭真实外观结构、零部件造型与整体形态，涵盖火箭助推器、整流罩等核心结构展示。模型比例规整、造型仿真、细节精致、质感高级，高度贴合校园航天科创文化氛围，兼具景观展示性、航天科普性与科创教育性，适配校园航天文化宣传、科创课堂教学、沉浸式美育展示、研学科普场景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1、模型结构优化与成型工艺：</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前对长征火箭家族原型尺寸精准测绘，按标准比例精准缩放定制成型，针对薄壁结构进行专项优化加固处理，有效杜绝模型长期陈列变形、翘曲问题。采用高精度钣金成型工艺制作，高度还原真实长征火箭整体结构、外形弧度与零部件细节，整体成型精度高、形态标准、仿真度优异。整体采用分段模块化法兰连接结构，配合无缝焊接工艺加工成型，全程精细打磨抛光处理，表面平整顺滑、无拼接缝隙、无凹凸瑕疵，整体尺寸长宽高超差范围不大于1%，尺寸精度达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体材质与基材标准：模型主体采用1.5–2.0mm厚Q235热镀锌钢板（Z120锌层）精工制作，基材强度高、韧性好、抗形变、耐腐蚀，适配校园室内外长期陈列展示环境。配套定制镀锌稳固底座，支撑性强、受力均匀、结构牢靠，可有效保障模型长期摆放稳定，不易倾倒、不易锈蚀老化，满足校园长期精细化运维展示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表层防腐与底层工艺：模型整体表层依次经过喷砂、阳极化、环氧底漆多层标准化工艺处理，全方位强化基材防腐、防锈、抗老化性能。底层打磨原子灰严格采用环保配比标准，主剂密度≈1.8–2.0g/cm³、固化剂密度≈1.1–1.2g/cm³，整体VOC含量≤350g/L，符合校园绿色环保建设标准，无毒无污染、无异味，适配校园育人场景。表层喷涂2K汽车专用面漆，挥发性有机物化合物(VOC)含量＞182g/L，漆面质感细腻、附着力强、耐久度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精细外观与仿真工艺：模型完整还原长征系列火箭仿真蒙皮结构，精准复刻各类航天标识、型号参数、外观纹路，搭配高精度水晶字转印工艺，标识清晰立体、贴合牢固、不易脱落褪色。严格区分各型号火箭展示高度标准，长征一号模型高度不低于0.8米，长征2号F、长征五号模型高度不低于1米，型号规格标准、展示体系完整。模型外露表面平整光洁，无磕碰、无划痕、无锈蚀、无毛刺，外露骨架规整统一，整体观感精致大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5、专业焊接工艺标准：所有焊接工序严格遵循行业高精度</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规范，焊缝经目视检测无裂纹、无气孔、无夹渣等瑕疵，焊缝拉力强度≥母材90%，结构强度牢靠。精密焊接部件焊后变形量≤0.15mm，精度极高；外观焊接位置精细打磨平整，无焊痕凸痕、无高低差，保障整体外观流畅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喷漆工艺验收标准：漆面附着力采用划格法检测≤1级，完全符合GB/T9286国家标准；漆面哑光、亮光效果严格参照RAL国际色卡标准调色，整体色差ΔE≤2，色彩均匀统一、还原精准；耐候性能优异，中性盐雾测试≥480h不起泡、不脱落、不锈蚀，长效适配校园各类展示环境，耐久不老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7、整体效果与</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要求：成品模型结构稳固、造型仿真、细节饱满、工艺精良，完整展示长征系列火箭航天科技内涵，有效丰富校园航天科创科普体系，沉浸式营造科学探索、逐梦航天的育人氛围。实际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方案、模型配比、漆面色系、标识样式及成品整体展示效果需经甲方确认后方可批量制作、组装安装。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定制航天服结构拆解科普墙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4500*H2500mm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规格尺寸≥4500*2500mm，严格按照真实航天服参数及效果图比例设计制作。整体以中国第二代“飞天”舱外航天服为核心原型，采用1:1真人比例仿真建模设计，完整复刻舱外航天服整体造型、结构分区、配色体系与核心部件形态。版面布局规整大气、层次分明，整合整体展示、部件拆解、科普铭牌讲解多功能，直观呈现航天服构造原理、材质特性与功能作用，贴合校园航天科创启蒙、美育科普教学场景，兼具沉浸式观赏性、专业科普性与教学实用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规格与仿真标准：严格按照1:1比例打造二代“飞天”舱外航天服模型，采用行业标准180常规码制作，成品站立高度≥185cm，左右宽度≥75cm，前后厚度≥70cm，整体展示区域尺寸高≥2500mm、长≥4500mm，尺寸精准、比例协调，高度还原真实舱外航天服外观形态与结构布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整体材质配置：模型采用复合型环保材质精工打造，内置高强度钢铁骨架支撑，结构稳固不易变形、承重性强；主体外层面料采用加厚16安优质帆布面料，耐磨抗老化、质感贴合真机，内层搭配透气三明治面料，还原真实航天服分层结构；头盔采用玻璃钢主体搭配镀金亚克力面罩，透光均匀、质感高级、仿真度高；手套、胶套等配件采用定制环保硅胶材质，柔韧耐磨、造型规整；各类拆解配件采用光固化SLA树脂3D打印成型，精度达标、细节饱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3D打印精细工艺：所有异形拆解配件采用紫外固化激光光固化SLA树脂3D打印工艺，打印精度可达±0.02mm，层厚精度在0.02mm–0.1mm区间可调，零部件边缘规整、无毛刺、细节还原精准；模型内部采用专用管道搭配不锈钢连接件组合支撑，结构衔接紧密、稳固牢靠；整体底座采用4mm（±0.4mm）加厚钢板定制固定，承重稳定、不易晃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模型展示体系：整套展示系统包含1:1完整二代飞天舱外航天服成品、全套航天服拆解核心零部件、专属科普铭牌三大模块，形成“整体展示+部件拆解+文字科普”一体化科普体系。核心展示部件涵盖一体化头盔、上身躯干组件、下身防护组件、专用防护手套、航天鞋套、外置生命支持系统等全套核心结构，完整还原航天服构造体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外观与功能还原工艺：整体以航天标准白色为主色调，契合真实舱外航天服设计原理，依托白色高反射、低吸收的特性，还原太空隔热、防辐射、高辨识度的核心功能；头盔两侧配备仿真近光、远光照明道具模型，细节完整；躯干区域精准复刻航天服电控台、调节手柄等核心部件，完整还原航天服温度调节、供氧控制、生命体征监测、液温调控等核心功能结构，科普专业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综合材质搭配：整合仿真尼龙布料、优质帆布、ABS板材、高透亚克力、环保EPE、高强度玻璃钢等多类优质材质，兼顾仿真质感、结构稳固性与校园使用安全性，所有用材环保无异味、无尖锐棱角，适配校园常态化科普展示、学生观摩学习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方案、模型比例、部件排布、铭牌内容、配色样式及成品整体科普展示效果需经甲方确认后方可批量制作、安装。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定制空间站面板结构墙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3200*H2500mm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规格尺寸≥3200*2500mm，严格参照中国空间站真实内部结构、设备布局、薄壁参数按比例缩放设计制作。针对空间站薄壁结构特性进行专项加固优化，彻底杜绝后期变形、开裂问题，高精度还原空间站内部面板、零部件、管路布局及整体结构形态，版面规整精密、科技感十足，贴合校园高端航天科创科普、研学教学、美育展示场景，兼具仿真观赏性、结构科普性、工艺展示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基材与结构工艺：整体采用1.5–2.0mm厚Q235热镀锌钢板（Z120高锌层）精工打造，耐腐蚀、抗老化、结构强度高；采用分段模块化法兰连接工艺，搭配无缝焊接、精细打磨抛光多道工序，整体拼接严密、无拼接缝隙；表层经标准化喷砂、阳极化、环氧防锈底漆多层工艺预处理，外部喷涂环保环氧防锈底漆，长效防锈耐候；配套定制镀锌稳固底座，支撑性强、受力均匀，整体结构牢固、不易形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环保涂装工艺：底层打磨原子灰采用环保配比标准，主剂密度≈1.8–2.0g/cm³，固化剂密度≈1.1–1.2g/cm³，整体VOC含量≤350g/L，符合校园绿色环保建设标准；表层喷涂2K汽车专用面漆，挥发性有机物化合物(VOC)含量＞182g/L，漆面附着力强、质感细腻、耐久度高；整体采用氟碳喷涂工艺，抗氧化、耐雨淋、耐紫外线，适配校园长期展示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精密尺寸精度标准：严格把控整体成型精度，成品长宽高尺寸超差范围不大于1%；折弯工艺精度严苛，折弯角度误差±0.3°，折弯全长直线度≤0.5mm/m，展开尺寸公差±0.15mm，折弯边尺寸误差±0.1mm，整体造型规整、参数精准，高度还原空间站真实结构精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焊接工艺标准：所有焊接工序遵循高精度行业规范，焊缝经目视探伤检测，无裂纹、气孔、夹渣等瑕疵，焊缝拉力强度≥母材90%，结构稳固牢靠；精密焊接部件焊后变形量≤0.15mm，外观焊接位置精细打磨平整，无焊痕、无凹凸凸痕，整体板面顺滑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喷漆与烤漆性能标准：漆面附着力采用国标划格法检测≤1级，品质达标；光泽度可根据空间站真机效果，按RAL国际色卡定制哑光、亮光效果，整体色差ΔE≤2，色彩还原精准、均匀统一；耐候性能优异，中性盐雾测试≥480h不起泡、不脱落、不锈蚀；烤漆硬度可达H~2H铅笔无痕标准，耐冲击性能≥50cm，耐磨抗造、适配长期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仿真细节还原：完整还原空间站真实蒙皮纹理、设备标识、管路布局、面板分区，零部件组装精准、拼接严密，外露表面平整光洁、无磕碰、无划痕、无锈蚀，外露骨架规整统一，高度复刻空间站内部科技质感与结构逻辑，科普展示效果专业立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方案、结构比例、漆面配色、标识排版、精度调试及成品整体仿真展示效果需经甲方确认后方可批量制作、组装安装。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交通安全研学科普墙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10000*2750mm+8100*3850mm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包含两个规格，整体定制尺寸分别为≥10000*2750mm、≥8100*3850mm，严格按照规格参数及校园文化建设标准设计制作。整体版面布局规整大气、分区清晰、层次立体，贴合中小学平安校园、德育育人建设理念。以交通安全科普为核心，融合沉浸式墙面展示设计，兼顾观赏性、科普性、教学实用性，打破传统静态宣传局限，适配校园公共区域大型文化展示、班级集体研学、安全教育常态化教学场景，整体风格与校园现有文化墙体系统一，育人氛围浓厚、视觉效果整洁大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骨架工艺：采用国标轻质轻钢龙骨搭建整墙受力骨架，龙骨韧性强、承重稳定、结构牢固，具备防潮、防蛀、抗形变、稳固性强等优势，可适配校园长期室内展示环境。有效找平原始墙面、弥补基层凹凸、墙体松动等问题，全方位保障整墙长期平整稳固、不开裂、不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基层板材工艺：整墙满铺10mm（±1mm）优质环保木工板作为硬质基层，板材厚薄均匀、板面平整光滑、承载力强、韧性优异，完全符合校园环保装修标准，无异味、无污染、无有害物质释放。通过满铺基层实现整体墙面精准找平塑形，为后续面层铺贴、高清印刷提供平整、坚实、均匀的</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基底，保障科普图文工整立体、观感统一，全面提升墙面整体质感与档次。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面层核心工艺：基层验收完成后，整墙满铺高端定制宣绒布，采用高精度环保UV数码印刷工艺制作面层，为本项目核心展示工艺。定制印制适配中小学场景的交通安全知识、出行规范、交通科普图案、文明交通标语、事故警示内容等全套主题素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成品效果标准：印刷色彩饱满逼真、色彩还原度高、明暗层次清晰，所有文字、图案边缘锐利清晰、无模糊、无重影、无色差。成品面层具备防水、防刮、耐擦洗、防晒、抗老化、长期不褪色的特性，可常年保持画面鲜亮完整、内容清晰可读，长效支撑校园交通安全科普教育、文化氛围渲染工作，契合校园长效育人建设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要求：实际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方案、版面排版、图文内容、色彩搭配及成品整体展示效果需经甲方确认后方可批量制作、进场安装。</w:t>
            </w:r>
            <w:r>
              <w:rPr>
                <w:rFonts w:hint="eastAsia" w:ascii="宋体" w:hAnsi="宋体" w:eastAsia="宋体" w:cs="宋体"/>
                <w:i w:val="0"/>
                <w:iCs w:val="0"/>
                <w:color w:val="000000"/>
                <w:sz w:val="22"/>
                <w:szCs w:val="22"/>
                <w:highlight w:val="none"/>
                <w:u w:val="none"/>
              </w:rPr>
            </w:r>
            <w:r/>
          </w:p>
        </w:tc>
      </w:tr>
      <w:tr>
        <w:trPr>
          <w:trHeight w:val="7972"/>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交通工作科普文化系统</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原创设计。结合交通安全</w:t>
            </w:r>
            <w:r>
              <w:rPr>
                <w:rFonts w:hint="eastAsia" w:ascii="宋体" w:hAnsi="宋体" w:eastAsia="宋体" w:cs="宋体"/>
                <w:i w:val="0"/>
                <w:iCs w:val="0"/>
                <w:color w:val="000000"/>
                <w:sz w:val="22"/>
                <w:szCs w:val="22"/>
                <w:highlight w:val="none"/>
                <w:u w:val="none"/>
                <w:lang w:val="en-US" w:eastAsia="zh-CN" w:bidi="ar"/>
              </w:rPr>
              <w:t xml:space="preserve">研学科普墙专属智能化育人模块，立足校园立德树人、平安校园建设、素质教育落地核心需求设计打造。打破传统静态标语、固定展板的单一宣教模式，融合数字化交互、沉浸式浸润、可视化教学、常态化研学理念，构建集文化展示、情景体验、互动研学、课堂教学、知识考核、全域联动于一体的现代化交通安全育人体系。系统适配中小学学生认知规律与安全教育大纲，贴合学生日常出行、校园周边交通场景，适配主题班会、安全教育课、课后服务、校园主题活动等多元教学场景，可实现多班级、大规模同步研学，打造专业化、系统化、智能化的校园交通安全科普育人阵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可视化交互展示模块：文化墙主视觉区域具备超大交互展示效果，有效展示尺寸≥1200*800mm，显示效果清晰、可交互触控、演示操作流畅，体造型规整大气，与墙面文化融为一体。展示视野开阔、视觉覆盖范围广，可满足单人自主研学、小组探究、全班、全年级集体观摩学习需求。支持交通安全主题内容多形式推送、实现资源共享、展示内容实时更新，可动态切换科普图文展示、教学视频展示、考核题库、情景案例等内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全域联动育人中枢模块：配套专属校园交通安全文化联动中枢管控模块，实现安全文化资源整合、内容同步分发、多模态研学管控、使用数据统计、设备状态监测等功能。模块运行适配校园安静教学环境，可实现常态化、规范化校园交通安全教学与研学活动有序开展，可与其他多模块、不同场景同步互动，实现校园安全文化一体化育人模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图文科普资源模块：包含海量中小学专属交通安全科普资源，涵盖上下学步行安全、骑行规范、乘车礼仪、交通标识识别、道路通行规则、校园周边交通隐患解析、典型事故警示教育、文明出行常识等实景图文内容。内容贴合学生年龄认知特点，排版简洁直观、图文并茂、通俗易懂，可实现常态化环境浸润教育，帮助学生潜移默化掌握交通安全知识、树立文明出行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视频研学教学模块：包含全套校园交通安全专属教学资源库，包含交通安全科普宣传片、日常出行规范教学片、危险行为警示片、典型事故警示教育片、文明交通主题教育片等，全面覆盖学生日常各类交通出行场景。支持一键播放、循环播放、定点播放，可作为校园安全教育固定课程素材，丰富课堂教学形式，深化学生交通安全认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考核研学模块：搭载适配中小学生年龄段的交通安全智能题库与闭环考核体系，题库分类清晰、题型丰富、知识点全覆盖，难度贴合校园教学标准。支持课堂随堂检测、学生自主刷题巩固、班级知识竞赛、阶段性测评等多元使用场景，形成“学习—练习—考核—复盘”一体化育人闭环，以考促学、以学促行，有效检验研学成效、夯实学生安全素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整体建设价值与适配标准：整套设计突破传统文化墙观赏性局限，实现“静态展示+动态交互+智能教学+长效育人”多维升级，活化校园平安德育文化内涵，让墙面成为可学习、可体验、可互动、可教学的常态化科普育人阵地，全面助力校园平安建设、素质教育落地与学生交通安全素养提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与调试要求：安装方案及整体落地效果需经甲方确认后方可制作安装、投入使用，交付后提供完整培训及售后保障服务。</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模拟红绿灯过马路场景</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沉浸式交通安全科普实训场景，以真实城市道路路口为原型，集成红绿灯信号、斑马线通行、车流模拟、智能感应、违规警示等多功能于一体，主打青少年交通安全启蒙与行为规范养成。采用虚实融合数字化体验形式，打破传统静态宣讲教育模式，适配中小学常态化安全教育、主题班会、课后服务、德育实训场景，可实现沉浸式体验、交互式学习、警示化教育，全面提升学生交通规则意识与安全出行素养，助力校园平安文明建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沉浸式场景搭建：依托智能化数字技术还原标准城市路口3D立体场景，完整复刻路口路况、人行斑马线、智能交通红绿灯、车道通行等核心实景元素，动态模拟正常路况下车流运行、行人通行状态，构建可视化、沉浸式交通安全体验环境，场景画面真实、逻辑贴合现实交通规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交互式科普体验模块：搭载智能交通通行交互体系，完整还原行人过马路标准流程，实现“红绿信号灯态切换+场景画面联动”同步运行。绿灯状态下自动演示车辆停运、行人有序通行的规范场景，引导学生掌握斑马线正确通行方式；红灯状态下动态展示车流穿梭实景，直观传递红灯禁行、禁止横穿马路的交通规则，实现寓教于乐的实景科普教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违规警示教育模块：构建正向引导+反向警示双向教育体系，内置闯红灯、违规横穿马路等危险行为识别与警示功能。系统可精准捕捉体验者违规通行行为，自动触发沉浸式警示教育画面，真实模拟交通违规引发的安全事故场景，直观展示违规出行的安全危害；配套影像记录、虚拟公示警示功能，强化学生交通规则敬畏心，杜绝危险出行行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智能感应宣教功能：搭载高精度人体智能感应系统，可实时识别体验者位置、通行动作与行为状态，自动采集通行行为数据并智能分析研判，精准判定通行操作是否规范。可根据学生实时行为动态切换科普讲解、规范引导、违规警示内容，实现个性化、精准化动态宣教，提升安全教育针对性与实效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全域氛围适配要求：整体系统采用数字化虚拟仿真体验模式，无硬质危险结构，安全适配校园全年龄段学生使用。设备运行稳定、操作简易、免复杂运维，支持校园长期高频次开放使用，可常态化开展交通安全普及活动，营造文明出行、遵守交规的校园育人氛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6、实施验收要求：整体场景还原效果、智能交互功能、科普宣教效果、违规警示功能、感应识别精度及校园适配性须经甲方确认后方可定制安装、调试运行、投入使用。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交通安全标识认知场景</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专属智能化交通标识科普教育装置，聚焦中小学交通安全素养培育、校园安全文化阵地建设，适配教学楼、德育展厅、文化长廊、活动室等室内场景。以交互、实景展示、语音科普、资源联动为核心，打破传统单一宣讲教学模式，覆盖全年龄段师生科普学习需求，可常态化用于安全教育课堂、主题活动、课后实训及自主学习，丰富校园安全德育育人体系，夯实平安校园建设基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智能科普模块：定制校园专属交通标识识别模组，内置24类标准化交通标识科普模块，涵盖日常通用标识、特殊场景标识、小众规范标识，完全贴合中小学交通安全教学大纲。支持触控点击操作，可实时联动展示标识释义、适用道路场景、挂放规范及使用标准，搭配标准语音同步播报，实现图文、语音、动态演示一体化科普，操作简单、零学习门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智能联动控制模组：配套专属智能管理模块与专用控制板，可独立实现24组交通标识灯箱的单点点亮、熄灭、切换控制，精准联动触控操作，实现“屏幕讲解+实体灯箱实景展示”同步响应，强化学生视觉认知与记忆效果，响应迅速，适配校园高频次常态化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配套科普资源库：内置1套定制化校园交通安全专属资源库，包含交通标识科普动画、安全出行教育短片、文明出行规范讲解视频、安全教育课件等全套素材，内容正向合规、通俗易懂、贴合校园育人场景，可支持校园大屏轮播、课堂教学、学生自主学习、主题活动宣传等多元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景硬件展示组件：配套24组定制化交通安全标识科普灯箱，灯箱图案标准清晰、色彩还原精准、标识规范合规，外观简约美观，适配校园文化阵地整体装修风格。结构稳固、防护等级高、耐磨损、易清洁，适配校园室内长期展示、高频使用场景，安全耐用、免频繁运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全龄育人适配标准：整体设备及科普内容摒弃专业复杂术语，采用通俗化图文、标准普通话语音、实景可视化展示，适配全校师生及来访人员学习体验。可长期作为校园安全教育、德育实训的常态化载体，丰富校园安全文化内涵，持续营造懂交规、守秩序、讲文明的校园氛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6、实施验收要求：标识科普完整性、灯箱联动精度、配套资源适配性、安全稳定性及整体科普育人效果须经甲方确认后方可定制安装、调试交付、投入使用。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交通安全抢答场景</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定制一体化校园安全科普互动布展场景，融合自助知识抢答、消防安全模拟实训双重宣教功能，整体布局规整美观、分区合理，适配校园展厅、文化长廊、科普教室等多元布展环境。以沉浸式情景体验、趣味互动研学为核心设计理念，打破传统被动宣讲模式，适配校园安全教育团建、课堂实训、主题科普活动、课后服务教学场景，打造常态化、趣味化、实效化的校园安全育人阵地，整体风格贴合校园平安文化建设整体调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场景结构：采用一体化定制成型结构，整体结构稳固扎实、无尖锐棱角、操作安全，适配师生高频次常态化使用，耐磨损、抗撞击，使用寿命长久，完全符合校园安全建设标准。场景分区明确，抢答实训区域、展示区域布局合理，动线流畅，多人同步参与互不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智能抢答互动模块：搭建多人自助同步知识抢答场景，配置专属分区抢答操作台区，搭配高辨识度、舒适手感的抢答、功能选择按键，按键灵敏、响应迅速、耐磨耐用。系统支持全自动无人值守答题模式，可自主完成智能出题、实时答题、自动计分、数据统计、成绩排名可视化展示，无需专人裁判值守。互动形式趣味新颖，可有效调动师生参与积极性，强化安全知识记忆，提升安全教育实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实训交互感应模块：搭载高精度自主感应交互体系，可精准识别师生操作指令与互动动作，信号传输稳定、反馈灵敏，无延迟、无卡顿，多人同步体验流畅有序。该模块适配校园高频使用场景，操作界面简洁易懂、步骤简单，适配各年龄段师生实操体验，上手无门槛、实训效率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4、可视化展示模块：可通过与多种形式进行校园文化宣教、满足实训教学需求，画面清晰细腻、可全天候支撑日常文化展示、知识宣讲、沉浸式实训教学。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自主运维迭代功能：模块支持校园自主题库运维升级，标配不少于100道校园安全专属题库，校方后期可自主新增、修改、删减、更新题库内容，适配常态化安全教育内容迭代更新。同时支持消防实训场景自定义调试，可自主增设火灾实训场景、调整起火点位、匹配不同火灾类型与对应实训器材，灵活适配多样化校园安全实训教学需求，实现场景长效迭代、可持续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安装要求：整体场景布局、素材展示、功能测试全部达标，经甲方验收确认后方可投入使用，交付提供完整操作培训与售后运维服务。</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生态书香树屋文化育人阵地</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打造≥18㎡沉浸式校园书香阅览育人空间，以自然林间阅读为核心主题，融合趣味树屋景观、藏书阅览、休闲休憩、自然美育功能。整体造型自然生动、简约雅致，空间分区清晰、动线合理，兼顾观赏性、趣味性、实用性与育人性，适配学生自主阅读、小组共读、课间休憩、阅读课堂研学等场景，与校园生态文化、书香校园建设高度契合，营造静谧、松弛、温馨的沉浸式阅览氛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树屋及树洞主体结构：主体采用高强度玻璃钢一体成型制作，基材选用不饱和聚酯树脂，搭配无碱玻璃纤维毡与玻璃纤维布复合分层铺设，整体壁厚不低于6mm（±0.5mm），质地坚固耐候、抗形变、不开裂、防水防潮。内部增设40×40×2.0mm（±1mm）热镀锌方钢龙骨满焊支撑，整体骨架连接牢固、受力均衡、承载力充足，可满足学生日常进出、倚靠、活动、休憩使用，结构安全稳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套定制异形主题架造型：空间配套定制异形一体化主题架，用于分类收纳课外读物、绘本、期刊、科普书籍等，满足师生借阅、自主阅览需求。主题架采用优质环保板材制作，严格符合室内环保标准，甲醛含量达标、无异味、无污染。层板厚度不低于18mm（±2mm），加厚承重板材结构扎实、承重力优异，长期堆放书籍不易弯曲变形。柜体分区合理、取放便捷、造型简约，与树屋整体风格自然相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仿真草坪地面铺装：树屋周边活动区域铺设高尔夫专用高密卷丝人造草坪，草丝采用PE+PP混合环保材质，柔韧舒适、脚感柔和、亲肤安全。草坪草高控制在25-35mm，铺装密度不低于16800针/㎡，铺装平整紧密、回弹性能优异，具备防滑耐磨、易清洁、耐老化特性，为学生坐卧、阅读、活动提供安全柔软的地面环境，营造自然林间阅览氛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木质装饰小品：配套阅读休憩一体化原木装饰小品，甄选高品质耐候原木精细加工，经过专业防霉、防腐、防蛀工艺深化处理，耐用周期长久稳定。表层涂刷户外专用环保养护木油，保留原木天然肌理，兼具防水、防潮、防污性能，触感温润亲肤。整体形制贴合人体工学，场地排布协调，与树屋景观自然融合，提升空间阅览氛围感与舒适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安全防护玻璃围护：空间关键区域设置通透安全防护隔断，采用厚度不低于10mm（±1mm）夹胶钢化玻璃，抗冲击性强、安全系数高，破损后无尖锐碎片，全方位保障学生活动安全。采用定位预埋式安装工艺，搭配镀锌钢结构固定框架，连接牢固、受力稳定、不易松动。整体通透美观，不遮挡视线、不压抑空间，丰富景观层次与空间质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6、整体</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要求：整体造型、材质工艺、空间布局、安全防护全部符合校园室内建设标准，经甲方确认后方可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露台生态农耕文化育人阵地</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打造≥35㎡（分3个模块）露台生态农耕育人实践空间，以劳动教育、自然科普、生态研学为核心，整合景观绿植、分类种植、实践教学、科普展示功能。空间布局规整有序、层次分明，花箱分区科学、动线合理，适配班级分组实践、兴趣小组研学、课后服务课程、校园劳动教育常态化开展，兼顾景观观赏性与教学实用性，打造校园露台特色农耕文化育人阵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防腐木抬高地台：整体搭建垫高式防腐木承载地台，作为绿植景观、花箱摆放、学生实践活动基础平台。地台选材环保耐腐、防潮防蛀、结构稳固，表面平整防滑，适配露台露天环境长期使用，承重性能优异，可满足师生常态化实践活动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2、定制组合花箱：配置不少于20组定制景观花箱，单组规格≥1350*600*350mm，采用内外分层、钢架支撑</w:t>
            </w:r>
            <w:r>
              <w:rPr>
                <w:rFonts w:hint="eastAsia" w:ascii="宋体" w:hAnsi="宋体" w:eastAsia="宋体" w:cs="宋体"/>
                <w:i w:val="0"/>
                <w:iCs w:val="0"/>
                <w:color w:val="000000"/>
                <w:sz w:val="22"/>
                <w:szCs w:val="22"/>
                <w:highlight w:val="none"/>
                <w:u w:val="none"/>
                <w:lang w:val="en-US" w:eastAsia="zh-CN" w:bidi="ar"/>
              </w:rPr>
              <w:t xml:space="preserve">复合结构，坚固耐用、功能性完善。外饰面层采用国标不锈钢板材整体包裹，表面精细烤漆工艺，漆面均匀细腻、色泽持久，具备防锈、防刮、耐雨淋、抗暴晒、不易褪色特性，外观整洁大气。内部种植内胆采用10mm（±1mm）厚镀锌钢板制作，防水防渗、结构强度高，可长期容纳种植土壤、绿植，杜绝箱体锈蚀破损。内部搭载30规格镀锌方管承重骨架，满焊成型、受力均衡，大幅提升整体承重与抗变形能力。箱体底部预留专用泄水槽，可及时排出积水、防止绿植烂根；标配静音万向轮，推行顺畅、噪音低，方便后期位置调整、绿植养护、场地清洁、花卉换季更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农耕课程配套体系：依托场地硬件配套常态化特色种植课程，融合自然科普、劳动实践、园艺养护、生态常识教学。覆盖二十余种花卉、绿植品类，配套完整教学内容，包含植物品种认知、生长习性讲解、土壤配比、播种育苗、浇水施肥、修剪养护、病虫害防治、花期观测等全流程实操知识，同步拓展生态科普、园艺技巧等延伸内容。采用分组实践+集中授课模式，以班级、兴趣小组为单位开展教学，引导学生完成全程实操、撰写生长观察日记，培养探究能力与劳动素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4、现场建设标准：所有花箱规格统一、排布整齐、运行顺畅，地台铺装平整牢固，整套设施耐候性强、安全环保，课程资源配套齐全。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5、设计</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要求：整体效果经甲方确认后方可制作</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蔬菜农耕科普种植橱窗文化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2400*450*1850mm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规格尺寸≥2400mm×450mm×1850mm，科学划分蔬菜培育实操区、智能监测区、科普展示区，分区清晰、布局规整。聚焦无土栽培现代农业科普，适配班级集体教学、小组实操、学生自主研学场景，融合动手实践、数据观测、知识学习、文化展示于一体，贴合校园劳动教育、自然科普课程标准，整体风格简约整洁、科技感十足，适配校园教室、走廊、科普展厅摆放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1、主体框架工艺：整体框架采用优质喷涂铝合金型材打造，质地轻盈、结构坚固、抗腐蚀、耐老化，表面喷涂细腻均匀、无毛刺、无划痕，长期使用不易变形、不掉色，适配校园室内长期使用。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标准化蔬菜培育体系：分层设置规范种植区域，配套定植槽、定植板、定植篮、定植棉、遮光盖等全套标准化培育辅材。定植点位间距标准100mm×95mm（允许偏差±10mm），四层培育区域单台栽种总量不少于180株，植株有效生长高度可达250mm以上。搭载全自动营养液自循环系统，模拟自然水土生长环境，水肥均匀供给、循环稳定，保障蔬菜健康生长，直观呈现无土栽培、水肥养护等现代农业原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储液与监测单元：墙体下方设置专用营养液储放区域，储液箱体尺寸900mm×400mm×230mm（允许偏差±20mm），单台有效容积不低于65L，可完全满足整机水肥循环供给需求。箱体侧边预留集成式安装位，一体化搭载水质、水位、水温、营养液浓度综合监测组件，实时动态监测生长关键数据，数据精准、反馈及时，便于学生观测记录、开展课题探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专业植物补光模组：依据蔬菜生长规律定制科学光谱配比，区分叶菜、果菜专属生长模式，叶菜红蓝光谱比例2:1，果菜红蓝光谱比例1:1，蓝光波段覆盖450-490nm，光线分布均匀、光能利用率高。灯具通过专业光生物安全检测，安全等级达RG0，无频闪、无眩光，对人体眼部无伤害，完全适配校园教学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主控管控模组：搭载高清触控主控面板，可本地实时显示各项传感器监测参数，支持触控启停、功能切换、参数调节。集成蓝牙、WIFI双通讯模式，支持设备运行状态显示、传感器数据实时查看；生长灯支持0-100%无级调光，可分层、分光谱独立调节；支持整机电控模块、传感器远程OTA升级，可对接AI编程系统、手机APP远程控制，智能化程度高、操作便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高精度环境监测组件：一体化集成水温、水位、营养液浓度多维度监测模块，监测数据精准稳定。水温监测区间0~70℃，测量误差±0.5℃；水位监测区间4~22cm，监测精准细致；营养液浓度监测误差不超过±50us/cm，可实时反馈培育环境状态，为农耕研学、课题记录、实践报告提供真实有效的数据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7、课程资源配套：配套专属蔬菜农耕定制课程资源，贴合中小学劳动教育、自然科普课标要求，包含栽培技术、无土栽培原理、水肥管理、环境监测等全套教学内容，支撑常态化课堂教学与课后研学。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果蔬农耕科普种植橱窗文化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2400*450*1850mm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尺寸≥2400mm×450mm×1850mm，科学划分果蔬培育实操区、智能监测区、科普文化展示区，布局协调、分区合理。聚焦小型浆果、盆栽果蔬栽培科普，融合实景种植、智能监测、文化宣讲、课堂实训功能，适配中小学生认知规律与劳动教育课程要求，整体造型规整大气、科技感与自然感兼具，适配校园各类科普教学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1、主体框架材质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整墙主体框架选用喷涂铝合金型材打造，材质自重轻便、抗腐蚀、结构稳固，使用寿命长久，外观整洁大气，契合校园整体文化环境氛围。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2、模块化种植系统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采用分层模块化种植单元拼接组合，种植单元结构稳固，拆装、移位便捷，适用于浆果类、小型盆栽水果等品类栽培。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配套完整栽培组件：含定植槽、定植板、定植篮、定植棉、遮光盖等全套栽培辅材；定植点位间距100mm×95mm，偏差±10mm；三层种植区域总定植数量不少于130株，适配植株生长空间，植株培育有效高度不低于370mm。内置营养液内循环体系，保障水肥均匀供给，营造适宜果蔬生长的培育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3、储液单元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独立配置一体化培养液储液箱，单台标配1组；储液箱外形尺寸长900mm×宽400mm×高230mm，尺寸偏差±20mm，有效容积不低于65L。箱体侧边预留集成式安装支架，可统一搭载营养液监测传感器组，布局整洁美观。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4、植物补光光照系统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配置专用条形植物生长补光灯具，采用2835高品质灯珠，搭配低透湿硅树脂密封封装工艺，结合果蔬生长特性完成二次光谱果蔬生长特性完成二次光谱配光，光照分布均匀、光能利用率高。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主控面板：液控制面板可本地显示设备各项传感器参数，可通过触控控制设备的功能切换、开关；集成蓝牙WIFI通讯功能；支持传感器数据、设备运行状态显示；支持生长灯0-100%调光，支持分层，分光谱独立调节；支持整机所有电控模块和传感器OTA升级；支持连接AI编程系统，支持手机APP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6、环境监测传感单元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搭载水温、水位、EC值三合一集成传感器，精准监测培育环境各项指标：1. 水温：测量范围0~70℃，测量误差±0.5℃；2. 水位：测量范围4~22cm，水位分辨率2.4cm；3. EC值：测量范围0~65535us/cm，测量误差±50us/cm。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7、文化与功能配套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整合科普文化展示版面，系统收录果蔬品种溯源、生长周期、花果习性等自然科普内容，实现实景栽培、动手实践与文化宣教深度融合。整体主材绿色环保，日常管护简单便捷，是打造校园劳动教育、自然科普、特色文化阵地的专用设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中草药农耕科普种植橱窗文化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2400×450×1850mm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外观尺寸≥2400mm×450mm×1850mm，分区设置中草药培育实操区、智能监测区、中医药文化展示区，分区清晰、功能齐全。聚焦传统中医药文化与草本植物栽培科普，结合传统文化研学与劳动实践教学，适配中小学传统文化教育、自然科普、劳动教育课程，整体风格雅致简约、文化氛围浓厚，打造沉浸式中医药科普育人阵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1、主体框架工艺：整体框架采用表面喷涂铝合金型材制作，质地轻盈、结构坚实稳固、抗腐蚀、耐候性强，长久使用不易变形、破损，外观雅致规整，与校园文化环境高度相融。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模块化草药培育系统：采用分层模块化种植单元组合搭建，结构牢靠、拆装灵活、移位便捷，适配各类常用药用草本植物栽种培育。全套配备定植槽、定植板、定植篮、定植棉、遮光盖等专业培育辅材，定植点位间距100mm×95mm（偏差±10mm），双层种植区域总定植数量不少于90株，植株培育有效高度不低于600mm。内置全自动营养液内循环体系，实现水肥自动循环、均衡供给，为中草药生长营造稳定适宜的培育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储液配套单元：单台配置一体式培养液储液箱1套，箱体尺寸900mm×400mm×230mm（偏差±20mm），有效容积≥65L，完全满足整机水肥循环需求。箱体侧边设置集成安装支架，可统一搭载营养液监测组件，布线规整、整洁美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4、专业光照补光系统：采用2835高品质灯珠搭配低透湿硅树脂外封胶封装，结合中草药生长特性完成光谱二次优化配光，光照均匀度高、光能利用率优异，精准适配药用植物生长光照需求。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主控系统：触控控制面板可本地实时显示各类传感器参数、设备运行状态，支持触控启停、功能切换、参数调节。集成蓝牙、WIFI通讯功能，支持生长灯0-100%无级调光、分层分光谱独立调节；支持整机电控模块、传感器OTA远程升级，可对接AI编程系统、手机APP远程控制，智能化操作便捷高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高精度环境监测单元：配备水温、水位、EC值三合一集成传感器，监测数据精准稳定。水温测量范围0~70℃，测量误差±0.5℃；水位测量范围4~22cm，水位分辨率2.4cm；EC值测量范围0~65535us/cm，测量误差±50us/cm，全方位监测中草药培育环境核心指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中医药文化配套：定制专业中医药科普图文版面，系统展示中药材本源、性味功效、生长习性、传统药用常识、中医药传统文化等内容，将活体栽种实践与传统文化宣讲深度融合。整体选材绿色环保、后期管护简便，是校园中医药特色文化建设、传统技艺实践教学的核心专用设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花卉农耕科普种植橱窗文化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2400*450*1850mm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外观尺寸≥2400mm×450mm×1850mm，科学划分花卉培育实操区、智能监测区、花艺文化展示区，功能分区明确、布局美观协调。聚焦时令花卉、观赏草本栽培与花艺美育科普，融合动手种植、智能监测、花艺文化宣讲、美育教学功能，适配校园自然美育、劳动教育、课后服务研学场景，整体造型精致大气、观赏性与教学性兼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1、主体框架材质：整墙框架采用优质喷涂铝合金型材打造，自重轻巧、结构稳固、抗腐蚀、耐老化，表面工艺细腻平整，长期使用不变形、不掉色，适配校园长期展示与教学使用。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花卉培育模块：采用分层模块化单元拼装组合，结构扎实、拆装便捷、重组灵活，适配观赏草本、时令花卉、景观绿植栽植养护。标配定植槽、定植板、定植篮、定植棉、遮光盖等全套栽培配件，定植点位间距100mm×95mm（偏差±10mm），单层定植数量不少于45株，花卉培育有效高度不低于1280mm，预留充足生长展示空间。系统内置营养液内循环结构，水肥均衡循环供给，为花卉生长营造优良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储液配套单元：单台配置一体式培养液储液箱1套，箱体尺寸900mm×400mm×230mm（偏差±20mm），有效容积≥65L，可完全满足整机水肥循环供给。箱体侧边设置专用集成支架，规整布设营养液监测组件，整体布局整洁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专业植物光照系统：配置专用条形花卉补光灯具，采用2835高品质灯珠，搭配低透湿硅树脂密封封装工艺，结合花卉生长规律完成光谱二次配光，光照均匀、光能利用率高，精准适配花卉光合作用、开花显色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主控面板：触控面板可本地实时显示传感器参数、设备运行状态，支持触控启停、功能切换。集成蓝牙、WIFI通讯功能，支持生长灯0-100%无级调光、分层分光谱独立调节；支持整机电控模块、传感器OTA远程升级，可对接AI编程系统、手机APP远程管控，操作简单、功能全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高精度环境监测组件：搭载水温、水位、EC值三合一集成传感器，监测精准稳定。水温测量范围0~70℃，误差±0.5℃；水位测量范围4~22cm，分辨率2.4cm；EC值测量范围0~65535us/cm，误差±50us/cm，实时精准反馈花卉培育环境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花艺文化展示体系：配套专属花艺科普课程内容，涵盖花卉品类介绍、生长习性、养护技巧、花语文化、花艺搭配、自然美育等知识，实现实景栽种与花艺文化宣讲深度融合。设施整体环保无害、养护便捷，是校园自然美育、花艺文化、劳动实践的特色育人设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育苗文化科普角</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1200*450*1850mm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尺寸≥1200mm×450mm×1850mm，科学划分幼苗培育实操区、智能监测区、科普展示区，分区清晰、布局紧凑合理。聚焦种苗播种、催芽、苗期养护、幼苗培育科普，适配学生播种、间苗、观测、记录、实操训练，满足班级小组教学、自主研学、劳动教育常态化开展，整体简约精致、实用性强，适配校园各类教学空间布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1、主体框架材质：整体框架采用优质喷涂铝合金型材制作，质地轻盈、结构稳固、抗腐蚀、耐候性强，使用寿命长久，外观简约大方，可与校园各类文化场景自然融合。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模块化育苗培育体系：采用分层模块化育苗单元布设，结构扎实、拆装便捷、移位灵活，适配各类蔬果、花草种苗播种与苗期培育。配套专用定植槽、育苗盘，孔位采用方口方底设计，搭配25×25×25mm（±2mm）方形定植棉。四层育苗区域总育苗数量不少于850株，幼苗培育有效高度不低于250mm。内置全自动营养液内循环体系，实现水肥循环稳定供给，为种苗萌芽、苗期生长营造适宜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3、储液配套单元：单台标配一体式培养液储液箱1套，箱体尺寸900mm×400mm×230mm（偏差±20mm），有效容积≥65L，满足整机水肥循环需求。箱体侧边集成安装支架，可集中搭载营养液监测组件，布局规整美观。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4、专业植物光照系统：配置专用条形育苗补光灯具，采用2835灯珠搭配低透湿硅树脂密封封装，结合幼苗生长规律完成光谱二次优化，光照均匀柔和、光能利用效率优异，有效助力种苗健康茁壮生长。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主控系统：控制面板可本地实时显示设备参数、传感器数据、运行状态，支持触控启停、功能切换。集成蓝牙、WIFI通讯功能，支持育苗灯0-100%无级调光、分层分光谱独立调节；支持整机电控模块、传感器OTA远程升级，可对接AI编程系统、手机APP远程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高精度环境监测组件：配备水温、水位、EC值三合一集成传感器，监测数据精准稳定。水温监测范围0~70℃，误差±0.5℃；水位监测范围4~22cm，分辨率2.4cm；EC值监测误差≤50us/cm，为苗期观测、课题记录、实践教学提供精准数据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科普文化课程体系：配套专属育苗科普课程资源，涵盖育苗原理、催芽技巧、苗期水肥养护、病虫害预防、幼苗移栽等专业知识，将种苗实操培育与自然科普、劳动教育深度结合，助力学生掌握现代农业育苗技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智慧共培微生态墙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2400*450*1850mm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尺寸≥2400mm×450mm×1850mm，采用上下分层功能规划，上层为蔬菜无土栽培种植区，下层为水生生物养殖区，配套墙面生态科普展示区，分区功能明确、布局协调。融合鱼菜共生、生态循环、生物观测、智能监测、科普研学功能，打造种养结合的闭环微生态系统，适配校园生物教学、生态科普、劳动实践、课题探究等多元场景，科技感与自然生态感兼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1、主体框架材质：整墙框架采用优质铝合金型材打造，自重轻盈、结构坚固、抗腐蚀、耐候性佳，使用寿命长久，造型简约协调，适配校园教学与文化展示空间。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种植培育配置：上层设置模块化蔬菜种植区域，配套定植槽、定植板、定植篮、定植棉、遮光盖、储液箱体等全套标准化栽培组件，单台整体定植数量不少于80株，可开展各类蔬菜无土栽培实训，直观展示无土栽培、水肥循环种植技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3、核心循环配套模组：该模组标配水循环泵、鱼菜共生循环水泵、鱼缸自循环水泵、植物专用生长灯、景观水草灯、UV紫外线潜水灯，构建完整闭环水循环、光照净化体系，保障种养生态环境稳定平衡。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4、主养殖缸参数：主缸尺寸1135mm×405mm×400mm（偏差±10mm），采用10mm超白玻璃制作，所有玻璃棱边精细倒钝处理，无尖锐边角、通透美观、安全耐用，适配水生生物养殖展示。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5、底缸参数：底缸尺寸1045mm×365mm×350mm（偏差±10mm），采用8mm超白玻璃制作，棱边全部倒钝打磨，结构稳固、安全可靠，承担水体过滤、水质净化、水循环调控核心功能。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三重底滤净化模组：底过滤缸集成干湿分离区、细菌培养区、多功能净化区三重净化结构，结合物理与生化双重过滤，全方位净化水体。干湿分离区配置可清洗羊绒过滤棉，高效拦截残饵、排泄物等固体杂质，清洁便捷、过滤效果优异；细菌培养区内置五效6D纳米益菌柱，可有效降解氨氮、亚硝酸盐，抑制有害菌群、去除水体异味、活化水质；多功能净化区搭载十合一复合滤材，加速硝化菌群培育，完善水体生态循环系统，保障种养生态健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7、植物光照模块：配置专用植物生长灯，采用2835灯珠搭配低透湿硅树脂密封封装，结合蔬菜生长特性完成光谱二次优化，光照均匀、光能利用率高，可按需调控光照强度，适配蔬菜不同生长阶段需求。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8、景观水草照明模块：配备专业LED水草发色灯，采用RGB三基色科学配比，光线穿透力强、无频闪、光线柔和，可有效诱导水生生物、观赏水草生长显色，兼顾景观展示与生物生长需求。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水体杀菌照明模块：UV紫外线潜水灯采用高透防爆石英玻璃管，紫外线透光率高、杀菌能力强，配备180°护眼反光挡片，使用安全。水体流经灯管时长≥1秒，紫外线强度≥3000uW/cm²，可有效抑制水体有害微生物、杜绝藻类滋生，保障生态种养环境健康稳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生态文化课程体系：配套专属生态科普课程资源，涵盖鱼菜共生原理、生态循环知识、水生生物习性、无土栽培技术、生态平衡常识等内容，将实景种养实践与生态科普、生物教学深度融合，支撑常态化研学教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航空知识研学探索主题墙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10000*4460mm+6000*17300mm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原创设计。整体采用T字形异形组合墙体设计，由两面独立异形墙体拼接成型，整体造型大气规整、层次立体，适配校园大型墙面航空科普展示、集体研学、学科教学场景。严格按照定制尺寸</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，整体风格统一、图文布局有序，航空科普主题鲜明，兼顾观赏性、科普性、教学实用性，契合校园科创文化、研学教育建设理念。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1、墙体规格参数：一号墙体净尺寸≥10.0m×4.46m；二号墙体净尺寸≥6.0m×17.3m，两面墙体拼接成型T字整体造型，尺寸精准、拼接严密、整体规整。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墙面基层处理：全墙统一涂刷专用墙面基膜液，全覆盖无遗漏、无空白区域。基膜涂刷均匀、厚薄一致，充分渗透基层，有效加固墙体、封闭墙底、防潮防霉、提升后续饰面附着力，杜绝后期起鼓、脱层、掉皮、开裂问题。</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前保证基层平整、无油污、无空鼓裂缝，基膜完全干透后方可开展下一道工序。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3、饰面铺贴工艺：整墙满铺高端宣绒布，铺贴平整紧实、无气泡、无空鼓、无拼接缝隙，边角收边规整牢固、贴合严密，整体视觉完整统一、无瑕疵。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高清UV印刷工艺：宣绒布表面采用高精度UV数码印刷工艺，印制航空科普图文、机型知识、航天原理、研学标语等主题内容。印刷色彩饱和度高、色彩还原精准、图案清晰、文字锐利，无晕色、漏印、重影现象。面层附着力强，具备耐摩擦、防褪色、耐光照、易清洁、抗老化特性，适配校园长期展示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验收要求：整体版面布局、图文内容、色彩搭配经甲方确认后</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，完工后整体平整美观、图文清晰、工艺达标，符合校园科创文化建设标准。</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定制模拟火箭发射场景</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H4500mm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按真实火箭发射场景等比例定制还原，整体尺寸不小于长1700mm、宽2000mm、行程1000mm、升高高度4500mm，场景集成动态机械演示、光影特效、声效模拟、智能控制功能。整体造型仿真度高、结构比例精准、动态效果逼真，适配校园航空航天科创研学、科普展示、课堂实训、校园科技节活动，打造沉浸式航天科普体验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1、整体结构配置：整套设备包含可视化成像构件、伺服机械手臂、仿真火箭发射架、2F火箭模型、智能烟雾特效装置、智能控制系统，可完整模拟真实火箭发射全流程动态效果。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2、仿真造型工艺：以真实火箭发射塔架为原型等比例缩放制作，塔架细节、关节结构高度还原。对火箭模型精准测量、比例缩放，对薄壁结构优化加固，杜绝变形破损，高精度还原真实火箭外观与结构细节。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动态演示功能：支持塔架抱壁自动开合、塔吊旋转、火箭升降启停全套动态演示，全程可编程智能控制。设备配备紧急停止按钮、复位按钮，操作安全便捷。火箭升空过程同步配套仿真烟雾、火焰灯光、发射音效三重特效，沉浸式还原发射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主体框架工艺：整体承重框架采用2×4、2×2型号方钢焊接成型，结构牢固、承重稳定。机械臂框架采用2×2规格方钢焊接，其余轻量化结构采用ABS工程塑料制作，兼顾结构强度与动态灵活性，摆臂动作流畅精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5、传动动力装置：机械臂摆动由伺服电机精准驱动，火箭升降采用电机牵引导绳上下运动，传动平稳、定位精准、无卡顿、无偏移。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6、材质与喷涂工艺：主体采用1.5–2.0mm Q235热镀锌钢板（Z120锌层），分段模块化法兰连接，无缝焊接、精细打磨抛光。表面经喷砂、阳极化、环氧防锈底漆处理，喷涂2K环保汽车面漆，原子灰密度、VOC含量均符合环保标准。仿真蒙皮、标识、涂装高度还原真机，配套镀锌底座，结构牢固、防锈耐候。模型整体尺寸超差≤1%，外露表面无磕碰、锈蚀、瑕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7、焊接与喷漆标准：焊缝目视无裂纹、气孔，拉力强度≥母材90%，精密件焊后变形≤0.15mm；外观件打磨平整无凸痕。喷漆附着力划格法≤1级，色差ΔE≤2，中性盐雾测试≥480h不起泡、不脱落，耐候性优异。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8、整体成品效果：完整包含仿真火箭、发射塔架、承载展示台，塔架开合、火箭升降、光影烟雾音效同步联动，动态演示真实流畅，全方位还原火箭发射全过程，满足校园航天科普研学与展示需求。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航空飞机展落地柜台展示</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约500mm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整机模型总长不小于500mm，按真实飞机真机比例精准缩放复刻，1:1还原机身、尾翼、起落架、座舱、机翼气动外形，整体造型规整、比例精准、仿真度高。适配校园航空科普落地展示、实物观摩、课堂教学，静态展示飞机构造、发动机、驾驶舱等核心结构，兼具观赏性与科普教学价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采用锌合金压铸一体成型，结构牢固、不易变形、质感厚重。表面精细金属烤漆处理，无毛刺、无缩痕、无气泡、无流漆、无色差，质感细腻均匀。整机比例误差≤0.1%，整体还原度≥98%，符合航空模型行业制作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2、外形还原标准：翼展、机身高度、尾翼、起落架、座舱、机翼外形严格对标真机气动外形，整体成型无拼接错位、无接缝瑕疵，整机一体质感统一、线条流畅。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后处理涂装工艺：整机多重精细打磨抛光，彻底去除加工纹路；环氧底漆打底，附着力强、不易掉漆；面层采用航空专用哑光、亮光漆精细喷涂，配色对标真机制式涂装。机号、徽标、标识采用水转印+精细丝印工艺，字迹清晰、耐磨不掉色。金属部件做仿真金属质感处理，整体无瑕疵、质感高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4、焊接工艺标准：焊缝无裂纹、无气孔，拉力强度≥母材90%；精密件焊后变形≤0.15mm；外观打磨平整无凸痕、无拼接痕迹。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5、喷漆性能标准：漆面附着力划格法≤1级，光泽度、色调严格对标RAL色卡，色差ΔE≤2；中性盐雾测试≥480h不起泡、不脱落、不褪色，耐候性、耐磨性优异。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6、展示功能效果：完整展示飞机整体结构、气动布局，可直观观摩模拟发动机、驾驶舱、尾翼、起落架等核心部件构造，为航空科普教学、学生直观认知提供实物支撑。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航空飞机展悬空科学展示</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约900mm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模型整机总长不小于900mm，按真机同比例精准缩放，1:1还原战机完整气动外形、机身结构、挂载配置，采用悬空安装展示方式，视野开阔、展示效果大气。全方位还原军用飞机迷彩涂装、制式标识、精密零部件，适配校园航空科创展示、细节研学、科普教学，静态展示与细节观摩效果优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D打印精密工艺：采用高精度FDM、光固化SLA工业级3D打印制作，打印层厚≤0.08mm，外形尺寸公差≤±0.15mm，表面粗糙度Ra≤6.3μm，纹路细腻无层纹凸起。支撑去除无痕，棱角分明、曲面顺滑、流线一致，整体成型精度高、无瑕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2、外形还原标准：精准复刻机身、机翼、尾翼、进气道、起落架、座舱完整结构，气动布局、机身线条、整体构型1:1还原真机，无变形、无偏差，整体拼接无缝、质感统一。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精细涂装工艺：整机多层精细打磨抛光，去除全部打印纹路；环氧底漆打底加固，漆面附着力强；面层采用航空专用哑光、亮光漆，严格对标原厂制式涂装。机号、徽标、军徽、编号采用水转印+精细丝印工艺，清晰耐磨。可精准还原空军、海军、外销机型涂装差异，支持做旧磨损仿真效果，细节质感逼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4、零部件细节刻画：精细复刻座舱、航炮、雷达罩、进气格栅、铆钉、管线、舱门刻线等精密细节，高度还原真机工业设计构造，细节丰富、真实感强。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5、挂载配置展示：配套空空导弹、对地弹药、副油箱、电子吊舱等全套挂载模型，可自由搭配制空、对地、电子作战等不同任务挂载方案，全方位展示战机作战配置与功能用途。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6、焊接与喷漆标准：焊缝无裂纹、气孔，拉力强度≥母材90%，精密件变形≤0.15mm；漆面附着力≤1级，色差ΔE≤2，中性盐雾≥480h无脱落褪色，耐候性优异。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卫星悬空文化展示</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约850mm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整体尺寸不小于850mm，采用悬空安装展示，以真实卫星航天器为原型高精度复刻，结构比例精准、细节还原度高。整体造型大气科技，适配校园航天航空科普展示、科创研学、校园文化氛围营造，可直观展示卫星整体结构、零部件构造与航天设计原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1、高精度成型工艺：采用光固化SLA树脂3D打印工艺制作，打印精度±0.02mm，层厚0.02–0.1mm可调，紫外激光固化成型，成型精度高、细节清晰、曲面顺滑。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2、主体材质结构：主体采用1.5–2.0mm Q235热镀锌钢板（Z120锌层），分段模块化法兰连接，无缝焊接、精细打磨抛光。表面经喷砂、阳极化、环氧防锈底漆处理，喷涂环保2K汽车面漆，原子灰、VOC含量均符合校园环保标准。仿真蒙皮、标识精准复刻，配套镀锌底座，结构牢固、防锈耐候、不易变形。模型整体尺寸超差≤1%，外露表面无磕碰、锈蚀、瑕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3、焊接工艺标准：焊缝目视无裂纹、气孔，拉力强度≥母材90%，精密件焊后变形≤0.15mm，外观打磨平整无凸痕。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4、喷漆工艺标准：漆面附着力划格法≤1级，色调光泽对标RAL色卡，色差ΔE≤2，中性盐雾测试≥480h不起泡、不脱落、不褪色，耐候性、抗腐蚀性优异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方案、成品样式需经甲方确认后方可</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制作。</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空间站悬空文化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约2500mm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定制校园航天科普主题悬空文化展示装置，整体规格尺寸≥2500*2400mm*800mm，整体布局规整大气、结构还原精准，贴合中小学航天科普、科技育人建设理念。以中国空间站实景还原为核心，兼顾科普展示性、教学实用性与空间观赏性，适配校园展厅、教学楼公共区域悬空展示、航天主题研学、科学课堂教学等多元场景，整体风格契合校园科创文化整体调性，育人氛围浓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1、整体材质配置：主体采用不锈钢、铝板、镀锌板组合材质，表面采用汽车油漆工艺处理，防腐耐候、质感细腻，适配校园长期室内展示环境。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模型结构还原：采用高精度工艺复刻中国空间站标准六舱完整结构，包含天和核心舱、问天实验舱、梦天实验舱、2套神舟飞船、天舟货运飞船，结构比例精准、部件齐全，高度还原真实空间站外观与布局形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核心制作工艺：采用光固化SLA树脂3D打印工艺制作精密部件，打印精度±0.02mm，层厚精度0.02mm–0.1mm可调，搭载紫外固化激光光源，部件成型规整、细节饱满；整体工序依次经过喷砂、阳极化、环氧底漆喷涂多重工艺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4、主体结构工艺：主体采用1.5–2.0mm Q235热镀锌钢板（Z120锌层）制作，采用分段模块化法兰连接工艺，实现无缝焊接、整体打磨抛光；表面经镀锌、氟碳喷涂处理，外部喷涂环氧防锈底漆，防护性能优异。打磨原子灰主剂密度≈1.8–2.0 g/cm³，固化剂密度≈1.1–1.2 g/cm³，VOC含量≤350 g/L，符合校园环保标准；面层喷涂2K汽车面漆，挥发性有机物化合物(VOC)含量＞182g/L。整体配备镀锌底座，结构牢固、防锈耐候，外露表面无磕碰、锈蚀瑕疵，整体尺寸超差范围不大于1%。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5、焊接工艺标准：所有焊缝经目视探伤检测，无裂纹、气孔等缺陷，焊缝拉力强度≥母材90%；精密构件焊后变形量≤0.15mm，外观构件打磨平整、无凸痕瑕疵。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6、喷漆工艺标准：漆面附着力符合划格法≤1级（GB/T9286标准），光泽度、哑光效果严格对标RAL色卡，色差ΔE≤2；耐盐雾性能达标，中性盐雾测试≥480h不起泡、不脱落，长效保持漆面完整美观。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7、实施验收要求：整体模型结构还原效果、材质工艺、色彩涂装、安装方案及最终展示效果须经甲方确认后方可制作安装、落地实施。</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微观基因生命科学墙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定制尺寸为≥10000*2700mm，整体版面分区清晰、层次立体，贴合中小学生物学科教学、自然科普育人理念。以DNA基因、细胞生命科学为核心主题，融合实物标本、立体模型、图文科普、艺术装饰于一体，兼顾观赏性、科普性、教学实用性，适配校园生物课堂研学、课后科普活动、校园文化氛围营造等场景，整体风格与校园现有文化墙体系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体基层工艺：采用国标轻钢龙骨骨架+10mm（±1mm）优质木工板复合基层结构，龙骨排布均匀、受力均衡，板材板面平整、拼接严密，整体稳固性强、平整度高，可稳定承载实物标本、立体模型、艺术字等构件，适配长期校园展示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面层装饰工艺：墙面主体采用高尔夫专用卷丝仿真草皮作为装饰面层，采用环保PE+PP合成纤维材质，无毒无味、符合校园环保标准；草丝疏密均匀、色泽自然、触感柔软，高度还原天然草坪视觉效果，精准烘托生物自然科普主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3、图文与字牌工艺：墙面配套高清UV喷印生物科普图文内容，色彩逼真、图案清晰、防晒耐老化、长期不褪色；定制DNA生物主题立体艺术字，字体造型贴合学科特色，立体醒目、质感精致，提升墙面整体层次感。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玻璃钢模型工艺：定制优质玻璃钢（FRP）生物主题模型，材质坚固轻便、防水防潮、耐损耐用；采用一体成型工艺，表面精细打磨、均匀上色，色彩还原度高，精准还原DNA、细胞、生物组织等核心主题形态；配套专用安装挂件，定点固定、承重稳定，适配长期陈列展示，表面做防刮、防尘防护涂层，便于日常清洁运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5、科普标本配置：采用实物标本+图文科普双重展示形式，配置专业生物切片标本，搭配对应科普图文注解，知识点全面、展示直观，适配常态化生物科普教学。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6、实施验收要求：整体墙面排版、图文内容、模型造型、标本配置、色彩搭配及最终展示效果须经甲方确认后方可批量制作、进场安装。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自然生态种子风采墙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10000mm*2700mm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整体定制尺寸为≥10000mm×2700mm，版面布局规整、分区合理，以种子科普、自然生态教育为核心，融合标本展示、知识科普、生态美育功能，贴合中小学自然教育、劳动教育育人需求。适配学生自主研学、生物课堂延伸教学、校园生态文化展示等多元场景，整体视觉简约自然，与校园书香生态文化氛围高度契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1、骨架基层工艺：采用国标轻钢龙骨搭建整体承重骨架，龙骨排布均匀、受力均衡，具备强度高、抗形变、防潮防腐、稳固性强的特性，可保障墙体长期使用平整稳定，适配校园常态化室内展示环境。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2、基层板材工艺：龙骨表面封钉10mm（±1mm）优质木工板作为基础垫层，板材厚薄均匀、板面平整光滑，拼接缝隙严密，整体承载力强，可充分满足种子标本、科普展品挂载摆放及日常使用需求。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3、饰面处理工艺：基层外侧涂刷环保专用涂料饰面，漆面色泽均匀、附着力强，耐擦洗、无异味、无有害物质释放，完全符合校园室内环保装修标准，长效保持墙面整洁美观。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4、主体面板工艺：展示核心区域采用生态实木免漆板打造，板材纹理自然温润、结构紧实，具备耐磨抗刮、防潮防开裂、无甲醛释放的优势，环保等级达标，视觉质感与校园整体文化调性高度统一。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5、实施验收要求：整体墙面基层工艺、面板材质、图文排版、标本布局及最终落地效果须经甲方确认后方可制作安装、投入使用。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生物生态微景观墙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5700*300*2200mm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定制沉浸式生物生态科普微景观展示体系，整体规格≥5700mm×300mm×2200mm，以“垂直森林：智造未来绿洲”为核心文化主题，融合自然生态展示、植物培育实践、数字化科普研学功能。整体模块化分区清晰、动线合理，将自然生态知识、生物培育原理、智能数字科技深度融合，适配中小学自然课堂教学、课后实践研学、劳动教育、校园景观展示等多元场景，配套系统化教学资源，育人实用性极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智慧生态观察展区配置：设置2组独立生态种植单元，单组规格1200mm×300mm×2000mm（±20mm），采用模块化可拆卸设计，拆装、移位便捷灵活。单元采用开放式根系布局，可完整呈现植物萌芽、生长、成熟全生命周期，直观展示生物竞争、共生、寄生等种间关系；搭载物联网智能监测技术，实现生态环境数据数字化观测与智能化运维，为课堂探究、课题研究提供实景支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动手实践体验展区配置：配置2组实践种植单元，单组规格1200mm×300mm×2200mm（±20mm），模块化结构可自由拆分组合，适配课堂分组教学场景。采用分区式根系培育结构，支持多品类植物短周期培育实践，可开展种子营养构成、休眠机制、生存防护特性等知识探究，支撑学生完成种子萌发、幼苗培育全流程实操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数字文化综合管理区配置：设置1套一体化数字管理单元，规格900mm×300mm×2200mm（±20mm），集成土壤含水量、土壤温度、环境光照、空气温湿度等多元感知设备，可实时采集生态环境数据并以图表形式直观展示，数据更新频次不低于5分钟/次。支持全域功能远程操控，指令响应时长不超过30秒，运行稳定流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4、智慧运维模组功能：全域搭载智能运维体系，实现智能滴灌补给、光照自动调节、紫外线生态防虫、蓄水池水位智能预警四大核心功能，全自动保障生态群落平稳长效运转，无需人工高频维护。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5、教学资源配套：配套不少于16课时的专属科普教学资源，贴合中小学自然教育、生物教学课标要求，适配常态化课堂教学与课后研学活动开展。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6、实施验收要求：整体景观布局、单元规格、智能模组调试、教学资源配置及整体落地效果须经甲方确认后方可安装。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地质科普主题墙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初中地理课标专属地质科普主题文化墙，整体定制尺寸≥10000*2700mm，整体版面层次递进、图文专业系统，严格对标初中地理教学大纲，聚焦自然地理、地质构造、地形地貌、板块运动、水文气候等核心必考知识点。采用可视化、通俗化设计思路，将抽象地质原理转化为直观图文与实景插画，兼顾教学专业性与景观观赏性，是课堂教学延伸、学生自主研学、校园科普氛围营造的特色育人载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1、基层工艺标准：采用国标轻钢龙骨搭建骨架，铺贴30mm（±3mm）厚木工板作为基层，墙面涂刷专用基膜液，整体找平稳固，平整度达标，适配立体构件与图文面层挂载。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2、面层装饰工艺：基层满铺宣绒布，采用高精度环保UV数码印刷工艺印制地质科普图文、知识导图、实景插画、知识点注解内容；搭配优质装饰木板作为面层板材，内嵌LED装饰灯带，光影层次丰富，氛围感浓厚。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3、立体字工艺：采用10mm（±1mm）厚雪弗板定制立体知识标题、主题标识，字体规整立体、醒目清晰，提升墙面层次感与知识点辨识度。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4、内容编排标准：系统梳理初中地理全套地质、自然地理知识点，内容编排科学系统、通俗易懂，适配不同学段学生认知规律，可有效辅助课堂教学与自主研学。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5、实施验收要求：墙面基层工艺、图文内容、排版布局、光影效果及整体科普展示效果须经甲方确认后方可批量制作、进场安装。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智慧地质土壤科普墙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1400*1100*100mm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原创设计。定制土壤标本科普展示阵地，整体规格≥1400*1100*100mm，以土壤地质科普为核心，融合实物标本展示、智能互动讲解、自主研学测评功能。适配中小学地理科普教学、课后探究、知识竞赛等场景，通过智能化交互模式打破传统静态展示局限，实现标本识别、知识讲解、纠错学习、拓展学习一体化，打造趣味化、专业化的土壤科普育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1、配置标准：配备不少于36种专属土壤标本，单标本配套展示屏体规格50mm*80mm（±2mm）；整体采用铝型材外框，结构规整、坚固耐用，层数布局合理，适配标本分类陈列展示。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2、智能感应提示模块：所有土壤标本支持取放智能感应识别，标本拿出、放入时系统自动触发对应信息提示与配套演示，全程智能联动、无需人工操控。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3、自动演示排队功能：系统可自动识别取放的土壤标本，精准匹配对应科普内容并自动演示；一次性取放两件及以上标本时，系统自动启动内容排队演示机制，有序完成多标本知识讲解。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灯光智能提示工艺：标本放置台采用磨砂亚克力材质，正面配置防掉落挡片，挡片印刷对应标本简介与知识二维码；搭载多色智能灯光提示系统，可通过不同颜色灯光区分正在讲解标本、未讲解标本、错放标本，并自动提示正确放置位置，交互直观、辨识度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5、自定义内容迭代功能：采用开源化设计，支持校方自主新增、修改、删除土壤科普视频、文字、图片素材，可按需更新教学内容，适配常态化科普教学迭代需求。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6、智能纠错学习功能：每个土壤标本对应固定放置点位，系统内置自动纠错程序，可通过标本外观识别、点位匹配实现知识纠错，支持竞赛模式答题，帮助学生巩固土壤识别与地质知识。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7、二维码拓展学习功能：每款土壤标本配套专属知识二维码，移动端扫码即可获取拓展科普内容、教学知识点，实现课内外联动学习。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8、实施验收要求：硬件配置、智能系统功能、标本配置、交互效果及整体展示效果须经甲方确认后方可制作安装、投入使用。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定制地质半球互动球幕展示系统</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沉浸式三维地质天文科普互动展示系统，球幕直径≥70cm，依托球形曲面成像与手势交互技术，模拟天体运动、地质变化、大气水文等动态过程。严格对标初中地理全学段课标，整合课堂教学、科普拓展、自主探究资源，适配地理课堂教学、校园科普活动、学生自主研学等多元场景，实现三维可视化、交互式科普教学，提升学科教学趣味性与专业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建设工艺标准：系统由多个专用投射镜头、投射底座组成；底座采用合金钢材质，表面金属烤漆工艺，坚固耐候、质感精致；球幕直径≥72cm，无缝拼接工艺，画面显示完整无阴影、无光晕，成像效果清晰流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三维成像交互功能：支持二维图像转化为360度球形曲面三维图像，可逼真模拟各类天体、星体、地质、大气动态过程；支持手势触控操控，可实现球面课件旋转、拖曳、翻转等三维互动，触控响应迅速、无延迟卡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管控功能：可对内容进行控制管理，支持动画启停、旋转、翻转等参数调控，支持用户自主新增演示内容；支持X、Y轴画面调节、自定义缩放比例、纬度参数调节，适配不同教学展示需求；支持数字星球、仿真窗口、展开图输出等多模式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课程资源配置：全覆盖七八九年级初中地理课标教学课程，包含基础课程、延伸课程、科普课程三大体系。基础课程涵盖地球仪、地球运动、地形地貌、气候水文、大洲大洋、区域地理等全套课标内容；延伸课程覆盖宇宙环境、地质灾害、水循环、城镇化、农业区位等拓展知识点；科普课程包含空间探索、气候研究、太阳系星系、大气气象、洋流海洋等专项科普资源，课程资源丰富、适配全学段教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5、实施验收要求：硬件工艺、成像效果、交互功能、课程资源配置及整体教学适配效果须经甲方确认后方可落地安装、投入使用。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智慧矿物岩石展示墙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1600*1000*200mm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智能化矿物岩石科普研学展示阵地，整体规格≥1600mm*1000mm*200mm，聚焦地质岩石学科科普，集成实物岩石标本、智能交互讲解、自主纠错学习、扫码拓展学习功能。适配中小学地理、科学学科教学与课后研学，以趣味交互形式帮助学生识别岩石种类、掌握地质知识，打造专业化、智能化的校园地质科普育人空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1、配置标准：配备不少于36种专属岩石标本，单标本配套展示屏体规格50mm*80mm（±2mm）；整体采用铝型材外框，结构规整坚固，层数布局科学，适配各类岩石标本分类陈列。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2、智能感应演示功能：支持岩石标本取放智能识别，自动匹配对应科普信息并演示讲解；多标本同时取放时启动排队演示机制，有序完成知识讲解，全程智能化无人值守。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灯光智能提示工艺：标本放置台采用磨砂亚克力材质，配备防掉落挡片，印刷标本简介与知识二维码；搭载多色智能灯光系统，通过差异化灯光区分讲解中、未讲解、错放标本，并精准提示正确放置位置，交互直观、操作便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4、内容自定义迭代功能：开源设计，支持校方自主上传、修改、更新岩石科普专属视频、文字、图片素材，可根据教学需求迭代优化科普内容，适配常态化教学使用。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5、智能纠错研学功能：各岩石标本对应专属固定点位，系统内置纠错程序，可通过标本外观、点位匹配帮助学生识别岩石属性，支持知识竞赛、自测巩固等多元研学模式。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6、二维码拓展学习功能：每款岩石标本配套专属知识二维码，移动端扫码即可获取拓展科普知识点、教学素材，实现自主深度学习。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7、实施验收要求：硬件配置、标本品类、智能系统功能、交互效果须经甲方确认后方可制作安装、投入使用。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全域智感物理科创空间</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7800*2700mm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沉浸式初中物理科创科普育人空间，整体规格≥7800*2700mm，以初中物理学科知识科普、实验探究、科创实践为核心，整合智能中控、光影成像、声场交互、触控体验、移动端管控功能。打破传统物理教学局限，将抽象物理原理、实验过程可视化、互动化，适配课堂教学、课后科创、自主研学、校园科普活动等场景，全方位打造智能化、沉浸式物理科创育人阵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1、墙面基础工艺：采用国标轻钢龙骨+10mm（±1mm）木工板基层，墙面精细找平、防潮加固，表面涂刷环保饰面涂料，无异味、耐擦洗、平整度达标，适配光影设备、交互装置隐蔽安装。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智能中枢系统部署：搭载初中物理课程资源专属集成管控系统，实现课件素材、交互场景、声光内容统一存储、调度与分区调用；完成双投射画面无缝拼接融合调试，消除画面拼接断层，保证整墙成像完整统一；规整布设全域弱电、信号线路，隐蔽预埋、整洁美观，兼顾使用安全与空间观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沉浸式成像与声场搭建：定制一体化沉浸式物理科普可视化墙面，依托双光路成像技术实现整墙无缝成像，动态呈现物理实验、原理动画、实景科普素材；配套专业立体声场布设，优化科普讲解、实验音效播放效果，打造沉浸式听觉科普环境；所有光影设备采用隐蔽式吊装</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，隐藏硬件构件，保障墙面整体美观协调。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4、全域触控交互体系：在成像墙面表层布设隐形感应交互体系，实现整面墙体徒手触控操作，支持学生自主调取实验动画、拖拽模拟实验元件、操作物理仿真实验，交互灵敏、运行流畅、无延迟卡顿。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5、移动端中控管控：配套专属手持移动科普导览终端，教师可远程切换科普主题、启停实验画面、分区调控墙面内容，适配课堂灵活授课、分组教学场景。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科创交互素材开发：内置新能源汽车、无人机两大3D科创交互模块，支持720°部件旋转、放大、透视观察与虚拟拆装；详解电池、电机、电控核心技术，对比各类电池特性、电机工作原理、电控能量流路径，通过3D动画与交互操作具象化抽象科创原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7、资源安全防护：对全部初中物理原创课件、交互素材、校本科普资源进行加密存储防护，防止素材丢失、外泄，保障教学资源版权安全。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8、实施验收要求：墙面工艺、系统功能、成像效果、交互体验、科创素材配置须经甲方确认后方可落地调试、验收交付。</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磁光绘锡·自然规律可视化展墙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10000*2700mm+4000*4000mm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物理自然规律可视化科普展示墙，整体规格≥10000*2700mm+4000*4000mm，以光学、磁学、声学自然规律科普为核心，融合可视化实验装置、艺术光影、学科科普图文。整体布局规整、科技感十足，可直观展示光折射、声波传播、磁悬浮等物理现象，适配中小学物理科普教学、趣味实验、校园科技文化展示场景，兼具科普教学性与景观观赏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1、基层结构工艺：采用轻钢龙骨框架+30mm（±3mm）厚木工板基层，结构稳固、承重性强，可稳定承载各类互动实验装置、灯光构件与装饰面板，墙面平整度、牢固度达标。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饰面装饰工艺：墙面主体采用优质装饰木板整体饰面，质感细腻、耐磨易清洁；局部采用波音纸定制主题画面，色彩稳定、贴合学科视觉设计；配置LED装饰灯带，兼具氛围烘托与实验补光功能，适配光学实验展示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3、面板与字牌工艺：采用高透光亚克力透光面板，透光性佳、韧性强、不易破损，保障光学实验视觉呈现效果；搭配10mm（±1mm）厚雪弗板立体主题字、知识点标题，造型立体醒目、层次分明。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4、核心实验装置配置：定制专业磁悬浮装置、可视声波演示装置、光折射实验装置，装置运行稳定、演示效果直观，可精准还原各类物理自然规律，适配常态化课堂实验教学。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5、实施验收要求：墙面工艺、装置精度、光影效果、科普展示功能须经甲方确认后方可制作安装、投入使用。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数字绘画涂鸦墙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6400*2700mm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沉浸式数字创意涂鸦科普空间，整体规格≥6400*2700mm，融合实体手绘涂鸦与虚拟电子光影涂鸦双模式，集创意创作、美育教学、科普展示、趣味互动于一体。适配学生艺术创作、课后趣味活动、校园文化美育、科普创意教学等场景，整体安全美观、耐候耐用，适配中小学生常态化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1、墙面基层工艺：采用轻钢龙骨+10mm（±1mm）木工板基层，对原墙体进行精细化找平、防潮加固、防开裂分层腻子</w:t>
            </w:r>
            <w:r>
              <w:rPr>
                <w:rFonts w:hint="eastAsia" w:ascii="宋体" w:hAnsi="宋体" w:cs="宋体"/>
                <w:i w:val="0"/>
                <w:iCs w:val="0"/>
                <w:color w:val="000000"/>
                <w:sz w:val="22"/>
                <w:szCs w:val="22"/>
                <w:highlight w:val="none"/>
                <w:u w:val="none"/>
                <w:lang w:val="en-US" w:eastAsia="zh-CN" w:bidi="ar"/>
              </w:rPr>
              <w:t xml:space="preserve">实施</w:t>
            </w:r>
            <w:r>
              <w:rPr>
                <w:rFonts w:hint="eastAsia" w:ascii="宋体" w:hAnsi="宋体" w:eastAsia="宋体" w:cs="宋体"/>
                <w:i w:val="0"/>
                <w:iCs w:val="0"/>
                <w:color w:val="000000"/>
                <w:sz w:val="22"/>
                <w:szCs w:val="22"/>
                <w:highlight w:val="none"/>
                <w:u w:val="none"/>
                <w:lang w:val="en-US" w:eastAsia="zh-CN" w:bidi="ar"/>
              </w:rPr>
              <w:t xml:space="preserve">，做好防霉防潮基底处理，从根源避免墙面开裂、返潮、掉皮问题。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可擦写饰面工艺：整墙涂刷食品级环保水性可反复擦写专用涂料，符合国标室内E0环保标准，无甲醛、无异味；涂层耐擦洗、抗刮耐磨，支持粉笔、水性画笔反复涂鸦，湿布擦拭无痕、不留残印，长期使用不掉漆、不泛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3、安全收口工艺：墙体四周采用圆角收边美化处理，无尖锐棱角，完全符合中小学校园安全规范，兼顾使用安全性与空间美观性。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4、数字光影交互系统：配套一体化数字涂鸦系统，依托光影成像技术实现全域电子隔空涂鸦、图案特效切换、色彩自定义创作，与实体手绘模式双向联动，创作形式丰富多样。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5、素材资源配置：内置海量校园创意涂鸦素材库，涵盖科普、节气、学科、校园文化、卡通等多主题模板，支持一键调取线稿、底图描摹，可快速清空、切换创作场景，适配多样化创作需求。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6、实施验收要求：墙面工艺、环保标准、涂鸦功能、光影效果、素材配置须经甲方确认后方可安装调试、投入使用。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化学元素探秘体验空间</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7400*2701mm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沉浸式化学元素科普体验空间，整体规格≥7400*2701mm，以化学元素周期表科普、实物标本展示、交互式知识研学为核心，融合标本陈列、图文科普、动态演示、自主查询、趣味学习功能。贴合中学化学学科教学课标，适配课堂延伸教学、课后科普研学、自主知识探究等场景，全方位构建可视化、沉浸式化学科普育人阵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1、墙面基础工艺：采用轻钢龙骨+10mm（±1mm）木工板基层，墙面精细找平、防潮防霉处理，表面涂刷环保饰面涂料，平整牢固、环保无异味，适配大型展品、灯光系统稳定安装。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造型结构工艺：采用1.5mm（±0.1mm）钣金板材加工，经激光切割、精准折弯、氩弧焊接、焊点打磨、喷涂烤漆多道工艺成型，框架结构规整、坚固耐用、表面平整无瑕疵；造型板材采用雕刻机精准雕刻，人工打磨抛光边沿，组装严密、造型精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3、灯光系统工艺：采用柔性可剪切环柔灯链，光源与电路全封闭包覆，绝缘防水、安全耐用、耐候性强；提前预留灯槽与线路、电源适配器、控制器，灯光柔和均匀，凸显空间层次感，不损伤标本与学生视力。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标本与展具配置：配备不少于80种化学元素实物标本、200件各类单质、化合物、矿物、生活应用展品，不含放射性实物元素；配置不少于118件150*150*150mm（±5mm）亚克力样品盒，配套20*20mm（±2mm）亚克力标本底座与专属标签，放射性元素仅配置底座与图文标识，展示规范齐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图文展示工艺：采用专业设计软件定制排版，运用透明背胶、UV高清印刷工艺制作元素科普灯箱图文、118种元素发现时间、发现人专属介绍展板，排版美观、色彩适配校园审美，知识点精准贴合中学化学教学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互动系统功能：搭载完整版元素周期表互动系统，覆盖118个化学元素独立图文、视频介绍，包含元素基本属性、同位素、单质、化合物四大科普板块；按9大元素分类色系标注，支持原子参数、物理性质、电子层结构、同位素数据多维查询，可动态展示量子轨道模型、参数变化效果，实现全方位沉浸式研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7、实施验收要求：整体造型工艺、标本配置、灯光效果、互动系统功能、科普内容须经甲方确认后方可制作安装、调试交付。</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零碳主题文化墙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7200*2900mm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零碳新能源科普主题文化墙，整体规格≥7200*2900mm，以新能源发电、低碳环保、能源分类科普为核心，融合实景模拟、动态演示、互动体验、数据展示功能。整体布局规整、操作直观，适配中小学环保教育、科学课堂、德育研学、校园绿色文化建设场景，预留校园光伏数据展示板块，实现科普展示与校园实景数据联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1、墙面基层工艺：采用轻钢龙骨+10mm（±1mm）木工板基层，墙面精细找平、防潮加固，结构稳固、平整度达标，适配各类互动装置、展示构件安装。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面层材质工艺：主体采用18mm（±2mm）密度板饰面，局部搭配15mm（±2mm）PE板、≥4mm厚PC管、亚克力板材；表面采用UV打印水晶膜工艺印制科普图文，图案清晰、色彩鲜亮、无裂纹色差；所有产品边缘精细打磨，无毛刺、无锐边，完全符合校园安全标准，材质环保无异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动态演示功能：集成多种新能源模拟演示系统，手摇可调光伏发电、按钮触发地热与核能发电、感应式风力发电、水泵式水力发电，可动态模拟电能产生、传输、汇聚全过程，灯带动态展示电流流向，演示直观易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4、能源科普功能：内置能源分类互动模块，支持一次能源、二次能源、可再生能源、不可再生能源、常规能源、新能源的分类学习与趣味科普，知识点全面贴合中小学环保教育课标。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5、定制预留板块：专属预留校园光伏发电数据展示区域，可适配校方现有光伏设备数据接入、实时展示，实现科普教学与校园实景应用结合。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6、实施验收要求：墙面工艺、材质配置、互动演示功能、科普内容、预留板块布局须经甲方确认后方可制作安装、投入使用。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定制弧形滑梯造型</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高度90cm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儿童趣味体能训练弧形滑梯造型，整体高度≥90cm，整体造型圆润安全、简约美观，以趣味滑行体验、感统训练、体能锻炼为核心功能。适配校园低龄学生课间活动、体能训练、趣味游乐场景，兼顾安全性、趣味性与实用性，契合校园运动育人、快乐成长建设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材质工艺标准：采用食品级低密度聚乙烯材质，添加抗紫外线、防静电、抗老化助剂，经大型正反流水线滚塑机一次性整体成型，无毒无味、亲肤安全、无刺激过敏风险。表面采用模铸哑光处理，平整光滑、不变形、耐候性强、不易褪色，完全符合校园游乐设施安全环保标准，具体长度可根据现场及校方需求定制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2、功能实现标准：可实现趣味滑行体验，学生滑行过程中可锻炼上下肢力量、全身协调性与心肺耐力，同时刺激前庭系统，提升身体平衡感、空间感知能力与姿态调控能力，适配常态化校园体能训练。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3、实施验收要求：整体造型尺寸、材质工艺、安全性能、使用功能须经甲方确认后方可定制生产、进场安装。</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运动墙面1</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1750*30*300cm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多功能体能训练运动墙，整体规格≥1750*30*300cm，主打上肢拉伸、肩颈矫正、核心激活、关节活动训练功能，整体结构稳固、安全耐用、造型规整。适配师生日常体能锻炼、体态矫正、课前热身、课后运动训练场景，贴合校园体育育人、健康成长建设需求，户外室内均可适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3.0mm（±0.3mm）厚热镀锌钢板，经数控机床剪板折弯、激光切割、氩弧焊接精工成型；表面经专业防锈、除油、抛砂处理，喷涂两层防腐底漆、两层防腐面漆，采用室外汽车喷漆工艺，漆面光滑、抗紫外线、抗腐蚀、色彩鲜亮、不易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辅材配置标准：采用游艇级FRP复合材料，为不饱和树脂与玻璃纤维聚合材质，耐腐蚀、阻燃、轻质高强度、耐老化，一体固化成型，抗压值不少于80KG/㎡；采用铸铝结构+螺丝紧固扣件，螺丝表面光滑无棱角，安全性高；主材镀锌钢含钢量高、承重性优异，整体结构稳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3、防腐耐候标准：镀锌钢管中性盐雾测试≥800小时，无生锈、无腐蚀、无掉漆现象，适配校园长期户外、室内高频使用。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4、功能配置标准：配套悬挂式训练吊环，可实现肩颈上肢拉伸、圆肩驼背矫正、腰背肌群放松、核心自重激活、肩肘腕关节活动度提升，有效降低运动损伤风险，适配师生常态化热身与体态训练。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5、实施验收要求：整体结构工艺、材质标准、防腐性能、训练功能须经甲方确认后方可制作安装、投入使用。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运动墙面2</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1700*22*320cm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复合型体能训练运动墙，整体规格≥1700*22*320cm，整合攀爬训练、上肢力量、体态矫正、核心训练、平衡协调训练多功能于一体。分区布局合理、训练维度全面，适配师生日常体能锻炼、趣味运动、体态矫正、体育课实训场景，安全性与实用性兼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3.0mm（±0.3mm）厚热镀锌钢板精工加工成型，经剪板、折弯、激光切割、氩弧焊接工艺制作；表面多层防腐处理，双层防腐底漆+双层防腐面漆，室外汽车喷漆工艺，抗紫外线、耐腐蚀、漆面牢固不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2、辅材与防腐标准：采用游艇级FRP一体固化成型工艺，抗压值≥80KG/㎡，阻燃耐老化；铸铝扣件螺丝连接、表面光滑安全；整体镀锌钢管中性盐雾≥800小时，无锈蚀、无掉漆，耐用性强。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功能分区配置：左侧设置肋排架、攀爬杆区，可实现脊柱拉伸、体态矫正、上肢力量训练、儿童趣味攀爬；中间设置悬挂训练区，配套吊环完成肩颈拉伸、核心激活、关节活动训练；全域设置徒手训练点位，可辅助深蹲、弓步、俯卧撑、动态拉伸等动作，锻炼全身力量、平衡与协调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4、实施验收要求：整体工艺、结构安全、防腐性能、训练功能布局须经甲方确认后方可制作安装、投入使用。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运动墙面3</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1600*45*320cm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多功能综合体能训练运动墙，整体规格≥1600*45*320cm，集体态矫正、上肢训练、核心激活、滑轮拉力训练、综合徒手训练于一体，适配全年龄段师生体能训练、体态改善、趣味运动实训，整体结构安全稳固、训练功能丰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1、主体工艺标准：采用3.0mm（±0.3mm）热镀锌钢板精工成型，数控加工、精密焊接、多层防腐喷涂；漆面光滑耐候、抗腐蚀抗老化，长期户外使用不褪色、不脱落。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2、材质性能标准：FRP复合材料一体固化成型，抗压≥80KG/㎡，阻燃耐腐蚀；铸铝扣件紧固连接，安全无尖锐棱角；镀锌钢管中性盐雾测试≥800小时，防腐性能优异。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核心功能配置：设置多段式肋排架、斜向横杆，用于腰背脊柱拉伸、肩颈放松、儿童趣味攀爬；配备滑轮式拉力训练装置，可完成划船、下拉、推举等上肢力量训练；配置多规格吊环、把手及地面训练点位，适配引体向上、悬挂拉伸、徒手力量、平衡协调等综合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4、实施验收要求：结构工艺、材质性能、功能配置、安全标准须经甲方确认后方可制作安装、投入使用。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拉伸运动墙1</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1800*60*300cm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全方位拉伸体能训练墙，整体规格≥1800*60*300cm，整合平衡训练、攀爬力量、悬吊核心、综合体能训练功能，兼顾成人体态矫正与儿童趣味运动。适配校园体育课教学、课后体能训练、课间趣味活动，训练维度全面、安全系数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1、工艺材质标准：主体3.0mm（±0.3mm）热镀锌钢板精工加工，精密焊接、多层防腐喷涂，汽车级漆面耐候抗腐；FRP材质一体成型，抗压≥80KG/㎡，阻燃耐老化；扣件螺丝光滑安全，整体结构稳固。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2、防腐性能标准：镀锌钢管中性盐雾≥800小时，无锈蚀、无破损、无掉漆，适配校园长期高频次使用。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功能配置标准：配备U型平衡踏板装置，用于下肢力量、平衡协调性训练；多排肋排架攀爬结构，实现上肢背部力量训练、脊柱体态矫正、儿童趣味攀爬；配置悬挂沙袋、吊环组合，用于核心稳定、反应协调性训练；搭配高低单杠，满足进阶力量与拉伸训练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4、实施验收要求：整体工艺、安全性能、训练功能、防腐效果须经甲方确认后方可制作安装、投入使用。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定制互动传声筒元素</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全色长210cm高130cm；条纹长210cm高100cm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趣味互动传声筒元素，全色款尺寸≥长210cm高130cm，条纹款尺寸≥长210cm高100cm，以趣味声学互动、社交体验、感官训练为核心。适配校园儿童趣味活动、科学声学科普、课间互动场景，造型美观、安全耐用、互动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60mm（±6mm）镀锌钢管3mm（±0.3mm）厚热镀锌钢板定制加工，经数控剪板、激光切割、氩弧焊接精工成型；表面经防锈除油、抛砂处理，双层防腐底漆+双层防腐面漆，室外汽车喷漆工艺，漆面光滑抗紫外线、耐腐蚀、不易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2、材质性能标准：采用游艇级FRP复合材料，一体固化成型，抗压≥80KG/㎡，阻燃、轻质高强、耐老化；铸铝螺丝扣件连接，表面光滑无尖锐棱角，安全防护达标。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3、防腐耐用标准：镀锌钢管中性盐雾测试≥800小时，无生锈、无腐蚀，适配校园户外长期使用，具体尺寸可根据现场需求定制调整。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4、实施验收要求：造型尺寸、工艺质量、安全性能、互动效果须经甲方确认后方可定制安装、投入使用。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拉伸运动墙2</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1700*70*200cm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多功能徒手体能拉伸训练墙，整体规格≥1700*70*200cm，集成徒手力量、上肢拉伸、敏捷训练、负重体能训练功能，适配师生基础体能锻炼、体态矫正、趣味运动实训，功能分区清晰、操作简单安全。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1、主体工艺标准：采用3.0mm（±0.3mm）热镀锌钢板精工加工成型，精密焊接、多层防腐喷涂处理，汽车级户外漆面，抗紫外线、耐腐耐候、色彩牢固。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2、材质性能标准：FRP复合材料一体固化成型，抗压≥80KG/㎡，阻燃耐磨、轻质高强；铸铝扣件螺丝连接，无尖锐边角，安全性高；镀锌钢管中性盐雾≥800小时，防腐性能达标。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功能配置标准：左侧设置吊环、肋排架、训练点位，适配悬挂拉伸、攀爬训练、徒手深蹲俯卧撑、平衡协调训练；配置立式力量训练器、壶铃式负重训练结构，针对性锻炼胸背、上下肢肌群；搭配绳梯敏捷训练装置，提升反应速度与身体协调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4、实施验收要求：整体工艺、功能布局、安全性能、防腐效果须经甲方确认后方可制作安装、投入使用。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定制异形坐凳造型1</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350*130*120cm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休闲异形坐凳造型，整体规格≥350*130*120cm，兼顾校园休闲休憩、景观装饰、轻型体能辅助功能。造型简约美观、结构稳固安全，适配校园操场、长廊、园区公共区域摆放，适配师生课间休憩、校园景观美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114mm（±10mm）镀锌钢管+3mm（±0.3mm）热镀锌钢板定制加工，数控精工切割折弯、氩弧精密焊接；表面经防锈、除油、抛砂精细化处理，双层防腐底漆+双层户外汽车面漆，漆面光滑耐候、抗腐抗老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2、材质性能标准：采用游艇级FRP复合材料一体固化成型，抗压≥80KG/㎡，阻燃防潮、坚固耐用；螺丝扣件光滑无棱角，整体承重性好、安全系数高。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3、防腐标准：镀锌钢管中性盐雾测试≥800小时，长期户外使用无生锈、无腐蚀、无掉漆褪色。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4、实施验收要求：造型尺寸、工艺质量、安全性能、景观效果须经甲方确认后方可定制安装、投入使用。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定制异形坐凳造型2</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130*35*120cm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小型校园异形休闲坐凳造型，整体规格≥130*35*120cm，造型小巧精致、安全稳固，兼具休憩功能与校园景观装饰效果，适配校园边角区域、活动场地布设，适配师生日常休闲使用。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1、主体工艺标准：采用114mm（±3mm）镀锌钢管+3mm（±0.3mm）热镀锌钢板精工制作，数控加工、精密焊接、精细化表面处理；双层防腐底漆、双层户外汽车面漆喷涂，抗紫外线、耐腐蚀、漆面牢固。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2、材质性能标准：游艇级FRP材质一体固化成型，抗压≥80KG/㎡，阻燃耐磨、轻质高强；扣件螺丝连接安全牢固，无尖锐边角，符合校园安全标准。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3、防腐耐用标准：镀锌钢管中性盐雾≥800小时，无锈蚀、无老化，适配校园长期户外使用，整体造型可根据现场需求定制优化。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4、实施验收要求：整体造型、工艺质量、安全性能、布设效果须经甲方确认后方可定制安装、投入使用。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定制蹦床造型</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大的直径200cm；小的直径150cm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儿童趣味蹦床体能造型，分为大、小两款，大款直径≥200cm，小款直径≥150cm，以趣味弹跳、体能锻炼、肢体协调训练为核心。适配校园低龄学生课间趣味活动、体能训练场景，安全稳固、趣味性强、耐用性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1、主体工艺标准：采用3.0mm（±0.3mm）热镀锌钢板精工成型，经数控剪板、激光切割、氩弧焊接工艺制作；表面多层防腐处理，双层防腐底漆+双层户外汽车面漆，漆面光滑、抗紫外线、不易褪色脱落。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2、配件材质标准：蹦床网面采用6股钢丝航海专用缆绳，坚韧耐磨、承重性强；整体采用游艇级FRP复合材料一体固化成型，抗压≥80KG/㎡，阻燃耐老化、耐腐蚀。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3、安全防腐标准：铸铝扣件螺丝光滑安全、连接牢固；镀锌钢管中性盐雾≥800小时，无生锈、无腐蚀，适配高频次校园使用，整体尺寸可现场定制调整。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4、实施验收要求：规格尺寸、工艺质量、安全性能、弹跳体验效果须经甲方确认后方可定制安装、投入使用。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定制S杆异形造</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高160cm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校园趣味体能摇摆S杆造型，整体高度≥160cm，主打儿童趣味摇摆、平衡训练、前庭系统锻炼功能。造型新颖、互动性强，适配低龄学生课间游乐、体态与平衡能力训练，契合校园趣味运动育人理念。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1、主体工艺标准：采用60mm（±6mm）镀锌钢管+3mm（±0.3mm）热镀锌钢板定制加工，数控精工成型、精密焊接；表面经防锈抛砂处理，双层防腐底漆+双层户外汽车面漆，耐候抗腐、色彩鲜亮。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2、材质性能标准：游艇级FRP材质一体固化成型，抗压≥80KG/㎡，阻燃、轻质高强、耐老化；扣件连接牢固、表面光滑无棱角，使用安全。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3、防腐标准：镀锌钢管中性盐雾≥800小时，长期户外使用无锈蚀、无损坏。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4、功能实现标准：可实现前后、左右趣味摇摆体验，有效锻炼学生核心力量、身体协调性、前庭平衡能力与空间感知能力。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5、实施验收要求：造型尺寸、工艺质量、安全性能、互动训练效果须经甲方确认后方可定制安装、投入使用。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定制跷跷板造型</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长250cm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双人互动趣味跷跷板造型，整体长度≥250cm，以双人协作互动、身体平衡训练、力量控制锻炼为核心功能。适配校园低龄学生课间趣味游乐、社交协作培养、基础体能训练场景，整体结构安全稳固、造型简约美观、互动趣味性强，契合校园运动育人、快乐成长的建设理念，适配校园常态化高频次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1、主体材质工艺：主体采用114mm（±10mm）镀锌钢管搭配3mm（±0.3mm）热镀锌钢板定制加工成型，经数控机床剪板折弯、激光切割、氩弧精密焊接多重精工工艺制作，构件规整、拼接严密。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涂装工艺：整体构件经专业防锈、除油、抛砂精细化处理，采用漆腻子打底，双层防腐底漆+双层防腐面漆喷涂工艺，配套专业室外汽车喷漆工艺，漆面厚度充足、光滑细腻，具备优异的抗紫外线、抗腐蚀、耐候性能，色彩鲜亮均匀、长期使用不易脱落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3、辅材配置标准：采用游艇级FRP复合材料，为不饱和树脂与玻璃纤维聚合材质，具备耐腐蚀、阻燃、轻质高强度、耐老化特性，采用一体固化成型工艺，整体抗压值不少于80KG/㎡，结构稳固耐用。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4、连接安全工艺：采用铸铝结构搭配螺丝紧固扣件，所有螺丝表面精细打磨光滑，无尖锐棱角，杜绝安全隐患；主材镀锌钢含钢量高、承重性能优异，整体结构稳固安全，适配学生双人互动使用。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5、防腐耐候标准：镀锌钢管整体中性盐雾测试≥800小时，长期户外、室内使用无生锈、无腐蚀、无掉漆老化问题，使用寿命长久。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核心功能标准：支持双人趣味互动体验，两名学生可分别坐于装置两端，配合发力实现跷跷板上下起伏，在游乐过程中培养协作、轮流配合的社交能力；起伏运动中，学生可自主调整身体姿态维持平衡、控制发力力度，有效锻炼核心力量、肢体协调性与前庭平衡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7、实施验收要求：整体造型尺寸、材质工艺、防腐性能、安全性能、互动训练功能及最终落地展示使用效果须经甲方确认后方可定制生产、进场安装、投入使用。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定制装饰球造型1</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球直径35cm高度230cm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趣味体能装饰造型，球体直径≥35cm，整体安装高度≥230cm，以趣味游戏互动、肢体敏捷训练、空间思维培养为核心功能。适配校园低龄学生课间游乐、体能锻炼、趣味团建活动场景，造型简约美观、安全耐用、互动性强，可丰富校园运动场景玩法，契合校园趣味运动育人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1、主体材质工艺：主体采用镀锌钢管搭配3mm（±0.3mm）热镀锌钢板定制加工成型，经数控机床剪板折弯、激光切割、氩弧精密焊接精工制作，构件精度高、结构规整牢固。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涂装工艺：整体构件经专业防锈、除油、抛砂精细化处理，漆腻子找平打底，采用双层防腐底漆、双层防腐面漆喷涂工艺，搭配室外汽车专用喷漆，漆面光滑平整，具备抗紫外线、抗腐蚀、耐老化特性，色彩鲜亮均匀、长期使用不易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3、辅材配置标准：采用游艇级FRP复合材料，由不饱和树脂与玻璃纤维聚合而成，耐腐蚀、阻燃、轻质高强度，采用一体固化成型工艺，整体抗压值不少于80KG/㎡，适配校园长期高频使用。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4、连接安全工艺：采用铸铝结构与螺丝紧固扣件，所有螺丝表面打磨光滑、无尖锐棱角，大幅提升使用安全性；主材镀锌钢含钢量高、承重性好、结构稳定性强。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5、防腐耐候标准：镀锌钢管严格遵循中性盐雾≥800小时测试标准，长期户外、室内使用无生锈、无腐蚀、无老化破损问题。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核心功能标准：可作为趣味游戏载体，支持学生绕桩跑、追逐游戏、跳房子、接力赛等多元玩法，丰富校园课间活动形式；绕桩、折返跑动过程可有效锻炼学生下肢敏捷度、步伐协调性与反应速度；学生可自主规划绕桩路线，锻炼空间规划能力与身体平衡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7、实施验收要求：整体规格尺寸、工艺质量、防腐性能、安全标准、游戏互动功能及整体景观效果须经甲方确认后方可定制安装、投入使用。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异形拱形过道文化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500*120*200cm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异形拱形体能游乐文化过道，整体规格≥500*120*200cm，集钻爬游乐、肢体锻炼、空间感知训练、景观美化功能于一体。适配低龄学生课间探索游乐、全身协调性训练、校园氛围营造场景，结构安全稳固、造型新颖，贴合校园趣味运动、自然探索育人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1、主体材质工艺：整体采用3.0mm（±0.3mm）厚热镀锌钢板定制加工成型，经数控机床剪板折弯、激光切割、氩弧精密焊接工艺制作，构件拼接严密、受力均匀、结构牢固。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涂装工艺：构件整体经防锈、除油、抛砂精细化处理，漆腻子找平后，采用双层防腐底漆+双层防腐面漆喷涂工艺，搭配专业室外汽车喷漆，漆面光滑平整、厚度充足，抗紫外线、抗腐蚀、耐候性强，色彩鲜亮持久、不易脱落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3、辅材配置标准：采用游艇级FRP复合材料，为不饱和树脂与玻璃纤维聚合材质，耐腐蚀、阻燃、轻质高强度、耐老化，一体固化成型，整体抗压值不少于80KG/㎡，稳固耐用。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4、连接安全工艺：采用铸铝结构搭配螺丝紧固扣件，螺丝表面精细打磨、无尖锐棱角，全方位保障学生使用安全；主材镀锌钢含钢量高、承重性能优异，适配长期攀爬、钻爬使用。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5、防腐耐候标准：镀锌钢管中性盐雾测试≥800小时，长期户外、室内使用无锈蚀、无破损、无掉漆老化问题。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核心功能标准：支持学生钻爬、穿越、坡面攀爬多元玩法，满足低龄儿童探索欲与运动需求；攀爬过程需手脚协同发力，有效锻炼上下肢力量与全身协调性；坡面行走、拱形穿越过程可持续提升学生平衡感、空间感知能力与身体控制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7、实施验收要求：整体规格尺寸、结构工艺、防腐性能、安全标准、游乐训练功能及整体文化景观效果须经甲方确认后方可制作安装、投入使用。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112</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定制装饰球造型 2</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高250cm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悬挂式趣味互动装饰球造型，整体安装高度≥250cm，以趣味社交互动、肢体力量训练、反应与空间感知培养为核心。适配学生课间互动游乐、体能素质训练、校园景观装饰场景，互动性强、安全系数高、造型美观，适配校园常态化育人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1、主体材质工艺：主体采用114mm（±3mm）镀锌钢管搭配3mm（±0.3mm）热镀锌钢板定制加工成型，经数控机床剪板折弯、激光切割、氩弧精密焊接精工成型，结构规整、承重稳定。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涂装工艺：整体构件经防锈、除油、抛砂精细化处理，漆腻子打底找平，双层防腐底漆+双层防腐面漆喷涂，配套室外汽车专用喷漆工艺，漆面光滑细腻、抗紫外线、抗腐蚀，色彩鲜亮均匀、长期使用不易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3、辅材配置标准：采用游艇级FRP复合材料，不饱和树脂与玻璃纤维聚合材质，具备耐腐蚀、阻燃、轻质高强、耐老化特性，一体固化成型，整体抗压值不少于80KG/㎡，耐用性强。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4、连接安全工艺：采用铸铝结构与螺丝紧固扣件，所有螺丝表面打磨光滑、无尖锐棱角，杜绝磕碰风险；主材镀锌钢含钢量高、承重性好、整体安全性高。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5、防腐耐候标准：镀锌钢管中性盐雾测试≥800小时，长期户外、室内使用无生锈、无腐蚀、无老化破损。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核心功能标准：支持学生拍打、推动悬挂球体，实现球体来回摆动，可开展双人传球、接力击打等互动游戏，提升学生社交协作能力；拍打、推动球体过程可有效锻炼上肢力量、手眼协调能力与反应速度；学生需自主预判球体运动轨迹、调整站位与发力方式，精准提升空间感知与运动预判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7、实施验收要求：整体工艺质量、防腐性能、安全标准、互动功能及景观展示效果须经甲方确认后方可定制安装、投入使用。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113</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拉伸运动墙3</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720*90*250cm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多功能综合体能拉伸训练墙，整体规格≥720*90*250cm，集成上肢力量训练、肩背体态矫正、核心激活、攀爬训练、反应协调训练于一体。适配全年龄段师生日常体能锻炼、体态改善、体育课实训、课后科创运动场景，功能分区清晰、训练维度全面、结构安全稳固，兼具实用性与耐用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1、主体材质工艺：主体采用89mm（±8mm）镀锌钢管搭配3mm（±0.3mm）热镀锌钢板定制加工成型，经数控机床剪板折弯、激光切割、氩弧精密焊接工艺精工制作，整体结构受力均衡、稳固牢靠。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涂装工艺：构件整体经专业防锈、除油、抛砂精细化处理，漆腻子找平打底，采用双层防腐底漆、双层防腐面漆喷涂工艺，搭配室外汽车专用喷漆，漆面光滑平整、抗紫外线、抗腐蚀、耐候性强，色彩鲜亮、长期使用不易脱落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3、辅材配置标准：采用游艇级FRP复合材料，为不饱和树脂与玻璃纤维聚合材质，耐腐蚀、阻燃、轻质高强度、耐老化，一体固化成型，整体抗压值不少于80KG/㎡，适配高频次训练使用。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4、连接安全工艺：采用铸铝结构搭配螺丝紧固扣件，所有螺丝表面精细打磨光滑、无尖锐棱角，全方位保障师生训练安全；主材镀锌钢含钢量高、承重性能优异、结构稳定性强。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5、防腐耐候标准：镀锌钢管严格遵循中性盐雾≥800小时测试标准，长期户外、室内使用无生锈、无腐蚀、无掉漆老化问题。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6、功能分区</w:t>
            </w:r>
            <w:r>
              <w:rPr>
                <w:rFonts w:hint="eastAsia" w:ascii="宋体" w:hAnsi="宋体" w:eastAsia="宋体" w:cs="宋体"/>
                <w:i w:val="0"/>
                <w:iCs w:val="0"/>
                <w:color w:val="000000"/>
                <w:sz w:val="22"/>
                <w:szCs w:val="22"/>
                <w:highlight w:val="none"/>
                <w:u w:val="none"/>
                <w:lang w:val="en-US" w:eastAsia="zh-CN" w:bidi="ar"/>
              </w:rPr>
              <w:t xml:space="preserve">标准：①悬挂训练区（吊环、把手组合）：可完成悬挂拉伸、引体向上、划船、下拉等训练，锻炼背阔肌、肱二头肌与肩袖肌群，静态悬挂可缓解久坐腰背僵硬、改善圆肩驼背、提升肩关节活动度，适配儿童抓握、悬挂摆动基础训练；②攀爬、肋排架区：可完成引体向上、悬垂举腿、反向臂屈伸等力量训练，支持儿童趣味攀爬，锻炼全身协调性与空间感知能力，可依托横杆完成脊柱拉伸，改善体态问题；③悬挂训练区（吊球、把手组合）：可开展摆动训练、抗旋转练习，强化腹横肌与核心稳定性，可作为反应训练载体，提升手眼协调与反应速度，训练关节压力小、安全性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7、实施验收要求：整体规格尺寸、结构工艺、防腐性能、功能布局、训练效果及安全标准须经甲方确认后方可制作安装、投入使用。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114</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拉伸运动墙4</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高130cm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趣味体态平衡训练运动墙，整体高度≥130cm，以趣味旋转游乐、前庭系统训练、身体平衡控制、空间感知培养为核心。适配低龄学生课间趣味活动、体态矫正、基础体能训练场景，操作简单安全、互动趣味性强，契合校园趣味运动育人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1、主体材质工艺：主体采用60mm（±6mm）镀锌钢管搭配3mm（±0.3mm）热镀锌钢板定制加工成型，经数控机床剪板折弯、激光切割、氩弧精密焊接精工制作，构件规整、连接牢固、结构稳定。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涂装工艺：整体构件经防锈、除油、抛砂精细化处理，漆腻子找平后，双层防腐底漆+双层防腐面漆喷涂，搭配专业室外汽车喷漆工艺，漆面光滑平整、厚度充足，抗紫外线、抗腐蚀、耐老化，色彩鲜亮持久、不易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3、辅材配置标准：采用游艇级FRP复合材料，不饱和树脂与玻璃纤维聚合材质，耐腐蚀、阻燃、轻质高强、耐老化，一体固化成型，整体抗压值不少于80KG/㎡，稳固耐用。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4、连接安全工艺：采用铸铝结构与螺丝紧固扣件，螺丝表面精细打磨、无尖锐棱角，杜绝安全隐患；主材镀锌钢含钢量高、承重性好、整体安全系数高。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5、防腐耐候标准：镀锌钢管中性盐雾测试≥800小时，长期户外、室内高频使用无生锈、无腐蚀、无老化破损。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核心功能标准：配备专用旋转把手与底座旋转结构，学生可握持把手完成全身旋转，体验趣味游乐效果；旋转过程中需主动调整身体姿态维持平衡，有效刺激前庭系统，锻炼平衡感、空间感知能力与身体控制能力，适配低龄学生常态化趣味体能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7、实施验收要求：整体工艺质量、防腐性能、安全标准、趣味训练功能及使用效果须经甲方确认后方可定制安装、投入使用。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地面爬网文化</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长650cm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多功能地面体能训练文化设施，整体长度≥650cm，集趣味跳跃游戏、障碍闯关、敏捷训练、平衡培养功能于一体。适配学生课间游乐、体能素养训练、校园趣味体育活动场景，玩法丰富、安全耐用、适配性广，贴合校园全员运动育人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1、主体材质工艺：整体采用3.0mm（±0.3mm）镀锌钢板定制加工成型，经数控机床剪板折弯、激光切割、氩弧精密焊接工艺制作，构件拼接严密、受力均匀、结构牢固。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表面涂装工艺：构件整体经防锈、除油、抛砂精细化处理，漆腻子打底找平，双层防腐底漆+双层防腐面漆喷涂，搭配室外汽车专用喷漆，漆面光滑平整、抗紫外线、抗腐蚀、耐候性强，色彩鲜亮、长期使用不易脱落褪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3、辅材配置标准：采用游艇级FRP复合材料，不饱和树脂与玻璃纤维聚合材质，耐腐蚀、阻燃、轻质高强度、耐老化，一体固化成型，整体抗压值不少于80KG/㎡，适配高频次运动使用。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4、连接安全工艺：采用铸铝结构搭配螺丝紧固扣件，所有螺丝表面打磨光滑、无尖锐棱角，全方位保障运动安全；主材镀锌钢含钢量高、承重性能优异、结构稳定性强。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5、防腐耐候标准：镀锌钢管中性盐雾测试≥800小时，长期户外、室内使用无生锈、无腐蚀、无老化破损问题。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核心功能标准：设置圆形跳跃点位，可开展跳房子、数字跳跃等趣味游戏，锻炼学生下肢力量与运动节奏感；依托点位与大环结构，可设计追逐跑、绕桩跑、接力赛等运动路线，提升学生肢体敏捷度、反应速度与方向感知能力；支持点位行走、单脚站立等训练，有效锻炼身体平衡感与肢体控制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7、实施验收要求：整体规格尺寸、结构工艺、防腐性能、安全标准、多功能训练效果须经甲方确认后方可制作安装、投入使用。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异形趣味爬网造型</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长200cm*宽250cm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317" w:type="dxa"/>
            <w:vAlign w:val="bottom"/>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异形趣味体能爬网设施，整体规格长≥200cm*宽250cm，以钻爬穿越、全身力量训练、平衡与空间感知培养为核心。适配低龄学生课间探索游乐、全身协调性训练、校园体能拓展场景，造型新颖、互动性强、安全稳固，契合校园趣味运动育人理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1、主体材质工艺：框架主体采用114mm（±10mm）镀锌钢管定制加工，搭配3mm（±0.3mm）热镀锌钢板，经数控机床剪板折弯、激光切割、氩弧精密焊接精工成型，框架结构稳固、受力均衡。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2、网面材质工艺：爬网网面采用直径16mm（±2mm）航海专用缆绳，绳体内置6股钢丝，坚韧耐磨、承重性强、抗拉伸，适配长期攀爬、钻爬使用。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表面涂装工艺：整体框架构件经防锈、除油、抛砂精细化处理，漆腻子找平后，双层防腐底漆+双层防腐面漆喷涂，搭配专业室外汽车喷漆，漆面光滑平整、抗紫外线、抗腐蚀、耐老化，色彩鲜亮持久、不易脱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4、辅材配置标准：采用游艇级FRP复合材料，不饱和树脂与玻璃纤维聚合材质，耐腐蚀、阻燃、轻质高强、耐老化，一体固化成型，整体抗压值不低于80KG/㎡，耐用性优异。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5、连接安全工艺：采用铸铝结构与螺丝紧固扣件，所有螺丝表面精细打磨、无尖锐棱角，杜绝磕碰划伤风险，保障学生游乐安全。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6、防腐耐候标准：镀锌钢管中性盐雾测试≥800小时，长期户外、室内使用无生锈、无腐蚀、无老化破损。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核心功能标准：支持学生网状隧道钻爬、网面攀爬多元玩法，满足低龄儿童探索欲与运动需求；攀爬过程手脚协同发力，有效锻炼上下肢力量与全身肢体协调性；网面行走、隧道穿越过程可持续提升学生平衡感、空间感知能力与身体控制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8、实施验收要求：整体规格尺寸、网面工艺、框架质量、防腐性能、安全标准及游乐训练效果须经甲方确认后方可定制安装、投入使用。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攀岩挑战沉浸式体能素养空间</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12.2*6m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沉浸式攀岩体能训练空间，整体规格≥12.2*6m，以沉浸式攀岩挑战、全身体能锻炼、肢体协调性训练、勇气素养培养为核心。适配中小学学生体能拓展训练、体育课程实训、校园趣味运动赛事场景，结构安全达标、防护体系完善、训练专业性强，打造标准化校园攀岩体能育人阵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钢架结构：整体采用钢结构框架搭建，承重立柱选用100×100×δ3（误差±3%）mm方形钢管，横向连接管材选用60×60×δ2.75（误差±3%）mm方形钢管，框架受力结构科学合理，整体牢固稳定，可长期适配校园室内外高频运动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2、墙面板材标准：攀岩墙面主体采用高强度玻璃钢材质，单块板材规格1m×2m（±20mm），采用模块化拼接安装工艺，板面平整光滑、结构紧实、耐磨耐用，适配长期攀岩训练使用。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板面安全力学性能：板面静载荷承受能力≥4.3kN；动载荷性能完全符合国家登山运动相关技术规范；支点孔抗拉强度≥3.5kN；抗冲击性能达标，5m冲击高度、22kg（±1kg）标准冲击头撞击下，整体结构完好无破损、无变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攀岩支点配置：采用7–12cm不规则造型纯树脂岩点，款式丰富多样；大规格岩点单款周长约80cm（误差±3%），整体经底漆打底+彩色面漆涂装，内置专业连接结构与防滑设计；岩点强度高、棱角圆润过渡、无尖锐凸起，摩擦系数优良，表面无气泡、空鼓等工艺缺陷，可有效避免手部划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自动缓降防护装置：全场配置不少于2台专业攀岩自动收绳保护器，严格遵循国家标准生产；装置规格700mm×320mm×216mm（±20mm），单台净重23kg（±1kg）；外壳采用铝合金材质，内部构件为镀锌钢材、永磁体、工程钢、ABS复合材料，绳带出入口采用塑料+铝合金组合结构；绳体采用聚乙烯、涤纶、尼龙复合织带，柔韧耐磨；有效延伸长度≤15m，适配10kg～100kg体重人群使用，平均下降速度0.75m/s（误差±20%），收绳速度0.75m/s，最大下降速度1.5m/s，运行平稳、防护安全可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6、安全防护地垫：配套专业高密度海绵运动防护垫，垫层厚度200mm（±20mm），整体铺设总面积≥25㎡，缓冲减震性能优异，可全方位缓冲攀岩坠落冲击力，全面保障学生运动安全。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7、实施验收要求：钢架结构工艺、板面力学性能、岩点配置、防护装置功能、地垫防护效果及整体攀岩训练体验须经甲方确认后方可安装调试、验收交付、投入使用。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网格攀岩体能训练墙</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15.3*6m</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标准化网格攀岩体能训练墙，整体规格≥15.3*6m，以高强度攀岩训练、全身力量锻炼、肢体协调与耐力培养为核心。适配中小学专业体能训练、体育专项课程、学生体能素养提升场景，结构稳固、防护专业、耐用性强，适配校园常态化高强度攀岩训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主体攀爬缆绳：整体采用Φ16mm（±2mm）航海专用复合缆绳，绳体内部内置6股高碳钢钢丝芯；钢丝含碳量0.6%–0.9%，搭配锰、硅元素，严格管控硫、磷杂质，经热轧、冷拔、热处理多道精密工艺加工，抗拉强度达1470–2800MPa；绳体表面采用镀锌、涂油双重防腐处理，耐日晒雨淋、耐候性强、使用寿命长久；绳芯选用剑麻/尼龙纤维芯（FC），具备储油、缓冲、减磨特性，适配常温校园场景使用；绳股间隙填充专用润滑脂，减少摩擦损耗、隔绝潮气，进一步提升结构稳定性与耐用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2、连接扣件标准：全系采用螺丝式紧固扣件，所有螺丝表面精细打磨光滑，连接紧固牢靠、无松动隐患，有效提升整体攀岩使用安全系数。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缓降防护装置：配置TH-15型自动收绳保护器，作为专业攀岩下降防护设施；装置规格700mm×320mm×216mm（±20mm），单台净重23kg（±1kg）；外壳为铝合金材质，内部构件采用镀锌钢、永磁体、钢材、ABS复合材料，绳带出入口采用塑料与铝合金组合结构；绳带采用聚乙烯、涤纶、尼龙复合织带，柔韧耐磨、抗拉伸、不易断裂，防护性能稳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4、安全防护地垫：配套高密度海绵专业防护垫，垫层厚度200mm（±20mm），缓冲减震、抗冲击性能优异，可有效缓冲坠落冲击力，全方位保障学生攀岩训练安全。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5、实施验收要求：缆绳工艺、扣件安全性、防护装置性能、地垫防护效果及整体攀岩训练稳定性须经甲方确认后方可安装调试、投入使用。</w:t>
            </w:r>
            <w:r>
              <w:rPr>
                <w:rFonts w:hint="eastAsia" w:ascii="宋体" w:hAnsi="宋体" w:eastAsia="宋体" w:cs="宋体"/>
                <w:i w:val="0"/>
                <w:iCs w:val="0"/>
                <w:color w:val="000000"/>
                <w:sz w:val="22"/>
                <w:szCs w:val="22"/>
                <w:highlight w:val="none"/>
                <w:u w:val="none"/>
              </w:rPr>
            </w:r>
            <w:r/>
          </w:p>
        </w:tc>
      </w:tr>
      <w:tr>
        <w:trPr>
          <w:trHeight w:val="23"/>
        </w:trPr>
        <w:tc>
          <w:tcPr>
            <w:tcW w:w="767"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rPr>
                <w:rFonts w:hint="eastAsia" w:ascii="宋体" w:hAnsi="宋体" w:eastAsia="宋体" w:cs="宋体"/>
                <w:i w:val="0"/>
                <w:iCs w:val="0"/>
                <w:color w:val="000000"/>
                <w:sz w:val="22"/>
                <w:szCs w:val="22"/>
                <w:highlight w:val="none"/>
                <w:u w:val="none"/>
              </w:rPr>
            </w:r>
            <w:r/>
          </w:p>
        </w:tc>
        <w:tc>
          <w:tcPr>
            <w:tcW w:w="1154"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教学楼区角防护网</w:t>
            </w:r>
            <w:r>
              <w:rPr>
                <w:rFonts w:hint="eastAsia" w:ascii="宋体" w:hAnsi="宋体" w:eastAsia="宋体" w:cs="宋体"/>
                <w:i w:val="0"/>
                <w:iCs w:val="0"/>
                <w:color w:val="000000"/>
                <w:sz w:val="22"/>
                <w:szCs w:val="22"/>
                <w:highlight w:val="none"/>
                <w:u w:val="none"/>
              </w:rPr>
            </w:r>
            <w:r/>
          </w:p>
        </w:tc>
        <w:tc>
          <w:tcPr>
            <w:tcW w:w="1025"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w:t>
            </w:r>
            <w:r>
              <w:rPr>
                <w:rFonts w:hint="eastAsia" w:ascii="宋体" w:hAnsi="宋体" w:eastAsia="宋体" w:cs="宋体"/>
                <w:i w:val="0"/>
                <w:iCs w:val="0"/>
                <w:color w:val="000000"/>
                <w:sz w:val="22"/>
                <w:szCs w:val="22"/>
                <w:highlight w:val="none"/>
                <w:u w:val="none"/>
              </w:rPr>
            </w:r>
            <w:r/>
          </w:p>
        </w:tc>
        <w:tc>
          <w:tcPr>
            <w:tcW w:w="1142"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668" w:type="dxa"/>
            <w:vAlign w:val="center"/>
            <w:textDirection w:val="lrTb"/>
            <w:noWrap/>
          </w:tcPr>
          <w:p>
            <w:pPr>
              <w:pStyle w:val="71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317" w:type="dxa"/>
            <w:vAlign w:val="center"/>
            <w:textDirection w:val="lrTb"/>
            <w:noWrap/>
          </w:tcPr>
          <w:p>
            <w:pPr>
              <w:pStyle w:val="712"/>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校园教学楼区角安全防护网，整体布设总面积不少于400㎡，分装覆盖6个不同教学楼区域，以校园安全防护、坠落缓冲、区域防护为核心。适配教学楼走廊、楼角、悬空区域安全防护场景，有效规避学生磕碰、坠落风险，防护性能稳定、适配校园环境、耐用性强，全方位筑牢校园安全防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制作要求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1、材质规格标准：采用高强度尼龙防护绳制作，绳体粗细不小于10mm，网孔规格10cm（±3mm），网孔均匀规整、受力分散均匀，可有效缓冲坠落冲击力，防护性能优异。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2、阻燃安全工艺：材质具备优良防火阻燃性能，遇高温环境仅烫焦、不燃烧，符合校园消防安全标准，适配教学楼室内常态化使用。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编织结构工艺：采用多股精密编绳工艺，绳体粗细均匀、纹理密实、拉力承载力强，耐日晒雨淋、抗老化、不易断裂，适配长期校园环境使用；配备独立专用网扣，拼接牢固、不易开散，受力越拉越紧，结构稳定性强，有效延长使用寿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4、定制安装标准：根据教学楼6个区域现场实际尺寸精准定制、分区布设安装，贴合现场结构、防护无死角，适配各类楼角、悬空区域防护需求。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5、实施验收要求：防护网材质、规格参数、阻燃性能、结构稳定性、现场布设防护效果须经甲方确认后方可定制生产、进场安装、投入使用。</w:t>
            </w:r>
            <w:r>
              <w:rPr>
                <w:rFonts w:hint="eastAsia" w:ascii="宋体" w:hAnsi="宋体" w:eastAsia="宋体" w:cs="宋体"/>
                <w:i w:val="0"/>
                <w:iCs w:val="0"/>
                <w:color w:val="000000"/>
                <w:sz w:val="22"/>
                <w:szCs w:val="22"/>
                <w:highlight w:val="none"/>
                <w:u w:val="none"/>
              </w:rPr>
            </w:r>
            <w:r/>
          </w:p>
        </w:tc>
      </w:tr>
    </w:tbl>
    <w:p>
      <w:pPr>
        <w:pStyle w:val="712"/>
        <w:ind w:firstLine="482"/>
        <w:keepLines w:val="0"/>
        <w:keepNext w:val="0"/>
        <w:pageBreakBefore w:val="0"/>
        <w:spacing w:line="360" w:lineRule="auto"/>
        <w:tabs>
          <w:tab w:val="left" w:pos="945" w:leader="none"/>
        </w:tabs>
        <w:rPr>
          <w:rFonts w:hint="eastAsia" w:ascii="宋体" w:hAnsi="宋体" w:cs="宋体"/>
          <w:b/>
          <w:color w:val="000000"/>
          <w:sz w:val="24"/>
          <w:szCs w:val="24"/>
          <w:highlight w:val="none"/>
          <w:lang w:val="en-US" w:eastAsia="zh-CN" w:bidi="ar"/>
        </w:rPr>
        <w:outlineLvl w:val="0"/>
      </w:pPr>
      <w:r>
        <w:rPr>
          <w:rFonts w:hint="eastAsia" w:ascii="宋体" w:hAnsi="宋体" w:cs="宋体"/>
          <w:b/>
          <w:color w:val="000000"/>
          <w:sz w:val="24"/>
          <w:szCs w:val="24"/>
          <w:highlight w:val="none"/>
          <w:lang w:val="en-US" w:eastAsia="zh-CN" w:bidi="ar"/>
        </w:rPr>
      </w:r>
      <w:r/>
    </w:p>
    <w:p>
      <w:pPr>
        <w:pStyle w:val="712"/>
        <w:ind w:firstLine="482"/>
        <w:rPr>
          <w:rFonts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设计及安装要求</w:t>
      </w:r>
      <w:r>
        <w:rPr>
          <w:rFonts w:ascii="宋体" w:hAnsi="宋体" w:eastAsia="宋体" w:cs="宋体"/>
          <w:b/>
          <w:bCs/>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（1）在设计阶段，采购人有权合理要求</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对设计方案进行修改完善，</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须积极响应，并及时根据采购人修改意见进行修改完善，经采购人确认后方可进行后续工作。</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（2）本项目所用主要材料（材质、规格、厚度等）、颜色、制作工艺均需经采购人确认，认可后方可进行后续工作，否则，由此产生的返工、材料浪费等费用，均由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自行承担。</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（3）在艺术造型阶段，采购人有权组织专家组进行现场考察及修改其制作与</w:t>
      </w:r>
      <w:r>
        <w:rPr>
          <w:rFonts w:hint="eastAsia" w:ascii="宋体" w:hAnsi="宋体" w:eastAsia="宋体" w:cs="宋体"/>
          <w:color w:val="000000"/>
          <w:sz w:val="24"/>
          <w:szCs w:val="24"/>
          <w:highlight w:val="none"/>
          <w:lang w:eastAsia="zh-CN"/>
        </w:rPr>
        <w:t xml:space="preserve">实施</w:t>
      </w:r>
      <w:r>
        <w:rPr>
          <w:rFonts w:hint="eastAsia" w:ascii="宋体" w:hAnsi="宋体" w:eastAsia="宋体" w:cs="宋体"/>
          <w:color w:val="000000"/>
          <w:sz w:val="24"/>
          <w:szCs w:val="24"/>
          <w:highlight w:val="none"/>
        </w:rPr>
        <w:t xml:space="preserve">。艺术造型必须严格按照采购人确认通过的方案进行制作，否则，因未按采购人确认的方案制作而导致的二次艺术造型等费用，均由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自行承担。</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（4）成品铸造的造型应还原精确、不变形、无明显缺陷，成品表面着色达到采购人原设计要求，必须做防腐处理，并须经采购人确认，否则，造成返工或返修的，均由</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负责。</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（5）严格按照安装方案要求进行安装，成品定位准确，造型还原不得变形，无明显焊缝，表面平整，与基础或墙体等结合紧密牢固。</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应在安装前做好落成地的考察与基础制作相关工作。</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提交的最终设计方案文件应符合有关规定及其他方案、规范、规程及相关法律、法规的要求，并应</w:t>
      </w:r>
      <w:r>
        <w:rPr>
          <w:rFonts w:hint="eastAsia" w:ascii="宋体" w:hAnsi="宋体" w:cs="宋体"/>
          <w:color w:val="000000"/>
          <w:sz w:val="24"/>
          <w:szCs w:val="24"/>
          <w:highlight w:val="none"/>
          <w:lang w:eastAsia="zh-CN"/>
        </w:rPr>
        <w:t xml:space="preserve">通过</w:t>
      </w:r>
      <w:r>
        <w:rPr>
          <w:rFonts w:hint="eastAsia" w:ascii="宋体" w:hAnsi="宋体" w:eastAsia="宋体" w:cs="宋体"/>
          <w:color w:val="000000"/>
          <w:sz w:val="24"/>
          <w:szCs w:val="24"/>
          <w:highlight w:val="none"/>
        </w:rPr>
        <w:t xml:space="preserve">采购人（及采购人委托的专家）的审查，并根据审查意见优化方案。</w:t>
      </w:r>
      <w:r>
        <w:rPr>
          <w:rFonts w:hint="eastAsia"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lang w:eastAsia="zh-CN"/>
        </w:rPr>
        <w:outlineLvl w:val="0"/>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设计中所有使用的</w:t>
      </w:r>
      <w:r>
        <w:rPr>
          <w:rFonts w:hint="eastAsia" w:ascii="宋体" w:hAnsi="宋体" w:eastAsia="宋体" w:cs="宋体"/>
          <w:color w:val="000000"/>
          <w:sz w:val="24"/>
          <w:szCs w:val="24"/>
          <w:highlight w:val="none"/>
        </w:rPr>
        <w:t xml:space="preserve">材料质量应达到或高于国家规定标准；使用材料须满足环保要求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tabs>
          <w:tab w:val="left" w:pos="945" w:leader="none"/>
        </w:tabs>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后，根据采购人要求，</w:t>
      </w:r>
      <w:r>
        <w:rPr>
          <w:rFonts w:hint="eastAsia" w:ascii="宋体" w:hAnsi="宋体" w:eastAsia="宋体" w:cs="宋体"/>
          <w:color w:val="000000"/>
          <w:sz w:val="24"/>
          <w:szCs w:val="24"/>
          <w:highlight w:val="none"/>
          <w:lang w:val="en-US" w:eastAsia="zh-CN"/>
        </w:rPr>
        <w:t xml:space="preserve">提供的</w:t>
      </w:r>
      <w:r>
        <w:rPr>
          <w:rFonts w:hint="eastAsia" w:ascii="宋体" w:hAnsi="宋体" w:cs="宋体"/>
          <w:bCs/>
          <w:color w:val="000000"/>
          <w:sz w:val="24"/>
          <w:highlight w:val="none"/>
        </w:rPr>
        <w:t xml:space="preserve">设计方案和制作安装方案需经采购人同意后方可施行</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szCs w:val="24"/>
          <w:highlight w:val="none"/>
        </w:rPr>
        <w:t xml:space="preserve">成交总价不增加。</w:t>
      </w:r>
      <w:r>
        <w:rPr>
          <w:rFonts w:hint="eastAsia" w:ascii="宋体" w:hAnsi="宋体" w:eastAsia="宋体" w:cs="宋体"/>
          <w:color w:val="000000"/>
          <w:sz w:val="24"/>
          <w:szCs w:val="24"/>
          <w:highlight w:val="none"/>
          <w:lang w:eastAsia="zh-CN"/>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）所有安装</w:t>
      </w:r>
      <w:r>
        <w:rPr>
          <w:rFonts w:hint="eastAsia" w:ascii="宋体" w:hAnsi="宋体" w:eastAsia="宋体" w:cs="宋体"/>
          <w:color w:val="000000"/>
          <w:sz w:val="24"/>
          <w:szCs w:val="24"/>
          <w:highlight w:val="none"/>
          <w:lang w:eastAsia="zh-CN"/>
        </w:rPr>
        <w:t xml:space="preserve">实施</w:t>
      </w:r>
      <w:r>
        <w:rPr>
          <w:rFonts w:hint="eastAsia" w:ascii="宋体" w:hAnsi="宋体" w:eastAsia="宋体" w:cs="宋体"/>
          <w:color w:val="000000"/>
          <w:sz w:val="24"/>
          <w:szCs w:val="24"/>
          <w:highlight w:val="none"/>
        </w:rPr>
        <w:t xml:space="preserve">材料质量及</w:t>
      </w:r>
      <w:r>
        <w:rPr>
          <w:rFonts w:hint="eastAsia" w:ascii="宋体" w:hAnsi="宋体" w:eastAsia="宋体" w:cs="宋体"/>
          <w:color w:val="000000"/>
          <w:sz w:val="24"/>
          <w:szCs w:val="24"/>
          <w:highlight w:val="none"/>
          <w:lang w:eastAsia="zh-CN"/>
        </w:rPr>
        <w:t xml:space="preserve">实施</w:t>
      </w:r>
      <w:r>
        <w:rPr>
          <w:rFonts w:hint="eastAsia" w:ascii="宋体" w:hAnsi="宋体" w:eastAsia="宋体" w:cs="宋体"/>
          <w:color w:val="000000"/>
          <w:sz w:val="24"/>
          <w:szCs w:val="24"/>
          <w:highlight w:val="none"/>
        </w:rPr>
        <w:t xml:space="preserve">质量必须严格按照国家规范及江苏省、无锡市相应地方规范、</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材料厂家的技术规范的有关要求执行。采购人有权对产品质量进行抽样检测和市场询价，若发现产品质量不合格或者承包人虚假报价，有权要求承包人整改；情节严重的，采购人有权终止合同并要求承包人承担相应赔偿。</w:t>
      </w:r>
      <w:r>
        <w:rPr>
          <w:rFonts w:ascii="宋体" w:hAnsi="宋体" w:eastAsia="宋体" w:cs="宋体"/>
          <w:color w:val="000000"/>
          <w:sz w:val="24"/>
          <w:szCs w:val="24"/>
          <w:highlight w:val="none"/>
        </w:rPr>
      </w:r>
      <w:r/>
    </w:p>
    <w:p>
      <w:pPr>
        <w:pStyle w:val="712"/>
        <w:ind w:firstLine="482"/>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.项目实施要求</w:t>
      </w:r>
      <w:r>
        <w:rPr>
          <w:rFonts w:ascii="宋体" w:hAnsi="宋体" w:eastAsia="宋体" w:cs="宋体"/>
          <w:b/>
          <w:bCs/>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（1）</w:t>
      </w:r>
      <w:r>
        <w:rPr>
          <w:rFonts w:hint="eastAsia" w:ascii="宋体" w:hAnsi="宋体" w:cs="宋体"/>
          <w:bCs/>
          <w:color w:val="000000"/>
          <w:sz w:val="24"/>
          <w:highlight w:val="none"/>
        </w:rPr>
        <w:t xml:space="preserve">投标供应商应指定项目负责人与采购人保持联系，及时充分协调项目实施阶段各项工作</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（2）</w:t>
      </w:r>
      <w:r>
        <w:rPr>
          <w:rFonts w:hint="eastAsia" w:ascii="宋体" w:hAnsi="宋体" w:cs="宋体"/>
          <w:bCs/>
          <w:color w:val="000000"/>
          <w:sz w:val="24"/>
          <w:highlight w:val="none"/>
        </w:rPr>
        <w:t xml:space="preserve">质量验收符合设计文件要求，整体符合采购方要求，采购方进行验收，为确保效果，样图和小样必须经采购方确认后方可生产</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w:t>
      </w:r>
      <w:r>
        <w:rPr>
          <w:rFonts w:hint="eastAsia" w:ascii="宋体" w:hAnsi="宋体" w:cs="宋体"/>
          <w:bCs/>
          <w:color w:val="000000"/>
          <w:sz w:val="24"/>
          <w:highlight w:val="none"/>
        </w:rPr>
        <w:t xml:space="preserve">供应商应重视安全生产，要按规定采取安全措施，确保</w:t>
      </w:r>
      <w:r>
        <w:rPr>
          <w:rFonts w:hint="eastAsia" w:ascii="宋体" w:hAnsi="宋体" w:cs="宋体"/>
          <w:bCs/>
          <w:color w:val="000000"/>
          <w:sz w:val="24"/>
          <w:highlight w:val="none"/>
          <w:lang w:eastAsia="zh-CN"/>
        </w:rPr>
        <w:t xml:space="preserve">实施</w:t>
      </w:r>
      <w:r>
        <w:rPr>
          <w:rFonts w:hint="eastAsia" w:ascii="宋体" w:hAnsi="宋体" w:cs="宋体"/>
          <w:bCs/>
          <w:color w:val="000000"/>
          <w:sz w:val="24"/>
          <w:highlight w:val="none"/>
        </w:rPr>
        <w:t xml:space="preserve">安全。</w:t>
      </w:r>
      <w:r>
        <w:rPr>
          <w:rFonts w:hint="eastAsia" w:ascii="宋体" w:hAnsi="宋体" w:cs="宋体"/>
          <w:bCs/>
          <w:color w:val="000000"/>
          <w:sz w:val="24"/>
          <w:highlight w:val="none"/>
          <w:lang w:eastAsia="zh-CN"/>
        </w:rPr>
        <w:t xml:space="preserve">实施</w:t>
      </w:r>
      <w:r>
        <w:rPr>
          <w:rFonts w:hint="eastAsia" w:ascii="宋体" w:hAnsi="宋体" w:cs="宋体"/>
          <w:bCs/>
          <w:color w:val="000000"/>
          <w:sz w:val="24"/>
          <w:highlight w:val="none"/>
        </w:rPr>
        <w:t xml:space="preserve">中发生事故</w:t>
      </w:r>
      <w:r>
        <w:rPr>
          <w:rFonts w:hint="eastAsia" w:ascii="宋体" w:hAnsi="宋体" w:cs="宋体"/>
          <w:bCs/>
          <w:color w:val="000000"/>
          <w:sz w:val="24"/>
          <w:highlight w:val="none"/>
          <w:lang w:val="en-US" w:eastAsia="zh-CN"/>
        </w:rPr>
        <w:t xml:space="preserve">的</w:t>
      </w:r>
      <w:r>
        <w:rPr>
          <w:rFonts w:hint="eastAsia" w:ascii="宋体" w:hAnsi="宋体" w:cs="宋体"/>
          <w:bCs/>
          <w:color w:val="000000"/>
          <w:sz w:val="24"/>
          <w:highlight w:val="none"/>
        </w:rPr>
        <w:t xml:space="preserve">由供应商</w:t>
      </w:r>
      <w:r>
        <w:rPr>
          <w:rFonts w:hint="eastAsia" w:ascii="宋体" w:hAnsi="宋体" w:cs="宋体"/>
          <w:bCs/>
          <w:color w:val="000000"/>
          <w:sz w:val="24"/>
          <w:highlight w:val="none"/>
          <w:lang w:val="en-US" w:eastAsia="zh-CN"/>
        </w:rPr>
        <w:t xml:space="preserve">承担</w:t>
      </w:r>
      <w:r>
        <w:rPr>
          <w:rFonts w:hint="eastAsia" w:ascii="宋体" w:hAnsi="宋体" w:eastAsia="宋体" w:cs="宋体"/>
          <w:color w:val="000000"/>
          <w:sz w:val="24"/>
          <w:szCs w:val="24"/>
          <w:highlight w:val="none"/>
        </w:rPr>
        <w:t xml:space="preserve">法律责任及其它相关责任。</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（4）</w:t>
      </w:r>
      <w:r>
        <w:rPr>
          <w:rFonts w:hint="eastAsia" w:ascii="宋体" w:hAnsi="宋体" w:cs="宋体"/>
          <w:bCs/>
          <w:color w:val="000000"/>
          <w:sz w:val="24"/>
          <w:highlight w:val="none"/>
        </w:rPr>
        <w:t xml:space="preserve">供应商应文明</w:t>
      </w:r>
      <w:r>
        <w:rPr>
          <w:rFonts w:hint="eastAsia" w:ascii="宋体" w:hAnsi="宋体" w:cs="宋体"/>
          <w:bCs/>
          <w:color w:val="000000"/>
          <w:sz w:val="24"/>
          <w:highlight w:val="none"/>
          <w:lang w:eastAsia="zh-CN"/>
        </w:rPr>
        <w:t xml:space="preserve">实施</w:t>
      </w:r>
      <w:r>
        <w:rPr>
          <w:rFonts w:hint="eastAsia" w:ascii="宋体" w:hAnsi="宋体" w:cs="宋体"/>
          <w:bCs/>
          <w:color w:val="000000"/>
          <w:sz w:val="24"/>
          <w:highlight w:val="none"/>
        </w:rPr>
        <w:t xml:space="preserve">，注意保护好环境，严格按照道路、交通、城管等相关规定要求</w:t>
      </w:r>
      <w:r>
        <w:rPr>
          <w:rFonts w:hint="eastAsia" w:ascii="宋体" w:hAnsi="宋体" w:cs="宋体"/>
          <w:bCs/>
          <w:color w:val="000000"/>
          <w:sz w:val="24"/>
          <w:highlight w:val="none"/>
          <w:lang w:eastAsia="zh-CN"/>
        </w:rPr>
        <w:t xml:space="preserve">实施</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（5）</w:t>
      </w:r>
      <w:r>
        <w:rPr>
          <w:rFonts w:hint="eastAsia" w:ascii="宋体" w:hAnsi="宋体" w:cs="宋体"/>
          <w:bCs/>
          <w:color w:val="000000"/>
          <w:sz w:val="24"/>
          <w:highlight w:val="none"/>
        </w:rPr>
        <w:t xml:space="preserve">根据效果图提供</w:t>
      </w:r>
      <w:r>
        <w:rPr>
          <w:rFonts w:hint="eastAsia" w:ascii="宋体" w:hAnsi="宋体" w:cs="宋体"/>
          <w:bCs/>
          <w:color w:val="000000"/>
          <w:sz w:val="24"/>
          <w:highlight w:val="none"/>
          <w:lang w:eastAsia="zh-CN"/>
        </w:rPr>
        <w:t xml:space="preserve">实施</w:t>
      </w:r>
      <w:r>
        <w:rPr>
          <w:rFonts w:hint="eastAsia" w:ascii="宋体" w:hAnsi="宋体" w:cs="宋体"/>
          <w:bCs/>
          <w:color w:val="000000"/>
          <w:sz w:val="24"/>
          <w:highlight w:val="none"/>
        </w:rPr>
        <w:t xml:space="preserve">图和</w:t>
      </w:r>
      <w:r>
        <w:rPr>
          <w:rFonts w:hint="eastAsia" w:ascii="宋体" w:hAnsi="宋体" w:cs="宋体"/>
          <w:bCs/>
          <w:color w:val="000000"/>
          <w:sz w:val="24"/>
          <w:highlight w:val="none"/>
          <w:lang w:val="en-US" w:eastAsia="zh-CN"/>
        </w:rPr>
        <w:t xml:space="preserve">对应</w:t>
      </w:r>
      <w:r>
        <w:rPr>
          <w:rFonts w:hint="eastAsia" w:ascii="宋体" w:hAnsi="宋体" w:cs="宋体"/>
          <w:bCs/>
          <w:color w:val="000000"/>
          <w:sz w:val="24"/>
          <w:highlight w:val="none"/>
        </w:rPr>
        <w:t xml:space="preserve">清单，材料的颜色和款式</w:t>
      </w:r>
      <w:r>
        <w:rPr>
          <w:rFonts w:hint="eastAsia" w:ascii="宋体" w:hAnsi="宋体" w:cs="宋体"/>
          <w:bCs/>
          <w:color w:val="000000"/>
          <w:sz w:val="24"/>
          <w:highlight w:val="none"/>
          <w:lang w:val="en-US" w:eastAsia="zh-CN"/>
        </w:rPr>
        <w:t xml:space="preserve">等</w:t>
      </w:r>
      <w:r>
        <w:rPr>
          <w:rFonts w:hint="eastAsia" w:ascii="宋体" w:hAnsi="宋体" w:cs="宋体"/>
          <w:bCs/>
          <w:color w:val="000000"/>
          <w:sz w:val="24"/>
          <w:highlight w:val="none"/>
        </w:rPr>
        <w:t xml:space="preserve">需经校方确认</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知识产权事宜</w:t>
      </w:r>
      <w:r>
        <w:rPr>
          <w:rFonts w:ascii="宋体" w:hAnsi="宋体" w:eastAsia="宋体" w:cs="宋体"/>
          <w:b/>
          <w:bCs/>
          <w:color w:val="000000"/>
          <w:sz w:val="24"/>
          <w:szCs w:val="24"/>
          <w:highlight w:val="none"/>
        </w:rPr>
      </w:r>
      <w:r/>
    </w:p>
    <w:p>
      <w:pPr>
        <w:pStyle w:val="712"/>
        <w:ind w:firstLine="480"/>
        <w:keepLines w:val="0"/>
        <w:keepNext w:val="0"/>
        <w:pageBreakBefore w:val="0"/>
        <w:spacing w:line="360" w:lineRule="auto"/>
        <w:tabs>
          <w:tab w:val="left" w:pos="945" w:leader="none"/>
        </w:tabs>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本项目所涉及资料的知识产权属</w:t>
      </w:r>
      <w:r>
        <w:rPr>
          <w:rFonts w:hint="eastAsia" w:ascii="宋体" w:hAnsi="宋体" w:eastAsia="宋体" w:cs="宋体"/>
          <w:bCs/>
          <w:color w:val="000000"/>
          <w:sz w:val="24"/>
          <w:highlight w:val="none"/>
        </w:rPr>
        <w:t xml:space="preserve">于</w:t>
      </w:r>
      <w:r>
        <w:rPr>
          <w:rFonts w:hint="eastAsia" w:ascii="宋体" w:hAnsi="宋体" w:eastAsia="宋体" w:cs="宋体"/>
          <w:bCs/>
          <w:color w:val="000000"/>
          <w:sz w:val="24"/>
          <w:szCs w:val="21"/>
          <w:highlight w:val="none"/>
          <w:lang w:eastAsia="zh-CN"/>
        </w:rPr>
        <w:t xml:space="preserve">无锡市梁溪区教育局</w:t>
      </w:r>
      <w:r>
        <w:rPr>
          <w:rFonts w:hint="eastAsia" w:ascii="宋体" w:hAnsi="宋体" w:eastAsia="宋体" w:cs="宋体"/>
          <w:bCs/>
          <w:color w:val="000000"/>
          <w:sz w:val="24"/>
          <w:highlight w:val="none"/>
        </w:rPr>
        <w:t xml:space="preserve">。若因知识产</w:t>
      </w:r>
      <w:r>
        <w:rPr>
          <w:rFonts w:hint="eastAsia" w:ascii="宋体" w:hAnsi="宋体" w:cs="宋体"/>
          <w:bCs/>
          <w:color w:val="000000"/>
          <w:sz w:val="24"/>
          <w:highlight w:val="none"/>
        </w:rPr>
        <w:t xml:space="preserve">权发生纠纷时，由投标供应商自行承担。</w:t>
      </w:r>
      <w:r>
        <w:rPr>
          <w:rFonts w:hint="eastAsia" w:ascii="宋体" w:hAnsi="宋体" w:eastAsia="宋体" w:cs="宋体"/>
          <w:bCs/>
          <w:color w:val="000000"/>
          <w:sz w:val="24"/>
          <w:highlight w:val="none"/>
        </w:rPr>
        <w:t xml:space="preserve">若纠纷对</w:t>
      </w:r>
      <w:r>
        <w:rPr>
          <w:rFonts w:hint="eastAsia" w:ascii="宋体" w:hAnsi="宋体" w:eastAsia="宋体" w:cs="宋体"/>
          <w:bCs/>
          <w:color w:val="000000"/>
          <w:sz w:val="24"/>
          <w:szCs w:val="21"/>
          <w:highlight w:val="none"/>
          <w:lang w:eastAsia="zh-CN"/>
        </w:rPr>
        <w:t xml:space="preserve">无锡市梁溪区教育局</w:t>
      </w:r>
      <w:r>
        <w:rPr>
          <w:rFonts w:hint="eastAsia" w:ascii="宋体" w:hAnsi="宋体" w:eastAsia="宋体" w:cs="宋体"/>
          <w:bCs/>
          <w:color w:val="000000"/>
          <w:sz w:val="24"/>
          <w:highlight w:val="none"/>
        </w:rPr>
        <w:t xml:space="preserve">造成损失</w:t>
      </w:r>
      <w:r>
        <w:rPr>
          <w:rFonts w:hint="eastAsia" w:ascii="宋体" w:hAnsi="宋体" w:cs="宋体"/>
          <w:bCs/>
          <w:color w:val="000000"/>
          <w:sz w:val="24"/>
          <w:highlight w:val="none"/>
        </w:rPr>
        <w:t xml:space="preserve">，有权向投标供应商要求赔偿。</w:t>
      </w:r>
      <w:r>
        <w:rPr>
          <w:rFonts w:hint="eastAsia" w:ascii="宋体" w:hAnsi="宋体" w:cs="宋体"/>
          <w:bCs/>
          <w:color w:val="000000"/>
          <w:sz w:val="24"/>
          <w:highlight w:val="none"/>
        </w:rPr>
      </w:r>
      <w:r/>
    </w:p>
    <w:p>
      <w:pPr>
        <w:pStyle w:val="712"/>
        <w:ind w:firstLine="482"/>
        <w:keepLines w:val="0"/>
        <w:keepNext w:val="0"/>
        <w:pageBreakBefore w:val="0"/>
        <w:spacing w:line="360" w:lineRule="auto"/>
        <w:tabs>
          <w:tab w:val="left" w:pos="945" w:leader="none"/>
        </w:tabs>
        <w:rPr>
          <w:rFonts w:ascii="宋体" w:hAnsi="宋体" w:eastAsia="宋体" w:cs="宋体"/>
          <w:b/>
          <w:bCs/>
          <w:color w:val="000000"/>
          <w:sz w:val="24"/>
          <w:szCs w:val="24"/>
          <w:highlight w:val="none"/>
        </w:rPr>
        <w:outlineLvl w:val="0"/>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.售后服务要求</w:t>
      </w:r>
      <w:r>
        <w:rPr>
          <w:rFonts w:ascii="宋体" w:hAnsi="宋体" w:eastAsia="宋体" w:cs="宋体"/>
          <w:b/>
          <w:bCs/>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（1）伴随服务：免费质量保证期限按</w:t>
      </w:r>
      <w:r>
        <w:rPr>
          <w:rFonts w:hint="eastAsia" w:ascii="宋体" w:hAnsi="宋体" w:cs="宋体"/>
          <w:bCs/>
          <w:color w:val="000000"/>
          <w:sz w:val="24"/>
          <w:szCs w:val="24"/>
          <w:highlight w:val="none"/>
          <w:lang w:eastAsia="zh-CN"/>
        </w:rPr>
        <w:t xml:space="preserve">招标文件</w:t>
      </w:r>
      <w:r>
        <w:rPr>
          <w:rFonts w:hint="eastAsia" w:ascii="宋体" w:hAnsi="宋体" w:eastAsia="宋体" w:cs="宋体"/>
          <w:bCs/>
          <w:color w:val="000000"/>
          <w:sz w:val="24"/>
          <w:szCs w:val="24"/>
          <w:highlight w:val="none"/>
        </w:rPr>
        <w:t xml:space="preserve">要求，质保期满后，提供产品最优惠的维修保养及零配件供应价格。</w:t>
      </w:r>
      <w:r>
        <w:rPr>
          <w:rFonts w:ascii="宋体" w:hAnsi="宋体" w:eastAsia="宋体" w:cs="宋体"/>
          <w:bCs/>
          <w:color w:val="000000"/>
          <w:sz w:val="24"/>
          <w:szCs w:val="24"/>
          <w:highlight w:val="none"/>
        </w:rPr>
      </w:r>
      <w:r/>
    </w:p>
    <w:p>
      <w:pPr>
        <w:pStyle w:val="712"/>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（2）质保期内出现质量问题，接到采购人维修通知后，应以最快速度响应并到达现场，提供免费的人力、部件、上门维修服务。因人为或不可抗力因素造成的故障，在保质期内，采购人可委托</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负责修复，费用根据责任认定由责任方承担。易生锈材质的货物须作防生锈处理，在质保期内一旦出现生锈现象，采购人有权要求</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无偿修复。</w:t>
      </w:r>
      <w:r>
        <w:rPr>
          <w:rFonts w:hint="eastAsia" w:ascii="宋体" w:hAnsi="宋体" w:eastAsia="宋体" w:cs="宋体"/>
          <w:bCs/>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验收的相关要求：采购人组成验收小组按相关标准进行验收质量评定，必要时邀请相关专业人员或机构参与验收。因产品质量问题发生争议时，由产品所在地质量技术监督部门鉴定，根据“谁提出谁鉴定”原则，鉴定费由责任方承担。</w:t>
      </w:r>
      <w:r>
        <w:rPr>
          <w:rFonts w:ascii="宋体" w:hAnsi="宋体" w:eastAsia="宋体" w:cs="宋体"/>
          <w:bCs/>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如有产品质量问题，</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须立即通知采购人，并采取一切有效措施减少损失。问题解决，采购人同意后，方能恢复</w:t>
      </w:r>
      <w:r>
        <w:rPr>
          <w:rFonts w:hint="eastAsia" w:ascii="宋体" w:hAnsi="宋体" w:eastAsia="宋体" w:cs="宋体"/>
          <w:bCs/>
          <w:color w:val="000000"/>
          <w:sz w:val="24"/>
          <w:szCs w:val="24"/>
          <w:highlight w:val="none"/>
          <w:lang w:eastAsia="zh-CN"/>
        </w:rPr>
        <w:t xml:space="preserve">实施</w:t>
      </w:r>
      <w:r>
        <w:rPr>
          <w:rFonts w:hint="eastAsia" w:ascii="宋体" w:hAnsi="宋体" w:eastAsia="宋体" w:cs="宋体"/>
          <w:bCs/>
          <w:color w:val="000000"/>
          <w:sz w:val="24"/>
          <w:szCs w:val="24"/>
          <w:highlight w:val="none"/>
        </w:rPr>
        <w:t xml:space="preserve">。因此造成的工期延误，由</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负责。</w:t>
      </w:r>
      <w:r>
        <w:rPr>
          <w:rFonts w:ascii="宋体" w:hAnsi="宋体" w:eastAsia="宋体" w:cs="宋体"/>
          <w:bCs/>
          <w:color w:val="000000"/>
          <w:sz w:val="24"/>
          <w:szCs w:val="24"/>
          <w:highlight w:val="none"/>
        </w:rPr>
      </w:r>
      <w:r/>
    </w:p>
    <w:p>
      <w:pPr>
        <w:pStyle w:val="712"/>
        <w:ind w:firstLine="480"/>
        <w:keepLines w:val="0"/>
        <w:keepNext w:val="0"/>
        <w:pageBreakBefore w:val="0"/>
        <w:spacing w:line="360" w:lineRule="auto"/>
        <w:tabs>
          <w:tab w:val="left" w:pos="945"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必须确保项目验收合格。因</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原因导致本项目未能通过验收合格的，</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必须无条件自费返工至项目验收达到合格标准。</w:t>
      </w:r>
      <w:r>
        <w:rPr>
          <w:rFonts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维修响应时间：接到报修电话后2小时内响应，8小时内赶到报修现场，24小时内修理完毕。</w:t>
      </w:r>
      <w:r>
        <w:rPr>
          <w:rFonts w:hint="eastAsia" w:ascii="宋体" w:hAnsi="宋体" w:eastAsia="宋体" w:cs="宋体"/>
          <w:bCs/>
          <w:color w:val="000000"/>
          <w:sz w:val="24"/>
          <w:szCs w:val="24"/>
          <w:highlight w:val="none"/>
        </w:rPr>
      </w:r>
      <w:r/>
    </w:p>
    <w:p>
      <w:pPr>
        <w:pStyle w:val="712"/>
        <w:numPr>
          <w:ilvl w:val="0"/>
          <w:numId w:val="0"/>
        </w:numPr>
        <w:ind w:firstLine="480"/>
        <w:keepLines w:val="0"/>
        <w:keepNext w:val="0"/>
        <w:pageBreakBefore w:val="0"/>
        <w:spacing w:line="360" w:lineRule="auto"/>
        <w:tabs>
          <w:tab w:val="left" w:pos="945" w:leader="none"/>
        </w:tabs>
        <w:rPr>
          <w:rFonts w:hint="eastAsia" w:ascii="宋体" w:hAnsi="宋体" w:cs="宋体"/>
          <w:b/>
          <w:color w:val="000000"/>
          <w:sz w:val="24"/>
          <w:szCs w:val="24"/>
          <w:highlight w:val="none"/>
          <w:lang w:bidi="ar"/>
        </w:rPr>
        <w:outlineLvl w:val="0"/>
      </w:pPr>
      <w:r>
        <w:rPr>
          <w:rFonts w:hint="eastAsia" w:ascii="宋体" w:hAnsi="宋体" w:eastAsia="宋体" w:cs="宋体"/>
          <w:bCs/>
          <w:color w:val="000000"/>
          <w:sz w:val="24"/>
          <w:szCs w:val="24"/>
          <w:highlight w:val="none"/>
        </w:rPr>
        <w:t xml:space="preserve">（5）在质保期内，如果货物发生故障，</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需免费修复直至满足货物性能要求，或者免费更换整体或部分有缺陷的组件或材料。如货物经过维修更换部件，则该部件质量保证期自维修后正常工作之日起计算。</w:t>
      </w:r>
      <w:r>
        <w:rPr>
          <w:rFonts w:hint="eastAsia" w:ascii="宋体" w:hAnsi="宋体" w:eastAsia="宋体" w:cs="宋体"/>
          <w:bCs/>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应承诺质保期后终身提供优惠的技术支持和维修服务，保证采购人能及时购买所需的备品备件和易损件。货物的维修、部件更换只收取材料成本费用。</w:t>
      </w:r>
      <w:r>
        <w:rPr>
          <w:rFonts w:hint="eastAsia" w:ascii="宋体" w:hAnsi="宋体" w:cs="宋体"/>
          <w:b/>
          <w:color w:val="000000"/>
          <w:sz w:val="24"/>
          <w:szCs w:val="24"/>
          <w:highlight w:val="none"/>
          <w:lang w:bidi="ar"/>
        </w:rPr>
      </w:r>
      <w:r/>
    </w:p>
    <w:p>
      <w:pPr>
        <w:pStyle w:val="712"/>
        <w:ind w:firstLine="482"/>
        <w:keepLines w:val="0"/>
        <w:keepNext w:val="0"/>
        <w:pageBreakBefore w:val="0"/>
        <w:spacing w:line="360" w:lineRule="auto"/>
        <w:tabs>
          <w:tab w:val="left" w:pos="945" w:leader="none"/>
        </w:tabs>
        <w:rPr>
          <w:rFonts w:ascii="宋体" w:hAnsi="宋体"/>
          <w:b/>
          <w:color w:val="000000"/>
          <w:sz w:val="24"/>
          <w:szCs w:val="24"/>
          <w:highlight w:val="none"/>
        </w:rPr>
        <w:outlineLvl w:val="0"/>
      </w:pP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、报价要求</w:t>
      </w:r>
      <w:r>
        <w:rPr>
          <w:rFonts w:ascii="宋体" w:hAnsi="宋体"/>
          <w:b/>
          <w:color w:val="000000"/>
          <w:sz w:val="24"/>
          <w:szCs w:val="24"/>
          <w:highlight w:val="none"/>
        </w:rPr>
      </w:r>
      <w:r/>
    </w:p>
    <w:p>
      <w:pPr>
        <w:pStyle w:val="712"/>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1.投标供应商的最终报价应是投标供应商在投标文件中提出的各项支付金额的总和，也应是完成</w:t>
      </w:r>
      <w:r>
        <w:rPr>
          <w:rFonts w:hint="eastAsia" w:hAnsi="宋体" w:cs="宋体"/>
          <w:strike w:val="0"/>
          <w:color w:val="000000"/>
          <w:sz w:val="24"/>
          <w:szCs w:val="28"/>
          <w:highlight w:val="none"/>
          <w:lang w:val="en-US" w:eastAsia="zh-CN"/>
        </w:rPr>
        <w:t xml:space="preserve">招标</w:t>
      </w:r>
      <w:r>
        <w:rPr>
          <w:rFonts w:hint="eastAsia" w:hAnsi="宋体" w:cs="宋体"/>
          <w:strike w:val="0"/>
          <w:color w:val="000000"/>
          <w:sz w:val="24"/>
          <w:szCs w:val="28"/>
          <w:highlight w:val="none"/>
        </w:rPr>
        <w:t xml:space="preserve">文件要求和服务范围</w:t>
      </w:r>
      <w:r>
        <w:rPr>
          <w:rFonts w:hint="eastAsia" w:ascii="宋体" w:hAnsi="宋体" w:eastAsia="宋体" w:cs="宋体"/>
          <w:bCs/>
          <w:color w:val="000000"/>
          <w:sz w:val="24"/>
          <w:szCs w:val="24"/>
          <w:highlight w:val="none"/>
        </w:rPr>
        <w:t xml:space="preserve">的全部费用。</w:t>
      </w:r>
      <w:r>
        <w:rPr>
          <w:rFonts w:hint="eastAsia" w:ascii="宋体" w:hAnsi="宋体" w:eastAsia="宋体" w:cs="宋体"/>
          <w:bCs/>
          <w:color w:val="000000"/>
          <w:sz w:val="24"/>
          <w:szCs w:val="24"/>
          <w:highlight w:val="none"/>
        </w:rPr>
      </w:r>
      <w:r/>
    </w:p>
    <w:p>
      <w:pPr>
        <w:pStyle w:val="712"/>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本项目为限额设计，总价包干。</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应依据</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相关要求提供完善本项目设计方案及相关资料，投标方案仅作为参考，设计方案必须修改至</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满意为止，并且不因任何原因增加合同费用。</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在方案确认后出具正式图纸，且</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在本项目设计资料及文件中，应当注明有关材料、构配件和设备的规格、型号、性能、价格等技术指标，并要求技术指标具有通用性。</w:t>
      </w:r>
      <w:r>
        <w:rPr>
          <w:rFonts w:hint="eastAsia" w:ascii="宋体" w:hAnsi="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应对特殊材料提供材料样板。 </w:t>
      </w:r>
      <w:r>
        <w:rPr>
          <w:rFonts w:hint="eastAsia" w:ascii="宋体" w:hAnsi="宋体" w:eastAsia="宋体" w:cs="宋体"/>
          <w:bCs/>
          <w:color w:val="000000"/>
          <w:sz w:val="24"/>
          <w:szCs w:val="24"/>
          <w:highlight w:val="none"/>
        </w:rPr>
      </w:r>
      <w:r/>
    </w:p>
    <w:p>
      <w:pPr>
        <w:pStyle w:val="712"/>
        <w:ind w:firstLine="480"/>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报价包括全部标的物、辅助材料、设计、原材料及生产制造、维护、人工、机械、相关手续费、主件、标准附件、备品备件、易损件、专用工具、成品保护、服务费及政策性文件规定及风险等全部费用（包括设备及附件备件制造费、包装费、运输费、卸车费、保管费、安装费、调试、技术服务、检验费、垃圾清扫</w:t>
      </w:r>
      <w:r>
        <w:rPr>
          <w:rFonts w:hint="eastAsia" w:ascii="宋体" w:hAnsi="宋体" w:eastAsia="宋体" w:cs="宋体"/>
          <w:bCs/>
          <w:color w:val="000000"/>
          <w:sz w:val="24"/>
          <w:szCs w:val="24"/>
          <w:highlight w:val="none"/>
          <w:lang w:val="en-US" w:eastAsia="zh-CN"/>
        </w:rPr>
        <w:t xml:space="preserve">费、</w:t>
      </w:r>
      <w:r>
        <w:rPr>
          <w:rFonts w:hint="eastAsia" w:ascii="宋体" w:hAnsi="宋体" w:eastAsia="宋体" w:cs="宋体"/>
          <w:bCs/>
          <w:color w:val="000000"/>
          <w:sz w:val="24"/>
          <w:szCs w:val="24"/>
          <w:highlight w:val="none"/>
        </w:rPr>
        <w:t xml:space="preserve">验收费（含第三方验收）及其他附带服务的费用、保险、管理费、措施费、规费、利润、税金以及质保期内的售后服务</w:t>
      </w:r>
      <w:r>
        <w:rPr>
          <w:rFonts w:hint="eastAsia" w:ascii="宋体" w:hAnsi="宋体" w:cs="宋体"/>
          <w:bCs/>
          <w:color w:val="000000"/>
          <w:sz w:val="24"/>
          <w:szCs w:val="24"/>
          <w:highlight w:val="none"/>
          <w:lang w:eastAsia="zh-CN"/>
        </w:rPr>
        <w:t xml:space="preserve">及其他相关</w:t>
      </w:r>
      <w:r>
        <w:rPr>
          <w:rFonts w:hint="eastAsia" w:ascii="宋体" w:hAnsi="宋体" w:eastAsia="宋体" w:cs="宋体"/>
          <w:bCs/>
          <w:color w:val="000000"/>
          <w:sz w:val="24"/>
          <w:szCs w:val="24"/>
          <w:highlight w:val="none"/>
        </w:rPr>
        <w:t xml:space="preserve">费用等全部费用）。</w:t>
      </w:r>
      <w:r>
        <w:rPr>
          <w:rFonts w:hint="eastAsia" w:ascii="宋体" w:hAnsi="宋体" w:eastAsia="宋体" w:cs="宋体"/>
          <w:bCs/>
          <w:color w:val="000000"/>
          <w:sz w:val="24"/>
          <w:szCs w:val="24"/>
          <w:highlight w:val="none"/>
        </w:rPr>
      </w:r>
      <w:r/>
    </w:p>
    <w:p>
      <w:pPr>
        <w:pStyle w:val="712"/>
        <w:ind w:firstLine="482"/>
        <w:keepLines w:val="0"/>
        <w:keepNext w:val="0"/>
        <w:pageBreakBefore w:val="0"/>
        <w:spacing w:line="360" w:lineRule="auto"/>
        <w:tabs>
          <w:tab w:val="left" w:pos="945" w:leader="none"/>
        </w:tabs>
        <w:rPr>
          <w:rFonts w:ascii="宋体" w:hAnsi="宋体"/>
          <w:b/>
          <w:color w:val="000000"/>
          <w:sz w:val="24"/>
          <w:szCs w:val="24"/>
          <w:highlight w:val="none"/>
        </w:rPr>
        <w:outlineLvl w:val="0"/>
      </w:pP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、其他说明：</w:t>
      </w:r>
      <w:r>
        <w:rPr>
          <w:rFonts w:ascii="宋体" w:hAnsi="宋体"/>
          <w:b/>
          <w:color w:val="000000"/>
          <w:sz w:val="24"/>
          <w:szCs w:val="24"/>
          <w:highlight w:val="none"/>
        </w:rPr>
      </w:r>
      <w:r/>
    </w:p>
    <w:p>
      <w:pPr>
        <w:pStyle w:val="712"/>
        <w:ind w:firstLine="480"/>
        <w:spacing w:line="360" w:lineRule="auto"/>
        <w:tabs>
          <w:tab w:val="left" w:pos="1050" w:leader="none"/>
        </w:tabs>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.供应商可先到现场踏勘以充分了解现场位置、情况、布局、空间及任何其他足以影响承包价的情况，任何因忽视或误解现场情况而导致的索赔或工期延长申请将不被批准。</w:t>
      </w:r>
      <w:r>
        <w:rPr>
          <w:rFonts w:ascii="宋体" w:hAnsi="宋体" w:cs="宋体"/>
          <w:bCs/>
          <w:color w:val="000000"/>
          <w:sz w:val="24"/>
          <w:highlight w:val="none"/>
        </w:rPr>
      </w:r>
      <w:r/>
    </w:p>
    <w:p>
      <w:pPr>
        <w:pStyle w:val="712"/>
        <w:ind w:firstLine="480"/>
        <w:spacing w:line="360" w:lineRule="auto"/>
        <w:tabs>
          <w:tab w:val="left" w:pos="630" w:leader="none"/>
          <w:tab w:val="left" w:pos="735" w:leader="none"/>
          <w:tab w:val="left" w:pos="1050" w:leader="none"/>
          <w:tab w:val="left" w:pos="1470" w:leader="none"/>
        </w:tabs>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.质量及验收：</w:t>
      </w:r>
      <w:r>
        <w:rPr>
          <w:rFonts w:hint="eastAsia" w:ascii="宋体" w:hAnsi="宋体" w:cs="宋体"/>
          <w:bCs/>
          <w:color w:val="000000"/>
          <w:sz w:val="24"/>
          <w:highlight w:val="none"/>
          <w:lang w:eastAsia="zh-CN"/>
        </w:rPr>
        <w:t xml:space="preserve">一次性验收合格，满足采购人需求</w:t>
      </w:r>
      <w:r>
        <w:rPr>
          <w:rFonts w:hint="eastAsia" w:ascii="宋体" w:hAnsi="宋体"/>
          <w:color w:val="000000"/>
          <w:sz w:val="24"/>
          <w:highlight w:val="none"/>
        </w:rPr>
        <w:t xml:space="preserve">，</w:t>
      </w:r>
      <w:r>
        <w:rPr>
          <w:rFonts w:hint="eastAsia" w:ascii="宋体" w:hAnsi="宋体" w:cs="宋体"/>
          <w:bCs/>
          <w:color w:val="000000"/>
          <w:sz w:val="24"/>
          <w:highlight w:val="none"/>
        </w:rPr>
        <w:t xml:space="preserve">验收情况作为支付价款的依据。</w:t>
      </w:r>
      <w:r>
        <w:rPr>
          <w:rFonts w:ascii="宋体" w:hAnsi="宋体" w:cs="宋体"/>
          <w:bCs/>
          <w:color w:val="000000"/>
          <w:sz w:val="24"/>
          <w:highlight w:val="none"/>
        </w:rPr>
      </w:r>
      <w:r/>
    </w:p>
    <w:p>
      <w:pPr>
        <w:pStyle w:val="712"/>
        <w:rPr>
          <w:highlight w:val="none"/>
        </w:rPr>
      </w:pPr>
      <w:r>
        <w:rPr>
          <w:highlight w:val="none"/>
        </w:rPr>
      </w:r>
      <w:r/>
    </w:p>
    <w:p>
      <w:pPr>
        <w:pStyle w:val="712"/>
        <w:rPr>
          <w:color w:val="000000"/>
          <w:highlight w:val="none"/>
        </w:rPr>
      </w:pPr>
      <w:r/>
      <w:bookmarkEnd w:id="169"/>
      <w:r/>
      <w:bookmarkEnd w:id="170"/>
      <w:r/>
      <w:bookmarkEnd w:id="171"/>
      <w:r/>
      <w:bookmarkEnd w:id="172"/>
      <w:r/>
      <w:bookmarkStart w:id="176" w:name="_Toc26554093"/>
      <w:r/>
      <w:bookmarkStart w:id="177" w:name="_Toc49090575"/>
      <w:r>
        <w:rPr>
          <w:color w:val="000000"/>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712"/>
        <w:ind w:firstLine="0"/>
        <w:spacing w:line="360" w:lineRule="auto"/>
        <w:rPr>
          <w:rFonts w:hint="eastAsia" w:ascii="宋体" w:hAnsi="宋体"/>
          <w:sz w:val="24"/>
          <w:szCs w:val="24"/>
          <w:highlight w:val="none"/>
        </w:rPr>
      </w:pPr>
      <w:r>
        <w:rPr>
          <w:rFonts w:hint="eastAsia" w:ascii="宋体" w:hAnsi="宋体"/>
          <w:sz w:val="24"/>
          <w:szCs w:val="24"/>
          <w:highlight w:val="none"/>
        </w:rPr>
        <w:br w:type="page" w:clear="all"/>
      </w:r>
      <w:r>
        <w:rPr>
          <w:rFonts w:hint="eastAsia" w:ascii="宋体" w:hAnsi="宋体"/>
          <w:sz w:val="24"/>
          <w:szCs w:val="24"/>
          <w:highlight w:val="none"/>
        </w:rPr>
      </w:r>
      <w:r/>
    </w:p>
    <w:p>
      <w:pPr>
        <w:pStyle w:val="712"/>
        <w:ind w:firstLine="0"/>
        <w:jc w:val="center"/>
        <w:spacing w:line="24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政府采购政策（包括但不限于下列具体政策要求）</w:t>
      </w:r>
      <w:r>
        <w:rPr>
          <w:rFonts w:hint="eastAsia" w:ascii="宋体" w:hAnsi="宋体"/>
          <w:b/>
          <w:color w:val="000000"/>
          <w:sz w:val="30"/>
          <w:szCs w:val="30"/>
          <w:highlight w:val="none"/>
        </w:rPr>
      </w:r>
      <w:r/>
    </w:p>
    <w:p>
      <w:pPr>
        <w:pStyle w:val="712"/>
        <w:ind w:firstLine="0"/>
        <w:jc w:val="center"/>
        <w:spacing w:line="24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12"/>
        <w:numPr>
          <w:ilvl w:val="0"/>
          <w:numId w:val="0"/>
        </w:numPr>
        <w:ind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sz w:val="24"/>
          <w:szCs w:val="24"/>
          <w:highlight w:val="none"/>
        </w:rPr>
      </w:r>
      <w:r/>
    </w:p>
    <w:p>
      <w:pPr>
        <w:pStyle w:val="71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sz w:val="24"/>
          <w:szCs w:val="24"/>
          <w:highlight w:val="none"/>
        </w:rPr>
      </w:r>
      <w:r/>
    </w:p>
    <w:p>
      <w:pPr>
        <w:pStyle w:val="71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sz w:val="24"/>
          <w:szCs w:val="24"/>
          <w:highlight w:val="none"/>
        </w:rPr>
      </w:r>
      <w:r/>
    </w:p>
    <w:p>
      <w:pPr>
        <w:pStyle w:val="71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rPr>
          <w:rFonts w:hint="eastAsia" w:ascii="宋体" w:hAnsi="宋体" w:eastAsia="宋体" w:cs="宋体"/>
          <w:bCs/>
          <w:sz w:val="24"/>
          <w:szCs w:val="24"/>
          <w:highlight w:val="none"/>
        </w:rPr>
      </w:r>
      <w:r/>
    </w:p>
    <w:p>
      <w:pPr>
        <w:pStyle w:val="71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sz w:val="24"/>
          <w:szCs w:val="24"/>
          <w:highlight w:val="none"/>
        </w:rPr>
      </w:r>
      <w:r/>
    </w:p>
    <w:p>
      <w:pPr>
        <w:pStyle w:val="71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rPr>
          <w:rFonts w:hint="eastAsia" w:ascii="宋体" w:hAnsi="宋体" w:eastAsia="宋体" w:cs="宋体"/>
          <w:sz w:val="24"/>
          <w:szCs w:val="24"/>
          <w:highlight w:val="none"/>
        </w:rPr>
      </w:r>
      <w:r/>
    </w:p>
    <w:p>
      <w:pPr>
        <w:pStyle w:val="71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sz w:val="24"/>
          <w:szCs w:val="24"/>
          <w:highlight w:val="none"/>
        </w:rPr>
      </w:r>
      <w:r/>
    </w:p>
    <w:p>
      <w:pPr>
        <w:pStyle w:val="71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sz w:val="24"/>
          <w:szCs w:val="24"/>
          <w:highlight w:val="none"/>
        </w:rPr>
      </w:r>
      <w:r/>
    </w:p>
    <w:p>
      <w:pPr>
        <w:pStyle w:val="712"/>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rPr>
          <w:rFonts w:hint="eastAsia" w:ascii="宋体" w:hAnsi="宋体" w:eastAsia="宋体" w:cs="宋体"/>
          <w:bCs/>
          <w:sz w:val="24"/>
          <w:szCs w:val="24"/>
          <w:highlight w:val="none"/>
        </w:rPr>
      </w:r>
      <w:r/>
    </w:p>
    <w:p>
      <w:pPr>
        <w:pStyle w:val="71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rPr>
          <w:rFonts w:hint="eastAsia" w:ascii="宋体" w:hAnsi="宋体" w:eastAsia="宋体" w:cs="宋体"/>
          <w:bCs/>
          <w:sz w:val="24"/>
          <w:szCs w:val="24"/>
          <w:highlight w:val="none"/>
        </w:rPr>
      </w:r>
      <w:r/>
    </w:p>
    <w:p>
      <w:pPr>
        <w:pStyle w:val="712"/>
        <w:numPr>
          <w:ilvl w:val="0"/>
          <w:numId w:val="0"/>
        </w:numPr>
        <w:ind w:firstLine="480"/>
        <w:spacing w:line="360" w:lineRule="auto"/>
        <w:tabs>
          <w:tab w:val="left" w:pos="525" w:leader="none"/>
          <w:tab w:val="left" w:pos="780" w:leader="none"/>
          <w:tab w:val="left" w:pos="945" w:leader="none"/>
        </w:tabs>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sz w:val="24"/>
          <w:szCs w:val="24"/>
          <w:highlight w:val="none"/>
        </w:rPr>
      </w:r>
      <w:r/>
    </w:p>
    <w:p>
      <w:pPr>
        <w:pStyle w:val="71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sz w:val="24"/>
          <w:szCs w:val="24"/>
          <w:highlight w:val="none"/>
        </w:rPr>
      </w:r>
      <w:r/>
    </w:p>
    <w:p>
      <w:pPr>
        <w:pStyle w:val="71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rPr>
          <w:rFonts w:hint="eastAsia" w:ascii="宋体" w:hAnsi="宋体" w:eastAsia="宋体" w:cs="宋体"/>
          <w:bCs/>
          <w:sz w:val="24"/>
          <w:szCs w:val="24"/>
          <w:highlight w:val="none"/>
          <w:lang w:val="en"/>
        </w:rPr>
      </w:r>
      <w:r/>
    </w:p>
    <w:p>
      <w:pPr>
        <w:pStyle w:val="712"/>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hAnsi="Times New Roman" w:cs="Times New Roman"/>
          <w:bCs/>
          <w:sz w:val="24"/>
          <w:szCs w:val="24"/>
          <w:highlight w:val="none"/>
        </w:rPr>
      </w:r>
      <w:r/>
    </w:p>
    <w:p>
      <w:pPr>
        <w:pStyle w:val="712"/>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cs="Times New Roman"/>
          <w:bCs/>
          <w:sz w:val="24"/>
          <w:szCs w:val="24"/>
          <w:highlight w:val="none"/>
          <w:lang w:val="en-US" w:eastAsia="zh-CN"/>
        </w:rPr>
        <w:t xml:space="preserve">10、</w:t>
      </w:r>
      <w:r>
        <w:rPr>
          <w:rFonts w:hint="eastAsia" w:ascii="宋体" w:hAnsi="Times New Roman" w:cs="Times New Roman"/>
          <w:bCs/>
          <w:sz w:val="24"/>
          <w:szCs w:val="24"/>
          <w:highlight w:val="none"/>
        </w:rPr>
        <w:t xml:space="preserve">根据</w:t>
      </w:r>
      <w:bookmarkStart w:id="178" w:name="OLE_LINK1"/>
      <w:r/>
      <w:bookmarkStart w:id="179" w:name="OLE_LINK2"/>
      <w:r>
        <w:rPr>
          <w:rFonts w:hint="eastAsia" w:ascii="宋体" w:hAnsi="Times New Roman" w:cs="Times New Roman"/>
          <w:bCs/>
          <w:sz w:val="24"/>
          <w:szCs w:val="24"/>
          <w:highlight w:val="none"/>
        </w:rPr>
        <w:t xml:space="preserve">《保障中小企业款项支付条例》（中华人民共和国国务院令第802号）</w:t>
      </w:r>
      <w:bookmarkEnd w:id="178"/>
      <w:r/>
      <w:bookmarkEnd w:id="179"/>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hAnsi="Times New Roman" w:cs="Times New Roman"/>
          <w:bCs/>
          <w:sz w:val="24"/>
          <w:szCs w:val="24"/>
          <w:highlight w:val="none"/>
        </w:rPr>
      </w:r>
      <w:r/>
    </w:p>
    <w:p>
      <w:pPr>
        <w:pStyle w:val="71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hAnsi="Times New Roman" w:cs="Times New Roman"/>
          <w:bCs/>
          <w:sz w:val="24"/>
          <w:szCs w:val="24"/>
          <w:highlight w:val="none"/>
          <w:lang w:val="en"/>
        </w:rPr>
      </w:r>
      <w:r/>
    </w:p>
    <w:p>
      <w:pPr>
        <w:pStyle w:val="71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rPr>
          <w:rFonts w:hint="eastAsia" w:ascii="宋体" w:hAnsi="Times New Roman" w:cs="Times New Roman"/>
          <w:bCs/>
          <w:sz w:val="24"/>
          <w:szCs w:val="24"/>
          <w:highlight w:val="none"/>
          <w:lang w:val="en"/>
        </w:rPr>
      </w:r>
      <w:r/>
    </w:p>
    <w:p>
      <w:pPr>
        <w:pStyle w:val="71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hAnsi="Times New Roman" w:cs="Times New Roman"/>
          <w:bCs/>
          <w:sz w:val="24"/>
          <w:szCs w:val="24"/>
          <w:highlight w:val="none"/>
          <w:lang w:val="en"/>
        </w:rPr>
      </w:r>
      <w:r/>
    </w:p>
    <w:p>
      <w:pPr>
        <w:pStyle w:val="712"/>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cs="Times New Roman"/>
          <w:bCs/>
          <w:sz w:val="24"/>
          <w:szCs w:val="24"/>
          <w:highlight w:val="none"/>
          <w:lang w:val="en-US" w:eastAsia="zh-CN"/>
        </w:rPr>
        <w:t xml:space="preserve">11、</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hAnsi="Times New Roman" w:cs="Times New Roman"/>
          <w:bCs/>
          <w:sz w:val="24"/>
          <w:szCs w:val="24"/>
          <w:highlight w:val="none"/>
          <w:lang w:val="en"/>
        </w:rPr>
      </w:r>
      <w:r/>
    </w:p>
    <w:p>
      <w:pPr>
        <w:pStyle w:val="712"/>
        <w:ind w:firstLine="480"/>
        <w:jc w:val="left"/>
        <w:spacing w:line="500" w:lineRule="exact"/>
        <w:tabs>
          <w:tab w:val="left" w:pos="1440" w:leader="none"/>
        </w:tabs>
        <w:rPr>
          <w:rFonts w:hint="eastAsia" w:ascii="宋体" w:hAnsi="Times New Roman" w:cs="Times New Roman"/>
          <w:bCs/>
          <w:sz w:val="24"/>
          <w:szCs w:val="24"/>
          <w:highlight w:val="none"/>
          <w:lang w:val="en"/>
        </w:rPr>
        <w:sectPr>
          <w:headerReference w:type="default" r:id="rId10"/>
          <w:footerReference w:type="default" r:id="rId12"/>
          <w:footerReference w:type="even" r:id="rId13"/>
          <w:footnotePr/>
          <w:endnotePr/>
          <w:type w:val="nextPage"/>
          <w:pgSz w:w="11906" w:h="16838" w:orient="portrait"/>
          <w:pgMar w:top="798" w:right="1588" w:bottom="1418" w:left="1365" w:header="851" w:footer="907" w:gutter="0"/>
          <w:cols w:num="1" w:sep="0" w:space="1701" w:equalWidth="1"/>
          <w:docGrid w:linePitch="360"/>
          <w:titlePg/>
        </w:sectPr>
        <w:outlineLvl w:val="0"/>
      </w:pPr>
      <w:r>
        <w:rPr>
          <w:rFonts w:hint="eastAsia" w:ascii="宋体" w:cs="Times New Roman"/>
          <w:bCs/>
          <w:sz w:val="24"/>
          <w:szCs w:val="24"/>
          <w:highlight w:val="none"/>
          <w:lang w:val="en-US" w:eastAsia="zh-CN"/>
        </w:rPr>
        <w:t xml:space="preserve">12、</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cs="Times New Roman"/>
          <w:bCs/>
          <w:sz w:val="24"/>
          <w:szCs w:val="24"/>
          <w:highlight w:val="none"/>
          <w:lang w:val="en" w:eastAsia="zh-CN"/>
        </w:rPr>
        <w:t xml:space="preserve">。</w:t>
      </w:r>
      <w:r>
        <w:rPr>
          <w:rFonts w:hint="eastAsia" w:ascii="宋体" w:hAnsi="Times New Roman" w:cs="Times New Roman"/>
          <w:bCs/>
          <w:sz w:val="24"/>
          <w:szCs w:val="24"/>
          <w:highlight w:val="none"/>
          <w:lang w:val="en"/>
        </w:rPr>
      </w:r>
      <w:r/>
    </w:p>
    <w:p>
      <w:pPr>
        <w:pStyle w:val="712"/>
        <w:jc w:val="center"/>
        <w:spacing w:line="500" w:lineRule="exact"/>
        <w:tabs>
          <w:tab w:val="left" w:pos="1440" w:leader="none"/>
        </w:tabs>
        <w:rPr>
          <w:rFonts w:ascii="黑体" w:hAnsi="黑体" w:eastAsia="黑体"/>
          <w:color w:val="000000"/>
          <w:sz w:val="36"/>
          <w:szCs w:val="36"/>
          <w:highlight w:val="none"/>
        </w:rPr>
        <w:outlineLvl w:val="0"/>
      </w:pPr>
      <w:r/>
      <w:bookmarkStart w:id="180" w:name="_Toc120614281"/>
      <w:r>
        <w:rPr>
          <w:rFonts w:hint="eastAsia" w:ascii="黑体" w:hAnsi="黑体" w:eastAsia="黑体"/>
          <w:color w:val="000000"/>
          <w:sz w:val="36"/>
          <w:szCs w:val="36"/>
          <w:highlight w:val="none"/>
        </w:rPr>
        <w:t xml:space="preserve">第五章  评标方法与评标标准</w:t>
      </w:r>
      <w:r>
        <w:rPr>
          <w:rFonts w:ascii="黑体" w:hAnsi="黑体" w:eastAsia="黑体"/>
          <w:color w:val="000000"/>
          <w:sz w:val="36"/>
          <w:szCs w:val="36"/>
          <w:highlight w:val="none"/>
        </w:rPr>
      </w:r>
      <w:r/>
    </w:p>
    <w:p>
      <w:pPr>
        <w:pStyle w:val="1071"/>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rPr>
          <w:rFonts w:cs="Arial"/>
          <w:b/>
          <w:color w:val="000000"/>
          <w:sz w:val="30"/>
          <w:szCs w:val="30"/>
          <w:highlight w:val="none"/>
        </w:rPr>
      </w:r>
      <w:r/>
    </w:p>
    <w:p>
      <w:pPr>
        <w:pStyle w:val="1071"/>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rPr>
          <w:rFonts w:cs="Arial"/>
          <w:color w:val="000000"/>
          <w:highlight w:val="none"/>
        </w:rPr>
      </w:r>
      <w:r/>
    </w:p>
    <w:p>
      <w:pPr>
        <w:pStyle w:val="1071"/>
        <w:spacing w:before="0" w:after="0" w:line="500" w:lineRule="exact"/>
        <w:rPr>
          <w:rFonts w:cs="Arial"/>
          <w:color w:val="000000"/>
          <w:highlight w:val="none"/>
        </w:rPr>
      </w:pPr>
      <w:r>
        <w:rPr>
          <w:rFonts w:hint="eastAsia" w:cs="Arial"/>
          <w:color w:val="000000"/>
          <w:highlight w:val="none"/>
        </w:rPr>
        <w:t xml:space="preserve">比较与评价采用综合评分法。</w:t>
      </w:r>
      <w:r>
        <w:rPr>
          <w:rFonts w:cs="Arial"/>
          <w:color w:val="000000"/>
          <w:highlight w:val="none"/>
        </w:rPr>
      </w:r>
      <w:r/>
    </w:p>
    <w:p>
      <w:pPr>
        <w:pStyle w:val="1071"/>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1071"/>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宋体" w:hAnsi="宋体"/>
          <w:bCs/>
          <w:color w:val="000000"/>
          <w:highlight w:val="none"/>
        </w:rPr>
      </w:r>
      <w:r/>
    </w:p>
    <w:p>
      <w:pPr>
        <w:pStyle w:val="1071"/>
        <w:spacing w:before="0" w:after="0" w:line="500" w:lineRule="exact"/>
        <w:rPr>
          <w:rFonts w:ascii="宋体" w:hAnsi="宋体"/>
          <w:bCs/>
          <w:color w:val="00000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ascii="宋体" w:hAnsi="宋体"/>
          <w:bCs/>
          <w:color w:val="000000"/>
          <w:highlight w:val="none"/>
        </w:rPr>
      </w:r>
      <w:r/>
    </w:p>
    <w:p>
      <w:pPr>
        <w:pStyle w:val="1071"/>
        <w:ind w:firstLine="562"/>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712"/>
        <w:ind w:firstLine="482"/>
        <w:jc w:val="left"/>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小微企业的项目不做价格扣除。</w:t>
      </w:r>
      <w:r>
        <w:rPr>
          <w:rFonts w:ascii="宋体" w:hAnsi="宋体"/>
          <w:b/>
          <w:bCs/>
          <w:color w:val="000000"/>
          <w:sz w:val="24"/>
          <w:szCs w:val="24"/>
          <w:highlight w:val="none"/>
        </w:rPr>
      </w:r>
      <w:r/>
    </w:p>
    <w:p>
      <w:pPr>
        <w:pStyle w:val="71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服务的价格给予10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71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71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71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ascii="宋体" w:hAnsi="宋体"/>
          <w:bCs/>
          <w:color w:val="000000"/>
          <w:sz w:val="24"/>
          <w:szCs w:val="24"/>
          <w:highlight w:val="none"/>
        </w:rPr>
      </w:r>
      <w:r/>
    </w:p>
    <w:p>
      <w:pPr>
        <w:pStyle w:val="71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712"/>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12"/>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712"/>
        <w:ind w:firstLine="420"/>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6</w:t>
      </w:r>
      <w:r>
        <w:rPr>
          <w:rFonts w:hint="eastAsia" w:ascii="宋体" w:hAnsi="宋体" w:cs="Times New Roman"/>
          <w:b/>
          <w:bCs/>
          <w:color w:val="000000"/>
          <w:sz w:val="24"/>
          <w:szCs w:val="24"/>
          <w:highlight w:val="none"/>
        </w:rPr>
        <w:t xml:space="preserve">.对本国产品的支持政策：根据</w:t>
      </w:r>
      <w:r>
        <w:rPr>
          <w:rFonts w:hint="eastAsia" w:ascii="宋体" w:hAnsi="Times New Roman" w:cs="Times New Roman"/>
          <w:b/>
          <w:bCs/>
          <w:color w:val="000000"/>
          <w:sz w:val="24"/>
          <w:szCs w:val="24"/>
          <w:highlight w:val="none"/>
        </w:rPr>
        <w:t xml:space="preserve">《国务院办公厅关于在政府采购中实施本国产品标准及相关政策的通知》（国办发〔2025〕34号）要求，</w:t>
      </w:r>
      <w:r>
        <w:rPr>
          <w:rFonts w:hint="eastAsia" w:ascii="宋体" w:hAnsi="宋体" w:cs="Times New Roman"/>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cs="Times New Roman"/>
          <w:b/>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.1本国产品价格扣除政策</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cs="Times New Roman"/>
          <w:bCs/>
          <w:color w:val="000000"/>
          <w:sz w:val="24"/>
          <w:szCs w:val="24"/>
          <w:highlight w:val="none"/>
        </w:rPr>
      </w:r>
      <w:r/>
    </w:p>
    <w:p>
      <w:pPr>
        <w:pStyle w:val="712"/>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cs="Times New Roman"/>
          <w:b/>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.2注意事项</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（1）提供本国产品进行投标（报价）的供应商需在其投</w:t>
      </w:r>
      <w:r>
        <w:rPr>
          <w:rFonts w:hint="eastAsia" w:ascii="宋体" w:hAnsi="宋体" w:cs="Times New Roman"/>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其中，“符合本国产品标准的产品成本之和”是指本项目或采购包中符合本国产品标准的</w:t>
      </w:r>
      <w:r>
        <w:rPr>
          <w:rFonts w:hint="eastAsia" w:ascii="宋体" w:hAnsi="宋体" w:cs="Times New Roman"/>
          <w:b/>
          <w:bCs/>
          <w:color w:val="000000"/>
          <w:sz w:val="24"/>
          <w:szCs w:val="24"/>
          <w:highlight w:val="none"/>
        </w:rPr>
        <w:t xml:space="preserve">货物成本之和</w:t>
      </w:r>
      <w:r>
        <w:rPr>
          <w:rFonts w:hint="eastAsia" w:ascii="宋体" w:hAnsi="宋体" w:cs="Times New Roman"/>
          <w:bCs/>
          <w:color w:val="000000"/>
          <w:sz w:val="24"/>
          <w:szCs w:val="24"/>
          <w:highlight w:val="none"/>
        </w:rPr>
        <w:t xml:space="preserve">；“全部产品成本之和”是指货物或服务项目（或者采购包）中包含的</w:t>
      </w:r>
      <w:r>
        <w:rPr>
          <w:rFonts w:hint="eastAsia" w:ascii="宋体" w:hAnsi="宋体" w:cs="Times New Roman"/>
          <w:b/>
          <w:bCs/>
          <w:color w:val="000000"/>
          <w:sz w:val="24"/>
          <w:szCs w:val="24"/>
          <w:highlight w:val="none"/>
        </w:rPr>
        <w:t xml:space="preserve">全部货物、服务产品的成本之和</w:t>
      </w:r>
      <w:r>
        <w:rPr>
          <w:rFonts w:hint="eastAsia" w:ascii="宋体" w:hAnsi="宋体" w:cs="Times New Roman"/>
          <w:bCs/>
          <w:color w:val="000000"/>
          <w:sz w:val="24"/>
          <w:szCs w:val="24"/>
          <w:highlight w:val="none"/>
        </w:rPr>
        <w:t xml:space="preserve">。</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即，当小微型企业价格扣除政策和本国产品价格扣除政策同时享受时，按以下计算方式进行计算：</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供应商参与评审的报价=供应商投标总报价×[1-（小微型企业价格扣除+本国产品价格扣除）]</w:t>
      </w:r>
      <w:r>
        <w:rPr>
          <w:rFonts w:hint="eastAsia" w:ascii="宋体" w:hAnsi="宋体" w:cs="Times New Roman"/>
          <w:bCs/>
          <w:color w:val="000000"/>
          <w:sz w:val="24"/>
          <w:szCs w:val="24"/>
          <w:highlight w:val="none"/>
        </w:rPr>
      </w:r>
      <w:r/>
    </w:p>
    <w:p>
      <w:pPr>
        <w:pStyle w:val="712"/>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cs="Times New Roman"/>
          <w:bCs/>
          <w:color w:val="000000"/>
          <w:sz w:val="24"/>
          <w:szCs w:val="24"/>
          <w:highlight w:val="none"/>
        </w:rPr>
      </w:r>
      <w:r/>
    </w:p>
    <w:p>
      <w:pPr>
        <w:pStyle w:val="1071"/>
        <w:numPr>
          <w:ilvl w:val="0"/>
          <w:numId w:val="0"/>
        </w:numPr>
        <w:ind w:firstLine="480"/>
        <w:jc w:val="both"/>
        <w:spacing w:before="0" w:after="0"/>
        <w:rPr>
          <w:rFonts w:hint="eastAsia" w:ascii="宋体" w:hAnsi="宋体"/>
          <w:b/>
          <w:color w:val="000000"/>
          <w:sz w:val="28"/>
          <w:szCs w:val="28"/>
          <w:highlight w:val="none"/>
        </w:rPr>
      </w:pPr>
      <w:r>
        <w:rPr>
          <w:rFonts w:hint="eastAsia" w:ascii="宋体" w:hAnsi="宋体" w:cs="Times New Roman"/>
          <w:bCs/>
          <w:color w:val="000000"/>
          <w:sz w:val="24"/>
          <w:szCs w:val="24"/>
          <w:highlight w:val="none"/>
        </w:rPr>
        <w:t xml:space="preserve">1000000×[1-（10%+20%）]=700000元</w:t>
      </w:r>
      <w:r>
        <w:rPr>
          <w:rFonts w:hint="eastAsia" w:ascii="宋体" w:hAnsi="宋体"/>
          <w:b/>
          <w:color w:val="000000"/>
          <w:sz w:val="28"/>
          <w:szCs w:val="28"/>
          <w:highlight w:val="none"/>
        </w:rPr>
      </w:r>
      <w:r/>
    </w:p>
    <w:p>
      <w:pPr>
        <w:pStyle w:val="1071"/>
        <w:numPr>
          <w:ilvl w:val="0"/>
          <w:numId w:val="5"/>
        </w:numPr>
        <w:jc w:val="both"/>
        <w:spacing w:before="0" w:after="0"/>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712"/>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报价</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12"/>
        <w:ind w:firstLine="47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en-US" w:eastAsia="zh-CN"/>
        </w:rPr>
        <w:t xml:space="preserve">综合</w:t>
      </w:r>
      <w:r>
        <w:rPr>
          <w:rFonts w:hint="eastAsia" w:ascii="宋体" w:hAnsi="宋体" w:eastAsia="宋体" w:cs="宋体"/>
          <w:b/>
          <w:bCs/>
          <w:color w:val="000000"/>
          <w:sz w:val="24"/>
          <w:szCs w:val="24"/>
          <w:highlight w:val="none"/>
        </w:rPr>
        <w:t xml:space="preserve">评价             </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12"/>
        <w:ind w:firstLine="47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技术方案（暗标）               50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39"/>
        <w:rPr>
          <w:rFonts w:hint="eastAsia"/>
          <w:highlight w:val="none"/>
        </w:rPr>
      </w:pPr>
      <w:r>
        <w:rPr>
          <w:rFonts w:hint="eastAsia"/>
          <w:highlight w:val="none"/>
        </w:rPr>
      </w:r>
      <w:r/>
    </w:p>
    <w:p>
      <w:pPr>
        <w:pStyle w:val="71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bookmarkStart w:id="181" w:name="_Toc22572"/>
      <w:r>
        <w:rPr>
          <w:rFonts w:hint="eastAsia" w:ascii="宋体" w:hAnsi="宋体" w:eastAsia="宋体" w:cs="宋体"/>
          <w:b/>
          <w:bCs/>
          <w:color w:val="000000"/>
          <w:sz w:val="24"/>
          <w:szCs w:val="24"/>
          <w:highlight w:val="none"/>
        </w:rPr>
        <w:t xml:space="preserve">1.报价（</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12"/>
        <w:ind w:lef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712"/>
        <w:ind w:lef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12"/>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b/>
          <w:color w:val="000000"/>
          <w:sz w:val="24"/>
          <w:szCs w:val="24"/>
          <w:highlight w:val="none"/>
        </w:rPr>
        <w:outlineLvl w:val="9"/>
      </w:pPr>
      <w:r/>
      <w:bookmarkStart w:id="182" w:name="_Hlk58858644"/>
      <w:r>
        <w:rPr>
          <w:rFonts w:hint="eastAsia" w:ascii="宋体" w:hAnsi="宋体" w:eastAsia="宋体" w:cs="宋体"/>
          <w:b/>
          <w:color w:val="000000"/>
          <w:sz w:val="24"/>
          <w:szCs w:val="24"/>
          <w:highlight w:val="none"/>
        </w:rPr>
        <w:t xml:space="preserve">价格扣除：本项目专门面向中小微企业，</w:t>
      </w:r>
      <w:bookmarkEnd w:id="182"/>
      <w:r>
        <w:rPr>
          <w:rFonts w:hint="eastAsia" w:ascii="宋体" w:hAnsi="宋体" w:eastAsia="宋体" w:cs="宋体"/>
          <w:b/>
          <w:color w:val="000000"/>
          <w:sz w:val="24"/>
          <w:szCs w:val="24"/>
          <w:highlight w:val="none"/>
        </w:rPr>
        <w:t xml:space="preserve">不再执行价格评审优惠的扶持政策。</w:t>
      </w:r>
      <w:r>
        <w:rPr>
          <w:rFonts w:hint="eastAsia" w:ascii="宋体" w:hAnsi="宋体" w:eastAsia="宋体" w:cs="宋体"/>
          <w:b/>
          <w:color w:val="000000"/>
          <w:sz w:val="24"/>
          <w:szCs w:val="24"/>
          <w:highlight w:val="none"/>
        </w:rPr>
      </w:r>
      <w:r/>
    </w:p>
    <w:p>
      <w:pPr>
        <w:pStyle w:val="712"/>
        <w:ind w:left="0" w:firstLine="482"/>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712"/>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en-US" w:eastAsia="zh-CN"/>
        </w:rPr>
        <w:t xml:space="preserve">综合</w:t>
      </w:r>
      <w:r>
        <w:rPr>
          <w:rFonts w:hint="eastAsia" w:ascii="宋体" w:hAnsi="宋体" w:eastAsia="宋体" w:cs="宋体"/>
          <w:b/>
          <w:bCs/>
          <w:color w:val="000000"/>
          <w:sz w:val="24"/>
          <w:szCs w:val="24"/>
          <w:highlight w:val="none"/>
        </w:rPr>
        <w:t xml:space="preserve">评价</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明标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12"/>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1）类似项目业绩（6分）</w:t>
      </w:r>
      <w:r>
        <w:rPr>
          <w:rFonts w:hint="eastAsia" w:ascii="宋体" w:hAnsi="宋体" w:eastAsia="宋体" w:cs="宋体"/>
          <w:bCs/>
          <w:color w:val="000000"/>
          <w:sz w:val="24"/>
          <w:szCs w:val="24"/>
          <w:highlight w:val="none"/>
          <w:lang w:val="en-US" w:eastAsia="zh-CN"/>
        </w:rPr>
      </w:r>
      <w:r/>
    </w:p>
    <w:p>
      <w:pPr>
        <w:pStyle w:val="712"/>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供应商自</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1月1日</w:t>
      </w:r>
      <w:r>
        <w:rPr>
          <w:rFonts w:hint="eastAsia" w:ascii="宋体" w:hAnsi="宋体" w:eastAsia="宋体" w:cs="宋体"/>
          <w:bCs/>
          <w:color w:val="000000"/>
          <w:sz w:val="24"/>
          <w:szCs w:val="24"/>
          <w:highlight w:val="none"/>
        </w:rPr>
        <w:t xml:space="preserve">至今具有类似</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业绩的，每提供一</w:t>
      </w: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rPr>
        <w:t xml:space="preserve">业绩得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分。（须同时提供合同及部分发票</w:t>
      </w:r>
      <w:r>
        <w:rPr>
          <w:rFonts w:hint="eastAsia" w:ascii="宋体" w:hAnsi="宋体" w:eastAsia="宋体" w:cs="宋体"/>
          <w:bCs/>
          <w:color w:val="000000"/>
          <w:sz w:val="24"/>
          <w:szCs w:val="24"/>
          <w:highlight w:val="none"/>
          <w:lang w:val="en-US" w:eastAsia="zh-CN"/>
        </w:rPr>
        <w:t xml:space="preserve">原件</w:t>
      </w:r>
      <w:r>
        <w:rPr>
          <w:rFonts w:hint="eastAsia" w:ascii="宋体" w:hAnsi="宋体" w:eastAsia="宋体" w:cs="宋体"/>
          <w:bCs/>
          <w:color w:val="000000"/>
          <w:sz w:val="24"/>
          <w:szCs w:val="24"/>
          <w:highlight w:val="none"/>
        </w:rPr>
        <w:t xml:space="preserve">扫描件并上传至投标系统</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时间以合同签订时间为准）</w:t>
      </w:r>
      <w:r>
        <w:rPr>
          <w:rFonts w:hint="eastAsia" w:ascii="宋体" w:hAnsi="宋体" w:eastAsia="宋体" w:cs="宋体"/>
          <w:bCs/>
          <w:color w:val="000000"/>
          <w:sz w:val="24"/>
          <w:szCs w:val="24"/>
          <w:highlight w:val="none"/>
        </w:rPr>
      </w:r>
      <w:r/>
    </w:p>
    <w:p>
      <w:pPr>
        <w:pStyle w:val="712"/>
        <w:numPr>
          <w:ilvl w:val="0"/>
          <w:numId w:val="0"/>
        </w:numPr>
        <w:ind w:righ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拟投入本项目的人员配置（</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12"/>
        <w:numPr>
          <w:ilvl w:val="0"/>
          <w:numId w:val="0"/>
        </w:numPr>
        <w:ind w:righ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拟投入本项目的人员具有设计学相关专业</w:t>
      </w:r>
      <w:r>
        <w:rPr>
          <w:rFonts w:hint="eastAsia" w:ascii="宋体" w:hAnsi="宋体" w:eastAsia="宋体" w:cs="宋体"/>
          <w:bCs/>
          <w:color w:val="000000"/>
          <w:sz w:val="24"/>
          <w:szCs w:val="24"/>
          <w:highlight w:val="none"/>
          <w:lang w:eastAsia="zh-CN"/>
        </w:rPr>
        <w:t xml:space="preserve">（</w:t>
      </w:r>
      <w:r>
        <w:rPr>
          <w:rFonts w:ascii="宋体" w:hAnsi="宋体" w:eastAsia="宋体" w:cs="宋体"/>
          <w:bCs/>
          <w:sz w:val="24"/>
          <w:highlight w:val="none"/>
          <w:lang w:bidi="zh-CN"/>
        </w:rPr>
        <w:t xml:space="preserve">视觉传达专业</w:t>
      </w:r>
      <w:r>
        <w:rPr>
          <w:rFonts w:hint="eastAsia" w:ascii="宋体" w:hAnsi="宋体" w:eastAsia="宋体" w:cs="宋体"/>
          <w:bCs/>
          <w:sz w:val="24"/>
          <w:highlight w:val="none"/>
          <w:lang w:bidi="zh-CN"/>
        </w:rPr>
        <w:t xml:space="preserve">、美术专业、绘画专业、</w:t>
      </w:r>
      <w:r>
        <w:rPr>
          <w:rFonts w:hint="eastAsia" w:ascii="宋体" w:hAnsi="宋体" w:eastAsia="宋体" w:cs="宋体"/>
          <w:bCs/>
          <w:sz w:val="24"/>
          <w:highlight w:val="none"/>
          <w:lang w:val="en-US" w:bidi="zh-CN"/>
        </w:rPr>
        <w:t xml:space="preserve">动画专业、数字媒体艺术、室内设计、环境等</w:t>
      </w:r>
      <w:r>
        <w:rPr>
          <w:rFonts w:hint="eastAsia" w:ascii="宋体" w:hAnsi="宋体" w:eastAsia="宋体" w:cs="宋体"/>
          <w:bCs/>
          <w:sz w:val="24"/>
          <w:highlight w:val="none"/>
          <w:lang w:bidi="zh-CN"/>
        </w:rPr>
        <w:t xml:space="preserve">）</w:t>
      </w:r>
      <w:r>
        <w:rPr>
          <w:rFonts w:hint="eastAsia" w:ascii="宋体" w:hAnsi="宋体" w:eastAsia="宋体" w:cs="宋体"/>
          <w:bCs/>
          <w:color w:val="000000"/>
          <w:sz w:val="24"/>
          <w:szCs w:val="24"/>
          <w:highlight w:val="none"/>
        </w:rPr>
        <w:t xml:space="preserve">专科（含）以上学历的，每有1人得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分。专业类别以毕业证书上的专业为准。（提供毕业证书、劳动合同、法定的社保收缴部门出具的</w:t>
      </w:r>
      <w:r>
        <w:rPr>
          <w:rFonts w:hint="eastAsia" w:ascii="宋体" w:hAnsi="宋体" w:eastAsia="宋体" w:cs="宋体"/>
          <w:color w:val="000000"/>
          <w:sz w:val="24"/>
          <w:szCs w:val="24"/>
          <w:highlight w:val="none"/>
          <w:lang w:val="en-US" w:eastAsia="zh-CN" w:bidi="ar-SA"/>
        </w:rPr>
        <w:t xml:space="preserve">近三个月中任意一个月份（不含投标当月）</w:t>
      </w:r>
      <w:r>
        <w:rPr>
          <w:rFonts w:hint="eastAsia" w:ascii="宋体" w:hAnsi="宋体" w:eastAsia="宋体" w:cs="宋体"/>
          <w:bCs/>
          <w:color w:val="000000"/>
          <w:sz w:val="24"/>
          <w:szCs w:val="24"/>
          <w:highlight w:val="none"/>
        </w:rPr>
        <w:t xml:space="preserve">的投标供应商依法为上述人员缴纳社会保险证明，上述资料原件扫描件签章并上传至投标系统，不提供或提供不全不得分）</w:t>
      </w:r>
      <w:r>
        <w:rPr>
          <w:rFonts w:hint="eastAsia" w:ascii="宋体" w:hAnsi="宋体" w:eastAsia="宋体" w:cs="宋体"/>
          <w:bCs/>
          <w:color w:val="000000"/>
          <w:sz w:val="24"/>
          <w:szCs w:val="24"/>
          <w:highlight w:val="none"/>
        </w:rPr>
      </w:r>
      <w:r/>
    </w:p>
    <w:p>
      <w:pPr>
        <w:pStyle w:val="712"/>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体系证书（</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12"/>
        <w:numPr>
          <w:ilvl w:val="0"/>
          <w:numId w:val="0"/>
        </w:numPr>
        <w:ind w:right="0" w:firstLine="480"/>
        <w:jc w:val="both"/>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具有有效期内的质量管理体系认证、环境管理体系认证、职业健康安全管理体系认证，每</w:t>
      </w:r>
      <w:r>
        <w:rPr>
          <w:rFonts w:hint="eastAsia" w:ascii="宋体" w:hAnsi="宋体" w:eastAsia="宋体" w:cs="宋体"/>
          <w:bCs/>
          <w:color w:val="000000"/>
          <w:sz w:val="24"/>
          <w:szCs w:val="24"/>
          <w:highlight w:val="none"/>
          <w:lang w:val="en-US" w:eastAsia="zh-CN"/>
        </w:rPr>
        <w:t xml:space="preserve">有</w:t>
      </w:r>
      <w:r>
        <w:rPr>
          <w:rFonts w:hint="eastAsia" w:ascii="宋体" w:hAnsi="宋体" w:eastAsia="宋体" w:cs="宋体"/>
          <w:bCs/>
          <w:color w:val="000000"/>
          <w:sz w:val="24"/>
          <w:szCs w:val="24"/>
          <w:highlight w:val="none"/>
        </w:rPr>
        <w:t xml:space="preserve">一张得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eastAsia="宋体" w:cs="宋体"/>
          <w:bCs/>
          <w:color w:val="000000"/>
          <w:sz w:val="24"/>
          <w:szCs w:val="24"/>
          <w:highlight w:val="none"/>
        </w:rPr>
        <w:t xml:space="preserve">最高</w:t>
      </w:r>
      <w:r>
        <w:rPr>
          <w:rFonts w:hint="eastAsia" w:ascii="宋体" w:hAnsi="宋体" w:eastAsia="宋体" w:cs="宋体"/>
          <w:bCs/>
          <w:color w:val="000000"/>
          <w:sz w:val="24"/>
          <w:szCs w:val="24"/>
          <w:highlight w:val="none"/>
          <w:lang w:val="en-US" w:eastAsia="zh-CN"/>
        </w:rPr>
        <w:t xml:space="preserve">得6</w:t>
      </w:r>
      <w:r>
        <w:rPr>
          <w:rFonts w:hint="eastAsia" w:ascii="宋体" w:hAnsi="宋体" w:eastAsia="宋体" w:cs="宋体"/>
          <w:bCs/>
          <w:color w:val="000000"/>
          <w:sz w:val="24"/>
          <w:szCs w:val="24"/>
          <w:highlight w:val="none"/>
        </w:rPr>
        <w:t xml:space="preserve">分。注：投标文件中提供上述证书复印件及该证书在中国国家认证认可监督管理委员会网站http:www.cnca.gov.cn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上查询的页面截图，未按上述要求提供资料的不得分。</w:t>
      </w:r>
      <w:r>
        <w:rPr>
          <w:rFonts w:hint="eastAsia" w:ascii="宋体" w:hAnsi="宋体" w:eastAsia="宋体" w:cs="宋体"/>
          <w:bCs/>
          <w:color w:val="000000"/>
          <w:sz w:val="24"/>
          <w:szCs w:val="24"/>
          <w:highlight w:val="none"/>
          <w:lang w:val="en-US" w:eastAsia="zh-CN"/>
        </w:rPr>
      </w:r>
      <w:r/>
    </w:p>
    <w:p>
      <w:pPr>
        <w:pStyle w:val="712"/>
        <w:numPr>
          <w:ilvl w:val="0"/>
          <w:numId w:val="0"/>
        </w:numPr>
        <w:ind w:right="0"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w:t>
      </w:r>
      <w:r>
        <w:rPr>
          <w:rFonts w:hint="eastAsia" w:ascii="宋体" w:hAnsi="宋体" w:cs="宋体"/>
          <w:b/>
          <w:bCs/>
          <w:color w:val="000000"/>
          <w:sz w:val="24"/>
          <w:szCs w:val="24"/>
          <w:highlight w:val="none"/>
          <w:lang w:val="en-US" w:eastAsia="zh-CN"/>
        </w:rPr>
        <w:t xml:space="preserve">方案</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lang w:eastAsia="zh-CN"/>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12"/>
        <w:numPr>
          <w:ilvl w:val="0"/>
          <w:numId w:val="0"/>
        </w:numPr>
        <w:ind w:right="0" w:firstLine="480"/>
        <w:jc w:val="both"/>
        <w:keepLines w:val="0"/>
        <w:keepNext w:val="0"/>
        <w:pageBreakBefore w:val="0"/>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sz w:val="24"/>
          <w:highlight w:val="none"/>
        </w:rPr>
        <w:t xml:space="preserve">本项为暗标，投标人编制</w:t>
      </w:r>
      <w:r>
        <w:rPr>
          <w:rFonts w:hint="eastAsia" w:ascii="宋体" w:hAnsi="宋体" w:cs="宋体"/>
          <w:sz w:val="24"/>
          <w:highlight w:val="none"/>
          <w:lang w:val="en-US" w:eastAsia="zh-CN"/>
        </w:rPr>
        <w:t xml:space="preserve">技术</w:t>
      </w:r>
      <w:r>
        <w:rPr>
          <w:rFonts w:hint="eastAsia" w:ascii="宋体" w:hAnsi="宋体" w:eastAsia="宋体" w:cs="宋体"/>
          <w:sz w:val="24"/>
          <w:highlight w:val="none"/>
        </w:rPr>
        <w:t xml:space="preserve">方案时请按以下顺序编制，并符合暗标编制要求。</w:t>
      </w:r>
      <w:r>
        <w:rPr>
          <w:rFonts w:hint="eastAsia" w:ascii="宋体" w:hAnsi="宋体" w:eastAsia="宋体" w:cs="宋体"/>
          <w:b/>
          <w:bCs/>
          <w:color w:val="000000"/>
          <w:sz w:val="24"/>
          <w:szCs w:val="24"/>
          <w:highlight w:val="none"/>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总体策划方案（</w:t>
      </w: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以学校的发展历程、地域特点、校园风貌、教育特色及育人理念为引领，经过客观全面的分析与研究，针对学校提出科学的、恰当的、独特的校园文化建设总体策划思路，对文化思路脉络进行推演。将学校的文化建设融于教学环境，提升教育文化层次，形成独具特色的、具有教育品牌传播力的示范性校园文化场所。实现校园文化与美育熏陶的统一、人文环境与自然环境的统一，营造富有文化底蕴、艺术审美、学术气息、社会亲和力的校园文化环境。</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总体策划方案核心理念定位精准，文化推演思路脉络清晰全面，学校整体校园色彩设计切实可行的得8分；</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总体策划方案核心理念定位相对准确，文化推演思路脉络相对清晰，学校整                           体校园色彩设计相对可行的得5分；</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总体策划方案核心理念定位模糊，文化推演思路脉络凌乱，学校整                           体校园色彩设计一般得3分；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总体策划方案核心理念内容空泛，有待完善且针对性一般的，得1分；</w:t>
      </w:r>
      <w:r>
        <w:rPr>
          <w:rFonts w:hint="eastAsia" w:ascii="宋体" w:hAnsi="宋体" w:eastAsia="宋体" w:cs="宋体"/>
          <w:bCs/>
          <w:color w:val="000000"/>
          <w:sz w:val="24"/>
          <w:szCs w:val="24"/>
          <w:highlight w:val="none"/>
          <w:lang w:val="en-US" w:eastAsia="zh-CN" w:bidi="ar"/>
        </w:rPr>
      </w:r>
      <w:r/>
    </w:p>
    <w:p>
      <w:pPr>
        <w:pStyle w:val="712"/>
        <w:numPr>
          <w:ilvl w:val="0"/>
          <w:numId w:val="0"/>
        </w:numPr>
        <w:ind w:firstLine="480"/>
        <w:spacing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bidi="ar"/>
        </w:rPr>
        <w:t xml:space="preserve">未提供的该条不得分。</w:t>
      </w:r>
      <w:r>
        <w:rPr>
          <w:rFonts w:hint="eastAsia" w:ascii="宋体" w:hAnsi="宋体" w:eastAsia="宋体" w:cs="宋体"/>
          <w:bCs/>
          <w:color w:val="000000"/>
          <w:sz w:val="24"/>
          <w:szCs w:val="24"/>
          <w:highlight w:val="none"/>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导视系统</w:t>
      </w:r>
      <w:r>
        <w:rPr>
          <w:rFonts w:hint="eastAsia" w:ascii="宋体" w:hAnsi="宋体" w:eastAsia="宋体" w:cs="宋体"/>
          <w:b/>
          <w:bCs w:val="0"/>
          <w:color w:val="000000"/>
          <w:sz w:val="24"/>
          <w:szCs w:val="24"/>
          <w:highlight w:val="none"/>
          <w:lang w:val="en-US" w:eastAsia="zh-CN"/>
        </w:rPr>
        <w:t xml:space="preserve">设计</w:t>
      </w:r>
      <w:r>
        <w:rPr>
          <w:rFonts w:hint="eastAsia" w:ascii="宋体" w:hAnsi="宋体" w:eastAsia="宋体" w:cs="宋体"/>
          <w:b/>
          <w:bCs w:val="0"/>
          <w:color w:val="000000"/>
          <w:sz w:val="24"/>
          <w:szCs w:val="24"/>
          <w:highlight w:val="none"/>
        </w:rPr>
        <w:t xml:space="preserve">相关文化方案</w:t>
      </w:r>
      <w:r>
        <w:rPr>
          <w:rFonts w:hint="eastAsia" w:ascii="宋体" w:hAnsi="宋体" w:eastAsia="宋体" w:cs="宋体"/>
          <w:b/>
          <w:bCs w:val="0"/>
          <w:color w:val="000000"/>
          <w:sz w:val="24"/>
          <w:szCs w:val="24"/>
          <w:highlight w:val="none"/>
          <w:lang w:val="en-US" w:eastAsia="zh-CN"/>
        </w:rPr>
        <w:t xml:space="preserve">及落地实施性</w:t>
      </w:r>
      <w:r>
        <w:rPr>
          <w:rFonts w:hint="eastAsia" w:ascii="宋体" w:hAnsi="宋体" w:eastAsia="宋体" w:cs="宋体"/>
          <w:b/>
          <w:bCs w:val="0"/>
          <w:color w:val="000000"/>
          <w:sz w:val="24"/>
          <w:szCs w:val="24"/>
          <w:highlight w:val="none"/>
          <w:lang w:val="en-US" w:eastAsia="zh-CN" w:bidi="ar"/>
        </w:rPr>
        <w:t xml:space="preserve">（8分）</w:t>
      </w:r>
      <w:r>
        <w:rPr>
          <w:rFonts w:hint="eastAsia" w:ascii="宋体" w:hAnsi="宋体" w:eastAsia="宋体" w:cs="宋体"/>
          <w:b/>
          <w:bCs w:val="0"/>
          <w:color w:val="000000"/>
          <w:sz w:val="24"/>
          <w:szCs w:val="24"/>
          <w:highlight w:val="none"/>
          <w:lang w:val="en-US" w:eastAsia="zh-CN"/>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pPr>
      <w:r>
        <w:rPr>
          <w:rFonts w:hint="eastAsia" w:ascii="宋体" w:hAnsi="宋体" w:eastAsia="宋体" w:cs="宋体"/>
          <w:bCs/>
          <w:color w:val="000000"/>
          <w:sz w:val="24"/>
          <w:szCs w:val="24"/>
          <w:highlight w:val="none"/>
        </w:rPr>
        <w:t xml:space="preserve">导视系统</w:t>
      </w:r>
      <w:r>
        <w:rPr>
          <w:rFonts w:hint="eastAsia" w:ascii="宋体" w:hAnsi="宋体" w:eastAsia="宋体" w:cs="宋体"/>
          <w:bCs/>
          <w:color w:val="000000"/>
          <w:sz w:val="24"/>
          <w:szCs w:val="24"/>
          <w:highlight w:val="none"/>
          <w:lang w:val="en-US" w:eastAsia="zh-CN"/>
        </w:rPr>
        <w:t xml:space="preserve">设计</w:t>
      </w:r>
      <w:r>
        <w:rPr>
          <w:rFonts w:hint="eastAsia" w:ascii="宋体" w:hAnsi="宋体" w:eastAsia="宋体" w:cs="宋体"/>
          <w:bCs/>
          <w:color w:val="000000"/>
          <w:sz w:val="24"/>
          <w:szCs w:val="24"/>
          <w:highlight w:val="none"/>
        </w:rPr>
        <w:t xml:space="preserve">相关文化方案能够与校园整体环境相融合、并且具有创新性、设计感、文化性，充分考虑材质、配色与现有环境氛围的搭配，</w:t>
      </w:r>
      <w:r>
        <w:rPr>
          <w:rFonts w:hint="eastAsia" w:ascii="宋体" w:hAnsi="宋体" w:eastAsia="宋体" w:cs="宋体"/>
          <w:bCs/>
          <w:color w:val="000000"/>
          <w:sz w:val="24"/>
          <w:szCs w:val="24"/>
          <w:highlight w:val="none"/>
          <w:lang w:val="en-US" w:eastAsia="zh-CN" w:bidi="ar"/>
        </w:rPr>
        <w:t xml:space="preserve">需富有创意、风格有特色，富有内涵，整体协调统一。</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内容与校园环境融合、整体协调性强，设计创新性、设计感与文化内涵表达精准，方案落地性、实施性强，进行了全面阐述且完全符合实际要求，内容全面可行的得8分；</w:t>
      </w:r>
      <w:r>
        <w:rPr>
          <w:rFonts w:hint="eastAsia" w:ascii="宋体" w:hAnsi="宋体" w:eastAsia="宋体" w:cs="宋体"/>
          <w:bCs/>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内容与校园环境融合、整体协调性相对完整，设计创新性、设计感与文化内涵表达相对符合，方案落地性、实操实施性基本符合，内容相对完善可行的得5分；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内容与校园环境融合、整体协调性一般，设计创新性、设计感与文化内涵表达一般，方案落地性、实操实施性有待调整，内容相对完善可行的得3分；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内容空泛，有待完善且针对性一般的，得1分；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未提供的该条不得分。</w:t>
      </w:r>
      <w:r>
        <w:rPr>
          <w:rFonts w:hint="eastAsia" w:ascii="宋体" w:hAnsi="宋体" w:eastAsia="宋体" w:cs="宋体"/>
          <w:bCs/>
          <w:color w:val="000000"/>
          <w:sz w:val="24"/>
          <w:szCs w:val="24"/>
          <w:highlight w:val="none"/>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3）视觉延展设计</w:t>
      </w:r>
      <w:r>
        <w:rPr>
          <w:rFonts w:hint="eastAsia" w:ascii="宋体" w:hAnsi="宋体" w:eastAsia="宋体" w:cs="宋体"/>
          <w:b/>
          <w:bCs w:val="0"/>
          <w:color w:val="000000"/>
          <w:sz w:val="24"/>
          <w:szCs w:val="24"/>
          <w:highlight w:val="none"/>
        </w:rPr>
        <w:t xml:space="preserve">相关文化方案</w:t>
      </w:r>
      <w:r>
        <w:rPr>
          <w:rFonts w:hint="eastAsia" w:ascii="宋体" w:hAnsi="宋体" w:eastAsia="宋体" w:cs="宋体"/>
          <w:b/>
          <w:bCs w:val="0"/>
          <w:color w:val="000000"/>
          <w:sz w:val="24"/>
          <w:szCs w:val="24"/>
          <w:highlight w:val="none"/>
          <w:lang w:val="en-US" w:eastAsia="zh-CN"/>
        </w:rPr>
        <w:t xml:space="preserve">及落地实施性（8分）</w:t>
      </w:r>
      <w:r>
        <w:rPr>
          <w:rFonts w:hint="eastAsia" w:ascii="宋体" w:hAnsi="宋体" w:eastAsia="宋体" w:cs="宋体"/>
          <w:b/>
          <w:bCs w:val="0"/>
          <w:color w:val="000000"/>
          <w:sz w:val="24"/>
          <w:szCs w:val="24"/>
          <w:highlight w:val="none"/>
          <w:lang w:val="en-US" w:eastAsia="zh-CN"/>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pPr>
      <w:r>
        <w:rPr>
          <w:rFonts w:hint="eastAsia" w:ascii="宋体" w:hAnsi="宋体" w:eastAsia="宋体" w:cs="宋体"/>
          <w:bCs/>
          <w:color w:val="000000"/>
          <w:sz w:val="24"/>
          <w:szCs w:val="24"/>
          <w:highlight w:val="none"/>
          <w:lang w:val="en-US" w:eastAsia="zh-CN"/>
        </w:rPr>
        <w:t xml:space="preserve">视觉延展设计</w:t>
      </w:r>
      <w:r>
        <w:rPr>
          <w:rFonts w:hint="eastAsia" w:ascii="宋体" w:hAnsi="宋体" w:eastAsia="宋体" w:cs="宋体"/>
          <w:bCs/>
          <w:color w:val="000000"/>
          <w:sz w:val="24"/>
          <w:szCs w:val="24"/>
          <w:highlight w:val="none"/>
        </w:rPr>
        <w:t xml:space="preserve">相关文化方案能够与校园整体环境相融合、并且具有创新性、设计感、文化性，充分考虑材质、配色与现有环境氛围的搭配，</w:t>
      </w:r>
      <w:r>
        <w:rPr>
          <w:rFonts w:hint="eastAsia" w:ascii="宋体" w:hAnsi="宋体" w:eastAsia="宋体" w:cs="宋体"/>
          <w:bCs/>
          <w:color w:val="000000"/>
          <w:sz w:val="24"/>
          <w:szCs w:val="24"/>
          <w:highlight w:val="none"/>
          <w:lang w:val="en-US" w:eastAsia="zh-CN" w:bidi="ar"/>
        </w:rPr>
        <w:t xml:space="preserve">需富有创意、风格有特色，富有内涵，整体协调统一。</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内容与校园环境融合、整体协调性强，设计创新性、设计感与文化内涵表达精准，方案落地性、实施性强，进行了全面阐述且完全符合实际要求，内容全面可行的得8分；</w:t>
      </w:r>
      <w:r>
        <w:rPr>
          <w:rFonts w:hint="eastAsia" w:ascii="宋体" w:hAnsi="宋体" w:eastAsia="宋体" w:cs="宋体"/>
          <w:bCs/>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内容与校园环境融合、整体协调性相对完整，设计创新性、设计感与文化内涵表达相对符合，方案落地性、实操实施性基本符合，内容相对完善可行的得5分；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内容与校园环境融合、整体协调性一般，设计创新性、设计感与文化内涵表达一般，方案落地性、实操实施性有待调整，内容相对完善可行的得3分；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内容空泛，有待完善且针对性一般的，得1分；</w:t>
      </w:r>
      <w:r>
        <w:rPr>
          <w:rFonts w:hint="eastAsia" w:ascii="宋体" w:hAnsi="宋体" w:eastAsia="宋体" w:cs="宋体"/>
          <w:bCs/>
          <w:color w:val="000000"/>
          <w:sz w:val="24"/>
          <w:szCs w:val="24"/>
          <w:highlight w:val="none"/>
          <w:lang w:val="en-US" w:eastAsia="zh-CN" w:bidi="ar"/>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bidi="ar"/>
        </w:rPr>
        <w:t xml:space="preserve">未提供的该条不得分。</w:t>
      </w:r>
      <w:r>
        <w:rPr>
          <w:rFonts w:hint="eastAsia" w:ascii="宋体" w:hAnsi="宋体" w:eastAsia="宋体" w:cs="宋体"/>
          <w:bCs/>
          <w:color w:val="000000"/>
          <w:sz w:val="24"/>
          <w:szCs w:val="24"/>
          <w:highlight w:val="none"/>
          <w:lang w:val="en-US" w:eastAsia="zh-CN"/>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4）各主题空间、文化墙</w:t>
      </w:r>
      <w:r>
        <w:rPr>
          <w:rFonts w:hint="eastAsia" w:ascii="宋体" w:hAnsi="宋体" w:eastAsia="宋体" w:cs="宋体"/>
          <w:b/>
          <w:bCs w:val="0"/>
          <w:color w:val="000000"/>
          <w:sz w:val="24"/>
          <w:szCs w:val="24"/>
          <w:highlight w:val="none"/>
        </w:rPr>
        <w:t xml:space="preserve">相关文化方案</w:t>
      </w:r>
      <w:r>
        <w:rPr>
          <w:rFonts w:hint="eastAsia" w:ascii="宋体" w:hAnsi="宋体" w:eastAsia="宋体" w:cs="宋体"/>
          <w:b/>
          <w:bCs w:val="0"/>
          <w:color w:val="000000"/>
          <w:sz w:val="24"/>
          <w:szCs w:val="24"/>
          <w:highlight w:val="none"/>
          <w:lang w:val="en-US" w:eastAsia="zh-CN"/>
        </w:rPr>
        <w:t xml:space="preserve">设计及落地实施性（8分）</w:t>
      </w:r>
      <w:r>
        <w:rPr>
          <w:rFonts w:ascii="宋体" w:hAnsi="宋体" w:eastAsia="宋体" w:cs="宋体"/>
          <w:b/>
          <w:bCs w:val="0"/>
          <w:color w:val="000000"/>
          <w:sz w:val="24"/>
          <w:szCs w:val="24"/>
          <w:highlight w:val="none"/>
          <w:lang w:val="en-US" w:eastAsia="zh-CN"/>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各主题空间、文化墙及互动区角</w:t>
      </w:r>
      <w:r>
        <w:rPr>
          <w:rFonts w:hint="eastAsia" w:ascii="宋体" w:hAnsi="宋体" w:eastAsia="宋体" w:cs="宋体"/>
          <w:bCs/>
          <w:color w:val="000000"/>
          <w:sz w:val="24"/>
          <w:szCs w:val="24"/>
          <w:highlight w:val="none"/>
        </w:rPr>
        <w:t xml:space="preserve">方案贴合校园整体环境风貌、契合学校课程教育理念，具备创新性、艺术设计感与教学实用性，科学适配材质选型、校园使用场景、课程教学需求，整体适配协调、特色鲜明，且具备落地可实施性。</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内容与校园环境融合、整体协调性强，设计创新性、设计感与文化内涵表达精准，方案落地性、实施性强，进行了全面阐述且完全符合实际要求，内容全面可行的得8分；</w:t>
      </w:r>
      <w:r>
        <w:rPr>
          <w:rFonts w:hint="eastAsia" w:ascii="宋体" w:hAnsi="宋体" w:eastAsia="宋体" w:cs="宋体"/>
          <w:bCs/>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内容与校园环境融合、整体协调性相对完整，设计创新性、设计感与文化内涵表达相对符合，方案落地性、实操实施性基本符合，内容相对完善可行的得5分；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内容与校园环境融合、整体协调性一般，设计创新性、设计感与文化内涵表达一般，方案落地性、实操实施性有待调整，内容相对完善可行的得3分；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内容空泛，有待完善且针对性一般的，得1分；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bidi="ar"/>
        </w:rPr>
        <w:t xml:space="preserve">未提供的该条不得分。</w:t>
      </w:r>
      <w:r>
        <w:rPr>
          <w:rFonts w:hint="eastAsia" w:ascii="宋体" w:hAnsi="宋体" w:eastAsia="宋体" w:cs="宋体"/>
          <w:bCs/>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ascii="宋体" w:hAnsi="宋体" w:eastAsia="宋体" w:cs="宋体"/>
          <w:b/>
          <w:bCs w:val="0"/>
          <w:color w:val="000000"/>
          <w:sz w:val="24"/>
          <w:szCs w:val="24"/>
          <w:highlight w:val="none"/>
          <w:lang w:val="en-US" w:eastAsia="zh-CN"/>
        </w:rPr>
        <w:outlineLvl w:val="9"/>
        <w:suppressLineNumbers w:val="0"/>
      </w:pPr>
      <w:r>
        <w:rPr>
          <w:rFonts w:hint="eastAsia" w:ascii="宋体" w:hAnsi="宋体" w:eastAsia="宋体" w:cs="宋体"/>
          <w:b/>
          <w:bCs w:val="0"/>
          <w:color w:val="000000"/>
          <w:sz w:val="24"/>
          <w:szCs w:val="24"/>
          <w:highlight w:val="none"/>
          <w:lang w:val="en-US" w:eastAsia="zh-CN"/>
        </w:rPr>
        <w:t xml:space="preserve">5）深化设计方案（8分）</w:t>
      </w:r>
      <w:r>
        <w:rPr>
          <w:rFonts w:ascii="宋体" w:hAnsi="宋体" w:eastAsia="宋体" w:cs="宋体"/>
          <w:b/>
          <w:bCs w:val="0"/>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rPr>
        <w:t xml:space="preserve">针对项目布置内容的材质、工艺、安装等进行说明，综合考虑材料的安全性、耐用性、环保性、美观性、安装方式的合理性，并提供具体操作方案。所提供的各项解决方案可靠，落地具有可行性。</w:t>
      </w:r>
      <w:r>
        <w:rPr>
          <w:rFonts w:hint="eastAsia" w:ascii="宋体" w:hAnsi="宋体" w:eastAsia="宋体" w:cs="宋体"/>
          <w:bCs/>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rPr>
        <w:t xml:space="preserve">制作实施图全面完整、针对性强、切实可行深化设计信息完整，可按图生产、安装，制作实施图规范、符合制图标准，完整、明确，有绘制重要节点的大样图的得8分；</w:t>
      </w:r>
      <w:r>
        <w:rPr>
          <w:rFonts w:hint="eastAsia" w:ascii="宋体" w:hAnsi="宋体" w:eastAsia="宋体" w:cs="宋体"/>
          <w:bCs/>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rPr>
        <w:t xml:space="preserve">制作实施图深化设计信息较为完整，规范要求较为标准，且数量较多的得5分；</w:t>
      </w:r>
      <w:r>
        <w:rPr>
          <w:rFonts w:hint="eastAsia" w:ascii="宋体" w:hAnsi="宋体" w:eastAsia="宋体" w:cs="宋体"/>
          <w:bCs/>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rPr>
        <w:t xml:space="preserve">制作实施图深化设计信息完整一般，规范要求标准度一般，且数量一般的得3分； </w:t>
      </w:r>
      <w:r>
        <w:rPr>
          <w:rFonts w:hint="eastAsia" w:ascii="宋体" w:hAnsi="宋体" w:eastAsia="宋体" w:cs="宋体"/>
          <w:bCs/>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suppressLineNumbers w:val="0"/>
      </w:pPr>
      <w:r>
        <w:rPr>
          <w:rFonts w:hint="eastAsia" w:ascii="宋体" w:hAnsi="宋体" w:eastAsia="宋体" w:cs="宋体"/>
          <w:bCs/>
          <w:color w:val="000000"/>
          <w:sz w:val="24"/>
          <w:szCs w:val="24"/>
          <w:highlight w:val="none"/>
          <w:lang w:val="en-US" w:eastAsia="zh-CN"/>
        </w:rPr>
        <w:t xml:space="preserve">制作实施图纸信息不完整，规范要求不标准，且数量较少得1分。</w:t>
      </w:r>
      <w:r>
        <w:rPr>
          <w:rFonts w:hint="eastAsia" w:ascii="宋体" w:hAnsi="宋体" w:eastAsia="宋体" w:cs="宋体"/>
          <w:bCs/>
          <w:color w:val="000000"/>
          <w:sz w:val="24"/>
          <w:szCs w:val="24"/>
          <w:highlight w:val="none"/>
          <w:lang w:val="en-US" w:eastAsia="zh-CN"/>
        </w:rPr>
      </w:r>
      <w:r/>
    </w:p>
    <w:p>
      <w:pPr>
        <w:pStyle w:val="712"/>
        <w:numPr>
          <w:ilvl w:val="0"/>
          <w:numId w:val="0"/>
        </w:numPr>
        <w:ind w:firstLine="480"/>
        <w:jc w:val="both"/>
        <w:keepLines w:val="0"/>
        <w:keepNext w:val="0"/>
        <w:pageBreakBefore w:val="0"/>
        <w:spacing w:line="360" w:lineRule="auto"/>
        <w:widowControl/>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未提供的不得分。   </w:t>
      </w:r>
      <w:r>
        <w:rPr>
          <w:rFonts w:hint="eastAsia" w:ascii="宋体" w:hAnsi="宋体" w:eastAsia="宋体" w:cs="宋体"/>
          <w:b/>
          <w:bCs w:val="0"/>
          <w:color w:val="000000"/>
          <w:sz w:val="24"/>
          <w:szCs w:val="24"/>
          <w:highlight w:val="none"/>
          <w:lang w:val="en-US" w:eastAsia="zh-CN"/>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
          <w:bCs w:val="0"/>
          <w:color w:val="000000"/>
          <w:sz w:val="24"/>
          <w:szCs w:val="24"/>
          <w:highlight w:val="none"/>
          <w:lang w:val="en-US" w:eastAsia="zh-CN" w:bidi="ar"/>
        </w:rPr>
        <w:outlineLvl w:val="9"/>
        <w:suppressLineNumbers w:val="0"/>
      </w:pP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en-US" w:eastAsia="zh-CN" w:bidi="ar"/>
        </w:rPr>
        <w:t xml:space="preserve">项目实施方案（3分）</w:t>
      </w:r>
      <w:r>
        <w:rPr>
          <w:rFonts w:hint="eastAsia" w:ascii="宋体" w:hAnsi="宋体" w:eastAsia="宋体" w:cs="宋体"/>
          <w:b/>
          <w:bCs w:val="0"/>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rPr>
        <w:outlineLvl w:val="9"/>
        <w:suppressLineNumbers w:val="0"/>
      </w:pPr>
      <w:r>
        <w:rPr>
          <w:rFonts w:hint="eastAsia" w:ascii="宋体" w:hAnsi="宋体" w:eastAsia="宋体" w:cs="宋体"/>
          <w:bCs/>
          <w:color w:val="000000"/>
          <w:sz w:val="24"/>
          <w:szCs w:val="24"/>
          <w:highlight w:val="none"/>
          <w:lang w:val="en-US" w:eastAsia="zh-CN" w:bidi="ar"/>
        </w:rPr>
        <w:t xml:space="preserve">包含本项目的总体部署方案、安装实施方案等；</w:t>
      </w:r>
      <w:r>
        <w:rPr>
          <w:rFonts w:hint="eastAsia" w:ascii="宋体" w:hAnsi="宋体" w:eastAsia="宋体" w:cs="宋体"/>
          <w:bCs/>
          <w:color w:val="000000"/>
          <w:sz w:val="24"/>
          <w:szCs w:val="24"/>
          <w:highlight w:val="none"/>
          <w:lang w:val="en-US"/>
        </w:rPr>
      </w:r>
      <w:r/>
    </w:p>
    <w:p>
      <w:pPr>
        <w:pStyle w:val="712"/>
        <w:numPr>
          <w:ilvl w:val="0"/>
          <w:numId w:val="0"/>
        </w:numPr>
        <w:ind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上述内容需全面完善、描述详细、切实可行有效，每有一项内容进行了阐述且符合实际要求，内容全面可行的得3分；</w:t>
      </w:r>
      <w:r>
        <w:rPr>
          <w:rFonts w:hint="eastAsia" w:ascii="宋体" w:hAnsi="宋体" w:eastAsia="宋体" w:cs="宋体"/>
          <w:bCs/>
          <w:color w:val="000000"/>
          <w:sz w:val="24"/>
          <w:szCs w:val="24"/>
          <w:highlight w:val="none"/>
          <w:lang w:val="en-US" w:eastAsia="zh-CN" w:bidi="ar"/>
        </w:rPr>
      </w:r>
      <w:r/>
    </w:p>
    <w:p>
      <w:pPr>
        <w:pStyle w:val="712"/>
        <w:numPr>
          <w:ilvl w:val="0"/>
          <w:numId w:val="0"/>
        </w:numPr>
        <w:ind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内容安排相对完善、基本可行、较为符合实际情况的得2分；</w:t>
      </w:r>
      <w:r>
        <w:rPr>
          <w:rFonts w:hint="eastAsia" w:ascii="宋体" w:hAnsi="宋体" w:eastAsia="宋体" w:cs="宋体"/>
          <w:bCs/>
          <w:color w:val="000000"/>
          <w:sz w:val="24"/>
          <w:szCs w:val="24"/>
          <w:highlight w:val="none"/>
        </w:rPr>
      </w:r>
      <w:r/>
    </w:p>
    <w:p>
      <w:pPr>
        <w:pStyle w:val="712"/>
        <w:numPr>
          <w:ilvl w:val="0"/>
          <w:numId w:val="0"/>
        </w:numPr>
        <w:ind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内容空泛，有待完善且针对性一般的，得1分；</w:t>
      </w:r>
      <w:r>
        <w:rPr>
          <w:rFonts w:hint="eastAsia" w:ascii="宋体" w:hAnsi="宋体" w:eastAsia="宋体" w:cs="宋体"/>
          <w:bCs/>
          <w:color w:val="000000"/>
          <w:sz w:val="24"/>
          <w:szCs w:val="24"/>
          <w:highlight w:val="none"/>
        </w:rPr>
      </w:r>
      <w:r/>
    </w:p>
    <w:p>
      <w:pPr>
        <w:pStyle w:val="712"/>
        <w:numPr>
          <w:ilvl w:val="0"/>
          <w:numId w:val="0"/>
        </w:numPr>
        <w:ind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未进行阐述或存在逻辑错误、前后矛盾或存在违反现行相关规范的，该条不得分。</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
          <w:bCs w:val="0"/>
          <w:color w:val="000000"/>
          <w:sz w:val="24"/>
          <w:szCs w:val="24"/>
          <w:highlight w:val="none"/>
          <w:lang w:val="en-US" w:eastAsia="zh-CN" w:bidi="ar"/>
        </w:rPr>
        <w:outlineLvl w:val="9"/>
        <w:suppressLineNumbers w:val="0"/>
      </w:pPr>
      <w:r>
        <w:rPr>
          <w:rFonts w:hint="eastAsia" w:ascii="宋体" w:hAnsi="宋体" w:eastAsia="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lang w:val="en-US" w:eastAsia="zh-CN" w:bidi="ar"/>
        </w:rPr>
        <w:t xml:space="preserve">质量保证措施（2分）</w:t>
      </w:r>
      <w:r>
        <w:rPr>
          <w:rFonts w:hint="eastAsia" w:ascii="宋体" w:hAnsi="宋体" w:eastAsia="宋体" w:cs="宋体"/>
          <w:b/>
          <w:bCs w:val="0"/>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rPr>
        <w:outlineLvl w:val="9"/>
        <w:suppressLineNumbers w:val="0"/>
      </w:pPr>
      <w:r>
        <w:rPr>
          <w:rFonts w:hint="eastAsia" w:ascii="宋体" w:hAnsi="宋体" w:eastAsia="宋体" w:cs="宋体"/>
          <w:bCs/>
          <w:color w:val="000000"/>
          <w:sz w:val="24"/>
          <w:szCs w:val="24"/>
          <w:highlight w:val="none"/>
          <w:lang w:val="en-US" w:eastAsia="zh-CN" w:bidi="ar"/>
        </w:rPr>
        <w:t xml:space="preserve">包含本项目的质量目标及管控措施、质量保证措施等；</w:t>
      </w:r>
      <w:r>
        <w:rPr>
          <w:rFonts w:hint="eastAsia" w:ascii="宋体" w:hAnsi="宋体" w:eastAsia="宋体" w:cs="宋体"/>
          <w:bCs/>
          <w:color w:val="000000"/>
          <w:sz w:val="24"/>
          <w:szCs w:val="24"/>
          <w:highlight w:val="none"/>
          <w:lang w:val="en-US"/>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上述内容需全面完善、描述详细、切实可行有效，每有一项内容进行了阐述且符合实际要求，内容全面可行的得2分；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内容安排相对完善、基本可行、较为符合实际情况的得1分；</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内容空泛，有待完善且针对性一般的，得0.5分；</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未进行阐述或存在逻辑错误、前后矛盾或存在违反现行相关规范的，该条不得分。</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
          <w:bCs w:val="0"/>
          <w:color w:val="000000"/>
          <w:sz w:val="24"/>
          <w:szCs w:val="24"/>
          <w:highlight w:val="none"/>
          <w:lang w:val="en-US" w:eastAsia="zh-CN" w:bidi="ar"/>
        </w:rPr>
        <w:outlineLvl w:val="9"/>
        <w:suppressLineNumbers w:val="0"/>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en-US" w:eastAsia="zh-CN" w:bidi="ar"/>
        </w:rPr>
        <w:t xml:space="preserve">应急措施（2分）</w:t>
      </w:r>
      <w:r>
        <w:rPr>
          <w:rFonts w:hint="eastAsia" w:ascii="宋体" w:hAnsi="宋体" w:eastAsia="宋体" w:cs="宋体"/>
          <w:b/>
          <w:bCs w:val="0"/>
          <w:color w:val="000000"/>
          <w:sz w:val="24"/>
          <w:szCs w:val="24"/>
          <w:highlight w:val="none"/>
          <w:lang w:val="en-US" w:eastAsia="zh-CN" w:bidi="ar"/>
        </w:rPr>
      </w:r>
      <w:r/>
    </w:p>
    <w:p>
      <w:pPr>
        <w:pStyle w:val="712"/>
        <w:numPr>
          <w:ilvl w:val="0"/>
          <w:numId w:val="0"/>
        </w:numPr>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bidi="ar"/>
        </w:rPr>
        <w:t xml:space="preserve">包含本项目的触电、火灾、噪声污染，固体废弃物应急措施等</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上述内容需全面完善、描述详细、切实可行有效，内容进行了阐述且符合实际要求，内容全面可行的得2分；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内容安排相对完善、基本可行、较为符合实际情况的得1分；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内容空泛，有待完善且针对性一般的，得0.5分；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未进行阐述或存在逻辑错误、前后矛盾或存在违反现行相关规范的，该条不得分。</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
          <w:bCs w:val="0"/>
          <w:color w:val="000000"/>
          <w:sz w:val="24"/>
          <w:szCs w:val="24"/>
          <w:highlight w:val="none"/>
          <w:lang w:val="en-US" w:eastAsia="zh-CN" w:bidi="ar"/>
        </w:rPr>
        <w:outlineLvl w:val="9"/>
        <w:suppressLineNumbers w:val="0"/>
      </w:pP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val="en-US" w:eastAsia="zh-CN" w:bidi="ar"/>
        </w:rPr>
        <w:t xml:space="preserve">售后服务方案（3分）</w:t>
      </w:r>
      <w:r>
        <w:rPr>
          <w:rFonts w:hint="eastAsia" w:ascii="宋体" w:hAnsi="宋体" w:eastAsia="宋体" w:cs="宋体"/>
          <w:b/>
          <w:bCs w:val="0"/>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rPr>
        <w:outlineLvl w:val="9"/>
        <w:suppressLineNumbers w:val="0"/>
      </w:pPr>
      <w:r>
        <w:rPr>
          <w:rFonts w:hint="eastAsia" w:ascii="宋体" w:hAnsi="宋体" w:eastAsia="宋体" w:cs="宋体"/>
          <w:bCs/>
          <w:color w:val="000000"/>
          <w:sz w:val="24"/>
          <w:szCs w:val="24"/>
          <w:highlight w:val="none"/>
          <w:lang w:val="en-US" w:eastAsia="zh-CN" w:bidi="ar"/>
        </w:rPr>
        <w:t xml:space="preserve">包含本项目的售后服务方案及紧急故障处理预案等 </w:t>
      </w:r>
      <w:r>
        <w:rPr>
          <w:rFonts w:hint="eastAsia" w:ascii="宋体" w:hAnsi="宋体" w:eastAsia="宋体" w:cs="宋体"/>
          <w:bCs/>
          <w:color w:val="000000"/>
          <w:sz w:val="24"/>
          <w:szCs w:val="24"/>
          <w:highlight w:val="none"/>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上述内容需全面完善、描述详细、切实可行有效，每有一项内容进行了阐述且符合实际要求，内容全面可行的得3分；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内容安排相对完善、基本可行、较为符合实际情况的得2分；</w:t>
      </w:r>
      <w:r>
        <w:rPr>
          <w:rFonts w:hint="eastAsia" w:ascii="宋体" w:hAnsi="宋体" w:eastAsia="宋体" w:cs="宋体"/>
          <w:bCs/>
          <w:color w:val="000000"/>
          <w:sz w:val="24"/>
          <w:szCs w:val="24"/>
          <w:highlight w:val="none"/>
          <w:lang w:val="en-US" w:eastAsia="zh-CN" w:bidi="ar"/>
        </w:rPr>
      </w:r>
      <w:r/>
    </w:p>
    <w:p>
      <w:pPr>
        <w:pStyle w:val="712"/>
        <w:numPr>
          <w:ilvl w:val="0"/>
          <w:numId w:val="0"/>
        </w:numPr>
        <w:ind w:left="0" w:right="0" w:firstLine="480"/>
        <w:jc w:val="both"/>
        <w:keepLines w:val="0"/>
        <w:keepNext w:val="0"/>
        <w:spacing w:before="0" w:beforeAutospacing="0" w:after="0" w:afterAutospacing="0" w:line="360" w:lineRule="auto"/>
        <w:widowControl/>
        <w:tabs>
          <w:tab w:val="left" w:pos="945" w:leader="none"/>
          <w:tab w:val="left" w:pos="1155" w:leader="none"/>
        </w:tabs>
        <w:rPr>
          <w:rFonts w:hint="eastAsia" w:ascii="宋体" w:hAnsi="宋体" w:eastAsia="宋体" w:cs="宋体"/>
          <w:bCs/>
          <w:color w:val="000000"/>
          <w:sz w:val="24"/>
          <w:szCs w:val="24"/>
          <w:highlight w:val="none"/>
          <w:lang w:val="en-US" w:eastAsia="zh-CN" w:bidi="ar"/>
        </w:rPr>
        <w:outlineLvl w:val="9"/>
        <w:suppressLineNumbers w:val="0"/>
      </w:pPr>
      <w:r>
        <w:rPr>
          <w:rFonts w:hint="eastAsia" w:ascii="宋体" w:hAnsi="宋体" w:eastAsia="宋体" w:cs="宋体"/>
          <w:bCs/>
          <w:color w:val="000000"/>
          <w:sz w:val="24"/>
          <w:szCs w:val="24"/>
          <w:highlight w:val="none"/>
          <w:lang w:val="en-US" w:eastAsia="zh-CN" w:bidi="ar"/>
        </w:rPr>
        <w:t xml:space="preserve">内容空泛，有待完善且针对性一般的，得0.5分；</w:t>
      </w:r>
      <w:r>
        <w:rPr>
          <w:rFonts w:hint="eastAsia" w:ascii="宋体" w:hAnsi="宋体" w:eastAsia="宋体" w:cs="宋体"/>
          <w:bCs/>
          <w:color w:val="000000"/>
          <w:sz w:val="24"/>
          <w:szCs w:val="24"/>
          <w:highlight w:val="none"/>
          <w:lang w:val="en-US" w:eastAsia="zh-CN" w:bidi="ar"/>
        </w:rPr>
      </w:r>
      <w:r/>
    </w:p>
    <w:p>
      <w:pPr>
        <w:pStyle w:val="712"/>
        <w:numPr>
          <w:ilvl w:val="0"/>
          <w:numId w:val="0"/>
        </w:numPr>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bidi="ar"/>
        </w:rPr>
        <w:t xml:space="preserve">未进行阐述或存在逻辑错误、前后矛盾或存在违反现行相关规范的，该条不得分。</w:t>
      </w:r>
      <w:r>
        <w:rPr>
          <w:rFonts w:hint="eastAsia" w:ascii="宋体" w:hAnsi="宋体" w:eastAsia="宋体" w:cs="宋体"/>
          <w:bCs/>
          <w:color w:val="000000"/>
          <w:sz w:val="24"/>
          <w:szCs w:val="24"/>
          <w:highlight w:val="none"/>
          <w:lang w:val="en-US" w:eastAsia="zh-CN"/>
        </w:rPr>
      </w:r>
      <w:r/>
    </w:p>
    <w:p>
      <w:pPr>
        <w:pStyle w:val="712"/>
        <w:ind w:firstLine="482"/>
        <w:spacing w:line="360" w:lineRule="auto"/>
        <w:rPr>
          <w:rFonts w:hint="eastAsia" w:ascii="宋体" w:hAnsi="宋体"/>
          <w:b/>
          <w:bCs/>
          <w:sz w:val="24"/>
          <w:highlight w:val="none"/>
        </w:rPr>
      </w:pPr>
      <w:r/>
      <w:bookmarkEnd w:id="181"/>
      <w:r>
        <w:rPr>
          <w:rFonts w:hint="eastAsia" w:ascii="宋体" w:hAnsi="宋体"/>
          <w:b/>
          <w:bCs/>
          <w:sz w:val="24"/>
          <w:highlight w:val="none"/>
        </w:rPr>
      </w:r>
      <w:r/>
    </w:p>
    <w:p>
      <w:pPr>
        <w:pStyle w:val="860"/>
        <w:rPr>
          <w:rFonts w:hint="eastAsia"/>
          <w:color w:val="000000"/>
          <w:highlight w:val="none"/>
          <w:lang w:eastAsia="zh-CN" w:bidi="ar"/>
        </w:rPr>
      </w:pPr>
      <w:r>
        <w:rPr>
          <w:rFonts w:ascii="宋体" w:hAnsi="宋体"/>
          <w:color w:val="000000"/>
          <w:highlight w:val="none"/>
          <w:shd w:val="clear" w:color="ffffff" w:fill="d9d9d9"/>
          <w:lang w:eastAsia="zh-CN"/>
        </w:rPr>
        <w:br w:type="page" w:clear="all"/>
      </w:r>
      <w:r>
        <w:rPr>
          <w:rFonts w:hint="eastAsia"/>
          <w:color w:val="000000"/>
          <w:highlight w:val="none"/>
          <w:lang w:eastAsia="zh-CN" w:bidi="ar"/>
        </w:rPr>
      </w:r>
      <w:r/>
    </w:p>
    <w:p>
      <w:pPr>
        <w:pStyle w:val="712"/>
        <w:jc w:val="center"/>
        <w:spacing w:line="500" w:lineRule="exact"/>
        <w:tabs>
          <w:tab w:val="left" w:pos="1440" w:leader="none"/>
        </w:tabs>
        <w:rPr>
          <w:rFonts w:ascii="黑体" w:hAnsi="黑体" w:eastAsia="黑体"/>
          <w:color w:val="000000"/>
          <w:sz w:val="36"/>
          <w:szCs w:val="36"/>
          <w:highlight w:val="none"/>
        </w:rPr>
        <w:outlineLvl w:val="0"/>
      </w:pPr>
      <w:r>
        <w:rPr>
          <w:rFonts w:hint="eastAsia" w:ascii="黑体" w:hAnsi="黑体" w:eastAsia="黑体"/>
          <w:color w:val="000000"/>
          <w:sz w:val="36"/>
          <w:szCs w:val="36"/>
          <w:highlight w:val="none"/>
        </w:rPr>
        <w:t xml:space="preserve">第六章  </w:t>
      </w:r>
      <w:bookmarkEnd w:id="176"/>
      <w:r/>
      <w:bookmarkEnd w:id="177"/>
      <w:r/>
      <w:bookmarkEnd w:id="180"/>
      <w:r>
        <w:rPr>
          <w:rFonts w:hint="eastAsia" w:ascii="黑体" w:hAnsi="黑体" w:eastAsia="黑体"/>
          <w:color w:val="000000"/>
          <w:sz w:val="36"/>
          <w:szCs w:val="36"/>
          <w:highlight w:val="none"/>
        </w:rPr>
        <w:t xml:space="preserve">投标文件内容与格式</w:t>
      </w:r>
      <w:r>
        <w:rPr>
          <w:rFonts w:ascii="黑体" w:hAnsi="黑体" w:eastAsia="黑体"/>
          <w:color w:val="000000"/>
          <w:sz w:val="36"/>
          <w:szCs w:val="36"/>
          <w:highlight w:val="none"/>
        </w:rPr>
      </w:r>
      <w:r/>
    </w:p>
    <w:p>
      <w:pPr>
        <w:pStyle w:val="1071"/>
        <w:ind w:firstLine="602"/>
        <w:spacing w:before="0" w:after="0" w:line="500" w:lineRule="exact"/>
        <w:rPr>
          <w:rFonts w:cs="Arial"/>
          <w:b/>
          <w:color w:val="000000"/>
          <w:sz w:val="30"/>
          <w:szCs w:val="30"/>
          <w:highlight w:val="none"/>
        </w:rPr>
      </w:pPr>
      <w:r/>
      <w:bookmarkStart w:id="183" w:name="_Hlt26671244"/>
      <w:r/>
      <w:bookmarkEnd w:id="183"/>
      <w:r/>
      <w:bookmarkStart w:id="184" w:name="_Hlt26955039"/>
      <w:r/>
      <w:bookmarkEnd w:id="184"/>
      <w:r/>
      <w:bookmarkStart w:id="185" w:name="_Toc49090576"/>
      <w:r/>
      <w:bookmarkStart w:id="186" w:name="_Toc120614282"/>
      <w:r/>
      <w:bookmarkStart w:id="187" w:name="_Toc26554094"/>
      <w:r>
        <w:rPr>
          <w:rFonts w:hint="eastAsia" w:cs="Arial"/>
          <w:b/>
          <w:color w:val="000000"/>
          <w:sz w:val="30"/>
          <w:szCs w:val="30"/>
          <w:highlight w:val="none"/>
        </w:rPr>
        <w:t xml:space="preserve">第一部分  投标文件内容</w:t>
      </w:r>
      <w:r>
        <w:rPr>
          <w:rFonts w:cs="Arial"/>
          <w:b/>
          <w:color w:val="000000"/>
          <w:sz w:val="30"/>
          <w:szCs w:val="30"/>
          <w:highlight w:val="none"/>
        </w:rPr>
      </w:r>
      <w:r/>
    </w:p>
    <w:p>
      <w:pPr>
        <w:pStyle w:val="1071"/>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W w:w="6104" w:type="dxa"/>
            <w:vAlign w:val="center"/>
            <w:textDirection w:val="lrTb"/>
            <w:noWrap/>
          </w:tcPr>
          <w:p>
            <w:pPr>
              <w:pStyle w:val="1071"/>
              <w:ind w:firstLine="48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宋体" w:hAnsi="宋体" w:eastAsia="宋体" w:cs="宋体"/>
                <w:b/>
                <w:color w:val="000000"/>
                <w:sz w:val="24"/>
                <w:szCs w:val="24"/>
                <w:highlight w:val="none"/>
                <w:lang w:val="en-US" w:eastAsia="zh-CN" w:bidi="ar-SA"/>
              </w:rPr>
            </w:r>
            <w:r/>
          </w:p>
        </w:tc>
        <w:tc>
          <w:tcPr>
            <w:tcW w:w="2449" w:type="dxa"/>
            <w:vAlign w:val="center"/>
            <w:textDirection w:val="lrTb"/>
            <w:noWrap/>
          </w:tcPr>
          <w:p>
            <w:pPr>
              <w:pStyle w:val="1071"/>
              <w:ind w:firstLine="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审查因素</w:t>
            </w:r>
            <w:r>
              <w:rPr>
                <w:rFonts w:hint="eastAsia" w:ascii="宋体" w:hAnsi="宋体" w:eastAsia="宋体" w:cs="宋体"/>
                <w:b/>
                <w:color w:val="000000"/>
                <w:sz w:val="24"/>
                <w:szCs w:val="24"/>
                <w:highlight w:val="none"/>
                <w:lang w:val="en-US" w:eastAsia="zh-CN" w:bidi="ar-SA"/>
              </w:rPr>
            </w:r>
            <w:r/>
          </w:p>
        </w:tc>
      </w:tr>
      <w:tr>
        <w:trPr>
          <w:cantSplit/>
          <w:trHeight w:val="1335"/>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71"/>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zh-CN" w:bidi="ar-SA"/>
              </w:rPr>
            </w:r>
            <w:r/>
          </w:p>
        </w:tc>
        <w:tc>
          <w:tcPr>
            <w:tcW w:w="2449" w:type="dxa"/>
            <w:vAlign w:val="center"/>
            <w:vMerge w:val="restart"/>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满足《中华人民共和国政府采购法》第二十二条规定</w:t>
            </w:r>
            <w:r>
              <w:rPr>
                <w:rFonts w:hint="eastAsia" w:ascii="宋体" w:hAnsi="宋体" w:eastAsia="宋体" w:cs="宋体"/>
                <w:color w:val="000000"/>
                <w:sz w:val="24"/>
                <w:szCs w:val="24"/>
                <w:highlight w:val="none"/>
                <w:lang w:val="en-US" w:eastAsia="zh-CN" w:bidi="ar-SA"/>
              </w:rPr>
            </w:r>
            <w:r/>
          </w:p>
        </w:tc>
      </w:tr>
      <w:tr>
        <w:trPr>
          <w:cantSplit/>
          <w:trHeight w:val="812"/>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71"/>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《授权委托书》（给定格式；投标人法定代表人</w:t>
            </w:r>
            <w:r>
              <w:rPr>
                <w:rFonts w:ascii="宋体" w:hAnsi="宋体" w:eastAsia="宋体" w:cs="宋体"/>
                <w:color w:val="000000"/>
                <w:sz w:val="24"/>
                <w:szCs w:val="24"/>
                <w:highlight w:val="none"/>
                <w:lang w:val="en-US" w:eastAsia="zh-CN" w:bidi="ar-SA"/>
              </w:rPr>
              <w:t xml:space="preserve">亲自参加的</w:t>
            </w:r>
            <w:r>
              <w:rPr>
                <w:rFonts w:hint="eastAsia" w:ascii="宋体" w:hAnsi="宋体" w:eastAsia="宋体" w:cs="宋体"/>
                <w:color w:val="000000"/>
                <w:sz w:val="24"/>
                <w:szCs w:val="24"/>
                <w:highlight w:val="none"/>
                <w:lang w:val="en-US" w:eastAsia="zh-CN" w:bidi="ar-SA"/>
              </w:rPr>
              <w:t xml:space="preserve">，可不提供）。</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684"/>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71"/>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921"/>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63"/>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71"/>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投标人近三个月中任意一个月份（不含投标当月）的依法缴纳税收的相关材料（提供相关主管部门证明或银行代扣证明）。</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023"/>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71"/>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投标人近三个月中任意一个月份（不含投标当月）的依法缴纳社会保障资金的相关材料（提供相关主管部门证明或银行代扣证明）。</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5"/>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71"/>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《资格声明函》（给定格式）。</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00"/>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满足中小企业政策的证明文件（如有中小企业政策要求的）。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落实政府采购政策需满足的资格要求，详见第一章《投标邀请》</w:t>
            </w:r>
            <w:r>
              <w:rPr>
                <w:rFonts w:hint="eastAsia" w:ascii="宋体" w:hAnsi="宋体" w:eastAsia="宋体" w:cs="宋体"/>
                <w:color w:val="000000"/>
                <w:sz w:val="24"/>
                <w:szCs w:val="24"/>
                <w:highlight w:val="none"/>
                <w:lang w:val="en-US" w:eastAsia="zh-CN" w:bidi="ar-SA"/>
              </w:rPr>
            </w:r>
            <w:r/>
          </w:p>
        </w:tc>
      </w:tr>
      <w:tr>
        <w:trPr>
          <w:trHeight w:val="726"/>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lang w:val="en-US" w:eastAsia="zh-CN" w:bidi="ar-SA"/>
              </w:rPr>
            </w:r>
            <w:r/>
          </w:p>
        </w:tc>
        <w:tc>
          <w:tcPr>
            <w:tcW w:w="6104" w:type="dxa"/>
            <w:vAlign w:val="center"/>
            <w:textDirection w:val="lrTb"/>
            <w:noWrap/>
          </w:tcPr>
          <w:p>
            <w:pPr>
              <w:pStyle w:val="1071"/>
              <w:ind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本项目要求的特定资格证明</w:t>
            </w:r>
            <w:r>
              <w:rPr>
                <w:rFonts w:hint="eastAsia" w:ascii="宋体" w:hAnsi="宋体" w:eastAsia="宋体" w:cs="宋体"/>
                <w:color w:val="000000"/>
                <w:sz w:val="24"/>
                <w:szCs w:val="24"/>
                <w:highlight w:val="none"/>
                <w:lang w:val="en-US" w:eastAsia="zh-CN" w:bidi="ar-SA"/>
              </w:rPr>
              <w:t xml:space="preserve">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特定资格要求的）。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tcPr>
          <w:p>
            <w:pPr>
              <w:pStyle w:val="1071"/>
              <w:ind w:firstLine="0"/>
              <w:jc w:val="left"/>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特定资格要求，详见第一章《投标邀请》</w:t>
            </w:r>
            <w:r>
              <w:rPr>
                <w:rFonts w:hint="eastAsia" w:ascii="宋体" w:hAnsi="宋体" w:eastAsia="宋体" w:cs="宋体"/>
                <w:bCs/>
                <w:color w:val="000000"/>
                <w:sz w:val="24"/>
                <w:szCs w:val="24"/>
                <w:highlight w:val="none"/>
                <w:lang w:val="en-US" w:eastAsia="zh-CN" w:bidi="ar-SA"/>
              </w:rPr>
            </w:r>
            <w:r/>
          </w:p>
        </w:tc>
      </w:tr>
      <w:tr>
        <w:trPr>
          <w:trHeight w:val="632"/>
        </w:trPr>
        <w:tc>
          <w:tcPr>
            <w:tcW w:w="719" w:type="dxa"/>
            <w:vAlign w:val="center"/>
            <w:textDirection w:val="lrTb"/>
            <w:noWrap/>
          </w:tcPr>
          <w:p>
            <w:pPr>
              <w:pStyle w:val="1071"/>
              <w:ind w:firstLine="0"/>
              <w:jc w:val="center"/>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9</w:t>
            </w:r>
            <w:r>
              <w:rPr>
                <w:rFonts w:hint="eastAsia" w:ascii="宋体" w:hAnsi="宋体" w:eastAsia="宋体" w:cs="宋体"/>
                <w:bCs/>
                <w:color w:val="000000"/>
                <w:sz w:val="24"/>
                <w:szCs w:val="24"/>
                <w:highlight w:val="none"/>
                <w:lang w:val="en-US" w:eastAsia="zh-CN" w:bidi="ar-SA"/>
              </w:rPr>
            </w:r>
            <w:r/>
          </w:p>
        </w:tc>
        <w:tc>
          <w:tcPr>
            <w:gridSpan w:val="2"/>
            <w:tcW w:w="8553" w:type="dxa"/>
            <w:vAlign w:val="center"/>
            <w:textDirection w:val="lrTb"/>
            <w:noWrap/>
          </w:tcPr>
          <w:p>
            <w:pPr>
              <w:pStyle w:val="1071"/>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《联合体协议》（</w:t>
            </w:r>
            <w:r>
              <w:rPr>
                <w:rFonts w:hint="eastAsia" w:ascii="宋体" w:hAnsi="宋体" w:eastAsia="宋体" w:cs="宋体"/>
                <w:color w:val="000000"/>
                <w:sz w:val="24"/>
                <w:szCs w:val="24"/>
                <w:highlight w:val="none"/>
                <w:lang w:val="en-US" w:eastAsia="zh-CN" w:bidi="ar-SA"/>
              </w:rPr>
              <w:t xml:space="preserve">如接受联合体投标且投标人为联合体时须提供</w:t>
            </w:r>
            <w:r>
              <w:rPr>
                <w:rFonts w:hint="eastAsia" w:ascii="宋体" w:hAnsi="宋体" w:eastAsia="宋体" w:cs="宋体"/>
                <w:bCs/>
                <w:color w:val="000000"/>
                <w:sz w:val="24"/>
                <w:szCs w:val="24"/>
                <w:highlight w:val="none"/>
                <w:lang w:val="en-US" w:eastAsia="zh-CN" w:bidi="ar-SA"/>
              </w:rPr>
              <w:t xml:space="preserve">，格式自拟）。</w:t>
            </w:r>
            <w:r>
              <w:rPr>
                <w:rFonts w:hint="eastAsia" w:ascii="宋体" w:hAnsi="宋体" w:eastAsia="宋体" w:cs="宋体"/>
                <w:color w:val="000000"/>
                <w:sz w:val="24"/>
                <w:szCs w:val="24"/>
                <w:highlight w:val="none"/>
                <w:lang w:val="en-US" w:eastAsia="zh-CN" w:bidi="ar-SA"/>
              </w:rPr>
            </w:r>
            <w:r/>
          </w:p>
        </w:tc>
      </w:tr>
    </w:tbl>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12"/>
        <w:numPr>
          <w:ilvl w:val="0"/>
          <w:numId w:val="6"/>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1～8项必须全部按要求提供（有给定格式的，必须按给定格式的要求正确填报并提供，相应格式见本章第二部分），否则投标文件无效。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712"/>
        <w:numPr>
          <w:ilvl w:val="0"/>
          <w:numId w:val="6"/>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712"/>
        <w:numPr>
          <w:ilvl w:val="0"/>
          <w:numId w:val="6"/>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ascii="宋体" w:hAnsi="宋体"/>
          <w:color w:val="000000"/>
          <w:sz w:val="24"/>
          <w:szCs w:val="24"/>
          <w:highlight w:val="none"/>
        </w:rPr>
      </w:r>
      <w:r/>
    </w:p>
    <w:p>
      <w:pPr>
        <w:pStyle w:val="712"/>
        <w:numPr>
          <w:ilvl w:val="0"/>
          <w:numId w:val="6"/>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ascii="宋体" w:hAnsi="宋体"/>
          <w:color w:val="000000"/>
          <w:sz w:val="24"/>
          <w:szCs w:val="24"/>
          <w:highlight w:val="none"/>
        </w:rPr>
      </w:r>
      <w:r/>
    </w:p>
    <w:p>
      <w:pPr>
        <w:pStyle w:val="712"/>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p>
      <w:pPr>
        <w:pStyle w:val="712"/>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tcPr>
          <w:p>
            <w:pPr>
              <w:pStyle w:val="1071"/>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序号</w:t>
            </w:r>
            <w:r>
              <w:rPr>
                <w:rFonts w:ascii="Arial" w:hAnsi="Arial" w:eastAsia="宋体" w:cs="Arial"/>
                <w:b/>
                <w:color w:val="000000"/>
                <w:sz w:val="24"/>
                <w:szCs w:val="24"/>
                <w:highlight w:val="none"/>
                <w:lang w:val="en-US" w:eastAsia="zh-CN" w:bidi="ar-SA"/>
              </w:rPr>
            </w:r>
            <w:r/>
          </w:p>
        </w:tc>
        <w:tc>
          <w:tcPr>
            <w:tcW w:w="6095" w:type="dxa"/>
            <w:vAlign w:val="center"/>
            <w:textDirection w:val="lrTb"/>
            <w:noWrap/>
          </w:tcPr>
          <w:p>
            <w:pPr>
              <w:pStyle w:val="1071"/>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ascii="Arial" w:hAnsi="Arial" w:eastAsia="宋体" w:cs="Arial"/>
                <w:b/>
                <w:color w:val="000000"/>
                <w:sz w:val="24"/>
                <w:szCs w:val="24"/>
                <w:highlight w:val="none"/>
                <w:lang w:val="en-US" w:eastAsia="zh-CN" w:bidi="ar-SA"/>
              </w:rPr>
            </w:r>
            <w:r/>
          </w:p>
        </w:tc>
        <w:tc>
          <w:tcPr>
            <w:tcW w:w="1979" w:type="dxa"/>
            <w:vAlign w:val="center"/>
            <w:textDirection w:val="lrTb"/>
            <w:noWrap/>
          </w:tcPr>
          <w:p>
            <w:pPr>
              <w:pStyle w:val="1071"/>
              <w:ind w:firstLine="0"/>
              <w:jc w:val="center"/>
              <w:spacing w:before="0" w:after="0" w:line="240" w:lineRule="auto"/>
              <w:widowControl w:val="off"/>
              <w:rPr>
                <w:rFonts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审查因素</w:t>
            </w:r>
            <w:r>
              <w:rPr>
                <w:rFonts w:ascii="Arial" w:hAnsi="Arial" w:eastAsia="宋体" w:cs="Arial"/>
                <w:b/>
                <w:color w:val="000000"/>
                <w:sz w:val="24"/>
                <w:szCs w:val="24"/>
                <w:highlight w:val="none"/>
                <w:lang w:val="en-US" w:eastAsia="zh-CN" w:bidi="ar-SA"/>
              </w:rPr>
            </w:r>
            <w:r/>
          </w:p>
        </w:tc>
      </w:tr>
      <w:tr>
        <w:trPr>
          <w:cantSplit/>
          <w:trHeight w:val="567"/>
        </w:trPr>
        <w:tc>
          <w:tcPr>
            <w:tcW w:w="823" w:type="dxa"/>
            <w:vAlign w:val="center"/>
            <w:textDirection w:val="lrTb"/>
            <w:noWrap/>
          </w:tcPr>
          <w:p>
            <w:pPr>
              <w:pStyle w:val="1071"/>
              <w:ind w:firstLine="0"/>
              <w:jc w:val="center"/>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1</w:t>
            </w:r>
            <w:r>
              <w:rPr>
                <w:rFonts w:ascii="宋体" w:hAnsi="宋体" w:eastAsia="宋体" w:cs="Arial"/>
                <w:color w:val="000000"/>
                <w:sz w:val="24"/>
                <w:szCs w:val="24"/>
                <w:highlight w:val="none"/>
                <w:lang w:val="en-US" w:eastAsia="zh-CN" w:bidi="ar-SA"/>
              </w:rPr>
            </w:r>
            <w:r/>
          </w:p>
        </w:tc>
        <w:tc>
          <w:tcPr>
            <w:tcW w:w="6095" w:type="dxa"/>
            <w:vAlign w:val="center"/>
            <w:textDirection w:val="lrTb"/>
            <w:noWrap/>
          </w:tcPr>
          <w:p>
            <w:pPr>
              <w:pStyle w:val="1071"/>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投标函（给定格式）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71"/>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商务符合性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71"/>
              <w:ind w:firstLine="0"/>
              <w:jc w:val="center"/>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2</w:t>
            </w:r>
            <w:r>
              <w:rPr>
                <w:rFonts w:ascii="宋体" w:hAnsi="宋体" w:eastAsia="宋体" w:cs="Arial"/>
                <w:color w:val="000000"/>
                <w:sz w:val="24"/>
                <w:szCs w:val="24"/>
                <w:highlight w:val="none"/>
                <w:lang w:val="en-US" w:eastAsia="zh-CN" w:bidi="ar-SA"/>
              </w:rPr>
            </w:r>
            <w:r/>
          </w:p>
        </w:tc>
        <w:tc>
          <w:tcPr>
            <w:tcW w:w="6095" w:type="dxa"/>
            <w:vAlign w:val="center"/>
            <w:textDirection w:val="lrTb"/>
            <w:noWrap/>
          </w:tcPr>
          <w:p>
            <w:pPr>
              <w:pStyle w:val="1071"/>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承诺书（给定格式）</w:t>
            </w:r>
            <w:r>
              <w:rPr>
                <w:rFonts w:ascii="宋体" w:hAnsi="宋体" w:eastAsia="宋体" w:cs="Arial"/>
                <w:color w:val="000000"/>
                <w:sz w:val="24"/>
                <w:szCs w:val="24"/>
                <w:highlight w:val="none"/>
                <w:lang w:val="en-US" w:eastAsia="zh-CN" w:bidi="ar-SA"/>
              </w:rPr>
            </w:r>
            <w:r/>
          </w:p>
        </w:tc>
        <w:tc>
          <w:tcPr>
            <w:tcW w:w="1979" w:type="dxa"/>
            <w:vAlign w:val="center"/>
            <w:vMerge w:val="continue"/>
            <w:textDirection w:val="lrTb"/>
            <w:noWrap/>
          </w:tcPr>
          <w:p>
            <w:pPr>
              <w:pStyle w:val="1071"/>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71"/>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71"/>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开标一览表（“苏采云”系统中给定格式）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tcPr>
          <w:p>
            <w:pPr>
              <w:pStyle w:val="1071"/>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报价符合性</w:t>
            </w: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71"/>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71"/>
              <w:ind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分项报价表（给定格式）</w:t>
            </w:r>
            <w:r>
              <w:rPr>
                <w:rFonts w:ascii="宋体" w:hAnsi="宋体" w:eastAsia="宋体" w:cs="Arial"/>
                <w:color w:val="000000"/>
                <w:sz w:val="24"/>
                <w:szCs w:val="24"/>
                <w:highlight w:val="none"/>
                <w:lang w:val="en-US" w:eastAsia="zh-CN" w:bidi="ar-SA"/>
              </w:rPr>
            </w:r>
            <w:r/>
          </w:p>
        </w:tc>
        <w:tc>
          <w:tcPr>
            <w:tcW w:w="1979" w:type="dxa"/>
            <w:vAlign w:val="center"/>
            <w:vMerge w:val="continue"/>
            <w:textDirection w:val="lrTb"/>
            <w:noWrap/>
          </w:tcPr>
          <w:p>
            <w:pPr>
              <w:pStyle w:val="1071"/>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tcPr>
          <w:p>
            <w:pPr>
              <w:pStyle w:val="1071"/>
              <w:ind w:firstLine="0"/>
              <w:jc w:val="center"/>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5</w:t>
            </w:r>
            <w:r>
              <w:rPr>
                <w:rFonts w:ascii="宋体" w:hAnsi="宋体" w:eastAsia="宋体" w:cs="Times New Roman"/>
                <w:color w:val="000000"/>
                <w:sz w:val="24"/>
                <w:szCs w:val="24"/>
                <w:highlight w:val="none"/>
                <w:lang w:val="en-US" w:eastAsia="zh-CN" w:bidi="ar-SA"/>
              </w:rPr>
            </w:r>
            <w:r/>
          </w:p>
        </w:tc>
        <w:tc>
          <w:tcPr>
            <w:tcW w:w="6095" w:type="dxa"/>
            <w:vAlign w:val="center"/>
            <w:textDirection w:val="lrTb"/>
            <w:noWrap/>
          </w:tcPr>
          <w:p>
            <w:pPr>
              <w:pStyle w:val="1071"/>
              <w:ind w:firstLine="0"/>
              <w:jc w:val="both"/>
              <w:spacing w:before="0"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《采购需求》中要求提供的证明材料（如有）</w:t>
            </w:r>
            <w:r>
              <w:rPr>
                <w:rFonts w:hint="eastAsia" w:ascii="宋体" w:hAnsi="宋体" w:eastAsia="宋体" w:cs="Times New Roman"/>
                <w:color w:val="000000"/>
                <w:sz w:val="24"/>
                <w:szCs w:val="24"/>
                <w:highlight w:val="none"/>
                <w:lang w:val="en-US" w:eastAsia="zh-CN" w:bidi="ar-SA"/>
              </w:rPr>
            </w:r>
            <w:r/>
          </w:p>
        </w:tc>
        <w:tc>
          <w:tcPr>
            <w:tcW w:w="1979" w:type="dxa"/>
            <w:vAlign w:val="center"/>
            <w:textDirection w:val="lrTb"/>
            <w:noWrap/>
          </w:tcPr>
          <w:p>
            <w:pPr>
              <w:pStyle w:val="1071"/>
              <w:ind w:firstLine="0"/>
              <w:jc w:val="center"/>
              <w:spacing w:before="0" w:after="0" w:line="240" w:lineRule="auto"/>
              <w:widowControl w:val="off"/>
              <w:rPr>
                <w:rFonts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技术符合性</w:t>
            </w:r>
            <w:r>
              <w:rPr>
                <w:rFonts w:ascii="Arial" w:hAnsi="Arial" w:eastAsia="宋体" w:cs="Arial"/>
                <w:color w:val="000000"/>
                <w:sz w:val="24"/>
                <w:szCs w:val="24"/>
                <w:highlight w:val="none"/>
                <w:lang w:val="en-US" w:eastAsia="zh-CN" w:bidi="ar-SA"/>
              </w:rPr>
            </w:r>
            <w:r/>
          </w:p>
        </w:tc>
      </w:tr>
    </w:tbl>
    <w:p>
      <w:pPr>
        <w:pStyle w:val="71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1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ascii="宋体" w:hAnsi="宋体"/>
          <w:color w:val="000000"/>
          <w:sz w:val="24"/>
          <w:szCs w:val="24"/>
          <w:highlight w:val="none"/>
        </w:rPr>
      </w:r>
      <w:r/>
    </w:p>
    <w:p>
      <w:pPr>
        <w:pStyle w:val="712"/>
        <w:numPr>
          <w:ilvl w:val="0"/>
          <w:numId w:val="7"/>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ascii="宋体" w:hAnsi="宋体"/>
          <w:color w:val="000000"/>
          <w:sz w:val="24"/>
          <w:szCs w:val="24"/>
          <w:highlight w:val="none"/>
        </w:rPr>
      </w:r>
      <w:r/>
    </w:p>
    <w:p>
      <w:pPr>
        <w:pStyle w:val="712"/>
        <w:numPr>
          <w:ilvl w:val="0"/>
          <w:numId w:val="7"/>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ascii="宋体" w:hAnsi="宋体" w:cs="宋体"/>
          <w:color w:val="000000"/>
          <w:sz w:val="24"/>
          <w:szCs w:val="24"/>
          <w:highlight w:val="none"/>
        </w:rPr>
      </w:r>
      <w:r/>
    </w:p>
    <w:p>
      <w:pPr>
        <w:pStyle w:val="712"/>
        <w:rPr>
          <w:b/>
          <w:color w:val="000000"/>
          <w:sz w:val="28"/>
          <w:szCs w:val="28"/>
          <w:highlight w:val="none"/>
        </w:rPr>
      </w:pPr>
      <w:r>
        <w:rPr>
          <w:b/>
          <w:color w:val="000000"/>
          <w:sz w:val="28"/>
          <w:szCs w:val="28"/>
          <w:highlight w:val="none"/>
        </w:rPr>
      </w:r>
      <w:r/>
    </w:p>
    <w:p>
      <w:pPr>
        <w:pStyle w:val="712"/>
        <w:rPr>
          <w:b/>
          <w:color w:val="000000"/>
          <w:sz w:val="28"/>
          <w:szCs w:val="28"/>
          <w:highlight w:val="none"/>
        </w:rPr>
      </w:pPr>
      <w:r>
        <w:rPr>
          <w:rFonts w:hint="eastAsia"/>
          <w:b/>
          <w:color w:val="000000"/>
          <w:sz w:val="28"/>
          <w:szCs w:val="28"/>
          <w:highlight w:val="none"/>
        </w:rPr>
        <w:t xml:space="preserve">（二）其他证明文件</w:t>
      </w:r>
      <w:r>
        <w:rPr>
          <w:b/>
          <w:color w:val="000000"/>
          <w:sz w:val="28"/>
          <w:szCs w:val="28"/>
          <w:highlight w:val="none"/>
        </w:rPr>
      </w:r>
      <w:r/>
    </w:p>
    <w:p>
      <w:pPr>
        <w:pStyle w:val="712"/>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ascii="宋体" w:hAnsi="宋体"/>
          <w:color w:val="000000"/>
          <w:sz w:val="24"/>
          <w:szCs w:val="24"/>
          <w:highlight w:val="none"/>
        </w:rPr>
      </w:r>
      <w:r/>
    </w:p>
    <w:p>
      <w:pPr>
        <w:pStyle w:val="712"/>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712"/>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cs="Arial"/>
          <w:b/>
          <w:color w:val="000000"/>
          <w:sz w:val="30"/>
          <w:szCs w:val="30"/>
          <w:highlight w:val="none"/>
        </w:rPr>
      </w:r>
      <w:r/>
    </w:p>
    <w:p>
      <w:pPr>
        <w:pStyle w:val="1071"/>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JSZC-320213-SDRD-G2026-0004</w:t>
      </w:r>
      <w:r>
        <w:rPr>
          <w:rFonts w:hint="eastAsia" w:ascii="黑体" w:hAnsi="华文中宋" w:eastAsia="黑体"/>
          <w:bCs/>
          <w:color w:val="000000"/>
          <w:sz w:val="30"/>
          <w:szCs w:val="30"/>
          <w:highlight w:val="none"/>
          <w:lang w:eastAsia="zh-CN"/>
        </w:rPr>
      </w:r>
      <w:r/>
    </w:p>
    <w:p>
      <w:pPr>
        <w:pStyle w:val="71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无锡市梁溪区夹城里地块规划学校新建工程项目校园文化建设</w:t>
      </w:r>
      <w:r>
        <w:rPr>
          <w:rFonts w:hint="eastAsia" w:ascii="黑体" w:hAnsi="华文中宋" w:eastAsia="黑体"/>
          <w:bCs/>
          <w:color w:val="000000"/>
          <w:sz w:val="30"/>
          <w:szCs w:val="30"/>
          <w:highlight w:val="none"/>
          <w:lang w:eastAsia="zh-CN"/>
        </w:rPr>
      </w:r>
      <w:r/>
    </w:p>
    <w:p>
      <w:pPr>
        <w:pStyle w:val="71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71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hint="eastAsia" w:ascii="黑体" w:hAnsi="华文中宋" w:eastAsia="黑体"/>
          <w:bCs/>
          <w:color w:val="000000"/>
          <w:sz w:val="30"/>
          <w:szCs w:val="30"/>
          <w:highlight w:val="none"/>
        </w:rPr>
      </w:r>
      <w:r/>
    </w:p>
    <w:p>
      <w:pPr>
        <w:pStyle w:val="712"/>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ascii="Arial" w:hAnsi="Arial"/>
          <w:b/>
          <w:color w:val="000000"/>
          <w:sz w:val="28"/>
          <w:szCs w:val="28"/>
          <w:highlight w:val="none"/>
        </w:rPr>
      </w:r>
      <w:r/>
    </w:p>
    <w:p>
      <w:pPr>
        <w:pStyle w:val="71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1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授权委托书</w:t>
      </w:r>
      <w:r>
        <w:rPr>
          <w:rFonts w:ascii="黑体" w:eastAsia="黑体"/>
          <w:bCs/>
          <w:color w:val="000000"/>
          <w:sz w:val="28"/>
          <w:szCs w:val="28"/>
          <w:highlight w:val="none"/>
        </w:rPr>
      </w:r>
      <w:r/>
    </w:p>
    <w:p>
      <w:pPr>
        <w:pStyle w:val="712"/>
        <w:jc w:val="center"/>
        <w:rPr>
          <w:rFonts w:hint="eastAsia" w:ascii="宋体" w:hAnsi="宋体"/>
          <w:color w:val="000000"/>
          <w:sz w:val="24"/>
          <w:highlight w:val="none"/>
          <w:shd w:val="clear" w:color="ffffff" w:fill="d9d9d9"/>
        </w:rPr>
      </w:pPr>
      <w:r>
        <w:rPr>
          <w:rFonts w:hint="eastAsia" w:ascii="宋体" w:hAnsi="宋体"/>
          <w:color w:val="000000"/>
          <w:sz w:val="24"/>
          <w:highlight w:val="none"/>
          <w:shd w:val="clear" w:color="ffffff" w:fill="d9d9d9"/>
        </w:rPr>
      </w:r>
      <w:r/>
    </w:p>
    <w:p>
      <w:pPr>
        <w:pStyle w:val="1069"/>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JSZC-320213-SDRD-G2026-0004</w:t>
      </w:r>
      <w:r>
        <w:rPr>
          <w:rFonts w:hint="eastAsia" w:ascii="宋体" w:hAnsi="宋体"/>
          <w:bCs/>
          <w:color w:val="000000"/>
          <w:sz w:val="24"/>
          <w:szCs w:val="24"/>
          <w:highlight w:val="none"/>
        </w:rPr>
        <w:t xml:space="preserve">项目，兹授权：</w:t>
      </w:r>
      <w:r>
        <w:rPr>
          <w:color w:val="000000"/>
          <w:sz w:val="24"/>
          <w:szCs w:val="24"/>
          <w:highlight w:val="none"/>
        </w:rPr>
      </w:r>
      <w:r/>
    </w:p>
    <w:p>
      <w:pPr>
        <w:pStyle w:val="1069"/>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被授权人的姓名：  ；性别：  ；年龄：  ；职务：  ；</w:t>
      </w:r>
      <w:r>
        <w:rPr>
          <w:color w:val="000000"/>
          <w:sz w:val="24"/>
          <w:szCs w:val="24"/>
          <w:highlight w:val="none"/>
        </w:rPr>
      </w:r>
      <w:r/>
    </w:p>
    <w:p>
      <w:pPr>
        <w:pStyle w:val="1069"/>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被授权人的身份证号码：  </w:t>
      </w:r>
      <w:r>
        <w:rPr>
          <w:color w:val="000000"/>
          <w:sz w:val="24"/>
          <w:szCs w:val="24"/>
          <w:highlight w:val="none"/>
        </w:rPr>
        <w:t xml:space="preserve">  </w:t>
      </w:r>
      <w:r>
        <w:rPr>
          <w:rFonts w:hint="eastAsia"/>
          <w:color w:val="000000"/>
          <w:sz w:val="24"/>
          <w:szCs w:val="24"/>
          <w:highlight w:val="none"/>
        </w:rPr>
        <w:t xml:space="preserve">；联系方式：   ；</w:t>
      </w:r>
      <w:r>
        <w:rPr>
          <w:color w:val="000000"/>
          <w:sz w:val="24"/>
          <w:szCs w:val="24"/>
          <w:highlight w:val="none"/>
        </w:rPr>
      </w:r>
      <w:r/>
    </w:p>
    <w:p>
      <w:pPr>
        <w:pStyle w:val="1069"/>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color w:val="000000"/>
          <w:sz w:val="24"/>
          <w:szCs w:val="24"/>
          <w:highlight w:val="none"/>
        </w:rPr>
      </w:r>
      <w:r/>
    </w:p>
    <w:p>
      <w:pPr>
        <w:pStyle w:val="1069"/>
        <w:ind w:firstLine="480"/>
        <w:spacing w:line="360" w:lineRule="auto"/>
        <w:tabs>
          <w:tab w:val="left" w:pos="360" w:leader="none"/>
        </w:tabs>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ascii="宋体" w:hAnsi="宋体"/>
          <w:bCs/>
          <w:color w:val="000000"/>
          <w:sz w:val="24"/>
          <w:szCs w:val="24"/>
          <w:highlight w:val="none"/>
        </w:rPr>
      </w:r>
      <w:r/>
    </w:p>
    <w:p>
      <w:pPr>
        <w:pStyle w:val="1069"/>
        <w:ind w:firstLine="480"/>
        <w:spacing w:line="360" w:lineRule="auto"/>
        <w:tabs>
          <w:tab w:val="left" w:pos="360" w:leader="none"/>
        </w:tabs>
        <w:rPr>
          <w:color w:val="000000"/>
          <w:sz w:val="24"/>
          <w:szCs w:val="24"/>
          <w:highlight w:val="none"/>
        </w:rPr>
      </w:pPr>
      <w:r>
        <w:rPr>
          <w:rFonts w:hint="eastAsia"/>
          <w:color w:val="000000"/>
          <w:sz w:val="24"/>
          <w:szCs w:val="24"/>
          <w:highlight w:val="none"/>
        </w:rPr>
        <w:t xml:space="preserve">特此授权委托。</w:t>
      </w:r>
      <w:r>
        <w:rPr>
          <w:color w:val="000000"/>
          <w:sz w:val="24"/>
          <w:szCs w:val="24"/>
          <w:highlight w:val="none"/>
        </w:rPr>
      </w:r>
      <w:r/>
    </w:p>
    <w:p>
      <w:pPr>
        <w:pStyle w:val="1069"/>
        <w:ind w:firstLine="0"/>
        <w:spacing w:line="360" w:lineRule="auto"/>
        <w:tabs>
          <w:tab w:val="left" w:pos="360" w:leader="none"/>
        </w:tabs>
        <w:rPr>
          <w:color w:val="000000"/>
          <w:sz w:val="24"/>
          <w:szCs w:val="24"/>
          <w:highlight w:val="none"/>
          <w:u w:val="single"/>
        </w:rPr>
      </w:pPr>
      <w:r>
        <w:rPr>
          <w:rFonts w:hint="eastAsia"/>
          <w:color w:val="000000"/>
          <w:sz w:val="24"/>
          <w:szCs w:val="24"/>
          <w:highlight w:val="none"/>
        </w:rPr>
        <w:t xml:space="preserve">授权日期： 年  月  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color w:val="000000"/>
          <w:sz w:val="24"/>
          <w:szCs w:val="24"/>
          <w:highlight w:val="none"/>
          <w:u w:val="single"/>
        </w:rPr>
      </w:r>
      <w:r/>
    </w:p>
    <w:p>
      <w:pPr>
        <w:pStyle w:val="1069"/>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法定代表人签字或盖章：              </w:t>
      </w:r>
      <w:r>
        <w:rPr>
          <w:color w:val="000000"/>
          <w:sz w:val="24"/>
          <w:szCs w:val="24"/>
          <w:highlight w:val="none"/>
        </w:rPr>
        <w:t xml:space="preserve">     </w:t>
      </w:r>
      <w:r>
        <w:rPr>
          <w:rFonts w:hint="eastAsia"/>
          <w:color w:val="000000"/>
          <w:sz w:val="24"/>
          <w:szCs w:val="24"/>
          <w:highlight w:val="none"/>
        </w:rPr>
        <w:t xml:space="preserve"> 被授权人签字或盖章：</w:t>
      </w:r>
      <w:r>
        <w:rPr>
          <w:color w:val="000000"/>
          <w:sz w:val="24"/>
          <w:szCs w:val="24"/>
          <w:highlight w:val="none"/>
        </w:rPr>
      </w:r>
      <w:r/>
    </w:p>
    <w:p>
      <w:pPr>
        <w:pStyle w:val="1069"/>
        <w:ind w:firstLine="0"/>
        <w:spacing w:line="360" w:lineRule="auto"/>
        <w:tabs>
          <w:tab w:val="left" w:pos="360" w:leader="none"/>
        </w:tabs>
        <w:rPr>
          <w:color w:val="000000"/>
          <w:sz w:val="24"/>
          <w:szCs w:val="24"/>
          <w:highlight w:val="none"/>
        </w:rPr>
      </w:pPr>
      <w:r>
        <w:rPr>
          <w:rFonts w:hint="eastAsia" w:ascii="宋体" w:hAnsi="宋体" w:cs="宋体"/>
          <w:b/>
          <w:color w:val="000000"/>
          <w:sz w:val="30"/>
          <w:highlight w:val="none"/>
        </w:rPr>
        <w:t xml:space="preserve">（被授权人身份证原件扫描件附后）</w:t>
      </w:r>
      <w:r>
        <w:rPr>
          <w:color w:val="000000"/>
          <w:sz w:val="24"/>
          <w:szCs w:val="24"/>
          <w:highlight w:val="none"/>
        </w:rPr>
      </w:r>
      <w:r/>
    </w:p>
    <w:p>
      <w:pPr>
        <w:pStyle w:val="1069"/>
        <w:ind w:firstLine="0"/>
        <w:spacing w:line="360" w:lineRule="auto"/>
        <w:tabs>
          <w:tab w:val="left" w:pos="360" w:leader="none"/>
        </w:tabs>
        <w:rPr>
          <w:color w:val="000000"/>
          <w:sz w:val="24"/>
          <w:szCs w:val="24"/>
          <w:highlight w:val="none"/>
        </w:rPr>
      </w:pPr>
      <w:r>
        <w:rPr>
          <w:rFonts w:hint="eastAsia"/>
          <w:color w:val="000000"/>
          <w:sz w:val="24"/>
          <w:szCs w:val="24"/>
          <w:highlight w:val="none"/>
        </w:rPr>
        <w:t xml:space="preserve">说明：</w:t>
      </w:r>
      <w:r>
        <w:rPr>
          <w:color w:val="000000"/>
          <w:sz w:val="24"/>
          <w:szCs w:val="24"/>
          <w:highlight w:val="none"/>
        </w:rPr>
      </w:r>
      <w:r/>
    </w:p>
    <w:p>
      <w:pPr>
        <w:pStyle w:val="1069"/>
        <w:numPr>
          <w:ilvl w:val="0"/>
          <w:numId w:val="8"/>
        </w:numPr>
        <w:ind w:firstLine="480"/>
        <w:spacing w:line="360" w:lineRule="auto"/>
        <w:tabs>
          <w:tab w:val="left" w:pos="360" w:leader="none"/>
        </w:tabs>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69"/>
        <w:numPr>
          <w:ilvl w:val="0"/>
          <w:numId w:val="8"/>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rPr>
          <w:rFonts w:ascii="宋体" w:hAnsi="宋体"/>
          <w:color w:val="000000"/>
          <w:sz w:val="24"/>
          <w:szCs w:val="20"/>
          <w:highlight w:val="none"/>
        </w:rPr>
      </w:r>
      <w:r/>
    </w:p>
    <w:p>
      <w:pPr>
        <w:pStyle w:val="1069"/>
        <w:numPr>
          <w:ilvl w:val="0"/>
          <w:numId w:val="8"/>
        </w:numPr>
        <w:ind w:firstLine="480"/>
        <w:spacing w:line="360" w:lineRule="auto"/>
        <w:tabs>
          <w:tab w:val="left" w:pos="360" w:leader="none"/>
        </w:tabs>
        <w:rPr>
          <w:rFonts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69"/>
        <w:numPr>
          <w:ilvl w:val="0"/>
          <w:numId w:val="8"/>
        </w:numPr>
        <w:ind w:firstLine="480"/>
        <w:spacing w:line="360" w:lineRule="auto"/>
        <w:tabs>
          <w:tab w:val="left" w:pos="360" w:leader="none"/>
        </w:tabs>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color w:val="000000"/>
          <w:sz w:val="24"/>
          <w:szCs w:val="20"/>
          <w:highlight w:val="none"/>
        </w:rPr>
      </w:r>
      <w:r/>
    </w:p>
    <w:p>
      <w:pPr>
        <w:pStyle w:val="1069"/>
        <w:ind w:firstLine="0"/>
        <w:spacing w:line="360" w:lineRule="auto"/>
        <w:tabs>
          <w:tab w:val="left" w:pos="360" w:leader="none"/>
        </w:tabs>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ascii="宋体" w:hAnsi="宋体" w:cs="宋体"/>
          <w:b/>
          <w:color w:val="000000"/>
          <w:szCs w:val="28"/>
          <w:highlight w:val="none"/>
        </w:rPr>
      </w:r>
      <w:r/>
    </w:p>
    <w:p>
      <w:pPr>
        <w:pStyle w:val="712"/>
        <w:jc w:val="center"/>
        <w:rPr>
          <w:rFonts w:ascii="黑体" w:eastAsia="黑体"/>
          <w:bCs/>
          <w:color w:val="000000"/>
          <w:sz w:val="28"/>
          <w:szCs w:val="28"/>
          <w:highlight w:val="none"/>
        </w:rPr>
      </w:pPr>
      <w:r/>
      <w:bookmarkStart w:id="188" w:name="报价方关于资格的声明函（格式）"/>
      <w:r/>
      <w:bookmarkEnd w:id="188"/>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712"/>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712"/>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江苏达瑞德工程管理咨询有限公司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1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JSZC-320213-SDRD-G2026-0004</w:t>
      </w:r>
      <w:r>
        <w:rPr>
          <w:rFonts w:hint="eastAsia" w:ascii="宋体" w:hAnsi="宋体"/>
          <w:bCs/>
          <w:color w:val="000000"/>
          <w:sz w:val="24"/>
          <w:szCs w:val="24"/>
          <w:highlight w:val="none"/>
        </w:rPr>
        <w:t xml:space="preserve">进行投标，</w:t>
      </w:r>
      <w:r>
        <w:rPr>
          <w:rFonts w:hint="eastAsia" w:ascii="宋体" w:hAnsi="宋体"/>
          <w:bCs/>
          <w:color w:val="000000"/>
          <w:sz w:val="24"/>
          <w:szCs w:val="24"/>
          <w:highlight w:val="none"/>
          <w:lang w:eastAsia="zh-CN"/>
        </w:rPr>
        <w:t xml:space="preserve">并作</w:t>
      </w:r>
      <w:r>
        <w:rPr>
          <w:rFonts w:hint="eastAsia" w:ascii="宋体" w:hAnsi="宋体"/>
          <w:bCs/>
          <w:color w:val="000000"/>
          <w:sz w:val="24"/>
          <w:szCs w:val="24"/>
          <w:highlight w:val="none"/>
        </w:rPr>
        <w:t xml:space="preserve">如下声明</w:t>
      </w:r>
      <w:r>
        <w:rPr>
          <w:rFonts w:ascii="宋体" w:hAnsi="宋体"/>
          <w:bCs/>
          <w:color w:val="000000"/>
          <w:sz w:val="24"/>
          <w:szCs w:val="24"/>
          <w:highlight w:val="none"/>
        </w:rPr>
      </w:r>
      <w:r/>
    </w:p>
    <w:p>
      <w:pPr>
        <w:pStyle w:val="71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ascii="宋体" w:hAnsi="宋体"/>
          <w:bCs/>
          <w:color w:val="000000"/>
          <w:sz w:val="24"/>
          <w:szCs w:val="24"/>
          <w:highlight w:val="none"/>
        </w:rPr>
      </w:r>
      <w:r/>
    </w:p>
    <w:p>
      <w:pPr>
        <w:pStyle w:val="71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ascii="宋体" w:hAnsi="宋体"/>
          <w:bCs/>
          <w:color w:val="000000"/>
          <w:sz w:val="24"/>
          <w:szCs w:val="24"/>
          <w:highlight w:val="none"/>
        </w:rPr>
      </w:r>
      <w:r/>
    </w:p>
    <w:p>
      <w:pPr>
        <w:pStyle w:val="71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bCs/>
          <w:color w:val="000000"/>
          <w:sz w:val="24"/>
          <w:szCs w:val="24"/>
          <w:highlight w:val="none"/>
        </w:rPr>
      </w:r>
      <w:r/>
    </w:p>
    <w:p>
      <w:pPr>
        <w:pStyle w:val="712"/>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712"/>
        <w:spacing w:line="480" w:lineRule="auto"/>
        <w:rPr>
          <w:rFonts w:ascii="宋体"/>
          <w:bCs/>
          <w:color w:val="000000"/>
          <w:sz w:val="24"/>
          <w:szCs w:val="24"/>
          <w:highlight w:val="none"/>
        </w:rPr>
      </w:pPr>
      <w:r>
        <w:rPr>
          <w:rFonts w:ascii="宋体"/>
          <w:bCs/>
          <w:color w:val="000000"/>
          <w:sz w:val="24"/>
          <w:szCs w:val="24"/>
          <w:highlight w:val="none"/>
        </w:rPr>
      </w:r>
      <w:r/>
    </w:p>
    <w:p>
      <w:pPr>
        <w:pStyle w:val="71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712"/>
        <w:spacing w:line="440" w:lineRule="exact"/>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ascii="宋体" w:hAnsi="宋体" w:cs="宋体"/>
          <w:b/>
          <w:color w:val="000000"/>
          <w:sz w:val="28"/>
          <w:szCs w:val="28"/>
          <w:highlight w:val="none"/>
        </w:rPr>
      </w:r>
      <w:r/>
    </w:p>
    <w:p>
      <w:pPr>
        <w:pStyle w:val="712"/>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rPr>
        <w:t xml:space="preserve">服务</w:t>
      </w:r>
      <w:r>
        <w:rPr>
          <w:rFonts w:ascii="黑体" w:eastAsia="黑体"/>
          <w:bCs/>
          <w:color w:val="000000"/>
          <w:sz w:val="28"/>
          <w:szCs w:val="28"/>
          <w:highlight w:val="none"/>
        </w:rPr>
        <w:t xml:space="preserve">）</w:t>
      </w:r>
      <w:r>
        <w:rPr>
          <w:rFonts w:ascii="黑体" w:eastAsia="黑体"/>
          <w:bCs/>
          <w:color w:val="000000"/>
          <w:sz w:val="28"/>
          <w:szCs w:val="28"/>
          <w:highlight w:val="none"/>
        </w:rPr>
      </w:r>
      <w:r/>
    </w:p>
    <w:p>
      <w:pPr>
        <w:pStyle w:val="712"/>
        <w:ind w:firstLine="480"/>
        <w:spacing w:line="360" w:lineRule="auto"/>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sz w:val="24"/>
          <w:szCs w:val="24"/>
          <w:highlight w:val="none"/>
        </w:rPr>
      </w:r>
      <w:r/>
    </w:p>
    <w:p>
      <w:pPr>
        <w:pStyle w:val="712"/>
        <w:ind w:firstLine="480"/>
        <w:spacing w:line="360" w:lineRule="auto"/>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12"/>
        <w:ind w:firstLine="48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w:t>
      </w:r>
      <w:r>
        <w:rPr>
          <w:rFonts w:ascii="宋体" w:hAnsi="宋体"/>
          <w:bCs/>
          <w:sz w:val="24"/>
          <w:szCs w:val="24"/>
          <w:highlight w:val="none"/>
          <w:u w:val="single"/>
        </w:rPr>
        <w:t xml:space="preserve">文件中明确的所属行业）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rPr>
          <w:rFonts w:ascii="宋体" w:hAnsi="宋体"/>
          <w:bCs/>
          <w:sz w:val="24"/>
          <w:szCs w:val="24"/>
          <w:highlight w:val="none"/>
        </w:rPr>
      </w:r>
      <w:r/>
    </w:p>
    <w:p>
      <w:pPr>
        <w:pStyle w:val="712"/>
        <w:ind w:firstLine="480"/>
        <w:spacing w:line="360" w:lineRule="auto"/>
        <w:rPr>
          <w:rFonts w:ascii="宋体" w:hAnsi="宋体"/>
          <w:bCs/>
          <w:sz w:val="24"/>
          <w:szCs w:val="24"/>
          <w:highlight w:val="none"/>
        </w:rPr>
      </w:pPr>
      <w:r>
        <w:rPr>
          <w:rFonts w:ascii="宋体" w:hAnsi="宋体"/>
          <w:bCs/>
          <w:sz w:val="24"/>
          <w:szCs w:val="24"/>
          <w:highlight w:val="none"/>
        </w:rPr>
        <w:t xml:space="preserve">……</w:t>
      </w:r>
      <w:r>
        <w:rPr>
          <w:rFonts w:ascii="宋体" w:hAnsi="宋体"/>
          <w:bCs/>
          <w:sz w:val="24"/>
          <w:szCs w:val="24"/>
          <w:highlight w:val="none"/>
        </w:rPr>
      </w:r>
      <w:r/>
    </w:p>
    <w:p>
      <w:pPr>
        <w:pStyle w:val="712"/>
        <w:ind w:firstLine="480"/>
        <w:spacing w:line="360" w:lineRule="auto"/>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highlight w:val="none"/>
        </w:rPr>
      </w:r>
      <w:r/>
    </w:p>
    <w:p>
      <w:pPr>
        <w:pStyle w:val="712"/>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rPr>
          <w:rFonts w:ascii="宋体" w:hAnsi="宋体"/>
          <w:bCs/>
          <w:sz w:val="24"/>
          <w:szCs w:val="24"/>
          <w:highlight w:val="none"/>
        </w:rPr>
      </w:r>
      <w:r/>
    </w:p>
    <w:p>
      <w:pPr>
        <w:pStyle w:val="712"/>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rPr>
          <w:rFonts w:ascii="宋体" w:hAnsi="宋体"/>
          <w:bCs/>
          <w:sz w:val="24"/>
          <w:szCs w:val="24"/>
          <w:highlight w:val="none"/>
        </w:rPr>
      </w:r>
      <w:r/>
    </w:p>
    <w:p>
      <w:pPr>
        <w:pStyle w:val="712"/>
        <w:ind w:firstLine="420"/>
        <w:spacing w:line="360" w:lineRule="auto"/>
        <w:rPr>
          <w:rFonts w:hint="eastAsia"/>
          <w:highlight w:val="none"/>
        </w:rPr>
      </w:pPr>
      <w:r>
        <w:rPr>
          <w:rFonts w:hint="eastAsia"/>
          <w:highlight w:val="none"/>
        </w:rPr>
      </w:r>
      <w:r/>
    </w:p>
    <w:p>
      <w:pPr>
        <w:pStyle w:val="712"/>
        <w:ind w:firstLine="420"/>
        <w:spacing w:line="360" w:lineRule="auto"/>
        <w:rPr>
          <w:rFonts w:hint="eastAsia"/>
          <w:highlight w:val="none"/>
        </w:rPr>
      </w:pPr>
      <w:r>
        <w:rPr>
          <w:rFonts w:hint="eastAsia"/>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highlight w:val="none"/>
        </w:rPr>
      </w:r>
      <w:r/>
    </w:p>
    <w:p>
      <w:pPr>
        <w:pStyle w:val="712"/>
        <w:ind w:firstLine="420"/>
        <w:spacing w:line="360" w:lineRule="auto"/>
        <w:rPr>
          <w:highlight w:val="none"/>
        </w:rPr>
      </w:pPr>
      <w:r>
        <w:rPr>
          <w:rFonts w:hint="eastAsia"/>
          <w:highlight w:val="none"/>
        </w:rPr>
        <w:t xml:space="preserve">（2）</w:t>
      </w:r>
      <w:r>
        <w:rPr>
          <w:highlight w:val="none"/>
        </w:rPr>
        <w:t xml:space="preserve">从业人员、营业收入、资产总额填报上一年度数据，无上一年度数据的新成立企业可不填报。</w:t>
      </w:r>
      <w:r>
        <w:rPr>
          <w:highlight w:val="none"/>
        </w:rPr>
      </w:r>
      <w:r/>
    </w:p>
    <w:p>
      <w:pPr>
        <w:pStyle w:val="712"/>
        <w:spacing w:line="360" w:lineRule="auto"/>
        <w:rPr>
          <w:rFonts w:ascii="宋体" w:hAnsi="宋体" w:cs="宋体"/>
          <w:b/>
          <w:color w:val="000000"/>
          <w:sz w:val="28"/>
          <w:szCs w:val="28"/>
          <w:highlight w:val="none"/>
        </w:rPr>
      </w:pPr>
      <w:r>
        <w:rPr>
          <w:rFonts w:hint="eastAsia"/>
          <w:highlight w:val="none"/>
        </w:rPr>
        <w:t xml:space="preserve">（3）中标供应商的《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ascii="宋体" w:hAnsi="宋体" w:cs="宋体"/>
          <w:b/>
          <w:color w:val="000000"/>
          <w:sz w:val="28"/>
          <w:szCs w:val="28"/>
          <w:highlight w:val="none"/>
        </w:rPr>
      </w:r>
      <w:r/>
    </w:p>
    <w:p>
      <w:pPr>
        <w:pStyle w:val="71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1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12"/>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1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1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1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12"/>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1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712"/>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12"/>
        <w:jc w:val="left"/>
        <w:spacing w:line="360" w:lineRule="auto"/>
        <w:rPr>
          <w:rFonts w:eastAsia="宋体"/>
          <w:b/>
          <w:sz w:val="28"/>
          <w:szCs w:val="28"/>
          <w:highlight w:val="none"/>
          <w:lang w:val="en-US" w:eastAsia="zh-CN"/>
        </w:rPr>
      </w:pPr>
      <w:r>
        <w:rPr>
          <w:rFonts w:ascii="宋体" w:hAnsi="宋体"/>
          <w:bCs/>
          <w:color w:val="000000"/>
          <w:sz w:val="24"/>
          <w:szCs w:val="24"/>
          <w:highlight w:val="none"/>
        </w:rPr>
        <w:br w:type="page" w:clear="all"/>
      </w:r>
      <w:r>
        <w:rPr>
          <w:rFonts w:hint="eastAsia" w:ascii="Times New Roman" w:eastAsia="宋体"/>
          <w:b/>
          <w:color w:val="000000"/>
          <w:sz w:val="28"/>
          <w:szCs w:val="28"/>
          <w:highlight w:val="none"/>
          <w:lang w:val="en-US" w:eastAsia="zh-CN"/>
        </w:rPr>
        <w:t xml:space="preserve">六、</w:t>
      </w:r>
      <w:r>
        <w:rPr>
          <w:rFonts w:hint="eastAsia"/>
          <w:b/>
          <w:color w:val="000000"/>
          <w:sz w:val="28"/>
          <w:szCs w:val="28"/>
          <w:highlight w:val="none"/>
        </w:rPr>
        <w:t xml:space="preserve">关于符合本国产品标准的声明函</w:t>
      </w:r>
      <w:r>
        <w:rPr>
          <w:rFonts w:hint="eastAsia" w:ascii="宋体" w:hAnsi="宋体" w:cs="宋体"/>
          <w:b/>
          <w:color w:val="000000"/>
          <w:sz w:val="28"/>
          <w:szCs w:val="28"/>
          <w:highlight w:val="none"/>
        </w:rPr>
        <w:t xml:space="preserve">（给定格式）：</w:t>
      </w:r>
      <w:r>
        <w:rPr>
          <w:rFonts w:eastAsia="宋体"/>
          <w:b/>
          <w:sz w:val="28"/>
          <w:szCs w:val="28"/>
          <w:highlight w:val="none"/>
          <w:lang w:val="en-US" w:eastAsia="zh-CN"/>
        </w:rPr>
      </w:r>
      <w:r/>
    </w:p>
    <w:p>
      <w:pPr>
        <w:pStyle w:val="712"/>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1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i w:val="0"/>
          <w:iCs w:val="0"/>
          <w:caps w:val="0"/>
          <w:color w:val="333333"/>
          <w:spacing w:val="0"/>
          <w:sz w:val="24"/>
          <w:szCs w:val="24"/>
          <w:highlight w:val="none"/>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12"/>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pStyle w:val="712"/>
        <w:spacing w:line="360" w:lineRule="auto"/>
        <w:rPr>
          <w:rFonts w:hint="eastAsia"/>
          <w:b/>
          <w:color w:val="000000"/>
          <w:sz w:val="28"/>
          <w:szCs w:val="28"/>
          <w:highlight w:val="none"/>
        </w:rPr>
      </w:pPr>
      <w:r>
        <w:rPr>
          <w:rFonts w:hint="eastAsia"/>
          <w:b/>
          <w:color w:val="000000"/>
          <w:sz w:val="28"/>
          <w:szCs w:val="28"/>
          <w:highlight w:val="none"/>
        </w:rPr>
      </w:r>
      <w:r/>
    </w:p>
    <w:p>
      <w:pPr>
        <w:pStyle w:val="712"/>
        <w:spacing w:line="360" w:lineRule="auto"/>
        <w:rPr>
          <w:rFonts w:hint="eastAsia"/>
          <w:b/>
          <w:color w:val="000000"/>
          <w:sz w:val="28"/>
          <w:szCs w:val="28"/>
          <w:highlight w:val="none"/>
        </w:rPr>
      </w:pPr>
      <w:r>
        <w:rPr>
          <w:rFonts w:hint="eastAsia"/>
          <w:b/>
          <w:color w:val="000000"/>
          <w:sz w:val="28"/>
          <w:szCs w:val="28"/>
          <w:highlight w:val="none"/>
        </w:rPr>
      </w:r>
      <w:r/>
    </w:p>
    <w:p>
      <w:pPr>
        <w:pStyle w:val="712"/>
        <w:spacing w:line="360" w:lineRule="auto"/>
        <w:rPr>
          <w:rFonts w:hint="eastAsia"/>
          <w:b/>
          <w:color w:val="000000"/>
          <w:sz w:val="28"/>
          <w:szCs w:val="28"/>
          <w:highlight w:val="none"/>
        </w:rPr>
      </w:pPr>
      <w:r>
        <w:rPr>
          <w:rFonts w:hint="eastAsia"/>
          <w:b/>
          <w:color w:val="000000"/>
          <w:sz w:val="28"/>
          <w:szCs w:val="28"/>
          <w:highlight w:val="none"/>
        </w:rPr>
      </w:r>
      <w:r/>
    </w:p>
    <w:p>
      <w:pPr>
        <w:pStyle w:val="712"/>
        <w:spacing w:line="360" w:lineRule="auto"/>
        <w:rPr>
          <w:b/>
          <w:color w:val="000000"/>
          <w:sz w:val="28"/>
          <w:szCs w:val="28"/>
          <w:highlight w:val="none"/>
        </w:rPr>
      </w:pPr>
      <w:r>
        <w:rPr>
          <w:rFonts w:hint="eastAsia"/>
          <w:b/>
          <w:color w:val="000000"/>
          <w:sz w:val="28"/>
          <w:szCs w:val="28"/>
          <w:highlight w:val="none"/>
          <w:lang w:val="en-US" w:eastAsia="zh-CN"/>
        </w:rPr>
        <w:t xml:space="preserve">七</w:t>
      </w:r>
      <w:r>
        <w:rPr>
          <w:b/>
          <w:color w:val="000000"/>
          <w:sz w:val="28"/>
          <w:szCs w:val="28"/>
          <w:highlight w:val="none"/>
        </w:rPr>
        <w:t xml:space="preserve">、投标函</w:t>
      </w:r>
      <w:r>
        <w:rPr>
          <w:rFonts w:hint="eastAsia"/>
          <w:b/>
          <w:color w:val="000000"/>
          <w:sz w:val="28"/>
          <w:szCs w:val="28"/>
          <w:highlight w:val="none"/>
        </w:rPr>
        <w:t xml:space="preserve">（给定格式）：</w:t>
      </w:r>
      <w:r>
        <w:rPr>
          <w:b/>
          <w:color w:val="000000"/>
          <w:sz w:val="28"/>
          <w:szCs w:val="28"/>
          <w:highlight w:val="none"/>
        </w:rPr>
      </w:r>
      <w:r/>
    </w:p>
    <w:p>
      <w:pPr>
        <w:pStyle w:val="712"/>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712"/>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江苏达瑞德工程管理咨询有限公司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12"/>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71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JSZC-320213-SDRD-G2026-0004</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712"/>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19"/>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江苏达瑞德工程管理咨询有限公司</w:t>
      </w:r>
      <w:r>
        <w:rPr>
          <w:rFonts w:hint="eastAsia" w:ascii="宋体" w:hAnsi="宋体"/>
          <w:bCs/>
          <w:color w:val="000000"/>
          <w:sz w:val="24"/>
          <w:szCs w:val="24"/>
          <w:highlight w:val="none"/>
        </w:rPr>
        <w:t xml:space="preserve">在招标文件中要求的文件、资料。</w:t>
      </w:r>
      <w:r>
        <w:rPr>
          <w:rStyle w:val="919"/>
          <w:bCs/>
          <w:color w:val="000000"/>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hint="eastAsia" w:ascii="宋体" w:hAnsi="宋体"/>
          <w:bCs/>
          <w:color w:val="000000"/>
          <w:sz w:val="24"/>
          <w:szCs w:val="24"/>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hint="eastAsia" w:ascii="宋体" w:hAnsi="宋体"/>
          <w:bCs/>
          <w:color w:val="000000"/>
          <w:sz w:val="24"/>
          <w:szCs w:val="24"/>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hint="eastAsia" w:ascii="宋体" w:hAnsi="宋体"/>
          <w:bCs/>
          <w:color w:val="000000"/>
          <w:sz w:val="24"/>
          <w:szCs w:val="24"/>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rPr>
          <w:rFonts w:hint="eastAsia" w:ascii="宋体" w:hAnsi="宋体"/>
          <w:bCs/>
          <w:color w:val="000000"/>
          <w:sz w:val="24"/>
          <w:szCs w:val="24"/>
          <w:highlight w:val="none"/>
        </w:rPr>
      </w:r>
      <w:r/>
    </w:p>
    <w:p>
      <w:pPr>
        <w:pStyle w:val="712"/>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color w:val="000000"/>
          <w:sz w:val="24"/>
          <w:szCs w:val="24"/>
          <w:highlight w:val="none"/>
        </w:rPr>
      </w:r>
      <w:r/>
    </w:p>
    <w:p>
      <w:pPr>
        <w:pStyle w:val="712"/>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12"/>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12"/>
        <w:ind w:firstLine="480"/>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12"/>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、承诺书（给定格式）：</w:t>
      </w:r>
      <w:r>
        <w:rPr>
          <w:b/>
          <w:color w:val="000000"/>
          <w:sz w:val="28"/>
          <w:szCs w:val="28"/>
          <w:highlight w:val="none"/>
        </w:rPr>
      </w:r>
      <w:r/>
    </w:p>
    <w:p>
      <w:pPr>
        <w:pStyle w:val="71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712"/>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JSZC-320213-SDRD-G2026-0004</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712"/>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712"/>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rFonts w:ascii="宋体"/>
          <w:bCs/>
          <w:color w:val="000000"/>
          <w:sz w:val="24"/>
          <w:szCs w:val="24"/>
          <w:highlight w:val="none"/>
        </w:rPr>
      </w:r>
      <w:r/>
    </w:p>
    <w:p>
      <w:pPr>
        <w:pStyle w:val="712"/>
        <w:ind w:firstLine="480"/>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ascii="宋体" w:hAnsi="宋体"/>
          <w:color w:val="000000"/>
          <w:sz w:val="24"/>
          <w:szCs w:val="24"/>
          <w:highlight w:val="none"/>
        </w:rPr>
      </w:r>
      <w:r/>
    </w:p>
    <w:p>
      <w:pPr>
        <w:pStyle w:val="712"/>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712"/>
        <w:ind w:firstLine="480"/>
        <w:spacing w:line="480" w:lineRule="auto"/>
        <w:rPr>
          <w:rFonts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ascii="宋体"/>
          <w:bCs/>
          <w:color w:val="000000"/>
          <w:sz w:val="24"/>
          <w:szCs w:val="24"/>
          <w:highlight w:val="none"/>
        </w:rPr>
      </w:r>
      <w:r/>
    </w:p>
    <w:p>
      <w:pPr>
        <w:pStyle w:val="712"/>
        <w:ind w:firstLine="480"/>
        <w:spacing w:line="48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ascii="宋体"/>
          <w:bCs/>
          <w:color w:val="000000"/>
          <w:sz w:val="24"/>
          <w:szCs w:val="24"/>
          <w:highlight w:val="none"/>
        </w:rPr>
      </w:r>
      <w:r/>
    </w:p>
    <w:p>
      <w:pPr>
        <w:pStyle w:val="712"/>
        <w:ind w:firstLine="480"/>
        <w:spacing w:line="480" w:lineRule="auto"/>
        <w:rPr>
          <w:rFonts w:ascii="宋体"/>
          <w:bCs/>
          <w:color w:val="000000"/>
          <w:sz w:val="24"/>
          <w:szCs w:val="24"/>
          <w:highlight w:val="none"/>
        </w:rPr>
      </w:pPr>
      <w:r>
        <w:rPr>
          <w:rFonts w:ascii="宋体"/>
          <w:bCs/>
          <w:color w:val="000000"/>
          <w:sz w:val="24"/>
          <w:szCs w:val="24"/>
          <w:highlight w:val="none"/>
        </w:rPr>
      </w:r>
      <w:r/>
    </w:p>
    <w:p>
      <w:pPr>
        <w:pStyle w:val="712"/>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712"/>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12"/>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712"/>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九</w:t>
      </w:r>
      <w:r>
        <w:rPr>
          <w:rFonts w:hint="eastAsia"/>
          <w:b/>
          <w:color w:val="000000"/>
          <w:sz w:val="28"/>
          <w:szCs w:val="28"/>
          <w:highlight w:val="none"/>
        </w:rPr>
        <w:t xml:space="preserve">、开标一览表：</w:t>
      </w:r>
      <w:r>
        <w:rPr>
          <w:b/>
          <w:color w:val="000000"/>
          <w:sz w:val="28"/>
          <w:szCs w:val="28"/>
          <w:highlight w:val="none"/>
        </w:rPr>
      </w:r>
      <w:r/>
    </w:p>
    <w:p>
      <w:pPr>
        <w:pStyle w:val="71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1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12"/>
        <w:ind w:firstLine="482"/>
        <w:spacing w:line="440" w:lineRule="exact"/>
        <w:rPr>
          <w:rFonts w:ascii="Arial" w:hAnsi="Arial"/>
          <w:b/>
          <w:color w:val="000000"/>
          <w:sz w:val="24"/>
          <w:highlight w:val="none"/>
        </w:rPr>
      </w:pPr>
      <w:r>
        <w:rPr>
          <w:rFonts w:ascii="Arial" w:hAnsi="Arial"/>
          <w:b/>
          <w:color w:val="000000"/>
          <w:sz w:val="24"/>
          <w:highlight w:val="none"/>
        </w:rPr>
      </w:r>
      <w:r/>
    </w:p>
    <w:p>
      <w:pPr>
        <w:pStyle w:val="712"/>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JSZC-320213-SDRD-G2026-0004</w:t>
      </w:r>
      <w:r>
        <w:rPr>
          <w:rFonts w:hint="eastAsia" w:ascii="黑体" w:eastAsia="黑体"/>
          <w:bCs/>
          <w:color w:val="000000"/>
          <w:sz w:val="24"/>
          <w:szCs w:val="24"/>
          <w:highlight w:val="none"/>
          <w:lang w:eastAsia="zh-CN"/>
        </w:rPr>
      </w:r>
      <w:r/>
    </w:p>
    <w:tbl>
      <w:tblPr>
        <w:tblW w:w="8957"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1748"/>
        <w:gridCol w:w="3278"/>
      </w:tblGrid>
      <w:tr>
        <w:trPr>
          <w:cantSplit/>
          <w:trHeight w:val="567"/>
        </w:trPr>
        <w:tc>
          <w:tcPr>
            <w:tcW w:w="3931" w:type="dxa"/>
            <w:vAlign w:val="center"/>
            <w:textDirection w:val="lrTb"/>
            <w:noWrap/>
          </w:tcPr>
          <w:p>
            <w:pPr>
              <w:pStyle w:val="712"/>
              <w:jc w:val="center"/>
              <w:widowControl w:val="off"/>
              <w:rPr>
                <w:rFonts w:ascii="宋体"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项目名称</w:t>
            </w:r>
            <w:r>
              <w:rPr>
                <w:rFonts w:ascii="宋体" w:hAnsi="Times New Roman" w:eastAsia="宋体" w:cs="Times New Roman"/>
                <w:b/>
                <w:bCs/>
                <w:color w:val="000000"/>
                <w:sz w:val="24"/>
                <w:szCs w:val="24"/>
                <w:highlight w:val="none"/>
                <w:lang w:val="en-US" w:eastAsia="zh-CN" w:bidi="ar-SA"/>
              </w:rPr>
            </w:r>
            <w:r/>
          </w:p>
        </w:tc>
        <w:tc>
          <w:tcPr>
            <w:tcW w:w="1748" w:type="dxa"/>
            <w:vAlign w:val="center"/>
            <w:textDirection w:val="lrTb"/>
            <w:noWrap/>
          </w:tcPr>
          <w:p>
            <w:pPr>
              <w:pStyle w:val="712"/>
              <w:jc w:val="center"/>
              <w:widowControl w:val="off"/>
              <w:rPr>
                <w:rFonts w:hint="eastAsia" w:ascii="宋体" w:hAnsi="宋体" w:eastAsia="宋体" w:cs="Times New Roman"/>
                <w:b/>
                <w:bCs/>
                <w:color w:val="000000"/>
                <w:sz w:val="24"/>
                <w:szCs w:val="24"/>
                <w:highlight w:val="none"/>
                <w:lang w:val="en-US" w:eastAsia="zh-CN" w:bidi="ar-SA"/>
              </w:rPr>
            </w:pPr>
            <w:r>
              <w:rPr>
                <w:rFonts w:hint="eastAsia" w:ascii="宋体" w:hAnsi="宋体" w:cs="Times New Roman"/>
                <w:b/>
                <w:bCs/>
                <w:sz w:val="24"/>
                <w:szCs w:val="24"/>
                <w:highlight w:val="none"/>
                <w:lang w:val="en-US" w:eastAsia="zh-CN" w:bidi="ar-SA"/>
              </w:rPr>
              <w:t xml:space="preserve">项目负责人</w:t>
            </w:r>
            <w:r>
              <w:rPr>
                <w:rFonts w:hint="eastAsia" w:ascii="宋体" w:hAnsi="宋体" w:eastAsia="宋体" w:cs="Times New Roman"/>
                <w:b/>
                <w:bCs/>
                <w:color w:val="000000"/>
                <w:sz w:val="24"/>
                <w:szCs w:val="24"/>
                <w:highlight w:val="none"/>
                <w:lang w:val="en-US" w:eastAsia="zh-CN" w:bidi="ar-SA"/>
              </w:rPr>
            </w:r>
            <w:r/>
          </w:p>
        </w:tc>
        <w:tc>
          <w:tcPr>
            <w:tcW w:w="3278" w:type="dxa"/>
            <w:vAlign w:val="center"/>
            <w:textDirection w:val="lrTb"/>
            <w:noWrap/>
          </w:tcPr>
          <w:p>
            <w:pPr>
              <w:pStyle w:val="712"/>
              <w:jc w:val="center"/>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投标总报价（小写）</w:t>
            </w:r>
            <w:r>
              <w:rPr>
                <w:rFonts w:hint="eastAsia" w:ascii="宋体" w:hAnsi="宋体" w:eastAsia="宋体" w:cs="Times New Roman"/>
                <w:b/>
                <w:bCs/>
                <w:sz w:val="24"/>
                <w:szCs w:val="24"/>
                <w:highlight w:val="none"/>
                <w:lang w:val="en-US" w:eastAsia="zh-CN" w:bidi="ar-SA"/>
              </w:rPr>
            </w:r>
            <w:r/>
          </w:p>
        </w:tc>
      </w:tr>
      <w:tr>
        <w:trPr>
          <w:cantSplit/>
          <w:trHeight w:val="1630"/>
        </w:trPr>
        <w:tc>
          <w:tcPr>
            <w:tcW w:w="3931" w:type="dxa"/>
            <w:vAlign w:val="center"/>
            <w:textDirection w:val="lrTb"/>
            <w:noWrap/>
          </w:tcPr>
          <w:p>
            <w:pPr>
              <w:pStyle w:val="1095"/>
              <w:jc w:val="center"/>
              <w:spacing w:line="400" w:lineRule="exact"/>
              <w:widowControl w:val="off"/>
              <w:rPr>
                <w:rFonts w:hint="eastAsia" w:ascii="宋体" w:hAnsi="宋体" w:eastAsia="宋体" w:cs="Times New Roman"/>
                <w:bCs/>
                <w:color w:val="000000"/>
                <w:sz w:val="24"/>
                <w:szCs w:val="24"/>
                <w:highlight w:val="none"/>
                <w:u w:val="none"/>
                <w:lang w:val="en-US" w:eastAsia="zh-CN" w:bidi="ar-SA"/>
              </w:rPr>
            </w:pPr>
            <w:r>
              <w:rPr>
                <w:rFonts w:hint="eastAsia" w:hAnsi="宋体" w:cs="Times New Roman"/>
                <w:bCs/>
                <w:color w:val="000000"/>
                <w:sz w:val="24"/>
                <w:szCs w:val="24"/>
                <w:highlight w:val="none"/>
                <w:u w:val="none"/>
                <w:lang w:val="en-US" w:eastAsia="zh-CN" w:bidi="ar-SA"/>
              </w:rPr>
              <w:t xml:space="preserve">无锡市梁溪区夹城里地块规划学校新建工程项目校园文化建设</w:t>
            </w:r>
            <w:r>
              <w:rPr>
                <w:rFonts w:hint="eastAsia" w:ascii="宋体" w:hAnsi="宋体" w:eastAsia="宋体" w:cs="Times New Roman"/>
                <w:bCs/>
                <w:color w:val="000000"/>
                <w:sz w:val="24"/>
                <w:szCs w:val="24"/>
                <w:highlight w:val="none"/>
                <w:u w:val="none"/>
                <w:lang w:val="en-US" w:eastAsia="zh-CN" w:bidi="ar-SA"/>
              </w:rPr>
            </w:r>
            <w:r/>
          </w:p>
        </w:tc>
        <w:tc>
          <w:tcPr>
            <w:tcW w:w="1748" w:type="dxa"/>
            <w:vAlign w:val="center"/>
            <w:textDirection w:val="lrTb"/>
            <w:noWrap/>
          </w:tcPr>
          <w:p>
            <w:pPr>
              <w:pStyle w:val="1095"/>
              <w:jc w:val="center"/>
              <w:widowControl w:val="off"/>
              <w:rPr>
                <w:rFonts w:ascii="宋体" w:hAnsi="宋体" w:eastAsia="宋体" w:cs="Times New Roman"/>
                <w:b/>
                <w:color w:val="000000"/>
                <w:sz w:val="24"/>
                <w:szCs w:val="24"/>
                <w:highlight w:val="none"/>
                <w:u w:val="none"/>
                <w:lang w:val="en-US" w:eastAsia="zh-CN" w:bidi="ar-SA"/>
              </w:rPr>
            </w:pPr>
            <w:r>
              <w:rPr>
                <w:rFonts w:ascii="宋体" w:hAnsi="宋体" w:eastAsia="宋体" w:cs="Times New Roman"/>
                <w:b/>
                <w:color w:val="000000"/>
                <w:sz w:val="24"/>
                <w:szCs w:val="24"/>
                <w:highlight w:val="none"/>
                <w:u w:val="none"/>
                <w:lang w:val="en-US" w:eastAsia="zh-CN" w:bidi="ar-SA"/>
              </w:rPr>
            </w:r>
            <w:r/>
          </w:p>
        </w:tc>
        <w:tc>
          <w:tcPr>
            <w:tcW w:w="3278" w:type="dxa"/>
            <w:vAlign w:val="center"/>
            <w:textDirection w:val="lrTb"/>
            <w:noWrap/>
          </w:tcPr>
          <w:p>
            <w:pPr>
              <w:pStyle w:val="1095"/>
              <w:jc w:val="center"/>
              <w:widowControl w:val="off"/>
              <w:rPr>
                <w:rFonts w:ascii="宋体" w:hAnsi="宋体" w:eastAsia="宋体" w:cs="Times New Roman"/>
                <w:b/>
                <w:color w:val="000000"/>
                <w:sz w:val="24"/>
                <w:szCs w:val="24"/>
                <w:highlight w:val="none"/>
                <w:u w:val="none"/>
                <w:lang w:val="en-US" w:eastAsia="zh-CN" w:bidi="ar-SA"/>
              </w:rPr>
            </w:pPr>
            <w:r>
              <w:rPr>
                <w:rFonts w:ascii="宋体" w:hAnsi="宋体" w:eastAsia="宋体" w:cs="Times New Roman"/>
                <w:b/>
                <w:color w:val="000000"/>
                <w:sz w:val="24"/>
                <w:szCs w:val="24"/>
                <w:highlight w:val="none"/>
                <w:u w:val="none"/>
                <w:lang w:val="en-US" w:eastAsia="zh-CN" w:bidi="ar-SA"/>
              </w:rPr>
            </w:r>
            <w:r/>
          </w:p>
        </w:tc>
      </w:tr>
      <w:tr>
        <w:trPr>
          <w:cantSplit/>
          <w:trHeight w:val="665"/>
        </w:trPr>
        <w:tc>
          <w:tcPr>
            <w:gridSpan w:val="3"/>
            <w:tcW w:w="8957" w:type="dxa"/>
            <w:vAlign w:val="center"/>
            <w:textDirection w:val="lrTb"/>
            <w:noWrap/>
          </w:tcPr>
          <w:p>
            <w:pPr>
              <w:pStyle w:val="1095"/>
              <w:jc w:val="left"/>
              <w:widowControl w:val="off"/>
              <w:rPr>
                <w:rFonts w:ascii="宋体" w:hAnsi="宋体" w:eastAsia="宋体" w:cs="Times New Roman"/>
                <w:b/>
                <w:color w:val="000000"/>
                <w:sz w:val="24"/>
                <w:szCs w:val="24"/>
                <w:highlight w:val="none"/>
                <w:u w:val="none"/>
                <w:lang w:val="en-US" w:eastAsia="zh-CN" w:bidi="ar-SA"/>
              </w:rPr>
            </w:pPr>
            <w:r>
              <w:rPr>
                <w:rFonts w:hint="eastAsia" w:ascii="黑体" w:hAnsi="Times New Roman" w:eastAsia="黑体" w:cs="Times New Roman"/>
                <w:color w:val="000000"/>
                <w:sz w:val="24"/>
                <w:szCs w:val="20"/>
                <w:highlight w:val="none"/>
                <w:u w:val="none"/>
                <w:lang w:val="en-US" w:eastAsia="zh-CN" w:bidi="ar-SA"/>
              </w:rPr>
              <w:t xml:space="preserve">投标总报价（大写）</w:t>
            </w:r>
            <w:r>
              <w:rPr>
                <w:rFonts w:hint="eastAsia" w:ascii="宋体" w:hAnsi="宋体" w:eastAsia="宋体" w:cs="Times New Roman"/>
                <w:bCs/>
                <w:color w:val="000000"/>
                <w:sz w:val="24"/>
                <w:szCs w:val="24"/>
                <w:highlight w:val="none"/>
                <w:u w:val="none"/>
                <w:lang w:val="en-US" w:eastAsia="zh-CN" w:bidi="ar-SA"/>
              </w:rPr>
              <w:t xml:space="preserve">：</w:t>
            </w:r>
            <w:r>
              <w:rPr>
                <w:rFonts w:ascii="宋体" w:hAnsi="Times New Roman" w:eastAsia="宋体" w:cs="Times New Roman"/>
                <w:bCs/>
                <w:color w:val="000000"/>
                <w:sz w:val="24"/>
                <w:szCs w:val="24"/>
                <w:highlight w:val="none"/>
                <w:u w:val="none"/>
                <w:lang w:val="en-US" w:eastAsia="zh-CN" w:bidi="ar-SA"/>
              </w:rPr>
              <w:t xml:space="preserve"> </w:t>
            </w:r>
            <w:r>
              <w:rPr>
                <w:rFonts w:ascii="宋体" w:hAnsi="宋体" w:eastAsia="宋体" w:cs="Times New Roman"/>
                <w:b/>
                <w:color w:val="000000"/>
                <w:sz w:val="24"/>
                <w:szCs w:val="24"/>
                <w:highlight w:val="none"/>
                <w:u w:val="none"/>
                <w:lang w:val="en-US" w:eastAsia="zh-CN" w:bidi="ar-SA"/>
              </w:rPr>
            </w:r>
            <w:r/>
          </w:p>
        </w:tc>
      </w:tr>
    </w:tbl>
    <w:p>
      <w:pPr>
        <w:pStyle w:val="712"/>
        <w:ind w:firstLine="12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712"/>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712"/>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pStyle w:val="712"/>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ascii="黑体" w:eastAsia="黑体"/>
          <w:bCs/>
          <w:color w:val="000000"/>
          <w:sz w:val="24"/>
          <w:szCs w:val="24"/>
          <w:highlight w:val="none"/>
        </w:rPr>
      </w:r>
      <w:r/>
    </w:p>
    <w:p>
      <w:pPr>
        <w:pStyle w:val="712"/>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b/>
          <w:color w:val="000000"/>
          <w:sz w:val="28"/>
          <w:szCs w:val="28"/>
          <w:highlight w:val="none"/>
        </w:rPr>
      </w:r>
      <w:r/>
    </w:p>
    <w:p>
      <w:pPr>
        <w:pStyle w:val="712"/>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712"/>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JSZC-320213-SDRD-G2026-0004</w:t>
      </w:r>
      <w:r>
        <w:rPr>
          <w:rFonts w:hint="eastAsia" w:ascii="黑体" w:eastAsia="黑体"/>
          <w:bCs/>
          <w:color w:val="000000"/>
          <w:sz w:val="24"/>
          <w:szCs w:val="24"/>
          <w:highlight w:val="none"/>
          <w:lang w:eastAsia="zh-CN"/>
        </w:rPr>
      </w:r>
      <w:r/>
    </w:p>
    <w:tbl>
      <w:tblPr>
        <w:tblW w:w="880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2"/>
        <w:gridCol w:w="4126"/>
        <w:gridCol w:w="992"/>
        <w:gridCol w:w="850"/>
        <w:gridCol w:w="978"/>
        <w:gridCol w:w="1097"/>
      </w:tblGrid>
      <w:tr>
        <w:trPr>
          <w:cantSplit/>
          <w:trHeight w:val="495"/>
        </w:trPr>
        <w:tc>
          <w:tcPr>
            <w:tcMar>
              <w:left w:w="15" w:type="dxa"/>
              <w:top w:w="15" w:type="dxa"/>
              <w:right w:w="15" w:type="dxa"/>
              <w:bottom w:w="0" w:type="dxa"/>
            </w:tcMar>
            <w:tcW w:w="762" w:type="dxa"/>
            <w:vAlign w:val="center"/>
            <w:textDirection w:val="lrTb"/>
            <w:noWrap/>
          </w:tcPr>
          <w:p>
            <w:pPr>
              <w:pStyle w:val="71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序号</w:t>
            </w:r>
            <w:r>
              <w:rPr>
                <w:rFonts w:ascii="Times New Roman" w:hAnsi="Times New Roman" w:eastAsia="宋体" w:cs="Times New Roman"/>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12"/>
              <w:jc w:val="center"/>
              <w:spacing w:before="5"/>
              <w:widowControl w:val="off"/>
              <w:rPr>
                <w:rFonts w:ascii="Times New Roman" w:hAnsi="Times New Roman" w:eastAsia="宋体" w:cs="Times New Roman"/>
                <w:sz w:val="18"/>
                <w:szCs w:val="21"/>
                <w:highlight w:val="none"/>
                <w:lang w:val="en-US" w:eastAsia="zh-CN" w:bidi="ar-SA"/>
              </w:rPr>
            </w:pPr>
            <w:r>
              <w:rPr>
                <w:rFonts w:ascii="Times New Roman" w:hAnsi="Times New Roman" w:eastAsia="宋体" w:cs="Times New Roman"/>
                <w:sz w:val="18"/>
                <w:szCs w:val="21"/>
                <w:highlight w:val="none"/>
                <w:lang w:val="en-US" w:eastAsia="zh-CN" w:bidi="ar-SA"/>
              </w:rPr>
              <w:t xml:space="preserve">服务内容</w:t>
            </w:r>
            <w:r>
              <w:rPr>
                <w:rFonts w:ascii="Times New Roman" w:hAnsi="Times New Roman" w:eastAsia="宋体" w:cs="Times New Roman"/>
                <w:sz w:val="18"/>
                <w:szCs w:val="21"/>
                <w:highlight w:val="none"/>
                <w:lang w:val="en-US" w:eastAsia="zh-CN" w:bidi="ar-SA"/>
              </w:rPr>
            </w:r>
            <w:r/>
          </w:p>
        </w:tc>
        <w:tc>
          <w:tcPr>
            <w:tcW w:w="992" w:type="dxa"/>
            <w:vAlign w:val="center"/>
            <w:textDirection w:val="lrTb"/>
            <w:noWrap w:val="false"/>
          </w:tcPr>
          <w:p>
            <w:pPr>
              <w:pStyle w:val="71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数量</w:t>
            </w:r>
            <w:r>
              <w:rPr>
                <w:rFonts w:ascii="Times New Roman" w:hAnsi="Times New Roman" w:eastAsia="宋体" w:cs="Times New Roman"/>
                <w:sz w:val="18"/>
                <w:szCs w:val="21"/>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1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单位</w:t>
            </w:r>
            <w:r>
              <w:rPr>
                <w:rFonts w:ascii="Times New Roman" w:hAnsi="Times New Roman" w:eastAsia="宋体" w:cs="Times New Roman"/>
                <w:sz w:val="18"/>
                <w:szCs w:val="21"/>
                <w:highlight w:val="none"/>
                <w:lang w:val="en-US" w:eastAsia="zh-CN" w:bidi="ar-SA"/>
              </w:rPr>
            </w:r>
            <w:r/>
          </w:p>
        </w:tc>
        <w:tc>
          <w:tcPr>
            <w:tcW w:w="978" w:type="dxa"/>
            <w:vAlign w:val="center"/>
            <w:textDirection w:val="lrTb"/>
            <w:noWrap w:val="false"/>
          </w:tcPr>
          <w:p>
            <w:pPr>
              <w:pStyle w:val="71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单报价</w:t>
            </w:r>
            <w:r>
              <w:rPr>
                <w:rFonts w:ascii="Times New Roman" w:hAnsi="Times New Roman" w:eastAsia="宋体" w:cs="Times New Roman"/>
                <w:sz w:val="18"/>
                <w:szCs w:val="21"/>
                <w:highlight w:val="none"/>
                <w:lang w:val="en-US" w:eastAsia="zh-CN" w:bidi="ar-SA"/>
              </w:rPr>
            </w:r>
            <w:r/>
          </w:p>
        </w:tc>
        <w:tc>
          <w:tcPr>
            <w:tcW w:w="1097" w:type="dxa"/>
            <w:vAlign w:val="center"/>
            <w:textDirection w:val="lrTb"/>
            <w:noWrap w:val="false"/>
          </w:tcPr>
          <w:p>
            <w:pPr>
              <w:pStyle w:val="712"/>
              <w:jc w:val="center"/>
              <w:spacing w:before="5"/>
              <w:widowControl w:val="off"/>
              <w:rPr>
                <w:rFonts w:ascii="Times New Roman" w:hAnsi="Times New Roman" w:eastAsia="宋体" w:cs="Times New Roman"/>
                <w:sz w:val="18"/>
                <w:szCs w:val="21"/>
                <w:highlight w:val="none"/>
                <w:lang w:val="en-US" w:eastAsia="zh-CN" w:bidi="ar-SA"/>
              </w:rPr>
            </w:pPr>
            <w:r>
              <w:rPr>
                <w:rFonts w:hint="eastAsia" w:ascii="Times New Roman" w:hAnsi="Times New Roman" w:eastAsia="宋体" w:cs="Times New Roman"/>
                <w:sz w:val="18"/>
                <w:szCs w:val="21"/>
                <w:highlight w:val="none"/>
                <w:lang w:val="en-US" w:eastAsia="zh-CN" w:bidi="ar-SA"/>
              </w:rPr>
              <w:t xml:space="preserve">分项总报价</w:t>
            </w:r>
            <w:r>
              <w:rPr>
                <w:rFonts w:ascii="Times New Roman" w:hAnsi="Times New Roman" w:eastAsia="宋体" w:cs="Times New Roman"/>
                <w:sz w:val="18"/>
                <w:szCs w:val="21"/>
                <w:highlight w:val="none"/>
                <w:lang w:val="en-US" w:eastAsia="zh-CN" w:bidi="ar-SA"/>
              </w:rPr>
            </w:r>
            <w:r/>
          </w:p>
        </w:tc>
      </w:tr>
      <w:tr>
        <w:trPr>
          <w:cantSplit/>
          <w:trHeight w:val="717"/>
        </w:trPr>
        <w:tc>
          <w:tcPr>
            <w:tcMar>
              <w:left w:w="15" w:type="dxa"/>
              <w:top w:w="15" w:type="dxa"/>
              <w:right w:w="15" w:type="dxa"/>
              <w:bottom w:w="0" w:type="dxa"/>
            </w:tcMar>
            <w:tcW w:w="762" w:type="dxa"/>
            <w:vAlign w:val="center"/>
            <w:textDirection w:val="lrTb"/>
            <w:noWrap/>
          </w:tcPr>
          <w:p>
            <w:pPr>
              <w:pStyle w:val="887"/>
              <w:jc w:val="center"/>
              <w:spacing w:before="5"/>
              <w:widowControl w:val="off"/>
              <w:tabs>
                <w:tab w:val="clear" w:pos="4153" w:leader="none"/>
                <w:tab w:val="clear" w:pos="8306" w:leader="none"/>
              </w:tabs>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rPr>
                <w:rFonts w:ascii="宋体" w:hAnsi="Times New Roman" w:eastAsia="宋体" w:cs="Times New Roman"/>
                <w:color w:val="000000"/>
                <w:sz w:val="18"/>
                <w:szCs w:val="18"/>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1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92"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1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78"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tcMar>
              <w:left w:w="15" w:type="dxa"/>
              <w:top w:w="15" w:type="dxa"/>
              <w:right w:w="15" w:type="dxa"/>
              <w:bottom w:w="0" w:type="dxa"/>
            </w:tcMar>
            <w:tcW w:w="762" w:type="dxa"/>
            <w:vAlign w:val="center"/>
            <w:textDirection w:val="lrTb"/>
            <w:noWrap/>
          </w:tcPr>
          <w:p>
            <w:pPr>
              <w:pStyle w:val="712"/>
              <w:jc w:val="center"/>
              <w:widowControl w:val="off"/>
              <w:rPr>
                <w:rFonts w:ascii="宋体" w:hAnsi="Times New Roman" w:eastAsia="宋体" w:cs="Times New Roman"/>
                <w:color w:val="000000"/>
                <w:sz w:val="18"/>
                <w:szCs w:val="21"/>
                <w:highlight w:val="none"/>
                <w:lang w:val="en-US" w:eastAsia="zh-CN" w:bidi="ar-SA"/>
              </w:rPr>
            </w:pPr>
            <w:r>
              <w:rPr>
                <w:rFonts w:hint="eastAsia" w:ascii="宋体" w:hAnsi="Times New Roman" w:eastAsia="宋体" w:cs="Times New Roman"/>
                <w:color w:val="000000"/>
                <w:sz w:val="18"/>
                <w:szCs w:val="21"/>
                <w:highlight w:val="none"/>
                <w:lang w:val="en-US" w:eastAsia="zh-CN" w:bidi="ar-SA"/>
              </w:rPr>
              <w:t xml:space="preserve">2</w:t>
            </w: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1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92"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1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t xml:space="preserve">　</w:t>
            </w:r>
            <w:r>
              <w:rPr>
                <w:rFonts w:ascii="黑体" w:hAnsi="宋体" w:eastAsia="黑体" w:cs="Times New Roman"/>
                <w:b/>
                <w:bCs/>
                <w:color w:val="000000"/>
                <w:sz w:val="24"/>
                <w:szCs w:val="24"/>
                <w:highlight w:val="none"/>
                <w:lang w:val="en-US" w:eastAsia="zh-CN" w:bidi="ar-SA"/>
              </w:rPr>
            </w:r>
            <w:r/>
          </w:p>
        </w:tc>
        <w:tc>
          <w:tcPr>
            <w:tcW w:w="978"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tcMar>
              <w:left w:w="15" w:type="dxa"/>
              <w:top w:w="15" w:type="dxa"/>
              <w:right w:w="15" w:type="dxa"/>
              <w:bottom w:w="0" w:type="dxa"/>
            </w:tcMar>
            <w:tcW w:w="762" w:type="dxa"/>
            <w:vAlign w:val="center"/>
            <w:textDirection w:val="lrTb"/>
            <w:noWrap/>
          </w:tcPr>
          <w:p>
            <w:pPr>
              <w:pStyle w:val="712"/>
              <w:jc w:val="center"/>
              <w:widowControl w:val="off"/>
              <w:rPr>
                <w:rFonts w:ascii="宋体" w:hAnsi="Times New Roman" w:eastAsia="宋体" w:cs="Times New Roman"/>
                <w:color w:val="000000"/>
                <w:sz w:val="18"/>
                <w:szCs w:val="21"/>
                <w:highlight w:val="none"/>
                <w:lang w:val="en-US" w:eastAsia="zh-CN" w:bidi="ar-SA"/>
              </w:rPr>
            </w:pPr>
            <w:r>
              <w:rPr>
                <w:rFonts w:ascii="宋体" w:hAnsi="Times New Roman" w:eastAsia="宋体" w:cs="Times New Roman"/>
                <w:color w:val="000000"/>
                <w:sz w:val="18"/>
                <w:szCs w:val="21"/>
                <w:highlight w:val="none"/>
                <w:lang w:val="en-US" w:eastAsia="zh-CN" w:bidi="ar-SA"/>
              </w:rPr>
            </w:r>
            <w:r/>
          </w:p>
        </w:tc>
        <w:tc>
          <w:tcPr>
            <w:tcMar>
              <w:left w:w="15" w:type="dxa"/>
              <w:top w:w="15" w:type="dxa"/>
              <w:right w:w="15" w:type="dxa"/>
              <w:bottom w:w="0" w:type="dxa"/>
            </w:tcMar>
            <w:tcW w:w="4126" w:type="dxa"/>
            <w:vAlign w:val="center"/>
            <w:textDirection w:val="lrTb"/>
            <w:noWrap/>
          </w:tcPr>
          <w:p>
            <w:pPr>
              <w:pStyle w:val="712"/>
              <w:jc w:val="center"/>
              <w:widowControl w:val="off"/>
              <w:rPr>
                <w:rFonts w:hint="eastAsia" w:ascii="黑体" w:hAnsi="Times New Roman" w:eastAsia="黑体" w:cs="Times New Roman"/>
                <w:b/>
                <w:bCs/>
                <w:color w:val="000000"/>
                <w:sz w:val="21"/>
                <w:szCs w:val="21"/>
                <w:highlight w:val="none"/>
                <w:lang w:val="en-US" w:eastAsia="zh-CN" w:bidi="ar-SA"/>
              </w:rPr>
            </w:pPr>
            <w:r>
              <w:rPr>
                <w:rFonts w:ascii="黑体" w:hAnsi="Times New Roman" w:eastAsia="黑体" w:cs="Times New Roman"/>
                <w:b/>
                <w:bCs/>
                <w:color w:val="000000"/>
                <w:sz w:val="21"/>
                <w:szCs w:val="21"/>
                <w:highlight w:val="none"/>
                <w:lang w:val="en-US" w:eastAsia="zh-CN" w:bidi="ar-SA"/>
              </w:rPr>
              <w:t xml:space="preserve">……</w:t>
            </w:r>
            <w:r>
              <w:rPr>
                <w:rFonts w:hint="eastAsia" w:ascii="黑体" w:hAnsi="Times New Roman" w:eastAsia="黑体" w:cs="Times New Roman"/>
                <w:b/>
                <w:bCs/>
                <w:color w:val="000000"/>
                <w:sz w:val="21"/>
                <w:szCs w:val="21"/>
                <w:highlight w:val="none"/>
                <w:lang w:val="en-US" w:eastAsia="zh-CN" w:bidi="ar-SA"/>
              </w:rPr>
            </w:r>
            <w:r/>
          </w:p>
        </w:tc>
        <w:tc>
          <w:tcPr>
            <w:tcW w:w="992"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Mar>
              <w:left w:w="15" w:type="dxa"/>
              <w:top w:w="15" w:type="dxa"/>
              <w:right w:w="15" w:type="dxa"/>
              <w:bottom w:w="0" w:type="dxa"/>
            </w:tcMar>
            <w:tcW w:w="850" w:type="dxa"/>
            <w:vAlign w:val="center"/>
            <w:textDirection w:val="lrTb"/>
            <w:noWrap/>
          </w:tcPr>
          <w:p>
            <w:pPr>
              <w:pStyle w:val="712"/>
              <w:jc w:val="center"/>
              <w:widowControl w:val="off"/>
              <w:rPr>
                <w:rFonts w:hint="eastAsia" w:ascii="黑体" w:hAnsi="Times New Roman" w:eastAsia="黑体" w:cs="Times New Roman"/>
                <w:b/>
                <w:bCs/>
                <w:color w:val="000000"/>
                <w:sz w:val="21"/>
                <w:szCs w:val="21"/>
                <w:highlight w:val="none"/>
                <w:lang w:val="en-US" w:eastAsia="zh-CN" w:bidi="ar-SA"/>
              </w:rPr>
            </w:pPr>
            <w:r>
              <w:rPr>
                <w:rFonts w:hint="eastAsia" w:ascii="黑体" w:hAnsi="Times New Roman" w:eastAsia="黑体" w:cs="Times New Roman"/>
                <w:b/>
                <w:bCs/>
                <w:color w:val="000000"/>
                <w:sz w:val="21"/>
                <w:szCs w:val="21"/>
                <w:highlight w:val="none"/>
                <w:lang w:val="en-US" w:eastAsia="zh-CN" w:bidi="ar-SA"/>
              </w:rPr>
            </w:r>
            <w:r/>
          </w:p>
        </w:tc>
        <w:tc>
          <w:tcPr>
            <w:tcW w:w="978"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c>
          <w:tcPr>
            <w:tcW w:w="1097" w:type="dxa"/>
            <w:vAlign w:val="center"/>
            <w:textDirection w:val="lrTb"/>
            <w:noWrap w:val="false"/>
          </w:tcPr>
          <w:p>
            <w:pPr>
              <w:pStyle w:val="712"/>
              <w:jc w:val="center"/>
              <w:widowControl w:val="off"/>
              <w:rPr>
                <w:rFonts w:ascii="黑体" w:hAnsi="宋体" w:eastAsia="黑体" w:cs="Times New Roman"/>
                <w:b/>
                <w:bCs/>
                <w:color w:val="000000"/>
                <w:sz w:val="24"/>
                <w:szCs w:val="24"/>
                <w:highlight w:val="none"/>
                <w:lang w:val="en-US" w:eastAsia="zh-CN" w:bidi="ar-SA"/>
              </w:rPr>
            </w:pPr>
            <w:r>
              <w:rPr>
                <w:rFonts w:ascii="黑体" w:hAnsi="宋体" w:eastAsia="黑体" w:cs="Times New Roman"/>
                <w:b/>
                <w:bCs/>
                <w:color w:val="000000"/>
                <w:sz w:val="24"/>
                <w:szCs w:val="24"/>
                <w:highlight w:val="none"/>
                <w:lang w:val="en-US" w:eastAsia="zh-CN" w:bidi="ar-SA"/>
              </w:rPr>
            </w:r>
            <w:r/>
          </w:p>
        </w:tc>
      </w:tr>
      <w:tr>
        <w:trPr>
          <w:cantSplit/>
          <w:trHeight w:val="898"/>
        </w:trPr>
        <w:tc>
          <w:tcPr>
            <w:gridSpan w:val="6"/>
            <w:tcMar>
              <w:left w:w="15" w:type="dxa"/>
              <w:top w:w="15" w:type="dxa"/>
              <w:right w:w="15" w:type="dxa"/>
              <w:bottom w:w="0" w:type="dxa"/>
            </w:tcMar>
            <w:tcW w:w="8805" w:type="dxa"/>
            <w:vAlign w:val="center"/>
            <w:textDirection w:val="lrTb"/>
            <w:noWrap/>
          </w:tcPr>
          <w:p>
            <w:pPr>
              <w:pStyle w:val="712"/>
              <w:jc w:val="center"/>
              <w:widowControl w:val="off"/>
              <w:rPr>
                <w:rFonts w:ascii="黑体" w:hAnsi="宋体" w:eastAsia="黑体" w:cs="Times New Roman"/>
                <w:b/>
                <w:bCs/>
                <w:color w:val="000000"/>
                <w:sz w:val="24"/>
                <w:szCs w:val="24"/>
                <w:highlight w:val="none"/>
                <w:lang w:val="en-US" w:eastAsia="zh-CN" w:bidi="ar-SA"/>
              </w:rPr>
            </w:pPr>
            <w:r>
              <w:rPr>
                <w:rFonts w:hint="eastAsia" w:ascii="黑体" w:hAnsi="宋体" w:eastAsia="黑体" w:cs="Times New Roman"/>
                <w:b/>
                <w:bCs/>
                <w:color w:val="000000"/>
                <w:sz w:val="24"/>
                <w:szCs w:val="24"/>
                <w:highlight w:val="none"/>
                <w:lang w:val="en-US" w:eastAsia="zh-CN" w:bidi="ar-SA"/>
              </w:rPr>
              <w:t xml:space="preserve">投标报价合计：</w:t>
            </w:r>
            <w:r>
              <w:rPr>
                <w:rFonts w:hint="eastAsia" w:ascii="黑体" w:hAnsi="宋体" w:eastAsia="黑体" w:cs="Times New Roman"/>
                <w:b/>
                <w:bCs/>
                <w:color w:val="000000"/>
                <w:sz w:val="24"/>
                <w:szCs w:val="24"/>
                <w:highlight w:val="none"/>
                <w:u w:val="single"/>
                <w:lang w:val="en-US" w:eastAsia="zh-CN" w:bidi="ar-SA"/>
              </w:rPr>
              <w:t xml:space="preserve">      </w:t>
            </w:r>
            <w:r>
              <w:rPr>
                <w:rFonts w:hint="eastAsia" w:ascii="黑体" w:hAnsi="宋体" w:eastAsia="黑体" w:cs="Times New Roman"/>
                <w:b/>
                <w:bCs/>
                <w:color w:val="000000"/>
                <w:sz w:val="24"/>
                <w:szCs w:val="24"/>
                <w:highlight w:val="none"/>
                <w:lang w:val="en-US" w:eastAsia="zh-CN" w:bidi="ar-SA"/>
              </w:rPr>
              <w:t xml:space="preserve">元</w:t>
            </w:r>
            <w:r>
              <w:rPr>
                <w:rFonts w:ascii="黑体" w:hAnsi="宋体" w:eastAsia="黑体" w:cs="Times New Roman"/>
                <w:b/>
                <w:bCs/>
                <w:color w:val="000000"/>
                <w:sz w:val="24"/>
                <w:szCs w:val="24"/>
                <w:highlight w:val="none"/>
                <w:lang w:val="en-US" w:eastAsia="zh-CN" w:bidi="ar-SA"/>
              </w:rPr>
            </w:r>
            <w:r/>
          </w:p>
        </w:tc>
      </w:tr>
      <w:tr>
        <w:trPr>
          <w:cantSplit/>
          <w:trHeight w:val="898"/>
        </w:trPr>
        <w:tc>
          <w:tcPr>
            <w:gridSpan w:val="6"/>
            <w:tcMar>
              <w:left w:w="15" w:type="dxa"/>
              <w:top w:w="15" w:type="dxa"/>
              <w:right w:w="15" w:type="dxa"/>
              <w:bottom w:w="0" w:type="dxa"/>
            </w:tcMar>
            <w:tcW w:w="8805" w:type="dxa"/>
            <w:vAlign w:val="center"/>
            <w:textDirection w:val="lrTb"/>
            <w:noWrap/>
          </w:tcPr>
          <w:p>
            <w:pPr>
              <w:pStyle w:val="712"/>
              <w:jc w:val="center"/>
              <w:widowControl w:val="off"/>
              <w:rPr>
                <w:rFonts w:ascii="黑体" w:hAnsi="宋体" w:eastAsia="黑体" w:cs="Times New Roman"/>
                <w:b/>
                <w:bCs/>
                <w:color w:val="000000"/>
                <w:sz w:val="24"/>
                <w:szCs w:val="24"/>
                <w:highlight w:val="none"/>
                <w:lang w:val="en-US" w:eastAsia="zh-CN" w:bidi="ar-SA"/>
              </w:rPr>
            </w:pPr>
            <w:r>
              <w:rPr>
                <w:rFonts w:hint="eastAsia" w:ascii="宋体" w:hAnsi="宋体" w:eastAsia="宋体" w:cs="方正魏碑_GBK"/>
                <w:color w:val="000000"/>
                <w:sz w:val="24"/>
                <w:szCs w:val="21"/>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方正魏碑_GBK"/>
                <w:color w:val="000000"/>
                <w:sz w:val="24"/>
                <w:szCs w:val="21"/>
                <w:highlight w:val="none"/>
                <w:u w:val="single"/>
                <w:lang w:val="en-US" w:eastAsia="zh-CN" w:bidi="ar-SA"/>
              </w:rPr>
              <w:t xml:space="preserve">     </w:t>
            </w:r>
            <w:r>
              <w:rPr>
                <w:rFonts w:hint="eastAsia" w:ascii="宋体" w:hAnsi="宋体" w:eastAsia="宋体" w:cs="方正魏碑_GBK"/>
                <w:color w:val="000000"/>
                <w:sz w:val="24"/>
                <w:szCs w:val="21"/>
                <w:highlight w:val="none"/>
                <w:lang w:val="en-US" w:eastAsia="zh-CN" w:bidi="ar-SA"/>
              </w:rPr>
              <w:t xml:space="preserve">%。</w:t>
            </w:r>
            <w:r>
              <w:rPr>
                <w:rFonts w:ascii="黑体" w:hAnsi="宋体" w:eastAsia="黑体" w:cs="Times New Roman"/>
                <w:b/>
                <w:bCs/>
                <w:color w:val="000000"/>
                <w:sz w:val="24"/>
                <w:szCs w:val="24"/>
                <w:highlight w:val="none"/>
                <w:lang w:val="en-US" w:eastAsia="zh-CN" w:bidi="ar-SA"/>
              </w:rPr>
            </w:r>
            <w:r/>
          </w:p>
        </w:tc>
      </w:tr>
    </w:tbl>
    <w:p>
      <w:pPr>
        <w:pStyle w:val="712"/>
        <w:spacing w:before="5" w:line="560" w:lineRule="atLeast"/>
        <w:rPr>
          <w:rFonts w:hint="eastAsia"/>
          <w:b/>
          <w:bCs/>
          <w:color w:val="000000"/>
          <w:sz w:val="24"/>
          <w:szCs w:val="24"/>
          <w:highlight w:val="none"/>
        </w:rPr>
      </w:pPr>
      <w:r>
        <w:rPr>
          <w:rFonts w:hint="eastAsia"/>
          <w:b/>
          <w:bCs/>
          <w:color w:val="000000"/>
          <w:sz w:val="24"/>
          <w:szCs w:val="24"/>
          <w:highlight w:val="none"/>
        </w:rPr>
      </w:r>
      <w:r/>
    </w:p>
    <w:p>
      <w:pPr>
        <w:pStyle w:val="712"/>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712"/>
        <w:spacing w:before="5" w:line="560" w:lineRule="atLeast"/>
        <w:rPr>
          <w:rFonts w:ascii="宋体" w:hAnsi="宋体"/>
          <w:bCs/>
          <w:color w:val="000000"/>
          <w:highlight w:val="none"/>
        </w:rPr>
      </w:pPr>
      <w:r>
        <w:rPr>
          <w:rFonts w:ascii="宋体" w:hAnsi="宋体"/>
          <w:bCs/>
          <w:color w:val="000000"/>
          <w:highlight w:val="none"/>
        </w:rPr>
      </w:r>
      <w:r/>
    </w:p>
    <w:p>
      <w:pPr>
        <w:pStyle w:val="712"/>
        <w:spacing w:before="5" w:line="560" w:lineRule="atLeast"/>
        <w:rPr>
          <w:rFonts w:ascii="宋体" w:hAnsi="宋体"/>
          <w:bCs/>
          <w:color w:val="000000"/>
          <w:highlight w:val="none"/>
        </w:rPr>
      </w:pPr>
      <w:r>
        <w:rPr>
          <w:rFonts w:hint="eastAsia" w:ascii="宋体" w:hAnsi="宋体"/>
          <w:b/>
          <w:bCs/>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）投标人为本项目提供的服务全部由符合政策要求的中小企业承接的，须提供按格式填写的《中小企业声明函》（服务）；或提供由省级以上监狱管理局、戒毒管理局</w:t>
      </w:r>
      <w:r>
        <w:rPr>
          <w:rFonts w:hint="eastAsia" w:ascii="宋体" w:hAnsi="宋体"/>
          <w:bCs/>
          <w:color w:val="000000"/>
          <w:highlight w:val="none"/>
          <w:lang w:eastAsia="zh-CN"/>
        </w:rPr>
        <w:t xml:space="preserve">（</w:t>
      </w:r>
      <w:r>
        <w:rPr>
          <w:rFonts w:hint="eastAsia" w:ascii="宋体" w:hAnsi="宋体"/>
          <w:bCs/>
          <w:color w:val="000000"/>
          <w:highlight w:val="none"/>
        </w:rPr>
        <w:t xml:space="preserve">含新疆生产建设兵团</w:t>
      </w:r>
      <w:r>
        <w:rPr>
          <w:rFonts w:hint="eastAsia" w:ascii="宋体" w:hAnsi="宋体"/>
          <w:bCs/>
          <w:color w:val="000000"/>
          <w:highlight w:val="none"/>
          <w:lang w:eastAsia="zh-CN"/>
        </w:rPr>
        <w:t xml:space="preserve">）</w:t>
      </w:r>
      <w:r>
        <w:rPr>
          <w:rFonts w:hint="eastAsia" w:ascii="宋体" w:hAnsi="宋体"/>
          <w:bCs/>
          <w:color w:val="000000"/>
          <w:highlight w:val="none"/>
        </w:rPr>
        <w:t xml:space="preserve">出具的投标人属于监狱企业的证明文件扫描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宋体"/>
          <w:bCs/>
          <w:color w:val="000000"/>
          <w:highlight w:val="none"/>
        </w:rPr>
      </w:r>
      <w:r/>
    </w:p>
    <w:p>
      <w:pPr>
        <w:pStyle w:val="712"/>
        <w:spacing w:before="5" w:line="560" w:lineRule="atLeast"/>
        <w:rPr>
          <w:rFonts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rPr>
          <w:rFonts w:ascii="宋体" w:hAnsi="宋体"/>
          <w:bCs/>
          <w:color w:val="000000"/>
          <w:highlight w:val="none"/>
        </w:rPr>
      </w:r>
      <w:r/>
    </w:p>
    <w:p>
      <w:pPr>
        <w:pStyle w:val="712"/>
        <w:spacing w:before="5" w:line="560" w:lineRule="atLeast"/>
        <w:rPr>
          <w:rFonts w:hint="eastAsia" w:ascii="宋体" w:hAnsi="宋体"/>
          <w:bCs/>
          <w:color w:val="000000"/>
          <w:highlight w:val="none"/>
        </w:rPr>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712"/>
        <w:spacing w:before="5" w:line="560" w:lineRule="atLeast"/>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（4）</w:t>
      </w:r>
      <w:r>
        <w:rPr>
          <w:rFonts w:hint="eastAsia" w:ascii="宋体" w:hAnsi="宋体" w:eastAsia="宋体" w:cs="Times New Roman"/>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highlight w:val="none"/>
        </w:rPr>
      </w:r>
      <w:r/>
    </w:p>
    <w:p>
      <w:pPr>
        <w:pStyle w:val="712"/>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rPr>
          <w:rFonts w:hint="eastAsia" w:ascii="宋体" w:hAnsi="宋体" w:cs="Times New Roman"/>
          <w:bCs/>
          <w:color w:val="000000"/>
          <w:sz w:val="24"/>
          <w:szCs w:val="24"/>
          <w:highlight w:val="none"/>
          <w:u w:val="single"/>
        </w:rPr>
      </w:r>
      <w:r/>
    </w:p>
    <w:p>
      <w:pPr>
        <w:pStyle w:val="712"/>
        <w:spacing w:before="5" w:line="560" w:lineRule="atLeast"/>
        <w:rPr>
          <w:b/>
          <w:color w:val="000000"/>
          <w:sz w:val="28"/>
          <w:szCs w:val="28"/>
          <w:highlight w:val="none"/>
        </w:rPr>
      </w:pPr>
      <w:r>
        <w:rPr>
          <w:rFonts w:ascii="宋体" w:hAnsi="宋体"/>
          <w:bCs/>
          <w:color w:val="000000"/>
          <w:highlight w:val="none"/>
        </w:rPr>
        <w:br w:type="page" w:clear="all"/>
      </w:r>
      <w:bookmarkEnd w:id="173"/>
      <w:r/>
      <w:bookmarkEnd w:id="174"/>
      <w:r/>
      <w:bookmarkEnd w:id="185"/>
      <w:r/>
      <w:bookmarkEnd w:id="186"/>
      <w:r/>
      <w:bookmarkEnd w:id="187"/>
      <w:r>
        <w:rPr>
          <w:rFonts w:hint="eastAsia"/>
          <w:b/>
          <w:color w:val="000000"/>
          <w:sz w:val="28"/>
          <w:szCs w:val="28"/>
          <w:highlight w:val="none"/>
        </w:rPr>
        <w:t xml:space="preserve">十、项目人员配置清单（格式）</w:t>
      </w:r>
      <w:r>
        <w:rPr>
          <w:b/>
          <w:color w:val="000000"/>
          <w:sz w:val="28"/>
          <w:szCs w:val="28"/>
          <w:highlight w:val="none"/>
        </w:rPr>
      </w:r>
      <w:r/>
    </w:p>
    <w:p>
      <w:pPr>
        <w:pStyle w:val="712"/>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12"/>
        <w:jc w:val="center"/>
        <w:spacing w:line="400" w:lineRule="exact"/>
        <w:rPr>
          <w:rFonts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ascii="黑体" w:eastAsia="黑体"/>
          <w:bCs/>
          <w:color w:val="000000"/>
          <w:sz w:val="28"/>
          <w:szCs w:val="28"/>
          <w:highlight w:val="none"/>
        </w:rPr>
      </w:r>
      <w:r/>
    </w:p>
    <w:p>
      <w:pPr>
        <w:pStyle w:val="712"/>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71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JSZC-320213-SDRD-G2026-0004</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trHeight w:val="865"/>
        </w:trPr>
        <w:tc>
          <w:tcPr>
            <w:tcW w:w="864" w:type="dxa"/>
            <w:vAlign w:val="center"/>
            <w:textDirection w:val="lrTb"/>
            <w:noWrap/>
          </w:tcPr>
          <w:p>
            <w:pPr>
              <w:pStyle w:val="71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序号</w:t>
            </w:r>
            <w:r>
              <w:rPr>
                <w:rFonts w:ascii="Times New Roman" w:hAnsi="Times New Roman" w:eastAsia="宋体" w:cs="Times New Roman"/>
                <w:b/>
                <w:color w:val="000000"/>
                <w:sz w:val="24"/>
                <w:szCs w:val="21"/>
                <w:highlight w:val="none"/>
                <w:lang w:val="en-US" w:eastAsia="zh-CN" w:bidi="ar-SA"/>
              </w:rPr>
            </w:r>
            <w:r/>
          </w:p>
        </w:tc>
        <w:tc>
          <w:tcPr>
            <w:tcW w:w="1417" w:type="dxa"/>
            <w:vAlign w:val="center"/>
            <w:textDirection w:val="lrTb"/>
            <w:noWrap/>
          </w:tcPr>
          <w:p>
            <w:pPr>
              <w:pStyle w:val="71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姓名</w:t>
            </w:r>
            <w:r>
              <w:rPr>
                <w:rFonts w:ascii="Times New Roman" w:hAnsi="Times New Roman" w:eastAsia="宋体" w:cs="Times New Roman"/>
                <w:b/>
                <w:color w:val="000000"/>
                <w:sz w:val="24"/>
                <w:szCs w:val="21"/>
                <w:highlight w:val="none"/>
                <w:lang w:val="en-US" w:eastAsia="zh-CN" w:bidi="ar-SA"/>
              </w:rPr>
            </w:r>
            <w:r/>
          </w:p>
        </w:tc>
        <w:tc>
          <w:tcPr>
            <w:tcW w:w="1134" w:type="dxa"/>
            <w:vAlign w:val="center"/>
            <w:textDirection w:val="lrTb"/>
            <w:noWrap/>
          </w:tcPr>
          <w:p>
            <w:pPr>
              <w:pStyle w:val="71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年龄</w:t>
            </w:r>
            <w:r>
              <w:rPr>
                <w:rFonts w:ascii="Times New Roman" w:hAnsi="Times New Roman" w:eastAsia="宋体" w:cs="Times New Roman"/>
                <w:b/>
                <w:color w:val="000000"/>
                <w:sz w:val="24"/>
                <w:szCs w:val="21"/>
                <w:highlight w:val="none"/>
                <w:lang w:val="en-US" w:eastAsia="zh-CN" w:bidi="ar-SA"/>
              </w:rPr>
            </w:r>
            <w:r/>
          </w:p>
        </w:tc>
        <w:tc>
          <w:tcPr>
            <w:tcW w:w="2005" w:type="dxa"/>
            <w:vAlign w:val="center"/>
            <w:textDirection w:val="lrTb"/>
            <w:noWrap/>
          </w:tcPr>
          <w:p>
            <w:pPr>
              <w:pStyle w:val="71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本项目职责</w:t>
            </w:r>
            <w:r>
              <w:rPr>
                <w:rFonts w:ascii="Times New Roman" w:hAnsi="Times New Roman" w:eastAsia="宋体" w:cs="Times New Roman"/>
                <w:b/>
                <w:color w:val="000000"/>
                <w:sz w:val="24"/>
                <w:szCs w:val="21"/>
                <w:highlight w:val="none"/>
                <w:lang w:val="en-US" w:eastAsia="zh-CN" w:bidi="ar-SA"/>
              </w:rPr>
            </w:r>
            <w:r/>
          </w:p>
        </w:tc>
        <w:tc>
          <w:tcPr>
            <w:tcW w:w="3274" w:type="dxa"/>
            <w:vAlign w:val="center"/>
            <w:textDirection w:val="lrTb"/>
            <w:noWrap/>
          </w:tcPr>
          <w:p>
            <w:pPr>
              <w:pStyle w:val="712"/>
              <w:jc w:val="center"/>
              <w:widowControl w:val="off"/>
              <w:rPr>
                <w:rFonts w:ascii="Times New Roman" w:hAnsi="Times New Roman" w:eastAsia="宋体" w:cs="Times New Roman"/>
                <w:b/>
                <w:color w:val="000000"/>
                <w:sz w:val="24"/>
                <w:szCs w:val="21"/>
                <w:highlight w:val="none"/>
                <w:lang w:val="en-US" w:eastAsia="zh-CN" w:bidi="ar-SA"/>
              </w:rPr>
            </w:pPr>
            <w:r>
              <w:rPr>
                <w:rFonts w:hint="eastAsia" w:ascii="Times New Roman" w:hAnsi="Times New Roman" w:eastAsia="宋体" w:cs="Times New Roman"/>
                <w:b/>
                <w:color w:val="000000"/>
                <w:sz w:val="24"/>
                <w:szCs w:val="21"/>
                <w:highlight w:val="none"/>
                <w:lang w:val="en-US" w:eastAsia="zh-CN" w:bidi="ar-SA"/>
              </w:rPr>
              <w:t xml:space="preserve">基本要求</w:t>
            </w:r>
            <w:r>
              <w:rPr>
                <w:rFonts w:ascii="Times New Roman" w:hAnsi="Times New Roman" w:eastAsia="宋体" w:cs="Times New Roman"/>
                <w:b/>
                <w:color w:val="000000"/>
                <w:sz w:val="24"/>
                <w:szCs w:val="21"/>
                <w:highlight w:val="none"/>
                <w:lang w:val="en-US" w:eastAsia="zh-CN" w:bidi="ar-SA"/>
              </w:rPr>
            </w:r>
            <w:r/>
          </w:p>
        </w:tc>
      </w:tr>
      <w:tr>
        <w:trPr>
          <w:trHeight w:val="680"/>
        </w:trPr>
        <w:tc>
          <w:tcPr>
            <w:tcW w:w="86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r>
        <w:trPr>
          <w:trHeight w:val="680"/>
        </w:trPr>
        <w:tc>
          <w:tcPr>
            <w:tcW w:w="86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417"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113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2005"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c>
          <w:tcPr>
            <w:tcW w:w="3274" w:type="dxa"/>
            <w:vAlign w:val="top"/>
            <w:textDirection w:val="lrTb"/>
            <w:noWrap/>
          </w:tcPr>
          <w:p>
            <w:pPr>
              <w:pStyle w:val="712"/>
              <w:jc w:val="both"/>
              <w:widowControl w:val="off"/>
              <w:rPr>
                <w:rFonts w:ascii="黑体" w:hAnsi="Times New Roman" w:eastAsia="黑体" w:cs="Times New Roman"/>
                <w:bCs/>
                <w:color w:val="000000"/>
                <w:sz w:val="24"/>
                <w:szCs w:val="24"/>
                <w:highlight w:val="none"/>
                <w:lang w:val="en-US" w:eastAsia="zh-CN" w:bidi="ar-SA"/>
              </w:rPr>
              <w:outlineLvl w:val="0"/>
            </w:pPr>
            <w:r>
              <w:rPr>
                <w:rFonts w:ascii="黑体" w:hAnsi="Times New Roman" w:eastAsia="黑体" w:cs="Times New Roman"/>
                <w:bCs/>
                <w:color w:val="000000"/>
                <w:sz w:val="24"/>
                <w:szCs w:val="24"/>
                <w:highlight w:val="none"/>
                <w:lang w:val="en-US" w:eastAsia="zh-CN" w:bidi="ar-SA"/>
              </w:rPr>
            </w:r>
            <w:r/>
          </w:p>
        </w:tc>
      </w:tr>
    </w:tbl>
    <w:p>
      <w:pPr>
        <w:pStyle w:val="1116"/>
        <w:ind w:right="-290"/>
        <w:spacing w:line="400" w:lineRule="exact"/>
        <w:tabs>
          <w:tab w:val="left" w:pos="9000" w:leader="none"/>
        </w:tabs>
        <w:rPr>
          <w:rFonts w:hAnsi="宋体" w:eastAsia="宋体"/>
          <w:color w:val="000000"/>
          <w:sz w:val="24"/>
          <w:szCs w:val="24"/>
          <w:highlight w:val="none"/>
        </w:rPr>
      </w:pPr>
      <w:r>
        <w:rPr>
          <w:rFonts w:hAnsi="宋体" w:eastAsia="宋体"/>
          <w:color w:val="000000"/>
          <w:sz w:val="24"/>
          <w:szCs w:val="24"/>
          <w:highlight w:val="none"/>
        </w:rPr>
      </w:r>
      <w:r/>
    </w:p>
    <w:p>
      <w:pPr>
        <w:pStyle w:val="71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r>
      <w:r/>
    </w:p>
    <w:p>
      <w:pPr>
        <w:pStyle w:val="71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投标人：（单位盖章）</w:t>
      </w:r>
      <w:r>
        <w:rPr>
          <w:rFonts w:hint="eastAsia" w:ascii="黑体" w:eastAsia="黑体"/>
          <w:bCs/>
          <w:color w:val="000000"/>
          <w:sz w:val="24"/>
          <w:szCs w:val="24"/>
          <w:highlight w:val="none"/>
          <w:lang w:eastAsia="zh-CN"/>
        </w:rPr>
      </w:r>
      <w:r/>
    </w:p>
    <w:p>
      <w:pPr>
        <w:pStyle w:val="71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法定代表人或被授权人：（签字或盖章）</w:t>
      </w:r>
      <w:r>
        <w:rPr>
          <w:rFonts w:hint="eastAsia" w:ascii="黑体" w:eastAsia="黑体"/>
          <w:bCs/>
          <w:color w:val="000000"/>
          <w:sz w:val="24"/>
          <w:szCs w:val="24"/>
          <w:highlight w:val="none"/>
          <w:lang w:eastAsia="zh-CN"/>
        </w:rPr>
      </w:r>
      <w:r/>
    </w:p>
    <w:p>
      <w:pPr>
        <w:pStyle w:val="712"/>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lang w:eastAsia="zh-CN"/>
        </w:rPr>
        <w:t xml:space="preserve">日期：        年     月     日</w:t>
      </w:r>
      <w:r>
        <w:rPr>
          <w:rFonts w:hint="eastAsia" w:ascii="黑体" w:eastAsia="黑体"/>
          <w:bCs/>
          <w:color w:val="000000"/>
          <w:sz w:val="24"/>
          <w:szCs w:val="24"/>
          <w:highlight w:val="none"/>
          <w:lang w:eastAsia="zh-CN"/>
        </w:rPr>
      </w:r>
      <w:r/>
    </w:p>
    <w:p>
      <w:pPr>
        <w:pStyle w:val="712"/>
        <w:ind w:firstLine="420"/>
        <w:rPr>
          <w:rFonts w:hint="eastAsia" w:ascii="宋体" w:hAnsi="宋体" w:eastAsia="宋体"/>
          <w:bCs/>
          <w:color w:val="000000"/>
          <w:highlight w:val="none"/>
          <w:lang w:val="en-US" w:eastAsia="zh-CN"/>
        </w:rPr>
      </w:pPr>
      <w:r>
        <w:rPr>
          <w:rFonts w:ascii="宋体" w:hAnsi="宋体"/>
          <w:bCs/>
          <w:color w:val="000000"/>
          <w:highlight w:val="none"/>
        </w:rPr>
        <w:br w:type="page" w:clear="all"/>
      </w:r>
      <w:r>
        <w:rPr>
          <w:rFonts w:hint="eastAsia" w:ascii="Times New Roman" w:hAnsi="Times New Roman" w:eastAsia="宋体" w:cs="Times New Roman"/>
          <w:b/>
          <w:bCs w:val="0"/>
          <w:color w:val="000000"/>
          <w:sz w:val="28"/>
          <w:szCs w:val="28"/>
          <w:highlight w:val="none"/>
          <w:lang w:val="en-US" w:eastAsia="zh-CN"/>
        </w:rPr>
        <w:t xml:space="preserve">十二、</w:t>
      </w:r>
      <w:r>
        <w:rPr>
          <w:rFonts w:hint="eastAsia" w:ascii="Times New Roman" w:hAnsi="Times New Roman" w:eastAsia="宋体" w:cs="Times New Roman"/>
          <w:b/>
          <w:bCs w:val="0"/>
          <w:color w:val="000000"/>
          <w:sz w:val="28"/>
          <w:szCs w:val="28"/>
          <w:highlight w:val="none"/>
        </w:rPr>
        <w:t xml:space="preserve">技术</w:t>
      </w:r>
      <w:r>
        <w:rPr>
          <w:rFonts w:hint="eastAsia" w:ascii="Times New Roman" w:hAnsi="Times New Roman" w:eastAsia="宋体" w:cs="Times New Roman"/>
          <w:b/>
          <w:bCs w:val="0"/>
          <w:color w:val="000000"/>
          <w:sz w:val="28"/>
          <w:szCs w:val="28"/>
          <w:highlight w:val="none"/>
          <w:lang w:val="en-US" w:eastAsia="zh-CN"/>
        </w:rPr>
        <w:t xml:space="preserve">方案</w:t>
      </w:r>
      <w:r>
        <w:rPr>
          <w:rFonts w:hint="eastAsia" w:ascii="Times New Roman" w:hAnsi="Times New Roman" w:eastAsia="宋体" w:cs="Times New Roman"/>
          <w:b/>
          <w:bCs w:val="0"/>
          <w:color w:val="000000"/>
          <w:sz w:val="28"/>
          <w:szCs w:val="28"/>
          <w:highlight w:val="none"/>
          <w:lang w:eastAsia="zh-CN"/>
        </w:rPr>
        <w:t xml:space="preserve">（</w:t>
      </w:r>
      <w:r>
        <w:rPr>
          <w:rFonts w:hint="eastAsia" w:ascii="Times New Roman" w:hAnsi="Times New Roman" w:eastAsia="宋体" w:cs="Times New Roman"/>
          <w:b/>
          <w:bCs w:val="0"/>
          <w:color w:val="000000"/>
          <w:sz w:val="28"/>
          <w:szCs w:val="28"/>
          <w:highlight w:val="none"/>
          <w:lang w:val="en-US" w:eastAsia="zh-CN"/>
        </w:rPr>
        <w:t xml:space="preserve">暗标）</w:t>
      </w:r>
      <w:r>
        <w:rPr>
          <w:rFonts w:hint="eastAsia" w:ascii="Times New Roman" w:hAnsi="Times New Roman" w:eastAsia="宋体" w:cs="Times New Roman"/>
          <w:b/>
          <w:bCs w:val="0"/>
          <w:color w:val="000000"/>
          <w:sz w:val="28"/>
          <w:szCs w:val="28"/>
          <w:highlight w:val="none"/>
        </w:rPr>
        <w:t xml:space="preserve">（</w:t>
      </w:r>
      <w:r>
        <w:rPr>
          <w:rFonts w:hint="eastAsia" w:ascii="Times New Roman" w:hAnsi="Times New Roman" w:eastAsia="宋体" w:cs="Times New Roman"/>
          <w:b/>
          <w:bCs w:val="0"/>
          <w:color w:val="000000"/>
          <w:sz w:val="28"/>
          <w:szCs w:val="28"/>
          <w:highlight w:val="none"/>
          <w:lang w:val="en-US" w:eastAsia="zh-CN"/>
        </w:rPr>
        <w:t xml:space="preserve">封面格式</w:t>
      </w:r>
      <w:r>
        <w:rPr>
          <w:rFonts w:hint="eastAsia" w:ascii="Times New Roman" w:hAnsi="Times New Roman" w:eastAsia="宋体" w:cs="Times New Roman"/>
          <w:b/>
          <w:bCs w:val="0"/>
          <w:color w:val="000000"/>
          <w:sz w:val="28"/>
          <w:szCs w:val="28"/>
          <w:highlight w:val="none"/>
        </w:rPr>
        <w:t xml:space="preserve">）</w:t>
      </w:r>
      <w:r>
        <w:rPr>
          <w:rFonts w:hint="eastAsia" w:ascii="宋体" w:hAnsi="宋体" w:eastAsia="宋体"/>
          <w:bCs/>
          <w:color w:val="000000"/>
          <w:highlight w:val="none"/>
          <w:lang w:val="en-US" w:eastAsia="zh-CN"/>
        </w:rPr>
      </w:r>
      <w:r/>
    </w:p>
    <w:p>
      <w:pPr>
        <w:pStyle w:val="712"/>
        <w:jc w:val="center"/>
        <w:rPr>
          <w:rFonts w:hint="eastAsia"/>
          <w:b/>
          <w:color w:val="000000"/>
          <w:sz w:val="28"/>
          <w:szCs w:val="28"/>
          <w:highlight w:val="none"/>
        </w:rPr>
      </w:pPr>
      <w:r>
        <w:rPr>
          <w:rFonts w:hint="eastAsia"/>
          <w:b/>
          <w:color w:val="000000"/>
          <w:sz w:val="28"/>
          <w:szCs w:val="28"/>
          <w:highlight w:val="none"/>
        </w:rPr>
        <w:br w:type="page" w:clear="all"/>
      </w:r>
      <w:r>
        <w:rPr>
          <w:rFonts w:hint="eastAsia"/>
          <w:b/>
          <w:color w:val="000000"/>
          <w:sz w:val="28"/>
          <w:szCs w:val="28"/>
          <w:highlight w:val="none"/>
        </w:rPr>
      </w:r>
      <w:r/>
    </w:p>
    <w:p>
      <w:pPr>
        <w:pStyle w:val="71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71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712"/>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r>
      <w:r/>
    </w:p>
    <w:p>
      <w:pPr>
        <w:pStyle w:val="712"/>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jc w:val="center"/>
        <w:rPr>
          <w:rFonts w:hint="eastAsia"/>
          <w:highlight w:val="none"/>
        </w:rPr>
      </w:pPr>
      <w:r>
        <w:rPr>
          <w:rFonts w:hint="eastAsia" w:ascii="宋体" w:hAnsi="宋体"/>
          <w:bCs/>
          <w:sz w:val="52"/>
          <w:szCs w:val="52"/>
          <w:highlight w:val="none"/>
        </w:rPr>
        <w:t xml:space="preserve">（技术</w:t>
      </w:r>
      <w:r>
        <w:rPr>
          <w:rFonts w:hint="eastAsia" w:ascii="宋体" w:hAnsi="宋体"/>
          <w:bCs/>
          <w:sz w:val="52"/>
          <w:szCs w:val="52"/>
          <w:highlight w:val="none"/>
          <w:lang w:val="en-US" w:eastAsia="zh-CN"/>
        </w:rPr>
        <w:t xml:space="preserve">方案</w:t>
      </w:r>
      <w:r>
        <w:rPr>
          <w:rFonts w:hint="eastAsia" w:ascii="宋体" w:hAnsi="宋体"/>
          <w:bCs/>
          <w:sz w:val="52"/>
          <w:szCs w:val="52"/>
          <w:highlight w:val="none"/>
        </w:rPr>
        <w:t xml:space="preserve">）</w:t>
      </w:r>
      <w:r>
        <w:rPr>
          <w:rFonts w:hint="eastAsia"/>
          <w:highlight w:val="none"/>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jc w:val="both"/>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pStyle w:val="71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JSZC-320213-SDRD-G2026-0004</w:t>
      </w:r>
      <w:r>
        <w:rPr>
          <w:rFonts w:hint="eastAsia" w:ascii="黑体" w:hAnsi="华文中宋" w:eastAsia="黑体"/>
          <w:bCs/>
          <w:color w:val="000000"/>
          <w:sz w:val="30"/>
          <w:szCs w:val="30"/>
          <w:highlight w:val="none"/>
          <w:lang w:eastAsia="zh-CN"/>
        </w:rPr>
      </w:r>
      <w:r/>
    </w:p>
    <w:p>
      <w:pPr>
        <w:pStyle w:val="712"/>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无锡市梁溪区夹城里地块规划学校新建工程项目校园文化建设</w:t>
      </w:r>
      <w:r>
        <w:rPr>
          <w:rFonts w:hint="eastAsia" w:ascii="黑体" w:hAnsi="华文中宋" w:eastAsia="黑体"/>
          <w:bCs/>
          <w:color w:val="000000"/>
          <w:sz w:val="30"/>
          <w:szCs w:val="30"/>
          <w:highlight w:val="none"/>
          <w:lang w:eastAsia="zh-CN"/>
        </w:rPr>
      </w:r>
      <w:r/>
    </w:p>
    <w:p>
      <w:pPr>
        <w:pStyle w:val="712"/>
        <w:ind w:firstLine="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12"/>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hint="eastAsia" w:ascii="黑体" w:hAnsi="华文中宋" w:eastAsia="黑体"/>
          <w:bCs/>
          <w:color w:val="000000"/>
          <w:sz w:val="30"/>
          <w:szCs w:val="30"/>
          <w:highlight w:val="none"/>
        </w:rPr>
      </w:r>
      <w:r/>
    </w:p>
    <w:p>
      <w:pPr>
        <w:pStyle w:val="712"/>
        <w:spacing w:before="5" w:line="560" w:lineRule="atLeast"/>
        <w:rPr>
          <w:rFonts w:hint="eastAsia"/>
          <w:b/>
          <w:color w:val="000000"/>
          <w:sz w:val="28"/>
          <w:szCs w:val="28"/>
          <w:highlight w:val="none"/>
        </w:rPr>
      </w:pPr>
      <w:r>
        <w:rPr>
          <w:rFonts w:hint="eastAsia"/>
          <w:b/>
          <w:color w:val="000000"/>
          <w:sz w:val="28"/>
          <w:szCs w:val="28"/>
          <w:highlight w:val="none"/>
        </w:rPr>
        <w:br w:type="page" w:clear="all"/>
      </w:r>
      <w:r>
        <w:rPr>
          <w:rFonts w:hint="eastAsia"/>
          <w:b/>
          <w:color w:val="000000"/>
          <w:sz w:val="28"/>
          <w:szCs w:val="28"/>
          <w:highlight w:val="none"/>
        </w:rPr>
        <w:t xml:space="preserve">十</w:t>
      </w:r>
      <w:r>
        <w:rPr>
          <w:rFonts w:hint="eastAsia"/>
          <w:b/>
          <w:color w:val="000000"/>
          <w:sz w:val="28"/>
          <w:szCs w:val="28"/>
          <w:highlight w:val="none"/>
          <w:lang w:val="en-US" w:eastAsia="zh-CN"/>
        </w:rPr>
        <w:t xml:space="preserve">三</w:t>
      </w:r>
      <w:r>
        <w:rPr>
          <w:rFonts w:hint="eastAsia"/>
          <w:b/>
          <w:color w:val="000000"/>
          <w:sz w:val="28"/>
          <w:szCs w:val="28"/>
          <w:highlight w:val="none"/>
        </w:rPr>
        <w:t xml:space="preserve">、其他内容（如有）</w:t>
      </w:r>
      <w:r/>
    </w:p>
    <w:sectPr>
      <w:footnotePr/>
      <w:endnotePr/>
      <w:type w:val="nextPage"/>
      <w:pgSz w:w="11906" w:h="16838" w:orient="portrait"/>
      <w:pgMar w:top="12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6891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8910" cy="153035"/>
                      </a:xfrm>
                      <a:prstGeom prst="rect">
                        <a:avLst/>
                      </a:prstGeom>
                      <a:noFill/>
                      <a:ln w="6350">
                        <a:noFill/>
                      </a:ln>
                    </wps:spPr>
                    <wps:txbx>
                      <w:txbxContent>
                        <w:p>
                          <w:pPr>
                            <w:pStyle w:val="745"/>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1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3.3pt;height:12.0pt;mso-wrap-distance-left:9.0pt;mso-wrap-distance-top:0.0pt;mso-wrap-distance-right:9.0pt;mso-wrap-distance-bottom:0.0pt;visibility:visible;" filled="f" stroked="f" strokeweight="0.50pt">
              <v:textbox inset="0,0,0,0">
                <w:txbxContent>
                  <w:p>
                    <w:pPr>
                      <w:pStyle w:val="745"/>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7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17"/>
        <w:rFonts w:ascii="宋体" w:hAnsi="宋体"/>
      </w:rPr>
      <w:framePr w:w="271" w:wrap="around" w:vAnchor="text" w:hAnchor="page" w:x="5596" w:y="-3"/>
    </w:pPr>
    <w:r>
      <w:rPr>
        <w:rFonts w:ascii="宋体" w:hAnsi="宋体"/>
      </w:rPr>
      <w:fldChar w:fldCharType="begin"/>
    </w:r>
    <w:r>
      <w:rPr>
        <w:rStyle w:val="917"/>
        <w:rFonts w:ascii="宋体" w:hAnsi="宋体"/>
      </w:rPr>
      <w:instrText xml:space="preserve">PAGE  </w:instrText>
    </w:r>
    <w:r>
      <w:rPr>
        <w:rFonts w:ascii="宋体" w:hAnsi="宋体"/>
      </w:rPr>
      <w:fldChar w:fldCharType="separate"/>
    </w:r>
    <w:r>
      <w:rPr>
        <w:rStyle w:val="917"/>
        <w:rFonts w:ascii="宋体" w:hAnsi="宋体"/>
      </w:rPr>
      <w:t xml:space="preserve">66</w:t>
    </w:r>
    <w:r>
      <w:rPr>
        <w:rFonts w:ascii="宋体" w:hAnsi="宋体"/>
      </w:rPr>
      <w:fldChar w:fldCharType="end"/>
    </w:r>
    <w:r>
      <w:rPr>
        <w:rStyle w:val="917"/>
        <w:rFonts w:ascii="宋体" w:hAnsi="宋体"/>
      </w:rPr>
    </w:r>
    <w:r/>
  </w:p>
  <w:p>
    <w:pPr>
      <w:pStyle w:val="885"/>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917"/>
      </w:rPr>
      <w:framePr w:wrap="around" w:vAnchor="text" w:hAnchor="margin" w:xAlign="center" w:y="1"/>
    </w:pPr>
    <w:r>
      <w:fldChar w:fldCharType="begin"/>
    </w:r>
    <w:r>
      <w:rPr>
        <w:rStyle w:val="917"/>
      </w:rPr>
      <w:instrText xml:space="preserve">PAGE  </w:instrText>
    </w:r>
    <w:r>
      <w:fldChar w:fldCharType="separate"/>
    </w:r>
    <w:r>
      <w:rPr>
        <w:rStyle w:val="917"/>
      </w:rPr>
      <w:t xml:space="preserve">1</w:t>
    </w:r>
    <w:r>
      <w:fldChar w:fldCharType="end"/>
    </w:r>
    <w:r>
      <w:rPr>
        <w:rStyle w:val="917"/>
      </w:rPr>
    </w:r>
    <w:r/>
  </w:p>
  <w:p>
    <w:pPr>
      <w:pStyle w:val="8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lef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1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12"/>
        <w:ind w:left="840" w:hanging="420"/>
        <w:tabs>
          <w:tab w:val="num" w:pos="840" w:leader="none"/>
        </w:tabs>
      </w:pPr>
      <w:rPr>
        <w:rFonts w:cs="Times New Roman"/>
      </w:rPr>
    </w:lvl>
    <w:lvl w:ilvl="2">
      <w:start w:val="10"/>
      <w:numFmt w:val="decimal"/>
      <w:isLgl w:val="false"/>
      <w:suff w:val="tab"/>
      <w:lvlText w:val="%3."/>
      <w:lvlJc w:val="left"/>
      <w:pPr>
        <w:pStyle w:val="712"/>
        <w:ind w:left="1200" w:hanging="360"/>
        <w:tabs>
          <w:tab w:val="num" w:pos="1200" w:leader="none"/>
        </w:tabs>
      </w:pPr>
      <w:rPr>
        <w:rFonts w:cs="Times New Roman"/>
      </w:rPr>
    </w:lvl>
    <w:lvl w:ilvl="3">
      <w:start w:val="1"/>
      <w:numFmt w:val="decimal"/>
      <w:isLgl w:val="false"/>
      <w:suff w:val="tab"/>
      <w:lvlText w:val="%4."/>
      <w:lvlJc w:val="left"/>
      <w:pPr>
        <w:pStyle w:val="712"/>
        <w:ind w:left="1680" w:hanging="420"/>
        <w:tabs>
          <w:tab w:val="num" w:pos="1680" w:leader="none"/>
        </w:tabs>
      </w:pPr>
      <w:rPr>
        <w:rFonts w:cs="Times New Roman"/>
      </w:rPr>
    </w:lvl>
    <w:lvl w:ilvl="4">
      <w:start w:val="1"/>
      <w:numFmt w:val="lowerLetter"/>
      <w:isLgl w:val="false"/>
      <w:suff w:val="tab"/>
      <w:lvlText w:val="%5)"/>
      <w:lvlJc w:val="left"/>
      <w:pPr>
        <w:pStyle w:val="712"/>
        <w:ind w:left="2100" w:hanging="420"/>
        <w:tabs>
          <w:tab w:val="num" w:pos="2100" w:leader="none"/>
        </w:tabs>
      </w:pPr>
      <w:rPr>
        <w:rFonts w:cs="Times New Roman"/>
      </w:rPr>
    </w:lvl>
    <w:lvl w:ilvl="5">
      <w:start w:val="1"/>
      <w:numFmt w:val="lowerRoman"/>
      <w:isLgl w:val="false"/>
      <w:suff w:val="tab"/>
      <w:lvlText w:val="%6."/>
      <w:lvlJc w:val="right"/>
      <w:pPr>
        <w:pStyle w:val="712"/>
        <w:ind w:left="2520" w:hanging="420"/>
        <w:tabs>
          <w:tab w:val="num" w:pos="2520" w:leader="none"/>
        </w:tabs>
      </w:pPr>
      <w:rPr>
        <w:rFonts w:cs="Times New Roman"/>
      </w:rPr>
    </w:lvl>
    <w:lvl w:ilvl="6">
      <w:start w:val="1"/>
      <w:numFmt w:val="decimal"/>
      <w:isLgl w:val="false"/>
      <w:suff w:val="tab"/>
      <w:lvlText w:val="%7."/>
      <w:lvlJc w:val="left"/>
      <w:pPr>
        <w:pStyle w:val="712"/>
        <w:ind w:left="2940" w:hanging="420"/>
        <w:tabs>
          <w:tab w:val="num" w:pos="2940" w:leader="none"/>
        </w:tabs>
      </w:pPr>
      <w:rPr>
        <w:rFonts w:cs="Times New Roman"/>
      </w:rPr>
    </w:lvl>
    <w:lvl w:ilvl="7">
      <w:start w:val="1"/>
      <w:numFmt w:val="lowerLetter"/>
      <w:isLgl w:val="false"/>
      <w:suff w:val="tab"/>
      <w:lvlText w:val="%8)"/>
      <w:lvlJc w:val="left"/>
      <w:pPr>
        <w:pStyle w:val="712"/>
        <w:ind w:left="3360" w:hanging="420"/>
        <w:tabs>
          <w:tab w:val="num" w:pos="3360" w:leader="none"/>
        </w:tabs>
      </w:pPr>
      <w:rPr>
        <w:rFonts w:cs="Times New Roman"/>
      </w:rPr>
    </w:lvl>
    <w:lvl w:ilvl="8">
      <w:start w:val="1"/>
      <w:numFmt w:val="lowerRoman"/>
      <w:isLgl w:val="false"/>
      <w:suff w:val="tab"/>
      <w:lvlText w:val="%9."/>
      <w:lvlJc w:val="right"/>
      <w:pPr>
        <w:pStyle w:val="712"/>
        <w:ind w:left="3780" w:hanging="420"/>
        <w:tabs>
          <w:tab w:val="num"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pStyle w:val="71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abstractNum w:abstractNumId="2">
    <w:multiLevelType w:val="hybridMultilevel"/>
    <w:lvl w:ilvl="0">
      <w:start w:val="1"/>
      <w:numFmt w:val="upperLetter"/>
      <w:pStyle w:val="1063"/>
      <w:isLgl w:val="false"/>
      <w:suff w:val="tab"/>
      <w:lvlText w:val="附录%1."/>
      <w:lvlJc w:val="left"/>
      <w:pPr>
        <w:pStyle w:val="712"/>
        <w:ind w:left="907" w:hanging="907"/>
        <w:tabs>
          <w:tab w:val="num" w:pos="907" w:leader="none"/>
        </w:tabs>
      </w:pPr>
      <w:rPr>
        <w:rFonts w:hint="eastAsia"/>
      </w:r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12"/>
        <w:ind w:left="0" w:firstLine="0"/>
      </w:pPr>
      <w:rPr>
        <w:rFonts w:hint="eastAsia"/>
      </w:rPr>
    </w:lvl>
    <w:lvl w:ilvl="1">
      <w:start w:val="1"/>
      <w:numFmt w:val="decimal"/>
      <w:isLgl w:val="false"/>
      <w:suff w:val="nothing"/>
      <w:lvlText w:val="%2、"/>
      <w:lvlJc w:val="left"/>
      <w:pPr>
        <w:pStyle w:val="712"/>
        <w:ind w:left="0" w:firstLine="0"/>
      </w:pPr>
      <w:rPr>
        <w:rFonts w:hint="eastAsia"/>
      </w:rPr>
    </w:lvl>
    <w:lvl w:ilvl="2">
      <w:start w:val="0"/>
      <w:numFmt w:val="decimal"/>
      <w:isLgl w:val="false"/>
      <w:suff w:val="tab"/>
      <w:lvlText w:val=""/>
      <w:lvlJc w:val="left"/>
      <w:pPr>
        <w:pStyle w:val="712"/>
        <w:tabs>
          <w:tab w:val="num" w:pos="360" w:leader="none"/>
        </w:tabs>
      </w:pPr>
    </w:lvl>
    <w:lvl w:ilvl="3">
      <w:start w:val="0"/>
      <w:numFmt w:val="decimal"/>
      <w:isLgl w:val="false"/>
      <w:suff w:val="tab"/>
      <w:lvlText w:val=""/>
      <w:lvlJc w:val="left"/>
      <w:pPr>
        <w:pStyle w:val="712"/>
        <w:tabs>
          <w:tab w:val="num" w:pos="360" w:leader="none"/>
        </w:tabs>
      </w:pPr>
    </w:lvl>
    <w:lvl w:ilvl="4">
      <w:start w:val="0"/>
      <w:numFmt w:val="decimal"/>
      <w:pStyle w:val="1111"/>
      <w:isLgl w:val="false"/>
      <w:suff w:val="tab"/>
      <w:lvlText w:val=""/>
      <w:lvlJc w:val="left"/>
      <w:pPr>
        <w:pStyle w:val="712"/>
        <w:tabs>
          <w:tab w:val="num" w:pos="360" w:leader="none"/>
        </w:tabs>
      </w:pPr>
    </w:lvl>
    <w:lvl w:ilvl="5">
      <w:start w:val="1"/>
      <w:numFmt w:val="decimal"/>
      <w:pStyle w:val="851"/>
      <w:isLgl w:val="false"/>
      <w:suff w:val="nothing"/>
      <w:lvlText w:val=""/>
      <w:lvlJc w:val="left"/>
      <w:pPr>
        <w:pStyle w:val="712"/>
        <w:ind w:left="0" w:firstLine="0"/>
      </w:pPr>
      <w:rPr>
        <w:rFonts w:hint="eastAsia"/>
      </w:rPr>
    </w:lvl>
    <w:lvl w:ilvl="6">
      <w:start w:val="1"/>
      <w:numFmt w:val="decimal"/>
      <w:pStyle w:val="853"/>
      <w:isLgl w:val="false"/>
      <w:suff w:val="nothing"/>
      <w:lvlText w:val=""/>
      <w:lvlJc w:val="left"/>
      <w:pPr>
        <w:pStyle w:val="712"/>
        <w:ind w:left="0" w:firstLine="0"/>
      </w:pPr>
      <w:rPr>
        <w:rFonts w:hint="eastAsia"/>
      </w:rPr>
    </w:lvl>
    <w:lvl w:ilvl="7">
      <w:start w:val="1"/>
      <w:numFmt w:val="decimal"/>
      <w:pStyle w:val="855"/>
      <w:isLgl w:val="false"/>
      <w:suff w:val="nothing"/>
      <w:lvlText w:val=""/>
      <w:lvlJc w:val="left"/>
      <w:pPr>
        <w:pStyle w:val="712"/>
        <w:ind w:left="0" w:firstLine="0"/>
      </w:pPr>
      <w:rPr>
        <w:rFonts w:hint="eastAsia"/>
      </w:rPr>
    </w:lvl>
    <w:lvl w:ilvl="8">
      <w:start w:val="1"/>
      <w:numFmt w:val="decimal"/>
      <w:pStyle w:val="857"/>
      <w:isLgl w:val="false"/>
      <w:suff w:val="nothing"/>
      <w:lvlText w:val=""/>
      <w:lvlJc w:val="left"/>
      <w:pPr>
        <w:pStyle w:val="712"/>
        <w:ind w:left="0" w:firstLine="0"/>
      </w:pPr>
      <w:rPr>
        <w:rFonts w:hint="eastAsia"/>
      </w:rPr>
    </w:lvl>
  </w:abstractNum>
  <w:abstractNum w:abstractNumId="4">
    <w:multiLevelType w:val="hybridMultilevel"/>
    <w:lvl w:ilvl="0">
      <w:start w:val="1"/>
      <w:numFmt w:val="decimal"/>
      <w:isLgl w:val="false"/>
      <w:suff w:val="nothing"/>
      <w:lvlText w:val="（%1）"/>
      <w:lvlJc w:val="left"/>
      <w:pPr>
        <w:pStyle w:val="712"/>
      </w:p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712"/>
      </w:pPr>
      <w:rPr>
        <w:rFonts w:hint="eastAsia"/>
      </w:r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12"/>
      </w:p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abstractNum w:abstractNumId="7">
    <w:multiLevelType w:val="hybridMultilevel"/>
    <w:lvl w:ilvl="0">
      <w:start w:val="1"/>
      <w:numFmt w:val="decimal"/>
      <w:pStyle w:val="1079"/>
      <w:isLgl w:val="false"/>
      <w:suff w:val="tab"/>
      <w:lvlText w:val="%1."/>
      <w:lvlJc w:val="left"/>
      <w:pPr>
        <w:pStyle w:val="712"/>
        <w:ind w:left="709" w:hanging="709"/>
        <w:tabs>
          <w:tab w:val="num" w:pos="709" w:leader="none"/>
        </w:tabs>
      </w:pPr>
      <w:rPr>
        <w:rFonts w:hint="eastAsia"/>
      </w:rPr>
    </w:lvl>
    <w:lvl w:ilvl="1">
      <w:start w:val="0"/>
      <w:numFmt w:val="decimal"/>
      <w:isLgl w:val="false"/>
      <w:suff w:val="tab"/>
      <w:lvlText w:val=""/>
      <w:lvlJc w:val="left"/>
      <w:pPr>
        <w:pStyle w:val="712"/>
        <w:tabs>
          <w:tab w:val="num" w:pos="360" w:leader="none"/>
        </w:tabs>
      </w:pPr>
    </w:lvl>
    <w:lvl w:ilvl="2">
      <w:start w:val="0"/>
      <w:numFmt w:val="decimal"/>
      <w:isLgl w:val="false"/>
      <w:suff w:val="tab"/>
      <w:lvlText w:val=""/>
      <w:lvlJc w:val="left"/>
      <w:pPr>
        <w:pStyle w:val="712"/>
        <w:tabs>
          <w:tab w:val="num" w:pos="360" w:leader="none"/>
        </w:tabs>
      </w:pPr>
    </w:lvl>
    <w:lvl w:ilvl="3">
      <w:start w:val="0"/>
      <w:numFmt w:val="decimal"/>
      <w:isLgl w:val="false"/>
      <w:suff w:val="tab"/>
      <w:lvlText w:val=""/>
      <w:lvlJc w:val="left"/>
      <w:pPr>
        <w:pStyle w:val="712"/>
        <w:tabs>
          <w:tab w:val="num" w:pos="360" w:leader="none"/>
        </w:tabs>
      </w:pPr>
    </w:lvl>
    <w:lvl w:ilvl="4">
      <w:start w:val="0"/>
      <w:numFmt w:val="decimal"/>
      <w:isLgl w:val="false"/>
      <w:suff w:val="tab"/>
      <w:lvlText w:val=""/>
      <w:lvlJc w:val="left"/>
      <w:pPr>
        <w:pStyle w:val="712"/>
        <w:tabs>
          <w:tab w:val="num" w:pos="360" w:leader="none"/>
        </w:tabs>
      </w:pPr>
    </w:lvl>
    <w:lvl w:ilvl="5">
      <w:start w:val="0"/>
      <w:numFmt w:val="decimal"/>
      <w:isLgl w:val="false"/>
      <w:suff w:val="tab"/>
      <w:lvlText w:val=""/>
      <w:lvlJc w:val="left"/>
      <w:pPr>
        <w:pStyle w:val="712"/>
        <w:tabs>
          <w:tab w:val="num" w:pos="360" w:leader="none"/>
        </w:tabs>
      </w:pPr>
    </w:lvl>
    <w:lvl w:ilvl="6">
      <w:start w:val="0"/>
      <w:numFmt w:val="decimal"/>
      <w:isLgl w:val="false"/>
      <w:suff w:val="tab"/>
      <w:lvlText w:val=""/>
      <w:lvlJc w:val="left"/>
      <w:pPr>
        <w:pStyle w:val="712"/>
        <w:tabs>
          <w:tab w:val="num" w:pos="360" w:leader="none"/>
        </w:tabs>
      </w:pPr>
    </w:lvl>
    <w:lvl w:ilvl="7">
      <w:start w:val="0"/>
      <w:numFmt w:val="decimal"/>
      <w:isLgl w:val="false"/>
      <w:suff w:val="tab"/>
      <w:lvlText w:val=""/>
      <w:lvlJc w:val="left"/>
      <w:pPr>
        <w:pStyle w:val="712"/>
        <w:tabs>
          <w:tab w:val="num" w:pos="360" w:leader="none"/>
        </w:tabs>
      </w:pPr>
    </w:lvl>
    <w:lvl w:ilvl="8">
      <w:start w:val="0"/>
      <w:numFmt w:val="decimal"/>
      <w:isLgl w:val="false"/>
      <w:suff w:val="tab"/>
      <w:lvlText w:val=""/>
      <w:lvlJc w:val="left"/>
      <w:pPr>
        <w:pStyle w:val="712"/>
        <w:tabs>
          <w:tab w:val="num" w:pos="360" w:leader="none"/>
        </w:tabs>
      </w:pPr>
    </w:lvl>
  </w:abstractNum>
  <w:abstractNum w:abstractNumId="8">
    <w:multiLevelType w:val="hybridMultilevel"/>
    <w:lvl w:ilvl="0">
      <w:start w:val="1"/>
      <w:numFmt w:val="decimal"/>
      <w:isLgl w:val="false"/>
      <w:suff w:val="nothing"/>
      <w:lvlText w:val="（%1）"/>
      <w:lvlJc w:val="left"/>
      <w:pPr>
        <w:pStyle w:val="712"/>
      </w:pPr>
    </w:lvl>
    <w:lvl w:ilvl="1">
      <w:start w:val="1"/>
      <w:numFmt w:val="bullet"/>
      <w:isLgl w:val="false"/>
      <w:suff w:val="tab"/>
      <w:lvlText w:val="o"/>
      <w:lvlJc w:val="left"/>
      <w:pPr>
        <w:pStyle w:val="712"/>
        <w:ind w:left="1440" w:hanging="360"/>
      </w:pPr>
      <w:rPr>
        <w:rFonts w:ascii="Courier New" w:hAnsi="Courier New" w:eastAsia="Courier New" w:cs="Courier New"/>
      </w:rPr>
    </w:lvl>
    <w:lvl w:ilvl="2">
      <w:start w:val="1"/>
      <w:numFmt w:val="bullet"/>
      <w:isLgl w:val="false"/>
      <w:suff w:val="tab"/>
      <w:lvlText w:val="§"/>
      <w:lvlJc w:val="left"/>
      <w:pPr>
        <w:pStyle w:val="712"/>
        <w:ind w:left="2160" w:hanging="360"/>
      </w:pPr>
      <w:rPr>
        <w:rFonts w:ascii="Wingdings" w:hAnsi="Wingdings" w:eastAsia="Wingdings" w:cs="Wingdings"/>
      </w:rPr>
    </w:lvl>
    <w:lvl w:ilvl="3">
      <w:start w:val="1"/>
      <w:numFmt w:val="bullet"/>
      <w:isLgl w:val="false"/>
      <w:suff w:val="tab"/>
      <w:lvlText w:val="·"/>
      <w:lvlJc w:val="left"/>
      <w:pPr>
        <w:pStyle w:val="712"/>
        <w:ind w:left="2880" w:hanging="360"/>
      </w:pPr>
      <w:rPr>
        <w:rFonts w:ascii="Symbol" w:hAnsi="Symbol" w:eastAsia="Symbol" w:cs="Symbol"/>
      </w:rPr>
    </w:lvl>
    <w:lvl w:ilvl="4">
      <w:start w:val="1"/>
      <w:numFmt w:val="bullet"/>
      <w:isLgl w:val="false"/>
      <w:suff w:val="tab"/>
      <w:lvlText w:val="o"/>
      <w:lvlJc w:val="left"/>
      <w:pPr>
        <w:pStyle w:val="712"/>
        <w:ind w:left="3600" w:hanging="360"/>
      </w:pPr>
      <w:rPr>
        <w:rFonts w:ascii="Courier New" w:hAnsi="Courier New" w:eastAsia="Courier New" w:cs="Courier New"/>
      </w:rPr>
    </w:lvl>
    <w:lvl w:ilvl="5">
      <w:start w:val="1"/>
      <w:numFmt w:val="bullet"/>
      <w:isLgl w:val="false"/>
      <w:suff w:val="tab"/>
      <w:lvlText w:val="§"/>
      <w:lvlJc w:val="left"/>
      <w:pPr>
        <w:pStyle w:val="712"/>
        <w:ind w:left="4320" w:hanging="360"/>
      </w:pPr>
      <w:rPr>
        <w:rFonts w:ascii="Wingdings" w:hAnsi="Wingdings" w:eastAsia="Wingdings" w:cs="Wingdings"/>
      </w:rPr>
    </w:lvl>
    <w:lvl w:ilvl="6">
      <w:start w:val="1"/>
      <w:numFmt w:val="bullet"/>
      <w:isLgl w:val="false"/>
      <w:suff w:val="tab"/>
      <w:lvlText w:val="·"/>
      <w:lvlJc w:val="left"/>
      <w:pPr>
        <w:pStyle w:val="712"/>
        <w:ind w:left="5040" w:hanging="360"/>
      </w:pPr>
      <w:rPr>
        <w:rFonts w:ascii="Symbol" w:hAnsi="Symbol" w:eastAsia="Symbol" w:cs="Symbol"/>
      </w:rPr>
    </w:lvl>
    <w:lvl w:ilvl="7">
      <w:start w:val="1"/>
      <w:numFmt w:val="bullet"/>
      <w:isLgl w:val="false"/>
      <w:suff w:val="tab"/>
      <w:lvlText w:val="o"/>
      <w:lvlJc w:val="left"/>
      <w:pPr>
        <w:pStyle w:val="712"/>
        <w:ind w:left="5760" w:hanging="360"/>
      </w:pPr>
      <w:rPr>
        <w:rFonts w:ascii="Courier New" w:hAnsi="Courier New" w:eastAsia="Courier New" w:cs="Courier New"/>
      </w:rPr>
    </w:lvl>
    <w:lvl w:ilvl="8">
      <w:start w:val="1"/>
      <w:numFmt w:val="bullet"/>
      <w:isLgl w:val="false"/>
      <w:suff w:val="tab"/>
      <w:lvlText w:val="§"/>
      <w:lvlJc w:val="left"/>
      <w:pPr>
        <w:pStyle w:val="712"/>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2"/>
    <w:next w:val="712"/>
    <w:link w:val="724"/>
    <w:uiPriority w:val="9"/>
    <w:qFormat/>
    <w:pPr>
      <w:keepLines/>
      <w:keepNext/>
      <w:spacing w:before="480" w:after="200"/>
      <w:outlineLvl w:val="0"/>
    </w:pPr>
    <w:rPr>
      <w:rFonts w:ascii="Arial" w:hAnsi="Arial" w:eastAsia="Arial" w:cs="Arial"/>
      <w:sz w:val="40"/>
      <w:szCs w:val="40"/>
    </w:rPr>
  </w:style>
  <w:style w:type="paragraph" w:styleId="14">
    <w:name w:val="Heading 2"/>
    <w:basedOn w:val="712"/>
    <w:next w:val="712"/>
    <w:link w:val="725"/>
    <w:uiPriority w:val="9"/>
    <w:unhideWhenUsed/>
    <w:qFormat/>
    <w:pPr>
      <w:keepLines/>
      <w:keepNext/>
      <w:spacing w:before="360" w:after="200"/>
      <w:outlineLvl w:val="1"/>
    </w:pPr>
    <w:rPr>
      <w:rFonts w:ascii="Arial" w:hAnsi="Arial" w:eastAsia="Arial" w:cs="Arial"/>
      <w:sz w:val="34"/>
    </w:rPr>
  </w:style>
  <w:style w:type="paragraph" w:styleId="16">
    <w:name w:val="Heading 3"/>
    <w:basedOn w:val="712"/>
    <w:next w:val="712"/>
    <w:link w:val="72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2"/>
    <w:next w:val="712"/>
    <w:link w:val="72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2"/>
    <w:next w:val="712"/>
    <w:link w:val="72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2"/>
    <w:next w:val="712"/>
    <w:link w:val="72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2"/>
    <w:next w:val="712"/>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2"/>
    <w:next w:val="712"/>
    <w:link w:val="73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2"/>
    <w:next w:val="712"/>
    <w:link w:val="732"/>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12"/>
    <w:next w:val="712"/>
    <w:link w:val="758"/>
    <w:uiPriority w:val="10"/>
    <w:qFormat/>
    <w:pPr>
      <w:contextualSpacing/>
      <w:spacing w:before="300" w:after="200"/>
    </w:pPr>
    <w:rPr>
      <w:sz w:val="48"/>
      <w:szCs w:val="48"/>
    </w:rPr>
  </w:style>
  <w:style w:type="paragraph" w:styleId="35">
    <w:name w:val="Subtitle"/>
    <w:basedOn w:val="712"/>
    <w:next w:val="712"/>
    <w:link w:val="750"/>
    <w:uiPriority w:val="11"/>
    <w:qFormat/>
    <w:pPr>
      <w:spacing w:before="200" w:after="200"/>
    </w:pPr>
    <w:rPr>
      <w:sz w:val="24"/>
      <w:szCs w:val="24"/>
    </w:rPr>
  </w:style>
  <w:style w:type="paragraph" w:styleId="41">
    <w:name w:val="Header"/>
    <w:basedOn w:val="712"/>
    <w:link w:val="930"/>
    <w:uiPriority w:val="99"/>
    <w:unhideWhenUsed/>
    <w:pPr>
      <w:spacing w:after="0" w:line="240" w:lineRule="auto"/>
      <w:tabs>
        <w:tab w:val="center" w:pos="7143" w:leader="none"/>
        <w:tab w:val="right" w:pos="14287" w:leader="none"/>
      </w:tabs>
    </w:pPr>
  </w:style>
  <w:style w:type="paragraph" w:styleId="43">
    <w:name w:val="Footer"/>
    <w:basedOn w:val="712"/>
    <w:link w:val="932"/>
    <w:uiPriority w:val="99"/>
    <w:unhideWhenUsed/>
    <w:pPr>
      <w:spacing w:after="0" w:line="240" w:lineRule="auto"/>
      <w:tabs>
        <w:tab w:val="center" w:pos="7143" w:leader="none"/>
        <w:tab w:val="right" w:pos="14287" w:leader="none"/>
      </w:tabs>
    </w:pPr>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2"/>
    <w:link w:val="75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2"/>
    <w:link w:val="74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90">
    <w:name w:val="table of figures"/>
    <w:basedOn w:val="712"/>
    <w:next w:val="712"/>
    <w:uiPriority w:val="99"/>
    <w:unhideWhenUsed/>
    <w:pPr>
      <w:spacing w:after="0" w:afterAutospacing="0"/>
    </w:pPr>
  </w:style>
  <w:style w:type="paragraph" w:styleId="712" w:default="1">
    <w:name w:val="Normal"/>
    <w:next w:val="712"/>
    <w:link w:val="712"/>
    <w:qFormat/>
    <w:pPr>
      <w:jc w:val="both"/>
      <w:widowControl w:val="off"/>
    </w:pPr>
    <w:rPr>
      <w:rFonts w:ascii="Times New Roman" w:hAnsi="Times New Roman" w:eastAsia="宋体" w:cs="Times New Roman"/>
      <w:sz w:val="21"/>
      <w:szCs w:val="21"/>
      <w:lang w:val="en-US" w:eastAsia="zh-CN" w:bidi="ar-SA"/>
    </w:rPr>
  </w:style>
  <w:style w:type="paragraph" w:styleId="713">
    <w:name w:val="标题 1"/>
    <w:basedOn w:val="712"/>
    <w:next w:val="712"/>
    <w:link w:val="724"/>
    <w:uiPriority w:val="9"/>
    <w:qFormat/>
    <w:pPr>
      <w:keepLines/>
      <w:keepNext/>
      <w:spacing w:before="480" w:after="200"/>
      <w:outlineLvl w:val="0"/>
    </w:pPr>
    <w:rPr>
      <w:rFonts w:ascii="Arial" w:hAnsi="Arial" w:eastAsia="Arial" w:cs="Arial"/>
      <w:sz w:val="40"/>
      <w:szCs w:val="40"/>
    </w:rPr>
  </w:style>
  <w:style w:type="paragraph" w:styleId="714">
    <w:name w:val="标题 2"/>
    <w:basedOn w:val="712"/>
    <w:next w:val="712"/>
    <w:link w:val="725"/>
    <w:uiPriority w:val="9"/>
    <w:unhideWhenUsed/>
    <w:qFormat/>
    <w:pPr>
      <w:keepLines/>
      <w:keepNext/>
      <w:spacing w:before="360" w:after="200"/>
      <w:outlineLvl w:val="1"/>
    </w:pPr>
    <w:rPr>
      <w:rFonts w:ascii="Arial" w:hAnsi="Arial" w:eastAsia="Arial" w:cs="Arial"/>
      <w:sz w:val="34"/>
    </w:rPr>
  </w:style>
  <w:style w:type="paragraph" w:styleId="715">
    <w:name w:val="标题 3"/>
    <w:basedOn w:val="712"/>
    <w:next w:val="712"/>
    <w:link w:val="726"/>
    <w:uiPriority w:val="9"/>
    <w:unhideWhenUsed/>
    <w:qFormat/>
    <w:pPr>
      <w:keepLines/>
      <w:keepNext/>
      <w:spacing w:before="320" w:after="200"/>
      <w:outlineLvl w:val="2"/>
    </w:pPr>
    <w:rPr>
      <w:rFonts w:ascii="Arial" w:hAnsi="Arial" w:eastAsia="Arial" w:cs="Arial"/>
      <w:sz w:val="30"/>
      <w:szCs w:val="30"/>
    </w:rPr>
  </w:style>
  <w:style w:type="paragraph" w:styleId="716">
    <w:name w:val="标题 4"/>
    <w:basedOn w:val="712"/>
    <w:next w:val="712"/>
    <w:link w:val="727"/>
    <w:uiPriority w:val="9"/>
    <w:unhideWhenUsed/>
    <w:qFormat/>
    <w:pPr>
      <w:keepLines/>
      <w:keepNext/>
      <w:spacing w:before="320" w:after="200"/>
      <w:outlineLvl w:val="3"/>
    </w:pPr>
    <w:rPr>
      <w:rFonts w:ascii="Arial" w:hAnsi="Arial" w:eastAsia="Arial" w:cs="Arial"/>
      <w:b/>
      <w:bCs/>
      <w:sz w:val="26"/>
      <w:szCs w:val="26"/>
    </w:rPr>
  </w:style>
  <w:style w:type="paragraph" w:styleId="717">
    <w:name w:val="标题 5"/>
    <w:basedOn w:val="712"/>
    <w:next w:val="712"/>
    <w:link w:val="728"/>
    <w:uiPriority w:val="9"/>
    <w:unhideWhenUsed/>
    <w:qFormat/>
    <w:pPr>
      <w:keepLines/>
      <w:keepNext/>
      <w:spacing w:before="320" w:after="200"/>
      <w:outlineLvl w:val="4"/>
    </w:pPr>
    <w:rPr>
      <w:rFonts w:ascii="Arial" w:hAnsi="Arial" w:eastAsia="Arial" w:cs="Arial"/>
      <w:b/>
      <w:bCs/>
      <w:sz w:val="24"/>
      <w:szCs w:val="24"/>
    </w:rPr>
  </w:style>
  <w:style w:type="paragraph" w:styleId="718">
    <w:name w:val="标题 6"/>
    <w:basedOn w:val="712"/>
    <w:next w:val="712"/>
    <w:link w:val="729"/>
    <w:uiPriority w:val="9"/>
    <w:unhideWhenUsed/>
    <w:qFormat/>
    <w:pPr>
      <w:keepLines/>
      <w:keepNext/>
      <w:spacing w:before="320" w:after="200"/>
      <w:outlineLvl w:val="5"/>
    </w:pPr>
    <w:rPr>
      <w:rFonts w:ascii="Arial" w:hAnsi="Arial" w:eastAsia="Arial" w:cs="Arial"/>
      <w:b/>
      <w:bCs/>
      <w:sz w:val="22"/>
      <w:szCs w:val="22"/>
    </w:rPr>
  </w:style>
  <w:style w:type="paragraph" w:styleId="719">
    <w:name w:val="标题 7"/>
    <w:basedOn w:val="712"/>
    <w:next w:val="712"/>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标题 8"/>
    <w:basedOn w:val="712"/>
    <w:next w:val="712"/>
    <w:link w:val="731"/>
    <w:uiPriority w:val="9"/>
    <w:unhideWhenUsed/>
    <w:qFormat/>
    <w:pPr>
      <w:keepLines/>
      <w:keepNext/>
      <w:spacing w:before="320" w:after="200"/>
      <w:outlineLvl w:val="7"/>
    </w:pPr>
    <w:rPr>
      <w:rFonts w:ascii="Arial" w:hAnsi="Arial" w:eastAsia="Arial" w:cs="Arial"/>
      <w:i/>
      <w:iCs/>
      <w:sz w:val="22"/>
      <w:szCs w:val="22"/>
    </w:rPr>
  </w:style>
  <w:style w:type="paragraph" w:styleId="721">
    <w:name w:val="标题 9"/>
    <w:basedOn w:val="712"/>
    <w:next w:val="712"/>
    <w:link w:val="732"/>
    <w:uiPriority w:val="9"/>
    <w:unhideWhenUsed/>
    <w:qFormat/>
    <w:pPr>
      <w:keepLines/>
      <w:keepNext/>
      <w:spacing w:before="320" w:after="200"/>
      <w:outlineLvl w:val="8"/>
    </w:pPr>
    <w:rPr>
      <w:rFonts w:ascii="Arial" w:hAnsi="Arial" w:eastAsia="Arial" w:cs="Arial"/>
      <w:i/>
      <w:iCs/>
      <w:sz w:val="21"/>
      <w:szCs w:val="21"/>
    </w:rPr>
  </w:style>
  <w:style w:type="character" w:styleId="722">
    <w:name w:val="默认段落字体"/>
    <w:next w:val="722"/>
    <w:link w:val="712"/>
    <w:uiPriority w:val="1"/>
    <w:unhideWhenUsed/>
    <w:qFormat/>
  </w:style>
  <w:style w:type="table" w:styleId="723">
    <w:name w:val="普通表格"/>
    <w:next w:val="723"/>
    <w:link w:val="712"/>
    <w:uiPriority w:val="99"/>
    <w:unhideWhenUsed/>
    <w:qFormat/>
    <w:tblPr/>
  </w:style>
  <w:style w:type="character" w:styleId="724">
    <w:name w:val="Heading 1 Char"/>
    <w:next w:val="724"/>
    <w:link w:val="713"/>
    <w:uiPriority w:val="9"/>
    <w:qFormat/>
    <w:rPr>
      <w:rFonts w:ascii="Arial" w:hAnsi="Arial" w:eastAsia="Arial" w:cs="Arial"/>
      <w:sz w:val="40"/>
      <w:szCs w:val="40"/>
    </w:rPr>
  </w:style>
  <w:style w:type="character" w:styleId="725">
    <w:name w:val="Heading 2 Char"/>
    <w:next w:val="725"/>
    <w:link w:val="714"/>
    <w:uiPriority w:val="9"/>
    <w:qFormat/>
    <w:rPr>
      <w:rFonts w:ascii="Arial" w:hAnsi="Arial" w:eastAsia="Arial" w:cs="Arial"/>
      <w:sz w:val="34"/>
    </w:rPr>
  </w:style>
  <w:style w:type="character" w:styleId="726">
    <w:name w:val="Heading 3 Char"/>
    <w:next w:val="726"/>
    <w:link w:val="715"/>
    <w:uiPriority w:val="9"/>
    <w:qFormat/>
    <w:rPr>
      <w:rFonts w:ascii="Arial" w:hAnsi="Arial" w:eastAsia="Arial" w:cs="Arial"/>
      <w:sz w:val="30"/>
      <w:szCs w:val="30"/>
    </w:rPr>
  </w:style>
  <w:style w:type="character" w:styleId="727">
    <w:name w:val="Heading 4 Char"/>
    <w:next w:val="727"/>
    <w:link w:val="716"/>
    <w:uiPriority w:val="9"/>
    <w:qFormat/>
    <w:rPr>
      <w:rFonts w:ascii="Arial" w:hAnsi="Arial" w:eastAsia="Arial" w:cs="Arial"/>
      <w:b/>
      <w:bCs/>
      <w:sz w:val="26"/>
      <w:szCs w:val="26"/>
    </w:rPr>
  </w:style>
  <w:style w:type="character" w:styleId="728">
    <w:name w:val="Heading 5 Char"/>
    <w:next w:val="728"/>
    <w:link w:val="717"/>
    <w:uiPriority w:val="9"/>
    <w:qFormat/>
    <w:rPr>
      <w:rFonts w:ascii="Arial" w:hAnsi="Arial" w:eastAsia="Arial" w:cs="Arial"/>
      <w:b/>
      <w:bCs/>
      <w:sz w:val="24"/>
      <w:szCs w:val="24"/>
    </w:rPr>
  </w:style>
  <w:style w:type="character" w:styleId="729">
    <w:name w:val="Heading 6 Char"/>
    <w:next w:val="729"/>
    <w:link w:val="718"/>
    <w:uiPriority w:val="9"/>
    <w:qFormat/>
    <w:rPr>
      <w:rFonts w:ascii="Arial" w:hAnsi="Arial" w:eastAsia="Arial" w:cs="Arial"/>
      <w:b/>
      <w:bCs/>
      <w:sz w:val="22"/>
      <w:szCs w:val="22"/>
    </w:rPr>
  </w:style>
  <w:style w:type="character" w:styleId="730">
    <w:name w:val="Heading 7 Char"/>
    <w:next w:val="730"/>
    <w:link w:val="719"/>
    <w:uiPriority w:val="9"/>
    <w:qFormat/>
    <w:rPr>
      <w:rFonts w:ascii="Arial" w:hAnsi="Arial" w:eastAsia="Arial" w:cs="Arial"/>
      <w:b/>
      <w:bCs/>
      <w:i/>
      <w:iCs/>
      <w:sz w:val="22"/>
      <w:szCs w:val="22"/>
    </w:rPr>
  </w:style>
  <w:style w:type="character" w:styleId="731">
    <w:name w:val="Heading 8 Char"/>
    <w:next w:val="731"/>
    <w:link w:val="720"/>
    <w:uiPriority w:val="9"/>
    <w:qFormat/>
    <w:rPr>
      <w:rFonts w:ascii="Arial" w:hAnsi="Arial" w:eastAsia="Arial" w:cs="Arial"/>
      <w:i/>
      <w:iCs/>
      <w:sz w:val="22"/>
      <w:szCs w:val="22"/>
    </w:rPr>
  </w:style>
  <w:style w:type="character" w:styleId="732">
    <w:name w:val="Heading 9 Char"/>
    <w:next w:val="732"/>
    <w:link w:val="721"/>
    <w:uiPriority w:val="9"/>
    <w:qFormat/>
    <w:rPr>
      <w:rFonts w:ascii="Arial" w:hAnsi="Arial" w:eastAsia="Arial" w:cs="Arial"/>
      <w:i/>
      <w:iCs/>
      <w:sz w:val="21"/>
      <w:szCs w:val="21"/>
    </w:rPr>
  </w:style>
  <w:style w:type="paragraph" w:styleId="733">
    <w:name w:val="目录 7"/>
    <w:basedOn w:val="712"/>
    <w:next w:val="712"/>
    <w:link w:val="712"/>
    <w:uiPriority w:val="39"/>
    <w:unhideWhenUsed/>
    <w:qFormat/>
    <w:pPr>
      <w:ind w:left="1701" w:right="0" w:firstLine="0"/>
      <w:spacing w:after="57"/>
    </w:pPr>
  </w:style>
  <w:style w:type="paragraph" w:styleId="734">
    <w:name w:val="题注"/>
    <w:basedOn w:val="712"/>
    <w:next w:val="712"/>
    <w:link w:val="712"/>
    <w:uiPriority w:val="35"/>
    <w:unhideWhenUsed/>
    <w:qFormat/>
    <w:pPr>
      <w:spacing w:line="276" w:lineRule="auto"/>
    </w:pPr>
    <w:rPr>
      <w:b/>
      <w:bCs/>
      <w:color w:val="4f81bd"/>
      <w:sz w:val="18"/>
      <w:szCs w:val="18"/>
    </w:rPr>
  </w:style>
  <w:style w:type="paragraph" w:styleId="735">
    <w:name w:val="文档结构图"/>
    <w:basedOn w:val="712"/>
    <w:next w:val="712"/>
    <w:link w:val="712"/>
    <w:qFormat/>
    <w:pPr>
      <w:shd w:val="clear" w:color="auto" w:fill="000080"/>
    </w:pPr>
  </w:style>
  <w:style w:type="paragraph" w:styleId="736">
    <w:name w:val="批注文字"/>
    <w:basedOn w:val="712"/>
    <w:next w:val="736"/>
    <w:link w:val="712"/>
    <w:uiPriority w:val="99"/>
    <w:unhideWhenUsed/>
    <w:qFormat/>
    <w:pPr>
      <w:jc w:val="left"/>
    </w:pPr>
  </w:style>
  <w:style w:type="paragraph" w:styleId="737">
    <w:name w:val="正文文本缩进"/>
    <w:basedOn w:val="712"/>
    <w:next w:val="738"/>
    <w:link w:val="712"/>
    <w:qFormat/>
    <w:pPr>
      <w:ind w:firstLine="560"/>
      <w:jc w:val="left"/>
      <w:spacing w:line="300" w:lineRule="auto"/>
    </w:pPr>
    <w:rPr>
      <w:rFonts w:eastAsia="Times New Roman"/>
      <w:sz w:val="28"/>
    </w:rPr>
  </w:style>
  <w:style w:type="paragraph" w:styleId="738">
    <w:name w:val="目录 51"/>
    <w:basedOn w:val="712"/>
    <w:next w:val="712"/>
    <w:link w:val="712"/>
    <w:semiHidden/>
    <w:qFormat/>
    <w:pPr>
      <w:ind w:left="840"/>
      <w:jc w:val="left"/>
    </w:pPr>
  </w:style>
  <w:style w:type="paragraph" w:styleId="739">
    <w:name w:val="索引 4"/>
    <w:basedOn w:val="712"/>
    <w:next w:val="712"/>
    <w:link w:val="712"/>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740">
    <w:name w:val="目录 5"/>
    <w:basedOn w:val="712"/>
    <w:next w:val="712"/>
    <w:link w:val="712"/>
    <w:uiPriority w:val="39"/>
    <w:unhideWhenUsed/>
    <w:qFormat/>
    <w:pPr>
      <w:ind w:left="1134" w:right="0" w:firstLine="0"/>
      <w:spacing w:after="57"/>
    </w:pPr>
  </w:style>
  <w:style w:type="paragraph" w:styleId="741">
    <w:name w:val="目录 3"/>
    <w:basedOn w:val="712"/>
    <w:next w:val="712"/>
    <w:link w:val="712"/>
    <w:uiPriority w:val="39"/>
    <w:unhideWhenUsed/>
    <w:qFormat/>
    <w:pPr>
      <w:ind w:left="567" w:right="0" w:firstLine="0"/>
      <w:spacing w:after="57"/>
    </w:pPr>
  </w:style>
  <w:style w:type="paragraph" w:styleId="742">
    <w:name w:val="目录 8"/>
    <w:basedOn w:val="712"/>
    <w:next w:val="712"/>
    <w:link w:val="712"/>
    <w:uiPriority w:val="39"/>
    <w:unhideWhenUsed/>
    <w:qFormat/>
    <w:pPr>
      <w:ind w:left="1984" w:right="0" w:firstLine="0"/>
      <w:spacing w:after="57"/>
    </w:pPr>
  </w:style>
  <w:style w:type="paragraph" w:styleId="743">
    <w:name w:val="尾注文本"/>
    <w:basedOn w:val="712"/>
    <w:next w:val="743"/>
    <w:link w:val="744"/>
    <w:uiPriority w:val="99"/>
    <w:unhideWhenUsed/>
    <w:qFormat/>
    <w:pPr>
      <w:spacing w:after="0" w:line="240" w:lineRule="auto"/>
    </w:pPr>
    <w:rPr>
      <w:sz w:val="20"/>
    </w:rPr>
  </w:style>
  <w:style w:type="character" w:styleId="744">
    <w:name w:val="Endnote Text Char"/>
    <w:next w:val="744"/>
    <w:link w:val="743"/>
    <w:uiPriority w:val="99"/>
    <w:qFormat/>
    <w:rPr>
      <w:sz w:val="20"/>
    </w:rPr>
  </w:style>
  <w:style w:type="paragraph" w:styleId="745">
    <w:name w:val="页脚"/>
    <w:basedOn w:val="712"/>
    <w:next w:val="745"/>
    <w:link w:val="712"/>
    <w:uiPriority w:val="99"/>
    <w:unhideWhenUsed/>
    <w:qFormat/>
    <w:pPr>
      <w:spacing w:after="0" w:line="240" w:lineRule="auto"/>
      <w:tabs>
        <w:tab w:val="center" w:pos="7143" w:leader="none"/>
        <w:tab w:val="right" w:pos="14287" w:leader="none"/>
      </w:tabs>
    </w:pPr>
  </w:style>
  <w:style w:type="paragraph" w:styleId="746">
    <w:name w:val="页眉"/>
    <w:basedOn w:val="712"/>
    <w:next w:val="746"/>
    <w:link w:val="712"/>
    <w:uiPriority w:val="99"/>
    <w:unhideWhenUsed/>
    <w:qFormat/>
    <w:pPr>
      <w:spacing w:after="0" w:line="240" w:lineRule="auto"/>
      <w:tabs>
        <w:tab w:val="center" w:pos="7143" w:leader="none"/>
        <w:tab w:val="right" w:pos="14287" w:leader="none"/>
      </w:tabs>
    </w:pPr>
  </w:style>
  <w:style w:type="paragraph" w:styleId="747">
    <w:name w:val="目录 1"/>
    <w:basedOn w:val="712"/>
    <w:next w:val="712"/>
    <w:link w:val="712"/>
    <w:uiPriority w:val="39"/>
    <w:unhideWhenUsed/>
    <w:qFormat/>
    <w:pPr>
      <w:ind w:left="0" w:right="0" w:firstLine="0"/>
      <w:spacing w:after="57"/>
    </w:pPr>
  </w:style>
  <w:style w:type="paragraph" w:styleId="748">
    <w:name w:val="目录 4"/>
    <w:basedOn w:val="712"/>
    <w:next w:val="712"/>
    <w:link w:val="712"/>
    <w:uiPriority w:val="39"/>
    <w:unhideWhenUsed/>
    <w:qFormat/>
    <w:pPr>
      <w:ind w:left="850" w:right="0" w:firstLine="0"/>
      <w:spacing w:after="57"/>
    </w:pPr>
  </w:style>
  <w:style w:type="paragraph" w:styleId="749">
    <w:name w:val="副标题"/>
    <w:basedOn w:val="712"/>
    <w:next w:val="712"/>
    <w:link w:val="750"/>
    <w:uiPriority w:val="11"/>
    <w:qFormat/>
    <w:pPr>
      <w:spacing w:before="200" w:after="200"/>
    </w:pPr>
    <w:rPr>
      <w:sz w:val="24"/>
      <w:szCs w:val="24"/>
    </w:rPr>
  </w:style>
  <w:style w:type="character" w:styleId="750">
    <w:name w:val="Subtitle Char"/>
    <w:next w:val="750"/>
    <w:link w:val="749"/>
    <w:uiPriority w:val="11"/>
    <w:qFormat/>
    <w:rPr>
      <w:sz w:val="24"/>
      <w:szCs w:val="24"/>
    </w:rPr>
  </w:style>
  <w:style w:type="paragraph" w:styleId="751">
    <w:name w:val="脚注文本"/>
    <w:basedOn w:val="712"/>
    <w:next w:val="751"/>
    <w:link w:val="752"/>
    <w:uiPriority w:val="99"/>
    <w:unhideWhenUsed/>
    <w:qFormat/>
    <w:pPr>
      <w:spacing w:after="40" w:line="240" w:lineRule="auto"/>
    </w:pPr>
    <w:rPr>
      <w:sz w:val="18"/>
    </w:rPr>
  </w:style>
  <w:style w:type="character" w:styleId="752">
    <w:name w:val="Footnote Text Char"/>
    <w:next w:val="752"/>
    <w:link w:val="751"/>
    <w:uiPriority w:val="99"/>
    <w:qFormat/>
    <w:rPr>
      <w:sz w:val="18"/>
    </w:rPr>
  </w:style>
  <w:style w:type="paragraph" w:styleId="753">
    <w:name w:val="目录 6"/>
    <w:basedOn w:val="712"/>
    <w:next w:val="712"/>
    <w:link w:val="712"/>
    <w:uiPriority w:val="39"/>
    <w:unhideWhenUsed/>
    <w:qFormat/>
    <w:pPr>
      <w:ind w:left="1417" w:right="0" w:firstLine="0"/>
      <w:spacing w:after="57"/>
    </w:pPr>
  </w:style>
  <w:style w:type="paragraph" w:styleId="754">
    <w:name w:val="图表目录"/>
    <w:basedOn w:val="712"/>
    <w:next w:val="712"/>
    <w:link w:val="712"/>
    <w:uiPriority w:val="99"/>
    <w:unhideWhenUsed/>
    <w:qFormat/>
    <w:pPr>
      <w:spacing w:after="0" w:afterAutospacing="0"/>
    </w:pPr>
  </w:style>
  <w:style w:type="paragraph" w:styleId="755">
    <w:name w:val="目录 2"/>
    <w:basedOn w:val="712"/>
    <w:next w:val="712"/>
    <w:link w:val="712"/>
    <w:uiPriority w:val="39"/>
    <w:unhideWhenUsed/>
    <w:qFormat/>
    <w:pPr>
      <w:ind w:left="283" w:right="0" w:firstLine="0"/>
      <w:spacing w:after="57"/>
    </w:pPr>
  </w:style>
  <w:style w:type="paragraph" w:styleId="756">
    <w:name w:val="目录 9"/>
    <w:basedOn w:val="712"/>
    <w:next w:val="712"/>
    <w:link w:val="712"/>
    <w:uiPriority w:val="39"/>
    <w:unhideWhenUsed/>
    <w:qFormat/>
    <w:pPr>
      <w:ind w:left="2268" w:right="0" w:firstLine="0"/>
      <w:spacing w:after="57"/>
    </w:pPr>
  </w:style>
  <w:style w:type="paragraph" w:styleId="757">
    <w:name w:val="标题"/>
    <w:basedOn w:val="712"/>
    <w:next w:val="712"/>
    <w:link w:val="758"/>
    <w:uiPriority w:val="10"/>
    <w:qFormat/>
    <w:pPr>
      <w:contextualSpacing/>
      <w:spacing w:before="300" w:after="200"/>
    </w:pPr>
    <w:rPr>
      <w:sz w:val="48"/>
      <w:szCs w:val="48"/>
    </w:rPr>
  </w:style>
  <w:style w:type="character" w:styleId="758">
    <w:name w:val="Title Char"/>
    <w:next w:val="758"/>
    <w:link w:val="757"/>
    <w:uiPriority w:val="10"/>
    <w:qFormat/>
    <w:rPr>
      <w:sz w:val="48"/>
      <w:szCs w:val="48"/>
    </w:rPr>
  </w:style>
  <w:style w:type="paragraph" w:styleId="759">
    <w:name w:val="正文首行缩进 2"/>
    <w:basedOn w:val="737"/>
    <w:next w:val="712"/>
    <w:link w:val="712"/>
    <w:uiPriority w:val="99"/>
    <w:unhideWhenUsed/>
    <w:qFormat/>
    <w:pPr>
      <w:ind w:firstLine="420"/>
    </w:pPr>
  </w:style>
  <w:style w:type="table" w:styleId="760">
    <w:name w:val="网格型"/>
    <w:next w:val="760"/>
    <w:link w:val="712"/>
    <w:uiPriority w:val="59"/>
    <w:qFormat/>
    <w:pPr>
      <w:spacing w:after="0" w:line="240" w:lineRule="auto"/>
    </w:pPr>
    <w:tblPr/>
  </w:style>
  <w:style w:type="character" w:styleId="761">
    <w:name w:val="尾注引用"/>
    <w:next w:val="761"/>
    <w:link w:val="712"/>
    <w:uiPriority w:val="99"/>
    <w:unhideWhenUsed/>
    <w:qFormat/>
    <w:rPr>
      <w:vertAlign w:val="superscript"/>
    </w:rPr>
  </w:style>
  <w:style w:type="character" w:styleId="762">
    <w:name w:val="超链接"/>
    <w:next w:val="762"/>
    <w:link w:val="712"/>
    <w:uiPriority w:val="99"/>
    <w:unhideWhenUsed/>
    <w:qFormat/>
    <w:rPr>
      <w:color w:val="0000ff"/>
      <w:u w:val="single"/>
    </w:rPr>
  </w:style>
  <w:style w:type="character" w:styleId="763">
    <w:name w:val="批注引用"/>
    <w:basedOn w:val="722"/>
    <w:next w:val="763"/>
    <w:link w:val="712"/>
    <w:uiPriority w:val="99"/>
    <w:unhideWhenUsed/>
    <w:qFormat/>
    <w:rPr>
      <w:sz w:val="21"/>
      <w:szCs w:val="21"/>
    </w:rPr>
  </w:style>
  <w:style w:type="character" w:styleId="764">
    <w:name w:val="脚注引用"/>
    <w:next w:val="764"/>
    <w:link w:val="712"/>
    <w:uiPriority w:val="99"/>
    <w:unhideWhenUsed/>
    <w:qFormat/>
    <w:rPr>
      <w:vertAlign w:val="superscript"/>
    </w:rPr>
  </w:style>
  <w:style w:type="paragraph" w:styleId="765">
    <w:name w:val="List Paragraph"/>
    <w:basedOn w:val="712"/>
    <w:next w:val="765"/>
    <w:link w:val="712"/>
    <w:uiPriority w:val="34"/>
    <w:qFormat/>
    <w:pPr>
      <w:contextualSpacing/>
      <w:ind w:left="720"/>
    </w:pPr>
  </w:style>
  <w:style w:type="paragraph" w:styleId="766">
    <w:name w:val="No Spacing"/>
    <w:next w:val="766"/>
    <w:link w:val="712"/>
    <w:uiPriority w:val="1"/>
    <w:qFormat/>
    <w:pPr>
      <w:spacing w:before="0" w:after="0" w:line="240" w:lineRule="auto"/>
    </w:pPr>
    <w:rPr>
      <w:rFonts w:ascii="Times New Roman" w:hAnsi="Times New Roman" w:eastAsia="宋体" w:cs="Times New Roman"/>
    </w:rPr>
  </w:style>
  <w:style w:type="paragraph" w:styleId="767">
    <w:name w:val="Quote"/>
    <w:basedOn w:val="712"/>
    <w:next w:val="712"/>
    <w:link w:val="768"/>
    <w:uiPriority w:val="29"/>
    <w:qFormat/>
    <w:pPr>
      <w:ind w:left="720" w:right="720"/>
    </w:pPr>
    <w:rPr>
      <w:i/>
    </w:rPr>
  </w:style>
  <w:style w:type="character" w:styleId="768">
    <w:name w:val="Quote Char"/>
    <w:next w:val="768"/>
    <w:link w:val="767"/>
    <w:uiPriority w:val="29"/>
    <w:qFormat/>
    <w:rPr>
      <w:i/>
    </w:rPr>
  </w:style>
  <w:style w:type="paragraph" w:styleId="769">
    <w:name w:val="Intense Quote"/>
    <w:basedOn w:val="712"/>
    <w:next w:val="712"/>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next w:val="770"/>
    <w:link w:val="769"/>
    <w:uiPriority w:val="30"/>
    <w:qFormat/>
    <w:rPr>
      <w:i/>
    </w:rPr>
  </w:style>
  <w:style w:type="paragraph" w:styleId="771">
    <w:name w:val="标题 111"/>
    <w:basedOn w:val="712"/>
    <w:next w:val="712"/>
    <w:link w:val="772"/>
    <w:uiPriority w:val="9"/>
    <w:qFormat/>
    <w:pPr>
      <w:keepLines/>
      <w:keepNext/>
      <w:spacing w:before="480" w:after="200"/>
      <w:outlineLvl w:val="0"/>
    </w:pPr>
    <w:rPr>
      <w:rFonts w:ascii="Arial" w:hAnsi="Arial" w:eastAsia="Arial"/>
      <w:sz w:val="40"/>
      <w:szCs w:val="40"/>
      <w:lang w:val="en-US" w:eastAsia="en-US"/>
    </w:rPr>
  </w:style>
  <w:style w:type="character" w:styleId="772">
    <w:name w:val="标题 1 Char1"/>
    <w:next w:val="772"/>
    <w:link w:val="771"/>
    <w:uiPriority w:val="9"/>
    <w:qFormat/>
    <w:rPr>
      <w:rFonts w:ascii="Arial" w:hAnsi="Arial" w:eastAsia="Arial" w:cs="Arial"/>
      <w:sz w:val="40"/>
      <w:szCs w:val="40"/>
    </w:rPr>
  </w:style>
  <w:style w:type="paragraph" w:styleId="773">
    <w:name w:val="标题 211"/>
    <w:basedOn w:val="712"/>
    <w:next w:val="712"/>
    <w:link w:val="774"/>
    <w:uiPriority w:val="9"/>
    <w:qFormat/>
    <w:pPr>
      <w:keepLines/>
      <w:keepNext/>
      <w:spacing w:before="360" w:after="200"/>
      <w:outlineLvl w:val="1"/>
    </w:pPr>
    <w:rPr>
      <w:rFonts w:ascii="Arial" w:hAnsi="Arial" w:eastAsia="Arial"/>
      <w:sz w:val="34"/>
      <w:szCs w:val="20"/>
      <w:lang w:val="en-US" w:eastAsia="en-US"/>
    </w:rPr>
  </w:style>
  <w:style w:type="character" w:styleId="774">
    <w:name w:val="标题 2 Char1"/>
    <w:next w:val="774"/>
    <w:link w:val="773"/>
    <w:uiPriority w:val="9"/>
    <w:qFormat/>
    <w:rPr>
      <w:rFonts w:ascii="Arial" w:hAnsi="Arial" w:eastAsia="Arial" w:cs="Arial"/>
      <w:sz w:val="34"/>
    </w:rPr>
  </w:style>
  <w:style w:type="paragraph" w:styleId="775">
    <w:name w:val="标题 311"/>
    <w:basedOn w:val="712"/>
    <w:next w:val="712"/>
    <w:link w:val="776"/>
    <w:uiPriority w:val="9"/>
    <w:qFormat/>
    <w:pPr>
      <w:keepLines/>
      <w:keepNext/>
      <w:spacing w:before="320" w:after="200"/>
      <w:outlineLvl w:val="2"/>
    </w:pPr>
    <w:rPr>
      <w:rFonts w:ascii="Arial" w:hAnsi="Arial" w:eastAsia="Arial"/>
      <w:sz w:val="30"/>
      <w:szCs w:val="30"/>
      <w:lang w:val="en-US" w:eastAsia="en-US"/>
    </w:rPr>
  </w:style>
  <w:style w:type="character" w:styleId="776">
    <w:name w:val="标题 3 Char1"/>
    <w:next w:val="776"/>
    <w:link w:val="775"/>
    <w:uiPriority w:val="9"/>
    <w:qFormat/>
    <w:rPr>
      <w:rFonts w:ascii="Arial" w:hAnsi="Arial" w:eastAsia="Arial" w:cs="Arial"/>
      <w:sz w:val="30"/>
      <w:szCs w:val="30"/>
    </w:rPr>
  </w:style>
  <w:style w:type="paragraph" w:styleId="777">
    <w:name w:val="标题 4111"/>
    <w:basedOn w:val="712"/>
    <w:next w:val="712"/>
    <w:link w:val="778"/>
    <w:uiPriority w:val="9"/>
    <w:qFormat/>
    <w:pPr>
      <w:keepLines/>
      <w:keepNext/>
      <w:spacing w:before="320" w:after="200"/>
      <w:outlineLvl w:val="3"/>
    </w:pPr>
    <w:rPr>
      <w:rFonts w:ascii="Arial" w:hAnsi="Arial" w:eastAsia="Arial"/>
      <w:b/>
      <w:bCs/>
      <w:sz w:val="26"/>
      <w:szCs w:val="26"/>
      <w:lang w:val="en-US" w:eastAsia="en-US"/>
    </w:rPr>
  </w:style>
  <w:style w:type="character" w:styleId="778">
    <w:name w:val="标题 4 Char1"/>
    <w:next w:val="778"/>
    <w:link w:val="777"/>
    <w:uiPriority w:val="9"/>
    <w:qFormat/>
    <w:rPr>
      <w:rFonts w:ascii="Arial" w:hAnsi="Arial" w:eastAsia="Arial" w:cs="Arial"/>
      <w:b/>
      <w:bCs/>
      <w:sz w:val="26"/>
      <w:szCs w:val="26"/>
    </w:rPr>
  </w:style>
  <w:style w:type="paragraph" w:styleId="779">
    <w:name w:val="标题 511"/>
    <w:basedOn w:val="712"/>
    <w:next w:val="712"/>
    <w:link w:val="780"/>
    <w:uiPriority w:val="9"/>
    <w:qFormat/>
    <w:pPr>
      <w:keepLines/>
      <w:keepNext/>
      <w:spacing w:before="320" w:after="200"/>
      <w:outlineLvl w:val="4"/>
    </w:pPr>
    <w:rPr>
      <w:rFonts w:ascii="Arial" w:hAnsi="Arial" w:eastAsia="Arial"/>
      <w:b/>
      <w:bCs/>
      <w:sz w:val="24"/>
      <w:szCs w:val="24"/>
      <w:lang w:val="en-US" w:eastAsia="en-US"/>
    </w:rPr>
  </w:style>
  <w:style w:type="character" w:styleId="780">
    <w:name w:val="标题 5 Char1"/>
    <w:next w:val="780"/>
    <w:link w:val="779"/>
    <w:uiPriority w:val="9"/>
    <w:qFormat/>
    <w:rPr>
      <w:rFonts w:ascii="Arial" w:hAnsi="Arial" w:eastAsia="Arial" w:cs="Arial"/>
      <w:b/>
      <w:bCs/>
      <w:sz w:val="24"/>
      <w:szCs w:val="24"/>
    </w:rPr>
  </w:style>
  <w:style w:type="paragraph" w:styleId="781">
    <w:name w:val="标题 611"/>
    <w:basedOn w:val="712"/>
    <w:next w:val="712"/>
    <w:link w:val="782"/>
    <w:uiPriority w:val="9"/>
    <w:qFormat/>
    <w:pPr>
      <w:keepLines/>
      <w:keepNext/>
      <w:spacing w:before="320" w:after="200"/>
      <w:outlineLvl w:val="5"/>
    </w:pPr>
    <w:rPr>
      <w:rFonts w:ascii="Arial" w:hAnsi="Arial" w:eastAsia="Arial"/>
      <w:b/>
      <w:bCs/>
      <w:sz w:val="22"/>
      <w:szCs w:val="22"/>
      <w:lang w:val="en-US" w:eastAsia="en-US"/>
    </w:rPr>
  </w:style>
  <w:style w:type="character" w:styleId="782">
    <w:name w:val="标题 6 Char1"/>
    <w:next w:val="782"/>
    <w:link w:val="781"/>
    <w:uiPriority w:val="9"/>
    <w:qFormat/>
    <w:rPr>
      <w:rFonts w:ascii="Arial" w:hAnsi="Arial" w:eastAsia="Arial" w:cs="Arial"/>
      <w:b/>
      <w:bCs/>
      <w:sz w:val="22"/>
      <w:szCs w:val="22"/>
    </w:rPr>
  </w:style>
  <w:style w:type="paragraph" w:styleId="783">
    <w:name w:val="标题 711"/>
    <w:basedOn w:val="712"/>
    <w:next w:val="712"/>
    <w:link w:val="784"/>
    <w:uiPriority w:val="9"/>
    <w:qFormat/>
    <w:pPr>
      <w:keepLines/>
      <w:keepNext/>
      <w:spacing w:before="320" w:after="200"/>
      <w:outlineLvl w:val="6"/>
    </w:pPr>
    <w:rPr>
      <w:rFonts w:ascii="Arial" w:hAnsi="Arial" w:eastAsia="Arial"/>
      <w:b/>
      <w:bCs/>
      <w:i/>
      <w:iCs/>
      <w:sz w:val="22"/>
      <w:szCs w:val="22"/>
      <w:lang w:val="en-US" w:eastAsia="en-US"/>
    </w:rPr>
  </w:style>
  <w:style w:type="character" w:styleId="784">
    <w:name w:val="标题 7 Char1"/>
    <w:next w:val="784"/>
    <w:link w:val="783"/>
    <w:uiPriority w:val="9"/>
    <w:qFormat/>
    <w:rPr>
      <w:rFonts w:ascii="Arial" w:hAnsi="Arial" w:eastAsia="Arial" w:cs="Arial"/>
      <w:b/>
      <w:bCs/>
      <w:i/>
      <w:iCs/>
      <w:sz w:val="22"/>
      <w:szCs w:val="22"/>
    </w:rPr>
  </w:style>
  <w:style w:type="paragraph" w:styleId="785">
    <w:name w:val="标题 811"/>
    <w:basedOn w:val="712"/>
    <w:next w:val="712"/>
    <w:link w:val="786"/>
    <w:uiPriority w:val="9"/>
    <w:qFormat/>
    <w:pPr>
      <w:keepLines/>
      <w:keepNext/>
      <w:spacing w:before="320" w:after="200"/>
      <w:outlineLvl w:val="7"/>
    </w:pPr>
    <w:rPr>
      <w:rFonts w:ascii="Arial" w:hAnsi="Arial" w:eastAsia="Arial"/>
      <w:i/>
      <w:iCs/>
      <w:sz w:val="22"/>
      <w:szCs w:val="22"/>
      <w:lang w:val="en-US" w:eastAsia="en-US"/>
    </w:rPr>
  </w:style>
  <w:style w:type="character" w:styleId="786">
    <w:name w:val="标题 8 Char1"/>
    <w:next w:val="786"/>
    <w:link w:val="785"/>
    <w:uiPriority w:val="9"/>
    <w:qFormat/>
    <w:rPr>
      <w:rFonts w:ascii="Arial" w:hAnsi="Arial" w:eastAsia="Arial" w:cs="Arial"/>
      <w:i/>
      <w:iCs/>
      <w:sz w:val="22"/>
      <w:szCs w:val="22"/>
    </w:rPr>
  </w:style>
  <w:style w:type="paragraph" w:styleId="787">
    <w:name w:val="标题 911"/>
    <w:basedOn w:val="712"/>
    <w:next w:val="712"/>
    <w:link w:val="788"/>
    <w:uiPriority w:val="9"/>
    <w:qFormat/>
    <w:pPr>
      <w:keepLines/>
      <w:keepNext/>
      <w:spacing w:before="320" w:after="200"/>
      <w:outlineLvl w:val="8"/>
    </w:pPr>
    <w:rPr>
      <w:rFonts w:ascii="Arial" w:hAnsi="Arial" w:eastAsia="Arial"/>
      <w:i/>
      <w:iCs/>
      <w:lang w:val="en-US" w:eastAsia="en-US"/>
    </w:rPr>
  </w:style>
  <w:style w:type="character" w:styleId="788">
    <w:name w:val="标题 9 Char1"/>
    <w:next w:val="788"/>
    <w:link w:val="787"/>
    <w:uiPriority w:val="9"/>
    <w:qFormat/>
    <w:rPr>
      <w:rFonts w:ascii="Arial" w:hAnsi="Arial" w:eastAsia="Arial" w:cs="Arial"/>
      <w:i/>
      <w:iCs/>
      <w:sz w:val="21"/>
      <w:szCs w:val="21"/>
    </w:rPr>
  </w:style>
  <w:style w:type="character" w:styleId="789">
    <w:name w:val="默认段落字体11"/>
    <w:next w:val="789"/>
    <w:link w:val="712"/>
    <w:uiPriority w:val="1"/>
    <w:unhideWhenUsed/>
    <w:qFormat/>
  </w:style>
  <w:style w:type="table" w:styleId="790">
    <w:name w:val="普通表格11"/>
    <w:next w:val="790"/>
    <w:link w:val="712"/>
    <w:uiPriority w:val="99"/>
    <w:unhideWhenUsed/>
    <w:qFormat/>
    <w:tblPr/>
  </w:style>
  <w:style w:type="paragraph" w:styleId="791">
    <w:name w:val="目录 711"/>
    <w:basedOn w:val="712"/>
    <w:next w:val="712"/>
    <w:link w:val="712"/>
    <w:uiPriority w:val="39"/>
    <w:unhideWhenUsed/>
    <w:qFormat/>
    <w:pPr>
      <w:ind w:left="1701" w:right="0" w:firstLine="0"/>
      <w:spacing w:after="57"/>
    </w:pPr>
  </w:style>
  <w:style w:type="paragraph" w:styleId="792">
    <w:name w:val="题注1"/>
    <w:basedOn w:val="712"/>
    <w:next w:val="712"/>
    <w:link w:val="712"/>
    <w:uiPriority w:val="35"/>
    <w:qFormat/>
    <w:pPr>
      <w:spacing w:line="276" w:lineRule="auto"/>
    </w:pPr>
    <w:rPr>
      <w:b/>
      <w:bCs/>
      <w:color w:val="4f81bd"/>
      <w:sz w:val="18"/>
      <w:szCs w:val="18"/>
    </w:rPr>
  </w:style>
  <w:style w:type="paragraph" w:styleId="793">
    <w:name w:val="批注文字11"/>
    <w:basedOn w:val="712"/>
    <w:next w:val="793"/>
    <w:link w:val="794"/>
    <w:uiPriority w:val="99"/>
    <w:unhideWhenUsed/>
    <w:qFormat/>
    <w:pPr>
      <w:jc w:val="left"/>
    </w:pPr>
  </w:style>
  <w:style w:type="character" w:styleId="794">
    <w:name w:val="批注文字 Char1"/>
    <w:next w:val="794"/>
    <w:link w:val="793"/>
    <w:uiPriority w:val="99"/>
    <w:qFormat/>
    <w:rPr>
      <w:sz w:val="21"/>
      <w:szCs w:val="21"/>
    </w:rPr>
  </w:style>
  <w:style w:type="paragraph" w:styleId="795">
    <w:name w:val="正文文本11"/>
    <w:basedOn w:val="712"/>
    <w:next w:val="795"/>
    <w:link w:val="712"/>
    <w:qFormat/>
    <w:rPr>
      <w:rFonts w:ascii="仿宋_GB2312" w:eastAsia="仿宋_GB2312"/>
      <w:sz w:val="28"/>
      <w:szCs w:val="20"/>
    </w:rPr>
  </w:style>
  <w:style w:type="paragraph" w:styleId="796">
    <w:name w:val="正文文本缩进11"/>
    <w:basedOn w:val="712"/>
    <w:next w:val="796"/>
    <w:link w:val="712"/>
    <w:uiPriority w:val="99"/>
    <w:qFormat/>
    <w:pPr>
      <w:ind w:firstLine="576"/>
    </w:pPr>
    <w:rPr>
      <w:rFonts w:ascii="Times New Roman" w:hAnsi="Times New Roman"/>
      <w:b/>
      <w:sz w:val="30"/>
      <w:szCs w:val="20"/>
    </w:rPr>
  </w:style>
  <w:style w:type="paragraph" w:styleId="797">
    <w:name w:val="目录 511"/>
    <w:basedOn w:val="712"/>
    <w:next w:val="712"/>
    <w:link w:val="712"/>
    <w:uiPriority w:val="39"/>
    <w:unhideWhenUsed/>
    <w:qFormat/>
    <w:pPr>
      <w:ind w:left="1134" w:right="0" w:firstLine="0"/>
      <w:spacing w:after="57"/>
    </w:pPr>
  </w:style>
  <w:style w:type="paragraph" w:styleId="798">
    <w:name w:val="目录 311"/>
    <w:basedOn w:val="712"/>
    <w:next w:val="712"/>
    <w:link w:val="712"/>
    <w:uiPriority w:val="39"/>
    <w:unhideWhenUsed/>
    <w:qFormat/>
    <w:pPr>
      <w:ind w:left="567" w:right="0" w:firstLine="0"/>
      <w:spacing w:after="57"/>
    </w:pPr>
  </w:style>
  <w:style w:type="paragraph" w:styleId="799">
    <w:name w:val="纯文本11"/>
    <w:basedOn w:val="712"/>
    <w:next w:val="799"/>
    <w:link w:val="712"/>
    <w:qFormat/>
    <w:rPr>
      <w:rFonts w:ascii="宋体" w:hAnsi="Courier New"/>
      <w:sz w:val="20"/>
      <w:lang w:eastAsia="en-US"/>
    </w:rPr>
  </w:style>
  <w:style w:type="paragraph" w:styleId="800">
    <w:name w:val="目录 811"/>
    <w:basedOn w:val="712"/>
    <w:next w:val="712"/>
    <w:link w:val="712"/>
    <w:uiPriority w:val="39"/>
    <w:unhideWhenUsed/>
    <w:qFormat/>
    <w:pPr>
      <w:ind w:left="1984" w:right="0" w:firstLine="0"/>
      <w:spacing w:after="57"/>
    </w:pPr>
  </w:style>
  <w:style w:type="paragraph" w:styleId="801">
    <w:name w:val="尾注文本11"/>
    <w:basedOn w:val="712"/>
    <w:next w:val="801"/>
    <w:link w:val="802"/>
    <w:uiPriority w:val="99"/>
    <w:unhideWhenUsed/>
    <w:qFormat/>
    <w:pPr>
      <w:spacing w:after="0" w:line="240" w:lineRule="auto"/>
    </w:pPr>
    <w:rPr>
      <w:sz w:val="20"/>
    </w:rPr>
  </w:style>
  <w:style w:type="character" w:styleId="802">
    <w:name w:val="尾注文本 Char1"/>
    <w:next w:val="802"/>
    <w:link w:val="801"/>
    <w:uiPriority w:val="99"/>
    <w:qFormat/>
    <w:rPr>
      <w:sz w:val="20"/>
    </w:rPr>
  </w:style>
  <w:style w:type="paragraph" w:styleId="803">
    <w:name w:val="批注框文本11"/>
    <w:basedOn w:val="712"/>
    <w:next w:val="803"/>
    <w:link w:val="804"/>
    <w:uiPriority w:val="99"/>
    <w:unhideWhenUsed/>
    <w:qFormat/>
    <w:rPr>
      <w:sz w:val="18"/>
      <w:szCs w:val="18"/>
    </w:rPr>
  </w:style>
  <w:style w:type="character" w:styleId="804">
    <w:name w:val="批注框文本 Char1"/>
    <w:next w:val="804"/>
    <w:link w:val="803"/>
    <w:uiPriority w:val="99"/>
    <w:semiHidden/>
    <w:qFormat/>
    <w:rPr>
      <w:sz w:val="18"/>
      <w:szCs w:val="18"/>
    </w:rPr>
  </w:style>
  <w:style w:type="paragraph" w:styleId="805">
    <w:name w:val="页脚11"/>
    <w:basedOn w:val="712"/>
    <w:next w:val="805"/>
    <w:link w:val="712"/>
    <w:uiPriority w:val="99"/>
    <w:unhideWhenUsed/>
    <w:qFormat/>
    <w:pPr>
      <w:spacing w:after="0" w:line="240" w:lineRule="auto"/>
      <w:tabs>
        <w:tab w:val="center" w:pos="7143" w:leader="none"/>
        <w:tab w:val="right" w:pos="14287" w:leader="none"/>
      </w:tabs>
    </w:pPr>
  </w:style>
  <w:style w:type="paragraph" w:styleId="806">
    <w:name w:val="页眉11"/>
    <w:basedOn w:val="712"/>
    <w:next w:val="806"/>
    <w:link w:val="712"/>
    <w:uiPriority w:val="99"/>
    <w:unhideWhenUsed/>
    <w:qFormat/>
    <w:pPr>
      <w:spacing w:after="0" w:line="240" w:lineRule="auto"/>
      <w:tabs>
        <w:tab w:val="center" w:pos="7143" w:leader="none"/>
        <w:tab w:val="right" w:pos="14287" w:leader="none"/>
      </w:tabs>
    </w:pPr>
  </w:style>
  <w:style w:type="paragraph" w:styleId="807">
    <w:name w:val="目录 1111"/>
    <w:basedOn w:val="712"/>
    <w:next w:val="712"/>
    <w:link w:val="712"/>
    <w:uiPriority w:val="39"/>
    <w:unhideWhenUsed/>
    <w:qFormat/>
    <w:pPr>
      <w:ind w:left="0" w:right="0" w:firstLine="0"/>
      <w:spacing w:after="57"/>
    </w:pPr>
  </w:style>
  <w:style w:type="paragraph" w:styleId="808">
    <w:name w:val="目录 411"/>
    <w:basedOn w:val="712"/>
    <w:next w:val="712"/>
    <w:link w:val="712"/>
    <w:uiPriority w:val="39"/>
    <w:unhideWhenUsed/>
    <w:qFormat/>
    <w:pPr>
      <w:ind w:left="850" w:right="0" w:firstLine="0"/>
      <w:spacing w:after="57"/>
    </w:pPr>
  </w:style>
  <w:style w:type="paragraph" w:styleId="809">
    <w:name w:val="副标题11"/>
    <w:basedOn w:val="712"/>
    <w:next w:val="712"/>
    <w:link w:val="810"/>
    <w:uiPriority w:val="11"/>
    <w:qFormat/>
    <w:pPr>
      <w:spacing w:before="200" w:after="200"/>
    </w:pPr>
    <w:rPr>
      <w:sz w:val="24"/>
      <w:szCs w:val="24"/>
    </w:rPr>
  </w:style>
  <w:style w:type="character" w:styleId="810">
    <w:name w:val="副标题 Char1"/>
    <w:next w:val="810"/>
    <w:link w:val="809"/>
    <w:uiPriority w:val="11"/>
    <w:qFormat/>
    <w:rPr>
      <w:sz w:val="24"/>
      <w:szCs w:val="24"/>
    </w:rPr>
  </w:style>
  <w:style w:type="paragraph" w:styleId="811">
    <w:name w:val="列表11"/>
    <w:basedOn w:val="712"/>
    <w:next w:val="811"/>
    <w:link w:val="712"/>
    <w:qFormat/>
    <w:pPr>
      <w:ind w:left="200" w:hanging="200"/>
    </w:pPr>
  </w:style>
  <w:style w:type="paragraph" w:styleId="812">
    <w:name w:val="脚注文本11"/>
    <w:basedOn w:val="712"/>
    <w:next w:val="812"/>
    <w:link w:val="813"/>
    <w:uiPriority w:val="99"/>
    <w:unhideWhenUsed/>
    <w:qFormat/>
    <w:pPr>
      <w:spacing w:after="40" w:line="240" w:lineRule="auto"/>
    </w:pPr>
    <w:rPr>
      <w:sz w:val="18"/>
    </w:rPr>
  </w:style>
  <w:style w:type="character" w:styleId="813">
    <w:name w:val="脚注文本 Char1"/>
    <w:next w:val="813"/>
    <w:link w:val="812"/>
    <w:uiPriority w:val="99"/>
    <w:qFormat/>
    <w:rPr>
      <w:sz w:val="18"/>
    </w:rPr>
  </w:style>
  <w:style w:type="paragraph" w:styleId="814">
    <w:name w:val="目录 611"/>
    <w:basedOn w:val="712"/>
    <w:next w:val="712"/>
    <w:link w:val="712"/>
    <w:uiPriority w:val="39"/>
    <w:unhideWhenUsed/>
    <w:qFormat/>
    <w:pPr>
      <w:ind w:left="1417" w:right="0" w:firstLine="0"/>
      <w:spacing w:after="57"/>
    </w:pPr>
  </w:style>
  <w:style w:type="paragraph" w:styleId="815">
    <w:name w:val="图表目录11"/>
    <w:basedOn w:val="712"/>
    <w:next w:val="712"/>
    <w:link w:val="712"/>
    <w:uiPriority w:val="99"/>
    <w:unhideWhenUsed/>
    <w:qFormat/>
    <w:pPr>
      <w:spacing w:after="0" w:afterAutospacing="0"/>
    </w:pPr>
  </w:style>
  <w:style w:type="paragraph" w:styleId="816">
    <w:name w:val="目录 211"/>
    <w:basedOn w:val="712"/>
    <w:next w:val="712"/>
    <w:link w:val="712"/>
    <w:uiPriority w:val="39"/>
    <w:unhideWhenUsed/>
    <w:qFormat/>
    <w:pPr>
      <w:ind w:left="283" w:right="0" w:firstLine="0"/>
      <w:spacing w:after="57"/>
    </w:pPr>
  </w:style>
  <w:style w:type="paragraph" w:styleId="817">
    <w:name w:val="目录 911"/>
    <w:basedOn w:val="712"/>
    <w:next w:val="712"/>
    <w:link w:val="712"/>
    <w:uiPriority w:val="39"/>
    <w:unhideWhenUsed/>
    <w:qFormat/>
    <w:pPr>
      <w:ind w:left="2268" w:right="0" w:firstLine="0"/>
      <w:spacing w:after="57"/>
    </w:pPr>
  </w:style>
  <w:style w:type="paragraph" w:styleId="818">
    <w:name w:val="标题12"/>
    <w:basedOn w:val="712"/>
    <w:next w:val="712"/>
    <w:link w:val="819"/>
    <w:uiPriority w:val="10"/>
    <w:qFormat/>
    <w:pPr>
      <w:contextualSpacing/>
      <w:spacing w:before="300" w:after="200"/>
    </w:pPr>
    <w:rPr>
      <w:sz w:val="48"/>
      <w:szCs w:val="48"/>
    </w:rPr>
  </w:style>
  <w:style w:type="character" w:styleId="819">
    <w:name w:val="标题 Char1"/>
    <w:next w:val="819"/>
    <w:link w:val="818"/>
    <w:uiPriority w:val="10"/>
    <w:qFormat/>
    <w:rPr>
      <w:sz w:val="48"/>
      <w:szCs w:val="48"/>
    </w:rPr>
  </w:style>
  <w:style w:type="paragraph" w:styleId="820">
    <w:name w:val="批注主题11"/>
    <w:basedOn w:val="793"/>
    <w:next w:val="793"/>
    <w:link w:val="821"/>
    <w:uiPriority w:val="99"/>
    <w:unhideWhenUsed/>
    <w:qFormat/>
    <w:rPr>
      <w:b/>
      <w:bCs/>
    </w:rPr>
  </w:style>
  <w:style w:type="character" w:styleId="821">
    <w:name w:val="批注主题 Char1"/>
    <w:next w:val="821"/>
    <w:link w:val="820"/>
    <w:uiPriority w:val="99"/>
    <w:semiHidden/>
    <w:qFormat/>
    <w:rPr>
      <w:b/>
      <w:bCs/>
      <w:sz w:val="21"/>
      <w:szCs w:val="21"/>
    </w:rPr>
  </w:style>
  <w:style w:type="paragraph" w:styleId="822">
    <w:name w:val="正文首行缩进11"/>
    <w:basedOn w:val="795"/>
    <w:next w:val="822"/>
    <w:link w:val="712"/>
    <w:qFormat/>
    <w:pPr>
      <w:ind w:firstLine="420"/>
      <w:spacing w:after="120" w:line="440" w:lineRule="exact"/>
    </w:pPr>
    <w:rPr>
      <w:rFonts w:ascii="宋体"/>
      <w:sz w:val="24"/>
    </w:rPr>
  </w:style>
  <w:style w:type="paragraph" w:styleId="823">
    <w:name w:val="正文首行缩进 211"/>
    <w:basedOn w:val="796"/>
    <w:next w:val="823"/>
    <w:link w:val="712"/>
    <w:uiPriority w:val="99"/>
    <w:unhideWhenUsed/>
    <w:qFormat/>
    <w:pPr>
      <w:ind w:firstLine="420"/>
    </w:pPr>
  </w:style>
  <w:style w:type="table" w:styleId="824">
    <w:name w:val="网格型11"/>
    <w:next w:val="824"/>
    <w:link w:val="712"/>
    <w:uiPriority w:val="59"/>
    <w:qFormat/>
    <w:rPr>
      <w:lang w:val="en-US" w:eastAsia="zh-CN" w:bidi="ar-SA"/>
    </w:rPr>
    <w:tblPr/>
  </w:style>
  <w:style w:type="character" w:styleId="825">
    <w:name w:val="尾注引用11"/>
    <w:next w:val="825"/>
    <w:link w:val="712"/>
    <w:uiPriority w:val="99"/>
    <w:unhideWhenUsed/>
    <w:qFormat/>
    <w:rPr>
      <w:vertAlign w:val="superscript"/>
    </w:rPr>
  </w:style>
  <w:style w:type="character" w:styleId="826">
    <w:name w:val="超链接11"/>
    <w:next w:val="826"/>
    <w:link w:val="712"/>
    <w:uiPriority w:val="99"/>
    <w:unhideWhenUsed/>
    <w:qFormat/>
    <w:rPr>
      <w:color w:val="0000ff"/>
      <w:u w:val="single"/>
    </w:rPr>
  </w:style>
  <w:style w:type="character" w:styleId="827">
    <w:name w:val="批注引用11"/>
    <w:next w:val="827"/>
    <w:link w:val="712"/>
    <w:uiPriority w:val="99"/>
    <w:unhideWhenUsed/>
    <w:qFormat/>
    <w:rPr>
      <w:sz w:val="21"/>
      <w:szCs w:val="21"/>
    </w:rPr>
  </w:style>
  <w:style w:type="character" w:styleId="828">
    <w:name w:val="脚注引用11"/>
    <w:next w:val="828"/>
    <w:link w:val="712"/>
    <w:uiPriority w:val="99"/>
    <w:unhideWhenUsed/>
    <w:qFormat/>
    <w:rPr>
      <w:vertAlign w:val="superscript"/>
    </w:rPr>
  </w:style>
  <w:style w:type="character" w:styleId="829">
    <w:name w:val="font61"/>
    <w:next w:val="829"/>
    <w:link w:val="712"/>
    <w:qFormat/>
    <w:rPr>
      <w:rFonts w:hint="eastAsia" w:ascii="宋体" w:hAnsi="宋体" w:eastAsia="宋体" w:cs="宋体"/>
      <w:color w:val="000000"/>
      <w:sz w:val="21"/>
      <w:szCs w:val="21"/>
      <w:u w:val="none"/>
    </w:rPr>
  </w:style>
  <w:style w:type="character" w:styleId="830">
    <w:name w:val="默认段落字体1"/>
    <w:next w:val="830"/>
    <w:link w:val="712"/>
    <w:uiPriority w:val="1"/>
    <w:unhideWhenUsed/>
    <w:qFormat/>
  </w:style>
  <w:style w:type="paragraph" w:styleId="831">
    <w:name w:val="列出段落"/>
    <w:basedOn w:val="712"/>
    <w:next w:val="831"/>
    <w:link w:val="712"/>
    <w:uiPriority w:val="34"/>
    <w:qFormat/>
    <w:pPr>
      <w:contextualSpacing/>
      <w:ind w:left="720"/>
    </w:pPr>
  </w:style>
  <w:style w:type="paragraph" w:styleId="832">
    <w:name w:val="无间隔"/>
    <w:next w:val="832"/>
    <w:link w:val="712"/>
    <w:uiPriority w:val="1"/>
    <w:qFormat/>
    <w:rPr>
      <w:rFonts w:ascii="Times New Roman" w:hAnsi="Times New Roman" w:eastAsia="宋体" w:cs="Times New Roman"/>
      <w:lang w:val="en-US" w:eastAsia="zh-CN" w:bidi="ar-SA"/>
    </w:rPr>
  </w:style>
  <w:style w:type="paragraph" w:styleId="833">
    <w:name w:val="引用"/>
    <w:basedOn w:val="712"/>
    <w:next w:val="712"/>
    <w:link w:val="834"/>
    <w:uiPriority w:val="29"/>
    <w:qFormat/>
    <w:pPr>
      <w:ind w:left="720" w:right="720"/>
    </w:pPr>
    <w:rPr>
      <w:i/>
    </w:rPr>
  </w:style>
  <w:style w:type="character" w:styleId="834">
    <w:name w:val="引用 Char1"/>
    <w:next w:val="834"/>
    <w:link w:val="833"/>
    <w:uiPriority w:val="29"/>
    <w:qFormat/>
    <w:rPr>
      <w:i/>
    </w:rPr>
  </w:style>
  <w:style w:type="paragraph" w:styleId="835">
    <w:name w:val="明显引用"/>
    <w:basedOn w:val="712"/>
    <w:next w:val="712"/>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明显引用 Char1"/>
    <w:next w:val="836"/>
    <w:link w:val="835"/>
    <w:uiPriority w:val="30"/>
    <w:qFormat/>
    <w:rPr>
      <w:i/>
    </w:rPr>
  </w:style>
  <w:style w:type="paragraph" w:styleId="837">
    <w:name w:val="TOC Heading"/>
    <w:next w:val="837"/>
    <w:link w:val="712"/>
    <w:uiPriority w:val="39"/>
    <w:unhideWhenUsed/>
    <w:qFormat/>
    <w:rPr>
      <w:rFonts w:ascii="Times New Roman" w:hAnsi="Times New Roman" w:eastAsia="宋体" w:cs="Times New Roman"/>
      <w:lang w:val="en-US" w:eastAsia="zh-CN" w:bidi="ar-SA"/>
    </w:rPr>
  </w:style>
  <w:style w:type="paragraph" w:styleId="838">
    <w:name w:val="标题 11"/>
    <w:basedOn w:val="712"/>
    <w:next w:val="712"/>
    <w:link w:val="839"/>
    <w:qFormat/>
    <w:pPr>
      <w:jc w:val="center"/>
      <w:keepNext/>
      <w:outlineLvl w:val="0"/>
    </w:pPr>
    <w:rPr>
      <w:rFonts w:ascii="楷体_GB2312" w:eastAsia="楷体_GB2312"/>
      <w:sz w:val="28"/>
      <w:szCs w:val="28"/>
      <w:lang w:val="en-US" w:eastAsia="en-US"/>
    </w:rPr>
  </w:style>
  <w:style w:type="character" w:styleId="839">
    <w:name w:val="标题 1 Char"/>
    <w:next w:val="839"/>
    <w:link w:val="838"/>
    <w:qFormat/>
    <w:rPr>
      <w:rFonts w:ascii="楷体_GB2312" w:hAnsi="Times New Roman" w:eastAsia="楷体_GB2312" w:cs="Times New Roman"/>
      <w:sz w:val="28"/>
      <w:szCs w:val="28"/>
    </w:rPr>
  </w:style>
  <w:style w:type="paragraph" w:styleId="840">
    <w:name w:val="标题 21"/>
    <w:basedOn w:val="712"/>
    <w:next w:val="842"/>
    <w:link w:val="841"/>
    <w:qFormat/>
    <w:pPr>
      <w:jc w:val="center"/>
      <w:keepLines/>
      <w:keepNext/>
      <w:spacing w:before="260" w:after="260" w:line="416" w:lineRule="auto"/>
      <w:outlineLvl w:val="1"/>
    </w:pPr>
    <w:rPr>
      <w:rFonts w:ascii="Arial" w:hAnsi="Arial" w:eastAsia="幼圆"/>
      <w:b/>
      <w:bCs/>
      <w:sz w:val="44"/>
      <w:szCs w:val="44"/>
      <w:lang w:val="en-US" w:eastAsia="en-US"/>
    </w:rPr>
  </w:style>
  <w:style w:type="character" w:styleId="841">
    <w:name w:val="标题 2 Char"/>
    <w:next w:val="841"/>
    <w:link w:val="840"/>
    <w:qFormat/>
    <w:rPr>
      <w:rFonts w:ascii="Arial" w:hAnsi="Arial" w:eastAsia="幼圆" w:cs="Arial"/>
      <w:b/>
      <w:bCs/>
      <w:sz w:val="44"/>
      <w:szCs w:val="44"/>
    </w:rPr>
  </w:style>
  <w:style w:type="paragraph" w:styleId="842">
    <w:name w:val="正文缩进1"/>
    <w:basedOn w:val="712"/>
    <w:next w:val="842"/>
    <w:link w:val="843"/>
    <w:qFormat/>
    <w:pPr>
      <w:ind w:firstLine="420"/>
    </w:pPr>
    <w:rPr>
      <w:sz w:val="20"/>
      <w:lang w:val="en-US" w:eastAsia="en-US"/>
    </w:rPr>
  </w:style>
  <w:style w:type="character" w:styleId="843">
    <w:name w:val="正文缩进 Char"/>
    <w:next w:val="843"/>
    <w:link w:val="842"/>
    <w:qFormat/>
    <w:rPr>
      <w:rFonts w:ascii="Times New Roman" w:hAnsi="Times New Roman" w:eastAsia="宋体" w:cs="Times New Roman"/>
      <w:szCs w:val="21"/>
    </w:rPr>
  </w:style>
  <w:style w:type="paragraph" w:styleId="844">
    <w:name w:val="标题 31"/>
    <w:basedOn w:val="712"/>
    <w:next w:val="846"/>
    <w:link w:val="845"/>
    <w:qFormat/>
    <w:pPr>
      <w:keepLines/>
      <w:keepNext/>
      <w:spacing w:before="260" w:after="260" w:line="416" w:lineRule="auto"/>
      <w:outlineLvl w:val="2"/>
    </w:pPr>
    <w:rPr>
      <w:b/>
      <w:bCs/>
      <w:sz w:val="32"/>
      <w:szCs w:val="32"/>
      <w:lang w:val="en-US" w:eastAsia="en-US"/>
    </w:rPr>
  </w:style>
  <w:style w:type="character" w:styleId="845">
    <w:name w:val="标题 3 Char"/>
    <w:next w:val="845"/>
    <w:link w:val="844"/>
    <w:qFormat/>
    <w:rPr>
      <w:rFonts w:ascii="Times New Roman" w:hAnsi="Times New Roman" w:eastAsia="宋体" w:cs="Times New Roman"/>
      <w:b/>
      <w:bCs/>
      <w:sz w:val="32"/>
      <w:szCs w:val="32"/>
    </w:rPr>
  </w:style>
  <w:style w:type="paragraph" w:styleId="846">
    <w:name w:val="正文缩进11"/>
    <w:next w:val="846"/>
    <w:link w:val="712"/>
    <w:qFormat/>
    <w:pPr>
      <w:ind w:firstLine="420"/>
      <w:jc w:val="both"/>
      <w:widowControl w:val="off"/>
    </w:pPr>
    <w:rPr>
      <w:rFonts w:ascii="Times New Roman" w:hAnsi="Times New Roman" w:eastAsia="宋体" w:cs="Times New Roman"/>
      <w:sz w:val="20"/>
      <w:szCs w:val="21"/>
      <w:lang w:val="en-US" w:eastAsia="zh-CN" w:bidi="ar-SA"/>
    </w:rPr>
  </w:style>
  <w:style w:type="paragraph" w:styleId="847">
    <w:name w:val="标题 41"/>
    <w:basedOn w:val="712"/>
    <w:next w:val="842"/>
    <w:link w:val="848"/>
    <w:qFormat/>
    <w:pPr>
      <w:keepLines/>
      <w:keepNext/>
      <w:spacing w:before="280" w:after="290" w:line="376" w:lineRule="auto"/>
      <w:outlineLvl w:val="3"/>
    </w:pPr>
    <w:rPr>
      <w:rFonts w:ascii="Arial" w:hAnsi="Arial" w:eastAsia="黑体"/>
      <w:b/>
      <w:bCs/>
      <w:sz w:val="28"/>
      <w:szCs w:val="28"/>
      <w:lang w:val="en-US" w:eastAsia="en-US"/>
    </w:rPr>
  </w:style>
  <w:style w:type="character" w:styleId="848">
    <w:name w:val="标题 4 Char"/>
    <w:next w:val="848"/>
    <w:link w:val="847"/>
    <w:qFormat/>
    <w:rPr>
      <w:rFonts w:ascii="Arial" w:hAnsi="Arial" w:eastAsia="黑体" w:cs="Arial"/>
      <w:b/>
      <w:bCs/>
      <w:sz w:val="28"/>
      <w:szCs w:val="28"/>
    </w:rPr>
  </w:style>
  <w:style w:type="paragraph" w:styleId="849">
    <w:name w:val="标题 51"/>
    <w:basedOn w:val="712"/>
    <w:next w:val="842"/>
    <w:link w:val="850"/>
    <w:qFormat/>
    <w:pPr>
      <w:keepNext/>
      <w:outlineLvl w:val="4"/>
    </w:pPr>
    <w:rPr>
      <w:rFonts w:ascii="宋体"/>
      <w:color w:val="000000"/>
      <w:sz w:val="28"/>
      <w:szCs w:val="28"/>
      <w:lang w:val="en-US" w:eastAsia="en-US"/>
    </w:rPr>
  </w:style>
  <w:style w:type="character" w:styleId="850">
    <w:name w:val="标题 5 Char"/>
    <w:next w:val="850"/>
    <w:link w:val="849"/>
    <w:qFormat/>
    <w:rPr>
      <w:rFonts w:ascii="宋体" w:hAnsi="Times New Roman" w:eastAsia="宋体" w:cs="Times New Roman"/>
      <w:color w:val="000000"/>
      <w:sz w:val="28"/>
      <w:szCs w:val="28"/>
    </w:rPr>
  </w:style>
  <w:style w:type="paragraph" w:styleId="851">
    <w:name w:val="标题 61"/>
    <w:basedOn w:val="712"/>
    <w:next w:val="712"/>
    <w:link w:val="852"/>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character" w:styleId="852">
    <w:name w:val="标题 6 Char"/>
    <w:next w:val="852"/>
    <w:link w:val="851"/>
    <w:qFormat/>
    <w:rPr>
      <w:rFonts w:ascii="Arial" w:hAnsi="Arial" w:eastAsia="黑体" w:cs="Times New Roman"/>
      <w:b/>
      <w:bCs/>
      <w:sz w:val="24"/>
      <w:szCs w:val="24"/>
    </w:rPr>
  </w:style>
  <w:style w:type="paragraph" w:styleId="853">
    <w:name w:val="标题 71"/>
    <w:basedOn w:val="712"/>
    <w:next w:val="712"/>
    <w:link w:val="854"/>
    <w:qFormat/>
    <w:pPr>
      <w:numPr>
        <w:ilvl w:val="6"/>
        <w:numId w:val="1"/>
      </w:numPr>
      <w:keepLines/>
      <w:keepNext/>
      <w:spacing w:before="240" w:after="64" w:line="320" w:lineRule="auto"/>
      <w:outlineLvl w:val="6"/>
    </w:pPr>
    <w:rPr>
      <w:b/>
      <w:bCs/>
      <w:sz w:val="24"/>
      <w:szCs w:val="24"/>
      <w:lang w:val="en-US" w:eastAsia="en-US"/>
    </w:rPr>
  </w:style>
  <w:style w:type="character" w:styleId="854">
    <w:name w:val="标题 7 Char"/>
    <w:next w:val="854"/>
    <w:link w:val="853"/>
    <w:qFormat/>
    <w:rPr>
      <w:rFonts w:ascii="Times New Roman" w:hAnsi="Times New Roman" w:eastAsia="宋体" w:cs="Times New Roman"/>
      <w:b/>
      <w:bCs/>
      <w:sz w:val="24"/>
      <w:szCs w:val="24"/>
    </w:rPr>
  </w:style>
  <w:style w:type="paragraph" w:styleId="855">
    <w:name w:val="标题 81"/>
    <w:basedOn w:val="712"/>
    <w:next w:val="712"/>
    <w:link w:val="85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character" w:styleId="856">
    <w:name w:val="标题 8 Char"/>
    <w:next w:val="856"/>
    <w:link w:val="855"/>
    <w:qFormat/>
    <w:rPr>
      <w:rFonts w:ascii="Arial" w:hAnsi="Arial" w:eastAsia="黑体" w:cs="Times New Roman"/>
      <w:sz w:val="24"/>
      <w:szCs w:val="24"/>
    </w:rPr>
  </w:style>
  <w:style w:type="paragraph" w:styleId="857">
    <w:name w:val="标题 91"/>
    <w:basedOn w:val="712"/>
    <w:next w:val="712"/>
    <w:link w:val="858"/>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58">
    <w:name w:val="标题 9 Char"/>
    <w:next w:val="858"/>
    <w:link w:val="857"/>
    <w:qFormat/>
    <w:rPr>
      <w:rFonts w:ascii="Arial" w:hAnsi="Arial" w:eastAsia="黑体" w:cs="Times New Roman"/>
      <w:szCs w:val="21"/>
    </w:rPr>
  </w:style>
  <w:style w:type="table" w:styleId="859">
    <w:name w:val="普通表格1"/>
    <w:next w:val="859"/>
    <w:link w:val="712"/>
    <w:uiPriority w:val="99"/>
    <w:unhideWhenUsed/>
    <w:qFormat/>
    <w:rPr>
      <w:lang w:val="en-US" w:eastAsia="zh-CN" w:bidi="ar-SA"/>
    </w:rPr>
    <w:tblPr/>
  </w:style>
  <w:style w:type="paragraph" w:styleId="860">
    <w:name w:val="正文文本1"/>
    <w:basedOn w:val="712"/>
    <w:next w:val="860"/>
    <w:link w:val="861"/>
    <w:qFormat/>
    <w:rPr>
      <w:rFonts w:ascii="楷体_GB2312" w:hAnsi="Arial" w:eastAsia="楷体_GB2312"/>
      <w:sz w:val="28"/>
      <w:szCs w:val="28"/>
      <w:lang w:val="en-US" w:eastAsia="en-US"/>
    </w:rPr>
  </w:style>
  <w:style w:type="character" w:styleId="861">
    <w:name w:val="正文文本 Char"/>
    <w:next w:val="861"/>
    <w:link w:val="860"/>
    <w:qFormat/>
    <w:rPr>
      <w:rFonts w:ascii="楷体_GB2312" w:hAnsi="Arial" w:eastAsia="楷体_GB2312" w:cs="Times New Roman"/>
      <w:sz w:val="28"/>
      <w:szCs w:val="28"/>
    </w:rPr>
  </w:style>
  <w:style w:type="paragraph" w:styleId="862">
    <w:name w:val="列表 31"/>
    <w:basedOn w:val="712"/>
    <w:next w:val="862"/>
    <w:link w:val="712"/>
    <w:qFormat/>
    <w:pPr>
      <w:ind w:left="100" w:hanging="200"/>
    </w:pPr>
  </w:style>
  <w:style w:type="paragraph" w:styleId="863">
    <w:name w:val="目录 71"/>
    <w:basedOn w:val="712"/>
    <w:next w:val="712"/>
    <w:link w:val="712"/>
    <w:semiHidden/>
    <w:qFormat/>
    <w:pPr>
      <w:ind w:left="1260"/>
      <w:jc w:val="left"/>
    </w:pPr>
  </w:style>
  <w:style w:type="paragraph" w:styleId="864">
    <w:name w:val="文档结构图1"/>
    <w:basedOn w:val="712"/>
    <w:next w:val="864"/>
    <w:link w:val="865"/>
    <w:semiHidden/>
    <w:qFormat/>
    <w:pPr>
      <w:shd w:val="clear" w:color="auto" w:fill="000080"/>
    </w:pPr>
    <w:rPr>
      <w:sz w:val="20"/>
      <w:lang w:val="en-US" w:eastAsia="en-US"/>
    </w:rPr>
  </w:style>
  <w:style w:type="character" w:styleId="865">
    <w:name w:val="文档结构图 Char"/>
    <w:next w:val="865"/>
    <w:link w:val="864"/>
    <w:semiHidden/>
    <w:qFormat/>
    <w:rPr>
      <w:rFonts w:ascii="Times New Roman" w:hAnsi="Times New Roman" w:eastAsia="宋体" w:cs="Times New Roman"/>
      <w:szCs w:val="21"/>
      <w:shd w:val="clear" w:color="auto" w:fill="000080"/>
    </w:rPr>
  </w:style>
  <w:style w:type="paragraph" w:styleId="866">
    <w:name w:val="批注文字1"/>
    <w:basedOn w:val="712"/>
    <w:next w:val="866"/>
    <w:link w:val="867"/>
    <w:qFormat/>
    <w:pPr>
      <w:jc w:val="left"/>
    </w:pPr>
    <w:rPr>
      <w:sz w:val="20"/>
      <w:lang w:val="en-US" w:eastAsia="en-US"/>
    </w:rPr>
  </w:style>
  <w:style w:type="character" w:styleId="867">
    <w:name w:val="批注文字 Char"/>
    <w:next w:val="867"/>
    <w:link w:val="866"/>
    <w:uiPriority w:val="99"/>
    <w:qFormat/>
    <w:rPr>
      <w:rFonts w:ascii="Times New Roman" w:hAnsi="Times New Roman" w:eastAsia="宋体" w:cs="Times New Roman"/>
      <w:szCs w:val="21"/>
    </w:rPr>
  </w:style>
  <w:style w:type="paragraph" w:styleId="868">
    <w:name w:val="正文文本 31"/>
    <w:basedOn w:val="712"/>
    <w:next w:val="868"/>
    <w:link w:val="869"/>
    <w:qFormat/>
    <w:rPr>
      <w:rFonts w:ascii="仿宋_GB2312" w:hAnsi="Arial" w:eastAsia="仿宋_GB2312"/>
      <w:sz w:val="32"/>
      <w:szCs w:val="32"/>
      <w:lang w:val="en-US" w:eastAsia="en-US"/>
    </w:rPr>
  </w:style>
  <w:style w:type="character" w:styleId="869">
    <w:name w:val="正文文本 3 Char"/>
    <w:next w:val="869"/>
    <w:link w:val="868"/>
    <w:qFormat/>
    <w:rPr>
      <w:rFonts w:ascii="仿宋_GB2312" w:hAnsi="Arial" w:eastAsia="仿宋_GB2312" w:cs="Times New Roman"/>
      <w:sz w:val="32"/>
      <w:szCs w:val="32"/>
    </w:rPr>
  </w:style>
  <w:style w:type="paragraph" w:styleId="870">
    <w:name w:val="正文文本缩进1"/>
    <w:basedOn w:val="712"/>
    <w:next w:val="870"/>
    <w:link w:val="871"/>
    <w:qFormat/>
    <w:pPr>
      <w:ind w:firstLine="645"/>
    </w:pPr>
    <w:rPr>
      <w:rFonts w:ascii="楷体_GB2312" w:eastAsia="楷体_GB2312"/>
      <w:sz w:val="32"/>
      <w:szCs w:val="32"/>
      <w:lang w:val="en-US" w:eastAsia="en-US"/>
    </w:rPr>
  </w:style>
  <w:style w:type="character" w:styleId="871">
    <w:name w:val="正文文本缩进 Char"/>
    <w:next w:val="871"/>
    <w:link w:val="870"/>
    <w:qFormat/>
    <w:rPr>
      <w:rFonts w:ascii="楷体_GB2312" w:hAnsi="Times New Roman" w:eastAsia="楷体_GB2312" w:cs="Times New Roman"/>
      <w:sz w:val="32"/>
      <w:szCs w:val="32"/>
    </w:rPr>
  </w:style>
  <w:style w:type="paragraph" w:styleId="872">
    <w:name w:val="列表 21"/>
    <w:basedOn w:val="712"/>
    <w:next w:val="872"/>
    <w:link w:val="712"/>
    <w:qFormat/>
    <w:pPr>
      <w:ind w:left="100" w:hanging="200"/>
    </w:pPr>
  </w:style>
  <w:style w:type="paragraph" w:styleId="873">
    <w:name w:val="目录 31"/>
    <w:basedOn w:val="712"/>
    <w:next w:val="712"/>
    <w:link w:val="712"/>
    <w:semiHidden/>
    <w:qFormat/>
    <w:pPr>
      <w:ind w:left="420"/>
      <w:jc w:val="left"/>
    </w:pPr>
    <w:rPr>
      <w:i/>
      <w:iCs/>
      <w:szCs w:val="24"/>
    </w:rPr>
  </w:style>
  <w:style w:type="paragraph" w:styleId="874">
    <w:name w:val="纯文本1"/>
    <w:basedOn w:val="712"/>
    <w:next w:val="874"/>
    <w:link w:val="875"/>
    <w:qFormat/>
    <w:rPr>
      <w:rFonts w:ascii="宋体" w:hAnsi="Courier New"/>
      <w:sz w:val="20"/>
      <w:lang w:val="en-US" w:eastAsia="en-US"/>
    </w:rPr>
  </w:style>
  <w:style w:type="character" w:styleId="875">
    <w:name w:val="纯文本 Char"/>
    <w:next w:val="875"/>
    <w:link w:val="874"/>
    <w:qFormat/>
    <w:rPr>
      <w:rFonts w:ascii="宋体" w:hAnsi="Courier New" w:eastAsia="宋体" w:cs="Courier New"/>
      <w:szCs w:val="21"/>
    </w:rPr>
  </w:style>
  <w:style w:type="paragraph" w:styleId="876">
    <w:name w:val="目录 81"/>
    <w:basedOn w:val="712"/>
    <w:next w:val="712"/>
    <w:link w:val="712"/>
    <w:semiHidden/>
    <w:qFormat/>
    <w:pPr>
      <w:ind w:left="1470"/>
      <w:jc w:val="left"/>
    </w:pPr>
  </w:style>
  <w:style w:type="paragraph" w:styleId="877">
    <w:name w:val="日期1"/>
    <w:basedOn w:val="712"/>
    <w:next w:val="712"/>
    <w:link w:val="878"/>
    <w:qFormat/>
    <w:rPr>
      <w:sz w:val="24"/>
      <w:szCs w:val="24"/>
      <w:lang w:val="en-US" w:eastAsia="en-US"/>
    </w:rPr>
  </w:style>
  <w:style w:type="character" w:styleId="878">
    <w:name w:val="日期 Char"/>
    <w:next w:val="878"/>
    <w:link w:val="877"/>
    <w:qFormat/>
    <w:rPr>
      <w:rFonts w:ascii="Times New Roman" w:hAnsi="Times New Roman" w:eastAsia="宋体" w:cs="Times New Roman"/>
      <w:sz w:val="24"/>
      <w:szCs w:val="24"/>
    </w:rPr>
  </w:style>
  <w:style w:type="paragraph" w:styleId="879">
    <w:name w:val="正文文本缩进 21"/>
    <w:basedOn w:val="712"/>
    <w:next w:val="879"/>
    <w:link w:val="880"/>
    <w:qFormat/>
    <w:pPr>
      <w:ind w:left="630" w:firstLine="645"/>
    </w:pPr>
    <w:rPr>
      <w:rFonts w:ascii="Arial" w:hAnsi="Arial" w:eastAsia="仿宋_GB2312"/>
      <w:sz w:val="32"/>
      <w:szCs w:val="32"/>
      <w:lang w:val="en-US" w:eastAsia="en-US"/>
    </w:rPr>
  </w:style>
  <w:style w:type="character" w:styleId="880">
    <w:name w:val="正文文本缩进 2 Char"/>
    <w:next w:val="880"/>
    <w:link w:val="879"/>
    <w:qFormat/>
    <w:rPr>
      <w:rFonts w:ascii="Arial" w:hAnsi="Arial" w:eastAsia="仿宋_GB2312" w:cs="Arial"/>
      <w:sz w:val="32"/>
      <w:szCs w:val="32"/>
    </w:rPr>
  </w:style>
  <w:style w:type="paragraph" w:styleId="881">
    <w:name w:val="尾注文本1"/>
    <w:basedOn w:val="712"/>
    <w:next w:val="881"/>
    <w:link w:val="882"/>
    <w:uiPriority w:val="99"/>
    <w:unhideWhenUsed/>
    <w:qFormat/>
    <w:pPr>
      <w:spacing w:after="0" w:line="240" w:lineRule="auto"/>
    </w:pPr>
    <w:rPr>
      <w:sz w:val="20"/>
      <w:szCs w:val="20"/>
      <w:lang w:val="en-US" w:eastAsia="en-US"/>
    </w:rPr>
  </w:style>
  <w:style w:type="character" w:styleId="882">
    <w:name w:val="尾注文本 Char"/>
    <w:next w:val="882"/>
    <w:link w:val="881"/>
    <w:uiPriority w:val="99"/>
    <w:qFormat/>
    <w:rPr>
      <w:sz w:val="20"/>
    </w:rPr>
  </w:style>
  <w:style w:type="paragraph" w:styleId="883">
    <w:name w:val="批注框文本1"/>
    <w:basedOn w:val="712"/>
    <w:next w:val="883"/>
    <w:link w:val="884"/>
    <w:semiHidden/>
    <w:qFormat/>
    <w:rPr>
      <w:sz w:val="18"/>
      <w:szCs w:val="18"/>
      <w:lang w:val="en-US" w:eastAsia="en-US"/>
    </w:rPr>
  </w:style>
  <w:style w:type="character" w:styleId="884">
    <w:name w:val="批注框文本 Char"/>
    <w:next w:val="884"/>
    <w:link w:val="883"/>
    <w:semiHidden/>
    <w:qFormat/>
    <w:rPr>
      <w:rFonts w:ascii="Times New Roman" w:hAnsi="Times New Roman" w:eastAsia="宋体" w:cs="Times New Roman"/>
      <w:sz w:val="18"/>
      <w:szCs w:val="18"/>
    </w:rPr>
  </w:style>
  <w:style w:type="paragraph" w:styleId="885">
    <w:name w:val="页脚1"/>
    <w:basedOn w:val="712"/>
    <w:next w:val="885"/>
    <w:link w:val="886"/>
    <w:qFormat/>
    <w:pPr>
      <w:jc w:val="left"/>
      <w:tabs>
        <w:tab w:val="center" w:pos="4153" w:leader="none"/>
        <w:tab w:val="right" w:pos="8306" w:leader="none"/>
      </w:tabs>
    </w:pPr>
    <w:rPr>
      <w:sz w:val="18"/>
      <w:szCs w:val="18"/>
      <w:lang w:val="en-US" w:eastAsia="en-US"/>
    </w:rPr>
  </w:style>
  <w:style w:type="character" w:styleId="886">
    <w:name w:val="页脚 Char"/>
    <w:next w:val="886"/>
    <w:link w:val="885"/>
    <w:qFormat/>
    <w:rPr>
      <w:rFonts w:ascii="Times New Roman" w:hAnsi="Times New Roman" w:eastAsia="宋体" w:cs="Times New Roman"/>
      <w:sz w:val="18"/>
      <w:szCs w:val="18"/>
    </w:rPr>
  </w:style>
  <w:style w:type="paragraph" w:styleId="887">
    <w:name w:val="页眉1"/>
    <w:basedOn w:val="712"/>
    <w:next w:val="887"/>
    <w:link w:val="88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88">
    <w:name w:val="页眉 Char"/>
    <w:next w:val="888"/>
    <w:link w:val="887"/>
    <w:uiPriority w:val="99"/>
    <w:qFormat/>
    <w:rPr>
      <w:rFonts w:ascii="Times New Roman" w:hAnsi="Times New Roman" w:eastAsia="宋体" w:cs="Times New Roman"/>
      <w:sz w:val="18"/>
      <w:szCs w:val="18"/>
    </w:rPr>
  </w:style>
  <w:style w:type="paragraph" w:styleId="889">
    <w:name w:val="目录 11"/>
    <w:basedOn w:val="712"/>
    <w:next w:val="712"/>
    <w:link w:val="712"/>
    <w:semiHidden/>
    <w:qFormat/>
    <w:pPr>
      <w:jc w:val="left"/>
      <w:spacing w:before="120" w:after="120" w:line="400" w:lineRule="exact"/>
      <w:tabs>
        <w:tab w:val="right" w:pos="8720" w:leader="dot"/>
      </w:tabs>
    </w:pPr>
    <w:rPr>
      <w:rFonts w:ascii="宋体" w:hAnsi="宋体"/>
      <w:caps/>
      <w:sz w:val="24"/>
      <w:szCs w:val="24"/>
    </w:rPr>
  </w:style>
  <w:style w:type="paragraph" w:styleId="890">
    <w:name w:val="目录 41"/>
    <w:basedOn w:val="712"/>
    <w:next w:val="712"/>
    <w:link w:val="712"/>
    <w:semiHidden/>
    <w:qFormat/>
    <w:pPr>
      <w:ind w:left="630"/>
      <w:jc w:val="left"/>
    </w:pPr>
  </w:style>
  <w:style w:type="paragraph" w:styleId="891">
    <w:name w:val="副标题1"/>
    <w:basedOn w:val="712"/>
    <w:next w:val="712"/>
    <w:link w:val="892"/>
    <w:uiPriority w:val="11"/>
    <w:qFormat/>
    <w:pPr>
      <w:spacing w:before="200" w:after="200"/>
    </w:pPr>
    <w:rPr>
      <w:sz w:val="24"/>
      <w:szCs w:val="24"/>
      <w:lang w:val="en-US" w:eastAsia="en-US"/>
    </w:rPr>
  </w:style>
  <w:style w:type="character" w:styleId="892">
    <w:name w:val="副标题 Char"/>
    <w:next w:val="892"/>
    <w:link w:val="891"/>
    <w:uiPriority w:val="11"/>
    <w:qFormat/>
    <w:rPr>
      <w:sz w:val="24"/>
      <w:szCs w:val="24"/>
    </w:rPr>
  </w:style>
  <w:style w:type="paragraph" w:styleId="893">
    <w:name w:val="列表1"/>
    <w:basedOn w:val="712"/>
    <w:next w:val="893"/>
    <w:link w:val="712"/>
    <w:qFormat/>
    <w:pPr>
      <w:ind w:left="200" w:hanging="200"/>
    </w:pPr>
  </w:style>
  <w:style w:type="paragraph" w:styleId="894">
    <w:name w:val="脚注文本1"/>
    <w:basedOn w:val="712"/>
    <w:next w:val="894"/>
    <w:link w:val="895"/>
    <w:unhideWhenUsed/>
    <w:qFormat/>
    <w:pPr>
      <w:spacing w:after="40" w:line="240" w:lineRule="auto"/>
    </w:pPr>
    <w:rPr>
      <w:sz w:val="18"/>
      <w:szCs w:val="20"/>
      <w:lang w:val="en-US" w:eastAsia="en-US"/>
    </w:rPr>
  </w:style>
  <w:style w:type="character" w:styleId="895">
    <w:name w:val="脚注文本 Char"/>
    <w:next w:val="895"/>
    <w:link w:val="894"/>
    <w:qFormat/>
    <w:rPr>
      <w:sz w:val="18"/>
    </w:rPr>
  </w:style>
  <w:style w:type="paragraph" w:styleId="896">
    <w:name w:val="目录 61"/>
    <w:basedOn w:val="712"/>
    <w:next w:val="712"/>
    <w:link w:val="712"/>
    <w:semiHidden/>
    <w:qFormat/>
    <w:pPr>
      <w:ind w:left="1050"/>
      <w:jc w:val="left"/>
    </w:pPr>
  </w:style>
  <w:style w:type="paragraph" w:styleId="897">
    <w:name w:val="正文文本缩进 31"/>
    <w:basedOn w:val="712"/>
    <w:next w:val="897"/>
    <w:link w:val="898"/>
    <w:qFormat/>
    <w:pPr>
      <w:ind w:left="645" w:firstLine="645"/>
    </w:pPr>
    <w:rPr>
      <w:rFonts w:ascii="Arial" w:hAnsi="Arial" w:eastAsia="仿宋_GB2312"/>
      <w:color w:val="ffff00"/>
      <w:sz w:val="32"/>
      <w:szCs w:val="32"/>
      <w:lang w:val="en-US" w:eastAsia="en-US"/>
    </w:rPr>
  </w:style>
  <w:style w:type="character" w:styleId="898">
    <w:name w:val="正文文本缩进 3 Char"/>
    <w:next w:val="898"/>
    <w:link w:val="897"/>
    <w:qFormat/>
    <w:rPr>
      <w:rFonts w:ascii="Arial" w:hAnsi="Arial" w:eastAsia="仿宋_GB2312" w:cs="Arial"/>
      <w:color w:val="ffff00"/>
      <w:sz w:val="32"/>
      <w:szCs w:val="32"/>
    </w:rPr>
  </w:style>
  <w:style w:type="paragraph" w:styleId="899">
    <w:name w:val="图表目录1"/>
    <w:basedOn w:val="712"/>
    <w:next w:val="712"/>
    <w:link w:val="712"/>
    <w:semiHidden/>
    <w:qFormat/>
    <w:pPr>
      <w:ind w:left="840" w:hanging="420"/>
    </w:pPr>
  </w:style>
  <w:style w:type="paragraph" w:styleId="900">
    <w:name w:val="目录 21"/>
    <w:basedOn w:val="712"/>
    <w:next w:val="712"/>
    <w:link w:val="712"/>
    <w:semiHidden/>
    <w:qFormat/>
    <w:pPr>
      <w:ind w:left="210"/>
      <w:jc w:val="left"/>
    </w:pPr>
    <w:rPr>
      <w:smallCaps/>
      <w:szCs w:val="24"/>
    </w:rPr>
  </w:style>
  <w:style w:type="paragraph" w:styleId="901">
    <w:name w:val="目录 91"/>
    <w:basedOn w:val="712"/>
    <w:next w:val="712"/>
    <w:link w:val="712"/>
    <w:semiHidden/>
    <w:qFormat/>
    <w:pPr>
      <w:ind w:left="1680"/>
      <w:jc w:val="left"/>
    </w:pPr>
  </w:style>
  <w:style w:type="paragraph" w:styleId="902">
    <w:name w:val="正文文本 21"/>
    <w:basedOn w:val="712"/>
    <w:next w:val="902"/>
    <w:link w:val="903"/>
    <w:qFormat/>
    <w:pPr>
      <w:jc w:val="center"/>
      <w:widowControl/>
    </w:pPr>
    <w:rPr>
      <w:rFonts w:ascii="楷体_GB2312" w:eastAsia="楷体_GB2312"/>
      <w:sz w:val="28"/>
      <w:szCs w:val="28"/>
      <w:lang w:val="en-US" w:eastAsia="en-US"/>
    </w:rPr>
  </w:style>
  <w:style w:type="character" w:styleId="903">
    <w:name w:val="正文文本 2 Char"/>
    <w:next w:val="903"/>
    <w:link w:val="902"/>
    <w:qFormat/>
    <w:rPr>
      <w:rFonts w:ascii="楷体_GB2312" w:hAnsi="Times New Roman" w:eastAsia="楷体_GB2312" w:cs="Times New Roman"/>
      <w:sz w:val="28"/>
      <w:szCs w:val="28"/>
    </w:rPr>
  </w:style>
  <w:style w:type="paragraph" w:styleId="904">
    <w:name w:val="普通(网站)1"/>
    <w:basedOn w:val="712"/>
    <w:next w:val="904"/>
    <w:link w:val="712"/>
    <w:qFormat/>
    <w:pPr>
      <w:jc w:val="left"/>
      <w:spacing w:before="100" w:beforeAutospacing="1" w:after="100" w:afterAutospacing="1"/>
      <w:widowControl/>
    </w:pPr>
    <w:rPr>
      <w:rFonts w:ascii="宋体" w:hAnsi="宋体" w:cs="宋体"/>
      <w:sz w:val="24"/>
      <w:szCs w:val="24"/>
    </w:rPr>
  </w:style>
  <w:style w:type="paragraph" w:styleId="905">
    <w:name w:val="索引 11"/>
    <w:basedOn w:val="712"/>
    <w:next w:val="712"/>
    <w:link w:val="712"/>
    <w:semiHidden/>
    <w:qFormat/>
    <w:pPr>
      <w:spacing w:line="240" w:lineRule="atLeast"/>
    </w:pPr>
    <w:rPr>
      <w:b/>
      <w:bCs/>
    </w:rPr>
  </w:style>
  <w:style w:type="paragraph" w:styleId="906">
    <w:name w:val="标题11"/>
    <w:basedOn w:val="712"/>
    <w:next w:val="712"/>
    <w:link w:val="907"/>
    <w:uiPriority w:val="10"/>
    <w:qFormat/>
    <w:pPr>
      <w:contextualSpacing/>
      <w:spacing w:before="300" w:after="200"/>
    </w:pPr>
    <w:rPr>
      <w:sz w:val="48"/>
      <w:szCs w:val="48"/>
      <w:lang w:val="en-US" w:eastAsia="en-US"/>
    </w:rPr>
  </w:style>
  <w:style w:type="character" w:styleId="907">
    <w:name w:val="标题 Char"/>
    <w:next w:val="907"/>
    <w:link w:val="906"/>
    <w:uiPriority w:val="10"/>
    <w:qFormat/>
    <w:rPr>
      <w:sz w:val="48"/>
      <w:szCs w:val="48"/>
    </w:rPr>
  </w:style>
  <w:style w:type="paragraph" w:styleId="908">
    <w:name w:val="批注主题1"/>
    <w:basedOn w:val="866"/>
    <w:next w:val="866"/>
    <w:link w:val="909"/>
    <w:semiHidden/>
    <w:qFormat/>
    <w:rPr>
      <w:b/>
      <w:bCs/>
      <w:lang w:val="en-US" w:eastAsia="en-US"/>
    </w:rPr>
  </w:style>
  <w:style w:type="character" w:styleId="909">
    <w:name w:val="批注主题 Char"/>
    <w:next w:val="909"/>
    <w:link w:val="908"/>
    <w:semiHidden/>
    <w:qFormat/>
    <w:rPr>
      <w:rFonts w:ascii="Times New Roman" w:hAnsi="Times New Roman" w:eastAsia="宋体" w:cs="Times New Roman"/>
      <w:b/>
      <w:bCs/>
      <w:szCs w:val="21"/>
    </w:rPr>
  </w:style>
  <w:style w:type="paragraph" w:styleId="910">
    <w:name w:val="正文首行缩进1"/>
    <w:basedOn w:val="712"/>
    <w:next w:val="910"/>
    <w:link w:val="911"/>
    <w:qFormat/>
    <w:pPr>
      <w:ind w:firstLine="200"/>
      <w:spacing w:line="360" w:lineRule="auto"/>
    </w:pPr>
    <w:rPr>
      <w:rFonts w:ascii="仿宋_GB2312" w:eastAsia="仿宋_GB2312"/>
      <w:sz w:val="30"/>
      <w:szCs w:val="30"/>
      <w:lang w:val="en-US" w:eastAsia="en-US"/>
    </w:rPr>
  </w:style>
  <w:style w:type="character" w:styleId="911">
    <w:name w:val="正文首行缩进 Char"/>
    <w:next w:val="911"/>
    <w:link w:val="910"/>
    <w:qFormat/>
    <w:rPr>
      <w:rFonts w:ascii="仿宋_GB2312" w:hAnsi="Times New Roman" w:eastAsia="仿宋_GB2312" w:cs="Times New Roman"/>
      <w:sz w:val="30"/>
      <w:szCs w:val="30"/>
    </w:rPr>
  </w:style>
  <w:style w:type="paragraph" w:styleId="912">
    <w:name w:val="正文首行缩进 21"/>
    <w:basedOn w:val="870"/>
    <w:next w:val="912"/>
    <w:link w:val="913"/>
    <w:qFormat/>
    <w:pPr>
      <w:ind w:firstLine="420"/>
      <w:spacing w:line="360" w:lineRule="auto"/>
    </w:pPr>
    <w:rPr>
      <w:rFonts w:ascii="宋体" w:hAnsi="宋体" w:eastAsia="宋体"/>
      <w:szCs w:val="20"/>
      <w:lang w:val="en-US" w:eastAsia="en-US"/>
    </w:rPr>
  </w:style>
  <w:style w:type="character" w:styleId="913">
    <w:name w:val="正文首行缩进 2 Char"/>
    <w:next w:val="913"/>
    <w:link w:val="912"/>
    <w:qFormat/>
    <w:rPr>
      <w:rFonts w:ascii="宋体" w:hAnsi="宋体" w:eastAsia="宋体" w:cs="Times New Roman"/>
      <w:sz w:val="32"/>
      <w:szCs w:val="20"/>
    </w:rPr>
  </w:style>
  <w:style w:type="table" w:styleId="914">
    <w:name w:val="网格型1"/>
    <w:basedOn w:val="859"/>
    <w:next w:val="914"/>
    <w:link w:val="712"/>
    <w:uiPriority w:val="59"/>
    <w:qFormat/>
    <w:pPr>
      <w:jc w:val="both"/>
      <w:widowControl w:val="off"/>
    </w:pPr>
    <w:rPr>
      <w:rFonts w:ascii="Times New Roman" w:hAnsi="Times New Roman" w:eastAsia="宋体" w:cs="Times New Roman"/>
      <w:sz w:val="20"/>
      <w:szCs w:val="20"/>
    </w:rPr>
    <w:tblPr/>
  </w:style>
  <w:style w:type="character" w:styleId="915">
    <w:name w:val="要点1"/>
    <w:next w:val="915"/>
    <w:link w:val="712"/>
    <w:qFormat/>
    <w:rPr>
      <w:b/>
      <w:bCs/>
    </w:rPr>
  </w:style>
  <w:style w:type="character" w:styleId="916">
    <w:name w:val="尾注引用1"/>
    <w:next w:val="916"/>
    <w:link w:val="712"/>
    <w:uiPriority w:val="99"/>
    <w:unhideWhenUsed/>
    <w:qFormat/>
    <w:rPr>
      <w:vertAlign w:val="superscript"/>
    </w:rPr>
  </w:style>
  <w:style w:type="character" w:styleId="917">
    <w:name w:val="页码1"/>
    <w:next w:val="917"/>
    <w:link w:val="712"/>
    <w:qFormat/>
  </w:style>
  <w:style w:type="character" w:styleId="918">
    <w:name w:val="已访问的超链接1"/>
    <w:next w:val="918"/>
    <w:link w:val="712"/>
    <w:qFormat/>
    <w:rPr>
      <w:color w:val="800080"/>
      <w:u w:val="single"/>
    </w:rPr>
  </w:style>
  <w:style w:type="character" w:styleId="919">
    <w:name w:val="HTML 打字机1"/>
    <w:next w:val="919"/>
    <w:link w:val="712"/>
    <w:uiPriority w:val="99"/>
    <w:qFormat/>
    <w:rPr>
      <w:rFonts w:ascii="宋体" w:hAnsi="宋体" w:eastAsia="宋体" w:cs="宋体"/>
      <w:sz w:val="24"/>
      <w:szCs w:val="24"/>
    </w:rPr>
  </w:style>
  <w:style w:type="character" w:styleId="920">
    <w:name w:val="超链接1"/>
    <w:next w:val="920"/>
    <w:link w:val="712"/>
    <w:qFormat/>
    <w:rPr>
      <w:color w:val="0000ff"/>
      <w:u w:val="single"/>
    </w:rPr>
  </w:style>
  <w:style w:type="character" w:styleId="921">
    <w:name w:val="批注引用1"/>
    <w:next w:val="921"/>
    <w:link w:val="712"/>
    <w:qFormat/>
    <w:rPr>
      <w:sz w:val="21"/>
      <w:szCs w:val="21"/>
    </w:rPr>
  </w:style>
  <w:style w:type="character" w:styleId="922">
    <w:name w:val="脚注引用1"/>
    <w:next w:val="922"/>
    <w:link w:val="712"/>
    <w:uiPriority w:val="99"/>
    <w:unhideWhenUsed/>
    <w:qFormat/>
    <w:rPr>
      <w:vertAlign w:val="superscript"/>
    </w:rPr>
  </w:style>
  <w:style w:type="paragraph" w:styleId="923">
    <w:name w:val="列出段落11"/>
    <w:basedOn w:val="712"/>
    <w:next w:val="923"/>
    <w:link w:val="712"/>
    <w:uiPriority w:val="34"/>
    <w:qFormat/>
    <w:pPr>
      <w:contextualSpacing/>
      <w:ind w:left="720"/>
      <w:jc w:val="left"/>
      <w:widowControl/>
    </w:pPr>
    <w:rPr>
      <w:rFonts w:ascii="Calibri" w:hAnsi="Calibri"/>
      <w:sz w:val="24"/>
      <w:szCs w:val="24"/>
      <w:lang w:eastAsia="en-US" w:bidi="en-US"/>
    </w:rPr>
  </w:style>
  <w:style w:type="paragraph" w:styleId="924">
    <w:name w:val="无间隔1"/>
    <w:next w:val="924"/>
    <w:link w:val="712"/>
    <w:uiPriority w:val="99"/>
    <w:qFormat/>
    <w:pPr>
      <w:jc w:val="both"/>
      <w:widowControl w:val="off"/>
    </w:pPr>
    <w:rPr>
      <w:rFonts w:ascii="Times New Roman" w:hAnsi="Times New Roman" w:eastAsia="宋体" w:cs="Times New Roman"/>
      <w:sz w:val="21"/>
      <w:szCs w:val="21"/>
      <w:lang w:val="en-US" w:eastAsia="zh-CN" w:bidi="ar-SA"/>
    </w:rPr>
  </w:style>
  <w:style w:type="paragraph" w:styleId="925">
    <w:name w:val="引用1"/>
    <w:basedOn w:val="712"/>
    <w:next w:val="712"/>
    <w:link w:val="926"/>
    <w:uiPriority w:val="29"/>
    <w:qFormat/>
    <w:pPr>
      <w:ind w:left="720" w:right="720"/>
    </w:pPr>
    <w:rPr>
      <w:i/>
      <w:sz w:val="20"/>
      <w:szCs w:val="20"/>
      <w:lang w:val="en-US" w:eastAsia="en-US"/>
    </w:rPr>
  </w:style>
  <w:style w:type="character" w:styleId="926">
    <w:name w:val="引用 Char"/>
    <w:next w:val="926"/>
    <w:link w:val="925"/>
    <w:uiPriority w:val="29"/>
    <w:qFormat/>
    <w:rPr>
      <w:i/>
    </w:rPr>
  </w:style>
  <w:style w:type="paragraph" w:styleId="927">
    <w:name w:val="明显引用1"/>
    <w:basedOn w:val="712"/>
    <w:next w:val="712"/>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28">
    <w:name w:val="明显引用 Char"/>
    <w:next w:val="928"/>
    <w:link w:val="927"/>
    <w:uiPriority w:val="30"/>
    <w:qFormat/>
    <w:rPr>
      <w:i/>
    </w:rPr>
  </w:style>
  <w:style w:type="paragraph" w:styleId="929">
    <w:name w:val="Header1"/>
    <w:basedOn w:val="712"/>
    <w:next w:val="929"/>
    <w:link w:val="930"/>
    <w:uiPriority w:val="99"/>
    <w:unhideWhenUsed/>
    <w:qFormat/>
    <w:pPr>
      <w:spacing w:after="0" w:line="240" w:lineRule="auto"/>
      <w:tabs>
        <w:tab w:val="center" w:pos="7143" w:leader="none"/>
        <w:tab w:val="right" w:pos="14287" w:leader="none"/>
      </w:tabs>
    </w:pPr>
  </w:style>
  <w:style w:type="character" w:styleId="930">
    <w:name w:val="Header Char"/>
    <w:next w:val="930"/>
    <w:link w:val="929"/>
    <w:uiPriority w:val="99"/>
    <w:qFormat/>
  </w:style>
  <w:style w:type="paragraph" w:styleId="931">
    <w:name w:val="Footer1"/>
    <w:basedOn w:val="712"/>
    <w:next w:val="931"/>
    <w:link w:val="932"/>
    <w:uiPriority w:val="99"/>
    <w:unhideWhenUsed/>
    <w:qFormat/>
    <w:pPr>
      <w:spacing w:after="0" w:line="240" w:lineRule="auto"/>
      <w:tabs>
        <w:tab w:val="center" w:pos="7143" w:leader="none"/>
        <w:tab w:val="right" w:pos="14287" w:leader="none"/>
      </w:tabs>
    </w:pPr>
  </w:style>
  <w:style w:type="character" w:styleId="932">
    <w:name w:val="Caption Char"/>
    <w:next w:val="932"/>
    <w:link w:val="931"/>
    <w:uiPriority w:val="99"/>
    <w:qFormat/>
  </w:style>
  <w:style w:type="character" w:styleId="933">
    <w:name w:val="Footer Char"/>
    <w:next w:val="933"/>
    <w:link w:val="712"/>
    <w:uiPriority w:val="99"/>
    <w:qFormat/>
  </w:style>
  <w:style w:type="paragraph" w:styleId="934">
    <w:name w:val="Caption1"/>
    <w:basedOn w:val="712"/>
    <w:next w:val="712"/>
    <w:link w:val="712"/>
    <w:uiPriority w:val="35"/>
    <w:unhideWhenUsed/>
    <w:qFormat/>
    <w:pPr>
      <w:spacing w:line="276" w:lineRule="auto"/>
    </w:pPr>
    <w:rPr>
      <w:b/>
      <w:bCs/>
      <w:color w:val="4f81bd"/>
      <w:sz w:val="18"/>
      <w:szCs w:val="18"/>
    </w:rPr>
  </w:style>
  <w:style w:type="table" w:styleId="935">
    <w:name w:val="Table Grid Light"/>
    <w:next w:val="935"/>
    <w:link w:val="712"/>
    <w:uiPriority w:val="59"/>
    <w:qFormat/>
    <w:rPr>
      <w:lang w:val="en-US" w:eastAsia="zh-CN" w:bidi="ar-SA"/>
    </w:rPr>
    <w:tblPr/>
  </w:style>
  <w:style w:type="table" w:styleId="936">
    <w:name w:val="Plain Table 1"/>
    <w:next w:val="936"/>
    <w:link w:val="712"/>
    <w:uiPriority w:val="59"/>
    <w:qFormat/>
    <w:rPr>
      <w:lang w:val="en-US" w:eastAsia="zh-CN" w:bidi="ar-SA"/>
    </w:rPr>
    <w:tblPr/>
  </w:style>
  <w:style w:type="table" w:styleId="937">
    <w:name w:val="Plain Table 2"/>
    <w:next w:val="937"/>
    <w:link w:val="712"/>
    <w:uiPriority w:val="59"/>
    <w:qFormat/>
    <w:rPr>
      <w:lang w:val="en-US" w:eastAsia="zh-CN" w:bidi="ar-SA"/>
    </w:rPr>
    <w:tblPr/>
  </w:style>
  <w:style w:type="table" w:styleId="938">
    <w:name w:val="Plain Table 3"/>
    <w:next w:val="938"/>
    <w:link w:val="712"/>
    <w:uiPriority w:val="99"/>
    <w:qFormat/>
    <w:rPr>
      <w:lang w:val="en-US" w:eastAsia="zh-CN" w:bidi="ar-SA"/>
    </w:rPr>
    <w:tblPr/>
  </w:style>
  <w:style w:type="table" w:styleId="939">
    <w:name w:val="Plain Table 4"/>
    <w:next w:val="939"/>
    <w:link w:val="712"/>
    <w:uiPriority w:val="99"/>
    <w:qFormat/>
    <w:rPr>
      <w:lang w:val="en-US" w:eastAsia="zh-CN" w:bidi="ar-SA"/>
    </w:rPr>
    <w:tblPr/>
  </w:style>
  <w:style w:type="table" w:styleId="940">
    <w:name w:val="Plain Table 5"/>
    <w:next w:val="940"/>
    <w:link w:val="712"/>
    <w:uiPriority w:val="99"/>
    <w:qFormat/>
    <w:rPr>
      <w:lang w:val="en-US" w:eastAsia="zh-CN" w:bidi="ar-SA"/>
    </w:rPr>
    <w:tblPr/>
  </w:style>
  <w:style w:type="table" w:styleId="941">
    <w:name w:val="Grid Table 1 Light"/>
    <w:next w:val="941"/>
    <w:link w:val="712"/>
    <w:uiPriority w:val="99"/>
    <w:qFormat/>
    <w:rPr>
      <w:lang w:val="en-US" w:eastAsia="zh-CN" w:bidi="ar-SA"/>
    </w:rPr>
    <w:tblPr/>
  </w:style>
  <w:style w:type="table" w:styleId="942">
    <w:name w:val="Grid Table 1 Light - Accent 1"/>
    <w:next w:val="942"/>
    <w:link w:val="712"/>
    <w:uiPriority w:val="99"/>
    <w:qFormat/>
    <w:rPr>
      <w:lang w:val="en-US" w:eastAsia="zh-CN" w:bidi="ar-SA"/>
    </w:rPr>
    <w:tblPr/>
  </w:style>
  <w:style w:type="table" w:styleId="943">
    <w:name w:val="Grid Table 1 Light - Accent 2"/>
    <w:next w:val="943"/>
    <w:link w:val="712"/>
    <w:uiPriority w:val="99"/>
    <w:qFormat/>
    <w:rPr>
      <w:lang w:val="en-US" w:eastAsia="zh-CN" w:bidi="ar-SA"/>
    </w:rPr>
    <w:tblPr/>
  </w:style>
  <w:style w:type="table" w:styleId="944">
    <w:name w:val="Grid Table 1 Light - Accent 3"/>
    <w:next w:val="944"/>
    <w:link w:val="712"/>
    <w:uiPriority w:val="99"/>
    <w:qFormat/>
    <w:rPr>
      <w:lang w:val="en-US" w:eastAsia="zh-CN" w:bidi="ar-SA"/>
    </w:rPr>
    <w:tblPr/>
  </w:style>
  <w:style w:type="table" w:styleId="945">
    <w:name w:val="Grid Table 1 Light - Accent 4"/>
    <w:next w:val="945"/>
    <w:link w:val="712"/>
    <w:uiPriority w:val="99"/>
    <w:qFormat/>
    <w:rPr>
      <w:lang w:val="en-US" w:eastAsia="zh-CN" w:bidi="ar-SA"/>
    </w:rPr>
    <w:tblPr/>
  </w:style>
  <w:style w:type="table" w:styleId="946">
    <w:name w:val="Grid Table 1 Light - Accent 5"/>
    <w:next w:val="946"/>
    <w:link w:val="712"/>
    <w:uiPriority w:val="99"/>
    <w:qFormat/>
    <w:rPr>
      <w:lang w:val="en-US" w:eastAsia="zh-CN" w:bidi="ar-SA"/>
    </w:rPr>
    <w:tblPr/>
  </w:style>
  <w:style w:type="table" w:styleId="947">
    <w:name w:val="Grid Table 1 Light - Accent 6"/>
    <w:next w:val="947"/>
    <w:link w:val="712"/>
    <w:uiPriority w:val="99"/>
    <w:qFormat/>
    <w:rPr>
      <w:lang w:val="en-US" w:eastAsia="zh-CN" w:bidi="ar-SA"/>
    </w:rPr>
    <w:tblPr/>
  </w:style>
  <w:style w:type="table" w:styleId="948">
    <w:name w:val="Grid Table 2"/>
    <w:next w:val="948"/>
    <w:link w:val="712"/>
    <w:uiPriority w:val="99"/>
    <w:qFormat/>
    <w:rPr>
      <w:lang w:val="en-US" w:eastAsia="zh-CN" w:bidi="ar-SA"/>
    </w:rPr>
    <w:tblPr/>
  </w:style>
  <w:style w:type="table" w:styleId="949">
    <w:name w:val="Grid Table 2 - Accent 1"/>
    <w:next w:val="949"/>
    <w:link w:val="712"/>
    <w:uiPriority w:val="99"/>
    <w:qFormat/>
    <w:rPr>
      <w:lang w:val="en-US" w:eastAsia="zh-CN" w:bidi="ar-SA"/>
    </w:rPr>
    <w:tblPr/>
  </w:style>
  <w:style w:type="table" w:styleId="950">
    <w:name w:val="Grid Table 2 - Accent 2"/>
    <w:next w:val="950"/>
    <w:link w:val="712"/>
    <w:uiPriority w:val="99"/>
    <w:qFormat/>
    <w:rPr>
      <w:lang w:val="en-US" w:eastAsia="zh-CN" w:bidi="ar-SA"/>
    </w:rPr>
    <w:tblPr/>
  </w:style>
  <w:style w:type="table" w:styleId="951">
    <w:name w:val="Grid Table 2 - Accent 3"/>
    <w:next w:val="951"/>
    <w:link w:val="712"/>
    <w:uiPriority w:val="99"/>
    <w:qFormat/>
    <w:rPr>
      <w:lang w:val="en-US" w:eastAsia="zh-CN" w:bidi="ar-SA"/>
    </w:rPr>
    <w:tblPr/>
  </w:style>
  <w:style w:type="table" w:styleId="952">
    <w:name w:val="Grid Table 2 - Accent 4"/>
    <w:next w:val="952"/>
    <w:link w:val="712"/>
    <w:uiPriority w:val="99"/>
    <w:qFormat/>
    <w:rPr>
      <w:lang w:val="en-US" w:eastAsia="zh-CN" w:bidi="ar-SA"/>
    </w:rPr>
    <w:tblPr/>
  </w:style>
  <w:style w:type="table" w:styleId="953">
    <w:name w:val="Grid Table 2 - Accent 5"/>
    <w:next w:val="953"/>
    <w:link w:val="712"/>
    <w:uiPriority w:val="99"/>
    <w:qFormat/>
    <w:rPr>
      <w:lang w:val="en-US" w:eastAsia="zh-CN" w:bidi="ar-SA"/>
    </w:rPr>
    <w:tblPr/>
  </w:style>
  <w:style w:type="table" w:styleId="954">
    <w:name w:val="Grid Table 2 - Accent 6"/>
    <w:next w:val="954"/>
    <w:link w:val="712"/>
    <w:uiPriority w:val="99"/>
    <w:qFormat/>
    <w:rPr>
      <w:lang w:val="en-US" w:eastAsia="zh-CN" w:bidi="ar-SA"/>
    </w:rPr>
    <w:tblPr/>
  </w:style>
  <w:style w:type="table" w:styleId="955">
    <w:name w:val="Grid Table 3"/>
    <w:next w:val="955"/>
    <w:link w:val="712"/>
    <w:uiPriority w:val="99"/>
    <w:qFormat/>
    <w:rPr>
      <w:lang w:val="en-US" w:eastAsia="zh-CN" w:bidi="ar-SA"/>
    </w:rPr>
    <w:tblPr/>
  </w:style>
  <w:style w:type="table" w:styleId="956">
    <w:name w:val="Grid Table 3 - Accent 1"/>
    <w:next w:val="956"/>
    <w:link w:val="712"/>
    <w:uiPriority w:val="99"/>
    <w:qFormat/>
    <w:rPr>
      <w:lang w:val="en-US" w:eastAsia="zh-CN" w:bidi="ar-SA"/>
    </w:rPr>
    <w:tblPr/>
  </w:style>
  <w:style w:type="table" w:styleId="957">
    <w:name w:val="Grid Table 3 - Accent 2"/>
    <w:next w:val="957"/>
    <w:link w:val="712"/>
    <w:uiPriority w:val="99"/>
    <w:qFormat/>
    <w:rPr>
      <w:lang w:val="en-US" w:eastAsia="zh-CN" w:bidi="ar-SA"/>
    </w:rPr>
    <w:tblPr/>
  </w:style>
  <w:style w:type="table" w:styleId="958">
    <w:name w:val="Grid Table 3 - Accent 3"/>
    <w:next w:val="958"/>
    <w:link w:val="712"/>
    <w:uiPriority w:val="99"/>
    <w:qFormat/>
    <w:rPr>
      <w:lang w:val="en-US" w:eastAsia="zh-CN" w:bidi="ar-SA"/>
    </w:rPr>
    <w:tblPr/>
  </w:style>
  <w:style w:type="table" w:styleId="959">
    <w:name w:val="Grid Table 3 - Accent 4"/>
    <w:next w:val="959"/>
    <w:link w:val="712"/>
    <w:uiPriority w:val="99"/>
    <w:qFormat/>
    <w:rPr>
      <w:lang w:val="en-US" w:eastAsia="zh-CN" w:bidi="ar-SA"/>
    </w:rPr>
    <w:tblPr/>
  </w:style>
  <w:style w:type="table" w:styleId="960">
    <w:name w:val="Grid Table 3 - Accent 5"/>
    <w:next w:val="960"/>
    <w:link w:val="712"/>
    <w:uiPriority w:val="99"/>
    <w:qFormat/>
    <w:rPr>
      <w:lang w:val="en-US" w:eastAsia="zh-CN" w:bidi="ar-SA"/>
    </w:rPr>
    <w:tblPr/>
  </w:style>
  <w:style w:type="table" w:styleId="961">
    <w:name w:val="Grid Table 3 - Accent 6"/>
    <w:next w:val="961"/>
    <w:link w:val="712"/>
    <w:uiPriority w:val="99"/>
    <w:qFormat/>
    <w:rPr>
      <w:lang w:val="en-US" w:eastAsia="zh-CN" w:bidi="ar-SA"/>
    </w:rPr>
    <w:tblPr/>
  </w:style>
  <w:style w:type="table" w:styleId="962">
    <w:name w:val="Grid Table 4"/>
    <w:next w:val="962"/>
    <w:link w:val="712"/>
    <w:uiPriority w:val="59"/>
    <w:qFormat/>
    <w:rPr>
      <w:lang w:val="en-US" w:eastAsia="zh-CN" w:bidi="ar-SA"/>
    </w:rPr>
    <w:tblPr/>
  </w:style>
  <w:style w:type="table" w:styleId="963">
    <w:name w:val="Grid Table 4 - Accent 1"/>
    <w:next w:val="963"/>
    <w:link w:val="712"/>
    <w:uiPriority w:val="59"/>
    <w:qFormat/>
    <w:rPr>
      <w:lang w:val="en-US" w:eastAsia="zh-CN" w:bidi="ar-SA"/>
    </w:rPr>
    <w:tblPr/>
  </w:style>
  <w:style w:type="table" w:styleId="964">
    <w:name w:val="Grid Table 4 - Accent 2"/>
    <w:next w:val="964"/>
    <w:link w:val="712"/>
    <w:uiPriority w:val="59"/>
    <w:qFormat/>
    <w:rPr>
      <w:lang w:val="en-US" w:eastAsia="zh-CN" w:bidi="ar-SA"/>
    </w:rPr>
    <w:tblPr/>
  </w:style>
  <w:style w:type="table" w:styleId="965">
    <w:name w:val="Grid Table 4 - Accent 3"/>
    <w:next w:val="965"/>
    <w:link w:val="712"/>
    <w:uiPriority w:val="59"/>
    <w:qFormat/>
    <w:rPr>
      <w:lang w:val="en-US" w:eastAsia="zh-CN" w:bidi="ar-SA"/>
    </w:rPr>
    <w:tblPr/>
  </w:style>
  <w:style w:type="table" w:styleId="966">
    <w:name w:val="Grid Table 4 - Accent 4"/>
    <w:next w:val="966"/>
    <w:link w:val="712"/>
    <w:uiPriority w:val="59"/>
    <w:qFormat/>
    <w:rPr>
      <w:lang w:val="en-US" w:eastAsia="zh-CN" w:bidi="ar-SA"/>
    </w:rPr>
    <w:tblPr/>
  </w:style>
  <w:style w:type="table" w:styleId="967">
    <w:name w:val="Grid Table 4 - Accent 5"/>
    <w:next w:val="967"/>
    <w:link w:val="712"/>
    <w:uiPriority w:val="59"/>
    <w:qFormat/>
    <w:rPr>
      <w:lang w:val="en-US" w:eastAsia="zh-CN" w:bidi="ar-SA"/>
    </w:rPr>
    <w:tblPr/>
  </w:style>
  <w:style w:type="table" w:styleId="968">
    <w:name w:val="Grid Table 4 - Accent 6"/>
    <w:next w:val="968"/>
    <w:link w:val="712"/>
    <w:uiPriority w:val="59"/>
    <w:qFormat/>
    <w:rPr>
      <w:lang w:val="en-US" w:eastAsia="zh-CN" w:bidi="ar-SA"/>
    </w:rPr>
    <w:tblPr/>
  </w:style>
  <w:style w:type="table" w:styleId="969">
    <w:name w:val="Grid Table 5 Dark"/>
    <w:next w:val="969"/>
    <w:link w:val="712"/>
    <w:uiPriority w:val="99"/>
    <w:qFormat/>
    <w:rPr>
      <w:lang w:val="en-US" w:eastAsia="zh-CN" w:bidi="ar-SA"/>
    </w:rPr>
    <w:tblPr/>
  </w:style>
  <w:style w:type="table" w:styleId="970">
    <w:name w:val="Grid Table 5 Dark- Accent 1"/>
    <w:next w:val="970"/>
    <w:link w:val="712"/>
    <w:uiPriority w:val="99"/>
    <w:qFormat/>
    <w:rPr>
      <w:lang w:val="en-US" w:eastAsia="zh-CN" w:bidi="ar-SA"/>
    </w:rPr>
    <w:tblPr/>
  </w:style>
  <w:style w:type="table" w:styleId="971">
    <w:name w:val="Grid Table 5 Dark - Accent 2"/>
    <w:next w:val="971"/>
    <w:link w:val="712"/>
    <w:uiPriority w:val="99"/>
    <w:qFormat/>
    <w:rPr>
      <w:lang w:val="en-US" w:eastAsia="zh-CN" w:bidi="ar-SA"/>
    </w:rPr>
    <w:tblPr/>
  </w:style>
  <w:style w:type="table" w:styleId="972">
    <w:name w:val="Grid Table 5 Dark - Accent 3"/>
    <w:next w:val="972"/>
    <w:link w:val="712"/>
    <w:uiPriority w:val="99"/>
    <w:qFormat/>
    <w:rPr>
      <w:lang w:val="en-US" w:eastAsia="zh-CN" w:bidi="ar-SA"/>
    </w:rPr>
    <w:tblPr/>
  </w:style>
  <w:style w:type="table" w:styleId="973">
    <w:name w:val="Grid Table 5 Dark- Accent 4"/>
    <w:next w:val="973"/>
    <w:link w:val="712"/>
    <w:uiPriority w:val="99"/>
    <w:qFormat/>
    <w:rPr>
      <w:lang w:val="en-US" w:eastAsia="zh-CN" w:bidi="ar-SA"/>
    </w:rPr>
    <w:tblPr/>
  </w:style>
  <w:style w:type="table" w:styleId="974">
    <w:name w:val="Grid Table 5 Dark - Accent 5"/>
    <w:next w:val="974"/>
    <w:link w:val="712"/>
    <w:uiPriority w:val="99"/>
    <w:qFormat/>
    <w:rPr>
      <w:lang w:val="en-US" w:eastAsia="zh-CN" w:bidi="ar-SA"/>
    </w:rPr>
    <w:tblPr/>
  </w:style>
  <w:style w:type="table" w:styleId="975">
    <w:name w:val="Grid Table 5 Dark - Accent 6"/>
    <w:next w:val="975"/>
    <w:link w:val="712"/>
    <w:uiPriority w:val="99"/>
    <w:qFormat/>
    <w:rPr>
      <w:lang w:val="en-US" w:eastAsia="zh-CN" w:bidi="ar-SA"/>
    </w:rPr>
    <w:tblPr/>
  </w:style>
  <w:style w:type="table" w:styleId="976">
    <w:name w:val="Grid Table 6 Colorful"/>
    <w:next w:val="976"/>
    <w:link w:val="712"/>
    <w:uiPriority w:val="99"/>
    <w:qFormat/>
    <w:rPr>
      <w:lang w:val="en-US" w:eastAsia="zh-CN" w:bidi="ar-SA"/>
    </w:rPr>
    <w:tblPr/>
  </w:style>
  <w:style w:type="table" w:styleId="977">
    <w:name w:val="Grid Table 6 Colorful - Accent 1"/>
    <w:next w:val="977"/>
    <w:link w:val="712"/>
    <w:uiPriority w:val="99"/>
    <w:qFormat/>
    <w:rPr>
      <w:lang w:val="en-US" w:eastAsia="zh-CN" w:bidi="ar-SA"/>
    </w:rPr>
    <w:tblPr/>
  </w:style>
  <w:style w:type="table" w:styleId="978">
    <w:name w:val="Grid Table 6 Colorful - Accent 2"/>
    <w:next w:val="978"/>
    <w:link w:val="712"/>
    <w:uiPriority w:val="99"/>
    <w:qFormat/>
    <w:rPr>
      <w:lang w:val="en-US" w:eastAsia="zh-CN" w:bidi="ar-SA"/>
    </w:rPr>
    <w:tblPr/>
  </w:style>
  <w:style w:type="table" w:styleId="979">
    <w:name w:val="Grid Table 6 Colorful - Accent 3"/>
    <w:next w:val="979"/>
    <w:link w:val="712"/>
    <w:uiPriority w:val="99"/>
    <w:qFormat/>
    <w:rPr>
      <w:lang w:val="en-US" w:eastAsia="zh-CN" w:bidi="ar-SA"/>
    </w:rPr>
    <w:tblPr/>
  </w:style>
  <w:style w:type="table" w:styleId="980">
    <w:name w:val="Grid Table 6 Colorful - Accent 4"/>
    <w:next w:val="980"/>
    <w:link w:val="712"/>
    <w:uiPriority w:val="99"/>
    <w:qFormat/>
    <w:rPr>
      <w:lang w:val="en-US" w:eastAsia="zh-CN" w:bidi="ar-SA"/>
    </w:rPr>
    <w:tblPr/>
  </w:style>
  <w:style w:type="table" w:styleId="981">
    <w:name w:val="Grid Table 6 Colorful - Accent 5"/>
    <w:next w:val="981"/>
    <w:link w:val="712"/>
    <w:uiPriority w:val="99"/>
    <w:qFormat/>
    <w:rPr>
      <w:lang w:val="en-US" w:eastAsia="zh-CN" w:bidi="ar-SA"/>
    </w:rPr>
    <w:tblPr/>
  </w:style>
  <w:style w:type="table" w:styleId="982">
    <w:name w:val="Grid Table 6 Colorful - Accent 6"/>
    <w:next w:val="982"/>
    <w:link w:val="712"/>
    <w:uiPriority w:val="99"/>
    <w:qFormat/>
    <w:rPr>
      <w:lang w:val="en-US" w:eastAsia="zh-CN" w:bidi="ar-SA"/>
    </w:rPr>
    <w:tblPr/>
  </w:style>
  <w:style w:type="table" w:styleId="983">
    <w:name w:val="Grid Table 7 Colorful"/>
    <w:next w:val="983"/>
    <w:link w:val="712"/>
    <w:uiPriority w:val="99"/>
    <w:qFormat/>
    <w:rPr>
      <w:lang w:val="en-US" w:eastAsia="zh-CN" w:bidi="ar-SA"/>
    </w:rPr>
    <w:tblPr/>
  </w:style>
  <w:style w:type="table" w:styleId="984">
    <w:name w:val="Grid Table 7 Colorful - Accent 1"/>
    <w:next w:val="984"/>
    <w:link w:val="712"/>
    <w:uiPriority w:val="99"/>
    <w:qFormat/>
    <w:rPr>
      <w:lang w:val="en-US" w:eastAsia="zh-CN" w:bidi="ar-SA"/>
    </w:rPr>
    <w:tblPr/>
  </w:style>
  <w:style w:type="table" w:styleId="985">
    <w:name w:val="Grid Table 7 Colorful - Accent 2"/>
    <w:next w:val="985"/>
    <w:link w:val="712"/>
    <w:uiPriority w:val="99"/>
    <w:qFormat/>
    <w:rPr>
      <w:lang w:val="en-US" w:eastAsia="zh-CN" w:bidi="ar-SA"/>
    </w:rPr>
    <w:tblPr/>
  </w:style>
  <w:style w:type="table" w:styleId="986">
    <w:name w:val="Grid Table 7 Colorful - Accent 3"/>
    <w:next w:val="986"/>
    <w:link w:val="712"/>
    <w:uiPriority w:val="99"/>
    <w:qFormat/>
    <w:rPr>
      <w:lang w:val="en-US" w:eastAsia="zh-CN" w:bidi="ar-SA"/>
    </w:rPr>
    <w:tblPr/>
  </w:style>
  <w:style w:type="table" w:styleId="987">
    <w:name w:val="Grid Table 7 Colorful - Accent 4"/>
    <w:next w:val="987"/>
    <w:link w:val="712"/>
    <w:uiPriority w:val="99"/>
    <w:qFormat/>
    <w:rPr>
      <w:lang w:val="en-US" w:eastAsia="zh-CN" w:bidi="ar-SA"/>
    </w:rPr>
    <w:tblPr/>
  </w:style>
  <w:style w:type="table" w:styleId="988">
    <w:name w:val="Grid Table 7 Colorful - Accent 5"/>
    <w:next w:val="988"/>
    <w:link w:val="712"/>
    <w:uiPriority w:val="99"/>
    <w:qFormat/>
    <w:rPr>
      <w:lang w:val="en-US" w:eastAsia="zh-CN" w:bidi="ar-SA"/>
    </w:rPr>
    <w:tblPr/>
  </w:style>
  <w:style w:type="table" w:styleId="989">
    <w:name w:val="Grid Table 7 Colorful - Accent 6"/>
    <w:next w:val="989"/>
    <w:link w:val="712"/>
    <w:uiPriority w:val="99"/>
    <w:qFormat/>
    <w:rPr>
      <w:lang w:val="en-US" w:eastAsia="zh-CN" w:bidi="ar-SA"/>
    </w:rPr>
    <w:tblPr/>
  </w:style>
  <w:style w:type="table" w:styleId="990">
    <w:name w:val="List Table 1 Light"/>
    <w:next w:val="990"/>
    <w:link w:val="712"/>
    <w:uiPriority w:val="99"/>
    <w:qFormat/>
    <w:rPr>
      <w:lang w:val="en-US" w:eastAsia="zh-CN" w:bidi="ar-SA"/>
    </w:rPr>
    <w:tblPr/>
  </w:style>
  <w:style w:type="table" w:styleId="991">
    <w:name w:val="List Table 1 Light - Accent 1"/>
    <w:next w:val="991"/>
    <w:link w:val="712"/>
    <w:uiPriority w:val="99"/>
    <w:qFormat/>
    <w:rPr>
      <w:lang w:val="en-US" w:eastAsia="zh-CN" w:bidi="ar-SA"/>
    </w:rPr>
    <w:tblPr/>
  </w:style>
  <w:style w:type="table" w:styleId="992">
    <w:name w:val="List Table 1 Light - Accent 2"/>
    <w:next w:val="992"/>
    <w:link w:val="712"/>
    <w:uiPriority w:val="99"/>
    <w:qFormat/>
    <w:rPr>
      <w:lang w:val="en-US" w:eastAsia="zh-CN" w:bidi="ar-SA"/>
    </w:rPr>
    <w:tblPr/>
  </w:style>
  <w:style w:type="table" w:styleId="993">
    <w:name w:val="List Table 1 Light - Accent 3"/>
    <w:next w:val="993"/>
    <w:link w:val="712"/>
    <w:uiPriority w:val="99"/>
    <w:qFormat/>
    <w:rPr>
      <w:lang w:val="en-US" w:eastAsia="zh-CN" w:bidi="ar-SA"/>
    </w:rPr>
    <w:tblPr/>
  </w:style>
  <w:style w:type="table" w:styleId="994">
    <w:name w:val="List Table 1 Light - Accent 4"/>
    <w:next w:val="994"/>
    <w:link w:val="712"/>
    <w:uiPriority w:val="99"/>
    <w:qFormat/>
    <w:rPr>
      <w:lang w:val="en-US" w:eastAsia="zh-CN" w:bidi="ar-SA"/>
    </w:rPr>
    <w:tblPr/>
  </w:style>
  <w:style w:type="table" w:styleId="995">
    <w:name w:val="List Table 1 Light - Accent 5"/>
    <w:next w:val="995"/>
    <w:link w:val="712"/>
    <w:uiPriority w:val="99"/>
    <w:qFormat/>
    <w:rPr>
      <w:lang w:val="en-US" w:eastAsia="zh-CN" w:bidi="ar-SA"/>
    </w:rPr>
    <w:tblPr/>
  </w:style>
  <w:style w:type="table" w:styleId="996">
    <w:name w:val="List Table 1 Light - Accent 6"/>
    <w:next w:val="996"/>
    <w:link w:val="712"/>
    <w:uiPriority w:val="99"/>
    <w:qFormat/>
    <w:rPr>
      <w:lang w:val="en-US" w:eastAsia="zh-CN" w:bidi="ar-SA"/>
    </w:rPr>
    <w:tblPr/>
  </w:style>
  <w:style w:type="table" w:styleId="997">
    <w:name w:val="List Table 2"/>
    <w:next w:val="997"/>
    <w:link w:val="712"/>
    <w:uiPriority w:val="99"/>
    <w:qFormat/>
    <w:rPr>
      <w:lang w:val="en-US" w:eastAsia="zh-CN" w:bidi="ar-SA"/>
    </w:rPr>
    <w:tblPr/>
  </w:style>
  <w:style w:type="table" w:styleId="998">
    <w:name w:val="List Table 2 - Accent 1"/>
    <w:next w:val="998"/>
    <w:link w:val="712"/>
    <w:uiPriority w:val="99"/>
    <w:qFormat/>
    <w:rPr>
      <w:lang w:val="en-US" w:eastAsia="zh-CN" w:bidi="ar-SA"/>
    </w:rPr>
    <w:tblPr/>
  </w:style>
  <w:style w:type="table" w:styleId="999">
    <w:name w:val="List Table 2 - Accent 2"/>
    <w:next w:val="999"/>
    <w:link w:val="712"/>
    <w:uiPriority w:val="99"/>
    <w:qFormat/>
    <w:rPr>
      <w:lang w:val="en-US" w:eastAsia="zh-CN" w:bidi="ar-SA"/>
    </w:rPr>
    <w:tblPr/>
  </w:style>
  <w:style w:type="table" w:styleId="1000">
    <w:name w:val="List Table 2 - Accent 3"/>
    <w:next w:val="1000"/>
    <w:link w:val="712"/>
    <w:uiPriority w:val="99"/>
    <w:qFormat/>
    <w:rPr>
      <w:lang w:val="en-US" w:eastAsia="zh-CN" w:bidi="ar-SA"/>
    </w:rPr>
    <w:tblPr/>
  </w:style>
  <w:style w:type="table" w:styleId="1001">
    <w:name w:val="List Table 2 - Accent 4"/>
    <w:next w:val="1001"/>
    <w:link w:val="712"/>
    <w:uiPriority w:val="99"/>
    <w:qFormat/>
    <w:rPr>
      <w:lang w:val="en-US" w:eastAsia="zh-CN" w:bidi="ar-SA"/>
    </w:rPr>
    <w:tblPr/>
  </w:style>
  <w:style w:type="table" w:styleId="1002">
    <w:name w:val="List Table 2 - Accent 5"/>
    <w:next w:val="1002"/>
    <w:link w:val="712"/>
    <w:uiPriority w:val="99"/>
    <w:qFormat/>
    <w:rPr>
      <w:lang w:val="en-US" w:eastAsia="zh-CN" w:bidi="ar-SA"/>
    </w:rPr>
    <w:tblPr/>
  </w:style>
  <w:style w:type="table" w:styleId="1003">
    <w:name w:val="List Table 2 - Accent 6"/>
    <w:next w:val="1003"/>
    <w:link w:val="712"/>
    <w:uiPriority w:val="99"/>
    <w:qFormat/>
    <w:rPr>
      <w:lang w:val="en-US" w:eastAsia="zh-CN" w:bidi="ar-SA"/>
    </w:rPr>
    <w:tblPr/>
  </w:style>
  <w:style w:type="table" w:styleId="1004">
    <w:name w:val="List Table 3"/>
    <w:next w:val="1004"/>
    <w:link w:val="712"/>
    <w:uiPriority w:val="99"/>
    <w:qFormat/>
    <w:rPr>
      <w:lang w:val="en-US" w:eastAsia="zh-CN" w:bidi="ar-SA"/>
    </w:rPr>
    <w:tblPr/>
  </w:style>
  <w:style w:type="table" w:styleId="1005">
    <w:name w:val="List Table 3 - Accent 1"/>
    <w:next w:val="1005"/>
    <w:link w:val="712"/>
    <w:uiPriority w:val="99"/>
    <w:qFormat/>
    <w:rPr>
      <w:lang w:val="en-US" w:eastAsia="zh-CN" w:bidi="ar-SA"/>
    </w:rPr>
    <w:tblPr/>
  </w:style>
  <w:style w:type="table" w:styleId="1006">
    <w:name w:val="List Table 3 - Accent 2"/>
    <w:next w:val="1006"/>
    <w:link w:val="712"/>
    <w:uiPriority w:val="99"/>
    <w:qFormat/>
    <w:rPr>
      <w:lang w:val="en-US" w:eastAsia="zh-CN" w:bidi="ar-SA"/>
    </w:rPr>
    <w:tblPr/>
  </w:style>
  <w:style w:type="table" w:styleId="1007">
    <w:name w:val="List Table 3 - Accent 3"/>
    <w:next w:val="1007"/>
    <w:link w:val="712"/>
    <w:uiPriority w:val="99"/>
    <w:qFormat/>
    <w:rPr>
      <w:lang w:val="en-US" w:eastAsia="zh-CN" w:bidi="ar-SA"/>
    </w:rPr>
    <w:tblPr/>
  </w:style>
  <w:style w:type="table" w:styleId="1008">
    <w:name w:val="List Table 3 - Accent 4"/>
    <w:next w:val="1008"/>
    <w:link w:val="712"/>
    <w:uiPriority w:val="99"/>
    <w:qFormat/>
    <w:rPr>
      <w:lang w:val="en-US" w:eastAsia="zh-CN" w:bidi="ar-SA"/>
    </w:rPr>
    <w:tblPr/>
  </w:style>
  <w:style w:type="table" w:styleId="1009">
    <w:name w:val="List Table 3 - Accent 5"/>
    <w:next w:val="1009"/>
    <w:link w:val="712"/>
    <w:uiPriority w:val="99"/>
    <w:qFormat/>
    <w:rPr>
      <w:lang w:val="en-US" w:eastAsia="zh-CN" w:bidi="ar-SA"/>
    </w:rPr>
    <w:tblPr/>
  </w:style>
  <w:style w:type="table" w:styleId="1010">
    <w:name w:val="List Table 3 - Accent 6"/>
    <w:next w:val="1010"/>
    <w:link w:val="712"/>
    <w:uiPriority w:val="99"/>
    <w:qFormat/>
    <w:rPr>
      <w:lang w:val="en-US" w:eastAsia="zh-CN" w:bidi="ar-SA"/>
    </w:rPr>
    <w:tblPr/>
  </w:style>
  <w:style w:type="table" w:styleId="1011">
    <w:name w:val="List Table 4"/>
    <w:next w:val="1011"/>
    <w:link w:val="712"/>
    <w:uiPriority w:val="99"/>
    <w:qFormat/>
    <w:rPr>
      <w:lang w:val="en-US" w:eastAsia="zh-CN" w:bidi="ar-SA"/>
    </w:rPr>
    <w:tblPr/>
  </w:style>
  <w:style w:type="table" w:styleId="1012">
    <w:name w:val="List Table 4 - Accent 1"/>
    <w:next w:val="1012"/>
    <w:link w:val="712"/>
    <w:uiPriority w:val="99"/>
    <w:qFormat/>
    <w:rPr>
      <w:lang w:val="en-US" w:eastAsia="zh-CN" w:bidi="ar-SA"/>
    </w:rPr>
    <w:tblPr/>
  </w:style>
  <w:style w:type="table" w:styleId="1013">
    <w:name w:val="List Table 4 - Accent 2"/>
    <w:next w:val="1013"/>
    <w:link w:val="712"/>
    <w:uiPriority w:val="99"/>
    <w:qFormat/>
    <w:rPr>
      <w:lang w:val="en-US" w:eastAsia="zh-CN" w:bidi="ar-SA"/>
    </w:rPr>
    <w:tblPr/>
  </w:style>
  <w:style w:type="table" w:styleId="1014">
    <w:name w:val="List Table 4 - Accent 3"/>
    <w:next w:val="1014"/>
    <w:link w:val="712"/>
    <w:uiPriority w:val="99"/>
    <w:qFormat/>
    <w:rPr>
      <w:lang w:val="en-US" w:eastAsia="zh-CN" w:bidi="ar-SA"/>
    </w:rPr>
    <w:tblPr/>
  </w:style>
  <w:style w:type="table" w:styleId="1015">
    <w:name w:val="List Table 4 - Accent 4"/>
    <w:next w:val="1015"/>
    <w:link w:val="712"/>
    <w:uiPriority w:val="99"/>
    <w:qFormat/>
    <w:rPr>
      <w:lang w:val="en-US" w:eastAsia="zh-CN" w:bidi="ar-SA"/>
    </w:rPr>
    <w:tblPr/>
  </w:style>
  <w:style w:type="table" w:styleId="1016">
    <w:name w:val="List Table 4 - Accent 5"/>
    <w:next w:val="1016"/>
    <w:link w:val="712"/>
    <w:uiPriority w:val="99"/>
    <w:qFormat/>
    <w:rPr>
      <w:lang w:val="en-US" w:eastAsia="zh-CN" w:bidi="ar-SA"/>
    </w:rPr>
    <w:tblPr/>
  </w:style>
  <w:style w:type="table" w:styleId="1017">
    <w:name w:val="List Table 4 - Accent 6"/>
    <w:next w:val="1017"/>
    <w:link w:val="712"/>
    <w:uiPriority w:val="99"/>
    <w:qFormat/>
    <w:rPr>
      <w:lang w:val="en-US" w:eastAsia="zh-CN" w:bidi="ar-SA"/>
    </w:rPr>
    <w:tblPr/>
  </w:style>
  <w:style w:type="table" w:styleId="1018">
    <w:name w:val="List Table 5 Dark"/>
    <w:next w:val="1018"/>
    <w:link w:val="712"/>
    <w:uiPriority w:val="99"/>
    <w:qFormat/>
    <w:rPr>
      <w:lang w:val="en-US" w:eastAsia="zh-CN" w:bidi="ar-SA"/>
    </w:rPr>
    <w:tblPr/>
  </w:style>
  <w:style w:type="table" w:styleId="1019">
    <w:name w:val="List Table 5 Dark - Accent 1"/>
    <w:next w:val="1019"/>
    <w:link w:val="712"/>
    <w:uiPriority w:val="99"/>
    <w:qFormat/>
    <w:rPr>
      <w:lang w:val="en-US" w:eastAsia="zh-CN" w:bidi="ar-SA"/>
    </w:rPr>
    <w:tblPr/>
  </w:style>
  <w:style w:type="table" w:styleId="1020">
    <w:name w:val="List Table 5 Dark - Accent 2"/>
    <w:next w:val="1020"/>
    <w:link w:val="712"/>
    <w:uiPriority w:val="99"/>
    <w:qFormat/>
    <w:rPr>
      <w:lang w:val="en-US" w:eastAsia="zh-CN" w:bidi="ar-SA"/>
    </w:rPr>
    <w:tblPr/>
  </w:style>
  <w:style w:type="table" w:styleId="1021">
    <w:name w:val="List Table 5 Dark - Accent 3"/>
    <w:next w:val="1021"/>
    <w:link w:val="712"/>
    <w:uiPriority w:val="99"/>
    <w:qFormat/>
    <w:rPr>
      <w:lang w:val="en-US" w:eastAsia="zh-CN" w:bidi="ar-SA"/>
    </w:rPr>
    <w:tblPr/>
  </w:style>
  <w:style w:type="table" w:styleId="1022">
    <w:name w:val="List Table 5 Dark - Accent 4"/>
    <w:next w:val="1022"/>
    <w:link w:val="712"/>
    <w:uiPriority w:val="99"/>
    <w:qFormat/>
    <w:rPr>
      <w:lang w:val="en-US" w:eastAsia="zh-CN" w:bidi="ar-SA"/>
    </w:rPr>
    <w:tblPr/>
  </w:style>
  <w:style w:type="table" w:styleId="1023">
    <w:name w:val="List Table 5 Dark - Accent 5"/>
    <w:next w:val="1023"/>
    <w:link w:val="712"/>
    <w:uiPriority w:val="99"/>
    <w:qFormat/>
    <w:rPr>
      <w:lang w:val="en-US" w:eastAsia="zh-CN" w:bidi="ar-SA"/>
    </w:rPr>
    <w:tblPr/>
  </w:style>
  <w:style w:type="table" w:styleId="1024">
    <w:name w:val="List Table 5 Dark - Accent 6"/>
    <w:next w:val="1024"/>
    <w:link w:val="712"/>
    <w:uiPriority w:val="99"/>
    <w:qFormat/>
    <w:rPr>
      <w:lang w:val="en-US" w:eastAsia="zh-CN" w:bidi="ar-SA"/>
    </w:rPr>
    <w:tblPr/>
  </w:style>
  <w:style w:type="table" w:styleId="1025">
    <w:name w:val="List Table 6 Colorful"/>
    <w:next w:val="1025"/>
    <w:link w:val="712"/>
    <w:uiPriority w:val="99"/>
    <w:qFormat/>
    <w:rPr>
      <w:lang w:val="en-US" w:eastAsia="zh-CN" w:bidi="ar-SA"/>
    </w:rPr>
    <w:tblPr/>
  </w:style>
  <w:style w:type="table" w:styleId="1026">
    <w:name w:val="List Table 6 Colorful - Accent 1"/>
    <w:next w:val="1026"/>
    <w:link w:val="712"/>
    <w:uiPriority w:val="99"/>
    <w:qFormat/>
    <w:rPr>
      <w:lang w:val="en-US" w:eastAsia="zh-CN" w:bidi="ar-SA"/>
    </w:rPr>
    <w:tblPr/>
  </w:style>
  <w:style w:type="table" w:styleId="1027">
    <w:name w:val="List Table 6 Colorful - Accent 2"/>
    <w:next w:val="1027"/>
    <w:link w:val="712"/>
    <w:uiPriority w:val="99"/>
    <w:qFormat/>
    <w:rPr>
      <w:lang w:val="en-US" w:eastAsia="zh-CN" w:bidi="ar-SA"/>
    </w:rPr>
    <w:tblPr/>
  </w:style>
  <w:style w:type="table" w:styleId="1028">
    <w:name w:val="List Table 6 Colorful - Accent 3"/>
    <w:next w:val="1028"/>
    <w:link w:val="712"/>
    <w:uiPriority w:val="99"/>
    <w:qFormat/>
    <w:rPr>
      <w:lang w:val="en-US" w:eastAsia="zh-CN" w:bidi="ar-SA"/>
    </w:rPr>
    <w:tblPr/>
  </w:style>
  <w:style w:type="table" w:styleId="1029">
    <w:name w:val="List Table 6 Colorful - Accent 4"/>
    <w:next w:val="1029"/>
    <w:link w:val="712"/>
    <w:uiPriority w:val="99"/>
    <w:qFormat/>
    <w:rPr>
      <w:lang w:val="en-US" w:eastAsia="zh-CN" w:bidi="ar-SA"/>
    </w:rPr>
    <w:tblPr/>
  </w:style>
  <w:style w:type="table" w:styleId="1030">
    <w:name w:val="List Table 6 Colorful - Accent 5"/>
    <w:next w:val="1030"/>
    <w:link w:val="712"/>
    <w:uiPriority w:val="99"/>
    <w:qFormat/>
    <w:rPr>
      <w:lang w:val="en-US" w:eastAsia="zh-CN" w:bidi="ar-SA"/>
    </w:rPr>
    <w:tblPr/>
  </w:style>
  <w:style w:type="table" w:styleId="1031">
    <w:name w:val="List Table 6 Colorful - Accent 6"/>
    <w:next w:val="1031"/>
    <w:link w:val="712"/>
    <w:uiPriority w:val="99"/>
    <w:qFormat/>
    <w:rPr>
      <w:lang w:val="en-US" w:eastAsia="zh-CN" w:bidi="ar-SA"/>
    </w:rPr>
    <w:tblPr/>
  </w:style>
  <w:style w:type="table" w:styleId="1032">
    <w:name w:val="List Table 7 Colorful"/>
    <w:next w:val="1032"/>
    <w:link w:val="712"/>
    <w:uiPriority w:val="99"/>
    <w:qFormat/>
    <w:rPr>
      <w:lang w:val="en-US" w:eastAsia="zh-CN" w:bidi="ar-SA"/>
    </w:rPr>
    <w:tblPr/>
  </w:style>
  <w:style w:type="table" w:styleId="1033">
    <w:name w:val="List Table 7 Colorful - Accent 1"/>
    <w:next w:val="1033"/>
    <w:link w:val="712"/>
    <w:uiPriority w:val="99"/>
    <w:qFormat/>
    <w:rPr>
      <w:lang w:val="en-US" w:eastAsia="zh-CN" w:bidi="ar-SA"/>
    </w:rPr>
    <w:tblPr/>
  </w:style>
  <w:style w:type="table" w:styleId="1034">
    <w:name w:val="List Table 7 Colorful - Accent 2"/>
    <w:next w:val="1034"/>
    <w:link w:val="712"/>
    <w:uiPriority w:val="99"/>
    <w:qFormat/>
    <w:rPr>
      <w:lang w:val="en-US" w:eastAsia="zh-CN" w:bidi="ar-SA"/>
    </w:rPr>
    <w:tblPr/>
  </w:style>
  <w:style w:type="table" w:styleId="1035">
    <w:name w:val="List Table 7 Colorful - Accent 3"/>
    <w:next w:val="1035"/>
    <w:link w:val="712"/>
    <w:uiPriority w:val="99"/>
    <w:qFormat/>
    <w:rPr>
      <w:lang w:val="en-US" w:eastAsia="zh-CN" w:bidi="ar-SA"/>
    </w:rPr>
    <w:tblPr/>
  </w:style>
  <w:style w:type="table" w:styleId="1036">
    <w:name w:val="List Table 7 Colorful - Accent 4"/>
    <w:next w:val="1036"/>
    <w:link w:val="712"/>
    <w:uiPriority w:val="99"/>
    <w:qFormat/>
    <w:rPr>
      <w:lang w:val="en-US" w:eastAsia="zh-CN" w:bidi="ar-SA"/>
    </w:rPr>
    <w:tblPr/>
  </w:style>
  <w:style w:type="table" w:styleId="1037">
    <w:name w:val="List Table 7 Colorful - Accent 5"/>
    <w:next w:val="1037"/>
    <w:link w:val="712"/>
    <w:uiPriority w:val="99"/>
    <w:qFormat/>
    <w:rPr>
      <w:lang w:val="en-US" w:eastAsia="zh-CN" w:bidi="ar-SA"/>
    </w:rPr>
    <w:tblPr/>
  </w:style>
  <w:style w:type="table" w:styleId="1038">
    <w:name w:val="List Table 7 Colorful - Accent 6"/>
    <w:next w:val="1038"/>
    <w:link w:val="712"/>
    <w:uiPriority w:val="99"/>
    <w:qFormat/>
    <w:rPr>
      <w:lang w:val="en-US" w:eastAsia="zh-CN" w:bidi="ar-SA"/>
    </w:rPr>
    <w:tblPr/>
  </w:style>
  <w:style w:type="table" w:styleId="1039">
    <w:name w:val="Lined - Accent"/>
    <w:next w:val="1039"/>
    <w:link w:val="712"/>
    <w:uiPriority w:val="99"/>
    <w:qFormat/>
    <w:rPr>
      <w:color w:val="404040"/>
      <w:lang w:val="en-US" w:eastAsia="zh-CN" w:bidi="ar-SA"/>
    </w:rPr>
    <w:tblPr/>
  </w:style>
  <w:style w:type="table" w:styleId="1040">
    <w:name w:val="Lined - Accent 1"/>
    <w:next w:val="1040"/>
    <w:link w:val="712"/>
    <w:uiPriority w:val="99"/>
    <w:qFormat/>
    <w:rPr>
      <w:color w:val="404040"/>
      <w:lang w:val="en-US" w:eastAsia="zh-CN" w:bidi="ar-SA"/>
    </w:rPr>
    <w:tblPr/>
  </w:style>
  <w:style w:type="table" w:styleId="1041">
    <w:name w:val="Lined - Accent 2"/>
    <w:next w:val="1041"/>
    <w:link w:val="712"/>
    <w:uiPriority w:val="99"/>
    <w:qFormat/>
    <w:rPr>
      <w:color w:val="404040"/>
      <w:lang w:val="en-US" w:eastAsia="zh-CN" w:bidi="ar-SA"/>
    </w:rPr>
    <w:tblPr/>
  </w:style>
  <w:style w:type="table" w:styleId="1042">
    <w:name w:val="Lined - Accent 3"/>
    <w:next w:val="1042"/>
    <w:link w:val="712"/>
    <w:uiPriority w:val="99"/>
    <w:qFormat/>
    <w:rPr>
      <w:color w:val="404040"/>
      <w:lang w:val="en-US" w:eastAsia="zh-CN" w:bidi="ar-SA"/>
    </w:rPr>
    <w:tblPr/>
  </w:style>
  <w:style w:type="table" w:styleId="1043">
    <w:name w:val="Lined - Accent 4"/>
    <w:next w:val="1043"/>
    <w:link w:val="712"/>
    <w:uiPriority w:val="99"/>
    <w:qFormat/>
    <w:rPr>
      <w:color w:val="404040"/>
      <w:lang w:val="en-US" w:eastAsia="zh-CN" w:bidi="ar-SA"/>
    </w:rPr>
    <w:tblPr/>
  </w:style>
  <w:style w:type="table" w:styleId="1044">
    <w:name w:val="Lined - Accent 5"/>
    <w:next w:val="1044"/>
    <w:link w:val="712"/>
    <w:uiPriority w:val="99"/>
    <w:qFormat/>
    <w:rPr>
      <w:color w:val="404040"/>
      <w:lang w:val="en-US" w:eastAsia="zh-CN" w:bidi="ar-SA"/>
    </w:rPr>
    <w:tblPr/>
  </w:style>
  <w:style w:type="table" w:styleId="1045">
    <w:name w:val="Lined - Accent 6"/>
    <w:next w:val="1045"/>
    <w:link w:val="712"/>
    <w:uiPriority w:val="99"/>
    <w:qFormat/>
    <w:rPr>
      <w:color w:val="404040"/>
      <w:lang w:val="en-US" w:eastAsia="zh-CN" w:bidi="ar-SA"/>
    </w:rPr>
    <w:tblPr/>
  </w:style>
  <w:style w:type="table" w:styleId="1046">
    <w:name w:val="Bordered &amp; Lined - Accent"/>
    <w:next w:val="1046"/>
    <w:link w:val="712"/>
    <w:uiPriority w:val="99"/>
    <w:qFormat/>
    <w:rPr>
      <w:color w:val="404040"/>
      <w:lang w:val="en-US" w:eastAsia="zh-CN" w:bidi="ar-SA"/>
    </w:rPr>
    <w:tblPr/>
  </w:style>
  <w:style w:type="table" w:styleId="1047">
    <w:name w:val="Bordered &amp; Lined - Accent 1"/>
    <w:next w:val="1047"/>
    <w:link w:val="712"/>
    <w:uiPriority w:val="99"/>
    <w:qFormat/>
    <w:rPr>
      <w:color w:val="404040"/>
      <w:lang w:val="en-US" w:eastAsia="zh-CN" w:bidi="ar-SA"/>
    </w:rPr>
    <w:tblPr/>
  </w:style>
  <w:style w:type="table" w:styleId="1048">
    <w:name w:val="Bordered &amp; Lined - Accent 2"/>
    <w:next w:val="1048"/>
    <w:link w:val="712"/>
    <w:uiPriority w:val="99"/>
    <w:qFormat/>
    <w:rPr>
      <w:color w:val="404040"/>
      <w:lang w:val="en-US" w:eastAsia="zh-CN" w:bidi="ar-SA"/>
    </w:rPr>
    <w:tblPr/>
  </w:style>
  <w:style w:type="table" w:styleId="1049">
    <w:name w:val="Bordered &amp; Lined - Accent 3"/>
    <w:next w:val="1049"/>
    <w:link w:val="712"/>
    <w:uiPriority w:val="99"/>
    <w:qFormat/>
    <w:rPr>
      <w:color w:val="404040"/>
      <w:lang w:val="en-US" w:eastAsia="zh-CN" w:bidi="ar-SA"/>
    </w:rPr>
    <w:tblPr/>
  </w:style>
  <w:style w:type="table" w:styleId="1050">
    <w:name w:val="Bordered &amp; Lined - Accent 4"/>
    <w:next w:val="1050"/>
    <w:link w:val="712"/>
    <w:uiPriority w:val="99"/>
    <w:qFormat/>
    <w:rPr>
      <w:color w:val="404040"/>
      <w:lang w:val="en-US" w:eastAsia="zh-CN" w:bidi="ar-SA"/>
    </w:rPr>
    <w:tblPr/>
  </w:style>
  <w:style w:type="table" w:styleId="1051">
    <w:name w:val="Bordered &amp; Lined - Accent 5"/>
    <w:next w:val="1051"/>
    <w:link w:val="712"/>
    <w:uiPriority w:val="99"/>
    <w:qFormat/>
    <w:rPr>
      <w:color w:val="404040"/>
      <w:lang w:val="en-US" w:eastAsia="zh-CN" w:bidi="ar-SA"/>
    </w:rPr>
    <w:tblPr/>
  </w:style>
  <w:style w:type="table" w:styleId="1052">
    <w:name w:val="Bordered &amp; Lined - Accent 6"/>
    <w:next w:val="1052"/>
    <w:link w:val="712"/>
    <w:uiPriority w:val="99"/>
    <w:qFormat/>
    <w:rPr>
      <w:color w:val="404040"/>
      <w:lang w:val="en-US" w:eastAsia="zh-CN" w:bidi="ar-SA"/>
    </w:rPr>
    <w:tblPr/>
  </w:style>
  <w:style w:type="table" w:styleId="1053">
    <w:name w:val="Bordered"/>
    <w:next w:val="1053"/>
    <w:link w:val="712"/>
    <w:uiPriority w:val="99"/>
    <w:qFormat/>
    <w:rPr>
      <w:lang w:val="en-US" w:eastAsia="zh-CN" w:bidi="ar-SA"/>
    </w:rPr>
    <w:tblPr/>
  </w:style>
  <w:style w:type="table" w:styleId="1054">
    <w:name w:val="Bordered - Accent 1"/>
    <w:next w:val="1054"/>
    <w:link w:val="712"/>
    <w:uiPriority w:val="99"/>
    <w:qFormat/>
    <w:rPr>
      <w:lang w:val="en-US" w:eastAsia="zh-CN" w:bidi="ar-SA"/>
    </w:rPr>
    <w:tblPr/>
  </w:style>
  <w:style w:type="table" w:styleId="1055">
    <w:name w:val="Bordered - Accent 2"/>
    <w:next w:val="1055"/>
    <w:link w:val="712"/>
    <w:uiPriority w:val="99"/>
    <w:qFormat/>
    <w:rPr>
      <w:lang w:val="en-US" w:eastAsia="zh-CN" w:bidi="ar-SA"/>
    </w:rPr>
    <w:tblPr/>
  </w:style>
  <w:style w:type="table" w:styleId="1056">
    <w:name w:val="Bordered - Accent 3"/>
    <w:next w:val="1056"/>
    <w:link w:val="712"/>
    <w:uiPriority w:val="99"/>
    <w:qFormat/>
    <w:rPr>
      <w:lang w:val="en-US" w:eastAsia="zh-CN" w:bidi="ar-SA"/>
    </w:rPr>
    <w:tblPr/>
  </w:style>
  <w:style w:type="table" w:styleId="1057">
    <w:name w:val="Bordered - Accent 4"/>
    <w:next w:val="1057"/>
    <w:link w:val="712"/>
    <w:uiPriority w:val="99"/>
    <w:qFormat/>
    <w:rPr>
      <w:lang w:val="en-US" w:eastAsia="zh-CN" w:bidi="ar-SA"/>
    </w:rPr>
    <w:tblPr/>
  </w:style>
  <w:style w:type="table" w:styleId="1058">
    <w:name w:val="Bordered - Accent 5"/>
    <w:next w:val="1058"/>
    <w:link w:val="712"/>
    <w:uiPriority w:val="99"/>
    <w:qFormat/>
    <w:rPr>
      <w:lang w:val="en-US" w:eastAsia="zh-CN" w:bidi="ar-SA"/>
    </w:rPr>
    <w:tblPr/>
  </w:style>
  <w:style w:type="table" w:styleId="1059">
    <w:name w:val="Bordered - Accent 6"/>
    <w:next w:val="1059"/>
    <w:link w:val="712"/>
    <w:uiPriority w:val="99"/>
    <w:qFormat/>
    <w:rPr>
      <w:lang w:val="en-US" w:eastAsia="zh-CN" w:bidi="ar-SA"/>
    </w:rPr>
    <w:tblPr/>
  </w:style>
  <w:style w:type="paragraph" w:styleId="1060">
    <w:name w:val="TOC 标题"/>
    <w:next w:val="1060"/>
    <w:link w:val="712"/>
    <w:uiPriority w:val="39"/>
    <w:qFormat/>
    <w:rPr>
      <w:rFonts w:ascii="Times New Roman" w:hAnsi="Times New Roman" w:eastAsia="宋体" w:cs="Times New Roman"/>
      <w:lang w:val="en-US" w:eastAsia="zh-CN" w:bidi="ar-SA"/>
    </w:rPr>
  </w:style>
  <w:style w:type="character" w:styleId="1061">
    <w:name w:val="font5 Char"/>
    <w:next w:val="1061"/>
    <w:link w:val="712"/>
    <w:qFormat/>
    <w:rPr>
      <w:rFonts w:ascii="宋体" w:hAnsi="宋体" w:eastAsia="宋体"/>
      <w:sz w:val="28"/>
      <w:szCs w:val="28"/>
      <w:lang w:val="en-US" w:eastAsia="zh-CN" w:bidi="ar-SA"/>
    </w:rPr>
  </w:style>
  <w:style w:type="character" w:styleId="1062">
    <w:name w:val="二级目录 Char"/>
    <w:next w:val="1062"/>
    <w:link w:val="1063"/>
    <w:qFormat/>
    <w:rPr>
      <w:b/>
      <w:sz w:val="30"/>
      <w:szCs w:val="28"/>
      <w:lang w:val="en-US" w:eastAsia="zh-CN" w:bidi="ar-SA"/>
    </w:rPr>
  </w:style>
  <w:style w:type="paragraph" w:styleId="1063">
    <w:name w:val="二级目录"/>
    <w:next w:val="712"/>
    <w:link w:val="1062"/>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64">
    <w:name w:val="列出段落 Char"/>
    <w:next w:val="1064"/>
    <w:link w:val="1065"/>
    <w:qFormat/>
    <w:rPr>
      <w:rFonts w:ascii="Calibri" w:hAnsi="Calibri"/>
      <w:sz w:val="24"/>
      <w:szCs w:val="24"/>
      <w:lang w:eastAsia="en-US" w:bidi="en-US"/>
    </w:rPr>
  </w:style>
  <w:style w:type="paragraph" w:styleId="1065">
    <w:name w:val="列出段落1"/>
    <w:basedOn w:val="712"/>
    <w:next w:val="1065"/>
    <w:link w:val="1064"/>
    <w:qFormat/>
    <w:pPr>
      <w:contextualSpacing/>
      <w:ind w:left="720"/>
      <w:jc w:val="left"/>
      <w:widowControl/>
    </w:pPr>
    <w:rPr>
      <w:rFonts w:ascii="Calibri" w:hAnsi="Calibri"/>
      <w:sz w:val="24"/>
      <w:szCs w:val="24"/>
      <w:lang w:val="en-US" w:eastAsia="en-US" w:bidi="en-US"/>
    </w:rPr>
  </w:style>
  <w:style w:type="paragraph" w:styleId="1066">
    <w:name w:val="Body Text(ch)"/>
    <w:basedOn w:val="712"/>
    <w:next w:val="860"/>
    <w:link w:val="712"/>
    <w:qFormat/>
    <w:pPr>
      <w:spacing w:after="120"/>
    </w:pPr>
    <w:rPr>
      <w:rFonts w:ascii="宋体" w:hAnsi="Arial"/>
      <w:bCs/>
      <w:iCs/>
      <w:szCs w:val="24"/>
    </w:rPr>
  </w:style>
  <w:style w:type="paragraph" w:styleId="1067">
    <w:name w:val="xl27"/>
    <w:basedOn w:val="712"/>
    <w:next w:val="1067"/>
    <w:link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name w:val="xl26"/>
    <w:basedOn w:val="712"/>
    <w:next w:val="1068"/>
    <w:link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9">
    <w:name w:val="Char"/>
    <w:basedOn w:val="712"/>
    <w:next w:val="1069"/>
    <w:link w:val="712"/>
    <w:qFormat/>
    <w:pPr>
      <w:ind w:firstLine="200"/>
      <w:tabs>
        <w:tab w:val="left" w:pos="360" w:leader="none"/>
      </w:tabs>
    </w:pPr>
    <w:rPr>
      <w:sz w:val="28"/>
      <w:szCs w:val="30"/>
    </w:rPr>
  </w:style>
  <w:style w:type="paragraph" w:styleId="1070">
    <w:name w:val="Char1"/>
    <w:basedOn w:val="864"/>
    <w:next w:val="1070"/>
    <w:link w:val="712"/>
    <w:qFormat/>
    <w:rPr>
      <w:rFonts w:ascii="Tahoma" w:hAnsi="Tahoma"/>
      <w:sz w:val="24"/>
      <w:szCs w:val="24"/>
    </w:rPr>
  </w:style>
  <w:style w:type="paragraph" w:styleId="1071">
    <w:name w:val="普通正文"/>
    <w:basedOn w:val="712"/>
    <w:next w:val="1071"/>
    <w:link w:val="712"/>
    <w:qFormat/>
    <w:pPr>
      <w:ind w:firstLine="480"/>
      <w:jc w:val="left"/>
      <w:spacing w:before="120" w:after="120" w:line="360" w:lineRule="auto"/>
    </w:pPr>
    <w:rPr>
      <w:rFonts w:ascii="Arial" w:hAnsi="Arial"/>
      <w:sz w:val="24"/>
      <w:szCs w:val="24"/>
    </w:rPr>
  </w:style>
  <w:style w:type="paragraph" w:styleId="1072">
    <w:name w:val="table_lines"/>
    <w:basedOn w:val="712"/>
    <w:next w:val="1072"/>
    <w:link w:val="712"/>
    <w:qFormat/>
    <w:pPr>
      <w:jc w:val="left"/>
      <w:widowControl/>
    </w:pPr>
    <w:rPr>
      <w:sz w:val="20"/>
      <w:szCs w:val="20"/>
      <w:lang w:val="de-DE" w:eastAsia="de-DE"/>
    </w:rPr>
  </w:style>
  <w:style w:type="paragraph" w:styleId="1073">
    <w:name w:val="附录1"/>
    <w:next w:val="1073"/>
    <w:link w:val="712"/>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4">
    <w:name w:val="font7"/>
    <w:basedOn w:val="712"/>
    <w:next w:val="1074"/>
    <w:link w:val="712"/>
    <w:qFormat/>
    <w:pPr>
      <w:jc w:val="left"/>
      <w:spacing w:before="100" w:beforeAutospacing="1" w:after="100" w:afterAutospacing="1"/>
      <w:widowControl/>
    </w:pPr>
    <w:rPr>
      <w:rFonts w:hint="eastAsia" w:ascii="宋体" w:hAnsi="宋体"/>
      <w:sz w:val="18"/>
      <w:szCs w:val="18"/>
    </w:rPr>
  </w:style>
  <w:style w:type="paragraph" w:styleId="1075">
    <w:name w:val="Char Char Char Char"/>
    <w:basedOn w:val="864"/>
    <w:next w:val="1075"/>
    <w:link w:val="712"/>
    <w:qFormat/>
    <w:pPr>
      <w:spacing w:line="360" w:lineRule="auto"/>
    </w:pPr>
    <w:rPr>
      <w:rFonts w:ascii="Tahoma" w:hAnsi="Tahoma"/>
      <w:sz w:val="24"/>
      <w:szCs w:val="24"/>
    </w:rPr>
  </w:style>
  <w:style w:type="paragraph" w:styleId="1076">
    <w:name w:val="4"/>
    <w:basedOn w:val="712"/>
    <w:next w:val="897"/>
    <w:link w:val="712"/>
    <w:qFormat/>
    <w:pPr>
      <w:ind w:firstLine="420"/>
      <w:spacing w:line="360" w:lineRule="auto"/>
    </w:pPr>
    <w:rPr>
      <w:color w:val="ff0000"/>
      <w:sz w:val="24"/>
      <w:szCs w:val="24"/>
    </w:rPr>
  </w:style>
  <w:style w:type="paragraph" w:styleId="1077">
    <w:name w:val="普通 (Web)"/>
    <w:basedOn w:val="712"/>
    <w:next w:val="1077"/>
    <w:link w:val="712"/>
    <w:qFormat/>
    <w:pPr>
      <w:jc w:val="left"/>
      <w:spacing w:before="100" w:beforeAutospacing="1" w:after="100" w:afterAutospacing="1"/>
      <w:widowControl/>
    </w:pPr>
    <w:rPr>
      <w:rFonts w:ascii="宋体" w:hAnsi="宋体"/>
      <w:sz w:val="24"/>
      <w:szCs w:val="24"/>
    </w:rPr>
  </w:style>
  <w:style w:type="paragraph" w:styleId="1078">
    <w:name w:val="Char Char Char Char Char Char Char Char Char Char"/>
    <w:basedOn w:val="712"/>
    <w:next w:val="1078"/>
    <w:link w:val="712"/>
    <w:qFormat/>
    <w:pPr>
      <w:spacing w:line="360" w:lineRule="auto"/>
    </w:pPr>
    <w:rPr>
      <w:sz w:val="24"/>
      <w:szCs w:val="20"/>
    </w:rPr>
  </w:style>
  <w:style w:type="paragraph" w:styleId="1079">
    <w:name w:val="样式1"/>
    <w:basedOn w:val="712"/>
    <w:next w:val="1079"/>
    <w:link w:val="712"/>
    <w:qFormat/>
    <w:pPr>
      <w:numPr>
        <w:ilvl w:val="0"/>
        <w:numId w:val="3"/>
      </w:numPr>
      <w:tabs>
        <w:tab w:val="left" w:pos="709" w:leader="none"/>
      </w:tabs>
    </w:pPr>
    <w:rPr>
      <w:rFonts w:ascii="宋体" w:hAnsi="宋体"/>
    </w:rPr>
  </w:style>
  <w:style w:type="paragraph" w:styleId="1080">
    <w:name w:val="font6"/>
    <w:basedOn w:val="712"/>
    <w:next w:val="1080"/>
    <w:link w:val="712"/>
    <w:qFormat/>
    <w:pPr>
      <w:jc w:val="left"/>
      <w:spacing w:before="100" w:beforeAutospacing="1" w:after="100" w:afterAutospacing="1"/>
      <w:widowControl/>
    </w:pPr>
    <w:rPr>
      <w:rFonts w:hint="eastAsia" w:ascii="宋体" w:hAnsi="宋体"/>
      <w:sz w:val="28"/>
      <w:szCs w:val="28"/>
      <w:u w:val="single"/>
    </w:rPr>
  </w:style>
  <w:style w:type="paragraph" w:styleId="1081">
    <w:name w:val="xl25"/>
    <w:basedOn w:val="712"/>
    <w:next w:val="1081"/>
    <w:link w:val="71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2">
    <w:name w:val="图标"/>
    <w:basedOn w:val="712"/>
    <w:next w:val="712"/>
    <w:link w:val="71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3">
    <w:name w:val="标题3"/>
    <w:basedOn w:val="712"/>
    <w:next w:val="712"/>
    <w:link w:val="712"/>
    <w:qFormat/>
    <w:pPr>
      <w:ind w:firstLine="624"/>
      <w:spacing w:line="590" w:lineRule="atLeast"/>
    </w:pPr>
    <w:rPr>
      <w:rFonts w:ascii="方正黑体_GBK" w:eastAsia="方正黑体_GBK"/>
      <w:sz w:val="32"/>
      <w:szCs w:val="32"/>
    </w:rPr>
  </w:style>
  <w:style w:type="paragraph" w:styleId="1084">
    <w:name w:val="xl24"/>
    <w:basedOn w:val="712"/>
    <w:next w:val="1084"/>
    <w:link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5">
    <w:name w:val="xl29"/>
    <w:basedOn w:val="712"/>
    <w:next w:val="1085"/>
    <w:link w:val="71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6">
    <w:name w:val="Char Char Char Char Char Char Char Char"/>
    <w:basedOn w:val="712"/>
    <w:next w:val="1086"/>
    <w:link w:val="712"/>
    <w:qFormat/>
    <w:pPr>
      <w:jc w:val="left"/>
      <w:spacing w:after="160" w:line="240" w:lineRule="exact"/>
      <w:widowControl/>
    </w:pPr>
    <w:rPr>
      <w:rFonts w:ascii="Verdana" w:hAnsi="Verdana"/>
      <w:sz w:val="20"/>
      <w:szCs w:val="20"/>
      <w:lang w:eastAsia="en-US"/>
    </w:rPr>
  </w:style>
  <w:style w:type="paragraph" w:styleId="1087">
    <w:name w:val="xl28"/>
    <w:basedOn w:val="712"/>
    <w:next w:val="1087"/>
    <w:link w:val="71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8">
    <w:name w:val="Char Char Char Char Char Char Char Char1"/>
    <w:basedOn w:val="712"/>
    <w:next w:val="1088"/>
    <w:link w:val="712"/>
    <w:qFormat/>
    <w:pPr>
      <w:jc w:val="left"/>
      <w:spacing w:after="160" w:line="240" w:lineRule="exact"/>
      <w:widowControl/>
    </w:pPr>
    <w:rPr>
      <w:rFonts w:ascii="Verdana" w:hAnsi="Verdana"/>
      <w:sz w:val="20"/>
      <w:szCs w:val="20"/>
      <w:lang w:eastAsia="en-US"/>
    </w:rPr>
  </w:style>
  <w:style w:type="paragraph" w:styleId="1089">
    <w:name w:val="xl30"/>
    <w:basedOn w:val="712"/>
    <w:next w:val="1089"/>
    <w:link w:val="712"/>
    <w:qFormat/>
    <w:pPr>
      <w:jc w:val="center"/>
      <w:spacing w:before="100" w:beforeAutospacing="1" w:after="100" w:afterAutospacing="1"/>
      <w:widowControl/>
    </w:pPr>
    <w:rPr>
      <w:rFonts w:ascii="宋体" w:hAnsi="宋体"/>
      <w:b/>
      <w:bCs/>
      <w:sz w:val="36"/>
      <w:szCs w:val="36"/>
    </w:rPr>
  </w:style>
  <w:style w:type="paragraph" w:styleId="1090">
    <w:name w:val="Char Char Char Char1"/>
    <w:basedOn w:val="864"/>
    <w:next w:val="1090"/>
    <w:link w:val="712"/>
    <w:qFormat/>
    <w:pPr>
      <w:spacing w:line="360" w:lineRule="auto"/>
    </w:pPr>
    <w:rPr>
      <w:rFonts w:ascii="Tahoma" w:hAnsi="Tahoma"/>
      <w:sz w:val="24"/>
      <w:szCs w:val="24"/>
    </w:rPr>
  </w:style>
  <w:style w:type="paragraph" w:styleId="1091">
    <w:name w:val="table_1stline"/>
    <w:basedOn w:val="712"/>
    <w:next w:val="1091"/>
    <w:link w:val="712"/>
    <w:qFormat/>
    <w:pPr>
      <w:jc w:val="left"/>
      <w:spacing w:before="120"/>
      <w:widowControl/>
    </w:pPr>
    <w:rPr>
      <w:bCs/>
      <w:sz w:val="20"/>
      <w:szCs w:val="20"/>
      <w:lang w:val="de-DE" w:eastAsia="de-DE"/>
    </w:rPr>
  </w:style>
  <w:style w:type="paragraph" w:styleId="1092">
    <w:name w:val="font5"/>
    <w:basedOn w:val="712"/>
    <w:next w:val="1092"/>
    <w:link w:val="712"/>
    <w:qFormat/>
    <w:pPr>
      <w:jc w:val="left"/>
      <w:spacing w:before="100" w:beforeAutospacing="1" w:after="100" w:afterAutospacing="1"/>
      <w:widowControl/>
    </w:pPr>
    <w:rPr>
      <w:rFonts w:hint="eastAsia" w:ascii="宋体" w:hAnsi="宋体"/>
      <w:sz w:val="28"/>
      <w:szCs w:val="28"/>
    </w:rPr>
  </w:style>
  <w:style w:type="paragraph" w:styleId="1093">
    <w:name w:val="标题1"/>
    <w:basedOn w:val="712"/>
    <w:next w:val="712"/>
    <w:link w:val="71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4">
    <w:name w:val="修订"/>
    <w:next w:val="1094"/>
    <w:link w:val="712"/>
    <w:uiPriority w:val="99"/>
    <w:semiHidden/>
    <w:qFormat/>
    <w:rPr>
      <w:rFonts w:ascii="Times New Roman" w:hAnsi="Times New Roman" w:eastAsia="宋体" w:cs="Times New Roman"/>
      <w:sz w:val="21"/>
      <w:szCs w:val="21"/>
      <w:lang w:val="en-US" w:eastAsia="zh-CN" w:bidi="ar-SA"/>
    </w:rPr>
  </w:style>
  <w:style w:type="paragraph" w:styleId="1095">
    <w:name w:val="普通文字"/>
    <w:basedOn w:val="712"/>
    <w:next w:val="712"/>
    <w:link w:val="712"/>
    <w:uiPriority w:val="99"/>
    <w:qFormat/>
    <w:rPr>
      <w:rFonts w:ascii="宋体" w:hAnsi="Times New Roman" w:eastAsia="宋体" w:cs="Times New Roman"/>
      <w:sz w:val="24"/>
      <w:szCs w:val="20"/>
      <w:u w:val="none"/>
    </w:rPr>
  </w:style>
  <w:style w:type="paragraph" w:styleId="1096">
    <w:name w:val="目录 111"/>
    <w:basedOn w:val="712"/>
    <w:next w:val="712"/>
    <w:link w:val="712"/>
    <w:uiPriority w:val="39"/>
    <w:unhideWhenUsed/>
    <w:qFormat/>
    <w:pPr>
      <w:jc w:val="left"/>
      <w:spacing w:after="100" w:line="259" w:lineRule="auto"/>
      <w:widowControl/>
    </w:pPr>
    <w:rPr>
      <w:rFonts w:ascii="Calibri" w:hAnsi="Calibri" w:eastAsia="宋体"/>
      <w:sz w:val="22"/>
      <w:szCs w:val="22"/>
    </w:rPr>
  </w:style>
  <w:style w:type="paragraph" w:styleId="1097">
    <w:name w:val="表格文字"/>
    <w:basedOn w:val="712"/>
    <w:next w:val="1097"/>
    <w:link w:val="712"/>
    <w:qFormat/>
    <w:pPr>
      <w:jc w:val="center"/>
    </w:pPr>
    <w:rPr>
      <w:rFonts w:ascii="宋体" w:hAnsi="宋体" w:cs="宋体"/>
      <w:szCs w:val="20"/>
    </w:rPr>
  </w:style>
  <w:style w:type="paragraph" w:styleId="1098">
    <w:name w:val="p0"/>
    <w:basedOn w:val="712"/>
    <w:next w:val="1098"/>
    <w:link w:val="712"/>
    <w:qFormat/>
    <w:pPr>
      <w:jc w:val="left"/>
      <w:spacing w:before="100" w:beforeAutospacing="1" w:after="100" w:afterAutospacing="1"/>
      <w:widowControl/>
    </w:pPr>
    <w:rPr>
      <w:rFonts w:ascii="宋体" w:hAnsi="宋体" w:cs="宋体"/>
      <w:sz w:val="24"/>
      <w:szCs w:val="24"/>
    </w:rPr>
  </w:style>
  <w:style w:type="paragraph" w:styleId="1099">
    <w:name w:val="普通(网站) New"/>
    <w:basedOn w:val="712"/>
    <w:next w:val="1099"/>
    <w:link w:val="712"/>
    <w:qFormat/>
    <w:pPr>
      <w:jc w:val="left"/>
      <w:spacing w:before="100" w:beforeAutospacing="1" w:after="100" w:afterAutospacing="1"/>
      <w:widowControl/>
    </w:pPr>
    <w:rPr>
      <w:rFonts w:ascii="宋体" w:hAnsi="宋体" w:cs="宋体"/>
      <w:sz w:val="24"/>
      <w:szCs w:val="24"/>
    </w:rPr>
  </w:style>
  <w:style w:type="character" w:styleId="1100">
    <w:name w:val="NormalCharacter1"/>
    <w:next w:val="1100"/>
    <w:link w:val="1101"/>
    <w:semiHidden/>
    <w:qFormat/>
    <w:rPr>
      <w:sz w:val="20"/>
      <w:szCs w:val="20"/>
    </w:rPr>
  </w:style>
  <w:style w:type="paragraph" w:styleId="1101">
    <w:name w:val="UserStyle_4"/>
    <w:basedOn w:val="712"/>
    <w:next w:val="1101"/>
    <w:link w:val="1100"/>
    <w:uiPriority w:val="99"/>
    <w:qFormat/>
    <w:rPr>
      <w:sz w:val="20"/>
      <w:szCs w:val="20"/>
    </w:rPr>
  </w:style>
  <w:style w:type="character" w:styleId="1102">
    <w:name w:val="font41"/>
    <w:next w:val="1102"/>
    <w:link w:val="712"/>
    <w:qFormat/>
    <w:rPr>
      <w:rFonts w:hint="eastAsia" w:ascii="宋体" w:hAnsi="宋体" w:eastAsia="宋体" w:cs="宋体"/>
      <w:color w:val="000000"/>
      <w:sz w:val="20"/>
      <w:szCs w:val="20"/>
      <w:u w:val="none"/>
    </w:rPr>
  </w:style>
  <w:style w:type="character" w:styleId="1103">
    <w:name w:val="font31"/>
    <w:next w:val="1103"/>
    <w:link w:val="712"/>
    <w:qFormat/>
    <w:rPr>
      <w:rFonts w:hint="eastAsia" w:ascii="宋体" w:hAnsi="宋体" w:eastAsia="宋体" w:cs="宋体"/>
      <w:color w:val="000000"/>
      <w:sz w:val="20"/>
      <w:szCs w:val="20"/>
      <w:u w:val="none"/>
    </w:rPr>
  </w:style>
  <w:style w:type="character" w:styleId="1104">
    <w:name w:val="font51"/>
    <w:next w:val="1104"/>
    <w:link w:val="712"/>
    <w:qFormat/>
    <w:rPr>
      <w:rFonts w:hint="eastAsia" w:ascii="宋体" w:hAnsi="宋体" w:eastAsia="宋体" w:cs="宋体"/>
      <w:color w:val="000000"/>
      <w:sz w:val="21"/>
      <w:szCs w:val="21"/>
      <w:u w:val="none"/>
    </w:rPr>
  </w:style>
  <w:style w:type="character" w:styleId="1105">
    <w:name w:val="font81"/>
    <w:next w:val="1105"/>
    <w:link w:val="712"/>
    <w:qFormat/>
    <w:rPr>
      <w:rFonts w:hint="eastAsia" w:ascii="宋体" w:hAnsi="宋体" w:eastAsia="宋体" w:cs="宋体"/>
      <w:color w:val="000000"/>
      <w:sz w:val="18"/>
      <w:szCs w:val="18"/>
      <w:u w:val="none"/>
    </w:rPr>
  </w:style>
  <w:style w:type="character" w:styleId="1106">
    <w:name w:val="font112"/>
    <w:next w:val="1106"/>
    <w:link w:val="712"/>
    <w:qFormat/>
    <w:rPr>
      <w:rFonts w:hint="eastAsia" w:ascii="宋体" w:hAnsi="宋体" w:eastAsia="宋体" w:cs="宋体"/>
      <w:color w:val="000000"/>
      <w:sz w:val="18"/>
      <w:szCs w:val="18"/>
      <w:u w:val="single"/>
    </w:rPr>
  </w:style>
  <w:style w:type="character" w:styleId="1107">
    <w:name w:val="font21"/>
    <w:next w:val="1107"/>
    <w:link w:val="712"/>
    <w:qFormat/>
    <w:rPr>
      <w:rFonts w:ascii="Calibri" w:hAnsi="Calibri" w:cs="Calibri"/>
      <w:color w:val="000000"/>
      <w:sz w:val="24"/>
      <w:szCs w:val="24"/>
      <w:u w:val="none"/>
    </w:rPr>
  </w:style>
  <w:style w:type="character" w:styleId="1108">
    <w:name w:val="font11"/>
    <w:next w:val="1108"/>
    <w:link w:val="712"/>
    <w:qFormat/>
    <w:rPr>
      <w:rFonts w:hint="eastAsia" w:ascii="宋体" w:hAnsi="宋体" w:eastAsia="宋体" w:cs="宋体"/>
      <w:color w:val="000000"/>
      <w:sz w:val="24"/>
      <w:szCs w:val="24"/>
      <w:u w:val="none"/>
    </w:rPr>
  </w:style>
  <w:style w:type="paragraph" w:styleId="1109">
    <w:name w:val="Table Text"/>
    <w:basedOn w:val="712"/>
    <w:next w:val="1109"/>
    <w:link w:val="712"/>
    <w:semiHidden/>
    <w:qFormat/>
    <w:rPr>
      <w:rFonts w:ascii="宋体" w:hAnsi="宋体" w:cs="宋体"/>
      <w:sz w:val="24"/>
      <w:lang w:eastAsia="en-US"/>
    </w:rPr>
  </w:style>
  <w:style w:type="table" w:styleId="1110">
    <w:name w:val="Table Normal_0"/>
    <w:next w:val="1110"/>
    <w:link w:val="712"/>
    <w:unhideWhenUsed/>
    <w:qFormat/>
    <w:rPr>
      <w:lang w:val="en-US" w:eastAsia="zh-CN" w:bidi="ar-SA"/>
    </w:rPr>
    <w:tblPr/>
  </w:style>
  <w:style w:type="paragraph" w:styleId="1111">
    <w:name w:val="标题 411"/>
    <w:basedOn w:val="712"/>
    <w:next w:val="712"/>
    <w:link w:val="712"/>
    <w:qFormat/>
    <w:pPr>
      <w:numPr>
        <w:ilvl w:val="4"/>
        <w:numId w:val="1"/>
      </w:numPr>
      <w:keepLines/>
      <w:keepNext/>
      <w:spacing w:before="280" w:after="290" w:line="376" w:lineRule="auto"/>
      <w:tabs>
        <w:tab w:val="left" w:pos="360" w:leader="none"/>
      </w:tabs>
      <w:outlineLvl w:val="3"/>
    </w:pPr>
    <w:rPr>
      <w:rFonts w:ascii="Arial" w:hAnsi="Arial" w:eastAsia="黑体"/>
      <w:b/>
      <w:bCs/>
      <w:sz w:val="28"/>
      <w:szCs w:val="28"/>
    </w:rPr>
  </w:style>
  <w:style w:type="paragraph" w:styleId="1112">
    <w:name w:val="BodyText1I1"/>
    <w:basedOn w:val="1113"/>
    <w:next w:val="1112"/>
    <w:link w:val="712"/>
    <w:qFormat/>
    <w:pPr>
      <w:ind w:firstLine="420"/>
      <w:jc w:val="left"/>
      <w:spacing w:line="480" w:lineRule="auto"/>
    </w:pPr>
    <w:rPr>
      <w:rFonts w:ascii="Times New Roman" w:hAnsi="Times New Roman" w:eastAsia="宋体"/>
      <w:sz w:val="24"/>
      <w:szCs w:val="20"/>
      <w:lang w:val="zh-CN" w:eastAsia="zh-CN" w:bidi="ar-SA"/>
    </w:rPr>
  </w:style>
  <w:style w:type="paragraph" w:styleId="1113">
    <w:name w:val="BodyText1"/>
    <w:basedOn w:val="712"/>
    <w:next w:val="1113"/>
    <w:link w:val="712"/>
    <w:qFormat/>
    <w:rPr>
      <w:sz w:val="20"/>
    </w:rPr>
  </w:style>
  <w:style w:type="paragraph" w:styleId="1114">
    <w:name w:val="段"/>
    <w:next w:val="712"/>
    <w:link w:val="712"/>
    <w:qFormat/>
    <w:pPr>
      <w:ind w:firstLine="200"/>
      <w:jc w:val="both"/>
    </w:pPr>
    <w:rPr>
      <w:rFonts w:ascii="宋体" w:hAnsi="Times New Roman" w:eastAsia="宋体" w:cs="Times New Roman"/>
      <w:sz w:val="21"/>
      <w:lang w:val="en-US" w:eastAsia="zh-CN" w:bidi="ar-SA"/>
    </w:rPr>
  </w:style>
  <w:style w:type="paragraph" w:styleId="1115">
    <w:name w:val="普通(网站)11"/>
    <w:basedOn w:val="712"/>
    <w:next w:val="1115"/>
    <w:link w:val="712"/>
    <w:uiPriority w:val="99"/>
    <w:qFormat/>
    <w:pPr>
      <w:jc w:val="left"/>
      <w:spacing w:beforeAutospacing="1" w:afterAutospacing="1"/>
    </w:pPr>
    <w:rPr>
      <w:rFonts w:cs="Times New Roman"/>
      <w:sz w:val="24"/>
    </w:rPr>
  </w:style>
  <w:style w:type="paragraph" w:styleId="1116">
    <w:name w:val="纯文本111"/>
    <w:basedOn w:val="712"/>
    <w:next w:val="1116"/>
    <w:link w:val="712"/>
    <w:qFormat/>
    <w:rPr>
      <w:rFonts w:ascii="宋体"/>
    </w:rPr>
  </w:style>
  <w:style w:type="paragraph" w:styleId="1117">
    <w:name w:val="AONormal"/>
    <w:next w:val="1117"/>
    <w:link w:val="712"/>
    <w:qFormat/>
    <w:pPr>
      <w:ind w:firstLine="440"/>
      <w:spacing w:line="400" w:lineRule="exact"/>
    </w:pPr>
    <w:rPr>
      <w:rFonts w:ascii="华文楷体" w:hAnsi="华文楷体" w:eastAsia="华文楷体" w:cs="华文楷体"/>
      <w:sz w:val="22"/>
      <w:szCs w:val="21"/>
      <w:lang w:val="en-US" w:eastAsia="zh-CN" w:bidi="ar-SA"/>
    </w:rPr>
  </w:style>
  <w:style w:type="paragraph" w:styleId="1118">
    <w:name w:val="文本块1"/>
    <w:next w:val="1118"/>
    <w:link w:val="712"/>
    <w:qFormat/>
    <w:pPr>
      <w:ind w:left="420" w:right="33"/>
      <w:jc w:val="left"/>
      <w:widowControl w:val="off"/>
    </w:pPr>
    <w:rPr>
      <w:rFonts w:ascii="Times New Roman" w:hAnsi="Times New Roman" w:eastAsia="宋体" w:cs="Times New Roman"/>
      <w:sz w:val="24"/>
      <w:szCs w:val="20"/>
      <w:lang w:val="en-US" w:eastAsia="zh-CN" w:bidi="ar-SA"/>
    </w:rPr>
  </w:style>
  <w:style w:type="paragraph" w:styleId="1119">
    <w:name w:val="正文1"/>
    <w:next w:val="712"/>
    <w:link w:val="712"/>
    <w:qFormat/>
    <w:pPr>
      <w:ind w:left="420" w:firstLine="527"/>
      <w:jc w:val="both"/>
      <w:spacing w:before="120" w:line="360" w:lineRule="auto"/>
      <w:widowControl w:val="off"/>
    </w:pPr>
    <w:rPr>
      <w:rFonts w:ascii="宋体" w:hAnsi="宋体" w:eastAsia="宋体" w:cs="Times New Roman"/>
      <w:sz w:val="21"/>
      <w:szCs w:val="20"/>
      <w:lang w:val="en-US" w:eastAsia="zh-CN" w:bidi="ar-SA"/>
    </w:rPr>
  </w:style>
  <w:style w:type="character" w:styleId="18211" w:default="1">
    <w:name w:val="Default Paragraph Font"/>
    <w:uiPriority w:val="1"/>
    <w:semiHidden/>
    <w:unhideWhenUsed/>
  </w:style>
  <w:style w:type="numbering" w:styleId="18212" w:default="1">
    <w:name w:val="No List"/>
    <w:uiPriority w:val="99"/>
    <w:semiHidden/>
    <w:unhideWhenUsed/>
  </w:style>
  <w:style w:type="table" w:styleId="18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奚彩杰</cp:lastModifiedBy>
  <cp:revision>1</cp:revision>
  <dcterms:created xsi:type="dcterms:W3CDTF">2025-03-06T21:54:00Z</dcterms:created>
  <dcterms:modified xsi:type="dcterms:W3CDTF">2026-07-27T01:05:59Z</dcterms:modified>
</cp:coreProperties>
</file>