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1BF4E">
      <w:pPr>
        <w:spacing w:line="360" w:lineRule="auto"/>
        <w:ind w:firstLine="420"/>
        <w:jc w:val="center"/>
        <w:rPr>
          <w:rFonts w:ascii="宋体" w:hAnsi="宋体" w:cs="宋体"/>
          <w:b/>
          <w:bCs/>
          <w:color w:val="000000"/>
          <w:w w:val="90"/>
          <w:sz w:val="28"/>
          <w:szCs w:val="28"/>
        </w:rPr>
      </w:pPr>
      <w:bookmarkStart w:id="2" w:name="_GoBack"/>
      <w:bookmarkEnd w:id="2"/>
      <w:r>
        <w:rPr>
          <w:rFonts w:hint="eastAsia" w:ascii="宋体" w:hAnsi="宋体" w:cs="宋体"/>
          <w:b/>
          <w:bCs/>
          <w:color w:val="000000"/>
          <w:w w:val="90"/>
          <w:sz w:val="28"/>
          <w:szCs w:val="28"/>
        </w:rPr>
        <w:t>2026年苏州市新一代民营企业家培养“新领航”计划项目合同书</w:t>
      </w:r>
    </w:p>
    <w:p w14:paraId="7A678D58">
      <w:pPr>
        <w:spacing w:line="360" w:lineRule="auto"/>
        <w:rPr>
          <w:rFonts w:ascii="宋体" w:hAnsi="宋体" w:cs="宋体"/>
          <w:color w:val="000000"/>
          <w:szCs w:val="21"/>
        </w:rPr>
      </w:pPr>
    </w:p>
    <w:p w14:paraId="39997B71">
      <w:pPr>
        <w:spacing w:line="360" w:lineRule="auto"/>
        <w:rPr>
          <w:rFonts w:ascii="宋体" w:hAnsi="宋体" w:cs="宋体"/>
          <w:color w:val="000000"/>
          <w:sz w:val="22"/>
          <w:szCs w:val="22"/>
        </w:rPr>
      </w:pPr>
      <w:r>
        <w:rPr>
          <w:rFonts w:hint="eastAsia" w:ascii="宋体" w:hAnsi="宋体" w:cs="宋体"/>
          <w:color w:val="000000"/>
          <w:sz w:val="22"/>
          <w:szCs w:val="22"/>
        </w:rPr>
        <w:t>甲  方：</w:t>
      </w:r>
      <w:r>
        <w:rPr>
          <w:rFonts w:ascii="宋体" w:hAnsi="宋体" w:cs="宋体"/>
          <w:color w:val="000000"/>
          <w:sz w:val="22"/>
          <w:szCs w:val="22"/>
        </w:rPr>
        <w:t>苏州市工商业联合会</w:t>
      </w:r>
    </w:p>
    <w:p w14:paraId="5FED366D">
      <w:pPr>
        <w:spacing w:line="360" w:lineRule="auto"/>
        <w:rPr>
          <w:rFonts w:ascii="宋体" w:hAnsi="宋体" w:cs="宋体"/>
          <w:color w:val="000000"/>
          <w:sz w:val="22"/>
          <w:szCs w:val="22"/>
        </w:rPr>
      </w:pPr>
      <w:r>
        <w:rPr>
          <w:rFonts w:hint="eastAsia" w:ascii="宋体" w:hAnsi="宋体" w:cs="宋体"/>
          <w:color w:val="000000"/>
          <w:sz w:val="22"/>
          <w:szCs w:val="22"/>
        </w:rPr>
        <w:t>地  址：</w:t>
      </w:r>
      <w:r>
        <w:rPr>
          <w:rFonts w:ascii="宋体" w:hAnsi="宋体" w:cs="宋体"/>
          <w:color w:val="000000"/>
          <w:sz w:val="22"/>
          <w:szCs w:val="22"/>
        </w:rPr>
        <w:t>苏州市姑苏区</w:t>
      </w:r>
      <w:r>
        <w:rPr>
          <w:rFonts w:hint="eastAsia" w:ascii="宋体" w:hAnsi="宋体" w:cs="宋体"/>
          <w:color w:val="000000"/>
          <w:sz w:val="22"/>
          <w:szCs w:val="22"/>
        </w:rPr>
        <w:t>干将西</w:t>
      </w:r>
      <w:r>
        <w:rPr>
          <w:rFonts w:ascii="宋体" w:hAnsi="宋体" w:cs="宋体"/>
          <w:color w:val="000000"/>
          <w:sz w:val="22"/>
          <w:szCs w:val="22"/>
        </w:rPr>
        <w:t>路</w:t>
      </w:r>
      <w:r>
        <w:rPr>
          <w:rFonts w:hint="eastAsia" w:ascii="宋体" w:hAnsi="宋体" w:cs="宋体"/>
          <w:color w:val="000000"/>
          <w:sz w:val="22"/>
          <w:szCs w:val="22"/>
        </w:rPr>
        <w:t>1038</w:t>
      </w:r>
      <w:r>
        <w:rPr>
          <w:rFonts w:ascii="宋体" w:hAnsi="宋体" w:cs="宋体"/>
          <w:color w:val="000000"/>
          <w:sz w:val="22"/>
          <w:szCs w:val="22"/>
        </w:rPr>
        <w:t>号</w:t>
      </w:r>
    </w:p>
    <w:p w14:paraId="270312D5">
      <w:pPr>
        <w:spacing w:line="360" w:lineRule="auto"/>
        <w:rPr>
          <w:rFonts w:ascii="宋体" w:hAnsi="宋体" w:cs="宋体"/>
          <w:color w:val="000000"/>
          <w:sz w:val="22"/>
          <w:szCs w:val="22"/>
        </w:rPr>
      </w:pPr>
      <w:r>
        <w:rPr>
          <w:rFonts w:hint="eastAsia" w:ascii="宋体" w:hAnsi="宋体" w:cs="宋体"/>
          <w:color w:val="000000"/>
          <w:sz w:val="22"/>
          <w:szCs w:val="22"/>
        </w:rPr>
        <w:t>联系人：</w:t>
      </w:r>
      <w:r>
        <w:rPr>
          <w:rFonts w:ascii="宋体" w:hAnsi="宋体" w:cs="宋体"/>
          <w:color w:val="000000"/>
          <w:sz w:val="22"/>
          <w:szCs w:val="22"/>
        </w:rPr>
        <w:t>夏王玉</w:t>
      </w:r>
    </w:p>
    <w:p w14:paraId="35C80A07">
      <w:pPr>
        <w:spacing w:line="360" w:lineRule="auto"/>
        <w:rPr>
          <w:rFonts w:ascii="宋体" w:hAnsi="宋体" w:cs="宋体"/>
          <w:color w:val="000000"/>
          <w:sz w:val="22"/>
          <w:szCs w:val="22"/>
        </w:rPr>
      </w:pPr>
      <w:r>
        <w:rPr>
          <w:rFonts w:hint="eastAsia" w:ascii="宋体" w:hAnsi="宋体" w:cs="宋体"/>
          <w:color w:val="000000"/>
          <w:sz w:val="22"/>
          <w:szCs w:val="22"/>
        </w:rPr>
        <w:t>联系电话：</w:t>
      </w:r>
      <w:r>
        <w:rPr>
          <w:rFonts w:ascii="宋体" w:hAnsi="宋体" w:cs="宋体"/>
          <w:color w:val="000000"/>
          <w:sz w:val="22"/>
          <w:szCs w:val="22"/>
        </w:rPr>
        <w:t>0512-65231331</w:t>
      </w:r>
    </w:p>
    <w:p w14:paraId="5FF0D7F9">
      <w:pPr>
        <w:spacing w:line="360" w:lineRule="auto"/>
        <w:rPr>
          <w:rFonts w:ascii="宋体" w:hAnsi="宋体" w:cs="宋体"/>
          <w:color w:val="000000"/>
          <w:sz w:val="22"/>
          <w:szCs w:val="22"/>
        </w:rPr>
      </w:pPr>
    </w:p>
    <w:p w14:paraId="35C58214">
      <w:pPr>
        <w:spacing w:line="360" w:lineRule="auto"/>
        <w:rPr>
          <w:rFonts w:ascii="宋体" w:hAnsi="宋体" w:cs="宋体"/>
          <w:color w:val="000000"/>
          <w:sz w:val="22"/>
          <w:szCs w:val="22"/>
        </w:rPr>
      </w:pPr>
      <w:r>
        <w:rPr>
          <w:rFonts w:hint="eastAsia" w:ascii="宋体" w:hAnsi="宋体" w:cs="宋体"/>
          <w:color w:val="000000"/>
          <w:sz w:val="22"/>
          <w:szCs w:val="22"/>
        </w:rPr>
        <w:t>乙  方：浙江清华长三角研究院</w:t>
      </w:r>
    </w:p>
    <w:p w14:paraId="5A0A533A">
      <w:pPr>
        <w:spacing w:line="360" w:lineRule="auto"/>
        <w:rPr>
          <w:rFonts w:ascii="宋体" w:hAnsi="宋体" w:cs="宋体"/>
          <w:color w:val="000000"/>
          <w:sz w:val="22"/>
          <w:szCs w:val="22"/>
        </w:rPr>
      </w:pPr>
      <w:r>
        <w:rPr>
          <w:rFonts w:hint="eastAsia" w:ascii="宋体" w:hAnsi="宋体" w:cs="宋体"/>
          <w:color w:val="000000"/>
          <w:sz w:val="22"/>
          <w:szCs w:val="22"/>
        </w:rPr>
        <w:t>地  址：浙江省嘉兴市亚太路705号</w:t>
      </w:r>
    </w:p>
    <w:p w14:paraId="18297865">
      <w:pPr>
        <w:spacing w:line="360" w:lineRule="auto"/>
        <w:rPr>
          <w:rFonts w:ascii="宋体" w:hAnsi="宋体" w:cs="宋体"/>
          <w:color w:val="000000"/>
          <w:sz w:val="22"/>
          <w:szCs w:val="22"/>
        </w:rPr>
      </w:pPr>
      <w:r>
        <w:rPr>
          <w:rFonts w:hint="eastAsia" w:ascii="宋体" w:hAnsi="宋体" w:cs="宋体"/>
          <w:color w:val="000000"/>
          <w:sz w:val="22"/>
          <w:szCs w:val="22"/>
        </w:rPr>
        <w:t>联系人：雷越</w:t>
      </w:r>
    </w:p>
    <w:p w14:paraId="045BD814">
      <w:pPr>
        <w:spacing w:line="360" w:lineRule="auto"/>
        <w:rPr>
          <w:rFonts w:ascii="宋体" w:hAnsi="宋体" w:cs="宋体"/>
          <w:color w:val="000000"/>
          <w:sz w:val="22"/>
          <w:szCs w:val="22"/>
        </w:rPr>
      </w:pPr>
      <w:r>
        <w:rPr>
          <w:rFonts w:hint="eastAsia" w:ascii="宋体" w:hAnsi="宋体" w:cs="宋体"/>
          <w:color w:val="000000"/>
          <w:sz w:val="22"/>
          <w:szCs w:val="22"/>
        </w:rPr>
        <w:t>联系电话：15268309172</w:t>
      </w:r>
    </w:p>
    <w:p w14:paraId="3494884D">
      <w:pPr>
        <w:spacing w:line="360" w:lineRule="auto"/>
        <w:ind w:firstLine="420"/>
        <w:rPr>
          <w:rFonts w:ascii="宋体" w:hAnsi="宋体" w:cs="宋体"/>
          <w:color w:val="000000"/>
          <w:sz w:val="22"/>
          <w:szCs w:val="22"/>
        </w:rPr>
      </w:pPr>
    </w:p>
    <w:p w14:paraId="7A6502CF">
      <w:pPr>
        <w:spacing w:line="400" w:lineRule="exact"/>
        <w:ind w:firstLine="426"/>
        <w:rPr>
          <w:rFonts w:ascii="宋体" w:hAnsi="宋体" w:cs="宋体"/>
          <w:sz w:val="22"/>
          <w:szCs w:val="28"/>
        </w:rPr>
      </w:pPr>
      <w:bookmarkStart w:id="0" w:name="_Hlk165988889"/>
      <w:bookmarkStart w:id="1" w:name="_Toc13543222"/>
      <w:r>
        <w:rPr>
          <w:rFonts w:hint="eastAsia" w:ascii="宋体" w:hAnsi="宋体" w:cs="宋体"/>
          <w:sz w:val="22"/>
          <w:szCs w:val="28"/>
        </w:rPr>
        <w:t>依据</w:t>
      </w:r>
      <w:r>
        <w:rPr>
          <w:rFonts w:hint="eastAsia" w:ascii="宋体" w:hAnsi="宋体" w:cs="宋体"/>
          <w:sz w:val="22"/>
          <w:szCs w:val="22"/>
          <w:u w:val="single"/>
        </w:rPr>
        <w:t>2026年苏州市新一代民营企业家培养“新领航”计划</w:t>
      </w:r>
      <w:r>
        <w:rPr>
          <w:rFonts w:hint="eastAsia" w:ascii="宋体" w:hAnsi="宋体" w:cs="宋体"/>
          <w:sz w:val="22"/>
          <w:szCs w:val="28"/>
        </w:rPr>
        <w:t>项目（采购编号：</w:t>
      </w:r>
      <w:r>
        <w:rPr>
          <w:rFonts w:hint="eastAsia" w:ascii="宋体" w:hAnsi="宋体" w:cs="宋体"/>
          <w:sz w:val="22"/>
          <w:szCs w:val="22"/>
          <w:u w:val="single"/>
        </w:rPr>
        <w:t>JSZC-320500-JMCH-C2026-0003</w:t>
      </w:r>
      <w:r>
        <w:rPr>
          <w:rFonts w:hint="eastAsia" w:ascii="宋体" w:hAnsi="宋体" w:cs="宋体"/>
          <w:sz w:val="22"/>
          <w:szCs w:val="28"/>
        </w:rPr>
        <w:t>）政府采购的成交结果，</w:t>
      </w:r>
      <w:r>
        <w:rPr>
          <w:rFonts w:hint="eastAsia" w:ascii="宋体" w:hAnsi="宋体" w:cs="宋体"/>
          <w:sz w:val="22"/>
          <w:szCs w:val="22"/>
        </w:rPr>
        <w:t>确定乙方为本次成交供应商，现依照磋商文件、乙方的响应文件及相关文件的内容，签订本合同书</w:t>
      </w:r>
      <w:r>
        <w:rPr>
          <w:rFonts w:hint="eastAsia" w:ascii="宋体" w:hAnsi="宋体" w:cs="宋体"/>
          <w:sz w:val="22"/>
          <w:szCs w:val="28"/>
        </w:rPr>
        <w:t>。</w:t>
      </w:r>
    </w:p>
    <w:p w14:paraId="1C48AA96">
      <w:pPr>
        <w:numPr>
          <w:ilvl w:val="0"/>
          <w:numId w:val="1"/>
        </w:numPr>
        <w:spacing w:line="400" w:lineRule="exact"/>
        <w:rPr>
          <w:rFonts w:ascii="宋体" w:hAnsi="宋体" w:cs="宋体"/>
          <w:b/>
          <w:sz w:val="22"/>
          <w:szCs w:val="22"/>
        </w:rPr>
      </w:pPr>
      <w:r>
        <w:rPr>
          <w:rFonts w:hint="eastAsia" w:ascii="宋体" w:hAnsi="宋体" w:cs="宋体"/>
          <w:b/>
          <w:sz w:val="22"/>
          <w:szCs w:val="22"/>
        </w:rPr>
        <w:t>合同价格</w:t>
      </w:r>
    </w:p>
    <w:p w14:paraId="4EB0FFC8">
      <w:pPr>
        <w:numPr>
          <w:ilvl w:val="1"/>
          <w:numId w:val="2"/>
        </w:numPr>
        <w:tabs>
          <w:tab w:val="left" w:pos="540"/>
        </w:tabs>
        <w:spacing w:line="400" w:lineRule="exact"/>
        <w:rPr>
          <w:rFonts w:ascii="宋体" w:hAnsi="宋体" w:cs="宋体"/>
          <w:sz w:val="22"/>
          <w:szCs w:val="22"/>
        </w:rPr>
      </w:pPr>
      <w:r>
        <w:rPr>
          <w:rFonts w:hint="eastAsia" w:ascii="宋体" w:hAnsi="宋体" w:cs="宋体"/>
          <w:sz w:val="22"/>
          <w:szCs w:val="22"/>
        </w:rPr>
        <w:t>合同价格（大写）</w:t>
      </w:r>
      <w:r>
        <w:rPr>
          <w:rFonts w:hint="eastAsia" w:ascii="宋体" w:hAnsi="宋体" w:cs="宋体"/>
          <w:sz w:val="22"/>
          <w:szCs w:val="22"/>
          <w:u w:val="single"/>
        </w:rPr>
        <w:t>人民币贰拾玖万柒仟伍佰元整（￥297500.00）</w:t>
      </w:r>
      <w:r>
        <w:rPr>
          <w:rFonts w:hint="eastAsia" w:ascii="宋体" w:hAnsi="宋体" w:cs="宋体"/>
          <w:sz w:val="22"/>
          <w:szCs w:val="22"/>
        </w:rPr>
        <w:t>。本项目的培训费包括:课程研发费、授课费、教学管理费、教材资料费、讲义制作费、证书制作费、北京上课期间大巴车摆渡费等。学员培训期间的食宿大交通费用由甲方学员自行承担，乙方可以协助安排。甲方不再支付其他费用。</w:t>
      </w:r>
    </w:p>
    <w:p w14:paraId="264A2CA7">
      <w:pPr>
        <w:numPr>
          <w:ilvl w:val="1"/>
          <w:numId w:val="2"/>
        </w:numPr>
        <w:tabs>
          <w:tab w:val="left" w:pos="540"/>
        </w:tabs>
        <w:spacing w:line="400" w:lineRule="exact"/>
        <w:rPr>
          <w:rFonts w:ascii="宋体" w:hAnsi="宋体" w:cs="宋体"/>
          <w:sz w:val="22"/>
          <w:szCs w:val="22"/>
        </w:rPr>
      </w:pPr>
      <w:r>
        <w:rPr>
          <w:rFonts w:hint="eastAsia" w:ascii="宋体" w:hAnsi="宋体" w:cs="宋体"/>
          <w:sz w:val="22"/>
          <w:szCs w:val="22"/>
        </w:rPr>
        <w:t>根据现行税法对甲方征收的与本合同有关的一切税费均由甲方承担；根据现行税法对乙方征收的与本合同有关的一切税费均由乙方承担。</w:t>
      </w:r>
    </w:p>
    <w:p w14:paraId="5E6C682C">
      <w:pPr>
        <w:numPr>
          <w:ilvl w:val="0"/>
          <w:numId w:val="1"/>
        </w:numPr>
        <w:spacing w:line="400" w:lineRule="exact"/>
        <w:rPr>
          <w:rFonts w:ascii="宋体" w:hAnsi="宋体" w:cs="宋体"/>
          <w:b/>
          <w:sz w:val="22"/>
          <w:szCs w:val="22"/>
        </w:rPr>
      </w:pPr>
      <w:r>
        <w:rPr>
          <w:rFonts w:hint="eastAsia" w:ascii="宋体" w:hAnsi="宋体" w:cs="宋体"/>
          <w:b/>
          <w:sz w:val="22"/>
          <w:szCs w:val="22"/>
        </w:rPr>
        <w:t>服务范围</w:t>
      </w:r>
    </w:p>
    <w:p w14:paraId="55F50AF8">
      <w:pPr>
        <w:numPr>
          <w:ilvl w:val="1"/>
          <w:numId w:val="1"/>
        </w:numPr>
        <w:tabs>
          <w:tab w:val="left" w:pos="567"/>
        </w:tabs>
        <w:spacing w:line="400" w:lineRule="exact"/>
        <w:rPr>
          <w:rFonts w:ascii="宋体" w:hAnsi="宋体" w:cs="宋体"/>
          <w:sz w:val="22"/>
          <w:szCs w:val="22"/>
        </w:rPr>
      </w:pPr>
      <w:r>
        <w:rPr>
          <w:rFonts w:hint="eastAsia" w:ascii="宋体" w:hAnsi="宋体" w:cs="宋体"/>
          <w:sz w:val="22"/>
          <w:szCs w:val="22"/>
        </w:rPr>
        <w:t>本合同项下的服务指：</w:t>
      </w:r>
      <w:r>
        <w:rPr>
          <w:rFonts w:hint="eastAsia" w:ascii="宋体" w:hAnsi="宋体" w:cs="宋体"/>
          <w:sz w:val="22"/>
          <w:szCs w:val="22"/>
          <w:u w:val="single"/>
        </w:rPr>
        <w:t>2026年苏州市新一代民营企业家培养“新领航”计划（标段二）</w:t>
      </w:r>
      <w:r>
        <w:rPr>
          <w:rFonts w:hint="eastAsia" w:ascii="宋体" w:hAnsi="宋体" w:cs="宋体"/>
          <w:sz w:val="22"/>
          <w:szCs w:val="22"/>
        </w:rPr>
        <w:t>。</w:t>
      </w:r>
    </w:p>
    <w:p w14:paraId="63B29C1B">
      <w:pPr>
        <w:numPr>
          <w:ilvl w:val="1"/>
          <w:numId w:val="1"/>
        </w:numPr>
        <w:tabs>
          <w:tab w:val="left" w:pos="567"/>
        </w:tabs>
        <w:spacing w:line="400" w:lineRule="exact"/>
        <w:rPr>
          <w:rFonts w:ascii="宋体" w:hAnsi="宋体" w:cs="宋体"/>
          <w:sz w:val="22"/>
          <w:szCs w:val="28"/>
        </w:rPr>
      </w:pPr>
      <w:r>
        <w:rPr>
          <w:rFonts w:hint="eastAsia" w:ascii="宋体" w:hAnsi="宋体" w:cs="宋体"/>
          <w:sz w:val="22"/>
          <w:szCs w:val="22"/>
        </w:rPr>
        <w:t>服务内容及要求：</w:t>
      </w:r>
    </w:p>
    <w:p w14:paraId="68AE891B">
      <w:pPr>
        <w:spacing w:line="360" w:lineRule="auto"/>
        <w:ind w:firstLine="422"/>
        <w:jc w:val="left"/>
        <w:rPr>
          <w:rFonts w:ascii="宋体" w:hAnsi="宋体" w:cs="宋体"/>
          <w:b/>
          <w:bCs/>
          <w:sz w:val="22"/>
          <w:szCs w:val="22"/>
        </w:rPr>
      </w:pPr>
      <w:r>
        <w:rPr>
          <w:rFonts w:hint="eastAsia" w:ascii="宋体" w:hAnsi="宋体" w:cs="宋体"/>
          <w:b/>
          <w:bCs/>
          <w:sz w:val="22"/>
          <w:szCs w:val="22"/>
        </w:rPr>
        <w:t>（1）课程安排</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1"/>
        <w:gridCol w:w="1644"/>
        <w:gridCol w:w="4950"/>
        <w:gridCol w:w="1014"/>
      </w:tblGrid>
      <w:tr w14:paraId="55BCF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3EF81E23">
            <w:pPr>
              <w:spacing w:line="320" w:lineRule="exact"/>
              <w:jc w:val="center"/>
              <w:rPr>
                <w:rFonts w:ascii="宋体" w:hAnsi="宋体" w:cs="宋体"/>
                <w:sz w:val="22"/>
                <w:szCs w:val="22"/>
              </w:rPr>
            </w:pPr>
            <w:r>
              <w:rPr>
                <w:rFonts w:hint="eastAsia" w:ascii="宋体" w:hAnsi="宋体" w:cs="宋体"/>
                <w:sz w:val="22"/>
                <w:szCs w:val="22"/>
              </w:rPr>
              <w:t>序号</w:t>
            </w:r>
          </w:p>
        </w:tc>
        <w:tc>
          <w:tcPr>
            <w:tcW w:w="1644" w:type="dxa"/>
            <w:vAlign w:val="center"/>
          </w:tcPr>
          <w:p w14:paraId="0559B3F5">
            <w:pPr>
              <w:spacing w:line="320" w:lineRule="exact"/>
              <w:jc w:val="center"/>
              <w:rPr>
                <w:rFonts w:ascii="宋体" w:hAnsi="宋体" w:cs="宋体"/>
                <w:sz w:val="22"/>
                <w:szCs w:val="22"/>
              </w:rPr>
            </w:pPr>
            <w:r>
              <w:rPr>
                <w:rFonts w:hint="eastAsia" w:ascii="宋体" w:hAnsi="宋体" w:cs="宋体"/>
                <w:sz w:val="22"/>
                <w:szCs w:val="22"/>
              </w:rPr>
              <w:t>课程名称</w:t>
            </w:r>
          </w:p>
        </w:tc>
        <w:tc>
          <w:tcPr>
            <w:tcW w:w="4950" w:type="dxa"/>
            <w:vAlign w:val="center"/>
          </w:tcPr>
          <w:p w14:paraId="659E5FEF">
            <w:pPr>
              <w:spacing w:line="320" w:lineRule="exact"/>
              <w:jc w:val="center"/>
              <w:rPr>
                <w:rFonts w:ascii="宋体" w:hAnsi="宋体" w:cs="宋体"/>
                <w:sz w:val="22"/>
                <w:szCs w:val="22"/>
              </w:rPr>
            </w:pPr>
            <w:r>
              <w:rPr>
                <w:rFonts w:hint="eastAsia" w:ascii="宋体" w:hAnsi="宋体" w:cs="宋体"/>
                <w:sz w:val="22"/>
                <w:szCs w:val="22"/>
              </w:rPr>
              <w:t>课程内容</w:t>
            </w:r>
          </w:p>
        </w:tc>
        <w:tc>
          <w:tcPr>
            <w:tcW w:w="1014" w:type="dxa"/>
            <w:vAlign w:val="center"/>
          </w:tcPr>
          <w:p w14:paraId="2556A5BE">
            <w:pPr>
              <w:spacing w:line="320" w:lineRule="exact"/>
              <w:jc w:val="center"/>
              <w:rPr>
                <w:rFonts w:ascii="宋体" w:hAnsi="宋体" w:cs="宋体"/>
                <w:sz w:val="22"/>
                <w:szCs w:val="22"/>
              </w:rPr>
            </w:pPr>
            <w:r>
              <w:rPr>
                <w:rFonts w:hint="eastAsia" w:ascii="宋体" w:hAnsi="宋体" w:cs="宋体"/>
                <w:sz w:val="22"/>
                <w:szCs w:val="22"/>
              </w:rPr>
              <w:t>预计培训时长</w:t>
            </w:r>
          </w:p>
        </w:tc>
      </w:tr>
      <w:tr w14:paraId="7A611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871" w:type="dxa"/>
            <w:vMerge w:val="restart"/>
            <w:vAlign w:val="center"/>
          </w:tcPr>
          <w:p w14:paraId="5E79DFD5">
            <w:pPr>
              <w:spacing w:line="320" w:lineRule="exact"/>
              <w:jc w:val="center"/>
              <w:rPr>
                <w:rFonts w:ascii="宋体" w:hAnsi="宋体" w:cs="宋体"/>
                <w:sz w:val="22"/>
                <w:szCs w:val="22"/>
              </w:rPr>
            </w:pPr>
            <w:r>
              <w:rPr>
                <w:rFonts w:hint="eastAsia" w:ascii="宋体" w:hAnsi="宋体" w:cs="宋体"/>
                <w:sz w:val="22"/>
                <w:szCs w:val="22"/>
              </w:rPr>
              <w:t>1</w:t>
            </w:r>
          </w:p>
        </w:tc>
        <w:tc>
          <w:tcPr>
            <w:tcW w:w="1644" w:type="dxa"/>
            <w:vAlign w:val="center"/>
          </w:tcPr>
          <w:p w14:paraId="37DCB72D">
            <w:pPr>
              <w:spacing w:line="320" w:lineRule="exact"/>
              <w:jc w:val="left"/>
              <w:rPr>
                <w:rFonts w:ascii="宋体" w:hAnsi="宋体" w:cs="宋体"/>
                <w:sz w:val="22"/>
                <w:szCs w:val="22"/>
              </w:rPr>
            </w:pPr>
            <w:r>
              <w:rPr>
                <w:rFonts w:hint="eastAsia" w:ascii="宋体" w:hAnsi="宋体" w:cs="宋体"/>
                <w:sz w:val="22"/>
                <w:szCs w:val="22"/>
                <w:lang w:val="zh-CN"/>
              </w:rPr>
              <w:t>开班仪式</w:t>
            </w:r>
          </w:p>
        </w:tc>
        <w:tc>
          <w:tcPr>
            <w:tcW w:w="4950" w:type="dxa"/>
            <w:vAlign w:val="center"/>
          </w:tcPr>
          <w:p w14:paraId="1959AB38">
            <w:pPr>
              <w:spacing w:line="320" w:lineRule="exact"/>
              <w:jc w:val="left"/>
              <w:rPr>
                <w:rFonts w:ascii="宋体" w:hAnsi="宋体" w:cs="宋体"/>
                <w:sz w:val="22"/>
                <w:szCs w:val="22"/>
              </w:rPr>
            </w:pPr>
            <w:r>
              <w:rPr>
                <w:rFonts w:hint="eastAsia" w:ascii="宋体" w:hAnsi="宋体" w:cs="宋体"/>
                <w:sz w:val="22"/>
                <w:szCs w:val="22"/>
              </w:rPr>
              <w:t>领导致辞集体合影</w:t>
            </w:r>
          </w:p>
        </w:tc>
        <w:tc>
          <w:tcPr>
            <w:tcW w:w="1014" w:type="dxa"/>
            <w:vMerge w:val="restart"/>
            <w:vAlign w:val="center"/>
          </w:tcPr>
          <w:p w14:paraId="3B6F43E7">
            <w:pPr>
              <w:spacing w:line="320" w:lineRule="exact"/>
              <w:jc w:val="center"/>
              <w:rPr>
                <w:rFonts w:ascii="宋体" w:hAnsi="宋体" w:cs="宋体"/>
                <w:sz w:val="22"/>
                <w:szCs w:val="22"/>
              </w:rPr>
            </w:pPr>
            <w:r>
              <w:rPr>
                <w:rFonts w:hint="eastAsia" w:ascii="宋体" w:hAnsi="宋体" w:cs="宋体"/>
                <w:sz w:val="22"/>
                <w:szCs w:val="22"/>
                <w:lang w:val="zh-CN"/>
              </w:rPr>
              <w:t>0.5天</w:t>
            </w:r>
          </w:p>
        </w:tc>
      </w:tr>
      <w:tr w14:paraId="1D2C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vAlign w:val="center"/>
          </w:tcPr>
          <w:p w14:paraId="0C47626F">
            <w:pPr>
              <w:spacing w:line="320" w:lineRule="exact"/>
              <w:jc w:val="center"/>
              <w:rPr>
                <w:rFonts w:ascii="宋体" w:hAnsi="宋体" w:cs="宋体"/>
                <w:sz w:val="22"/>
                <w:szCs w:val="22"/>
                <w:lang w:val="zh-CN"/>
              </w:rPr>
            </w:pPr>
          </w:p>
        </w:tc>
        <w:tc>
          <w:tcPr>
            <w:tcW w:w="1644" w:type="dxa"/>
            <w:vAlign w:val="center"/>
          </w:tcPr>
          <w:p w14:paraId="0E7B6080">
            <w:pPr>
              <w:spacing w:line="320" w:lineRule="exact"/>
              <w:jc w:val="left"/>
              <w:rPr>
                <w:rFonts w:ascii="宋体" w:hAnsi="宋体" w:cs="宋体"/>
                <w:sz w:val="22"/>
                <w:szCs w:val="22"/>
              </w:rPr>
            </w:pPr>
            <w:r>
              <w:rPr>
                <w:rFonts w:hint="eastAsia" w:ascii="宋体" w:hAnsi="宋体" w:cs="宋体"/>
                <w:sz w:val="22"/>
                <w:szCs w:val="22"/>
                <w:shd w:val="clear" w:color="auto" w:fill="FFFFFF"/>
              </w:rPr>
              <w:t>理想对标·信念共融-学习共同体建设</w:t>
            </w:r>
          </w:p>
        </w:tc>
        <w:tc>
          <w:tcPr>
            <w:tcW w:w="4950" w:type="dxa"/>
            <w:vAlign w:val="center"/>
          </w:tcPr>
          <w:p w14:paraId="51A01DB0">
            <w:pPr>
              <w:spacing w:line="320" w:lineRule="exact"/>
              <w:jc w:val="left"/>
              <w:rPr>
                <w:rFonts w:ascii="宋体" w:hAnsi="宋体" w:cs="宋体"/>
                <w:sz w:val="22"/>
                <w:szCs w:val="22"/>
              </w:rPr>
            </w:pPr>
            <w:r>
              <w:rPr>
                <w:rFonts w:hint="eastAsia" w:ascii="宋体" w:hAnsi="宋体" w:cs="宋体"/>
                <w:sz w:val="22"/>
                <w:szCs w:val="22"/>
                <w:shd w:val="clear" w:color="auto" w:fill="FFFFFF"/>
              </w:rPr>
              <w:t>强化学员间的横向沟通，营造坦诚交流、互学互鉴的良好氛围。</w:t>
            </w:r>
          </w:p>
        </w:tc>
        <w:tc>
          <w:tcPr>
            <w:tcW w:w="1014" w:type="dxa"/>
            <w:vMerge w:val="continue"/>
            <w:vAlign w:val="center"/>
          </w:tcPr>
          <w:p w14:paraId="4539004E">
            <w:pPr>
              <w:spacing w:line="320" w:lineRule="exact"/>
              <w:jc w:val="center"/>
              <w:rPr>
                <w:rFonts w:ascii="宋体" w:hAnsi="宋体" w:cs="宋体"/>
                <w:sz w:val="22"/>
                <w:szCs w:val="22"/>
                <w:lang w:val="zh-CN"/>
              </w:rPr>
            </w:pPr>
          </w:p>
        </w:tc>
      </w:tr>
      <w:tr w14:paraId="6BB6A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48E3BE7F">
            <w:pPr>
              <w:spacing w:line="320" w:lineRule="exact"/>
              <w:jc w:val="center"/>
              <w:rPr>
                <w:rFonts w:ascii="宋体" w:hAnsi="宋体" w:cs="宋体"/>
                <w:sz w:val="22"/>
                <w:szCs w:val="22"/>
              </w:rPr>
            </w:pPr>
            <w:r>
              <w:rPr>
                <w:rFonts w:hint="eastAsia" w:ascii="宋体" w:hAnsi="宋体" w:cs="宋体"/>
                <w:sz w:val="22"/>
                <w:szCs w:val="22"/>
              </w:rPr>
              <w:t>2</w:t>
            </w:r>
          </w:p>
        </w:tc>
        <w:tc>
          <w:tcPr>
            <w:tcW w:w="1644" w:type="dxa"/>
            <w:vAlign w:val="center"/>
          </w:tcPr>
          <w:p w14:paraId="6C218034">
            <w:pPr>
              <w:spacing w:line="320" w:lineRule="exact"/>
              <w:jc w:val="left"/>
              <w:rPr>
                <w:rFonts w:ascii="宋体" w:hAnsi="宋体" w:cs="宋体"/>
                <w:sz w:val="22"/>
                <w:szCs w:val="22"/>
                <w:lang w:val="zh-CN"/>
              </w:rPr>
            </w:pPr>
            <w:r>
              <w:rPr>
                <w:rFonts w:hint="eastAsia" w:ascii="宋体" w:hAnsi="宋体" w:cs="宋体"/>
                <w:sz w:val="22"/>
                <w:szCs w:val="22"/>
                <w:shd w:val="clear" w:color="auto" w:fill="FFFFFF"/>
              </w:rPr>
              <w:t>国际国内宏观经济形势分析</w:t>
            </w:r>
          </w:p>
        </w:tc>
        <w:tc>
          <w:tcPr>
            <w:tcW w:w="4950" w:type="dxa"/>
            <w:vAlign w:val="center"/>
          </w:tcPr>
          <w:p w14:paraId="1AEF034B">
            <w:pPr>
              <w:spacing w:line="320" w:lineRule="exact"/>
              <w:jc w:val="left"/>
              <w:rPr>
                <w:rFonts w:ascii="宋体" w:hAnsi="宋体" w:cs="宋体"/>
                <w:sz w:val="22"/>
                <w:szCs w:val="22"/>
              </w:rPr>
            </w:pPr>
            <w:r>
              <w:rPr>
                <w:rFonts w:hint="eastAsia" w:ascii="宋体" w:hAnsi="宋体" w:cs="宋体"/>
                <w:sz w:val="22"/>
                <w:szCs w:val="22"/>
                <w:lang w:val="zh-CN"/>
              </w:rPr>
              <w:t>邀请经济学教授，分析国际国内经济发展形势</w:t>
            </w:r>
          </w:p>
        </w:tc>
        <w:tc>
          <w:tcPr>
            <w:tcW w:w="1014" w:type="dxa"/>
            <w:vAlign w:val="center"/>
          </w:tcPr>
          <w:p w14:paraId="7ECA26F3">
            <w:pPr>
              <w:spacing w:line="320" w:lineRule="exact"/>
              <w:jc w:val="center"/>
              <w:rPr>
                <w:rFonts w:ascii="宋体" w:hAnsi="宋体" w:cs="宋体"/>
                <w:sz w:val="22"/>
                <w:szCs w:val="22"/>
                <w:lang w:val="zh-CN"/>
              </w:rPr>
            </w:pPr>
            <w:r>
              <w:rPr>
                <w:rFonts w:hint="eastAsia" w:ascii="宋体" w:hAnsi="宋体" w:cs="宋体"/>
                <w:sz w:val="22"/>
                <w:szCs w:val="22"/>
                <w:lang w:val="zh-CN"/>
              </w:rPr>
              <w:t>0.5天</w:t>
            </w:r>
          </w:p>
        </w:tc>
      </w:tr>
      <w:tr w14:paraId="2A58E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475C6822">
            <w:pPr>
              <w:spacing w:line="320" w:lineRule="exact"/>
              <w:jc w:val="center"/>
              <w:rPr>
                <w:rFonts w:ascii="宋体" w:hAnsi="宋体" w:cs="宋体"/>
                <w:sz w:val="22"/>
                <w:szCs w:val="22"/>
              </w:rPr>
            </w:pPr>
            <w:r>
              <w:rPr>
                <w:rFonts w:hint="eastAsia" w:ascii="宋体" w:hAnsi="宋体" w:cs="宋体"/>
                <w:sz w:val="22"/>
                <w:szCs w:val="22"/>
              </w:rPr>
              <w:t>3</w:t>
            </w:r>
          </w:p>
        </w:tc>
        <w:tc>
          <w:tcPr>
            <w:tcW w:w="1644" w:type="dxa"/>
            <w:vAlign w:val="center"/>
          </w:tcPr>
          <w:p w14:paraId="4AD958F7">
            <w:pPr>
              <w:spacing w:line="320" w:lineRule="exact"/>
              <w:jc w:val="left"/>
              <w:rPr>
                <w:rFonts w:ascii="宋体" w:hAnsi="宋体" w:cs="宋体"/>
                <w:sz w:val="22"/>
                <w:szCs w:val="22"/>
                <w:lang w:val="zh-CN"/>
              </w:rPr>
            </w:pPr>
            <w:r>
              <w:rPr>
                <w:rFonts w:hint="eastAsia" w:ascii="宋体" w:hAnsi="宋体" w:cs="宋体"/>
                <w:sz w:val="22"/>
                <w:szCs w:val="22"/>
                <w:lang w:val="zh-CN"/>
              </w:rPr>
              <w:t>战略规划</w:t>
            </w:r>
          </w:p>
        </w:tc>
        <w:tc>
          <w:tcPr>
            <w:tcW w:w="4950" w:type="dxa"/>
            <w:vAlign w:val="center"/>
          </w:tcPr>
          <w:p w14:paraId="77D2E815">
            <w:pPr>
              <w:spacing w:line="320" w:lineRule="exact"/>
              <w:jc w:val="left"/>
              <w:rPr>
                <w:rFonts w:ascii="宋体" w:hAnsi="宋体" w:cs="宋体"/>
                <w:sz w:val="22"/>
                <w:szCs w:val="22"/>
              </w:rPr>
            </w:pPr>
            <w:r>
              <w:rPr>
                <w:rFonts w:hint="eastAsia" w:ascii="宋体" w:hAnsi="宋体" w:cs="宋体"/>
                <w:sz w:val="22"/>
                <w:szCs w:val="22"/>
              </w:rPr>
              <w:t>邀请管理学专家教授，讲解公司战略制定策略、实施路径，指导企业走创新发展路径。</w:t>
            </w:r>
          </w:p>
        </w:tc>
        <w:tc>
          <w:tcPr>
            <w:tcW w:w="1014" w:type="dxa"/>
            <w:vAlign w:val="center"/>
          </w:tcPr>
          <w:p w14:paraId="4337669C">
            <w:pPr>
              <w:spacing w:line="320" w:lineRule="exact"/>
              <w:jc w:val="center"/>
              <w:rPr>
                <w:rFonts w:ascii="宋体" w:hAnsi="宋体" w:cs="宋体"/>
                <w:sz w:val="22"/>
                <w:szCs w:val="22"/>
                <w:lang w:val="zh-CN"/>
              </w:rPr>
            </w:pPr>
            <w:r>
              <w:rPr>
                <w:rFonts w:hint="eastAsia" w:ascii="宋体" w:hAnsi="宋体" w:cs="宋体"/>
                <w:sz w:val="22"/>
                <w:szCs w:val="22"/>
                <w:lang w:val="zh-CN"/>
              </w:rPr>
              <w:t>0.5天</w:t>
            </w:r>
          </w:p>
        </w:tc>
      </w:tr>
      <w:tr w14:paraId="5439B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0613A73E">
            <w:pPr>
              <w:spacing w:line="320" w:lineRule="exact"/>
              <w:jc w:val="center"/>
              <w:rPr>
                <w:rFonts w:ascii="宋体" w:hAnsi="宋体" w:cs="宋体"/>
                <w:sz w:val="22"/>
                <w:szCs w:val="22"/>
              </w:rPr>
            </w:pPr>
            <w:r>
              <w:rPr>
                <w:rFonts w:hint="eastAsia" w:ascii="宋体" w:hAnsi="宋体" w:cs="宋体"/>
                <w:sz w:val="22"/>
                <w:szCs w:val="22"/>
              </w:rPr>
              <w:t>4</w:t>
            </w:r>
          </w:p>
        </w:tc>
        <w:tc>
          <w:tcPr>
            <w:tcW w:w="1644" w:type="dxa"/>
            <w:vAlign w:val="center"/>
          </w:tcPr>
          <w:p w14:paraId="2CDC4F0E">
            <w:pPr>
              <w:spacing w:line="320" w:lineRule="exact"/>
              <w:jc w:val="left"/>
              <w:rPr>
                <w:rFonts w:ascii="宋体" w:hAnsi="宋体" w:cs="宋体"/>
                <w:sz w:val="22"/>
                <w:szCs w:val="22"/>
              </w:rPr>
            </w:pPr>
            <w:r>
              <w:rPr>
                <w:rFonts w:hint="eastAsia" w:ascii="宋体" w:hAnsi="宋体" w:cs="宋体"/>
                <w:sz w:val="22"/>
                <w:szCs w:val="22"/>
              </w:rPr>
              <w:t>企业经营管理</w:t>
            </w:r>
          </w:p>
        </w:tc>
        <w:tc>
          <w:tcPr>
            <w:tcW w:w="4950" w:type="dxa"/>
            <w:vAlign w:val="center"/>
          </w:tcPr>
          <w:p w14:paraId="66224FCA">
            <w:pPr>
              <w:pStyle w:val="16"/>
              <w:spacing w:line="320" w:lineRule="exact"/>
              <w:ind w:firstLine="0"/>
              <w:rPr>
                <w:rFonts w:cs="宋体"/>
                <w:sz w:val="22"/>
                <w:szCs w:val="22"/>
              </w:rPr>
            </w:pPr>
            <w:r>
              <w:rPr>
                <w:rFonts w:hint="eastAsia" w:cs="宋体"/>
                <w:sz w:val="22"/>
                <w:szCs w:val="22"/>
              </w:rPr>
              <w:t>邀请管理学专家教授，结合产业发展形势，讲解企业经营管理策略，践行中国特色企业现代管理制度，通过经营创新实现长远发展。</w:t>
            </w:r>
          </w:p>
        </w:tc>
        <w:tc>
          <w:tcPr>
            <w:tcW w:w="1014" w:type="dxa"/>
            <w:vAlign w:val="center"/>
          </w:tcPr>
          <w:p w14:paraId="14D24103">
            <w:pPr>
              <w:spacing w:line="320" w:lineRule="exact"/>
              <w:jc w:val="center"/>
              <w:rPr>
                <w:rFonts w:ascii="宋体" w:hAnsi="宋体" w:cs="宋体"/>
                <w:sz w:val="22"/>
                <w:szCs w:val="22"/>
              </w:rPr>
            </w:pPr>
            <w:r>
              <w:rPr>
                <w:rFonts w:hint="eastAsia" w:ascii="宋体" w:hAnsi="宋体" w:cs="宋体"/>
                <w:sz w:val="22"/>
                <w:szCs w:val="22"/>
              </w:rPr>
              <w:t>0.5天</w:t>
            </w:r>
          </w:p>
        </w:tc>
      </w:tr>
      <w:tr w14:paraId="76D90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3519630A">
            <w:pPr>
              <w:spacing w:line="320" w:lineRule="exact"/>
              <w:jc w:val="center"/>
              <w:rPr>
                <w:rFonts w:ascii="宋体" w:hAnsi="宋体" w:cs="宋体"/>
                <w:sz w:val="22"/>
                <w:szCs w:val="22"/>
              </w:rPr>
            </w:pPr>
            <w:r>
              <w:rPr>
                <w:rFonts w:hint="eastAsia" w:ascii="宋体" w:hAnsi="宋体" w:cs="宋体"/>
                <w:sz w:val="22"/>
                <w:szCs w:val="22"/>
              </w:rPr>
              <w:t>5</w:t>
            </w:r>
          </w:p>
        </w:tc>
        <w:tc>
          <w:tcPr>
            <w:tcW w:w="1644" w:type="dxa"/>
            <w:vAlign w:val="center"/>
          </w:tcPr>
          <w:p w14:paraId="048949A3">
            <w:pPr>
              <w:spacing w:line="320" w:lineRule="exact"/>
              <w:jc w:val="left"/>
              <w:rPr>
                <w:rFonts w:ascii="宋体" w:hAnsi="宋体" w:cs="宋体"/>
                <w:sz w:val="22"/>
                <w:szCs w:val="22"/>
              </w:rPr>
            </w:pPr>
            <w:r>
              <w:rPr>
                <w:rFonts w:hint="eastAsia" w:ascii="宋体" w:hAnsi="宋体" w:cs="宋体"/>
                <w:sz w:val="22"/>
                <w:szCs w:val="22"/>
              </w:rPr>
              <w:t>科技前沿分析</w:t>
            </w:r>
          </w:p>
        </w:tc>
        <w:tc>
          <w:tcPr>
            <w:tcW w:w="4950" w:type="dxa"/>
            <w:vAlign w:val="center"/>
          </w:tcPr>
          <w:p w14:paraId="215A093C">
            <w:pPr>
              <w:spacing w:line="320" w:lineRule="exact"/>
              <w:jc w:val="left"/>
              <w:rPr>
                <w:rFonts w:ascii="宋体" w:hAnsi="宋体" w:cs="宋体"/>
                <w:sz w:val="22"/>
                <w:szCs w:val="22"/>
              </w:rPr>
            </w:pPr>
            <w:r>
              <w:rPr>
                <w:rFonts w:hint="eastAsia" w:ascii="宋体" w:hAnsi="宋体" w:cs="宋体"/>
                <w:sz w:val="22"/>
                <w:szCs w:val="22"/>
              </w:rPr>
              <w:t>邀请具备国际视野的专家教授，剖析科技前沿，分析未来产业发展。</w:t>
            </w:r>
          </w:p>
        </w:tc>
        <w:tc>
          <w:tcPr>
            <w:tcW w:w="1014" w:type="dxa"/>
            <w:vAlign w:val="center"/>
          </w:tcPr>
          <w:p w14:paraId="5FF933BD">
            <w:pPr>
              <w:spacing w:line="320" w:lineRule="exact"/>
              <w:jc w:val="center"/>
              <w:rPr>
                <w:rFonts w:ascii="宋体" w:hAnsi="宋体" w:cs="宋体"/>
                <w:sz w:val="22"/>
                <w:szCs w:val="22"/>
              </w:rPr>
            </w:pPr>
            <w:r>
              <w:rPr>
                <w:rFonts w:hint="eastAsia" w:ascii="宋体" w:hAnsi="宋体" w:cs="宋体"/>
                <w:sz w:val="22"/>
                <w:szCs w:val="22"/>
                <w:lang w:val="zh-CN"/>
              </w:rPr>
              <w:t>0.5天</w:t>
            </w:r>
          </w:p>
        </w:tc>
      </w:tr>
      <w:tr w14:paraId="21D9E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Align w:val="center"/>
          </w:tcPr>
          <w:p w14:paraId="06C00E14">
            <w:pPr>
              <w:spacing w:line="320" w:lineRule="exact"/>
              <w:jc w:val="center"/>
              <w:rPr>
                <w:rFonts w:ascii="宋体" w:hAnsi="宋体" w:cs="宋体"/>
                <w:sz w:val="22"/>
                <w:szCs w:val="22"/>
              </w:rPr>
            </w:pPr>
            <w:r>
              <w:rPr>
                <w:rFonts w:hint="eastAsia" w:ascii="宋体" w:hAnsi="宋体" w:cs="宋体"/>
                <w:sz w:val="22"/>
                <w:szCs w:val="22"/>
              </w:rPr>
              <w:t>6</w:t>
            </w:r>
          </w:p>
        </w:tc>
        <w:tc>
          <w:tcPr>
            <w:tcW w:w="1644" w:type="dxa"/>
            <w:vAlign w:val="center"/>
          </w:tcPr>
          <w:p w14:paraId="15782DE7">
            <w:pPr>
              <w:spacing w:line="320" w:lineRule="exact"/>
              <w:jc w:val="left"/>
              <w:rPr>
                <w:rFonts w:ascii="宋体" w:hAnsi="宋体" w:cs="宋体"/>
                <w:sz w:val="22"/>
                <w:szCs w:val="22"/>
              </w:rPr>
            </w:pPr>
            <w:r>
              <w:rPr>
                <w:rFonts w:hint="eastAsia" w:ascii="宋体" w:hAnsi="宋体" w:cs="宋体"/>
                <w:sz w:val="22"/>
                <w:szCs w:val="22"/>
              </w:rPr>
              <w:t>理想信念教育、现场教学</w:t>
            </w:r>
          </w:p>
        </w:tc>
        <w:tc>
          <w:tcPr>
            <w:tcW w:w="4950" w:type="dxa"/>
            <w:vAlign w:val="center"/>
          </w:tcPr>
          <w:p w14:paraId="2CA2ED42">
            <w:pPr>
              <w:spacing w:line="320" w:lineRule="exact"/>
              <w:jc w:val="left"/>
              <w:rPr>
                <w:rFonts w:ascii="宋体" w:hAnsi="宋体" w:cs="宋体"/>
                <w:sz w:val="22"/>
                <w:szCs w:val="22"/>
              </w:rPr>
            </w:pPr>
            <w:r>
              <w:rPr>
                <w:rFonts w:hint="eastAsia" w:ascii="宋体" w:hAnsi="宋体" w:cs="宋体"/>
                <w:sz w:val="22"/>
                <w:szCs w:val="22"/>
              </w:rPr>
              <w:t>结合教学地红色资源，安排1个理想信念教育点位，激发爱国情怀、汲取奋进力量。</w:t>
            </w:r>
          </w:p>
          <w:p w14:paraId="352BAD34">
            <w:pPr>
              <w:pStyle w:val="16"/>
              <w:spacing w:line="320" w:lineRule="exact"/>
              <w:ind w:firstLine="0"/>
              <w:rPr>
                <w:rFonts w:cs="宋体"/>
                <w:sz w:val="22"/>
                <w:szCs w:val="22"/>
              </w:rPr>
            </w:pPr>
            <w:r>
              <w:rPr>
                <w:rFonts w:hint="eastAsia" w:cs="宋体"/>
                <w:sz w:val="22"/>
                <w:szCs w:val="22"/>
              </w:rPr>
              <w:t>企业现场教学需安排教学地具有代表性的战略性新兴产业、先进产业的优秀企业4家。</w:t>
            </w:r>
          </w:p>
          <w:p w14:paraId="79AD86CF">
            <w:pPr>
              <w:pStyle w:val="16"/>
              <w:spacing w:line="320" w:lineRule="exact"/>
              <w:ind w:firstLine="0"/>
              <w:rPr>
                <w:rFonts w:cs="宋体"/>
                <w:sz w:val="22"/>
                <w:szCs w:val="22"/>
              </w:rPr>
            </w:pPr>
            <w:r>
              <w:rPr>
                <w:rFonts w:hint="eastAsia" w:cs="宋体"/>
                <w:sz w:val="22"/>
                <w:szCs w:val="22"/>
              </w:rPr>
              <w:t>可以不安排在一天内参访。</w:t>
            </w:r>
          </w:p>
        </w:tc>
        <w:tc>
          <w:tcPr>
            <w:tcW w:w="1014" w:type="dxa"/>
            <w:vAlign w:val="center"/>
          </w:tcPr>
          <w:p w14:paraId="4BB55BDC">
            <w:pPr>
              <w:spacing w:line="320" w:lineRule="exact"/>
              <w:jc w:val="center"/>
              <w:rPr>
                <w:rFonts w:ascii="宋体" w:hAnsi="宋体" w:cs="宋体"/>
                <w:sz w:val="22"/>
                <w:szCs w:val="22"/>
              </w:rPr>
            </w:pPr>
            <w:r>
              <w:rPr>
                <w:rFonts w:hint="eastAsia" w:ascii="宋体" w:hAnsi="宋体" w:cs="宋体"/>
                <w:sz w:val="22"/>
                <w:szCs w:val="22"/>
              </w:rPr>
              <w:t>1天</w:t>
            </w:r>
          </w:p>
        </w:tc>
      </w:tr>
      <w:tr w14:paraId="51B8C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restart"/>
            <w:vAlign w:val="center"/>
          </w:tcPr>
          <w:p w14:paraId="419FB8F5">
            <w:pPr>
              <w:spacing w:line="320" w:lineRule="exact"/>
              <w:jc w:val="center"/>
              <w:rPr>
                <w:rFonts w:ascii="宋体" w:hAnsi="宋体" w:cs="宋体"/>
                <w:sz w:val="22"/>
                <w:szCs w:val="22"/>
              </w:rPr>
            </w:pPr>
            <w:r>
              <w:rPr>
                <w:rFonts w:hint="eastAsia" w:ascii="宋体" w:hAnsi="宋体" w:cs="宋体"/>
                <w:sz w:val="22"/>
                <w:szCs w:val="22"/>
              </w:rPr>
              <w:t>备选课题</w:t>
            </w:r>
          </w:p>
        </w:tc>
        <w:tc>
          <w:tcPr>
            <w:tcW w:w="1644" w:type="dxa"/>
            <w:vAlign w:val="center"/>
          </w:tcPr>
          <w:p w14:paraId="5C752CD5">
            <w:pPr>
              <w:spacing w:line="320" w:lineRule="exact"/>
              <w:jc w:val="left"/>
              <w:rPr>
                <w:rFonts w:ascii="宋体" w:hAnsi="宋体" w:cs="宋体"/>
                <w:sz w:val="22"/>
                <w:szCs w:val="22"/>
              </w:rPr>
            </w:pPr>
            <w:r>
              <w:rPr>
                <w:rFonts w:hint="eastAsia" w:ascii="宋体" w:hAnsi="宋体" w:cs="宋体"/>
                <w:sz w:val="22"/>
                <w:szCs w:val="22"/>
                <w:lang w:val="zh-CN"/>
              </w:rPr>
              <w:t>人力资源管理</w:t>
            </w:r>
          </w:p>
        </w:tc>
        <w:tc>
          <w:tcPr>
            <w:tcW w:w="4950" w:type="dxa"/>
            <w:vAlign w:val="center"/>
          </w:tcPr>
          <w:p w14:paraId="0014E77B">
            <w:pPr>
              <w:spacing w:line="320" w:lineRule="exact"/>
              <w:jc w:val="left"/>
              <w:rPr>
                <w:rFonts w:ascii="宋体" w:hAnsi="宋体" w:cs="宋体"/>
                <w:sz w:val="22"/>
                <w:szCs w:val="22"/>
              </w:rPr>
            </w:pPr>
            <w:r>
              <w:rPr>
                <w:rFonts w:hint="eastAsia" w:ascii="宋体" w:hAnsi="宋体" w:cs="宋体"/>
                <w:sz w:val="22"/>
                <w:szCs w:val="22"/>
                <w:lang w:val="zh-CN"/>
              </w:rPr>
              <w:t>如何成为一个卓越的领导者，如何识人用人以提升领导力。</w:t>
            </w:r>
          </w:p>
        </w:tc>
        <w:tc>
          <w:tcPr>
            <w:tcW w:w="1014" w:type="dxa"/>
            <w:vAlign w:val="center"/>
          </w:tcPr>
          <w:p w14:paraId="0CA8F575">
            <w:pPr>
              <w:spacing w:line="320" w:lineRule="exact"/>
              <w:jc w:val="center"/>
              <w:rPr>
                <w:rFonts w:ascii="宋体" w:hAnsi="宋体" w:cs="宋体"/>
                <w:sz w:val="22"/>
                <w:szCs w:val="22"/>
              </w:rPr>
            </w:pPr>
            <w:r>
              <w:rPr>
                <w:rFonts w:hint="eastAsia" w:ascii="宋体" w:hAnsi="宋体" w:cs="宋体"/>
                <w:sz w:val="22"/>
                <w:szCs w:val="22"/>
                <w:lang w:val="zh-CN"/>
              </w:rPr>
              <w:t>1天</w:t>
            </w:r>
          </w:p>
        </w:tc>
      </w:tr>
      <w:tr w14:paraId="4BBBF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vMerge w:val="continue"/>
            <w:vAlign w:val="center"/>
          </w:tcPr>
          <w:p w14:paraId="2D87AB58">
            <w:pPr>
              <w:spacing w:line="320" w:lineRule="exact"/>
              <w:jc w:val="center"/>
              <w:rPr>
                <w:rFonts w:ascii="宋体" w:hAnsi="宋体" w:cs="宋体"/>
                <w:sz w:val="22"/>
                <w:szCs w:val="22"/>
              </w:rPr>
            </w:pPr>
          </w:p>
        </w:tc>
        <w:tc>
          <w:tcPr>
            <w:tcW w:w="1644" w:type="dxa"/>
            <w:vAlign w:val="center"/>
          </w:tcPr>
          <w:p w14:paraId="05206FF6">
            <w:pPr>
              <w:spacing w:line="320" w:lineRule="exact"/>
              <w:jc w:val="left"/>
              <w:rPr>
                <w:rFonts w:ascii="宋体" w:hAnsi="宋体" w:cs="宋体"/>
                <w:sz w:val="22"/>
                <w:szCs w:val="22"/>
              </w:rPr>
            </w:pPr>
            <w:r>
              <w:rPr>
                <w:rFonts w:hint="eastAsia" w:ascii="宋体" w:hAnsi="宋体" w:cs="宋体"/>
                <w:sz w:val="22"/>
                <w:szCs w:val="22"/>
                <w:lang w:val="zh-CN"/>
              </w:rPr>
              <w:t>战略思维</w:t>
            </w:r>
          </w:p>
        </w:tc>
        <w:tc>
          <w:tcPr>
            <w:tcW w:w="4950" w:type="dxa"/>
            <w:vAlign w:val="center"/>
          </w:tcPr>
          <w:p w14:paraId="001C0874">
            <w:pPr>
              <w:spacing w:line="320" w:lineRule="exact"/>
              <w:jc w:val="left"/>
              <w:rPr>
                <w:rFonts w:ascii="宋体" w:hAnsi="宋体" w:cs="宋体"/>
                <w:sz w:val="22"/>
                <w:szCs w:val="22"/>
              </w:rPr>
            </w:pPr>
            <w:r>
              <w:rPr>
                <w:rFonts w:hint="eastAsia" w:ascii="宋体" w:hAnsi="宋体" w:cs="宋体"/>
                <w:sz w:val="22"/>
                <w:szCs w:val="22"/>
              </w:rPr>
              <w:t>掌握制定企业战略的基本理论、分析工具和基本过程，提高思维的清晰性、完整性和动态性。</w:t>
            </w:r>
          </w:p>
        </w:tc>
        <w:tc>
          <w:tcPr>
            <w:tcW w:w="1014" w:type="dxa"/>
            <w:vAlign w:val="center"/>
          </w:tcPr>
          <w:p w14:paraId="62F5D340">
            <w:pPr>
              <w:spacing w:line="320" w:lineRule="exact"/>
              <w:jc w:val="center"/>
              <w:rPr>
                <w:rFonts w:ascii="宋体" w:hAnsi="宋体" w:cs="宋体"/>
                <w:sz w:val="22"/>
                <w:szCs w:val="22"/>
              </w:rPr>
            </w:pPr>
            <w:r>
              <w:rPr>
                <w:rFonts w:hint="eastAsia" w:ascii="宋体" w:hAnsi="宋体" w:cs="宋体"/>
                <w:sz w:val="22"/>
                <w:szCs w:val="22"/>
                <w:lang w:val="zh-CN"/>
              </w:rPr>
              <w:t>1天</w:t>
            </w:r>
          </w:p>
        </w:tc>
      </w:tr>
    </w:tbl>
    <w:p w14:paraId="2A5C6AA3">
      <w:pPr>
        <w:spacing w:line="360" w:lineRule="auto"/>
        <w:ind w:firstLine="420"/>
        <w:jc w:val="left"/>
        <w:rPr>
          <w:rFonts w:ascii="宋体" w:hAnsi="宋体" w:cs="宋体"/>
          <w:sz w:val="22"/>
          <w:szCs w:val="22"/>
        </w:rPr>
      </w:pPr>
      <w:r>
        <w:rPr>
          <w:rFonts w:hint="eastAsia" w:ascii="宋体" w:hAnsi="宋体" w:cs="宋体"/>
          <w:sz w:val="22"/>
          <w:szCs w:val="22"/>
        </w:rPr>
        <w:t>（2）项目培训对象：苏州市优秀新一代企业家50人左右。</w:t>
      </w:r>
    </w:p>
    <w:p w14:paraId="3476C7BD">
      <w:pPr>
        <w:spacing w:line="360" w:lineRule="auto"/>
        <w:ind w:firstLine="420"/>
        <w:jc w:val="left"/>
        <w:rPr>
          <w:rFonts w:ascii="宋体" w:hAnsi="宋体" w:cs="宋体"/>
          <w:sz w:val="22"/>
          <w:szCs w:val="22"/>
        </w:rPr>
      </w:pPr>
      <w:r>
        <w:rPr>
          <w:rFonts w:hint="eastAsia" w:ascii="宋体" w:hAnsi="宋体" w:cs="宋体"/>
          <w:sz w:val="22"/>
          <w:szCs w:val="22"/>
        </w:rPr>
        <w:t>（3）培训课时：28课时（8课时为一天，4课时为半天，总共3.5天）。</w:t>
      </w:r>
    </w:p>
    <w:p w14:paraId="632A8767">
      <w:pPr>
        <w:spacing w:line="360" w:lineRule="auto"/>
        <w:ind w:firstLine="420"/>
        <w:jc w:val="left"/>
        <w:rPr>
          <w:rFonts w:ascii="宋体" w:hAnsi="宋体" w:cs="宋体"/>
          <w:sz w:val="22"/>
          <w:szCs w:val="22"/>
        </w:rPr>
      </w:pPr>
      <w:r>
        <w:rPr>
          <w:rFonts w:hint="eastAsia" w:ascii="宋体" w:hAnsi="宋体" w:cs="宋体"/>
          <w:sz w:val="22"/>
          <w:szCs w:val="22"/>
        </w:rPr>
        <w:t>（4）师资要求：教授及以上。</w:t>
      </w:r>
    </w:p>
    <w:p w14:paraId="4C624C90">
      <w:pPr>
        <w:spacing w:line="360" w:lineRule="auto"/>
        <w:ind w:firstLine="420"/>
        <w:jc w:val="left"/>
        <w:rPr>
          <w:rFonts w:ascii="宋体" w:hAnsi="宋体" w:cs="宋体"/>
          <w:sz w:val="22"/>
          <w:szCs w:val="22"/>
        </w:rPr>
      </w:pPr>
      <w:r>
        <w:rPr>
          <w:rFonts w:hint="eastAsia" w:ascii="宋体" w:hAnsi="宋体" w:cs="宋体"/>
          <w:sz w:val="22"/>
          <w:szCs w:val="22"/>
        </w:rPr>
        <w:t>（5）场地要求：授课用的场地（≥55人）、设备（包括但不限于：显示大屏、电脑、话筒、书写白板、音频连接等）相关费用由乙方承担。</w:t>
      </w:r>
    </w:p>
    <w:p w14:paraId="5F9C5023">
      <w:pPr>
        <w:spacing w:line="360" w:lineRule="auto"/>
        <w:ind w:firstLine="420"/>
        <w:jc w:val="left"/>
        <w:rPr>
          <w:rFonts w:ascii="宋体" w:hAnsi="宋体" w:cs="宋体"/>
          <w:sz w:val="22"/>
          <w:szCs w:val="22"/>
        </w:rPr>
      </w:pPr>
      <w:r>
        <w:rPr>
          <w:rFonts w:hint="eastAsia" w:ascii="宋体" w:hAnsi="宋体" w:cs="宋体"/>
          <w:sz w:val="22"/>
          <w:szCs w:val="22"/>
        </w:rPr>
        <w:t>（6）食宿要求：需协助安排适合的酒店住宿，协调安排午餐和晚餐工作餐的用餐点。本合同不包含住宿和工作餐费用。</w:t>
      </w:r>
    </w:p>
    <w:p w14:paraId="7EB24785">
      <w:pPr>
        <w:numPr>
          <w:ilvl w:val="1"/>
          <w:numId w:val="1"/>
        </w:numPr>
        <w:tabs>
          <w:tab w:val="left" w:pos="567"/>
        </w:tabs>
        <w:spacing w:line="360" w:lineRule="auto"/>
        <w:rPr>
          <w:rFonts w:ascii="宋体" w:hAnsi="宋体" w:cs="宋体"/>
          <w:sz w:val="22"/>
          <w:szCs w:val="28"/>
        </w:rPr>
      </w:pPr>
      <w:r>
        <w:rPr>
          <w:rFonts w:hint="eastAsia" w:ascii="宋体" w:hAnsi="宋体" w:cs="宋体"/>
          <w:sz w:val="22"/>
          <w:szCs w:val="22"/>
        </w:rPr>
        <w:t>合同履行期限：</w:t>
      </w:r>
    </w:p>
    <w:p w14:paraId="2DD82D5E">
      <w:pPr>
        <w:spacing w:line="360" w:lineRule="auto"/>
        <w:ind w:firstLine="420"/>
        <w:rPr>
          <w:rFonts w:ascii="宋体" w:hAnsi="宋体" w:cs="宋体"/>
          <w:sz w:val="22"/>
          <w:szCs w:val="28"/>
        </w:rPr>
      </w:pPr>
      <w:r>
        <w:rPr>
          <w:rFonts w:hint="eastAsia" w:ascii="宋体" w:hAnsi="宋体" w:cs="宋体"/>
          <w:sz w:val="22"/>
          <w:szCs w:val="28"/>
        </w:rPr>
        <w:t>自合同签订之日起至2026年12月31日前完成，具体时间以甲方要求为准。</w:t>
      </w:r>
    </w:p>
    <w:p w14:paraId="3BFA7469">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合同价格支付</w:t>
      </w:r>
    </w:p>
    <w:p w14:paraId="3E209BDE">
      <w:pPr>
        <w:numPr>
          <w:ilvl w:val="1"/>
          <w:numId w:val="1"/>
        </w:numPr>
        <w:tabs>
          <w:tab w:val="left" w:pos="567"/>
        </w:tabs>
        <w:spacing w:line="400" w:lineRule="exact"/>
        <w:rPr>
          <w:rFonts w:ascii="宋体" w:hAnsi="宋体" w:cs="宋体"/>
          <w:sz w:val="22"/>
          <w:szCs w:val="22"/>
        </w:rPr>
      </w:pPr>
      <w:r>
        <w:rPr>
          <w:rFonts w:hint="eastAsia" w:ascii="宋体" w:hAnsi="宋体" w:cs="宋体"/>
          <w:sz w:val="22"/>
          <w:szCs w:val="22"/>
        </w:rPr>
        <w:t>支付步骤：</w:t>
      </w:r>
    </w:p>
    <w:p w14:paraId="366213EC">
      <w:pPr>
        <w:spacing w:line="360" w:lineRule="auto"/>
        <w:ind w:firstLine="420"/>
        <w:jc w:val="left"/>
        <w:rPr>
          <w:rFonts w:ascii="宋体" w:hAnsi="宋体" w:cs="宋体"/>
          <w:sz w:val="22"/>
          <w:szCs w:val="28"/>
        </w:rPr>
      </w:pPr>
      <w:r>
        <w:rPr>
          <w:rFonts w:hint="eastAsia" w:ascii="宋体" w:hAnsi="宋体" w:cs="宋体"/>
          <w:sz w:val="22"/>
          <w:szCs w:val="22"/>
        </w:rPr>
        <w:t>本项目合同签订后30个工作日内支付30%合同款作为预付款，在培训结束经甲方确认无误并收到相应发票后30个工作日内结算支付合同金额的70%款项。</w:t>
      </w:r>
    </w:p>
    <w:p w14:paraId="753B4E3F">
      <w:pPr>
        <w:numPr>
          <w:ilvl w:val="1"/>
          <w:numId w:val="1"/>
        </w:numPr>
        <w:tabs>
          <w:tab w:val="left" w:pos="567"/>
        </w:tabs>
        <w:spacing w:line="400" w:lineRule="exact"/>
        <w:rPr>
          <w:rFonts w:ascii="宋体" w:hAnsi="宋体" w:cs="宋体"/>
          <w:sz w:val="22"/>
          <w:szCs w:val="22"/>
        </w:rPr>
      </w:pPr>
      <w:r>
        <w:rPr>
          <w:rFonts w:hint="eastAsia" w:ascii="宋体" w:hAnsi="宋体" w:cs="宋体"/>
          <w:sz w:val="22"/>
          <w:szCs w:val="22"/>
        </w:rPr>
        <w:t>乙方要求付款应提供以下资料：</w:t>
      </w:r>
    </w:p>
    <w:p w14:paraId="22AB2780">
      <w:pPr>
        <w:tabs>
          <w:tab w:val="left" w:pos="567"/>
        </w:tabs>
        <w:spacing w:line="400" w:lineRule="exact"/>
        <w:ind w:left="567"/>
        <w:rPr>
          <w:rFonts w:ascii="宋体" w:hAnsi="宋体" w:cs="宋体"/>
          <w:sz w:val="22"/>
          <w:szCs w:val="22"/>
        </w:rPr>
      </w:pPr>
      <w:r>
        <w:rPr>
          <w:rFonts w:hint="eastAsia" w:ascii="宋体" w:hAnsi="宋体" w:cs="宋体"/>
          <w:sz w:val="22"/>
          <w:szCs w:val="22"/>
        </w:rPr>
        <w:t>（1）开班备案材料；（2）学员签到材料；（3）</w:t>
      </w:r>
      <w:r>
        <w:rPr>
          <w:rFonts w:hint="eastAsia" w:ascii="宋体" w:hAnsi="宋体" w:cs="宋体"/>
          <w:spacing w:val="-3"/>
          <w:sz w:val="22"/>
          <w:szCs w:val="22"/>
        </w:rPr>
        <w:t>结业评估</w:t>
      </w:r>
      <w:r>
        <w:rPr>
          <w:rFonts w:hint="eastAsia" w:ascii="宋体" w:hAnsi="宋体" w:cs="宋体"/>
          <w:sz w:val="22"/>
          <w:szCs w:val="22"/>
        </w:rPr>
        <w:t>材料；（4）课程培训资料一套；（5）其他有关材料。</w:t>
      </w:r>
    </w:p>
    <w:p w14:paraId="23FAF98B">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支付方式：1）银行转账；2）数字人民币支付。</w:t>
      </w:r>
    </w:p>
    <w:p w14:paraId="1C98965A">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乙方账户信息：</w:t>
      </w:r>
    </w:p>
    <w:p w14:paraId="1A990C49">
      <w:pPr>
        <w:numPr>
          <w:ilvl w:val="255"/>
          <w:numId w:val="0"/>
        </w:numPr>
        <w:tabs>
          <w:tab w:val="left" w:pos="567"/>
        </w:tabs>
        <w:spacing w:line="400" w:lineRule="exact"/>
        <w:ind w:firstLine="630"/>
        <w:rPr>
          <w:rFonts w:ascii="宋体" w:hAnsi="宋体" w:cs="宋体"/>
          <w:sz w:val="22"/>
          <w:szCs w:val="22"/>
        </w:rPr>
      </w:pPr>
      <w:r>
        <w:rPr>
          <w:rFonts w:hint="eastAsia" w:ascii="宋体" w:hAnsi="宋体" w:cs="宋体"/>
          <w:sz w:val="22"/>
          <w:szCs w:val="22"/>
        </w:rPr>
        <w:t>户名：清华大学</w:t>
      </w:r>
    </w:p>
    <w:p w14:paraId="7232912C">
      <w:pPr>
        <w:numPr>
          <w:ilvl w:val="255"/>
          <w:numId w:val="0"/>
        </w:numPr>
        <w:tabs>
          <w:tab w:val="left" w:pos="567"/>
        </w:tabs>
        <w:spacing w:line="400" w:lineRule="exact"/>
        <w:ind w:firstLine="630"/>
        <w:rPr>
          <w:rFonts w:ascii="宋体" w:hAnsi="宋体" w:cs="宋体"/>
          <w:sz w:val="22"/>
          <w:szCs w:val="22"/>
        </w:rPr>
      </w:pPr>
      <w:r>
        <w:rPr>
          <w:rFonts w:hint="eastAsia" w:ascii="宋体" w:hAnsi="宋体" w:cs="宋体"/>
          <w:sz w:val="22"/>
          <w:szCs w:val="22"/>
        </w:rPr>
        <w:t>收款账号：0200004509089131550</w:t>
      </w:r>
    </w:p>
    <w:p w14:paraId="32145A79">
      <w:pPr>
        <w:numPr>
          <w:ilvl w:val="255"/>
          <w:numId w:val="0"/>
        </w:numPr>
        <w:tabs>
          <w:tab w:val="left" w:pos="567"/>
        </w:tabs>
        <w:spacing w:line="400" w:lineRule="exact"/>
        <w:ind w:firstLine="630"/>
        <w:rPr>
          <w:rFonts w:ascii="宋体" w:hAnsi="宋体" w:cs="宋体"/>
          <w:sz w:val="22"/>
          <w:szCs w:val="22"/>
        </w:rPr>
      </w:pPr>
      <w:r>
        <w:rPr>
          <w:rFonts w:hint="eastAsia" w:ascii="宋体" w:hAnsi="宋体" w:cs="宋体"/>
          <w:sz w:val="22"/>
          <w:szCs w:val="22"/>
        </w:rPr>
        <w:t>开户行：工行北京分行海淀区西区支行</w:t>
      </w:r>
    </w:p>
    <w:p w14:paraId="2CCA8F6A">
      <w:pPr>
        <w:tabs>
          <w:tab w:val="left" w:pos="567"/>
        </w:tabs>
        <w:spacing w:line="400" w:lineRule="exact"/>
        <w:ind w:firstLine="630"/>
        <w:rPr>
          <w:rFonts w:ascii="宋体" w:hAnsi="宋体" w:cs="宋体"/>
          <w:sz w:val="22"/>
          <w:szCs w:val="22"/>
        </w:rPr>
      </w:pPr>
      <w:r>
        <w:rPr>
          <w:rFonts w:hint="eastAsia" w:ascii="宋体" w:hAnsi="宋体" w:cs="宋体"/>
          <w:sz w:val="22"/>
          <w:szCs w:val="22"/>
        </w:rPr>
        <w:t>数字钱包ID：/</w:t>
      </w:r>
    </w:p>
    <w:p w14:paraId="25FA9158">
      <w:pPr>
        <w:tabs>
          <w:tab w:val="left" w:pos="567"/>
        </w:tabs>
        <w:spacing w:line="400" w:lineRule="exact"/>
        <w:ind w:firstLine="630"/>
        <w:rPr>
          <w:rFonts w:ascii="宋体" w:hAnsi="宋体" w:cs="宋体"/>
          <w:sz w:val="22"/>
          <w:szCs w:val="22"/>
          <w:u w:val="single"/>
        </w:rPr>
      </w:pPr>
      <w:r>
        <w:rPr>
          <w:rFonts w:hint="eastAsia" w:ascii="宋体" w:hAnsi="宋体" w:cs="宋体"/>
          <w:sz w:val="22"/>
          <w:szCs w:val="22"/>
        </w:rPr>
        <w:t>附言/用途：</w:t>
      </w:r>
      <w:r>
        <w:rPr>
          <w:rFonts w:hint="eastAsia" w:ascii="宋体" w:hAnsi="宋体" w:cs="宋体"/>
          <w:sz w:val="22"/>
          <w:szCs w:val="22"/>
          <w:u w:val="single"/>
        </w:rPr>
        <w:t>立项号：2690810004</w:t>
      </w:r>
    </w:p>
    <w:p w14:paraId="55F615B0">
      <w:pPr>
        <w:tabs>
          <w:tab w:val="left" w:pos="567"/>
        </w:tabs>
        <w:spacing w:line="400" w:lineRule="exact"/>
        <w:ind w:firstLine="630"/>
        <w:rPr>
          <w:rFonts w:ascii="宋体" w:hAnsi="宋体" w:cs="宋体"/>
          <w:sz w:val="22"/>
          <w:szCs w:val="22"/>
        </w:rPr>
      </w:pPr>
      <w:r>
        <w:rPr>
          <w:rFonts w:hint="eastAsia" w:ascii="宋体" w:hAnsi="宋体" w:cs="宋体"/>
          <w:sz w:val="22"/>
          <w:szCs w:val="22"/>
        </w:rPr>
        <w:t xml:space="preserve">           2026年苏州市新一代民营企业家培养“新领航”计划培训班</w:t>
      </w:r>
    </w:p>
    <w:p w14:paraId="0ACC0BE2">
      <w:pPr>
        <w:numPr>
          <w:ilvl w:val="1"/>
          <w:numId w:val="1"/>
        </w:numPr>
        <w:tabs>
          <w:tab w:val="left" w:pos="540"/>
          <w:tab w:val="left" w:pos="567"/>
        </w:tabs>
        <w:spacing w:line="400" w:lineRule="exact"/>
        <w:rPr>
          <w:rFonts w:ascii="宋体" w:hAnsi="宋体" w:cs="宋体"/>
          <w:sz w:val="22"/>
          <w:szCs w:val="22"/>
        </w:rPr>
      </w:pPr>
      <w:r>
        <w:rPr>
          <w:rFonts w:ascii="宋体" w:hAnsi="宋体" w:cs="宋体"/>
          <w:sz w:val="22"/>
          <w:szCs w:val="22"/>
        </w:rPr>
        <w:t>若由于乙方未能及时开具符合甲方要求的发票、提供的账户有误等可归结于乙方的原因，</w:t>
      </w:r>
      <w:r>
        <w:rPr>
          <w:rFonts w:hint="eastAsia" w:ascii="宋体" w:hAnsi="宋体" w:cs="宋体"/>
          <w:sz w:val="22"/>
          <w:szCs w:val="22"/>
        </w:rPr>
        <w:t>甲方有权拒绝支付相应款项，</w:t>
      </w:r>
      <w:r>
        <w:rPr>
          <w:rFonts w:ascii="宋体" w:hAnsi="宋体" w:cs="宋体"/>
          <w:sz w:val="22"/>
          <w:szCs w:val="22"/>
        </w:rPr>
        <w:t>导致甲方逾期付款的，甲方不承担任何逾期付款的责任，并且甲方有权顺延付款期限，直至乙方消除前述障碍为止</w:t>
      </w:r>
      <w:r>
        <w:rPr>
          <w:rFonts w:hint="eastAsia" w:ascii="宋体" w:hAnsi="宋体" w:cs="宋体"/>
          <w:sz w:val="22"/>
          <w:szCs w:val="22"/>
        </w:rPr>
        <w:t>。</w:t>
      </w:r>
    </w:p>
    <w:p w14:paraId="0A9C1D89">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乙方知悉甲方资金的属性，如由于甲方财政资金拨付不到位等财政方面的原因导致甲方付款逾期的，则乙方同意不视为甲方违约，不追究甲方的违约责任，且不得以此为由拒绝履行本合同项下的义务。</w:t>
      </w:r>
    </w:p>
    <w:p w14:paraId="7B429766">
      <w:pPr>
        <w:pStyle w:val="14"/>
        <w:numPr>
          <w:ilvl w:val="0"/>
          <w:numId w:val="1"/>
        </w:numPr>
        <w:spacing w:line="360" w:lineRule="auto"/>
        <w:jc w:val="left"/>
        <w:rPr>
          <w:rFonts w:ascii="宋体" w:hAnsi="宋体" w:cs="宋体"/>
          <w:b/>
          <w:sz w:val="22"/>
          <w:szCs w:val="22"/>
        </w:rPr>
      </w:pPr>
      <w:r>
        <w:rPr>
          <w:rFonts w:hint="eastAsia" w:ascii="宋体" w:hAnsi="宋体" w:cs="宋体"/>
          <w:b/>
          <w:sz w:val="22"/>
          <w:szCs w:val="22"/>
        </w:rPr>
        <w:t>项目实施方案、人员配备情况、培训方案等：按采购文件及乙方响应文件中作出的承诺执行。</w:t>
      </w:r>
    </w:p>
    <w:p w14:paraId="1CE12688">
      <w:pPr>
        <w:pStyle w:val="14"/>
        <w:numPr>
          <w:ilvl w:val="0"/>
          <w:numId w:val="1"/>
        </w:numPr>
        <w:spacing w:line="360" w:lineRule="auto"/>
        <w:jc w:val="left"/>
        <w:rPr>
          <w:rFonts w:ascii="宋体" w:hAnsi="宋体" w:cs="宋体"/>
          <w:b/>
          <w:sz w:val="22"/>
          <w:szCs w:val="22"/>
        </w:rPr>
      </w:pPr>
      <w:r>
        <w:rPr>
          <w:rFonts w:hint="eastAsia" w:ascii="宋体" w:hAnsi="宋体" w:cs="宋体"/>
          <w:b/>
          <w:sz w:val="22"/>
          <w:szCs w:val="22"/>
        </w:rPr>
        <w:t>培训机构培训质量的要求：</w:t>
      </w:r>
    </w:p>
    <w:p w14:paraId="3D2EE9BC">
      <w:pPr>
        <w:pStyle w:val="14"/>
        <w:spacing w:line="360" w:lineRule="auto"/>
        <w:ind w:left="567" w:firstLine="0"/>
        <w:jc w:val="left"/>
        <w:rPr>
          <w:rFonts w:ascii="宋体" w:hAnsi="宋体" w:cs="宋体"/>
          <w:sz w:val="22"/>
          <w:szCs w:val="22"/>
        </w:rPr>
      </w:pPr>
      <w:r>
        <w:rPr>
          <w:rFonts w:hint="eastAsia" w:ascii="宋体" w:hAnsi="宋体" w:cs="宋体"/>
          <w:sz w:val="22"/>
          <w:szCs w:val="22"/>
        </w:rPr>
        <w:t>乙方应严格按照标书的有关规定提供合格培训。对未按规定培训、考核的，经检查不合格的，甲方有权自行决定视具体情况直接从应向乙方支付的费用中按比例扣除。</w:t>
      </w:r>
    </w:p>
    <w:p w14:paraId="221807BB">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甲方的权利和义务</w:t>
      </w:r>
    </w:p>
    <w:p w14:paraId="27E1A9F3">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组织有关方面对乙方的培训质量进行全程督导和评估，如不符合要求则有权取消其培训资格。</w:t>
      </w:r>
    </w:p>
    <w:p w14:paraId="309E862D">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负责选派学员并组织学员按照合同规定时间报到入学。若有变动，需至少在开班前10个工作日通知乙方。</w:t>
      </w:r>
    </w:p>
    <w:p w14:paraId="20883F9B">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每期课程指定专门人员带队和跟班，配合乙方做好学员学习期间的教学管理工作，约束学员遵守乙方培训机构的校纪校规。负责授课时间以外的学员管理和安全工作。</w:t>
      </w:r>
    </w:p>
    <w:p w14:paraId="62E8579D">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尊重乙方知识产权，未经乙方及授课教师书面许可，甲方及学员不得对教学内容进行录音、录像；未经乙方同意，不得对乙方提供的讲义及其他未公开出版的教学资料进行复制或传播。</w:t>
      </w:r>
    </w:p>
    <w:p w14:paraId="679B62D0">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按照规定的时间向乙方支付培训费用。</w:t>
      </w:r>
    </w:p>
    <w:p w14:paraId="04377D2F">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乙方的权利和义务</w:t>
      </w:r>
    </w:p>
    <w:p w14:paraId="43EE903F">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按照中标内容，在服务范围内开展培训。</w:t>
      </w:r>
    </w:p>
    <w:p w14:paraId="364D65C8">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参照国家职业标准的要求和规定的课时制定培训计划，组织学员培训，确保培训质量。</w:t>
      </w:r>
    </w:p>
    <w:p w14:paraId="6EE4CB0C">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建立学员考勤制度并做好考勤，确保学员的出勤率达90%以上。</w:t>
      </w:r>
    </w:p>
    <w:p w14:paraId="71756988">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接受和配合政府有关部门的督导检查。</w:t>
      </w:r>
    </w:p>
    <w:p w14:paraId="0E869918">
      <w:pPr>
        <w:numPr>
          <w:ilvl w:val="1"/>
          <w:numId w:val="1"/>
        </w:numPr>
        <w:tabs>
          <w:tab w:val="left" w:pos="567"/>
        </w:tabs>
        <w:spacing w:line="400" w:lineRule="exact"/>
        <w:rPr>
          <w:rFonts w:ascii="宋体" w:hAnsi="宋体" w:cs="宋体"/>
          <w:bCs/>
          <w:sz w:val="22"/>
          <w:szCs w:val="22"/>
        </w:rPr>
      </w:pPr>
      <w:r>
        <w:rPr>
          <w:rFonts w:ascii="宋体" w:hAnsi="宋体" w:cs="宋体"/>
          <w:bCs/>
          <w:sz w:val="22"/>
          <w:szCs w:val="22"/>
        </w:rPr>
        <w:t>培训期间，如因乙方原因导致学员在教学及参观活动中发生安全事故，相关责任及后果由乙方承担。乙方应为每位学员购买人身意外伤害保险，每人的保险金额不低于人民币三十万元</w:t>
      </w:r>
      <w:r>
        <w:rPr>
          <w:rFonts w:hint="eastAsia" w:ascii="宋体" w:hAnsi="宋体" w:cs="宋体"/>
          <w:bCs/>
          <w:sz w:val="22"/>
          <w:szCs w:val="22"/>
        </w:rPr>
        <w:t>。</w:t>
      </w:r>
    </w:p>
    <w:p w14:paraId="1DA6D6D1">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甲方可针对乙方在项目实施过程中的问题发出项目限期整改通知单，乙方应在收到整改通知单后2个工作日内向甲方以书面方式提交具体整改计划（整改计划应经过甲方审核认可），并在甲方规定的期限内整改完毕。乙方未按时提交具体整改计划的，或乙方未在甲方规定期限内整改完毕的，均视为乙方违约，甲方有权按照本合同第六条追究乙方违约责任。</w:t>
      </w:r>
    </w:p>
    <w:p w14:paraId="0759D723">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乙方师资的薪资、社保、福利、工伤等均由乙方自行承担，与甲方无关。乙方师资给甲方造成任何人身或财产损失的，乙方需承担连带责任。</w:t>
      </w:r>
    </w:p>
    <w:p w14:paraId="7E69F9B5">
      <w:pPr>
        <w:numPr>
          <w:ilvl w:val="1"/>
          <w:numId w:val="1"/>
        </w:numPr>
        <w:tabs>
          <w:tab w:val="left" w:pos="567"/>
        </w:tabs>
        <w:spacing w:line="400" w:lineRule="exact"/>
        <w:rPr>
          <w:rFonts w:ascii="宋体" w:hAnsi="宋体" w:cs="宋体"/>
          <w:bCs/>
          <w:sz w:val="22"/>
          <w:szCs w:val="22"/>
        </w:rPr>
      </w:pPr>
      <w:r>
        <w:rPr>
          <w:rFonts w:hint="eastAsia" w:ascii="宋体" w:hAnsi="宋体" w:cs="宋体"/>
          <w:bCs/>
          <w:sz w:val="22"/>
          <w:szCs w:val="22"/>
        </w:rPr>
        <w:t>乙方需对服务中获知的或取得的甲方及甲方学员信息严格保密，除甲方书面同意外，不得向任何第三方披露。否则是为乙方根本性违约，需赔偿由此给甲方造成的全部损失。</w:t>
      </w:r>
    </w:p>
    <w:p w14:paraId="0A075701">
      <w:pPr>
        <w:numPr>
          <w:ilvl w:val="0"/>
          <w:numId w:val="0"/>
        </w:numPr>
        <w:tabs>
          <w:tab w:val="left" w:pos="567"/>
        </w:tabs>
        <w:spacing w:line="400" w:lineRule="exact"/>
        <w:ind w:left="0" w:firstLine="0"/>
        <w:rPr>
          <w:rFonts w:hint="eastAsia" w:ascii="宋体" w:hAnsi="宋体" w:cs="宋体"/>
          <w:bCs/>
          <w:sz w:val="22"/>
          <w:szCs w:val="22"/>
        </w:rPr>
      </w:pPr>
      <w:r>
        <w:rPr>
          <w:rFonts w:hint="eastAsia" w:ascii="宋体" w:hAnsi="宋体" w:cs="宋体"/>
          <w:bCs/>
          <w:sz w:val="22"/>
          <w:szCs w:val="22"/>
        </w:rPr>
        <w:t>7.9. 乙方需协助甲方的宣传工作，做好图片、视频等宣传素材的采集。</w:t>
      </w:r>
    </w:p>
    <w:p w14:paraId="62C6A5A7">
      <w:pPr>
        <w:numPr>
          <w:ilvl w:val="0"/>
          <w:numId w:val="1"/>
        </w:numPr>
        <w:tabs>
          <w:tab w:val="left" w:pos="540"/>
        </w:tabs>
        <w:spacing w:line="400" w:lineRule="exact"/>
        <w:rPr>
          <w:rFonts w:ascii="宋体" w:hAnsi="宋体" w:cs="FangSong_GB2312"/>
          <w:b/>
          <w:sz w:val="22"/>
          <w:szCs w:val="22"/>
        </w:rPr>
      </w:pPr>
      <w:r>
        <w:rPr>
          <w:rFonts w:hint="eastAsia" w:ascii="宋体" w:hAnsi="宋体" w:cs="FangSong_GB2312"/>
          <w:b/>
          <w:sz w:val="22"/>
          <w:szCs w:val="22"/>
        </w:rPr>
        <w:t>违约责任及违约金支付</w:t>
      </w:r>
    </w:p>
    <w:p w14:paraId="38C465BB">
      <w:pPr>
        <w:numPr>
          <w:ilvl w:val="1"/>
          <w:numId w:val="1"/>
        </w:numPr>
        <w:spacing w:line="400" w:lineRule="exact"/>
        <w:rPr>
          <w:rFonts w:ascii="宋体" w:hAnsi="宋体" w:cs="宋体"/>
          <w:bCs/>
          <w:sz w:val="22"/>
          <w:szCs w:val="22"/>
        </w:rPr>
      </w:pPr>
      <w:r>
        <w:rPr>
          <w:rFonts w:hint="eastAsia" w:ascii="宋体" w:hAnsi="宋体" w:cs="宋体"/>
          <w:bCs/>
          <w:sz w:val="22"/>
          <w:szCs w:val="22"/>
        </w:rPr>
        <w:t>乙方违约责任及违约金支付：</w:t>
      </w:r>
    </w:p>
    <w:p w14:paraId="3D49B220">
      <w:pPr>
        <w:numPr>
          <w:ilvl w:val="0"/>
          <w:numId w:val="3"/>
        </w:numPr>
        <w:tabs>
          <w:tab w:val="left" w:pos="1080"/>
          <w:tab w:val="clear" w:pos="2579"/>
        </w:tabs>
        <w:spacing w:line="400" w:lineRule="exact"/>
        <w:ind w:left="1080" w:right="-153" w:hanging="540"/>
        <w:rPr>
          <w:rFonts w:ascii="宋体" w:hAnsi="宋体" w:cs="宋体"/>
          <w:sz w:val="22"/>
          <w:szCs w:val="22"/>
        </w:rPr>
      </w:pPr>
      <w:r>
        <w:rPr>
          <w:rFonts w:hint="eastAsia" w:ascii="宋体" w:hAnsi="宋体" w:cs="宋体"/>
          <w:sz w:val="22"/>
          <w:szCs w:val="22"/>
        </w:rPr>
        <w:t>乙方不能提供服务的，或服务不合格的，应向甲方偿付合同总价款5%的违约金，违约金不足以补偿损失的甲方有权要求乙方补足。</w:t>
      </w:r>
    </w:p>
    <w:p w14:paraId="7EA1B233">
      <w:pPr>
        <w:numPr>
          <w:ilvl w:val="0"/>
          <w:numId w:val="3"/>
        </w:numPr>
        <w:tabs>
          <w:tab w:val="left" w:pos="1080"/>
          <w:tab w:val="clear" w:pos="2579"/>
        </w:tabs>
        <w:spacing w:line="400" w:lineRule="exact"/>
        <w:ind w:left="1080" w:right="-153" w:hanging="540"/>
        <w:rPr>
          <w:rFonts w:ascii="宋体" w:hAnsi="宋体" w:cs="宋体"/>
          <w:sz w:val="22"/>
          <w:szCs w:val="22"/>
        </w:rPr>
      </w:pPr>
      <w:r>
        <w:rPr>
          <w:rFonts w:hint="eastAsia" w:ascii="宋体" w:hAnsi="宋体" w:cs="宋体"/>
          <w:sz w:val="22"/>
          <w:szCs w:val="22"/>
        </w:rPr>
        <w:t>乙方逾期提供服务的，应与甲方协商，甲方仍需求的，乙方应立即提供服务并按照合同总金额的每天万分之四支付逾期违约金，同时承担甲方因此遭致的损失费用。</w:t>
      </w:r>
    </w:p>
    <w:p w14:paraId="406DA76C">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不可抗力</w:t>
      </w:r>
    </w:p>
    <w:p w14:paraId="015C2EF5">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因不可抗力不能履行合同的，根据不可抗力的影响，部分或者全部免除责任。但合同一方延迟履行后发生不可抗力的，不能免除责任。</w:t>
      </w:r>
    </w:p>
    <w:p w14:paraId="5BFF56C0">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合同一方因不可抗力不能履行合同的，应当在3日内通知对方，以减轻可能给对方造成的损失，并应当在15日内提供有公信力的证明。</w:t>
      </w:r>
    </w:p>
    <w:p w14:paraId="6C445562">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合同修改</w:t>
      </w:r>
    </w:p>
    <w:p w14:paraId="64B2A245">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甲方和乙方都不得擅自变更本合同，但合同继续履行将损害国家和社会公共利益的除外。</w:t>
      </w:r>
    </w:p>
    <w:p w14:paraId="53E96D3C">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转让和分包</w:t>
      </w:r>
    </w:p>
    <w:p w14:paraId="63AF1935">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政府采购合同的部分和全部都不得转让、分包。</w:t>
      </w:r>
    </w:p>
    <w:p w14:paraId="329A4BF4">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合同的解除</w:t>
      </w:r>
    </w:p>
    <w:p w14:paraId="59187681">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有下列情形之一，合同一方可以解除合同：</w:t>
      </w:r>
    </w:p>
    <w:p w14:paraId="798EB845">
      <w:pPr>
        <w:numPr>
          <w:ilvl w:val="0"/>
          <w:numId w:val="4"/>
        </w:numPr>
        <w:tabs>
          <w:tab w:val="left" w:pos="1080"/>
          <w:tab w:val="clear" w:pos="2579"/>
        </w:tabs>
        <w:spacing w:line="400" w:lineRule="exact"/>
        <w:ind w:left="1080" w:right="-153" w:hanging="540"/>
        <w:rPr>
          <w:rFonts w:ascii="宋体" w:hAnsi="宋体" w:cs="宋体"/>
          <w:sz w:val="22"/>
          <w:szCs w:val="22"/>
        </w:rPr>
      </w:pPr>
      <w:r>
        <w:rPr>
          <w:rFonts w:hint="eastAsia" w:ascii="宋体" w:hAnsi="宋体" w:cs="宋体"/>
          <w:sz w:val="22"/>
          <w:szCs w:val="22"/>
        </w:rPr>
        <w:t>因不可抗力致使不能实现合同目的，双方均有权解除合同；</w:t>
      </w:r>
    </w:p>
    <w:p w14:paraId="77D5BBC8">
      <w:pPr>
        <w:numPr>
          <w:ilvl w:val="0"/>
          <w:numId w:val="4"/>
        </w:numPr>
        <w:tabs>
          <w:tab w:val="left" w:pos="1080"/>
          <w:tab w:val="clear" w:pos="2579"/>
        </w:tabs>
        <w:spacing w:line="400" w:lineRule="exact"/>
        <w:ind w:left="1080" w:right="-153" w:hanging="540"/>
        <w:rPr>
          <w:rFonts w:ascii="宋体" w:hAnsi="宋体" w:cs="宋体"/>
          <w:sz w:val="22"/>
          <w:szCs w:val="22"/>
        </w:rPr>
      </w:pPr>
      <w:r>
        <w:rPr>
          <w:rFonts w:hint="eastAsia" w:ascii="宋体" w:hAnsi="宋体" w:cs="宋体"/>
          <w:sz w:val="22"/>
          <w:szCs w:val="22"/>
        </w:rPr>
        <w:t>因合同一方违约导致合同不能履行，另一方有权解除合同。</w:t>
      </w:r>
    </w:p>
    <w:p w14:paraId="0B921339">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有权解除合同的一方，应当在违约事实或不可抗力发生之后三十天内书面通知对方以主张解除合同，合同在书面通知到达对方时解除。</w:t>
      </w:r>
    </w:p>
    <w:p w14:paraId="7FB91F58">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争议解决办法</w:t>
      </w:r>
    </w:p>
    <w:p w14:paraId="4A3B7213">
      <w:pPr>
        <w:spacing w:line="400" w:lineRule="exact"/>
        <w:ind w:firstLine="539"/>
        <w:rPr>
          <w:rFonts w:ascii="宋体" w:hAnsi="宋体" w:cs="宋体"/>
          <w:sz w:val="22"/>
          <w:szCs w:val="22"/>
        </w:rPr>
      </w:pPr>
      <w:r>
        <w:rPr>
          <w:rFonts w:hint="eastAsia" w:ascii="宋体" w:hAnsi="宋体" w:cs="宋体"/>
          <w:sz w:val="22"/>
          <w:szCs w:val="22"/>
        </w:rPr>
        <w:t>因本合同或与本合同有关的一切事项发生争议，由双方友好协商解决。协商不成的，任何一方均可选择以下方式解决：</w:t>
      </w:r>
    </w:p>
    <w:p w14:paraId="34A017F5">
      <w:pPr>
        <w:spacing w:line="400" w:lineRule="exact"/>
        <w:ind w:firstLine="539"/>
        <w:rPr>
          <w:rFonts w:ascii="宋体" w:hAnsi="宋体" w:cs="宋体"/>
          <w:sz w:val="22"/>
          <w:szCs w:val="22"/>
        </w:rPr>
      </w:pPr>
      <w:r>
        <w:rPr>
          <w:rFonts w:hint="eastAsia" w:ascii="宋体" w:hAnsi="宋体" w:cs="宋体"/>
          <w:sz w:val="22"/>
          <w:szCs w:val="22"/>
        </w:rPr>
        <w:t>向甲方所在地的人民法院起诉。</w:t>
      </w:r>
    </w:p>
    <w:p w14:paraId="6BC3156E">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合同生效及其他</w:t>
      </w:r>
    </w:p>
    <w:p w14:paraId="5E337621">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本合同经双方签字并盖章后，加盖“清华大学合同专用章（继续教育）”生效，同时合同将进行公示。</w:t>
      </w:r>
    </w:p>
    <w:p w14:paraId="46978940">
      <w:pPr>
        <w:numPr>
          <w:ilvl w:val="1"/>
          <w:numId w:val="1"/>
        </w:numPr>
        <w:tabs>
          <w:tab w:val="left" w:pos="540"/>
          <w:tab w:val="left" w:pos="567"/>
        </w:tabs>
        <w:spacing w:line="400" w:lineRule="exact"/>
        <w:rPr>
          <w:rFonts w:ascii="宋体" w:hAnsi="宋体" w:cs="宋体"/>
          <w:sz w:val="22"/>
          <w:szCs w:val="22"/>
        </w:rPr>
      </w:pPr>
      <w:r>
        <w:rPr>
          <w:rFonts w:hint="eastAsia" w:ascii="宋体" w:hAnsi="宋体" w:cs="宋体"/>
          <w:sz w:val="22"/>
          <w:szCs w:val="22"/>
        </w:rPr>
        <w:t>下列文件为本合同不可分割部分：</w:t>
      </w:r>
    </w:p>
    <w:p w14:paraId="533A5E8F">
      <w:pPr>
        <w:spacing w:line="400" w:lineRule="exact"/>
        <w:ind w:left="540" w:right="-153"/>
        <w:rPr>
          <w:rFonts w:ascii="宋体" w:hAnsi="宋体" w:cs="宋体"/>
          <w:sz w:val="22"/>
          <w:szCs w:val="22"/>
        </w:rPr>
      </w:pPr>
      <w:r>
        <w:rPr>
          <w:rFonts w:hint="eastAsia" w:ascii="宋体" w:hAnsi="宋体" w:cs="宋体"/>
          <w:sz w:val="22"/>
          <w:szCs w:val="22"/>
        </w:rPr>
        <w:t>成交通知书；乙方响应文件；磋商文件；乙方在磋商过程中所作的其他承诺、声明、书面澄清等。</w:t>
      </w:r>
    </w:p>
    <w:p w14:paraId="43DDFDA5">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未尽事宜</w:t>
      </w:r>
    </w:p>
    <w:p w14:paraId="016C3B27">
      <w:pPr>
        <w:spacing w:line="400" w:lineRule="exact"/>
        <w:ind w:firstLine="420"/>
        <w:rPr>
          <w:rFonts w:ascii="宋体" w:hAnsi="宋体" w:cs="宋体"/>
          <w:sz w:val="22"/>
          <w:szCs w:val="22"/>
        </w:rPr>
      </w:pPr>
      <w:r>
        <w:rPr>
          <w:rFonts w:hint="eastAsia" w:ascii="宋体" w:hAnsi="宋体" w:cs="宋体"/>
          <w:sz w:val="22"/>
          <w:szCs w:val="22"/>
        </w:rPr>
        <w:t>未尽事宜应按照《中华人民共和国民法典》、《中华人民共和国政府采购法》等相关法律法规之规定解释。</w:t>
      </w:r>
    </w:p>
    <w:p w14:paraId="253B21EA">
      <w:pPr>
        <w:numPr>
          <w:ilvl w:val="0"/>
          <w:numId w:val="1"/>
        </w:numPr>
        <w:tabs>
          <w:tab w:val="left" w:pos="540"/>
        </w:tabs>
        <w:spacing w:line="400" w:lineRule="exact"/>
        <w:rPr>
          <w:rFonts w:ascii="宋体" w:hAnsi="宋体" w:cs="宋体"/>
          <w:b/>
          <w:sz w:val="22"/>
          <w:szCs w:val="22"/>
        </w:rPr>
      </w:pPr>
      <w:r>
        <w:rPr>
          <w:rFonts w:hint="eastAsia" w:ascii="宋体" w:hAnsi="宋体" w:cs="宋体"/>
          <w:b/>
          <w:sz w:val="22"/>
          <w:szCs w:val="22"/>
        </w:rPr>
        <w:t>附则</w:t>
      </w:r>
    </w:p>
    <w:p w14:paraId="03EC5875">
      <w:pPr>
        <w:spacing w:line="400" w:lineRule="exact"/>
        <w:rPr>
          <w:rFonts w:hint="eastAsia" w:ascii="宋体" w:hAnsi="宋体" w:cs="宋体"/>
          <w:sz w:val="22"/>
          <w:szCs w:val="22"/>
          <w:lang w:bidi="ar"/>
        </w:rPr>
      </w:pPr>
      <w:r>
        <w:rPr>
          <w:rFonts w:hint="eastAsia" w:ascii="宋体" w:hAnsi="宋体" w:cs="宋体"/>
          <w:sz w:val="22"/>
          <w:szCs w:val="22"/>
        </w:rPr>
        <w:t>本合同一式</w:t>
      </w:r>
      <w:r>
        <w:rPr>
          <w:rFonts w:hint="eastAsia" w:ascii="宋体" w:hAnsi="宋体" w:cs="宋体"/>
          <w:sz w:val="22"/>
          <w:szCs w:val="22"/>
          <w:u w:val="single"/>
        </w:rPr>
        <w:t xml:space="preserve"> 四 </w:t>
      </w:r>
      <w:r>
        <w:rPr>
          <w:rFonts w:hint="eastAsia" w:ascii="宋体" w:hAnsi="宋体" w:cs="宋体"/>
          <w:sz w:val="22"/>
          <w:szCs w:val="22"/>
        </w:rPr>
        <w:t>份，甲、乙方各执</w:t>
      </w:r>
      <w:r>
        <w:rPr>
          <w:rFonts w:hint="eastAsia" w:ascii="宋体" w:hAnsi="宋体" w:cs="宋体"/>
          <w:sz w:val="22"/>
          <w:szCs w:val="22"/>
          <w:u w:val="single"/>
        </w:rPr>
        <w:t xml:space="preserve"> 一 </w:t>
      </w:r>
      <w:r>
        <w:rPr>
          <w:rFonts w:hint="eastAsia" w:ascii="宋体" w:hAnsi="宋体" w:cs="宋体"/>
          <w:sz w:val="22"/>
          <w:szCs w:val="22"/>
        </w:rPr>
        <w:t>份，清华大学终身教育处一份，采购代理机构一份。</w:t>
      </w:r>
      <w:bookmarkEnd w:id="0"/>
    </w:p>
    <w:p w14:paraId="51CD2D98">
      <w:pPr>
        <w:spacing w:line="600" w:lineRule="auto"/>
        <w:rPr>
          <w:rFonts w:ascii="宋体" w:hAnsi="宋体"/>
          <w:sz w:val="22"/>
          <w:szCs w:val="22"/>
        </w:rPr>
      </w:pPr>
      <w:r>
        <w:rPr>
          <w:rFonts w:hint="eastAsia" w:ascii="宋体" w:hAnsi="宋体"/>
          <w:sz w:val="22"/>
          <w:szCs w:val="22"/>
        </w:rPr>
        <w:t>甲方（盖章）：</w:t>
      </w: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 xml:space="preserve">                             </w:t>
      </w:r>
      <w:r>
        <w:rPr>
          <w:rFonts w:hint="eastAsia" w:ascii="宋体" w:hAnsi="宋体"/>
          <w:sz w:val="22"/>
          <w:szCs w:val="22"/>
        </w:rPr>
        <w:t xml:space="preserve">乙方（盖章）： </w:t>
      </w:r>
    </w:p>
    <w:p w14:paraId="4C32AE3C">
      <w:pPr>
        <w:rPr>
          <w:rFonts w:ascii="宋体" w:hAnsi="宋体"/>
          <w:sz w:val="22"/>
          <w:szCs w:val="22"/>
        </w:rPr>
      </w:pPr>
      <w:r>
        <w:rPr>
          <w:rFonts w:hint="eastAsia" w:ascii="宋体" w:hAnsi="宋体"/>
          <w:sz w:val="22"/>
          <w:szCs w:val="22"/>
        </w:rPr>
        <w:t xml:space="preserve">法定代表人/授权代表：                        法定代表人/授权代表： </w:t>
      </w:r>
    </w:p>
    <w:p w14:paraId="33C0D3DE">
      <w:pPr>
        <w:rPr>
          <w:rFonts w:ascii="宋体" w:hAnsi="宋体"/>
          <w:sz w:val="22"/>
          <w:szCs w:val="22"/>
        </w:rPr>
      </w:pPr>
      <w:r>
        <w:rPr>
          <w:rFonts w:hint="eastAsia" w:ascii="宋体" w:hAnsi="宋体"/>
          <w:sz w:val="22"/>
          <w:szCs w:val="22"/>
        </w:rPr>
        <w:t>（签字或盖章）</w:t>
      </w: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 xml:space="preserve"> </w:t>
      </w:r>
      <w:r>
        <w:rPr>
          <w:rFonts w:hint="eastAsia" w:ascii="宋体" w:hAnsi="宋体"/>
          <w:sz w:val="22"/>
          <w:szCs w:val="22"/>
        </w:rPr>
        <w:t xml:space="preserve">                （签字或盖章）</w:t>
      </w:r>
    </w:p>
    <w:p w14:paraId="5B8528AE">
      <w:pPr>
        <w:spacing w:line="600" w:lineRule="auto"/>
        <w:ind w:firstLine="660" w:firstLineChars="300"/>
        <w:rPr>
          <w:rFonts w:ascii="宋体" w:hAnsi="宋体"/>
          <w:sz w:val="22"/>
          <w:szCs w:val="22"/>
        </w:rPr>
      </w:pPr>
      <w:r>
        <w:rPr>
          <w:rFonts w:hint="eastAsia" w:ascii="宋体" w:hAnsi="宋体"/>
          <w:sz w:val="22"/>
          <w:szCs w:val="22"/>
        </w:rPr>
        <w:t xml:space="preserve">年    月    日 </w:t>
      </w:r>
      <w:r>
        <w:rPr>
          <w:rFonts w:ascii="宋体" w:hAnsi="宋体"/>
          <w:sz w:val="22"/>
          <w:szCs w:val="22"/>
        </w:rPr>
        <w:t xml:space="preserve">                                   </w:t>
      </w:r>
      <w:r>
        <w:rPr>
          <w:rFonts w:hint="eastAsia" w:ascii="宋体" w:hAnsi="宋体"/>
          <w:sz w:val="22"/>
          <w:szCs w:val="22"/>
        </w:rPr>
        <w:t xml:space="preserve"> 年    月    日</w:t>
      </w:r>
    </w:p>
    <w:p w14:paraId="042749B5">
      <w:pPr>
        <w:spacing w:line="400" w:lineRule="exact"/>
        <w:ind w:firstLine="420"/>
        <w:rPr>
          <w:rFonts w:ascii="宋体" w:hAnsi="宋体" w:cs="宋体"/>
          <w:szCs w:val="21"/>
        </w:rPr>
      </w:pPr>
    </w:p>
    <w:bookmarkEnd w:id="1"/>
    <w:p w14:paraId="41A5797E"/>
    <w:sectPr>
      <w:headerReference r:id="rId3" w:type="default"/>
      <w:footerReference r:id="rId4" w:type="default"/>
      <w:pgSz w:w="11906" w:h="16838"/>
      <w:pgMar w:top="1440" w:right="1800" w:bottom="173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创艺简仿宋">
    <w:altName w:val="方正舒体"/>
    <w:panose1 w:val="020B0604020202020204"/>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FangSong_GB2312">
    <w:altName w:val="仿宋_GB2312"/>
    <w:panose1 w:val="020B0604020202020204"/>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39B2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49DC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849DC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1A121">
    <w:pPr>
      <w:pStyle w:val="4"/>
      <w:jc w:val="right"/>
    </w:pPr>
    <w:r>
      <w:rPr>
        <w:rFonts w:hint="eastAsia"/>
      </w:rPr>
      <w:t xml:space="preserve"> </w:t>
    </w:r>
    <w:r>
      <w:t xml:space="preserve">                                </w:t>
    </w:r>
    <w:r>
      <w:rPr>
        <w:rFonts w:hint="eastAsia"/>
      </w:rPr>
      <w:t>采购编号：JSZC-320500-JMCH-C2026-0003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tabs>
          <w:tab w:val="left" w:pos="2579"/>
        </w:tabs>
        <w:ind w:left="2579" w:hanging="420"/>
      </w:pPr>
      <w:rPr>
        <w:rFonts w:hint="eastAsia"/>
      </w:rPr>
    </w:lvl>
    <w:lvl w:ilvl="1" w:tentative="0">
      <w:start w:val="1"/>
      <w:numFmt w:val="lowerLetter"/>
      <w:lvlText w:val="%2)"/>
      <w:lvlJc w:val="left"/>
      <w:pPr>
        <w:tabs>
          <w:tab w:val="left" w:pos="2579"/>
        </w:tabs>
        <w:ind w:left="2579" w:hanging="420"/>
      </w:pPr>
    </w:lvl>
    <w:lvl w:ilvl="2" w:tentative="0">
      <w:start w:val="1"/>
      <w:numFmt w:val="lowerRoman"/>
      <w:lvlText w:val="%3."/>
      <w:lvlJc w:val="right"/>
      <w:pPr>
        <w:tabs>
          <w:tab w:val="left" w:pos="2999"/>
        </w:tabs>
        <w:ind w:left="2999" w:hanging="420"/>
      </w:pPr>
    </w:lvl>
    <w:lvl w:ilvl="3" w:tentative="0">
      <w:start w:val="1"/>
      <w:numFmt w:val="decimal"/>
      <w:lvlText w:val="%4."/>
      <w:lvlJc w:val="left"/>
      <w:pPr>
        <w:tabs>
          <w:tab w:val="left" w:pos="3419"/>
        </w:tabs>
        <w:ind w:left="3419" w:hanging="420"/>
      </w:pPr>
    </w:lvl>
    <w:lvl w:ilvl="4" w:tentative="0">
      <w:start w:val="1"/>
      <w:numFmt w:val="lowerLetter"/>
      <w:lvlText w:val="%5)"/>
      <w:lvlJc w:val="left"/>
      <w:pPr>
        <w:tabs>
          <w:tab w:val="left" w:pos="3839"/>
        </w:tabs>
        <w:ind w:left="3839" w:hanging="420"/>
      </w:pPr>
    </w:lvl>
    <w:lvl w:ilvl="5" w:tentative="0">
      <w:start w:val="1"/>
      <w:numFmt w:val="lowerRoman"/>
      <w:lvlText w:val="%6."/>
      <w:lvlJc w:val="right"/>
      <w:pPr>
        <w:tabs>
          <w:tab w:val="left" w:pos="4259"/>
        </w:tabs>
        <w:ind w:left="4259" w:hanging="420"/>
      </w:pPr>
    </w:lvl>
    <w:lvl w:ilvl="6" w:tentative="0">
      <w:start w:val="1"/>
      <w:numFmt w:val="decimal"/>
      <w:lvlText w:val="%7."/>
      <w:lvlJc w:val="left"/>
      <w:pPr>
        <w:tabs>
          <w:tab w:val="left" w:pos="4679"/>
        </w:tabs>
        <w:ind w:left="4679" w:hanging="420"/>
      </w:pPr>
    </w:lvl>
    <w:lvl w:ilvl="7" w:tentative="0">
      <w:start w:val="1"/>
      <w:numFmt w:val="lowerLetter"/>
      <w:lvlText w:val="%8)"/>
      <w:lvlJc w:val="left"/>
      <w:pPr>
        <w:tabs>
          <w:tab w:val="left" w:pos="5099"/>
        </w:tabs>
        <w:ind w:left="5099" w:hanging="420"/>
      </w:pPr>
    </w:lvl>
    <w:lvl w:ilvl="8" w:tentative="0">
      <w:start w:val="1"/>
      <w:numFmt w:val="lowerRoman"/>
      <w:lvlText w:val="%9."/>
      <w:lvlJc w:val="right"/>
      <w:pPr>
        <w:tabs>
          <w:tab w:val="left" w:pos="5519"/>
        </w:tabs>
        <w:ind w:left="5519" w:hanging="420"/>
      </w:pPr>
    </w:lvl>
  </w:abstractNum>
  <w:abstractNum w:abstractNumId="1">
    <w:nsid w:val="0248C179"/>
    <w:multiLevelType w:val="multilevel"/>
    <w:tmpl w:val="0248C179"/>
    <w:lvl w:ilvl="0" w:tentative="0">
      <w:start w:val="1"/>
      <w:numFmt w:val="decimal"/>
      <w:lvlText w:val="%1."/>
      <w:lvlJc w:val="left"/>
      <w:pPr>
        <w:tabs>
          <w:tab w:val="left" w:pos="425"/>
        </w:tabs>
        <w:ind w:left="425" w:hanging="425"/>
      </w:pPr>
      <w:rPr>
        <w:rFonts w:hint="eastAsia" w:ascii="宋体" w:hAnsi="宋体" w:eastAsia="宋体"/>
        <w:b/>
      </w:rPr>
    </w:lvl>
    <w:lvl w:ilvl="1" w:tentative="0">
      <w:start w:val="1"/>
      <w:numFmt w:val="decimal"/>
      <w:lvlText w:val="%1.%2"/>
      <w:lvlJc w:val="left"/>
      <w:pPr>
        <w:tabs>
          <w:tab w:val="left" w:pos="567"/>
        </w:tabs>
        <w:ind w:left="567" w:hanging="567"/>
      </w:pPr>
      <w:rPr>
        <w:rFonts w:hint="eastAsia"/>
        <w:b w:val="0"/>
        <w:color w:val="auto"/>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2A8F537B"/>
    <w:multiLevelType w:val="multilevel"/>
    <w:tmpl w:val="2A8F537B"/>
    <w:lvl w:ilvl="0" w:tentative="0">
      <w:start w:val="1"/>
      <w:numFmt w:val="decimal"/>
      <w:lvlText w:val="（%1）"/>
      <w:lvlJc w:val="left"/>
      <w:pPr>
        <w:tabs>
          <w:tab w:val="left" w:pos="2579"/>
        </w:tabs>
        <w:ind w:left="2579" w:hanging="420"/>
      </w:pPr>
      <w:rPr>
        <w:rFonts w:hint="eastAsia"/>
      </w:rPr>
    </w:lvl>
    <w:lvl w:ilvl="1" w:tentative="0">
      <w:start w:val="1"/>
      <w:numFmt w:val="lowerLetter"/>
      <w:lvlText w:val="%2)"/>
      <w:lvlJc w:val="left"/>
      <w:pPr>
        <w:tabs>
          <w:tab w:val="left" w:pos="2579"/>
        </w:tabs>
        <w:ind w:left="2579" w:hanging="420"/>
      </w:pPr>
    </w:lvl>
    <w:lvl w:ilvl="2" w:tentative="0">
      <w:start w:val="1"/>
      <w:numFmt w:val="lowerRoman"/>
      <w:lvlText w:val="%3."/>
      <w:lvlJc w:val="right"/>
      <w:pPr>
        <w:tabs>
          <w:tab w:val="left" w:pos="2999"/>
        </w:tabs>
        <w:ind w:left="2999" w:hanging="420"/>
      </w:pPr>
    </w:lvl>
    <w:lvl w:ilvl="3" w:tentative="0">
      <w:start w:val="1"/>
      <w:numFmt w:val="decimal"/>
      <w:lvlText w:val="%4."/>
      <w:lvlJc w:val="left"/>
      <w:pPr>
        <w:tabs>
          <w:tab w:val="left" w:pos="3419"/>
        </w:tabs>
        <w:ind w:left="3419" w:hanging="420"/>
      </w:pPr>
    </w:lvl>
    <w:lvl w:ilvl="4" w:tentative="0">
      <w:start w:val="1"/>
      <w:numFmt w:val="lowerLetter"/>
      <w:lvlText w:val="%5)"/>
      <w:lvlJc w:val="left"/>
      <w:pPr>
        <w:tabs>
          <w:tab w:val="left" w:pos="3839"/>
        </w:tabs>
        <w:ind w:left="3839" w:hanging="420"/>
      </w:pPr>
    </w:lvl>
    <w:lvl w:ilvl="5" w:tentative="0">
      <w:start w:val="1"/>
      <w:numFmt w:val="lowerRoman"/>
      <w:lvlText w:val="%6."/>
      <w:lvlJc w:val="right"/>
      <w:pPr>
        <w:tabs>
          <w:tab w:val="left" w:pos="4259"/>
        </w:tabs>
        <w:ind w:left="4259" w:hanging="420"/>
      </w:pPr>
    </w:lvl>
    <w:lvl w:ilvl="6" w:tentative="0">
      <w:start w:val="1"/>
      <w:numFmt w:val="decimal"/>
      <w:lvlText w:val="%7."/>
      <w:lvlJc w:val="left"/>
      <w:pPr>
        <w:tabs>
          <w:tab w:val="left" w:pos="4679"/>
        </w:tabs>
        <w:ind w:left="4679" w:hanging="420"/>
      </w:pPr>
    </w:lvl>
    <w:lvl w:ilvl="7" w:tentative="0">
      <w:start w:val="1"/>
      <w:numFmt w:val="lowerLetter"/>
      <w:lvlText w:val="%8)"/>
      <w:lvlJc w:val="left"/>
      <w:pPr>
        <w:tabs>
          <w:tab w:val="left" w:pos="5099"/>
        </w:tabs>
        <w:ind w:left="5099" w:hanging="420"/>
      </w:pPr>
    </w:lvl>
    <w:lvl w:ilvl="8" w:tentative="0">
      <w:start w:val="1"/>
      <w:numFmt w:val="lowerRoman"/>
      <w:lvlText w:val="%9."/>
      <w:lvlJc w:val="right"/>
      <w:pPr>
        <w:tabs>
          <w:tab w:val="left" w:pos="5519"/>
        </w:tabs>
        <w:ind w:left="5519" w:hanging="420"/>
      </w:pPr>
    </w:lvl>
  </w:abstractNum>
  <w:abstractNum w:abstractNumId="3">
    <w:nsid w:val="72183CF9"/>
    <w:multiLevelType w:val="multilevel"/>
    <w:tmpl w:val="72183CF9"/>
    <w:lvl w:ilvl="0" w:tentative="0">
      <w:start w:val="1"/>
      <w:numFmt w:val="decimal"/>
      <w:lvlText w:val="%1."/>
      <w:lvlJc w:val="left"/>
      <w:pPr>
        <w:tabs>
          <w:tab w:val="left" w:pos="567"/>
        </w:tabs>
        <w:ind w:left="567" w:hanging="567"/>
      </w:pPr>
    </w:lvl>
    <w:lvl w:ilvl="1" w:tentative="0">
      <w:start w:val="1"/>
      <w:numFmt w:val="decimal"/>
      <w:lvlText w:val="%1.%2."/>
      <w:lvlJc w:val="left"/>
      <w:pPr>
        <w:ind w:left="567" w:hanging="567"/>
      </w:pPr>
      <w:rPr>
        <w:rFonts w:ascii="宋体" w:hAnsi="宋体" w:eastAsia="宋体"/>
        <w:b w:val="0"/>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mZWIzNDg2MmIzZjExOTIzMmViNTBmYTMwYTk0ZWYifQ=="/>
  </w:docVars>
  <w:rsids>
    <w:rsidRoot w:val="00AD621B"/>
    <w:rsid w:val="00076F39"/>
    <w:rsid w:val="00096730"/>
    <w:rsid w:val="000A6899"/>
    <w:rsid w:val="000B12E8"/>
    <w:rsid w:val="001726B8"/>
    <w:rsid w:val="00177C21"/>
    <w:rsid w:val="001D7E5A"/>
    <w:rsid w:val="001E274F"/>
    <w:rsid w:val="00253BDD"/>
    <w:rsid w:val="002614A2"/>
    <w:rsid w:val="0028466D"/>
    <w:rsid w:val="002A7BDA"/>
    <w:rsid w:val="002B6A63"/>
    <w:rsid w:val="00304F73"/>
    <w:rsid w:val="003271BB"/>
    <w:rsid w:val="00353ABA"/>
    <w:rsid w:val="00375D6C"/>
    <w:rsid w:val="003852CE"/>
    <w:rsid w:val="003B016A"/>
    <w:rsid w:val="003E0FA6"/>
    <w:rsid w:val="00402CEA"/>
    <w:rsid w:val="00412F3C"/>
    <w:rsid w:val="004215FD"/>
    <w:rsid w:val="00592D68"/>
    <w:rsid w:val="005D0D11"/>
    <w:rsid w:val="005F5C95"/>
    <w:rsid w:val="00637F54"/>
    <w:rsid w:val="0065198C"/>
    <w:rsid w:val="006A584B"/>
    <w:rsid w:val="006E5EE9"/>
    <w:rsid w:val="00781CF5"/>
    <w:rsid w:val="007D4CF5"/>
    <w:rsid w:val="008640D9"/>
    <w:rsid w:val="00956047"/>
    <w:rsid w:val="009B412A"/>
    <w:rsid w:val="00A15E32"/>
    <w:rsid w:val="00A43E93"/>
    <w:rsid w:val="00A56C6B"/>
    <w:rsid w:val="00A868B0"/>
    <w:rsid w:val="00AD621B"/>
    <w:rsid w:val="00B4260B"/>
    <w:rsid w:val="00C206B1"/>
    <w:rsid w:val="00C66F8E"/>
    <w:rsid w:val="00C721B4"/>
    <w:rsid w:val="00C73CC5"/>
    <w:rsid w:val="00DB0240"/>
    <w:rsid w:val="00DD3599"/>
    <w:rsid w:val="00DF3344"/>
    <w:rsid w:val="00E26334"/>
    <w:rsid w:val="00E668BA"/>
    <w:rsid w:val="00E9414B"/>
    <w:rsid w:val="00F33229"/>
    <w:rsid w:val="00F470A9"/>
    <w:rsid w:val="00F565F9"/>
    <w:rsid w:val="00F81A80"/>
    <w:rsid w:val="00FB75CE"/>
    <w:rsid w:val="00FD5B58"/>
    <w:rsid w:val="030516AD"/>
    <w:rsid w:val="06166C9F"/>
    <w:rsid w:val="0C0F2A38"/>
    <w:rsid w:val="0DBA60C9"/>
    <w:rsid w:val="0ED27D30"/>
    <w:rsid w:val="0FB25582"/>
    <w:rsid w:val="10B31420"/>
    <w:rsid w:val="118539B9"/>
    <w:rsid w:val="12863E8D"/>
    <w:rsid w:val="15891CCA"/>
    <w:rsid w:val="16161989"/>
    <w:rsid w:val="168018BF"/>
    <w:rsid w:val="16C10F9F"/>
    <w:rsid w:val="19B40894"/>
    <w:rsid w:val="1CCB58EE"/>
    <w:rsid w:val="20426D56"/>
    <w:rsid w:val="227B6E3E"/>
    <w:rsid w:val="22D10D3B"/>
    <w:rsid w:val="24585BAE"/>
    <w:rsid w:val="24B6415E"/>
    <w:rsid w:val="2BB9713D"/>
    <w:rsid w:val="2BF437BD"/>
    <w:rsid w:val="2F0D7070"/>
    <w:rsid w:val="3227669B"/>
    <w:rsid w:val="33234BF4"/>
    <w:rsid w:val="33BD7763"/>
    <w:rsid w:val="33CB2BB7"/>
    <w:rsid w:val="363B0967"/>
    <w:rsid w:val="36DF75E4"/>
    <w:rsid w:val="36E5216B"/>
    <w:rsid w:val="379E4317"/>
    <w:rsid w:val="37E80261"/>
    <w:rsid w:val="38A731BC"/>
    <w:rsid w:val="3BE473AB"/>
    <w:rsid w:val="3CD9417A"/>
    <w:rsid w:val="3E2800D5"/>
    <w:rsid w:val="40155D85"/>
    <w:rsid w:val="40C34442"/>
    <w:rsid w:val="41704F5D"/>
    <w:rsid w:val="423D1B28"/>
    <w:rsid w:val="45912351"/>
    <w:rsid w:val="46063770"/>
    <w:rsid w:val="46372FD4"/>
    <w:rsid w:val="467A09EF"/>
    <w:rsid w:val="478163F5"/>
    <w:rsid w:val="481E3C44"/>
    <w:rsid w:val="493D00FA"/>
    <w:rsid w:val="4EE7336F"/>
    <w:rsid w:val="4F336227"/>
    <w:rsid w:val="4F5F591A"/>
    <w:rsid w:val="51B05EC4"/>
    <w:rsid w:val="523B7799"/>
    <w:rsid w:val="534C3D5B"/>
    <w:rsid w:val="53CD5848"/>
    <w:rsid w:val="56654FE5"/>
    <w:rsid w:val="56E00706"/>
    <w:rsid w:val="58D02D39"/>
    <w:rsid w:val="5B2675A6"/>
    <w:rsid w:val="5B773940"/>
    <w:rsid w:val="5BD266EA"/>
    <w:rsid w:val="5CE9261B"/>
    <w:rsid w:val="60CC028A"/>
    <w:rsid w:val="654C3747"/>
    <w:rsid w:val="6BEC358E"/>
    <w:rsid w:val="6C276CBC"/>
    <w:rsid w:val="6DCD1AD1"/>
    <w:rsid w:val="6F3C2A7E"/>
    <w:rsid w:val="71CB17A6"/>
    <w:rsid w:val="73BF77DA"/>
    <w:rsid w:val="74C50CFE"/>
    <w:rsid w:val="75BC1CDF"/>
    <w:rsid w:val="76B2120E"/>
    <w:rsid w:val="76FE0619"/>
    <w:rsid w:val="77EF4B32"/>
    <w:rsid w:val="7A3031E0"/>
    <w:rsid w:val="7A523862"/>
    <w:rsid w:val="7C4E4AC7"/>
    <w:rsid w:val="7E121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Indent"/>
    <w:basedOn w:val="1"/>
    <w:next w:val="1"/>
    <w:link w:val="13"/>
    <w:qFormat/>
    <w:uiPriority w:val="0"/>
    <w:pPr>
      <w:widowControl/>
      <w:spacing w:line="260" w:lineRule="exact"/>
      <w:ind w:firstLine="435"/>
      <w:jc w:val="left"/>
    </w:pPr>
    <w:rPr>
      <w:sz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Header Char"/>
    <w:basedOn w:val="7"/>
    <w:link w:val="4"/>
    <w:qFormat/>
    <w:uiPriority w:val="99"/>
    <w:rPr>
      <w:sz w:val="18"/>
      <w:szCs w:val="18"/>
    </w:rPr>
  </w:style>
  <w:style w:type="character" w:customStyle="1" w:styleId="9">
    <w:name w:val="Footer Char"/>
    <w:basedOn w:val="7"/>
    <w:link w:val="3"/>
    <w:qFormat/>
    <w:uiPriority w:val="99"/>
    <w:rPr>
      <w:sz w:val="18"/>
      <w:szCs w:val="18"/>
    </w:rPr>
  </w:style>
  <w:style w:type="paragraph" w:customStyle="1" w:styleId="10">
    <w:name w:val="正文文本缩进1"/>
    <w:basedOn w:val="1"/>
    <w:next w:val="11"/>
    <w:qFormat/>
    <w:uiPriority w:val="0"/>
    <w:pPr>
      <w:spacing w:line="520" w:lineRule="exact"/>
      <w:ind w:left="570"/>
    </w:pPr>
    <w:rPr>
      <w:rFonts w:ascii="方正仿宋简体" w:hAnsi="创艺简仿宋" w:eastAsia="方正仿宋简体"/>
      <w:sz w:val="24"/>
    </w:rPr>
  </w:style>
  <w:style w:type="paragraph" w:customStyle="1" w:styleId="11">
    <w:name w:val="寄信人地址1"/>
    <w:basedOn w:val="1"/>
    <w:qFormat/>
    <w:uiPriority w:val="0"/>
    <w:rPr>
      <w:rFonts w:ascii="Arial" w:hAnsi="Arial"/>
    </w:rPr>
  </w:style>
  <w:style w:type="paragraph" w:customStyle="1" w:styleId="12">
    <w:name w:val="普通(网站)1"/>
    <w:basedOn w:val="1"/>
    <w:qFormat/>
    <w:uiPriority w:val="99"/>
    <w:pPr>
      <w:spacing w:beforeAutospacing="1" w:afterAutospacing="1"/>
      <w:jc w:val="left"/>
    </w:pPr>
    <w:rPr>
      <w:sz w:val="24"/>
    </w:rPr>
  </w:style>
  <w:style w:type="character" w:customStyle="1" w:styleId="13">
    <w:name w:val="Body Text Indent Char"/>
    <w:basedOn w:val="7"/>
    <w:link w:val="2"/>
    <w:qFormat/>
    <w:uiPriority w:val="0"/>
    <w:rPr>
      <w:rFonts w:ascii="Times New Roman" w:hAnsi="Times New Roman" w:eastAsia="宋体" w:cs="Times New Roman"/>
      <w:kern w:val="0"/>
      <w:sz w:val="18"/>
      <w:szCs w:val="24"/>
    </w:rPr>
  </w:style>
  <w:style w:type="paragraph" w:styleId="14">
    <w:name w:val="List Paragraph"/>
    <w:basedOn w:val="1"/>
    <w:qFormat/>
    <w:uiPriority w:val="0"/>
    <w:pPr>
      <w:ind w:firstLine="420"/>
    </w:pPr>
    <w:rPr>
      <w:szCs w:val="20"/>
    </w:rPr>
  </w:style>
  <w:style w:type="table" w:customStyle="1" w:styleId="15">
    <w:name w:val="网格型2"/>
    <w:basedOn w:val="5"/>
    <w:qFormat/>
    <w:uiPriority w:val="0"/>
    <w:pPr>
      <w:widowControl w:val="0"/>
      <w:jc w:val="both"/>
    </w:pPr>
    <w:rPr>
      <w:rFonts w:ascii="Calibri" w:hAnsi="Calibri"/>
    </w:rPr>
  </w:style>
  <w:style w:type="paragraph" w:customStyle="1" w:styleId="16">
    <w:name w:val="首行缩进"/>
    <w:basedOn w:val="1"/>
    <w:qFormat/>
    <w:uiPriority w:val="0"/>
    <w:pPr>
      <w:spacing w:line="360" w:lineRule="auto"/>
      <w:ind w:firstLine="480"/>
      <w:jc w:val="left"/>
    </w:pPr>
    <w:rPr>
      <w:rFonts w:ascii="宋体" w:hAnsi="宋体"/>
      <w:sz w:val="24"/>
    </w:rPr>
  </w:style>
  <w:style w:type="paragraph" w:customStyle="1" w:styleId="17">
    <w:name w:val="Revision1"/>
    <w:hidden/>
    <w:unhideWhenUsed/>
    <w:qFormat/>
    <w:uiPriority w:val="99"/>
    <w:rPr>
      <w:rFonts w:ascii="Times New Roman" w:hAnsi="Times New Roman" w:eastAsia="宋体" w:cs="Times New Roman"/>
      <w:sz w:val="21"/>
      <w:szCs w:val="24"/>
      <w:lang w:val="en-US" w:eastAsia="zh-CN" w:bidi="ar-SA"/>
    </w:rPr>
  </w:style>
  <w:style w:type="paragraph" w:customStyle="1" w:styleId="18">
    <w:name w:val="Revision"/>
    <w:hidden/>
    <w:unhideWhenUsed/>
    <w:uiPriority w:val="99"/>
    <w:rPr>
      <w:rFonts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91067-15C9-7D48-A92E-DA8E8D18B58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3264</Words>
  <Characters>3399</Characters>
  <Lines>27</Lines>
  <Paragraphs>7</Paragraphs>
  <TotalTime>37</TotalTime>
  <ScaleCrop>false</ScaleCrop>
  <LinksUpToDate>false</LinksUpToDate>
  <CharactersWithSpaces>3564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2026-05-29T06:49:00Z</dcterms:created>
  <dc:creator>苏州新一造价师价格事务所有限公司</dc:creator>
  <cp:lastModifiedBy>名仁</cp:lastModifiedBy>
  <cp:lastPrinted>2026-05-29T06:49:00Z</cp:lastPrinted>
  <dcterms:modified xsi:type="dcterms:W3CDTF">2026-07-28T02:00:01Z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eyJoZGlkIjoiNzE0NTdlZGQyODcxMjFiMjVlZGQ1MzA4YWIwN2IyMjciLCJ1c2VySWQiOiIxNjExMzM5NjQ5In0=</vt:lpwstr>
  </property>
  <property fmtid="{D5CDD505-2E9C-101B-9397-08002B2CF9AE}" pid="3" name="KSOProductBuildVer">
    <vt:lpwstr>2052-12.1.0.26895</vt:lpwstr>
  </property>
  <property fmtid="{D5CDD505-2E9C-101B-9397-08002B2CF9AE}" pid="4" name="ICV">
    <vt:lpwstr>D0230354CB7C490B9BA49D4577B023EA_13</vt:lpwstr>
  </property>
</Properties>
</file>