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Toc120614210"/>
      <w:r/>
      <w:bookmarkStart w:id="1" w:name="_Toc513029200"/>
      <w:r/>
      <w:bookmarkStart w:id="2" w:name="_Toc523127445"/>
      <w:r/>
      <w:bookmarkStart w:id="3" w:name="_Toc20823272"/>
      <w:r/>
      <w:bookmarkStart w:id="4" w:name="_Toc16938516"/>
      <w:r/>
      <w:bookmarkStart w:id="5" w:name="_Toc479757206"/>
      <w:r/>
      <w:r/>
    </w:p>
    <w:p>
      <w:pPr>
        <w:pStyle w:val="920"/>
      </w:pPr>
      <w:r/>
      <w:r/>
    </w:p>
    <w:p>
      <w:pPr>
        <w:pStyle w:val="937"/>
        <w:jc w:val="center"/>
        <w:rPr>
          <w:rFonts w:eastAsia="黑体"/>
          <w:b/>
          <w:bCs/>
          <w:sz w:val="84"/>
        </w:rPr>
      </w:pPr>
      <w:r>
        <w:rPr>
          <w:rFonts w:hint="eastAsia" w:eastAsia="黑体"/>
          <w:b/>
          <w:bCs/>
          <w:sz w:val="84"/>
        </w:rPr>
        <w:t xml:space="preserve">招　标　文　件</w:t>
      </w:r>
      <w:r/>
    </w:p>
    <w:p>
      <w:pPr>
        <w:ind w:firstLine="1506"/>
        <w:rPr>
          <w:b/>
          <w:color w:val="auto"/>
          <w:sz w:val="30"/>
          <w:szCs w:val="30"/>
          <w:u w:val="single"/>
        </w:rPr>
      </w:pPr>
      <w:r>
        <w:rPr>
          <w:rFonts w:hint="eastAsia"/>
          <w:b/>
          <w:sz w:val="30"/>
          <w:szCs w:val="30"/>
        </w:rPr>
        <w:t xml:space="preserve">项目名称：</w:t>
      </w:r>
      <w:r>
        <w:rPr>
          <w:rFonts w:hint="eastAsia"/>
          <w:b/>
          <w:color w:val="auto"/>
          <w:sz w:val="32"/>
          <w:szCs w:val="32"/>
        </w:rPr>
        <w:t xml:space="preserve">南京鼓楼医院全院专科设备互联平台 </w:t>
      </w:r>
      <w:r/>
    </w:p>
    <w:p>
      <w:pPr>
        <w:ind w:firstLine="1506"/>
        <w:rPr>
          <w:b/>
          <w:color w:val="auto"/>
          <w:sz w:val="30"/>
          <w:szCs w:val="30"/>
        </w:rPr>
      </w:pPr>
      <w:r>
        <w:rPr>
          <w:rFonts w:hint="eastAsia"/>
          <w:b/>
          <w:color w:val="auto"/>
          <w:sz w:val="30"/>
          <w:szCs w:val="30"/>
        </w:rPr>
        <w:t xml:space="preserve">项目编号：</w:t>
      </w:r>
      <w:r>
        <w:rPr>
          <w:rFonts w:hint="eastAsia"/>
          <w:b/>
          <w:color w:val="auto"/>
          <w:sz w:val="32"/>
          <w:szCs w:val="32"/>
        </w:rPr>
        <w:t xml:space="preserve">JSZC-320100-JZCG-G2026-0242 </w:t>
      </w:r>
      <w:r>
        <w:rPr>
          <w:rFonts w:hint="eastAsia"/>
          <w:b/>
          <w:color w:val="auto"/>
          <w:sz w:val="30"/>
          <w:szCs w:val="30"/>
        </w:rPr>
        <w:t xml:space="preserve">              </w:t>
      </w:r>
      <w:r/>
    </w:p>
    <w:p>
      <w:pPr>
        <w:jc w:val="center"/>
        <w:rPr>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853"/>
      </w:p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37"/>
        <w:ind w:firstLine="0"/>
        <w:jc w:val="center"/>
        <w:rPr>
          <w:b/>
          <w:bCs/>
          <w:sz w:val="32"/>
        </w:rPr>
      </w:pPr>
      <w:r>
        <w:rPr>
          <w:rFonts w:hint="eastAsia"/>
          <w:b/>
          <w:bCs/>
          <w:sz w:val="32"/>
        </w:rPr>
        <w:t xml:space="preserve">南京市公共资源交易中心</w:t>
      </w:r>
      <w:r/>
    </w:p>
    <w:p>
      <w:pPr>
        <w:jc w:val="center"/>
        <w:rPr>
          <w:b/>
          <w:color w:val="auto"/>
          <w:sz w:val="32"/>
          <w:szCs w:val="32"/>
        </w:rPr>
      </w:pPr>
      <w:r>
        <w:rPr>
          <w:rFonts w:hint="eastAsia"/>
          <w:b/>
          <w:color w:val="auto"/>
          <w:sz w:val="32"/>
          <w:szCs w:val="32"/>
        </w:rPr>
        <w:t xml:space="preserve">2026年8月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pStyle w:val="920"/>
      </w:pPr>
      <w:r/>
      <w:r/>
    </w:p>
    <w:p>
      <w:pPr>
        <w:pStyle w:val="920"/>
      </w:pPr>
      <w:r/>
      <w:r/>
    </w:p>
    <w:p>
      <w:pPr>
        <w:pStyle w:val="920"/>
      </w:pPr>
      <w:r/>
      <w:r/>
    </w:p>
    <w:p>
      <w:pPr>
        <w:pStyle w:val="920"/>
      </w:pPr>
      <w:r/>
      <w:r/>
    </w:p>
    <w:p>
      <w:pPr>
        <w:pStyle w:val="920"/>
      </w:pPr>
      <w:r/>
      <w:r/>
    </w:p>
    <w:p>
      <w:r/>
      <w:r/>
    </w:p>
    <w:p>
      <w:pPr>
        <w:pStyle w:val="853"/>
      </w:pPr>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投标邀请…………………………………… 2</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投标人须知………………………………… 4</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合同文本……………………………………14</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采购需求……………………………………17</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评标方法与评标标准………………………24</w:t>
      </w:r>
      <w:r/>
    </w:p>
    <w:p>
      <w:pPr>
        <w:numPr>
          <w:ilvl w:val="0"/>
          <w:numId w:val="4"/>
        </w:numPr>
        <w:jc w:val="center"/>
        <w:spacing w:line="960" w:lineRule="auto"/>
        <w:rPr>
          <w:rFonts w:ascii="黑体" w:hAnsi="宋体" w:eastAsia="黑体"/>
          <w:color w:val="auto"/>
          <w:sz w:val="36"/>
        </w:rPr>
        <w:outlineLvl w:val="1"/>
      </w:pPr>
      <w:r>
        <w:rPr>
          <w:rFonts w:hint="eastAsia" w:ascii="黑体" w:hAnsi="宋体" w:eastAsia="黑体"/>
          <w:color w:val="auto"/>
          <w:sz w:val="36"/>
        </w:rPr>
        <w:t xml:space="preserve">投标文件格式………………………………28</w:t>
      </w:r>
      <w:r/>
    </w:p>
    <w:p>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ascii="宋体" w:hAnsi="宋体"/>
          <w:color w:val="auto"/>
          <w:sz w:val="24"/>
          <w:szCs w:val="24"/>
        </w:rPr>
      </w:pPr>
      <w:r>
        <w:rPr>
          <w:rFonts w:hint="eastAsia" w:ascii="宋体" w:hAnsi="宋体"/>
          <w:color w:val="auto"/>
          <w:sz w:val="24"/>
          <w:szCs w:val="24"/>
        </w:rPr>
        <w:t xml:space="preserve">1.项目编号：JSZC-320100-JZCG-G2026-0242</w:t>
      </w:r>
      <w:r/>
    </w:p>
    <w:p>
      <w:pPr>
        <w:ind w:firstLine="480"/>
        <w:rPr>
          <w:rFonts w:ascii="宋体" w:hAnsi="宋体"/>
          <w:color w:val="auto"/>
          <w:sz w:val="24"/>
          <w:szCs w:val="24"/>
        </w:rPr>
      </w:pPr>
      <w:r>
        <w:rPr>
          <w:rFonts w:hint="eastAsia" w:ascii="宋体" w:hAnsi="宋体"/>
          <w:color w:val="auto"/>
          <w:sz w:val="24"/>
          <w:szCs w:val="24"/>
        </w:rPr>
        <w:t xml:space="preserve">2.项目名称：</w:t>
      </w:r>
      <w:bookmarkStart w:id="12" w:name="OLE_LINK1"/>
      <w:r>
        <w:rPr>
          <w:rFonts w:hint="eastAsia" w:ascii="宋体" w:hAnsi="宋体"/>
          <w:color w:val="auto"/>
          <w:sz w:val="24"/>
          <w:szCs w:val="24"/>
        </w:rPr>
        <w:t xml:space="preserve">南京鼓楼医院全院专科设备互联平台</w:t>
      </w:r>
      <w:bookmarkEnd w:id="12"/>
      <w:r/>
      <w:r/>
    </w:p>
    <w:p>
      <w:pPr>
        <w:ind w:firstLine="480"/>
        <w:rPr>
          <w:rFonts w:ascii="宋体" w:hAnsi="宋体"/>
          <w:color w:val="auto"/>
          <w:sz w:val="24"/>
          <w:szCs w:val="24"/>
        </w:rPr>
      </w:pPr>
      <w:r>
        <w:rPr>
          <w:rFonts w:hint="eastAsia" w:ascii="宋体" w:hAnsi="宋体"/>
          <w:color w:val="auto"/>
          <w:sz w:val="24"/>
          <w:szCs w:val="24"/>
        </w:rPr>
        <w:t xml:space="preserve">3.预算金额：93.6万元</w:t>
      </w:r>
      <w:r/>
    </w:p>
    <w:p>
      <w:pPr>
        <w:ind w:firstLine="480"/>
        <w:rPr>
          <w:rFonts w:ascii="宋体" w:hAnsi="宋体" w:cs="宋体"/>
          <w:color w:val="auto"/>
          <w:sz w:val="24"/>
          <w:szCs w:val="24"/>
        </w:rPr>
      </w:pPr>
      <w:r>
        <w:rPr>
          <w:rFonts w:hint="eastAsia" w:ascii="宋体" w:hAnsi="宋体"/>
          <w:color w:val="auto"/>
          <w:sz w:val="24"/>
          <w:szCs w:val="24"/>
        </w:rPr>
        <w:t xml:space="preserve">4.最高限价：88万元</w:t>
      </w:r>
      <w:r/>
    </w:p>
    <w:p>
      <w:pPr>
        <w:ind w:firstLine="480"/>
        <w:rPr>
          <w:rFonts w:ascii="宋体" w:hAnsi="宋体"/>
          <w:color w:val="auto"/>
          <w:sz w:val="24"/>
          <w:szCs w:val="24"/>
          <w:u w:val="single"/>
        </w:rPr>
      </w:pPr>
      <w:r>
        <w:rPr>
          <w:rFonts w:hint="eastAsia" w:ascii="宋体" w:hAnsi="宋体"/>
          <w:color w:val="auto"/>
          <w:sz w:val="24"/>
          <w:szCs w:val="24"/>
        </w:rPr>
        <w:t xml:space="preserve">5.采购需求（简介）：南京鼓楼医院为打破单机版设备信息孤岛，通过此次采购搭建专科设备互联平台，以实现全院专科设备的无纸化传输、存储和线上调阅等功能。</w:t>
      </w:r>
      <w:r>
        <w:rPr>
          <w:rFonts w:hint="eastAsia" w:ascii="宋体" w:hAnsi="宋体" w:cs="宋体"/>
          <w:color w:val="auto"/>
          <w:sz w:val="24"/>
          <w:szCs w:val="24"/>
        </w:rPr>
        <w:t xml:space="preserve">（详细内容见本招标文件第四章） </w:t>
      </w:r>
      <w:r/>
    </w:p>
    <w:p>
      <w:pPr>
        <w:ind w:firstLine="480"/>
        <w:rPr>
          <w:rFonts w:ascii="宋体" w:hAnsi="宋体" w:cs="宋体"/>
          <w:color w:val="auto"/>
          <w:sz w:val="24"/>
          <w:szCs w:val="24"/>
        </w:rPr>
      </w:pPr>
      <w:r>
        <w:rPr>
          <w:rFonts w:hint="eastAsia" w:ascii="宋体" w:hAnsi="宋体"/>
          <w:color w:val="auto"/>
          <w:sz w:val="24"/>
          <w:szCs w:val="24"/>
        </w:rPr>
        <w:t xml:space="preserve">6.合同履行期限：45天（系统开发及验收时间为合同签订后45天内）</w:t>
      </w:r>
      <w:r/>
    </w:p>
    <w:p>
      <w:pPr>
        <w:ind w:firstLine="480"/>
        <w:rPr>
          <w:rFonts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本项目不接受联合体投标。</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8.本项目不接受进口产品投标。</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9.本项目不允许分包。</w:t>
      </w:r>
      <w:r/>
    </w:p>
    <w:p>
      <w:pPr>
        <w:pStyle w:val="845"/>
        <w:ind w:firstLine="465"/>
        <w:spacing w:before="145" w:after="145" w:line="240" w:lineRule="auto"/>
        <w:rPr>
          <w:rFonts w:ascii="方正黑体_GBK" w:hAnsi="方正黑体_GBK" w:eastAsia="方正黑体_GBK" w:cs="方正黑体_GBK"/>
          <w:b w:val="0"/>
          <w:bCs w:val="0"/>
          <w:sz w:val="30"/>
          <w:szCs w:val="30"/>
        </w:rPr>
      </w:pPr>
      <w:r/>
      <w:bookmarkStart w:id="13" w:name="_Toc28359080"/>
      <w:r/>
      <w:bookmarkStart w:id="14" w:name="_Toc35393791"/>
      <w:r/>
      <w:bookmarkStart w:id="15" w:name="_Toc38985264"/>
      <w:r/>
      <w:bookmarkStart w:id="16" w:name="_Toc35393622"/>
      <w:r/>
      <w:bookmarkStart w:id="17" w:name="_Toc28359003"/>
      <w:r>
        <w:rPr>
          <w:rFonts w:hint="eastAsia" w:ascii="方正黑体_GBK" w:hAnsi="方正黑体_GBK" w:eastAsia="方正黑体_GBK" w:cs="方正黑体_GBK"/>
          <w:b w:val="0"/>
          <w:bCs w:val="0"/>
          <w:sz w:val="30"/>
          <w:szCs w:val="30"/>
        </w:rPr>
        <w:t xml:space="preserve">二、申请人的资格要求</w:t>
      </w:r>
      <w:bookmarkEnd w:id="13"/>
      <w:r/>
      <w:bookmarkEnd w:id="14"/>
      <w:r/>
      <w:bookmarkEnd w:id="15"/>
      <w:r/>
      <w:bookmarkEnd w:id="16"/>
      <w:r/>
      <w:bookmarkEnd w:id="17"/>
      <w:r/>
      <w:r/>
    </w:p>
    <w:p>
      <w:pPr>
        <w:ind w:firstLine="480"/>
        <w:spacing w:line="252" w:lineRule="auto"/>
        <w:rPr>
          <w:rFonts w:ascii="宋体" w:hAnsi="宋体"/>
          <w:sz w:val="24"/>
          <w:szCs w:val="24"/>
        </w:rPr>
      </w:pPr>
      <w:r/>
      <w:bookmarkStart w:id="18" w:name="_Toc35393792"/>
      <w:r/>
      <w:bookmarkStart w:id="19" w:name="_Toc28359081"/>
      <w:r/>
      <w:bookmarkStart w:id="20" w:name="_Toc38985265"/>
      <w:r/>
      <w:bookmarkStart w:id="21" w:name="_Toc35393623"/>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color w:val="auto"/>
          <w:sz w:val="24"/>
          <w:szCs w:val="24"/>
        </w:rPr>
      </w:pPr>
      <w:r>
        <w:rPr>
          <w:rFonts w:hint="eastAsia" w:ascii="宋体" w:hAnsi="宋体"/>
          <w:sz w:val="24"/>
          <w:szCs w:val="24"/>
        </w:rPr>
        <w:t xml:space="preserve">2.未被“信用中国”网站列入失信被执行人、重大税收违法失信主体名单、政府采购严重</w:t>
      </w:r>
      <w:r>
        <w:rPr>
          <w:rFonts w:hint="eastAsia" w:ascii="宋体" w:hAnsi="宋体"/>
          <w:color w:val="auto"/>
          <w:sz w:val="24"/>
          <w:szCs w:val="24"/>
        </w:rPr>
        <w:t xml:space="preserve">违法失信行为记录名单。（资格审查环节查询，投标文件中无需提供证明材料）</w:t>
      </w:r>
      <w:r/>
    </w:p>
    <w:p>
      <w:pPr>
        <w:ind w:firstLine="480"/>
        <w:spacing w:line="252" w:lineRule="auto"/>
        <w:rPr>
          <w:rFonts w:ascii="宋体" w:hAnsi="宋体"/>
          <w:color w:val="auto"/>
          <w:sz w:val="24"/>
          <w:szCs w:val="24"/>
          <w:lang w:val="zh-CN"/>
        </w:rPr>
      </w:pPr>
      <w:r>
        <w:rPr>
          <w:rFonts w:hint="eastAsia" w:ascii="宋体" w:hAnsi="宋体"/>
          <w:color w:val="auto"/>
          <w:sz w:val="24"/>
          <w:szCs w:val="24"/>
        </w:rPr>
        <w:t xml:space="preserve">（二）</w:t>
      </w:r>
      <w:r>
        <w:rPr>
          <w:rFonts w:hint="eastAsia" w:ascii="宋体" w:hAnsi="宋体"/>
          <w:color w:val="auto"/>
          <w:sz w:val="24"/>
          <w:szCs w:val="24"/>
          <w:lang w:val="zh-CN"/>
        </w:rPr>
        <w:t xml:space="preserve">落实政府采购政策需满足的资格要求：无。</w:t>
      </w:r>
      <w:r/>
    </w:p>
    <w:p>
      <w:pPr>
        <w:ind w:firstLine="480"/>
        <w:rPr>
          <w:rFonts w:ascii="宋体" w:hAnsi="宋体"/>
          <w:color w:val="auto"/>
          <w:sz w:val="24"/>
          <w:szCs w:val="24"/>
        </w:rPr>
      </w:pPr>
      <w:r>
        <w:rPr>
          <w:rFonts w:hint="eastAsia" w:ascii="宋体" w:hAnsi="宋体"/>
          <w:color w:val="auto"/>
          <w:sz w:val="24"/>
          <w:szCs w:val="24"/>
        </w:rPr>
        <w:t xml:space="preserve">（三）本项目的特定资格要求：</w:t>
      </w:r>
      <w:r>
        <w:rPr>
          <w:rFonts w:hint="eastAsia" w:ascii="宋体" w:hAnsi="宋体"/>
          <w:color w:val="auto"/>
          <w:sz w:val="24"/>
          <w:szCs w:val="24"/>
          <w:lang w:val="zh-CN"/>
        </w:rPr>
        <w:t xml:space="preserve">无。</w:t>
      </w:r>
      <w:r/>
    </w:p>
    <w:p>
      <w:pPr>
        <w:ind w:firstLine="480"/>
        <w:rPr>
          <w:rFonts w:ascii="宋体" w:hAnsi="宋体"/>
          <w:sz w:val="24"/>
          <w:szCs w:val="24"/>
        </w:rPr>
      </w:pPr>
      <w:r>
        <w:rPr>
          <w:rFonts w:ascii="宋体" w:hAnsi="宋体"/>
          <w:sz w:val="24"/>
          <w:szCs w:val="24"/>
        </w:rPr>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8"/>
      <w:r/>
      <w:bookmarkEnd w:id="19"/>
      <w:r/>
      <w:bookmarkEnd w:id="20"/>
      <w:r/>
      <w:bookmarkEnd w:id="21"/>
      <w:r/>
      <w:bookmarkEnd w:id="22"/>
      <w:r/>
      <w:r/>
    </w:p>
    <w:p>
      <w:pPr>
        <w:ind w:firstLine="480"/>
        <w:rPr>
          <w:rFonts w:ascii="宋体" w:hAnsi="宋体" w:cs="宋体"/>
          <w:sz w:val="24"/>
          <w:szCs w:val="24"/>
        </w:rPr>
      </w:pPr>
      <w:r/>
      <w:bookmarkStart w:id="23" w:name="_Toc28359005"/>
      <w:r/>
      <w:bookmarkStart w:id="24" w:name="_Toc28359082"/>
      <w:r/>
      <w:bookmarkStart w:id="25" w:name="_Toc35393793"/>
      <w:r/>
      <w:bookmarkStart w:id="26" w:name="_Toc38985266"/>
      <w:r/>
      <w:bookmarkStart w:id="27" w:name="_Toc35393624"/>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3"/>
      <w:r/>
      <w:bookmarkEnd w:id="24"/>
      <w:r>
        <w:rPr>
          <w:rFonts w:hint="eastAsia" w:ascii="方正黑体_GBK" w:hAnsi="方正黑体_GBK" w:eastAsia="方正黑体_GBK" w:cs="方正黑体_GBK"/>
          <w:b w:val="0"/>
          <w:bCs w:val="0"/>
          <w:sz w:val="30"/>
          <w:szCs w:val="30"/>
        </w:rPr>
        <w:t xml:space="preserve">截止时间、开标时间和地点</w:t>
      </w:r>
      <w:bookmarkEnd w:id="25"/>
      <w:r/>
      <w:bookmarkEnd w:id="26"/>
      <w:r/>
      <w:bookmarkEnd w:id="27"/>
      <w:r/>
      <w:r/>
    </w:p>
    <w:p>
      <w:pPr>
        <w:ind w:firstLine="480"/>
        <w:rPr>
          <w:rFonts w:ascii="宋体" w:hAnsi="宋体"/>
          <w:bCs/>
          <w:sz w:val="24"/>
          <w:szCs w:val="24"/>
          <w:u w:val="single"/>
        </w:rPr>
      </w:pPr>
      <w:r/>
      <w:bookmarkStart w:id="28" w:name="_Toc28359084"/>
      <w:r/>
      <w:bookmarkStart w:id="29" w:name="_Toc28359007"/>
      <w:r/>
      <w:bookmarkStart w:id="30" w:name="_Toc38985267"/>
      <w:r/>
      <w:bookmarkStart w:id="31" w:name="_Toc35393625"/>
      <w:r/>
      <w:bookmarkStart w:id="32" w:name="_Toc35393794"/>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bCs/>
          <w:color w:val="000000" w:themeColor="text1"/>
          <w:sz w:val="24"/>
          <w:szCs w:val="24"/>
          <w:lang w:val="en-US" w:eastAsia="zh-CN"/>
        </w:rPr>
        <w:t xml:space="preserve">9</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18</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公告期限为自本公告发布之日起5个工作日。</w:t>
      </w:r>
      <w:r/>
    </w:p>
    <w:p>
      <w:pPr>
        <w:pStyle w:val="8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
    </w:p>
    <w:p>
      <w:pPr>
        <w:ind w:firstLine="480"/>
        <w:spacing w:line="252" w:lineRule="auto"/>
        <w:tabs>
          <w:tab w:val="left" w:pos="900" w:leader="none"/>
        </w:tabs>
        <w:rPr>
          <w:rFonts w:ascii="宋体" w:hAnsi="宋体"/>
          <w:bCs/>
          <w:sz w:val="24"/>
          <w:szCs w:val="24"/>
        </w:rPr>
      </w:pPr>
      <w:r/>
      <w:bookmarkStart w:id="36" w:name="_Toc35393796"/>
      <w:r/>
      <w:bookmarkStart w:id="37" w:name="_Toc28359008"/>
      <w:r/>
      <w:bookmarkStart w:id="38" w:name="_Toc35393627"/>
      <w:r/>
      <w:bookmarkStart w:id="39" w:name="_Toc28359085"/>
      <w:r/>
      <w:bookmarkStart w:id="40"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，如对采购需求有疑问，请咨询采购人。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tabs>
          <w:tab w:val="left" w:pos="900" w:leader="none"/>
        </w:tabs>
        <w:rPr>
          <w:rFonts w:ascii="宋体" w:hAnsi="宋体"/>
          <w:color w:val="auto"/>
          <w:sz w:val="24"/>
        </w:rPr>
      </w:pPr>
      <w:r>
        <w:rPr>
          <w:rFonts w:hint="eastAsia" w:ascii="宋体" w:hAnsi="宋体"/>
          <w:color w:val="auto"/>
          <w:sz w:val="24"/>
        </w:rPr>
        <w:t xml:space="preserve">5.</w:t>
      </w:r>
      <w:r>
        <w:rPr>
          <w:rFonts w:hint="eastAsia" w:ascii="宋体" w:hAnsi="宋体"/>
          <w:b/>
          <w:bCs/>
          <w:color w:val="auto"/>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tabs>
          <w:tab w:val="left" w:pos="900" w:leader="none"/>
        </w:tabs>
        <w:rPr>
          <w:rFonts w:ascii="宋体" w:hAnsi="宋体"/>
          <w:color w:val="auto"/>
          <w:sz w:val="24"/>
        </w:rPr>
      </w:pPr>
      <w:r>
        <w:rPr>
          <w:rFonts w:hint="eastAsia" w:ascii="宋体" w:hAnsi="宋体"/>
          <w:color w:val="auto"/>
          <w:sz w:val="24"/>
        </w:rPr>
        <w:t xml:space="preserve">采购人《质疑函》收件人：张老师，收件地址：南京市玄武区双龙巷5号4楼410（南京鼓楼医院医用物资采购中心），联系电话：025-83105006。</w:t>
      </w:r>
      <w:r/>
    </w:p>
    <w:p>
      <w:pPr>
        <w:ind w:firstLine="480"/>
        <w:tabs>
          <w:tab w:val="left" w:pos="900" w:leader="none"/>
        </w:tabs>
        <w:rPr>
          <w:rFonts w:ascii="方正黑体_GBK" w:hAnsi="方正黑体_GBK" w:eastAsia="方正黑体_GBK" w:cs="方正黑体_GBK"/>
          <w:color w:val="auto"/>
          <w:sz w:val="30"/>
          <w:szCs w:val="30"/>
        </w:rPr>
      </w:pPr>
      <w:r>
        <w:rPr>
          <w:rFonts w:hint="eastAsia" w:ascii="宋体" w:hAnsi="宋体"/>
          <w:color w:val="auto"/>
          <w:sz w:val="24"/>
        </w:rPr>
        <w:t xml:space="preserve">交易中心《质疑函》收件人：南京市公共资源交易中心政府集中采购处，收件地址：南京市建邺区江东中路265号南京市公共资源交易中心北门，联系电话：025-68505926。</w:t>
      </w:r>
      <w:r/>
    </w:p>
    <w:p>
      <w:pPr>
        <w:pStyle w:val="844"/>
        <w:ind w:firstLine="465"/>
        <w:spacing w:before="145" w:after="145" w:line="252"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6"/>
      <w:r/>
      <w:bookmarkEnd w:id="37"/>
      <w:r/>
      <w:bookmarkEnd w:id="38"/>
      <w:r/>
      <w:bookmarkEnd w:id="39"/>
      <w:r/>
      <w:bookmarkEnd w:id="40"/>
      <w:r/>
      <w:r/>
    </w:p>
    <w:p>
      <w:pPr>
        <w:ind w:firstLine="480"/>
        <w:rPr>
          <w:rFonts w:ascii="宋体" w:hAnsi="宋体"/>
          <w:sz w:val="24"/>
          <w:szCs w:val="24"/>
        </w:rPr>
      </w:pPr>
      <w:r>
        <w:rPr>
          <w:rFonts w:hint="eastAsia" w:ascii="宋体" w:hAnsi="宋体"/>
          <w:sz w:val="24"/>
          <w:szCs w:val="24"/>
        </w:rPr>
        <w:t xml:space="preserve">1.采购人</w:t>
      </w:r>
      <w:r/>
    </w:p>
    <w:p>
      <w:pPr>
        <w:ind w:firstLine="480"/>
        <w:rPr>
          <w:rFonts w:ascii="宋体" w:hAnsi="宋体"/>
          <w:sz w:val="24"/>
          <w:szCs w:val="24"/>
        </w:rPr>
      </w:pPr>
      <w:r>
        <w:rPr>
          <w:rFonts w:hint="eastAsia" w:ascii="宋体" w:hAnsi="宋体"/>
          <w:sz w:val="24"/>
          <w:szCs w:val="24"/>
        </w:rPr>
        <w:t xml:space="preserve">名  称：南京鼓楼医院          </w:t>
      </w:r>
      <w:r/>
    </w:p>
    <w:p>
      <w:pPr>
        <w:ind w:firstLine="480"/>
        <w:rPr>
          <w:rFonts w:ascii="宋体" w:hAnsi="宋体"/>
          <w:sz w:val="24"/>
          <w:szCs w:val="24"/>
        </w:rPr>
      </w:pPr>
      <w:r>
        <w:rPr>
          <w:rFonts w:hint="eastAsia" w:ascii="宋体" w:hAnsi="宋体"/>
          <w:sz w:val="24"/>
          <w:szCs w:val="24"/>
        </w:rPr>
        <w:t xml:space="preserve">地  址：南京市鼓楼区中山路321号    </w:t>
      </w:r>
      <w:r/>
    </w:p>
    <w:p>
      <w:pPr>
        <w:ind w:firstLine="480"/>
        <w:rPr>
          <w:rFonts w:ascii="宋体" w:hAnsi="宋体"/>
          <w:sz w:val="24"/>
          <w:szCs w:val="24"/>
        </w:rPr>
      </w:pPr>
      <w:r>
        <w:rPr>
          <w:rFonts w:hint="eastAsia" w:ascii="宋体" w:hAnsi="宋体"/>
          <w:sz w:val="24"/>
          <w:szCs w:val="24"/>
        </w:rPr>
        <w:t xml:space="preserve">联系人：张老师 </w:t>
      </w:r>
      <w:r/>
    </w:p>
    <w:p>
      <w:pPr>
        <w:ind w:firstLine="480"/>
        <w:rPr>
          <w:rFonts w:ascii="宋体" w:hAnsi="宋体"/>
          <w:sz w:val="24"/>
          <w:szCs w:val="24"/>
        </w:rPr>
      </w:pPr>
      <w:r>
        <w:rPr>
          <w:rFonts w:hint="eastAsia" w:ascii="宋体" w:hAnsi="宋体"/>
          <w:sz w:val="24"/>
          <w:szCs w:val="24"/>
        </w:rPr>
        <w:t xml:space="preserve">联系电话：025-83105006 </w:t>
      </w:r>
      <w:bookmarkStart w:id="41" w:name="_Toc28359086"/>
      <w:r/>
      <w:bookmarkStart w:id="42" w:name="_Toc28359009"/>
      <w:r/>
      <w:r/>
    </w:p>
    <w:p>
      <w:pPr>
        <w:ind w:firstLine="480"/>
        <w:rPr>
          <w:rFonts w:ascii="宋体" w:hAnsi="宋体"/>
          <w:sz w:val="24"/>
          <w:szCs w:val="24"/>
        </w:rPr>
      </w:pPr>
      <w:r>
        <w:rPr>
          <w:rFonts w:hint="eastAsia" w:ascii="宋体" w:hAnsi="宋体"/>
          <w:sz w:val="24"/>
          <w:szCs w:val="24"/>
        </w:rPr>
        <w:t xml:space="preserve">2.交易中心</w:t>
      </w:r>
      <w:bookmarkEnd w:id="41"/>
      <w:r/>
      <w:bookmarkEnd w:id="42"/>
      <w:r/>
      <w:r/>
    </w:p>
    <w:p>
      <w:pPr>
        <w:ind w:firstLine="480"/>
        <w:rPr>
          <w:rFonts w:ascii="宋体" w:hAnsi="宋体"/>
          <w:sz w:val="24"/>
          <w:szCs w:val="24"/>
        </w:rPr>
      </w:pPr>
      <w:r>
        <w:rPr>
          <w:rFonts w:hint="eastAsia" w:ascii="宋体" w:hAnsi="宋体"/>
          <w:sz w:val="24"/>
          <w:szCs w:val="24"/>
        </w:rPr>
        <w:t xml:space="preserve">地  址：南京市建邺区江东中路265号    </w:t>
      </w:r>
      <w:r/>
    </w:p>
    <w:p>
      <w:pPr>
        <w:ind w:firstLine="480"/>
        <w:rPr>
          <w:rFonts w:ascii="宋体" w:hAnsi="宋体"/>
          <w:sz w:val="24"/>
          <w:szCs w:val="24"/>
        </w:rPr>
      </w:pPr>
      <w:r>
        <w:rPr>
          <w:rFonts w:hint="eastAsia" w:ascii="宋体" w:hAnsi="宋体"/>
          <w:sz w:val="24"/>
          <w:szCs w:val="24"/>
        </w:rPr>
        <w:t xml:space="preserve">联系人：王女士 </w:t>
      </w:r>
      <w:r/>
    </w:p>
    <w:p>
      <w:pPr>
        <w:ind w:firstLine="480"/>
        <w:rPr>
          <w:rFonts w:ascii="宋体" w:hAnsi="宋体"/>
          <w:sz w:val="24"/>
          <w:szCs w:val="24"/>
        </w:rPr>
      </w:pPr>
      <w:r>
        <w:rPr>
          <w:rFonts w:hint="eastAsia" w:ascii="宋体" w:hAnsi="宋体"/>
          <w:sz w:val="24"/>
          <w:szCs w:val="24"/>
        </w:rPr>
        <w:t xml:space="preserve">联系电话：025-68505967 </w:t>
      </w:r>
      <w:r/>
    </w:p>
    <w:p>
      <w:pPr>
        <w:ind w:firstLine="480"/>
      </w:pPr>
      <w:r>
        <w:rPr>
          <w:rFonts w:hint="eastAsia" w:ascii="宋体" w:hAnsi="宋体"/>
          <w:color w:val="0000ff"/>
          <w:sz w:val="24"/>
          <w:szCs w:val="24"/>
        </w:rPr>
        <w:t xml:space="preserve"> </w:t>
      </w:r>
      <w:bookmarkEnd w:id="1"/>
      <w:r/>
      <w:bookmarkEnd w:id="2"/>
      <w:r/>
      <w:bookmarkEnd w:id="3"/>
      <w:r/>
      <w:bookmarkEnd w:id="4"/>
      <w:r/>
      <w:bookmarkEnd w:id="5"/>
      <w:r/>
      <w:r/>
    </w:p>
    <w:p>
      <w:pPr>
        <w:pStyle w:val="920"/>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bookmarkStart w:id="43" w:name="_Hlt16619350"/>
      <w:r/>
      <w:bookmarkStart w:id="44" w:name="_Toc16938590"/>
      <w:r/>
      <w:bookmarkStart w:id="45" w:name="_Toc20823346"/>
      <w:r/>
      <w:bookmarkStart w:id="46" w:name="_Toc120614244"/>
      <w:r/>
      <w:bookmarkStart w:id="47" w:name="_Toc479757211"/>
      <w:r/>
      <w:bookmarkStart w:id="48" w:name="_Toc462564139"/>
      <w:r>
        <w:rPr>
          <w:rFonts w:ascii="黑体" w:eastAsia="黑体"/>
          <w:bCs/>
          <w:sz w:val="44"/>
        </w:rPr>
        <w:br w:type="page" w:clear="all"/>
      </w:r>
      <w:bookmarkStart w:id="49" w:name="_Toc120614211"/>
      <w:r>
        <w:rPr>
          <w:rFonts w:hint="eastAsia" w:ascii="方正小标宋简体" w:hAnsi="方正小标宋简体" w:eastAsia="方正小标宋简体" w:cs="方正小标宋简体"/>
          <w:color w:val="000000"/>
          <w:sz w:val="36"/>
          <w:szCs w:val="36"/>
          <w:lang w:val="en-US"/>
        </w:rPr>
        <w:t xml:space="preserve">第二章  投标人须知</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ascii="宋体" w:hAnsi="宋体"/>
          <w:sz w:val="24"/>
        </w:rPr>
      </w:pPr>
      <w:r>
        <w:rPr>
          <w:rFonts w:hint="eastAsia" w:ascii="宋体" w:hAnsi="宋体"/>
          <w:sz w:val="24"/>
        </w:rPr>
        <w:t xml:space="preserve">2.1 满足招标公告对投标人资格要求。</w:t>
      </w:r>
      <w:r/>
    </w:p>
    <w:p>
      <w:pPr>
        <w:ind w:firstLine="420"/>
        <w:rPr>
          <w:rFonts w:ascii="宋体" w:hAnsi="宋体"/>
          <w:sz w:val="24"/>
        </w:rPr>
      </w:pPr>
      <w:r>
        <w:rPr>
          <w:rFonts w:hint="eastAsia" w:ascii="宋体" w:hAnsi="宋体"/>
          <w:sz w:val="24"/>
        </w:rPr>
        <w:t xml:space="preserve">2.2 满足招标文件规定的实质性要求。</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0"/>
        <w:rPr>
          <w:rFonts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92"/>
        <w:rPr>
          <w:rFonts w:ascii="方正楷体_GBK" w:hAnsi="方正楷体_GBK" w:eastAsia="方正楷体_GBK" w:cs="方正楷体_GBK"/>
          <w:b/>
          <w:bCs/>
          <w:sz w:val="28"/>
          <w:szCs w:val="28"/>
          <w:lang w:val="zh-CN"/>
        </w:rPr>
      </w:pPr>
      <w:r>
        <w:rPr>
          <w:rFonts w:hint="eastAsia" w:ascii="方正楷体_GBK" w:hAnsi="方正楷体_GBK" w:eastAsia="方正楷体_GBK" w:cs="方正楷体_GBK"/>
          <w:b/>
          <w:bCs/>
          <w:sz w:val="28"/>
          <w:szCs w:val="28"/>
          <w:lang w:val="zh-CN"/>
        </w:rPr>
        <w:t xml:space="preserve">18.评标</w:t>
      </w:r>
      <w:r/>
    </w:p>
    <w:p>
      <w:pPr>
        <w:ind w:firstLine="420"/>
        <w:rPr>
          <w:rFonts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ascii="宋体" w:hAnsi="宋体"/>
          <w:color w:val="auto"/>
          <w:sz w:val="24"/>
          <w:szCs w:val="22"/>
          <w:lang w:val="zh-CN"/>
        </w:rPr>
      </w:pPr>
      <w:r>
        <w:rPr>
          <w:rFonts w:hint="eastAsia" w:ascii="宋体" w:hAnsi="宋体"/>
          <w:color w:val="auto"/>
          <w:sz w:val="24"/>
          <w:szCs w:val="22"/>
          <w:lang w:val="zh-CN"/>
        </w:rPr>
        <w:t xml:space="preserve">2</w:t>
      </w:r>
      <w:r>
        <w:rPr>
          <w:rFonts w:hint="eastAsia" w:ascii="宋体" w:hAnsi="宋体"/>
          <w:color w:val="auto"/>
          <w:sz w:val="24"/>
          <w:szCs w:val="22"/>
        </w:rPr>
        <w:t xml:space="preserve">1</w:t>
      </w:r>
      <w:r>
        <w:rPr>
          <w:rFonts w:hint="eastAsia" w:ascii="宋体" w:hAnsi="宋体"/>
          <w:color w:val="auto"/>
          <w:sz w:val="24"/>
          <w:szCs w:val="22"/>
          <w:lang w:val="zh-CN"/>
        </w:rPr>
        <w:t xml:space="preserve">.</w:t>
      </w:r>
      <w:r>
        <w:rPr>
          <w:rFonts w:hint="eastAsia" w:ascii="宋体" w:hAnsi="宋体"/>
          <w:color w:val="auto"/>
          <w:sz w:val="24"/>
          <w:szCs w:val="22"/>
        </w:rPr>
        <w:t xml:space="preserve">6</w:t>
      </w:r>
      <w:r>
        <w:rPr>
          <w:rFonts w:hint="eastAsia" w:ascii="宋体" w:hAnsi="宋体"/>
          <w:color w:val="auto"/>
          <w:sz w:val="24"/>
          <w:szCs w:val="22"/>
          <w:lang w:val="zh-CN"/>
        </w:rPr>
        <w:t xml:space="preserve">.</w:t>
      </w:r>
      <w:r>
        <w:rPr>
          <w:rFonts w:hint="eastAsia" w:ascii="宋体" w:hAnsi="宋体"/>
          <w:color w:val="auto"/>
          <w:sz w:val="24"/>
          <w:szCs w:val="22"/>
        </w:rPr>
        <w:t xml:space="preserve">1</w:t>
      </w:r>
      <w:r>
        <w:rPr>
          <w:rFonts w:hint="eastAsia" w:ascii="宋体" w:hAnsi="宋体"/>
          <w:color w:val="auto"/>
          <w:sz w:val="24"/>
          <w:szCs w:val="22"/>
          <w:lang w:val="zh-CN"/>
        </w:rPr>
        <w:t xml:space="preserve">评标过程中出现下列情形之一的，</w:t>
      </w:r>
      <w:r>
        <w:rPr>
          <w:rFonts w:hint="eastAsia" w:ascii="宋体" w:hAnsi="宋体"/>
          <w:color w:val="auto"/>
          <w:sz w:val="24"/>
          <w:lang w:val="zh-CN"/>
        </w:rPr>
        <w:t xml:space="preserve">评委会</w:t>
      </w:r>
      <w:r>
        <w:rPr>
          <w:rFonts w:hint="eastAsia" w:ascii="宋体" w:hAnsi="宋体"/>
          <w:color w:val="auto"/>
          <w:sz w:val="24"/>
          <w:szCs w:val="22"/>
          <w:lang w:val="zh-CN"/>
        </w:rPr>
        <w:t xml:space="preserve">应当启动异常低价审查程序：</w:t>
      </w:r>
      <w:r/>
    </w:p>
    <w:p>
      <w:pPr>
        <w:ind w:firstLine="420"/>
        <w:rPr>
          <w:rFonts w:ascii="宋体" w:hAnsi="宋体"/>
          <w:color w:val="auto"/>
          <w:sz w:val="24"/>
          <w:szCs w:val="22"/>
          <w:lang w:val="zh-CN"/>
        </w:rPr>
      </w:pPr>
      <w:r>
        <w:rPr>
          <w:rFonts w:hint="eastAsia" w:ascii="宋体" w:hAnsi="宋体"/>
          <w:color w:val="auto"/>
          <w:sz w:val="24"/>
          <w:szCs w:val="22"/>
          <w:lang w:val="zh-CN"/>
        </w:rPr>
        <w:t xml:space="preserve">（1）投标报价低于全部通过符合性审查投标人投标报价平均值</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的，即投标报价&lt;全部通过符合性审查投标人投标报价平均值×</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w:t>
      </w:r>
      <w:r/>
    </w:p>
    <w:p>
      <w:pPr>
        <w:ind w:firstLine="420"/>
        <w:rPr>
          <w:rFonts w:ascii="宋体" w:hAnsi="宋体"/>
          <w:color w:val="auto"/>
          <w:sz w:val="24"/>
          <w:szCs w:val="22"/>
          <w:lang w:val="zh-CN"/>
        </w:rPr>
      </w:pPr>
      <w:r>
        <w:rPr>
          <w:rFonts w:hint="eastAsia" w:ascii="宋体" w:hAnsi="宋体"/>
          <w:color w:val="auto"/>
          <w:sz w:val="24"/>
          <w:szCs w:val="22"/>
          <w:lang w:val="zh-CN"/>
        </w:rPr>
        <w:t xml:space="preserve">（2）投标报价低于通过符合性审查的次低报价投标人投标报价</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的，即投标报价&lt;通过符合性审查的次低报价投标人投标报价×</w:t>
      </w:r>
      <w:r>
        <w:rPr>
          <w:rFonts w:hint="eastAsia" w:ascii="宋体" w:hAnsi="宋体"/>
          <w:color w:val="auto"/>
          <w:sz w:val="24"/>
          <w:szCs w:val="22"/>
          <w:u w:val="single"/>
          <w:lang w:val="zh-CN"/>
        </w:rPr>
        <w:t xml:space="preserve">50%</w:t>
      </w:r>
      <w:r>
        <w:rPr>
          <w:rFonts w:hint="eastAsia" w:ascii="宋体" w:hAnsi="宋体"/>
          <w:color w:val="auto"/>
          <w:sz w:val="24"/>
          <w:szCs w:val="22"/>
          <w:lang w:val="zh-CN"/>
        </w:rPr>
        <w:t xml:space="preserve">；</w:t>
      </w:r>
      <w:r/>
    </w:p>
    <w:p>
      <w:pPr>
        <w:ind w:firstLine="420"/>
        <w:rPr>
          <w:rFonts w:ascii="宋体" w:hAnsi="宋体"/>
          <w:color w:val="auto"/>
          <w:sz w:val="24"/>
          <w:szCs w:val="22"/>
          <w:lang w:val="zh-CN"/>
        </w:rPr>
      </w:pPr>
      <w:r>
        <w:rPr>
          <w:rFonts w:hint="eastAsia" w:ascii="宋体" w:hAnsi="宋体"/>
          <w:color w:val="auto"/>
          <w:sz w:val="24"/>
          <w:szCs w:val="22"/>
          <w:lang w:val="zh-CN"/>
        </w:rPr>
        <w:t xml:space="preserve">（3）投标报价低于采购项目最高限价</w:t>
      </w:r>
      <w:r>
        <w:rPr>
          <w:rFonts w:hint="eastAsia" w:ascii="宋体" w:hAnsi="宋体"/>
          <w:color w:val="auto"/>
          <w:sz w:val="24"/>
          <w:szCs w:val="22"/>
          <w:u w:val="single"/>
          <w:lang w:val="zh-CN"/>
        </w:rPr>
        <w:t xml:space="preserve">45%</w:t>
      </w:r>
      <w:r>
        <w:rPr>
          <w:rFonts w:hint="eastAsia" w:ascii="宋体" w:hAnsi="宋体"/>
          <w:color w:val="auto"/>
          <w:sz w:val="24"/>
          <w:szCs w:val="22"/>
          <w:lang w:val="zh-CN"/>
        </w:rPr>
        <w:t xml:space="preserve">的，即投标报价&lt;采购项目最高限价×</w:t>
      </w:r>
      <w:r>
        <w:rPr>
          <w:rFonts w:hint="eastAsia" w:ascii="宋体" w:hAnsi="宋体"/>
          <w:color w:val="auto"/>
          <w:sz w:val="24"/>
          <w:szCs w:val="22"/>
          <w:u w:val="single"/>
          <w:lang w:val="zh-CN"/>
        </w:rPr>
        <w:t xml:space="preserve">45%</w:t>
      </w:r>
      <w:r>
        <w:rPr>
          <w:rFonts w:hint="eastAsia" w:ascii="宋体" w:hAnsi="宋体"/>
          <w:color w:val="auto"/>
          <w:sz w:val="24"/>
          <w:szCs w:val="22"/>
          <w:lang w:val="zh-CN"/>
        </w:rPr>
        <w:t xml:space="preserve">；</w:t>
      </w:r>
      <w:r/>
    </w:p>
    <w:p>
      <w:pPr>
        <w:ind w:firstLine="420"/>
        <w:rPr>
          <w:rFonts w:ascii="宋体" w:hAnsi="宋体"/>
          <w:sz w:val="24"/>
          <w:szCs w:val="22"/>
          <w:lang w:val="zh-CN"/>
        </w:rPr>
      </w:pPr>
      <w:r>
        <w:rPr>
          <w:rFonts w:hint="eastAsia" w:ascii="宋体" w:hAnsi="宋体"/>
          <w:color w:val="auto"/>
          <w:sz w:val="24"/>
          <w:szCs w:val="22"/>
          <w:lang w:val="zh-CN"/>
        </w:rPr>
        <w:t xml:space="preserve">（4）</w:t>
      </w:r>
      <w:r>
        <w:rPr>
          <w:rFonts w:hint="eastAsia" w:ascii="宋体" w:hAnsi="宋体"/>
          <w:color w:val="auto"/>
          <w:sz w:val="24"/>
          <w:lang w:val="zh-CN"/>
        </w:rPr>
        <w:t xml:space="preserve">评委会</w:t>
      </w:r>
      <w:r>
        <w:rPr>
          <w:rFonts w:hint="eastAsia" w:ascii="宋体" w:hAnsi="宋体"/>
          <w:color w:val="auto"/>
          <w:sz w:val="24"/>
          <w:szCs w:val="22"/>
          <w:lang w:val="zh-CN"/>
        </w:rPr>
        <w:t xml:space="preserve">基于专业判断，认为投标报价过低，有可能影响产品质量或者不能诚信履约</w:t>
      </w:r>
      <w:r>
        <w:rPr>
          <w:rFonts w:hint="eastAsia" w:ascii="宋体" w:hAnsi="宋体"/>
          <w:sz w:val="24"/>
          <w:szCs w:val="22"/>
          <w:lang w:val="zh-CN"/>
        </w:rPr>
        <w:t xml:space="preserve">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22.1.10 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000000" w:themeColor="text1"/>
          <w:sz w:val="24"/>
        </w:rPr>
        <w:t xml:space="preserve">南京市财政局</w:t>
      </w:r>
      <w:r>
        <w:rPr>
          <w:rFonts w:hint="eastAsia" w:ascii="宋体" w:hAnsi="宋体"/>
          <w:b/>
          <w:bCs/>
          <w:sz w:val="24"/>
        </w:rPr>
        <w:t xml:space="preserve">提起投诉。</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ascii="宋体" w:hAnsi="宋体"/>
          <w:sz w:val="24"/>
          <w:szCs w:val="22"/>
          <w:lang w:val="zh-CN"/>
        </w:rPr>
      </w:pPr>
      <w:r>
        <w:rPr>
          <w:rFonts w:hint="eastAsia" w:ascii="宋体" w:hAnsi="宋体"/>
          <w:sz w:val="24"/>
          <w:szCs w:val="22"/>
          <w:lang w:val="zh-CN"/>
        </w:rPr>
        <w:t xml:space="preserve">（1）在中国境内生产</w:t>
      </w:r>
      <w:r/>
    </w:p>
    <w:p>
      <w:pPr>
        <w:ind w:firstLine="420"/>
        <w:rPr>
          <w:rFonts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40.4对本国产品的支持政策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40.5政策执行要求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9"/>
      <w:r/>
      <w:bookmarkStart w:id="50" w:name="_Toc16938558"/>
      <w:r/>
      <w:bookmarkStart w:id="51" w:name="_Toc20823314"/>
      <w:r/>
      <w:bookmarkStart w:id="52" w:name="_Toc479757207"/>
      <w:r/>
      <w:bookmarkStart w:id="53" w:name="_Toc120614221"/>
      <w:r/>
      <w:bookmarkStart w:id="54" w:name="_Toc513029242"/>
      <w:r/>
      <w:r/>
    </w:p>
    <w:p>
      <w:pPr>
        <w:pStyle w:val="846"/>
        <w:ind w:firstLine="422"/>
        <w:rPr>
          <w:rFonts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zh-CN"/>
        </w:rPr>
        <w:t xml:space="preserve">.数据交易说明</w:t>
      </w:r>
      <w:r/>
    </w:p>
    <w:p>
      <w:pPr>
        <w:ind w:firstLine="420"/>
        <w:rPr>
          <w:rFonts w:ascii="宋体" w:hAnsi="宋体"/>
          <w:sz w:val="24"/>
          <w:lang w:val="zh-CN"/>
        </w:rPr>
      </w:pPr>
      <w:r>
        <w:rPr>
          <w:rFonts w:hint="eastAsia" w:ascii="宋体" w:hAnsi="宋体"/>
          <w:sz w:val="24"/>
          <w:lang w:val="zh-CN"/>
        </w:rPr>
        <w:t xml:space="preserve"> 数据交易标的包括数据产品、数据服务、数据工具。</w:t>
      </w:r>
      <w:r/>
    </w:p>
    <w:p>
      <w:pPr>
        <w:ind w:firstLine="420"/>
        <w:rPr>
          <w:rFonts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数据产品是指用于交易的数据和数据衍生产品，包括但不限于数据集、数据分析报告、数据可视化产品、数据指数、API数据、加密数据等。</w:t>
      </w:r>
      <w:r/>
    </w:p>
    <w:p>
      <w:pPr>
        <w:ind w:firstLine="420"/>
        <w:rPr>
          <w:rFonts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20"/>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ascii="宋体" w:hAnsi="宋体"/>
          <w:bCs/>
          <w:color w:val="000000"/>
          <w:sz w:val="24"/>
        </w:rPr>
      </w:pPr>
      <w:r/>
      <w:bookmarkStart w:id="55" w:name="_Toc513029243"/>
      <w:r/>
      <w:bookmarkStart w:id="56" w:name="_Toc16938559"/>
      <w:r/>
      <w:bookmarkStart w:id="57" w:name="_Toc20823315"/>
      <w:r>
        <w:rPr>
          <w:rFonts w:hint="eastAsia" w:ascii="宋体" w:hAnsi="宋体"/>
          <w:bCs/>
          <w:color w:val="000000"/>
          <w:sz w:val="24"/>
        </w:rPr>
        <w:t xml:space="preserve">以下为本项目的合同条款，合同双方不得对招标、投标文件内容作实质性修改。</w:t>
      </w:r>
      <w:r/>
    </w:p>
    <w:p>
      <w:pPr>
        <w:pStyle w:val="920"/>
        <w:ind w:left="0"/>
      </w:p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宋体" w:hAnsi="宋体" w:cs="Courier New"/>
          <w:color w:val="0000ff"/>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color w:val="auto"/>
          <w:sz w:val="24"/>
          <w:szCs w:val="24"/>
        </w:rPr>
      </w:pPr>
      <w:r>
        <w:rPr>
          <w:rFonts w:hint="eastAsia" w:ascii="宋体" w:hAnsi="宋体" w:cs="Courier New"/>
          <w:color w:val="auto"/>
          <w:sz w:val="24"/>
          <w:szCs w:val="24"/>
        </w:rPr>
        <w:t xml:space="preserve">6.1 签订合同时，乙方按照合同金额</w:t>
      </w:r>
      <w:r>
        <w:rPr>
          <w:rFonts w:hint="eastAsia" w:ascii="宋体" w:hAnsi="宋体" w:cs="Courier New"/>
          <w:color w:val="auto"/>
          <w:sz w:val="24"/>
          <w:szCs w:val="24"/>
          <w:u w:val="single"/>
        </w:rPr>
        <w:t xml:space="preserve"> 10 </w:t>
      </w:r>
      <w:r>
        <w:rPr>
          <w:rFonts w:hint="eastAsia" w:ascii="宋体" w:hAnsi="宋体" w:cs="Courier New"/>
          <w:color w:val="auto"/>
          <w:sz w:val="24"/>
          <w:szCs w:val="24"/>
        </w:rPr>
        <w:t xml:space="preserve">%缴纳履约保证金。合同履行结束后，甲方按以下约定退还：</w:t>
      </w:r>
      <w:r/>
    </w:p>
    <w:p>
      <w:pPr>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rPr>
          <w:rFonts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rPr>
          <w:rFonts w:ascii="宋体" w:hAnsi="宋体" w:cs="Courier New"/>
          <w:color w:val="auto"/>
          <w:sz w:val="24"/>
          <w:szCs w:val="24"/>
        </w:rPr>
      </w:pPr>
      <w:r>
        <w:rPr>
          <w:rFonts w:hint="eastAsia" w:ascii="宋体" w:hAnsi="宋体" w:cs="Courier New"/>
          <w:color w:val="auto"/>
          <w:sz w:val="24"/>
          <w:szCs w:val="24"/>
        </w:rPr>
        <w:t xml:space="preserve">6.1.3 不予退还的情形：合同约定的交付期内未履约完成、验收不合格、整改不到位等情形。</w:t>
      </w:r>
      <w:r/>
    </w:p>
    <w:p>
      <w:pPr>
        <w:rPr>
          <w:rFonts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 乙方不得将合同标的转包给他人履行，否则甲方有权终止合同。</w:t>
      </w:r>
      <w:r/>
    </w:p>
    <w:p>
      <w:pPr>
        <w:rPr>
          <w:rFonts w:ascii="宋体" w:hAnsi="宋体" w:cs="Courier New"/>
          <w:color w:val="auto"/>
          <w:sz w:val="24"/>
          <w:szCs w:val="24"/>
        </w:rPr>
      </w:pPr>
      <w:r>
        <w:rPr>
          <w:rFonts w:hint="eastAsia" w:ascii="宋体" w:hAnsi="宋体" w:cs="Courier New"/>
          <w:color w:val="auto"/>
          <w:sz w:val="24"/>
          <w:szCs w:val="24"/>
        </w:rPr>
        <w:t xml:space="preserve">7.2 除招标文件允许的分包情况外，乙方不得将合同标的分包给他人履行，否则甲方有权终止合同。</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866"/>
        <w:rPr>
          <w:rFonts w:hAnsi="宋体"/>
          <w:color w:val="auto"/>
          <w:sz w:val="24"/>
          <w:szCs w:val="24"/>
        </w:rPr>
        <w:outlineLvl w:val="3"/>
      </w:pPr>
      <w:r>
        <w:rPr>
          <w:rFonts w:hint="eastAsia" w:hAnsi="宋体"/>
          <w:color w:val="auto"/>
          <w:sz w:val="24"/>
          <w:szCs w:val="24"/>
        </w:rPr>
        <w:t xml:space="preserve">8.1 合同款项的支付方式及时间</w:t>
      </w:r>
      <w:r/>
    </w:p>
    <w:p>
      <w:pPr>
        <w:rPr>
          <w:rFonts w:ascii="宋体" w:hAnsi="宋体" w:cs="Courier New"/>
          <w:color w:val="auto"/>
          <w:sz w:val="24"/>
          <w:szCs w:val="24"/>
        </w:rPr>
      </w:pPr>
      <w:r>
        <w:rPr>
          <w:rFonts w:hint="eastAsia" w:ascii="宋体" w:hAnsi="宋体" w:cs="Courier New"/>
          <w:color w:val="auto"/>
          <w:sz w:val="24"/>
          <w:szCs w:val="24"/>
        </w:rPr>
        <w:t xml:space="preserve">8.1.1 合同签订且服务团队人员到位后，甲方支付合同总价款的30%作为预付款。</w:t>
      </w:r>
      <w:r/>
    </w:p>
    <w:p>
      <w:pPr>
        <w:pStyle w:val="866"/>
        <w:spacing w:line="264" w:lineRule="auto"/>
        <w:rPr>
          <w:rFonts w:hAnsi="宋体"/>
          <w:color w:val="auto"/>
          <w:sz w:val="24"/>
          <w:szCs w:val="24"/>
        </w:rPr>
      </w:pPr>
      <w:r>
        <w:rPr>
          <w:rFonts w:hint="eastAsia" w:hAnsi="宋体"/>
          <w:color w:val="auto"/>
          <w:sz w:val="24"/>
          <w:szCs w:val="24"/>
        </w:rPr>
        <w:t xml:space="preserve">8.1.2 系统开发完成并验收合格后，甲方支付合同总价款的70%。</w:t>
      </w:r>
      <w:r/>
    </w:p>
    <w:p>
      <w:pPr>
        <w:pStyle w:val="866"/>
        <w:spacing w:line="264" w:lineRule="auto"/>
      </w:pPr>
      <w:r>
        <w:rPr>
          <w:rFonts w:hint="eastAsia" w:hAnsi="宋体"/>
          <w:color w:val="auto"/>
          <w:sz w:val="24"/>
          <w:szCs w:val="24"/>
        </w:rPr>
        <w:t xml:space="preserve">8.1.3 满足合同约定支付条件的，甲方收到乙方发票后10个工作日内，将资金支付到合同约</w:t>
      </w:r>
      <w:r>
        <w:rPr>
          <w:rFonts w:hint="eastAsia" w:hAnsi="宋体"/>
          <w:sz w:val="24"/>
          <w:szCs w:val="24"/>
        </w:rPr>
        <w:t xml:space="preserve">定的乙方账户。 </w:t>
      </w:r>
      <w:r/>
    </w:p>
    <w:p>
      <w:pPr>
        <w:pStyle w:val="866"/>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cs="Courier New"/>
          <w:color w:val="0000ff"/>
          <w:sz w:val="24"/>
          <w:szCs w:val="24"/>
          <w:lang w:val="zh-CN"/>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ascii="宋体" w:hAnsi="宋体" w:cs="Courier New"/>
          <w:color w:val="000000"/>
          <w:sz w:val="24"/>
          <w:szCs w:val="24"/>
        </w:rPr>
      </w:pPr>
      <w:r>
        <w:rPr>
          <w:rFonts w:hint="eastAsia" w:ascii="宋体" w:hAnsi="宋体" w:cs="Courier New"/>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0.01% </w:t>
      </w: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0.01%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0.1 </w:t>
      </w:r>
      <w:r>
        <w:rPr>
          <w:rFonts w:ascii="宋体" w:hAnsi="宋体" w:cs="宋体"/>
          <w:sz w:val="24"/>
          <w:szCs w:val="24"/>
        </w:rPr>
        <w:t xml:space="preserve">%。</w:t>
      </w:r>
      <w:r/>
    </w:p>
    <w:p>
      <w:pPr>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0.1%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0.1% </w:t>
      </w:r>
      <w:r>
        <w:rPr>
          <w:rFonts w:hint="eastAsia" w:ascii="宋体" w:hAnsi="宋体" w:cs="Courier New"/>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6"/>
        <w:spacing w:before="120" w:after="120"/>
        <w:rPr>
          <w:rFonts w:hAnsi="宋体"/>
          <w:sz w:val="24"/>
          <w:szCs w:val="24"/>
        </w:rPr>
      </w:pPr>
      <w:r>
        <w:rPr>
          <w:rFonts w:hint="eastAsia" w:hAnsi="宋体"/>
          <w:sz w:val="24"/>
          <w:szCs w:val="24"/>
        </w:rPr>
        <w:t xml:space="preserve">  </w:t>
      </w:r>
      <w:bookmarkEnd w:id="55"/>
      <w:r/>
      <w:bookmarkEnd w:id="56"/>
      <w:r/>
      <w:bookmarkEnd w:id="57"/>
      <w:r/>
      <w:r/>
    </w:p>
    <w:p>
      <w:pPr>
        <w:pStyle w:val="866"/>
        <w:ind w:firstLine="240"/>
        <w:spacing w:before="120" w:after="120"/>
        <w:rPr>
          <w:rFonts w:hAnsi="宋体"/>
          <w:sz w:val="24"/>
          <w:szCs w:val="24"/>
        </w:rPr>
      </w:pPr>
      <w:r>
        <w:rPr>
          <w:rFonts w:hint="eastAsia" w:hAnsi="宋体"/>
          <w:sz w:val="24"/>
          <w:szCs w:val="24"/>
        </w:rPr>
        <w:t xml:space="preserve">甲方：（公章）                       乙方：（公章） </w:t>
      </w:r>
      <w:r/>
    </w:p>
    <w:p>
      <w:pPr>
        <w:pStyle w:val="866"/>
        <w:spacing w:before="120" w:after="120"/>
        <w:rPr>
          <w:rFonts w:hAnsi="宋体"/>
          <w:sz w:val="24"/>
          <w:szCs w:val="24"/>
        </w:rPr>
      </w:pPr>
      <w:r>
        <w:rPr>
          <w:rFonts w:hint="eastAsia" w:hAnsi="宋体"/>
          <w:sz w:val="24"/>
          <w:szCs w:val="24"/>
        </w:rPr>
        <w:t xml:space="preserve">  地址：                               地址： </w:t>
      </w:r>
      <w:r/>
    </w:p>
    <w:p>
      <w:pPr>
        <w:pStyle w:val="866"/>
        <w:spacing w:before="120" w:after="120"/>
        <w:rPr>
          <w:rFonts w:hAnsi="宋体"/>
          <w:sz w:val="24"/>
          <w:szCs w:val="24"/>
        </w:rPr>
      </w:pPr>
      <w:r>
        <w:rPr>
          <w:rFonts w:hint="eastAsia" w:hAnsi="宋体"/>
          <w:sz w:val="24"/>
          <w:szCs w:val="24"/>
        </w:rPr>
        <w:t xml:space="preserve">  法定代表人或授权代表：               法定代表人或授权代表：</w:t>
      </w:r>
      <w:r/>
    </w:p>
    <w:p>
      <w:pPr>
        <w:pStyle w:val="866"/>
        <w:ind w:firstLine="240"/>
        <w:spacing w:before="120" w:after="120"/>
        <w:rPr>
          <w:rFonts w:hAnsi="宋体"/>
          <w:sz w:val="24"/>
          <w:szCs w:val="24"/>
        </w:rPr>
      </w:pPr>
      <w:r>
        <w:rPr>
          <w:rFonts w:hint="eastAsia" w:hAnsi="宋体"/>
          <w:sz w:val="24"/>
          <w:szCs w:val="24"/>
        </w:rPr>
        <w:t xml:space="preserve">联系电话：                           联系电话：          </w:t>
      </w:r>
      <w:r/>
    </w:p>
    <w:p>
      <w:pPr>
        <w:pStyle w:val="866"/>
        <w:spacing w:before="120" w:after="120"/>
        <w:rPr>
          <w:rFonts w:hAnsi="宋体"/>
          <w:sz w:val="24"/>
          <w:szCs w:val="24"/>
        </w:rPr>
      </w:pPr>
      <w:r>
        <w:rPr>
          <w:rFonts w:hint="eastAsia" w:hAnsi="宋体"/>
          <w:sz w:val="24"/>
          <w:szCs w:val="24"/>
        </w:rPr>
        <w:t xml:space="preserve">                                          </w:t>
      </w:r>
      <w:r/>
    </w:p>
    <w:p>
      <w:pPr>
        <w:pStyle w:val="866"/>
        <w:ind w:firstLine="5280"/>
        <w:spacing w:before="120" w:after="120"/>
        <w:rPr>
          <w:rFonts w:hAnsi="宋体"/>
          <w:sz w:val="24"/>
          <w:szCs w:val="24"/>
        </w:rPr>
      </w:pPr>
      <w:r>
        <w:rPr>
          <w:rFonts w:hint="eastAsia" w:hAnsi="宋体"/>
          <w:sz w:val="24"/>
          <w:szCs w:val="24"/>
        </w:rPr>
        <w:t xml:space="preserve">签订日期：</w:t>
      </w:r>
      <w:r/>
    </w:p>
    <w:p>
      <w:pPr>
        <w:pStyle w:val="866"/>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rPr>
      </w:pPr>
      <w:r>
        <w:rPr>
          <w:rFonts w:ascii="宋体" w:hAnsi="宋体"/>
          <w:b/>
          <w:sz w:val="30"/>
        </w:rPr>
      </w:r>
      <w:r/>
    </w:p>
    <w:p>
      <w:pPr>
        <w:jc w:val="center"/>
        <w:spacing w:before="145" w:after="145"/>
        <w:rPr>
          <w:rFonts w:ascii="宋体" w:hAnsi="宋体"/>
          <w:b/>
          <w:sz w:val="30"/>
        </w:rPr>
        <w:outlineLvl w:val="1"/>
      </w:pPr>
      <w:r>
        <w:rPr>
          <w:rFonts w:hint="eastAsia" w:ascii="宋体" w:hAnsi="宋体"/>
          <w:b/>
          <w:sz w:val="30"/>
        </w:rPr>
        <w:t xml:space="preserve">《*******合同》补充协议（合同附件）</w:t>
      </w:r>
      <w:r/>
    </w:p>
    <w:p>
      <w:pPr>
        <w:pStyle w:val="866"/>
        <w:ind w:firstLine="840"/>
        <w:jc w:val="left"/>
        <w:spacing w:before="120" w:after="120"/>
        <w:rPr>
          <w:rFonts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966"/>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3"/>
      <w:r>
        <w:rPr>
          <w:rFonts w:hint="eastAsia" w:ascii="方正小标宋简体" w:hAnsi="方正小标宋简体" w:eastAsia="方正小标宋简体" w:cs="方正小标宋简体"/>
          <w:color w:val="000000"/>
          <w:sz w:val="36"/>
          <w:szCs w:val="36"/>
        </w:rPr>
        <w:t xml:space="preserve">四章  采购需求</w:t>
      </w:r>
      <w:bookmarkEnd w:id="44"/>
      <w:r/>
      <w:bookmarkEnd w:id="45"/>
      <w:r/>
      <w:bookmarkEnd w:id="46"/>
      <w:r/>
      <w:r/>
    </w:p>
    <w:p>
      <w:pPr>
        <w:ind w:firstLine="480"/>
        <w:spacing w:line="264" w:lineRule="auto"/>
        <w:rPr>
          <w:rFonts w:ascii="黑体" w:hAnsi="黑体" w:eastAsia="黑体" w:cs="黑体"/>
          <w:color w:val="000000"/>
          <w:sz w:val="24"/>
          <w:szCs w:val="24"/>
        </w:rPr>
      </w:pPr>
      <w:r/>
      <w:bookmarkStart w:id="58" w:name="_Toc26554093"/>
      <w:r/>
      <w:bookmarkStart w:id="59"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南京鼓楼医院目前对影像PACS、病理、超声、检验、心电等常规的医疗设备已基本实现无纸化传输、</w:t>
      </w:r>
      <w:r>
        <w:rPr>
          <w:rFonts w:hint="eastAsia" w:ascii="宋体" w:hAnsi="宋体"/>
          <w:color w:val="auto"/>
          <w:sz w:val="24"/>
          <w:szCs w:val="24"/>
        </w:rPr>
        <w:t xml:space="preserve">互联互通、随时调阅，但仍存在大量单机版医疗设备，这些设备品牌不一、数据输出标准不同，形式多种多样，没有统一管理，检查数据也无法获得。比如：肺功能仪、睡眠监测仪、骨密度仪、碳13吹气实验和耳鼻喉科的各种小型设备、数目庞大且品类繁杂的POCT设备等都是单机工作模式，没有实现全院集中存储和共享功能，医疗工作人员无法实现线上调阅，工作效率降低，纸质报告长期保存不便，给全院的信息化整体建设带来影响。因此，需要搭建专科设备互联平台，打破单机版设备的信息孤岛，实现全院专科设备的统一管理、无纸化传输、存储和线上调阅等功能。</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（二）项目建设遵循标准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遵循国家、行业及地方现行的规范和标准。</w:t>
      </w:r>
      <w:r/>
    </w:p>
    <w:p>
      <w:pPr>
        <w:ind w:firstLine="480"/>
        <w:spacing w:line="264" w:lineRule="auto"/>
        <w:rPr>
          <w:rFonts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964"/>
        <w:tblW w:w="494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2"/>
        <w:gridCol w:w="1911"/>
        <w:gridCol w:w="1061"/>
        <w:gridCol w:w="1007"/>
        <w:gridCol w:w="1497"/>
        <w:gridCol w:w="1865"/>
        <w:gridCol w:w="1540"/>
      </w:tblGrid>
      <w:tr>
        <w:trPr>
          <w:trHeight w:val="1039"/>
        </w:trPr>
        <w:tc>
          <w:tcPr>
            <w:tcBorders>
              <w:top w:val="single" w:color="000000" w:sz="2" w:space="0"/>
              <w:bottom w:val="single" w:color="000000" w:sz="2" w:space="0"/>
            </w:tcBorders>
            <w:tcW w:w="400"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bCs/>
                <w:color w:val="auto"/>
                <w:sz w:val="24"/>
                <w:szCs w:val="24"/>
              </w:rPr>
              <w:t xml:space="preserve">序号</w:t>
            </w:r>
            <w:r/>
          </w:p>
        </w:tc>
        <w:tc>
          <w:tcPr>
            <w:tcBorders>
              <w:top w:val="single" w:color="000000" w:sz="2" w:space="0"/>
              <w:bottom w:val="single" w:color="000000" w:sz="2" w:space="0"/>
            </w:tcBorders>
            <w:tcW w:w="989"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bCs/>
                <w:color w:val="auto"/>
                <w:sz w:val="24"/>
                <w:szCs w:val="24"/>
              </w:rPr>
              <w:t xml:space="preserve">分项名称</w:t>
            </w:r>
            <w:r/>
          </w:p>
        </w:tc>
        <w:tc>
          <w:tcPr>
            <w:tcBorders>
              <w:top w:val="single" w:color="000000" w:sz="2" w:space="0"/>
              <w:bottom w:val="single" w:color="000000" w:sz="2" w:space="0"/>
            </w:tcBorders>
            <w:tcW w:w="549"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bCs/>
                <w:color w:val="auto"/>
                <w:sz w:val="24"/>
                <w:szCs w:val="24"/>
              </w:rPr>
              <w:t xml:space="preserve">数量</w:t>
            </w:r>
            <w:r/>
          </w:p>
        </w:tc>
        <w:tc>
          <w:tcPr>
            <w:tcBorders>
              <w:top w:val="single" w:color="000000" w:sz="2" w:space="0"/>
              <w:bottom w:val="single" w:color="000000" w:sz="2" w:space="0"/>
            </w:tcBorders>
            <w:tcW w:w="521"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bCs/>
                <w:color w:val="auto"/>
                <w:sz w:val="24"/>
                <w:szCs w:val="24"/>
              </w:rPr>
              <w:t xml:space="preserve">单位</w:t>
            </w:r>
            <w:r/>
          </w:p>
        </w:tc>
        <w:tc>
          <w:tcPr>
            <w:tcBorders>
              <w:top w:val="single" w:color="000000" w:sz="2" w:space="0"/>
              <w:bottom w:val="single" w:color="000000" w:sz="2" w:space="0"/>
            </w:tcBorders>
            <w:tcW w:w="775"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bCs/>
                <w:color w:val="auto"/>
                <w:sz w:val="24"/>
                <w:szCs w:val="24"/>
              </w:rPr>
              <w:t xml:space="preserve">产品类型</w:t>
            </w:r>
            <w:r/>
          </w:p>
        </w:tc>
        <w:tc>
          <w:tcPr>
            <w:tcBorders>
              <w:top w:val="single" w:color="000000" w:sz="2" w:space="0"/>
              <w:bottom w:val="single" w:color="000000" w:sz="2" w:space="0"/>
            </w:tcBorders>
            <w:tcW w:w="965"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cs="宋体"/>
                <w:bCs/>
                <w:color w:val="auto"/>
                <w:sz w:val="24"/>
                <w:szCs w:val="24"/>
              </w:rPr>
              <w:t xml:space="preserve">中小企业划分标准</w:t>
            </w:r>
            <w:r>
              <w:rPr>
                <w:rFonts w:hint="eastAsia" w:ascii="宋体" w:hAnsi="宋体"/>
                <w:bCs/>
                <w:color w:val="auto"/>
                <w:sz w:val="24"/>
                <w:szCs w:val="24"/>
              </w:rPr>
              <w:t xml:space="preserve">所属行业</w:t>
            </w:r>
            <w:r/>
          </w:p>
        </w:tc>
        <w:tc>
          <w:tcPr>
            <w:tcBorders>
              <w:top w:val="single" w:color="000000" w:sz="2" w:space="0"/>
              <w:bottom w:val="single" w:color="000000" w:sz="2" w:space="0"/>
            </w:tcBorders>
            <w:tcW w:w="797"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bCs/>
                <w:color w:val="auto"/>
                <w:sz w:val="24"/>
                <w:szCs w:val="24"/>
              </w:rPr>
              <w:t xml:space="preserve">属性</w:t>
            </w:r>
            <w:r/>
          </w:p>
        </w:tc>
      </w:tr>
      <w:tr>
        <w:trPr>
          <w:trHeight w:val="698"/>
        </w:trPr>
        <w:tc>
          <w:tcPr>
            <w:tcBorders>
              <w:top w:val="single" w:color="000000" w:sz="2" w:space="0"/>
              <w:bottom w:val="single" w:color="000000" w:sz="2" w:space="0"/>
            </w:tcBorders>
            <w:tcW w:w="400"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989" w:type="pct"/>
            <w:vAlign w:val="center"/>
            <w:textDirection w:val="lrTb"/>
            <w:noWrap w:val="false"/>
          </w:tcPr>
          <w:p>
            <w:pPr>
              <w:spacing w:line="264" w:lineRule="auto"/>
              <w:rPr>
                <w:rFonts w:ascii="宋体" w:hAnsi="宋体"/>
                <w:bCs/>
                <w:color w:val="auto"/>
                <w:sz w:val="24"/>
                <w:szCs w:val="24"/>
              </w:rPr>
            </w:pPr>
            <w:r>
              <w:rPr>
                <w:rFonts w:hint="eastAsia" w:ascii="宋体" w:hAnsi="宋体" w:cs="宋体"/>
                <w:bCs/>
                <w:color w:val="auto"/>
                <w:sz w:val="24"/>
                <w:szCs w:val="24"/>
              </w:rPr>
              <w:t xml:space="preserve">全院专科设备互联平台</w:t>
            </w:r>
            <w:r/>
          </w:p>
        </w:tc>
        <w:tc>
          <w:tcPr>
            <w:tcBorders>
              <w:top w:val="single" w:color="000000" w:sz="2" w:space="0"/>
              <w:bottom w:val="single" w:color="000000" w:sz="2" w:space="0"/>
            </w:tcBorders>
            <w:tcW w:w="549" w:type="pct"/>
            <w:vAlign w:val="center"/>
            <w:textDirection w:val="lrTb"/>
            <w:noWrap w:val="false"/>
          </w:tcPr>
          <w:p>
            <w:pPr>
              <w:jc w:val="center"/>
              <w:spacing w:line="264" w:lineRule="auto"/>
              <w:rPr>
                <w:rFonts w:ascii="宋体" w:hAnsi="宋体"/>
                <w:bCs/>
                <w:color w:val="auto"/>
                <w:sz w:val="24"/>
                <w:szCs w:val="24"/>
              </w:rPr>
            </w:pPr>
            <w:r>
              <w:rPr>
                <w:rFonts w:ascii="宋体" w:hAnsi="宋体" w:cs="宋体"/>
                <w:bCs/>
                <w:color w:val="auto"/>
                <w:sz w:val="24"/>
                <w:szCs w:val="24"/>
              </w:rPr>
              <w:t xml:space="preserve">1</w:t>
            </w:r>
            <w:r/>
          </w:p>
        </w:tc>
        <w:tc>
          <w:tcPr>
            <w:tcBorders>
              <w:top w:val="single" w:color="000000" w:sz="2" w:space="0"/>
              <w:bottom w:val="single" w:color="000000" w:sz="2" w:space="0"/>
            </w:tcBorders>
            <w:tcW w:w="521"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项</w:t>
            </w:r>
            <w:r/>
          </w:p>
        </w:tc>
        <w:tc>
          <w:tcPr>
            <w:tcBorders>
              <w:top w:val="single" w:color="000000" w:sz="2" w:space="0"/>
              <w:bottom w:val="single" w:color="000000" w:sz="2" w:space="0"/>
            </w:tcBorders>
            <w:tcW w:w="775" w:type="pct"/>
            <w:vAlign w:val="center"/>
            <w:textDirection w:val="lrTb"/>
            <w:noWrap w:val="false"/>
          </w:tcPr>
          <w:p>
            <w:pPr>
              <w:jc w:val="center"/>
              <w:spacing w:line="264" w:lineRule="auto"/>
              <w:rPr>
                <w:rFonts w:ascii="宋体" w:hAnsi="宋体"/>
                <w:bCs/>
                <w:color w:val="auto"/>
                <w:sz w:val="24"/>
                <w:szCs w:val="24"/>
              </w:rPr>
            </w:pPr>
            <w:r>
              <w:rPr>
                <w:rFonts w:hint="eastAsia" w:ascii="宋体" w:hAnsi="宋体"/>
                <w:bCs/>
                <w:color w:val="auto"/>
                <w:sz w:val="24"/>
                <w:szCs w:val="24"/>
              </w:rPr>
              <w:t xml:space="preserve">主要产品</w:t>
            </w:r>
            <w:r/>
          </w:p>
        </w:tc>
        <w:tc>
          <w:tcPr>
            <w:tcBorders>
              <w:top w:val="single" w:color="000000" w:sz="2" w:space="0"/>
              <w:bottom w:val="single" w:color="000000" w:sz="2" w:space="0"/>
            </w:tcBorders>
            <w:tcW w:w="965"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797"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服务</w:t>
            </w:r>
            <w:r/>
          </w:p>
        </w:tc>
      </w:tr>
    </w:tbl>
    <w:p>
      <w:pPr>
        <w:ind w:firstLine="480"/>
        <w:spacing w:line="264" w:lineRule="auto"/>
        <w:rPr>
          <w:rFonts w:ascii="黑体" w:hAnsi="黑体" w:eastAsia="黑体" w:cs="黑体"/>
          <w:sz w:val="24"/>
          <w:szCs w:val="24"/>
        </w:rPr>
        <w:outlineLvl w:val="1"/>
      </w:pPr>
      <w:r>
        <w:rPr>
          <w:rFonts w:ascii="黑体" w:hAnsi="黑体" w:eastAsia="黑体" w:cs="黑体"/>
          <w:sz w:val="24"/>
          <w:szCs w:val="24"/>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tbl>
      <w:tblPr>
        <w:tblStyle w:val="852"/>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857"/>
        <w:gridCol w:w="1973"/>
        <w:gridCol w:w="7371"/>
      </w:tblGrid>
      <w:tr>
        <w:trPr>
          <w:trHeight w:val="372"/>
        </w:trPr>
        <w:tc>
          <w:tcPr>
            <w:shd w:val="clear" w:color="auto" w:fill="ffffff" w:themeFill="background1"/>
            <w:tcW w:w="85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模块</w:t>
            </w:r>
            <w:r/>
          </w:p>
        </w:tc>
        <w:tc>
          <w:tcPr>
            <w:shd w:val="clear" w:color="auto" w:fill="ffffff" w:themeFill="background1"/>
            <w:tcW w:w="197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功能</w:t>
            </w:r>
            <w:r/>
          </w:p>
        </w:tc>
        <w:tc>
          <w:tcPr>
            <w:shd w:val="clear" w:color="auto" w:fill="ffffff" w:themeFill="background1"/>
            <w:tcW w:w="737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参数说明</w:t>
            </w:r>
            <w:r/>
          </w:p>
        </w:tc>
      </w:tr>
      <w:tr>
        <w:trPr>
          <w:trHeight w:val="267"/>
        </w:trPr>
        <w:tc>
          <w:tcPr>
            <w:shd w:val="clear" w:color="auto" w:fill="ffffff" w:themeFill="background1"/>
            <w:tcW w:w="857"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服务端</w:t>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设置报告存储方式</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1、支持设置原始报告文件存储方式为本地存储。</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2、支持设置原始报告文件存储方式为NAS存储。</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设置报告存储位置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1、支持设置原始报告文件存储路径。</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接口服务</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1、支持与HIS系统接口对接，实时获取申请单信息。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2、支持与医院信息集成平台接口对接，从平台获取申请单信息。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3、支持开放接口供第三方系统集成。</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其他功能</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1、支持国产化操作系统。</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2、支持自动备份数据。支持探针保活。支持容错处理。支持病人信息脱敏传输。</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t xml:space="preserve">3</w:t>
            </w:r>
            <w:r>
              <w:rPr>
                <w:rFonts w:hint="eastAsia" w:ascii="宋体" w:hAnsi="宋体" w:cs="宋体"/>
                <w:color w:val="000000"/>
                <w:sz w:val="20"/>
                <w:szCs w:val="20"/>
              </w:rPr>
              <w:t xml:space="preserve">、支持采用国密算法对数据进行加密。</w:t>
            </w:r>
            <w:r/>
          </w:p>
        </w:tc>
      </w:tr>
      <w:tr>
        <w:trPr>
          <w:trHeight w:val="267"/>
        </w:trPr>
        <w:tc>
          <w:tcPr>
            <w:shd w:val="clear" w:color="auto" w:fill="ffffff" w:themeFill="background1"/>
            <w:tcW w:w="857"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客户端</w:t>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患者信息自动录入</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1、支持通过扫码获取患者信息自动录入功能，以浮动窗口形式展示，不干扰用户正常业务操作。</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2、支持将患者检查单信息自动填写至检查设备自带的第三方系统登记界面。</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▲3、支持英文系统患者纯英文信息的输入。</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报告上传</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1、支持对检查报告进行实时监控，报告生成后自动上传。</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▲2、支持一个检查项目多份检查报告合并处理。</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3、支持报告上传后即时显示上传状态反馈。</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设备报告上传设置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1、支持配置原始报告文件路径。</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2、支持设置检测间隔时间，监控并自动上传报告文件至报告服务器。</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报告上传提醒</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1、支持报告上传失败后进行消息提醒，并显示上传失败原因。</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运行日志</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1、支持展示获取患者信息、报告回传正确或异常的日志。</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连接对象配置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1、支持客户端和服务器端连接。</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获取输入框配置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1、支持获取输入框位置、大小设置。</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检测项目设置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1、支持设置本台设备所需要的检查项目。</w:t>
            </w:r>
            <w:r/>
          </w:p>
        </w:tc>
      </w:tr>
      <w:tr>
        <w:trPr>
          <w:trHeight w:val="90"/>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AI机器人设置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1、支持单机设备软件患者信息登记的全自动输入。</w:t>
            </w:r>
            <w:r/>
          </w:p>
        </w:tc>
      </w:tr>
      <w:tr>
        <w:trPr>
          <w:trHeight w:val="90"/>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2、兼容WINDOWS XP操作系统 。</w:t>
            </w:r>
            <w:r/>
          </w:p>
        </w:tc>
      </w:tr>
      <w:tr>
        <w:trPr>
          <w:trHeight w:val="298"/>
        </w:trPr>
        <w:tc>
          <w:tcPr>
            <w:shd w:val="clear" w:color="auto" w:fill="ffffff" w:themeFill="background1"/>
            <w:tcW w:w="857"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报告端</w:t>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患者信息自动录入</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1、支持通过扫码获取患者信息自动录入功能。</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报告编辑</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▲1、支持检查数据结构化输入。</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▲2、结构化字段灵活配置。</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▲3、支持结构化数据输入视图的动态调整，实现所有数据项单屏完整展示与输入，避免医生滚动操作查看。</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4、支持单屏测值与报告内容并显，兼容更多应用场景。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5、支持单屏全报告内容输入，提升报告书写效率。</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6、支持检查图像文件的导入，支持格式JPG、BMP、PNG等。</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7、支持检查图像的即时导入、不落盘内存级传输。</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▲8、支持从影像设备一键截取实时影像。</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9、报告编辑支持专业符号的一键快速输入。</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▲10、报告编辑支持热词下拉选取。</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11、支持设置检查报告的报告医生，默认值为当前登录用户。</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12、支持设置检查报告的审核医生 。</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13、支持选择指定打印机进行检查报告打印，方便灵活选择合适的打印设备。</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14、支持打印预览。</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报告上传</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1、支持报告生成后自动上传。支持报告上传后即时显示上传状态反馈。</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报告导入</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▲1、支持历史报告导入，并可以关联到对应患者。</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查询</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1、支持根据时间段查询。支持根据门诊号、住院号、检查单号模糊查询。</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词库设置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1、支持专业词库描述的设置。</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模板设置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1、支持短语复选功能。</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2、提供新增和编辑报告模板功能，模板内容可自定义设置。</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3、支持为报告模板添加字段。支持热词自定义。</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报表设置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1、支持报表自定义设置。</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2、支持表格、自定义结构化布局支持设置医院LOGO。</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3、支持显示电子签名。</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4、支持检查图像与结构化数据的混合布局。</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检查项目设置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1、支持检查项目名称自定义设置。支持检查项目名称下的子项目自定义设置。</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患者列表</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1、支持根据患者姓名、患者id、申请时间等多维度进行检查单信息查询，查询结果包括患者姓名、性别、年龄、患者来源等信息。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2、支持新增患者信息录入。</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3、支持新增患者检查申请录入。</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4、支持查看检查报告。</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数据处理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1、检查数据自动备份。</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▲2、检查数据时序化物理隔离，冷热数据分层治理分级调度。高频热数据常驻内存，高速响应； 低频冷数据离线归档，随时调阅。</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3、兼容WINDOWS XP系统。</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报告列表</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1、支持手动匹配报告。</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2、支持审核报告。</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3、支持根据时间、报告状态进行筛查。</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4、支持查看最终报告。</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5、支持查看检查基本信息，内容包含患者信息、就诊信息、检查设备信息。</w:t>
            </w:r>
            <w:r/>
          </w:p>
        </w:tc>
      </w:tr>
      <w:tr>
        <w:trPr>
          <w:trHeight w:val="267"/>
        </w:trPr>
        <w:tc>
          <w:tcPr>
            <w:shd w:val="clear" w:color="auto" w:fill="ffffff" w:themeFill="background1"/>
            <w:tcW w:w="857"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中心平台</w:t>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1、支持检查设备的添加和解绑操作。</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2、支持一台电脑连接多台设备的工作场景。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3、支持根据设备名称、所属科室、设备状态等多种条件筛选设备列表，设备信息包括：设备名称、设备编号、所属科室、所属诊室、厂商标识、设备标识、版本号等。</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4、支持提供设备在线/离线状态实时查看功能。</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5、支持新增设备并对现有设备信息进行二次编辑。</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系统日志</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1、支持展示所有操作日志记录，追踪系统中操作行为，确保操作过程可追溯。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2、支持定位到具体电脑IP，方便查找问题。</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报告模板设置</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1、支持自定义增加标签类型，适配多种报告模式。</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2、支持根据预置模板提取报告内容项。</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用户管理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1、支持新增系统用户，可新增维护用户基本信息。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2、支持用户权限设置。</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3、支持展示用户信息，展示姓名、工号、联系方式、角色。</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4、支持修改用户信息。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5、支持提供用户密码重置功能，用户忘记密码后可重置密码，支持删除操作用户。</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医院管理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1、支持对医院基本信息，医院名称、图标、地址等信息设置。</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院区管理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1、支持新增院区信息，支持编辑院区信息。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医生管理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1、支持新增用户角色，可新增内容包括角色名称、角色分组等。</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2、支持展示角色信息，根据角色名称查询条件，筛选并展示角色名称、角色分组、角色状态等角色信息。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3、支持编辑角色信息和赋予角色权限。</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菜单管理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1、支持对后台所有菜单的新增、编辑、图标修改、菜单的排序。</w:t>
            </w:r>
            <w:r/>
          </w:p>
        </w:tc>
      </w:tr>
      <w:tr>
        <w:trPr>
          <w:trHeight w:val="372"/>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角色菜单</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1、支持对不同角色分配不同的菜单操作。</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科室管理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1、支持新增科室信息。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2、支持新增诊室信息。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3、支持展示科室信息，包括科室名称，下级科室、科室编码、科室地址、负责人姓名和联系方式</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4、支持修改科室信息。</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检查项目管理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1、支持新增检查项目字典。</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2、支持展示检查项目字典信息，展示检查项目编号、检查项目名称。</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3、支持检查项目信息修改。</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设备运行管理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1、支持远程监看功能。</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2、支持远程监看电视墙功能。</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3、支持远程下发控制（关机、重启）指令。</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4、支持远程下发开机指令（需网络支持）。</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5、支持设备每日运行记录。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6、支持故障事件记录。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7、支持设备维护保养记录。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8、支持设备校准记录。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9、支持设备能耗记录。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诊断报告管理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1、支持新增诊断报告记录。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2、支持误诊漏诊手动记录。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成本效益管理</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1、支持新增耗材入库/消耗记录。</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2、支持库存盘点。</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3、支持根据设备、耗材名称/编码、日期范围查询详情。</w:t>
            </w:r>
            <w:r/>
          </w:p>
        </w:tc>
      </w:tr>
      <w:tr>
        <w:trPr>
          <w:trHeight w:val="535"/>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智慧大屏</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▲1、支持查看当日检查数据，包含总检查患者数量、接入设备数量、总检查数、报告匹配成功数和报告完成数。</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2、支持查看当日检查项目统计。</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3、支持查看当日设备检查量。</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4、支持查看当日检查量分布趋势。</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5、支持查看当日平均检查时长排行。</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6、支持查看当日患者来源。</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7、支持查看当日科室开单量。</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8、支持查看当日科室医患人数对比。</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9、支持根据时间范围，快捷键日、周、月、季条件查询。</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统计分析</w:t>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1、支持检查量汇总，每日、每周、每月检查量的统计。</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2、支持科室检查量统计。</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3、支持医生开单量统计。</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4、支持患者统计, 包括患者就诊类型分布、优先执行、患者满意度。</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5、支持诊断报告统计 包括报告完成率、诊断分布、审核人数、审核通过率。</w:t>
            </w:r>
            <w:r/>
          </w:p>
        </w:tc>
      </w:tr>
      <w:tr>
        <w:trPr>
          <w:trHeight w:val="267"/>
        </w:trPr>
        <w:tc>
          <w:tcPr>
            <w:shd w:val="clear" w:color="auto" w:fill="ffffff" w:themeFill="background1"/>
            <w:tcW w:w="857"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1973" w:type="dxa"/>
            <w:vAlign w:val="center"/>
            <w:vMerge w:val="continue"/>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ffffff" w:themeFill="background1"/>
            <w:tcW w:w="737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6、支持成本效益分析，包括设备每日运营成本、检查收益统计、耗材消耗。</w:t>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报价要求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配套服务、设备对接费（对接清单详见2.实施要求（10）系统对接要求②《需对接的设备清单表》）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（4）除本章商务要求2.实施要求(10</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系统对接要求②《需对接的设备清单表》外，医院</w:t>
      </w:r>
      <w:r>
        <w:rPr>
          <w:rFonts w:hint="eastAsia" w:ascii="宋体" w:hAnsi="宋体" w:cs="宋体"/>
          <w:color w:val="auto"/>
          <w:sz w:val="24"/>
          <w:szCs w:val="24"/>
          <w:lang w:eastAsia="zh-CN"/>
        </w:rPr>
        <w:t xml:space="preserve">根据情况可能会</w:t>
      </w:r>
      <w:r>
        <w:rPr>
          <w:rFonts w:hint="eastAsia" w:ascii="宋体" w:hAnsi="宋体" w:cs="宋体"/>
          <w:color w:val="auto"/>
          <w:sz w:val="24"/>
          <w:szCs w:val="24"/>
        </w:rPr>
        <w:t xml:space="preserve">增加</w:t>
      </w:r>
      <w:r>
        <w:rPr>
          <w:rFonts w:hint="eastAsia" w:ascii="宋体" w:hAnsi="宋体" w:cs="宋体"/>
          <w:color w:val="auto"/>
          <w:sz w:val="24"/>
          <w:szCs w:val="24"/>
          <w:lang w:eastAsia="zh-CN"/>
        </w:rPr>
        <w:t xml:space="preserve">需</w:t>
      </w:r>
      <w:r>
        <w:rPr>
          <w:rFonts w:hint="eastAsia" w:ascii="宋体" w:hAnsi="宋体" w:cs="宋体"/>
          <w:color w:val="auto"/>
          <w:sz w:val="24"/>
          <w:szCs w:val="24"/>
        </w:rPr>
        <w:t xml:space="preserve">接入本系统</w:t>
      </w:r>
      <w:r>
        <w:rPr>
          <w:rFonts w:hint="eastAsia" w:ascii="宋体" w:hAnsi="宋体" w:cs="宋体"/>
          <w:color w:val="auto"/>
          <w:sz w:val="24"/>
          <w:szCs w:val="24"/>
          <w:lang w:eastAsia="zh-CN"/>
        </w:rPr>
        <w:t xml:space="preserve">的其他</w:t>
      </w:r>
      <w:r>
        <w:rPr>
          <w:rFonts w:hint="eastAsia" w:ascii="宋体" w:hAnsi="宋体" w:cs="宋体"/>
          <w:color w:val="auto"/>
          <w:sz w:val="24"/>
          <w:szCs w:val="24"/>
        </w:rPr>
        <w:t xml:space="preserve">后续硬件</w:t>
      </w:r>
      <w:r>
        <w:rPr>
          <w:rFonts w:hint="eastAsia" w:ascii="宋体" w:hAnsi="宋体" w:cs="宋体"/>
          <w:color w:val="auto"/>
          <w:sz w:val="24"/>
          <w:szCs w:val="24"/>
          <w:lang w:eastAsia="zh-CN"/>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（5）项目质保期内，如后续增加已接入过本平台同类型同品牌的设备，接口费含在该类型该品牌设备第一次收取的接口费中，不再额外收取。</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（1）总体要求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本次采购的软件要求不影响现有的业务系统，供应商负责平台的部署。本章中所列技术要求为医院项目初步需求，具体需求以国家最新政策标准为准。</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质量要求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（3）验收要求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（4）运维要求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①运维期：供应商应确保本次采购所有项目的安全稳定运行，提供3年运维服务（自验收报告签字确认日起，开始进入运维期，相关费用包含在本次报价中）。运维期内，本合同项目所有技术和服务发生任何非人为故障，由供应商负责系统恢复。</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③供应商须提供定期回访服务，对采购人提出的合理优化建议应提供升级服务。</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⑤本采购项目出保后每年的维护费不超过合同总金额的5%。</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⑥运维期内供应商提供的系统软件升级，保证采购人使用最新版本软件。运维期满后软件版本内终身升级。</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（5）人员要求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①项目经理：1人，具有至少2年信息化项目管理工作经验，项目开发期间须驻场服务，不得兼任其他岗位。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②技术负责人：1人，具有2年以上信息化工作经验。</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③开发实施人员：不少于1人，具有信息化工作经验。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④项目组所有人员必须为供应商正式工作人员，不得兼任其他项目工作，未经采购人同意，人员不得更换。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（6）知识产权及保密要求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③供应商须按照与采购人签订的《信息安全保密承诺书》的约定严格履行各项保密义务。</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④采购人与供应商都拥有本项目定制开发部分的知识产权。交付项应包括但不限于如下内容：</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满足采购人需求的、完整的、可最终良好运行的系统。</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提供项目的最终版本部署包及产品永久授权。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（7）建设成果要求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供应商在项目建设的各个阶段及时提交建设成果，主要包括但不限于以下内容：</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①项目启动阶段：项目实施方案。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②业务需求分析阶段：需求调研方案、需求分析说明书。</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④系统实施阶段：系统上线部署方案、软件安装说明书、软件使用说明书、系统安装光盘、系统培训方案、系统培训手册。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⑤项目验收阶段：测试报告、项目验收方案、系统运行报告、项目验收报告。 </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⑥运行维护阶段：系统维护方案、系统维护手册、系统运行维护记录。</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（8）信创适配要求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项目涉及的软件、硬件产品满足信创要求。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（9）网络安全等级保护测评要求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供应商配合采购人，做好系统通过等保测评相关准备工作。</w:t>
      </w:r>
      <w:r/>
    </w:p>
    <w:p>
      <w:pPr>
        <w:ind w:firstLine="480"/>
        <w:jc w:val="left"/>
        <w:spacing w:line="264" w:lineRule="auto"/>
        <w:rPr>
          <w:rFonts w:ascii="宋体" w:hAnsi="宋体"/>
          <w:color w:val="auto"/>
          <w:sz w:val="24"/>
          <w:szCs w:val="24"/>
        </w:rPr>
      </w:pPr>
      <w:r>
        <w:rPr>
          <w:rFonts w:hint="eastAsia" w:ascii="宋体" w:hAnsi="宋体"/>
          <w:color w:val="auto"/>
          <w:sz w:val="24"/>
          <w:szCs w:val="24"/>
        </w:rPr>
        <w:t xml:space="preserve">（10）系统对接要求</w:t>
      </w:r>
      <w:r>
        <w:rPr>
          <w:rFonts w:hint="eastAsia" w:ascii="宋体" w:hAnsi="宋体"/>
          <w:color w:val="auto"/>
          <w:sz w:val="24"/>
          <w:szCs w:val="24"/>
        </w:rPr>
        <w:br/>
      </w:r>
      <w:r>
        <w:rPr>
          <w:rFonts w:hint="eastAsia" w:ascii="宋体" w:hAnsi="宋体"/>
          <w:color w:val="auto"/>
          <w:sz w:val="24"/>
          <w:szCs w:val="24"/>
        </w:rPr>
        <w:t xml:space="preserve">    ①供应商提供的系统能够根据采购人实际需求与医院各院区所有信息系统、集成平台做对接及集成（对接人：钱工；联系电话：025-83106666转60633）：本项目系统软、硬件接口终身开放，无站点限制，可满足采购人所有终端客户使用，供应商需无条件配合采购人增加软件工作站点、无条件配合采购人的其他软件完成与本系统对接，并保证所涉系统正常运行。如需软件对接接口开发，由于关联不确定的第三方，产生</w:t>
      </w:r>
      <w:r>
        <w:rPr>
          <w:rFonts w:hint="eastAsia" w:ascii="宋体" w:hAnsi="宋体"/>
          <w:color w:val="auto"/>
          <w:sz w:val="24"/>
          <w:szCs w:val="24"/>
          <w:lang w:eastAsia="zh-CN"/>
        </w:rPr>
        <w:t xml:space="preserve">的</w:t>
      </w:r>
      <w:r>
        <w:rPr>
          <w:rFonts w:hint="eastAsia" w:ascii="宋体" w:hAnsi="宋体"/>
          <w:color w:val="auto"/>
          <w:sz w:val="24"/>
          <w:szCs w:val="24"/>
        </w:rPr>
        <w:t xml:space="preserve">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②</w:t>
      </w:r>
      <w:r>
        <w:rPr>
          <w:rFonts w:hint="eastAsia" w:ascii="宋体" w:hAnsi="宋体"/>
          <w:color w:val="auto"/>
          <w:sz w:val="24"/>
          <w:szCs w:val="24"/>
          <w:lang w:eastAsia="zh-CN"/>
        </w:rPr>
        <w:t xml:space="preserve">《</w:t>
      </w:r>
      <w:r>
        <w:rPr>
          <w:rFonts w:hint="eastAsia" w:ascii="宋体" w:hAnsi="宋体"/>
          <w:color w:val="auto"/>
          <w:sz w:val="24"/>
          <w:szCs w:val="24"/>
        </w:rPr>
        <w:t xml:space="preserve">需对接的设备清单</w:t>
      </w:r>
      <w:r>
        <w:rPr>
          <w:rFonts w:hint="eastAsia" w:ascii="宋体" w:hAnsi="宋体"/>
          <w:color w:val="auto"/>
          <w:sz w:val="24"/>
          <w:szCs w:val="24"/>
          <w:lang w:eastAsia="zh-CN"/>
        </w:rPr>
        <w:t xml:space="preserve">表》</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827"/>
        <w:gridCol w:w="3402"/>
        <w:gridCol w:w="1276"/>
      </w:tblGrid>
      <w:tr>
        <w:trPr/>
        <w:tc>
          <w:tcPr>
            <w:tcW w:w="988" w:type="dxa"/>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序号</w:t>
            </w:r>
            <w:r/>
          </w:p>
        </w:tc>
        <w:tc>
          <w:tcPr>
            <w:tcW w:w="3827" w:type="dxa"/>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设备名称</w:t>
            </w:r>
            <w:r/>
          </w:p>
        </w:tc>
        <w:tc>
          <w:tcPr>
            <w:tcW w:w="3402" w:type="dxa"/>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品牌型号</w:t>
            </w:r>
            <w:r/>
          </w:p>
        </w:tc>
        <w:tc>
          <w:tcPr>
            <w:tcW w:w="1276" w:type="dxa"/>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数量（台）</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碳13吹气实验</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HY-IREXB</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3</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2</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骨密度</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GE-LUNAR</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3</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人体成分分析</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Inbody 770</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3</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4</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肝纤维化检测</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iLivTouch</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5</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眼底照相</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Canon CR-2</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6</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四肢多普勒</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Omron form BP-203RPE III</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7</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多导脑电地形图仪</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PN-NET</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8</w:t>
            </w:r>
            <w:r/>
          </w:p>
        </w:tc>
        <w:tc>
          <w:tcPr>
            <w:tcW w:w="3827" w:type="dxa"/>
            <w:vAlign w:val="center"/>
            <w:vMerge w:val="restart"/>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便携式多导睡眠监测</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SOMNO</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9</w:t>
            </w:r>
            <w:r/>
          </w:p>
        </w:tc>
        <w:tc>
          <w:tcPr>
            <w:tcW w:w="3827" w:type="dxa"/>
            <w:vMerge w:val="continue"/>
            <w:textDirection w:val="lrTb"/>
            <w:noWrap w:val="false"/>
          </w:tcPr>
          <w:p>
            <w:pPr>
              <w:ind w:firstLine="480"/>
              <w:spacing w:line="264" w:lineRule="auto"/>
              <w:rPr>
                <w:rFonts w:ascii="宋体" w:hAnsi="宋体"/>
                <w:color w:val="auto"/>
                <w:sz w:val="24"/>
                <w:szCs w:val="24"/>
              </w:rPr>
            </w:pPr>
            <w:r>
              <w:rPr>
                <w:rFonts w:ascii="宋体" w:hAnsi="宋体"/>
                <w:color w:val="auto"/>
                <w:sz w:val="24"/>
                <w:szCs w:val="24"/>
              </w:rPr>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DM-5200A</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10</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一氧化氮呼气测定</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尼尔斯2019</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11</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肺功能</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耶格5</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12</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超声骨密度</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康荣信 UBS-3000Plus</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13</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经颅多普勒检查</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TCD-3000T</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rHeight w:val="321"/>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14</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声导抗测听检查</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Titan</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15</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听性脑干反应</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Neuro-Audio</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rHeight w:val="90"/>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16</w:t>
            </w:r>
            <w:r/>
          </w:p>
        </w:tc>
        <w:tc>
          <w:tcPr>
            <w:tcW w:w="3827" w:type="dxa"/>
            <w:vAlign w:val="center"/>
            <w:vMerge w:val="restart"/>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耳内镜检查/鼻腔内窥镜检查</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XION EndoSTROB D</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17</w:t>
            </w:r>
            <w:r/>
          </w:p>
        </w:tc>
        <w:tc>
          <w:tcPr>
            <w:tcW w:w="3827" w:type="dxa"/>
            <w:vMerge w:val="continue"/>
            <w:textDirection w:val="lrTb"/>
            <w:noWrap w:val="false"/>
          </w:tcPr>
          <w:p>
            <w:pPr>
              <w:ind w:firstLine="480"/>
              <w:spacing w:line="264" w:lineRule="auto"/>
              <w:rPr>
                <w:rFonts w:ascii="宋体" w:hAnsi="宋体"/>
                <w:color w:val="auto"/>
                <w:sz w:val="24"/>
                <w:szCs w:val="24"/>
              </w:rPr>
            </w:pPr>
            <w:r>
              <w:rPr>
                <w:rFonts w:ascii="宋体" w:hAnsi="宋体"/>
                <w:color w:val="auto"/>
                <w:sz w:val="24"/>
                <w:szCs w:val="24"/>
              </w:rPr>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欧曼OM-822A</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18</w:t>
            </w:r>
            <w:r/>
          </w:p>
        </w:tc>
        <w:tc>
          <w:tcPr>
            <w:tcW w:w="3827" w:type="dxa"/>
            <w:vMerge w:val="continue"/>
            <w:textDirection w:val="lrTb"/>
            <w:noWrap w:val="false"/>
          </w:tcPr>
          <w:p>
            <w:pPr>
              <w:ind w:firstLine="480"/>
              <w:spacing w:line="264" w:lineRule="auto"/>
              <w:rPr>
                <w:rFonts w:ascii="宋体" w:hAnsi="宋体"/>
                <w:color w:val="auto"/>
                <w:sz w:val="24"/>
                <w:szCs w:val="24"/>
              </w:rPr>
            </w:pPr>
            <w:r>
              <w:rPr>
                <w:rFonts w:ascii="宋体" w:hAnsi="宋体"/>
                <w:color w:val="auto"/>
                <w:sz w:val="24"/>
                <w:szCs w:val="24"/>
              </w:rPr>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迈瑞HD3</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19</w:t>
            </w:r>
            <w:r/>
          </w:p>
        </w:tc>
        <w:tc>
          <w:tcPr>
            <w:tcW w:w="3827" w:type="dxa"/>
            <w:vMerge w:val="continue"/>
            <w:textDirection w:val="lrTb"/>
            <w:noWrap w:val="false"/>
          </w:tcPr>
          <w:p>
            <w:pPr>
              <w:ind w:firstLine="480"/>
              <w:spacing w:line="264" w:lineRule="auto"/>
              <w:rPr>
                <w:rFonts w:ascii="宋体" w:hAnsi="宋体"/>
                <w:color w:val="auto"/>
                <w:sz w:val="24"/>
                <w:szCs w:val="24"/>
              </w:rPr>
            </w:pPr>
            <w:r>
              <w:rPr>
                <w:rFonts w:ascii="宋体" w:hAnsi="宋体"/>
                <w:color w:val="auto"/>
                <w:sz w:val="24"/>
                <w:szCs w:val="24"/>
              </w:rPr>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SonoScape 开立</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20</w:t>
            </w:r>
            <w:r/>
          </w:p>
        </w:tc>
        <w:tc>
          <w:tcPr>
            <w:tcW w:w="3827" w:type="dxa"/>
            <w:vAlign w:val="center"/>
            <w:vMerge w:val="restart"/>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喉镜检查</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OLYMPUS CV-170</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21</w:t>
            </w:r>
            <w:r/>
          </w:p>
        </w:tc>
        <w:tc>
          <w:tcPr>
            <w:tcW w:w="3827" w:type="dxa"/>
            <w:vMerge w:val="continue"/>
            <w:textDirection w:val="lrTb"/>
            <w:noWrap w:val="false"/>
          </w:tcPr>
          <w:p>
            <w:pPr>
              <w:ind w:firstLine="480"/>
              <w:spacing w:line="264" w:lineRule="auto"/>
              <w:rPr>
                <w:rFonts w:ascii="宋体" w:hAnsi="宋体"/>
                <w:color w:val="auto"/>
                <w:sz w:val="24"/>
                <w:szCs w:val="24"/>
              </w:rPr>
            </w:pPr>
            <w:r>
              <w:rPr>
                <w:rFonts w:ascii="宋体" w:hAnsi="宋体"/>
                <w:color w:val="auto"/>
                <w:sz w:val="24"/>
                <w:szCs w:val="24"/>
              </w:rPr>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HOYA EPK-3000</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22</w:t>
            </w:r>
            <w:r/>
          </w:p>
        </w:tc>
        <w:tc>
          <w:tcPr>
            <w:tcW w:w="3827" w:type="dxa"/>
            <w:vMerge w:val="continue"/>
            <w:textDirection w:val="lrTb"/>
            <w:noWrap w:val="false"/>
          </w:tcPr>
          <w:p>
            <w:pPr>
              <w:ind w:firstLine="480"/>
              <w:spacing w:line="264" w:lineRule="auto"/>
              <w:rPr>
                <w:rFonts w:ascii="宋体" w:hAnsi="宋体"/>
                <w:color w:val="auto"/>
                <w:sz w:val="24"/>
                <w:szCs w:val="24"/>
              </w:rPr>
            </w:pPr>
            <w:r>
              <w:rPr>
                <w:rFonts w:ascii="宋体" w:hAnsi="宋体"/>
                <w:color w:val="auto"/>
                <w:sz w:val="24"/>
                <w:szCs w:val="24"/>
              </w:rPr>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STORZ TP100</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23</w:t>
            </w:r>
            <w:r/>
          </w:p>
        </w:tc>
        <w:tc>
          <w:tcPr>
            <w:tcW w:w="3827" w:type="dxa"/>
            <w:vMerge w:val="continue"/>
            <w:textDirection w:val="lrTb"/>
            <w:noWrap w:val="false"/>
          </w:tcPr>
          <w:p>
            <w:pPr>
              <w:ind w:firstLine="480"/>
              <w:spacing w:line="264" w:lineRule="auto"/>
              <w:rPr>
                <w:rFonts w:ascii="宋体" w:hAnsi="宋体"/>
                <w:color w:val="auto"/>
                <w:sz w:val="24"/>
                <w:szCs w:val="24"/>
              </w:rPr>
            </w:pPr>
            <w:r>
              <w:rPr>
                <w:rFonts w:ascii="宋体" w:hAnsi="宋体"/>
                <w:color w:val="auto"/>
                <w:sz w:val="24"/>
                <w:szCs w:val="24"/>
              </w:rPr>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XION</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r>
        <w:trPr/>
        <w:tc>
          <w:tcPr>
            <w:tcW w:w="988" w:type="dxa"/>
            <w:vAlign w:val="center"/>
            <w:textDirection w:val="lrTb"/>
            <w:noWrap w:val="false"/>
          </w:tcPr>
          <w:p>
            <w:pPr>
              <w:jc w:val="center"/>
              <w:spacing w:line="264" w:lineRule="auto"/>
              <w:rPr>
                <w:rFonts w:ascii="宋体" w:hAnsi="宋体"/>
                <w:color w:val="auto"/>
                <w:sz w:val="24"/>
                <w:szCs w:val="24"/>
              </w:rPr>
            </w:pPr>
            <w:r>
              <w:rPr>
                <w:rFonts w:hint="eastAsia" w:ascii="宋体" w:hAnsi="宋体"/>
                <w:color w:val="auto"/>
                <w:sz w:val="24"/>
                <w:szCs w:val="24"/>
              </w:rPr>
              <w:t xml:space="preserve">24</w:t>
            </w:r>
            <w:r/>
          </w:p>
        </w:tc>
        <w:tc>
          <w:tcPr>
            <w:tcW w:w="3827"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胎心监护</w:t>
            </w:r>
            <w:r/>
          </w:p>
        </w:tc>
        <w:tc>
          <w:tcPr>
            <w:tcW w:w="3402" w:type="dxa"/>
            <w:textDirection w:val="lrTb"/>
            <w:noWrap w:val="false"/>
          </w:tcPr>
          <w:p>
            <w:pPr>
              <w:spacing w:line="264" w:lineRule="auto"/>
              <w:rPr>
                <w:rFonts w:ascii="宋体" w:hAnsi="宋体"/>
                <w:color w:val="auto"/>
                <w:sz w:val="24"/>
                <w:szCs w:val="24"/>
              </w:rPr>
            </w:pPr>
            <w:r>
              <w:rPr>
                <w:rFonts w:hint="eastAsia" w:ascii="宋体" w:hAnsi="宋体"/>
                <w:color w:val="auto"/>
                <w:sz w:val="24"/>
                <w:szCs w:val="24"/>
              </w:rPr>
              <w:t xml:space="preserve">飞利浦胎心监护中央站</w:t>
            </w:r>
            <w:r/>
          </w:p>
        </w:tc>
        <w:tc>
          <w:tcPr>
            <w:tcW w:w="1276" w:type="dxa"/>
            <w:textDirection w:val="lrTb"/>
            <w:noWrap w:val="false"/>
          </w:tcPr>
          <w:p>
            <w:pPr>
              <w:ind w:firstLine="480"/>
              <w:spacing w:line="264" w:lineRule="auto"/>
              <w:rPr>
                <w:rFonts w:ascii="宋体" w:hAnsi="宋体"/>
                <w:color w:val="auto"/>
                <w:sz w:val="24"/>
                <w:szCs w:val="24"/>
              </w:rPr>
            </w:pPr>
            <w:r>
              <w:rPr>
                <w:rFonts w:hint="eastAsia" w:ascii="宋体" w:hAnsi="宋体"/>
                <w:color w:val="auto"/>
                <w:sz w:val="24"/>
                <w:szCs w:val="24"/>
              </w:rPr>
              <w:t xml:space="preserve">1</w:t>
            </w:r>
            <w:r/>
          </w:p>
        </w:tc>
      </w:tr>
    </w:tbl>
    <w:p>
      <w:pPr>
        <w:ind w:firstLine="480"/>
        <w:spacing w:line="264" w:lineRule="auto"/>
        <w:rPr>
          <w:rFonts w:ascii="宋体" w:hAnsi="宋体"/>
          <w:color w:val="auto"/>
          <w:sz w:val="24"/>
          <w:szCs w:val="24"/>
        </w:rPr>
      </w:pPr>
      <w:r>
        <w:rPr>
          <w:rFonts w:hint="eastAsia" w:ascii="宋体" w:hAnsi="宋体"/>
          <w:color w:val="auto"/>
          <w:sz w:val="24"/>
          <w:szCs w:val="24"/>
        </w:rPr>
        <w:t xml:space="preserve">（11）网络安全和数据安全要求，外包网络安全管理要求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符合网络安全和密码应用要求，符合国家安全可靠应用政策规定。</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（12）系统培训要求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质保期内内每年上门培训不低于二次，提供软件终身升级服务，费用包含在投标报价中。</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（1）交付时间：</w:t>
      </w:r>
      <w:r>
        <w:rPr>
          <w:rFonts w:hint="eastAsia" w:ascii="宋体" w:hAnsi="宋体" w:cs="宋体"/>
          <w:bCs/>
          <w:color w:val="auto"/>
          <w:sz w:val="24"/>
          <w:szCs w:val="24"/>
        </w:rPr>
        <w:t xml:space="preserve">合同签订后45天内完成系统开发及整体交付验收工作</w:t>
      </w:r>
      <w:r>
        <w:rPr>
          <w:rFonts w:ascii="宋体" w:hAnsi="宋体" w:cs="宋体"/>
          <w:color w:val="auto"/>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招标文件中要求提供证明材料的，投标人签订合同时应按招标文件要求和投标文件响应内容向采购人提供相应证明材料原件核验，否则采购人将取消其中标资格。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投标人在签订合同应按采购人要求提供上述相关证明材料原件供采购人核验，</w:t>
      </w:r>
      <w:r>
        <w:rPr>
          <w:rFonts w:hint="eastAsia" w:ascii="宋体" w:hAnsi="宋体" w:cs="宋体"/>
          <w:sz w:val="24"/>
          <w:szCs w:val="24"/>
        </w:rPr>
        <w:t xml:space="preserve">否则采购人将取消其中标资格。</w:t>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right="840"/>
        <w:jc w:val="center"/>
        <w:rPr>
          <w:rFonts w:ascii="方正小标宋简体" w:hAnsi="方正小标宋简体" w:eastAsia="方正小标宋简体" w:cs="方正小标宋简体"/>
          <w:color w:val="000000"/>
          <w:sz w:val="36"/>
          <w:szCs w:val="36"/>
        </w:rPr>
        <w:outlineLvl w:val="0"/>
      </w:pPr>
      <w:r>
        <w:rPr>
          <w:rFonts w:hint="eastAsia"/>
        </w:rPr>
        <w:br w:type="page" w:clear="all"/>
      </w:r>
      <w:bookmarkStart w:id="60"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rPr>
          <w:rFonts w:ascii="黑体" w:hAnsi="黑体" w:eastAsia="黑体" w:cs="黑体"/>
          <w:color w:val="000000"/>
          <w:sz w:val="24"/>
          <w:szCs w:val="24"/>
        </w:rPr>
      </w:pPr>
      <w:r>
        <w:rPr>
          <w:rFonts w:ascii="黑体" w:hAnsi="黑体" w:eastAsia="黑体" w:cs="黑体"/>
          <w:color w:val="000000"/>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auto"/>
          <w:sz w:val="24"/>
          <w:szCs w:val="24"/>
        </w:rPr>
        <w:t xml:space="preserve">2.技术</w:t>
      </w:r>
      <w:r>
        <w:rPr>
          <w:rFonts w:hint="eastAsia" w:ascii="宋体" w:hAnsi="宋体" w:cs="宋体"/>
          <w:color w:val="auto"/>
          <w:sz w:val="24"/>
          <w:szCs w:val="24"/>
        </w:rPr>
        <w:t xml:space="preserve">”得分由高到低顺序排列。在投标文件满足招标文件全部实质性要求的投标人中，按照评审得分由高到低选取</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rPr>
          <w:rFonts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p>
    <w:p>
      <w:pPr>
        <w:ind w:firstLine="480"/>
        <w:rPr>
          <w:rFonts w:ascii="宋体" w:hAnsi="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cs="宋体"/>
          <w:color w:val="auto"/>
          <w:sz w:val="24"/>
          <w:szCs w:val="24"/>
        </w:rPr>
        <w:t xml:space="preserve">的扣除，用扣除后的价格参与评审。</w:t>
      </w:r>
      <w:r/>
    </w:p>
    <w:p>
      <w:pPr>
        <w:ind w:firstLine="480"/>
        <w:rPr>
          <w:rFonts w:ascii="宋体" w:hAnsi="宋体" w:cs="宋体"/>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的价格扣除，用扣除后的价格参与评审。残疾人福利性单位、监狱企业属于小型、微型企业的，不重复享受价</w:t>
      </w:r>
      <w:r>
        <w:rPr>
          <w:rFonts w:hint="eastAsia" w:ascii="宋体" w:hAnsi="宋体" w:cs="宋体"/>
          <w:sz w:val="24"/>
          <w:szCs w:val="24"/>
        </w:rPr>
        <w:t xml:space="preserve">格扣除。</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85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line="264" w:lineRule="auto"/>
            </w:pPr>
            <w:r>
              <w:rPr>
                <w:rFonts w:hint="eastAsia"/>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line="264" w:lineRule="auto"/>
            </w:pPr>
            <w:r>
              <w:rPr>
                <w:rFonts w:hint="eastAsia"/>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类型</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spacing w:line="264" w:lineRule="auto"/>
            </w:pPr>
            <w:r>
              <w:rPr>
                <w:rFonts w:hint="eastAsia"/>
              </w:rPr>
              <w:t xml:space="preserve">1.价格</w:t>
            </w:r>
            <w:r/>
          </w:p>
        </w:tc>
      </w:tr>
      <w:tr>
        <w:trPr>
          <w:jc w:val="center"/>
          <w:trHeight w:val="470"/>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1.1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价格分</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spacing w:line="264" w:lineRule="auto"/>
            </w:pPr>
            <w:r>
              <w:rPr>
                <w:rFonts w:hint="eastAsia"/>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25</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价格分</w:t>
            </w:r>
            <w:r/>
          </w:p>
        </w:tc>
      </w:tr>
      <w:tr>
        <w:trPr>
          <w:jc w:val="center"/>
          <w:trHeight w:val="460"/>
        </w:trPr>
        <w:tc>
          <w:tcPr>
            <w:gridSpan w:val="5"/>
            <w:tcBorders>
              <w:top w:val="single" w:color="000000" w:sz="2" w:space="0"/>
              <w:bottom w:val="single" w:color="000000" w:sz="2" w:space="0"/>
            </w:tcBorders>
            <w:tcW w:w="9575" w:type="dxa"/>
            <w:vAlign w:val="center"/>
            <w:textDirection w:val="lrTb"/>
            <w:noWrap w:val="false"/>
          </w:tcPr>
          <w:p>
            <w:pPr>
              <w:spacing w:line="264" w:lineRule="auto"/>
            </w:pPr>
            <w:r>
              <w:rPr>
                <w:rFonts w:hint="eastAsia"/>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2.1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产品技术参数全部满足招标要求的得满分，打★指标为必须满足项，如有负偏离将作为无效投标，打▲（10项）指标为重要指标，有1项负偏离扣1分，其余指标</w:t>
            </w:r>
            <w:r>
              <w:rPr>
                <w:rFonts w:hint="eastAsia"/>
              </w:rPr>
              <w:t xml:space="preserve">有1项负偏离扣0.1分。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21</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客观分</w:t>
            </w:r>
            <w:r/>
          </w:p>
        </w:tc>
      </w:tr>
      <w:tr>
        <w:trPr>
          <w:jc w:val="center"/>
          <w:trHeight w:val="479"/>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line="264" w:lineRule="auto"/>
            </w:pPr>
            <w:r>
              <w:rPr>
                <w:rFonts w:hint="eastAsia"/>
              </w:rPr>
              <w:t xml:space="preserve">2.2</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spacing w:line="264" w:lineRule="auto"/>
            </w:pPr>
            <w:r>
              <w:rPr>
                <w:rFonts w:hint="eastAsia"/>
              </w:rPr>
              <w:t xml:space="preserve">需求理解</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spacing w:line="264" w:lineRule="auto"/>
            </w:pPr>
            <w:r>
              <w:rPr>
                <w:rFonts w:hint="eastAsia"/>
              </w:rPr>
              <w:t xml:space="preserve">根据本项目采购需求及相关要求编制方案，内容包含：1.业务需求分析；2.建设目标分析；3.建设依据、必要性分析；4.重点难点分析。以上每项内容逐项评分：</w:t>
            </w:r>
            <w:r/>
          </w:p>
          <w:p>
            <w:pPr>
              <w:spacing w:line="264" w:lineRule="auto"/>
            </w:pPr>
            <w:r>
              <w:rPr>
                <w:rFonts w:hint="eastAsia"/>
              </w:rPr>
              <w:t xml:space="preserve">（1）业务需求分析</w:t>
            </w:r>
            <w:r/>
          </w:p>
          <w:p>
            <w:pPr>
              <w:spacing w:line="264" w:lineRule="auto"/>
            </w:pPr>
            <w:r>
              <w:rPr>
                <w:rFonts w:hint="eastAsia"/>
              </w:rPr>
              <w:t xml:space="preserve">业务需求分析内容完整深刻、针对性强、紧贴采购需求的，得1分；</w:t>
            </w:r>
            <w:r/>
          </w:p>
          <w:p>
            <w:pPr>
              <w:spacing w:line="264" w:lineRule="auto"/>
            </w:pPr>
            <w:r>
              <w:rPr>
                <w:rFonts w:hint="eastAsia"/>
              </w:rPr>
              <w:t xml:space="preserve">业务需求分析内容基本完整、针对性较强、较符合需求的，得0.5分；</w:t>
            </w:r>
            <w:r/>
          </w:p>
          <w:p>
            <w:pPr>
              <w:spacing w:line="264" w:lineRule="auto"/>
            </w:pPr>
            <w:r>
              <w:rPr>
                <w:rFonts w:hint="eastAsia"/>
              </w:rPr>
              <w:t xml:space="preserve">未提供或提供的内容完全不符合采购需求的不得分。</w:t>
            </w:r>
            <w:r/>
          </w:p>
          <w:p>
            <w:pPr>
              <w:spacing w:line="264" w:lineRule="auto"/>
            </w:pPr>
            <w:r>
              <w:rPr>
                <w:rFonts w:hint="eastAsia"/>
              </w:rPr>
              <w:t xml:space="preserve">（2）建设目标分析</w:t>
            </w:r>
            <w:r/>
          </w:p>
          <w:p>
            <w:pPr>
              <w:spacing w:line="264" w:lineRule="auto"/>
            </w:pPr>
            <w:r>
              <w:rPr>
                <w:rFonts w:hint="eastAsia"/>
              </w:rPr>
              <w:t xml:space="preserve">建设目标分析准确、深度贴合业务科室建设目标的，得1分；</w:t>
            </w:r>
            <w:r/>
          </w:p>
          <w:p>
            <w:pPr>
              <w:spacing w:line="264" w:lineRule="auto"/>
            </w:pPr>
            <w:r>
              <w:rPr>
                <w:rFonts w:hint="eastAsia"/>
              </w:rPr>
              <w:t xml:space="preserve">建设目标分析较准确、基本符合业务科室建设目标的，得0.5分；</w:t>
            </w:r>
            <w:r/>
          </w:p>
          <w:p>
            <w:pPr>
              <w:spacing w:line="264" w:lineRule="auto"/>
            </w:pPr>
            <w:r>
              <w:rPr>
                <w:rFonts w:hint="eastAsia"/>
              </w:rPr>
              <w:t xml:space="preserve">未提供或提供的内容完全不符合采购需求的不得分。</w:t>
            </w:r>
            <w:r/>
          </w:p>
          <w:p>
            <w:pPr>
              <w:spacing w:line="264" w:lineRule="auto"/>
            </w:pPr>
            <w:r>
              <w:rPr>
                <w:rFonts w:hint="eastAsia"/>
              </w:rPr>
              <w:t xml:space="preserve">（3）建设依据、必要性分析</w:t>
            </w:r>
            <w:r/>
          </w:p>
          <w:p>
            <w:pPr>
              <w:spacing w:line="264" w:lineRule="auto"/>
            </w:pPr>
            <w:r>
              <w:rPr>
                <w:rFonts w:hint="eastAsia"/>
              </w:rPr>
              <w:t xml:space="preserve">建设依据与必要性分析内容完整、分析科学的，得1分；</w:t>
            </w:r>
            <w:r/>
          </w:p>
          <w:p>
            <w:pPr>
              <w:spacing w:line="264" w:lineRule="auto"/>
            </w:pPr>
            <w:r>
              <w:rPr>
                <w:rFonts w:hint="eastAsia"/>
              </w:rPr>
              <w:t xml:space="preserve">建设依据与必要性分析内容较完整、分析较科学的，得0.5分；</w:t>
            </w:r>
            <w:r/>
          </w:p>
          <w:p>
            <w:pPr>
              <w:spacing w:line="264" w:lineRule="auto"/>
            </w:pPr>
            <w:r>
              <w:rPr>
                <w:rFonts w:hint="eastAsia"/>
              </w:rPr>
              <w:t xml:space="preserve">未提供或提供的内容完全不符合采购需求的不得分。</w:t>
            </w:r>
            <w:r/>
          </w:p>
          <w:p>
            <w:pPr>
              <w:spacing w:line="264" w:lineRule="auto"/>
            </w:pPr>
            <w:r>
              <w:rPr>
                <w:rFonts w:hint="eastAsia"/>
              </w:rPr>
              <w:t xml:space="preserve">（4）重点难点分析</w:t>
            </w:r>
            <w:r/>
          </w:p>
          <w:p>
            <w:pPr>
              <w:spacing w:line="264" w:lineRule="auto"/>
            </w:pPr>
            <w:r>
              <w:rPr>
                <w:rFonts w:hint="eastAsia"/>
              </w:rPr>
              <w:t xml:space="preserve">重难点分析清晰完整，内容详细具体的，得1分；</w:t>
            </w:r>
            <w:r/>
          </w:p>
          <w:p>
            <w:pPr>
              <w:spacing w:line="264" w:lineRule="auto"/>
            </w:pPr>
            <w:r>
              <w:rPr>
                <w:rFonts w:hint="eastAsia"/>
              </w:rPr>
              <w:t xml:space="preserve">重难点分析较清晰完整，内容较详细具体的，得0.5分；</w:t>
            </w:r>
            <w:r/>
          </w:p>
          <w:p>
            <w:pPr>
              <w:spacing w:line="264" w:lineRule="auto"/>
            </w:pPr>
            <w:r>
              <w:rPr>
                <w:rFonts w:hint="eastAsia"/>
              </w:rPr>
              <w:t xml:space="preserve">未提供或提供的内容完全不符合采购需求的不得分。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spacing w:line="264" w:lineRule="auto"/>
            </w:pPr>
            <w:r>
              <w:rPr>
                <w:rFonts w:hint="eastAsia"/>
              </w:rPr>
              <w:t xml:space="preserve">4</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spacing w:line="264" w:lineRule="auto"/>
            </w:pPr>
            <w:r>
              <w:rPr>
                <w:rFonts w:hint="eastAsia"/>
              </w:rPr>
              <w:t xml:space="preserve">主观分</w:t>
            </w:r>
            <w:r/>
          </w:p>
        </w:tc>
      </w:tr>
      <w:tr>
        <w:trPr>
          <w:jc w:val="center"/>
          <w:trHeight w:val="479"/>
        </w:trPr>
        <w:tc>
          <w:tcPr>
            <w:tcBorders>
              <w:top w:val="single" w:color="000000" w:sz="2" w:space="0"/>
              <w:left w:val="single" w:color="000000" w:sz="6" w:space="0"/>
              <w:bottom w:val="single" w:color="000000" w:sz="2" w:space="0"/>
              <w:right w:val="single" w:color="000000" w:sz="6" w:space="0"/>
            </w:tcBorders>
            <w:tcW w:w="519" w:type="dxa"/>
            <w:vAlign w:val="center"/>
            <w:textDirection w:val="lrTb"/>
            <w:noWrap w:val="false"/>
          </w:tcPr>
          <w:p>
            <w:pPr>
              <w:jc w:val="center"/>
              <w:spacing w:line="264" w:lineRule="auto"/>
            </w:pPr>
            <w:r>
              <w:rPr>
                <w:rFonts w:hint="eastAsia"/>
              </w:rPr>
              <w:t xml:space="preserve">2.3</w:t>
            </w:r>
            <w:r/>
          </w:p>
        </w:tc>
        <w:tc>
          <w:tcPr>
            <w:tcBorders>
              <w:top w:val="single" w:color="000000" w:sz="2" w:space="0"/>
              <w:left w:val="single" w:color="000000" w:sz="6" w:space="0"/>
              <w:bottom w:val="single" w:color="000000" w:sz="2" w:space="0"/>
              <w:right w:val="single" w:color="000000" w:sz="6" w:space="0"/>
            </w:tcBorders>
            <w:tcW w:w="1179" w:type="dxa"/>
            <w:vAlign w:val="center"/>
            <w:textDirection w:val="lrTb"/>
            <w:noWrap w:val="false"/>
          </w:tcPr>
          <w:p>
            <w:pPr>
              <w:spacing w:line="264" w:lineRule="auto"/>
            </w:pPr>
            <w:r>
              <w:rPr>
                <w:rFonts w:hint="eastAsia"/>
              </w:rPr>
              <w:t xml:space="preserve">总体技术方案</w:t>
            </w:r>
            <w:r/>
          </w:p>
        </w:tc>
        <w:tc>
          <w:tcPr>
            <w:tcBorders>
              <w:top w:val="single" w:color="000000" w:sz="2" w:space="0"/>
              <w:left w:val="single" w:color="000000" w:sz="6" w:space="0"/>
              <w:bottom w:val="single" w:color="000000" w:sz="2" w:space="0"/>
              <w:right w:val="single" w:color="000000" w:sz="6" w:space="0"/>
            </w:tcBorders>
            <w:tcW w:w="6330" w:type="dxa"/>
            <w:vAlign w:val="center"/>
            <w:textDirection w:val="lrTb"/>
            <w:noWrap w:val="false"/>
          </w:tcPr>
          <w:p>
            <w:pPr>
              <w:spacing w:line="264" w:lineRule="auto"/>
            </w:pPr>
            <w:r>
              <w:rPr>
                <w:rFonts w:hint="eastAsia"/>
              </w:rPr>
              <w:t xml:space="preserve">根据本项目采购需求及相关要求编制方案，内容包含：1.总体架构和性能设计；2.技术路线和业务逻辑流程设计；3.系统部署和安全防护设计。以上每项内容逐项评分：</w:t>
            </w:r>
            <w:r/>
          </w:p>
          <w:p>
            <w:pPr>
              <w:spacing w:line="264" w:lineRule="auto"/>
            </w:pPr>
            <w:r>
              <w:rPr>
                <w:rFonts w:hint="eastAsia"/>
              </w:rPr>
              <w:t xml:space="preserve">（1）总体架构和性能设计</w:t>
            </w:r>
            <w:r/>
          </w:p>
          <w:p>
            <w:pPr>
              <w:spacing w:line="264" w:lineRule="auto"/>
            </w:pPr>
            <w:r>
              <w:rPr>
                <w:rFonts w:hint="eastAsia"/>
              </w:rPr>
              <w:t xml:space="preserve">总体架构和性能设计清晰完整，提供架构图且层次分明，得2分；</w:t>
            </w:r>
            <w:r/>
          </w:p>
          <w:p>
            <w:pPr>
              <w:spacing w:line="264" w:lineRule="auto"/>
            </w:pPr>
            <w:r>
              <w:rPr>
                <w:rFonts w:hint="eastAsia"/>
              </w:rPr>
              <w:t xml:space="preserve">总体架构和性能设计基本清晰，提供架构图但细节略有不足，得1分；</w:t>
            </w:r>
            <w:r/>
          </w:p>
          <w:p>
            <w:pPr>
              <w:spacing w:line="264" w:lineRule="auto"/>
            </w:pPr>
            <w:r>
              <w:rPr>
                <w:rFonts w:hint="eastAsia"/>
              </w:rPr>
              <w:t xml:space="preserve">未提供或内容完全不符合采购需求的不得分。</w:t>
            </w:r>
            <w:r/>
          </w:p>
          <w:p>
            <w:pPr>
              <w:spacing w:line="264" w:lineRule="auto"/>
            </w:pPr>
            <w:r>
              <w:rPr>
                <w:rFonts w:hint="eastAsia"/>
              </w:rPr>
              <w:t xml:space="preserve">（2）技术路线和业务逻辑流程设计</w:t>
            </w:r>
            <w:r/>
          </w:p>
          <w:p>
            <w:pPr>
              <w:spacing w:line="264" w:lineRule="auto"/>
            </w:pPr>
            <w:r>
              <w:rPr>
                <w:rFonts w:hint="eastAsia"/>
              </w:rPr>
              <w:t xml:space="preserve">技术路线和业务逻辑流程设计清晰完整，提供架构图且层次分明，得2分；</w:t>
            </w:r>
            <w:r/>
          </w:p>
          <w:p>
            <w:pPr>
              <w:spacing w:line="264" w:lineRule="auto"/>
            </w:pPr>
            <w:r>
              <w:rPr>
                <w:rFonts w:hint="eastAsia"/>
              </w:rPr>
              <w:t xml:space="preserve">技术路线和业务逻辑流程设计基本清晰，提供架构图但细节略有不足，得1分；</w:t>
            </w:r>
            <w:r/>
          </w:p>
          <w:p>
            <w:pPr>
              <w:spacing w:line="264" w:lineRule="auto"/>
            </w:pPr>
            <w:r>
              <w:rPr>
                <w:rFonts w:hint="eastAsia"/>
              </w:rPr>
              <w:t xml:space="preserve">未提供或内容完全不符合采购需求的不得分。</w:t>
            </w:r>
            <w:r/>
          </w:p>
          <w:p>
            <w:pPr>
              <w:spacing w:line="264" w:lineRule="auto"/>
            </w:pPr>
            <w:r>
              <w:rPr>
                <w:rFonts w:hint="eastAsia"/>
              </w:rPr>
              <w:t xml:space="preserve">（3）系统部署和安全防护设计</w:t>
            </w:r>
            <w:r/>
          </w:p>
          <w:p>
            <w:pPr>
              <w:spacing w:line="264" w:lineRule="auto"/>
            </w:pPr>
            <w:r>
              <w:rPr>
                <w:rFonts w:hint="eastAsia"/>
              </w:rPr>
              <w:t xml:space="preserve">系统部署和安全防护设计清晰完整，提供架构图且层次分明，得2分；</w:t>
            </w:r>
            <w:r/>
          </w:p>
          <w:p>
            <w:pPr>
              <w:spacing w:line="264" w:lineRule="auto"/>
            </w:pPr>
            <w:r>
              <w:rPr>
                <w:rFonts w:hint="eastAsia"/>
              </w:rPr>
              <w:t xml:space="preserve">系统部署和安全防护设计基本清晰，提供架构图但细节略有不足，得1分；</w:t>
            </w:r>
            <w:r/>
          </w:p>
          <w:p>
            <w:pPr>
              <w:spacing w:line="264" w:lineRule="auto"/>
            </w:pPr>
            <w:r>
              <w:rPr>
                <w:rFonts w:hint="eastAsia"/>
              </w:rPr>
              <w:t xml:space="preserve">未提供或提供的内容完全不符合采购需求的不得分。</w:t>
            </w:r>
            <w:r/>
          </w:p>
        </w:tc>
        <w:tc>
          <w:tcPr>
            <w:tcBorders>
              <w:top w:val="single" w:color="000000" w:sz="2" w:space="0"/>
              <w:left w:val="single" w:color="000000" w:sz="6" w:space="0"/>
              <w:bottom w:val="single" w:color="000000" w:sz="2" w:space="0"/>
              <w:right w:val="single" w:color="000000" w:sz="6" w:space="0"/>
            </w:tcBorders>
            <w:tcW w:w="647" w:type="dxa"/>
            <w:vAlign w:val="center"/>
            <w:textDirection w:val="lrTb"/>
            <w:noWrap w:val="false"/>
          </w:tcPr>
          <w:p>
            <w:pPr>
              <w:jc w:val="center"/>
              <w:spacing w:line="264" w:lineRule="auto"/>
            </w:pPr>
            <w:r>
              <w:rPr>
                <w:rFonts w:hint="eastAsia"/>
              </w:rPr>
              <w:t xml:space="preserve">6</w:t>
            </w:r>
            <w:r/>
          </w:p>
        </w:tc>
        <w:tc>
          <w:tcPr>
            <w:tcBorders>
              <w:top w:val="single" w:color="000000" w:sz="2" w:space="0"/>
              <w:left w:val="single" w:color="000000" w:sz="6" w:space="0"/>
              <w:bottom w:val="single" w:color="000000" w:sz="2" w:space="0"/>
              <w:right w:val="single" w:color="000000" w:sz="6" w:space="0"/>
            </w:tcBorders>
            <w:tcW w:w="900" w:type="dxa"/>
            <w:vAlign w:val="center"/>
            <w:textDirection w:val="lrTb"/>
            <w:noWrap w:val="false"/>
          </w:tcPr>
          <w:p>
            <w:pPr>
              <w:jc w:val="center"/>
              <w:spacing w:line="264" w:lineRule="auto"/>
            </w:pPr>
            <w:r>
              <w:rPr>
                <w:rFonts w:hint="eastAsia"/>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auto"/>
              </w:rPr>
            </w:pPr>
            <w:r>
              <w:rPr>
                <w:rFonts w:hint="eastAsia"/>
                <w:color w:val="auto"/>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rPr>
            </w:pPr>
            <w:r>
              <w:rPr>
                <w:rFonts w:hint="eastAsia"/>
                <w:color w:val="auto"/>
              </w:rPr>
              <w:t xml:space="preserve">项目实施及管理方案</w:t>
            </w:r>
            <w:r/>
          </w:p>
        </w:tc>
        <w:tc>
          <w:tcPr>
            <w:tcBorders>
              <w:top w:val="single" w:color="000000" w:sz="2" w:space="0"/>
              <w:bottom w:val="single" w:color="000000" w:sz="2" w:space="0"/>
            </w:tcBorders>
            <w:tcW w:w="6330" w:type="dxa"/>
            <w:vAlign w:val="center"/>
            <w:textDirection w:val="lrTb"/>
            <w:noWrap w:val="false"/>
          </w:tcPr>
          <w:p>
            <w:pPr>
              <w:spacing w:line="264" w:lineRule="auto"/>
              <w:rPr>
                <w:color w:val="auto"/>
              </w:rPr>
            </w:pPr>
            <w:r/>
            <w:bookmarkStart w:id="61" w:name="OLE_LINK5"/>
            <w:r>
              <w:rPr>
                <w:rFonts w:hint="eastAsia"/>
                <w:color w:val="auto"/>
              </w:rPr>
              <w:t xml:space="preserve">根据本项目采购需求及相关要求编制方案，内容包含：1.项目实施方案；2.实施进度安排；3.项目管理方案。以上每项内容逐项评分：</w:t>
            </w:r>
            <w:r/>
          </w:p>
          <w:p>
            <w:pPr>
              <w:spacing w:line="264" w:lineRule="auto"/>
              <w:rPr>
                <w:color w:val="auto"/>
              </w:rPr>
            </w:pPr>
            <w:r>
              <w:rPr>
                <w:rFonts w:hint="eastAsia"/>
                <w:color w:val="auto"/>
              </w:rPr>
              <w:t xml:space="preserve">（1）项目实施方案</w:t>
            </w:r>
            <w:r/>
          </w:p>
          <w:p>
            <w:pPr>
              <w:spacing w:line="264" w:lineRule="auto"/>
              <w:rPr>
                <w:color w:val="auto"/>
              </w:rPr>
            </w:pPr>
            <w:r>
              <w:rPr>
                <w:rFonts w:hint="eastAsia"/>
                <w:color w:val="auto"/>
              </w:rPr>
              <w:t xml:space="preserve">实施方案完整深刻、可行性强的，且专门针对本项目，契合采购需求的，得2分；</w:t>
            </w:r>
            <w:r/>
          </w:p>
          <w:p>
            <w:pPr>
              <w:spacing w:line="264" w:lineRule="auto"/>
              <w:rPr>
                <w:color w:val="auto"/>
              </w:rPr>
            </w:pPr>
            <w:r>
              <w:rPr>
                <w:rFonts w:hint="eastAsia"/>
                <w:color w:val="auto"/>
              </w:rPr>
              <w:t xml:space="preserve">实施方案属于通用类，非专门针对本项目，部分契合采的，得1分；</w:t>
            </w:r>
            <w:r/>
          </w:p>
          <w:p>
            <w:pPr>
              <w:spacing w:line="264" w:lineRule="auto"/>
              <w:rPr>
                <w:color w:val="auto"/>
              </w:rPr>
            </w:pPr>
            <w:r>
              <w:rPr>
                <w:rFonts w:hint="eastAsia"/>
                <w:color w:val="auto"/>
              </w:rPr>
              <w:t xml:space="preserve">未提供或提供的内容完全不符合采购需求的不得分。</w:t>
            </w:r>
            <w:r/>
          </w:p>
          <w:p>
            <w:pPr>
              <w:spacing w:line="264" w:lineRule="auto"/>
              <w:rPr>
                <w:color w:val="auto"/>
              </w:rPr>
            </w:pPr>
            <w:r>
              <w:rPr>
                <w:rFonts w:hint="eastAsia"/>
                <w:color w:val="auto"/>
              </w:rPr>
              <w:t xml:space="preserve">（2）实施进度安排</w:t>
            </w:r>
            <w:r/>
          </w:p>
          <w:p>
            <w:pPr>
              <w:spacing w:line="264" w:lineRule="auto"/>
              <w:rPr>
                <w:color w:val="auto"/>
              </w:rPr>
            </w:pPr>
            <w:r>
              <w:rPr>
                <w:rFonts w:hint="eastAsia"/>
                <w:color w:val="auto"/>
              </w:rPr>
              <w:t xml:space="preserve">实施进度安排方案完整深刻、可行性强的，且专门针对本项目，契合采购需求的，得2分；</w:t>
            </w:r>
            <w:r/>
          </w:p>
          <w:p>
            <w:pPr>
              <w:spacing w:line="264" w:lineRule="auto"/>
              <w:rPr>
                <w:color w:val="auto"/>
              </w:rPr>
            </w:pPr>
            <w:r>
              <w:rPr>
                <w:rFonts w:hint="eastAsia"/>
                <w:color w:val="auto"/>
              </w:rPr>
              <w:t xml:space="preserve">实施进度安排属于通用类，非专门针对本项目，部分契合采的，得1分；</w:t>
            </w:r>
            <w:r/>
          </w:p>
          <w:p>
            <w:pPr>
              <w:spacing w:line="264" w:lineRule="auto"/>
              <w:rPr>
                <w:color w:val="auto"/>
              </w:rPr>
            </w:pPr>
            <w:r>
              <w:rPr>
                <w:rFonts w:hint="eastAsia"/>
                <w:color w:val="auto"/>
              </w:rPr>
              <w:t xml:space="preserve">实施进度安排的内容完全不符合采购需求的不得分。</w:t>
            </w:r>
            <w:r/>
          </w:p>
          <w:p>
            <w:pPr>
              <w:spacing w:line="264" w:lineRule="auto"/>
              <w:rPr>
                <w:color w:val="auto"/>
              </w:rPr>
            </w:pPr>
            <w:r>
              <w:rPr>
                <w:rFonts w:hint="eastAsia"/>
                <w:color w:val="auto"/>
              </w:rPr>
              <w:t xml:space="preserve">（3）项目管理方案</w:t>
            </w:r>
            <w:r/>
          </w:p>
          <w:p>
            <w:pPr>
              <w:spacing w:line="264" w:lineRule="auto"/>
              <w:rPr>
                <w:color w:val="auto"/>
              </w:rPr>
            </w:pPr>
            <w:r>
              <w:rPr>
                <w:rFonts w:hint="eastAsia"/>
                <w:color w:val="auto"/>
              </w:rPr>
              <w:t xml:space="preserve">项目管理方案完整深刻、可行性强的，且专门针对本项目，契合采购需求的，得2分；</w:t>
            </w:r>
            <w:r/>
          </w:p>
          <w:p>
            <w:pPr>
              <w:spacing w:line="264" w:lineRule="auto"/>
              <w:rPr>
                <w:color w:val="auto"/>
              </w:rPr>
            </w:pPr>
            <w:r>
              <w:rPr>
                <w:rFonts w:hint="eastAsia"/>
                <w:color w:val="auto"/>
              </w:rPr>
              <w:t xml:space="preserve">项目管理方案属于通用类，非专门针对本项目，部分契合采的，得1分；</w:t>
            </w:r>
            <w:r/>
          </w:p>
          <w:p>
            <w:pPr>
              <w:spacing w:line="264" w:lineRule="auto"/>
              <w:rPr>
                <w:color w:val="auto"/>
              </w:rPr>
            </w:pPr>
            <w:r>
              <w:rPr>
                <w:rFonts w:hint="eastAsia"/>
                <w:color w:val="auto"/>
              </w:rPr>
              <w:t xml:space="preserve">未提供或提供的内容完全不符合采购需求的不得分。</w:t>
            </w:r>
            <w:bookmarkEnd w:id="61"/>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color w:val="auto"/>
              </w:rPr>
            </w:pPr>
            <w:r>
              <w:rPr>
                <w:rFonts w:hint="eastAsia"/>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color w:val="auto"/>
              </w:rPr>
            </w:pPr>
            <w:r>
              <w:rPr>
                <w:rFonts w:hint="eastAsia"/>
                <w:color w:val="auto"/>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系统对接方案</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根据本项目采购需求及相关要求编制方案，内容包含：1.对接实施计划；2.备份与应急预案；3.对接持续优化方案。以上每项内容逐项评分：</w:t>
            </w:r>
            <w:r/>
          </w:p>
          <w:p>
            <w:pPr>
              <w:spacing w:line="264" w:lineRule="auto"/>
            </w:pPr>
            <w:r>
              <w:rPr>
                <w:rFonts w:hint="eastAsia"/>
              </w:rPr>
              <w:t xml:space="preserve">（1）对接实施计划</w:t>
            </w:r>
            <w:r/>
          </w:p>
          <w:p>
            <w:pPr>
              <w:spacing w:line="264" w:lineRule="auto"/>
            </w:pPr>
            <w:r>
              <w:rPr>
                <w:rFonts w:hint="eastAsia"/>
              </w:rPr>
              <w:t xml:space="preserve">对接实施计划内容完整、清晰详细的，得2分；</w:t>
            </w:r>
            <w:r/>
          </w:p>
          <w:p>
            <w:pPr>
              <w:spacing w:line="264" w:lineRule="auto"/>
            </w:pPr>
            <w:r>
              <w:rPr>
                <w:rFonts w:hint="eastAsia"/>
              </w:rPr>
              <w:t xml:space="preserve">对接实施计划内容较完整、较清晰详细的，得1分；</w:t>
            </w:r>
            <w:r/>
          </w:p>
          <w:p>
            <w:pPr>
              <w:spacing w:line="264" w:lineRule="auto"/>
            </w:pPr>
            <w:r>
              <w:rPr>
                <w:rFonts w:hint="eastAsia"/>
              </w:rPr>
              <w:t xml:space="preserve">未提供或提供的内容完全不符合采购需求的不得分。</w:t>
            </w:r>
            <w:r/>
          </w:p>
          <w:p>
            <w:pPr>
              <w:spacing w:line="264" w:lineRule="auto"/>
            </w:pPr>
            <w:r>
              <w:rPr>
                <w:rFonts w:hint="eastAsia"/>
              </w:rPr>
              <w:t xml:space="preserve">（2）备份与应急预案</w:t>
            </w:r>
            <w:r/>
          </w:p>
          <w:p>
            <w:pPr>
              <w:spacing w:line="264" w:lineRule="auto"/>
            </w:pPr>
            <w:r>
              <w:rPr>
                <w:rFonts w:hint="eastAsia"/>
              </w:rPr>
              <w:t xml:space="preserve">备份与应急预案内容完整、科学合理的，得2分；</w:t>
            </w:r>
            <w:r/>
          </w:p>
          <w:p>
            <w:pPr>
              <w:spacing w:line="264" w:lineRule="auto"/>
            </w:pPr>
            <w:r>
              <w:rPr>
                <w:rFonts w:hint="eastAsia"/>
              </w:rPr>
              <w:t xml:space="preserve">备份与应急预案内容较完整、较科学合理的，得1分；</w:t>
            </w:r>
            <w:r/>
          </w:p>
          <w:p>
            <w:pPr>
              <w:spacing w:line="264" w:lineRule="auto"/>
            </w:pPr>
            <w:r>
              <w:rPr>
                <w:rFonts w:hint="eastAsia"/>
              </w:rPr>
              <w:t xml:space="preserve">未提供或提供的内容完全不符合采购需求的不得分。</w:t>
            </w:r>
            <w:r/>
          </w:p>
          <w:p>
            <w:pPr>
              <w:spacing w:line="264" w:lineRule="auto"/>
            </w:pPr>
            <w:r>
              <w:rPr>
                <w:rFonts w:hint="eastAsia"/>
              </w:rPr>
              <w:t xml:space="preserve">（3）对接持续优化方案</w:t>
            </w:r>
            <w:r/>
          </w:p>
          <w:p>
            <w:pPr>
              <w:spacing w:line="264" w:lineRule="auto"/>
            </w:pPr>
            <w:r>
              <w:rPr>
                <w:rFonts w:hint="eastAsia"/>
              </w:rPr>
              <w:t xml:space="preserve">对接持续优化方案内容科学合理的，得2分；</w:t>
            </w:r>
            <w:r/>
          </w:p>
          <w:p>
            <w:pPr>
              <w:spacing w:line="264" w:lineRule="auto"/>
            </w:pPr>
            <w:r>
              <w:rPr>
                <w:rFonts w:hint="eastAsia"/>
              </w:rPr>
              <w:t xml:space="preserve">对接持续优化方案内容较科学合理的，得1分；</w:t>
            </w:r>
            <w:r/>
          </w:p>
          <w:p>
            <w:pPr>
              <w:spacing w:line="264" w:lineRule="auto"/>
            </w:pPr>
            <w:r>
              <w:rPr>
                <w:rFonts w:hint="eastAsia"/>
              </w:rPr>
              <w:t xml:space="preserve">未提供或提供的内容完全不符合采购需求的不得分。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2.6</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后续硬件对接价格</w:t>
            </w:r>
            <w:r/>
          </w:p>
        </w:tc>
        <w:tc>
          <w:tcPr>
            <w:tcBorders>
              <w:top w:val="single" w:color="000000" w:sz="2" w:space="0"/>
              <w:bottom w:val="single" w:color="000000" w:sz="2" w:space="0"/>
            </w:tcBorders>
            <w:tcW w:w="6330" w:type="dxa"/>
            <w:vAlign w:val="center"/>
            <w:textDirection w:val="lrTb"/>
            <w:noWrap w:val="false"/>
          </w:tcPr>
          <w:p>
            <w:pPr>
              <w:spacing w:line="264" w:lineRule="auto"/>
            </w:pPr>
            <w:r/>
            <w:bookmarkStart w:id="62" w:name="OLE_LINK2"/>
            <w:r>
              <w:rPr>
                <w:rFonts w:hint="eastAsia"/>
              </w:rPr>
              <w:t xml:space="preserve">除</w:t>
            </w:r>
            <w:r>
              <w:rPr>
                <w:rFonts w:hint="eastAsia"/>
                <w:lang w:eastAsia="zh-CN"/>
              </w:rPr>
              <w:t xml:space="preserve">“</w:t>
            </w:r>
            <w:r>
              <w:rPr>
                <w:rFonts w:hint="eastAsia"/>
                <w:lang w:val="en-US" w:eastAsia="zh-CN"/>
              </w:rPr>
              <w:t xml:space="preserve">第四章采购需求</w:t>
            </w:r>
            <w:r>
              <w:rPr>
                <w:rFonts w:hint="eastAsia"/>
              </w:rPr>
              <w:t xml:space="preserve">商务要求2.实施要求(10)系统对接要求②《需对接的设备清单表》</w:t>
            </w:r>
            <w:r>
              <w:rPr>
                <w:rFonts w:hint="eastAsia"/>
                <w:lang w:eastAsia="zh-CN"/>
              </w:rPr>
              <w:t xml:space="preserve">”</w:t>
            </w:r>
            <w:r>
              <w:rPr>
                <w:rFonts w:hint="eastAsia"/>
              </w:rPr>
              <w:t xml:space="preserve">外</w:t>
            </w:r>
            <w:r>
              <w:rPr>
                <w:rFonts w:hint="eastAsia"/>
                <w:lang w:eastAsia="zh-CN"/>
              </w:rPr>
              <w:t xml:space="preserve">，</w:t>
            </w:r>
            <w:r>
              <w:rPr>
                <w:rFonts w:hint="eastAsia"/>
                <w:lang w:val="en-US" w:eastAsia="zh-CN"/>
              </w:rPr>
              <w:t xml:space="preserve">投标人对后续可能新增的硬件设备对接价格</w:t>
            </w:r>
            <w:r>
              <w:rPr>
                <w:rFonts w:hint="eastAsia"/>
              </w:rPr>
              <w:t xml:space="preserve">进行</w:t>
            </w:r>
            <w:r>
              <w:rPr>
                <w:rFonts w:hint="eastAsia"/>
                <w:lang w:val="en-US" w:eastAsia="zh-CN"/>
              </w:rPr>
              <w:t xml:space="preserve">报价</w:t>
            </w:r>
            <w:r>
              <w:rPr>
                <w:rFonts w:hint="eastAsia"/>
              </w:rPr>
              <w:t xml:space="preserve">：</w:t>
            </w:r>
            <w:bookmarkEnd w:id="62"/>
            <w:r/>
            <w:r/>
          </w:p>
          <w:p>
            <w:pPr>
              <w:spacing w:line="264" w:lineRule="auto"/>
            </w:pPr>
            <w:r>
              <w:rPr>
                <w:rFonts w:hint="eastAsia"/>
              </w:rPr>
              <w:t xml:space="preserve">接口费≤4000元/台，得5分；</w:t>
            </w:r>
            <w:r/>
          </w:p>
          <w:p>
            <w:pPr>
              <w:spacing w:line="264" w:lineRule="auto"/>
            </w:pPr>
            <w:r>
              <w:rPr>
                <w:rFonts w:hint="eastAsia"/>
              </w:rPr>
              <w:t xml:space="preserve">4000元/台＜接口费≤6000元/台，得4分；</w:t>
            </w:r>
            <w:r/>
          </w:p>
          <w:p>
            <w:pPr>
              <w:spacing w:line="264" w:lineRule="auto"/>
            </w:pPr>
            <w:r>
              <w:rPr>
                <w:rFonts w:hint="eastAsia"/>
              </w:rPr>
              <w:t xml:space="preserve">6000元/台＜接口费≤7000元/台，得3分；</w:t>
            </w:r>
            <w:r/>
          </w:p>
          <w:p>
            <w:pPr>
              <w:spacing w:line="264" w:lineRule="auto"/>
            </w:pPr>
            <w:r>
              <w:rPr>
                <w:rFonts w:hint="eastAsia"/>
              </w:rPr>
              <w:t xml:space="preserve">7000元/台＜接口费≤8000元/台，得2分；</w:t>
            </w:r>
            <w:r/>
          </w:p>
          <w:p>
            <w:pPr>
              <w:spacing w:line="264" w:lineRule="auto"/>
            </w:pPr>
            <w:r>
              <w:rPr>
                <w:rFonts w:hint="eastAsia"/>
              </w:rPr>
              <w:t xml:space="preserve">8000元/台＜接口费≤9000元/台，得1分；</w:t>
            </w:r>
            <w:r/>
          </w:p>
          <w:p>
            <w:pPr>
              <w:spacing w:line="264" w:lineRule="auto"/>
            </w:pPr>
            <w:r>
              <w:rPr>
                <w:rFonts w:hint="eastAsia"/>
              </w:rPr>
              <w:t xml:space="preserve">接口费＞9000元/台，得0分。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line="264" w:lineRule="auto"/>
            </w:pPr>
            <w:r>
              <w:rPr>
                <w:rFonts w:hint="eastAsia"/>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运维服务方案</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根据本项目采购需求及相关要求编制方案，内容包含：1.服务措施及服务流程；2.应急举措；3.服务保障体系。以上每项内容逐项评分：</w:t>
            </w:r>
            <w:r/>
          </w:p>
          <w:p>
            <w:pPr>
              <w:spacing w:line="264" w:lineRule="auto"/>
            </w:pPr>
            <w:r>
              <w:rPr>
                <w:rFonts w:hint="eastAsia"/>
              </w:rPr>
              <w:t xml:space="preserve">（1）服务措施及服务流程</w:t>
            </w:r>
            <w:r/>
          </w:p>
          <w:p>
            <w:pPr>
              <w:spacing w:line="264" w:lineRule="auto"/>
            </w:pPr>
            <w:r>
              <w:rPr>
                <w:rFonts w:hint="eastAsia"/>
              </w:rPr>
              <w:t xml:space="preserve">服务措施详实，服务流程清晰，得1分；</w:t>
            </w:r>
            <w:r/>
          </w:p>
          <w:p>
            <w:pPr>
              <w:spacing w:line="264" w:lineRule="auto"/>
            </w:pPr>
            <w:r>
              <w:rPr>
                <w:rFonts w:hint="eastAsia"/>
              </w:rPr>
              <w:t xml:space="preserve">服务措施较为详实，服务流程基本清晰，得0.5分；</w:t>
            </w:r>
            <w:r/>
          </w:p>
          <w:p>
            <w:pPr>
              <w:spacing w:line="264" w:lineRule="auto"/>
            </w:pPr>
            <w:r>
              <w:rPr>
                <w:rFonts w:hint="eastAsia"/>
              </w:rPr>
              <w:t xml:space="preserve">未提供或内容完全不符合采购需求的不得分。 </w:t>
            </w:r>
            <w:r/>
          </w:p>
          <w:p>
            <w:pPr>
              <w:spacing w:line="264" w:lineRule="auto"/>
            </w:pPr>
            <w:r>
              <w:rPr>
                <w:rFonts w:hint="eastAsia"/>
              </w:rPr>
              <w:t xml:space="preserve">（2）应急措施</w:t>
            </w:r>
            <w:r/>
          </w:p>
          <w:p>
            <w:pPr>
              <w:spacing w:line="264" w:lineRule="auto"/>
            </w:pPr>
            <w:r>
              <w:rPr>
                <w:rFonts w:hint="eastAsia"/>
              </w:rPr>
              <w:t xml:space="preserve">应急保障措施具体可行，得1分；</w:t>
            </w:r>
            <w:r/>
          </w:p>
          <w:p>
            <w:pPr>
              <w:spacing w:line="264" w:lineRule="auto"/>
            </w:pPr>
            <w:r>
              <w:rPr>
                <w:rFonts w:hint="eastAsia"/>
              </w:rPr>
              <w:t xml:space="preserve">服务保障措施较为具体可行，得0.5分；</w:t>
            </w:r>
            <w:r/>
          </w:p>
          <w:p>
            <w:pPr>
              <w:spacing w:line="264" w:lineRule="auto"/>
            </w:pPr>
            <w:r>
              <w:rPr>
                <w:rFonts w:hint="eastAsia"/>
              </w:rPr>
              <w:t xml:space="preserve">未提供或内容完全不符合采购需求的不得分。</w:t>
            </w:r>
            <w:r/>
          </w:p>
          <w:p>
            <w:pPr>
              <w:spacing w:line="264" w:lineRule="auto"/>
            </w:pPr>
            <w:r>
              <w:rPr>
                <w:rFonts w:hint="eastAsia"/>
              </w:rPr>
              <w:t xml:space="preserve">（3）服务保障体系</w:t>
            </w:r>
            <w:r/>
          </w:p>
          <w:p>
            <w:pPr>
              <w:spacing w:line="264" w:lineRule="auto"/>
            </w:pPr>
            <w:r>
              <w:rPr>
                <w:rFonts w:hint="eastAsia"/>
              </w:rPr>
              <w:t xml:space="preserve">人员、资源及技术保障内容清晰详细，得1分；</w:t>
            </w:r>
            <w:r/>
          </w:p>
          <w:p>
            <w:pPr>
              <w:spacing w:line="264" w:lineRule="auto"/>
            </w:pPr>
            <w:r>
              <w:rPr>
                <w:rFonts w:hint="eastAsia"/>
              </w:rPr>
              <w:t xml:space="preserve">人员、资源及技术保障内容较清晰详细，得0.5分；</w:t>
            </w:r>
            <w:r/>
          </w:p>
          <w:p>
            <w:pPr>
              <w:spacing w:line="264" w:lineRule="auto"/>
            </w:pPr>
            <w:r>
              <w:rPr>
                <w:rFonts w:hint="eastAsia"/>
              </w:rPr>
              <w:t xml:space="preserve">未提供或提供的内容完全不符合采购需求的不得分。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培训方案</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根据本项目采购需求及相关要求编制方案，内容包含：1.培训计划；2.培训内容；3.培训质量保障措施。以上每项内容逐项评分：</w:t>
            </w:r>
            <w:r/>
          </w:p>
          <w:p>
            <w:pPr>
              <w:spacing w:line="264" w:lineRule="auto"/>
            </w:pPr>
            <w:r>
              <w:rPr>
                <w:rFonts w:hint="eastAsia"/>
              </w:rPr>
              <w:t xml:space="preserve">（1）培训计划</w:t>
            </w:r>
            <w:r/>
          </w:p>
          <w:p>
            <w:pPr>
              <w:spacing w:line="264" w:lineRule="auto"/>
            </w:pPr>
            <w:r>
              <w:rPr>
                <w:rFonts w:hint="eastAsia"/>
              </w:rPr>
              <w:t xml:space="preserve">培训计划细化到不同角色，分层清晰，得1分；</w:t>
            </w:r>
            <w:r/>
          </w:p>
          <w:p>
            <w:pPr>
              <w:spacing w:line="264" w:lineRule="auto"/>
            </w:pPr>
            <w:r>
              <w:rPr>
                <w:rFonts w:hint="eastAsia"/>
              </w:rPr>
              <w:t xml:space="preserve">培训计划有角色区分但不够详细，得0.5分；</w:t>
            </w:r>
            <w:r/>
          </w:p>
          <w:p>
            <w:pPr>
              <w:spacing w:line="264" w:lineRule="auto"/>
            </w:pPr>
            <w:r>
              <w:rPr>
                <w:rFonts w:hint="eastAsia"/>
              </w:rPr>
              <w:t xml:space="preserve">未提供或提供的内容完全不符合采购需求的不得分。 </w:t>
            </w:r>
            <w:r/>
          </w:p>
          <w:p>
            <w:pPr>
              <w:spacing w:line="264" w:lineRule="auto"/>
            </w:pPr>
            <w:r>
              <w:rPr>
                <w:rFonts w:hint="eastAsia"/>
              </w:rPr>
              <w:t xml:space="preserve">（2）培训内容</w:t>
            </w:r>
            <w:r/>
          </w:p>
          <w:p>
            <w:pPr>
              <w:spacing w:line="264" w:lineRule="auto"/>
            </w:pPr>
            <w:r>
              <w:rPr>
                <w:rFonts w:hint="eastAsia"/>
              </w:rPr>
              <w:t xml:space="preserve">培训内容系统深入，覆盖面广，得1分；</w:t>
            </w:r>
            <w:r/>
          </w:p>
          <w:p>
            <w:pPr>
              <w:spacing w:line="264" w:lineRule="auto"/>
            </w:pPr>
            <w:r>
              <w:rPr>
                <w:rFonts w:hint="eastAsia"/>
              </w:rPr>
              <w:t xml:space="preserve">培训内容覆盖基础操作但深度不足，得0.5分；</w:t>
            </w:r>
            <w:r/>
          </w:p>
          <w:p>
            <w:pPr>
              <w:spacing w:line="264" w:lineRule="auto"/>
            </w:pPr>
            <w:r>
              <w:rPr>
                <w:rFonts w:hint="eastAsia"/>
              </w:rPr>
              <w:t xml:space="preserve">未提供或提供的内容完全不符合采购需求的不得分。</w:t>
            </w:r>
            <w:r/>
          </w:p>
          <w:p>
            <w:pPr>
              <w:spacing w:line="264" w:lineRule="auto"/>
            </w:pPr>
            <w:r>
              <w:rPr>
                <w:rFonts w:hint="eastAsia"/>
              </w:rPr>
              <w:t xml:space="preserve">（3）培训质量保障措施</w:t>
            </w:r>
            <w:r/>
          </w:p>
          <w:p>
            <w:pPr>
              <w:spacing w:line="264" w:lineRule="auto"/>
            </w:pPr>
            <w:r>
              <w:rPr>
                <w:rFonts w:hint="eastAsia"/>
              </w:rPr>
              <w:t xml:space="preserve">培训质量保障清晰详细、具体有效，得1分；</w:t>
            </w:r>
            <w:r/>
          </w:p>
          <w:p>
            <w:pPr>
              <w:spacing w:line="264" w:lineRule="auto"/>
            </w:pPr>
            <w:r>
              <w:rPr>
                <w:rFonts w:hint="eastAsia"/>
              </w:rPr>
              <w:t xml:space="preserve">培训质量保障较清晰详细、基本有效，得0.5分；</w:t>
            </w:r>
            <w:r/>
          </w:p>
          <w:p>
            <w:pPr>
              <w:spacing w:line="264" w:lineRule="auto"/>
            </w:pPr>
            <w:r>
              <w:rPr>
                <w:rFonts w:hint="eastAsia"/>
              </w:rPr>
              <w:t xml:space="preserve">未提供或内容完全不符合采购需求的不得分。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pPr>
            <w:r>
              <w:rPr>
                <w:rFonts w:hint="eastAsi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spacing w:line="264" w:lineRule="auto"/>
            </w:pPr>
            <w:r>
              <w:rPr>
                <w:rFonts w:hint="eastAsia"/>
              </w:rPr>
              <w:t xml:space="preserve">4.1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投标人提供2022年1月1日（含）以来类似信息系统项目业绩（至少包含设备管理功能），每提供1个得2分，最多得6分。</w:t>
            </w:r>
            <w:r/>
          </w:p>
          <w:p>
            <w:pPr>
              <w:spacing w:line="264" w:lineRule="auto"/>
            </w:pPr>
            <w:r>
              <w:rPr>
                <w:rFonts w:hint="eastAsia"/>
              </w:rPr>
              <w:t xml:space="preserve">（时间以合同签订时间为准，提供有效合同，合同页须清晰可见相应内容）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客观分</w:t>
            </w:r>
            <w:r/>
          </w:p>
        </w:tc>
      </w:tr>
      <w:tr>
        <w:trPr>
          <w:jc w:val="center"/>
          <w:trHeight w:val="454"/>
        </w:trPr>
        <w:tc>
          <w:tcPr>
            <w:gridSpan w:val="5"/>
            <w:tcBorders>
              <w:top w:val="single" w:color="000000" w:sz="2" w:space="0"/>
              <w:bottom w:val="single" w:color="000000" w:sz="2" w:space="0"/>
            </w:tcBorders>
            <w:tcW w:w="9575" w:type="dxa"/>
            <w:vAlign w:val="center"/>
            <w:textDirection w:val="lrTb"/>
            <w:noWrap w:val="false"/>
          </w:tcPr>
          <w:p>
            <w:pPr>
              <w:spacing w:line="264" w:lineRule="auto"/>
            </w:pPr>
            <w:r>
              <w:rPr>
                <w:rFonts w:hint="eastAsi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5.1</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（1）项目经理能力：</w:t>
            </w:r>
            <w:r/>
          </w:p>
          <w:p>
            <w:pPr>
              <w:spacing w:line="264" w:lineRule="auto"/>
            </w:pPr>
            <w:r>
              <w:rPr>
                <w:rFonts w:hint="eastAsia"/>
              </w:rPr>
              <w:t xml:space="preserve">①具有工信部和人社部颁发的信息系统项目管理师、系统分析师证书，每提供1个证书得2分，最多得4分。</w:t>
            </w:r>
            <w:r/>
          </w:p>
          <w:p>
            <w:pPr>
              <w:spacing w:line="264" w:lineRule="auto"/>
            </w:pPr>
            <w:r>
              <w:rPr>
                <w:rFonts w:hint="eastAsia"/>
              </w:rPr>
              <w:t xml:space="preserve">②具有3年以上医院信息化项目管理经验，得2分。</w:t>
            </w:r>
            <w:r/>
          </w:p>
          <w:p>
            <w:pPr>
              <w:spacing w:line="264" w:lineRule="auto"/>
            </w:pPr>
            <w:r>
              <w:rPr>
                <w:rFonts w:hint="eastAsia"/>
              </w:rPr>
              <w:t xml:space="preserve">（2）技术负责人能力：</w:t>
            </w:r>
            <w:r/>
          </w:p>
          <w:p>
            <w:pPr>
              <w:spacing w:line="264" w:lineRule="auto"/>
            </w:pPr>
            <w:r>
              <w:rPr>
                <w:rFonts w:hint="eastAsia"/>
              </w:rPr>
              <w:t xml:space="preserve">①具有工信部和人社部颁发的系统集成项目管理工程师证书，得2分。</w:t>
            </w:r>
            <w:r/>
          </w:p>
          <w:p>
            <w:pPr>
              <w:spacing w:line="264" w:lineRule="auto"/>
            </w:pPr>
            <w:r>
              <w:rPr>
                <w:rFonts w:hint="eastAsia"/>
                <w:lang w:val="zh-CN"/>
              </w:rPr>
              <w:t xml:space="preserve">（提供上述人员证书、</w:t>
            </w:r>
            <w:r>
              <w:rPr>
                <w:rFonts w:hint="eastAsia"/>
              </w:rPr>
              <w:t xml:space="preserve">项目管理经验证明材料</w:t>
            </w:r>
            <w:r>
              <w:rPr>
                <w:rFonts w:hint="eastAsia"/>
                <w:lang w:val="zh-CN"/>
              </w:rPr>
              <w:t xml:space="preserve">，</w:t>
            </w:r>
            <w:r>
              <w:rPr>
                <w:rFonts w:hint="eastAsia"/>
              </w:rPr>
              <w:t xml:space="preserve">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5.2</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项目实施团队能力（不含项目经理和技术负责人）：</w:t>
            </w:r>
            <w:r/>
          </w:p>
          <w:p>
            <w:pPr>
              <w:spacing w:line="264" w:lineRule="auto"/>
            </w:pPr>
            <w:r>
              <w:rPr>
                <w:rFonts w:hint="eastAsia"/>
              </w:rPr>
              <w:t xml:space="preserve">团队成员具有工信部和人社部颁发的软件设计师、软件测评师、数据库系统工程师证书，每提供1个证书得1分，最多得3分。</w:t>
            </w:r>
            <w:r/>
          </w:p>
          <w:p>
            <w:pPr>
              <w:spacing w:line="264" w:lineRule="auto"/>
            </w:pPr>
            <w:r>
              <w:rPr>
                <w:rFonts w:hint="eastAsia"/>
              </w:rPr>
              <w:t xml:space="preserve">（提供上述人员证书及投标人为其缴纳的2026年1月以来任意一个月的社保证明材料，缺一不可）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line="264" w:lineRule="auto"/>
            </w:pPr>
            <w:r/>
            <w:bookmarkStart w:id="78" w:name="_GoBack"/>
            <w:r>
              <w:rPr>
                <w:rFonts w:hint="eastAsia"/>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pPr>
            <w:r>
              <w:rPr>
                <w:rFonts w:hint="eastAsia"/>
              </w:rPr>
              <w:t xml:space="preserve">投标人拟投入本项目的相关产品具有软件著作权证书，包含“设备管理”相关内容，每提供1个证书得2分，最多得4分。 </w:t>
            </w:r>
            <w:r/>
          </w:p>
          <w:p>
            <w:pPr>
              <w:spacing w:line="264" w:lineRule="auto"/>
            </w:pPr>
            <w:r>
              <w:rPr>
                <w:rFonts w:hint="eastAsia"/>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line="264" w:lineRule="auto"/>
            </w:pPr>
            <w:r>
              <w:rPr>
                <w:rFonts w:hint="eastAsi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line="264" w:lineRule="auto"/>
            </w:pPr>
            <w:r>
              <w:rPr>
                <w:rFonts w:hint="eastAsia"/>
              </w:rPr>
              <w:t xml:space="preserve">客观分</w:t>
            </w:r>
            <w:bookmarkEnd w:id="78"/>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pPr>
            <w:r>
              <w:rPr>
                <w:rFonts w:hint="eastAsia"/>
              </w:rPr>
              <w:t xml:space="preserve">合计</w:t>
            </w:r>
            <w:r/>
          </w:p>
        </w:tc>
        <w:tc>
          <w:tcPr>
            <w:gridSpan w:val="2"/>
            <w:tcBorders>
              <w:top w:val="single" w:color="000000" w:sz="2" w:space="0"/>
              <w:bottom w:val="single" w:color="000000" w:sz="2" w:space="0"/>
            </w:tcBorders>
            <w:tcW w:w="7509" w:type="dxa"/>
            <w:vAlign w:val="center"/>
            <w:textDirection w:val="lrTb"/>
            <w:noWrap w:val="false"/>
          </w:tcPr>
          <w:p>
            <w:pPr>
              <w:jc w:val="center"/>
              <w:spacing w:line="264" w:lineRule="auto"/>
            </w:p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hint="eastAsia"/>
              </w:rPr>
              <w:t xml:space="preserve">100分</w:t>
            </w:r>
            <w:r/>
          </w:p>
        </w:tc>
      </w:tr>
    </w:tbl>
    <w:p>
      <w:pPr>
        <w:spacing w:line="264" w:lineRule="auto"/>
      </w:pPr>
      <w:r/>
      <w:r/>
    </w:p>
    <w:p>
      <w:pPr>
        <w:spacing w:line="264" w:lineRule="auto"/>
      </w:pPr>
      <w:r/>
      <w:r/>
    </w:p>
    <w:p>
      <w:pPr>
        <w:spacing w:line="264" w:lineRule="auto"/>
      </w:pPr>
      <w:r/>
      <w:r/>
    </w:p>
    <w:p>
      <w:pPr>
        <w:pStyle w:val="920"/>
      </w:pPr>
      <w:r/>
      <w:r/>
    </w:p>
    <w:p>
      <w:r/>
      <w:r/>
    </w:p>
    <w:p>
      <w:pPr>
        <w:pStyle w:val="920"/>
      </w:pPr>
      <w:r/>
      <w:r/>
    </w:p>
    <w:p>
      <w:r/>
      <w:r/>
    </w:p>
    <w:p>
      <w:r/>
      <w:r/>
    </w:p>
    <w:p>
      <w:pPr>
        <w:jc w:val="center"/>
        <w:rPr>
          <w:rFonts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8"/>
      <w:r/>
      <w:bookmarkEnd w:id="59"/>
      <w:r/>
      <w:bookmarkEnd w:id="60"/>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sz w:val="72"/>
        </w:rPr>
      </w:pPr>
      <w:r/>
      <w:bookmarkStart w:id="63" w:name="_Hlt26671244"/>
      <w:r/>
      <w:bookmarkEnd w:id="63"/>
      <w:r/>
      <w:bookmarkStart w:id="64" w:name="_Hlt26955039"/>
      <w:r/>
      <w:bookmarkEnd w:id="64"/>
      <w:r/>
      <w:bookmarkStart w:id="65" w:name="_Toc49090576"/>
      <w:r/>
      <w:bookmarkStart w:id="66" w:name="_Toc120614282"/>
      <w:r/>
      <w:bookmarkStart w:id="67" w:name="_Toc26554094"/>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五、投标分项报价表（如有）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ind w:firstLine="480"/>
        <w:spacing w:line="440" w:lineRule="exact"/>
        <w:rPr>
          <w:rFonts w:ascii="宋体" w:hAnsi="宋体"/>
          <w:sz w:val="24"/>
        </w:rPr>
      </w:pPr>
      <w:r>
        <w:rPr>
          <w:rFonts w:ascii="宋体" w:hAnsi="宋体"/>
          <w:sz w:val="24"/>
        </w:rPr>
      </w:r>
      <w:bookmarkEnd w:id="65"/>
      <w:r/>
      <w:bookmarkEnd w:id="66"/>
      <w:r/>
      <w:bookmarkEnd w:id="67"/>
      <w:r/>
      <w:r/>
    </w:p>
    <w:p>
      <w:pPr>
        <w:jc w:val="left"/>
        <w:spacing w:line="360" w:lineRule="auto"/>
        <w:rPr>
          <w:rFonts w:ascii="黑体" w:hAnsi="黑体" w:eastAsia="黑体"/>
          <w:sz w:val="32"/>
          <w:szCs w:val="32"/>
        </w:rPr>
      </w:pPr>
      <w:r/>
      <w:bookmarkStart w:id="68" w:name="_Toc120614284"/>
      <w:r>
        <w:rPr>
          <w:rFonts w:hint="eastAsia" w:ascii="黑体" w:hAnsi="黑体" w:eastAsia="黑体"/>
          <w:sz w:val="32"/>
          <w:szCs w:val="32"/>
        </w:rPr>
        <w:br w:type="page" w:clear="all"/>
      </w: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3"/>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35"/>
        <w:ind w:firstLine="480"/>
        <w:spacing w:line="420" w:lineRule="exact"/>
        <w:rPr>
          <w:sz w:val="24"/>
          <w:szCs w:val="24"/>
        </w:rPr>
      </w:pPr>
      <w:r>
        <w:rPr>
          <w:sz w:val="24"/>
          <w:szCs w:val="24"/>
        </w:rPr>
      </w:r>
      <w:r/>
    </w:p>
    <w:p>
      <w:pPr>
        <w:pStyle w:val="935"/>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35"/>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35"/>
        <w:ind w:firstLine="480"/>
        <w:spacing w:line="480" w:lineRule="exact"/>
        <w:rPr>
          <w:sz w:val="24"/>
          <w:szCs w:val="24"/>
        </w:rPr>
      </w:pPr>
      <w:r>
        <w:rPr>
          <w:rFonts w:hint="eastAsia"/>
          <w:sz w:val="24"/>
          <w:szCs w:val="24"/>
        </w:rPr>
        <w:t xml:space="preserve">代理人无转委托权。</w:t>
      </w:r>
      <w:r/>
    </w:p>
    <w:p>
      <w:pPr>
        <w:pStyle w:val="935"/>
        <w:ind w:firstLine="480"/>
        <w:spacing w:line="480" w:lineRule="exact"/>
        <w:rPr>
          <w:sz w:val="24"/>
          <w:szCs w:val="24"/>
        </w:rPr>
      </w:pPr>
      <w:r>
        <w:rPr>
          <w:rFonts w:hint="eastAsia"/>
          <w:sz w:val="24"/>
          <w:szCs w:val="24"/>
        </w:rPr>
        <w:t xml:space="preserve">投标人名称（加盖公章）：________________</w:t>
      </w:r>
      <w:r/>
    </w:p>
    <w:p>
      <w:pPr>
        <w:pStyle w:val="935"/>
        <w:ind w:firstLine="480"/>
        <w:spacing w:line="480" w:lineRule="exact"/>
        <w:rPr>
          <w:sz w:val="24"/>
          <w:szCs w:val="24"/>
        </w:rPr>
      </w:pPr>
      <w:r>
        <w:rPr>
          <w:rFonts w:hint="eastAsia"/>
          <w:sz w:val="24"/>
          <w:szCs w:val="24"/>
        </w:rPr>
        <w:t xml:space="preserve">法定代表人（单位负责人）（签字或签章）：________________</w:t>
      </w:r>
      <w:r/>
    </w:p>
    <w:p>
      <w:pPr>
        <w:pStyle w:val="935"/>
        <w:ind w:firstLine="480"/>
        <w:spacing w:line="480" w:lineRule="exact"/>
        <w:rPr>
          <w:sz w:val="24"/>
          <w:szCs w:val="24"/>
        </w:rPr>
      </w:pPr>
      <w:r>
        <w:rPr>
          <w:rFonts w:hint="eastAsia"/>
          <w:sz w:val="24"/>
          <w:szCs w:val="24"/>
        </w:rPr>
        <w:t xml:space="preserve">代理人（签字或签章）：________________ </w:t>
      </w:r>
      <w:r/>
    </w:p>
    <w:p>
      <w:pPr>
        <w:pStyle w:val="935"/>
        <w:ind w:firstLine="480"/>
        <w:spacing w:line="480" w:lineRule="exact"/>
        <w:rPr>
          <w:sz w:val="24"/>
          <w:szCs w:val="24"/>
        </w:rPr>
      </w:pPr>
      <w:r>
        <w:rPr>
          <w:rFonts w:hint="eastAsia"/>
          <w:sz w:val="24"/>
          <w:szCs w:val="24"/>
        </w:rPr>
        <w:t xml:space="preserve">日期：_____年______月______日</w:t>
      </w:r>
      <w:r/>
    </w:p>
    <w:p>
      <w:pPr>
        <w:pStyle w:val="935"/>
        <w:ind w:firstLine="480"/>
        <w:spacing w:line="480" w:lineRule="exact"/>
        <w:rPr>
          <w:sz w:val="24"/>
          <w:szCs w:val="24"/>
        </w:rPr>
      </w:pPr>
      <w:r>
        <w:rPr>
          <w:rFonts w:hint="eastAsia"/>
          <w:sz w:val="24"/>
          <w:szCs w:val="24"/>
        </w:rPr>
        <w:t xml:space="preserve">附：法定代表人（单位负责人）及代理人有效身份证明文件</w:t>
      </w:r>
      <w:r/>
    </w:p>
    <w:p>
      <w:pPr>
        <w:pStyle w:val="856"/>
        <w:ind w:firstLine="0"/>
      </w:pPr>
      <w:r/>
      <w:r/>
    </w:p>
    <w:p>
      <w:pPr>
        <w:pStyle w:val="935"/>
        <w:ind w:firstLine="480"/>
        <w:spacing w:line="480" w:lineRule="exact"/>
        <w:rPr>
          <w:sz w:val="24"/>
          <w:szCs w:val="24"/>
        </w:rPr>
      </w:pPr>
      <w:r>
        <w:rPr>
          <w:sz w:val="24"/>
          <w:szCs w:val="24"/>
        </w:rPr>
      </w:r>
      <w:r/>
    </w:p>
    <w:p>
      <w:pPr>
        <w:pStyle w:val="935"/>
        <w:ind w:firstLine="480"/>
        <w:spacing w:line="480" w:lineRule="exact"/>
        <w:rPr>
          <w:sz w:val="24"/>
          <w:szCs w:val="24"/>
        </w:rPr>
      </w:pPr>
      <w:r>
        <w:rPr>
          <w:rFonts w:hint="eastAsia"/>
          <w:sz w:val="24"/>
          <w:szCs w:val="24"/>
        </w:rPr>
        <w:t xml:space="preserve">说明：</w:t>
      </w:r>
      <w:r/>
    </w:p>
    <w:p>
      <w:pPr>
        <w:pStyle w:val="935"/>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35"/>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35"/>
        <w:ind w:firstLine="480"/>
        <w:spacing w:line="480" w:lineRule="exact"/>
        <w:rPr>
          <w:sz w:val="24"/>
          <w:szCs w:val="24"/>
        </w:rPr>
      </w:pPr>
      <w:r>
        <w:rPr>
          <w:rFonts w:hint="eastAsia"/>
          <w:sz w:val="24"/>
          <w:szCs w:val="24"/>
        </w:rPr>
        <w:t xml:space="preserve">3.投标人为自然人的，可不提供本《法定代表人授权委托书》。</w:t>
      </w:r>
      <w:r/>
    </w:p>
    <w:p>
      <w:pPr>
        <w:pStyle w:val="935"/>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35"/>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jc w:val="left"/>
        <w:spacing w:line="360" w:lineRule="auto"/>
        <w:rPr>
          <w:rFonts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7"/>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37"/>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7"/>
        <w:spacing w:before="0" w:after="0" w:line="420" w:lineRule="exact"/>
        <w:rPr>
          <w:rFonts w:ascii="宋体" w:hAnsi="宋体"/>
          <w:szCs w:val="21"/>
        </w:rPr>
      </w:pPr>
      <w:r>
        <w:rPr>
          <w:rFonts w:hint="eastAsia" w:ascii="宋体" w:hAnsi="宋体"/>
          <w:szCs w:val="21"/>
        </w:rPr>
        <w:t xml:space="preserve">1.按招标文件规定的各项要求，向贵方提供所需服务（包含与服务相关的货物）。</w:t>
      </w:r>
      <w:r/>
    </w:p>
    <w:p>
      <w:pPr>
        <w:pStyle w:val="93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37"/>
        <w:spacing w:before="0" w:after="0" w:line="420" w:lineRule="exact"/>
        <w:rPr>
          <w:rFonts w:ascii="宋体" w:hAnsi="宋体"/>
          <w:szCs w:val="21"/>
        </w:rPr>
      </w:pPr>
      <w:r>
        <w:rPr>
          <w:rFonts w:hint="eastAsia" w:ascii="宋体" w:hAnsi="宋体"/>
          <w:szCs w:val="21"/>
        </w:rPr>
        <w:t xml:space="preserve">9.我方与本次投标有关信息</w:t>
      </w:r>
      <w:r/>
    </w:p>
    <w:p>
      <w:pPr>
        <w:pStyle w:val="937"/>
        <w:spacing w:before="0" w:after="0" w:line="420" w:lineRule="exact"/>
        <w:rPr>
          <w:rFonts w:ascii="宋体" w:hAnsi="宋体"/>
          <w:szCs w:val="21"/>
        </w:rPr>
      </w:pPr>
      <w:r>
        <w:rPr>
          <w:rFonts w:hint="eastAsia" w:ascii="宋体" w:hAnsi="宋体"/>
          <w:szCs w:val="21"/>
        </w:rPr>
        <w:t xml:space="preserve">地  址：</w:t>
      </w:r>
      <w:r/>
    </w:p>
    <w:p>
      <w:pPr>
        <w:pStyle w:val="937"/>
        <w:spacing w:before="0" w:after="0" w:line="420" w:lineRule="exact"/>
        <w:rPr>
          <w:rFonts w:ascii="宋体" w:hAnsi="宋体"/>
          <w:szCs w:val="21"/>
        </w:rPr>
      </w:pPr>
      <w:r>
        <w:rPr>
          <w:rFonts w:hint="eastAsia" w:ascii="宋体" w:hAnsi="宋体"/>
          <w:szCs w:val="21"/>
        </w:rPr>
        <w:t xml:space="preserve">邮  编：</w:t>
      </w:r>
      <w:r/>
    </w:p>
    <w:p>
      <w:pPr>
        <w:pStyle w:val="937"/>
        <w:spacing w:before="0" w:after="0" w:line="420" w:lineRule="exact"/>
        <w:rPr>
          <w:rFonts w:ascii="宋体" w:hAnsi="宋体"/>
          <w:szCs w:val="21"/>
          <w:u w:val="single"/>
        </w:rPr>
      </w:pPr>
      <w:r>
        <w:rPr>
          <w:rFonts w:hint="eastAsia" w:ascii="宋体" w:hAnsi="宋体"/>
          <w:szCs w:val="21"/>
        </w:rPr>
        <w:t xml:space="preserve">电  话：</w:t>
      </w:r>
      <w:r/>
    </w:p>
    <w:p>
      <w:pPr>
        <w:pStyle w:val="937"/>
        <w:spacing w:before="0" w:after="0" w:line="420" w:lineRule="exact"/>
        <w:rPr>
          <w:rFonts w:ascii="宋体" w:hAnsi="宋体"/>
          <w:szCs w:val="21"/>
          <w:u w:val="single"/>
        </w:rPr>
      </w:pPr>
      <w:r>
        <w:rPr>
          <w:rFonts w:hint="eastAsia" w:ascii="宋体" w:hAnsi="宋体"/>
          <w:szCs w:val="21"/>
        </w:rPr>
        <w:t xml:space="preserve">传  真：</w:t>
      </w:r>
      <w:r/>
    </w:p>
    <w:p>
      <w:pPr>
        <w:pStyle w:val="937"/>
        <w:spacing w:before="0" w:after="0" w:line="420" w:lineRule="exact"/>
        <w:rPr>
          <w:rFonts w:ascii="宋体" w:hAnsi="宋体"/>
          <w:szCs w:val="21"/>
          <w:u w:val="single"/>
        </w:rPr>
      </w:pPr>
      <w:r>
        <w:rPr>
          <w:rFonts w:hint="eastAsia" w:ascii="宋体" w:hAnsi="宋体"/>
          <w:szCs w:val="21"/>
        </w:rPr>
        <w:t xml:space="preserve">开户行：</w:t>
      </w:r>
      <w:r/>
    </w:p>
    <w:p>
      <w:pPr>
        <w:pStyle w:val="937"/>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7"/>
        <w:spacing w:before="0" w:after="0" w:line="420" w:lineRule="exact"/>
        <w:rPr>
          <w:rFonts w:ascii="宋体" w:hAnsi="宋体"/>
          <w:szCs w:val="21"/>
        </w:rPr>
      </w:pPr>
      <w:r>
        <w:rPr>
          <w:rFonts w:hint="eastAsia" w:ascii="宋体" w:hAnsi="宋体"/>
          <w:szCs w:val="21"/>
        </w:rPr>
        <w:t xml:space="preserve">日  期：</w:t>
      </w:r>
      <w:r/>
    </w:p>
    <w:p>
      <w:pPr>
        <w:pStyle w:val="937"/>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7"/>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853"/>
      </w:pPr>
      <w:r/>
      <w:r/>
    </w:p>
    <w:p>
      <w:pPr>
        <w:spacing w:line="360" w:lineRule="auto"/>
        <w:rPr>
          <w:rFonts w:ascii="黑体" w:eastAsia="黑体"/>
          <w:color w:val="000000"/>
          <w:sz w:val="32"/>
          <w:szCs w:val="32"/>
        </w:rPr>
      </w:pPr>
      <w:r>
        <w:rPr>
          <w:rFonts w:ascii="黑体" w:eastAsia="黑体"/>
          <w:color w:val="000000"/>
          <w:sz w:val="32"/>
          <w:szCs w:val="32"/>
        </w:rPr>
      </w:r>
      <w:r/>
    </w:p>
    <w:p>
      <w:pPr>
        <w:pStyle w:val="853"/>
      </w:pPr>
      <w:r/>
      <w:r/>
    </w:p>
    <w:p>
      <w:r/>
      <w:r/>
    </w:p>
    <w:p>
      <w:pPr>
        <w:pStyle w:val="853"/>
      </w:pPr>
      <w:r/>
      <w:r/>
    </w:p>
    <w:p>
      <w:pPr>
        <w:pStyle w:val="920"/>
        <w:rPr>
          <w:rFonts w:ascii="黑体" w:eastAsia="黑体" w:cs="Times New Roman"/>
          <w:color w:val="000000"/>
          <w:sz w:val="32"/>
          <w:szCs w:val="32"/>
          <w:lang w:val="en-US"/>
        </w:rPr>
      </w:pPr>
      <w:r>
        <w:rPr>
          <w:rFonts w:ascii="黑体" w:eastAsia="黑体" w:cs="Times New Roman"/>
          <w:color w:val="000000"/>
          <w:sz w:val="32"/>
          <w:szCs w:val="32"/>
          <w:lang w:val="en-US"/>
        </w:rPr>
      </w:r>
      <w:r/>
    </w:p>
    <w:p>
      <w:pPr>
        <w:rPr>
          <w:rFonts w:ascii="黑体" w:eastAsia="黑体"/>
          <w:color w:val="000000"/>
          <w:sz w:val="32"/>
          <w:szCs w:val="32"/>
        </w:rPr>
      </w:pPr>
      <w:r>
        <w:rPr>
          <w:rFonts w:ascii="黑体" w:eastAsia="黑体"/>
          <w:color w:val="000000"/>
          <w:sz w:val="32"/>
          <w:szCs w:val="32"/>
        </w:rPr>
      </w:r>
      <w:r/>
    </w:p>
    <w:p>
      <w:pPr>
        <w:pStyle w:val="920"/>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920"/>
        <w:rPr>
          <w:rFonts w:ascii="黑体" w:eastAsia="黑体" w:cs="Times New Roman"/>
          <w:color w:val="000000"/>
          <w:sz w:val="32"/>
          <w:szCs w:val="32"/>
          <w:lang w:val="en-US"/>
        </w:rPr>
      </w:pPr>
      <w:r>
        <w:rPr>
          <w:rFonts w:ascii="黑体" w:eastAsia="黑体" w:cs="Times New Roman"/>
          <w:color w:val="000000"/>
          <w:sz w:val="32"/>
          <w:szCs w:val="32"/>
          <w:lang w:val="en-US"/>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ascii="宋体" w:hAnsi="宋体"/>
          <w:sz w:val="24"/>
          <w:szCs w:val="24"/>
        </w:rPr>
      </w:pPr>
      <w:r/>
      <w:bookmarkStart w:id="69" w:name="OLE_LINK3"/>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69"/>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jc w:val="center"/>
              <w:spacing w:line="360" w:lineRule="auto"/>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总报价（元）：</w:t>
            </w:r>
            <w:r/>
          </w:p>
        </w:tc>
      </w:tr>
    </w:tbl>
    <w:p>
      <w:pPr>
        <w:spacing w:line="360" w:lineRule="auto"/>
        <w:rPr>
          <w:rFonts w:ascii="宋体" w:hAnsi="宋体"/>
          <w:sz w:val="24"/>
        </w:rPr>
      </w:pPr>
      <w:r>
        <w:rPr>
          <w:rFonts w:ascii="宋体" w:hAnsi="宋体"/>
          <w:sz w:val="24"/>
        </w:rPr>
      </w:r>
      <w:r/>
    </w:p>
    <w:p>
      <w:pPr>
        <w:pStyle w:val="882"/>
        <w:ind w:firstLine="480"/>
        <w:jc w:val="both"/>
        <w:spacing w:before="0" w:beforeAutospacing="0" w:after="0" w:afterAutospacing="0" w:line="360" w:lineRule="auto"/>
        <w:rPr>
          <w:color w:val="000000"/>
        </w:rPr>
      </w:pPr>
      <w:r>
        <w:rPr>
          <w:color w:val="000000"/>
        </w:rPr>
        <w:t xml:space="preserve">备注： </w:t>
      </w:r>
      <w:r/>
    </w:p>
    <w:p>
      <w:pPr>
        <w:pStyle w:val="882"/>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882"/>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882"/>
        <w:ind w:firstLine="480"/>
        <w:jc w:val="both"/>
        <w:spacing w:before="0" w:beforeAutospacing="0" w:after="0" w:afterAutospacing="0" w:line="360" w:lineRule="auto"/>
        <w:rPr>
          <w:b/>
          <w:bCs/>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p>
    <w:p>
      <w:pPr>
        <w:pStyle w:val="882"/>
        <w:ind w:firstLine="480"/>
        <w:jc w:val="both"/>
        <w:spacing w:before="0" w:beforeAutospacing="0" w:after="0" w:afterAutospacing="0" w:line="360" w:lineRule="auto"/>
        <w:rPr>
          <w:color w:val="000000"/>
        </w:rPr>
      </w:pPr>
      <w:r>
        <w:rPr>
          <w:color w:val="000000"/>
        </w:rPr>
      </w:r>
      <w:r/>
    </w:p>
    <w:p>
      <w:pPr>
        <w:jc w:val="center"/>
        <w:spacing w:line="360" w:lineRule="auto"/>
        <w:rPr>
          <w:rFonts w:ascii="黑体" w:eastAsia="黑体"/>
          <w:color w:val="000000"/>
          <w:sz w:val="32"/>
          <w:szCs w:val="32"/>
        </w:rPr>
      </w:pPr>
      <w:r>
        <w:rPr>
          <w:rFonts w:ascii="黑体" w:eastAsia="黑体"/>
          <w:color w:val="000000"/>
          <w:sz w:val="32"/>
          <w:szCs w:val="32"/>
        </w:rPr>
      </w:r>
      <w:r/>
    </w:p>
    <w:p>
      <w:pPr>
        <w:rPr>
          <w:rFonts w:ascii="黑体" w:hAnsi="黑体" w:eastAsia="黑体"/>
          <w:iCs/>
          <w:sz w:val="32"/>
          <w:szCs w:val="32"/>
        </w:rPr>
      </w:pPr>
      <w:r>
        <w:rPr>
          <w:rFonts w:hint="eastAsia" w:ascii="黑体" w:hAnsi="黑体" w:eastAsia="黑体"/>
          <w:iCs/>
          <w:sz w:val="32"/>
          <w:szCs w:val="32"/>
        </w:rPr>
        <w:br w:type="page" w:clear="all"/>
      </w:r>
      <w:bookmarkEnd w:id="47"/>
      <w:r/>
      <w:bookmarkEnd w:id="48"/>
      <w:r/>
      <w:bookmarkEnd w:id="68"/>
      <w:r>
        <w:rPr>
          <w:rFonts w:hint="eastAsia" w:ascii="黑体" w:hAnsi="黑体" w:eastAsia="黑体"/>
          <w:iCs/>
          <w:sz w:val="32"/>
          <w:szCs w:val="32"/>
        </w:rPr>
        <w:t xml:space="preserve">六、技术要求响应及偏离表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jc w:val="left"/>
        <w:spacing w:line="360" w:lineRule="auto"/>
        <w:rPr>
          <w:rFonts w:ascii="方正小标宋简体" w:hAnsi="方正小标宋简体" w:eastAsia="方正小标宋简体" w:cs="方正小标宋简体"/>
          <w:sz w:val="32"/>
          <w:szCs w:val="32"/>
        </w:rPr>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853"/>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bl>
    <w:p>
      <w:pPr>
        <w:pStyle w:val="882"/>
        <w:jc w:val="both"/>
        <w:spacing w:before="0" w:beforeAutospacing="0" w:after="0" w:afterAutospacing="0"/>
      </w:pPr>
      <w:r/>
      <w:r/>
    </w:p>
    <w:p>
      <w:pPr>
        <w:pStyle w:val="882"/>
        <w:ind w:firstLine="480"/>
        <w:jc w:val="both"/>
        <w:spacing w:before="0" w:beforeAutospacing="0" w:after="0" w:afterAutospacing="0" w:line="360" w:lineRule="auto"/>
      </w:pPr>
      <w:r>
        <w:t xml:space="preserve">备注： </w:t>
      </w:r>
      <w:r/>
    </w:p>
    <w:p>
      <w:pPr>
        <w:pStyle w:val="882"/>
        <w:ind w:firstLine="482"/>
        <w:jc w:val="both"/>
        <w:spacing w:before="0" w:beforeAutospacing="0" w:after="0" w:afterAutospacing="0" w:line="360" w:lineRule="auto"/>
        <w:rPr>
          <w:b/>
          <w:bCs/>
        </w:rPr>
      </w:pPr>
      <w:r>
        <w:rPr>
          <w:rFonts w:hint="eastAsia"/>
          <w:b/>
          <w:bCs/>
        </w:rPr>
        <w:t xml:space="preserve">1.投标人须对招标文件技术要求中的实质性要求（打“★”内容）作出明确响应，否则视为无效投标。</w:t>
      </w:r>
      <w:r/>
    </w:p>
    <w:p>
      <w:pPr>
        <w:pStyle w:val="882"/>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882"/>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ascii="宋体" w:hAnsi="宋体"/>
                <w:sz w:val="24"/>
                <w:szCs w:val="24"/>
              </w:rPr>
            </w:pPr>
            <w:r/>
            <w:bookmarkStart w:id="70" w:name="_Hlt26782999"/>
            <w:r/>
            <w:bookmarkEnd w:id="70"/>
            <w:r/>
            <w:bookmarkStart w:id="71" w:name="_Hlt24879081"/>
            <w:r/>
            <w:bookmarkEnd w:id="71"/>
            <w:r/>
            <w:bookmarkStart w:id="72" w:name="_Hlt26580838"/>
            <w:r/>
            <w:bookmarkEnd w:id="72"/>
            <w:r/>
            <w:bookmarkStart w:id="73" w:name="_Hlt26671343"/>
            <w:r/>
            <w:bookmarkEnd w:id="73"/>
            <w:r/>
            <w:bookmarkStart w:id="74" w:name="_Hlt26955064"/>
            <w:r/>
            <w:bookmarkEnd w:id="74"/>
            <w:r/>
            <w:bookmarkStart w:id="75" w:name="_Hlt26609391"/>
            <w:r/>
            <w:bookmarkEnd w:id="75"/>
            <w:r/>
            <w:bookmarkStart w:id="76" w:name="_Hlt26955056"/>
            <w:r/>
            <w:bookmarkEnd w:id="76"/>
            <w:r/>
            <w:bookmarkStart w:id="77" w:name="_Hlt26671372"/>
            <w:r/>
            <w:bookmarkEnd w:id="77"/>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853"/>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pStyle w:val="882"/>
        <w:ind w:firstLine="480"/>
        <w:jc w:val="both"/>
        <w:spacing w:before="0" w:beforeAutospacing="0" w:after="0" w:afterAutospacing="0" w:line="360" w:lineRule="auto"/>
      </w:pPr>
      <w:r>
        <w:rPr>
          <w:rFonts w:hint="eastAsia"/>
        </w:rPr>
        <w:t xml:space="preserve">备注： </w:t>
      </w:r>
      <w:r/>
    </w:p>
    <w:p>
      <w:pPr>
        <w:pStyle w:val="882"/>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882"/>
        <w:ind w:firstLine="480"/>
        <w:jc w:val="both"/>
        <w:spacing w:before="0" w:beforeAutospacing="0" w:after="0" w:afterAutospacing="0" w:line="360" w:lineRule="auto"/>
      </w:pPr>
      <w:r>
        <w:rPr>
          <w:rFonts w:hint="eastAsia"/>
        </w:rPr>
        <w:t xml:space="preserve">2.行数不够，可自行添加。</w:t>
      </w:r>
      <w:r/>
    </w:p>
    <w:p>
      <w:pPr>
        <w:rPr>
          <w:color w:val="000000"/>
        </w:rPr>
      </w:pPr>
      <w:r>
        <w:rPr>
          <w:color w:val="000000"/>
        </w:rPr>
      </w:r>
      <w:r/>
    </w:p>
    <w:p>
      <w:pPr>
        <w:jc w:val="center"/>
        <w:rPr>
          <w:rFonts w:ascii="宋体" w:hAnsi="宋体" w:cs="仿宋"/>
          <w:b/>
          <w:bCs/>
          <w:color w:val="000000"/>
          <w:sz w:val="32"/>
          <w:szCs w:val="32"/>
        </w:rPr>
      </w:pPr>
      <w:r>
        <w:rPr>
          <w:rFonts w:ascii="宋体" w:hAnsi="宋体" w:cs="仿宋"/>
          <w:b/>
          <w:bCs/>
          <w:color w:val="000000"/>
          <w:sz w:val="32"/>
          <w:szCs w:val="32"/>
        </w:rPr>
      </w:r>
      <w:r/>
    </w:p>
    <w:p>
      <w:pPr>
        <w:pStyle w:val="920"/>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r/>
    </w:p>
    <w:p>
      <w:pPr>
        <w:pStyle w:val="920"/>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r/>
    </w:p>
    <w:p>
      <w:pPr>
        <w:pStyle w:val="920"/>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r/>
    </w:p>
    <w:p>
      <w:pPr>
        <w:pStyle w:val="920"/>
        <w:rPr>
          <w:rFonts w:ascii="宋体" w:hAnsi="宋体" w:cs="仿宋"/>
          <w:b/>
          <w:bCs/>
          <w:color w:val="000000"/>
          <w:sz w:val="32"/>
          <w:szCs w:val="32"/>
        </w:rPr>
      </w:pPr>
      <w:r>
        <w:rPr>
          <w:rFonts w:ascii="宋体" w:hAnsi="宋体" w:cs="仿宋"/>
          <w:b/>
          <w:bCs/>
          <w:color w:val="000000"/>
          <w:sz w:val="32"/>
          <w:szCs w:val="32"/>
        </w:rPr>
      </w:r>
      <w:r>
        <w:rPr>
          <w:rFonts w:ascii="宋体" w:hAnsi="宋体" w:cs="仿宋"/>
          <w:b/>
          <w:bCs/>
          <w:color w:val="000000"/>
          <w:sz w:val="32"/>
          <w:szCs w:val="32"/>
        </w:rPr>
      </w:r>
      <w:r/>
    </w:p>
    <w:p>
      <w:pPr>
        <w:pStyle w:val="920"/>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pStyle w:val="920"/>
        <w:rPr>
          <w:color w:val="000000"/>
        </w:rPr>
      </w:pPr>
      <w:r>
        <w:rPr>
          <w:color w:val="000000"/>
        </w:rPr>
      </w:r>
      <w:r/>
    </w:p>
    <w:p>
      <w:pPr>
        <w:rPr>
          <w:rFonts w:ascii="黑体" w:hAnsi="黑体" w:eastAsia="黑体"/>
          <w:iCs/>
          <w:color w:val="000000"/>
          <w:sz w:val="32"/>
          <w:szCs w:val="32"/>
        </w:rPr>
      </w:pPr>
      <w:r>
        <w:rPr>
          <w:rFonts w:ascii="黑体" w:hAnsi="黑体" w:eastAsia="黑体"/>
          <w:iCs/>
          <w:color w:val="000000"/>
          <w:sz w:val="32"/>
          <w:szCs w:val="32"/>
        </w:rPr>
      </w:r>
      <w:r/>
    </w:p>
    <w:p>
      <w:pPr>
        <w:rPr>
          <w:rFonts w:ascii="黑体" w:hAnsi="黑体" w:eastAsia="黑体"/>
          <w:iCs/>
          <w:sz w:val="32"/>
          <w:szCs w:val="32"/>
        </w:rPr>
      </w:pP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60" w:lineRule="auto"/>
        <w:rPr>
          <w:rFonts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0"/>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宋体" w:hAnsi="宋体" w:cs="宋体"/>
          <w:color w:val="000000"/>
          <w:sz w:val="24"/>
          <w:szCs w:val="24"/>
          <w:lang w:bidi="ar"/>
        </w:rPr>
      </w:pPr>
      <w:r>
        <w:rPr>
          <w:rFonts w:ascii="宋体" w:hAnsi="宋体" w:cs="宋体"/>
          <w:color w:val="000000"/>
          <w:sz w:val="24"/>
          <w:szCs w:val="24"/>
          <w:lang w:bidi="ar"/>
        </w:rPr>
      </w:r>
      <w:r/>
    </w:p>
    <w:p>
      <w:pPr>
        <w:pStyle w:val="853"/>
        <w:ind w:firstLine="480"/>
        <w:rPr>
          <w:rFonts w:cs="宋体"/>
          <w:color w:val="000000"/>
          <w:sz w:val="24"/>
          <w:szCs w:val="24"/>
          <w:lang w:bidi="ar"/>
        </w:rPr>
      </w:pPr>
      <w:r>
        <w:rPr>
          <w:rFonts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p>
    <w:p>
      <w:pPr>
        <w:pStyle w:val="853"/>
        <w:ind w:firstLine="480"/>
        <w:rPr>
          <w:rFonts w:cs="宋体"/>
          <w:color w:val="000000"/>
          <w:sz w:val="24"/>
          <w:szCs w:val="24"/>
          <w:lang w:bidi="ar"/>
        </w:rPr>
      </w:pPr>
      <w:r>
        <w:rPr>
          <w:rFonts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p>
    <w:p>
      <w:pPr>
        <w:pStyle w:val="853"/>
        <w:ind w:firstLine="480"/>
        <w:rPr>
          <w:rFonts w:cs="宋体"/>
          <w:color w:val="000000"/>
          <w:sz w:val="24"/>
          <w:szCs w:val="24"/>
          <w:lang w:bidi="ar"/>
        </w:rPr>
      </w:pPr>
      <w:r>
        <w:rPr>
          <w:rFonts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p>
    <w:p>
      <w:pPr>
        <w:pStyle w:val="853"/>
        <w:ind w:firstLine="480"/>
        <w:rPr>
          <w:rFonts w:cs="宋体"/>
          <w:color w:val="000000"/>
          <w:sz w:val="24"/>
          <w:szCs w:val="24"/>
          <w:lang w:bidi="ar"/>
        </w:rPr>
      </w:pPr>
      <w:r>
        <w:rPr>
          <w:rFonts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rPr>
          <w:rFonts w:ascii="宋体" w:hAnsi="宋体"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rPr>
          <w:rFonts w:ascii="宋体" w:hAnsi="宋体"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rPr>
          <w:rFonts w:ascii="宋体" w:hAnsi="宋体"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rPr>
          <w:rFonts w:ascii="宋体" w:hAnsi="宋体"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rPr>
          <w:rFonts w:ascii="宋体" w:hAnsi="宋体"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rPr>
          <w:rFonts w:ascii="宋体" w:hAnsi="宋体"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rPr>
          <w:rFonts w:ascii="宋体" w:hAnsi="宋体" w:cs="宋体"/>
          <w:color w:val="000000"/>
          <w:sz w:val="24"/>
          <w:szCs w:val="24"/>
          <w:lang w:bidi="ar"/>
        </w:rPr>
      </w:r>
      <w:r/>
    </w:p>
    <w:p>
      <w:pPr>
        <w:rPr>
          <w:rFonts w:ascii="宋体" w:hAnsi="宋体" w:cs="宋体"/>
          <w:color w:val="000000"/>
          <w:sz w:val="24"/>
          <w:szCs w:val="24"/>
          <w:lang w:bidi="ar"/>
        </w:rPr>
      </w:pPr>
      <w:r>
        <w:rPr>
          <w:rFonts w:ascii="宋体" w:hAnsi="宋体" w:cs="宋体"/>
          <w:color w:val="000000"/>
          <w:sz w:val="24"/>
          <w:szCs w:val="24"/>
          <w:lang w:bidi="ar"/>
        </w:rPr>
      </w:r>
      <w:r/>
    </w:p>
    <w:p>
      <w:pPr>
        <w:pStyle w:val="853"/>
        <w:ind w:firstLine="480"/>
        <w:rPr>
          <w:rFonts w:cs="宋体"/>
          <w:color w:val="000000"/>
          <w:sz w:val="24"/>
          <w:szCs w:val="24"/>
          <w:lang w:bidi="ar"/>
        </w:rPr>
      </w:pPr>
      <w:r>
        <w:rPr>
          <w:rFonts w:cs="宋体"/>
          <w:color w:val="000000"/>
          <w:sz w:val="24"/>
          <w:szCs w:val="24"/>
          <w:lang w:bidi="ar"/>
        </w:rPr>
      </w:r>
      <w:r/>
    </w:p>
    <w:p>
      <w:r/>
      <w:r/>
    </w:p>
    <w:p>
      <w:pPr>
        <w:jc w:val="center"/>
        <w:widowControl/>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３０</w:t>
    </w:r>
    <w:r>
      <w:rPr>
        <w:rFonts w:ascii="宋体" w:hAnsi="宋体"/>
      </w:rPr>
      <w:fldChar w:fldCharType="end"/>
    </w:r>
    <w:r/>
  </w:p>
  <w:p>
    <w:pPr>
      <w:pStyle w:val="8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1"/>
      <w:lang w:val="en-US" w:eastAsia="zh-CN" w:bidi="ar-SA"/>
    </w:rPr>
  </w:style>
  <w:style w:type="paragraph" w:styleId="842">
    <w:name w:val="Heading 1"/>
    <w:basedOn w:val="841"/>
    <w:next w:val="841"/>
    <w:link w:val="895"/>
    <w:uiPriority w:val="0"/>
    <w:qFormat/>
    <w:pPr>
      <w:jc w:val="center"/>
      <w:keepNext/>
      <w:outlineLvl w:val="0"/>
    </w:pPr>
    <w:rPr>
      <w:rFonts w:ascii="楷体_GB2312" w:eastAsia="楷体_GB2312"/>
      <w:sz w:val="28"/>
      <w:szCs w:val="28"/>
    </w:rPr>
  </w:style>
  <w:style w:type="paragraph" w:styleId="843">
    <w:name w:val="Heading 2"/>
    <w:basedOn w:val="841"/>
    <w:next w:val="856"/>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8"/>
    <w:uiPriority w:val="0"/>
    <w:qFormat/>
    <w:pPr>
      <w:keepLines/>
      <w:keepNext/>
      <w:spacing w:before="260" w:after="260" w:line="416" w:lineRule="auto"/>
      <w:outlineLvl w:val="2"/>
    </w:pPr>
    <w:rPr>
      <w:b/>
      <w:bCs/>
      <w:sz w:val="32"/>
      <w:szCs w:val="32"/>
    </w:rPr>
  </w:style>
  <w:style w:type="paragraph" w:styleId="845">
    <w:name w:val="Heading 4"/>
    <w:basedOn w:val="841"/>
    <w:next w:val="856"/>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0"/>
    <w:uiPriority w:val="0"/>
    <w:qFormat/>
    <w:pPr>
      <w:keepNext/>
      <w:outlineLvl w:val="4"/>
    </w:pPr>
    <w:rPr>
      <w:rFonts w:ascii="宋体"/>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First Indent 2"/>
    <w:basedOn w:val="854"/>
    <w:next w:val="841"/>
    <w:link w:val="894"/>
    <w:uiPriority w:val="0"/>
    <w:qFormat/>
    <w:pPr>
      <w:ind w:firstLine="420"/>
      <w:spacing w:line="360" w:lineRule="auto"/>
    </w:pPr>
    <w:rPr>
      <w:rFonts w:ascii="宋体" w:hAnsi="宋体" w:eastAsia="宋体"/>
      <w:sz w:val="21"/>
      <w:szCs w:val="20"/>
    </w:rPr>
  </w:style>
  <w:style w:type="paragraph" w:styleId="854">
    <w:name w:val="Body Text Indent"/>
    <w:basedOn w:val="841"/>
    <w:next w:val="855"/>
    <w:link w:val="893"/>
    <w:uiPriority w:val="0"/>
    <w:qFormat/>
    <w:pPr>
      <w:ind w:firstLine="645"/>
    </w:pPr>
    <w:rPr>
      <w:rFonts w:ascii="楷体_GB2312" w:eastAsia="楷体_GB2312"/>
      <w:sz w:val="32"/>
      <w:szCs w:val="32"/>
    </w:rPr>
  </w:style>
  <w:style w:type="paragraph" w:styleId="855">
    <w:name w:val="envelope return"/>
    <w:basedOn w:val="841"/>
    <w:uiPriority w:val="0"/>
    <w:qFormat/>
    <w:rPr>
      <w:rFonts w:ascii="Arial" w:hAnsi="Arial" w:cs="宋体"/>
    </w:rPr>
  </w:style>
  <w:style w:type="paragraph" w:styleId="856">
    <w:name w:val="Normal Indent"/>
    <w:basedOn w:val="841"/>
    <w:link w:val="897"/>
    <w:uiPriority w:val="0"/>
    <w:qFormat/>
    <w:pPr>
      <w:ind w:firstLine="420"/>
    </w:pPr>
  </w:style>
  <w:style w:type="paragraph" w:styleId="857">
    <w:name w:val="List 3"/>
    <w:basedOn w:val="841"/>
    <w:uiPriority w:val="0"/>
    <w:qFormat/>
    <w:pPr>
      <w:ind w:left="100" w:hanging="200"/>
    </w:pPr>
  </w:style>
  <w:style w:type="paragraph" w:styleId="858">
    <w:name w:val="toc 7"/>
    <w:basedOn w:val="841"/>
    <w:next w:val="841"/>
    <w:uiPriority w:val="0"/>
    <w:semiHidden/>
    <w:qFormat/>
    <w:pPr>
      <w:ind w:left="1260"/>
      <w:jc w:val="left"/>
    </w:pPr>
  </w:style>
  <w:style w:type="paragraph" w:styleId="859">
    <w:name w:val="Document Map"/>
    <w:basedOn w:val="841"/>
    <w:link w:val="905"/>
    <w:uiPriority w:val="0"/>
    <w:semiHidden/>
    <w:qFormat/>
    <w:pPr>
      <w:shd w:val="clear" w:color="auto" w:fill="000080"/>
    </w:pPr>
  </w:style>
  <w:style w:type="paragraph" w:styleId="860">
    <w:name w:val="annotation text"/>
    <w:basedOn w:val="841"/>
    <w:link w:val="906"/>
    <w:uiPriority w:val="0"/>
    <w:semiHidden/>
    <w:qFormat/>
    <w:pPr>
      <w:jc w:val="left"/>
    </w:pPr>
  </w:style>
  <w:style w:type="paragraph" w:styleId="861">
    <w:name w:val="Body Text 3"/>
    <w:basedOn w:val="841"/>
    <w:link w:val="907"/>
    <w:uiPriority w:val="0"/>
    <w:qFormat/>
    <w:rPr>
      <w:rFonts w:ascii="仿宋_GB2312" w:hAnsi="Arial" w:eastAsia="仿宋_GB2312"/>
      <w:sz w:val="32"/>
      <w:szCs w:val="32"/>
    </w:rPr>
  </w:style>
  <w:style w:type="paragraph" w:styleId="862">
    <w:name w:val="Body Text"/>
    <w:basedOn w:val="841"/>
    <w:link w:val="908"/>
    <w:uiPriority w:val="0"/>
    <w:qFormat/>
    <w:rPr>
      <w:rFonts w:ascii="楷体_GB2312" w:hAnsi="Arial" w:eastAsia="楷体_GB2312"/>
      <w:sz w:val="28"/>
      <w:szCs w:val="28"/>
    </w:rPr>
  </w:style>
  <w:style w:type="paragraph" w:styleId="863">
    <w:name w:val="List 2"/>
    <w:basedOn w:val="841"/>
    <w:uiPriority w:val="0"/>
    <w:qFormat/>
    <w:pPr>
      <w:ind w:left="100" w:hanging="200"/>
    </w:pPr>
  </w:style>
  <w:style w:type="paragraph" w:styleId="864">
    <w:name w:val="toc 5"/>
    <w:basedOn w:val="841"/>
    <w:next w:val="841"/>
    <w:uiPriority w:val="0"/>
    <w:semiHidden/>
    <w:qFormat/>
    <w:pPr>
      <w:ind w:left="840"/>
      <w:jc w:val="left"/>
    </w:pPr>
  </w:style>
  <w:style w:type="paragraph" w:styleId="865">
    <w:name w:val="toc 3"/>
    <w:basedOn w:val="841"/>
    <w:next w:val="841"/>
    <w:uiPriority w:val="0"/>
    <w:semiHidden/>
    <w:qFormat/>
    <w:pPr>
      <w:ind w:left="420"/>
      <w:jc w:val="left"/>
    </w:pPr>
    <w:rPr>
      <w:i/>
      <w:iCs/>
      <w:szCs w:val="24"/>
    </w:rPr>
  </w:style>
  <w:style w:type="paragraph" w:styleId="866">
    <w:name w:val="Plain Text"/>
    <w:basedOn w:val="841"/>
    <w:link w:val="909"/>
    <w:uiPriority w:val="0"/>
    <w:qFormat/>
    <w:rPr>
      <w:rFonts w:ascii="宋体" w:hAnsi="Courier New" w:cs="Courier New"/>
    </w:rPr>
  </w:style>
  <w:style w:type="paragraph" w:styleId="867">
    <w:name w:val="toc 8"/>
    <w:basedOn w:val="841"/>
    <w:next w:val="841"/>
    <w:uiPriority w:val="0"/>
    <w:semiHidden/>
    <w:qFormat/>
    <w:pPr>
      <w:ind w:left="1470"/>
      <w:jc w:val="left"/>
    </w:pPr>
  </w:style>
  <w:style w:type="paragraph" w:styleId="868">
    <w:name w:val="Date"/>
    <w:basedOn w:val="841"/>
    <w:next w:val="841"/>
    <w:link w:val="910"/>
    <w:uiPriority w:val="0"/>
    <w:qFormat/>
    <w:rPr>
      <w:sz w:val="24"/>
      <w:szCs w:val="24"/>
    </w:rPr>
  </w:style>
  <w:style w:type="paragraph" w:styleId="869">
    <w:name w:val="Body Text Indent 2"/>
    <w:basedOn w:val="841"/>
    <w:link w:val="911"/>
    <w:uiPriority w:val="0"/>
    <w:qFormat/>
    <w:pPr>
      <w:ind w:left="630" w:firstLine="645"/>
    </w:pPr>
    <w:rPr>
      <w:rFonts w:ascii="Arial" w:hAnsi="Arial" w:eastAsia="仿宋_GB2312" w:cs="Arial"/>
      <w:sz w:val="32"/>
      <w:szCs w:val="32"/>
    </w:rPr>
  </w:style>
  <w:style w:type="paragraph" w:styleId="870">
    <w:name w:val="Balloon Text"/>
    <w:basedOn w:val="841"/>
    <w:link w:val="912"/>
    <w:uiPriority w:val="0"/>
    <w:semiHidden/>
    <w:qFormat/>
    <w:rPr>
      <w:sz w:val="18"/>
      <w:szCs w:val="18"/>
    </w:rPr>
  </w:style>
  <w:style w:type="paragraph" w:styleId="871">
    <w:name w:val="Footer"/>
    <w:basedOn w:val="841"/>
    <w:link w:val="913"/>
    <w:uiPriority w:val="0"/>
    <w:qFormat/>
    <w:pPr>
      <w:jc w:val="left"/>
      <w:tabs>
        <w:tab w:val="center" w:pos="4153" w:leader="none"/>
        <w:tab w:val="right" w:pos="8306" w:leader="none"/>
      </w:tabs>
    </w:pPr>
    <w:rPr>
      <w:sz w:val="18"/>
      <w:szCs w:val="18"/>
    </w:rPr>
  </w:style>
  <w:style w:type="paragraph" w:styleId="872">
    <w:name w:val="Header"/>
    <w:basedOn w:val="841"/>
    <w:link w:val="914"/>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style>
  <w:style w:type="paragraph" w:styleId="875">
    <w:name w:val="List"/>
    <w:basedOn w:val="841"/>
    <w:uiPriority w:val="0"/>
    <w:qFormat/>
    <w:pPr>
      <w:ind w:left="200" w:hanging="200"/>
    </w:pPr>
  </w:style>
  <w:style w:type="paragraph" w:styleId="876">
    <w:name w:val="toc 6"/>
    <w:basedOn w:val="841"/>
    <w:next w:val="841"/>
    <w:uiPriority w:val="0"/>
    <w:semiHidden/>
    <w:qFormat/>
    <w:pPr>
      <w:ind w:left="1050"/>
      <w:jc w:val="left"/>
    </w:pPr>
  </w:style>
  <w:style w:type="paragraph" w:styleId="877">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style>
  <w:style w:type="paragraph" w:styleId="879">
    <w:name w:val="toc 2"/>
    <w:basedOn w:val="841"/>
    <w:next w:val="841"/>
    <w:uiPriority w:val="0"/>
    <w:semiHidden/>
    <w:qFormat/>
    <w:pPr>
      <w:ind w:left="210"/>
      <w:jc w:val="left"/>
    </w:pPr>
    <w:rPr>
      <w:smallCaps/>
      <w:szCs w:val="24"/>
    </w:rPr>
  </w:style>
  <w:style w:type="paragraph" w:styleId="880">
    <w:name w:val="toc 9"/>
    <w:basedOn w:val="841"/>
    <w:next w:val="841"/>
    <w:uiPriority w:val="0"/>
    <w:semiHidden/>
    <w:qFormat/>
    <w:pPr>
      <w:ind w:left="1680"/>
      <w:jc w:val="left"/>
    </w:pPr>
  </w:style>
  <w:style w:type="paragraph" w:styleId="881">
    <w:name w:val="Body Text 2"/>
    <w:basedOn w:val="841"/>
    <w:link w:val="916"/>
    <w:uiPriority w:val="0"/>
    <w:qFormat/>
    <w:pPr>
      <w:jc w:val="center"/>
      <w:widowControl/>
    </w:pPr>
    <w:rPr>
      <w:rFonts w:ascii="楷体_GB2312" w:eastAsia="楷体_GB2312"/>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3">
    <w:name w:val="index 1"/>
    <w:basedOn w:val="841"/>
    <w:next w:val="841"/>
    <w:uiPriority w:val="0"/>
    <w:semiHidden/>
    <w:qFormat/>
    <w:pPr>
      <w:spacing w:line="240" w:lineRule="atLeast"/>
    </w:pPr>
    <w:rPr>
      <w:b/>
      <w:bCs/>
    </w:rPr>
  </w:style>
  <w:style w:type="paragraph" w:styleId="884">
    <w:name w:val="annotation subject"/>
    <w:basedOn w:val="860"/>
    <w:next w:val="860"/>
    <w:link w:val="917"/>
    <w:uiPriority w:val="0"/>
    <w:semiHidden/>
    <w:qFormat/>
    <w:rPr>
      <w:b/>
      <w:bCs/>
    </w:rPr>
  </w:style>
  <w:style w:type="paragraph" w:styleId="885">
    <w:name w:val="Body Text First Indent"/>
    <w:basedOn w:val="841"/>
    <w:link w:val="918"/>
    <w:uiPriority w:val="0"/>
    <w:qFormat/>
    <w:pPr>
      <w:ind w:firstLine="200"/>
      <w:spacing w:line="360" w:lineRule="auto"/>
    </w:pPr>
    <w:rPr>
      <w:rFonts w:ascii="仿宋_GB2312" w:eastAsia="仿宋_GB2312"/>
      <w:sz w:val="30"/>
      <w:szCs w:val="30"/>
    </w:rPr>
  </w:style>
  <w:style w:type="table" w:styleId="886">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正文文本缩进 Char"/>
    <w:link w:val="854"/>
    <w:uiPriority w:val="0"/>
    <w:qFormat/>
    <w:rPr>
      <w:rFonts w:ascii="楷体_GB2312" w:hAnsi="Times New Roman" w:eastAsia="楷体_GB2312" w:cs="Times New Roman"/>
      <w:sz w:val="32"/>
      <w:szCs w:val="32"/>
    </w:rPr>
  </w:style>
  <w:style w:type="character" w:styleId="894" w:customStyle="1">
    <w:name w:val="正文首行缩进 2 Char"/>
    <w:link w:val="853"/>
    <w:uiPriority w:val="0"/>
    <w:qFormat/>
    <w:rPr>
      <w:rFonts w:ascii="宋体" w:hAnsi="宋体" w:eastAsia="宋体" w:cs="Times New Roman"/>
      <w:sz w:val="32"/>
      <w:szCs w:val="20"/>
    </w:rPr>
  </w:style>
  <w:style w:type="character" w:styleId="895" w:customStyle="1">
    <w:name w:val="标题 1 Char"/>
    <w:link w:val="842"/>
    <w:uiPriority w:val="0"/>
    <w:qFormat/>
    <w:rPr>
      <w:rFonts w:ascii="楷体_GB2312" w:hAnsi="Times New Roman" w:eastAsia="楷体_GB2312" w:cs="Times New Roman"/>
      <w:sz w:val="28"/>
      <w:szCs w:val="28"/>
    </w:rPr>
  </w:style>
  <w:style w:type="character" w:styleId="896" w:customStyle="1">
    <w:name w:val="标题 2 Char"/>
    <w:link w:val="843"/>
    <w:uiPriority w:val="0"/>
    <w:qFormat/>
    <w:rPr>
      <w:rFonts w:ascii="Arial" w:hAnsi="Arial" w:eastAsia="幼圆" w:cs="Arial"/>
      <w:b/>
      <w:bCs/>
      <w:sz w:val="44"/>
      <w:szCs w:val="44"/>
    </w:rPr>
  </w:style>
  <w:style w:type="character" w:styleId="897" w:customStyle="1">
    <w:name w:val="正文缩进 Char"/>
    <w:link w:val="856"/>
    <w:uiPriority w:val="0"/>
    <w:qFormat/>
    <w:rPr>
      <w:rFonts w:ascii="Times New Roman" w:hAnsi="Times New Roman" w:eastAsia="宋体" w:cs="Times New Roman"/>
      <w:szCs w:val="21"/>
    </w:rPr>
  </w:style>
  <w:style w:type="character" w:styleId="898" w:customStyle="1">
    <w:name w:val="标题 3 Char"/>
    <w:link w:val="844"/>
    <w:uiPriority w:val="0"/>
    <w:qFormat/>
    <w:rPr>
      <w:rFonts w:ascii="Times New Roman" w:hAnsi="Times New Roman" w:eastAsia="宋体" w:cs="Times New Roman"/>
      <w:b/>
      <w:bCs/>
      <w:sz w:val="32"/>
      <w:szCs w:val="32"/>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06" w:customStyle="1">
    <w:name w:val="批注文字 Char"/>
    <w:link w:val="860"/>
    <w:uiPriority w:val="0"/>
    <w:semiHidden/>
    <w:qFormat/>
    <w:rPr>
      <w:rFonts w:ascii="Times New Roman" w:hAnsi="Times New Roman" w:eastAsia="宋体" w:cs="Times New Roman"/>
      <w:szCs w:val="21"/>
    </w:rPr>
  </w:style>
  <w:style w:type="character" w:styleId="907" w:customStyle="1">
    <w:name w:val="正文文本 3 Char"/>
    <w:link w:val="861"/>
    <w:uiPriority w:val="0"/>
    <w:qFormat/>
    <w:rPr>
      <w:rFonts w:ascii="仿宋_GB2312" w:hAnsi="Arial" w:eastAsia="仿宋_GB2312" w:cs="Times New Roman"/>
      <w:sz w:val="32"/>
      <w:szCs w:val="32"/>
    </w:rPr>
  </w:style>
  <w:style w:type="character" w:styleId="908" w:customStyle="1">
    <w:name w:val="正文文本 Char"/>
    <w:link w:val="862"/>
    <w:uiPriority w:val="0"/>
    <w:qFormat/>
    <w:rPr>
      <w:rFonts w:ascii="楷体_GB2312" w:hAnsi="Arial" w:eastAsia="楷体_GB2312" w:cs="Times New Roman"/>
      <w:sz w:val="28"/>
      <w:szCs w:val="28"/>
    </w:rPr>
  </w:style>
  <w:style w:type="character" w:styleId="909" w:customStyle="1">
    <w:name w:val="纯文本 Char"/>
    <w:link w:val="866"/>
    <w:uiPriority w:val="0"/>
    <w:qFormat/>
    <w:rPr>
      <w:rFonts w:ascii="宋体" w:hAnsi="Courier New" w:eastAsia="宋体" w:cs="Courier New"/>
      <w:szCs w:val="21"/>
    </w:rPr>
  </w:style>
  <w:style w:type="character" w:styleId="910" w:customStyle="1">
    <w:name w:val="日期 Char"/>
    <w:link w:val="868"/>
    <w:uiPriority w:val="0"/>
    <w:qFormat/>
    <w:rPr>
      <w:rFonts w:ascii="Times New Roman" w:hAnsi="Times New Roman" w:eastAsia="宋体" w:cs="Times New Roman"/>
      <w:sz w:val="24"/>
      <w:szCs w:val="24"/>
    </w:rPr>
  </w:style>
  <w:style w:type="character" w:styleId="911" w:customStyle="1">
    <w:name w:val="正文文本缩进 2 Char"/>
    <w:link w:val="869"/>
    <w:uiPriority w:val="0"/>
    <w:qFormat/>
    <w:rPr>
      <w:rFonts w:ascii="Arial" w:hAnsi="Arial" w:eastAsia="仿宋_GB2312" w:cs="Arial"/>
      <w:sz w:val="32"/>
      <w:szCs w:val="32"/>
    </w:rPr>
  </w:style>
  <w:style w:type="character" w:styleId="912" w:customStyle="1">
    <w:name w:val="批注框文本 Char"/>
    <w:link w:val="870"/>
    <w:uiPriority w:val="0"/>
    <w:semiHidden/>
    <w:qFormat/>
    <w:rPr>
      <w:rFonts w:ascii="Times New Roman" w:hAnsi="Times New Roman" w:eastAsia="宋体" w:cs="Times New Roman"/>
      <w:sz w:val="18"/>
      <w:szCs w:val="18"/>
    </w:rPr>
  </w:style>
  <w:style w:type="character" w:styleId="913" w:customStyle="1">
    <w:name w:val="页脚 Char"/>
    <w:link w:val="871"/>
    <w:uiPriority w:val="0"/>
    <w:qFormat/>
    <w:rPr>
      <w:rFonts w:ascii="Times New Roman" w:hAnsi="Times New Roman" w:eastAsia="宋体" w:cs="Times New Roman"/>
      <w:sz w:val="18"/>
      <w:szCs w:val="18"/>
    </w:rPr>
  </w:style>
  <w:style w:type="character" w:styleId="914" w:customStyle="1">
    <w:name w:val="页眉 Char"/>
    <w:link w:val="872"/>
    <w:uiPriority w:val="0"/>
    <w:qFormat/>
    <w:rPr>
      <w:rFonts w:ascii="Times New Roman" w:hAnsi="Times New Roman" w:eastAsia="宋体" w:cs="Times New Roman"/>
      <w:sz w:val="18"/>
      <w:szCs w:val="18"/>
    </w:rPr>
  </w:style>
  <w:style w:type="character" w:styleId="915" w:customStyle="1">
    <w:name w:val="正文文本缩进 3 Char"/>
    <w:link w:val="877"/>
    <w:uiPriority w:val="0"/>
    <w:qFormat/>
    <w:rPr>
      <w:rFonts w:ascii="Arial" w:hAnsi="Arial" w:eastAsia="仿宋_GB2312" w:cs="Arial"/>
      <w:color w:val="ffff00"/>
      <w:sz w:val="32"/>
      <w:szCs w:val="32"/>
    </w:rPr>
  </w:style>
  <w:style w:type="character" w:styleId="916" w:customStyle="1">
    <w:name w:val="正文文本 2 Char"/>
    <w:link w:val="881"/>
    <w:uiPriority w:val="0"/>
    <w:qFormat/>
    <w:rPr>
      <w:rFonts w:ascii="楷体_GB2312" w:hAnsi="Times New Roman" w:eastAsia="楷体_GB2312" w:cs="Times New Roman"/>
      <w:sz w:val="28"/>
      <w:szCs w:val="28"/>
    </w:rPr>
  </w:style>
  <w:style w:type="character" w:styleId="917" w:customStyle="1">
    <w:name w:val="批注主题 Char"/>
    <w:link w:val="884"/>
    <w:uiPriority w:val="0"/>
    <w:semiHidden/>
    <w:qFormat/>
    <w:rPr>
      <w:rFonts w:ascii="Times New Roman" w:hAnsi="Times New Roman" w:eastAsia="宋体" w:cs="Times New Roman"/>
      <w:b/>
      <w:bCs/>
      <w:szCs w:val="21"/>
    </w:rPr>
  </w:style>
  <w:style w:type="character" w:styleId="918" w:customStyle="1">
    <w:name w:val="正文首行缩进 Char"/>
    <w:link w:val="885"/>
    <w:uiPriority w:val="0"/>
    <w:qFormat/>
    <w:rPr>
      <w:rFonts w:ascii="仿宋_GB2312" w:hAnsi="Times New Roman" w:eastAsia="仿宋_GB2312" w:cs="Times New Roman"/>
      <w:sz w:val="30"/>
      <w:szCs w:val="30"/>
    </w:rPr>
  </w:style>
  <w:style w:type="paragraph" w:styleId="919" w:customStyle="1">
    <w:name w:val="正文1"/>
    <w:basedOn w:val="841"/>
    <w:uiPriority w:val="0"/>
    <w:qFormat/>
    <w:pPr>
      <w:ind w:left="350"/>
    </w:pPr>
    <w:rPr>
      <w:sz w:val="20"/>
      <w:szCs w:val="24"/>
    </w:rPr>
  </w:style>
  <w:style w:type="paragraph" w:styleId="920" w:customStyle="1">
    <w:name w:val="索引 41"/>
    <w:basedOn w:val="841"/>
    <w:next w:val="841"/>
    <w:uiPriority w:val="0"/>
    <w:semiHidden/>
    <w:qFormat/>
    <w:pPr>
      <w:ind w:left="1260"/>
    </w:pPr>
    <w:rPr>
      <w:rFonts w:ascii="Calibri" w:hAnsi="Calibri" w:eastAsia="Calibri" w:cs="宋体"/>
      <w:sz w:val="20"/>
      <w:lang w:val="zh-CN"/>
    </w:rPr>
  </w:style>
  <w:style w:type="paragraph" w:styleId="921" w:customStyle="1">
    <w:name w:val="正文首行缩进 21"/>
    <w:basedOn w:val="922"/>
    <w:next w:val="841"/>
    <w:uiPriority w:val="0"/>
    <w:qFormat/>
    <w:pPr>
      <w:ind w:firstLine="420"/>
      <w:spacing w:line="360" w:lineRule="auto"/>
    </w:pPr>
    <w:rPr>
      <w:rFonts w:ascii="宋体" w:hAnsi="宋体" w:eastAsia="宋体"/>
      <w:sz w:val="21"/>
      <w:szCs w:val="20"/>
    </w:rPr>
  </w:style>
  <w:style w:type="paragraph" w:styleId="922" w:customStyle="1">
    <w:name w:val="正文文本缩进11"/>
    <w:basedOn w:val="841"/>
    <w:next w:val="923"/>
    <w:uiPriority w:val="0"/>
    <w:qFormat/>
    <w:pPr>
      <w:ind w:firstLine="645"/>
    </w:pPr>
    <w:rPr>
      <w:rFonts w:ascii="楷体_GB2312" w:eastAsia="楷体_GB2312"/>
      <w:sz w:val="32"/>
      <w:szCs w:val="32"/>
    </w:rPr>
  </w:style>
  <w:style w:type="paragraph" w:styleId="923" w:customStyle="1">
    <w:name w:val="寄信人地址1"/>
    <w:basedOn w:val="841"/>
    <w:uiPriority w:val="0"/>
    <w:qFormat/>
    <w:rPr>
      <w:rFonts w:ascii="Arial" w:hAnsi="Arial" w:cs="宋体"/>
    </w:rPr>
  </w:style>
  <w:style w:type="paragraph" w:styleId="924" w:customStyle="1">
    <w:name w:val="标题 41"/>
    <w:basedOn w:val="841"/>
    <w:next w:val="925"/>
    <w:uiPriority w:val="0"/>
    <w:qFormat/>
    <w:pPr>
      <w:keepLines/>
      <w:keepNext/>
      <w:spacing w:before="280" w:after="290" w:line="376" w:lineRule="auto"/>
      <w:outlineLvl w:val="3"/>
    </w:pPr>
    <w:rPr>
      <w:rFonts w:ascii="Arial" w:hAnsi="Arial" w:eastAsia="黑体" w:cs="Arial"/>
      <w:b/>
      <w:bCs/>
      <w:sz w:val="28"/>
      <w:szCs w:val="28"/>
    </w:rPr>
  </w:style>
  <w:style w:type="paragraph" w:styleId="925" w:customStyle="1">
    <w:name w:val="正文缩进1"/>
    <w:basedOn w:val="841"/>
    <w:uiPriority w:val="0"/>
    <w:qFormat/>
    <w:pPr>
      <w:ind w:firstLine="420"/>
    </w:pPr>
  </w:style>
  <w:style w:type="paragraph" w:styleId="926" w:customStyle="1">
    <w:name w:val="正文文本12"/>
    <w:basedOn w:val="841"/>
    <w:uiPriority w:val="1"/>
    <w:qFormat/>
    <w:pPr>
      <w:ind w:left="120"/>
    </w:pPr>
    <w:rPr>
      <w:rFonts w:ascii="宋体" w:hAnsi="宋体" w:cs="宋体"/>
      <w:lang w:val="zh-CN" w:bidi="zh-CN"/>
    </w:rPr>
  </w:style>
  <w:style w:type="character" w:styleId="927" w:customStyle="1">
    <w:name w:val="font5 Char"/>
    <w:uiPriority w:val="0"/>
    <w:qFormat/>
    <w:rPr>
      <w:rFonts w:ascii="宋体" w:hAnsi="宋体" w:eastAsia="宋体"/>
      <w:sz w:val="28"/>
      <w:szCs w:val="28"/>
      <w:lang w:val="en-US" w:eastAsia="zh-CN" w:bidi="ar-SA"/>
    </w:rPr>
  </w:style>
  <w:style w:type="character" w:styleId="928" w:customStyle="1">
    <w:name w:val="二级目录 Char"/>
    <w:link w:val="929"/>
    <w:uiPriority w:val="0"/>
    <w:qFormat/>
    <w:rPr>
      <w:b/>
      <w:sz w:val="30"/>
      <w:szCs w:val="28"/>
    </w:rPr>
  </w:style>
  <w:style w:type="paragraph" w:styleId="929" w:customStyle="1">
    <w:name w:val="二级目录"/>
    <w:next w:val="841"/>
    <w:link w:val="92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0" w:customStyle="1">
    <w:name w:val="列出段落 Char"/>
    <w:link w:val="931"/>
    <w:uiPriority w:val="0"/>
    <w:qFormat/>
    <w:rPr>
      <w:rFonts w:ascii="Calibri" w:hAnsi="Calibri"/>
      <w:sz w:val="24"/>
      <w:szCs w:val="24"/>
      <w:lang w:eastAsia="en-US" w:bidi="en-US"/>
    </w:rPr>
  </w:style>
  <w:style w:type="paragraph" w:styleId="931" w:customStyle="1">
    <w:name w:val="列出段落1"/>
    <w:basedOn w:val="841"/>
    <w:link w:val="930"/>
    <w:uiPriority w:val="0"/>
    <w:qFormat/>
    <w:pPr>
      <w:contextualSpacing/>
      <w:ind w:left="720"/>
      <w:jc w:val="left"/>
      <w:widowControl/>
    </w:pPr>
    <w:rPr>
      <w:rFonts w:ascii="Calibri" w:hAnsi="Calibri"/>
      <w:sz w:val="24"/>
      <w:szCs w:val="24"/>
      <w:lang w:eastAsia="en-US" w:bidi="en-US"/>
    </w:rPr>
  </w:style>
  <w:style w:type="paragraph" w:styleId="932" w:customStyle="1">
    <w:name w:val="Body Text(ch)"/>
    <w:basedOn w:val="841"/>
    <w:next w:val="862"/>
    <w:uiPriority w:val="0"/>
    <w:qFormat/>
    <w:pPr>
      <w:spacing w:after="120"/>
    </w:pPr>
    <w:rPr>
      <w:rFonts w:ascii="宋体" w:hAnsi="Arial"/>
      <w:bCs/>
      <w:iCs/>
      <w:szCs w:val="24"/>
    </w:rPr>
  </w:style>
  <w:style w:type="paragraph" w:styleId="933"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4"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5" w:customStyle="1">
    <w:name w:val="Char"/>
    <w:basedOn w:val="841"/>
    <w:uiPriority w:val="0"/>
    <w:qFormat/>
    <w:pPr>
      <w:ind w:firstLine="200"/>
      <w:tabs>
        <w:tab w:val="left" w:pos="360" w:leader="none"/>
      </w:tabs>
    </w:pPr>
    <w:rPr>
      <w:sz w:val="28"/>
      <w:szCs w:val="30"/>
    </w:rPr>
  </w:style>
  <w:style w:type="paragraph" w:styleId="936" w:customStyle="1">
    <w:name w:val="Char1"/>
    <w:basedOn w:val="859"/>
    <w:uiPriority w:val="0"/>
    <w:qFormat/>
    <w:rPr>
      <w:rFonts w:ascii="Tahoma" w:hAnsi="Tahoma"/>
      <w:sz w:val="24"/>
      <w:szCs w:val="24"/>
    </w:rPr>
  </w:style>
  <w:style w:type="paragraph" w:styleId="937"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8" w:customStyle="1">
    <w:name w:val="table_lines"/>
    <w:basedOn w:val="841"/>
    <w:uiPriority w:val="0"/>
    <w:qFormat/>
    <w:pPr>
      <w:jc w:val="left"/>
      <w:widowControl/>
    </w:pPr>
    <w:rPr>
      <w:sz w:val="20"/>
      <w:szCs w:val="20"/>
      <w:lang w:val="de-DE" w:eastAsia="de-DE"/>
    </w:rPr>
  </w:style>
  <w:style w:type="paragraph" w:styleId="93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0"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41" w:customStyle="1">
    <w:name w:val="Char Char Char Char"/>
    <w:basedOn w:val="859"/>
    <w:uiPriority w:val="0"/>
    <w:qFormat/>
    <w:pPr>
      <w:spacing w:line="360" w:lineRule="auto"/>
    </w:pPr>
    <w:rPr>
      <w:rFonts w:ascii="Tahoma" w:hAnsi="Tahoma"/>
      <w:sz w:val="24"/>
      <w:szCs w:val="24"/>
    </w:rPr>
  </w:style>
  <w:style w:type="paragraph" w:styleId="942">
    <w:name w:val="List Paragraph"/>
    <w:basedOn w:val="841"/>
    <w:uiPriority w:val="0"/>
    <w:qFormat/>
    <w:pPr>
      <w:contextualSpacing/>
      <w:ind w:left="720"/>
      <w:jc w:val="left"/>
      <w:widowControl/>
    </w:pPr>
    <w:rPr>
      <w:rFonts w:ascii="Calibri" w:hAnsi="Calibri"/>
      <w:sz w:val="24"/>
      <w:szCs w:val="24"/>
      <w:lang w:eastAsia="en-US" w:bidi="en-US"/>
    </w:rPr>
  </w:style>
  <w:style w:type="paragraph" w:styleId="943" w:customStyle="1">
    <w:name w:val="4"/>
    <w:basedOn w:val="841"/>
    <w:next w:val="877"/>
    <w:uiPriority w:val="0"/>
    <w:qFormat/>
    <w:pPr>
      <w:ind w:firstLine="420"/>
      <w:spacing w:line="360" w:lineRule="auto"/>
    </w:pPr>
    <w:rPr>
      <w:color w:val="ff0000"/>
      <w:sz w:val="24"/>
      <w:szCs w:val="24"/>
    </w:rPr>
  </w:style>
  <w:style w:type="paragraph" w:styleId="944"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5" w:customStyle="1">
    <w:name w:val="Char Char Char Char Char Char Char Char Char Char"/>
    <w:basedOn w:val="841"/>
    <w:uiPriority w:val="0"/>
    <w:qFormat/>
    <w:pPr>
      <w:spacing w:line="360" w:lineRule="auto"/>
    </w:pPr>
    <w:rPr>
      <w:sz w:val="24"/>
      <w:szCs w:val="20"/>
    </w:rPr>
  </w:style>
  <w:style w:type="paragraph" w:styleId="946" w:customStyle="1">
    <w:name w:val="样式1"/>
    <w:basedOn w:val="841"/>
    <w:uiPriority w:val="0"/>
    <w:qFormat/>
    <w:pPr>
      <w:numPr>
        <w:ilvl w:val="0"/>
        <w:numId w:val="3"/>
      </w:numPr>
    </w:pPr>
    <w:rPr>
      <w:rFonts w:ascii="宋体" w:hAnsi="宋体"/>
    </w:rPr>
  </w:style>
  <w:style w:type="paragraph" w:styleId="947"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8"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51"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3"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4"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5"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6"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7" w:customStyle="1">
    <w:name w:val="Char Char Char Char1"/>
    <w:basedOn w:val="859"/>
    <w:uiPriority w:val="0"/>
    <w:qFormat/>
    <w:pPr>
      <w:spacing w:line="360" w:lineRule="auto"/>
    </w:pPr>
    <w:rPr>
      <w:rFonts w:ascii="Tahoma" w:hAnsi="Tahoma"/>
      <w:sz w:val="24"/>
      <w:szCs w:val="24"/>
    </w:rPr>
  </w:style>
  <w:style w:type="paragraph" w:styleId="958" w:customStyle="1">
    <w:name w:val="table_1stline"/>
    <w:basedOn w:val="841"/>
    <w:uiPriority w:val="0"/>
    <w:qFormat/>
    <w:pPr>
      <w:jc w:val="left"/>
      <w:spacing w:before="120"/>
      <w:widowControl/>
    </w:pPr>
    <w:rPr>
      <w:bCs/>
      <w:sz w:val="20"/>
      <w:szCs w:val="20"/>
      <w:lang w:val="de-DE" w:eastAsia="de-DE"/>
    </w:rPr>
  </w:style>
  <w:style w:type="paragraph" w:styleId="959"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60"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customStyle="1">
    <w:name w:val="修订1"/>
    <w:uiPriority w:val="99"/>
    <w:semiHidden/>
    <w:qFormat/>
    <w:rPr>
      <w:rFonts w:ascii="Times New Roman" w:hAnsi="Times New Roman" w:eastAsia="宋体" w:cs="Times New Roman"/>
      <w:sz w:val="21"/>
      <w:szCs w:val="21"/>
      <w:lang w:val="en-US" w:eastAsia="zh-CN" w:bidi="ar-SA"/>
    </w:rPr>
  </w:style>
  <w:style w:type="paragraph" w:styleId="96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3" w:customStyle="1">
    <w:name w:val="正文文本 211"/>
    <w:basedOn w:val="841"/>
    <w:uiPriority w:val="99"/>
    <w:qFormat/>
    <w:pPr>
      <w:jc w:val="center"/>
    </w:pPr>
    <w:rPr>
      <w:b/>
      <w:bCs/>
      <w:sz w:val="20"/>
      <w:szCs w:val="20"/>
    </w:rPr>
  </w:style>
  <w:style w:type="table" w:styleId="964" w:customStyle="1">
    <w:name w:val="Table Normal"/>
    <w:uiPriority w:val="0"/>
    <w:qFormat/>
    <w:tblPr>
      <w:tblCellMar>
        <w:left w:w="0" w:type="dxa"/>
        <w:top w:w="0" w:type="dxa"/>
        <w:right w:w="0" w:type="dxa"/>
        <w:bottom w:w="0" w:type="dxa"/>
      </w:tblCellMar>
    </w:tblPr>
  </w:style>
  <w:style w:type="paragraph" w:styleId="965" w:customStyle="1">
    <w:name w:val="正文文本1"/>
    <w:basedOn w:val="841"/>
    <w:next w:val="841"/>
    <w:uiPriority w:val="0"/>
    <w:semiHidden/>
    <w:qFormat/>
    <w:rPr>
      <w:rFonts w:ascii="Arial" w:hAnsi="Arial" w:eastAsia="Arial" w:cs="Arial"/>
      <w:lang w:eastAsia="en-US"/>
    </w:rPr>
  </w:style>
  <w:style w:type="paragraph" w:styleId="966" w:customStyle="1">
    <w:name w:val="纯文本1"/>
    <w:basedOn w:val="841"/>
    <w:uiPriority w:val="0"/>
    <w:qFormat/>
    <w:rPr>
      <w:rFonts w:ascii="宋体" w:hAnsi="Courier New" w:cs="Courier New"/>
    </w:rPr>
  </w:style>
  <w:style w:type="table" w:styleId="967" w:customStyle="1">
    <w:name w:val="网格型1"/>
    <w:basedOn w:val="968"/>
    <w:uiPriority w:val="0"/>
    <w:qFormat/>
    <w:pPr>
      <w:jc w:val="both"/>
      <w:widowControl w:val="off"/>
    </w:pPr>
    <w:tblPr/>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15"/>
    <w:basedOn w:val="851"/>
    <w:uiPriority w:val="0"/>
    <w:qFormat/>
    <w:rPr>
      <w:rFonts w:hint="default" w:ascii="Times New Roman" w:hAnsi="Times New Roman" w:cs="Times New Roman"/>
    </w:rPr>
  </w:style>
  <w:style w:type="paragraph" w:styleId="970" w:customStyle="1">
    <w:name w:val="正文首行缩进 211"/>
    <w:basedOn w:val="922"/>
    <w:next w:val="841"/>
    <w:uiPriority w:val="0"/>
    <w:qFormat/>
    <w:pPr>
      <w:ind w:firstLine="420"/>
      <w:spacing w:line="360" w:lineRule="auto"/>
    </w:pPr>
    <w:rPr>
      <w:rFonts w:ascii="宋体" w:hAnsi="宋体" w:eastAsia="宋体"/>
      <w:szCs w:val="20"/>
    </w:rPr>
  </w:style>
  <w:style w:type="paragraph" w:styleId="971" w:customStyle="1">
    <w:name w:val="Table Paragraph"/>
    <w:basedOn w:val="841"/>
    <w:uiPriority w:val="1"/>
    <w:qFormat/>
    <w:pPr>
      <w:jc w:val="left"/>
    </w:pPr>
    <w:rPr>
      <w:rFonts w:ascii="宋体" w:hAnsi="宋体" w:cs="宋体"/>
      <w:sz w:val="22"/>
      <w:szCs w:val="22"/>
      <w:lang w:val="zh-CN" w:bidi="zh-CN"/>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王承敏</cp:lastModifiedBy>
  <cp:revision>5</cp:revision>
  <dcterms:created xsi:type="dcterms:W3CDTF">2026-08-21T07:11:00Z</dcterms:created>
  <dcterms:modified xsi:type="dcterms:W3CDTF">2026-08-26T08:56:03Z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BABB011896AC4F439EA6BD173C7A6D80</vt:lpwstr>
  </property>
</Properties>
</file>