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color w:val="auto"/>
          <w:spacing w:val="40"/>
          <w:sz w:val="32"/>
          <w:szCs w:val="32"/>
          <w:highlight w:val="none"/>
        </w:rPr>
      </w:pPr>
      <w:r>
        <w:rPr>
          <w:rFonts w:cs="宋体" w:asciiTheme="minorEastAsia" w:hAnsiTheme="minorEastAsia" w:eastAsiaTheme="minorEastAsia"/>
          <w:b/>
          <w:bCs/>
          <w:color w:val="auto"/>
          <w:spacing w:val="40"/>
          <w:sz w:val="32"/>
          <w:szCs w:val="32"/>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jc w:val="center"/>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r>
      <w:r/>
    </w:p>
    <w:p>
      <w:pPr>
        <w:jc w:val="center"/>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r>
      <w:r/>
    </w:p>
    <w:p>
      <w:pPr>
        <w:jc w:val="center"/>
        <w:rPr>
          <w:rFonts w:hint="eastAsia" w:cs="宋体" w:asciiTheme="minorEastAsia" w:hAnsiTheme="minorEastAsia" w:eastAsiaTheme="minorEastAsia"/>
          <w:b/>
          <w:color w:val="auto"/>
          <w:sz w:val="44"/>
          <w:highlight w:val="none"/>
          <w:lang w:eastAsia="zh-CN"/>
        </w:rPr>
      </w:pPr>
      <w:r>
        <w:rPr>
          <w:rFonts w:hint="eastAsia" w:cs="宋体" w:asciiTheme="minorEastAsia" w:hAnsiTheme="minorEastAsia" w:eastAsiaTheme="minorEastAsia"/>
          <w:b/>
          <w:color w:val="auto"/>
          <w:sz w:val="44"/>
          <w:highlight w:val="none"/>
          <w:lang w:eastAsia="zh-CN"/>
        </w:rPr>
        <w:t xml:space="preserve">江苏省文联</w:t>
      </w:r>
      <w:r/>
    </w:p>
    <w:p>
      <w:pPr>
        <w:jc w:val="center"/>
        <w:rPr>
          <w:rFonts w:hint="eastAsia" w:cs="宋体" w:asciiTheme="minorEastAsia" w:hAnsiTheme="minorEastAsia" w:eastAsiaTheme="minorEastAsia"/>
          <w:b/>
          <w:color w:val="auto"/>
          <w:sz w:val="44"/>
          <w:highlight w:val="none"/>
          <w:lang w:eastAsia="zh-CN"/>
        </w:rPr>
      </w:pPr>
      <w:r>
        <w:rPr>
          <w:rFonts w:hint="eastAsia" w:cs="宋体" w:asciiTheme="minorEastAsia" w:hAnsiTheme="minorEastAsia" w:eastAsiaTheme="minorEastAsia"/>
          <w:b/>
          <w:color w:val="auto"/>
          <w:sz w:val="44"/>
          <w:highlight w:val="none"/>
          <w:lang w:eastAsia="zh-CN"/>
        </w:rPr>
        <w:t xml:space="preserve">2026-2027年度全媒体宣传战略合作采购项目</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招标文件</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cs="宋体" w:asciiTheme="minorEastAsia" w:hAnsiTheme="minorEastAsia" w:eastAsiaTheme="minorEastAsia"/>
          <w:b/>
          <w:color w:val="auto"/>
          <w:sz w:val="36"/>
          <w:highlight w:val="none"/>
          <w:lang w:eastAsia="zh-CN"/>
        </w:rPr>
      </w:pPr>
      <w:r>
        <w:rPr>
          <w:rFonts w:cs="宋体" w:asciiTheme="minorEastAsia" w:hAnsiTheme="minorEastAsia" w:eastAsiaTheme="minorEastAsia"/>
          <w:b/>
          <w:color w:val="auto"/>
          <w:sz w:val="36"/>
          <w:highlight w:val="none"/>
        </w:rPr>
        <w:t xml:space="preserve">项目编号：</w:t>
      </w:r>
      <w:r>
        <w:rPr>
          <w:rFonts w:hint="eastAsia" w:cs="宋体" w:asciiTheme="minorEastAsia" w:hAnsiTheme="minorEastAsia" w:eastAsiaTheme="minorEastAsia"/>
          <w:b/>
          <w:color w:val="auto"/>
          <w:sz w:val="36"/>
          <w:highlight w:val="none"/>
          <w:lang w:eastAsia="zh-CN"/>
        </w:rPr>
        <w:t xml:space="preserve">JSZC-320000-SOHO-G2026-0038</w:t>
      </w:r>
      <w:r/>
    </w:p>
    <w:p>
      <w:pPr>
        <w:jc w:val="center"/>
        <w:rPr>
          <w:rFonts w:hint="eastAsia" w:cs="宋体" w:asciiTheme="minorEastAsia" w:hAnsiTheme="minorEastAsia" w:eastAsiaTheme="minorEastAsia"/>
          <w:b/>
          <w:color w:val="auto"/>
          <w:sz w:val="36"/>
          <w:highlight w:val="none"/>
          <w:lang w:eastAsia="zh-CN"/>
        </w:rPr>
      </w:pPr>
      <w:r>
        <w:rPr>
          <w:rFonts w:hint="eastAsia" w:cs="宋体" w:asciiTheme="minorEastAsia" w:hAnsiTheme="minorEastAsia" w:eastAsiaTheme="minorEastAsia"/>
          <w:b/>
          <w:color w:val="auto"/>
          <w:sz w:val="36"/>
          <w:highlight w:val="none"/>
        </w:rPr>
        <w:t xml:space="preserve">代理机构编号：</w:t>
      </w:r>
      <w:r>
        <w:rPr>
          <w:rFonts w:hint="eastAsia" w:cs="宋体" w:asciiTheme="minorEastAsia" w:hAnsiTheme="minorEastAsia" w:eastAsiaTheme="minorEastAsia"/>
          <w:b/>
          <w:bCs/>
          <w:color w:val="auto"/>
          <w:sz w:val="36"/>
          <w:highlight w:val="none"/>
          <w:lang w:eastAsia="zh-CN"/>
        </w:rPr>
        <w:t xml:space="preserve">1802-264104198HWZ</w:t>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asciiTheme="minorEastAsia" w:hAnsiTheme="minorEastAsia" w:eastAsiaTheme="minorEastAsia"/>
          <w:b/>
          <w:bCs/>
          <w:color w:val="auto"/>
          <w:sz w:val="36"/>
          <w:szCs w:val="32"/>
          <w:highlight w:val="none"/>
          <w:lang w:eastAsia="zh-CN"/>
        </w:rPr>
      </w:pPr>
      <w:r>
        <w:rPr>
          <w:rFonts w:hint="eastAsia" w:asciiTheme="minorEastAsia" w:hAnsiTheme="minorEastAsia" w:eastAsiaTheme="minorEastAsia"/>
          <w:b/>
          <w:bCs/>
          <w:color w:val="auto"/>
          <w:sz w:val="36"/>
          <w:szCs w:val="32"/>
          <w:highlight w:val="none"/>
        </w:rPr>
        <w:t xml:space="preserve">采购人：</w:t>
      </w:r>
      <w:r>
        <w:rPr>
          <w:rFonts w:hint="eastAsia" w:asciiTheme="minorEastAsia" w:hAnsiTheme="minorEastAsia" w:eastAsiaTheme="minorEastAsia"/>
          <w:b/>
          <w:bCs/>
          <w:color w:val="auto"/>
          <w:sz w:val="36"/>
          <w:szCs w:val="32"/>
          <w:highlight w:val="none"/>
          <w:lang w:eastAsia="zh-CN"/>
        </w:rPr>
        <w:t xml:space="preserve">江苏省文学艺术界联合会</w:t>
      </w:r>
      <w:r/>
    </w:p>
    <w:p>
      <w:pPr>
        <w:jc w:val="center"/>
        <w:rPr>
          <w:rFonts w:asciiTheme="minorEastAsia" w:hAnsiTheme="minorEastAsia" w:eastAsiaTheme="minorEastAsia"/>
          <w:b/>
          <w:bCs/>
          <w:color w:val="auto"/>
          <w:sz w:val="36"/>
          <w:szCs w:val="32"/>
          <w:highlight w:val="none"/>
        </w:rPr>
      </w:pPr>
      <w:r>
        <w:rPr>
          <w:rFonts w:hint="eastAsia" w:asciiTheme="minorEastAsia" w:hAnsiTheme="minorEastAsia" w:eastAsiaTheme="minorEastAsia"/>
          <w:b/>
          <w:bCs/>
          <w:color w:val="auto"/>
          <w:sz w:val="36"/>
          <w:szCs w:val="32"/>
          <w:highlight w:val="none"/>
        </w:rPr>
        <w:t xml:space="preserve">采购代理机构：江苏苏豪创新科技集团有限公司</w:t>
      </w:r>
      <w:r/>
    </w:p>
    <w:p>
      <w:pPr>
        <w:jc w:val="center"/>
        <w:rPr>
          <w:rFonts w:asciiTheme="minorEastAsia" w:hAnsiTheme="minorEastAsia" w:eastAsiaTheme="minorEastAsia"/>
          <w:b/>
          <w:color w:val="auto"/>
          <w:highlight w:val="none"/>
        </w:rPr>
      </w:pPr>
      <w:r>
        <w:rPr>
          <w:rFonts w:hint="eastAsia" w:asciiTheme="minorEastAsia" w:hAnsiTheme="minorEastAsia" w:eastAsiaTheme="minorEastAsia"/>
          <w:b/>
          <w:bCs/>
          <w:color w:val="auto"/>
          <w:spacing w:val="40"/>
          <w:sz w:val="36"/>
          <w:szCs w:val="30"/>
          <w:highlight w:val="none"/>
        </w:rPr>
        <w:t xml:space="preserve">二○二六年</w:t>
      </w:r>
      <w:r>
        <w:rPr>
          <w:rFonts w:hint="eastAsia" w:asciiTheme="minorEastAsia" w:hAnsiTheme="minorEastAsia" w:eastAsiaTheme="minorEastAsia"/>
          <w:b/>
          <w:bCs/>
          <w:color w:val="auto"/>
          <w:spacing w:val="40"/>
          <w:sz w:val="36"/>
          <w:szCs w:val="30"/>
          <w:highlight w:val="none"/>
          <w:lang w:val="en-US" w:eastAsia="zh-CN"/>
        </w:rPr>
        <w:t xml:space="preserve">七</w:t>
      </w:r>
      <w:r>
        <w:rPr>
          <w:rFonts w:hint="eastAsia" w:asciiTheme="minorEastAsia" w:hAnsiTheme="minorEastAsia" w:eastAsiaTheme="minorEastAsia"/>
          <w:b/>
          <w:bCs/>
          <w:color w:val="auto"/>
          <w:spacing w:val="40"/>
          <w:sz w:val="36"/>
          <w:szCs w:val="30"/>
          <w:highlight w:val="none"/>
        </w:rPr>
        <w:t xml:space="preserve">月</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pacing w:val="40"/>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目 录</w:t>
      </w:r>
      <w:r/>
    </w:p>
    <w:p>
      <w:pPr>
        <w:pStyle w:val="1009"/>
        <w:tabs>
          <w:tab w:val="right" w:pos="8296" w:leader="dot"/>
        </w:tabs>
        <w:rPr>
          <w:rFonts w:asciiTheme="minorEastAsia" w:hAnsiTheme="minorEastAsia" w:eastAsiaTheme="minorEastAsia"/>
          <w:color w:val="auto"/>
          <w:sz w:val="24"/>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TOC \o "1-2" \h \u </w:instrText>
      </w:r>
      <w:r>
        <w:rPr>
          <w:rFonts w:asciiTheme="minorEastAsia" w:hAnsiTheme="minorEastAsia" w:eastAsiaTheme="minorEastAsia"/>
          <w:color w:val="auto"/>
          <w:highlight w:val="none"/>
        </w:rPr>
        <w:fldChar w:fldCharType="separate"/>
      </w:r>
      <w:r>
        <w:rPr>
          <w:color w:val="auto"/>
          <w:highlight w:val="none"/>
        </w:rPr>
        <w:fldChar w:fldCharType="begin"/>
      </w:r>
      <w:r>
        <w:rPr>
          <w:color w:val="auto"/>
          <w:highlight w:val="none"/>
        </w:rPr>
        <w:instrText xml:space="preserve"> HYPERLINK \l "_Toc194500856" \o "#_Toc194500856" </w:instrText>
      </w:r>
      <w:r>
        <w:rPr>
          <w:color w:val="auto"/>
          <w:highlight w:val="none"/>
        </w:rPr>
        <w:fldChar w:fldCharType="separate"/>
      </w:r>
      <w:r>
        <w:rPr>
          <w:rStyle w:val="914"/>
          <w:rFonts w:cs="宋体" w:asciiTheme="minorEastAsia" w:hAnsiTheme="minorEastAsia" w:eastAsiaTheme="minorEastAsia"/>
          <w:b/>
          <w:color w:val="auto"/>
          <w:sz w:val="24"/>
          <w:highlight w:val="none"/>
        </w:rPr>
        <w:t xml:space="preserve">第一章  投标邀请</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_Toc194500856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1009"/>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"_Toc194500865" \o "#_Toc194500865" </w:instrText>
      </w:r>
      <w:r>
        <w:rPr>
          <w:color w:val="auto"/>
          <w:highlight w:val="none"/>
        </w:rPr>
        <w:fldChar w:fldCharType="separate"/>
      </w:r>
      <w:r>
        <w:rPr>
          <w:rStyle w:val="914"/>
          <w:rFonts w:cs="宋体" w:asciiTheme="minorEastAsia" w:hAnsiTheme="minorEastAsia" w:eastAsiaTheme="minorEastAsia"/>
          <w:b/>
          <w:color w:val="auto"/>
          <w:sz w:val="24"/>
          <w:highlight w:val="none"/>
        </w:rPr>
        <w:t xml:space="preserve">第二章  投标人须知</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_Toc194500865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8</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1009"/>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"_Toc194500873" \o "#_Toc194500873" </w:instrText>
      </w:r>
      <w:r>
        <w:rPr>
          <w:color w:val="auto"/>
          <w:highlight w:val="none"/>
        </w:rPr>
        <w:fldChar w:fldCharType="separate"/>
      </w:r>
      <w:r>
        <w:rPr>
          <w:rStyle w:val="914"/>
          <w:rFonts w:cs="宋体" w:asciiTheme="minorEastAsia" w:hAnsiTheme="minorEastAsia" w:eastAsiaTheme="minorEastAsia"/>
          <w:b/>
          <w:color w:val="auto"/>
          <w:sz w:val="24"/>
          <w:highlight w:val="none"/>
        </w:rPr>
        <w:t xml:space="preserve">第三章  合同文本</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_Toc194500873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19</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1009"/>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"_Toc194500876" \o "#_Toc194500876" </w:instrText>
      </w:r>
      <w:r>
        <w:rPr>
          <w:color w:val="auto"/>
          <w:highlight w:val="none"/>
        </w:rPr>
        <w:fldChar w:fldCharType="separate"/>
      </w:r>
      <w:r>
        <w:rPr>
          <w:rStyle w:val="914"/>
          <w:rFonts w:cs="宋体" w:asciiTheme="minorEastAsia" w:hAnsiTheme="minorEastAsia" w:eastAsiaTheme="minorEastAsia"/>
          <w:b/>
          <w:color w:val="auto"/>
          <w:sz w:val="24"/>
          <w:highlight w:val="none"/>
        </w:rPr>
        <w:t xml:space="preserve">第四章  采购需求</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fldChar w:fldCharType="end"/>
      </w:r>
      <w:r>
        <w:rPr>
          <w:rFonts w:hint="eastAsia" w:asciiTheme="minorEastAsia" w:hAnsiTheme="minorEastAsia" w:eastAsiaTheme="minorEastAsia"/>
          <w:color w:val="auto"/>
          <w:sz w:val="24"/>
          <w:highlight w:val="none"/>
        </w:rPr>
        <w:t xml:space="preserve">9</w:t>
      </w:r>
      <w:r/>
    </w:p>
    <w:p>
      <w:pPr>
        <w:pStyle w:val="1009"/>
        <w:tabs>
          <w:tab w:val="right" w:pos="8296" w:leader="dot"/>
        </w:tabs>
        <w:rPr>
          <w:rFonts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"_Toc194500888" \o "#_Toc194500888" </w:instrText>
      </w:r>
      <w:r>
        <w:rPr>
          <w:color w:val="auto"/>
          <w:highlight w:val="none"/>
        </w:rPr>
        <w:fldChar w:fldCharType="separate"/>
      </w:r>
      <w:r>
        <w:rPr>
          <w:rStyle w:val="914"/>
          <w:rFonts w:cs="宋体" w:asciiTheme="minorEastAsia" w:hAnsiTheme="minorEastAsia" w:eastAsiaTheme="minorEastAsia"/>
          <w:b/>
          <w:color w:val="auto"/>
          <w:sz w:val="24"/>
          <w:highlight w:val="none"/>
        </w:rPr>
        <w:t xml:space="preserve">第五章  评标方法与评标标准</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fldChar w:fldCharType="end"/>
      </w:r>
      <w:r>
        <w:rPr>
          <w:rFonts w:hint="eastAsia" w:asciiTheme="minorEastAsia" w:hAnsiTheme="minorEastAsia" w:eastAsiaTheme="minorEastAsia"/>
          <w:color w:val="auto"/>
          <w:sz w:val="24"/>
          <w:highlight w:val="none"/>
        </w:rPr>
        <w:t xml:space="preserve">9</w:t>
      </w:r>
      <w:r/>
    </w:p>
    <w:p>
      <w:pPr>
        <w:pStyle w:val="1009"/>
        <w:tabs>
          <w:tab w:val="right" w:pos="8296" w:leader="dot"/>
        </w:tabs>
        <w:rPr>
          <w:rFonts w:asciiTheme="minorEastAsia" w:hAnsiTheme="minorEastAsia" w:eastAsiaTheme="minorEastAsia"/>
          <w:color w:val="auto"/>
          <w:szCs w:val="22"/>
          <w:highlight w:val="none"/>
        </w:rPr>
      </w:pPr>
      <w:r>
        <w:rPr>
          <w:color w:val="auto"/>
          <w:highlight w:val="none"/>
        </w:rPr>
        <w:fldChar w:fldCharType="begin"/>
      </w:r>
      <w:r>
        <w:rPr>
          <w:color w:val="auto"/>
          <w:highlight w:val="none"/>
        </w:rPr>
        <w:instrText xml:space="preserve"> HYPERLINK \l "_Toc194500892" \o "#_Toc194500892" </w:instrText>
      </w:r>
      <w:r>
        <w:rPr>
          <w:color w:val="auto"/>
          <w:highlight w:val="none"/>
        </w:rPr>
        <w:fldChar w:fldCharType="separate"/>
      </w:r>
      <w:r>
        <w:rPr>
          <w:rStyle w:val="914"/>
          <w:rFonts w:cs="宋体" w:asciiTheme="minorEastAsia" w:hAnsiTheme="minorEastAsia" w:eastAsiaTheme="minorEastAsia"/>
          <w:b/>
          <w:color w:val="auto"/>
          <w:highlight w:val="none"/>
        </w:rPr>
        <w:t xml:space="preserve">第六章 </w:t>
      </w:r>
      <w:r>
        <w:rPr>
          <w:rStyle w:val="914"/>
          <w:rFonts w:cs="宋体" w:asciiTheme="minorEastAsia" w:hAnsiTheme="minorEastAsia" w:eastAsiaTheme="minorEastAsia"/>
          <w:b/>
          <w:color w:val="auto"/>
          <w:sz w:val="24"/>
          <w:highlight w:val="none"/>
        </w:rPr>
        <w:t xml:space="preserve"> </w:t>
      </w:r>
      <w:r>
        <w:rPr>
          <w:rStyle w:val="914"/>
          <w:rFonts w:hint="eastAsia" w:cs="宋体" w:asciiTheme="minorEastAsia" w:hAnsiTheme="minorEastAsia" w:eastAsiaTheme="minorEastAsia"/>
          <w:b/>
          <w:color w:val="auto"/>
          <w:sz w:val="24"/>
          <w:highlight w:val="none"/>
        </w:rPr>
        <w:t xml:space="preserve"> </w:t>
      </w:r>
      <w:r>
        <w:rPr>
          <w:rStyle w:val="914"/>
          <w:rFonts w:cs="宋体" w:asciiTheme="minorEastAsia" w:hAnsiTheme="minorEastAsia" w:eastAsiaTheme="minorEastAsia"/>
          <w:b/>
          <w:color w:val="auto"/>
          <w:sz w:val="24"/>
          <w:highlight w:val="none"/>
        </w:rPr>
        <w:t xml:space="preserve">投标文件格式</w:t>
      </w:r>
      <w:r>
        <w:rPr>
          <w:rFonts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fldChar w:fldCharType="end"/>
      </w:r>
      <w:r>
        <w:rPr>
          <w:rFonts w:hint="eastAsia" w:asciiTheme="minorEastAsia" w:hAnsiTheme="minorEastAsia" w:eastAsiaTheme="minorEastAsia"/>
          <w:color w:val="auto"/>
          <w:highlight w:val="none"/>
        </w:rPr>
        <w:t xml:space="preserve">6</w:t>
      </w:r>
      <w:r/>
    </w:p>
    <w:p>
      <w:pPr>
        <w:pStyle w:val="1012"/>
        <w:tabs>
          <w:tab w:val="right" w:pos="8296" w:leader="dot"/>
        </w:tabs>
        <w:rPr>
          <w:rFonts w:asciiTheme="minorEastAsia" w:hAnsiTheme="minorEastAsia" w:eastAsiaTheme="minorEastAsia"/>
          <w:color w:val="auto"/>
          <w:szCs w:val="22"/>
          <w:highlight w:val="none"/>
        </w:rPr>
      </w:pPr>
      <w:r>
        <w:rPr>
          <w:rFonts w:asciiTheme="minorEastAsia" w:hAnsiTheme="minorEastAsia" w:eastAsiaTheme="minorEastAsia"/>
          <w:color w:val="auto"/>
          <w:szCs w:val="22"/>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end"/>
      </w:r>
      <w:r/>
    </w:p>
    <w:p>
      <w:pPr>
        <w:jc w:val="center"/>
        <w:rPr>
          <w:rFonts w:cs="宋体" w:asciiTheme="minorEastAsia" w:hAnsiTheme="minorEastAsia" w:eastAsiaTheme="minorEastAsia"/>
          <w:b/>
          <w:color w:val="auto"/>
          <w:sz w:val="32"/>
          <w:highlight w:val="none"/>
        </w:rPr>
        <w:outlineLvl w:val="0"/>
      </w:pPr>
      <w:r/>
      <w:bookmarkStart w:id="0" w:name="_Toc29132"/>
      <w:r>
        <w:rPr>
          <w:rFonts w:cs="宋体" w:asciiTheme="minorEastAsia" w:hAnsiTheme="minorEastAsia" w:eastAsiaTheme="minorEastAsia"/>
          <w:b/>
          <w:color w:val="auto"/>
          <w:sz w:val="32"/>
          <w:highlight w:val="none"/>
        </w:rPr>
        <w:br w:type="page" w:clear="all"/>
      </w:r>
      <w:bookmarkStart w:id="1" w:name="_Toc12542"/>
      <w:r/>
      <w:bookmarkStart w:id="2" w:name="_Toc32546"/>
      <w:r/>
      <w:bookmarkStart w:id="3" w:name="_Toc23744"/>
      <w:r/>
      <w:bookmarkStart w:id="4" w:name="_Toc32235"/>
      <w:r/>
      <w:bookmarkStart w:id="5" w:name="_Toc15540"/>
      <w:r/>
      <w:bookmarkStart w:id="6" w:name="_Toc194500856"/>
      <w:r>
        <w:rPr>
          <w:rFonts w:cs="宋体" w:asciiTheme="minorEastAsia" w:hAnsiTheme="minorEastAsia" w:eastAsiaTheme="minorEastAsia"/>
          <w:b/>
          <w:color w:val="auto"/>
          <w:sz w:val="32"/>
          <w:highlight w:val="none"/>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color w:val="auto"/>
          <w:sz w:val="24"/>
          <w:highlight w:val="none"/>
        </w:rPr>
        <w:t xml:space="preserve">项目概况：</w:t>
      </w:r>
      <w:r>
        <w:rPr>
          <w:rFonts w:hint="eastAsia" w:cs="宋体" w:asciiTheme="minorEastAsia" w:hAnsiTheme="minorEastAsia" w:eastAsiaTheme="minorEastAsia"/>
          <w:color w:val="auto"/>
          <w:sz w:val="24"/>
          <w:highlight w:val="none"/>
        </w:rPr>
        <w:t xml:space="preserve">受[</w:t>
      </w:r>
      <w:r>
        <w:rPr>
          <w:rFonts w:hint="eastAsia" w:cs="宋体" w:asciiTheme="minorEastAsia" w:hAnsiTheme="minorEastAsia" w:eastAsiaTheme="minorEastAsia"/>
          <w:b/>
          <w:bCs/>
          <w:color w:val="auto"/>
          <w:sz w:val="24"/>
          <w:highlight w:val="none"/>
          <w:lang w:eastAsia="zh-CN"/>
        </w:rPr>
        <w:t xml:space="preserve">江苏省文学艺术界联合会</w:t>
      </w:r>
      <w:r>
        <w:rPr>
          <w:rFonts w:hint="eastAsia" w:cs="宋体" w:asciiTheme="minorEastAsia" w:hAnsiTheme="minorEastAsia" w:eastAsiaTheme="minorEastAsia"/>
          <w:color w:val="auto"/>
          <w:sz w:val="24"/>
          <w:highlight w:val="none"/>
        </w:rPr>
        <w:t xml:space="preserve">]的委托，江苏苏豪创新科技集团有限公司就[</w:t>
      </w:r>
      <w:r>
        <w:rPr>
          <w:rFonts w:hint="eastAsia" w:cs="宋体" w:asciiTheme="minorEastAsia" w:hAnsiTheme="minorEastAsia" w:eastAsiaTheme="minorEastAsia"/>
          <w:b/>
          <w:bCs/>
          <w:color w:val="auto"/>
          <w:sz w:val="24"/>
          <w:highlight w:val="none"/>
          <w:lang w:eastAsia="zh-CN"/>
        </w:rPr>
        <w:t xml:space="preserve">江苏省文联2026-2027年度全媒体宣传战略合作采购项目</w:t>
      </w:r>
      <w:r>
        <w:rPr>
          <w:rFonts w:hint="eastAsia"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b/>
          <w:bCs/>
          <w:color w:val="auto"/>
          <w:sz w:val="24"/>
          <w:highlight w:val="none"/>
          <w:lang w:eastAsia="zh-CN"/>
        </w:rPr>
        <w:t xml:space="preserve">JSZC-320000-SOHO-G2026-0038</w:t>
      </w:r>
      <w:r>
        <w:rPr>
          <w:rFonts w:hint="eastAsia" w:cs="宋体" w:asciiTheme="minorEastAsia" w:hAnsiTheme="minorEastAsia" w:eastAsiaTheme="minorEastAsia"/>
          <w:color w:val="auto"/>
          <w:sz w:val="24"/>
          <w:highlight w:val="none"/>
        </w:rPr>
        <w:t xml:space="preserve">]进行公开招标采购，欢迎符合条件的供应商投标。本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“江苏政府采购网”自行免费下载</w:t>
      </w:r>
      <w:r>
        <w:rPr>
          <w:rFonts w:cs="宋体" w:asciiTheme="minorEastAsia" w:hAnsiTheme="minorEastAsia" w:eastAsiaTheme="minorEastAsia"/>
          <w:color w:val="auto"/>
          <w:sz w:val="24"/>
          <w:highlight w:val="none"/>
        </w:rPr>
        <w:t xml:space="preserve">招标文件获取招标文件，并于</w:t>
      </w:r>
      <w:r>
        <w:rPr>
          <w:rFonts w:hint="eastAsia" w:cs="宋体" w:asciiTheme="minorEastAsia" w:hAnsiTheme="minorEastAsia" w:eastAsiaTheme="minorEastAsia"/>
          <w:b/>
          <w:color w:val="auto"/>
          <w:sz w:val="24"/>
          <w:highlight w:val="none"/>
          <w:u w:val="single"/>
          <w:lang w:eastAsia="zh-CN"/>
        </w:rPr>
        <w:t xml:space="preserve">2026年8月13日10时整</w:t>
      </w:r>
      <w:r>
        <w:rPr>
          <w:rFonts w:cs="宋体" w:asciiTheme="minorEastAsia" w:hAnsiTheme="minorEastAsia" w:eastAsiaTheme="minorEastAsia"/>
          <w:b/>
          <w:color w:val="auto"/>
          <w:sz w:val="24"/>
          <w:highlight w:val="none"/>
          <w:u w:val="single"/>
        </w:rPr>
        <w:t xml:space="preserve">分（北京时间）</w:t>
      </w:r>
      <w:r>
        <w:rPr>
          <w:rFonts w:cs="宋体" w:asciiTheme="minorEastAsia" w:hAnsiTheme="minorEastAsia" w:eastAsiaTheme="minorEastAsia"/>
          <w:color w:val="auto"/>
          <w:sz w:val="24"/>
          <w:highlight w:val="none"/>
        </w:rPr>
        <w:t xml:space="preserve">前递交投标文件。</w:t>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asciiTheme="minorEastAsia" w:hAnsiTheme="minorEastAsia" w:eastAsiaTheme="minorEastAsia"/>
          <w:color w:val="auto"/>
          <w:highlight w:val="none"/>
        </w:rPr>
        <w:outlineLvl w:val="1"/>
      </w:pPr>
      <w:r/>
      <w:bookmarkStart w:id="7" w:name="_Toc3958"/>
      <w:r/>
      <w:bookmarkStart w:id="8" w:name="_Toc20970"/>
      <w:r/>
      <w:bookmarkStart w:id="9" w:name="_Toc6703"/>
      <w:r/>
      <w:bookmarkStart w:id="10" w:name="_Toc13758"/>
      <w:r/>
      <w:bookmarkStart w:id="11" w:name="_Toc21703"/>
      <w:r/>
      <w:bookmarkStart w:id="12" w:name="_Toc194500857"/>
      <w:r/>
      <w:bookmarkStart w:id="13" w:name="_Toc15960"/>
      <w:r>
        <w:rPr>
          <w:rFonts w:cs="宋体" w:asciiTheme="minorEastAsia" w:hAnsiTheme="minorEastAsia" w:eastAsiaTheme="minorEastAsia"/>
          <w:b/>
          <w:color w:val="auto"/>
          <w:sz w:val="24"/>
          <w:highlight w:val="none"/>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1、项目编号：</w:t>
      </w:r>
      <w:r>
        <w:rPr>
          <w:rFonts w:hint="eastAsia" w:cs="宋体" w:asciiTheme="minorEastAsia" w:hAnsiTheme="minorEastAsia" w:eastAsiaTheme="minorEastAsia"/>
          <w:color w:val="auto"/>
          <w:sz w:val="24"/>
          <w:highlight w:val="none"/>
          <w:lang w:eastAsia="zh-CN"/>
        </w:rPr>
        <w:t xml:space="preserve">JSZC-320000-SOHO-G2026-0038</w:t>
      </w:r>
      <w:r>
        <w:rPr>
          <w:rFonts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代理机构编号（</w:t>
      </w:r>
      <w:r>
        <w:rPr>
          <w:rFonts w:hint="eastAsia" w:cs="宋体" w:asciiTheme="minorEastAsia" w:hAnsiTheme="minorEastAsia" w:eastAsiaTheme="minorEastAsia"/>
          <w:color w:val="auto"/>
          <w:sz w:val="24"/>
          <w:highlight w:val="none"/>
          <w:lang w:eastAsia="zh-CN"/>
        </w:rPr>
        <w:t xml:space="preserve">1802-264104198HWZ</w:t>
      </w:r>
      <w:r>
        <w:rPr>
          <w:rFonts w:hint="eastAsia" w:cs="宋体" w:asciiTheme="minorEastAsia" w:hAnsiTheme="minorEastAsia" w:eastAsiaTheme="minorEastAsia"/>
          <w:color w:val="auto"/>
          <w:sz w:val="24"/>
          <w:highlight w:val="none"/>
        </w:rPr>
        <w:t xml:space="preserve">）</w:t>
      </w:r>
      <w:r/>
    </w:p>
    <w:p>
      <w:pPr>
        <w:ind w:firstLine="480"/>
        <w:rPr>
          <w:rFonts w:hint="eastAsia"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rPr>
        <w:t xml:space="preserve">2、项目名称：</w:t>
      </w:r>
      <w:r>
        <w:rPr>
          <w:rFonts w:hint="eastAsia" w:cs="宋体" w:asciiTheme="minorEastAsia" w:hAnsiTheme="minorEastAsia" w:eastAsiaTheme="minorEastAsia"/>
          <w:color w:val="auto"/>
          <w:sz w:val="24"/>
          <w:highlight w:val="none"/>
          <w:lang w:eastAsia="zh-CN"/>
        </w:rPr>
        <w:t xml:space="preserve">江苏省文联2026-2027年度全媒体宣传战略合作采购项目</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3、预算金额：</w:t>
      </w:r>
      <w:r>
        <w:rPr>
          <w:rFonts w:hint="eastAsia" w:cs="宋体" w:asciiTheme="minorEastAsia" w:hAnsiTheme="minorEastAsia" w:eastAsiaTheme="minorEastAsia"/>
          <w:color w:val="auto"/>
          <w:sz w:val="24"/>
          <w:highlight w:val="none"/>
        </w:rPr>
        <w:t xml:space="preserve">150万元</w:t>
      </w:r>
      <w:r>
        <w:rPr>
          <w:rFonts w:cs="宋体" w:asciiTheme="minorEastAsia" w:hAnsiTheme="minorEastAsia" w:eastAsiaTheme="minorEastAsia"/>
          <w:color w:val="auto"/>
          <w:sz w:val="24"/>
          <w:highlight w:val="none"/>
        </w:rPr>
        <w:t xml:space="preserve">人民币</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4、最高限价：</w:t>
      </w:r>
      <w:r>
        <w:rPr>
          <w:rFonts w:hint="eastAsia" w:cs="宋体" w:asciiTheme="minorEastAsia" w:hAnsiTheme="minorEastAsia" w:eastAsiaTheme="minorEastAsia"/>
          <w:b/>
          <w:bCs/>
          <w:color w:val="auto"/>
          <w:sz w:val="24"/>
          <w:highlight w:val="none"/>
          <w:lang w:val="en-US" w:eastAsia="zh-CN"/>
        </w:rPr>
        <w:t xml:space="preserve">149.75</w:t>
      </w:r>
      <w:r>
        <w:rPr>
          <w:rFonts w:hint="eastAsia" w:cs="宋体" w:asciiTheme="minorEastAsia" w:hAnsiTheme="minorEastAsia" w:eastAsiaTheme="minorEastAsia"/>
          <w:color w:val="auto"/>
          <w:sz w:val="24"/>
          <w:highlight w:val="none"/>
        </w:rPr>
        <w:t xml:space="preserve">万元</w:t>
      </w:r>
      <w:r>
        <w:rPr>
          <w:rFonts w:cs="宋体" w:asciiTheme="minorEastAsia" w:hAnsiTheme="minorEastAsia" w:eastAsiaTheme="minorEastAsia"/>
          <w:color w:val="auto"/>
          <w:sz w:val="24"/>
          <w:highlight w:val="none"/>
        </w:rPr>
        <w:t xml:space="preserve">人民币</w:t>
      </w:r>
      <w:r/>
    </w:p>
    <w:p>
      <w:pPr>
        <w:pStyle w:val="879"/>
        <w:ind w:firstLine="480"/>
        <w:rPr>
          <w:rFonts w:hint="eastAsia"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采购需求</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lang w:val="en-US" w:eastAsia="zh-CN"/>
        </w:rPr>
        <w:t xml:space="preserve">为开展江苏省文学艺术界联合会全年常态化宣传工作，进行活动策划、内容创作、线上发布运营、矩阵分发推广、</w:t>
      </w:r>
      <w:r>
        <w:rPr>
          <w:rFonts w:hint="eastAsia" w:cs="宋体" w:asciiTheme="minorEastAsia" w:hAnsiTheme="minorEastAsia" w:eastAsiaTheme="minorEastAsia"/>
          <w:color w:val="auto"/>
          <w:sz w:val="24"/>
          <w:highlight w:val="none"/>
          <w:lang w:eastAsia="zh-CN"/>
        </w:rPr>
        <w:t xml:space="preserve">总结与评估</w:t>
      </w:r>
      <w:r>
        <w:rPr>
          <w:rFonts w:hint="eastAsia" w:cs="宋体" w:asciiTheme="minorEastAsia" w:hAnsiTheme="minorEastAsia" w:eastAsiaTheme="minorEastAsia"/>
          <w:color w:val="auto"/>
          <w:sz w:val="24"/>
          <w:highlight w:val="none"/>
          <w:lang w:val="en-US" w:eastAsia="zh-CN"/>
        </w:rPr>
        <w:t xml:space="preserve">，整合各类主流新媒体传播渠道，综合运用短视频、线上直播等多元新媒体形式，打造特色交互传播阵地，做好微信公众号、视频号等平台的运营维护，完成服务项目实施过程中涉及的其他相关工作，全方位展现江苏省文联各项重点工作与特色活动亮点，持续提升省文联文艺品牌的知名度、传播力与影响力。</w:t>
      </w:r>
      <w:r/>
    </w:p>
    <w:p>
      <w:pPr>
        <w:pStyle w:val="879"/>
        <w:ind w:firstLine="480"/>
        <w:rPr>
          <w:rFonts w:asciiTheme="minorEastAsia" w:hAnsiTheme="minorEastAsia" w:eastAsiaTheme="minorEastAsia"/>
          <w:bCs/>
          <w:color w:val="auto"/>
          <w:sz w:val="24"/>
          <w:highlight w:val="none"/>
        </w:rPr>
      </w:pPr>
      <w:r/>
      <w:bookmarkStart w:id="14" w:name="_Toc13127"/>
      <w:r/>
      <w:bookmarkStart w:id="15" w:name="_Toc12992"/>
      <w:r/>
      <w:bookmarkStart w:id="16" w:name="_Toc2864"/>
      <w:r/>
      <w:bookmarkStart w:id="17" w:name="_Toc194500858"/>
      <w:r/>
      <w:bookmarkStart w:id="18" w:name="_Toc28818"/>
      <w:r/>
      <w:bookmarkStart w:id="19" w:name="_Toc15207"/>
      <w:r/>
      <w:bookmarkStart w:id="20" w:name="_Toc25497"/>
      <w:r>
        <w:rPr>
          <w:rFonts w:hint="eastAsia" w:cs="宋体" w:asciiTheme="minorEastAsia" w:hAnsiTheme="minorEastAsia" w:eastAsiaTheme="minorEastAsia"/>
          <w:color w:val="auto"/>
          <w:sz w:val="24"/>
          <w:highlight w:val="none"/>
        </w:rPr>
        <w:t xml:space="preserve">6、合同履行期限：自签订合同之日起一年</w:t>
      </w:r>
      <w:r/>
    </w:p>
    <w:p>
      <w:pPr>
        <w:pStyle w:val="879"/>
        <w:ind w:firstLine="480"/>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本项目不接受联合体投标。</w:t>
      </w:r>
      <w:r/>
    </w:p>
    <w:p>
      <w:pPr>
        <w:ind w:firstLine="482"/>
        <w:rPr>
          <w:rFonts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二、申请人的资格要求</w:t>
      </w:r>
      <w:bookmarkEnd w:id="14"/>
      <w:r/>
      <w:bookmarkEnd w:id="15"/>
      <w:r/>
      <w:bookmarkEnd w:id="16"/>
      <w:r/>
      <w:bookmarkEnd w:id="17"/>
      <w:r/>
      <w:bookmarkEnd w:id="18"/>
      <w:r/>
      <w:bookmarkEnd w:id="19"/>
      <w:r/>
      <w:bookmarkEnd w:id="20"/>
      <w:r/>
      <w:r/>
    </w:p>
    <w:p>
      <w:pPr>
        <w:ind w:firstLine="482"/>
        <w:rPr>
          <w:rFonts w:hint="eastAsia" w:cs="宋体" w:asciiTheme="minorEastAsia" w:hAnsiTheme="minorEastAsia" w:eastAsiaTheme="minorEastAsia"/>
          <w:b w:val="0"/>
          <w:bCs/>
          <w:color w:val="auto"/>
          <w:sz w:val="24"/>
          <w:highlight w:val="none"/>
        </w:rPr>
      </w:pPr>
      <w:r/>
      <w:bookmarkStart w:id="21" w:name="_Toc2540"/>
      <w:r/>
      <w:bookmarkStart w:id="22" w:name="_Toc20002"/>
      <w:r/>
      <w:bookmarkStart w:id="23" w:name="_Toc13350"/>
      <w:r/>
      <w:bookmarkStart w:id="24" w:name="_Toc30744"/>
      <w:r/>
      <w:bookmarkStart w:id="25" w:name="_Toc18420"/>
      <w:r>
        <w:rPr>
          <w:rFonts w:hint="eastAsia" w:cs="宋体" w:asciiTheme="minorEastAsia" w:hAnsiTheme="minorEastAsia" w:eastAsiaTheme="minorEastAsia"/>
          <w:b w:val="0"/>
          <w:bCs/>
          <w:color w:val="auto"/>
          <w:sz w:val="24"/>
          <w:highlight w:val="none"/>
        </w:rPr>
        <w:t xml:space="preserve">（一）满足《中华人民共和国政府采购法》第二十二条规定；</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1.具有独立承担民事责任的能力（法人或者其他组织的营业执照等证明文件，自然人的身份证明）。</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2.具有良好的商业信誉和健全的财务会计制度（提供</w:t>
      </w:r>
      <w:r>
        <w:rPr>
          <w:rFonts w:hint="eastAsia" w:cs="宋体" w:asciiTheme="minorEastAsia" w:hAnsiTheme="minorEastAsia" w:eastAsiaTheme="minorEastAsia"/>
          <w:b w:val="0"/>
          <w:bCs/>
          <w:color w:val="auto"/>
          <w:sz w:val="24"/>
          <w:highlight w:val="none"/>
          <w:lang w:eastAsia="zh-CN"/>
        </w:rPr>
        <w:t xml:space="preserve">2024年度或者2025年度的财务报告</w:t>
      </w:r>
      <w:r>
        <w:rPr>
          <w:rFonts w:hint="eastAsia" w:cs="宋体" w:asciiTheme="minorEastAsia" w:hAnsiTheme="minorEastAsia" w:eastAsiaTheme="minorEastAsia"/>
          <w:b w:val="0"/>
          <w:bCs/>
          <w:color w:val="auto"/>
          <w:sz w:val="24"/>
          <w:highlight w:val="none"/>
        </w:rPr>
        <w:t xml:space="preserve">，至少包含资产负债表、利润表；或投标截止时间前六个月内银行出具的资信证明；成立不满一年无须提供）。</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3.具有履行合同所必需的设备和专业技术能力（提供书面声明）。</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5.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6.法律、行政法规规定的其他条件。</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（二）落实政府采购政策需满足的资格要求：</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1.本项目属于服务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2.中小微企业划型标准请对照《关于印发中小企业划型标准规定的通知》（工信部联企业〔2011〕300号）（详见格式）。本项目采购标的对应的行业为租赁和商务服务业。</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（三）本项目的特定资格要求： </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1.法定代表人授权书（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2.投标人具有国家新闻出版署颁发的有效期内的《报纸出版许可证》；</w:t>
      </w:r>
      <w:r/>
    </w:p>
    <w:p>
      <w:pPr>
        <w:ind w:firstLine="482"/>
        <w:rPr>
          <w:rFonts w:hint="eastAsia" w:cs="宋体" w:asciiTheme="minorEastAsia" w:hAnsiTheme="minorEastAsia" w:eastAsiaTheme="minorEastAsia"/>
          <w:b w:val="0"/>
          <w:bCs/>
          <w:color w:val="auto"/>
          <w:sz w:val="24"/>
          <w:highlight w:val="none"/>
        </w:rPr>
      </w:pPr>
      <w:r>
        <w:rPr>
          <w:rFonts w:hint="eastAsia" w:cs="宋体" w:asciiTheme="minorEastAsia" w:hAnsiTheme="minorEastAsia" w:eastAsiaTheme="minorEastAsia"/>
          <w:b w:val="0"/>
          <w:bCs/>
          <w:color w:val="auto"/>
          <w:sz w:val="24"/>
          <w:highlight w:val="none"/>
        </w:rPr>
        <w:t xml:space="preserve">3.投标人具有效期内的《互联网新闻信息服务许可证》。</w:t>
      </w:r>
      <w:r/>
    </w:p>
    <w:p>
      <w:pPr>
        <w:ind w:firstLine="482"/>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ind w:firstLine="482"/>
        <w:rPr>
          <w:rFonts w:asciiTheme="minorEastAsia" w:hAnsiTheme="minorEastAsia" w:eastAsiaTheme="minorEastAsia"/>
          <w:color w:val="auto"/>
          <w:highlight w:val="none"/>
        </w:rPr>
        <w:outlineLvl w:val="1"/>
      </w:pPr>
      <w:r/>
      <w:bookmarkStart w:id="26" w:name="_Toc194500859"/>
      <w:r>
        <w:rPr>
          <w:rFonts w:cs="宋体" w:asciiTheme="minorEastAsia" w:hAnsiTheme="minorEastAsia" w:eastAsiaTheme="minorEastAsia"/>
          <w:b/>
          <w:color w:val="auto"/>
          <w:sz w:val="24"/>
          <w:highlight w:val="none"/>
        </w:rPr>
        <w:t xml:space="preserve">三、获取招标文件</w:t>
      </w:r>
      <w:bookmarkEnd w:id="21"/>
      <w:r/>
      <w:bookmarkEnd w:id="22"/>
      <w:r/>
      <w:bookmarkEnd w:id="23"/>
      <w:r/>
      <w:bookmarkEnd w:id="24"/>
      <w:r/>
      <w:bookmarkEnd w:id="25"/>
      <w:r/>
      <w:bookmarkEnd w:id="2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1、时间：自招标文件公告发布之日起</w:t>
      </w: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个工作日</w:t>
      </w:r>
      <w:r>
        <w:rPr>
          <w:rFonts w:hint="eastAsia"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2、方式：在“江苏政府采购网”自行免费下载招标文件。</w:t>
      </w:r>
      <w:r/>
    </w:p>
    <w:p>
      <w:pPr>
        <w:ind w:firstLine="482"/>
        <w:rPr>
          <w:rFonts w:cs="宋体" w:asciiTheme="minorEastAsia" w:hAnsiTheme="minorEastAsia" w:eastAsiaTheme="minorEastAsia"/>
          <w:color w:val="auto"/>
          <w:sz w:val="24"/>
          <w:highlight w:val="none"/>
        </w:rPr>
        <w:outlineLvl w:val="1"/>
      </w:pPr>
      <w:r/>
      <w:bookmarkStart w:id="27" w:name="_Toc194500860"/>
      <w:r/>
      <w:bookmarkStart w:id="28" w:name="_Toc6894"/>
      <w:r/>
      <w:bookmarkStart w:id="29" w:name="_Toc18367"/>
      <w:r/>
      <w:bookmarkStart w:id="30" w:name="_Toc10585"/>
      <w:r/>
      <w:bookmarkStart w:id="31" w:name="_Toc24030"/>
      <w:r/>
      <w:bookmarkStart w:id="32" w:name="_Toc14803"/>
      <w:r/>
      <w:r/>
    </w:p>
    <w:p>
      <w:pPr>
        <w:ind w:firstLine="482"/>
        <w:rPr>
          <w:rFonts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四、提交投标文件截止时间、开标时间和地点</w:t>
      </w:r>
      <w:bookmarkEnd w:id="27"/>
      <w:r/>
      <w:bookmarkEnd w:id="28"/>
      <w:r/>
      <w:bookmarkEnd w:id="29"/>
      <w:r/>
      <w:bookmarkEnd w:id="30"/>
      <w:r/>
      <w:bookmarkEnd w:id="31"/>
      <w:r/>
      <w:bookmarkEnd w:id="3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投标文件接收截止时间（北京时间）：</w:t>
      </w:r>
      <w:r>
        <w:rPr>
          <w:rFonts w:hint="eastAsia" w:cs="宋体" w:asciiTheme="minorEastAsia" w:hAnsiTheme="minorEastAsia" w:eastAsiaTheme="minorEastAsia"/>
          <w:color w:val="auto"/>
          <w:sz w:val="24"/>
          <w:highlight w:val="none"/>
          <w:u w:val="single"/>
          <w:lang w:eastAsia="zh-CN"/>
        </w:rPr>
        <w:t xml:space="preserve">2026年8月13日10时整</w:t>
      </w:r>
      <w:r>
        <w:rPr>
          <w:rFonts w:cs="宋体" w:asciiTheme="minorEastAsia" w:hAnsiTheme="minorEastAsia" w:eastAsiaTheme="minorEastAsia"/>
          <w:color w:val="auto"/>
          <w:sz w:val="24"/>
          <w:highlight w:val="none"/>
          <w:u w:val="single"/>
        </w:rPr>
        <w:t xml:space="preserve">分</w:t>
      </w:r>
      <w:r>
        <w:rPr>
          <w:rFonts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地点：“苏采云”政府采购交易系统网上开标大厅。</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asciiTheme="minorEastAsia" w:hAnsiTheme="minorEastAsia" w:eastAsiaTheme="minorEastAsia"/>
          <w:color w:val="auto"/>
          <w:highlight w:val="none"/>
        </w:rPr>
        <w:outlineLvl w:val="1"/>
      </w:pPr>
      <w:r/>
      <w:bookmarkStart w:id="33" w:name="_Toc23035"/>
      <w:r/>
      <w:bookmarkStart w:id="34" w:name="_Toc3553"/>
      <w:r/>
      <w:bookmarkStart w:id="35" w:name="_Toc194500861"/>
      <w:r/>
      <w:bookmarkStart w:id="36" w:name="_Toc31344"/>
      <w:r/>
      <w:bookmarkStart w:id="37" w:name="_Toc25441"/>
      <w:r/>
      <w:bookmarkStart w:id="38" w:name="_Toc18059"/>
      <w:r>
        <w:rPr>
          <w:rFonts w:cs="宋体" w:asciiTheme="minorEastAsia" w:hAnsiTheme="minorEastAsia" w:eastAsiaTheme="minorEastAsia"/>
          <w:b/>
          <w:color w:val="auto"/>
          <w:sz w:val="24"/>
          <w:highlight w:val="none"/>
        </w:rPr>
        <w:t xml:space="preserve">五、公告期限</w:t>
      </w:r>
      <w:bookmarkEnd w:id="33"/>
      <w:r/>
      <w:bookmarkEnd w:id="34"/>
      <w:r/>
      <w:bookmarkEnd w:id="35"/>
      <w:r/>
      <w:bookmarkEnd w:id="36"/>
      <w:r/>
      <w:bookmarkEnd w:id="37"/>
      <w:r/>
      <w:bookmarkEnd w:id="3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招标公告及招标文件公告期限为自本公告发布之日起</w:t>
      </w:r>
      <w:r>
        <w:rPr>
          <w:rFonts w:hint="eastAsia"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个工作日。</w:t>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rPr>
          <w:rFonts w:asciiTheme="minorEastAsia" w:hAnsiTheme="minorEastAsia" w:eastAsiaTheme="minorEastAsia"/>
          <w:color w:val="auto"/>
          <w:highlight w:val="none"/>
        </w:rPr>
        <w:outlineLvl w:val="1"/>
      </w:pPr>
      <w:r/>
      <w:bookmarkStart w:id="39" w:name="_Toc15186"/>
      <w:r/>
      <w:bookmarkStart w:id="40" w:name="_Toc21684"/>
      <w:r/>
      <w:bookmarkStart w:id="41" w:name="_Toc27337"/>
      <w:r/>
      <w:bookmarkStart w:id="42" w:name="_Toc9002"/>
      <w:r/>
      <w:bookmarkStart w:id="43" w:name="_Toc9343"/>
      <w:r/>
      <w:bookmarkStart w:id="44" w:name="_Toc194500862"/>
      <w:r>
        <w:rPr>
          <w:rFonts w:cs="宋体" w:asciiTheme="minorEastAsia" w:hAnsiTheme="minorEastAsia" w:eastAsiaTheme="minorEastAsia"/>
          <w:b/>
          <w:color w:val="auto"/>
          <w:sz w:val="24"/>
          <w:highlight w:val="none"/>
        </w:rPr>
        <w:t xml:space="preserve">六、其他补充事宜</w:t>
      </w:r>
      <w:bookmarkEnd w:id="39"/>
      <w:r/>
      <w:bookmarkEnd w:id="40"/>
      <w:r/>
      <w:bookmarkEnd w:id="41"/>
      <w:r/>
      <w:bookmarkEnd w:id="42"/>
      <w:r/>
      <w:bookmarkEnd w:id="43"/>
      <w:r/>
      <w:bookmarkEnd w:id="44"/>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供应商如确定参加投标，可自行下载采购文件及有关资料，按照《操作手册》进行注册，领取CA和办理电子签章，并按《操作手册》要求制作、上传电子投标文件。</w:t>
      </w:r>
      <w:r/>
    </w:p>
    <w:p>
      <w:pPr>
        <w:pStyle w:val="938"/>
        <w:ind w:left="0" w:firstLine="48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w:t>
      </w:r>
      <w:bookmarkStart w:id="45" w:name="_Hlk142317669"/>
      <w:r>
        <w:rPr>
          <w:rFonts w:hint="eastAsia" w:cs="宋体" w:asciiTheme="minorEastAsia" w:hAnsiTheme="minorEastAsia" w:eastAsiaTheme="minorEastAsia"/>
          <w:color w:val="auto"/>
          <w:sz w:val="24"/>
          <w:szCs w:val="24"/>
          <w:highlight w:val="none"/>
        </w:rPr>
        <w:t xml:space="preserve">本项目支持节能环保产品 (财库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2019〕9号)、(财库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2019〕1</w:t>
      </w:r>
      <w:r>
        <w:rPr>
          <w:rFonts w:cs="宋体"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号)、(财库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2019〕1</w:t>
      </w:r>
      <w:r>
        <w:rPr>
          <w:rFonts w:cs="宋体" w:asciiTheme="minorEastAsia" w:hAnsiTheme="minorEastAsia" w:eastAsiaTheme="minorEastAsia"/>
          <w:color w:val="auto"/>
          <w:sz w:val="24"/>
          <w:szCs w:val="24"/>
          <w:highlight w:val="none"/>
        </w:rPr>
        <w:t xml:space="preserve">9</w:t>
      </w:r>
      <w:r>
        <w:rPr>
          <w:rFonts w:hint="eastAsia" w:cs="宋体" w:asciiTheme="minorEastAsia" w:hAnsiTheme="minorEastAsia" w:eastAsiaTheme="minorEastAsia"/>
          <w:color w:val="auto"/>
          <w:sz w:val="24"/>
          <w:szCs w:val="24"/>
          <w:highlight w:val="none"/>
        </w:rPr>
        <w:t xml:space="preserve">号)；支持中小微企业(财库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2020〕46号)、(苏财购</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w:t>
      </w:r>
      <w:r>
        <w:rPr>
          <w:rFonts w:cs="宋体" w:asciiTheme="minorEastAsia" w:hAnsiTheme="minorEastAsia" w:eastAsiaTheme="minorEastAsia"/>
          <w:color w:val="auto"/>
          <w:sz w:val="24"/>
          <w:szCs w:val="24"/>
          <w:highlight w:val="none"/>
        </w:rPr>
        <w:t xml:space="preserve">22</w:t>
      </w:r>
      <w:r>
        <w:rPr>
          <w:rFonts w:hint="eastAsia" w:cs="宋体" w:asciiTheme="minorEastAsia" w:hAnsiTheme="minorEastAsia" w:eastAsiaTheme="minorEastAsia"/>
          <w:color w:val="auto"/>
          <w:sz w:val="24"/>
          <w:szCs w:val="24"/>
          <w:highlight w:val="none"/>
        </w:rPr>
        <w:t xml:space="preserve">〕45号)、(工信部联企业</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2011〕300号)；支持监狱企业(财库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2014〕</w:t>
      </w:r>
      <w:r>
        <w:rPr>
          <w:rFonts w:cs="宋体" w:asciiTheme="minorEastAsia" w:hAnsiTheme="minorEastAsia" w:eastAsiaTheme="minorEastAsia"/>
          <w:color w:val="auto"/>
          <w:sz w:val="24"/>
          <w:szCs w:val="24"/>
          <w:highlight w:val="none"/>
        </w:rPr>
        <w:t xml:space="preserve">68</w:t>
      </w:r>
      <w:r>
        <w:rPr>
          <w:rFonts w:hint="eastAsia" w:cs="宋体" w:asciiTheme="minorEastAsia" w:hAnsiTheme="minorEastAsia" w:eastAsiaTheme="minorEastAsia"/>
          <w:color w:val="auto"/>
          <w:sz w:val="24"/>
          <w:szCs w:val="24"/>
          <w:highlight w:val="none"/>
        </w:rPr>
        <w:t xml:space="preserve">号)；促进残疾人就业(财库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2017〕141号)</w:t>
      </w:r>
      <w:bookmarkEnd w:id="45"/>
      <w:r>
        <w:rPr>
          <w:rFonts w:hint="eastAsia" w:cs="宋体" w:asciiTheme="minorEastAsia" w:hAnsiTheme="minorEastAsia" w:eastAsiaTheme="minorEastAsia"/>
          <w:color w:val="auto"/>
          <w:sz w:val="24"/>
          <w:szCs w:val="24"/>
          <w:highlight w:val="none"/>
        </w:rPr>
        <w:t xml:space="preserve">等政策。</w:t>
      </w:r>
      <w:r/>
    </w:p>
    <w:p>
      <w:pPr>
        <w:ind w:firstLine="48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w:t>
      </w:r>
      <w:r>
        <w:rPr>
          <w:rFonts w:hint="eastAsia" w:cs="宋体" w:asciiTheme="minorEastAsia" w:hAnsiTheme="minorEastAsia" w:eastAsiaTheme="minorEastAsia"/>
          <w:color w:val="auto"/>
          <w:sz w:val="24"/>
          <w:highlight w:val="none"/>
        </w:rPr>
        <w:t xml:space="preserve">、本项目不收取</w:t>
      </w:r>
      <w:r>
        <w:rPr>
          <w:rFonts w:cs="宋体" w:asciiTheme="minorEastAsia" w:hAnsiTheme="minorEastAsia" w:eastAsiaTheme="minorEastAsia"/>
          <w:color w:val="auto"/>
          <w:sz w:val="24"/>
          <w:highlight w:val="none"/>
        </w:rPr>
        <w:t xml:space="preserve">投标</w:t>
      </w:r>
      <w:r>
        <w:rPr>
          <w:rFonts w:hint="eastAsia" w:cs="宋体" w:asciiTheme="minorEastAsia" w:hAnsiTheme="minorEastAsia" w:eastAsiaTheme="minorEastAsia"/>
          <w:color w:val="auto"/>
          <w:sz w:val="24"/>
          <w:highlight w:val="none"/>
        </w:rPr>
        <w:t xml:space="preserve">保证金。</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rPr>
          <w:rFonts w:asciiTheme="minorEastAsia" w:hAnsiTheme="minorEastAsia" w:eastAsiaTheme="minorEastAsia"/>
          <w:color w:val="auto"/>
          <w:highlight w:val="none"/>
        </w:rPr>
        <w:outlineLvl w:val="1"/>
      </w:pPr>
      <w:r/>
      <w:bookmarkStart w:id="46" w:name="_Toc941"/>
      <w:r/>
      <w:bookmarkStart w:id="47" w:name="_Toc24108"/>
      <w:r/>
      <w:bookmarkStart w:id="48" w:name="_Toc21271"/>
      <w:r/>
      <w:bookmarkStart w:id="49" w:name="_Toc194500863"/>
      <w:r/>
      <w:bookmarkStart w:id="50" w:name="_Toc21883"/>
      <w:r>
        <w:rPr>
          <w:rFonts w:cs="宋体" w:asciiTheme="minorEastAsia" w:hAnsiTheme="minorEastAsia" w:eastAsiaTheme="minorEastAsia"/>
          <w:b/>
          <w:color w:val="auto"/>
          <w:sz w:val="24"/>
          <w:highlight w:val="none"/>
        </w:rPr>
        <w:t xml:space="preserve">七、对本次招标提出询问，请按以下方式联系</w:t>
      </w:r>
      <w:bookmarkEnd w:id="46"/>
      <w:r/>
      <w:bookmarkEnd w:id="47"/>
      <w:r/>
      <w:bookmarkEnd w:id="48"/>
      <w:r/>
      <w:bookmarkEnd w:id="49"/>
      <w:r/>
      <w:bookmarkEnd w:id="50"/>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1、采购人信息</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w:t>
      </w:r>
      <w:r>
        <w:rPr>
          <w:rFonts w:hint="eastAsia" w:cs="宋体" w:asciiTheme="minorEastAsia" w:hAnsiTheme="minorEastAsia" w:eastAsiaTheme="minorEastAsia"/>
          <w:color w:val="auto"/>
          <w:sz w:val="24"/>
          <w:highlight w:val="none"/>
          <w:lang w:eastAsia="zh-CN"/>
        </w:rPr>
        <w:t xml:space="preserve">江苏省文学艺术界联合会</w:t>
      </w:r>
      <w:r>
        <w:rPr>
          <w:rFonts w:hint="eastAsia" w:cs="宋体" w:asciiTheme="minorEastAsia" w:hAnsiTheme="minorEastAsia" w:eastAsiaTheme="minorEastAsia"/>
          <w:color w:val="auto"/>
          <w:sz w:val="24"/>
          <w:highlight w:val="none"/>
        </w:rPr>
        <w:t xml:space="preserve"> </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联系地址：江苏省南京市建邺区梦都大街50号</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 系 人：舒老师</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联系电话：025-83572142</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2、采购代理机构信息</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名称：江苏苏豪创新科技集团有限公司 </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地址：南京市雨花台区软件大道21号苏豪国际广场北园（原舜天集团）C座617室</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联系人：黄琳霖、朱笑青</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联系电话：025-52875968、025-52875975</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邮政编码：210012</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3、项目联系方式</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联系人：黄琳霖、朱笑青</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联系电话：025-52875968、025-52875975</w:t>
      </w:r>
      <w:r/>
    </w:p>
    <w:p>
      <w:pPr>
        <w:ind w:firstLine="480"/>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邮政编码：210012</w:t>
      </w:r>
      <w:r/>
    </w:p>
    <w:p>
      <w:pPr>
        <w:ind w:firstLine="482"/>
        <w:rPr>
          <w:rFonts w:asciiTheme="minorEastAsia" w:hAnsiTheme="minorEastAsia" w:eastAsiaTheme="minorEastAsia"/>
          <w:color w:val="auto"/>
          <w:highlight w:val="none"/>
        </w:rPr>
        <w:outlineLvl w:val="1"/>
      </w:pPr>
      <w:r/>
      <w:bookmarkStart w:id="51" w:name="_Toc194500864"/>
      <w:r/>
      <w:bookmarkStart w:id="52" w:name="_Toc18322"/>
      <w:r/>
      <w:bookmarkStart w:id="53" w:name="_Toc1753"/>
      <w:r/>
      <w:bookmarkStart w:id="54" w:name="_Toc31111"/>
      <w:r/>
      <w:bookmarkStart w:id="55" w:name="_Toc12578"/>
      <w:r>
        <w:rPr>
          <w:rFonts w:cs="宋体" w:asciiTheme="minorEastAsia" w:hAnsiTheme="minorEastAsia" w:eastAsiaTheme="minorEastAsia"/>
          <w:b/>
          <w:color w:val="auto"/>
          <w:sz w:val="24"/>
          <w:highlight w:val="none"/>
        </w:rPr>
        <w:t xml:space="preserve">八、其他</w:t>
      </w:r>
      <w:bookmarkEnd w:id="51"/>
      <w:r/>
      <w:bookmarkEnd w:id="52"/>
      <w:r/>
      <w:bookmarkEnd w:id="53"/>
      <w:r/>
      <w:bookmarkEnd w:id="54"/>
      <w:r/>
      <w:bookmarkEnd w:id="55"/>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color w:val="auto"/>
          <w:highlight w:val="none"/>
        </w:rPr>
        <w:t xml:space="preserve">http://www.ccgp-jiangsu.gov.cn/jiangsu/zlxz/ee/ee3a4bc5a3454aa2b0d9312230633ce9.html。</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asciiTheme="minorEastAsia" w:hAnsiTheme="minorEastAsia" w:eastAsiaTheme="minorEastAsia"/>
          <w:color w:val="auto"/>
          <w:highlight w:val="none"/>
        </w:rPr>
        <w:outlineLvl w:val="0"/>
      </w:pPr>
      <w:r/>
      <w:bookmarkStart w:id="56" w:name="_Toc194500865"/>
      <w:r/>
      <w:bookmarkStart w:id="57" w:name="_Toc16956"/>
      <w:r/>
      <w:bookmarkStart w:id="58" w:name="_Toc23291"/>
      <w:r/>
      <w:bookmarkStart w:id="59" w:name="_Toc10572"/>
      <w:r/>
      <w:bookmarkStart w:id="60" w:name="_Toc3733"/>
      <w:r>
        <w:rPr>
          <w:rFonts w:cs="宋体" w:asciiTheme="minorEastAsia" w:hAnsiTheme="minorEastAsia" w:eastAsiaTheme="minorEastAsia"/>
          <w:b/>
          <w:color w:val="auto"/>
          <w:sz w:val="32"/>
          <w:highlight w:val="none"/>
        </w:rPr>
        <w:t xml:space="preserve">第二章  投标人须知</w:t>
      </w:r>
      <w:bookmarkEnd w:id="56"/>
      <w:r/>
      <w:bookmarkEnd w:id="57"/>
      <w:r/>
      <w:bookmarkEnd w:id="58"/>
      <w:r/>
      <w:bookmarkEnd w:id="59"/>
      <w:r/>
      <w:bookmarkEnd w:id="60"/>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outlineLvl w:val="1"/>
      </w:pPr>
      <w:r/>
      <w:bookmarkStart w:id="61" w:name="_Toc30225"/>
      <w:r/>
      <w:bookmarkStart w:id="62" w:name="_Toc7747"/>
      <w:r/>
      <w:bookmarkStart w:id="63" w:name="_Toc17900"/>
      <w:r/>
      <w:bookmarkStart w:id="64" w:name="_Toc8913"/>
      <w:r/>
      <w:bookmarkStart w:id="65" w:name="_Toc194500866"/>
      <w:r>
        <w:rPr>
          <w:rFonts w:cs="宋体" w:asciiTheme="minorEastAsia" w:hAnsiTheme="minorEastAsia" w:eastAsiaTheme="minorEastAsia"/>
          <w:b/>
          <w:color w:val="auto"/>
          <w:sz w:val="24"/>
          <w:highlight w:val="none"/>
        </w:rPr>
        <w:t xml:space="preserve">一、总则</w:t>
      </w:r>
      <w:bookmarkEnd w:id="61"/>
      <w:r/>
      <w:bookmarkEnd w:id="62"/>
      <w:r/>
      <w:bookmarkEnd w:id="63"/>
      <w:r/>
      <w:bookmarkEnd w:id="64"/>
      <w:r/>
      <w:bookmarkEnd w:id="65"/>
      <w:r/>
      <w:r/>
    </w:p>
    <w:p>
      <w:pPr>
        <w:ind w:firstLine="482"/>
        <w:spacing w:before="161"/>
        <w:rPr>
          <w:rFonts w:asciiTheme="minorEastAsia" w:hAnsiTheme="minorEastAsia" w:eastAsiaTheme="minorEastAsia"/>
          <w:color w:val="auto"/>
          <w:highlight w:val="none"/>
        </w:rPr>
        <w:outlineLvl w:val="2"/>
      </w:pPr>
      <w:r/>
      <w:bookmarkStart w:id="66" w:name="_Toc27695"/>
      <w:r/>
      <w:bookmarkStart w:id="67" w:name="_Toc1431"/>
      <w:r/>
      <w:bookmarkStart w:id="68" w:name="_Toc19075"/>
      <w:r>
        <w:rPr>
          <w:rFonts w:cs="宋体" w:asciiTheme="minorEastAsia" w:hAnsiTheme="minorEastAsia" w:eastAsiaTheme="minorEastAsia"/>
          <w:b/>
          <w:color w:val="auto"/>
          <w:sz w:val="24"/>
          <w:highlight w:val="none"/>
        </w:rPr>
        <w:t xml:space="preserve">1、招标方式</w:t>
      </w:r>
      <w:bookmarkEnd w:id="66"/>
      <w:r/>
      <w:bookmarkEnd w:id="67"/>
      <w:r/>
      <w:bookmarkEnd w:id="6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 本次招标采取公开招标方式，本招标文件仅适用于招标公告中所述项目。</w:t>
      </w:r>
      <w:r/>
    </w:p>
    <w:p>
      <w:pPr>
        <w:ind w:firstLine="482"/>
        <w:spacing w:before="161"/>
        <w:rPr>
          <w:rFonts w:asciiTheme="minorEastAsia" w:hAnsiTheme="minorEastAsia" w:eastAsiaTheme="minorEastAsia"/>
          <w:color w:val="auto"/>
          <w:highlight w:val="none"/>
        </w:rPr>
        <w:outlineLvl w:val="2"/>
      </w:pPr>
      <w:r/>
      <w:bookmarkStart w:id="69" w:name="_Toc3856"/>
      <w:r/>
      <w:bookmarkStart w:id="70" w:name="_Toc22410"/>
      <w:r/>
      <w:bookmarkStart w:id="71" w:name="_Toc11513"/>
      <w:r>
        <w:rPr>
          <w:rFonts w:cs="宋体" w:asciiTheme="minorEastAsia" w:hAnsiTheme="minorEastAsia" w:eastAsiaTheme="minorEastAsia"/>
          <w:b/>
          <w:color w:val="auto"/>
          <w:sz w:val="24"/>
          <w:highlight w:val="none"/>
        </w:rPr>
        <w:t xml:space="preserve">2、合格的投标人</w:t>
      </w:r>
      <w:bookmarkEnd w:id="69"/>
      <w:r/>
      <w:bookmarkEnd w:id="70"/>
      <w:r/>
      <w:bookmarkEnd w:id="7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 满足招标公告中供应商的资格要求的规定。</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 满足本文件实质性要求和条件的规定。</w:t>
      </w:r>
      <w:r/>
    </w:p>
    <w:p>
      <w:pPr>
        <w:ind w:firstLine="482"/>
        <w:spacing w:before="161"/>
        <w:rPr>
          <w:rFonts w:asciiTheme="minorEastAsia" w:hAnsiTheme="minorEastAsia" w:eastAsiaTheme="minorEastAsia"/>
          <w:color w:val="auto"/>
          <w:highlight w:val="none"/>
        </w:rPr>
        <w:outlineLvl w:val="2"/>
      </w:pPr>
      <w:r/>
      <w:bookmarkStart w:id="72" w:name="_Toc20130"/>
      <w:r/>
      <w:bookmarkStart w:id="73" w:name="_Toc17102"/>
      <w:r/>
      <w:bookmarkStart w:id="74" w:name="_Toc17586"/>
      <w:r>
        <w:rPr>
          <w:rFonts w:cs="宋体" w:asciiTheme="minorEastAsia" w:hAnsiTheme="minorEastAsia" w:eastAsiaTheme="minorEastAsia"/>
          <w:b/>
          <w:color w:val="auto"/>
          <w:sz w:val="24"/>
          <w:highlight w:val="none"/>
        </w:rPr>
        <w:t xml:space="preserve">3、适用法律</w:t>
      </w:r>
      <w:bookmarkEnd w:id="72"/>
      <w:r/>
      <w:bookmarkEnd w:id="73"/>
      <w:r/>
      <w:bookmarkEnd w:id="7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 本次招标及由此产生的合同受中华人民共和国有关的法律法规制约和保护。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 </w:t>
      </w:r>
      <w:r>
        <w:rPr>
          <w:rFonts w:hint="eastAsia" w:cs="宋体" w:asciiTheme="minorEastAsia" w:hAnsiTheme="minorEastAsia" w:eastAsiaTheme="minorEastAsia"/>
          <w:color w:val="auto"/>
          <w:sz w:val="24"/>
          <w:highlight w:val="none"/>
        </w:rPr>
        <w:t xml:space="preserve">本项目支持节能环保产品 (财库〔2019〕9号)、(财库〔2019〕18号)、(财库〔2019〕19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color w:val="auto"/>
          <w:highlight w:val="none"/>
        </w:rPr>
        <w:outlineLvl w:val="2"/>
      </w:pPr>
      <w:r/>
      <w:bookmarkStart w:id="75" w:name="_Toc19813"/>
      <w:r/>
      <w:bookmarkStart w:id="76" w:name="_Toc15465"/>
      <w:r/>
      <w:bookmarkStart w:id="77" w:name="_Toc30125"/>
      <w:r>
        <w:rPr>
          <w:rFonts w:cs="宋体" w:asciiTheme="minorEastAsia" w:hAnsiTheme="minorEastAsia" w:eastAsiaTheme="minorEastAsia"/>
          <w:b/>
          <w:color w:val="auto"/>
          <w:sz w:val="24"/>
          <w:highlight w:val="none"/>
        </w:rPr>
        <w:t xml:space="preserve">4、投标费用</w:t>
      </w:r>
      <w:bookmarkEnd w:id="75"/>
      <w:r/>
      <w:bookmarkEnd w:id="76"/>
      <w:r/>
      <w:bookmarkEnd w:id="77"/>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4.1 投标人应自行承担所有与参加投标有关的费用，无论投标过程中的做法和结果如何，</w:t>
      </w:r>
      <w:r>
        <w:rPr>
          <w:rFonts w:cs="宋体" w:asciiTheme="minorEastAsia" w:hAnsiTheme="minorEastAsia" w:eastAsiaTheme="minorEastAsia"/>
          <w:b/>
          <w:color w:val="auto"/>
          <w:sz w:val="24"/>
          <w:highlight w:val="none"/>
        </w:rPr>
        <w:t xml:space="preserve">江苏苏豪创新科技集团有限公司（以下简称采购代理机构）</w:t>
      </w:r>
      <w:r>
        <w:rPr>
          <w:rFonts w:cs="宋体" w:asciiTheme="minorEastAsia" w:hAnsiTheme="minorEastAsia" w:eastAsiaTheme="minorEastAsia"/>
          <w:color w:val="auto"/>
          <w:sz w:val="24"/>
          <w:highlight w:val="none"/>
        </w:rPr>
        <w:t xml:space="preserve">在任何情况下均无义务和责任承担这些费用。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4.2 本次招标</w:t>
      </w:r>
      <w:r>
        <w:rPr>
          <w:rFonts w:cs="宋体" w:asciiTheme="minorEastAsia" w:hAnsiTheme="minorEastAsia" w:eastAsiaTheme="minorEastAsia"/>
          <w:b/>
          <w:color w:val="auto"/>
          <w:sz w:val="24"/>
          <w:highlight w:val="none"/>
        </w:rPr>
        <w:t xml:space="preserve">采购代理机构</w:t>
      </w:r>
      <w:r>
        <w:rPr>
          <w:rFonts w:cs="宋体" w:asciiTheme="minorEastAsia" w:hAnsiTheme="minorEastAsia" w:eastAsiaTheme="minorEastAsia"/>
          <w:color w:val="auto"/>
          <w:sz w:val="24"/>
          <w:highlight w:val="none"/>
        </w:rPr>
        <w:t xml:space="preserve">不收取标书工本费。</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4.3 招标服务费收费标准：</w:t>
      </w:r>
      <w:r/>
    </w:p>
    <w:p>
      <w:pPr>
        <w:pStyle w:val="938"/>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highlight w:val="none"/>
        </w:rPr>
        <w:t xml:space="preserve">本项目预算包含招标服务费，采购人不额外支付，投标人的投标报价需包含该费用。</w:t>
      </w:r>
      <w:r/>
    </w:p>
    <w:p>
      <w:pPr>
        <w:pStyle w:val="938"/>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val="en-US" w:eastAsia="zh-CN"/>
        </w:rPr>
        <w:t xml:space="preserve">采购代理机构</w:t>
      </w:r>
      <w:r>
        <w:rPr>
          <w:rFonts w:hint="eastAsia" w:cs="宋体" w:asciiTheme="minorEastAsia" w:hAnsiTheme="minorEastAsia" w:eastAsiaTheme="minorEastAsia"/>
          <w:color w:val="auto"/>
          <w:sz w:val="24"/>
          <w:szCs w:val="24"/>
          <w:highlight w:val="none"/>
        </w:rPr>
        <w:t xml:space="preserve">将按苏政采协[2024]20号收费标准向中标人/成交供应商收取有关费用</w:t>
      </w:r>
      <w:r>
        <w:rPr>
          <w:rFonts w:hint="eastAsia" w:cs="宋体" w:asciiTheme="minorEastAsia" w:hAnsiTheme="minorEastAsia" w:eastAsiaTheme="minorEastAsia"/>
          <w:color w:val="auto"/>
          <w:sz w:val="24"/>
          <w:szCs w:val="24"/>
          <w:highlight w:val="none"/>
          <w:lang w:eastAsia="zh-CN"/>
        </w:rPr>
        <w:t xml:space="preserve">。</w:t>
      </w:r>
      <w:r/>
    </w:p>
    <w:p>
      <w:pPr>
        <w:pStyle w:val="938"/>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账户信息：</w:t>
      </w:r>
      <w:r/>
    </w:p>
    <w:p>
      <w:pPr>
        <w:pStyle w:val="938"/>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开户名称：江苏苏豪创新科技集团有限公司</w:t>
      </w:r>
      <w:r/>
    </w:p>
    <w:p>
      <w:pPr>
        <w:pStyle w:val="938"/>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 户 行：工商银行南京白下支行</w:t>
      </w:r>
      <w:r/>
    </w:p>
    <w:p>
      <w:pPr>
        <w:pStyle w:val="938"/>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账  号：4301013119100276117</w:t>
      </w:r>
      <w:r/>
    </w:p>
    <w:p>
      <w:pPr>
        <w:pStyle w:val="938"/>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lang w:val="en-US" w:eastAsia="zh-CN"/>
        </w:rPr>
        <w:t xml:space="preserve">本项目的专家评审费由采购人支付。</w:t>
      </w:r>
      <w:r/>
    </w:p>
    <w:p>
      <w:pPr>
        <w:ind w:firstLine="482"/>
        <w:spacing w:before="161"/>
        <w:rPr>
          <w:rFonts w:cs="宋体" w:asciiTheme="minorEastAsia" w:hAnsiTheme="minorEastAsia" w:eastAsiaTheme="minorEastAsia"/>
          <w:b/>
          <w:color w:val="auto"/>
          <w:sz w:val="24"/>
          <w:highlight w:val="none"/>
        </w:rPr>
        <w:outlineLvl w:val="2"/>
      </w:pPr>
      <w:r/>
      <w:bookmarkStart w:id="78" w:name="_Toc15360"/>
      <w:r/>
      <w:bookmarkStart w:id="79" w:name="_Toc28956"/>
      <w:r/>
      <w:bookmarkStart w:id="80" w:name="_Toc25686"/>
      <w:r>
        <w:rPr>
          <w:rFonts w:cs="宋体" w:asciiTheme="minorEastAsia" w:hAnsiTheme="minorEastAsia" w:eastAsiaTheme="minorEastAsia"/>
          <w:b/>
          <w:color w:val="auto"/>
          <w:sz w:val="24"/>
          <w:highlight w:val="none"/>
        </w:rPr>
        <w:t xml:space="preserve">5、招标文件的约束力</w:t>
      </w:r>
      <w:bookmarkEnd w:id="78"/>
      <w:r/>
      <w:bookmarkEnd w:id="79"/>
      <w:r/>
      <w:bookmarkEnd w:id="8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5.1 投标人一旦参加本项目采购活动，即被认为接受了本招标文件的规定和约束。</w:t>
      </w:r>
      <w:r/>
    </w:p>
    <w:p>
      <w:pPr>
        <w:ind w:firstLine="482"/>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81" w:name="_Toc194500867"/>
      <w:r/>
      <w:bookmarkStart w:id="82" w:name="_Toc3694"/>
      <w:r/>
      <w:bookmarkStart w:id="83" w:name="_Toc27271"/>
      <w:r/>
      <w:bookmarkStart w:id="84" w:name="_Toc30915"/>
      <w:r/>
      <w:bookmarkStart w:id="85" w:name="_Toc21860"/>
      <w:r>
        <w:rPr>
          <w:rFonts w:cs="宋体" w:asciiTheme="minorEastAsia" w:hAnsiTheme="minorEastAsia" w:eastAsiaTheme="minorEastAsia"/>
          <w:b/>
          <w:color w:val="auto"/>
          <w:sz w:val="24"/>
          <w:highlight w:val="none"/>
        </w:rPr>
        <w:t xml:space="preserve">二、招标文件</w:t>
      </w:r>
      <w:bookmarkEnd w:id="81"/>
      <w:r/>
      <w:bookmarkEnd w:id="82"/>
      <w:r/>
      <w:bookmarkEnd w:id="83"/>
      <w:r/>
      <w:bookmarkEnd w:id="84"/>
      <w:r/>
      <w:bookmarkEnd w:id="85"/>
      <w:r/>
      <w:r/>
    </w:p>
    <w:p>
      <w:pPr>
        <w:ind w:firstLine="482"/>
        <w:spacing w:before="161"/>
        <w:rPr>
          <w:rFonts w:asciiTheme="minorEastAsia" w:hAnsiTheme="minorEastAsia" w:eastAsiaTheme="minorEastAsia"/>
          <w:color w:val="auto"/>
          <w:highlight w:val="none"/>
        </w:rPr>
        <w:outlineLvl w:val="2"/>
      </w:pPr>
      <w:r/>
      <w:bookmarkStart w:id="86" w:name="_Toc26765"/>
      <w:r/>
      <w:bookmarkStart w:id="87" w:name="_Toc5990"/>
      <w:r/>
      <w:bookmarkStart w:id="88" w:name="_Toc10458"/>
      <w:r>
        <w:rPr>
          <w:rFonts w:cs="宋体" w:asciiTheme="minorEastAsia" w:hAnsiTheme="minorEastAsia" w:eastAsiaTheme="minorEastAsia"/>
          <w:b/>
          <w:color w:val="auto"/>
          <w:sz w:val="24"/>
          <w:highlight w:val="none"/>
        </w:rPr>
        <w:t xml:space="preserve">6、招标文件构成</w:t>
      </w:r>
      <w:bookmarkEnd w:id="86"/>
      <w:r/>
      <w:bookmarkEnd w:id="87"/>
      <w:r/>
      <w:bookmarkEnd w:id="8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6.1 招标文件由以下部分组成：</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（1）投标邀请</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（2）投标人须知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（3）合同文本</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（4）采购需求</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（5）评标方法与评标标准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（6）投标文件格式</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请仔细检查招标文件是否齐全，如有缺漏请立即与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联系解决。</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color w:val="auto"/>
          <w:highlight w:val="none"/>
        </w:rPr>
        <w:outlineLvl w:val="2"/>
      </w:pPr>
      <w:r/>
      <w:bookmarkStart w:id="89" w:name="_Toc24610"/>
      <w:r/>
      <w:bookmarkStart w:id="90" w:name="_Toc9569"/>
      <w:r/>
      <w:bookmarkStart w:id="91" w:name="_Toc25540"/>
      <w:r>
        <w:rPr>
          <w:rFonts w:cs="宋体" w:asciiTheme="minorEastAsia" w:hAnsiTheme="minorEastAsia" w:eastAsiaTheme="minorEastAsia"/>
          <w:b/>
          <w:color w:val="auto"/>
          <w:sz w:val="24"/>
          <w:highlight w:val="none"/>
        </w:rPr>
        <w:t xml:space="preserve">7、招标文件的澄清</w:t>
      </w:r>
      <w:bookmarkEnd w:id="89"/>
      <w:r/>
      <w:bookmarkEnd w:id="90"/>
      <w:r/>
      <w:bookmarkEnd w:id="9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7.1 任何要求对招标文件进行澄清的投标人，应在投标截止期十日前按招标公告中的通讯地址，以书面形式通知</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w:t>
      </w:r>
      <w:r/>
    </w:p>
    <w:p>
      <w:pPr>
        <w:ind w:firstLine="482"/>
        <w:spacing w:before="161"/>
        <w:rPr>
          <w:rFonts w:asciiTheme="minorEastAsia" w:hAnsiTheme="minorEastAsia" w:eastAsiaTheme="minorEastAsia"/>
          <w:color w:val="auto"/>
          <w:highlight w:val="none"/>
        </w:rPr>
        <w:outlineLvl w:val="2"/>
      </w:pPr>
      <w:r/>
      <w:bookmarkStart w:id="92" w:name="_Toc1972"/>
      <w:r/>
      <w:bookmarkStart w:id="93" w:name="_Toc19126"/>
      <w:r/>
      <w:bookmarkStart w:id="94" w:name="_Toc7163"/>
      <w:r>
        <w:rPr>
          <w:rFonts w:cs="宋体" w:asciiTheme="minorEastAsia" w:hAnsiTheme="minorEastAsia" w:eastAsiaTheme="minorEastAsia"/>
          <w:b/>
          <w:color w:val="auto"/>
          <w:sz w:val="24"/>
          <w:highlight w:val="none"/>
        </w:rPr>
        <w:t xml:space="preserve">8、招标文件的修改</w:t>
      </w:r>
      <w:bookmarkEnd w:id="92"/>
      <w:r/>
      <w:bookmarkEnd w:id="93"/>
      <w:r/>
      <w:bookmarkEnd w:id="9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8.1 在投标截止时间前，</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可以对招标文件进行修改。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有权按照法定的要求推迟投标截止日期和开标日期。</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outlineLvl w:val="1"/>
      </w:pPr>
      <w:r/>
      <w:bookmarkStart w:id="95" w:name="_Toc15833"/>
      <w:r/>
      <w:bookmarkStart w:id="96" w:name="_Toc17821"/>
      <w:r/>
      <w:bookmarkStart w:id="97" w:name="_Toc194500868"/>
      <w:r/>
      <w:bookmarkStart w:id="98" w:name="_Toc24051"/>
      <w:r/>
      <w:bookmarkStart w:id="99" w:name="_Toc1447"/>
      <w:r>
        <w:rPr>
          <w:rFonts w:cs="宋体" w:asciiTheme="minorEastAsia" w:hAnsiTheme="minorEastAsia" w:eastAsiaTheme="minorEastAsia"/>
          <w:b/>
          <w:color w:val="auto"/>
          <w:sz w:val="24"/>
          <w:highlight w:val="none"/>
        </w:rPr>
        <w:t xml:space="preserve">三、投标文件的编制</w:t>
      </w:r>
      <w:bookmarkEnd w:id="95"/>
      <w:r/>
      <w:bookmarkEnd w:id="96"/>
      <w:r/>
      <w:bookmarkEnd w:id="97"/>
      <w:r/>
      <w:bookmarkEnd w:id="98"/>
      <w:r/>
      <w:bookmarkEnd w:id="99"/>
      <w:r/>
      <w:r/>
    </w:p>
    <w:p>
      <w:pPr>
        <w:ind w:firstLine="482"/>
        <w:spacing w:before="161"/>
        <w:rPr>
          <w:rFonts w:asciiTheme="minorEastAsia" w:hAnsiTheme="minorEastAsia" w:eastAsiaTheme="minorEastAsia"/>
          <w:color w:val="auto"/>
          <w:highlight w:val="none"/>
        </w:rPr>
        <w:outlineLvl w:val="2"/>
      </w:pPr>
      <w:r/>
      <w:bookmarkStart w:id="100" w:name="_Toc24489"/>
      <w:r/>
      <w:bookmarkStart w:id="101" w:name="_Toc55"/>
      <w:r/>
      <w:bookmarkStart w:id="102" w:name="_Toc8441"/>
      <w:r>
        <w:rPr>
          <w:rFonts w:cs="宋体" w:asciiTheme="minorEastAsia" w:hAnsiTheme="minorEastAsia" w:eastAsiaTheme="minorEastAsia"/>
          <w:b/>
          <w:color w:val="auto"/>
          <w:sz w:val="24"/>
          <w:highlight w:val="none"/>
        </w:rPr>
        <w:t xml:space="preserve">9、投标文件的语言及度量衡单位</w:t>
      </w:r>
      <w:bookmarkEnd w:id="100"/>
      <w:r/>
      <w:bookmarkEnd w:id="101"/>
      <w:r/>
      <w:bookmarkEnd w:id="102"/>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9.1 投标人提交的投标文件以及投标人与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就有关投标的所有来往通知、函件和文件均应使用</w:t>
      </w:r>
      <w:r>
        <w:rPr>
          <w:rFonts w:cs="宋体" w:asciiTheme="minorEastAsia" w:hAnsiTheme="minorEastAsia" w:eastAsiaTheme="minorEastAsia"/>
          <w:b/>
          <w:color w:val="auto"/>
          <w:sz w:val="24"/>
          <w:highlight w:val="none"/>
        </w:rPr>
        <w:t xml:space="preserve">简体中文</w:t>
      </w:r>
      <w:r>
        <w:rPr>
          <w:rFonts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color w:val="auto"/>
          <w:highlight w:val="none"/>
        </w:rPr>
        <w:outlineLvl w:val="2"/>
      </w:pPr>
      <w:r/>
      <w:bookmarkStart w:id="103" w:name="_Toc11610"/>
      <w:r/>
      <w:bookmarkStart w:id="104" w:name="_Toc17349"/>
      <w:r/>
      <w:bookmarkStart w:id="105" w:name="_Toc31965"/>
      <w:r>
        <w:rPr>
          <w:rFonts w:cs="宋体" w:asciiTheme="minorEastAsia" w:hAnsiTheme="minorEastAsia" w:eastAsiaTheme="minorEastAsia"/>
          <w:b/>
          <w:color w:val="auto"/>
          <w:sz w:val="24"/>
          <w:highlight w:val="none"/>
        </w:rPr>
        <w:t xml:space="preserve">10、投标文件构成</w:t>
      </w:r>
      <w:bookmarkEnd w:id="103"/>
      <w:r/>
      <w:bookmarkEnd w:id="104"/>
      <w:r/>
      <w:bookmarkEnd w:id="105"/>
      <w:r/>
      <w:r/>
    </w:p>
    <w:p>
      <w:pPr>
        <w:ind w:firstLine="482"/>
        <w:spacing w:before="161"/>
        <w:rPr>
          <w:rFonts w:cs="宋体" w:asciiTheme="minorEastAsia" w:hAnsiTheme="minorEastAsia" w:eastAsiaTheme="minorEastAsia"/>
          <w:color w:val="auto"/>
          <w:sz w:val="24"/>
          <w:highlight w:val="none"/>
        </w:rPr>
        <w:outlineLvl w:val="2"/>
      </w:pPr>
      <w:r/>
      <w:bookmarkStart w:id="106" w:name="_Toc9531"/>
      <w:r/>
      <w:bookmarkStart w:id="107" w:name="_Toc3771"/>
      <w:r/>
      <w:bookmarkStart w:id="108" w:name="_Toc12682"/>
      <w:r>
        <w:rPr>
          <w:rFonts w:hint="eastAsia" w:cs="宋体" w:asciiTheme="minorEastAsia" w:hAnsiTheme="minorEastAsia" w:eastAsiaTheme="minorEastAsia"/>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11、证明投标人及投标标的符合招标文件规定的文件</w:t>
      </w:r>
      <w:bookmarkEnd w:id="106"/>
      <w:r/>
      <w:bookmarkEnd w:id="107"/>
      <w:r/>
      <w:bookmarkEnd w:id="10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11.1投标人应按照招标文件要求提交证明文件，证明其及投标标的符合招标文件规定。</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color w:val="auto"/>
          <w:highlight w:val="none"/>
        </w:rPr>
        <w:outlineLvl w:val="2"/>
      </w:pPr>
      <w:r/>
      <w:bookmarkStart w:id="109" w:name="_Toc9759"/>
      <w:r/>
      <w:bookmarkStart w:id="110" w:name="_Toc2159"/>
      <w:r/>
      <w:bookmarkStart w:id="111" w:name="_Toc620"/>
      <w:r>
        <w:rPr>
          <w:rFonts w:cs="宋体" w:asciiTheme="minorEastAsia" w:hAnsiTheme="minorEastAsia" w:eastAsiaTheme="minorEastAsia"/>
          <w:b/>
          <w:color w:val="auto"/>
          <w:sz w:val="24"/>
          <w:highlight w:val="none"/>
        </w:rPr>
        <w:t xml:space="preserve">12、投标分项报价表</w:t>
      </w:r>
      <w:bookmarkEnd w:id="109"/>
      <w:r/>
      <w:bookmarkEnd w:id="110"/>
      <w:r/>
      <w:bookmarkEnd w:id="11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12.1投标人应按照招标文件规定格式填报投标分项报价表。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color w:val="auto"/>
          <w:sz w:val="24"/>
          <w:highlight w:val="none"/>
        </w:rPr>
        <w:outlineLvl w:val="2"/>
      </w:pPr>
      <w:r/>
      <w:bookmarkStart w:id="112" w:name="_Toc14924"/>
      <w:r/>
      <w:bookmarkStart w:id="113" w:name="_Toc31506"/>
      <w:r/>
      <w:bookmarkStart w:id="114" w:name="_Toc30377"/>
      <w:r>
        <w:rPr>
          <w:rFonts w:cs="宋体" w:asciiTheme="minorEastAsia" w:hAnsiTheme="minorEastAsia" w:eastAsiaTheme="minorEastAsia"/>
          <w:b/>
          <w:color w:val="auto"/>
          <w:sz w:val="24"/>
          <w:highlight w:val="none"/>
        </w:rPr>
        <w:t xml:space="preserve">13、</w:t>
      </w:r>
      <w:bookmarkEnd w:id="112"/>
      <w:r/>
      <w:bookmarkEnd w:id="113"/>
      <w:r/>
      <w:bookmarkEnd w:id="114"/>
      <w:r>
        <w:rPr>
          <w:rFonts w:hint="eastAsia" w:cs="宋体" w:asciiTheme="minorEastAsia" w:hAnsiTheme="minorEastAsia" w:eastAsiaTheme="minorEastAsia"/>
          <w:b/>
          <w:color w:val="auto"/>
          <w:sz w:val="24"/>
          <w:highlight w:val="none"/>
        </w:rPr>
        <w:t xml:space="preserve">技术、商务条款偏离表</w:t>
      </w:r>
      <w:r/>
    </w:p>
    <w:p>
      <w:pPr>
        <w:ind w:firstLine="482"/>
        <w:spacing w:before="161"/>
        <w:rPr>
          <w:rFonts w:cs="宋体" w:asciiTheme="minorEastAsia" w:hAnsiTheme="minorEastAsia" w:eastAsiaTheme="minorEastAsia"/>
          <w:color w:val="auto"/>
          <w:sz w:val="24"/>
          <w:highlight w:val="none"/>
        </w:rPr>
        <w:outlineLvl w:val="2"/>
      </w:pPr>
      <w:r/>
      <w:bookmarkStart w:id="115" w:name="_Toc30054"/>
      <w:r/>
      <w:bookmarkStart w:id="116" w:name="_Toc2687"/>
      <w:r/>
      <w:bookmarkStart w:id="117" w:name="_Toc2012"/>
      <w:r>
        <w:rPr>
          <w:rFonts w:hint="eastAsia" w:cs="宋体" w:asciiTheme="minorEastAsia" w:hAnsiTheme="minorEastAsia" w:eastAsiaTheme="minorEastAsia"/>
          <w:color w:val="auto"/>
          <w:sz w:val="24"/>
          <w:highlight w:val="none"/>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13.2 投标人可在投标文件中提供认为需要的其他技术文件或说明。</w:t>
      </w:r>
      <w:r/>
    </w:p>
    <w:p>
      <w:pPr>
        <w:ind w:firstLine="482"/>
        <w:spacing w:before="161"/>
        <w:rPr>
          <w:rFonts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14、</w:t>
      </w:r>
      <w:bookmarkEnd w:id="115"/>
      <w:r/>
      <w:bookmarkEnd w:id="116"/>
      <w:r/>
      <w:bookmarkEnd w:id="117"/>
      <w:r>
        <w:rPr>
          <w:rFonts w:hint="eastAsia" w:cs="宋体" w:asciiTheme="minorEastAsia" w:hAnsiTheme="minorEastAsia" w:eastAsiaTheme="minorEastAsia"/>
          <w:b/>
          <w:color w:val="auto"/>
          <w:sz w:val="24"/>
          <w:highlight w:val="none"/>
        </w:rPr>
        <w:t xml:space="preserve">服务方案及人员配备等</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14.1投标人需根据招标文件要求提供</w:t>
      </w:r>
      <w:r>
        <w:rPr>
          <w:rFonts w:hint="eastAsia" w:cs="宋体" w:asciiTheme="minorEastAsia" w:hAnsiTheme="minorEastAsia" w:eastAsiaTheme="minorEastAsia"/>
          <w:color w:val="auto"/>
          <w:sz w:val="24"/>
          <w:highlight w:val="none"/>
        </w:rPr>
        <w:t xml:space="preserve">相应方案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14.2投标人需根据招标文件要求提供</w:t>
      </w:r>
      <w:r>
        <w:rPr>
          <w:rFonts w:hint="eastAsia" w:cs="宋体" w:asciiTheme="minorEastAsia" w:hAnsiTheme="minorEastAsia" w:eastAsiaTheme="minorEastAsia"/>
          <w:color w:val="auto"/>
          <w:sz w:val="24"/>
          <w:highlight w:val="none"/>
        </w:rPr>
        <w:t xml:space="preserve">人员配备方案</w:t>
      </w:r>
      <w:r>
        <w:rPr>
          <w:rFonts w:cs="宋体" w:asciiTheme="minorEastAsia" w:hAnsiTheme="minorEastAsia" w:eastAsiaTheme="minorEastAsia"/>
          <w:color w:val="auto"/>
          <w:sz w:val="24"/>
          <w:highlight w:val="none"/>
        </w:rPr>
        <w:t xml:space="preserve">。</w:t>
      </w:r>
      <w:r/>
    </w:p>
    <w:p>
      <w:pPr>
        <w:ind w:firstLine="482"/>
        <w:spacing w:before="161"/>
        <w:rPr>
          <w:rFonts w:asciiTheme="minorEastAsia" w:hAnsiTheme="minorEastAsia" w:eastAsiaTheme="minorEastAsia"/>
          <w:color w:val="auto"/>
          <w:highlight w:val="none"/>
        </w:rPr>
        <w:outlineLvl w:val="2"/>
      </w:pPr>
      <w:r/>
      <w:bookmarkStart w:id="118" w:name="_Toc10014"/>
      <w:r/>
      <w:bookmarkStart w:id="119" w:name="_Toc5756"/>
      <w:r/>
      <w:bookmarkStart w:id="120" w:name="_Toc24671"/>
      <w:r>
        <w:rPr>
          <w:rFonts w:cs="宋体" w:asciiTheme="minorEastAsia" w:hAnsiTheme="minorEastAsia" w:eastAsiaTheme="minorEastAsia"/>
          <w:b/>
          <w:color w:val="auto"/>
          <w:sz w:val="24"/>
          <w:highlight w:val="none"/>
        </w:rPr>
        <w:t xml:space="preserve">15、投标函和开标一览表</w:t>
      </w:r>
      <w:bookmarkEnd w:id="118"/>
      <w:r/>
      <w:bookmarkEnd w:id="119"/>
      <w:r/>
      <w:bookmarkEnd w:id="12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15.1投标人应按照招标文件中提供的格式完整、正确填写投标函、开标一览表。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color w:val="auto"/>
          <w:highlight w:val="none"/>
        </w:rPr>
        <w:outlineLvl w:val="2"/>
      </w:pPr>
      <w:r/>
      <w:bookmarkStart w:id="121" w:name="_Toc16777"/>
      <w:r/>
      <w:bookmarkStart w:id="122" w:name="_Toc997"/>
      <w:r/>
      <w:bookmarkStart w:id="123" w:name="_Toc10636"/>
      <w:r>
        <w:rPr>
          <w:rFonts w:cs="宋体" w:asciiTheme="minorEastAsia" w:hAnsiTheme="minorEastAsia" w:eastAsiaTheme="minorEastAsia"/>
          <w:b/>
          <w:color w:val="auto"/>
          <w:sz w:val="24"/>
          <w:highlight w:val="none"/>
        </w:rPr>
        <w:t xml:space="preserve">16、投标有效期</w:t>
      </w:r>
      <w:bookmarkEnd w:id="121"/>
      <w:r/>
      <w:bookmarkEnd w:id="122"/>
      <w:r/>
      <w:bookmarkEnd w:id="12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16.1投标有效期为开标之日</w:t>
      </w:r>
      <w:r>
        <w:rPr>
          <w:rFonts w:hint="eastAsia" w:cs="宋体" w:asciiTheme="minorEastAsia" w:hAnsiTheme="minorEastAsia" w:eastAsiaTheme="minorEastAsia"/>
          <w:color w:val="auto"/>
          <w:sz w:val="24"/>
          <w:highlight w:val="none"/>
        </w:rPr>
        <w:t xml:space="preserve">起</w:t>
      </w:r>
      <w:r>
        <w:rPr>
          <w:rFonts w:cs="宋体" w:asciiTheme="minorEastAsia" w:hAnsiTheme="minorEastAsia" w:eastAsiaTheme="minorEastAsia"/>
          <w:b/>
          <w:color w:val="auto"/>
          <w:sz w:val="24"/>
          <w:highlight w:val="none"/>
          <w:u w:val="single"/>
        </w:rPr>
        <w:t xml:space="preserve">九十（90）天</w:t>
      </w:r>
      <w:r>
        <w:rPr>
          <w:rFonts w:cs="宋体" w:asciiTheme="minorEastAsia" w:hAnsiTheme="minorEastAsia" w:eastAsiaTheme="minorEastAsia"/>
          <w:color w:val="auto"/>
          <w:sz w:val="24"/>
          <w:highlight w:val="none"/>
        </w:rPr>
        <w:t xml:space="preserve">。投标有效期比规定短的将被视为未实质性响应招标文件而予以拒绝。</w:t>
      </w:r>
      <w:r/>
    </w:p>
    <w:p>
      <w:pPr>
        <w:ind w:firstLine="482"/>
        <w:spacing w:before="161"/>
        <w:rPr>
          <w:rFonts w:asciiTheme="minorEastAsia" w:hAnsiTheme="minorEastAsia" w:eastAsiaTheme="minorEastAsia"/>
          <w:color w:val="auto"/>
          <w:highlight w:val="none"/>
        </w:rPr>
        <w:outlineLvl w:val="2"/>
      </w:pPr>
      <w:r/>
      <w:bookmarkStart w:id="124" w:name="_Toc4897"/>
      <w:r/>
      <w:bookmarkStart w:id="125" w:name="_Toc11883"/>
      <w:r/>
      <w:bookmarkStart w:id="126" w:name="_Toc4091"/>
      <w:r>
        <w:rPr>
          <w:rFonts w:cs="宋体" w:asciiTheme="minorEastAsia" w:hAnsiTheme="minorEastAsia" w:eastAsiaTheme="minorEastAsia"/>
          <w:b/>
          <w:color w:val="auto"/>
          <w:sz w:val="24"/>
          <w:highlight w:val="none"/>
        </w:rPr>
        <w:t xml:space="preserve">17、投标有效期的延长</w:t>
      </w:r>
      <w:bookmarkEnd w:id="124"/>
      <w:r/>
      <w:bookmarkEnd w:id="125"/>
      <w:r/>
      <w:bookmarkEnd w:id="12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17.1在特殊情况下，</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outlineLvl w:val="1"/>
      </w:pPr>
      <w:r/>
      <w:bookmarkStart w:id="127" w:name="_Toc20024"/>
      <w:r/>
      <w:bookmarkStart w:id="128" w:name="_Toc17032"/>
      <w:r/>
      <w:bookmarkStart w:id="129" w:name="_Toc23862"/>
      <w:r/>
      <w:bookmarkStart w:id="130" w:name="_Toc194500869"/>
      <w:r/>
      <w:bookmarkStart w:id="131" w:name="_Toc9926"/>
      <w:r>
        <w:rPr>
          <w:rFonts w:cs="宋体" w:asciiTheme="minorEastAsia" w:hAnsiTheme="minorEastAsia" w:eastAsiaTheme="minorEastAsia"/>
          <w:b/>
          <w:color w:val="auto"/>
          <w:sz w:val="24"/>
          <w:highlight w:val="none"/>
        </w:rPr>
        <w:t xml:space="preserve">四、投标文件的递交</w:t>
      </w:r>
      <w:bookmarkEnd w:id="127"/>
      <w:r/>
      <w:bookmarkEnd w:id="128"/>
      <w:r/>
      <w:bookmarkEnd w:id="129"/>
      <w:r/>
      <w:bookmarkEnd w:id="130"/>
      <w:r/>
      <w:bookmarkEnd w:id="131"/>
      <w:r/>
      <w:r/>
    </w:p>
    <w:p>
      <w:pPr>
        <w:ind w:firstLine="482"/>
        <w:spacing w:before="161"/>
        <w:rPr>
          <w:rFonts w:asciiTheme="minorEastAsia" w:hAnsiTheme="minorEastAsia" w:eastAsiaTheme="minorEastAsia"/>
          <w:color w:val="auto"/>
          <w:highlight w:val="none"/>
        </w:rPr>
        <w:outlineLvl w:val="2"/>
      </w:pPr>
      <w:r/>
      <w:bookmarkStart w:id="132" w:name="_Toc2169"/>
      <w:r/>
      <w:bookmarkStart w:id="133" w:name="_Toc3515"/>
      <w:r/>
      <w:bookmarkStart w:id="134" w:name="_Toc23420"/>
      <w:r>
        <w:rPr>
          <w:rFonts w:cs="宋体" w:asciiTheme="minorEastAsia" w:hAnsiTheme="minorEastAsia" w:eastAsiaTheme="minorEastAsia"/>
          <w:b/>
          <w:color w:val="auto"/>
          <w:sz w:val="24"/>
          <w:highlight w:val="none"/>
        </w:rPr>
        <w:t xml:space="preserve">18、电子投标文件的递交</w:t>
      </w:r>
      <w:bookmarkEnd w:id="132"/>
      <w:r/>
      <w:bookmarkEnd w:id="133"/>
      <w:r/>
      <w:bookmarkEnd w:id="13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18.1投标人应当按照《操作手册》规定，在投标截止时间前制作并上传电子投标文件。</w:t>
      </w:r>
      <w:r/>
    </w:p>
    <w:p>
      <w:pPr>
        <w:ind w:firstLine="482"/>
        <w:spacing w:before="161"/>
        <w:rPr>
          <w:rFonts w:asciiTheme="minorEastAsia" w:hAnsiTheme="minorEastAsia" w:eastAsiaTheme="minorEastAsia"/>
          <w:color w:val="auto"/>
          <w:highlight w:val="none"/>
        </w:rPr>
        <w:outlineLvl w:val="2"/>
      </w:pPr>
      <w:r/>
      <w:bookmarkStart w:id="135" w:name="_Toc15219"/>
      <w:r/>
      <w:bookmarkStart w:id="136" w:name="_Toc5011"/>
      <w:r/>
      <w:bookmarkStart w:id="137" w:name="_Toc12413"/>
      <w:r>
        <w:rPr>
          <w:rFonts w:cs="宋体" w:asciiTheme="minorEastAsia" w:hAnsiTheme="minorEastAsia" w:eastAsiaTheme="minorEastAsia"/>
          <w:b/>
          <w:color w:val="auto"/>
          <w:sz w:val="24"/>
          <w:highlight w:val="none"/>
        </w:rPr>
        <w:t xml:space="preserve">19、投标截止日期</w:t>
      </w:r>
      <w:bookmarkEnd w:id="135"/>
      <w:r/>
      <w:bookmarkEnd w:id="136"/>
      <w:r/>
      <w:bookmarkEnd w:id="137"/>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19.1投标人上传电子投标文件的时间不得迟于招标公告中规定的投标截止时间。</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color w:val="auto"/>
          <w:highlight w:val="none"/>
        </w:rPr>
        <w:outlineLvl w:val="2"/>
      </w:pPr>
      <w:r/>
      <w:bookmarkStart w:id="138" w:name="_Toc7348"/>
      <w:r/>
      <w:bookmarkStart w:id="139" w:name="_Toc2267"/>
      <w:r/>
      <w:bookmarkStart w:id="140" w:name="_Toc14611"/>
      <w:r>
        <w:rPr>
          <w:rFonts w:cs="宋体" w:asciiTheme="minorEastAsia" w:hAnsiTheme="minorEastAsia" w:eastAsiaTheme="minorEastAsia"/>
          <w:b/>
          <w:color w:val="auto"/>
          <w:sz w:val="24"/>
          <w:highlight w:val="none"/>
        </w:rPr>
        <w:t xml:space="preserve">20、投标文件的拒收</w:t>
      </w:r>
      <w:bookmarkEnd w:id="138"/>
      <w:r/>
      <w:bookmarkEnd w:id="139"/>
      <w:r/>
      <w:bookmarkEnd w:id="14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20.1 采购代理机构拒绝接收在其规定的投标截止时间后上传的任何投标文件。</w:t>
      </w:r>
      <w:r/>
    </w:p>
    <w:p>
      <w:pPr>
        <w:ind w:firstLine="482"/>
        <w:spacing w:before="161"/>
        <w:rPr>
          <w:rFonts w:asciiTheme="minorEastAsia" w:hAnsiTheme="minorEastAsia" w:eastAsiaTheme="minorEastAsia"/>
          <w:color w:val="auto"/>
          <w:highlight w:val="none"/>
        </w:rPr>
        <w:outlineLvl w:val="2"/>
      </w:pPr>
      <w:r/>
      <w:bookmarkStart w:id="141" w:name="_Toc27685"/>
      <w:r/>
      <w:bookmarkStart w:id="142" w:name="_Toc5294"/>
      <w:r/>
      <w:bookmarkStart w:id="143" w:name="_Toc11769"/>
      <w:r>
        <w:rPr>
          <w:rFonts w:cs="宋体" w:asciiTheme="minorEastAsia" w:hAnsiTheme="minorEastAsia" w:eastAsiaTheme="minorEastAsia"/>
          <w:b/>
          <w:color w:val="auto"/>
          <w:sz w:val="24"/>
          <w:highlight w:val="none"/>
        </w:rPr>
        <w:t xml:space="preserve">21、投标文件的撤回和修改</w:t>
      </w:r>
      <w:bookmarkEnd w:id="141"/>
      <w:r/>
      <w:bookmarkEnd w:id="142"/>
      <w:r/>
      <w:bookmarkEnd w:id="14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 投标文件的撤回</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21.1.1 电子投标文件的撤回</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投标人可在投标截止时间前，撤回其电子投标文件，具体操作方法见《操作手册》。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21.1.2 投标人撤回电子投标文件，则认为其不再参与本项目投标活动。</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 投标文件的修改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21.2.1投标人可在投标截止时间前，对其电子投标文件进行修改，具体操作方法见《操作手册》。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21.2.2 在投标截止时间之后，投标人不得对其电子投标文件作任何修改。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21.3 在投标截止时间至招标文件中规定的投标有效期满之间的这段时间内，投标人不得撤回其投标。</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144" w:name="_Toc29449"/>
      <w:r/>
      <w:bookmarkStart w:id="145" w:name="_Toc23795"/>
      <w:r/>
      <w:bookmarkStart w:id="146" w:name="_Toc24542"/>
      <w:r/>
      <w:bookmarkStart w:id="147" w:name="_Toc19690"/>
      <w:r/>
      <w:bookmarkStart w:id="148" w:name="_Toc194500870"/>
      <w:r>
        <w:rPr>
          <w:rFonts w:cs="宋体" w:asciiTheme="minorEastAsia" w:hAnsiTheme="minorEastAsia" w:eastAsiaTheme="minorEastAsia"/>
          <w:b/>
          <w:color w:val="auto"/>
          <w:sz w:val="24"/>
          <w:highlight w:val="none"/>
        </w:rPr>
        <w:t xml:space="preserve">五、开标与评标</w:t>
      </w:r>
      <w:bookmarkEnd w:id="144"/>
      <w:r/>
      <w:bookmarkEnd w:id="145"/>
      <w:r/>
      <w:bookmarkEnd w:id="146"/>
      <w:r/>
      <w:bookmarkEnd w:id="147"/>
      <w:r/>
      <w:bookmarkEnd w:id="148"/>
      <w:r/>
      <w:r/>
    </w:p>
    <w:p>
      <w:pPr>
        <w:ind w:firstLine="482"/>
        <w:spacing w:before="161"/>
        <w:rPr>
          <w:rFonts w:asciiTheme="minorEastAsia" w:hAnsiTheme="minorEastAsia" w:eastAsiaTheme="minorEastAsia"/>
          <w:color w:val="auto"/>
          <w:highlight w:val="none"/>
        </w:rPr>
        <w:outlineLvl w:val="2"/>
      </w:pPr>
      <w:r/>
      <w:bookmarkStart w:id="149" w:name="_Toc27136"/>
      <w:r/>
      <w:bookmarkStart w:id="150" w:name="_Toc31936"/>
      <w:r/>
      <w:bookmarkStart w:id="151" w:name="_Toc832"/>
      <w:r>
        <w:rPr>
          <w:rFonts w:cs="宋体" w:asciiTheme="minorEastAsia" w:hAnsiTheme="minorEastAsia" w:eastAsiaTheme="minorEastAsia"/>
          <w:b/>
          <w:color w:val="auto"/>
          <w:sz w:val="24"/>
          <w:highlight w:val="none"/>
        </w:rPr>
        <w:t xml:space="preserve">22、开标</w:t>
      </w:r>
      <w:bookmarkEnd w:id="149"/>
      <w:r/>
      <w:bookmarkEnd w:id="150"/>
      <w:r/>
      <w:bookmarkEnd w:id="15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22.3 投标人在开标过程中涉及到的投标文件解密、开标结果确认等工作，应按照《操作手册》规定执行。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color w:val="auto"/>
          <w:highlight w:val="none"/>
        </w:rPr>
        <w:outlineLvl w:val="2"/>
      </w:pPr>
      <w:r/>
      <w:bookmarkStart w:id="152" w:name="_Toc8566"/>
      <w:r/>
      <w:bookmarkStart w:id="153" w:name="_Toc18519"/>
      <w:r/>
      <w:bookmarkStart w:id="154" w:name="_Toc17534"/>
      <w:r>
        <w:rPr>
          <w:rFonts w:cs="宋体" w:asciiTheme="minorEastAsia" w:hAnsiTheme="minorEastAsia" w:eastAsiaTheme="minorEastAsia"/>
          <w:b/>
          <w:color w:val="auto"/>
          <w:sz w:val="24"/>
          <w:highlight w:val="none"/>
        </w:rPr>
        <w:t xml:space="preserve">23、评标委员会</w:t>
      </w:r>
      <w:bookmarkEnd w:id="152"/>
      <w:r/>
      <w:bookmarkEnd w:id="153"/>
      <w:r/>
      <w:bookmarkEnd w:id="15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23.1开标后，采购代理机构将立即组织评标委员会（以下简称评委会）进行评标。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23.2 评委会由采购人代表和有关技术、经济等方面的专家组成，且人员构成符合政府采购有关规定。</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23.3评委会独立工作，负责评审所有投标文件并确定中标候选人。</w:t>
      </w:r>
      <w:r/>
    </w:p>
    <w:p>
      <w:pPr>
        <w:ind w:firstLine="482"/>
        <w:spacing w:before="161"/>
        <w:rPr>
          <w:rFonts w:asciiTheme="minorEastAsia" w:hAnsiTheme="minorEastAsia" w:eastAsiaTheme="minorEastAsia"/>
          <w:color w:val="auto"/>
          <w:highlight w:val="none"/>
        </w:rPr>
        <w:outlineLvl w:val="2"/>
      </w:pPr>
      <w:r/>
      <w:bookmarkStart w:id="155" w:name="_Toc4363"/>
      <w:r/>
      <w:bookmarkStart w:id="156" w:name="_Toc28337"/>
      <w:r/>
      <w:bookmarkStart w:id="157" w:name="_Toc18807"/>
      <w:r>
        <w:rPr>
          <w:rFonts w:cs="宋体" w:asciiTheme="minorEastAsia" w:hAnsiTheme="minorEastAsia" w:eastAsiaTheme="minorEastAsia"/>
          <w:b/>
          <w:color w:val="auto"/>
          <w:sz w:val="24"/>
          <w:highlight w:val="none"/>
        </w:rPr>
        <w:t xml:space="preserve">24．评标过程的保密与公正</w:t>
      </w:r>
      <w:bookmarkEnd w:id="155"/>
      <w:r/>
      <w:bookmarkEnd w:id="156"/>
      <w:r/>
      <w:bookmarkEnd w:id="157"/>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24.2 在评标过程中，投标人不得以任何行为影响评标过程，否则其投标文件将被作为无效投标文件。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color w:val="auto"/>
          <w:highlight w:val="none"/>
        </w:rPr>
        <w:outlineLvl w:val="2"/>
      </w:pPr>
      <w:r/>
      <w:bookmarkStart w:id="158" w:name="_Toc17272"/>
      <w:r/>
      <w:bookmarkStart w:id="159" w:name="_Toc16416"/>
      <w:r/>
      <w:bookmarkStart w:id="160" w:name="_Toc3225"/>
      <w:r>
        <w:rPr>
          <w:rFonts w:cs="宋体" w:asciiTheme="minorEastAsia" w:hAnsiTheme="minorEastAsia" w:eastAsiaTheme="minorEastAsia"/>
          <w:b/>
          <w:color w:val="auto"/>
          <w:sz w:val="24"/>
          <w:highlight w:val="none"/>
        </w:rPr>
        <w:t xml:space="preserve">25．投标文件的澄清</w:t>
      </w:r>
      <w:bookmarkEnd w:id="158"/>
      <w:r/>
      <w:bookmarkEnd w:id="159"/>
      <w:r/>
      <w:bookmarkEnd w:id="16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投标人的澄清、说明或者补正不得超出投标文件的范围或者改变投标文件的实质性内容。</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评标委员会并非对每个投标人都做澄清要求。</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25.3 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color w:val="auto"/>
          <w:highlight w:val="none"/>
        </w:rPr>
        <w:outlineLvl w:val="2"/>
      </w:pPr>
      <w:r/>
      <w:bookmarkStart w:id="161" w:name="_Toc16586"/>
      <w:r/>
      <w:bookmarkStart w:id="162" w:name="_Toc27739"/>
      <w:r/>
      <w:bookmarkStart w:id="163" w:name="_Toc6592"/>
      <w:r>
        <w:rPr>
          <w:rFonts w:cs="宋体" w:asciiTheme="minorEastAsia" w:hAnsiTheme="minorEastAsia" w:eastAsiaTheme="minorEastAsia"/>
          <w:b/>
          <w:color w:val="auto"/>
          <w:sz w:val="24"/>
          <w:highlight w:val="none"/>
        </w:rPr>
        <w:t xml:space="preserve">26、对投标文件的初审</w:t>
      </w:r>
      <w:bookmarkEnd w:id="161"/>
      <w:r/>
      <w:bookmarkEnd w:id="162"/>
      <w:r/>
      <w:bookmarkEnd w:id="163"/>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 投标文件初审分为资格审查和符合性审查。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（1）投标文件中开标一览表内容与投标文件中相应内容不一致的，以开标一览表为准。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（2）大写金额和小写金额不一致的，以大写金额为准。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（4）总价金额与按单价汇总金额不一致的，以单价金额计算结果为准。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同时出现两种以上错误的，按照前款规定的顺序修正。</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color w:val="auto"/>
          <w:highlight w:val="none"/>
        </w:rPr>
        <w:outlineLvl w:val="2"/>
      </w:pPr>
      <w:r/>
      <w:bookmarkStart w:id="164" w:name="_Toc21676"/>
      <w:r/>
      <w:bookmarkStart w:id="165" w:name="_Toc5175"/>
      <w:r/>
      <w:bookmarkStart w:id="166" w:name="_Toc24173"/>
      <w:r>
        <w:rPr>
          <w:rFonts w:cs="宋体" w:asciiTheme="minorEastAsia" w:hAnsiTheme="minorEastAsia" w:eastAsiaTheme="minorEastAsia"/>
          <w:b/>
          <w:color w:val="auto"/>
          <w:sz w:val="24"/>
          <w:highlight w:val="none"/>
        </w:rPr>
        <w:t xml:space="preserve">27、无效投标条款和废标条款</w:t>
      </w:r>
      <w:bookmarkEnd w:id="164"/>
      <w:r/>
      <w:bookmarkEnd w:id="165"/>
      <w:r/>
      <w:bookmarkEnd w:id="166"/>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 无效投标条款</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27.1.1投标人在苏采云系统规定的时间内未成功解密电子投标文件的。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27.1.2投标人未按照招标文件要求上传电子投标文件的。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27.1.3同一投标人提交两个（含两个）以上不同的投标报价的。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27.1.4投标人不具备招标文件中规定资格要求的。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27.1.5投标人的报价超过了采购预算或最高限价的。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27.1.6未通过符合性审查的。</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27.1.7不符合招标文件中规定的实质性要求和条件的。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27.1.8</w:t>
      </w:r>
      <w:r>
        <w:rPr>
          <w:rFonts w:hint="eastAsia" w:cs="宋体" w:asciiTheme="minorEastAsia" w:hAnsiTheme="minorEastAsia" w:eastAsiaTheme="minorEastAsia"/>
          <w:b/>
          <w:color w:val="auto"/>
          <w:sz w:val="24"/>
          <w:highlight w:val="none"/>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27.1.9投标文件含有采购人不能接受的附加条件的。</w:t>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27.1.10</w:t>
      </w:r>
      <w:r>
        <w:rPr>
          <w:rFonts w:hint="eastAsia" w:cs="宋体" w:asciiTheme="minorEastAsia" w:hAnsiTheme="minorEastAsia" w:eastAsiaTheme="minorEastAsia"/>
          <w:color w:val="auto"/>
          <w:sz w:val="24"/>
          <w:highlight w:val="none"/>
        </w:rPr>
        <w:t xml:space="preserve">评审过程中出现下列情形之一的，评审委员会应当启动异常低价投标（响应）审查程序：</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（3）投标（响应）报价低于采购项目最高限价45%的，即投标（响应）报价＜采购项目最高限价×45%；</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27.1.12投标文件未按照招标文件要求加盖CA电子公章的。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27.1.13其他法律、法规及本招标文件规定的属无效投标的情形。</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27.2废标条款</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27.2.1符合专业条件的供应商或者对招标文件作实质响应的供应商不足三家的。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27.2.2出现影响采购公正的违法、违规行为的。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27.2.3因重大变故，采购任务取消的。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27.2.4评标委员会认定招标文件存在歧义、重大缺陷导致评审工作无法进行。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27.2.5因苏采云系统系统故障原因造成开标不成功的。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27.3投标截止时间结束后参加投标的供应商不足三家的处理：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167" w:name="_Toc194500871"/>
      <w:r/>
      <w:bookmarkStart w:id="168" w:name="_Toc5966"/>
      <w:r/>
      <w:bookmarkStart w:id="169" w:name="_Toc27408"/>
      <w:r/>
      <w:bookmarkStart w:id="170" w:name="_Toc16229"/>
      <w:r/>
      <w:bookmarkStart w:id="171" w:name="_Toc1840"/>
      <w:r>
        <w:rPr>
          <w:rFonts w:cs="宋体" w:asciiTheme="minorEastAsia" w:hAnsiTheme="minorEastAsia" w:eastAsiaTheme="minorEastAsia"/>
          <w:b/>
          <w:color w:val="auto"/>
          <w:sz w:val="24"/>
          <w:highlight w:val="none"/>
        </w:rPr>
        <w:t xml:space="preserve">六、定标</w:t>
      </w:r>
      <w:bookmarkEnd w:id="167"/>
      <w:r/>
      <w:bookmarkEnd w:id="168"/>
      <w:r/>
      <w:bookmarkEnd w:id="169"/>
      <w:r/>
      <w:bookmarkEnd w:id="170"/>
      <w:r/>
      <w:bookmarkEnd w:id="171"/>
      <w:r/>
      <w:r/>
    </w:p>
    <w:p>
      <w:pPr>
        <w:ind w:firstLine="482"/>
        <w:spacing w:before="161"/>
        <w:rPr>
          <w:rFonts w:asciiTheme="minorEastAsia" w:hAnsiTheme="minorEastAsia" w:eastAsiaTheme="minorEastAsia"/>
          <w:color w:val="auto"/>
          <w:highlight w:val="none"/>
        </w:rPr>
        <w:outlineLvl w:val="2"/>
      </w:pPr>
      <w:r/>
      <w:bookmarkStart w:id="172" w:name="_Toc7238"/>
      <w:r/>
      <w:bookmarkStart w:id="173" w:name="_Toc12070"/>
      <w:r/>
      <w:bookmarkStart w:id="174" w:name="_Toc6136"/>
      <w:r>
        <w:rPr>
          <w:rFonts w:cs="宋体" w:asciiTheme="minorEastAsia" w:hAnsiTheme="minorEastAsia" w:eastAsiaTheme="minorEastAsia"/>
          <w:b/>
          <w:color w:val="auto"/>
          <w:sz w:val="24"/>
          <w:highlight w:val="none"/>
        </w:rPr>
        <w:t xml:space="preserve">28、确定中标单位</w:t>
      </w:r>
      <w:bookmarkEnd w:id="172"/>
      <w:r/>
      <w:bookmarkEnd w:id="173"/>
      <w:r/>
      <w:bookmarkEnd w:id="17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28.1中标候选人的选取原则和数量见招标文件第五章规定。 </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28.2 采购人应根据评委会推荐的中标候选人确定中标人。</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28.3 采购代理机构将在“江苏政府采购网”发布中标公告，公告期限为1个工作日。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 若有充分证据证明，中标人出现下列情况之一的，一经查实，将被取消中标资格：</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28.4.1 提供虚假材料谋取中标的。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28.4.2 向采购人、采购代理机构行贿或者提供其他不正当利益的。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28.4.3 属于本文件规定的无效条件，但在评标过程中又未被评委会发现的。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28.4.4 与采购人或者其他供应商恶意串通的。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28.4.5 采取不正当手段诋毁、排挤其他供应商的。</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w:t>
      </w:r>
      <w:r>
        <w:rPr>
          <w:rFonts w:asciiTheme="minorEastAsia" w:hAnsiTheme="minorEastAsia" w:eastAsiaTheme="minorEastAsia"/>
          <w:color w:val="auto"/>
          <w:highlight w:val="none"/>
        </w:rPr>
        <w:t xml:space="preserve"> </w:t>
      </w:r>
      <w:r>
        <w:rPr>
          <w:rFonts w:cs="宋体" w:asciiTheme="minorEastAsia" w:hAnsiTheme="minorEastAsia" w:eastAsiaTheme="minorEastAsia"/>
          <w:color w:val="auto"/>
          <w:sz w:val="24"/>
          <w:highlight w:val="none"/>
        </w:rPr>
        <w:t xml:space="preserve">有下列情形之一的，视为投标人串通投标，投标无效：</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28.5.1 不同投标人的投标文件由同一单位或者个人编制；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28.5.2 不同投标人委托同一单位或者个人办理投标事宜；</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28.5.3 不同投标人的投标文件载明的项目管理成员或者联系人员为同一人；</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28.5.4 不同投标人的投标文件异常一致或者投标报价呈规律性差异；</w:t>
      </w:r>
      <w:r/>
    </w:p>
    <w:p>
      <w:pPr>
        <w:ind w:firstLine="482"/>
        <w:spacing w:before="161"/>
        <w:rPr>
          <w:rFonts w:asciiTheme="minorEastAsia" w:hAnsiTheme="minorEastAsia" w:eastAsiaTheme="minorEastAsia"/>
          <w:color w:val="auto"/>
          <w:highlight w:val="none"/>
        </w:rPr>
        <w:outlineLvl w:val="2"/>
      </w:pPr>
      <w:r/>
      <w:bookmarkStart w:id="175" w:name="_Toc23187"/>
      <w:r/>
      <w:bookmarkStart w:id="176" w:name="_Toc22100"/>
      <w:r/>
      <w:bookmarkStart w:id="177" w:name="_Toc20091"/>
      <w:r>
        <w:rPr>
          <w:rFonts w:cs="宋体" w:asciiTheme="minorEastAsia" w:hAnsiTheme="minorEastAsia" w:eastAsiaTheme="minorEastAsia"/>
          <w:b/>
          <w:color w:val="auto"/>
          <w:sz w:val="24"/>
          <w:highlight w:val="none"/>
        </w:rPr>
        <w:t xml:space="preserve">29、质疑处理</w:t>
      </w:r>
      <w:bookmarkEnd w:id="175"/>
      <w:r/>
      <w:bookmarkEnd w:id="176"/>
      <w:r/>
      <w:bookmarkEnd w:id="177"/>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29.2.1对可以质疑的采购文件提出质疑的，为收到采购文件之日或者采购文件公告期限届满之日；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29.2.2对采购过程提出质疑的，为各采购程序环节结束之日；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29.2.3对中标或者成交结果提出质疑的，为中标或者成交结果公告期限届满之日。</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29.4 供应商（含潜在供应商）对与本项目有关的所有询问、质疑均请向</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提出，由</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负责答复。</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采购代理机构只接收以纸质原件形式送达的质疑,建议供应商尽量通过邮寄方式提交质疑（不接受未填写快递运单的快件）。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采购代理机构质疑接收人：</w:t>
      </w:r>
      <w:r>
        <w:rPr>
          <w:rFonts w:hint="eastAsia" w:cs="宋体" w:asciiTheme="minorEastAsia" w:hAnsiTheme="minorEastAsia" w:eastAsiaTheme="minorEastAsia"/>
          <w:color w:val="auto"/>
          <w:sz w:val="24"/>
          <w:highlight w:val="none"/>
        </w:rPr>
        <w:t xml:space="preserve">朱笑青</w:t>
      </w:r>
      <w:r>
        <w:rPr>
          <w:rFonts w:cs="宋体" w:asciiTheme="minorEastAsia" w:hAnsiTheme="minorEastAsia" w:eastAsiaTheme="minorEastAsia"/>
          <w:color w:val="auto"/>
          <w:sz w:val="24"/>
          <w:highlight w:val="none"/>
        </w:rPr>
        <w:t xml:space="preserve">，联系地址：南京市雨花台区软件大道21号</w:t>
      </w:r>
      <w:r>
        <w:rPr>
          <w:rFonts w:hint="eastAsia" w:cs="宋体" w:asciiTheme="minorEastAsia" w:hAnsiTheme="minorEastAsia" w:eastAsiaTheme="minorEastAsia"/>
          <w:color w:val="auto"/>
          <w:sz w:val="24"/>
          <w:highlight w:val="none"/>
        </w:rPr>
        <w:t xml:space="preserve">苏豪国际广场（北园）</w:t>
      </w:r>
      <w:r>
        <w:rPr>
          <w:rFonts w:cs="宋体" w:asciiTheme="minorEastAsia" w:hAnsiTheme="minorEastAsia" w:eastAsiaTheme="minorEastAsia"/>
          <w:color w:val="auto"/>
          <w:sz w:val="24"/>
          <w:highlight w:val="none"/>
        </w:rPr>
        <w:t xml:space="preserve">C座</w:t>
      </w:r>
      <w:r>
        <w:rPr>
          <w:rFonts w:hint="eastAsia" w:cs="宋体" w:asciiTheme="minorEastAsia" w:hAnsiTheme="minorEastAsia" w:eastAsiaTheme="minorEastAsia"/>
          <w:color w:val="auto"/>
          <w:sz w:val="24"/>
          <w:highlight w:val="none"/>
        </w:rPr>
        <w:t xml:space="preserve">617</w:t>
      </w:r>
      <w:r>
        <w:rPr>
          <w:rFonts w:cs="宋体" w:asciiTheme="minorEastAsia" w:hAnsiTheme="minorEastAsia" w:eastAsiaTheme="minorEastAsia"/>
          <w:color w:val="auto"/>
          <w:sz w:val="24"/>
          <w:highlight w:val="none"/>
        </w:rPr>
        <w:t xml:space="preserve">室，联系电话：025-528759</w:t>
      </w:r>
      <w:r>
        <w:rPr>
          <w:rFonts w:hint="eastAsia" w:cs="宋体" w:asciiTheme="minorEastAsia" w:hAnsiTheme="minorEastAsia" w:eastAsiaTheme="minorEastAsia"/>
          <w:color w:val="auto"/>
          <w:sz w:val="24"/>
          <w:highlight w:val="none"/>
        </w:rPr>
        <w:t xml:space="preserve">75</w:t>
      </w:r>
      <w:r>
        <w:rPr>
          <w:rFonts w:cs="宋体"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 以下情形的质疑不予受理</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29.5.1 内容不符合《政府采购质疑和投诉办法》第十二条规定的质疑。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29.5.2 超出政府采购法定期限的质疑。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29.5.3 以传真、电子邮件等方式递交的非原件形式的质疑。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29.5.4 未参加投标活动的供应商或在投标活动中自身权益未受到损害的供应商所提出的质疑。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29.5.5供应商组成联合体参加投标，联合体中任何一方或多方未按要求签字、盖章、加盖公章的质疑。</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color w:val="auto"/>
          <w:highlight w:val="none"/>
        </w:rPr>
        <w:outlineLvl w:val="2"/>
      </w:pPr>
      <w:r/>
      <w:bookmarkStart w:id="178" w:name="_Toc2273"/>
      <w:r/>
      <w:bookmarkStart w:id="179" w:name="_Toc4655"/>
      <w:r/>
      <w:bookmarkStart w:id="180" w:name="_Toc12870"/>
      <w:r>
        <w:rPr>
          <w:rFonts w:cs="宋体" w:asciiTheme="minorEastAsia" w:hAnsiTheme="minorEastAsia" w:eastAsiaTheme="minorEastAsia"/>
          <w:b/>
          <w:color w:val="auto"/>
          <w:sz w:val="24"/>
          <w:highlight w:val="none"/>
        </w:rPr>
        <w:t xml:space="preserve">30、中标通知书</w:t>
      </w:r>
      <w:bookmarkEnd w:id="178"/>
      <w:r/>
      <w:bookmarkEnd w:id="179"/>
      <w:r/>
      <w:bookmarkEnd w:id="180"/>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asciiTheme="minorEastAsia" w:hAnsiTheme="minorEastAsia" w:eastAsiaTheme="minorEastAsia"/>
          <w:color w:val="auto"/>
          <w:highlight w:val="none"/>
        </w:rPr>
        <w:outlineLvl w:val="1"/>
      </w:pPr>
      <w:r/>
      <w:bookmarkStart w:id="181" w:name="_Toc19341"/>
      <w:r/>
      <w:bookmarkStart w:id="182" w:name="_Toc844"/>
      <w:r/>
      <w:bookmarkStart w:id="183" w:name="_Toc4070"/>
      <w:r/>
      <w:bookmarkStart w:id="184" w:name="_Toc194500872"/>
      <w:r/>
      <w:bookmarkStart w:id="185" w:name="_Toc29831"/>
      <w:r>
        <w:rPr>
          <w:rFonts w:cs="宋体" w:asciiTheme="minorEastAsia" w:hAnsiTheme="minorEastAsia" w:eastAsiaTheme="minorEastAsia"/>
          <w:b/>
          <w:color w:val="auto"/>
          <w:sz w:val="24"/>
          <w:highlight w:val="none"/>
        </w:rPr>
        <w:t xml:space="preserve">七、授予合同</w:t>
      </w:r>
      <w:bookmarkEnd w:id="181"/>
      <w:r/>
      <w:bookmarkEnd w:id="182"/>
      <w:r/>
      <w:bookmarkEnd w:id="183"/>
      <w:r/>
      <w:bookmarkEnd w:id="184"/>
      <w:r/>
      <w:bookmarkEnd w:id="185"/>
      <w:r/>
      <w:r/>
    </w:p>
    <w:p>
      <w:pPr>
        <w:ind w:firstLine="482"/>
        <w:spacing w:before="161"/>
        <w:rPr>
          <w:rFonts w:asciiTheme="minorEastAsia" w:hAnsiTheme="minorEastAsia" w:eastAsiaTheme="minorEastAsia"/>
          <w:color w:val="auto"/>
          <w:highlight w:val="none"/>
        </w:rPr>
        <w:outlineLvl w:val="2"/>
      </w:pPr>
      <w:r/>
      <w:bookmarkStart w:id="186" w:name="_Toc22036"/>
      <w:r/>
      <w:bookmarkStart w:id="187" w:name="_Toc23447"/>
      <w:r/>
      <w:bookmarkStart w:id="188" w:name="_Toc6645"/>
      <w:r>
        <w:rPr>
          <w:rFonts w:cs="宋体" w:asciiTheme="minorEastAsia" w:hAnsiTheme="minorEastAsia" w:eastAsiaTheme="minorEastAsia"/>
          <w:b/>
          <w:color w:val="auto"/>
          <w:sz w:val="24"/>
          <w:highlight w:val="none"/>
        </w:rPr>
        <w:t xml:space="preserve">31. 签订合同</w:t>
      </w:r>
      <w:bookmarkEnd w:id="186"/>
      <w:r/>
      <w:bookmarkEnd w:id="187"/>
      <w:r/>
      <w:bookmarkEnd w:id="188"/>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31.2招标文件、中标人的投标文件及招标过程中有关澄清、承诺文件均应作为合同附件。</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31.3 签订合同后，</w:t>
      </w:r>
      <w:r>
        <w:rPr>
          <w:rFonts w:cs="宋体" w:asciiTheme="minorEastAsia" w:hAnsiTheme="minorEastAsia" w:eastAsiaTheme="minorEastAsia"/>
          <w:b/>
          <w:i/>
          <w:color w:val="auto"/>
          <w:sz w:val="24"/>
          <w:highlight w:val="none"/>
          <w:u w:val="single"/>
        </w:rPr>
        <w:t xml:space="preserve">中标人不得将合同标的进行转包</w:t>
      </w:r>
      <w:r>
        <w:rPr>
          <w:rFonts w:cs="宋体" w:asciiTheme="minorEastAsia" w:hAnsiTheme="minorEastAsia" w:eastAsiaTheme="minorEastAsia"/>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color w:val="auto"/>
          <w:highlight w:val="none"/>
        </w:rPr>
        <w:outlineLvl w:val="2"/>
      </w:pPr>
      <w:r/>
      <w:bookmarkStart w:id="189" w:name="_Toc30929"/>
      <w:r/>
      <w:bookmarkStart w:id="190" w:name="_Toc23130"/>
      <w:r/>
      <w:bookmarkStart w:id="191" w:name="_Toc24477"/>
      <w:r>
        <w:rPr>
          <w:rFonts w:cs="宋体" w:asciiTheme="minorEastAsia" w:hAnsiTheme="minorEastAsia" w:eastAsiaTheme="minorEastAsia"/>
          <w:b/>
          <w:color w:val="auto"/>
          <w:sz w:val="24"/>
          <w:highlight w:val="none"/>
        </w:rPr>
        <w:t xml:space="preserve">32、货物（包含与货物相关的服务）的追加</w:t>
      </w:r>
      <w:bookmarkEnd w:id="189"/>
      <w:r/>
      <w:bookmarkEnd w:id="190"/>
      <w:r/>
      <w:bookmarkEnd w:id="19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color w:val="auto"/>
          <w:highlight w:val="none"/>
        </w:rPr>
        <w:outlineLvl w:val="2"/>
      </w:pPr>
      <w:r/>
      <w:bookmarkStart w:id="192" w:name="_Toc11563"/>
      <w:r/>
      <w:bookmarkStart w:id="193" w:name="_Toc24472"/>
      <w:r/>
      <w:bookmarkStart w:id="194" w:name="_Toc29652"/>
      <w:r>
        <w:rPr>
          <w:rFonts w:cs="宋体" w:asciiTheme="minorEastAsia" w:hAnsiTheme="minorEastAsia" w:eastAsiaTheme="minorEastAsia"/>
          <w:b/>
          <w:color w:val="auto"/>
          <w:sz w:val="24"/>
          <w:highlight w:val="none"/>
        </w:rPr>
        <w:t xml:space="preserve">33、政府采购履约资金扶持政策</w:t>
      </w:r>
      <w:bookmarkEnd w:id="192"/>
      <w:r/>
      <w:bookmarkEnd w:id="193"/>
      <w:r/>
      <w:bookmarkEnd w:id="194"/>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中标供应商可凭政府采购合同办理融资贷款，详情请见江苏政府采购网“政采贷”专栏。</w:t>
      </w:r>
      <w:r/>
    </w:p>
    <w:p>
      <w:pPr>
        <w:ind w:firstLine="420"/>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asciiTheme="minorEastAsia" w:hAnsiTheme="minorEastAsia" w:eastAsiaTheme="minorEastAsia"/>
          <w:color w:val="auto"/>
          <w:highlight w:val="none"/>
        </w:rPr>
        <w:outlineLvl w:val="0"/>
      </w:pPr>
      <w:r/>
      <w:bookmarkStart w:id="195" w:name="_Toc27875"/>
      <w:r/>
      <w:bookmarkStart w:id="196" w:name="_Toc30958"/>
      <w:r/>
      <w:bookmarkStart w:id="197" w:name="_Toc29753"/>
      <w:r/>
      <w:bookmarkStart w:id="198" w:name="_Toc14206"/>
      <w:r/>
      <w:bookmarkStart w:id="199" w:name="_Toc194500873"/>
      <w:r>
        <w:rPr>
          <w:rFonts w:cs="宋体" w:asciiTheme="minorEastAsia" w:hAnsiTheme="minorEastAsia" w:eastAsiaTheme="minorEastAsia"/>
          <w:b/>
          <w:color w:val="auto"/>
          <w:sz w:val="32"/>
          <w:highlight w:val="none"/>
        </w:rPr>
        <w:t xml:space="preserve">第三章  合同文本</w:t>
      </w:r>
      <w:bookmarkEnd w:id="195"/>
      <w:r/>
      <w:bookmarkEnd w:id="196"/>
      <w:r/>
      <w:bookmarkEnd w:id="197"/>
      <w:r/>
      <w:bookmarkEnd w:id="198"/>
      <w:r/>
      <w:bookmarkEnd w:id="199"/>
      <w:r/>
      <w:r/>
    </w:p>
    <w:p>
      <w:pPr>
        <w:ind w:firstLine="420"/>
        <w:jc w:val="left"/>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注：本合同仅为框架性条款，中标后需按招标文件及投标文件情况进行细化，招标文件、投标文件及本条款均作为合同的重要组成部分）</w:t>
      </w:r>
      <w:r/>
    </w:p>
    <w:p>
      <w:pPr>
        <w:rPr>
          <w:color w:val="auto"/>
          <w:highlight w:val="none"/>
        </w:rPr>
      </w:pPr>
      <w:r>
        <w:rPr>
          <w:color w:val="auto"/>
          <w:highlight w:val="none"/>
        </w:rPr>
      </w:r>
      <w:r/>
    </w:p>
    <w:p>
      <w:pPr>
        <w:ind w:firstLine="420"/>
        <w:rPr>
          <w:rFonts w:ascii="宋体" w:hAnsi="宋体"/>
          <w:color w:val="auto"/>
          <w:szCs w:val="21"/>
          <w:highlight w:val="none"/>
          <w:u w:val="single"/>
        </w:rPr>
      </w:pPr>
      <w:r>
        <w:rPr>
          <w:rFonts w:ascii="宋体" w:hAnsi="宋体"/>
          <w:color w:val="auto"/>
          <w:szCs w:val="21"/>
          <w:highlight w:val="none"/>
        </w:rPr>
        <w:t xml:space="preserve">甲方：（买方）</w:t>
      </w:r>
      <w:r>
        <w:rPr>
          <w:rFonts w:hint="eastAsia" w:ascii="宋体" w:hAnsi="宋体"/>
          <w:color w:val="auto"/>
          <w:szCs w:val="21"/>
          <w:highlight w:val="none"/>
          <w:u w:val="single"/>
        </w:rPr>
        <w:t xml:space="preserve">江苏省文学艺术界联合会</w:t>
      </w:r>
      <w:r/>
    </w:p>
    <w:p>
      <w:pPr>
        <w:ind w:firstLine="420"/>
        <w:rPr>
          <w:rFonts w:ascii="宋体" w:hAnsi="宋体"/>
          <w:color w:val="auto"/>
          <w:szCs w:val="21"/>
          <w:highlight w:val="none"/>
        </w:rPr>
      </w:pPr>
      <w:r>
        <w:rPr>
          <w:rFonts w:ascii="宋体" w:hAnsi="宋体"/>
          <w:color w:val="auto"/>
          <w:szCs w:val="21"/>
          <w:highlight w:val="none"/>
        </w:rPr>
        <w:t xml:space="preserve">乙方：（卖方）</w:t>
      </w:r>
      <w:r>
        <w:rPr>
          <w:rFonts w:hint="eastAsia" w:ascii="宋体" w:hAnsi="宋体"/>
          <w:color w:val="auto"/>
          <w:szCs w:val="21"/>
          <w:highlight w:val="none"/>
          <w:u w:val="single"/>
        </w:rPr>
        <w:t xml:space="preserve">本项目的中标供应商</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采购代理机构：</w:t>
      </w:r>
      <w:r>
        <w:rPr>
          <w:rFonts w:hint="eastAsia" w:ascii="宋体" w:hAnsi="宋体"/>
          <w:bCs/>
          <w:color w:val="auto"/>
          <w:szCs w:val="21"/>
          <w:highlight w:val="none"/>
        </w:rPr>
        <w:t xml:space="preserve">江苏苏豪创新科技集团有限公司</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hint="eastAsia" w:ascii="宋体" w:hAnsi="宋体" w:cs="Courier New"/>
          <w:color w:val="auto"/>
          <w:szCs w:val="21"/>
          <w:highlight w:val="none"/>
        </w:rPr>
        <w:t xml:space="preserve">根据《中华人民共和国民法典》以及</w:t>
      </w:r>
      <w:r>
        <w:rPr>
          <w:rFonts w:hint="eastAsia" w:ascii="宋体" w:hAnsi="宋体" w:cs="Courier New"/>
          <w:color w:val="auto"/>
          <w:szCs w:val="21"/>
          <w:highlight w:val="none"/>
          <w:u w:val="single"/>
        </w:rPr>
        <w:t xml:space="preserve">江苏省文联2026-2027年度全媒体宣传战略合作采购项目</w:t>
      </w:r>
      <w:r>
        <w:rPr>
          <w:rFonts w:hint="eastAsia" w:ascii="宋体" w:hAnsi="宋体"/>
          <w:color w:val="auto"/>
          <w:szCs w:val="21"/>
          <w:highlight w:val="none"/>
          <w:u w:val="single"/>
        </w:rPr>
        <w:t xml:space="preserve">（项目编号：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hint="eastAsia" w:ascii="宋体" w:hAnsi="宋体" w:cs="Courier New"/>
          <w:color w:val="auto"/>
          <w:szCs w:val="21"/>
          <w:highlight w:val="none"/>
        </w:rPr>
        <w:t xml:space="preserve">《招标文件》、乙方《投标文件》，遵循平等、自愿、公平和诚实信用等原则</w:t>
      </w:r>
      <w:r>
        <w:rPr>
          <w:rFonts w:hint="eastAsia" w:ascii="宋体" w:hAnsi="宋体"/>
          <w:color w:val="auto"/>
          <w:szCs w:val="21"/>
          <w:highlight w:val="none"/>
        </w:rPr>
        <w:t xml:space="preserve">，</w:t>
      </w:r>
      <w:r>
        <w:rPr>
          <w:rFonts w:hint="eastAsia" w:ascii="宋体" w:hAnsi="宋体" w:cs="Courier New"/>
          <w:color w:val="auto"/>
          <w:szCs w:val="21"/>
          <w:highlight w:val="none"/>
        </w:rPr>
        <w:t xml:space="preserve">甲乙双方同意按下述条款和条件签订本合同，并共同遵守。</w:t>
      </w:r>
      <w:r/>
    </w:p>
    <w:p>
      <w:pPr>
        <w:ind w:firstLine="420"/>
        <w:rPr>
          <w:rFonts w:ascii="宋体" w:hAnsi="宋体"/>
          <w:color w:val="auto"/>
          <w:szCs w:val="21"/>
          <w:highlight w:val="none"/>
        </w:rPr>
      </w:pPr>
      <w:r>
        <w:rPr>
          <w:rFonts w:ascii="宋体" w:hAnsi="宋体"/>
          <w:color w:val="auto"/>
          <w:szCs w:val="21"/>
          <w:highlight w:val="none"/>
        </w:rPr>
      </w:r>
      <w:r/>
    </w:p>
    <w:p>
      <w:pPr>
        <w:numPr>
          <w:ilvl w:val="0"/>
          <w:numId w:val="4"/>
        </w:numPr>
        <w:ind w:firstLine="422"/>
        <w:rPr>
          <w:rFonts w:ascii="宋体" w:hAnsi="宋体"/>
          <w:b/>
          <w:color w:val="auto"/>
          <w:szCs w:val="21"/>
          <w:highlight w:val="none"/>
        </w:rPr>
      </w:pPr>
      <w:r>
        <w:rPr>
          <w:rFonts w:hint="eastAsia" w:ascii="宋体" w:hAnsi="宋体"/>
          <w:b/>
          <w:color w:val="auto"/>
          <w:szCs w:val="21"/>
          <w:highlight w:val="none"/>
        </w:rPr>
        <w:t xml:space="preserve">标的</w:t>
      </w:r>
      <w:r/>
    </w:p>
    <w:tbl>
      <w:tblPr>
        <w:tblStyle w:val="874"/>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0"/>
        <w:gridCol w:w="2091"/>
        <w:gridCol w:w="2091"/>
        <w:gridCol w:w="2091"/>
      </w:tblGrid>
      <w:tr>
        <w:trPr>
          <w:trHeight w:val="249"/>
        </w:trPr>
        <w:tc>
          <w:tcPr>
            <w:tcW w:w="20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服务</w:t>
            </w:r>
            <w:r>
              <w:rPr>
                <w:rFonts w:ascii="宋体" w:hAnsi="宋体"/>
                <w:color w:val="auto"/>
                <w:highlight w:val="none"/>
              </w:rPr>
              <w:t xml:space="preserve">项目名称</w:t>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单价</w:t>
            </w:r>
            <w:r/>
          </w:p>
          <w:p>
            <w:pPr>
              <w:jc w:val="center"/>
              <w:rPr>
                <w:rFonts w:ascii="宋体" w:hAnsi="宋体"/>
                <w:color w:val="auto"/>
                <w:highlight w:val="none"/>
              </w:rPr>
            </w:pPr>
            <w:r>
              <w:rPr>
                <w:rFonts w:hint="eastAsia" w:ascii="宋体" w:hAnsi="宋体"/>
                <w:color w:val="auto"/>
                <w:highlight w:val="none"/>
              </w:rPr>
              <w:t xml:space="preserve">（人民币）</w:t>
            </w:r>
            <w:r/>
          </w:p>
        </w:tc>
        <w:tc>
          <w:tcPr>
            <w:tcW w:w="209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合价</w:t>
            </w:r>
            <w:r/>
          </w:p>
          <w:p>
            <w:pPr>
              <w:jc w:val="center"/>
              <w:rPr>
                <w:rFonts w:ascii="宋体" w:hAnsi="宋体"/>
                <w:color w:val="auto"/>
                <w:highlight w:val="none"/>
              </w:rPr>
            </w:pPr>
            <w:r>
              <w:rPr>
                <w:rFonts w:hint="eastAsia" w:ascii="宋体" w:hAnsi="宋体"/>
                <w:color w:val="auto"/>
                <w:highlight w:val="none"/>
              </w:rPr>
              <w:t xml:space="preserve">（人民币）</w:t>
            </w:r>
            <w:r/>
          </w:p>
        </w:tc>
        <w:tc>
          <w:tcPr>
            <w:tcW w:w="209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备注</w:t>
            </w:r>
            <w:r/>
          </w:p>
        </w:tc>
      </w:tr>
      <w:tr>
        <w:trPr>
          <w:trHeight w:val="249"/>
        </w:trPr>
        <w:tc>
          <w:tcPr>
            <w:tcW w:w="209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249"/>
        </w:trPr>
        <w:tc>
          <w:tcPr>
            <w:tcW w:w="209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09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249"/>
        </w:trPr>
        <w:tc>
          <w:tcPr>
            <w:gridSpan w:val="4"/>
            <w:tcW w:w="8363"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合同总价（含税）：</w:t>
            </w:r>
            <w:r/>
          </w:p>
        </w:tc>
      </w:tr>
    </w:tbl>
    <w:p>
      <w:pPr>
        <w:rPr>
          <w:rFonts w:ascii="宋体" w:hAnsi="宋体"/>
          <w:b/>
          <w:color w:val="auto"/>
          <w:szCs w:val="21"/>
          <w:highlight w:val="none"/>
        </w:rPr>
      </w:pPr>
      <w:r>
        <w:rPr>
          <w:rFonts w:ascii="宋体" w:hAnsi="宋体"/>
          <w:b/>
          <w:color w:val="auto"/>
          <w:szCs w:val="21"/>
          <w:highlight w:val="none"/>
        </w:rPr>
      </w:r>
      <w:r/>
    </w:p>
    <w:p>
      <w:pPr>
        <w:ind w:firstLine="422"/>
        <w:rPr>
          <w:rFonts w:ascii="宋体" w:hAnsi="宋体"/>
          <w:color w:val="auto"/>
          <w:szCs w:val="21"/>
          <w:highlight w:val="none"/>
        </w:rPr>
      </w:pPr>
      <w:r>
        <w:rPr>
          <w:rFonts w:ascii="宋体" w:hAnsi="宋体"/>
          <w:b/>
          <w:color w:val="auto"/>
          <w:szCs w:val="21"/>
          <w:highlight w:val="none"/>
        </w:rPr>
        <w:t xml:space="preserve">二、合同金额</w:t>
      </w:r>
      <w:r/>
    </w:p>
    <w:p>
      <w:pPr>
        <w:ind w:firstLine="420"/>
        <w:rPr>
          <w:rFonts w:ascii="宋体" w:hAnsi="宋体"/>
          <w:color w:val="auto"/>
          <w:szCs w:val="21"/>
          <w:highlight w:val="none"/>
        </w:rPr>
      </w:pPr>
      <w:r>
        <w:rPr>
          <w:rFonts w:hint="eastAsia" w:ascii="宋体" w:hAnsi="宋体"/>
          <w:color w:val="auto"/>
          <w:szCs w:val="21"/>
          <w:highlight w:val="none"/>
        </w:rPr>
        <w:t xml:space="preserve">2.1、合同价</w:t>
      </w:r>
      <w:r>
        <w:rPr>
          <w:rFonts w:ascii="宋体" w:hAnsi="宋体"/>
          <w:color w:val="auto"/>
          <w:szCs w:val="21"/>
          <w:highlight w:val="none"/>
        </w:rPr>
        <w:t xml:space="preserve">金额为（大写）：</w:t>
      </w:r>
      <w:r>
        <w:rPr>
          <w:rFonts w:hint="eastAsia" w:ascii="宋体" w:hAnsi="宋体"/>
          <w:color w:val="auto"/>
          <w:szCs w:val="21"/>
          <w:highlight w:val="none"/>
          <w:u w:val="single"/>
        </w:rPr>
        <w:t xml:space="preserve">XXXX</w:t>
      </w:r>
      <w:r/>
    </w:p>
    <w:p>
      <w:pPr>
        <w:ind w:firstLine="420"/>
        <w:rPr>
          <w:rFonts w:ascii="宋体" w:hAnsi="宋体"/>
          <w:color w:val="auto"/>
          <w:szCs w:val="21"/>
          <w:highlight w:val="none"/>
        </w:rPr>
      </w:pPr>
      <w:r>
        <w:rPr>
          <w:rFonts w:ascii="宋体" w:hAnsi="宋体"/>
          <w:color w:val="auto"/>
          <w:szCs w:val="21"/>
          <w:highlight w:val="none"/>
        </w:rPr>
      </w:r>
      <w:r/>
    </w:p>
    <w:p>
      <w:pPr>
        <w:ind w:firstLine="422"/>
        <w:rPr>
          <w:rFonts w:hint="eastAsia" w:ascii="宋体"/>
          <w:color w:val="auto"/>
          <w:szCs w:val="21"/>
          <w:highlight w:val="none"/>
        </w:rPr>
      </w:pPr>
      <w:r>
        <w:rPr>
          <w:rFonts w:ascii="宋体" w:hAnsi="宋体"/>
          <w:b/>
          <w:color w:val="auto"/>
          <w:szCs w:val="21"/>
          <w:highlight w:val="none"/>
        </w:rPr>
        <w:t xml:space="preserve">三、技术资料</w:t>
      </w:r>
      <w:r>
        <w:rPr>
          <w:rFonts w:hint="eastAsia" w:ascii="宋体" w:hAnsi="宋体"/>
          <w:b/>
          <w:color w:val="auto"/>
          <w:szCs w:val="21"/>
          <w:highlight w:val="none"/>
        </w:rPr>
        <w:t xml:space="preserve">和知识产权</w:t>
      </w:r>
      <w:r/>
    </w:p>
    <w:p>
      <w:pPr>
        <w:ind w:firstLine="420"/>
        <w:rPr>
          <w:rFonts w:ascii="宋体" w:hAnsi="宋体"/>
          <w:color w:val="auto"/>
          <w:szCs w:val="21"/>
          <w:highlight w:val="none"/>
        </w:rPr>
      </w:pPr>
      <w:r>
        <w:rPr>
          <w:rFonts w:hint="eastAsia" w:ascii="宋体" w:hAnsi="宋体"/>
          <w:color w:val="auto"/>
          <w:szCs w:val="21"/>
          <w:highlight w:val="none"/>
        </w:rPr>
        <w:t xml:space="preserve">3.1、乙方应按规定的时间向甲方提供使用的有关技术资料。没有甲方事先同意，乙方不得将由甲方提供的有关合同或任何合同条文或资料提供给与履行本合同无关的任何其他人。即使向履行本合同有关的人员提供，也应注意保密并限于履行合同的必需范围。</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20"/>
        <w:rPr>
          <w:rFonts w:hint="eastAsia"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、乙方按照本合同要求完成的宣传视频、创意、设计以及其他作品的知识产权归双方所有。</w:t>
      </w:r>
      <w:r/>
    </w:p>
    <w:p>
      <w:pPr>
        <w:ind w:firstLine="420"/>
        <w:rPr>
          <w:rFonts w:hint="eastAsia" w:ascii="宋体" w:hAnsi="宋体"/>
          <w:color w:val="auto"/>
          <w:szCs w:val="21"/>
          <w:highlight w:val="none"/>
        </w:rPr>
      </w:pPr>
      <w:r>
        <w:rPr>
          <w:rFonts w:hint="eastAsia" w:ascii="宋体" w:hAnsi="宋体"/>
          <w:color w:val="auto"/>
          <w:szCs w:val="21"/>
          <w:highlight w:val="none"/>
        </w:rPr>
      </w:r>
      <w:r/>
    </w:p>
    <w:p>
      <w:pPr>
        <w:ind w:firstLine="422"/>
        <w:rPr>
          <w:rFonts w:ascii="宋体"/>
          <w:color w:val="auto"/>
          <w:szCs w:val="21"/>
          <w:highlight w:val="none"/>
        </w:rPr>
      </w:pPr>
      <w:r>
        <w:rPr>
          <w:rFonts w:hint="eastAsia" w:ascii="宋体" w:hAnsi="宋体"/>
          <w:b/>
          <w:color w:val="auto"/>
          <w:szCs w:val="21"/>
          <w:highlight w:val="none"/>
        </w:rPr>
        <w:t xml:space="preserve">四</w:t>
      </w:r>
      <w:r>
        <w:rPr>
          <w:rFonts w:ascii="宋体" w:hAnsi="宋体"/>
          <w:b/>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实施</w:t>
      </w:r>
      <w:r>
        <w:rPr>
          <w:rFonts w:hint="eastAsia" w:ascii="宋体" w:hAnsi="宋体"/>
          <w:b/>
          <w:color w:val="auto"/>
          <w:szCs w:val="21"/>
          <w:highlight w:val="none"/>
        </w:rPr>
        <w:t xml:space="preserve">及验收</w:t>
      </w:r>
      <w:r/>
    </w:p>
    <w:p>
      <w:pPr>
        <w:ind w:firstLine="420"/>
        <w:rPr>
          <w:rFonts w:ascii="宋体" w:hAnsi="宋体"/>
          <w:color w:val="auto"/>
          <w:szCs w:val="21"/>
          <w:highlight w:val="none"/>
        </w:rPr>
      </w:pPr>
      <w:r>
        <w:rPr>
          <w:rFonts w:hint="eastAsia" w:ascii="宋体" w:hAnsi="宋体"/>
          <w:color w:val="auto"/>
          <w:szCs w:val="21"/>
          <w:highlight w:val="none"/>
        </w:rPr>
        <w:t xml:space="preserve">4.1、服务期限：自签订合同之日起一年</w:t>
      </w:r>
      <w:r/>
    </w:p>
    <w:p>
      <w:pPr>
        <w:ind w:firstLine="420"/>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w:t>
      </w:r>
      <w:r>
        <w:rPr>
          <w:rFonts w:hint="eastAsia" w:ascii="宋体" w:hAnsi="宋体"/>
          <w:color w:val="auto"/>
          <w:szCs w:val="21"/>
          <w:highlight w:val="none"/>
        </w:rPr>
        <w:t xml:space="preserve">、乙方承诺在项目实施过程中指定固定服务人员，其中至少包含1名项目管理人员、1名编辑人员和2名美术设计人员。所有项目成员不得无故更换，如需更换服务人员，须经甲方同意。</w:t>
      </w:r>
      <w:r/>
    </w:p>
    <w:p>
      <w:pPr>
        <w:rPr>
          <w:rFonts w:ascii="宋体"/>
          <w:color w:val="auto"/>
          <w:szCs w:val="21"/>
          <w:highlight w:val="none"/>
        </w:rPr>
      </w:pPr>
      <w:r>
        <w:rPr>
          <w:rFonts w:ascii="宋体"/>
          <w:color w:val="auto"/>
          <w:szCs w:val="21"/>
          <w:highlight w:val="none"/>
        </w:rPr>
      </w:r>
      <w:r/>
    </w:p>
    <w:p>
      <w:pPr>
        <w:ind w:firstLine="422"/>
        <w:rPr>
          <w:rFonts w:ascii="宋体"/>
          <w:b/>
          <w:color w:val="auto"/>
          <w:szCs w:val="21"/>
          <w:highlight w:val="none"/>
        </w:rPr>
      </w:pPr>
      <w:r>
        <w:rPr>
          <w:rFonts w:hint="eastAsia" w:ascii="宋体" w:hAnsi="宋体"/>
          <w:b/>
          <w:color w:val="auto"/>
          <w:szCs w:val="21"/>
          <w:highlight w:val="none"/>
        </w:rPr>
        <w:t xml:space="preserve">五、保密要求</w:t>
      </w:r>
      <w:r/>
    </w:p>
    <w:p>
      <w:pPr>
        <w:ind w:firstLine="420"/>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乙</w:t>
      </w:r>
      <w:r>
        <w:rPr>
          <w:rFonts w:hint="eastAsia" w:ascii="宋体" w:hAnsi="宋体"/>
          <w:color w:val="auto"/>
          <w:szCs w:val="21"/>
          <w:highlight w:val="none"/>
        </w:rPr>
        <w:t xml:space="preserve">方应保证参与履行服务本项目的服务机构及所有人员，对工作中所涉的需保密数据、保密资料及保密文件等负有保密义务，任何情况不得向第三方泄露。如存在上述情况，将按严重违约行为依法追究乙方相关责任。</w:t>
      </w:r>
      <w:r/>
    </w:p>
    <w:p>
      <w:pPr>
        <w:ind w:firstLine="420"/>
        <w:rPr>
          <w:rFonts w:ascii="宋体"/>
          <w:color w:val="auto"/>
          <w:szCs w:val="21"/>
          <w:highlight w:val="none"/>
        </w:rPr>
      </w:pPr>
      <w:r>
        <w:rPr>
          <w:rFonts w:ascii="宋体"/>
          <w:color w:val="auto"/>
          <w:szCs w:val="21"/>
          <w:highlight w:val="none"/>
        </w:rPr>
      </w:r>
      <w:r/>
    </w:p>
    <w:p>
      <w:pPr>
        <w:ind w:firstLine="422"/>
        <w:rPr>
          <w:rFonts w:ascii="宋体"/>
          <w:b/>
          <w:color w:val="auto"/>
          <w:szCs w:val="21"/>
          <w:highlight w:val="none"/>
        </w:rPr>
      </w:pPr>
      <w:r>
        <w:rPr>
          <w:rFonts w:hint="eastAsia" w:ascii="宋体"/>
          <w:b/>
          <w:color w:val="auto"/>
          <w:szCs w:val="21"/>
          <w:highlight w:val="none"/>
        </w:rPr>
        <w:t xml:space="preserve">六</w:t>
      </w:r>
      <w:r>
        <w:rPr>
          <w:rFonts w:ascii="宋体"/>
          <w:b/>
          <w:color w:val="auto"/>
          <w:szCs w:val="21"/>
          <w:highlight w:val="none"/>
        </w:rPr>
        <w:t xml:space="preserve">、</w:t>
      </w:r>
      <w:r>
        <w:rPr>
          <w:rFonts w:hint="eastAsia" w:ascii="宋体"/>
          <w:b/>
          <w:color w:val="auto"/>
          <w:szCs w:val="21"/>
          <w:highlight w:val="none"/>
        </w:rPr>
        <w:t xml:space="preserve">付款方式</w:t>
      </w:r>
      <w:r/>
    </w:p>
    <w:p>
      <w:pPr>
        <w:ind w:firstLine="420"/>
        <w:rPr>
          <w:rFonts w:hint="eastAsia" w:ascii="宋体" w:hAnsi="宋体"/>
          <w:b w:val="0"/>
          <w:bCs w:val="0"/>
          <w:color w:val="auto"/>
          <w:szCs w:val="21"/>
          <w:highlight w:val="none"/>
          <w:lang w:val="zh-CN"/>
        </w:rPr>
      </w:pPr>
      <w:r>
        <w:rPr>
          <w:rFonts w:ascii="宋体" w:hAnsi="宋体"/>
          <w:color w:val="auto"/>
          <w:szCs w:val="21"/>
          <w:highlight w:val="none"/>
          <w:lang w:val="zh-CN"/>
        </w:rPr>
        <w:t xml:space="preserve">6</w:t>
      </w:r>
      <w:r>
        <w:rPr>
          <w:rFonts w:hint="eastAsia" w:ascii="宋体" w:hAnsi="宋体"/>
          <w:color w:val="auto"/>
          <w:szCs w:val="21"/>
          <w:highlight w:val="none"/>
          <w:lang w:val="zh-CN"/>
        </w:rPr>
        <w:t xml:space="preserve">.1 本项目价款一律通过银行非现金结算（不计利息），汇入乙方账户；每次申请付款前乙方需同</w:t>
      </w:r>
      <w:bookmarkStart w:id="285" w:name="_GoBack"/>
      <w:r>
        <w:rPr>
          <w:rFonts w:hint="eastAsia" w:ascii="宋体" w:hAnsi="宋体"/>
          <w:b w:val="0"/>
          <w:bCs w:val="0"/>
          <w:color w:val="auto"/>
          <w:szCs w:val="21"/>
          <w:highlight w:val="none"/>
          <w:lang w:val="zh-CN"/>
        </w:rPr>
        <w:t xml:space="preserve">时提供甲方财务部门认可的增值税发票。</w:t>
      </w:r>
      <w:r/>
    </w:p>
    <w:p>
      <w:pPr>
        <w:ind w:firstLine="420"/>
        <w:rPr>
          <w:rFonts w:hint="eastAsia" w:ascii="宋体" w:hAnsi="宋体"/>
          <w:b w:val="0"/>
          <w:bCs w:val="0"/>
          <w:color w:val="auto"/>
          <w:szCs w:val="21"/>
          <w:highlight w:val="none"/>
          <w:lang w:val="zh-CN"/>
        </w:rPr>
      </w:pPr>
      <w:r>
        <w:rPr>
          <w:rFonts w:ascii="宋体" w:hAnsi="宋体"/>
          <w:b w:val="0"/>
          <w:bCs w:val="0"/>
          <w:color w:val="auto"/>
          <w:szCs w:val="21"/>
          <w:highlight w:val="none"/>
          <w:lang w:val="zh-CN"/>
        </w:rPr>
        <w:t xml:space="preserve">6</w:t>
      </w:r>
      <w:r>
        <w:rPr>
          <w:rFonts w:hint="eastAsia" w:ascii="宋体" w:hAnsi="宋体"/>
          <w:b w:val="0"/>
          <w:bCs w:val="0"/>
          <w:color w:val="auto"/>
          <w:szCs w:val="21"/>
          <w:highlight w:val="none"/>
          <w:lang w:val="zh-CN"/>
        </w:rPr>
        <w:t xml:space="preserve">.2 合同签订后</w:t>
      </w:r>
      <w:r>
        <w:rPr>
          <w:rFonts w:hint="eastAsia" w:ascii="宋体" w:hAnsi="宋体"/>
          <w:b w:val="0"/>
          <w:bCs w:val="0"/>
          <w:color w:val="auto"/>
          <w:szCs w:val="21"/>
          <w:highlight w:val="none"/>
          <w:lang w:val="en-US" w:eastAsia="zh-CN"/>
        </w:rPr>
        <w:t xml:space="preserve">30日内</w:t>
      </w:r>
      <w:r>
        <w:rPr>
          <w:rFonts w:hint="eastAsia" w:ascii="宋体" w:hAnsi="宋体"/>
          <w:b w:val="0"/>
          <w:bCs w:val="0"/>
          <w:color w:val="auto"/>
          <w:szCs w:val="21"/>
          <w:highlight w:val="none"/>
          <w:lang w:val="zh-CN"/>
        </w:rPr>
        <w:t xml:space="preserve">乙方可向甲方申请预支付合同总价的</w:t>
      </w:r>
      <w:r>
        <w:rPr>
          <w:rFonts w:ascii="宋体" w:hAnsi="宋体"/>
          <w:b w:val="0"/>
          <w:bCs w:val="0"/>
          <w:color w:val="auto"/>
          <w:szCs w:val="21"/>
          <w:highlight w:val="none"/>
          <w:lang w:val="zh-CN"/>
        </w:rPr>
        <w:t xml:space="preserve">30</w:t>
      </w:r>
      <w:r>
        <w:rPr>
          <w:rFonts w:hint="eastAsia" w:ascii="宋体" w:hAnsi="宋体"/>
          <w:b w:val="0"/>
          <w:bCs w:val="0"/>
          <w:color w:val="auto"/>
          <w:szCs w:val="21"/>
          <w:highlight w:val="none"/>
          <w:lang w:val="zh-CN"/>
        </w:rPr>
        <w:t xml:space="preserve">%，本项目按季度付款，每季度末付合同总价款的</w:t>
      </w:r>
      <w:r>
        <w:rPr>
          <w:rFonts w:ascii="宋体" w:hAnsi="宋体"/>
          <w:b w:val="0"/>
          <w:bCs w:val="0"/>
          <w:color w:val="auto"/>
          <w:szCs w:val="21"/>
          <w:highlight w:val="none"/>
          <w:lang w:val="zh-CN"/>
        </w:rPr>
        <w:t xml:space="preserve">30</w:t>
      </w:r>
      <w:r>
        <w:rPr>
          <w:rFonts w:hint="eastAsia" w:ascii="宋体" w:hAnsi="宋体"/>
          <w:b w:val="0"/>
          <w:bCs w:val="0"/>
          <w:color w:val="auto"/>
          <w:szCs w:val="21"/>
          <w:highlight w:val="none"/>
          <w:lang w:val="zh-CN"/>
        </w:rPr>
        <w:t xml:space="preserve">%，于2</w:t>
      </w:r>
      <w:r>
        <w:rPr>
          <w:rFonts w:ascii="宋体" w:hAnsi="宋体"/>
          <w:b w:val="0"/>
          <w:bCs w:val="0"/>
          <w:color w:val="auto"/>
          <w:szCs w:val="21"/>
          <w:highlight w:val="none"/>
          <w:lang w:val="zh-CN"/>
        </w:rPr>
        <w:t xml:space="preserve">02</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lang w:val="zh-CN"/>
        </w:rPr>
        <w:t xml:space="preserve">年1</w:t>
      </w:r>
      <w:r>
        <w:rPr>
          <w:rFonts w:ascii="宋体" w:hAnsi="宋体"/>
          <w:b w:val="0"/>
          <w:bCs w:val="0"/>
          <w:color w:val="auto"/>
          <w:szCs w:val="21"/>
          <w:highlight w:val="none"/>
          <w:lang w:val="zh-CN"/>
        </w:rPr>
        <w:t xml:space="preserve">2</w:t>
      </w:r>
      <w:r>
        <w:rPr>
          <w:rFonts w:hint="eastAsia" w:ascii="宋体" w:hAnsi="宋体"/>
          <w:b w:val="0"/>
          <w:bCs w:val="0"/>
          <w:color w:val="auto"/>
          <w:szCs w:val="21"/>
          <w:highlight w:val="none"/>
          <w:lang w:val="zh-CN"/>
        </w:rPr>
        <w:t xml:space="preserve">月3</w:t>
      </w:r>
      <w:r>
        <w:rPr>
          <w:rFonts w:ascii="宋体" w:hAnsi="宋体"/>
          <w:b w:val="0"/>
          <w:bCs w:val="0"/>
          <w:color w:val="auto"/>
          <w:szCs w:val="21"/>
          <w:highlight w:val="none"/>
          <w:lang w:val="zh-CN"/>
        </w:rPr>
        <w:t xml:space="preserve">1</w:t>
      </w:r>
      <w:r>
        <w:rPr>
          <w:rFonts w:hint="eastAsia" w:ascii="宋体" w:hAnsi="宋体"/>
          <w:b w:val="0"/>
          <w:bCs w:val="0"/>
          <w:color w:val="auto"/>
          <w:szCs w:val="21"/>
          <w:highlight w:val="none"/>
          <w:lang w:val="zh-CN"/>
        </w:rPr>
        <w:t xml:space="preserve">日之前付款至总合同</w:t>
      </w:r>
      <w:r>
        <w:rPr>
          <w:rFonts w:hint="eastAsia" w:ascii="宋体" w:hAnsi="宋体"/>
          <w:b w:val="0"/>
          <w:bCs w:val="0"/>
          <w:color w:val="auto"/>
          <w:szCs w:val="21"/>
          <w:highlight w:val="none"/>
          <w:lang w:val="en-US" w:eastAsia="zh-CN"/>
        </w:rPr>
        <w:t xml:space="preserve">总价</w:t>
      </w:r>
      <w:r>
        <w:rPr>
          <w:rFonts w:hint="eastAsia" w:ascii="宋体" w:hAnsi="宋体"/>
          <w:b w:val="0"/>
          <w:bCs w:val="0"/>
          <w:color w:val="auto"/>
          <w:szCs w:val="21"/>
          <w:highlight w:val="none"/>
          <w:lang w:val="zh-CN"/>
        </w:rPr>
        <w:t xml:space="preserve">的9</w:t>
      </w:r>
      <w:r>
        <w:rPr>
          <w:rFonts w:ascii="宋体" w:hAnsi="宋体"/>
          <w:b w:val="0"/>
          <w:bCs w:val="0"/>
          <w:color w:val="auto"/>
          <w:szCs w:val="21"/>
          <w:highlight w:val="none"/>
          <w:lang w:val="zh-CN"/>
        </w:rPr>
        <w:t xml:space="preserve">0%</w:t>
      </w:r>
      <w:r>
        <w:rPr>
          <w:rFonts w:hint="eastAsia" w:ascii="宋体" w:hAnsi="宋体"/>
          <w:b w:val="0"/>
          <w:bCs w:val="0"/>
          <w:color w:val="auto"/>
          <w:szCs w:val="21"/>
          <w:highlight w:val="none"/>
          <w:lang w:val="zh-CN"/>
        </w:rPr>
        <w:t xml:space="preserve">。余款待项目服务期满、绩效考核</w:t>
      </w:r>
      <w:r>
        <w:rPr>
          <w:rFonts w:hint="eastAsia" w:ascii="宋体" w:hAnsi="宋体"/>
          <w:b w:val="0"/>
          <w:bCs w:val="0"/>
          <w:color w:val="auto"/>
          <w:szCs w:val="21"/>
          <w:highlight w:val="none"/>
          <w:lang w:val="en-US" w:eastAsia="zh-CN"/>
        </w:rPr>
        <w:t xml:space="preserve">验收</w:t>
      </w:r>
      <w:r>
        <w:rPr>
          <w:rFonts w:hint="eastAsia" w:ascii="宋体" w:hAnsi="宋体"/>
          <w:b w:val="0"/>
          <w:bCs w:val="0"/>
          <w:color w:val="auto"/>
          <w:szCs w:val="21"/>
          <w:highlight w:val="none"/>
          <w:lang w:val="zh-CN"/>
        </w:rPr>
        <w:t xml:space="preserve">完成后一次性付清。（</w:t>
      </w:r>
      <w:r>
        <w:rPr>
          <w:rFonts w:hint="eastAsia" w:ascii="宋体" w:hAnsi="宋体"/>
          <w:b w:val="0"/>
          <w:bCs w:val="0"/>
          <w:color w:val="auto"/>
          <w:szCs w:val="21"/>
          <w:highlight w:val="none"/>
          <w:lang w:val="en-US" w:eastAsia="zh-CN"/>
        </w:rPr>
        <w:t xml:space="preserve">如中小微企业中标，则根据《保障中小企业款项支付条例》中的规定付款</w:t>
      </w:r>
      <w:r>
        <w:rPr>
          <w:rFonts w:hint="eastAsia" w:ascii="宋体" w:hAnsi="宋体"/>
          <w:b w:val="0"/>
          <w:bCs w:val="0"/>
          <w:color w:val="auto"/>
          <w:szCs w:val="21"/>
          <w:highlight w:val="none"/>
          <w:lang w:val="zh-CN"/>
        </w:rPr>
        <w:t xml:space="preserve">）</w:t>
      </w:r>
      <w:bookmarkEnd w:id="285"/>
      <w:r/>
    </w:p>
    <w:p>
      <w:pPr>
        <w:ind w:firstLine="420"/>
        <w:rPr>
          <w:rFonts w:hint="eastAsia" w:ascii="宋体" w:hAnsi="宋体"/>
          <w:color w:val="auto"/>
          <w:szCs w:val="21"/>
          <w:highlight w:val="none"/>
          <w:lang w:val="zh-CN"/>
        </w:rPr>
      </w:pPr>
      <w:r>
        <w:rPr>
          <w:rFonts w:hint="eastAsia" w:ascii="宋体" w:hAnsi="宋体"/>
          <w:color w:val="auto"/>
          <w:szCs w:val="21"/>
          <w:highlight w:val="none"/>
          <w:lang w:val="zh-CN"/>
        </w:rPr>
        <w:t xml:space="preserve">注：本项目绩效考核金为合同总价的10%；绩效考核金经甲方按照合同“附件一：验收评分标准”考核确定，项目最终结算价款=合同总价-绩效考核扣款。</w:t>
      </w:r>
      <w:r/>
    </w:p>
    <w:p>
      <w:pPr>
        <w:ind w:firstLine="422"/>
        <w:rPr>
          <w:rFonts w:ascii="宋体"/>
          <w:b/>
          <w:color w:val="auto"/>
          <w:szCs w:val="21"/>
          <w:highlight w:val="none"/>
        </w:rPr>
      </w:pPr>
      <w:r>
        <w:rPr>
          <w:rFonts w:ascii="宋体"/>
          <w:b/>
          <w:color w:val="auto"/>
          <w:szCs w:val="21"/>
          <w:highlight w:val="none"/>
        </w:rPr>
      </w:r>
      <w:r/>
    </w:p>
    <w:p>
      <w:pPr>
        <w:ind w:firstLine="422"/>
        <w:rPr>
          <w:rFonts w:ascii="宋体"/>
          <w:b/>
          <w:color w:val="auto"/>
          <w:szCs w:val="21"/>
          <w:highlight w:val="none"/>
        </w:rPr>
      </w:pPr>
      <w:r>
        <w:rPr>
          <w:rFonts w:hint="eastAsia" w:ascii="宋体"/>
          <w:b/>
          <w:color w:val="auto"/>
          <w:szCs w:val="21"/>
          <w:highlight w:val="none"/>
        </w:rPr>
        <w:t xml:space="preserve">七、乙方的责任与义务</w:t>
      </w:r>
      <w:r/>
    </w:p>
    <w:p>
      <w:pPr>
        <w:ind w:firstLine="420"/>
        <w:rPr>
          <w:rFonts w:hint="eastAsia" w:ascii="宋体" w:hAnsi="宋体"/>
          <w:color w:val="auto"/>
          <w:szCs w:val="21"/>
          <w:highlight w:val="none"/>
          <w:lang w:val="zh-CN"/>
        </w:rPr>
      </w:pP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.1 乙方拥有甲方官方微信号、视频号代运营服务的权利，服务过程中需严格遵守《中华人民共和国广告法》及相关法律法规的要求。</w:t>
      </w:r>
      <w:r/>
    </w:p>
    <w:p>
      <w:pPr>
        <w:ind w:firstLine="420"/>
        <w:rPr>
          <w:rFonts w:hint="eastAsia" w:ascii="宋体" w:hAnsi="宋体"/>
          <w:color w:val="auto"/>
          <w:szCs w:val="21"/>
          <w:highlight w:val="none"/>
          <w:lang w:val="zh-CN"/>
        </w:rPr>
      </w:pP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.2 乙方必须按服务内容及标准向甲方提供服务，帮助甲方实现合同预定的目标，公正地维护各方的合法权益，并配合甲方定期审核。</w:t>
      </w:r>
      <w:r/>
    </w:p>
    <w:p>
      <w:pPr>
        <w:ind w:firstLine="420"/>
        <w:rPr>
          <w:rFonts w:hint="eastAsia" w:ascii="宋体" w:hAnsi="宋体"/>
          <w:color w:val="auto"/>
          <w:szCs w:val="21"/>
          <w:highlight w:val="none"/>
          <w:lang w:val="zh-CN"/>
        </w:rPr>
      </w:pP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.3 乙方保证具有并保持提供本合同项下服务所必须具备的资源。</w:t>
      </w:r>
      <w:r/>
    </w:p>
    <w:p>
      <w:pPr>
        <w:ind w:firstLine="420"/>
        <w:rPr>
          <w:rFonts w:hint="eastAsia" w:ascii="宋体" w:hAnsi="宋体"/>
          <w:color w:val="auto"/>
          <w:szCs w:val="21"/>
          <w:highlight w:val="none"/>
          <w:lang w:val="zh-CN"/>
        </w:rPr>
      </w:pP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.4 合同执行期间，乙方应设立项目实施小组，完成合同约定的服务工作。</w:t>
      </w:r>
      <w:r/>
    </w:p>
    <w:p>
      <w:pPr>
        <w:ind w:firstLine="420"/>
        <w:rPr>
          <w:rFonts w:hint="eastAsia" w:ascii="宋体" w:hAnsi="宋体"/>
          <w:color w:val="auto"/>
          <w:szCs w:val="21"/>
          <w:highlight w:val="none"/>
          <w:lang w:val="zh-CN"/>
        </w:rPr>
      </w:pP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.5 在项目涉及的所有专业领域，乙方需以与其水平相适应的最优的知识和能力履行本合同；乙方需保证其人员应用其全部技能、克勤克勉执行合同，且其人员具有有效履行其被授予职责的能力。</w:t>
      </w:r>
      <w:r/>
    </w:p>
    <w:p>
      <w:pPr>
        <w:ind w:firstLine="420"/>
        <w:rPr>
          <w:rFonts w:ascii="宋体" w:hAnsi="宋体"/>
          <w:color w:val="auto"/>
          <w:szCs w:val="21"/>
          <w:highlight w:val="none"/>
          <w:lang w:val="zh-CN"/>
        </w:rPr>
      </w:pP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.6 乙方人员在本合同项目中，对服务进度进行有效控制，如甲方有明确的意见，乙方人员应及时做出反馈，如双方有不同意见可经过合理协商后解决。</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7.7.</w:t>
      </w:r>
      <w:r>
        <w:rPr>
          <w:rFonts w:hint="eastAsia" w:ascii="宋体" w:hAnsi="宋体"/>
          <w:color w:val="auto"/>
          <w:szCs w:val="21"/>
          <w:highlight w:val="none"/>
        </w:rPr>
        <w:t xml:space="preserve">乙方按照招标文件的要求，确定是否可以转包、分包；</w:t>
      </w:r>
      <w:r/>
    </w:p>
    <w:p>
      <w:pPr>
        <w:ind w:firstLine="420"/>
        <w:rPr>
          <w:rFonts w:hint="eastAsia" w:ascii="宋体"/>
          <w:color w:val="auto"/>
          <w:szCs w:val="21"/>
          <w:highlight w:val="none"/>
        </w:rPr>
      </w:pPr>
      <w:r>
        <w:rPr>
          <w:rFonts w:ascii="宋体" w:hAnsi="宋体"/>
          <w:color w:val="auto"/>
          <w:szCs w:val="21"/>
          <w:highlight w:val="none"/>
        </w:rPr>
        <w:t xml:space="preserve">7.8.</w:t>
      </w:r>
      <w:r>
        <w:rPr>
          <w:rFonts w:hint="eastAsia" w:ascii="宋体" w:hAnsi="宋体"/>
          <w:color w:val="auto"/>
          <w:szCs w:val="21"/>
          <w:highlight w:val="none"/>
        </w:rPr>
        <w:t xml:space="preserve">如招标文件允许乙方转包、分包，乙方不得分包给参加同一采购项目的投标人（公开招标的称呼）\供应商（磋商方式的称呼），否则按违约处理。</w:t>
      </w:r>
      <w:r/>
    </w:p>
    <w:p>
      <w:pPr>
        <w:ind w:firstLine="422"/>
        <w:rPr>
          <w:rFonts w:ascii="宋体" w:hAnsi="宋体"/>
          <w:b/>
          <w:color w:val="auto"/>
          <w:szCs w:val="21"/>
          <w:highlight w:val="none"/>
        </w:rPr>
      </w:pPr>
      <w:r>
        <w:rPr>
          <w:rFonts w:ascii="宋体" w:hAnsi="宋体"/>
          <w:b/>
          <w:color w:val="auto"/>
          <w:szCs w:val="21"/>
          <w:highlight w:val="none"/>
        </w:rPr>
      </w:r>
      <w:r/>
    </w:p>
    <w:p>
      <w:pPr>
        <w:ind w:firstLine="422"/>
        <w:rPr>
          <w:rFonts w:ascii="宋体" w:hAnsi="宋体"/>
          <w:b/>
          <w:color w:val="auto"/>
          <w:szCs w:val="21"/>
          <w:highlight w:val="none"/>
        </w:rPr>
      </w:pPr>
      <w:r>
        <w:rPr>
          <w:rFonts w:hint="eastAsia" w:ascii="宋体" w:hAnsi="宋体"/>
          <w:b/>
          <w:color w:val="auto"/>
          <w:szCs w:val="21"/>
          <w:highlight w:val="none"/>
        </w:rPr>
        <w:t xml:space="preserve">八、甲方的责任与义务</w:t>
      </w:r>
      <w:r/>
    </w:p>
    <w:p>
      <w:pPr>
        <w:ind w:firstLine="420"/>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.1 甲方可以按照服务内容，明确提出制作要求，删除、补充、修改要求。</w:t>
      </w:r>
      <w:r/>
    </w:p>
    <w:p>
      <w:pPr>
        <w:ind w:firstLine="420"/>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.2 甲方可以按照服务内容，对乙方的脚本、宣传计划等文件进行审阅，经甲方同意后乙方方可开始制作，甲方可根据实际情况提出修改意见，但需要双方协商达成一致后进行修改。</w:t>
      </w:r>
      <w:r/>
    </w:p>
    <w:p>
      <w:pPr>
        <w:ind w:firstLine="420"/>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.3 甲方可以按照服务标准对服务内容进行定期审核，并提出整改意见。</w:t>
      </w:r>
      <w:r/>
    </w:p>
    <w:p>
      <w:pPr>
        <w:ind w:firstLine="420"/>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.4 甲方需根据本合同项目的实际需要和乙方的要求协助并提供有关的材料等，并保证所提供的所有资料完整、真实、合法。</w:t>
      </w:r>
      <w:r/>
    </w:p>
    <w:p>
      <w:pPr>
        <w:ind w:firstLine="420"/>
        <w:rPr>
          <w:rFonts w:asci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.5 甲方应根据本合同约定，按时足额向乙方支付合同款项。</w:t>
      </w:r>
      <w:r/>
    </w:p>
    <w:p>
      <w:pPr>
        <w:ind w:firstLine="422"/>
        <w:rPr>
          <w:rFonts w:ascii="宋体" w:hAnsi="宋体"/>
          <w:b/>
          <w:color w:val="auto"/>
          <w:szCs w:val="21"/>
          <w:highlight w:val="none"/>
        </w:rPr>
      </w:pPr>
      <w:r>
        <w:rPr>
          <w:rFonts w:ascii="宋体" w:hAnsi="宋体"/>
          <w:b/>
          <w:color w:val="auto"/>
          <w:szCs w:val="21"/>
          <w:highlight w:val="none"/>
        </w:rPr>
      </w:r>
      <w:r/>
    </w:p>
    <w:p>
      <w:pPr>
        <w:ind w:firstLine="422"/>
        <w:rPr>
          <w:rFonts w:ascii="宋体" w:hAnsi="宋体"/>
          <w:color w:val="auto"/>
          <w:szCs w:val="21"/>
          <w:highlight w:val="none"/>
        </w:rPr>
      </w:pPr>
      <w:r>
        <w:rPr>
          <w:rFonts w:hint="eastAsia" w:ascii="宋体" w:hAnsi="宋体"/>
          <w:b/>
          <w:color w:val="auto"/>
          <w:szCs w:val="21"/>
          <w:highlight w:val="none"/>
        </w:rPr>
        <w:t xml:space="preserve">九、</w:t>
      </w:r>
      <w:r>
        <w:rPr>
          <w:rFonts w:hint="eastAsia" w:ascii="宋体" w:hAnsi="宋体"/>
          <w:b/>
          <w:color w:val="auto"/>
          <w:szCs w:val="21"/>
          <w:highlight w:val="none"/>
          <w:lang w:val="zh-CN"/>
        </w:rPr>
        <w:t xml:space="preserve">合同生效、变更和终止</w:t>
      </w:r>
      <w:r/>
    </w:p>
    <w:p>
      <w:pPr>
        <w:ind w:firstLine="420"/>
        <w:jc w:val="left"/>
        <w:rPr>
          <w:rFonts w:ascii="宋体" w:hAnsi="宋体"/>
          <w:color w:val="auto"/>
          <w:szCs w:val="21"/>
          <w:highlight w:val="none"/>
          <w:lang w:val="zh-CN"/>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本合同经甲乙双方法定代表人或其委托人签字并盖章并经采购代理机构鉴证</w:t>
      </w:r>
      <w:r>
        <w:rPr>
          <w:rFonts w:hint="eastAsia" w:ascii="宋体" w:hAnsi="宋体"/>
          <w:color w:val="auto"/>
          <w:szCs w:val="21"/>
          <w:highlight w:val="none"/>
          <w:lang w:val="zh-CN"/>
        </w:rPr>
        <w:t xml:space="preserve">后生效，</w:t>
      </w:r>
      <w:r>
        <w:rPr>
          <w:rFonts w:hint="eastAsia" w:ascii="宋体" w:hAnsi="宋体"/>
          <w:color w:val="auto"/>
          <w:szCs w:val="21"/>
          <w:highlight w:val="none"/>
          <w:lang w:val="zh-CN"/>
        </w:rPr>
        <w:t xml:space="preserve">至合同期止</w:t>
      </w:r>
      <w:r>
        <w:rPr>
          <w:rFonts w:hint="eastAsia" w:ascii="宋体" w:hAnsi="宋体"/>
          <w:color w:val="auto"/>
          <w:szCs w:val="21"/>
          <w:highlight w:val="none"/>
        </w:rPr>
        <w:t xml:space="preserve">。</w:t>
      </w:r>
      <w:r/>
    </w:p>
    <w:p>
      <w:pPr>
        <w:ind w:firstLine="420"/>
        <w:jc w:val="left"/>
        <w:rPr>
          <w:rFonts w:ascii="宋体" w:hAnsi="宋体"/>
          <w:color w:val="auto"/>
          <w:szCs w:val="21"/>
          <w:highlight w:val="none"/>
          <w:lang w:val="zh-CN"/>
        </w:rPr>
      </w:pPr>
      <w:r>
        <w:rPr>
          <w:rFonts w:hint="eastAsia" w:ascii="宋体" w:hAnsi="宋体"/>
          <w:color w:val="auto"/>
          <w:szCs w:val="21"/>
          <w:highlight w:val="none"/>
          <w:lang w:val="zh-CN"/>
        </w:rPr>
        <w:t xml:space="preserve">9.2、在合同签订后，实际情况发生变化，使得乙方不能全部或部分执行项目时，乙方应当立即通知甲方。</w:t>
      </w:r>
      <w:r/>
    </w:p>
    <w:p>
      <w:pPr>
        <w:ind w:firstLine="420"/>
        <w:jc w:val="left"/>
        <w:rPr>
          <w:rFonts w:ascii="宋体" w:hAnsi="宋体"/>
          <w:color w:val="auto"/>
          <w:szCs w:val="21"/>
          <w:highlight w:val="none"/>
          <w:lang w:val="zh-CN"/>
        </w:rPr>
      </w:pPr>
      <w:r>
        <w:rPr>
          <w:rFonts w:hint="eastAsia" w:ascii="宋体" w:hAnsi="宋体"/>
          <w:color w:val="auto"/>
          <w:szCs w:val="21"/>
          <w:highlight w:val="none"/>
          <w:lang w:val="zh-CN"/>
        </w:rPr>
        <w:t xml:space="preserve">9.3、当事人一方要求变更或解除合同时，应当提前30天通知对方，因变更或解除合同使一方遭受损失的，除依法可以免除责任的外，应由责任方负责赔偿。变更或解除合同的协议应当采取书面形式，协议未达成之前，原合同仍然有效。</w:t>
      </w:r>
      <w:r/>
    </w:p>
    <w:p>
      <w:pPr>
        <w:ind w:firstLine="422"/>
        <w:rPr>
          <w:rFonts w:ascii="宋体"/>
          <w:b/>
          <w:color w:val="auto"/>
          <w:szCs w:val="21"/>
          <w:highlight w:val="none"/>
        </w:rPr>
      </w:pPr>
      <w:r>
        <w:rPr>
          <w:rFonts w:ascii="宋体"/>
          <w:b/>
          <w:color w:val="auto"/>
          <w:szCs w:val="21"/>
          <w:highlight w:val="none"/>
        </w:rPr>
      </w:r>
      <w:r/>
    </w:p>
    <w:p>
      <w:pPr>
        <w:ind w:firstLine="422"/>
        <w:rPr>
          <w:rFonts w:ascii="宋体"/>
          <w:b/>
          <w:color w:val="auto"/>
          <w:szCs w:val="21"/>
          <w:highlight w:val="none"/>
        </w:rPr>
      </w:pPr>
      <w:r>
        <w:rPr>
          <w:rFonts w:ascii="宋体"/>
          <w:b/>
          <w:color w:val="auto"/>
          <w:szCs w:val="21"/>
          <w:highlight w:val="none"/>
        </w:rPr>
        <w:t xml:space="preserve">十、诉讼</w:t>
      </w:r>
      <w:r/>
    </w:p>
    <w:p>
      <w:pPr>
        <w:ind w:firstLine="420"/>
        <w:rPr>
          <w:rFonts w:ascii="宋体"/>
          <w:color w:val="auto"/>
          <w:szCs w:val="21"/>
          <w:highlight w:val="none"/>
        </w:rPr>
      </w:pPr>
      <w:r>
        <w:rPr>
          <w:rFonts w:ascii="宋体"/>
          <w:color w:val="auto"/>
          <w:szCs w:val="21"/>
          <w:highlight w:val="none"/>
        </w:rPr>
        <w:t xml:space="preserve">双方在执行合同中所发生的一切争议，应通过协商解决。如协商不成，可向合同签订地法院起诉。</w:t>
      </w:r>
      <w:r/>
    </w:p>
    <w:p>
      <w:pPr>
        <w:ind w:firstLine="420"/>
        <w:rPr>
          <w:rFonts w:ascii="宋体"/>
          <w:color w:val="auto"/>
          <w:szCs w:val="21"/>
          <w:highlight w:val="none"/>
        </w:rPr>
      </w:pPr>
      <w:r>
        <w:rPr>
          <w:rFonts w:ascii="宋体"/>
          <w:color w:val="auto"/>
          <w:szCs w:val="21"/>
          <w:highlight w:val="none"/>
        </w:rPr>
      </w:r>
      <w:r/>
    </w:p>
    <w:p>
      <w:pPr>
        <w:ind w:firstLine="422"/>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一</w:t>
      </w:r>
      <w:r>
        <w:rPr>
          <w:rFonts w:ascii="宋体"/>
          <w:b/>
          <w:color w:val="auto"/>
          <w:szCs w:val="21"/>
          <w:highlight w:val="none"/>
        </w:rPr>
        <w:t xml:space="preserve">、合同生效及其它</w:t>
      </w:r>
      <w:r/>
    </w:p>
    <w:p>
      <w:pPr>
        <w:ind w:firstLine="420"/>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1</w:t>
      </w:r>
      <w:r>
        <w:rPr>
          <w:rFonts w:ascii="宋体"/>
          <w:color w:val="auto"/>
          <w:szCs w:val="21"/>
          <w:highlight w:val="none"/>
        </w:rPr>
        <w:t xml:space="preserve">.1</w:t>
      </w:r>
      <w:r>
        <w:rPr>
          <w:rFonts w:hint="eastAsia" w:ascii="宋体"/>
          <w:color w:val="auto"/>
          <w:szCs w:val="21"/>
          <w:highlight w:val="none"/>
        </w:rPr>
        <w:t xml:space="preserve">、本合同由甲乙双方在</w:t>
      </w:r>
      <w:r>
        <w:rPr>
          <w:rFonts w:hint="eastAsia" w:ascii="宋体"/>
          <w:color w:val="auto"/>
          <w:szCs w:val="21"/>
          <w:highlight w:val="none"/>
          <w:u w:val="single"/>
        </w:rPr>
        <w:t xml:space="preserve"> </w:t>
      </w:r>
      <w:r>
        <w:rPr>
          <w:rStyle w:val="1018"/>
          <w:rFonts w:hint="eastAsia" w:ascii="宋体" w:hAnsi="宋体"/>
          <w:color w:val="auto"/>
          <w:highlight w:val="none"/>
          <w:u w:val="single"/>
        </w:rPr>
        <w:t xml:space="preserve">甲方</w:t>
      </w:r>
      <w:r>
        <w:rPr>
          <w:rStyle w:val="1018"/>
          <w:rFonts w:ascii="宋体" w:hAnsi="宋体"/>
          <w:color w:val="auto"/>
          <w:highlight w:val="none"/>
          <w:u w:val="single"/>
        </w:rPr>
        <w:t xml:space="preserve">所在地</w:t>
      </w:r>
      <w:r>
        <w:rPr>
          <w:rFonts w:hint="eastAsia" w:ascii="宋体"/>
          <w:color w:val="auto"/>
          <w:szCs w:val="21"/>
          <w:highlight w:val="none"/>
          <w:u w:val="single"/>
        </w:rPr>
        <w:t xml:space="preserve"> </w:t>
      </w:r>
      <w:r>
        <w:rPr>
          <w:rFonts w:hint="eastAsia" w:ascii="宋体"/>
          <w:color w:val="auto"/>
          <w:szCs w:val="21"/>
          <w:highlight w:val="none"/>
        </w:rPr>
        <w:t xml:space="preserve">签订。</w:t>
      </w:r>
      <w:r>
        <w:rPr>
          <w:rFonts w:ascii="宋体"/>
          <w:color w:val="auto"/>
          <w:szCs w:val="21"/>
          <w:highlight w:val="none"/>
        </w:rPr>
        <w:t xml:space="preserve">合同经双方法定代表人或授权委托人签字</w:t>
      </w:r>
      <w:r>
        <w:rPr>
          <w:rFonts w:hint="eastAsia" w:ascii="宋体"/>
          <w:color w:val="auto"/>
          <w:szCs w:val="21"/>
          <w:highlight w:val="none"/>
        </w:rPr>
        <w:t xml:space="preserve">并盖章</w:t>
      </w:r>
      <w:r>
        <w:rPr>
          <w:rFonts w:ascii="宋体"/>
          <w:color w:val="auto"/>
          <w:szCs w:val="21"/>
          <w:highlight w:val="none"/>
        </w:rPr>
        <w:t xml:space="preserve">并</w:t>
      </w:r>
      <w:r>
        <w:rPr>
          <w:rFonts w:hint="eastAsia" w:ascii="宋体"/>
          <w:color w:val="auto"/>
          <w:szCs w:val="21"/>
          <w:highlight w:val="none"/>
        </w:rPr>
        <w:t xml:space="preserve">经采购代理机构鉴证后生效。</w:t>
      </w:r>
      <w:r/>
    </w:p>
    <w:p>
      <w:pPr>
        <w:ind w:firstLine="420"/>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1</w:t>
      </w:r>
      <w:r>
        <w:rPr>
          <w:rFonts w:ascii="宋体"/>
          <w:color w:val="auto"/>
          <w:szCs w:val="21"/>
          <w:highlight w:val="none"/>
        </w:rPr>
        <w:t xml:space="preserve">.2</w:t>
      </w:r>
      <w:r>
        <w:rPr>
          <w:rFonts w:hint="eastAsia" w:ascii="宋体"/>
          <w:color w:val="auto"/>
          <w:szCs w:val="21"/>
          <w:highlight w:val="none"/>
        </w:rPr>
        <w:t xml:space="preserve">、招标、投标文件是本合同不可或缺的部分，与合同具有同等效力。</w:t>
      </w:r>
      <w:r>
        <w:rPr>
          <w:rFonts w:ascii="宋体"/>
          <w:color w:val="auto"/>
          <w:szCs w:val="21"/>
          <w:highlight w:val="none"/>
        </w:rPr>
        <w:t xml:space="preserve">本合同未尽事宜，遵照《</w:t>
      </w:r>
      <w:r>
        <w:rPr>
          <w:rFonts w:hint="eastAsia" w:ascii="宋体"/>
          <w:color w:val="auto"/>
          <w:szCs w:val="21"/>
          <w:highlight w:val="none"/>
        </w:rPr>
        <w:t xml:space="preserve">中华人民共和国民法典</w:t>
      </w:r>
      <w:r>
        <w:rPr>
          <w:rFonts w:ascii="宋体"/>
          <w:color w:val="auto"/>
          <w:szCs w:val="21"/>
          <w:highlight w:val="none"/>
        </w:rPr>
        <w:t xml:space="preserve">》有关条文执行。</w:t>
      </w:r>
      <w:r/>
    </w:p>
    <w:p>
      <w:pPr>
        <w:ind w:firstLine="420"/>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1</w:t>
      </w:r>
      <w:r>
        <w:rPr>
          <w:rFonts w:ascii="宋体"/>
          <w:color w:val="auto"/>
          <w:szCs w:val="21"/>
          <w:highlight w:val="none"/>
        </w:rPr>
        <w:t xml:space="preserve">.</w:t>
      </w:r>
      <w:r>
        <w:rPr>
          <w:rFonts w:hint="eastAsia" w:ascii="宋体"/>
          <w:color w:val="auto"/>
          <w:szCs w:val="21"/>
          <w:highlight w:val="none"/>
        </w:rPr>
        <w:t xml:space="preserve">3、</w:t>
      </w:r>
      <w:r>
        <w:rPr>
          <w:rFonts w:ascii="宋体"/>
          <w:color w:val="auto"/>
          <w:szCs w:val="21"/>
          <w:highlight w:val="none"/>
        </w:rPr>
        <w:t xml:space="preserve">本合同正本一式</w:t>
      </w:r>
      <w:r>
        <w:rPr>
          <w:rFonts w:hint="eastAsia" w:ascii="宋体"/>
          <w:color w:val="auto"/>
          <w:szCs w:val="21"/>
          <w:highlight w:val="none"/>
          <w:u w:val="single"/>
        </w:rPr>
        <w:t xml:space="preserve">XX</w:t>
      </w:r>
      <w:r>
        <w:rPr>
          <w:rFonts w:ascii="宋体"/>
          <w:color w:val="auto"/>
          <w:szCs w:val="21"/>
          <w:highlight w:val="none"/>
        </w:rPr>
        <w:t xml:space="preserve">份，具有同等法律效力，甲</w:t>
      </w:r>
      <w:r>
        <w:rPr>
          <w:rFonts w:hint="eastAsia" w:ascii="宋体"/>
          <w:color w:val="auto"/>
          <w:szCs w:val="21"/>
          <w:highlight w:val="none"/>
        </w:rPr>
        <w:t xml:space="preserve">方执</w:t>
      </w:r>
      <w:r>
        <w:rPr>
          <w:rFonts w:hint="eastAsia" w:ascii="宋体"/>
          <w:color w:val="auto"/>
          <w:szCs w:val="21"/>
          <w:highlight w:val="none"/>
          <w:u w:val="single"/>
        </w:rPr>
        <w:t xml:space="preserve">XX</w:t>
      </w:r>
      <w:r>
        <w:rPr>
          <w:rFonts w:hint="eastAsia" w:ascii="宋体"/>
          <w:color w:val="auto"/>
          <w:szCs w:val="21"/>
          <w:highlight w:val="none"/>
        </w:rPr>
        <w:t xml:space="preserve">份，</w:t>
      </w:r>
      <w:r>
        <w:rPr>
          <w:rFonts w:ascii="宋体"/>
          <w:color w:val="auto"/>
          <w:szCs w:val="21"/>
          <w:highlight w:val="none"/>
        </w:rPr>
        <w:t xml:space="preserve">乙方</w:t>
      </w:r>
      <w:r>
        <w:rPr>
          <w:rFonts w:hint="eastAsia" w:ascii="宋体"/>
          <w:color w:val="auto"/>
          <w:szCs w:val="21"/>
          <w:highlight w:val="none"/>
        </w:rPr>
        <w:t xml:space="preserve">执</w:t>
      </w:r>
      <w:r>
        <w:rPr>
          <w:rFonts w:hint="eastAsia" w:ascii="宋体"/>
          <w:color w:val="auto"/>
          <w:szCs w:val="21"/>
          <w:highlight w:val="none"/>
          <w:u w:val="single"/>
        </w:rPr>
        <w:t xml:space="preserve">XX</w:t>
      </w:r>
      <w:r>
        <w:rPr>
          <w:rFonts w:hint="eastAsia" w:ascii="宋体"/>
          <w:color w:val="auto"/>
          <w:szCs w:val="21"/>
          <w:highlight w:val="none"/>
        </w:rPr>
        <w:t xml:space="preserve">份。</w:t>
      </w:r>
      <w:r/>
    </w:p>
    <w:p>
      <w:pPr>
        <w:jc w:val="left"/>
        <w:widowControl/>
        <w:rPr>
          <w:rFonts w:ascii="宋体"/>
          <w:color w:val="auto"/>
          <w:szCs w:val="21"/>
          <w:highlight w:val="none"/>
        </w:rPr>
      </w:pPr>
      <w:r>
        <w:rPr>
          <w:rFonts w:ascii="宋体"/>
          <w:color w:val="auto"/>
          <w:szCs w:val="21"/>
          <w:highlight w:val="none"/>
        </w:rPr>
      </w:r>
      <w:r/>
    </w:p>
    <w:p>
      <w:pPr>
        <w:ind w:firstLine="420"/>
        <w:rPr>
          <w:rFonts w:ascii="宋体"/>
          <w:color w:val="auto"/>
          <w:szCs w:val="21"/>
          <w:highlight w:val="none"/>
        </w:rPr>
      </w:pPr>
      <w:r>
        <w:rPr>
          <w:rFonts w:ascii="宋体"/>
          <w:color w:val="auto"/>
          <w:szCs w:val="21"/>
          <w:highlight w:val="none"/>
        </w:rPr>
      </w:r>
      <w:r/>
    </w:p>
    <w:p>
      <w:pPr>
        <w:ind w:firstLine="420"/>
        <w:rPr>
          <w:rFonts w:ascii="宋体"/>
          <w:color w:val="auto"/>
          <w:szCs w:val="21"/>
          <w:highlight w:val="none"/>
        </w:rPr>
      </w:pPr>
      <w:r>
        <w:rPr>
          <w:rFonts w:ascii="宋体"/>
          <w:color w:val="auto"/>
          <w:szCs w:val="21"/>
          <w:highlight w:val="none"/>
        </w:rPr>
        <w:t xml:space="preserve">甲方</w:t>
      </w:r>
      <w:r>
        <w:rPr>
          <w:rFonts w:hint="eastAsia" w:ascii="宋体"/>
          <w:color w:val="auto"/>
          <w:szCs w:val="21"/>
          <w:highlight w:val="none"/>
        </w:rPr>
        <w:t xml:space="preserve">（盖章）</w:t>
      </w:r>
      <w:r>
        <w:rPr>
          <w:rFonts w:ascii="宋体"/>
          <w:color w:val="auto"/>
          <w:szCs w:val="21"/>
          <w:highlight w:val="none"/>
        </w:rPr>
        <w:t xml:space="preserve">：           </w:t>
      </w:r>
      <w:r>
        <w:rPr>
          <w:rFonts w:hint="eastAsia" w:ascii="宋体"/>
          <w:color w:val="auto"/>
          <w:szCs w:val="21"/>
          <w:highlight w:val="none"/>
        </w:rPr>
        <w:t xml:space="preserve">                  乙</w:t>
      </w:r>
      <w:r>
        <w:rPr>
          <w:rFonts w:ascii="宋体"/>
          <w:color w:val="auto"/>
          <w:szCs w:val="21"/>
          <w:highlight w:val="none"/>
        </w:rPr>
        <w:t xml:space="preserve">方</w:t>
      </w:r>
      <w:r>
        <w:rPr>
          <w:rFonts w:hint="eastAsia" w:ascii="宋体"/>
          <w:color w:val="auto"/>
          <w:szCs w:val="21"/>
          <w:highlight w:val="none"/>
        </w:rPr>
        <w:t xml:space="preserve">（盖章）</w:t>
      </w:r>
      <w:r>
        <w:rPr>
          <w:rFonts w:ascii="宋体"/>
          <w:color w:val="auto"/>
          <w:szCs w:val="21"/>
          <w:highlight w:val="none"/>
        </w:rPr>
        <w:t xml:space="preserve">： </w:t>
      </w:r>
      <w:r/>
    </w:p>
    <w:p>
      <w:pPr>
        <w:ind w:firstLine="420"/>
        <w:rPr>
          <w:rFonts w:ascii="宋体"/>
          <w:color w:val="auto"/>
          <w:szCs w:val="21"/>
          <w:highlight w:val="none"/>
        </w:rPr>
      </w:pPr>
      <w:r>
        <w:rPr>
          <w:rFonts w:ascii="宋体"/>
          <w:color w:val="auto"/>
          <w:szCs w:val="21"/>
          <w:highlight w:val="none"/>
        </w:rPr>
        <w:t xml:space="preserve">地址：</w:t>
      </w:r>
      <w:r>
        <w:rPr>
          <w:rFonts w:hint="eastAsia" w:ascii="宋体"/>
          <w:color w:val="auto"/>
          <w:szCs w:val="21"/>
          <w:highlight w:val="none"/>
        </w:rPr>
        <w:t xml:space="preserve">                                    </w:t>
      </w:r>
      <w:r>
        <w:rPr>
          <w:rFonts w:ascii="宋体"/>
          <w:color w:val="auto"/>
          <w:szCs w:val="21"/>
          <w:highlight w:val="none"/>
        </w:rPr>
        <w:t xml:space="preserve">地址：</w:t>
      </w:r>
      <w:r/>
    </w:p>
    <w:p>
      <w:pPr>
        <w:ind w:firstLine="420"/>
        <w:rPr>
          <w:rFonts w:ascii="宋体"/>
          <w:color w:val="auto"/>
          <w:szCs w:val="21"/>
          <w:highlight w:val="none"/>
        </w:rPr>
      </w:pPr>
      <w:r>
        <w:rPr>
          <w:rFonts w:ascii="宋体"/>
          <w:color w:val="auto"/>
          <w:szCs w:val="21"/>
          <w:highlight w:val="none"/>
        </w:rPr>
        <w:t xml:space="preserve">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        </w:t>
      </w:r>
      <w:r>
        <w:rPr>
          <w:rFonts w:hint="eastAsia" w:ascii="宋体"/>
          <w:color w:val="auto"/>
          <w:szCs w:val="21"/>
          <w:highlight w:val="none"/>
        </w:rPr>
        <w:t xml:space="preserve">   </w:t>
      </w:r>
      <w:r>
        <w:rPr>
          <w:rFonts w:ascii="宋体"/>
          <w:color w:val="auto"/>
          <w:szCs w:val="21"/>
          <w:highlight w:val="none"/>
        </w:rPr>
        <w:t xml:space="preserve">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w:t>
      </w:r>
      <w:r/>
    </w:p>
    <w:p>
      <w:pPr>
        <w:ind w:firstLine="420"/>
        <w:rPr>
          <w:rFonts w:ascii="宋体"/>
          <w:color w:val="auto"/>
          <w:szCs w:val="21"/>
          <w:highlight w:val="none"/>
        </w:rPr>
      </w:pPr>
      <w:r>
        <w:rPr>
          <w:rFonts w:hint="eastAsia" w:ascii="宋体"/>
          <w:color w:val="auto"/>
          <w:szCs w:val="21"/>
          <w:highlight w:val="none"/>
        </w:rPr>
        <w:t xml:space="preserve">纳税人识别号：                            纳税人识别号</w:t>
      </w:r>
      <w:r/>
    </w:p>
    <w:p>
      <w:pPr>
        <w:ind w:firstLine="420"/>
        <w:rPr>
          <w:rFonts w:ascii="宋体"/>
          <w:color w:val="auto"/>
          <w:szCs w:val="21"/>
          <w:highlight w:val="none"/>
        </w:rPr>
      </w:pPr>
      <w:r>
        <w:rPr>
          <w:rFonts w:hint="eastAsia" w:ascii="宋体"/>
          <w:color w:val="auto"/>
          <w:szCs w:val="21"/>
          <w:highlight w:val="none"/>
        </w:rPr>
        <w:t xml:space="preserve">开户行：                                  开户行</w:t>
      </w:r>
      <w:r/>
    </w:p>
    <w:p>
      <w:pPr>
        <w:ind w:firstLine="420"/>
        <w:rPr>
          <w:rFonts w:ascii="宋体"/>
          <w:color w:val="auto"/>
          <w:szCs w:val="21"/>
          <w:highlight w:val="none"/>
        </w:rPr>
      </w:pPr>
      <w:r>
        <w:rPr>
          <w:rFonts w:hint="eastAsia" w:ascii="宋体"/>
          <w:color w:val="auto"/>
          <w:szCs w:val="21"/>
          <w:highlight w:val="none"/>
        </w:rPr>
        <w:t xml:space="preserve">账号：                                    账号：</w:t>
      </w:r>
      <w:r/>
    </w:p>
    <w:p>
      <w:pPr>
        <w:ind w:firstLine="420"/>
        <w:rPr>
          <w:rFonts w:ascii="宋体"/>
          <w:color w:val="auto"/>
          <w:szCs w:val="21"/>
          <w:highlight w:val="none"/>
        </w:rPr>
      </w:pPr>
      <w:r>
        <w:rPr>
          <w:rFonts w:hint="eastAsia" w:ascii="宋体"/>
          <w:color w:val="auto"/>
          <w:szCs w:val="21"/>
          <w:highlight w:val="none"/>
        </w:rPr>
        <w:t xml:space="preserve">联系电话：                                联系电话：</w:t>
      </w:r>
      <w:r/>
    </w:p>
    <w:p>
      <w:pPr>
        <w:ind w:firstLine="420"/>
        <w:rPr>
          <w:rFonts w:ascii="宋体"/>
          <w:color w:val="auto"/>
          <w:szCs w:val="21"/>
          <w:highlight w:val="none"/>
        </w:rPr>
      </w:pPr>
      <w:r>
        <w:rPr>
          <w:rFonts w:ascii="宋体"/>
          <w:color w:val="auto"/>
          <w:szCs w:val="21"/>
          <w:highlight w:val="none"/>
        </w:rPr>
      </w:r>
      <w:r/>
    </w:p>
    <w:p>
      <w:pPr>
        <w:ind w:firstLine="420"/>
        <w:rPr>
          <w:rFonts w:ascii="宋体"/>
          <w:color w:val="auto"/>
          <w:szCs w:val="21"/>
          <w:highlight w:val="none"/>
        </w:rPr>
      </w:pPr>
      <w:r>
        <w:rPr>
          <w:rFonts w:ascii="宋体"/>
          <w:color w:val="auto"/>
          <w:szCs w:val="21"/>
          <w:highlight w:val="none"/>
        </w:rPr>
        <w:t xml:space="preserve">签订日期：</w:t>
      </w:r>
      <w:r>
        <w:rPr>
          <w:rFonts w:hint="eastAsia" w:ascii="宋体"/>
          <w:color w:val="auto"/>
          <w:szCs w:val="21"/>
          <w:highlight w:val="none"/>
        </w:rPr>
        <w:t xml:space="preserve"> </w:t>
      </w:r>
      <w:r>
        <w:rPr>
          <w:rFonts w:ascii="宋体"/>
          <w:color w:val="auto"/>
          <w:szCs w:val="21"/>
          <w:highlight w:val="none"/>
        </w:rPr>
        <w:t xml:space="preserve"> 年</w:t>
      </w:r>
      <w:r>
        <w:rPr>
          <w:rFonts w:hint="eastAsia" w:ascii="宋体"/>
          <w:color w:val="auto"/>
          <w:szCs w:val="21"/>
          <w:highlight w:val="none"/>
        </w:rPr>
        <w:t xml:space="preserve"> </w:t>
      </w:r>
      <w:r>
        <w:rPr>
          <w:rFonts w:ascii="宋体"/>
          <w:color w:val="auto"/>
          <w:szCs w:val="21"/>
          <w:highlight w:val="none"/>
        </w:rPr>
        <w:t xml:space="preserve"> 月</w:t>
      </w:r>
      <w:r>
        <w:rPr>
          <w:rFonts w:hint="eastAsia" w:ascii="宋体"/>
          <w:color w:val="auto"/>
          <w:szCs w:val="21"/>
          <w:highlight w:val="none"/>
        </w:rPr>
        <w:t xml:space="preserve"> </w:t>
      </w:r>
      <w:r>
        <w:rPr>
          <w:rFonts w:ascii="宋体"/>
          <w:color w:val="auto"/>
          <w:szCs w:val="21"/>
          <w:highlight w:val="none"/>
        </w:rPr>
        <w:t xml:space="preserve"> 日</w:t>
      </w:r>
      <w:r/>
    </w:p>
    <w:p>
      <w:pPr>
        <w:pStyle w:val="881"/>
        <w:rPr>
          <w:color w:val="auto"/>
          <w:highlight w:val="none"/>
        </w:rPr>
      </w:pPr>
      <w:r>
        <w:rPr>
          <w:color w:val="auto"/>
          <w:highlight w:val="none"/>
        </w:rPr>
      </w:r>
      <w:r/>
    </w:p>
    <w:p>
      <w:pPr>
        <w:pStyle w:val="882"/>
        <w:rPr>
          <w:color w:val="auto"/>
          <w:highlight w:val="none"/>
        </w:rPr>
      </w:pPr>
      <w:r>
        <w:rPr>
          <w:color w:val="auto"/>
          <w:highlight w:val="none"/>
        </w:rPr>
      </w:r>
      <w:r/>
    </w:p>
    <w:p>
      <w:pPr>
        <w:pStyle w:val="882"/>
        <w:rPr>
          <w:rFonts w:ascii="宋体" w:hAnsi="宋体" w:cs="宋体"/>
          <w:b/>
          <w:bCs/>
          <w:color w:val="auto"/>
          <w:highlight w:val="none"/>
        </w:rPr>
      </w:pPr>
      <w:r>
        <w:rPr>
          <w:color w:val="auto"/>
          <w:highlight w:val="none"/>
        </w:rPr>
        <w:br w:type="page" w:clear="all"/>
      </w:r>
      <w:r>
        <w:rPr>
          <w:rFonts w:hint="eastAsia" w:ascii="宋体" w:hAnsi="宋体" w:cs="宋体"/>
          <w:b/>
          <w:bCs/>
          <w:color w:val="auto"/>
          <w:highlight w:val="none"/>
        </w:rPr>
        <w:t xml:space="preserve">附录一：验收评分标准 </w:t>
      </w:r>
      <w:r>
        <w:rPr>
          <w:rFonts w:ascii="宋体" w:hAnsi="宋体" w:cs="宋体"/>
          <w:b/>
          <w:bCs/>
          <w:color w:val="auto"/>
          <w:highlight w:val="none"/>
        </w:rPr>
        <w:t xml:space="preserve"> </w:t>
      </w:r>
      <w:r/>
    </w:p>
    <w:p>
      <w:pPr>
        <w:pStyle w:val="908"/>
        <w:ind w:left="0" w:firstLine="0"/>
        <w:jc w:val="center"/>
        <w:spacing w:line="360" w:lineRule="auto"/>
        <w:rPr>
          <w:rFonts w:ascii="宋体" w:hAnsi="宋体" w:cs="宋体"/>
          <w:b/>
          <w:bCs/>
          <w:color w:val="auto"/>
          <w:sz w:val="22"/>
          <w:highlight w:val="none"/>
        </w:rPr>
      </w:pPr>
      <w:r>
        <w:rPr>
          <w:rFonts w:hint="eastAsia" w:ascii="宋体" w:hAnsi="宋体" w:cs="宋体"/>
          <w:b/>
          <w:bCs/>
          <w:color w:val="auto"/>
          <w:sz w:val="24"/>
          <w:highlight w:val="none"/>
        </w:rPr>
        <w:t xml:space="preserve">（验收条款及具体数值仅供参考，请根据自身实际情况定夺）</w:t>
      </w:r>
      <w:r/>
    </w:p>
    <w:tbl>
      <w:tblPr>
        <w:tblStyle w:val="874"/>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6014"/>
        <w:gridCol w:w="1053"/>
        <w:gridCol w:w="1155"/>
      </w:tblGrid>
      <w:tr>
        <w:trPr>
          <w:jc w:val="center"/>
          <w:trHeight w:val="399"/>
        </w:trPr>
        <w:tc>
          <w:tcPr>
            <w:tcW w:w="675" w:type="dxa"/>
            <w:vAlign w:val="center"/>
            <w:textDirection w:val="lrTb"/>
            <w:noWrap w:val="false"/>
          </w:tcPr>
          <w:p>
            <w:pPr>
              <w:jc w:val="cente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6014" w:type="dxa"/>
            <w:vAlign w:val="center"/>
            <w:textDirection w:val="lrTb"/>
            <w:noWrap w:val="false"/>
          </w:tcPr>
          <w:p>
            <w:pPr>
              <w:jc w:val="cente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W w:w="1053" w:type="dxa"/>
            <w:vAlign w:val="center"/>
            <w:textDirection w:val="lrTb"/>
            <w:noWrap w:val="false"/>
          </w:tcPr>
          <w:p>
            <w:pPr>
              <w:jc w:val="cente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扣分</w:t>
            </w:r>
            <w:r/>
          </w:p>
        </w:tc>
        <w:tc>
          <w:tcPr>
            <w:tcW w:w="1155" w:type="dxa"/>
            <w:vAlign w:val="center"/>
            <w:textDirection w:val="lrTb"/>
            <w:noWrap w:val="false"/>
          </w:tcPr>
          <w:p>
            <w:pPr>
              <w:jc w:val="cente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分值小计</w:t>
            </w:r>
            <w:r/>
          </w:p>
        </w:tc>
      </w:tr>
      <w:tr>
        <w:trPr>
          <w:jc w:val="center"/>
          <w:trHeight w:val="399"/>
        </w:trPr>
        <w:tc>
          <w:tcPr>
            <w:gridSpan w:val="4"/>
            <w:tcW w:w="8897" w:type="dxa"/>
            <w:vAlign w:val="center"/>
            <w:textDirection w:val="lrTb"/>
            <w:noWrap w:val="false"/>
          </w:tcPr>
          <w:p>
            <w:pPr>
              <w:jc w:val="cente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一、客观分：未达成指定量化数据，每少一篇/条/次数量，扣1分，超额完成不加分</w:t>
            </w:r>
            <w:r/>
          </w:p>
        </w:tc>
      </w:tr>
      <w:tr>
        <w:trPr>
          <w:jc w:val="center"/>
          <w:trHeight w:val="810"/>
        </w:trPr>
        <w:tc>
          <w:tcPr>
            <w:tcW w:w="675" w:type="dxa"/>
            <w:vAlign w:val="center"/>
            <w:textDirection w:val="lrTb"/>
            <w:noWrap w:val="false"/>
          </w:tcPr>
          <w:p>
            <w:pPr>
              <w:jc w:val="cente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全年直播场次：总数40场（分值占20分）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10"/>
        </w:trPr>
        <w:tc>
          <w:tcPr>
            <w:tcW w:w="675" w:type="dxa"/>
            <w:vAlign w:val="center"/>
            <w:textDirection w:val="lrTb"/>
            <w:noWrap w:val="false"/>
          </w:tcPr>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全年短视频生产数量：总数90个（分值占20分）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10"/>
        </w:trPr>
        <w:tc>
          <w:tcPr>
            <w:tcW w:w="675" w:type="dxa"/>
            <w:vAlign w:val="center"/>
            <w:textDirection w:val="lrTb"/>
            <w:noWrap w:val="false"/>
          </w:tcPr>
          <w:p>
            <w:pPr>
              <w:jc w:val="cente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014" w:type="dxa"/>
            <w:vAlign w:val="center"/>
            <w:textDirection w:val="lrTb"/>
            <w:noWrap w:val="false"/>
          </w:tcPr>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一年全网传播总量达到1.5亿人次以上，每少1千万人次扣1分。（分值占10分）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98"/>
        </w:trPr>
        <w:tc>
          <w:tcPr>
            <w:tcW w:w="675" w:type="dxa"/>
            <w:vAlign w:val="center"/>
            <w:textDirection w:val="lrTb"/>
            <w:noWrap w:val="false"/>
          </w:tcPr>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微信公众号每周发布14篇，每周至少有一篇推文阅读量达1000次，每逢法定节假日及重大活动按要求日更。（分值占8分）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10"/>
        </w:trPr>
        <w:tc>
          <w:tcPr>
            <w:tcW w:w="675" w:type="dxa"/>
            <w:vAlign w:val="center"/>
            <w:textDirection w:val="lrTb"/>
            <w:noWrap w:val="false"/>
          </w:tcPr>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视频号全年发布总数不少于120条，每月至少1条阅读量超过5000次（分值占8分）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10"/>
        </w:trPr>
        <w:tc>
          <w:tcPr>
            <w:tcW w:w="675" w:type="dxa"/>
            <w:vAlign w:val="center"/>
            <w:textDirection w:val="lrTb"/>
            <w:noWrap w:val="false"/>
          </w:tcPr>
          <w:p>
            <w:pPr>
              <w:jc w:val="cente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《繁荣》周刊每两周1期，每期2个版，作为报刊副刊发行。（分值占8分）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399"/>
        </w:trPr>
        <w:tc>
          <w:tcPr>
            <w:tcW w:w="675" w:type="dxa"/>
            <w:vAlign w:val="center"/>
            <w:textDirection w:val="lrTb"/>
            <w:noWrap w:val="false"/>
          </w:tcPr>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为江苏文联重大宣传信息提供鼓楼户外大屏使用支持，每天不低于30次，每次不低于10秒。（分值占3分）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399"/>
        </w:trPr>
        <w:tc>
          <w:tcPr>
            <w:tcW w:w="675" w:type="dxa"/>
            <w:vAlign w:val="center"/>
            <w:textDirection w:val="lrTb"/>
            <w:noWrap w:val="false"/>
          </w:tcPr>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海报涉及制作频率：总数40张。（分值占3分）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409"/>
        </w:trPr>
        <w:tc>
          <w:tcPr>
            <w:gridSpan w:val="4"/>
            <w:tcW w:w="8897" w:type="dxa"/>
            <w:vAlign w:val="center"/>
            <w:textDirection w:val="lrTb"/>
            <w:noWrap w:val="false"/>
          </w:tcPr>
          <w:p>
            <w:pPr>
              <w:jc w:val="center"/>
              <w:spacing w:line="460" w:lineRule="exact"/>
              <w:rPr>
                <w:rFonts w:ascii="宋体" w:hAnsi="宋体" w:cs="宋体"/>
                <w:color w:val="auto"/>
                <w:szCs w:val="21"/>
                <w:highlight w:val="none"/>
              </w:rPr>
            </w:pPr>
            <w:r>
              <w:rPr>
                <w:rFonts w:hint="eastAsia" w:ascii="宋体" w:hAnsi="宋体" w:cs="宋体"/>
                <w:b/>
                <w:bCs/>
                <w:color w:val="auto"/>
                <w:szCs w:val="21"/>
                <w:highlight w:val="none"/>
              </w:rPr>
              <w:t xml:space="preserve">二、主观分：未达成服务态度标准，每提出一点合理意见，扣1分</w:t>
            </w:r>
            <w:r/>
          </w:p>
        </w:tc>
      </w:tr>
      <w:tr>
        <w:trPr>
          <w:jc w:val="center"/>
          <w:trHeight w:val="1201"/>
        </w:trPr>
        <w:tc>
          <w:tcPr>
            <w:tcW w:w="675" w:type="dxa"/>
            <w:vAlign w:val="center"/>
            <w:textDirection w:val="lrTb"/>
            <w:noWrap w:val="false"/>
          </w:tcPr>
          <w:p>
            <w:pPr>
              <w:jc w:val="cente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014"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根据实际情况做好粉丝、后台信息维护，每逢重大节庆活动、重大事项等，需按要求增加服务人员，及时推出报道。工作人员回应信息需要有一定时效性。图片拍摄及视频输出需具备一定审美水平（分值占20分）</w:t>
            </w:r>
            <w:r/>
          </w:p>
        </w:tc>
        <w:tc>
          <w:tcPr>
            <w:tcW w:w="1053"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409"/>
        </w:trPr>
        <w:tc>
          <w:tcPr>
            <w:gridSpan w:val="3"/>
            <w:tcW w:w="7742" w:type="dxa"/>
            <w:vAlign w:val="center"/>
            <w:textDirection w:val="lrTb"/>
            <w:noWrap w:val="false"/>
          </w:tcPr>
          <w:p>
            <w:pPr>
              <w:jc w:val="right"/>
              <w:spacing w:line="460" w:lineRule="exact"/>
              <w:rPr>
                <w:rFonts w:ascii="宋体" w:hAnsi="宋体" w:cs="宋体"/>
                <w:color w:val="auto"/>
                <w:szCs w:val="21"/>
                <w:highlight w:val="none"/>
              </w:rPr>
            </w:pPr>
            <w:r>
              <w:rPr>
                <w:rFonts w:hint="eastAsia" w:ascii="宋体" w:hAnsi="宋体" w:cs="宋体"/>
                <w:b/>
                <w:bCs/>
                <w:color w:val="auto"/>
                <w:szCs w:val="21"/>
                <w:highlight w:val="none"/>
              </w:rPr>
              <w:t xml:space="preserve">总得分（百分制）</w:t>
            </w:r>
            <w:r/>
          </w:p>
        </w:tc>
        <w:tc>
          <w:tcPr>
            <w:tcW w:w="1155" w:type="dxa"/>
            <w:vAlign w:val="center"/>
            <w:textDirection w:val="lrTb"/>
            <w:noWrap w:val="false"/>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98"/>
        </w:trPr>
        <w:tc>
          <w:tcPr>
            <w:gridSpan w:val="4"/>
            <w:tcW w:w="8897" w:type="dxa"/>
            <w:vAlign w:val="center"/>
            <w:textDirection w:val="lrTb"/>
            <w:noWrap w:val="false"/>
          </w:tcPr>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总得分90-100分，（</w:t>
            </w:r>
            <w:r>
              <w:rPr>
                <w:rFonts w:hint="eastAsia" w:ascii="宋体" w:hAnsi="宋体" w:cs="宋体"/>
                <w:color w:val="auto"/>
                <w:szCs w:val="21"/>
                <w:highlight w:val="none"/>
                <w:lang w:val="en-US" w:eastAsia="zh-CN"/>
              </w:rPr>
              <w:t xml:space="preserve">不扣款</w:t>
            </w:r>
            <w:r>
              <w:rPr>
                <w:rFonts w:hint="eastAsia" w:ascii="宋体" w:hAnsi="宋体" w:cs="宋体"/>
                <w:color w:val="auto"/>
                <w:szCs w:val="21"/>
                <w:highlight w:val="none"/>
              </w:rPr>
              <w:t xml:space="preserve">）；总得分80-90分，（扣除绩效考核金额为：合同总价款的6%）；总得分60-80分，（扣除绩效考核金额为：合同总价款的8%）；总得分0-60分，（扣除绩效考核金额为：合同总价款的10%）</w:t>
            </w:r>
            <w:r/>
          </w:p>
        </w:tc>
      </w:tr>
    </w:tbl>
    <w:p>
      <w:pP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r>
      <w:r/>
    </w:p>
    <w:p>
      <w:pP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r>
      <w:r/>
    </w:p>
    <w:p>
      <w:pPr>
        <w:rPr>
          <w:rFonts w:asciiTheme="minorEastAsia" w:hAnsiTheme="minorEastAsia" w:eastAsiaTheme="minorEastAsia"/>
          <w:color w:val="auto"/>
          <w:highlight w:val="none"/>
        </w:rPr>
      </w:pPr>
      <w:r/>
      <w:bookmarkStart w:id="200" w:name="_Toc22859"/>
      <w:r/>
      <w:bookmarkStart w:id="201" w:name="_Toc6234"/>
      <w:r/>
      <w:bookmarkStart w:id="202" w:name="_Toc194500876"/>
      <w:r/>
      <w:bookmarkStart w:id="203" w:name="_Toc305"/>
      <w:r/>
      <w:bookmarkStart w:id="204" w:name="_Toc30396"/>
      <w:r>
        <w:rPr>
          <w:rFonts w:hint="eastAsia" w:asciiTheme="minorEastAsia" w:hAnsiTheme="minorEastAsia" w:eastAsiaTheme="minorEastAsia"/>
          <w:b/>
          <w:bCs/>
          <w:color w:val="auto"/>
          <w:sz w:val="32"/>
          <w:szCs w:val="32"/>
          <w:highlight w:val="none"/>
        </w:rPr>
        <w:br w:type="page" w:clear="all"/>
      </w:r>
      <w:r/>
    </w:p>
    <w:p>
      <w:pPr>
        <w:jc w:val="left"/>
        <w:spacing w:line="20" w:lineRule="exact"/>
        <w:rPr>
          <w:rFonts w:asciiTheme="minorEastAsia" w:hAnsiTheme="minorEastAsia" w:eastAsiaTheme="minorEastAsia"/>
          <w:b/>
          <w:color w:val="auto"/>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color w:val="auto"/>
          <w:highlight w:val="none"/>
        </w:rPr>
      </w:r>
      <w:r/>
    </w:p>
    <w:p>
      <w:pPr>
        <w:jc w:val="center"/>
        <w:rPr>
          <w:rFonts w:asciiTheme="minorEastAsia" w:hAnsiTheme="minorEastAsia" w:eastAsiaTheme="minorEastAsia"/>
          <w:color w:val="auto"/>
          <w:highlight w:val="none"/>
        </w:rPr>
        <w:outlineLvl w:val="0"/>
      </w:pPr>
      <w:r>
        <w:rPr>
          <w:rFonts w:cs="宋体" w:asciiTheme="minorEastAsia" w:hAnsiTheme="minorEastAsia" w:eastAsiaTheme="minorEastAsia"/>
          <w:b/>
          <w:color w:val="auto"/>
          <w:sz w:val="32"/>
          <w:highlight w:val="none"/>
        </w:rPr>
        <w:t xml:space="preserve">第四章  采购需求</w:t>
      </w:r>
      <w:bookmarkEnd w:id="200"/>
      <w:r/>
      <w:bookmarkEnd w:id="201"/>
      <w:r/>
      <w:bookmarkEnd w:id="202"/>
      <w:r/>
      <w:bookmarkEnd w:id="203"/>
      <w:r/>
      <w:bookmarkEnd w:id="204"/>
      <w:r/>
      <w:r/>
    </w:p>
    <w:p>
      <w:pPr>
        <w:numPr>
          <w:ilvl w:val="0"/>
          <w:numId w:val="5"/>
        </w:numPr>
        <w:ind w:left="405"/>
        <w:tabs>
          <w:tab w:val="left" w:pos="6660" w:leader="none"/>
        </w:tabs>
        <w:rPr>
          <w:rFonts w:ascii="宋体" w:hAnsi="宋体"/>
          <w:b/>
          <w:color w:val="auto"/>
          <w:szCs w:val="21"/>
          <w:highlight w:val="none"/>
        </w:rPr>
      </w:pPr>
      <w:r/>
      <w:bookmarkStart w:id="205" w:name="_Toc26554093"/>
      <w:r/>
      <w:bookmarkStart w:id="206" w:name="_Toc49090575"/>
      <w:r/>
      <w:bookmarkStart w:id="207" w:name="_Toc5953"/>
      <w:r>
        <w:rPr>
          <w:rFonts w:hint="eastAsia" w:ascii="宋体" w:hAnsi="宋体"/>
          <w:b/>
          <w:color w:val="auto"/>
          <w:szCs w:val="21"/>
          <w:highlight w:val="none"/>
        </w:rPr>
        <w:t xml:space="preserve">基本概况：</w:t>
      </w:r>
      <w:r/>
    </w:p>
    <w:p>
      <w:pPr>
        <w:pStyle w:val="881"/>
        <w:ind w:left="424"/>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采购需求：</w:t>
      </w:r>
      <w:r>
        <w:rPr>
          <w:rFonts w:hint="eastAsia" w:ascii="宋体" w:hAnsi="宋体" w:eastAsia="宋体" w:cs="Times New Roman"/>
          <w:color w:val="auto"/>
          <w:sz w:val="21"/>
          <w:szCs w:val="21"/>
          <w:highlight w:val="none"/>
          <w:lang w:val="en-US" w:eastAsia="zh-CN" w:bidi="ar-SA"/>
        </w:rPr>
        <w:t xml:space="preserve">为</w:t>
      </w:r>
      <w:r>
        <w:rPr>
          <w:rFonts w:hint="eastAsia" w:ascii="宋体" w:hAnsi="宋体" w:cs="Times New Roman"/>
          <w:color w:val="auto"/>
          <w:sz w:val="21"/>
          <w:szCs w:val="21"/>
          <w:highlight w:val="none"/>
          <w:lang w:val="en-US" w:eastAsia="zh-CN" w:bidi="ar-SA"/>
        </w:rPr>
        <w:t xml:space="preserve">开展</w:t>
      </w:r>
      <w:r>
        <w:rPr>
          <w:rFonts w:hint="eastAsia" w:ascii="宋体" w:hAnsi="宋体" w:eastAsia="宋体" w:cs="Times New Roman"/>
          <w:color w:val="auto"/>
          <w:sz w:val="21"/>
          <w:szCs w:val="21"/>
          <w:highlight w:val="none"/>
          <w:lang w:val="en-US" w:eastAsia="zh-CN" w:bidi="ar-SA"/>
        </w:rPr>
        <w:t xml:space="preserve">江苏省文学艺术界联合会全年常态化宣传工作，</w:t>
      </w:r>
      <w:r>
        <w:rPr>
          <w:rFonts w:hint="eastAsia" w:ascii="宋体" w:hAnsi="宋体" w:cs="Times New Roman"/>
          <w:color w:val="auto"/>
          <w:sz w:val="21"/>
          <w:szCs w:val="21"/>
          <w:highlight w:val="none"/>
          <w:lang w:val="en-US" w:eastAsia="zh-CN" w:bidi="ar-SA"/>
        </w:rPr>
        <w:t xml:space="preserve">进行</w:t>
      </w:r>
      <w:r>
        <w:rPr>
          <w:rFonts w:hint="eastAsia" w:ascii="宋体" w:hAnsi="宋体" w:eastAsia="宋体" w:cs="Times New Roman"/>
          <w:color w:val="auto"/>
          <w:sz w:val="21"/>
          <w:szCs w:val="21"/>
          <w:highlight w:val="none"/>
          <w:lang w:val="en-US" w:eastAsia="zh-CN" w:bidi="ar-SA"/>
        </w:rPr>
        <w:t xml:space="preserve">活动策划、内容创作、线上</w:t>
      </w:r>
      <w:r>
        <w:rPr>
          <w:rFonts w:hint="eastAsia" w:ascii="宋体" w:hAnsi="宋体" w:cs="Times New Roman"/>
          <w:color w:val="auto"/>
          <w:sz w:val="21"/>
          <w:szCs w:val="21"/>
          <w:highlight w:val="none"/>
          <w:lang w:val="en-US" w:eastAsia="zh-CN" w:bidi="ar-SA"/>
        </w:rPr>
        <w:t xml:space="preserve">发布</w:t>
      </w:r>
      <w:r>
        <w:rPr>
          <w:rFonts w:hint="eastAsia" w:ascii="宋体" w:hAnsi="宋体" w:eastAsia="宋体" w:cs="Times New Roman"/>
          <w:color w:val="auto"/>
          <w:sz w:val="21"/>
          <w:szCs w:val="21"/>
          <w:highlight w:val="none"/>
          <w:lang w:val="en-US" w:eastAsia="zh-CN" w:bidi="ar-SA"/>
        </w:rPr>
        <w:t xml:space="preserve">运营</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矩阵分发推广</w:t>
      </w:r>
      <w:r>
        <w:rPr>
          <w:rFonts w:hint="eastAsia" w:ascii="宋体" w:hAnsi="宋体" w:cs="Times New Roman"/>
          <w:color w:val="auto"/>
          <w:sz w:val="21"/>
          <w:szCs w:val="21"/>
          <w:highlight w:val="none"/>
          <w:lang w:val="en-US" w:eastAsia="zh-CN" w:bidi="ar-SA"/>
        </w:rPr>
        <w:t xml:space="preserve">、</w:t>
      </w:r>
      <w:r>
        <w:rPr>
          <w:rFonts w:hint="eastAsia" w:ascii="宋体" w:hAnsi="宋体"/>
          <w:color w:val="auto"/>
          <w:szCs w:val="21"/>
          <w:highlight w:val="none"/>
        </w:rPr>
        <w:t xml:space="preserve">总结与评估</w:t>
      </w:r>
      <w:r>
        <w:rPr>
          <w:rFonts w:hint="eastAsia" w:ascii="宋体" w:hAnsi="宋体" w:eastAsia="宋体" w:cs="Times New Roman"/>
          <w:color w:val="auto"/>
          <w:sz w:val="21"/>
          <w:szCs w:val="21"/>
          <w:highlight w:val="none"/>
          <w:lang w:val="en-US" w:eastAsia="zh-CN" w:bidi="ar-SA"/>
        </w:rPr>
        <w:t xml:space="preserve">，整合各类主流新媒体传播渠道，综合运用短视频、线上直播等多元</w:t>
      </w:r>
      <w:r>
        <w:rPr>
          <w:rFonts w:hint="eastAsia" w:ascii="宋体" w:hAnsi="宋体" w:cs="Times New Roman"/>
          <w:color w:val="auto"/>
          <w:sz w:val="21"/>
          <w:szCs w:val="21"/>
          <w:highlight w:val="none"/>
          <w:lang w:val="en-US" w:eastAsia="zh-CN" w:bidi="ar-SA"/>
        </w:rPr>
        <w:t xml:space="preserve">新</w:t>
      </w:r>
      <w:r>
        <w:rPr>
          <w:rFonts w:hint="eastAsia" w:ascii="宋体" w:hAnsi="宋体" w:eastAsia="宋体" w:cs="Times New Roman"/>
          <w:color w:val="auto"/>
          <w:sz w:val="21"/>
          <w:szCs w:val="21"/>
          <w:highlight w:val="none"/>
          <w:lang w:val="en-US" w:eastAsia="zh-CN" w:bidi="ar-SA"/>
        </w:rPr>
        <w:t xml:space="preserve">媒体</w:t>
      </w:r>
      <w:r>
        <w:rPr>
          <w:rFonts w:hint="eastAsia" w:ascii="宋体" w:hAnsi="宋体" w:cs="Times New Roman"/>
          <w:color w:val="auto"/>
          <w:sz w:val="21"/>
          <w:szCs w:val="21"/>
          <w:highlight w:val="none"/>
          <w:lang w:val="en-US" w:eastAsia="zh-CN" w:bidi="ar-SA"/>
        </w:rPr>
        <w:t xml:space="preserve">形式</w:t>
      </w:r>
      <w:r>
        <w:rPr>
          <w:rFonts w:hint="eastAsia" w:ascii="宋体" w:hAnsi="宋体" w:eastAsia="宋体" w:cs="Times New Roman"/>
          <w:color w:val="auto"/>
          <w:sz w:val="21"/>
          <w:szCs w:val="21"/>
          <w:highlight w:val="none"/>
          <w:lang w:val="en-US" w:eastAsia="zh-CN" w:bidi="ar-SA"/>
        </w:rPr>
        <w:t xml:space="preserve">，打造特色交互传播阵地，做好微信公众号、视频号等平台的运营维护，完成服务项目实施过程中涉及的其他相关工作，全方位展现</w:t>
      </w:r>
      <w:r>
        <w:rPr>
          <w:rFonts w:hint="eastAsia" w:ascii="宋体" w:hAnsi="宋体" w:cs="Times New Roman"/>
          <w:color w:val="auto"/>
          <w:sz w:val="21"/>
          <w:szCs w:val="21"/>
          <w:highlight w:val="none"/>
          <w:lang w:val="en-US" w:eastAsia="zh-CN" w:bidi="ar-SA"/>
        </w:rPr>
        <w:t xml:space="preserve">江苏</w:t>
      </w:r>
      <w:r>
        <w:rPr>
          <w:rFonts w:hint="eastAsia" w:ascii="宋体" w:hAnsi="宋体" w:eastAsia="宋体" w:cs="Times New Roman"/>
          <w:color w:val="auto"/>
          <w:sz w:val="21"/>
          <w:szCs w:val="21"/>
          <w:highlight w:val="none"/>
          <w:lang w:val="en-US" w:eastAsia="zh-CN" w:bidi="ar-SA"/>
        </w:rPr>
        <w:t xml:space="preserve">省文联各项重点工作与特色活动亮点，持续提升省文联文艺品牌的知名度、传播力与影响力。</w:t>
      </w:r>
      <w:r/>
    </w:p>
    <w:p>
      <w:pPr>
        <w:pStyle w:val="882"/>
        <w:ind w:left="424"/>
        <w:rPr>
          <w:rFonts w:hint="eastAsia" w:ascii="宋体" w:hAnsi="宋体" w:eastAsia="宋体"/>
          <w:color w:val="auto"/>
          <w:sz w:val="21"/>
          <w:szCs w:val="21"/>
          <w:highlight w:val="none"/>
        </w:rPr>
      </w:pPr>
      <w:r>
        <w:rPr>
          <w:rFonts w:ascii="宋体" w:hAnsi="宋体" w:eastAsia="宋体"/>
          <w:b/>
          <w:color w:val="auto"/>
          <w:sz w:val="21"/>
          <w:szCs w:val="21"/>
          <w:highlight w:val="none"/>
        </w:rPr>
        <w:t xml:space="preserve">1.2 </w:t>
      </w:r>
      <w:r>
        <w:rPr>
          <w:rFonts w:hint="eastAsia" w:ascii="宋体" w:hAnsi="宋体" w:eastAsia="宋体"/>
          <w:b/>
          <w:color w:val="auto"/>
          <w:sz w:val="21"/>
          <w:szCs w:val="21"/>
          <w:highlight w:val="none"/>
        </w:rPr>
        <w:t xml:space="preserve">明细内容</w:t>
      </w:r>
      <w:r>
        <w:rPr>
          <w:rFonts w:hint="eastAsia" w:ascii="宋体" w:hAnsi="宋体" w:eastAsia="宋体"/>
          <w:color w:val="auto"/>
          <w:sz w:val="21"/>
          <w:szCs w:val="21"/>
          <w:highlight w:val="none"/>
        </w:rPr>
        <w:t xml:space="preserve"> </w:t>
      </w:r>
      <w:r/>
    </w:p>
    <w:tbl>
      <w:tblPr>
        <w:tblStyle w:val="874"/>
        <w:tblW w:w="0" w:type="auto"/>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4"/>
        <w:gridCol w:w="1222"/>
      </w:tblGrid>
      <w:tr>
        <w:trPr/>
        <w:tc>
          <w:tcPr>
            <w:tcW w:w="8189" w:type="dxa"/>
            <w:vAlign w:val="top"/>
            <w:textDirection w:val="lrTb"/>
            <w:noWrap w:val="false"/>
          </w:tcPr>
          <w:p>
            <w:pPr>
              <w:pStyle w:val="882"/>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项目 </w:t>
            </w:r>
            <w:r/>
          </w:p>
        </w:tc>
        <w:tc>
          <w:tcPr>
            <w:tcW w:w="1242" w:type="dxa"/>
            <w:vAlign w:val="top"/>
            <w:textDirection w:val="lrTb"/>
            <w:noWrap w:val="false"/>
          </w:tcPr>
          <w:p>
            <w:pPr>
              <w:pStyle w:val="882"/>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数量</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新闻信息服务</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APP专题页面维护</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宣传海报设计制作</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40张</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网络媒体传播矩阵</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户外大屏支持</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网络直播</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40场</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系列短视频产品</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90条</w:t>
            </w:r>
            <w:r/>
          </w:p>
        </w:tc>
      </w:tr>
      <w:tr>
        <w:trPr/>
        <w:tc>
          <w:tcPr>
            <w:tcW w:w="8189" w:type="dxa"/>
            <w:vAlign w:val="top"/>
            <w:textDirection w:val="lrTb"/>
            <w:noWrap w:val="false"/>
          </w:tcPr>
          <w:p>
            <w:pPr>
              <w:rPr>
                <w:rFonts w:ascii="宋体" w:hAnsi="宋体" w:cs="黑体"/>
                <w:color w:val="auto"/>
                <w:szCs w:val="21"/>
                <w:highlight w:val="none"/>
              </w:rPr>
            </w:pPr>
            <w:r>
              <w:rPr>
                <w:rFonts w:hint="eastAsia" w:ascii="宋体" w:hAnsi="宋体" w:cs="黑体"/>
                <w:color w:val="auto"/>
                <w:szCs w:val="21"/>
                <w:highlight w:val="none"/>
              </w:rPr>
              <w:t xml:space="preserve">“江苏文联”公众号、视频号日常内容生产及运营。具体服务内容如下：</w:t>
            </w:r>
            <w:r/>
          </w:p>
          <w:p>
            <w:pPr>
              <w:rPr>
                <w:rFonts w:hint="eastAsia" w:ascii="宋体" w:hAnsi="宋体" w:cs="黑体"/>
                <w:color w:val="auto"/>
                <w:szCs w:val="21"/>
                <w:highlight w:val="none"/>
              </w:rPr>
            </w:pPr>
            <w:r>
              <w:rPr>
                <w:rFonts w:hint="eastAsia" w:ascii="宋体" w:hAnsi="宋体" w:cs="黑体"/>
                <w:color w:val="auto"/>
                <w:szCs w:val="21"/>
                <w:highlight w:val="none"/>
              </w:rPr>
              <w:t xml:space="preserve">1.完成微信平台所需的编辑、排版、设计、校对服务。</w:t>
            </w:r>
            <w:r/>
          </w:p>
          <w:p>
            <w:pPr>
              <w:rPr>
                <w:rFonts w:hint="eastAsia" w:ascii="宋体" w:hAnsi="宋体" w:cs="黑体"/>
                <w:color w:val="auto"/>
                <w:szCs w:val="21"/>
                <w:highlight w:val="none"/>
              </w:rPr>
            </w:pPr>
            <w:r>
              <w:rPr>
                <w:rFonts w:hint="eastAsia" w:ascii="宋体" w:hAnsi="宋体" w:cs="黑体"/>
                <w:color w:val="auto"/>
                <w:szCs w:val="21"/>
                <w:highlight w:val="none"/>
              </w:rPr>
              <w:t xml:space="preserve">2.生产内容包括文字、摄影、摄像及其编辑剪辑服务等。</w:t>
            </w:r>
            <w:r/>
          </w:p>
          <w:p>
            <w:pPr>
              <w:rPr>
                <w:rFonts w:hint="eastAsia" w:ascii="宋体" w:hAnsi="宋体" w:cs="黑体"/>
                <w:color w:val="auto"/>
                <w:szCs w:val="21"/>
                <w:highlight w:val="none"/>
              </w:rPr>
            </w:pPr>
            <w:r>
              <w:rPr>
                <w:rFonts w:hint="eastAsia" w:ascii="宋体" w:hAnsi="宋体" w:cs="黑体"/>
                <w:color w:val="auto"/>
                <w:szCs w:val="21"/>
                <w:highlight w:val="none"/>
              </w:rPr>
              <w:t xml:space="preserve">3.每日更新，原则上每天发布2篇推文。遇重大文艺活动、主题宣传任务，按需增加</w:t>
            </w:r>
            <w:r>
              <w:rPr>
                <w:rFonts w:hint="eastAsia" w:ascii="宋体" w:hAnsi="宋体" w:cs="黑体"/>
                <w:color w:val="auto"/>
                <w:szCs w:val="21"/>
                <w:highlight w:val="none"/>
                <w:lang w:eastAsia="zh-CN"/>
              </w:rPr>
              <w:t xml:space="preserve">推送</w:t>
            </w:r>
            <w:r>
              <w:rPr>
                <w:rFonts w:hint="eastAsia" w:ascii="宋体" w:hAnsi="宋体" w:cs="黑体"/>
                <w:color w:val="auto"/>
                <w:szCs w:val="21"/>
                <w:highlight w:val="none"/>
              </w:rPr>
              <w:t xml:space="preserve">频次。视频号根据活动报道需求，常规宣推视频确保传播时效与视觉品质</w:t>
            </w:r>
            <w:r>
              <w:rPr>
                <w:rFonts w:hint="eastAsia" w:ascii="宋体" w:hAnsi="宋体" w:cs="黑体"/>
                <w:color w:val="auto"/>
                <w:szCs w:val="21"/>
                <w:highlight w:val="none"/>
                <w:lang w:eastAsia="zh-CN"/>
              </w:rPr>
              <w:t xml:space="preserve">，</w:t>
            </w:r>
            <w:r>
              <w:rPr>
                <w:rFonts w:hint="eastAsia" w:ascii="宋体" w:hAnsi="宋体" w:cs="黑体"/>
                <w:color w:val="auto"/>
                <w:szCs w:val="21"/>
                <w:highlight w:val="none"/>
              </w:rPr>
              <w:t xml:space="preserve">重要节点及重点项目推出系列视频，统一风格调性，提升传播辨识度。</w:t>
            </w:r>
            <w:r/>
          </w:p>
          <w:p>
            <w:pPr>
              <w:rPr>
                <w:rFonts w:hint="eastAsia" w:ascii="宋体" w:hAnsi="宋体"/>
                <w:color w:val="auto"/>
                <w:szCs w:val="21"/>
                <w:highlight w:val="none"/>
              </w:rPr>
            </w:pPr>
            <w:r>
              <w:rPr>
                <w:rFonts w:hint="eastAsia" w:ascii="宋体" w:hAnsi="宋体" w:cs="黑体"/>
                <w:color w:val="auto"/>
                <w:szCs w:val="21"/>
                <w:highlight w:val="none"/>
              </w:rPr>
              <w:t xml:space="preserve">4.项目配置1名项目管理人员、1名编辑人员、2名美术设计人员。</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r>
        <w:trPr/>
        <w:tc>
          <w:tcPr>
            <w:tcW w:w="8189" w:type="dxa"/>
            <w:vAlign w:val="top"/>
            <w:textDirection w:val="lrTb"/>
            <w:noWrap w:val="false"/>
          </w:tcPr>
          <w:p>
            <w:pPr>
              <w:pStyle w:val="882"/>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《繁荣》周刊编辑排版发行。具体服务内容如下：</w:t>
            </w:r>
            <w:r/>
          </w:p>
          <w:p>
            <w:pPr>
              <w:rPr>
                <w:rFonts w:ascii="宋体" w:hAnsi="宋体"/>
                <w:color w:val="auto"/>
                <w:szCs w:val="21"/>
                <w:highlight w:val="none"/>
              </w:rPr>
            </w:pPr>
            <w:r>
              <w:rPr>
                <w:rFonts w:hint="eastAsia" w:ascii="宋体" w:hAnsi="宋体" w:cs="黑体"/>
                <w:color w:val="auto"/>
                <w:szCs w:val="21"/>
                <w:highlight w:val="none"/>
              </w:rPr>
              <w:t xml:space="preserve">在报刊平台增设《繁荣》周刊，每两周安排2个报纸版面，固定周日出版，跟随全省发行，另加印1</w:t>
            </w:r>
            <w:r>
              <w:rPr>
                <w:rFonts w:ascii="宋体" w:hAnsi="宋体" w:cs="黑体"/>
                <w:color w:val="auto"/>
                <w:szCs w:val="21"/>
                <w:highlight w:val="none"/>
              </w:rPr>
              <w:t xml:space="preserve">000</w:t>
            </w:r>
            <w:r>
              <w:rPr>
                <w:rFonts w:hint="eastAsia" w:ascii="宋体" w:hAnsi="宋体" w:cs="黑体"/>
                <w:color w:val="auto"/>
                <w:szCs w:val="21"/>
                <w:highlight w:val="none"/>
              </w:rPr>
              <w:t xml:space="preserve">份投递至甲方给定地址。</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r>
        <w:trPr/>
        <w:tc>
          <w:tcPr>
            <w:tcW w:w="8189"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舆情监测</w:t>
            </w:r>
            <w:r/>
          </w:p>
        </w:tc>
        <w:tc>
          <w:tcPr>
            <w:tcW w:w="1242" w:type="dxa"/>
            <w:vAlign w:val="top"/>
            <w:textDirection w:val="lrTb"/>
            <w:noWrap w:val="false"/>
          </w:tcPr>
          <w:p>
            <w:pPr>
              <w:pStyle w:val="88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w:t>
            </w:r>
            <w:r/>
          </w:p>
        </w:tc>
      </w:tr>
    </w:tbl>
    <w:p>
      <w:pPr>
        <w:pStyle w:val="882"/>
        <w:rPr>
          <w:rFonts w:hint="eastAsia"/>
          <w:color w:val="auto"/>
          <w:highlight w:val="none"/>
        </w:rPr>
      </w:pPr>
      <w:r>
        <w:rPr>
          <w:rFonts w:hint="eastAsia"/>
          <w:color w:val="auto"/>
          <w:highlight w:val="none"/>
        </w:rPr>
      </w:r>
      <w:r/>
    </w:p>
    <w:p>
      <w:pPr>
        <w:ind w:firstLine="405"/>
        <w:tabs>
          <w:tab w:val="left" w:pos="6660" w:leader="none"/>
        </w:tabs>
        <w:rPr>
          <w:rFonts w:ascii="宋体" w:hAnsi="宋体"/>
          <w:b/>
          <w:color w:val="auto"/>
          <w:szCs w:val="21"/>
          <w:highlight w:val="none"/>
        </w:rPr>
      </w:pPr>
      <w:r>
        <w:rPr>
          <w:rFonts w:hint="eastAsia" w:ascii="宋体" w:hAnsi="宋体"/>
          <w:b/>
          <w:color w:val="auto"/>
          <w:szCs w:val="21"/>
          <w:highlight w:val="none"/>
        </w:rPr>
        <w:t xml:space="preserve">二、服务要求 </w:t>
      </w:r>
      <w:r>
        <w:rPr>
          <w:rFonts w:ascii="宋体" w:hAnsi="宋体"/>
          <w:b/>
          <w:color w:val="auto"/>
          <w:szCs w:val="21"/>
          <w:highlight w:val="none"/>
        </w:rPr>
        <w:t xml:space="preserve"> </w:t>
      </w:r>
      <w:r/>
    </w:p>
    <w:p>
      <w:pPr>
        <w:pStyle w:val="881"/>
        <w:rPr>
          <w:rFonts w:hint="eastAsia" w:ascii="宋体" w:hAnsi="宋体"/>
          <w:color w:val="auto"/>
          <w:sz w:val="21"/>
          <w:szCs w:val="21"/>
          <w:highlight w:val="none"/>
        </w:rPr>
      </w:pPr>
      <w:r>
        <w:rPr>
          <w:rFonts w:hint="eastAsia" w:ascii="宋体" w:hAnsi="宋体"/>
          <w:color w:val="auto"/>
          <w:sz w:val="21"/>
          <w:szCs w:val="21"/>
          <w:highlight w:val="none"/>
        </w:rPr>
        <w:t xml:space="preserve">   （一）品牌提升服务</w:t>
      </w:r>
      <w:r/>
    </w:p>
    <w:p>
      <w:pPr>
        <w:pStyle w:val="881"/>
        <w:ind w:left="42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围绕省文联品牌项目矩阵和传播运营矩阵，突出重点活动，展开全方位、深层次的策划与传播攻势。</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1、新闻信息服务</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投标人能够常态化动态跟踪报道省文联全年各类精品演出、主题美术展览、艺术赛事、民间文艺大展等活动，围绕江苏省文联工作进行热点策划，打造具有影响力和示范性的重磅报道，同时进行全媒体矩阵传播推广。</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2、网络直播</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投标人拥有专门的直播平台，以及全流程的直播团队，根据要求采取线上直播形式，满足不同场合需求。</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（二）新媒体移动端运维</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1、公众号美化升级、日常维护</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投标人运维公众号，利用核心资源，为省文联微信公众号赋能升级，打造一个集文化传播、艺术传承于一体的新媒体阵地，以适应信息化时代的需求。</w:t>
      </w:r>
      <w:r/>
    </w:p>
    <w:p>
      <w:pPr>
        <w:pStyle w:val="882"/>
        <w:ind w:left="424"/>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2、APP专题页面维护</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投标人自有资源包含APP客户端，能在APP客户端为江苏省文联宣传工作增设专题页面，收纳汇聚关于省文联的所有报道链接和宣传产品。</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3、微信视频号</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需为省文联运营微信视频号平台，根据活动报道频次，宣推视频。包括日常新闻报道视频、直播碎片视频，以及系列短视频等，借助新媒体移动端平台传播速度快、传播面广的特点，为省文联全年开展的活动扩大影响力，进一步传递江苏文艺的品牌价值。</w:t>
      </w:r>
      <w:r/>
    </w:p>
    <w:p>
      <w:pPr>
        <w:pStyle w:val="882"/>
        <w:numPr>
          <w:ilvl w:val="0"/>
          <w:numId w:val="6"/>
        </w:numPr>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新媒体文化类大咖联合爆款策划</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投标人需具备强大资源整合能力，能够权威、专业</w:t>
      </w:r>
      <w:r>
        <w:rPr>
          <w:rFonts w:hint="eastAsia" w:ascii="宋体" w:hAnsi="宋体" w:eastAsia="宋体" w:cs="Times New Roman"/>
          <w:color w:val="auto"/>
          <w:sz w:val="21"/>
          <w:szCs w:val="21"/>
          <w:highlight w:val="none"/>
          <w:lang w:eastAsia="zh-CN"/>
        </w:rPr>
        <w:t xml:space="preserve">地</w:t>
      </w:r>
      <w:r>
        <w:rPr>
          <w:rFonts w:hint="eastAsia" w:ascii="宋体" w:hAnsi="宋体" w:eastAsia="宋体" w:cs="Times New Roman"/>
          <w:color w:val="auto"/>
          <w:sz w:val="21"/>
          <w:szCs w:val="21"/>
          <w:highlight w:val="none"/>
        </w:rPr>
        <w:t xml:space="preserve">贴合社会热点策划主题活动，邀请文化名家、文艺大咖、知名艺术家</w:t>
      </w:r>
      <w:r>
        <w:rPr>
          <w:rFonts w:hint="eastAsia" w:ascii="宋体" w:hAnsi="宋体" w:eastAsia="宋体" w:cs="Times New Roman"/>
          <w:color w:val="auto"/>
          <w:sz w:val="21"/>
          <w:szCs w:val="21"/>
          <w:highlight w:val="none"/>
          <w:lang w:eastAsia="zh-CN"/>
        </w:rPr>
        <w:t xml:space="preserve">参与</w:t>
      </w:r>
      <w:r>
        <w:rPr>
          <w:rFonts w:hint="eastAsia" w:ascii="宋体" w:hAnsi="宋体" w:eastAsia="宋体" w:cs="Times New Roman"/>
          <w:color w:val="auto"/>
          <w:sz w:val="21"/>
          <w:szCs w:val="21"/>
          <w:highlight w:val="none"/>
        </w:rPr>
        <w:t xml:space="preserve">推广活动，制作新媒体产品进行宣传，形成强大社会影响力。</w:t>
      </w:r>
      <w:r/>
    </w:p>
    <w:p>
      <w:pPr>
        <w:pStyle w:val="882"/>
        <w:ind w:left="424"/>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5、《繁荣》周刊出版发行服务</w:t>
      </w:r>
      <w:r/>
    </w:p>
    <w:p>
      <w:pPr>
        <w:ind w:left="420"/>
        <w:rPr>
          <w:rFonts w:hint="eastAsia" w:ascii="宋体" w:hAnsi="宋体" w:eastAsia="宋体" w:cs="Times New Roman"/>
          <w:color w:val="auto"/>
          <w:sz w:val="21"/>
          <w:szCs w:val="24"/>
          <w:highlight w:val="none"/>
          <w:lang w:val="en-US" w:eastAsia="zh-CN" w:bidi="ar-SA"/>
        </w:rPr>
      </w:pPr>
      <w:r>
        <w:rPr>
          <w:rFonts w:hint="eastAsia" w:ascii="宋体" w:hAnsi="宋体"/>
          <w:color w:val="auto"/>
          <w:highlight w:val="none"/>
        </w:rPr>
        <w:t xml:space="preserve">投标人需为省文联自有报刊《繁荣》提供内容支撑，丰富完善“策、采、编、审、发”流程，为采购人增设《繁荣》周刊作为副刊，每两周安排2个报纸版面，固定周日出版，</w:t>
      </w:r>
      <w:r>
        <w:rPr>
          <w:rFonts w:hint="eastAsia" w:ascii="宋体" w:hAnsi="宋体" w:eastAsia="宋体" w:cs="Times New Roman"/>
          <w:color w:val="auto"/>
          <w:sz w:val="21"/>
          <w:szCs w:val="24"/>
          <w:highlight w:val="none"/>
          <w:lang w:val="en-US" w:eastAsia="zh-CN" w:bidi="ar-SA"/>
        </w:rPr>
        <w:t xml:space="preserve">另加印1000份投递至甲方给定地址，形成强大传播声量。</w:t>
      </w:r>
      <w:r/>
    </w:p>
    <w:p>
      <w:pPr>
        <w:numPr>
          <w:ilvl w:val="0"/>
          <w:numId w:val="0"/>
        </w:numPr>
        <w:ind w:firstLine="420"/>
        <w:rPr>
          <w:rFonts w:hint="eastAsia" w:ascii="宋体" w:hAnsi="宋体" w:eastAsia="宋体" w:cs="Times New Roman"/>
          <w:color w:val="auto"/>
          <w:sz w:val="21"/>
          <w:szCs w:val="24"/>
          <w:highlight w:val="none"/>
          <w:lang w:val="en-US" w:eastAsia="zh-CN" w:bidi="ar-SA"/>
        </w:rPr>
      </w:pPr>
      <w:r>
        <w:rPr>
          <w:rFonts w:hint="eastAsia" w:ascii="宋体" w:hAnsi="宋体" w:cs="Times New Roman"/>
          <w:color w:val="auto"/>
          <w:sz w:val="21"/>
          <w:szCs w:val="24"/>
          <w:highlight w:val="none"/>
          <w:lang w:val="en-US" w:eastAsia="zh-CN" w:bidi="ar-SA"/>
        </w:rPr>
        <w:t xml:space="preserve">6、</w:t>
      </w:r>
      <w:r>
        <w:rPr>
          <w:rFonts w:hint="eastAsia" w:ascii="宋体" w:hAnsi="宋体" w:eastAsia="宋体" w:cs="Times New Roman"/>
          <w:color w:val="auto"/>
          <w:sz w:val="21"/>
          <w:szCs w:val="24"/>
          <w:highlight w:val="none"/>
          <w:lang w:val="en-US" w:eastAsia="zh-CN" w:bidi="ar-SA"/>
        </w:rPr>
        <w:t xml:space="preserve">数智技术支撑矩阵</w:t>
      </w:r>
      <w:r/>
    </w:p>
    <w:p>
      <w:pPr>
        <w:numPr>
          <w:ilvl w:val="0"/>
          <w:numId w:val="0"/>
        </w:numPr>
        <w:ind w:firstLine="420"/>
        <w:rPr>
          <w:rFonts w:hint="eastAsia" w:ascii="宋体" w:hAnsi="宋体" w:eastAsia="宋体"/>
          <w:color w:val="auto"/>
          <w:highlight w:val="none"/>
          <w:lang w:val="en-US" w:eastAsia="zh-CN"/>
        </w:rPr>
      </w:pPr>
      <w:r>
        <w:rPr>
          <w:rFonts w:hint="eastAsia" w:ascii="宋体" w:hAnsi="宋体" w:cs="Times New Roman"/>
          <w:color w:val="auto"/>
          <w:sz w:val="21"/>
          <w:szCs w:val="24"/>
          <w:highlight w:val="none"/>
          <w:lang w:val="en-US" w:eastAsia="zh-CN" w:bidi="ar-SA"/>
        </w:rPr>
        <w:t xml:space="preserve">投标人需能</w:t>
      </w:r>
      <w:r>
        <w:rPr>
          <w:rFonts w:hint="eastAsia" w:ascii="宋体" w:hAnsi="宋体" w:eastAsia="宋体" w:cs="Times New Roman"/>
          <w:color w:val="auto"/>
          <w:sz w:val="21"/>
          <w:szCs w:val="24"/>
          <w:highlight w:val="none"/>
          <w:lang w:val="en-US" w:eastAsia="zh-CN" w:bidi="ar-SA"/>
        </w:rPr>
        <w:t xml:space="preserve">提供AI虚拟演播、直播、AIGC短视频生产、用户投稿系统等技术服务，助力数字文联建设。</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（三）活动策划</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1、活动策划</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投标人需配备专业团队着力为省文联大型活动服务，整合汇聚全社全网资源，从原生内容、大型活动、跨媒体互动等方式进行全方位线上传播与线下互动参与为一体的全媒体策划方案。</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2、视频类产品策划制作</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投标人具有视频制作团队、利用核心技术手段，能够为省文联的展览、展演，策划制作适应多场合应用与社会媒体、平台宣传需求</w:t>
      </w:r>
      <w:r>
        <w:rPr>
          <w:rFonts w:hint="eastAsia" w:ascii="宋体" w:hAnsi="宋体" w:eastAsia="宋体" w:cs="Times New Roman"/>
          <w:color w:val="auto"/>
          <w:sz w:val="21"/>
          <w:szCs w:val="21"/>
          <w:highlight w:val="none"/>
          <w:lang w:eastAsia="zh-CN"/>
        </w:rPr>
        <w:t xml:space="preserve">，具</w:t>
      </w:r>
      <w:r>
        <w:rPr>
          <w:rFonts w:hint="eastAsia" w:ascii="宋体" w:hAnsi="宋体" w:eastAsia="宋体" w:cs="Times New Roman"/>
          <w:color w:val="auto"/>
          <w:sz w:val="21"/>
          <w:szCs w:val="21"/>
          <w:highlight w:val="none"/>
        </w:rPr>
        <w:t xml:space="preserve">有深刻内涵、主流影响力的长视频和短视频产品，并通过社内全媒体矩阵推广传播。</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（四）对外传播服务</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投标人需有权威国际传播资源，开设海外社交媒体账号矩阵，进一步推动提升江苏省文联影响力。</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（五）宣传渠道赋能</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1、中央、省级媒体资源</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投标人需联动央级网络媒体，以及省级主流媒体形成主流报道矩阵，在网络上形成强大声量，铺开宣传范围，营造社会氛围。</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2、社交平台资源</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投标人在微信、抖音、视频号、小红书等社交平台具备强大的公信力和影响力，依托强大自有粉丝基础，实现变“文联声音”大流量为正能量。</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3、户外传播资源</w:t>
      </w:r>
      <w:r/>
    </w:p>
    <w:p>
      <w:pPr>
        <w:pStyle w:val="882"/>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投标人自有资源包含户外大屏，在宣传周期内进行配合传播，引发社会关注，形成强大声量。</w:t>
      </w:r>
      <w:r/>
    </w:p>
    <w:p>
      <w:pPr>
        <w:pStyle w:val="882"/>
        <w:numPr>
          <w:ilvl w:val="0"/>
          <w:numId w:val="7"/>
        </w:numPr>
        <w:ind w:left="424"/>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舆情监测及应急预案</w:t>
      </w:r>
      <w:r/>
    </w:p>
    <w:p>
      <w:pPr>
        <w:ind w:left="42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投标人自有数据分析平台，能为江苏省文联提供全年舆情监测服务，每月出具舆情监测报告，帮助文联实时洞察舆情态势，有效应对各类网络舆情事件，确保文稿内容的安全合规。</w:t>
      </w:r>
      <w:r/>
    </w:p>
    <w:p>
      <w:pPr>
        <w:ind w:left="42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具体包含：1.人工预警服务（多媒介多平台为用户发现负面舆情）；2.文稿智能审核（对单位自媒体等平台进行全面审核，增加单位公文政治把关，意识形态审核）。</w:t>
      </w:r>
      <w:r/>
    </w:p>
    <w:p>
      <w:pPr>
        <w:rPr>
          <w:color w:val="auto"/>
          <w:highlight w:val="none"/>
        </w:rPr>
      </w:pPr>
      <w:r>
        <w:rPr>
          <w:color w:val="auto"/>
          <w:highlight w:val="none"/>
        </w:rPr>
      </w:r>
      <w:r/>
    </w:p>
    <w:p>
      <w:pPr>
        <w:jc w:val="left"/>
        <w:spacing w:line="360" w:lineRule="auto"/>
        <w:rPr>
          <w:rFonts w:hint="eastAsia"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r>
      <w:r/>
    </w:p>
    <w:p>
      <w:pPr>
        <w:jc w:val="left"/>
        <w:spacing w:line="360" w:lineRule="auto"/>
        <w:rPr>
          <w:rFonts w:hint="eastAsia"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r>
      <w:r/>
    </w:p>
    <w:p>
      <w:pPr>
        <w:jc w:val="left"/>
        <w:spacing w:line="360" w:lineRule="auto"/>
        <w:rPr>
          <w:rFonts w:hint="eastAsia"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r>
      <w:r/>
    </w:p>
    <w:p>
      <w:pPr>
        <w:jc w:val="left"/>
        <w:spacing w:line="360" w:lineRule="auto"/>
        <w:rPr>
          <w:rFonts w:hint="eastAsia"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r>
      <w:bookmarkEnd w:id="205"/>
      <w:bookmarkEnd w:id="206"/>
      <w:bookmarkEnd w:id="207"/>
      <w:r/>
    </w:p>
    <w:p>
      <w:pPr>
        <w:rPr>
          <w:rFonts w:asciiTheme="minorEastAsia" w:hAnsiTheme="minorEastAsia" w:eastAsiaTheme="minorEastAsia"/>
          <w:color w:val="auto"/>
          <w:highlight w:val="none"/>
        </w:rPr>
      </w:pPr>
      <w:r/>
      <w:bookmarkStart w:id="208" w:name="_Hlk179981170"/>
      <w:r/>
      <w:bookmarkStart w:id="209" w:name="_Hlk183025149"/>
      <w:r/>
      <w:bookmarkStart w:id="210" w:name="_Hlk179555667"/>
      <w:r/>
      <w:bookmarkStart w:id="211" w:name="_Hlk183025379"/>
      <w:r/>
      <w:bookmarkEnd w:id="208"/>
      <w:bookmarkEnd w:id="209"/>
      <w:bookmarkEnd w:id="210"/>
      <w:bookmarkEnd w:id="211"/>
      <w:r/>
    </w:p>
    <w:p>
      <w:pPr>
        <w:jc w:val="center"/>
        <w:rPr>
          <w:rFonts w:cs="宋体" w:asciiTheme="minorEastAsia" w:hAnsiTheme="minorEastAsia" w:eastAsiaTheme="minorEastAsia"/>
          <w:b/>
          <w:color w:val="auto"/>
          <w:sz w:val="32"/>
          <w:highlight w:val="none"/>
        </w:rPr>
        <w:outlineLvl w:val="0"/>
      </w:pPr>
      <w:r/>
      <w:bookmarkStart w:id="212" w:name="_Toc26095"/>
      <w:r/>
      <w:bookmarkStart w:id="213" w:name="_Toc194500888"/>
      <w:r/>
      <w:bookmarkStart w:id="214" w:name="_Toc15487"/>
      <w:r/>
      <w:bookmarkStart w:id="215" w:name="_Toc675"/>
      <w:r/>
      <w:bookmarkStart w:id="216" w:name="_Toc1170"/>
      <w:r>
        <w:rPr>
          <w:rFonts w:hint="eastAsia" w:cs="宋体" w:asciiTheme="minorEastAsia" w:hAnsiTheme="minorEastAsia" w:eastAsiaTheme="minorEastAsia"/>
          <w:b/>
          <w:color w:val="auto"/>
          <w:sz w:val="32"/>
          <w:highlight w:val="none"/>
        </w:rPr>
        <w:br w:type="page" w:clear="all"/>
      </w:r>
      <w:r/>
    </w:p>
    <w:p>
      <w:pPr>
        <w:jc w:val="center"/>
        <w:rPr>
          <w:rFonts w:asciiTheme="minorEastAsia" w:hAnsiTheme="minorEastAsia" w:eastAsiaTheme="minorEastAsia"/>
          <w:color w:val="auto"/>
          <w:highlight w:val="none"/>
        </w:rPr>
        <w:outlineLvl w:val="0"/>
      </w:pPr>
      <w:r>
        <w:rPr>
          <w:rFonts w:cs="宋体" w:asciiTheme="minorEastAsia" w:hAnsiTheme="minorEastAsia" w:eastAsiaTheme="minorEastAsia"/>
          <w:b/>
          <w:color w:val="auto"/>
          <w:sz w:val="32"/>
          <w:highlight w:val="none"/>
        </w:rPr>
        <w:t xml:space="preserve">第五章  评标方法与评标标准</w:t>
      </w:r>
      <w:bookmarkEnd w:id="212"/>
      <w:r/>
      <w:bookmarkEnd w:id="213"/>
      <w:r/>
      <w:bookmarkEnd w:id="214"/>
      <w:r/>
      <w:bookmarkEnd w:id="215"/>
      <w:r/>
      <w:bookmarkEnd w:id="216"/>
      <w:r/>
      <w:r/>
    </w:p>
    <w:p>
      <w:pPr>
        <w:ind w:firstLine="480"/>
        <w:spacing w:before="120" w:after="12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名中标候选人。</w:t>
      </w:r>
      <w:r/>
    </w:p>
    <w:p>
      <w:pPr>
        <w:ind w:firstLine="480"/>
        <w:spacing w:before="120" w:after="12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asciiTheme="minorEastAsia" w:hAnsiTheme="minorEastAsia" w:eastAsiaTheme="minorEastAsia"/>
          <w:color w:val="auto"/>
          <w:highlight w:val="none"/>
        </w:rPr>
        <w:outlineLvl w:val="1"/>
      </w:pPr>
      <w:r/>
      <w:bookmarkStart w:id="217" w:name="_Toc26336"/>
      <w:r/>
      <w:bookmarkStart w:id="218" w:name="_Toc6416"/>
      <w:r/>
      <w:bookmarkStart w:id="219" w:name="_Toc194500889"/>
      <w:r/>
      <w:bookmarkStart w:id="220" w:name="_Toc22996"/>
      <w:r/>
      <w:bookmarkStart w:id="221" w:name="_Toc27458"/>
      <w:r>
        <w:rPr>
          <w:rFonts w:cs="宋体" w:asciiTheme="minorEastAsia" w:hAnsiTheme="minorEastAsia" w:eastAsiaTheme="minorEastAsia"/>
          <w:b/>
          <w:color w:val="auto"/>
          <w:sz w:val="24"/>
          <w:highlight w:val="none"/>
        </w:rPr>
        <w:t xml:space="preserve">政府采购政策功能落实</w:t>
      </w:r>
      <w:bookmarkEnd w:id="217"/>
      <w:r/>
      <w:bookmarkEnd w:id="218"/>
      <w:r/>
      <w:bookmarkEnd w:id="219"/>
      <w:r/>
      <w:bookmarkEnd w:id="220"/>
      <w:r/>
      <w:bookmarkEnd w:id="221"/>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1、小微型企业价格扣除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（1）本项目对小型和微型企业产品给予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的扣除价格，用扣除后的价格参与评审。</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（2）供应商需按照采购文件的要求提供相应的《小微企业声明函》。</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2、残疾人福利单位价格扣除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（1）本项目对残疾人福利性单位视同小型、微型企业，给予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（2）残疾人福利单位需按照采购文件的要求提供《残疾人福利性单位声明函》。</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3、监狱和戒毒企业价格扣除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（1）本项目对监狱和戒毒企业（简称监狱企业）视同小型、微型企业，给予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4、残疾人福利单位、监狱企业属于小型、微型企业的，不重复享受政策。</w:t>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color w:val="auto"/>
          <w:sz w:val="24"/>
          <w:highlight w:val="none"/>
          <w:u w:val="single"/>
        </w:rPr>
        <w:t xml:space="preserve">4%</w:t>
      </w:r>
      <w:r>
        <w:rPr>
          <w:rFonts w:cs="宋体" w:asciiTheme="minorEastAsia" w:hAnsiTheme="minorEastAsia" w:eastAsiaTheme="minorEastAsia"/>
          <w:color w:val="auto"/>
          <w:sz w:val="24"/>
          <w:highlight w:val="none"/>
        </w:rPr>
        <w:t xml:space="preserve">的价格扣除，用扣除后的价格参与评审。</w:t>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6、联合体各方均为小型、微型企业（残疾人福利单位、监狱企业）的，联合体享受</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价格扣除，用扣除后的价格参与评审。</w:t>
      </w:r>
      <w:r/>
    </w:p>
    <w:p>
      <w:pPr>
        <w:ind w:firstLine="482"/>
        <w:spacing w:line="360" w:lineRule="auto"/>
        <w:rPr>
          <w:rFonts w:cs="宋体" w:asciiTheme="minorEastAsia" w:hAnsiTheme="minorEastAsia" w:eastAsiaTheme="minorEastAsia"/>
          <w:b/>
          <w:color w:val="auto"/>
          <w:sz w:val="24"/>
          <w:highlight w:val="none"/>
        </w:rPr>
        <w:outlineLvl w:val="1"/>
      </w:pPr>
      <w:r/>
      <w:bookmarkStart w:id="222" w:name="_Toc24524"/>
      <w:r/>
      <w:bookmarkStart w:id="223" w:name="_Toc21141"/>
      <w:r/>
      <w:bookmarkStart w:id="224" w:name="_Toc21053"/>
      <w:r/>
      <w:bookmarkStart w:id="225" w:name="_Toc7136"/>
      <w:r/>
      <w:bookmarkStart w:id="226" w:name="_Toc194500890"/>
      <w:r>
        <w:rPr>
          <w:rFonts w:cs="宋体" w:asciiTheme="minorEastAsia" w:hAnsiTheme="minorEastAsia" w:eastAsiaTheme="minorEastAsia"/>
          <w:b/>
          <w:color w:val="auto"/>
          <w:sz w:val="24"/>
          <w:highlight w:val="none"/>
        </w:rPr>
        <w:t xml:space="preserve">符合性审查内容</w:t>
      </w:r>
      <w:bookmarkEnd w:id="222"/>
      <w:r/>
      <w:bookmarkEnd w:id="223"/>
      <w:r/>
      <w:bookmarkEnd w:id="224"/>
      <w:r/>
      <w:bookmarkEnd w:id="225"/>
      <w:r/>
      <w:bookmarkEnd w:id="226"/>
      <w:r/>
      <w:r/>
    </w:p>
    <w:p>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8"/>
        </w:numPr>
        <w:ind w:firstLine="482"/>
        <w:jc w:val="left"/>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 xml:space="preserve">报价要求：不得超过最高限价</w:t>
      </w:r>
      <w:r>
        <w:rPr>
          <w:rFonts w:hint="eastAsia" w:cs="宋体" w:asciiTheme="minorEastAsia" w:hAnsiTheme="minorEastAsia" w:eastAsiaTheme="minorEastAsia"/>
          <w:iCs/>
          <w:color w:val="auto"/>
          <w:sz w:val="24"/>
          <w:highlight w:val="none"/>
        </w:rPr>
        <w:t xml:space="preserve">。</w:t>
      </w:r>
      <w:r/>
    </w:p>
    <w:p>
      <w:pPr>
        <w:ind w:left="420"/>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numPr>
          <w:ilvl w:val="0"/>
          <w:numId w:val="8"/>
        </w:numPr>
        <w:ind w:firstLine="482"/>
        <w:jc w:val="lef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商务要求：</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《第六章投标文件格式》中“投标文件构成”有实质性缺漏的；</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投标函中注明的投标有效期少于招标文件要求；</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出现备选投标方案的；</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出现采购人不能接受的附加条件的；</w:t>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投标文件出现法律、法规和招标文件规定的其他无效情形；</w:t>
      </w:r>
      <w:r/>
    </w:p>
    <w:p>
      <w:pPr>
        <w:ind w:firstLine="480"/>
        <w:jc w:val="left"/>
        <w:spacing w:before="12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numPr>
          <w:ilvl w:val="0"/>
          <w:numId w:val="8"/>
        </w:numPr>
        <w:ind w:firstLine="482"/>
        <w:jc w:val="lef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技术要求：</w:t>
      </w:r>
      <w:r/>
    </w:p>
    <w:p>
      <w:pPr>
        <w:pStyle w:val="938"/>
        <w:ind w:left="4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highlight w:val="none"/>
        </w:rPr>
        <w:t xml:space="preserve">3.1《</w:t>
      </w:r>
      <w:r>
        <w:rPr>
          <w:rFonts w:hint="eastAsia" w:cs="宋体" w:asciiTheme="minorEastAsia" w:hAnsiTheme="minorEastAsia" w:eastAsiaTheme="minorEastAsia"/>
          <w:color w:val="auto"/>
          <w:sz w:val="24"/>
          <w:highlight w:val="none"/>
        </w:rPr>
        <w:t xml:space="preserve">服务要求响应承诺函</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lang w:val="en-US" w:eastAsia="zh-CN"/>
        </w:rPr>
        <w:t xml:space="preserve">没有</w:t>
      </w:r>
      <w:r>
        <w:rPr>
          <w:rFonts w:hint="eastAsia" w:cs="宋体" w:asciiTheme="minorEastAsia" w:hAnsiTheme="minorEastAsia" w:eastAsiaTheme="minorEastAsia"/>
          <w:color w:val="auto"/>
          <w:sz w:val="24"/>
          <w:szCs w:val="24"/>
          <w:highlight w:val="none"/>
        </w:rPr>
        <w:t xml:space="preserve">按照招标文件要求</w:t>
      </w:r>
      <w:r>
        <w:rPr>
          <w:rFonts w:hint="eastAsia" w:cs="宋体" w:asciiTheme="minorEastAsia" w:hAnsiTheme="minorEastAsia" w:eastAsiaTheme="minorEastAsia"/>
          <w:color w:val="auto"/>
          <w:sz w:val="24"/>
          <w:szCs w:val="24"/>
          <w:highlight w:val="none"/>
          <w:lang w:val="en-US" w:eastAsia="zh-CN"/>
        </w:rPr>
        <w:t xml:space="preserve">提供，或者内容不符合要求的</w:t>
      </w:r>
      <w:r>
        <w:rPr>
          <w:rFonts w:hint="eastAsia" w:cs="宋体" w:asciiTheme="minorEastAsia" w:hAnsiTheme="minorEastAsia" w:eastAsiaTheme="minorEastAsia"/>
          <w:color w:val="auto"/>
          <w:sz w:val="24"/>
          <w:szCs w:val="24"/>
          <w:highlight w:val="none"/>
        </w:rPr>
        <w:t xml:space="preserve">。</w:t>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br w:type="page" w:clear="all"/>
      </w:r>
      <w:bookmarkStart w:id="227" w:name="_Toc194500891"/>
      <w:r/>
      <w:bookmarkStart w:id="228" w:name="_Toc12524"/>
      <w:r/>
      <w:bookmarkStart w:id="229" w:name="_Toc20891"/>
      <w:r/>
      <w:bookmarkStart w:id="230" w:name="_Toc7929"/>
      <w:r/>
      <w:bookmarkStart w:id="231" w:name="_Toc10103"/>
      <w:r>
        <w:rPr>
          <w:rFonts w:cs="宋体" w:asciiTheme="minorEastAsia" w:hAnsiTheme="minorEastAsia" w:eastAsiaTheme="minorEastAsia"/>
          <w:b/>
          <w:color w:val="auto"/>
          <w:sz w:val="24"/>
          <w:highlight w:val="none"/>
        </w:rPr>
        <w:t xml:space="preserve">评分方法和评标标准</w:t>
      </w:r>
      <w:bookmarkEnd w:id="227"/>
      <w:r/>
      <w:r/>
    </w:p>
    <w:tbl>
      <w:tblPr>
        <w:tblStyle w:val="874"/>
        <w:tblW w:w="9445"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88"/>
        <w:gridCol w:w="7207"/>
        <w:gridCol w:w="950"/>
      </w:tblGrid>
      <w:tr>
        <w:trPr>
          <w:trHeight w:val="28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8" w:type="dxa"/>
            <w:vAlign w:val="center"/>
            <w:textDirection w:val="lrTb"/>
            <w:noWrap w:val="false"/>
          </w:tcPr>
          <w:p>
            <w:pPr>
              <w:jc w:val="center"/>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7" w:type="dxa"/>
            <w:vAlign w:val="center"/>
            <w:textDirection w:val="lrTb"/>
            <w:noWrap w:val="false"/>
          </w:tcPr>
          <w:p>
            <w:pPr>
              <w:jc w:val="center"/>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评 分 标 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分值</w:t>
            </w:r>
            <w:r/>
          </w:p>
        </w:tc>
      </w:tr>
      <w:tr>
        <w:trPr>
          <w:trHeight w:val="2159"/>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288" w:type="dxa"/>
            <w:vAlign w:val="center"/>
            <w:textDirection w:val="lrTb"/>
            <w:noWrap w:val="false"/>
          </w:tcPr>
          <w:p>
            <w:pPr>
              <w:jc w:val="center"/>
              <w:spacing w:line="300" w:lineRule="exact"/>
              <w:rPr>
                <w:rFonts w:ascii="宋体" w:hAnsi="宋体" w:cs="宋体"/>
                <w:color w:val="auto"/>
                <w:szCs w:val="21"/>
                <w:highlight w:val="none"/>
              </w:rPr>
            </w:pPr>
            <w:r>
              <w:rPr>
                <w:rFonts w:ascii="宋体" w:hAnsi="宋体" w:cs="宋体"/>
                <w:color w:val="auto"/>
                <w:szCs w:val="21"/>
                <w:highlight w:val="none"/>
              </w:rPr>
              <w:t xml:space="preserve">价格</w:t>
            </w:r>
            <w:r/>
          </w:p>
          <w:p>
            <w:pPr>
              <w:jc w:val="cente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7" w:type="dxa"/>
            <w:vAlign w:val="center"/>
            <w:textDirection w:val="lrTb"/>
            <w:noWrap w:val="false"/>
          </w:tcPr>
          <w:p>
            <w:pPr>
              <w:ind w:firstLine="210"/>
              <w:jc w:val="left"/>
              <w:spacing w:line="3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价格分采用低价优先法计算，即满足招标文件要求且投标价格最低的投标报价为评标基准价，其价格分为满分</w:t>
            </w: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分。其他投标人的价格分按照下列公式计算，保留小数点后2位：投标报价得分=（评标基准价／投标报价）×</w:t>
            </w: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0</w:t>
            </w:r>
            <w:r/>
          </w:p>
          <w:p>
            <w:pPr>
              <w:pStyle w:val="881"/>
              <w:rPr>
                <w:rFonts w:hint="eastAsia"/>
                <w:color w:val="auto"/>
                <w:highlight w:val="none"/>
              </w:rPr>
            </w:pPr>
            <w:r>
              <w:rPr>
                <w:rFonts w:hint="eastAsia"/>
                <w:color w:val="auto"/>
                <w:sz w:val="18"/>
                <w:szCs w:val="21"/>
                <w:highlight w:val="none"/>
              </w:rPr>
              <w:t xml:space="preserve">评标委员会认为投标人的报价明显低于其他通过符合性审查的投标人的报价，有可能不能诚信履约的，应当要求其在评审现场合理的时间内提供书面说明，必要时提交相关证明材料；投标人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0</w:t>
            </w:r>
            <w:r>
              <w:rPr>
                <w:rFonts w:ascii="宋体" w:hAnsi="宋体" w:cs="宋体"/>
                <w:color w:val="auto"/>
                <w:szCs w:val="21"/>
                <w:highlight w:val="none"/>
              </w:rPr>
              <w:t xml:space="preserve">分</w:t>
            </w:r>
            <w:r/>
          </w:p>
        </w:tc>
      </w:tr>
      <w:tr>
        <w:trPr>
          <w:trHeight w:val="2281"/>
        </w:trPr>
        <w:tc>
          <w:tcPr>
            <w:tcBorders>
              <w:top w:val="single" w:color="auto" w:sz="4" w:space="0"/>
              <w:left w:val="single" w:color="000000" w:sz="4" w:space="0"/>
              <w:right w:val="single" w:color="000000" w:sz="4" w:space="0"/>
            </w:tcBorders>
            <w:tcMar>
              <w:left w:w="12" w:type="dxa"/>
              <w:top w:w="12" w:type="dxa"/>
              <w:right w:w="12" w:type="dxa"/>
            </w:tcMar>
            <w:tcW w:w="1288"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分）</w:t>
            </w:r>
            <w:r/>
          </w:p>
        </w:tc>
        <w:tc>
          <w:tcPr>
            <w:tcBorders>
              <w:top w:val="single" w:color="000000" w:sz="4" w:space="0"/>
              <w:left w:val="single" w:color="000000" w:sz="4" w:space="0"/>
              <w:right w:val="single" w:color="000000" w:sz="4" w:space="0"/>
            </w:tcBorders>
            <w:tcMar>
              <w:left w:w="12" w:type="dxa"/>
              <w:top w:w="12" w:type="dxa"/>
              <w:right w:w="12" w:type="dxa"/>
            </w:tcMar>
            <w:tcW w:w="7207" w:type="dxa"/>
            <w:vAlign w:val="center"/>
            <w:textDirection w:val="lrTb"/>
            <w:noWrap w:val="false"/>
          </w:tcPr>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1、评标委员会根据投标人提供的</w:t>
            </w:r>
            <w:r>
              <w:rPr>
                <w:rFonts w:hint="eastAsia" w:ascii="宋体" w:hAnsi="宋体" w:cs="宋体"/>
                <w:b/>
                <w:color w:val="auto"/>
                <w:szCs w:val="21"/>
                <w:highlight w:val="none"/>
                <w:u w:val="single"/>
              </w:rPr>
              <w:t xml:space="preserve">策划方案</w:t>
            </w:r>
            <w:r>
              <w:rPr>
                <w:rFonts w:hint="eastAsia" w:ascii="宋体" w:hAnsi="宋体" w:cs="宋体"/>
                <w:color w:val="auto"/>
                <w:szCs w:val="21"/>
                <w:highlight w:val="none"/>
              </w:rPr>
              <w:t xml:space="preserve">（包含投标人对品牌提升、活动策划创意）进行打分，满分</w:t>
            </w:r>
            <w:r>
              <w:rPr>
                <w:rFonts w:ascii="宋体" w:hAnsi="宋体" w:cs="宋体"/>
                <w:color w:val="auto"/>
                <w:szCs w:val="21"/>
                <w:highlight w:val="none"/>
              </w:rPr>
              <w:t xml:space="preserve">15</w:t>
            </w:r>
            <w:r>
              <w:rPr>
                <w:rFonts w:hint="eastAsia" w:ascii="宋体" w:hAnsi="宋体" w:cs="宋体"/>
                <w:color w:val="auto"/>
                <w:szCs w:val="21"/>
                <w:highlight w:val="none"/>
              </w:rPr>
              <w:t xml:space="preserve">分； </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1）策划方案措施有效，考虑全面，可操作性强，能够完全满足招标文件要求，得</w:t>
            </w:r>
            <w:r>
              <w:rPr>
                <w:rFonts w:ascii="宋体" w:hAnsi="宋体" w:cs="宋体"/>
                <w:color w:val="auto"/>
                <w:szCs w:val="21"/>
                <w:highlight w:val="none"/>
              </w:rPr>
              <w:t xml:space="preserve">15</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2）策划方案措施基本有效，考虑不够全面，具备基本的可操作性，能基本满足招标文件要求，得</w:t>
            </w:r>
            <w:r>
              <w:rPr>
                <w:rFonts w:ascii="宋体" w:hAnsi="宋体" w:cs="宋体"/>
                <w:color w:val="auto"/>
                <w:szCs w:val="21"/>
                <w:highlight w:val="none"/>
              </w:rPr>
              <w:t xml:space="preserve">9</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3）策划方案措施不准确，考虑欠缺较多，可操作性不强，能部分满足招标文件要求，得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p>
          <w:p>
            <w:pPr>
              <w:ind w:left="0" w:firstLine="0"/>
              <w:jc w:val="left"/>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4)未提供</w:t>
            </w:r>
            <w:r>
              <w:rPr>
                <w:rFonts w:hint="eastAsia" w:ascii="宋体" w:hAnsi="宋体" w:cs="宋体"/>
                <w:color w:val="auto"/>
                <w:szCs w:val="21"/>
                <w:highlight w:val="none"/>
                <w:lang w:val="en-US" w:eastAsia="zh-CN"/>
              </w:rPr>
              <w:t xml:space="preserve">方案</w:t>
            </w:r>
            <w:r>
              <w:rPr>
                <w:rFonts w:hint="eastAsia" w:ascii="宋体" w:hAnsi="宋体" w:cs="宋体"/>
                <w:color w:val="auto"/>
                <w:szCs w:val="21"/>
                <w:highlight w:val="none"/>
              </w:rPr>
              <w:t xml:space="preserve">的不得分。</w:t>
            </w:r>
            <w:r/>
          </w:p>
        </w:tc>
        <w:tc>
          <w:tcPr>
            <w:tcBorders>
              <w:top w:val="single" w:color="000000" w:sz="4" w:space="0"/>
              <w:left w:val="single" w:color="000000" w:sz="4" w:space="0"/>
              <w:right w:val="single" w:color="000000"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15分</w:t>
            </w:r>
            <w:r/>
          </w:p>
        </w:tc>
      </w:tr>
      <w:tr>
        <w:trPr>
          <w:trHeight w:val="834"/>
        </w:trPr>
        <w:tc>
          <w:tcPr>
            <w:tcBorders>
              <w:left w:val="single" w:color="000000" w:sz="4" w:space="0"/>
              <w:right w:val="single" w:color="000000" w:sz="4" w:space="0"/>
            </w:tcBorders>
            <w:tcMar>
              <w:left w:w="12" w:type="dxa"/>
              <w:top w:w="12" w:type="dxa"/>
              <w:right w:w="12" w:type="dxa"/>
            </w:tcMar>
            <w:tcW w:w="128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7207" w:type="dxa"/>
            <w:vAlign w:val="center"/>
            <w:textDirection w:val="lrTb"/>
            <w:noWrap w:val="false"/>
          </w:tcPr>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2、评标委员会根据投标人提供的</w:t>
            </w:r>
            <w:r>
              <w:rPr>
                <w:rFonts w:hint="eastAsia" w:ascii="宋体" w:hAnsi="宋体" w:cs="宋体"/>
                <w:b/>
                <w:color w:val="auto"/>
                <w:szCs w:val="21"/>
                <w:highlight w:val="none"/>
                <w:u w:val="single"/>
              </w:rPr>
              <w:t xml:space="preserve">全年运营维护方案</w:t>
            </w:r>
            <w:r>
              <w:rPr>
                <w:rFonts w:hint="eastAsia" w:ascii="宋体" w:hAnsi="宋体" w:cs="宋体"/>
                <w:color w:val="auto"/>
                <w:szCs w:val="21"/>
                <w:highlight w:val="none"/>
              </w:rPr>
              <w:t xml:space="preserve">进行打分，满分</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1）全年运营维护方案总体说明合理性强，计划内容详尽细致、针对性和落地性强，满足项目要求性强的得</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2）全年运营维护方案总体说明合理性较强，计划内容符合性较强、针对性和落地性较强，满足项目要求性较强的得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 </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3）全年运营维护方案总体说明合理性一般，计划内容满足项目要求性一般的得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4）未提供</w:t>
            </w:r>
            <w:r>
              <w:rPr>
                <w:rFonts w:hint="eastAsia" w:ascii="宋体" w:hAnsi="宋体" w:cs="宋体"/>
                <w:color w:val="auto"/>
                <w:szCs w:val="21"/>
                <w:highlight w:val="none"/>
                <w:lang w:val="en-US" w:eastAsia="zh-CN"/>
              </w:rPr>
              <w:t xml:space="preserve">方案</w:t>
            </w:r>
            <w:r>
              <w:rPr>
                <w:rFonts w:hint="eastAsia" w:ascii="宋体" w:hAnsi="宋体" w:cs="宋体"/>
                <w:color w:val="auto"/>
                <w:szCs w:val="21"/>
                <w:highlight w:val="none"/>
              </w:rPr>
              <w:t xml:space="preserve">的不得分。</w:t>
            </w:r>
            <w:r/>
          </w:p>
        </w:tc>
        <w:tc>
          <w:tcPr>
            <w:tcBorders>
              <w:top w:val="single" w:color="000000" w:sz="4" w:space="0"/>
              <w:left w:val="single" w:color="000000" w:sz="4" w:space="0"/>
              <w:bottom w:val="single" w:color="auto" w:sz="4" w:space="0"/>
              <w:right w:val="single" w:color="000000"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12分</w:t>
            </w:r>
            <w:r/>
          </w:p>
        </w:tc>
      </w:tr>
      <w:tr>
        <w:trPr>
          <w:trHeight w:val="3482"/>
        </w:trPr>
        <w:tc>
          <w:tcPr>
            <w:tcBorders>
              <w:left w:val="single" w:color="000000" w:sz="4" w:space="0"/>
              <w:right w:val="single" w:color="000000" w:sz="4" w:space="0"/>
            </w:tcBorders>
            <w:tcMar>
              <w:left w:w="12" w:type="dxa"/>
              <w:top w:w="12" w:type="dxa"/>
              <w:right w:w="12" w:type="dxa"/>
            </w:tcMar>
            <w:tcW w:w="128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000000" w:sz="4" w:space="0"/>
              <w:right w:val="single" w:color="000000" w:sz="4" w:space="0"/>
            </w:tcBorders>
            <w:tcMar>
              <w:left w:w="12" w:type="dxa"/>
              <w:top w:w="12" w:type="dxa"/>
              <w:right w:w="12" w:type="dxa"/>
            </w:tcMar>
            <w:tcW w:w="7207" w:type="dxa"/>
            <w:vAlign w:val="center"/>
            <w:textDirection w:val="lrTb"/>
            <w:noWrap w:val="false"/>
          </w:tcPr>
          <w:p>
            <w:pPr>
              <w:ind w:firstLine="210"/>
              <w:jc w:val="left"/>
              <w:spacing w:line="300" w:lineRule="exact"/>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、评标委员会根据投标人提供的</w:t>
            </w:r>
            <w:r>
              <w:rPr>
                <w:rFonts w:hint="eastAsia" w:ascii="宋体" w:hAnsi="宋体" w:cs="宋体"/>
                <w:b/>
                <w:color w:val="auto"/>
                <w:szCs w:val="21"/>
                <w:highlight w:val="none"/>
                <w:u w:val="single"/>
              </w:rPr>
              <w:t xml:space="preserve">人员实施方案</w:t>
            </w:r>
            <w:r>
              <w:rPr>
                <w:rFonts w:hint="eastAsia" w:ascii="宋体" w:hAnsi="宋体" w:cs="宋体"/>
                <w:color w:val="auto"/>
                <w:szCs w:val="21"/>
                <w:highlight w:val="none"/>
              </w:rPr>
              <w:t xml:space="preserve">（包含组织架构情况、相关工作计划安排）进行打分，满分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 </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1）人员安排合理、工作计划明确、任务完成保证措施可靠、总体方案可操作性强的得</w:t>
            </w:r>
            <w:r>
              <w:rPr>
                <w:rFonts w:hint="eastAsia" w:ascii="宋体" w:hAnsi="宋体" w:cs="宋体"/>
                <w:color w:val="auto"/>
                <w:szCs w:val="21"/>
                <w:highlight w:val="none"/>
                <w:lang w:val="en-US" w:eastAsia="zh-CN"/>
              </w:rPr>
              <w:t xml:space="preserve">去10</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2）人员安排较合理、工作计划较明确、任务完成保证措施较可靠、总体方案可操作性较强的得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3）人员安排合理度一般、工作计划明确度一般、任务完成保证措施可靠性一般、总体方案可操作性一般的得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ind w:left="0" w:firstLine="0"/>
              <w:jc w:val="left"/>
              <w:spacing w:line="300" w:lineRule="exact"/>
              <w:rPr>
                <w:rFonts w:hint="eastAsia"/>
                <w:color w:val="auto"/>
                <w:highlight w:val="none"/>
              </w:rPr>
            </w:pPr>
            <w:r>
              <w:rPr>
                <w:rFonts w:hint="eastAsia" w:ascii="宋体" w:hAnsi="宋体" w:cs="宋体"/>
                <w:color w:val="auto"/>
                <w:szCs w:val="21"/>
                <w:highlight w:val="none"/>
              </w:rPr>
              <w:t xml:space="preserve">4）未提供</w:t>
            </w:r>
            <w:r>
              <w:rPr>
                <w:rFonts w:hint="eastAsia" w:ascii="宋体" w:hAnsi="宋体" w:cs="宋体"/>
                <w:color w:val="auto"/>
                <w:szCs w:val="21"/>
                <w:highlight w:val="none"/>
                <w:lang w:val="en-US" w:eastAsia="zh-CN"/>
              </w:rPr>
              <w:t xml:space="preserve">方案</w:t>
            </w:r>
            <w:r>
              <w:rPr>
                <w:rFonts w:hint="eastAsia" w:ascii="宋体" w:hAnsi="宋体" w:cs="宋体"/>
                <w:color w:val="auto"/>
                <w:szCs w:val="21"/>
                <w:highlight w:val="none"/>
              </w:rPr>
              <w:t xml:space="preserve">的不得分。</w:t>
            </w:r>
            <w:r/>
          </w:p>
        </w:tc>
        <w:tc>
          <w:tcPr>
            <w:tcBorders>
              <w:top w:val="single" w:color="auto" w:sz="4" w:space="0"/>
              <w:left w:val="single" w:color="000000" w:sz="4" w:space="0"/>
              <w:bottom w:val="single" w:color="auto" w:sz="4" w:space="0"/>
              <w:right w:val="single" w:color="000000"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ascii="宋体" w:hAnsi="宋体" w:cs="宋体"/>
                <w:color w:val="auto"/>
                <w:szCs w:val="21"/>
                <w:highlight w:val="none"/>
              </w:rPr>
              <w:t xml:space="preserve">分</w:t>
            </w:r>
            <w:r/>
          </w:p>
        </w:tc>
      </w:tr>
      <w:tr>
        <w:trPr>
          <w:trHeight w:val="2497"/>
        </w:trPr>
        <w:tc>
          <w:tcPr>
            <w:tcBorders>
              <w:left w:val="single" w:color="000000" w:sz="4" w:space="0"/>
              <w:bottom w:val="single" w:color="auto" w:sz="4" w:space="0"/>
              <w:right w:val="single" w:color="000000" w:sz="4" w:space="0"/>
            </w:tcBorders>
            <w:tcMar>
              <w:left w:w="12" w:type="dxa"/>
              <w:top w:w="12" w:type="dxa"/>
              <w:right w:w="12" w:type="dxa"/>
            </w:tcMar>
            <w:tcW w:w="1288"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7207" w:type="dxa"/>
            <w:vAlign w:val="center"/>
            <w:textDirection w:val="lrTb"/>
            <w:noWrap w:val="false"/>
          </w:tcPr>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、评委根据投标人提供的</w:t>
            </w:r>
            <w:r>
              <w:rPr>
                <w:rFonts w:hint="eastAsia" w:ascii="宋体" w:hAnsi="宋体" w:cs="宋体"/>
                <w:b/>
                <w:bCs/>
                <w:color w:val="auto"/>
                <w:szCs w:val="21"/>
                <w:highlight w:val="none"/>
                <w:u w:val="single"/>
              </w:rPr>
              <w:t xml:space="preserve">应急方案</w:t>
            </w:r>
            <w:r>
              <w:rPr>
                <w:rFonts w:hint="eastAsia" w:ascii="宋体" w:hAnsi="宋体" w:cs="宋体"/>
                <w:color w:val="auto"/>
                <w:szCs w:val="21"/>
                <w:highlight w:val="none"/>
              </w:rPr>
              <w:t xml:space="preserve">（包括但不限于项目实施难点问题分析及突发事件解决方案）进行综合评分，满分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 </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1）解决方案措施有效，考虑全面，可操作性强，能够完全满足招标文件要求，得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2）解决方案措施基本有效，考虑不够全面，具备基本的可操作性，能基本满足招标文件要求，得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3）解决方案措施不准确，考虑欠缺较多，可操作性不强，能部分满足招标文件要求，得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ind w:left="0" w:firstLine="0"/>
              <w:jc w:val="left"/>
              <w:spacing w:line="30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4)未提供方案的不得分。</w:t>
            </w:r>
            <w:r/>
          </w:p>
        </w:tc>
        <w:tc>
          <w:tcPr>
            <w:tcBorders>
              <w:top w:val="single" w:color="auto"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3分</w:t>
            </w:r>
            <w:r/>
          </w:p>
        </w:tc>
      </w:tr>
      <w:tr>
        <w:trPr>
          <w:trHeight w:val="2153"/>
        </w:trPr>
        <w:tc>
          <w:tcPr>
            <w:tcBorders>
              <w:top w:val="single" w:color="auto" w:sz="4" w:space="0"/>
              <w:left w:val="single" w:color="000000" w:sz="4" w:space="0"/>
              <w:right w:val="single" w:color="000000" w:sz="4" w:space="0"/>
            </w:tcBorders>
            <w:tcMar>
              <w:left w:w="12" w:type="dxa"/>
              <w:top w:w="12" w:type="dxa"/>
              <w:right w:w="12" w:type="dxa"/>
            </w:tcMar>
            <w:tcW w:w="128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b w:val="0"/>
                <w:bCs/>
                <w:color w:val="auto"/>
                <w:sz w:val="21"/>
                <w:szCs w:val="21"/>
                <w:highlight w:val="none"/>
              </w:rPr>
              <w:t xml:space="preserve">供应商答辩</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13分</w:t>
            </w:r>
            <w:r>
              <w:rPr>
                <w:rFonts w:hint="eastAsia" w:ascii="宋体" w:hAnsi="宋体" w:cs="宋体"/>
                <w:b w:val="0"/>
                <w:bCs/>
                <w:color w:val="auto"/>
                <w:sz w:val="21"/>
                <w:szCs w:val="21"/>
                <w:highlight w:val="none"/>
                <w:lang w:eastAsia="zh-CN"/>
              </w:rPr>
              <w:t xml:space="preserve">）</w:t>
            </w:r>
            <w:r/>
          </w:p>
        </w:tc>
        <w:tc>
          <w:tcPr>
            <w:tcBorders>
              <w:top w:val="single" w:color="000000" w:sz="4" w:space="0"/>
              <w:left w:val="single" w:color="000000" w:sz="4" w:space="0"/>
              <w:right w:val="single" w:color="000000" w:sz="4" w:space="0"/>
            </w:tcBorders>
            <w:tcMar>
              <w:left w:w="12" w:type="dxa"/>
              <w:top w:w="12" w:type="dxa"/>
              <w:right w:w="12" w:type="dxa"/>
            </w:tcMar>
            <w:tcW w:w="7207" w:type="dxa"/>
            <w:vAlign w:val="center"/>
            <w:textDirection w:val="lrTb"/>
            <w:noWrap w:val="false"/>
          </w:tcPr>
          <w:p>
            <w:pPr>
              <w:pStyle w:val="88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投标人拟投入本项目的项目负责人针对评委提出的问题（围绕本项目的特征，需求）进行答辩，时间不超过5分钟。评委根据其阐述思路是否清晰、语言是否简练、流畅等进行综合评分：</w:t>
            </w:r>
            <w:r/>
          </w:p>
          <w:p>
            <w:pPr>
              <w:pStyle w:val="88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1）答辩全面、流畅、有针对性的得</w:t>
            </w:r>
            <w:r>
              <w:rPr>
                <w:rFonts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rPr>
              <w:t xml:space="preserve">分；</w:t>
            </w:r>
            <w:r/>
          </w:p>
          <w:p>
            <w:pPr>
              <w:pStyle w:val="882"/>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）答辩条理不清晰，有缺项的得</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w:t>
            </w:r>
            <w:r/>
          </w:p>
          <w:p>
            <w:pPr>
              <w:pStyle w:val="882"/>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）答辩内容前后矛盾不能满足采购需求的得</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p>
            <w:pPr>
              <w:pStyle w:val="882"/>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）未参与答辩的不得分。</w:t>
            </w:r>
            <w:r/>
          </w:p>
          <w:p>
            <w:pPr>
              <w:spacing w:line="276" w:lineRule="auto"/>
              <w:rPr>
                <w:rFonts w:hint="default" w:ascii="宋体" w:hAnsi="宋体" w:cs="宋体"/>
                <w:b/>
                <w:bCs/>
                <w:color w:val="auto"/>
                <w:szCs w:val="21"/>
                <w:highlight w:val="none"/>
                <w:lang w:val="en-US"/>
              </w:rPr>
            </w:pPr>
            <w:r>
              <w:rPr>
                <w:rFonts w:hint="eastAsia" w:ascii="宋体" w:hAnsi="宋体" w:eastAsia="宋体" w:cs="宋体"/>
                <w:color w:val="auto"/>
                <w:sz w:val="21"/>
                <w:szCs w:val="21"/>
                <w:highlight w:val="none"/>
              </w:rPr>
              <w:t xml:space="preserve">注：请参加答辩的项目负责人携带居民身份证供评委审验，若参加答辩的项目负责人未携带居民身份证等身份证明则不允许其进入答辩现场。</w:t>
            </w:r>
            <w:r>
              <w:rPr>
                <w:rFonts w:hint="eastAsia" w:asciiTheme="minorEastAsia" w:hAnsiTheme="minorEastAsia" w:eastAsiaTheme="minorEastAsia" w:cstheme="minorEastAsia"/>
                <w:b/>
                <w:bCs/>
                <w:color w:val="auto"/>
                <w:sz w:val="21"/>
                <w:szCs w:val="21"/>
                <w:highlight w:val="none"/>
                <w:lang w:val="en-US" w:eastAsia="zh-CN"/>
              </w:rPr>
              <w:t xml:space="preserve">答辩等候地址:南京市雨花台区软件大道21号苏豪国际广场北园（原舜天集团）C座626大厅；到达时间：同投标截止时间。</w:t>
            </w:r>
            <w:r/>
          </w:p>
        </w:tc>
        <w:tc>
          <w:tcPr>
            <w:tcBorders>
              <w:top w:val="single" w:color="000000" w:sz="4" w:space="0"/>
              <w:left w:val="single" w:color="000000" w:sz="4" w:space="0"/>
              <w:right w:val="single" w:color="000000" w:sz="4" w:space="0"/>
            </w:tcBorders>
            <w:tcW w:w="95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p>
        </w:tc>
      </w:tr>
      <w:tr>
        <w:trPr>
          <w:trHeight w:val="2153"/>
        </w:trPr>
        <w:tc>
          <w:tcPr>
            <w:tcBorders>
              <w:top w:val="single" w:color="auto" w:sz="4" w:space="0"/>
              <w:left w:val="single" w:color="000000" w:sz="4" w:space="0"/>
              <w:right w:val="single" w:color="000000" w:sz="4" w:space="0"/>
            </w:tcBorders>
            <w:tcMar>
              <w:left w:w="12" w:type="dxa"/>
              <w:top w:w="12" w:type="dxa"/>
              <w:right w:w="12" w:type="dxa"/>
            </w:tcMar>
            <w:tcW w:w="12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团队（</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Borders>
              <w:top w:val="single" w:color="000000" w:sz="4" w:space="0"/>
              <w:left w:val="single" w:color="000000" w:sz="4" w:space="0"/>
              <w:right w:val="single" w:color="000000" w:sz="4" w:space="0"/>
            </w:tcBorders>
            <w:tcMar>
              <w:left w:w="12" w:type="dxa"/>
              <w:top w:w="12" w:type="dxa"/>
              <w:right w:w="12" w:type="dxa"/>
            </w:tcMar>
            <w:tcW w:w="7207" w:type="dxa"/>
            <w:vAlign w:val="center"/>
            <w:textDirection w:val="lrTb"/>
            <w:noWrap w:val="false"/>
          </w:tcPr>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投标人拟投入本项目的团队人员具有和本项目服务内容相关的</w:t>
            </w:r>
            <w:r>
              <w:rPr>
                <w:rFonts w:hint="eastAsia" w:ascii="宋体" w:hAnsi="宋体" w:cs="宋体"/>
                <w:b/>
                <w:bCs/>
                <w:color w:val="auto"/>
                <w:szCs w:val="21"/>
                <w:highlight w:val="none"/>
              </w:rPr>
              <w:t xml:space="preserve">媒体运营、采编、美术设计、摄影类</w:t>
            </w:r>
            <w:r>
              <w:rPr>
                <w:rFonts w:hint="eastAsia" w:ascii="宋体" w:hAnsi="宋体" w:cs="宋体"/>
                <w:color w:val="auto"/>
                <w:szCs w:val="21"/>
                <w:highlight w:val="none"/>
              </w:rPr>
              <w:t xml:space="preserve">技能培训证书或考试等级证书的每提供一个证书得</w:t>
            </w:r>
            <w:r>
              <w:rPr>
                <w:rFonts w:ascii="宋体" w:hAnsi="宋体" w:cs="宋体"/>
                <w:color w:val="auto"/>
                <w:szCs w:val="21"/>
                <w:highlight w:val="none"/>
              </w:rPr>
              <w:t xml:space="preserve">0.5</w:t>
            </w:r>
            <w:r>
              <w:rPr>
                <w:rFonts w:hint="eastAsia" w:ascii="宋体" w:hAnsi="宋体" w:cs="宋体"/>
                <w:color w:val="auto"/>
                <w:szCs w:val="21"/>
                <w:highlight w:val="none"/>
              </w:rPr>
              <w:t xml:space="preserve">分，本条最高得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276" w:lineRule="auto"/>
              <w:rPr>
                <w:rFonts w:ascii="宋体" w:hAnsi="宋体" w:cs="宋体"/>
                <w:color w:val="auto"/>
                <w:szCs w:val="21"/>
                <w:highlight w:val="none"/>
              </w:rPr>
            </w:pPr>
            <w:r>
              <w:rPr>
                <w:rFonts w:hint="eastAsia" w:ascii="宋体" w:hAnsi="宋体" w:cs="宋体"/>
                <w:b/>
                <w:bCs/>
                <w:color w:val="auto"/>
                <w:szCs w:val="21"/>
                <w:highlight w:val="none"/>
              </w:rPr>
              <w:t xml:space="preserve">注：自拟人员清单列表，拟投入人员中单人具有多个证书的只能有一个有效证书获得加分。</w:t>
            </w:r>
            <w:r>
              <w:rPr>
                <w:rFonts w:hint="eastAsia"/>
                <w:b/>
                <w:color w:val="auto"/>
                <w:highlight w:val="none"/>
              </w:rPr>
              <w:t xml:space="preserve">须提供投标人为上述人员缴纳的半年内任一月份社保证明，以及上述得分点的有效证明资料复印件并加盖投标人公章。</w:t>
            </w:r>
            <w:r/>
          </w:p>
        </w:tc>
        <w:tc>
          <w:tcPr>
            <w:tcBorders>
              <w:top w:val="single" w:color="000000" w:sz="4" w:space="0"/>
              <w:left w:val="single" w:color="000000" w:sz="4" w:space="0"/>
              <w:right w:val="single" w:color="000000"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r>
      <w:tr>
        <w:trPr>
          <w:trHeight w:val="1382"/>
        </w:trPr>
        <w:tc>
          <w:tcPr>
            <w:tcBorders>
              <w:top w:val="single" w:color="000000" w:sz="4" w:space="0"/>
              <w:left w:val="single" w:color="000000" w:sz="4" w:space="0"/>
              <w:right w:val="single" w:color="000000" w:sz="4" w:space="0"/>
            </w:tcBorders>
            <w:tcMar>
              <w:left w:w="12" w:type="dxa"/>
              <w:top w:w="12" w:type="dxa"/>
              <w:right w:w="12" w:type="dxa"/>
            </w:tcMar>
            <w:tcW w:w="128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业绩（</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Borders>
              <w:top w:val="single" w:color="000000" w:sz="4" w:space="0"/>
              <w:left w:val="single" w:color="000000" w:sz="4" w:space="0"/>
              <w:right w:val="single" w:color="000000" w:sz="4" w:space="0"/>
            </w:tcBorders>
            <w:tcMar>
              <w:left w:w="12" w:type="dxa"/>
              <w:top w:w="12" w:type="dxa"/>
              <w:right w:w="12" w:type="dxa"/>
            </w:tcMar>
            <w:tcW w:w="7207" w:type="dxa"/>
            <w:vAlign w:val="center"/>
            <w:textDirection w:val="lrTb"/>
            <w:noWrap w:val="false"/>
          </w:tcPr>
          <w:p>
            <w:pPr>
              <w:pStyle w:val="881"/>
              <w:rPr>
                <w:rFonts w:hint="eastAsia"/>
                <w:color w:val="auto"/>
                <w:sz w:val="21"/>
                <w:szCs w:val="21"/>
                <w:highlight w:val="none"/>
              </w:rPr>
            </w:pPr>
            <w:r>
              <w:rPr>
                <w:rFonts w:hint="eastAsia"/>
                <w:color w:val="auto"/>
                <w:sz w:val="21"/>
                <w:szCs w:val="21"/>
                <w:highlight w:val="none"/>
              </w:rPr>
              <w:t xml:space="preserve">投标人提供自202</w:t>
            </w:r>
            <w:r>
              <w:rPr>
                <w:rFonts w:hint="eastAsia"/>
                <w:color w:val="auto"/>
                <w:sz w:val="21"/>
                <w:szCs w:val="21"/>
                <w:highlight w:val="none"/>
                <w:lang w:val="en-US" w:eastAsia="zh-CN"/>
              </w:rPr>
              <w:t xml:space="preserve">3</w:t>
            </w:r>
            <w:r>
              <w:rPr>
                <w:rFonts w:hint="eastAsia"/>
                <w:color w:val="auto"/>
                <w:sz w:val="21"/>
                <w:szCs w:val="21"/>
                <w:highlight w:val="none"/>
              </w:rPr>
              <w:t xml:space="preserve">年01月01日（签订日期）以来承担过的类似项目业绩合同，合同内容需包含短视频制作、网络直播、公众号运营，每提供一个合同得</w:t>
            </w:r>
            <w:r>
              <w:rPr>
                <w:color w:val="auto"/>
                <w:sz w:val="21"/>
                <w:szCs w:val="21"/>
                <w:highlight w:val="none"/>
              </w:rPr>
              <w:t xml:space="preserve">1</w:t>
            </w:r>
            <w:r>
              <w:rPr>
                <w:rFonts w:hint="eastAsia"/>
                <w:color w:val="auto"/>
                <w:sz w:val="21"/>
                <w:szCs w:val="21"/>
                <w:highlight w:val="none"/>
              </w:rPr>
              <w:t xml:space="preserve">分，满分</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p>
          <w:p>
            <w:pPr>
              <w:pStyle w:val="881"/>
              <w:rPr>
                <w:rFonts w:hint="eastAsia"/>
                <w:color w:val="auto"/>
                <w:highlight w:val="none"/>
              </w:rPr>
            </w:pPr>
            <w:r>
              <w:rPr>
                <w:rFonts w:hint="eastAsia" w:ascii="宋体" w:hAnsi="宋体" w:cs="宋体"/>
                <w:b/>
                <w:bCs/>
                <w:color w:val="auto"/>
                <w:sz w:val="21"/>
                <w:szCs w:val="21"/>
                <w:highlight w:val="none"/>
              </w:rPr>
              <w:t xml:space="preserve">注：须提供合同复印件并加盖投标人公章，合同须体现双方大签页、项目内容、签订时间。</w:t>
            </w:r>
            <w:r/>
          </w:p>
        </w:tc>
        <w:tc>
          <w:tcPr>
            <w:tcBorders>
              <w:top w:val="single" w:color="000000" w:sz="4" w:space="0"/>
              <w:left w:val="single" w:color="000000" w:sz="4" w:space="0"/>
              <w:right w:val="single" w:color="000000" w:sz="4" w:space="0"/>
            </w:tcBorders>
            <w:tcW w:w="9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分</w:t>
            </w:r>
            <w:r/>
          </w:p>
        </w:tc>
      </w:tr>
    </w:tbl>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r>
      <w:r/>
    </w:p>
    <w:p>
      <w:pPr>
        <w:pStyle w:val="93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2"/>
          <w:highlight w:val="none"/>
        </w:rPr>
        <w:br w:type="page" w:clear="all"/>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bookmarkEnd w:id="228"/>
      <w:r/>
      <w:bookmarkEnd w:id="229"/>
      <w:r/>
      <w:bookmarkEnd w:id="230"/>
      <w:r/>
      <w:bookmarkEnd w:id="231"/>
      <w:r/>
      <w:r/>
    </w:p>
    <w:p>
      <w:pPr>
        <w:jc w:val="center"/>
        <w:rPr>
          <w:rFonts w:cs="宋体" w:asciiTheme="minorEastAsia" w:hAnsiTheme="minorEastAsia" w:eastAsiaTheme="minorEastAsia"/>
          <w:b/>
          <w:color w:val="auto"/>
          <w:sz w:val="32"/>
          <w:highlight w:val="none"/>
        </w:rPr>
        <w:outlineLvl w:val="0"/>
      </w:pPr>
      <w:r/>
      <w:bookmarkStart w:id="232" w:name="_Toc17279"/>
      <w:r/>
      <w:bookmarkStart w:id="233" w:name="_Toc29985"/>
      <w:r/>
      <w:bookmarkStart w:id="234" w:name="_Toc7507"/>
      <w:r/>
      <w:bookmarkStart w:id="235" w:name="_Toc194500892"/>
      <w:r/>
      <w:bookmarkStart w:id="236" w:name="_Toc32166"/>
      <w:r>
        <w:rPr>
          <w:rFonts w:cs="宋体" w:asciiTheme="minorEastAsia" w:hAnsiTheme="minorEastAsia" w:eastAsiaTheme="minorEastAsia"/>
          <w:b/>
          <w:color w:val="auto"/>
          <w:sz w:val="32"/>
          <w:highlight w:val="none"/>
        </w:rPr>
        <w:t xml:space="preserve">第六章  投标文件格式</w:t>
      </w:r>
      <w:bookmarkEnd w:id="232"/>
      <w:r/>
      <w:bookmarkEnd w:id="233"/>
      <w:r/>
      <w:bookmarkEnd w:id="234"/>
      <w:r/>
      <w:bookmarkEnd w:id="235"/>
      <w:r/>
      <w:bookmarkEnd w:id="236"/>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投  标  文  件</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tbl>
      <w:tblPr>
        <w:tblStyle w:val="87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b/>
                <w:color w:val="auto"/>
                <w:sz w:val="32"/>
                <w:highlight w:val="none"/>
                <w:lang w:eastAsia="zh-CN"/>
              </w:rPr>
              <w:t xml:space="preserve">江苏省文联2026-2027年度全媒体宣传战略合作采购项目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b/>
                <w:color w:val="auto"/>
                <w:sz w:val="32"/>
                <w:highlight w:val="none"/>
                <w:lang w:eastAsia="zh-CN"/>
              </w:rPr>
              <w:t xml:space="preserve">JSZC-320000-SOHO-G2026-0038</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hint="eastAsia" w:cs="宋体" w:asciiTheme="minorEastAsia" w:hAnsiTheme="minorEastAsia" w:eastAsiaTheme="minorEastAsia"/>
                <w:b/>
                <w:color w:val="auto"/>
                <w:sz w:val="32"/>
                <w:highlight w:val="none"/>
              </w:rPr>
              <w:t xml:space="preserve">代理机构编号</w:t>
            </w:r>
            <w:r>
              <w:rPr>
                <w:rFonts w:cs="宋体" w:asciiTheme="minorEastAsia" w:hAnsiTheme="minorEastAsia" w:eastAsiaTheme="minorEastAsia"/>
                <w:b/>
                <w:color w:val="auto"/>
                <w:sz w:val="32"/>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b/>
                <w:bCs/>
                <w:color w:val="auto"/>
                <w:sz w:val="36"/>
                <w:highlight w:val="none"/>
                <w:lang w:eastAsia="zh-CN"/>
              </w:rPr>
              <w:t xml:space="preserve">1802-264104198HWZ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szCs w:val="22"/>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日期</w:t>
            </w:r>
            <w:r>
              <w:rPr>
                <w:rFonts w:cs="宋体" w:asciiTheme="minorEastAsia" w:hAnsiTheme="minorEastAsia" w:eastAsiaTheme="minorEastAsia"/>
                <w:b/>
                <w:color w:val="auto"/>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2026年XX月XX日</w:t>
            </w:r>
            <w:r/>
          </w:p>
        </w:tc>
      </w:tr>
    </w:tbl>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投标文件目录</w:t>
      </w:r>
      <w:r/>
    </w:p>
    <w:p>
      <w:pPr>
        <w:ind w:firstLine="321"/>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 </w:t>
      </w:r>
      <w:r/>
    </w:p>
    <w:p>
      <w:pPr>
        <w:ind w:firstLine="240"/>
        <w:spacing w:line="85" w:lineRule="atLeast"/>
        <w:rPr>
          <w:rFonts w:cs="宋体" w:asciiTheme="minorEastAsia" w:hAnsiTheme="minorEastAsia" w:eastAsiaTheme="minorEastAsia"/>
          <w:color w:val="auto"/>
          <w:sz w:val="24"/>
          <w:highlight w:val="none"/>
        </w:rPr>
      </w:pPr>
      <w:r/>
      <w:bookmarkStart w:id="237" w:name="_Toc194500893"/>
      <w:r>
        <w:rPr>
          <w:rFonts w:hint="eastAsia" w:cs="宋体" w:asciiTheme="minorEastAsia" w:hAnsiTheme="minorEastAsia" w:eastAsiaTheme="minorEastAsia"/>
          <w:color w:val="auto"/>
          <w:sz w:val="24"/>
          <w:highlight w:val="none"/>
        </w:rPr>
        <w:t xml:space="preserve">一、</w:t>
      </w:r>
      <w:r>
        <w:rPr>
          <w:rFonts w:cs="宋体" w:asciiTheme="minorEastAsia" w:hAnsiTheme="minorEastAsia" w:eastAsiaTheme="minorEastAsia"/>
          <w:color w:val="auto"/>
          <w:sz w:val="24"/>
          <w:highlight w:val="none"/>
        </w:rPr>
        <w:t xml:space="preserve">通用资格要求</w:t>
      </w:r>
      <w:bookmarkEnd w:id="237"/>
      <w:r/>
      <w:r/>
    </w:p>
    <w:p>
      <w:pPr>
        <w:ind w:firstLine="240"/>
        <w:spacing w:line="85" w:lineRule="atLeast"/>
        <w:rPr>
          <w:rFonts w:cs="宋体" w:asciiTheme="minorEastAsia" w:hAnsiTheme="minorEastAsia" w:eastAsiaTheme="minorEastAsia"/>
          <w:color w:val="auto"/>
          <w:sz w:val="24"/>
          <w:highlight w:val="none"/>
        </w:rPr>
      </w:pPr>
      <w:r/>
      <w:bookmarkStart w:id="238" w:name="_Toc194500894"/>
      <w:r>
        <w:rPr>
          <w:rFonts w:hint="eastAsia" w:cs="宋体" w:asciiTheme="minorEastAsia" w:hAnsiTheme="minorEastAsia" w:eastAsiaTheme="minorEastAsia"/>
          <w:color w:val="auto"/>
          <w:sz w:val="24"/>
          <w:highlight w:val="none"/>
        </w:rPr>
        <w:t xml:space="preserve">二、</w:t>
      </w:r>
      <w:r>
        <w:rPr>
          <w:rFonts w:cs="宋体" w:asciiTheme="minorEastAsia" w:hAnsiTheme="minorEastAsia" w:eastAsiaTheme="minorEastAsia"/>
          <w:color w:val="auto"/>
          <w:sz w:val="24"/>
          <w:highlight w:val="none"/>
        </w:rPr>
        <w:t xml:space="preserve">特定资格要求</w:t>
      </w:r>
      <w:bookmarkEnd w:id="238"/>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lang w:val="en-US" w:eastAsia="zh-CN"/>
        </w:rPr>
        <w:t xml:space="preserve">三</w:t>
      </w:r>
      <w:r>
        <w:rPr>
          <w:rFonts w:cs="宋体" w:asciiTheme="minorEastAsia" w:hAnsiTheme="minorEastAsia" w:eastAsiaTheme="minorEastAsia"/>
          <w:color w:val="auto"/>
          <w:sz w:val="24"/>
          <w:highlight w:val="none"/>
        </w:rPr>
        <w:t xml:space="preserve">、投标函</w:t>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lang w:val="en-US" w:eastAsia="zh-CN"/>
        </w:rPr>
        <w:t xml:space="preserve">四</w:t>
      </w:r>
      <w:r>
        <w:rPr>
          <w:rFonts w:cs="宋体" w:asciiTheme="minorEastAsia" w:hAnsiTheme="minorEastAsia" w:eastAsiaTheme="minorEastAsia"/>
          <w:color w:val="auto"/>
          <w:sz w:val="24"/>
          <w:highlight w:val="none"/>
        </w:rPr>
        <w:t xml:space="preserve">、小微企业声明函</w:t>
      </w:r>
      <w:r>
        <w:rPr>
          <w:rFonts w:hint="eastAsia" w:cs="宋体" w:asciiTheme="minorEastAsia" w:hAnsiTheme="minorEastAsia" w:eastAsiaTheme="minorEastAsia"/>
          <w:color w:val="auto"/>
          <w:sz w:val="24"/>
          <w:highlight w:val="none"/>
        </w:rPr>
        <w:t xml:space="preserve">（如适用）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五</w:t>
      </w:r>
      <w:r>
        <w:rPr>
          <w:rFonts w:cs="宋体" w:asciiTheme="minorEastAsia" w:hAnsiTheme="minorEastAsia" w:eastAsiaTheme="minorEastAsia"/>
          <w:color w:val="auto"/>
          <w:sz w:val="24"/>
          <w:highlight w:val="none"/>
        </w:rPr>
        <w:t xml:space="preserve">、残疾人福利性单位声明函</w:t>
      </w:r>
      <w:r>
        <w:rPr>
          <w:rFonts w:hint="eastAsia" w:cs="宋体" w:asciiTheme="minorEastAsia" w:hAnsiTheme="minorEastAsia" w:eastAsiaTheme="minorEastAsia"/>
          <w:color w:val="auto"/>
          <w:sz w:val="24"/>
          <w:highlight w:val="none"/>
        </w:rPr>
        <w:t xml:space="preserve">（如适用）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六</w:t>
      </w:r>
      <w:r>
        <w:rPr>
          <w:rFonts w:cs="宋体" w:asciiTheme="minorEastAsia" w:hAnsiTheme="minorEastAsia" w:eastAsiaTheme="minorEastAsia"/>
          <w:color w:val="auto"/>
          <w:sz w:val="24"/>
          <w:highlight w:val="none"/>
        </w:rPr>
        <w:t xml:space="preserve">、投标分项报价表</w:t>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七</w:t>
      </w:r>
      <w:r>
        <w:rPr>
          <w:rFonts w:cs="宋体" w:asciiTheme="minorEastAsia" w:hAnsiTheme="minorEastAsia" w:eastAsiaTheme="minorEastAsia"/>
          <w:color w:val="auto"/>
          <w:sz w:val="24"/>
          <w:highlight w:val="none"/>
        </w:rPr>
        <w:t xml:space="preserve">、开标一览表</w:t>
      </w:r>
      <w:r/>
    </w:p>
    <w:p>
      <w:pPr>
        <w:ind w:firstLine="240"/>
        <w:spacing w:line="85" w:lineRule="atLeast"/>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八</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服务要求响应承诺函</w:t>
      </w:r>
      <w:r/>
    </w:p>
    <w:p>
      <w:pPr>
        <w:ind w:firstLine="240"/>
        <w:spacing w:line="85" w:lineRule="atLeast"/>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九、商务合同响应/偏离表</w:t>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lang w:val="en-US" w:eastAsia="zh-CN"/>
        </w:rPr>
        <w:t xml:space="preserve">十</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方案</w:t>
      </w:r>
      <w:r/>
    </w:p>
    <w:p>
      <w:pPr>
        <w:ind w:firstLine="240"/>
        <w:spacing w:line="85" w:lineRule="atLeas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w:t>
      </w:r>
      <w:r>
        <w:rPr>
          <w:rFonts w:hint="eastAsia" w:cs="宋体" w:asciiTheme="minorEastAsia" w:hAnsiTheme="minorEastAsia" w:eastAsiaTheme="minorEastAsia"/>
          <w:color w:val="auto"/>
          <w:sz w:val="24"/>
          <w:highlight w:val="none"/>
          <w:lang w:val="en-US" w:eastAsia="zh-CN"/>
        </w:rPr>
        <w:t xml:space="preserve">一</w:t>
      </w:r>
      <w:r>
        <w:rPr>
          <w:rFonts w:cs="宋体" w:asciiTheme="minorEastAsia" w:hAnsiTheme="minorEastAsia" w:eastAsiaTheme="minorEastAsia"/>
          <w:color w:val="auto"/>
          <w:sz w:val="24"/>
          <w:highlight w:val="none"/>
        </w:rPr>
        <w:t xml:space="preserve">、投标人认为需要提供的其它资料</w:t>
      </w:r>
      <w:r>
        <w:rPr>
          <w:rFonts w:hint="eastAsia" w:cs="宋体" w:asciiTheme="minorEastAsia" w:hAnsiTheme="minorEastAsia" w:eastAsiaTheme="minorEastAsia"/>
          <w:color w:val="auto"/>
          <w:sz w:val="22"/>
          <w:highlight w:val="none"/>
        </w:rPr>
        <w:t xml:space="preserve">（如有）</w:t>
      </w:r>
      <w:r/>
    </w:p>
    <w:p>
      <w:pPr>
        <w:ind w:firstLine="240"/>
        <w:spacing w:line="85" w:lineRule="atLeast"/>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jc w:val="left"/>
        <w:spacing w:line="85" w:lineRule="atLeast"/>
        <w:rPr>
          <w:rFonts w:cs="宋体" w:asciiTheme="minorEastAsia" w:hAnsiTheme="minorEastAsia" w:eastAsiaTheme="minorEastAsia"/>
          <w:color w:val="auto"/>
          <w:sz w:val="32"/>
          <w:highlight w:val="none"/>
        </w:rPr>
        <w:outlineLvl w:val="1"/>
      </w:pPr>
      <w:r>
        <w:rPr>
          <w:rFonts w:cs="宋体" w:asciiTheme="minorEastAsia" w:hAnsiTheme="minorEastAsia" w:eastAsiaTheme="minorEastAsia"/>
          <w:color w:val="auto"/>
          <w:highlight w:val="none"/>
        </w:rPr>
        <w:br w:type="page" w:clear="all"/>
      </w:r>
      <w:bookmarkStart w:id="239" w:name="_Toc30"/>
      <w:r>
        <w:rPr>
          <w:rFonts w:hint="eastAsia" w:cs="宋体" w:asciiTheme="minorEastAsia" w:hAnsiTheme="minorEastAsia" w:eastAsiaTheme="minorEastAsia"/>
          <w:color w:val="auto"/>
          <w:sz w:val="32"/>
          <w:highlight w:val="none"/>
        </w:rPr>
        <w:t xml:space="preserve">一、</w:t>
      </w:r>
      <w:r>
        <w:rPr>
          <w:rFonts w:cs="宋体" w:asciiTheme="minorEastAsia" w:hAnsiTheme="minorEastAsia" w:eastAsiaTheme="minorEastAsia"/>
          <w:color w:val="auto"/>
          <w:sz w:val="32"/>
          <w:highlight w:val="none"/>
        </w:rPr>
        <w:t xml:space="preserve">通用资格要求</w:t>
      </w:r>
      <w:r/>
    </w:p>
    <w:p>
      <w:pPr>
        <w:pStyle w:val="1067"/>
        <w:ind w:firstLine="0"/>
        <w:spacing w:line="85" w:lineRule="atLeast"/>
        <w:rPr>
          <w:rFonts w:cs="宋体" w:asciiTheme="minorEastAsia" w:hAnsiTheme="minorEastAsia" w:eastAsiaTheme="minorEastAsia"/>
          <w:iCs/>
          <w:color w:val="auto"/>
          <w:sz w:val="28"/>
          <w:szCs w:val="21"/>
          <w:highlight w:val="none"/>
        </w:rPr>
        <w:outlineLvl w:val="1"/>
      </w:pPr>
      <w:r>
        <w:rPr>
          <w:rFonts w:cs="宋体" w:asciiTheme="minorEastAsia" w:hAnsiTheme="minorEastAsia" w:eastAsiaTheme="minorEastAsia"/>
          <w:iCs/>
          <w:color w:val="auto"/>
          <w:sz w:val="28"/>
          <w:szCs w:val="21"/>
          <w:highlight w:val="none"/>
        </w:rPr>
        <w:t xml:space="preserve">1.</w:t>
      </w:r>
      <w:r>
        <w:rPr>
          <w:rFonts w:hint="eastAsia" w:cs="宋体" w:asciiTheme="minorEastAsia" w:hAnsiTheme="minorEastAsia" w:eastAsiaTheme="minorEastAsia"/>
          <w:iCs/>
          <w:color w:val="auto"/>
          <w:sz w:val="28"/>
          <w:szCs w:val="21"/>
          <w:highlight w:val="none"/>
        </w:rPr>
        <w:t xml:space="preserve">具有独立承担民事责任的能力</w:t>
      </w:r>
      <w:bookmarkEnd w:id="239"/>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具有独立承担民事责任的能力（法人或者其他组织的营业执照等证明文件，自然人的身份证明）。</w:t>
      </w:r>
      <w:r>
        <w:rPr>
          <w:rFonts w:cs="宋体" w:asciiTheme="minorEastAsia" w:hAnsiTheme="minorEastAsia" w:eastAsiaTheme="minorEastAsia"/>
          <w:color w:val="auto"/>
          <w:sz w:val="24"/>
          <w:highlight w:val="none"/>
        </w:rPr>
        <w:t xml:space="preserve"> </w:t>
      </w:r>
      <w:r/>
    </w:p>
    <w:p>
      <w:pPr>
        <w:pStyle w:val="93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asciiTheme="minorEastAsia" w:hAnsiTheme="minorEastAsia" w:eastAsiaTheme="minorEastAsia"/>
          <w:iCs/>
          <w:color w:val="auto"/>
          <w:sz w:val="20"/>
          <w:szCs w:val="22"/>
          <w:highlight w:val="none"/>
        </w:rPr>
        <w:outlineLvl w:val="1"/>
      </w:pPr>
      <w:r/>
      <w:bookmarkStart w:id="240" w:name="_Toc32"/>
      <w:r>
        <w:rPr>
          <w:rFonts w:cs="宋体" w:asciiTheme="minorEastAsia" w:hAnsiTheme="minorEastAsia" w:eastAsiaTheme="minorEastAsia"/>
          <w:iCs/>
          <w:color w:val="auto"/>
          <w:sz w:val="28"/>
          <w:szCs w:val="22"/>
          <w:highlight w:val="none"/>
        </w:rPr>
        <w:t xml:space="preserve">2.</w:t>
      </w:r>
      <w:bookmarkStart w:id="241" w:name="_Toc31"/>
      <w:r>
        <w:rPr>
          <w:rFonts w:hint="eastAsia" w:cs="宋体" w:asciiTheme="minorEastAsia" w:hAnsiTheme="minorEastAsia" w:eastAsiaTheme="minorEastAsia"/>
          <w:iCs/>
          <w:color w:val="auto"/>
          <w:sz w:val="28"/>
          <w:szCs w:val="22"/>
          <w:highlight w:val="none"/>
        </w:rPr>
        <w:t xml:space="preserve">具有良好的商业信誉和健全的财务会计制度</w:t>
      </w:r>
      <w:bookmarkEnd w:id="240"/>
      <w:r/>
      <w:bookmarkEnd w:id="241"/>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具有良好的商业信誉和健全的财务会计制度（提供</w:t>
      </w:r>
      <w:r>
        <w:rPr>
          <w:rFonts w:hint="eastAsia" w:cs="宋体" w:asciiTheme="minorEastAsia" w:hAnsiTheme="minorEastAsia" w:eastAsiaTheme="minorEastAsia"/>
          <w:color w:val="auto"/>
          <w:sz w:val="24"/>
          <w:highlight w:val="none"/>
          <w:lang w:eastAsia="zh-CN"/>
        </w:rPr>
        <w:t xml:space="preserve">2024年度或者2025年度的财务报告</w:t>
      </w:r>
      <w:r>
        <w:rPr>
          <w:rFonts w:hint="eastAsia" w:cs="宋体" w:asciiTheme="minorEastAsia" w:hAnsiTheme="minorEastAsia" w:eastAsiaTheme="minorEastAsia"/>
          <w:color w:val="auto"/>
          <w:sz w:val="24"/>
          <w:highlight w:val="none"/>
        </w:rPr>
        <w:t xml:space="preserve">，至少包含资产负债表、利润表；或投标截止时间前六个月内银行出具的资信证明；成立不满一年无须提供）。</w:t>
      </w:r>
      <w:r>
        <w:rPr>
          <w:rFonts w:cs="宋体" w:asciiTheme="minorEastAsia" w:hAnsiTheme="minorEastAsia" w:eastAsiaTheme="minorEastAsia"/>
          <w:color w:val="auto"/>
          <w:sz w:val="24"/>
          <w:highlight w:val="none"/>
        </w:rPr>
        <w:t xml:space="preserve"> </w:t>
      </w:r>
      <w:r/>
    </w:p>
    <w:p>
      <w:pPr>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bookmarkStart w:id="242" w:name="_Toc33"/>
      <w:r>
        <w:rPr>
          <w:rFonts w:cs="宋体" w:asciiTheme="minorEastAsia" w:hAnsiTheme="minorEastAsia" w:eastAsiaTheme="minorEastAsia"/>
          <w:iCs/>
          <w:color w:val="auto"/>
          <w:sz w:val="28"/>
          <w:szCs w:val="22"/>
          <w:highlight w:val="none"/>
        </w:rPr>
        <w:t xml:space="preserve">3.具备履行合同所必需的设备和专业技术能力</w:t>
      </w:r>
      <w:bookmarkEnd w:id="242"/>
      <w:r/>
      <w:r/>
    </w:p>
    <w:p>
      <w:pPr>
        <w:ind w:firstLine="48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p>
    <w:p>
      <w:pPr>
        <w:ind w:firstLine="480"/>
        <w:spacing w:line="85" w:lineRule="atLeast"/>
        <w:rPr>
          <w:rFonts w:hint="eastAsia"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rPr>
        <w:t xml:space="preserve">致：</w:t>
      </w:r>
      <w:r>
        <w:rPr>
          <w:rFonts w:hint="eastAsia" w:cs="宋体" w:asciiTheme="minorEastAsia" w:hAnsiTheme="minorEastAsia" w:eastAsiaTheme="minorEastAsia"/>
          <w:color w:val="auto"/>
          <w:sz w:val="24"/>
          <w:highlight w:val="none"/>
          <w:lang w:eastAsia="zh-CN"/>
        </w:rPr>
        <w:t xml:space="preserve">江苏省文学艺术界联合会</w:t>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主要设备有：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主要专业技术能力有：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（加盖CA电子公章）</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投标日期：2026年XX月XX日</w:t>
      </w:r>
      <w:r/>
    </w:p>
    <w:p>
      <w:pPr>
        <w:spacing w:line="85" w:lineRule="atLeast"/>
        <w:rPr>
          <w:rFonts w:cs="宋体" w:asciiTheme="minorEastAsia" w:hAnsiTheme="minorEastAsia" w:eastAsiaTheme="minorEastAsia"/>
          <w:color w:val="auto"/>
          <w:sz w:val="32"/>
          <w:highlight w:val="none"/>
        </w:rPr>
      </w:pPr>
      <w:r>
        <w:rPr>
          <w:rFonts w:cs="宋体" w:asciiTheme="minorEastAsia" w:hAnsiTheme="minorEastAsia" w:eastAsiaTheme="minorEastAsia"/>
          <w:color w:val="auto"/>
          <w:sz w:val="32"/>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hint="eastAsia" w:cs="宋体" w:asciiTheme="minorEastAsia" w:hAnsiTheme="minorEastAsia" w:eastAsiaTheme="minorEastAsia"/>
          <w:iCs/>
          <w:color w:val="auto"/>
          <w:sz w:val="28"/>
          <w:szCs w:val="22"/>
          <w:highlight w:val="none"/>
          <w:lang w:val="en-US" w:eastAsia="zh-CN"/>
        </w:rPr>
        <w:t xml:space="preserve">4</w:t>
      </w:r>
      <w:r>
        <w:rPr>
          <w:rFonts w:cs="宋体" w:asciiTheme="minorEastAsia" w:hAnsiTheme="minorEastAsia" w:eastAsiaTheme="minorEastAsia"/>
          <w:iCs/>
          <w:color w:val="auto"/>
          <w:sz w:val="28"/>
          <w:szCs w:val="22"/>
          <w:highlight w:val="none"/>
        </w:rPr>
        <w:t xml:space="preserve">.</w:t>
      </w:r>
      <w:r>
        <w:rPr>
          <w:rFonts w:hint="eastAsia" w:cs="宋体" w:asciiTheme="minorEastAsia" w:hAnsiTheme="minorEastAsia" w:eastAsiaTheme="minorEastAsia"/>
          <w:iCs/>
          <w:color w:val="auto"/>
          <w:sz w:val="28"/>
          <w:szCs w:val="22"/>
          <w:highlight w:val="none"/>
        </w:rPr>
        <w:t xml:space="preserve">有依法缴纳税收和社会保障资金的良好记录</w:t>
      </w:r>
      <w:r/>
    </w:p>
    <w:p>
      <w:pPr>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pStyle w:val="88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hint="eastAsia" w:cs="宋体" w:asciiTheme="minorEastAsia" w:hAnsiTheme="minorEastAsia" w:eastAsiaTheme="minorEastAsia"/>
          <w:iCs/>
          <w:color w:val="auto"/>
          <w:sz w:val="28"/>
          <w:szCs w:val="22"/>
          <w:highlight w:val="none"/>
          <w:lang w:val="en-US" w:eastAsia="zh-CN"/>
        </w:rPr>
        <w:t xml:space="preserve">5</w:t>
      </w:r>
      <w:r>
        <w:rPr>
          <w:rFonts w:cs="宋体" w:asciiTheme="minorEastAsia" w:hAnsiTheme="minorEastAsia" w:eastAsiaTheme="minorEastAsia"/>
          <w:iCs/>
          <w:color w:val="auto"/>
          <w:sz w:val="28"/>
          <w:szCs w:val="22"/>
          <w:highlight w:val="none"/>
        </w:rPr>
        <w:t xml:space="preserve">.</w:t>
      </w:r>
      <w:r>
        <w:rPr>
          <w:rFonts w:hint="eastAsia" w:cs="宋体" w:asciiTheme="minorEastAsia" w:hAnsiTheme="minorEastAsia" w:eastAsiaTheme="minorEastAsia"/>
          <w:iCs/>
          <w:color w:val="auto"/>
          <w:sz w:val="28"/>
          <w:szCs w:val="22"/>
          <w:highlight w:val="none"/>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投标人提供在经营活动中没有重大违法记录承诺（重大违法记录是指供应商因违法经营受到刑事处罚或责令停产停业、吊销许可证或者执照、较大数额等行政处罚）；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p>
    <w:p>
      <w:pPr>
        <w:spacing w:line="85" w:lineRule="atLeast"/>
        <w:rPr>
          <w:rFonts w:hint="eastAsia" w:asciiTheme="minorEastAsia" w:hAnsiTheme="minorEastAsia" w:eastAsiaTheme="minorEastAsia"/>
          <w:color w:val="auto"/>
          <w:highlight w:val="none"/>
          <w:lang w:eastAsia="zh-CN"/>
        </w:rPr>
      </w:pPr>
      <w:r>
        <w:rPr>
          <w:rFonts w:cs="宋体" w:asciiTheme="minorEastAsia" w:hAnsiTheme="minorEastAsia" w:eastAsiaTheme="minorEastAsia"/>
          <w:color w:val="auto"/>
          <w:sz w:val="24"/>
          <w:highlight w:val="none"/>
        </w:rPr>
        <w:t xml:space="preserve">致：</w:t>
      </w:r>
      <w:r>
        <w:rPr>
          <w:rFonts w:hint="eastAsia" w:cs="宋体" w:asciiTheme="minorEastAsia" w:hAnsiTheme="minorEastAsia" w:eastAsiaTheme="minorEastAsia"/>
          <w:color w:val="auto"/>
          <w:sz w:val="24"/>
          <w:highlight w:val="none"/>
          <w:lang w:eastAsia="zh-CN"/>
        </w:rPr>
        <w:t xml:space="preserve">江苏省文学艺术界联合会</w:t>
      </w:r>
      <w:r/>
    </w:p>
    <w:p>
      <w:pPr>
        <w:spacing w:line="85"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rFonts w:cs="宋体" w:asciiTheme="minorEastAsia" w:hAnsiTheme="minorEastAsia" w:eastAsiaTheme="minorEastAsia"/>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（加盖CA电子公章）</w:t>
      </w:r>
      <w:r/>
    </w:p>
    <w:p>
      <w:pPr>
        <w:ind w:firstLine="480"/>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投标日期：2026年XX月XX日</w:t>
      </w:r>
      <w:r/>
    </w:p>
    <w:p>
      <w:pPr>
        <w:ind w:firstLine="480"/>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85" w:lineRule="atLeast"/>
        <w:rPr>
          <w:rFonts w:hint="eastAsia" w:cs="宋体" w:asciiTheme="minorEastAsia" w:hAnsiTheme="minorEastAsia" w:eastAsiaTheme="minorEastAsia"/>
          <w:iCs/>
          <w:color w:val="auto"/>
          <w:sz w:val="28"/>
          <w:szCs w:val="22"/>
          <w:highlight w:val="none"/>
          <w:lang w:val="en-US" w:eastAsia="zh-CN"/>
        </w:rPr>
        <w:outlineLvl w:val="1"/>
      </w:pPr>
      <w:r>
        <w:rPr>
          <w:rFonts w:hint="eastAsia" w:cs="宋体" w:asciiTheme="minorEastAsia" w:hAnsiTheme="minorEastAsia" w:eastAsiaTheme="minorEastAsia"/>
          <w:iCs/>
          <w:color w:val="auto"/>
          <w:sz w:val="28"/>
          <w:szCs w:val="22"/>
          <w:highlight w:val="none"/>
          <w:lang w:val="en-US" w:eastAsia="zh-CN"/>
        </w:rPr>
        <w:t xml:space="preserve">6.法律、行政法规规定的其他条件。</w:t>
      </w:r>
      <w:r/>
    </w:p>
    <w:p>
      <w:pPr>
        <w:ind w:firstLine="240"/>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8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85" w:lineRule="atLeast"/>
        <w:rPr>
          <w:rFonts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特定资格要求</w:t>
      </w:r>
      <w:r/>
    </w:p>
    <w:p>
      <w:pPr>
        <w:ind w:firstLine="480"/>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t xml:space="preserve">1.法定代表人授权书。</w:t>
      </w:r>
      <w:r/>
    </w:p>
    <w:p>
      <w:pPr>
        <w:jc w:val="center"/>
        <w:spacing w:line="85" w:lineRule="atLeast"/>
        <w:rPr>
          <w:rFonts w:asciiTheme="minorEastAsia" w:hAnsiTheme="minorEastAsia" w:eastAsiaTheme="minorEastAsia"/>
          <w:color w:val="auto"/>
          <w:highlight w:val="none"/>
        </w:rPr>
        <w:outlineLvl w:val="1"/>
      </w:pPr>
      <w:r/>
      <w:bookmarkStart w:id="243" w:name="_Toc9256"/>
      <w:r/>
      <w:bookmarkStart w:id="244" w:name="_Toc12196"/>
      <w:r/>
      <w:bookmarkStart w:id="245" w:name="_Toc13661"/>
      <w:r/>
      <w:bookmarkStart w:id="246" w:name="_Toc194500895"/>
      <w:r/>
      <w:bookmarkStart w:id="247" w:name="_Toc20769"/>
      <w:r>
        <w:rPr>
          <w:rFonts w:cs="宋体" w:asciiTheme="minorEastAsia" w:hAnsiTheme="minorEastAsia" w:eastAsiaTheme="minorEastAsia"/>
          <w:color w:val="auto"/>
          <w:sz w:val="32"/>
          <w:highlight w:val="none"/>
        </w:rPr>
        <w:t xml:space="preserve">法定代表人授权书</w:t>
      </w:r>
      <w:bookmarkEnd w:id="243"/>
      <w:r/>
      <w:bookmarkEnd w:id="244"/>
      <w:r/>
      <w:bookmarkEnd w:id="245"/>
      <w:r/>
      <w:bookmarkEnd w:id="246"/>
      <w:r/>
      <w:bookmarkEnd w:id="247"/>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本授权委托书声明：我（姓名）系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代理人无权转委托，特此委托。</w:t>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bCs/>
          <w:color w:val="auto"/>
          <w:sz w:val="24"/>
          <w:highlight w:val="none"/>
        </w:rPr>
        <w:t xml:space="preserve">授权单位名称：（加盖CA电子公章）</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需同时提供法定代表人和被授权人身份证扫描件（正反面），如法定代表人签署文件则无需出具授权书，仅需提供法定代表人身份证扫描件（正反面）；</w:t>
      </w:r>
      <w:r/>
    </w:p>
    <w:p>
      <w:pPr>
        <w:spacing w:line="5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lang w:eastAsia="zh-CN"/>
        </w:rPr>
        <w:t xml:space="preserve">）</w:t>
      </w:r>
      <w:r>
        <w:rPr>
          <w:rFonts w:hint="eastAsia" w:cs="Arial" w:asciiTheme="minorEastAsia" w:hAnsiTheme="minorEastAsia" w:eastAsiaTheme="minorEastAsia"/>
          <w:color w:val="auto"/>
          <w:sz w:val="24"/>
          <w:highlight w:val="none"/>
        </w:rPr>
        <w:t xml:space="preserve">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Theme="minorEastAsia" w:hAnsiTheme="minorEastAsia" w:eastAsiaTheme="minorEastAsia"/>
          <w:bCs/>
          <w:color w:val="auto"/>
          <w:sz w:val="24"/>
          <w:highlight w:val="none"/>
        </w:rPr>
        <w:t xml:space="preserve">。</w:t>
      </w:r>
      <w:r/>
    </w:p>
    <w:p>
      <w:pPr>
        <w:spacing w:line="5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spacing w:line="500" w:lineRule="exact"/>
        <w:rPr>
          <w:rFonts w:hint="eastAsia" w:asciiTheme="minorEastAsia" w:hAnsiTheme="minorEastAsia" w:eastAsiaTheme="minorEastAsia"/>
          <w:b/>
          <w:bCs w:val="0"/>
          <w:color w:val="auto"/>
          <w:sz w:val="28"/>
          <w:szCs w:val="28"/>
          <w:highlight w:val="none"/>
        </w:rPr>
      </w:pPr>
      <w:r>
        <w:rPr>
          <w:rFonts w:hint="eastAsia" w:asciiTheme="minorEastAsia" w:hAnsiTheme="minorEastAsia" w:eastAsiaTheme="minorEastAsia"/>
          <w:b/>
          <w:bCs w:val="0"/>
          <w:color w:val="auto"/>
          <w:sz w:val="28"/>
          <w:szCs w:val="28"/>
          <w:highlight w:val="none"/>
        </w:rPr>
        <w:t xml:space="preserve">2.投标人具有国家新闻出版署颁发的有效期内的《报纸出版许可证》；</w:t>
      </w:r>
      <w:r/>
    </w:p>
    <w:p>
      <w:pPr>
        <w:spacing w:line="500" w:lineRule="exact"/>
        <w:rPr>
          <w:rFonts w:hint="eastAsia" w:asciiTheme="minorEastAsia" w:hAnsiTheme="minorEastAsia" w:eastAsiaTheme="minorEastAsia"/>
          <w:b/>
          <w:bCs w:val="0"/>
          <w:color w:val="auto"/>
          <w:sz w:val="28"/>
          <w:szCs w:val="28"/>
          <w:highlight w:val="none"/>
        </w:rPr>
      </w:pPr>
      <w:r>
        <w:rPr>
          <w:rFonts w:hint="eastAsia" w:asciiTheme="minorEastAsia" w:hAnsiTheme="minorEastAsia" w:eastAsiaTheme="minorEastAsia"/>
          <w:b/>
          <w:bCs w:val="0"/>
          <w:color w:val="auto"/>
          <w:sz w:val="28"/>
          <w:szCs w:val="28"/>
          <w:highlight w:val="none"/>
        </w:rPr>
        <w:t xml:space="preserve">3.投标人具有效期内的《互联网新闻信息服务许可证》。</w:t>
      </w:r>
      <w:r/>
    </w:p>
    <w:p>
      <w:pPr>
        <w:spacing w:line="5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480"/>
        <w:jc w:val="left"/>
        <w:spacing w:line="85" w:lineRule="atLeast"/>
        <w:tabs>
          <w:tab w:val="left" w:pos="360"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jc w:val="left"/>
        <w:spacing w:line="85" w:lineRule="atLeast"/>
        <w:tabs>
          <w:tab w:val="left" w:pos="360"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jc w:val="center"/>
        <w:spacing w:line="98" w:lineRule="atLeast"/>
        <w:rPr>
          <w:rFonts w:cs="宋体" w:asciiTheme="minorEastAsia" w:hAnsiTheme="minorEastAsia" w:eastAsiaTheme="minorEastAsia"/>
          <w:color w:val="auto"/>
          <w:sz w:val="24"/>
          <w:highlight w:val="none"/>
        </w:rPr>
        <w:outlineLvl w:val="1"/>
      </w:pPr>
      <w:r>
        <w:rPr>
          <w:rFonts w:asciiTheme="minorEastAsia" w:hAnsiTheme="minorEastAsia" w:eastAsiaTheme="minorEastAsia"/>
          <w:color w:val="auto"/>
          <w:highlight w:val="none"/>
        </w:rPr>
        <w:br w:type="page" w:clear="all"/>
      </w:r>
      <w:bookmarkStart w:id="248" w:name="_Toc194500896"/>
      <w:r/>
      <w:bookmarkStart w:id="249" w:name="_Toc14585"/>
      <w:r/>
      <w:bookmarkStart w:id="250" w:name="_Toc30352"/>
      <w:r/>
      <w:bookmarkStart w:id="251" w:name="_Toc28523"/>
      <w:r/>
      <w:bookmarkStart w:id="252" w:name="_Toc25072"/>
      <w:r>
        <w:rPr>
          <w:rFonts w:hint="eastAsia" w:cs="宋体" w:asciiTheme="minorEastAsia" w:hAnsiTheme="minorEastAsia" w:eastAsiaTheme="minorEastAsia"/>
          <w:color w:val="auto"/>
          <w:sz w:val="32"/>
          <w:highlight w:val="none"/>
          <w:lang w:val="en-US" w:eastAsia="zh-CN"/>
        </w:rPr>
        <w:t xml:space="preserve">三</w:t>
      </w:r>
      <w:r>
        <w:rPr>
          <w:rFonts w:cs="宋体" w:asciiTheme="minorEastAsia" w:hAnsiTheme="minorEastAsia" w:eastAsiaTheme="minorEastAsia"/>
          <w:color w:val="auto"/>
          <w:sz w:val="32"/>
          <w:highlight w:val="none"/>
        </w:rPr>
        <w:t xml:space="preserve">、投标函</w:t>
      </w:r>
      <w:bookmarkEnd w:id="248"/>
      <w:r/>
      <w:bookmarkEnd w:id="249"/>
      <w:r/>
      <w:bookmarkEnd w:id="250"/>
      <w:r/>
      <w:bookmarkEnd w:id="251"/>
      <w:r/>
      <w:bookmarkEnd w:id="252"/>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致：江苏苏豪创新科技集团有限公司</w:t>
      </w:r>
      <w:r/>
    </w:p>
    <w:p>
      <w:pPr>
        <w:ind w:firstLine="48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根据贵方为</w:t>
      </w:r>
      <w:r>
        <w:rPr>
          <w:rFonts w:hint="eastAsia" w:asciiTheme="minorEastAsia" w:hAnsiTheme="minorEastAsia" w:eastAsiaTheme="minorEastAsia"/>
          <w:i/>
          <w:iCs/>
          <w:color w:val="auto"/>
          <w:sz w:val="24"/>
          <w:highlight w:val="none"/>
          <w:u w:val="single"/>
        </w:rPr>
        <w:t xml:space="preserve">（项目名称）</w:t>
      </w:r>
      <w:r>
        <w:rPr>
          <w:rFonts w:hint="eastAsia" w:asciiTheme="minorEastAsia" w:hAnsiTheme="minorEastAsia" w:eastAsiaTheme="minorEastAsia"/>
          <w:color w:val="auto"/>
          <w:sz w:val="24"/>
          <w:highlight w:val="none"/>
        </w:rPr>
        <w:t xml:space="preserve">项目招标采购货物及服务的投标邀请</w:t>
      </w:r>
      <w:r>
        <w:rPr>
          <w:rFonts w:hint="eastAsia" w:asciiTheme="minorEastAsia" w:hAnsiTheme="minorEastAsia" w:eastAsiaTheme="minorEastAsia"/>
          <w:i/>
          <w:iCs/>
          <w:color w:val="auto"/>
          <w:sz w:val="24"/>
          <w:highlight w:val="none"/>
          <w:u w:val="single"/>
        </w:rPr>
        <w:t xml:space="preserve">（项目编号：代理机构编号：）</w:t>
      </w:r>
      <w:r>
        <w:rPr>
          <w:rFonts w:hint="eastAsia" w:asciiTheme="minorEastAsia" w:hAnsiTheme="minorEastAsia" w:eastAsiaTheme="minorEastAsia"/>
          <w:color w:val="auto"/>
          <w:sz w:val="24"/>
          <w:highlight w:val="none"/>
        </w:rPr>
        <w:t xml:space="preserve">，投标人代表</w:t>
      </w:r>
      <w:r>
        <w:rPr>
          <w:rFonts w:hint="eastAsia" w:asciiTheme="minorEastAsia" w:hAnsiTheme="minorEastAsia" w:eastAsiaTheme="minorEastAsia"/>
          <w:i/>
          <w:iCs/>
          <w:color w:val="auto"/>
          <w:sz w:val="24"/>
          <w:highlight w:val="none"/>
          <w:u w:val="single"/>
        </w:rPr>
        <w:t xml:space="preserve">（姓名、职务）</w:t>
      </w:r>
      <w:r>
        <w:rPr>
          <w:rFonts w:hint="eastAsia" w:asciiTheme="minorEastAsia" w:hAnsiTheme="minorEastAsia" w:eastAsiaTheme="minorEastAsia"/>
          <w:color w:val="auto"/>
          <w:sz w:val="24"/>
          <w:highlight w:val="none"/>
        </w:rPr>
        <w:t xml:space="preserve">经正式授权并代表投标人</w:t>
      </w:r>
      <w:r>
        <w:rPr>
          <w:rFonts w:hint="eastAsia" w:asciiTheme="minorEastAsia" w:hAnsiTheme="minorEastAsia" w:eastAsiaTheme="minorEastAsia"/>
          <w:i/>
          <w:iCs/>
          <w:color w:val="auto"/>
          <w:sz w:val="24"/>
          <w:highlight w:val="none"/>
          <w:u w:val="single"/>
        </w:rPr>
        <w:t xml:space="preserve">（投标人名称、地址）</w:t>
      </w:r>
      <w:r>
        <w:rPr>
          <w:rFonts w:hint="eastAsia" w:asciiTheme="minorEastAsia" w:hAnsiTheme="minorEastAsia" w:eastAsiaTheme="minorEastAsia"/>
          <w:color w:val="auto"/>
          <w:sz w:val="24"/>
          <w:highlight w:val="none"/>
        </w:rPr>
        <w:t xml:space="preserve">提交投标文件。</w:t>
      </w:r>
      <w:r/>
    </w:p>
    <w:p>
      <w:pPr>
        <w:ind w:firstLine="48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据此函，签字代表宣布同意如下：</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1、所附投标价格表中规定的应提交和交付的货物及服务的投标总价为</w:t>
      </w:r>
      <w:r>
        <w:rPr>
          <w:rFonts w:hint="eastAsia" w:asciiTheme="minorEastAsia" w:hAnsiTheme="minorEastAsia" w:eastAsiaTheme="minorEastAsia"/>
          <w:i/>
          <w:iCs/>
          <w:color w:val="auto"/>
          <w:sz w:val="24"/>
          <w:highlight w:val="none"/>
          <w:u w:val="single"/>
        </w:rPr>
        <w:t xml:space="preserve">（注明币种，并用文字和数字表示的投标总价）</w:t>
      </w:r>
      <w:r>
        <w:rPr>
          <w:rFonts w:hint="eastAsia" w:asciiTheme="minorEastAsia" w:hAnsiTheme="minorEastAsia" w:eastAsiaTheme="minorEastAsia"/>
          <w:color w:val="auto"/>
          <w:sz w:val="24"/>
          <w:highlight w:val="none"/>
        </w:rPr>
        <w:t xml:space="preserve">。</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2、投标人将按招标文件的规定履行合同责任和义务。</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4、本投标有效期为自开标日起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5、我方愿意向采购人提供任何与本次招标有关的其他资料。</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6、我方愿意履行自己在投标文件中的全部承诺和责任。</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7、我方愿意遵守招标文件中对投标者的所有规定。</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9、我方完全理解</w:t>
      </w:r>
      <w:r>
        <w:rPr>
          <w:rFonts w:hint="eastAsia" w:asciiTheme="minorEastAsia" w:hAnsiTheme="minorEastAsia" w:eastAsiaTheme="minorEastAsia"/>
          <w:bCs/>
          <w:color w:val="auto"/>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10、一旦我方中标，我方将按招标文件中规定的金额支付招标服务费。</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13、其他说明：</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14、与本次投标有关的一切正式往来信函请寄：</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44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ind w:left="420"/>
        <w:spacing w:line="44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地址传真：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44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电话电子函件：</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spacing w:line="419"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420" w:firstLine="480"/>
        <w:spacing w:line="24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日   期：________年____月____日</w:t>
      </w:r>
      <w:r/>
    </w:p>
    <w:p>
      <w:pPr>
        <w:ind w:left="420" w:firstLine="480"/>
        <w:spacing w:line="240" w:lineRule="auto"/>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投标人名称：（加盖C</w:t>
      </w:r>
      <w:r>
        <w:rPr>
          <w:rFonts w:cs="宋体" w:asciiTheme="minorEastAsia" w:hAnsiTheme="minorEastAsia" w:eastAsiaTheme="minorEastAsia"/>
          <w:color w:val="auto"/>
          <w:sz w:val="24"/>
          <w:highlight w:val="none"/>
        </w:rPr>
        <w:t xml:space="preserve">A</w:t>
      </w:r>
      <w:r>
        <w:rPr>
          <w:rFonts w:hint="eastAsia" w:cs="宋体" w:asciiTheme="minorEastAsia" w:hAnsiTheme="minorEastAsia" w:eastAsiaTheme="minorEastAsia"/>
          <w:color w:val="auto"/>
          <w:sz w:val="24"/>
          <w:highlight w:val="none"/>
        </w:rPr>
        <w:t xml:space="preserve">电子公章）</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spacing w:before="260" w:after="260" w:line="98" w:lineRule="atLeast"/>
        <w:rPr>
          <w:rFonts w:cs="宋体" w:asciiTheme="minorEastAsia" w:hAnsiTheme="minorEastAsia" w:eastAsiaTheme="minorEastAsia"/>
          <w:color w:val="auto"/>
          <w:sz w:val="32"/>
          <w:highlight w:val="none"/>
        </w:rPr>
        <w:outlineLvl w:val="1"/>
      </w:pPr>
      <w:r/>
      <w:bookmarkStart w:id="253" w:name="_Toc8814"/>
      <w:r/>
      <w:bookmarkStart w:id="254" w:name="_Toc27757"/>
      <w:r/>
      <w:bookmarkStart w:id="255" w:name="_Toc194500897"/>
      <w:r/>
      <w:bookmarkStart w:id="256" w:name="_Toc20288"/>
      <w:r/>
      <w:bookmarkStart w:id="257" w:name="_Toc8595"/>
      <w:r>
        <w:rPr>
          <w:rFonts w:hint="eastAsia" w:cs="宋体" w:asciiTheme="minorEastAsia" w:hAnsiTheme="minorEastAsia" w:eastAsiaTheme="minorEastAsia"/>
          <w:color w:val="auto"/>
          <w:sz w:val="32"/>
          <w:highlight w:val="none"/>
          <w:lang w:val="en-US" w:eastAsia="zh-CN"/>
        </w:rPr>
        <w:t xml:space="preserve">四</w:t>
      </w:r>
      <w:r>
        <w:rPr>
          <w:rFonts w:cs="宋体" w:asciiTheme="minorEastAsia" w:hAnsiTheme="minorEastAsia" w:eastAsiaTheme="minorEastAsia"/>
          <w:color w:val="auto"/>
          <w:sz w:val="32"/>
          <w:highlight w:val="none"/>
        </w:rPr>
        <w:t xml:space="preserve">、小微企业声明函（</w:t>
      </w:r>
      <w:r>
        <w:rPr>
          <w:rFonts w:hint="eastAsia" w:cs="宋体" w:asciiTheme="minorEastAsia" w:hAnsiTheme="minorEastAsia" w:eastAsiaTheme="minorEastAsia"/>
          <w:color w:val="auto"/>
          <w:sz w:val="32"/>
          <w:highlight w:val="none"/>
          <w:lang w:val="en-US" w:eastAsia="zh-CN"/>
        </w:rPr>
        <w:t xml:space="preserve">服务</w:t>
      </w:r>
      <w:r>
        <w:rPr>
          <w:rFonts w:cs="宋体" w:asciiTheme="minorEastAsia" w:hAnsiTheme="minorEastAsia" w:eastAsiaTheme="minorEastAsia"/>
          <w:color w:val="auto"/>
          <w:sz w:val="32"/>
          <w:highlight w:val="none"/>
        </w:rPr>
        <w:t xml:space="preserve">）（如适用）</w:t>
      </w:r>
      <w:bookmarkEnd w:id="253"/>
      <w:r/>
      <w:bookmarkEnd w:id="254"/>
      <w:r/>
      <w:bookmarkEnd w:id="255"/>
      <w:r/>
      <w:bookmarkEnd w:id="256"/>
      <w:r/>
      <w:bookmarkEnd w:id="257"/>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 xml:space="preserve">中小企业声明函</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 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（中型企业、小型企业、微型企业），</w:t>
      </w:r>
      <w:r/>
    </w:p>
    <w:p>
      <w:pPr>
        <w:ind w:firstLine="50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属于（采购文件中明确的所属行业）， 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（中型企业、小型企业、微型企业），</w:t>
      </w:r>
      <w:r/>
    </w:p>
    <w:p>
      <w:pPr>
        <w:ind w:firstLine="50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本企业对上述声明内容的真实性负责。如有虚假，将依 法承担相应责任。</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供应商全称（公章）：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1、供应商如不提供此声明函，将不被视为中小企业。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2、成交供应商为小微企业的，此声明函将随成交结果同时公告，接受社会监督。</w:t>
      </w:r>
      <w:r/>
    </w:p>
    <w:p>
      <w:pPr>
        <w:spacing w:line="360" w:lineRule="auto"/>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440" w:right="1106" w:bottom="1440" w:left="1140" w:header="851" w:footer="992" w:gutter="0"/>
          <w:cols w:num="1" w:sep="0" w:space="1701" w:equalWidth="1"/>
          <w:docGrid w:linePitch="360"/>
        </w:sectPr>
      </w:pPr>
      <w:r>
        <w:rPr>
          <w:rFonts w:hint="eastAsia" w:ascii="宋体" w:hAnsi="宋体" w:eastAsia="宋体" w:cs="宋体"/>
          <w:color w:val="auto"/>
          <w:sz w:val="24"/>
          <w:szCs w:val="24"/>
          <w:highlight w:val="none"/>
        </w:rPr>
        <w:t xml:space="preserve">3、“微型”或“小型”企业的划分具体以《政府采购促进中小企业发展管理办法》（财库〔2020〕46号）和《工业和信息化部、国家统计局、国家发展和改革委员会、财政部关于印发中小企业划型标准规定的通知》（工信部联企业〔2011〕300号）的规定为</w:t>
      </w:r>
      <w:r>
        <w:rPr>
          <w:rFonts w:hint="eastAsia" w:ascii="宋体" w:hAnsi="宋体" w:cs="宋体"/>
          <w:color w:val="auto"/>
          <w:sz w:val="24"/>
          <w:szCs w:val="24"/>
          <w:highlight w:val="none"/>
          <w:lang w:val="en-US" w:eastAsia="zh-CN"/>
        </w:rPr>
        <w:t xml:space="preserve">准。</w:t>
      </w:r>
      <w:r/>
    </w:p>
    <w:p>
      <w:pPr>
        <w:jc w:val="center"/>
        <w:spacing w:before="260" w:after="260" w:line="98" w:lineRule="atLeast"/>
        <w:rPr>
          <w:rFonts w:cs="宋体" w:asciiTheme="minorEastAsia" w:hAnsiTheme="minorEastAsia" w:eastAsiaTheme="minorEastAsia"/>
          <w:color w:val="auto"/>
          <w:sz w:val="32"/>
          <w:highlight w:val="none"/>
        </w:rPr>
        <w:outlineLvl w:val="1"/>
      </w:pPr>
      <w:r/>
      <w:bookmarkStart w:id="258" w:name="_Toc12199"/>
      <w:r/>
      <w:bookmarkStart w:id="259" w:name="_Toc31552"/>
      <w:r/>
      <w:bookmarkStart w:id="260" w:name="_Toc3226"/>
      <w:r/>
      <w:bookmarkStart w:id="261" w:name="_Toc194500898"/>
      <w:r/>
      <w:bookmarkStart w:id="262" w:name="_Toc18122"/>
      <w:r>
        <w:rPr>
          <w:rFonts w:hint="eastAsia" w:cs="宋体" w:asciiTheme="minorEastAsia" w:hAnsiTheme="minorEastAsia" w:eastAsiaTheme="minorEastAsia"/>
          <w:color w:val="auto"/>
          <w:sz w:val="32"/>
          <w:highlight w:val="none"/>
          <w:lang w:val="en-US" w:eastAsia="zh-CN"/>
        </w:rPr>
        <w:t xml:space="preserve">五</w:t>
      </w:r>
      <w:r>
        <w:rPr>
          <w:rFonts w:hint="eastAsia" w:cs="宋体" w:asciiTheme="minorEastAsia" w:hAnsiTheme="minorEastAsia" w:eastAsiaTheme="minorEastAsia"/>
          <w:color w:val="auto"/>
          <w:sz w:val="32"/>
          <w:highlight w:val="none"/>
        </w:rPr>
        <w:t xml:space="preserve">、</w:t>
      </w:r>
      <w:r>
        <w:rPr>
          <w:rFonts w:cs="宋体" w:asciiTheme="minorEastAsia" w:hAnsiTheme="minorEastAsia" w:eastAsiaTheme="minorEastAsia"/>
          <w:color w:val="auto"/>
          <w:sz w:val="32"/>
          <w:highlight w:val="none"/>
        </w:rPr>
        <w:t xml:space="preserve">残疾人福利性单位声明函（如适用）</w:t>
      </w:r>
      <w:bookmarkEnd w:id="258"/>
      <w:r/>
      <w:bookmarkEnd w:id="259"/>
      <w:r/>
      <w:bookmarkEnd w:id="260"/>
      <w:r/>
      <w:bookmarkEnd w:id="261"/>
      <w:r/>
      <w:bookmarkEnd w:id="262"/>
      <w:r/>
      <w:r/>
    </w:p>
    <w:p>
      <w:pPr>
        <w:ind w:firstLine="480"/>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项目（分包号：**）采购活动提供本单位的</w:t>
      </w:r>
      <w:r>
        <w:rPr>
          <w:rFonts w:hint="eastAsia" w:cs="宋体" w:asciiTheme="minorEastAsia" w:hAnsiTheme="minorEastAsia" w:eastAsiaTheme="minorEastAsia"/>
          <w:color w:val="auto"/>
          <w:sz w:val="24"/>
          <w:highlight w:val="none"/>
        </w:rPr>
        <w:t xml:space="preserve">服务</w:t>
      </w:r>
      <w:r>
        <w:rPr>
          <w:rFonts w:cs="宋体" w:asciiTheme="minorEastAsia" w:hAnsiTheme="minorEastAsia" w:eastAsiaTheme="minorEastAsia"/>
          <w:color w:val="auto"/>
          <w:sz w:val="24"/>
          <w:highlight w:val="none"/>
        </w:rPr>
        <w:t xml:space="preserve">，或者提供其他残疾人福利性单位</w:t>
      </w:r>
      <w:r>
        <w:rPr>
          <w:rFonts w:hint="eastAsia" w:cs="宋体" w:asciiTheme="minorEastAsia" w:hAnsiTheme="minorEastAsia" w:eastAsiaTheme="minorEastAsia"/>
          <w:color w:val="auto"/>
          <w:sz w:val="24"/>
          <w:highlight w:val="none"/>
        </w:rPr>
        <w:t xml:space="preserve">提供</w:t>
      </w:r>
      <w:r>
        <w:rPr>
          <w:rFonts w:cs="宋体" w:asciiTheme="minorEastAsia" w:hAnsiTheme="minorEastAsia" w:eastAsiaTheme="minorEastAsia"/>
          <w:color w:val="auto"/>
          <w:sz w:val="24"/>
          <w:highlight w:val="none"/>
        </w:rPr>
        <w:t xml:space="preserve">的</w:t>
      </w:r>
      <w:r>
        <w:rPr>
          <w:rFonts w:hint="eastAsia" w:cs="宋体" w:asciiTheme="minorEastAsia" w:hAnsiTheme="minorEastAsia" w:eastAsiaTheme="minorEastAsia"/>
          <w:color w:val="auto"/>
          <w:sz w:val="24"/>
          <w:highlight w:val="none"/>
        </w:rPr>
        <w:t xml:space="preserve">服务</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本单位对上述声明的真实性负责。如有虚假，将依法承担相应责任。</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jc w:val="cente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w:t>
      </w:r>
      <w:r/>
    </w:p>
    <w:p>
      <w:pPr>
        <w:jc w:val="center"/>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lang w:val="en-US" w:eastAsia="zh-CN"/>
        </w:rPr>
        <w:t xml:space="preserve">                   </w:t>
      </w:r>
      <w:r>
        <w:rPr>
          <w:rFonts w:cs="宋体" w:asciiTheme="minorEastAsia" w:hAnsiTheme="minorEastAsia" w:eastAsiaTheme="minorEastAsia"/>
          <w:color w:val="auto"/>
          <w:sz w:val="24"/>
          <w:highlight w:val="none"/>
        </w:rPr>
        <w:t xml:space="preserve">企业名称（加盖CA电子公章）：</w:t>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日  期：</w:t>
      </w:r>
      <w:r/>
    </w:p>
    <w:p>
      <w:pPr>
        <w:jc w:val="center"/>
        <w:spacing w:before="260" w:after="260" w:line="98" w:lineRule="atLeast"/>
        <w:rPr>
          <w:rFonts w:hint="eastAsia" w:cs="宋体" w:asciiTheme="minorEastAsia" w:hAnsiTheme="minorEastAsia" w:eastAsiaTheme="minorEastAsia"/>
          <w:color w:val="auto"/>
          <w:sz w:val="32"/>
          <w:highlight w:val="none"/>
          <w:lang w:val="en-US" w:eastAsia="zh-CN"/>
        </w:rPr>
        <w:outlineLvl w:val="1"/>
      </w:pPr>
      <w:r>
        <w:rPr>
          <w:rFonts w:asciiTheme="minorEastAsia" w:hAnsiTheme="minorEastAsia" w:eastAsiaTheme="minorEastAsia"/>
          <w:color w:val="auto"/>
          <w:highlight w:val="none"/>
        </w:rPr>
        <w:br w:type="page" w:clear="all"/>
      </w:r>
      <w:bookmarkStart w:id="263" w:name="_Toc6933"/>
      <w:r/>
      <w:bookmarkStart w:id="264" w:name="_Toc30853"/>
      <w:r/>
      <w:bookmarkStart w:id="265" w:name="_Toc6380"/>
      <w:r/>
      <w:bookmarkStart w:id="266" w:name="_Toc194500899"/>
      <w:r/>
      <w:bookmarkStart w:id="267" w:name="_Toc27826"/>
      <w:r>
        <w:rPr>
          <w:rFonts w:hint="eastAsia" w:cs="宋体" w:asciiTheme="minorEastAsia" w:hAnsiTheme="minorEastAsia" w:eastAsiaTheme="minorEastAsia"/>
          <w:color w:val="auto"/>
          <w:sz w:val="32"/>
          <w:highlight w:val="none"/>
          <w:lang w:val="en-US" w:eastAsia="zh-CN"/>
        </w:rPr>
        <w:t xml:space="preserve">六、投标分项报价表</w:t>
      </w:r>
      <w:bookmarkEnd w:id="263"/>
      <w:r/>
      <w:bookmarkEnd w:id="264"/>
      <w:r/>
      <w:bookmarkEnd w:id="265"/>
      <w:r/>
      <w:bookmarkEnd w:id="266"/>
      <w:r/>
      <w:bookmarkEnd w:id="267"/>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 </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tbl>
      <w:tblPr>
        <w:tblStyle w:val="874"/>
        <w:tblW w:w="8857" w:type="dxa"/>
        <w:tblInd w:w="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93"/>
        <w:gridCol w:w="3260"/>
        <w:gridCol w:w="1134"/>
        <w:gridCol w:w="1843"/>
        <w:gridCol w:w="1627"/>
      </w:tblGrid>
      <w:tr>
        <w:trPr>
          <w:trHeight w:val="883"/>
        </w:trPr>
        <w:tc>
          <w:tcPr>
            <w:tcBorders>
              <w:top w:val="single" w:color="auto" w:sz="4" w:space="0"/>
              <w:bottom w:val="single" w:color="auto" w:sz="4" w:space="0"/>
              <w:right w:val="single" w:color="auto" w:sz="4" w:space="0"/>
            </w:tcBorders>
            <w:tcW w:w="993"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rPr>
                <w:rFonts w:ascii="宋体"/>
                <w:color w:val="auto"/>
                <w:szCs w:val="21"/>
                <w:highlight w:val="none"/>
              </w:rPr>
            </w:pPr>
            <w:r>
              <w:rPr>
                <w:rFonts w:ascii="宋体"/>
                <w:color w:val="auto"/>
                <w:szCs w:val="21"/>
                <w:highlight w:val="none"/>
              </w:rPr>
              <w:t xml:space="preserve">服务项目</w:t>
            </w:r>
            <w:r>
              <w:rPr>
                <w:rFonts w:hint="eastAsia" w:ascii="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color w:val="auto"/>
                <w:szCs w:val="21"/>
                <w:highlight w:val="none"/>
              </w:rPr>
            </w:pPr>
            <w:r>
              <w:rPr>
                <w:rFonts w:ascii="宋体"/>
                <w:color w:val="auto"/>
                <w:szCs w:val="21"/>
                <w:highlight w:val="none"/>
              </w:rPr>
              <w:t xml:space="preserve">数量</w:t>
            </w:r>
            <w:r/>
          </w:p>
        </w:tc>
        <w:tc>
          <w:tcPr>
            <w:tcBorders>
              <w:top w:val="single" w:color="auto" w:sz="4" w:space="0"/>
              <w:left w:val="single" w:color="auto" w:sz="4" w:space="0"/>
              <w:bottom w:val="single" w:color="auto" w:sz="4" w:space="0"/>
            </w:tcBorders>
            <w:tcW w:w="1843" w:type="dxa"/>
            <w:vAlign w:val="center"/>
            <w:textDirection w:val="lrTb"/>
            <w:noWrap w:val="false"/>
          </w:tcPr>
          <w:p>
            <w:pPr>
              <w:jc w:val="center"/>
              <w:rPr>
                <w:rFonts w:ascii="宋体"/>
                <w:color w:val="auto"/>
                <w:szCs w:val="21"/>
                <w:highlight w:val="none"/>
              </w:rPr>
            </w:pPr>
            <w:r>
              <w:rPr>
                <w:rFonts w:ascii="宋体"/>
                <w:color w:val="auto"/>
                <w:szCs w:val="21"/>
                <w:highlight w:val="none"/>
              </w:rPr>
              <w:t xml:space="preserve">单价</w:t>
            </w:r>
            <w:r/>
          </w:p>
          <w:p>
            <w:pPr>
              <w:jc w:val="center"/>
              <w:rPr>
                <w:rFonts w:ascii="宋体"/>
                <w:color w:val="auto"/>
                <w:szCs w:val="21"/>
                <w:highlight w:val="none"/>
              </w:rPr>
            </w:pPr>
            <w:r>
              <w:rPr>
                <w:rFonts w:hint="eastAsia" w:ascii="宋体"/>
                <w:color w:val="auto"/>
                <w:szCs w:val="21"/>
                <w:highlight w:val="none"/>
              </w:rPr>
              <w:t xml:space="preserve">（元）</w:t>
            </w:r>
            <w:r/>
          </w:p>
        </w:tc>
        <w:tc>
          <w:tcPr>
            <w:tcBorders>
              <w:top w:val="single" w:color="auto" w:sz="4" w:space="0"/>
              <w:left w:val="single" w:color="auto" w:sz="4" w:space="0"/>
              <w:bottom w:val="single" w:color="auto" w:sz="4" w:space="0"/>
            </w:tcBorders>
            <w:tcW w:w="1627" w:type="dxa"/>
            <w:vAlign w:val="center"/>
            <w:textDirection w:val="lrTb"/>
            <w:noWrap w:val="false"/>
          </w:tcPr>
          <w:p>
            <w:pPr>
              <w:jc w:val="center"/>
              <w:rPr>
                <w:rFonts w:ascii="宋体"/>
                <w:color w:val="auto"/>
                <w:szCs w:val="21"/>
                <w:highlight w:val="none"/>
              </w:rPr>
            </w:pPr>
            <w:r>
              <w:rPr>
                <w:rFonts w:ascii="宋体"/>
                <w:color w:val="auto"/>
                <w:szCs w:val="21"/>
                <w:highlight w:val="none"/>
              </w:rPr>
              <w:t xml:space="preserve">总价</w:t>
            </w:r>
            <w:r/>
          </w:p>
          <w:p>
            <w:pPr>
              <w:jc w:val="center"/>
              <w:rPr>
                <w:rFonts w:ascii="宋体"/>
                <w:color w:val="auto"/>
                <w:szCs w:val="21"/>
                <w:highlight w:val="none"/>
              </w:rPr>
            </w:pPr>
            <w:r>
              <w:rPr>
                <w:rFonts w:hint="eastAsia" w:ascii="宋体"/>
                <w:color w:val="auto"/>
                <w:szCs w:val="21"/>
                <w:highlight w:val="none"/>
              </w:rPr>
              <w:t xml:space="preserve">（元）</w:t>
            </w:r>
            <w:r/>
          </w:p>
        </w:tc>
      </w:tr>
      <w:tr>
        <w:trPr>
          <w:cantSplit/>
          <w:trHeight w:val="615"/>
        </w:trPr>
        <w:tc>
          <w:tcPr>
            <w:tcBorders>
              <w:top w:val="single" w:color="auto" w:sz="4" w:space="0"/>
              <w:bottom w:val="single" w:color="auto" w:sz="4" w:space="0"/>
              <w:right w:val="single" w:color="auto" w:sz="4" w:space="0"/>
            </w:tcBorders>
            <w:tcW w:w="99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84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62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trHeight w:val="615"/>
        </w:trPr>
        <w:tc>
          <w:tcPr>
            <w:tcBorders>
              <w:top w:val="single" w:color="auto" w:sz="4" w:space="0"/>
              <w:bottom w:val="single" w:color="auto" w:sz="4" w:space="0"/>
              <w:right w:val="single" w:color="auto" w:sz="4" w:space="0"/>
            </w:tcBorders>
            <w:tcW w:w="99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84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62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trHeight w:val="615"/>
        </w:trPr>
        <w:tc>
          <w:tcPr>
            <w:tcBorders>
              <w:top w:val="single" w:color="auto" w:sz="4" w:space="0"/>
              <w:bottom w:val="single" w:color="auto" w:sz="4" w:space="0"/>
              <w:right w:val="single" w:color="auto" w:sz="4" w:space="0"/>
            </w:tcBorders>
            <w:tcW w:w="99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84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62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trHeight w:val="615"/>
        </w:trPr>
        <w:tc>
          <w:tcPr>
            <w:tcBorders>
              <w:top w:val="single" w:color="auto" w:sz="4" w:space="0"/>
              <w:bottom w:val="single" w:color="auto" w:sz="4" w:space="0"/>
              <w:right w:val="single" w:color="auto" w:sz="4" w:space="0"/>
            </w:tcBorders>
            <w:tcW w:w="99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84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tcBorders>
            <w:tcW w:w="162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trHeight w:val="615"/>
        </w:trPr>
        <w:tc>
          <w:tcPr>
            <w:tcBorders>
              <w:top w:val="single" w:color="auto" w:sz="4" w:space="0"/>
              <w:bottom w:val="single" w:color="auto" w:sz="4" w:space="0"/>
              <w:right w:val="single" w:color="auto" w:sz="4" w:space="0"/>
            </w:tcBorders>
            <w:tcW w:w="99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gridSpan w:val="4"/>
            <w:tcBorders>
              <w:top w:val="single" w:color="auto" w:sz="4" w:space="0"/>
              <w:left w:val="single" w:color="auto" w:sz="4" w:space="0"/>
              <w:bottom w:val="single" w:color="auto" w:sz="4" w:space="0"/>
            </w:tcBorders>
            <w:tcW w:w="7864" w:type="dxa"/>
            <w:vAlign w:val="center"/>
            <w:textDirection w:val="lrTb"/>
            <w:noWrap w:val="false"/>
          </w:tcPr>
          <w:p>
            <w:pPr>
              <w:ind w:firstLine="2100"/>
              <w:rPr>
                <w:rFonts w:ascii="宋体"/>
                <w:color w:val="auto"/>
                <w:szCs w:val="21"/>
                <w:highlight w:val="none"/>
              </w:rPr>
            </w:pPr>
            <w:r>
              <w:rPr>
                <w:rFonts w:ascii="宋体"/>
                <w:color w:val="auto"/>
                <w:szCs w:val="21"/>
                <w:highlight w:val="none"/>
              </w:rPr>
              <w:t xml:space="preserve">总计</w:t>
            </w:r>
            <w:r>
              <w:rPr>
                <w:rFonts w:hint="eastAsia" w:ascii="宋体"/>
                <w:color w:val="auto"/>
                <w:szCs w:val="21"/>
                <w:highlight w:val="none"/>
              </w:rPr>
              <w:t xml:space="preserve">（含税）：</w:t>
            </w:r>
            <w:r/>
          </w:p>
        </w:tc>
      </w:tr>
    </w:tbl>
    <w:p>
      <w:pPr>
        <w:rPr>
          <w:rFonts w:ascii="宋体" w:hAnsi="宋体"/>
          <w:color w:val="auto"/>
          <w:szCs w:val="21"/>
          <w:highlight w:val="none"/>
        </w:rPr>
      </w:pPr>
      <w:r>
        <w:rPr>
          <w:rFonts w:hint="eastAsia" w:ascii="宋体" w:hAnsi="宋体"/>
          <w:color w:val="auto"/>
          <w:szCs w:val="21"/>
          <w:highlight w:val="none"/>
        </w:rPr>
        <w:t xml:space="preserve">注：行数不够可自行添加,此表格须按照《第</w:t>
      </w:r>
      <w:r>
        <w:rPr>
          <w:rFonts w:hint="eastAsia" w:ascii="宋体" w:hAnsi="宋体"/>
          <w:color w:val="auto"/>
          <w:szCs w:val="21"/>
          <w:highlight w:val="none"/>
          <w:lang w:val="en-US" w:eastAsia="zh-CN"/>
        </w:rPr>
        <w:t xml:space="preserve">四章</w:t>
      </w:r>
      <w:r>
        <w:rPr>
          <w:rFonts w:hint="eastAsia" w:ascii="宋体" w:hAnsi="宋体"/>
          <w:color w:val="auto"/>
          <w:szCs w:val="21"/>
          <w:highlight w:val="none"/>
        </w:rPr>
        <w:t xml:space="preserve"> 采购需求》基本概况的1</w:t>
      </w:r>
      <w:r>
        <w:rPr>
          <w:rFonts w:ascii="宋体" w:hAnsi="宋体"/>
          <w:color w:val="auto"/>
          <w:szCs w:val="21"/>
          <w:highlight w:val="none"/>
        </w:rPr>
        <w:t xml:space="preserve">.2</w:t>
      </w:r>
      <w:r>
        <w:rPr>
          <w:rFonts w:hint="eastAsia" w:ascii="宋体" w:hAnsi="宋体"/>
          <w:color w:val="auto"/>
          <w:szCs w:val="21"/>
          <w:highlight w:val="none"/>
        </w:rPr>
        <w:t xml:space="preserve">明细内容进行报价。</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u w:val="single"/>
        </w:rPr>
      </w:pPr>
      <w:r>
        <w:rPr>
          <w:rFonts w:hint="eastAsia" w:ascii="宋体" w:hAnsi="宋体"/>
          <w:color w:val="auto"/>
          <w:szCs w:val="21"/>
          <w:highlight w:val="none"/>
        </w:rPr>
        <w:t xml:space="preserve">投标人名称：（盖章）</w:t>
      </w:r>
      <w:r>
        <w:rPr>
          <w:rFonts w:hint="eastAsia" w:ascii="宋体" w:hAnsi="宋体"/>
          <w:color w:val="auto"/>
          <w:szCs w:val="21"/>
          <w:highlight w:val="none"/>
          <w:u w:val="single"/>
        </w:rPr>
        <w:t xml:space="preserve">                  </w:t>
      </w:r>
      <w:r/>
    </w:p>
    <w:p>
      <w:pPr>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u w:val="single"/>
        </w:rPr>
      </w:pPr>
      <w:r>
        <w:rPr>
          <w:rFonts w:hint="eastAsia" w:ascii="宋体" w:hAnsi="宋体"/>
          <w:color w:val="auto"/>
          <w:szCs w:val="21"/>
          <w:highlight w:val="none"/>
        </w:rPr>
        <w:t xml:space="preserve">法定代表人（或</w:t>
      </w:r>
      <w:r>
        <w:rPr>
          <w:rFonts w:hint="eastAsia" w:ascii="宋体" w:hAnsi="宋体"/>
          <w:color w:val="auto"/>
          <w:highlight w:val="none"/>
        </w:rPr>
        <w:t xml:space="preserve">授权委托人</w:t>
      </w:r>
      <w:r>
        <w:rPr>
          <w:rFonts w:hint="eastAsia" w:ascii="宋体" w:hAnsi="宋体"/>
          <w:color w:val="auto"/>
          <w:szCs w:val="21"/>
          <w:highlight w:val="none"/>
        </w:rPr>
        <w:t xml:space="preserve">）签字：</w:t>
      </w:r>
      <w:r>
        <w:rPr>
          <w:rFonts w:hint="eastAsia" w:ascii="宋体" w:hAnsi="宋体"/>
          <w:color w:val="auto"/>
          <w:szCs w:val="21"/>
          <w:highlight w:val="none"/>
          <w:u w:val="single"/>
        </w:rPr>
        <w:t xml:space="preserve">              </w:t>
      </w:r>
      <w:r/>
    </w:p>
    <w:p>
      <w:pPr>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投标日期：2026年</w:t>
      </w:r>
      <w:r>
        <w:rPr>
          <w:rFonts w:hint="eastAsia" w:ascii="宋体" w:hAnsi="宋体"/>
          <w:color w:val="auto"/>
          <w:szCs w:val="21"/>
          <w:highlight w:val="none"/>
          <w:u w:val="single"/>
        </w:rPr>
        <w:t xml:space="preserve">XX</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XX</w:t>
      </w:r>
      <w:r>
        <w:rPr>
          <w:rFonts w:hint="eastAsia" w:ascii="宋体" w:hAnsi="宋体"/>
          <w:color w:val="auto"/>
          <w:szCs w:val="21"/>
          <w:highlight w:val="none"/>
        </w:rPr>
        <w:t xml:space="preserve">日</w:t>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p>
      <w:pP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br w:type="page" w:clear="all"/>
      </w:r>
      <w:r/>
    </w:p>
    <w:p>
      <w:pPr>
        <w:jc w:val="center"/>
        <w:rPr>
          <w:rFonts w:cs="宋体" w:asciiTheme="minorEastAsia" w:hAnsiTheme="minorEastAsia" w:eastAsiaTheme="minorEastAsia"/>
          <w:color w:val="auto"/>
          <w:sz w:val="24"/>
          <w:highlight w:val="none"/>
        </w:rPr>
      </w:pPr>
      <w:r/>
      <w:bookmarkStart w:id="268" w:name="_Toc194500900"/>
      <w:r/>
      <w:bookmarkStart w:id="269" w:name="_Toc749"/>
      <w:r/>
      <w:bookmarkStart w:id="270" w:name="_Toc22016"/>
      <w:r/>
      <w:bookmarkStart w:id="271" w:name="_Toc4392"/>
      <w:r/>
      <w:bookmarkStart w:id="272" w:name="_Toc723"/>
      <w:r>
        <w:rPr>
          <w:rFonts w:hint="eastAsia" w:cs="宋体" w:asciiTheme="minorEastAsia" w:hAnsiTheme="minorEastAsia" w:eastAsiaTheme="minorEastAsia"/>
          <w:color w:val="auto"/>
          <w:sz w:val="32"/>
          <w:highlight w:val="none"/>
          <w:lang w:val="en-US" w:eastAsia="zh-CN"/>
        </w:rPr>
        <w:t xml:space="preserve">七</w:t>
      </w:r>
      <w:r>
        <w:rPr>
          <w:rFonts w:cs="宋体" w:asciiTheme="minorEastAsia" w:hAnsiTheme="minorEastAsia" w:eastAsiaTheme="minorEastAsia"/>
          <w:color w:val="auto"/>
          <w:sz w:val="32"/>
          <w:highlight w:val="none"/>
        </w:rPr>
        <w:t xml:space="preserve">、开标一览表</w:t>
      </w:r>
      <w:bookmarkEnd w:id="268"/>
      <w:r/>
      <w:bookmarkEnd w:id="269"/>
      <w:r/>
      <w:bookmarkEnd w:id="270"/>
      <w:r/>
      <w:bookmarkEnd w:id="271"/>
      <w:r/>
      <w:bookmarkEnd w:id="272"/>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ind w:firstLine="480"/>
        <w:rPr>
          <w:rFonts w:cs="Arial"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                                  </w:t>
      </w:r>
      <w:r/>
    </w:p>
    <w:tbl>
      <w:tblPr>
        <w:tblStyle w:val="874"/>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5"/>
              <w:ind w:firstLine="0"/>
              <w:jc w:val="center"/>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投标总价</w:t>
            </w:r>
            <w:r/>
          </w:p>
        </w:tc>
        <w:tc>
          <w:tcPr>
            <w:tcW w:w="7625" w:type="dxa"/>
            <w:vAlign w:val="center"/>
            <w:textDirection w:val="lrTb"/>
            <w:noWrap w:val="false"/>
          </w:tcPr>
          <w:p>
            <w:pPr>
              <w:pStyle w:val="875"/>
              <w:ind w:firstLine="0"/>
              <w:spacing w:line="440" w:lineRule="exact"/>
              <w:rPr>
                <w:rFonts w:cs="Arial" w:asciiTheme="minorEastAsia" w:hAnsiTheme="minorEastAsia" w:eastAsiaTheme="minorEastAsia"/>
                <w:bCs/>
                <w:color w:val="auto"/>
                <w:sz w:val="24"/>
                <w:szCs w:val="24"/>
                <w:highlight w:val="none"/>
              </w:rPr>
            </w:pPr>
            <w:r>
              <w:rPr>
                <w:rFonts w:cs="Arial" w:asciiTheme="minorEastAsia" w:hAnsiTheme="minorEastAsia" w:eastAsiaTheme="minorEastAsia"/>
                <w:color w:val="auto"/>
                <w:sz w:val="24"/>
                <w:szCs w:val="24"/>
                <w:highlight w:val="none"/>
              </w:rPr>
              <w:t xml:space="preserve">小写：人民币          </w:t>
            </w:r>
            <w:r>
              <w:rPr>
                <w:rFonts w:hint="eastAsia" w:cs="Arial" w:asciiTheme="minorEastAsia" w:hAnsiTheme="minorEastAsia" w:eastAsiaTheme="minorEastAsia"/>
                <w:color w:val="auto"/>
                <w:sz w:val="24"/>
                <w:szCs w:val="24"/>
                <w:highlight w:val="none"/>
              </w:rPr>
              <w:t xml:space="preserve">   元</w:t>
            </w:r>
            <w:r/>
          </w:p>
          <w:p>
            <w:pPr>
              <w:pStyle w:val="875"/>
              <w:ind w:firstLine="474"/>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r>
            <w:r/>
          </w:p>
          <w:p>
            <w:pPr>
              <w:pStyle w:val="875"/>
              <w:ind w:firstLine="0"/>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大写：人民币             </w:t>
            </w:r>
            <w:r>
              <w:rPr>
                <w:rFonts w:hint="eastAsia" w:cs="Arial" w:asciiTheme="minorEastAsia" w:hAnsiTheme="minorEastAsia" w:eastAsiaTheme="minorEastAsia"/>
                <w:color w:val="auto"/>
                <w:sz w:val="24"/>
                <w:szCs w:val="24"/>
                <w:highlight w:val="none"/>
              </w:rPr>
              <w:t xml:space="preserve">元</w:t>
            </w:r>
            <w:r>
              <w:rPr>
                <w:rFonts w:cs="Arial" w:asciiTheme="minorEastAsia" w:hAnsiTheme="minorEastAsia" w:eastAsiaTheme="minorEastAsia"/>
                <w:color w:val="auto"/>
                <w:sz w:val="24"/>
                <w:szCs w:val="24"/>
                <w:highlight w:val="none"/>
              </w:rPr>
              <w:t xml:space="preserve"> </w:t>
            </w:r>
            <w:r/>
          </w:p>
        </w:tc>
      </w:tr>
    </w:tbl>
    <w:p>
      <w:pPr>
        <w:jc w:val="left"/>
        <w:spacing w:line="360" w:lineRule="auto"/>
        <w:shd w:val="clear" w:color="auto" w:fill="ffffff"/>
        <w:widowControl/>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991"/>
        <w:numPr>
          <w:ilvl w:val="0"/>
          <w:numId w:val="0"/>
        </w:numPr>
        <w:jc w:val="center"/>
        <w:rPr>
          <w:rFonts w:cs="宋体" w:asciiTheme="minorEastAsia" w:hAnsiTheme="minorEastAsia" w:eastAsiaTheme="minorEastAsia"/>
          <w:color w:val="auto"/>
          <w:sz w:val="32"/>
          <w:highlight w:val="none"/>
        </w:rPr>
        <w:outlineLvl w:val="1"/>
      </w:pPr>
      <w:r/>
      <w:bookmarkStart w:id="273" w:name="_Toc194500901"/>
      <w:r>
        <w:rPr>
          <w:rFonts w:hint="eastAsia" w:cs="宋体" w:asciiTheme="minorEastAsia" w:hAnsiTheme="minorEastAsia" w:eastAsiaTheme="minorEastAsia"/>
          <w:color w:val="auto"/>
          <w:sz w:val="32"/>
          <w:highlight w:val="none"/>
          <w:lang w:val="en-US" w:eastAsia="zh-CN"/>
        </w:rPr>
        <w:t xml:space="preserve">八、</w:t>
      </w:r>
      <w:bookmarkEnd w:id="273"/>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致：</w:t>
      </w:r>
      <w:r>
        <w:rPr>
          <w:rFonts w:hint="eastAsia" w:ascii="宋体" w:hAnsi="宋体" w:cs="仿宋"/>
          <w:b/>
          <w:color w:val="auto"/>
          <w:szCs w:val="21"/>
          <w:highlight w:val="none"/>
        </w:rPr>
        <w:t xml:space="preserve">江苏省文学艺术界联合会</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lang w:eastAsia="zh-CN"/>
        </w:rPr>
        <w:t xml:space="preserve">我公司</w:t>
      </w:r>
      <w:r>
        <w:rPr>
          <w:rFonts w:hint="eastAsia" w:ascii="宋体" w:hAnsi="宋体" w:cs="仿宋"/>
          <w:color w:val="auto"/>
          <w:szCs w:val="21"/>
          <w:highlight w:val="none"/>
        </w:rPr>
        <w:t xml:space="preserve">郑重承诺：完全响应本招标文件《第</w:t>
      </w:r>
      <w:r>
        <w:rPr>
          <w:rFonts w:hint="eastAsia" w:ascii="宋体" w:hAnsi="宋体" w:cs="仿宋"/>
          <w:color w:val="auto"/>
          <w:szCs w:val="21"/>
          <w:highlight w:val="none"/>
          <w:lang w:val="en-US" w:eastAsia="zh-CN"/>
        </w:rPr>
        <w:t xml:space="preserve">四章 </w:t>
      </w:r>
      <w:r>
        <w:rPr>
          <w:rFonts w:hint="eastAsia" w:ascii="宋体" w:hAnsi="宋体" w:cs="仿宋"/>
          <w:color w:val="auto"/>
          <w:szCs w:val="21"/>
          <w:highlight w:val="none"/>
        </w:rPr>
        <w:t xml:space="preserve">采购需求》中服务要求的全部内容，</w:t>
      </w:r>
      <w:r>
        <w:rPr>
          <w:rFonts w:hint="eastAsia" w:ascii="宋体" w:hAnsi="宋体" w:cs="仿宋"/>
          <w:color w:val="auto"/>
          <w:szCs w:val="21"/>
          <w:highlight w:val="none"/>
          <w:lang w:eastAsia="zh-CN"/>
        </w:rPr>
        <w:t xml:space="preserve">我公司</w:t>
      </w:r>
      <w:r>
        <w:rPr>
          <w:rFonts w:hint="eastAsia" w:ascii="宋体" w:hAnsi="宋体" w:cs="仿宋"/>
          <w:color w:val="auto"/>
          <w:szCs w:val="21"/>
          <w:highlight w:val="none"/>
        </w:rPr>
        <w:t xml:space="preserve">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（必须提供团队人员名单，包括团队负责人，自拟表格）</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hint="eastAsia" w:cs="宋体" w:asciiTheme="minorEastAsia" w:hAnsiTheme="minorEastAsia" w:eastAsiaTheme="minorEastAsia"/>
          <w:color w:val="auto"/>
          <w:sz w:val="24"/>
          <w:szCs w:val="20"/>
          <w:highlight w:val="none"/>
        </w:rPr>
      </w:pPr>
      <w:r>
        <w:rPr>
          <w:rFonts w:hint="eastAsia" w:cs="宋体" w:asciiTheme="minorEastAsia" w:hAnsiTheme="minorEastAsia" w:eastAsiaTheme="minorEastAsia"/>
          <w:color w:val="auto"/>
          <w:sz w:val="24"/>
          <w:szCs w:val="20"/>
          <w:highlight w:val="none"/>
        </w:rPr>
        <w:t xml:space="preserve">日期：_____年______月______日 </w:t>
      </w:r>
      <w:r/>
    </w:p>
    <w:p>
      <w:pPr>
        <w:rPr>
          <w:rFonts w:hint="eastAsia" w:cs="宋体" w:asciiTheme="minorEastAsia" w:hAnsiTheme="minorEastAsia" w:eastAsiaTheme="minorEastAsia"/>
          <w:color w:val="auto"/>
          <w:sz w:val="24"/>
          <w:szCs w:val="20"/>
          <w:highlight w:val="none"/>
        </w:rPr>
      </w:pPr>
      <w:r>
        <w:rPr>
          <w:rFonts w:hint="eastAsia" w:cs="宋体" w:asciiTheme="minorEastAsia" w:hAnsiTheme="minorEastAsia" w:eastAsiaTheme="minorEastAsia"/>
          <w:color w:val="auto"/>
          <w:sz w:val="24"/>
          <w:szCs w:val="20"/>
          <w:highlight w:val="none"/>
        </w:rPr>
        <w:br w:type="page" w:clear="all"/>
      </w:r>
      <w:r/>
    </w:p>
    <w:p>
      <w:pPr>
        <w:ind w:firstLine="281"/>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ind w:firstLine="281"/>
        <w:jc w:val="center"/>
        <w:rPr>
          <w:rFonts w:hint="eastAsia" w:asciiTheme="minorEastAsia" w:hAnsiTheme="minorEastAsia" w:eastAsiaTheme="minorEastAsia"/>
          <w:b/>
          <w:color w:val="auto"/>
          <w:sz w:val="28"/>
          <w:szCs w:val="28"/>
          <w:highlight w:val="none"/>
          <w:lang w:eastAsia="zh-CN"/>
        </w:rPr>
      </w:pPr>
      <w:r/>
      <w:bookmarkStart w:id="274" w:name="_Toc12174"/>
      <w:r/>
      <w:bookmarkStart w:id="275" w:name="_Toc7460"/>
      <w:r/>
      <w:bookmarkStart w:id="276" w:name="_Toc1974"/>
      <w:r/>
      <w:bookmarkStart w:id="277" w:name="_Toc923"/>
      <w:r>
        <w:rPr>
          <w:rFonts w:hint="eastAsia" w:asciiTheme="minorEastAsia" w:hAnsiTheme="minorEastAsia" w:eastAsiaTheme="minorEastAsia"/>
          <w:b/>
          <w:color w:val="auto"/>
          <w:sz w:val="28"/>
          <w:szCs w:val="28"/>
          <w:highlight w:val="none"/>
          <w:lang w:val="en-US" w:eastAsia="zh-CN"/>
        </w:rPr>
        <w:t xml:space="preserve">九、</w:t>
      </w:r>
      <w:r>
        <w:rPr>
          <w:rFonts w:hint="eastAsia" w:asciiTheme="minorEastAsia" w:hAnsiTheme="minorEastAsia" w:eastAsiaTheme="minorEastAsia"/>
          <w:b/>
          <w:color w:val="auto"/>
          <w:sz w:val="28"/>
          <w:szCs w:val="28"/>
          <w:highlight w:val="none"/>
          <w:lang w:eastAsia="zh-CN"/>
        </w:rPr>
        <w:t xml:space="preserve">商务合同响应/偏离表</w:t>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p>
    <w:p>
      <w:pPr>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项目编号：</w:t>
      </w:r>
      <w:r/>
    </w:p>
    <w:tbl>
      <w:tblPr>
        <w:tblStyle w:val="874"/>
        <w:tblpPr w:horzAnchor="page" w:tblpX="1435" w:vertAnchor="text" w:tblpY="48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42"/>
        <w:gridCol w:w="2664"/>
        <w:gridCol w:w="2268"/>
        <w:gridCol w:w="1796"/>
        <w:gridCol w:w="1302"/>
      </w:tblGrid>
      <w:tr>
        <w:trPr>
          <w:trHeight w:val="883"/>
        </w:trPr>
        <w:tc>
          <w:tcPr>
            <w:tcBorders>
              <w:top w:val="single" w:color="auto" w:sz="4" w:space="0"/>
              <w:bottom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招标文件商务要求条款</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投标人商务响应</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tc>
      </w:tr>
      <w:tr>
        <w:trPr>
          <w:cantSplit/>
          <w:trHeight w:val="615"/>
        </w:trPr>
        <w:tc>
          <w:tcPr>
            <w:tcBorders>
              <w:top w:val="single" w:color="auto" w:sz="4" w:space="0"/>
              <w:bottom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15"/>
        </w:trPr>
        <w:tc>
          <w:tcPr>
            <w:tcBorders>
              <w:top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104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代理机构编号：                 </w:t>
      </w:r>
      <w:r/>
    </w:p>
    <w:p>
      <w:pP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填表说明：</w:t>
      </w:r>
      <w:r/>
    </w:p>
    <w:p>
      <w:pP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（1）投标人对招标文件《</w:t>
      </w:r>
      <w:r>
        <w:rPr>
          <w:rFonts w:hint="eastAsia" w:ascii="宋体" w:hAnsi="宋体" w:cs="仿宋_GB2312"/>
          <w:color w:val="auto"/>
          <w:szCs w:val="21"/>
          <w:highlight w:val="none"/>
          <w:lang w:val="en-US" w:eastAsia="zh-CN"/>
        </w:rPr>
        <w:t xml:space="preserve">第三章 </w:t>
      </w:r>
      <w:r>
        <w:rPr>
          <w:rFonts w:hint="eastAsia" w:ascii="宋体" w:hAnsi="宋体" w:cs="仿宋_GB2312"/>
          <w:color w:val="auto"/>
          <w:szCs w:val="21"/>
          <w:highlight w:val="none"/>
          <w:lang w:val="zh-CN"/>
        </w:rPr>
        <w:t xml:space="preserve">合同</w:t>
      </w:r>
      <w:r>
        <w:rPr>
          <w:rFonts w:hint="eastAsia" w:ascii="宋体" w:hAnsi="宋体" w:cs="仿宋_GB2312"/>
          <w:color w:val="auto"/>
          <w:szCs w:val="21"/>
          <w:highlight w:val="none"/>
          <w:lang w:val="en-US" w:eastAsia="zh-CN"/>
        </w:rPr>
        <w:t xml:space="preserve">文本</w:t>
      </w:r>
      <w:r>
        <w:rPr>
          <w:rFonts w:hint="eastAsia" w:ascii="宋体" w:hAnsi="宋体" w:cs="仿宋_GB2312"/>
          <w:color w:val="auto"/>
          <w:szCs w:val="21"/>
          <w:highlight w:val="none"/>
          <w:lang w:val="zh-CN"/>
        </w:rPr>
        <w:t xml:space="preserve">》进行确认时，负偏离视为无效投标。</w:t>
      </w:r>
      <w:r/>
    </w:p>
    <w:p>
      <w:pPr>
        <w:rPr>
          <w:rFonts w:ascii="宋体" w:cs="仿宋_GB2312"/>
          <w:color w:val="auto"/>
          <w:szCs w:val="21"/>
          <w:highlight w:val="none"/>
          <w:lang w:val="zh-CN"/>
        </w:rPr>
      </w:pPr>
      <w:r>
        <w:rPr>
          <w:rFonts w:hint="eastAsia" w:ascii="宋体" w:hAnsi="宋体" w:cs="仿宋_GB2312"/>
          <w:color w:val="auto"/>
          <w:szCs w:val="21"/>
          <w:highlight w:val="none"/>
          <w:lang w:val="zh-CN"/>
        </w:rPr>
        <w:t xml:space="preserve">（2）投标人对招标文件《</w:t>
      </w:r>
      <w:r>
        <w:rPr>
          <w:rFonts w:hint="eastAsia" w:ascii="宋体" w:hAnsi="宋体" w:cs="仿宋_GB2312"/>
          <w:color w:val="auto"/>
          <w:szCs w:val="21"/>
          <w:highlight w:val="none"/>
          <w:lang w:val="en-US" w:eastAsia="zh-CN"/>
        </w:rPr>
        <w:t xml:space="preserve">第三章 </w:t>
      </w:r>
      <w:r>
        <w:rPr>
          <w:rFonts w:hint="eastAsia" w:ascii="宋体" w:hAnsi="宋体" w:cs="仿宋_GB2312"/>
          <w:color w:val="auto"/>
          <w:szCs w:val="21"/>
          <w:highlight w:val="none"/>
          <w:lang w:val="zh-CN"/>
        </w:rPr>
        <w:t xml:space="preserve">合同</w:t>
      </w:r>
      <w:r>
        <w:rPr>
          <w:rFonts w:hint="eastAsia" w:ascii="宋体" w:hAnsi="宋体" w:cs="仿宋_GB2312"/>
          <w:color w:val="auto"/>
          <w:szCs w:val="21"/>
          <w:highlight w:val="none"/>
          <w:lang w:val="en-US" w:eastAsia="zh-CN"/>
        </w:rPr>
        <w:t xml:space="preserve">文本</w:t>
      </w:r>
      <w:r>
        <w:rPr>
          <w:rFonts w:hint="eastAsia" w:ascii="宋体" w:hAnsi="宋体" w:cs="仿宋_GB2312"/>
          <w:color w:val="auto"/>
          <w:szCs w:val="21"/>
          <w:highlight w:val="none"/>
          <w:lang w:val="zh-CN"/>
        </w:rPr>
        <w:t xml:space="preserve">》没有提出修改要求的，可以提供经签署、盖章的空白表格，采购人将视为投标人完全接受招标文件《</w:t>
      </w:r>
      <w:r>
        <w:rPr>
          <w:rFonts w:hint="eastAsia" w:ascii="宋体" w:hAnsi="宋体" w:cs="仿宋_GB2312"/>
          <w:color w:val="auto"/>
          <w:szCs w:val="21"/>
          <w:highlight w:val="none"/>
          <w:lang w:val="en-US" w:eastAsia="zh-CN"/>
        </w:rPr>
        <w:t xml:space="preserve">第三章 </w:t>
      </w:r>
      <w:r>
        <w:rPr>
          <w:rFonts w:hint="eastAsia" w:ascii="宋体" w:hAnsi="宋体" w:cs="仿宋_GB2312"/>
          <w:color w:val="auto"/>
          <w:szCs w:val="21"/>
          <w:highlight w:val="none"/>
          <w:lang w:val="zh-CN"/>
        </w:rPr>
        <w:t xml:space="preserve">合同</w:t>
      </w:r>
      <w:r>
        <w:rPr>
          <w:rFonts w:hint="eastAsia" w:ascii="宋体" w:hAnsi="宋体" w:cs="仿宋_GB2312"/>
          <w:color w:val="auto"/>
          <w:szCs w:val="21"/>
          <w:highlight w:val="none"/>
          <w:lang w:val="en-US" w:eastAsia="zh-CN"/>
        </w:rPr>
        <w:t xml:space="preserve">文本</w:t>
      </w:r>
      <w:r>
        <w:rPr>
          <w:rFonts w:hint="eastAsia" w:ascii="宋体" w:hAnsi="宋体" w:cs="仿宋_GB2312"/>
          <w:color w:val="auto"/>
          <w:szCs w:val="21"/>
          <w:highlight w:val="none"/>
          <w:lang w:val="zh-CN"/>
        </w:rPr>
        <w:t xml:space="preserve">》内容</w:t>
      </w:r>
      <w:r>
        <w:rPr>
          <w:rFonts w:hint="eastAsia" w:ascii="宋体" w:hAnsi="宋体"/>
          <w:color w:val="auto"/>
          <w:szCs w:val="21"/>
          <w:highlight w:val="none"/>
        </w:rPr>
        <w:t xml:space="preserve">。</w:t>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szCs w:val="20"/>
          <w:highlight w:val="none"/>
        </w:rPr>
        <w:t xml:space="preserve">日期：_____年______月______日   </w:t>
      </w:r>
      <w:r/>
    </w:p>
    <w:p>
      <w:pPr>
        <w:jc w:val="center"/>
        <w:spacing w:before="260" w:line="98" w:lineRule="atLeast"/>
        <w:rPr>
          <w:rFonts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278" w:name="_Toc194500902"/>
      <w:r>
        <w:rPr>
          <w:rFonts w:hint="eastAsia" w:cs="宋体" w:asciiTheme="minorEastAsia" w:hAnsiTheme="minorEastAsia" w:eastAsiaTheme="minorEastAsia"/>
          <w:color w:val="auto"/>
          <w:sz w:val="32"/>
          <w:highlight w:val="none"/>
        </w:rPr>
        <w:t xml:space="preserve">十</w:t>
      </w:r>
      <w:r>
        <w:rPr>
          <w:rFonts w:cs="宋体" w:asciiTheme="minorEastAsia" w:hAnsiTheme="minorEastAsia" w:eastAsiaTheme="minorEastAsia"/>
          <w:color w:val="auto"/>
          <w:sz w:val="32"/>
          <w:highlight w:val="none"/>
        </w:rPr>
        <w:t xml:space="preserve">、方案</w:t>
      </w:r>
      <w:bookmarkEnd w:id="274"/>
      <w:r/>
      <w:bookmarkEnd w:id="275"/>
      <w:r/>
      <w:bookmarkEnd w:id="276"/>
      <w:r/>
      <w:bookmarkEnd w:id="277"/>
      <w:r/>
      <w:bookmarkEnd w:id="278"/>
      <w:r/>
      <w:r/>
    </w:p>
    <w:p>
      <w:pPr>
        <w:ind w:left="420"/>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投标人须根据本项目的采购需求及评</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标准的要求编制项目方案</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lang w:val="en-US" w:eastAsia="zh-CN"/>
        </w:rPr>
        <w:t xml:space="preserve">请</w:t>
      </w:r>
      <w:r>
        <w:rPr>
          <w:rFonts w:hint="eastAsia" w:cs="宋体" w:asciiTheme="minorEastAsia" w:hAnsiTheme="minorEastAsia" w:eastAsiaTheme="minorEastAsia"/>
          <w:color w:val="auto"/>
          <w:sz w:val="24"/>
          <w:highlight w:val="none"/>
        </w:rPr>
        <w:t xml:space="preserve">按顺序编写</w:t>
      </w:r>
      <w:r>
        <w:rPr>
          <w:rFonts w:cs="宋体" w:asciiTheme="minorEastAsia" w:hAnsiTheme="minorEastAsia" w:eastAsiaTheme="minorEastAsia"/>
          <w:color w:val="auto"/>
          <w:sz w:val="24"/>
          <w:highlight w:val="none"/>
        </w:rPr>
        <w:t xml:space="preserve">，格式自拟</w:t>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bookmarkStart w:id="279" w:name="_Toc773"/>
      <w:r/>
      <w:bookmarkStart w:id="280" w:name="_Toc24522"/>
      <w:r/>
      <w:bookmarkStart w:id="281" w:name="_Toc194500904"/>
      <w:r/>
      <w:bookmarkStart w:id="282" w:name="_Toc19560"/>
      <w:r/>
      <w:bookmarkStart w:id="283" w:name="_Toc4782"/>
      <w:r>
        <w:rPr>
          <w:rFonts w:cs="宋体" w:asciiTheme="minorEastAsia" w:hAnsiTheme="minorEastAsia" w:eastAsiaTheme="minorEastAsia"/>
          <w:color w:val="auto"/>
          <w:sz w:val="32"/>
          <w:highlight w:val="none"/>
        </w:rPr>
        <w:t xml:space="preserve">十</w:t>
      </w:r>
      <w:r>
        <w:rPr>
          <w:rFonts w:hint="eastAsia" w:cs="宋体" w:asciiTheme="minorEastAsia" w:hAnsiTheme="minorEastAsia" w:eastAsiaTheme="minorEastAsia"/>
          <w:color w:val="auto"/>
          <w:sz w:val="32"/>
          <w:highlight w:val="none"/>
          <w:lang w:val="en-US" w:eastAsia="zh-CN"/>
        </w:rPr>
        <w:t xml:space="preserve">一</w:t>
      </w:r>
      <w:r>
        <w:rPr>
          <w:rFonts w:cs="宋体" w:asciiTheme="minorEastAsia" w:hAnsiTheme="minorEastAsia" w:eastAsiaTheme="minorEastAsia"/>
          <w:color w:val="auto"/>
          <w:sz w:val="32"/>
          <w:highlight w:val="none"/>
        </w:rPr>
        <w:t xml:space="preserve">、投标人认为需要提供的其它资料</w:t>
      </w:r>
      <w:bookmarkEnd w:id="279"/>
      <w:r/>
      <w:bookmarkEnd w:id="280"/>
      <w:r/>
      <w:bookmarkEnd w:id="281"/>
      <w:r/>
      <w:bookmarkEnd w:id="282"/>
      <w:r/>
      <w:bookmarkEnd w:id="283"/>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8"/>
          <w:highlight w:val="none"/>
        </w:rPr>
        <w:t xml:space="preserve">（评分或招标文件中要求提供的材料，格式自拟）</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cs="仿宋" w:asciiTheme="minorEastAsia" w:hAnsiTheme="minorEastAsia" w:eastAsiaTheme="minorEastAsia"/>
          <w:b/>
          <w:bCs/>
          <w:color w:val="auto"/>
          <w:sz w:val="32"/>
          <w:szCs w:val="32"/>
          <w:highlight w:val="none"/>
        </w:rPr>
      </w:pPr>
      <w:r/>
      <w:bookmarkStart w:id="284" w:name="_Toc17176"/>
      <w:r>
        <w:rPr>
          <w:rFonts w:hint="eastAsia" w:cs="仿宋" w:asciiTheme="minorEastAsia" w:hAnsiTheme="minorEastAsia" w:eastAsiaTheme="minorEastAsia"/>
          <w:b/>
          <w:bCs/>
          <w:color w:val="auto"/>
          <w:sz w:val="32"/>
          <w:szCs w:val="32"/>
          <w:highlight w:val="none"/>
        </w:rPr>
        <w:t xml:space="preserve">质疑函范本</w:t>
      </w:r>
      <w:bookmarkEnd w:id="284"/>
      <w:r/>
      <w:r/>
    </w:p>
    <w:p>
      <w:pPr>
        <w:spacing w:before="290"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一、质疑供应商基本信息</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质疑供应商：</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cs="仿宋" w:asciiTheme="minorEastAsia" w:hAnsiTheme="minorEastAsia" w:eastAsiaTheme="minorEastAsia"/>
          <w:color w:val="auto"/>
          <w:sz w:val="24"/>
          <w:highlight w:val="none"/>
        </w:rPr>
        <w:t xml:space="preserve"> </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二、质疑项目基本情况</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包号：</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采购文件获取日期：</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三、质疑事项具体内容</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质疑事项1：</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质疑事项2</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四、与质疑事项相关的质疑请求</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签字(签章)：                   电子公章：                      </w:t>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w:t>
      </w:r>
      <w:r/>
    </w:p>
    <w:p>
      <w:pPr>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质疑函制作说明：</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5.质疑函的质疑请求应与质疑事项相关。</w:t>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2"/>
      </w:rPr>
      <w:instrText xml:space="preserve"> PAGE </w:instrText>
    </w:r>
    <w:r>
      <w:fldChar w:fldCharType="separate"/>
    </w:r>
    <w:r>
      <w:rPr>
        <w:rStyle w:val="912"/>
      </w:rPr>
      <w:t xml:space="preserve">4</w:t>
    </w:r>
    <w:r>
      <w:fldChar w:fldCharType="end"/>
    </w:r>
    <w:r>
      <w:rPr>
        <w:rStyle w:val="912"/>
        <w:rFonts w:hint="eastAsia"/>
      </w:rPr>
      <w:t xml:space="preserve">页，共</w:t>
    </w:r>
    <w:r>
      <w:fldChar w:fldCharType="begin"/>
    </w:r>
    <w:r>
      <w:rPr>
        <w:rStyle w:val="912"/>
      </w:rPr>
      <w:instrText xml:space="preserve"> NUMPAGES </w:instrText>
    </w:r>
    <w:r>
      <w:fldChar w:fldCharType="separate"/>
    </w:r>
    <w:r>
      <w:rPr>
        <w:rStyle w:val="912"/>
      </w:rPr>
      <w:t xml:space="preserve">61</w:t>
    </w:r>
    <w:r>
      <w:fldChar w:fldCharType="end"/>
    </w:r>
    <w:r>
      <w:rPr>
        <w:rStyle w:val="912"/>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2"/>
      </w:rPr>
      <w:instrText xml:space="preserve"> PAGE </w:instrText>
    </w:r>
    <w:r>
      <w:fldChar w:fldCharType="separate"/>
    </w:r>
    <w:r>
      <w:rPr>
        <w:rStyle w:val="912"/>
      </w:rPr>
      <w:t xml:space="preserve">1</w:t>
    </w:r>
    <w:r>
      <w:fldChar w:fldCharType="end"/>
    </w:r>
    <w:r>
      <w:rPr>
        <w:rStyle w:val="912"/>
        <w:rFonts w:hint="eastAsia"/>
      </w:rPr>
      <w:t xml:space="preserve">页，共</w:t>
    </w:r>
    <w:r>
      <w:fldChar w:fldCharType="begin"/>
    </w:r>
    <w:r>
      <w:rPr>
        <w:rStyle w:val="912"/>
      </w:rPr>
      <w:instrText xml:space="preserve"> NUMPAGES </w:instrText>
    </w:r>
    <w:r>
      <w:fldChar w:fldCharType="separate"/>
    </w:r>
    <w:r>
      <w:rPr>
        <w:rStyle w:val="912"/>
      </w:rPr>
      <w:t xml:space="preserve">1</w:t>
    </w:r>
    <w:r>
      <w:fldChar w:fldCharType="end"/>
    </w:r>
    <w:r>
      <w:rPr>
        <w:rStyle w:val="912"/>
        <w:rFonts w:hint="eastAsia"/>
      </w:rPr>
      <w:t xml:space="preserve">页</w:t>
    </w:r>
    <w:r/>
  </w:p>
  <w:p>
    <w:pPr>
      <w:pStyle w:val="8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4"/>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4"/>
                          </w:pPr>
                          <w:r>
                            <w:fldChar w:fldCharType="begin"/>
                          </w:r>
                          <w:r>
                            <w:instrText xml:space="preserve"> PAGE  \* MERGEFORMAT </w:instrText>
                          </w:r>
                          <w:r>
                            <w:fldChar w:fldCharType="separate"/>
                          </w:r>
                          <w:r>
                            <w:t xml:space="preserve">32</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4"/>
                    </w:pPr>
                    <w:r>
                      <w:fldChar w:fldCharType="begin"/>
                    </w:r>
                    <w:r>
                      <w:instrText xml:space="preserve"> PAGE  \* MERGEFORMAT </w:instrText>
                    </w:r>
                    <w:r>
                      <w:fldChar w:fldCharType="separate"/>
                    </w:r>
                    <w:r>
                      <w:t xml:space="preserve">32</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74"/>
      <w:tblW w:w="0" w:type="auto"/>
      <w:tblInd w:w="7054" w:type="dxa"/>
      <w:tblLayout w:type="autofit"/>
      <w:tblCellMar>
        <w:left w:w="108" w:type="dxa"/>
        <w:top w:w="0" w:type="dxa"/>
        <w:right w:w="108" w:type="dxa"/>
        <w:bottom w:w="0" w:type="dxa"/>
      </w:tblCellMar>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5"/>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5"/>
      <w:isLgl w:val="false"/>
      <w:suff w:val="tab"/>
      <w:lvlText w:val="%1.%2."/>
      <w:lvlJc w:val="left"/>
      <w:pPr>
        <w:ind w:left="747" w:hanging="567"/>
        <w:tabs>
          <w:tab w:val="left" w:pos="747" w:leader="none"/>
        </w:tabs>
      </w:pPr>
      <w:rPr>
        <w:rFonts w:cs="Times New Roman"/>
      </w:rPr>
    </w:lvl>
    <w:lvl w:ilvl="2">
      <w:start w:val="1"/>
      <w:numFmt w:val="decimal"/>
      <w:pStyle w:val="86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6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5"/>
  </w:num>
  <w:num w:numId="5">
    <w:abstractNumId w:val="4"/>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uiPriority w:val="0"/>
    <w:qFormat/>
    <w:pPr>
      <w:jc w:val="both"/>
      <w:spacing w:after="160" w:line="278" w:lineRule="auto"/>
      <w:widowControl w:val="off"/>
    </w:pPr>
    <w:rPr>
      <w:rFonts w:hint="default" w:ascii="Times New Roman" w:hAnsi="Times New Roman" w:eastAsia="宋体" w:cs="Times New Roman"/>
      <w:sz w:val="21"/>
      <w:szCs w:val="24"/>
    </w:rPr>
  </w:style>
  <w:style w:type="paragraph" w:styleId="864">
    <w:name w:val="Heading 1"/>
    <w:basedOn w:val="863"/>
    <w:next w:val="863"/>
    <w:link w:val="939"/>
    <w:uiPriority w:val="9"/>
    <w:qFormat/>
    <w:pPr>
      <w:numPr>
        <w:ilvl w:val="0"/>
        <w:numId w:val="1"/>
      </w:numPr>
      <w:keepNext/>
      <w:outlineLvl w:val="0"/>
    </w:pPr>
    <w:rPr>
      <w:rFonts w:eastAsia="黑体"/>
      <w:b/>
      <w:sz w:val="28"/>
      <w:szCs w:val="20"/>
    </w:rPr>
  </w:style>
  <w:style w:type="paragraph" w:styleId="865">
    <w:name w:val="Heading 2"/>
    <w:basedOn w:val="863"/>
    <w:next w:val="863"/>
    <w:link w:val="940"/>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6">
    <w:name w:val="Heading 3"/>
    <w:basedOn w:val="863"/>
    <w:next w:val="875"/>
    <w:link w:val="941"/>
    <w:uiPriority w:val="9"/>
    <w:qFormat/>
    <w:pPr>
      <w:numPr>
        <w:ilvl w:val="2"/>
        <w:numId w:val="2"/>
      </w:numPr>
      <w:jc w:val="center"/>
      <w:keepNext/>
      <w:spacing w:line="400" w:lineRule="exact"/>
      <w:outlineLvl w:val="2"/>
    </w:pPr>
    <w:rPr>
      <w:rFonts w:ascii="仿宋_GB2312" w:eastAsia="仿宋_GB2312"/>
      <w:sz w:val="32"/>
      <w:szCs w:val="20"/>
    </w:rPr>
  </w:style>
  <w:style w:type="paragraph" w:styleId="867">
    <w:name w:val="Heading 4"/>
    <w:basedOn w:val="863"/>
    <w:next w:val="863"/>
    <w:link w:val="942"/>
    <w:uiPriority w:val="9"/>
    <w:qFormat/>
    <w:pPr>
      <w:keepLines/>
      <w:keepNext/>
      <w:spacing w:before="280" w:after="290" w:line="376" w:lineRule="auto"/>
      <w:outlineLvl w:val="3"/>
    </w:pPr>
    <w:rPr>
      <w:rFonts w:ascii="Cambria" w:hAnsi="Cambria"/>
      <w:b/>
      <w:bCs/>
      <w:sz w:val="28"/>
      <w:szCs w:val="28"/>
    </w:rPr>
  </w:style>
  <w:style w:type="paragraph" w:styleId="868">
    <w:name w:val="Heading 5"/>
    <w:basedOn w:val="863"/>
    <w:next w:val="863"/>
    <w:link w:val="943"/>
    <w:uiPriority w:val="9"/>
    <w:qFormat/>
    <w:pPr>
      <w:keepLines/>
      <w:keepNext/>
      <w:spacing w:before="280" w:after="290" w:line="376" w:lineRule="auto"/>
      <w:outlineLvl w:val="4"/>
    </w:pPr>
    <w:rPr>
      <w:b/>
      <w:bCs/>
      <w:sz w:val="28"/>
      <w:szCs w:val="28"/>
    </w:rPr>
  </w:style>
  <w:style w:type="paragraph" w:styleId="869">
    <w:name w:val="Heading 6"/>
    <w:basedOn w:val="863"/>
    <w:next w:val="863"/>
    <w:link w:val="944"/>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46"/>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47"/>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3"/>
    <w:uiPriority w:val="99"/>
    <w:qFormat/>
    <w:pPr>
      <w:ind w:firstLine="420"/>
      <w:jc w:val="left"/>
      <w:widowControl/>
    </w:pPr>
    <w:rPr>
      <w:sz w:val="20"/>
      <w:szCs w:val="20"/>
    </w:rPr>
  </w:style>
  <w:style w:type="paragraph" w:styleId="876">
    <w:name w:val="toc 7"/>
    <w:basedOn w:val="863"/>
    <w:next w:val="863"/>
    <w:uiPriority w:val="39"/>
    <w:unhideWhenUsed/>
    <w:qFormat/>
    <w:pPr>
      <w:ind w:left="1701"/>
      <w:spacing w:after="57"/>
    </w:pPr>
  </w:style>
  <w:style w:type="paragraph" w:styleId="877">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8">
    <w:name w:val="index 5"/>
    <w:basedOn w:val="863"/>
    <w:next w:val="863"/>
    <w:uiPriority w:val="99"/>
    <w:semiHidden/>
    <w:unhideWhenUsed/>
    <w:qFormat/>
    <w:pPr>
      <w:ind w:left="800"/>
    </w:pPr>
  </w:style>
  <w:style w:type="paragraph" w:styleId="879">
    <w:name w:val="annotation text"/>
    <w:basedOn w:val="863"/>
    <w:link w:val="948"/>
    <w:uiPriority w:val="99"/>
    <w:unhideWhenUsed/>
    <w:qFormat/>
    <w:pPr>
      <w:jc w:val="left"/>
    </w:pPr>
  </w:style>
  <w:style w:type="paragraph" w:styleId="880">
    <w:name w:val="Body Text 3"/>
    <w:basedOn w:val="863"/>
    <w:link w:val="949"/>
    <w:uiPriority w:val="99"/>
    <w:qFormat/>
    <w:pPr>
      <w:jc w:val="left"/>
      <w:spacing w:line="300" w:lineRule="auto"/>
      <w:widowControl/>
    </w:pPr>
    <w:rPr>
      <w:sz w:val="16"/>
      <w:szCs w:val="16"/>
    </w:rPr>
  </w:style>
  <w:style w:type="paragraph" w:styleId="881">
    <w:name w:val="Body Text"/>
    <w:basedOn w:val="863"/>
    <w:next w:val="882"/>
    <w:link w:val="950"/>
    <w:uiPriority w:val="99"/>
    <w:qFormat/>
    <w:pPr>
      <w:spacing w:after="120"/>
    </w:pPr>
    <w:rPr>
      <w:sz w:val="24"/>
    </w:rPr>
  </w:style>
  <w:style w:type="paragraph" w:styleId="882" w:customStyle="1">
    <w:name w:val="Default"/>
    <w:uiPriority w:val="99"/>
    <w:qFormat/>
    <w:pPr>
      <w:spacing w:after="160" w:line="278" w:lineRule="auto"/>
      <w:widowControl w:val="off"/>
    </w:pPr>
    <w:rPr>
      <w:rFonts w:hint="default" w:ascii="黑体" w:hAnsi="Calibri" w:eastAsia="黑体" w:cs="黑体"/>
      <w:color w:val="000000"/>
      <w:sz w:val="24"/>
      <w:szCs w:val="24"/>
    </w:rPr>
  </w:style>
  <w:style w:type="paragraph" w:styleId="883">
    <w:name w:val="Body Text Indent"/>
    <w:basedOn w:val="863"/>
    <w:link w:val="951"/>
    <w:uiPriority w:val="99"/>
    <w:qFormat/>
    <w:pPr>
      <w:ind w:firstLine="420"/>
    </w:pPr>
    <w:rPr>
      <w:sz w:val="24"/>
      <w:shd w:val="pct10" w:color="auto" w:fill="ffffff"/>
    </w:rPr>
  </w:style>
  <w:style w:type="paragraph" w:styleId="884">
    <w:name w:val="Block Text"/>
    <w:basedOn w:val="863"/>
    <w:uiPriority w:val="99"/>
    <w:qFormat/>
    <w:pPr>
      <w:ind w:left="113" w:right="113"/>
      <w:jc w:val="center"/>
    </w:pPr>
    <w:rPr>
      <w:b/>
      <w:bCs/>
      <w:sz w:val="18"/>
      <w:szCs w:val="20"/>
    </w:rPr>
  </w:style>
  <w:style w:type="paragraph" w:styleId="885">
    <w:name w:val="index 4"/>
    <w:basedOn w:val="863"/>
    <w:next w:val="863"/>
    <w:uiPriority w:val="99"/>
    <w:unhideWhenUsed/>
    <w:qFormat/>
    <w:pPr>
      <w:ind w:left="600"/>
    </w:pPr>
    <w:rPr>
      <w:rFonts w:ascii="Calibri" w:hAnsi="Calibri" w:eastAsia="Arial" w:cs="Arial"/>
      <w:szCs w:val="22"/>
    </w:rPr>
  </w:style>
  <w:style w:type="paragraph" w:styleId="886">
    <w:name w:val="toc 5"/>
    <w:basedOn w:val="863"/>
    <w:next w:val="863"/>
    <w:uiPriority w:val="39"/>
    <w:unhideWhenUsed/>
    <w:qFormat/>
    <w:pPr>
      <w:ind w:left="1134"/>
      <w:spacing w:after="57"/>
    </w:pPr>
  </w:style>
  <w:style w:type="paragraph" w:styleId="887">
    <w:name w:val="toc 3"/>
    <w:basedOn w:val="863"/>
    <w:next w:val="863"/>
    <w:uiPriority w:val="39"/>
    <w:unhideWhenUsed/>
    <w:qFormat/>
    <w:pPr>
      <w:ind w:left="567"/>
      <w:spacing w:after="57"/>
    </w:pPr>
  </w:style>
  <w:style w:type="paragraph" w:styleId="888">
    <w:name w:val="Plain Text"/>
    <w:basedOn w:val="863"/>
    <w:link w:val="952"/>
    <w:uiPriority w:val="99"/>
    <w:qFormat/>
    <w:rPr>
      <w:rFonts w:ascii="宋体" w:hAnsi="Courier New"/>
      <w:szCs w:val="21"/>
    </w:rPr>
  </w:style>
  <w:style w:type="paragraph" w:styleId="889">
    <w:name w:val="toc 8"/>
    <w:basedOn w:val="863"/>
    <w:next w:val="863"/>
    <w:uiPriority w:val="39"/>
    <w:unhideWhenUsed/>
    <w:qFormat/>
    <w:pPr>
      <w:ind w:left="1984"/>
      <w:spacing w:after="57"/>
    </w:pPr>
  </w:style>
  <w:style w:type="paragraph" w:styleId="890">
    <w:name w:val="Date"/>
    <w:basedOn w:val="863"/>
    <w:next w:val="863"/>
    <w:link w:val="953"/>
    <w:uiPriority w:val="99"/>
    <w:qFormat/>
    <w:pPr>
      <w:ind w:left="100"/>
    </w:pPr>
    <w:rPr>
      <w:sz w:val="24"/>
    </w:rPr>
  </w:style>
  <w:style w:type="paragraph" w:styleId="891">
    <w:name w:val="Body Text Indent 2"/>
    <w:basedOn w:val="863"/>
    <w:link w:val="954"/>
    <w:uiPriority w:val="99"/>
    <w:qFormat/>
    <w:pPr>
      <w:ind w:left="420"/>
      <w:spacing w:after="120" w:line="480" w:lineRule="auto"/>
    </w:pPr>
    <w:rPr>
      <w:sz w:val="24"/>
    </w:rPr>
  </w:style>
  <w:style w:type="paragraph" w:styleId="892">
    <w:name w:val="endnote text"/>
    <w:basedOn w:val="863"/>
    <w:link w:val="955"/>
    <w:uiPriority w:val="99"/>
    <w:unhideWhenUsed/>
    <w:qFormat/>
    <w:rPr>
      <w:sz w:val="20"/>
    </w:rPr>
  </w:style>
  <w:style w:type="paragraph" w:styleId="893">
    <w:name w:val="Balloon Text"/>
    <w:basedOn w:val="863"/>
    <w:link w:val="956"/>
    <w:uiPriority w:val="99"/>
    <w:qFormat/>
    <w:rPr>
      <w:sz w:val="18"/>
      <w:szCs w:val="18"/>
    </w:rPr>
  </w:style>
  <w:style w:type="paragraph" w:styleId="894">
    <w:name w:val="Footer"/>
    <w:basedOn w:val="863"/>
    <w:link w:val="957"/>
    <w:uiPriority w:val="99"/>
    <w:qFormat/>
    <w:pPr>
      <w:jc w:val="left"/>
      <w:tabs>
        <w:tab w:val="center" w:pos="4153" w:leader="none"/>
        <w:tab w:val="right" w:pos="8306" w:leader="none"/>
      </w:tabs>
    </w:pPr>
    <w:rPr>
      <w:sz w:val="18"/>
    </w:rPr>
  </w:style>
  <w:style w:type="paragraph" w:styleId="895">
    <w:name w:val="Header"/>
    <w:basedOn w:val="863"/>
    <w:link w:val="958"/>
    <w:uiPriority w:val="99"/>
    <w:qFormat/>
    <w:pPr>
      <w:jc w:val="center"/>
      <w:tabs>
        <w:tab w:val="center" w:pos="4153" w:leader="none"/>
        <w:tab w:val="right" w:pos="8306" w:leader="none"/>
      </w:tabs>
    </w:pPr>
    <w:rPr>
      <w:sz w:val="18"/>
    </w:rPr>
  </w:style>
  <w:style w:type="paragraph" w:styleId="896">
    <w:name w:val="toc 1"/>
    <w:basedOn w:val="863"/>
    <w:next w:val="863"/>
    <w:uiPriority w:val="39"/>
    <w:unhideWhenUsed/>
    <w:qFormat/>
    <w:pPr>
      <w:spacing w:after="57"/>
    </w:pPr>
  </w:style>
  <w:style w:type="paragraph" w:styleId="897">
    <w:name w:val="toc 4"/>
    <w:basedOn w:val="863"/>
    <w:next w:val="863"/>
    <w:uiPriority w:val="39"/>
    <w:unhideWhenUsed/>
    <w:qFormat/>
    <w:pPr>
      <w:ind w:left="850"/>
      <w:spacing w:after="57"/>
    </w:pPr>
  </w:style>
  <w:style w:type="paragraph" w:styleId="898">
    <w:name w:val="Subtitle"/>
    <w:basedOn w:val="863"/>
    <w:next w:val="863"/>
    <w:link w:val="959"/>
    <w:uiPriority w:val="11"/>
    <w:qFormat/>
    <w:pPr>
      <w:spacing w:before="200" w:after="200"/>
    </w:pPr>
    <w:rPr>
      <w:sz w:val="24"/>
    </w:rPr>
  </w:style>
  <w:style w:type="paragraph" w:styleId="899">
    <w:name w:val="footnote text"/>
    <w:basedOn w:val="863"/>
    <w:link w:val="960"/>
    <w:uiPriority w:val="99"/>
    <w:unhideWhenUsed/>
    <w:qFormat/>
    <w:pPr>
      <w:spacing w:after="40"/>
    </w:pPr>
    <w:rPr>
      <w:sz w:val="18"/>
    </w:rPr>
  </w:style>
  <w:style w:type="paragraph" w:styleId="900">
    <w:name w:val="toc 6"/>
    <w:basedOn w:val="863"/>
    <w:next w:val="863"/>
    <w:uiPriority w:val="39"/>
    <w:unhideWhenUsed/>
    <w:qFormat/>
    <w:pPr>
      <w:ind w:left="1417"/>
      <w:spacing w:after="57"/>
    </w:pPr>
  </w:style>
  <w:style w:type="paragraph" w:styleId="901">
    <w:name w:val="Body Text Indent 3"/>
    <w:basedOn w:val="863"/>
    <w:link w:val="961"/>
    <w:uiPriority w:val="99"/>
    <w:qFormat/>
    <w:pPr>
      <w:ind w:firstLine="412"/>
    </w:pPr>
    <w:rPr>
      <w:sz w:val="16"/>
      <w:szCs w:val="16"/>
    </w:rPr>
  </w:style>
  <w:style w:type="paragraph" w:styleId="902">
    <w:name w:val="table of figures"/>
    <w:basedOn w:val="863"/>
    <w:next w:val="863"/>
    <w:uiPriority w:val="99"/>
    <w:unhideWhenUsed/>
    <w:qFormat/>
  </w:style>
  <w:style w:type="paragraph" w:styleId="903">
    <w:name w:val="toc 2"/>
    <w:basedOn w:val="863"/>
    <w:next w:val="863"/>
    <w:uiPriority w:val="39"/>
    <w:unhideWhenUsed/>
    <w:qFormat/>
    <w:pPr>
      <w:ind w:left="283"/>
      <w:spacing w:after="57"/>
    </w:pPr>
  </w:style>
  <w:style w:type="paragraph" w:styleId="904">
    <w:name w:val="toc 9"/>
    <w:basedOn w:val="863"/>
    <w:next w:val="863"/>
    <w:uiPriority w:val="39"/>
    <w:unhideWhenUsed/>
    <w:qFormat/>
    <w:pPr>
      <w:ind w:left="2268"/>
      <w:spacing w:after="57"/>
    </w:pPr>
  </w:style>
  <w:style w:type="paragraph" w:styleId="905">
    <w:name w:val="Normal (Web)"/>
    <w:basedOn w:val="863"/>
    <w:uiPriority w:val="99"/>
    <w:unhideWhenUsed/>
    <w:qFormat/>
    <w:pPr>
      <w:jc w:val="left"/>
      <w:spacing w:before="100" w:beforeAutospacing="1" w:after="100" w:afterAutospacing="1"/>
      <w:widowControl/>
    </w:pPr>
    <w:rPr>
      <w:rFonts w:ascii="宋体" w:hAnsi="宋体" w:cs="宋体"/>
      <w:sz w:val="24"/>
    </w:rPr>
  </w:style>
  <w:style w:type="paragraph" w:styleId="906">
    <w:name w:val="Title"/>
    <w:basedOn w:val="863"/>
    <w:next w:val="863"/>
    <w:link w:val="962"/>
    <w:uiPriority w:val="10"/>
    <w:qFormat/>
    <w:pPr>
      <w:jc w:val="center"/>
      <w:spacing w:before="240" w:after="60"/>
      <w:outlineLvl w:val="0"/>
    </w:pPr>
    <w:rPr>
      <w:rFonts w:ascii="Cambria" w:hAnsi="Cambria" w:eastAsia="Arial" w:cs="Arial"/>
      <w:b/>
      <w:bCs/>
      <w:sz w:val="32"/>
      <w:szCs w:val="32"/>
    </w:rPr>
  </w:style>
  <w:style w:type="paragraph" w:styleId="907">
    <w:name w:val="annotation subject"/>
    <w:basedOn w:val="879"/>
    <w:next w:val="879"/>
    <w:link w:val="963"/>
    <w:uiPriority w:val="99"/>
    <w:unhideWhenUsed/>
    <w:qFormat/>
    <w:rPr>
      <w:b/>
      <w:bCs/>
    </w:rPr>
  </w:style>
  <w:style w:type="paragraph" w:styleId="908">
    <w:name w:val="Body Text First Indent 2"/>
    <w:basedOn w:val="883"/>
    <w:uiPriority w:val="99"/>
    <w:unhideWhenUsed/>
    <w:qFormat/>
    <w:pPr>
      <w:ind w:left="420"/>
      <w:spacing w:after="120"/>
    </w:pPr>
    <w:rPr>
      <w:sz w:val="21"/>
      <w:shd w:val="clear" w:color="auto" w:fill="auto"/>
    </w:rPr>
  </w:style>
  <w:style w:type="table" w:styleId="909">
    <w:name w:val="Table Grid"/>
    <w:basedOn w:val="87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uiPriority w:val="0"/>
    <w:qFormat/>
    <w:rPr>
      <w:b/>
      <w:bCs/>
    </w:rPr>
  </w:style>
  <w:style w:type="character" w:styleId="911">
    <w:name w:val="endnote reference"/>
    <w:uiPriority w:val="99"/>
    <w:unhideWhenUsed/>
    <w:qFormat/>
    <w:rPr>
      <w:vertAlign w:val="superscript"/>
    </w:rPr>
  </w:style>
  <w:style w:type="character" w:styleId="912">
    <w:name w:val="page number"/>
    <w:basedOn w:val="873"/>
    <w:uiPriority w:val="0"/>
    <w:qFormat/>
    <w:rPr>
      <w:rFonts w:cs="Times New Roman"/>
    </w:rPr>
  </w:style>
  <w:style w:type="character" w:styleId="913">
    <w:name w:val="Emphasis"/>
    <w:uiPriority w:val="0"/>
    <w:qFormat/>
    <w:rPr>
      <w:i/>
    </w:rPr>
  </w:style>
  <w:style w:type="character" w:styleId="914">
    <w:name w:val="Hyperlink"/>
    <w:uiPriority w:val="99"/>
    <w:unhideWhenUsed/>
    <w:qFormat/>
    <w:rPr>
      <w:color w:val="0000ff"/>
      <w:u w:val="single"/>
    </w:rPr>
  </w:style>
  <w:style w:type="character" w:styleId="915">
    <w:name w:val="annotation reference"/>
    <w:uiPriority w:val="99"/>
    <w:unhideWhenUsed/>
    <w:qFormat/>
    <w:rPr>
      <w:sz w:val="21"/>
      <w:szCs w:val="21"/>
    </w:rPr>
  </w:style>
  <w:style w:type="character" w:styleId="916">
    <w:name w:val="footnote reference"/>
    <w:uiPriority w:val="99"/>
    <w:unhideWhenUsed/>
    <w:qFormat/>
    <w:rPr>
      <w:vertAlign w:val="superscript"/>
    </w:rPr>
  </w:style>
  <w:style w:type="table" w:styleId="917" w:customStyle="1">
    <w:name w:val="Plain Table 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2"/>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3"/>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5 Dark"/>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6 Colorful"/>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7 Colorful"/>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1 Light"/>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2"/>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3"/>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5 Dark"/>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7 Colorful"/>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正文文本缩进1"/>
    <w:basedOn w:val="863"/>
    <w:next w:val="863"/>
    <w:uiPriority w:val="0"/>
    <w:unhideWhenUsed/>
    <w:qFormat/>
    <w:pPr>
      <w:ind w:left="420"/>
      <w:spacing w:after="120"/>
    </w:pPr>
  </w:style>
  <w:style w:type="paragraph" w:styleId="938" w:customStyle="1">
    <w:name w:val="索引 41"/>
    <w:basedOn w:val="863"/>
    <w:next w:val="863"/>
    <w:uiPriority w:val="99"/>
    <w:qFormat/>
    <w:pPr>
      <w:ind w:left="600"/>
    </w:pPr>
    <w:rPr>
      <w:szCs w:val="20"/>
    </w:rPr>
  </w:style>
  <w:style w:type="character" w:styleId="939" w:customStyle="1">
    <w:name w:val="标题 1 字符"/>
    <w:link w:val="864"/>
    <w:uiPriority w:val="9"/>
    <w:qFormat/>
    <w:rPr>
      <w:rFonts w:eastAsia="黑体"/>
      <w:b/>
      <w:sz w:val="28"/>
    </w:rPr>
  </w:style>
  <w:style w:type="character" w:styleId="940" w:customStyle="1">
    <w:name w:val="标题 2 字符"/>
    <w:link w:val="865"/>
    <w:uiPriority w:val="9"/>
    <w:qFormat/>
    <w:rPr>
      <w:rFonts w:ascii="Arial" w:hAnsi="Arial" w:eastAsia="黑体"/>
      <w:sz w:val="24"/>
    </w:rPr>
  </w:style>
  <w:style w:type="character" w:styleId="941" w:customStyle="1">
    <w:name w:val="标题 3 字符"/>
    <w:link w:val="866"/>
    <w:uiPriority w:val="9"/>
    <w:qFormat/>
    <w:rPr>
      <w:rFonts w:ascii="仿宋_GB2312" w:eastAsia="仿宋_GB2312"/>
      <w:sz w:val="32"/>
    </w:rPr>
  </w:style>
  <w:style w:type="character" w:styleId="942" w:customStyle="1">
    <w:name w:val="标题 4 字符"/>
    <w:link w:val="867"/>
    <w:uiPriority w:val="9"/>
    <w:semiHidden/>
    <w:qFormat/>
    <w:rPr>
      <w:rFonts w:ascii="Cambria" w:hAnsi="Cambria" w:eastAsia="宋体" w:cs="Times New Roman"/>
      <w:b/>
      <w:bCs/>
      <w:sz w:val="28"/>
      <w:szCs w:val="28"/>
    </w:rPr>
  </w:style>
  <w:style w:type="character" w:styleId="943" w:customStyle="1">
    <w:name w:val="标题 5 字符"/>
    <w:link w:val="868"/>
    <w:uiPriority w:val="9"/>
    <w:semiHidden/>
    <w:qFormat/>
    <w:rPr>
      <w:rFonts w:cs="Times New Roman"/>
      <w:b/>
      <w:bCs/>
      <w:sz w:val="28"/>
      <w:szCs w:val="28"/>
    </w:rPr>
  </w:style>
  <w:style w:type="character" w:styleId="944" w:customStyle="1">
    <w:name w:val="标题 6 字符"/>
    <w:link w:val="869"/>
    <w:uiPriority w:val="9"/>
    <w:qFormat/>
    <w:rPr>
      <w:rFonts w:ascii="Arial" w:hAnsi="Arial" w:eastAsia="Arial" w:cs="Arial"/>
      <w:b/>
      <w:bCs/>
      <w:sz w:val="22"/>
      <w:szCs w:val="22"/>
    </w:rPr>
  </w:style>
  <w:style w:type="character" w:styleId="945" w:customStyle="1">
    <w:name w:val="标题 7 字符"/>
    <w:link w:val="870"/>
    <w:uiPriority w:val="9"/>
    <w:qFormat/>
    <w:rPr>
      <w:rFonts w:ascii="Arial" w:hAnsi="Arial" w:eastAsia="Arial" w:cs="Arial"/>
      <w:b/>
      <w:bCs/>
      <w:i/>
      <w:iCs/>
      <w:sz w:val="22"/>
      <w:szCs w:val="22"/>
    </w:rPr>
  </w:style>
  <w:style w:type="character" w:styleId="946" w:customStyle="1">
    <w:name w:val="标题 8 字符"/>
    <w:link w:val="871"/>
    <w:uiPriority w:val="9"/>
    <w:qFormat/>
    <w:rPr>
      <w:rFonts w:ascii="Arial" w:hAnsi="Arial" w:eastAsia="Arial" w:cs="Arial"/>
      <w:i/>
      <w:iCs/>
      <w:sz w:val="22"/>
      <w:szCs w:val="22"/>
    </w:rPr>
  </w:style>
  <w:style w:type="character" w:styleId="947" w:customStyle="1">
    <w:name w:val="标题 9 字符"/>
    <w:link w:val="872"/>
    <w:uiPriority w:val="9"/>
    <w:qFormat/>
    <w:rPr>
      <w:rFonts w:ascii="Arial" w:hAnsi="Arial" w:eastAsia="Arial" w:cs="Arial"/>
      <w:i/>
      <w:iCs/>
      <w:sz w:val="21"/>
      <w:szCs w:val="21"/>
    </w:rPr>
  </w:style>
  <w:style w:type="character" w:styleId="948" w:customStyle="1">
    <w:name w:val="批注文字 字符"/>
    <w:link w:val="879"/>
    <w:uiPriority w:val="99"/>
    <w:qFormat/>
    <w:rPr>
      <w:sz w:val="21"/>
      <w:szCs w:val="24"/>
    </w:rPr>
  </w:style>
  <w:style w:type="character" w:styleId="949" w:customStyle="1">
    <w:name w:val="正文文本 3 字符"/>
    <w:link w:val="880"/>
    <w:uiPriority w:val="99"/>
    <w:semiHidden/>
    <w:qFormat/>
    <w:rPr>
      <w:rFonts w:cs="Times New Roman"/>
      <w:sz w:val="16"/>
      <w:szCs w:val="16"/>
    </w:rPr>
  </w:style>
  <w:style w:type="character" w:styleId="950" w:customStyle="1">
    <w:name w:val="正文文本 字符"/>
    <w:link w:val="881"/>
    <w:uiPriority w:val="99"/>
    <w:semiHidden/>
    <w:qFormat/>
    <w:rPr>
      <w:rFonts w:cs="Times New Roman"/>
      <w:sz w:val="24"/>
      <w:szCs w:val="24"/>
    </w:rPr>
  </w:style>
  <w:style w:type="character" w:styleId="951" w:customStyle="1">
    <w:name w:val="正文文本缩进 字符"/>
    <w:link w:val="883"/>
    <w:uiPriority w:val="99"/>
    <w:semiHidden/>
    <w:qFormat/>
    <w:rPr>
      <w:rFonts w:cs="Times New Roman"/>
      <w:sz w:val="24"/>
      <w:szCs w:val="24"/>
    </w:rPr>
  </w:style>
  <w:style w:type="character" w:styleId="952" w:customStyle="1">
    <w:name w:val="纯文本 字符"/>
    <w:link w:val="888"/>
    <w:uiPriority w:val="99"/>
    <w:qFormat/>
    <w:rPr>
      <w:rFonts w:ascii="宋体" w:hAnsi="Courier New" w:eastAsia="宋体" w:cs="Times New Roman"/>
      <w:sz w:val="21"/>
      <w:szCs w:val="21"/>
      <w:lang w:val="en-US" w:eastAsia="zh-CN" w:bidi="ar-SA"/>
    </w:rPr>
  </w:style>
  <w:style w:type="character" w:styleId="953" w:customStyle="1">
    <w:name w:val="日期 字符"/>
    <w:link w:val="890"/>
    <w:uiPriority w:val="99"/>
    <w:semiHidden/>
    <w:qFormat/>
    <w:rPr>
      <w:rFonts w:cs="Times New Roman"/>
      <w:sz w:val="24"/>
      <w:szCs w:val="24"/>
    </w:rPr>
  </w:style>
  <w:style w:type="character" w:styleId="954" w:customStyle="1">
    <w:name w:val="正文文本缩进 2 字符"/>
    <w:link w:val="891"/>
    <w:uiPriority w:val="99"/>
    <w:semiHidden/>
    <w:qFormat/>
    <w:rPr>
      <w:rFonts w:cs="Times New Roman"/>
      <w:sz w:val="24"/>
      <w:szCs w:val="24"/>
    </w:rPr>
  </w:style>
  <w:style w:type="character" w:styleId="955" w:customStyle="1">
    <w:name w:val="尾注文本 字符"/>
    <w:link w:val="892"/>
    <w:uiPriority w:val="99"/>
    <w:qFormat/>
    <w:rPr>
      <w:sz w:val="20"/>
    </w:rPr>
  </w:style>
  <w:style w:type="character" w:styleId="956" w:customStyle="1">
    <w:name w:val="批注框文本 字符"/>
    <w:link w:val="893"/>
    <w:uiPriority w:val="99"/>
    <w:qFormat/>
    <w:rPr>
      <w:rFonts w:cs="Times New Roman"/>
      <w:sz w:val="18"/>
      <w:szCs w:val="18"/>
    </w:rPr>
  </w:style>
  <w:style w:type="character" w:styleId="957" w:customStyle="1">
    <w:name w:val="页脚 字符1"/>
    <w:link w:val="894"/>
    <w:uiPriority w:val="99"/>
    <w:qFormat/>
  </w:style>
  <w:style w:type="character" w:styleId="958" w:customStyle="1">
    <w:name w:val="页眉 字符1"/>
    <w:link w:val="895"/>
    <w:uiPriority w:val="99"/>
    <w:qFormat/>
  </w:style>
  <w:style w:type="character" w:styleId="959" w:customStyle="1">
    <w:name w:val="副标题 字符"/>
    <w:link w:val="898"/>
    <w:uiPriority w:val="11"/>
    <w:qFormat/>
    <w:rPr>
      <w:sz w:val="24"/>
      <w:szCs w:val="24"/>
    </w:rPr>
  </w:style>
  <w:style w:type="character" w:styleId="960" w:customStyle="1">
    <w:name w:val="脚注文本 字符"/>
    <w:link w:val="899"/>
    <w:uiPriority w:val="99"/>
    <w:qFormat/>
    <w:rPr>
      <w:sz w:val="18"/>
    </w:rPr>
  </w:style>
  <w:style w:type="character" w:styleId="961" w:customStyle="1">
    <w:name w:val="正文文本缩进 3 字符"/>
    <w:link w:val="901"/>
    <w:uiPriority w:val="99"/>
    <w:semiHidden/>
    <w:qFormat/>
    <w:rPr>
      <w:rFonts w:cs="Times New Roman"/>
      <w:sz w:val="16"/>
      <w:szCs w:val="16"/>
    </w:rPr>
  </w:style>
  <w:style w:type="character" w:styleId="962" w:customStyle="1">
    <w:name w:val="标题 字符"/>
    <w:link w:val="906"/>
    <w:uiPriority w:val="10"/>
    <w:qFormat/>
    <w:rPr>
      <w:sz w:val="48"/>
      <w:szCs w:val="48"/>
    </w:rPr>
  </w:style>
  <w:style w:type="character" w:styleId="963" w:customStyle="1">
    <w:name w:val="批注主题 字符"/>
    <w:link w:val="907"/>
    <w:uiPriority w:val="99"/>
    <w:semiHidden/>
    <w:qFormat/>
    <w:rPr>
      <w:b/>
      <w:bCs/>
      <w:sz w:val="21"/>
      <w:szCs w:val="24"/>
    </w:rPr>
  </w:style>
  <w:style w:type="table" w:styleId="964"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3" w:customStyle="1">
    <w:name w:val="TOC 标题1"/>
    <w:uiPriority w:val="39"/>
    <w:unhideWhenUsed/>
    <w:qFormat/>
    <w:pPr>
      <w:spacing w:after="160" w:line="278" w:lineRule="auto"/>
    </w:pPr>
    <w:rPr>
      <w:rFonts w:hint="default" w:ascii="Times New Roman" w:hAnsi="Times New Roman" w:eastAsia="宋体" w:cs="Times New Roman"/>
    </w:rPr>
  </w:style>
  <w:style w:type="paragraph" w:styleId="984" w:customStyle="1">
    <w:name w:val="TOC 标题111"/>
    <w:uiPriority w:val="39"/>
    <w:unhideWhenUsed/>
    <w:qFormat/>
    <w:pPr>
      <w:spacing w:after="160" w:line="278" w:lineRule="auto"/>
    </w:pPr>
    <w:rPr>
      <w:rFonts w:hint="default" w:ascii="Times New Roman" w:hAnsi="Times New Roman" w:eastAsia="宋体" w:cs="Times New Roman"/>
    </w:rPr>
  </w:style>
  <w:style w:type="character" w:styleId="985" w:customStyle="1">
    <w:name w:val="Heading 6 Char"/>
    <w:basedOn w:val="873"/>
    <w:uiPriority w:val="9"/>
    <w:qFormat/>
    <w:rPr>
      <w:rFonts w:ascii="Arial" w:hAnsi="Arial" w:eastAsia="Arial" w:cs="Arial"/>
      <w:b/>
      <w:bCs/>
      <w:sz w:val="22"/>
      <w:szCs w:val="22"/>
    </w:rPr>
  </w:style>
  <w:style w:type="character" w:styleId="986" w:customStyle="1">
    <w:name w:val="Heading 7 Char"/>
    <w:basedOn w:val="873"/>
    <w:uiPriority w:val="9"/>
    <w:qFormat/>
    <w:rPr>
      <w:rFonts w:ascii="Arial" w:hAnsi="Arial" w:eastAsia="Arial" w:cs="Arial"/>
      <w:b/>
      <w:bCs/>
      <w:i/>
      <w:iCs/>
      <w:sz w:val="22"/>
      <w:szCs w:val="22"/>
    </w:rPr>
  </w:style>
  <w:style w:type="character" w:styleId="987" w:customStyle="1">
    <w:name w:val="Heading 8 Char"/>
    <w:basedOn w:val="873"/>
    <w:uiPriority w:val="9"/>
    <w:qFormat/>
    <w:rPr>
      <w:rFonts w:ascii="Arial" w:hAnsi="Arial" w:eastAsia="Arial" w:cs="Arial"/>
      <w:i/>
      <w:iCs/>
      <w:sz w:val="22"/>
      <w:szCs w:val="22"/>
    </w:rPr>
  </w:style>
  <w:style w:type="character" w:styleId="988" w:customStyle="1">
    <w:name w:val="Heading 9 Char"/>
    <w:basedOn w:val="873"/>
    <w:uiPriority w:val="9"/>
    <w:qFormat/>
    <w:rPr>
      <w:rFonts w:ascii="Arial" w:hAnsi="Arial" w:eastAsia="Arial" w:cs="Arial"/>
      <w:i/>
      <w:iCs/>
      <w:sz w:val="21"/>
      <w:szCs w:val="21"/>
    </w:rPr>
  </w:style>
  <w:style w:type="character" w:styleId="989" w:customStyle="1">
    <w:name w:val="Header Char"/>
    <w:basedOn w:val="873"/>
    <w:uiPriority w:val="99"/>
    <w:qFormat/>
  </w:style>
  <w:style w:type="character" w:styleId="990" w:customStyle="1">
    <w:name w:val="Caption Char"/>
    <w:uiPriority w:val="99"/>
    <w:qFormat/>
  </w:style>
  <w:style w:type="paragraph" w:styleId="991">
    <w:name w:val="List Paragraph"/>
    <w:basedOn w:val="863"/>
    <w:link w:val="992"/>
    <w:uiPriority w:val="34"/>
    <w:qFormat/>
    <w:pPr>
      <w:contextualSpacing/>
      <w:ind w:left="720"/>
    </w:pPr>
  </w:style>
  <w:style w:type="character" w:styleId="992" w:customStyle="1">
    <w:name w:val="列出段落 字符"/>
    <w:link w:val="991"/>
    <w:uiPriority w:val="34"/>
    <w:qFormat/>
    <w:rPr>
      <w:sz w:val="21"/>
      <w:szCs w:val="24"/>
    </w:rPr>
  </w:style>
  <w:style w:type="paragraph" w:styleId="993">
    <w:name w:val="No Spacing"/>
    <w:uiPriority w:val="99"/>
    <w:qFormat/>
    <w:pPr>
      <w:jc w:val="both"/>
      <w:spacing w:after="160" w:line="278" w:lineRule="auto"/>
      <w:widowControl w:val="off"/>
    </w:pPr>
    <w:rPr>
      <w:rFonts w:hint="default" w:ascii="Times New Roman" w:hAnsi="Times New Roman" w:eastAsia="宋体" w:cs="Times New Roman"/>
      <w:sz w:val="21"/>
      <w:szCs w:val="24"/>
    </w:rPr>
  </w:style>
  <w:style w:type="character" w:styleId="994" w:customStyle="1">
    <w:name w:val="Title Char"/>
    <w:uiPriority w:val="10"/>
    <w:qFormat/>
    <w:rPr>
      <w:sz w:val="48"/>
      <w:szCs w:val="48"/>
    </w:rPr>
  </w:style>
  <w:style w:type="character" w:styleId="995" w:customStyle="1">
    <w:name w:val="Subtitle Char"/>
    <w:uiPriority w:val="11"/>
    <w:qFormat/>
    <w:rPr>
      <w:sz w:val="24"/>
      <w:szCs w:val="24"/>
    </w:rPr>
  </w:style>
  <w:style w:type="paragraph" w:styleId="996">
    <w:name w:val="Quote"/>
    <w:basedOn w:val="863"/>
    <w:next w:val="863"/>
    <w:link w:val="997"/>
    <w:uiPriority w:val="29"/>
    <w:qFormat/>
    <w:pPr>
      <w:ind w:left="720" w:right="720"/>
    </w:pPr>
    <w:rPr>
      <w:i/>
    </w:rPr>
  </w:style>
  <w:style w:type="character" w:styleId="997" w:customStyle="1">
    <w:name w:val="引用 字符"/>
    <w:link w:val="996"/>
    <w:uiPriority w:val="29"/>
    <w:qFormat/>
    <w:rPr>
      <w:i/>
    </w:rPr>
  </w:style>
  <w:style w:type="character" w:styleId="998" w:customStyle="1">
    <w:name w:val="Quote Char"/>
    <w:uiPriority w:val="29"/>
    <w:qFormat/>
    <w:rPr>
      <w:i/>
    </w:rPr>
  </w:style>
  <w:style w:type="paragraph" w:styleId="999">
    <w:name w:val="Intense Quote"/>
    <w:basedOn w:val="863"/>
    <w:next w:val="863"/>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明显引用 字符"/>
    <w:link w:val="999"/>
    <w:uiPriority w:val="30"/>
    <w:qFormat/>
    <w:rPr>
      <w:i/>
    </w:rPr>
  </w:style>
  <w:style w:type="character" w:styleId="1001" w:customStyle="1">
    <w:name w:val="Intense Quote Char"/>
    <w:uiPriority w:val="30"/>
    <w:qFormat/>
    <w:rPr>
      <w:i/>
    </w:rPr>
  </w:style>
  <w:style w:type="character" w:styleId="1002" w:customStyle="1">
    <w:name w:val="Footnote Text Char"/>
    <w:uiPriority w:val="99"/>
    <w:qFormat/>
    <w:rPr>
      <w:sz w:val="18"/>
    </w:rPr>
  </w:style>
  <w:style w:type="character" w:styleId="1003" w:customStyle="1">
    <w:name w:val="Endnote Text Char"/>
    <w:uiPriority w:val="99"/>
    <w:qFormat/>
    <w:rPr>
      <w:sz w:val="20"/>
    </w:rPr>
  </w:style>
  <w:style w:type="paragraph" w:styleId="1004" w:customStyle="1">
    <w:name w:val="TOC 标题11"/>
    <w:uiPriority w:val="39"/>
    <w:qFormat/>
    <w:pPr>
      <w:spacing w:after="160" w:line="278" w:lineRule="auto"/>
    </w:pPr>
    <w:rPr>
      <w:rFonts w:hint="default" w:ascii="Times New Roman" w:hAnsi="Times New Roman" w:eastAsia="宋体" w:cs="Times New Roman"/>
    </w:rPr>
  </w:style>
  <w:style w:type="paragraph" w:styleId="1005" w:customStyle="1">
    <w:name w:val="目录 71"/>
    <w:basedOn w:val="863"/>
    <w:next w:val="863"/>
    <w:uiPriority w:val="39"/>
    <w:unhideWhenUsed/>
    <w:qFormat/>
    <w:pPr>
      <w:ind w:left="1701"/>
      <w:spacing w:after="57"/>
    </w:pPr>
  </w:style>
  <w:style w:type="paragraph" w:styleId="1006" w:customStyle="1">
    <w:name w:val="目录 51"/>
    <w:basedOn w:val="863"/>
    <w:next w:val="863"/>
    <w:uiPriority w:val="39"/>
    <w:unhideWhenUsed/>
    <w:qFormat/>
    <w:pPr>
      <w:ind w:left="1134"/>
      <w:spacing w:after="57"/>
    </w:pPr>
  </w:style>
  <w:style w:type="paragraph" w:styleId="1007" w:customStyle="1">
    <w:name w:val="目录 31"/>
    <w:basedOn w:val="863"/>
    <w:next w:val="863"/>
    <w:uiPriority w:val="39"/>
    <w:qFormat/>
    <w:pPr>
      <w:ind w:left="840"/>
    </w:pPr>
  </w:style>
  <w:style w:type="paragraph" w:styleId="1008" w:customStyle="1">
    <w:name w:val="目录 81"/>
    <w:basedOn w:val="863"/>
    <w:next w:val="863"/>
    <w:uiPriority w:val="39"/>
    <w:unhideWhenUsed/>
    <w:qFormat/>
    <w:pPr>
      <w:ind w:left="1984"/>
      <w:spacing w:after="57"/>
    </w:pPr>
  </w:style>
  <w:style w:type="paragraph" w:styleId="1009" w:customStyle="1">
    <w:name w:val="目录 11"/>
    <w:basedOn w:val="863"/>
    <w:next w:val="863"/>
    <w:uiPriority w:val="39"/>
    <w:qFormat/>
  </w:style>
  <w:style w:type="paragraph" w:styleId="1010" w:customStyle="1">
    <w:name w:val="目录 41"/>
    <w:basedOn w:val="863"/>
    <w:next w:val="863"/>
    <w:uiPriority w:val="39"/>
    <w:unhideWhenUsed/>
    <w:qFormat/>
    <w:pPr>
      <w:ind w:left="850"/>
      <w:spacing w:after="57"/>
    </w:pPr>
  </w:style>
  <w:style w:type="paragraph" w:styleId="1011" w:customStyle="1">
    <w:name w:val="目录 61"/>
    <w:basedOn w:val="863"/>
    <w:next w:val="863"/>
    <w:uiPriority w:val="39"/>
    <w:unhideWhenUsed/>
    <w:qFormat/>
    <w:pPr>
      <w:ind w:left="1417"/>
      <w:spacing w:after="57"/>
    </w:pPr>
  </w:style>
  <w:style w:type="paragraph" w:styleId="1012" w:customStyle="1">
    <w:name w:val="目录 21"/>
    <w:basedOn w:val="863"/>
    <w:next w:val="863"/>
    <w:uiPriority w:val="39"/>
    <w:qFormat/>
    <w:pPr>
      <w:ind w:left="420"/>
    </w:pPr>
  </w:style>
  <w:style w:type="paragraph" w:styleId="1013" w:customStyle="1">
    <w:name w:val="目录 91"/>
    <w:basedOn w:val="863"/>
    <w:next w:val="863"/>
    <w:uiPriority w:val="39"/>
    <w:unhideWhenUsed/>
    <w:qFormat/>
    <w:pPr>
      <w:ind w:left="2268"/>
      <w:spacing w:after="57"/>
    </w:pPr>
  </w:style>
  <w:style w:type="character" w:styleId="1014" w:customStyle="1">
    <w:name w:val="CharAttribute4"/>
    <w:uiPriority w:val="99"/>
    <w:qFormat/>
    <w:rPr>
      <w:rFonts w:ascii="Arial Narrow" w:eastAsia="仿宋_GB2312"/>
      <w:sz w:val="21"/>
    </w:rPr>
  </w:style>
  <w:style w:type="character" w:styleId="1015" w:customStyle="1">
    <w:name w:val="mark"/>
    <w:uiPriority w:val="0"/>
    <w:qFormat/>
  </w:style>
  <w:style w:type="character" w:styleId="1016">
    <w:name w:val="Placeholder Text"/>
    <w:uiPriority w:val="99"/>
    <w:semiHidden/>
    <w:qFormat/>
    <w:rPr>
      <w:color w:val="808080"/>
    </w:rPr>
  </w:style>
  <w:style w:type="character" w:styleId="1017" w:customStyle="1">
    <w:name w:val="Heading 4 Char"/>
    <w:uiPriority w:val="9"/>
    <w:qFormat/>
    <w:rPr>
      <w:rFonts w:ascii="Arial" w:hAnsi="Arial" w:eastAsia="Arial" w:cs="Arial"/>
      <w:b/>
      <w:bCs/>
      <w:sz w:val="26"/>
      <w:szCs w:val="26"/>
    </w:rPr>
  </w:style>
  <w:style w:type="character" w:styleId="1018" w:customStyle="1">
    <w:name w:val="bot_zi"/>
    <w:uiPriority w:val="0"/>
    <w:qFormat/>
  </w:style>
  <w:style w:type="character" w:styleId="1019" w:customStyle="1">
    <w:name w:val="CharAttribute2"/>
    <w:uiPriority w:val="99"/>
    <w:qFormat/>
    <w:rPr>
      <w:rFonts w:ascii="Times New Roman" w:eastAsia="宋体"/>
      <w:b/>
      <w:sz w:val="21"/>
    </w:rPr>
  </w:style>
  <w:style w:type="character" w:styleId="1020" w:customStyle="1">
    <w:name w:val="px121"/>
    <w:uiPriority w:val="99"/>
    <w:qFormat/>
    <w:rPr>
      <w:rFonts w:cs="Times New Roman"/>
      <w:spacing w:val="312"/>
    </w:rPr>
  </w:style>
  <w:style w:type="character" w:styleId="1021" w:customStyle="1">
    <w:name w:val="Heading 1 Char"/>
    <w:uiPriority w:val="9"/>
    <w:qFormat/>
    <w:rPr>
      <w:rFonts w:ascii="Arial" w:hAnsi="Arial" w:eastAsia="Arial" w:cs="Arial"/>
      <w:sz w:val="40"/>
      <w:szCs w:val="40"/>
    </w:rPr>
  </w:style>
  <w:style w:type="character" w:styleId="1022" w:customStyle="1">
    <w:name w:val="font61"/>
    <w:uiPriority w:val="0"/>
    <w:qFormat/>
    <w:rPr>
      <w:rFonts w:hint="eastAsia" w:ascii="宋体" w:hAnsi="宋体" w:eastAsia="宋体" w:cs="宋体"/>
      <w:color w:val="000000"/>
      <w:sz w:val="24"/>
      <w:szCs w:val="24"/>
      <w:u w:val="none"/>
    </w:rPr>
  </w:style>
  <w:style w:type="character" w:styleId="1023" w:customStyle="1">
    <w:name w:val="页脚 字符"/>
    <w:link w:val="1024"/>
    <w:uiPriority w:val="99"/>
    <w:qFormat/>
    <w:rPr>
      <w:rFonts w:cs="Times New Roman"/>
      <w:sz w:val="18"/>
      <w:szCs w:val="18"/>
    </w:rPr>
  </w:style>
  <w:style w:type="paragraph" w:styleId="1024" w:customStyle="1">
    <w:name w:val="Footer1"/>
    <w:basedOn w:val="863"/>
    <w:link w:val="1023"/>
    <w:uiPriority w:val="0"/>
    <w:qFormat/>
    <w:pPr>
      <w:jc w:val="left"/>
      <w:widowControl/>
      <w:tabs>
        <w:tab w:val="center" w:pos="4153" w:leader="none"/>
        <w:tab w:val="right" w:pos="8306" w:leader="none"/>
      </w:tabs>
    </w:pPr>
    <w:rPr>
      <w:sz w:val="18"/>
      <w:szCs w:val="18"/>
    </w:rPr>
  </w:style>
  <w:style w:type="character" w:styleId="1025" w:customStyle="1">
    <w:name w:val="CharAttribute7"/>
    <w:uiPriority w:val="99"/>
    <w:qFormat/>
    <w:rPr>
      <w:rFonts w:ascii="Times New Roman" w:eastAsia="宋体"/>
      <w:sz w:val="21"/>
    </w:rPr>
  </w:style>
  <w:style w:type="character" w:styleId="1026" w:customStyle="1">
    <w:name w:val="标题一级 Char"/>
    <w:link w:val="1027"/>
    <w:uiPriority w:val="0"/>
    <w:qFormat/>
    <w:rPr>
      <w:rFonts w:ascii="宋体" w:hAnsi="宋体"/>
      <w:b/>
      <w:sz w:val="21"/>
      <w:szCs w:val="21"/>
    </w:rPr>
  </w:style>
  <w:style w:type="paragraph" w:styleId="1027" w:customStyle="1">
    <w:name w:val="标题一级"/>
    <w:basedOn w:val="863"/>
    <w:link w:val="1026"/>
    <w:uiPriority w:val="0"/>
    <w:qFormat/>
    <w:pPr>
      <w:ind w:left="422"/>
    </w:pPr>
    <w:rPr>
      <w:rFonts w:ascii="宋体" w:hAnsi="宋体"/>
      <w:b/>
      <w:szCs w:val="21"/>
    </w:rPr>
  </w:style>
  <w:style w:type="character" w:styleId="1028" w:customStyle="1">
    <w:name w:val="font51"/>
    <w:uiPriority w:val="0"/>
    <w:qFormat/>
    <w:rPr>
      <w:rFonts w:ascii="Calibri" w:hAnsi="Calibri" w:cs="Calibri"/>
      <w:color w:val="000000"/>
      <w:sz w:val="24"/>
      <w:szCs w:val="24"/>
      <w:u w:val="none"/>
    </w:rPr>
  </w:style>
  <w:style w:type="character" w:styleId="1029" w:customStyle="1">
    <w:name w:val="font41"/>
    <w:uiPriority w:val="0"/>
    <w:qFormat/>
    <w:rPr>
      <w:rFonts w:hint="eastAsia" w:ascii="宋体" w:hAnsi="宋体" w:eastAsia="宋体" w:cs="宋体"/>
      <w:color w:val="ff0000"/>
      <w:sz w:val="22"/>
      <w:szCs w:val="22"/>
      <w:u w:val="none"/>
    </w:rPr>
  </w:style>
  <w:style w:type="character" w:styleId="1030" w:customStyle="1">
    <w:name w:val="NormalCharacter1"/>
    <w:uiPriority w:val="0"/>
    <w:semiHidden/>
    <w:qFormat/>
  </w:style>
  <w:style w:type="character" w:styleId="1031" w:customStyle="1">
    <w:name w:val="font31"/>
    <w:basedOn w:val="873"/>
    <w:uiPriority w:val="0"/>
    <w:qFormat/>
    <w:rPr>
      <w:rFonts w:hint="eastAsia" w:ascii="宋体" w:hAnsi="宋体" w:eastAsia="宋体" w:cs="宋体"/>
      <w:color w:val="000000"/>
      <w:sz w:val="24"/>
      <w:szCs w:val="24"/>
      <w:u w:val="none"/>
    </w:rPr>
  </w:style>
  <w:style w:type="character" w:styleId="1032" w:customStyle="1">
    <w:name w:val="Char Char3"/>
    <w:uiPriority w:val="99"/>
    <w:qFormat/>
    <w:rPr>
      <w:rFonts w:ascii="宋体" w:hAnsi="Courier New" w:eastAsia="宋体" w:cs="Times New Roman"/>
      <w:sz w:val="21"/>
      <w:szCs w:val="21"/>
      <w:lang w:val="en-US" w:eastAsia="zh-CN" w:bidi="ar-SA"/>
    </w:rPr>
  </w:style>
  <w:style w:type="character" w:styleId="1033" w:customStyle="1">
    <w:name w:val="CharAttribute9"/>
    <w:uiPriority w:val="99"/>
    <w:qFormat/>
    <w:rPr>
      <w:rFonts w:ascii="Arial" w:eastAsia="宋体"/>
      <w:sz w:val="21"/>
    </w:rPr>
  </w:style>
  <w:style w:type="character" w:styleId="1034" w:customStyle="1">
    <w:name w:val="CharAttribute11"/>
    <w:uiPriority w:val="99"/>
    <w:qFormat/>
    <w:rPr>
      <w:rFonts w:ascii="长城大标宋体" w:eastAsia="Times New Roman"/>
      <w:sz w:val="21"/>
    </w:rPr>
  </w:style>
  <w:style w:type="character" w:styleId="1035" w:customStyle="1">
    <w:name w:val="Heading 2 Char"/>
    <w:uiPriority w:val="9"/>
    <w:qFormat/>
    <w:rPr>
      <w:rFonts w:ascii="Arial" w:hAnsi="Arial" w:eastAsia="Arial" w:cs="Arial"/>
      <w:sz w:val="34"/>
    </w:rPr>
  </w:style>
  <w:style w:type="character" w:styleId="1036" w:customStyle="1">
    <w:name w:val="font01"/>
    <w:uiPriority w:val="0"/>
    <w:qFormat/>
    <w:rPr>
      <w:rFonts w:hint="eastAsia" w:ascii="宋体" w:hAnsi="宋体" w:eastAsia="宋体" w:cs="宋体"/>
      <w:color w:val="000000"/>
      <w:sz w:val="22"/>
      <w:szCs w:val="22"/>
      <w:u w:val="none"/>
    </w:rPr>
  </w:style>
  <w:style w:type="character" w:styleId="1037" w:customStyle="1">
    <w:name w:val="CharAttribute18"/>
    <w:uiPriority w:val="99"/>
    <w:qFormat/>
    <w:rPr>
      <w:rFonts w:ascii="仿宋_GB2312" w:eastAsia="仿宋_GB2312"/>
      <w:sz w:val="24"/>
    </w:rPr>
  </w:style>
  <w:style w:type="character" w:styleId="1038" w:customStyle="1">
    <w:name w:val="bumpedfont20"/>
    <w:uiPriority w:val="0"/>
    <w:qFormat/>
  </w:style>
  <w:style w:type="character" w:styleId="1039" w:customStyle="1">
    <w:name w:val="bumpedfont15"/>
    <w:uiPriority w:val="0"/>
    <w:qFormat/>
  </w:style>
  <w:style w:type="character" w:styleId="1040" w:customStyle="1">
    <w:name w:val="Footer Char"/>
    <w:uiPriority w:val="99"/>
    <w:qFormat/>
  </w:style>
  <w:style w:type="character" w:styleId="1041" w:customStyle="1">
    <w:name w:val="MAICO Bold Zchn"/>
    <w:link w:val="1042"/>
    <w:uiPriority w:val="99"/>
    <w:qFormat/>
    <w:rPr>
      <w:rFonts w:ascii="FrutBold" w:hAnsi="FrutBold" w:cs="Times New Roman"/>
      <w:sz w:val="28"/>
      <w:szCs w:val="28"/>
      <w:lang w:val="en-GB"/>
    </w:rPr>
  </w:style>
  <w:style w:type="paragraph" w:styleId="1042" w:customStyle="1">
    <w:name w:val="MAICO Bold"/>
    <w:basedOn w:val="863"/>
    <w:link w:val="104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3" w:customStyle="1">
    <w:name w:val="页码1"/>
    <w:uiPriority w:val="0"/>
    <w:qFormat/>
    <w:rPr>
      <w:rFonts w:ascii="Times New Roman" w:hAnsi="Times New Roman" w:eastAsia="宋体" w:cs="Times New Roman"/>
      <w:sz w:val="21"/>
      <w:szCs w:val="24"/>
      <w:lang w:val="en-US" w:eastAsia="zh-CN" w:bidi="ar-SA"/>
    </w:rPr>
  </w:style>
  <w:style w:type="character" w:styleId="1044" w:customStyle="1">
    <w:name w:val="CharAttribute14"/>
    <w:uiPriority w:val="99"/>
    <w:qFormat/>
    <w:rPr>
      <w:rFonts w:ascii="仿宋_GB2312" w:eastAsia="仿宋_GB2312"/>
      <w:sz w:val="21"/>
    </w:rPr>
  </w:style>
  <w:style w:type="character" w:styleId="1045" w:customStyle="1">
    <w:name w:val="页眉 字符"/>
    <w:link w:val="1046"/>
    <w:uiPriority w:val="99"/>
    <w:qFormat/>
    <w:rPr>
      <w:rFonts w:cs="Times New Roman"/>
      <w:sz w:val="18"/>
      <w:szCs w:val="18"/>
    </w:rPr>
  </w:style>
  <w:style w:type="paragraph" w:styleId="1046" w:customStyle="1">
    <w:name w:val="Header1"/>
    <w:basedOn w:val="863"/>
    <w:link w:val="1045"/>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7" w:customStyle="1">
    <w:name w:val="Heading 3 Char"/>
    <w:uiPriority w:val="9"/>
    <w:qFormat/>
    <w:rPr>
      <w:rFonts w:ascii="Arial" w:hAnsi="Arial" w:eastAsia="Arial" w:cs="Arial"/>
      <w:sz w:val="30"/>
      <w:szCs w:val="30"/>
    </w:rPr>
  </w:style>
  <w:style w:type="character" w:styleId="1048" w:customStyle="1">
    <w:name w:val="MAICO light Zchn"/>
    <w:link w:val="1049"/>
    <w:uiPriority w:val="99"/>
    <w:qFormat/>
    <w:rPr>
      <w:rFonts w:ascii="华文仿宋" w:hAnsi="华文仿宋" w:eastAsia="华文仿宋" w:cs="Times New Roman"/>
      <w:b/>
      <w:sz w:val="28"/>
      <w:szCs w:val="28"/>
      <w:lang w:val="en-GB"/>
    </w:rPr>
  </w:style>
  <w:style w:type="paragraph" w:styleId="1049" w:customStyle="1">
    <w:name w:val="MAICO light"/>
    <w:basedOn w:val="863"/>
    <w:link w:val="1048"/>
    <w:uiPriority w:val="99"/>
    <w:qFormat/>
    <w:pPr>
      <w:ind w:firstLine="561"/>
      <w:spacing w:line="360" w:lineRule="auto"/>
      <w:widowControl/>
    </w:pPr>
    <w:rPr>
      <w:rFonts w:ascii="华文仿宋" w:hAnsi="华文仿宋" w:eastAsia="华文仿宋"/>
      <w:b/>
      <w:sz w:val="28"/>
      <w:szCs w:val="28"/>
      <w:lang w:val="en-GB"/>
    </w:rPr>
  </w:style>
  <w:style w:type="character" w:styleId="1050" w:customStyle="1">
    <w:name w:val="font81"/>
    <w:uiPriority w:val="0"/>
    <w:qFormat/>
    <w:rPr>
      <w:rFonts w:ascii="Calibri" w:hAnsi="Calibri" w:cs="Calibri"/>
      <w:color w:val="000000"/>
      <w:sz w:val="22"/>
      <w:szCs w:val="22"/>
      <w:u w:val="none"/>
    </w:rPr>
  </w:style>
  <w:style w:type="character" w:styleId="1051" w:customStyle="1">
    <w:name w:val="CharAttribute12"/>
    <w:uiPriority w:val="99"/>
    <w:qFormat/>
    <w:rPr>
      <w:rFonts w:ascii="Arial Narrow" w:eastAsia="Times New Roman"/>
      <w:sz w:val="21"/>
    </w:rPr>
  </w:style>
  <w:style w:type="character" w:styleId="1052" w:customStyle="1">
    <w:name w:val="font71"/>
    <w:uiPriority w:val="0"/>
    <w:qFormat/>
    <w:rPr>
      <w:rFonts w:hint="eastAsia" w:ascii="宋体" w:hAnsi="宋体" w:eastAsia="宋体" w:cs="宋体"/>
      <w:color w:val="000000"/>
      <w:sz w:val="18"/>
      <w:szCs w:val="18"/>
      <w:u w:val="none"/>
    </w:rPr>
  </w:style>
  <w:style w:type="character" w:styleId="1053" w:customStyle="1">
    <w:name w:val="font11"/>
    <w:basedOn w:val="873"/>
    <w:uiPriority w:val="0"/>
    <w:qFormat/>
    <w:rPr>
      <w:rFonts w:hint="eastAsia" w:ascii="宋体" w:hAnsi="宋体" w:eastAsia="宋体" w:cs="宋体"/>
      <w:color w:val="000000"/>
      <w:sz w:val="21"/>
      <w:szCs w:val="21"/>
      <w:u w:val="none"/>
    </w:rPr>
  </w:style>
  <w:style w:type="character" w:styleId="1054" w:customStyle="1">
    <w:name w:val="font21"/>
    <w:basedOn w:val="873"/>
    <w:uiPriority w:val="0"/>
    <w:qFormat/>
    <w:rPr>
      <w:rFonts w:hint="eastAsia" w:ascii="宋体" w:hAnsi="宋体" w:eastAsia="宋体" w:cs="宋体"/>
      <w:color w:val="0000ff"/>
      <w:sz w:val="21"/>
      <w:szCs w:val="21"/>
      <w:u w:val="none"/>
    </w:rPr>
  </w:style>
  <w:style w:type="character" w:styleId="1055" w:customStyle="1">
    <w:name w:val="Heading 5 Char"/>
    <w:uiPriority w:val="9"/>
    <w:qFormat/>
    <w:rPr>
      <w:rFonts w:ascii="Arial" w:hAnsi="Arial" w:eastAsia="Arial" w:cs="Arial"/>
      <w:b/>
      <w:bCs/>
      <w:sz w:val="24"/>
      <w:szCs w:val="24"/>
    </w:rPr>
  </w:style>
  <w:style w:type="paragraph" w:styleId="1056" w:customStyle="1">
    <w:name w:val="列出段落11"/>
    <w:uiPriority w:val="99"/>
    <w:qFormat/>
    <w:pPr>
      <w:ind w:firstLine="420"/>
      <w:spacing w:after="160" w:line="278" w:lineRule="auto"/>
    </w:pPr>
    <w:rPr>
      <w:rFonts w:hint="default" w:ascii="Times New Roman" w:hAnsi="Times New Roman" w:eastAsia="宋体" w:cs="Times New Roman"/>
    </w:rPr>
  </w:style>
  <w:style w:type="paragraph" w:styleId="1057" w:customStyle="1">
    <w:name w:val="ParaAttribute10"/>
    <w:uiPriority w:val="99"/>
    <w:qFormat/>
    <w:pPr>
      <w:ind w:left="491"/>
      <w:jc w:val="both"/>
      <w:spacing w:after="160" w:line="278" w:lineRule="auto"/>
      <w:widowControl w:val="off"/>
    </w:pPr>
    <w:rPr>
      <w:rFonts w:hint="default" w:ascii="Times New Roman" w:hAnsi="Times New Roman" w:eastAsia="Batang" w:cs="Times New Roman"/>
    </w:rPr>
  </w:style>
  <w:style w:type="paragraph" w:styleId="1058"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paragraph" w:styleId="1059" w:customStyle="1">
    <w:name w:val="正文文本1"/>
    <w:basedOn w:val="863"/>
    <w:next w:val="863"/>
    <w:uiPriority w:val="0"/>
    <w:qFormat/>
    <w:pPr>
      <w:spacing w:line="60" w:lineRule="auto"/>
    </w:pPr>
    <w:rPr>
      <w:rFonts w:ascii="仿宋_GB2312" w:eastAsia="仿宋_GB2312"/>
      <w:sz w:val="32"/>
    </w:rPr>
  </w:style>
  <w:style w:type="paragraph" w:styleId="1060" w:customStyle="1">
    <w:name w:val="p22"/>
    <w:basedOn w:val="863"/>
    <w:uiPriority w:val="99"/>
    <w:qFormat/>
    <w:pPr>
      <w:ind w:left="720"/>
      <w:jc w:val="left"/>
      <w:spacing w:line="360" w:lineRule="auto"/>
      <w:widowControl/>
    </w:pPr>
    <w:rPr>
      <w:rFonts w:ascii="Verdana" w:hAnsi="Verdana" w:cs="宋体"/>
      <w:sz w:val="24"/>
    </w:rPr>
  </w:style>
  <w:style w:type="paragraph" w:styleId="1061" w:customStyle="1">
    <w:name w:val="列出段落1"/>
    <w:uiPriority w:val="99"/>
    <w:qFormat/>
    <w:pPr>
      <w:ind w:firstLine="420"/>
      <w:spacing w:after="160" w:line="278" w:lineRule="auto"/>
    </w:pPr>
    <w:rPr>
      <w:rFonts w:hint="default" w:ascii="Times New Roman" w:hAnsi="Times New Roman" w:eastAsia="宋体" w:cs="Times New Roman"/>
    </w:rPr>
  </w:style>
  <w:style w:type="paragraph" w:styleId="1062" w:customStyle="1">
    <w:name w:val="正文 A"/>
    <w:uiPriority w:val="0"/>
    <w:qFormat/>
    <w:pPr>
      <w:jc w:val="both"/>
      <w:spacing w:after="160" w:line="278" w:lineRule="auto"/>
      <w:widowControl w:val="off"/>
    </w:pPr>
    <w:rPr>
      <w:rFonts w:hint="default" w:ascii="Arial Unicode MS" w:hAnsi="Arial Unicode MS" w:eastAsia="Times New Roman" w:cs="Arial Unicode MS"/>
      <w:color w:val="000000"/>
      <w:sz w:val="21"/>
      <w:szCs w:val="21"/>
    </w:rPr>
  </w:style>
  <w:style w:type="paragraph" w:styleId="1063" w:customStyle="1">
    <w:name w:val="ParaAttribute22"/>
    <w:uiPriority w:val="99"/>
    <w:qFormat/>
    <w:pPr>
      <w:ind w:left="2340"/>
      <w:jc w:val="both"/>
      <w:spacing w:before="50" w:after="160" w:line="278" w:lineRule="auto"/>
      <w:widowControl w:val="off"/>
    </w:pPr>
    <w:rPr>
      <w:rFonts w:hint="default" w:ascii="Times New Roman" w:hAnsi="Times New Roman" w:eastAsia="Batang" w:cs="Times New Roman"/>
    </w:rPr>
  </w:style>
  <w:style w:type="paragraph" w:styleId="1064" w:customStyle="1">
    <w:name w:val="页脚1"/>
    <w:basedOn w:val="863"/>
    <w:uiPriority w:val="0"/>
    <w:qFormat/>
    <w:pPr>
      <w:jc w:val="left"/>
      <w:tabs>
        <w:tab w:val="center" w:pos="4153" w:leader="none"/>
        <w:tab w:val="right" w:pos="8306" w:leader="none"/>
      </w:tabs>
    </w:pPr>
    <w:rPr>
      <w:sz w:val="18"/>
      <w:szCs w:val="18"/>
    </w:rPr>
  </w:style>
  <w:style w:type="paragraph" w:styleId="1065" w:customStyle="1">
    <w:name w:val="报告正文"/>
    <w:basedOn w:val="863"/>
    <w:uiPriority w:val="99"/>
    <w:qFormat/>
    <w:pPr>
      <w:ind w:firstLine="567"/>
    </w:pPr>
    <w:rPr>
      <w:rFonts w:ascii="Arial Narrow" w:hAnsi="Arial Narrow" w:eastAsia="仿宋_GB2312"/>
      <w:sz w:val="28"/>
      <w:szCs w:val="20"/>
    </w:rPr>
  </w:style>
  <w:style w:type="paragraph" w:styleId="1066" w:customStyle="1">
    <w:name w:val="s7"/>
    <w:basedOn w:val="863"/>
    <w:uiPriority w:val="0"/>
    <w:qFormat/>
    <w:pPr>
      <w:jc w:val="left"/>
      <w:spacing w:before="100" w:beforeAutospacing="1" w:after="100" w:afterAutospacing="1"/>
      <w:widowControl/>
    </w:pPr>
    <w:rPr>
      <w:rFonts w:ascii="宋体" w:hAnsi="宋体" w:cs="宋体"/>
      <w:sz w:val="24"/>
    </w:rPr>
  </w:style>
  <w:style w:type="paragraph" w:styleId="1067" w:customStyle="1">
    <w:name w:val="列出段落2"/>
    <w:basedOn w:val="863"/>
    <w:uiPriority w:val="34"/>
    <w:qFormat/>
    <w:pPr>
      <w:ind w:firstLine="420"/>
    </w:pPr>
    <w:rPr>
      <w:rFonts w:ascii="Calibri" w:hAnsi="Calibri"/>
      <w:szCs w:val="22"/>
    </w:rPr>
  </w:style>
  <w:style w:type="paragraph" w:styleId="1068" w:customStyle="1">
    <w:name w:val="表格文字"/>
    <w:basedOn w:val="863"/>
    <w:uiPriority w:val="99"/>
    <w:qFormat/>
    <w:pPr>
      <w:spacing w:before="120"/>
    </w:pPr>
    <w:rPr>
      <w:rFonts w:ascii="Arial Narrow" w:hAnsi="Arial Narrow" w:eastAsia="仿宋_GB2312"/>
      <w:sz w:val="24"/>
      <w:szCs w:val="20"/>
    </w:rPr>
  </w:style>
  <w:style w:type="paragraph" w:styleId="1069" w:customStyle="1">
    <w:name w:val="修订1"/>
    <w:uiPriority w:val="99"/>
    <w:unhideWhenUsed/>
    <w:qFormat/>
    <w:pPr>
      <w:spacing w:after="160" w:line="278" w:lineRule="auto"/>
    </w:pPr>
    <w:rPr>
      <w:rFonts w:hint="default" w:ascii="Times New Roman" w:hAnsi="Times New Roman" w:eastAsia="宋体" w:cs="Times New Roman"/>
      <w:sz w:val="21"/>
      <w:szCs w:val="24"/>
    </w:rPr>
  </w:style>
  <w:style w:type="paragraph" w:styleId="1070" w:customStyle="1">
    <w:name w:val="Caption1"/>
    <w:basedOn w:val="863"/>
    <w:next w:val="863"/>
    <w:uiPriority w:val="35"/>
    <w:unhideWhenUsed/>
    <w:qFormat/>
    <w:pPr>
      <w:spacing w:line="276" w:lineRule="auto"/>
    </w:pPr>
    <w:rPr>
      <w:b/>
      <w:bCs/>
      <w:color w:val="4f81bd"/>
      <w:sz w:val="18"/>
      <w:szCs w:val="18"/>
    </w:rPr>
  </w:style>
  <w:style w:type="paragraph" w:styleId="1071" w:customStyle="1">
    <w:name w:val="Char"/>
    <w:basedOn w:val="863"/>
    <w:uiPriority w:val="99"/>
    <w:qFormat/>
    <w:rPr>
      <w:sz w:val="30"/>
    </w:rPr>
  </w:style>
  <w:style w:type="paragraph" w:styleId="1072" w:customStyle="1">
    <w:name w:val="s3"/>
    <w:basedOn w:val="863"/>
    <w:uiPriority w:val="0"/>
    <w:qFormat/>
    <w:pPr>
      <w:jc w:val="left"/>
      <w:spacing w:before="100" w:beforeAutospacing="1" w:after="100" w:afterAutospacing="1"/>
      <w:widowControl/>
    </w:pPr>
    <w:rPr>
      <w:rFonts w:ascii="宋体" w:hAnsi="宋体" w:cs="宋体"/>
      <w:sz w:val="24"/>
    </w:rPr>
  </w:style>
  <w:style w:type="paragraph" w:styleId="1073" w:customStyle="1">
    <w:name w:val="样式 标4 + 段前: 0.5 行1"/>
    <w:basedOn w:val="863"/>
    <w:uiPriority w:val="99"/>
    <w:qFormat/>
    <w:pPr>
      <w:tabs>
        <w:tab w:val="left" w:pos="1260" w:leader="none"/>
      </w:tabs>
      <w:outlineLvl w:val="3"/>
    </w:pPr>
    <w:rPr>
      <w:rFonts w:ascii="Arial Narrow" w:hAnsi="Arial Narrow" w:eastAsia="仿宋_GB2312" w:cs="宋体"/>
      <w:sz w:val="28"/>
      <w:szCs w:val="20"/>
    </w:rPr>
  </w:style>
  <w:style w:type="paragraph" w:styleId="1074" w:customStyle="1">
    <w:name w:val="ParaAttribute6"/>
    <w:uiPriority w:val="99"/>
    <w:qFormat/>
    <w:pPr>
      <w:ind w:left="1276"/>
      <w:jc w:val="both"/>
      <w:spacing w:before="50" w:after="160" w:line="278" w:lineRule="auto"/>
      <w:widowControl w:val="off"/>
    </w:pPr>
    <w:rPr>
      <w:rFonts w:hint="default" w:ascii="Times New Roman" w:hAnsi="Times New Roman" w:eastAsia="Batang" w:cs="Times New Roman"/>
    </w:rPr>
  </w:style>
  <w:style w:type="paragraph" w:styleId="1075" w:customStyle="1">
    <w:name w:val="彩色列表 - 强调文字颜色 11"/>
    <w:basedOn w:val="863"/>
    <w:uiPriority w:val="34"/>
    <w:qFormat/>
    <w:pPr>
      <w:ind w:firstLine="420"/>
    </w:pPr>
    <w:rPr>
      <w:rFonts w:ascii="Calibri" w:hAnsi="Calibri"/>
      <w:szCs w:val="22"/>
    </w:rPr>
  </w:style>
  <w:style w:type="paragraph" w:styleId="1076" w:customStyle="1">
    <w:name w:val="ITB-0"/>
    <w:basedOn w:val="863"/>
    <w:uiPriority w:val="0"/>
    <w:qFormat/>
    <w:pPr>
      <w:jc w:val="center"/>
    </w:pPr>
    <w:rPr>
      <w:b/>
      <w:sz w:val="32"/>
      <w:szCs w:val="20"/>
    </w:rPr>
  </w:style>
  <w:style w:type="paragraph" w:styleId="1077" w:customStyle="1">
    <w:name w:val="Char Char3 Char Char"/>
    <w:basedOn w:val="863"/>
    <w:uiPriority w:val="99"/>
    <w:qFormat/>
    <w:rPr>
      <w:rFonts w:ascii="Tahoma" w:hAnsi="Tahoma"/>
      <w:sz w:val="24"/>
      <w:szCs w:val="20"/>
    </w:rPr>
  </w:style>
  <w:style w:type="paragraph" w:styleId="1078" w:customStyle="1">
    <w:name w:val="Char1"/>
    <w:basedOn w:val="863"/>
    <w:uiPriority w:val="99"/>
    <w:qFormat/>
    <w:rPr>
      <w:sz w:val="24"/>
    </w:rPr>
  </w:style>
  <w:style w:type="paragraph" w:styleId="1079" w:customStyle="1">
    <w:name w:val="ParaAttribute2"/>
    <w:uiPriority w:val="99"/>
    <w:qFormat/>
    <w:pPr>
      <w:jc w:val="both"/>
      <w:spacing w:before="156" w:after="156" w:line="278" w:lineRule="auto"/>
      <w:widowControl w:val="off"/>
    </w:pPr>
    <w:rPr>
      <w:rFonts w:hint="default" w:ascii="Times New Roman" w:hAnsi="Times New Roman" w:eastAsia="Batang" w:cs="Times New Roman"/>
    </w:rPr>
  </w:style>
  <w:style w:type="paragraph" w:styleId="1080" w:customStyle="1">
    <w:name w:val="List Paragraph1"/>
    <w:basedOn w:val="863"/>
    <w:uiPriority w:val="99"/>
    <w:qFormat/>
    <w:pPr>
      <w:ind w:firstLine="420"/>
    </w:pPr>
    <w:rPr>
      <w:rFonts w:ascii="Calibri" w:hAnsi="Calibri"/>
      <w:szCs w:val="22"/>
    </w:rPr>
  </w:style>
  <w:style w:type="paragraph" w:styleId="1081" w:customStyle="1">
    <w:name w:val="默认段落字体 Para Char Char Char Char"/>
    <w:basedOn w:val="863"/>
    <w:uiPriority w:val="99"/>
    <w:qFormat/>
    <w:rPr>
      <w:szCs w:val="21"/>
    </w:rPr>
  </w:style>
  <w:style w:type="paragraph" w:styleId="1082" w:customStyle="1">
    <w:name w:val="ParaAttribute8"/>
    <w:uiPriority w:val="99"/>
    <w:qFormat/>
    <w:pPr>
      <w:ind w:left="993"/>
      <w:jc w:val="both"/>
      <w:spacing w:before="50" w:after="160" w:line="278" w:lineRule="auto"/>
      <w:widowControl w:val="off"/>
    </w:pPr>
    <w:rPr>
      <w:rFonts w:hint="default" w:ascii="Times New Roman" w:hAnsi="Times New Roman" w:eastAsia="Batang" w:cs="Times New Roman"/>
    </w:rPr>
  </w:style>
  <w:style w:type="paragraph" w:styleId="1083" w:customStyle="1">
    <w:name w:val="标题二级"/>
    <w:basedOn w:val="863"/>
    <w:uiPriority w:val="0"/>
    <w:qFormat/>
    <w:rPr>
      <w:rFonts w:ascii="宋体" w:hAnsi="宋体"/>
      <w:szCs w:val="21"/>
    </w:rPr>
  </w:style>
  <w:style w:type="paragraph" w:styleId="1084" w:customStyle="1">
    <w:name w:val="段"/>
    <w:basedOn w:val="863"/>
    <w:next w:val="863"/>
    <w:uiPriority w:val="0"/>
    <w:qFormat/>
    <w:pPr>
      <w:ind w:firstLine="200"/>
      <w:widowControl/>
    </w:pPr>
    <w:rPr>
      <w:rFonts w:hint="eastAsia" w:ascii="宋体"/>
      <w:szCs w:val="20"/>
    </w:rPr>
  </w:style>
  <w:style w:type="paragraph" w:styleId="1085" w:customStyle="1">
    <w:name w:val="章标题"/>
    <w:next w:val="863"/>
    <w:uiPriority w:val="0"/>
    <w:qFormat/>
    <w:pPr>
      <w:ind w:left="810" w:hanging="810"/>
      <w:jc w:val="both"/>
      <w:spacing w:before="50" w:after="50" w:line="278" w:lineRule="auto"/>
      <w:tabs>
        <w:tab w:val="left" w:pos="810" w:leader="none"/>
        <w:tab w:val="left" w:pos="1265" w:leader="none"/>
      </w:tabs>
      <w:outlineLvl w:val="1"/>
    </w:pPr>
    <w:rPr>
      <w:rFonts w:hint="default" w:ascii="黑体" w:hAnsi="Calibri" w:eastAsia="黑体" w:cs="Times New Roman"/>
      <w:sz w:val="21"/>
      <w:szCs w:val="22"/>
    </w:rPr>
  </w:style>
  <w:style w:type="paragraph" w:styleId="1086" w:customStyle="1">
    <w:name w:val="一级条标题"/>
    <w:basedOn w:val="1085"/>
    <w:next w:val="1084"/>
    <w:uiPriority w:val="0"/>
    <w:qFormat/>
    <w:pPr>
      <w:numPr>
        <w:ilvl w:val="1"/>
        <w:numId w:val="3"/>
      </w:numPr>
      <w:outlineLvl w:val="2"/>
    </w:pPr>
    <w:rPr>
      <w:rFonts w:hAnsi="Times New Roman" w:cs="Arial"/>
      <w:szCs w:val="21"/>
    </w:rPr>
  </w:style>
  <w:style w:type="paragraph" w:styleId="1087" w:customStyle="1">
    <w:name w:val="ParaAttribute7"/>
    <w:uiPriority w:val="99"/>
    <w:qFormat/>
    <w:pPr>
      <w:jc w:val="both"/>
      <w:spacing w:before="50" w:after="160" w:line="278" w:lineRule="auto"/>
      <w:widowControl w:val="off"/>
    </w:pPr>
    <w:rPr>
      <w:rFonts w:hint="default" w:ascii="Times New Roman" w:hAnsi="Times New Roman" w:eastAsia="Batang" w:cs="Times New Roman"/>
    </w:rPr>
  </w:style>
  <w:style w:type="paragraph" w:styleId="1088" w:customStyle="1">
    <w:name w:val="p0"/>
    <w:uiPriority w:val="0"/>
    <w:qFormat/>
    <w:pPr>
      <w:spacing w:after="160" w:line="278" w:lineRule="auto"/>
    </w:pPr>
    <w:rPr>
      <w:rFonts w:hint="default" w:ascii="Times New Roman" w:hAnsi="Times New Roman" w:eastAsia="宋体" w:cs="Times New Roman"/>
      <w:szCs w:val="21"/>
    </w:rPr>
  </w:style>
  <w:style w:type="paragraph" w:styleId="1089" w:customStyle="1">
    <w:name w:val="First Paragraph"/>
    <w:basedOn w:val="881"/>
    <w:next w:val="881"/>
    <w:uiPriority w:val="0"/>
    <w:qFormat/>
  </w:style>
  <w:style w:type="paragraph" w:styleId="1090" w:customStyle="1">
    <w:name w:val="Compact"/>
    <w:basedOn w:val="881"/>
    <w:uiPriority w:val="0"/>
    <w:qFormat/>
    <w:pPr>
      <w:spacing w:before="36" w:after="36"/>
    </w:pPr>
  </w:style>
  <w:style w:type="table" w:styleId="1091" w:customStyle="1">
    <w:name w:val="Bordered &amp; Lined - Accent"/>
    <w:basedOn w:val="874"/>
    <w:uiPriority w:val="99"/>
    <w:qFormat/>
    <w:rPr>
      <w:color w:val="404040"/>
    </w:rPr>
    <w:tblPr/>
  </w:style>
  <w:style w:type="table" w:styleId="1092" w:customStyle="1">
    <w:name w:val="List Table 5 Dark - Accent 4"/>
    <w:basedOn w:val="874"/>
    <w:uiPriority w:val="99"/>
    <w:qFormat/>
    <w:tblPr/>
  </w:style>
  <w:style w:type="table" w:styleId="1093" w:customStyle="1">
    <w:name w:val="Lined - Accent 1"/>
    <w:basedOn w:val="874"/>
    <w:uiPriority w:val="99"/>
    <w:qFormat/>
    <w:rPr>
      <w:color w:val="404040"/>
    </w:rPr>
    <w:tblPr/>
  </w:style>
  <w:style w:type="table" w:styleId="1094" w:customStyle="1">
    <w:name w:val="Bordered - Accent 1"/>
    <w:basedOn w:val="874"/>
    <w:uiPriority w:val="99"/>
    <w:qFormat/>
    <w:tblPr/>
  </w:style>
  <w:style w:type="table" w:styleId="1095" w:customStyle="1">
    <w:name w:val="Grid Table 6 Colorful - Accent 3"/>
    <w:basedOn w:val="874"/>
    <w:uiPriority w:val="99"/>
    <w:qFormat/>
    <w:tblPr/>
  </w:style>
  <w:style w:type="table" w:styleId="1096" w:customStyle="1">
    <w:name w:val="Bordered - Accent 2"/>
    <w:basedOn w:val="874"/>
    <w:uiPriority w:val="99"/>
    <w:qFormat/>
    <w:tblPr/>
  </w:style>
  <w:style w:type="table" w:styleId="1097" w:customStyle="1">
    <w:name w:val="List Table 7 Colorful - Accent 5"/>
    <w:basedOn w:val="874"/>
    <w:uiPriority w:val="99"/>
    <w:qFormat/>
    <w:tblPr/>
  </w:style>
  <w:style w:type="table" w:styleId="1098" w:customStyle="1">
    <w:name w:val="List Table 1 Light - Accent 2"/>
    <w:basedOn w:val="874"/>
    <w:uiPriority w:val="99"/>
    <w:qFormat/>
    <w:tblPr/>
  </w:style>
  <w:style w:type="table" w:styleId="1099" w:customStyle="1">
    <w:name w:val="Grid Table 7 Colorful - Accent 3"/>
    <w:basedOn w:val="874"/>
    <w:uiPriority w:val="99"/>
    <w:qFormat/>
    <w:tblPr/>
  </w:style>
  <w:style w:type="table" w:styleId="1100" w:customStyle="1">
    <w:name w:val="Bordered - Accent 4"/>
    <w:basedOn w:val="874"/>
    <w:uiPriority w:val="99"/>
    <w:qFormat/>
    <w:tblPr/>
  </w:style>
  <w:style w:type="table" w:styleId="1101" w:customStyle="1">
    <w:name w:val="Grid Table 2 - Accent 1"/>
    <w:basedOn w:val="874"/>
    <w:uiPriority w:val="99"/>
    <w:qFormat/>
    <w:tblPr/>
  </w:style>
  <w:style w:type="table" w:styleId="1102" w:customStyle="1">
    <w:name w:val="Bordered &amp; Lined - Accent 6"/>
    <w:basedOn w:val="874"/>
    <w:uiPriority w:val="99"/>
    <w:qFormat/>
    <w:rPr>
      <w:color w:val="404040"/>
    </w:rPr>
    <w:tblPr/>
  </w:style>
  <w:style w:type="table" w:styleId="1103" w:customStyle="1">
    <w:name w:val="Grid Table 1 Light - Accent 5"/>
    <w:basedOn w:val="874"/>
    <w:uiPriority w:val="99"/>
    <w:qFormat/>
    <w:tblPr/>
  </w:style>
  <w:style w:type="table" w:styleId="1104" w:customStyle="1">
    <w:name w:val="Grid Table 5 Dark - Accent 2"/>
    <w:basedOn w:val="874"/>
    <w:uiPriority w:val="99"/>
    <w:qFormat/>
    <w:tblPr/>
  </w:style>
  <w:style w:type="table" w:styleId="1105" w:customStyle="1">
    <w:name w:val="List Table 7 Colorful - Accent 6"/>
    <w:basedOn w:val="874"/>
    <w:uiPriority w:val="99"/>
    <w:qFormat/>
    <w:tblPr/>
  </w:style>
  <w:style w:type="table" w:styleId="1106" w:customStyle="1">
    <w:name w:val="Bordered"/>
    <w:basedOn w:val="874"/>
    <w:uiPriority w:val="99"/>
    <w:qFormat/>
    <w:tblPr/>
  </w:style>
  <w:style w:type="table" w:styleId="1107" w:customStyle="1">
    <w:name w:val="Bordered &amp; Lined - Accent 4"/>
    <w:basedOn w:val="874"/>
    <w:uiPriority w:val="99"/>
    <w:qFormat/>
    <w:rPr>
      <w:color w:val="404040"/>
    </w:rPr>
    <w:tblPr/>
  </w:style>
  <w:style w:type="table" w:styleId="1108" w:customStyle="1">
    <w:name w:val="Grid Table 4 - Accent 3"/>
    <w:basedOn w:val="874"/>
    <w:uiPriority w:val="59"/>
    <w:qFormat/>
    <w:tblPr/>
  </w:style>
  <w:style w:type="table" w:styleId="1109" w:customStyle="1">
    <w:name w:val="List Table 4 - Accent 4"/>
    <w:basedOn w:val="874"/>
    <w:uiPriority w:val="99"/>
    <w:qFormat/>
    <w:tblPr/>
  </w:style>
  <w:style w:type="table" w:styleId="1110" w:customStyle="1">
    <w:name w:val="Grid Table 7 Colorful - Accent 4"/>
    <w:basedOn w:val="874"/>
    <w:uiPriority w:val="99"/>
    <w:qFormat/>
    <w:tblPr/>
  </w:style>
  <w:style w:type="table" w:styleId="1111" w:customStyle="1">
    <w:name w:val="Grid Table 2 - Accent 5"/>
    <w:basedOn w:val="874"/>
    <w:uiPriority w:val="99"/>
    <w:qFormat/>
    <w:tblPr/>
  </w:style>
  <w:style w:type="table" w:styleId="1112" w:customStyle="1">
    <w:name w:val="Bordered - Accent 6"/>
    <w:basedOn w:val="874"/>
    <w:uiPriority w:val="99"/>
    <w:qFormat/>
    <w:tblPr/>
  </w:style>
  <w:style w:type="table" w:styleId="1113" w:customStyle="1">
    <w:name w:val="Grid Table 1 Light - Accent 3"/>
    <w:basedOn w:val="874"/>
    <w:uiPriority w:val="99"/>
    <w:qFormat/>
    <w:tblPr/>
  </w:style>
  <w:style w:type="table" w:styleId="1114" w:customStyle="1">
    <w:name w:val="Grid Table 3 - Accent 2"/>
    <w:basedOn w:val="874"/>
    <w:uiPriority w:val="99"/>
    <w:qFormat/>
    <w:tblPr/>
  </w:style>
  <w:style w:type="table" w:styleId="1115" w:customStyle="1">
    <w:name w:val="Grid Table 5 Dark - Accent 6"/>
    <w:basedOn w:val="874"/>
    <w:uiPriority w:val="99"/>
    <w:qFormat/>
    <w:tblPr/>
  </w:style>
  <w:style w:type="table" w:styleId="1116" w:customStyle="1">
    <w:name w:val="Grid Table 3 - Accent 1"/>
    <w:basedOn w:val="874"/>
    <w:uiPriority w:val="99"/>
    <w:qFormat/>
    <w:tblPr/>
  </w:style>
  <w:style w:type="table" w:styleId="1117" w:customStyle="1">
    <w:name w:val="Bordered &amp; Lined - Accent 2"/>
    <w:basedOn w:val="874"/>
    <w:uiPriority w:val="99"/>
    <w:qFormat/>
    <w:rPr>
      <w:color w:val="404040"/>
    </w:rPr>
    <w:tblPr/>
  </w:style>
  <w:style w:type="table" w:styleId="1118" w:customStyle="1">
    <w:name w:val="Grid Table 3 - Accent 4"/>
    <w:basedOn w:val="874"/>
    <w:uiPriority w:val="99"/>
    <w:qFormat/>
    <w:tblPr/>
  </w:style>
  <w:style w:type="table" w:styleId="1119" w:customStyle="1">
    <w:name w:val="List Table 4 - Accent 2"/>
    <w:basedOn w:val="874"/>
    <w:uiPriority w:val="99"/>
    <w:qFormat/>
    <w:tblPr/>
  </w:style>
  <w:style w:type="table" w:styleId="1120" w:customStyle="1">
    <w:name w:val="List Table 2 - Accent 6"/>
    <w:basedOn w:val="874"/>
    <w:uiPriority w:val="99"/>
    <w:qFormat/>
    <w:tblPr/>
  </w:style>
  <w:style w:type="table" w:styleId="1121" w:customStyle="1">
    <w:name w:val="List Table 3 - Accent 1"/>
    <w:basedOn w:val="874"/>
    <w:uiPriority w:val="99"/>
    <w:qFormat/>
    <w:tblPr/>
  </w:style>
  <w:style w:type="table" w:styleId="1122" w:customStyle="1">
    <w:name w:val="List Table 1 Light - Accent 1"/>
    <w:basedOn w:val="874"/>
    <w:uiPriority w:val="99"/>
    <w:qFormat/>
    <w:tblPr/>
  </w:style>
  <w:style w:type="table" w:styleId="1123" w:customStyle="1">
    <w:name w:val="List Table 5 Dark - Accent 1"/>
    <w:basedOn w:val="874"/>
    <w:uiPriority w:val="99"/>
    <w:qFormat/>
    <w:tblPr/>
  </w:style>
  <w:style w:type="table" w:styleId="1124" w:customStyle="1">
    <w:name w:val="List Table 1 Light - Accent 6"/>
    <w:basedOn w:val="874"/>
    <w:uiPriority w:val="99"/>
    <w:qFormat/>
    <w:tblPr/>
  </w:style>
  <w:style w:type="table" w:styleId="1125" w:customStyle="1">
    <w:name w:val="Grid Table 2 - Accent 3"/>
    <w:basedOn w:val="874"/>
    <w:uiPriority w:val="99"/>
    <w:qFormat/>
    <w:tblPr/>
  </w:style>
  <w:style w:type="table" w:styleId="1126" w:customStyle="1">
    <w:name w:val="List Table 3 - Accent 3"/>
    <w:basedOn w:val="874"/>
    <w:uiPriority w:val="99"/>
    <w:qFormat/>
    <w:tblPr/>
  </w:style>
  <w:style w:type="table" w:styleId="1127" w:customStyle="1">
    <w:name w:val="Grid Table 7 Colorful - Accent 1"/>
    <w:basedOn w:val="874"/>
    <w:uiPriority w:val="99"/>
    <w:qFormat/>
    <w:tblPr/>
  </w:style>
  <w:style w:type="table" w:styleId="1128" w:customStyle="1">
    <w:name w:val="Grid Table 6 Colorful - Accent 4"/>
    <w:basedOn w:val="874"/>
    <w:uiPriority w:val="99"/>
    <w:qFormat/>
    <w:tblPr/>
  </w:style>
  <w:style w:type="table" w:styleId="1129" w:customStyle="1">
    <w:name w:val="Grid Table 5 Dark- Accent 4"/>
    <w:basedOn w:val="874"/>
    <w:uiPriority w:val="99"/>
    <w:qFormat/>
    <w:tblPr/>
  </w:style>
  <w:style w:type="table" w:styleId="1130" w:customStyle="1">
    <w:name w:val="Lined - Accent"/>
    <w:basedOn w:val="874"/>
    <w:uiPriority w:val="99"/>
    <w:qFormat/>
    <w:rPr>
      <w:color w:val="404040"/>
    </w:rPr>
    <w:tblPr/>
  </w:style>
  <w:style w:type="table" w:styleId="1131" w:customStyle="1">
    <w:name w:val="List Table 7 Colorful - Accent 3"/>
    <w:basedOn w:val="874"/>
    <w:uiPriority w:val="99"/>
    <w:qFormat/>
    <w:tblPr/>
  </w:style>
  <w:style w:type="table" w:styleId="1132" w:customStyle="1">
    <w:name w:val="List Table 3 - Accent 4"/>
    <w:basedOn w:val="874"/>
    <w:uiPriority w:val="99"/>
    <w:qFormat/>
    <w:tblPr/>
  </w:style>
  <w:style w:type="table" w:styleId="1133" w:customStyle="1">
    <w:name w:val="List Table 1 Light - Accent 3"/>
    <w:basedOn w:val="874"/>
    <w:uiPriority w:val="99"/>
    <w:qFormat/>
    <w:tblPr/>
  </w:style>
  <w:style w:type="table" w:styleId="1134" w:customStyle="1">
    <w:name w:val="Grid Table 1 Light - Accent 4"/>
    <w:basedOn w:val="874"/>
    <w:uiPriority w:val="99"/>
    <w:qFormat/>
    <w:tblPr/>
  </w:style>
  <w:style w:type="table" w:styleId="1135" w:customStyle="1">
    <w:name w:val="Grid Table 7 Colorful - Accent 5"/>
    <w:basedOn w:val="874"/>
    <w:uiPriority w:val="99"/>
    <w:qFormat/>
    <w:tblPr/>
  </w:style>
  <w:style w:type="table" w:styleId="1136" w:customStyle="1">
    <w:name w:val="List Table 3 - Accent 5"/>
    <w:basedOn w:val="874"/>
    <w:uiPriority w:val="99"/>
    <w:qFormat/>
    <w:tblPr/>
  </w:style>
  <w:style w:type="table" w:styleId="1137" w:customStyle="1">
    <w:name w:val="List Table 2 - Accent 3"/>
    <w:basedOn w:val="874"/>
    <w:uiPriority w:val="99"/>
    <w:qFormat/>
    <w:tblPr/>
  </w:style>
  <w:style w:type="table" w:styleId="1138" w:customStyle="1">
    <w:name w:val="List Table 5 Dark - Accent 2"/>
    <w:basedOn w:val="874"/>
    <w:uiPriority w:val="99"/>
    <w:qFormat/>
    <w:tblPr/>
  </w:style>
  <w:style w:type="table" w:styleId="1139" w:customStyle="1">
    <w:name w:val="List Table 6 Colorful - Accent 3"/>
    <w:basedOn w:val="874"/>
    <w:uiPriority w:val="99"/>
    <w:qFormat/>
    <w:tblPr/>
  </w:style>
  <w:style w:type="table" w:styleId="1140" w:customStyle="1">
    <w:name w:val="Lined - Accent 4"/>
    <w:basedOn w:val="874"/>
    <w:uiPriority w:val="99"/>
    <w:qFormat/>
    <w:rPr>
      <w:color w:val="404040"/>
    </w:rPr>
    <w:tblPr/>
  </w:style>
  <w:style w:type="table" w:styleId="1141" w:customStyle="1">
    <w:name w:val="List Table 2 - Accent 1"/>
    <w:basedOn w:val="874"/>
    <w:uiPriority w:val="99"/>
    <w:qFormat/>
    <w:tblPr/>
  </w:style>
  <w:style w:type="table" w:styleId="1142" w:customStyle="1">
    <w:name w:val="Grid Table 1 Light - Accent 6"/>
    <w:basedOn w:val="874"/>
    <w:uiPriority w:val="99"/>
    <w:qFormat/>
    <w:tblPr/>
  </w:style>
  <w:style w:type="table" w:styleId="1143" w:customStyle="1">
    <w:name w:val="Bordered &amp; Lined - Accent 3"/>
    <w:basedOn w:val="874"/>
    <w:uiPriority w:val="99"/>
    <w:qFormat/>
    <w:rPr>
      <w:color w:val="404040"/>
    </w:rPr>
    <w:tblPr/>
  </w:style>
  <w:style w:type="table" w:styleId="1144" w:customStyle="1">
    <w:name w:val="Grid Table 4 - Accent 1"/>
    <w:basedOn w:val="874"/>
    <w:uiPriority w:val="59"/>
    <w:qFormat/>
    <w:tblPr/>
  </w:style>
  <w:style w:type="table" w:styleId="1145" w:customStyle="1">
    <w:name w:val="Grid Table 6 Colorful - Accent 6"/>
    <w:basedOn w:val="874"/>
    <w:uiPriority w:val="99"/>
    <w:qFormat/>
    <w:tblPr/>
  </w:style>
  <w:style w:type="table" w:styleId="1146" w:customStyle="1">
    <w:name w:val="List Table 3 - Accent 2"/>
    <w:basedOn w:val="874"/>
    <w:uiPriority w:val="99"/>
    <w:qFormat/>
    <w:tblPr/>
  </w:style>
  <w:style w:type="table" w:styleId="1147" w:customStyle="1">
    <w:name w:val="List Table 2 - Accent 5"/>
    <w:basedOn w:val="874"/>
    <w:uiPriority w:val="99"/>
    <w:qFormat/>
    <w:tblPr/>
  </w:style>
  <w:style w:type="table" w:styleId="1148" w:customStyle="1">
    <w:name w:val="List Table 7 Colorful - Accent 2"/>
    <w:basedOn w:val="874"/>
    <w:uiPriority w:val="99"/>
    <w:qFormat/>
    <w:tblPr/>
  </w:style>
  <w:style w:type="table" w:styleId="1149" w:customStyle="1">
    <w:name w:val="List Table 6 Colorful - Accent 6"/>
    <w:basedOn w:val="874"/>
    <w:uiPriority w:val="99"/>
    <w:qFormat/>
    <w:tblPr/>
  </w:style>
  <w:style w:type="table" w:styleId="1150" w:customStyle="1">
    <w:name w:val="List Table 2 - Accent 4"/>
    <w:basedOn w:val="874"/>
    <w:uiPriority w:val="99"/>
    <w:qFormat/>
    <w:tblPr/>
  </w:style>
  <w:style w:type="table" w:styleId="1151" w:customStyle="1">
    <w:name w:val="List Table 4 - Accent 3"/>
    <w:basedOn w:val="874"/>
    <w:uiPriority w:val="99"/>
    <w:qFormat/>
    <w:tblPr/>
  </w:style>
  <w:style w:type="table" w:styleId="1152" w:customStyle="1">
    <w:name w:val="Grid Table 2 - Accent 4"/>
    <w:basedOn w:val="874"/>
    <w:uiPriority w:val="99"/>
    <w:qFormat/>
    <w:tblPr/>
  </w:style>
  <w:style w:type="table" w:styleId="1153" w:customStyle="1">
    <w:name w:val="Bordered - Accent 3"/>
    <w:basedOn w:val="874"/>
    <w:uiPriority w:val="99"/>
    <w:qFormat/>
    <w:tblPr/>
  </w:style>
  <w:style w:type="table" w:styleId="1154" w:customStyle="1">
    <w:name w:val="List Table 5 Dark - Accent 6"/>
    <w:basedOn w:val="874"/>
    <w:uiPriority w:val="99"/>
    <w:qFormat/>
    <w:tblPr/>
  </w:style>
  <w:style w:type="table" w:styleId="1155" w:customStyle="1">
    <w:name w:val="List Table 7 Colorful - Accent 1"/>
    <w:basedOn w:val="874"/>
    <w:uiPriority w:val="99"/>
    <w:qFormat/>
    <w:tblPr/>
  </w:style>
  <w:style w:type="table" w:styleId="1156" w:customStyle="1">
    <w:name w:val="Grid Table 4 - Accent 2"/>
    <w:basedOn w:val="874"/>
    <w:uiPriority w:val="59"/>
    <w:qFormat/>
    <w:tblPr/>
  </w:style>
  <w:style w:type="table" w:styleId="1157" w:customStyle="1">
    <w:name w:val="List Table 5 Dark - Accent 5"/>
    <w:basedOn w:val="874"/>
    <w:uiPriority w:val="99"/>
    <w:qFormat/>
    <w:tblPr/>
  </w:style>
  <w:style w:type="table" w:styleId="1158" w:customStyle="1">
    <w:name w:val="List Table 6 Colorful - Accent 4"/>
    <w:basedOn w:val="874"/>
    <w:uiPriority w:val="99"/>
    <w:qFormat/>
    <w:tblPr/>
  </w:style>
  <w:style w:type="table" w:styleId="1159" w:customStyle="1">
    <w:name w:val="Grid Table 1 Light - Accent 1"/>
    <w:basedOn w:val="874"/>
    <w:uiPriority w:val="99"/>
    <w:qFormat/>
    <w:tblPr/>
  </w:style>
  <w:style w:type="table" w:styleId="1160" w:customStyle="1">
    <w:name w:val="List Table 2 - Accent 2"/>
    <w:basedOn w:val="874"/>
    <w:uiPriority w:val="99"/>
    <w:qFormat/>
    <w:tblPr/>
  </w:style>
  <w:style w:type="table" w:styleId="1161" w:customStyle="1">
    <w:name w:val="Bordered - Accent 5"/>
    <w:basedOn w:val="874"/>
    <w:uiPriority w:val="99"/>
    <w:qFormat/>
    <w:tblPr/>
  </w:style>
  <w:style w:type="table" w:styleId="1162" w:customStyle="1">
    <w:name w:val="Grid Table 7 Colorful - Accent 6"/>
    <w:basedOn w:val="874"/>
    <w:uiPriority w:val="99"/>
    <w:qFormat/>
    <w:tblPr/>
  </w:style>
  <w:style w:type="table" w:styleId="1163" w:customStyle="1">
    <w:name w:val="List Table 5 Dark - Accent 3"/>
    <w:basedOn w:val="874"/>
    <w:uiPriority w:val="99"/>
    <w:qFormat/>
    <w:tblPr/>
  </w:style>
  <w:style w:type="table" w:styleId="1164" w:customStyle="1">
    <w:name w:val="Grid Table 2 - Accent 2"/>
    <w:basedOn w:val="874"/>
    <w:uiPriority w:val="99"/>
    <w:qFormat/>
    <w:tblPr/>
  </w:style>
  <w:style w:type="table" w:styleId="1165" w:customStyle="1">
    <w:name w:val="Lined - Accent 6"/>
    <w:basedOn w:val="874"/>
    <w:uiPriority w:val="99"/>
    <w:qFormat/>
    <w:rPr>
      <w:color w:val="404040"/>
    </w:rPr>
    <w:tblPr/>
  </w:style>
  <w:style w:type="table" w:styleId="1166" w:customStyle="1">
    <w:name w:val="Bordered &amp; Lined - Accent 5"/>
    <w:basedOn w:val="874"/>
    <w:uiPriority w:val="99"/>
    <w:qFormat/>
    <w:rPr>
      <w:color w:val="404040"/>
    </w:rPr>
    <w:tblPr/>
  </w:style>
  <w:style w:type="table" w:styleId="1167" w:customStyle="1">
    <w:name w:val="Grid Table 5 Dark - Accent 5"/>
    <w:basedOn w:val="874"/>
    <w:uiPriority w:val="99"/>
    <w:qFormat/>
    <w:tblPr/>
  </w:style>
  <w:style w:type="table" w:styleId="1168" w:customStyle="1">
    <w:name w:val="List Table 1 Light - Accent 5"/>
    <w:basedOn w:val="874"/>
    <w:uiPriority w:val="99"/>
    <w:qFormat/>
    <w:tblPr/>
  </w:style>
  <w:style w:type="table" w:styleId="1169" w:customStyle="1">
    <w:name w:val="Grid Table 3 - Accent 3"/>
    <w:basedOn w:val="874"/>
    <w:uiPriority w:val="99"/>
    <w:qFormat/>
    <w:tblPr/>
  </w:style>
  <w:style w:type="table" w:styleId="1170" w:customStyle="1">
    <w:name w:val="Grid Table 3 - Accent 5"/>
    <w:basedOn w:val="874"/>
    <w:uiPriority w:val="99"/>
    <w:qFormat/>
    <w:tblPr/>
  </w:style>
  <w:style w:type="table" w:styleId="1171" w:customStyle="1">
    <w:name w:val="网格型1"/>
    <w:basedOn w:val="874"/>
    <w:uiPriority w:val="59"/>
    <w:qFormat/>
    <w:tblPr/>
  </w:style>
  <w:style w:type="table" w:styleId="1172" w:customStyle="1">
    <w:name w:val="Grid Table 6 Colorful - Accent 1"/>
    <w:basedOn w:val="874"/>
    <w:uiPriority w:val="99"/>
    <w:qFormat/>
    <w:tblPr/>
  </w:style>
  <w:style w:type="table" w:styleId="1173" w:customStyle="1">
    <w:name w:val="List Table 3 - Accent 6"/>
    <w:basedOn w:val="874"/>
    <w:uiPriority w:val="99"/>
    <w:qFormat/>
    <w:tblPr/>
  </w:style>
  <w:style w:type="table" w:styleId="1174" w:customStyle="1">
    <w:name w:val="Grid Table 7 Colorful - Accent 2"/>
    <w:basedOn w:val="874"/>
    <w:uiPriority w:val="99"/>
    <w:qFormat/>
    <w:tblPr/>
  </w:style>
  <w:style w:type="table" w:styleId="1175" w:customStyle="1">
    <w:name w:val="Lined - Accent 3"/>
    <w:basedOn w:val="874"/>
    <w:uiPriority w:val="99"/>
    <w:qFormat/>
    <w:rPr>
      <w:color w:val="404040"/>
    </w:rPr>
    <w:tblPr/>
  </w:style>
  <w:style w:type="table" w:styleId="1176" w:customStyle="1">
    <w:name w:val="List Table 1 Light - Accent 4"/>
    <w:basedOn w:val="874"/>
    <w:uiPriority w:val="99"/>
    <w:qFormat/>
    <w:tblPr/>
  </w:style>
  <w:style w:type="table" w:styleId="1177" w:customStyle="1">
    <w:name w:val="Grid Table 2 - Accent 6"/>
    <w:basedOn w:val="874"/>
    <w:uiPriority w:val="99"/>
    <w:qFormat/>
    <w:tblPr/>
  </w:style>
  <w:style w:type="table" w:styleId="1178" w:customStyle="1">
    <w:name w:val="Grid Table 3 - Accent 6"/>
    <w:basedOn w:val="874"/>
    <w:uiPriority w:val="99"/>
    <w:qFormat/>
    <w:tblPr/>
  </w:style>
  <w:style w:type="table" w:styleId="1179" w:customStyle="1">
    <w:name w:val="Table Grid Light"/>
    <w:basedOn w:val="874"/>
    <w:uiPriority w:val="59"/>
    <w:qFormat/>
    <w:tblPr/>
  </w:style>
  <w:style w:type="table" w:styleId="1180" w:customStyle="1">
    <w:name w:val="Grid Table 5 Dark- Accent 1"/>
    <w:basedOn w:val="874"/>
    <w:uiPriority w:val="99"/>
    <w:qFormat/>
    <w:tblPr/>
  </w:style>
  <w:style w:type="table" w:styleId="1181" w:customStyle="1">
    <w:name w:val="Grid Table 5 Dark - Accent 3"/>
    <w:basedOn w:val="874"/>
    <w:uiPriority w:val="99"/>
    <w:qFormat/>
    <w:tblPr/>
  </w:style>
  <w:style w:type="table" w:styleId="1182" w:customStyle="1">
    <w:name w:val="List Table 7 Colorful - Accent 4"/>
    <w:basedOn w:val="874"/>
    <w:uiPriority w:val="99"/>
    <w:qFormat/>
    <w:tblPr/>
  </w:style>
  <w:style w:type="table" w:styleId="1183" w:customStyle="1">
    <w:name w:val="List Table 4 - Accent 1"/>
    <w:basedOn w:val="874"/>
    <w:uiPriority w:val="99"/>
    <w:qFormat/>
    <w:tblPr/>
  </w:style>
  <w:style w:type="table" w:styleId="1184" w:customStyle="1">
    <w:name w:val="List Table 4 - Accent 6"/>
    <w:basedOn w:val="874"/>
    <w:uiPriority w:val="99"/>
    <w:qFormat/>
    <w:tblPr/>
  </w:style>
  <w:style w:type="table" w:styleId="1185" w:customStyle="1">
    <w:name w:val="Grid Table 4 - Accent 4"/>
    <w:basedOn w:val="874"/>
    <w:uiPriority w:val="59"/>
    <w:qFormat/>
    <w:tblPr/>
  </w:style>
  <w:style w:type="table" w:styleId="1186" w:customStyle="1">
    <w:name w:val="List Table 6 Colorful - Accent 5"/>
    <w:basedOn w:val="874"/>
    <w:uiPriority w:val="99"/>
    <w:qFormat/>
    <w:tblPr/>
  </w:style>
  <w:style w:type="table" w:styleId="1187" w:customStyle="1">
    <w:name w:val="Lined - Accent 5"/>
    <w:basedOn w:val="874"/>
    <w:uiPriority w:val="99"/>
    <w:qFormat/>
    <w:rPr>
      <w:color w:val="404040"/>
    </w:rPr>
    <w:tblPr/>
  </w:style>
  <w:style w:type="table" w:styleId="1188" w:customStyle="1">
    <w:name w:val="List Table 6 Colorful - Accent 2"/>
    <w:basedOn w:val="874"/>
    <w:uiPriority w:val="99"/>
    <w:qFormat/>
    <w:tblPr/>
  </w:style>
  <w:style w:type="table" w:styleId="1189" w:customStyle="1">
    <w:name w:val="List Table 6 Colorful - Accent 1"/>
    <w:basedOn w:val="874"/>
    <w:uiPriority w:val="99"/>
    <w:qFormat/>
    <w:tblPr/>
  </w:style>
  <w:style w:type="table" w:styleId="1190" w:customStyle="1">
    <w:name w:val="Grid Table 6 Colorful - Accent 2"/>
    <w:basedOn w:val="874"/>
    <w:uiPriority w:val="99"/>
    <w:qFormat/>
    <w:tblPr/>
  </w:style>
  <w:style w:type="table" w:styleId="1191" w:customStyle="1">
    <w:name w:val="Grid Table 4 - Accent 6"/>
    <w:basedOn w:val="874"/>
    <w:uiPriority w:val="59"/>
    <w:qFormat/>
    <w:tblPr/>
  </w:style>
  <w:style w:type="table" w:styleId="1192" w:customStyle="1">
    <w:name w:val="Grid Table 4 - Accent 5"/>
    <w:basedOn w:val="874"/>
    <w:uiPriority w:val="59"/>
    <w:qFormat/>
    <w:tblPr/>
  </w:style>
  <w:style w:type="table" w:styleId="1193" w:customStyle="1">
    <w:name w:val="List Table 4 - Accent 5"/>
    <w:basedOn w:val="874"/>
    <w:uiPriority w:val="99"/>
    <w:qFormat/>
    <w:tblPr/>
  </w:style>
  <w:style w:type="table" w:styleId="1194" w:customStyle="1">
    <w:name w:val="Grid Table 1 Light - Accent 2"/>
    <w:basedOn w:val="874"/>
    <w:uiPriority w:val="99"/>
    <w:qFormat/>
    <w:tblPr/>
  </w:style>
  <w:style w:type="table" w:styleId="1195" w:customStyle="1">
    <w:name w:val="Grid Table 6 Colorful - Accent 5"/>
    <w:basedOn w:val="874"/>
    <w:uiPriority w:val="99"/>
    <w:qFormat/>
    <w:tblPr/>
  </w:style>
  <w:style w:type="table" w:styleId="1196" w:customStyle="1">
    <w:name w:val="Lined - Accent 2"/>
    <w:basedOn w:val="874"/>
    <w:uiPriority w:val="99"/>
    <w:qFormat/>
    <w:rPr>
      <w:color w:val="404040"/>
    </w:rPr>
    <w:tblPr/>
  </w:style>
  <w:style w:type="table" w:styleId="1197" w:customStyle="1">
    <w:name w:val="Bordered &amp; Lined - Accent 1"/>
    <w:basedOn w:val="874"/>
    <w:uiPriority w:val="99"/>
    <w:qFormat/>
    <w:rPr>
      <w:color w:val="404040"/>
    </w:rPr>
    <w:tblPr/>
  </w:style>
  <w:style w:type="paragraph" w:styleId="1198" w:customStyle="1">
    <w:name w:val="修订2"/>
    <w:hidden/>
    <w:uiPriority w:val="99"/>
    <w:unhideWhenUsed/>
    <w:qFormat/>
    <w:pPr>
      <w:spacing w:after="160" w:line="278" w:lineRule="auto"/>
    </w:pPr>
    <w:rPr>
      <w:rFonts w:hint="default" w:ascii="Times New Roman" w:hAnsi="Times New Roman" w:eastAsia="宋体" w:cs="Times New Roman"/>
      <w:sz w:val="21"/>
      <w:szCs w:val="24"/>
    </w:rPr>
  </w:style>
  <w:style w:type="paragraph" w:styleId="1199" w:customStyle="1">
    <w:name w:val="修订3"/>
    <w:hidden/>
    <w:uiPriority w:val="99"/>
    <w:semiHidden/>
    <w:qFormat/>
    <w:pPr>
      <w:spacing w:after="160" w:line="278" w:lineRule="auto"/>
    </w:pPr>
    <w:rPr>
      <w:rFonts w:hint="default" w:ascii="Times New Roman" w:hAnsi="Times New Roman" w:eastAsia="宋体" w:cs="Times New Roman"/>
      <w:sz w:val="21"/>
      <w:szCs w:val="24"/>
    </w:rPr>
  </w:style>
  <w:style w:type="paragraph" w:styleId="1200" w:customStyle="1">
    <w:name w:val="彩色列表1"/>
    <w:basedOn w:val="863"/>
    <w:uiPriority w:val="0"/>
    <w:qFormat/>
    <w:pPr>
      <w:ind w:firstLine="420"/>
    </w:pPr>
  </w:style>
  <w:style w:type="paragraph" w:styleId="1201" w:customStyle="1">
    <w:name w:val="修订4"/>
    <w:hidden/>
    <w:uiPriority w:val="99"/>
    <w:unhideWhenUsed/>
    <w:qFormat/>
    <w:pPr>
      <w:spacing w:after="160" w:line="278" w:lineRule="auto"/>
    </w:pPr>
    <w:rPr>
      <w:rFonts w:hint="default" w:ascii="Times New Roman" w:hAnsi="Times New Roman" w:eastAsia="宋体" w:cs="Times New Roman"/>
      <w:sz w:val="21"/>
      <w:szCs w:val="24"/>
    </w:rPr>
  </w:style>
  <w:style w:type="table" w:styleId="1202" w:customStyle="1">
    <w:name w:val="Table Normal"/>
    <w:uiPriority w:val="0"/>
    <w:qFormat/>
    <w:tblPr>
      <w:tblCellMar>
        <w:left w:w="0" w:type="dxa"/>
        <w:top w:w="0" w:type="dxa"/>
        <w:right w:w="0" w:type="dxa"/>
        <w:bottom w:w="0" w:type="dxa"/>
      </w:tblCellMar>
    </w:tblPr>
  </w:style>
  <w:style w:type="paragraph" w:styleId="1203" w:customStyle="1">
    <w:name w:val="修订5"/>
    <w:hidden/>
    <w:uiPriority w:val="99"/>
    <w:unhideWhenUsed/>
    <w:qFormat/>
    <w:rPr>
      <w:rFonts w:hint="default" w:ascii="Times New Roman" w:hAnsi="Times New Roman" w:eastAsia="宋体" w:cs="Times New Roman"/>
      <w:sz w:val="21"/>
      <w:szCs w:val="24"/>
    </w:rPr>
  </w:style>
  <w:style w:type="paragraph" w:styleId="1204" w:customStyle="1">
    <w:name w:val="修订6"/>
    <w:hidden/>
    <w:uiPriority w:val="99"/>
    <w:unhideWhenUsed/>
    <w:qFormat/>
    <w:rPr>
      <w:rFonts w:hint="default" w:ascii="Times New Roman" w:hAnsi="Times New Roman" w:eastAsia="宋体" w:cs="Times New Roman"/>
      <w:sz w:val="21"/>
      <w:szCs w:val="24"/>
    </w:rPr>
  </w:style>
  <w:style w:type="paragraph" w:styleId="1205" w:customStyle="1">
    <w:name w:val="Revision"/>
    <w:hidden/>
    <w:uiPriority w:val="99"/>
    <w:unhideWhenUsed/>
    <w:qFormat/>
    <w:rPr>
      <w:rFonts w:hint="default" w:ascii="Times New Roman" w:hAnsi="Times New Roman" w:eastAsia="宋体" w:cs="Times New Roman"/>
      <w:sz w:val="21"/>
      <w:szCs w:val="24"/>
    </w:rPr>
  </w:style>
  <w:style w:type="numbering" w:styleId="77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F112442-DF58-4C74-A025-9DFD3D9D2781}"/>
</file>

<file path=customXml/itemProps2.xml><?xml version="1.0" encoding="utf-8"?>
<ds:datastoreItem xmlns:ds="http://schemas.openxmlformats.org/officeDocument/2006/customXml" ds:itemID="{94944304-0174-424B-9B14-8E7270177E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2026-06-11T08:49:00Z</dcterms:created>
  <dcterms:modified xsi:type="dcterms:W3CDTF">2026-07-23T08:48:54Z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7FDDF9E534FF4D59A3B3D425A2CD4E56_13</vt:lpwstr>
  </property>
</Properties>
</file>