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2"/>
        <w:ind w:firstLine="0"/>
        <w:jc w:val="center"/>
        <w:shd w:val="clear" w:color="auto"/>
        <w:rPr>
          <w:rFonts w:hint="eastAsia" w:ascii="宋体" w:hAnsi="宋体" w:eastAsia="宋体" w:cs="宋体"/>
          <w:b/>
          <w:bCs/>
          <w:color w:val="auto"/>
          <w:sz w:val="84"/>
          <w:highlight w:val="none"/>
        </w:rPr>
      </w:pPr>
      <w:r>
        <w:rPr>
          <w:rFonts w:hint="eastAsia" w:ascii="宋体" w:hAnsi="宋体" w:eastAsia="宋体" w:cs="宋体"/>
          <w:color w:val="auto"/>
          <w:highlight w:val="none"/>
        </w:rPr>
        <w:t xml:space="preserve"> </w:t>
      </w:r>
      <w:r>
        <w:rPr>
          <w:rFonts w:hint="eastAsia" w:ascii="宋体" w:hAnsi="宋体" w:eastAsia="宋体" w:cs="宋体"/>
          <w:b/>
          <w:bCs/>
          <w:color w:val="auto"/>
          <w:sz w:val="84"/>
          <w:highlight w:val="none"/>
        </w:rPr>
        <w:t xml:space="preserve">招  标  文  件</w:t>
      </w:r>
      <w:r/>
    </w:p>
    <w:p>
      <w:pPr>
        <w:pStyle w:val="99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rPr>
      </w:r>
      <w:r/>
    </w:p>
    <w:p>
      <w:pPr>
        <w:pStyle w:val="992"/>
        <w:ind w:left="0" w:firstLine="0"/>
        <w:jc w:val="center"/>
        <w:rPr>
          <w:rFonts w:hint="eastAsia" w:ascii="宋体" w:hAnsi="宋体" w:eastAsia="宋体" w:cs="宋体"/>
          <w:b/>
          <w:bCs/>
          <w:caps w:val="0"/>
          <w:color w:val="auto"/>
          <w:sz w:val="32"/>
          <w:lang w:eastAsia="zh-CN"/>
        </w:rPr>
      </w:pPr>
      <w:r>
        <w:rPr>
          <w:rFonts w:hint="eastAsia" w:ascii="宋体" w:hAnsi="宋体" w:eastAsia="宋体" w:cs="宋体"/>
          <w:b/>
          <w:bCs/>
          <w:caps w:val="0"/>
          <w:color w:val="auto"/>
          <w:sz w:val="32"/>
        </w:rPr>
        <w:t xml:space="preserve">项目名称：</w:t>
      </w:r>
      <w:r>
        <w:rPr>
          <w:rFonts w:hint="eastAsia" w:ascii="宋体" w:hAnsi="宋体" w:eastAsia="宋体" w:cs="宋体"/>
          <w:b/>
          <w:bCs/>
          <w:caps w:val="0"/>
          <w:color w:val="auto"/>
          <w:sz w:val="32"/>
          <w:lang w:eastAsia="zh-CN"/>
        </w:rPr>
        <w:t xml:space="preserve">宿迁市2026年（省体育局资助）全民健身器材采购项目</w:t>
      </w:r>
      <w:r/>
    </w:p>
    <w:p>
      <w:pPr>
        <w:jc w:val="center"/>
        <w:rPr>
          <w:rFonts w:hint="eastAsia" w:ascii="宋体" w:hAnsi="宋体" w:eastAsia="宋体" w:cs="宋体"/>
          <w:b/>
          <w:caps w:val="0"/>
          <w:color w:val="auto"/>
          <w:sz w:val="30"/>
          <w:szCs w:val="30"/>
        </w:rPr>
      </w:pPr>
      <w:r>
        <w:rPr>
          <w:rFonts w:hint="eastAsia" w:ascii="宋体" w:hAnsi="宋体" w:eastAsia="宋体" w:cs="宋体"/>
          <w:b/>
          <w:bCs/>
          <w:caps w:val="0"/>
          <w:color w:val="auto"/>
          <w:sz w:val="32"/>
        </w:rPr>
        <w:t xml:space="preserve">项目编号：</w:t>
      </w:r>
      <w:r>
        <w:rPr>
          <w:rFonts w:hint="eastAsia" w:ascii="宋体" w:hAnsi="宋体" w:eastAsia="宋体" w:cs="宋体"/>
          <w:b/>
          <w:bCs/>
          <w:caps w:val="0"/>
          <w:color w:val="auto"/>
          <w:sz w:val="32"/>
          <w:lang w:val="en-US" w:eastAsia="zh-CN"/>
        </w:rPr>
        <w:t xml:space="preserve">JSZC-321300-SQCY-G2026-0002</w:t>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r>
      <w:r/>
    </w:p>
    <w:p>
      <w:pPr>
        <w:jc w:val="center"/>
        <w:rPr>
          <w:rFonts w:hint="eastAsia" w:ascii="宋体" w:hAnsi="宋体" w:eastAsia="宋体" w:cs="宋体"/>
          <w:b/>
          <w:caps w:val="0"/>
          <w:color w:val="auto"/>
          <w:sz w:val="30"/>
          <w:szCs w:val="30"/>
        </w:rPr>
      </w:pPr>
      <w:r>
        <w:rPr>
          <w:rFonts w:hint="eastAsia" w:ascii="宋体" w:hAnsi="宋体" w:eastAsia="宋体" w:cs="宋体"/>
          <w:b/>
          <w:caps w:val="0"/>
          <w:color w:val="auto"/>
          <w:sz w:val="30"/>
          <w:szCs w:val="30"/>
        </w:rPr>
        <w:t xml:space="preserve">（</w:t>
      </w:r>
      <w:r>
        <w:rPr>
          <w:rFonts w:hint="eastAsia" w:ascii="宋体" w:hAnsi="宋体" w:eastAsia="宋体" w:cs="宋体"/>
          <w:b/>
          <w:caps w:val="0"/>
          <w:color w:val="auto"/>
          <w:sz w:val="30"/>
          <w:szCs w:val="30"/>
          <w:lang w:val="en-US" w:eastAsia="zh-CN"/>
        </w:rPr>
        <w:t xml:space="preserve">货物</w:t>
      </w:r>
      <w:r>
        <w:rPr>
          <w:rFonts w:hint="eastAsia" w:ascii="宋体" w:hAnsi="宋体" w:eastAsia="宋体" w:cs="宋体"/>
          <w:b/>
          <w:caps w:val="0"/>
          <w:color w:val="auto"/>
          <w:sz w:val="30"/>
          <w:szCs w:val="30"/>
        </w:rPr>
        <w:t xml:space="preserve">类项目，专门面向中小企业）</w:t>
      </w:r>
      <w:r/>
    </w:p>
    <w:p>
      <w:pPr>
        <w:pStyle w:val="992"/>
        <w:ind w:firstLine="0"/>
        <w:jc w:val="center"/>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firstLine="0"/>
        <w:spacing w:before="0" w:after="0"/>
        <w:rPr>
          <w:rFonts w:hint="eastAsia" w:ascii="宋体" w:hAnsi="宋体" w:eastAsia="宋体" w:cs="宋体"/>
          <w:caps w:val="0"/>
          <w:color w:val="auto"/>
        </w:rPr>
      </w:pPr>
      <w:r>
        <w:rPr>
          <w:rFonts w:hint="eastAsia" w:ascii="宋体" w:hAnsi="宋体" w:eastAsia="宋体" w:cs="宋体"/>
          <w:caps w:val="0"/>
          <w:color w:val="auto"/>
        </w:rPr>
      </w:r>
      <w:r/>
    </w:p>
    <w:p>
      <w:pPr>
        <w:pStyle w:val="99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采购人：宿迁市体育局</w:t>
      </w:r>
      <w:r/>
    </w:p>
    <w:p>
      <w:pPr>
        <w:pStyle w:val="992"/>
        <w:ind w:left="0" w:firstLine="0"/>
        <w:jc w:val="center"/>
        <w:rPr>
          <w:rFonts w:hint="eastAsia" w:ascii="宋体" w:hAnsi="宋体" w:eastAsia="宋体" w:cs="宋体"/>
          <w:b/>
          <w:bCs/>
          <w:caps w:val="0"/>
          <w:color w:val="auto"/>
          <w:sz w:val="32"/>
          <w:lang w:val="en-US" w:eastAsia="zh-CN"/>
        </w:rPr>
      </w:pPr>
      <w:r>
        <w:rPr>
          <w:rFonts w:hint="eastAsia" w:ascii="宋体" w:hAnsi="宋体" w:eastAsia="宋体" w:cs="宋体"/>
          <w:b/>
          <w:bCs/>
          <w:caps w:val="0"/>
          <w:color w:val="auto"/>
          <w:sz w:val="32"/>
          <w:lang w:val="en-US" w:eastAsia="zh-CN"/>
        </w:rPr>
        <w:t xml:space="preserve">采购代理机构：宿迁市楚韵项目管理有限公司</w:t>
      </w:r>
      <w:r/>
    </w:p>
    <w:p>
      <w:pPr>
        <w:pStyle w:val="992"/>
        <w:ind w:left="0" w:firstLine="0"/>
        <w:jc w:val="center"/>
        <w:rPr>
          <w:rFonts w:hint="eastAsia" w:ascii="宋体" w:hAnsi="宋体" w:eastAsia="宋体" w:cs="宋体"/>
          <w:b/>
          <w:bCs/>
          <w:caps w:val="0"/>
          <w:color w:val="auto"/>
          <w:sz w:val="32"/>
        </w:rPr>
      </w:pPr>
      <w:r>
        <w:rPr>
          <w:rFonts w:hint="eastAsia" w:ascii="宋体" w:hAnsi="宋体" w:eastAsia="宋体" w:cs="宋体"/>
          <w:b/>
          <w:bCs/>
          <w:caps w:val="0"/>
          <w:color w:val="auto"/>
          <w:sz w:val="32"/>
          <w:lang w:val="en-US" w:eastAsia="zh-CN"/>
        </w:rPr>
        <w:t xml:space="preserve">2026年8月10日</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80" w:lineRule="auto"/>
        <w:shd w:val="clear" w:color="auto"/>
        <w:rPr>
          <w:rFonts w:hint="eastAsia" w:ascii="宋体" w:hAnsi="宋体" w:eastAsia="宋体" w:cs="宋体"/>
          <w:b/>
          <w:color w:val="auto"/>
          <w:sz w:val="44"/>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b/>
          <w:color w:val="auto"/>
          <w:sz w:val="44"/>
          <w:highlight w:val="none"/>
        </w:rPr>
      </w:r>
      <w:r/>
    </w:p>
    <w:p>
      <w:pPr>
        <w:jc w:val="center"/>
        <w:spacing w:line="480" w:lineRule="auto"/>
        <w:shd w:val="clear" w:color="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总  目  录</w:t>
      </w:r>
      <w:r/>
    </w:p>
    <w:p>
      <w:pPr>
        <w:spacing w:line="480" w:lineRule="auto"/>
        <w:shd w:val="clear" w:color="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pStyle w:val="82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b/>
          <w:color w:val="auto"/>
          <w:sz w:val="56"/>
          <w:szCs w:val="56"/>
          <w:highlight w:val="none"/>
        </w:rPr>
        <w:fldChar w:fldCharType="begin"/>
      </w:r>
      <w:r>
        <w:rPr>
          <w:rFonts w:hint="eastAsia" w:ascii="宋体" w:hAnsi="宋体" w:eastAsia="宋体" w:cs="宋体"/>
          <w:b/>
          <w:color w:val="auto"/>
          <w:sz w:val="56"/>
          <w:szCs w:val="56"/>
          <w:highlight w:val="none"/>
        </w:rPr>
        <w:instrText xml:space="preserve">TOC \o "1-1" \h \u </w:instrText>
      </w:r>
      <w:r>
        <w:rPr>
          <w:rFonts w:hint="eastAsia" w:ascii="宋体" w:hAnsi="宋体" w:eastAsia="宋体" w:cs="宋体"/>
          <w:b/>
          <w:color w:val="auto"/>
          <w:sz w:val="56"/>
          <w:szCs w:val="5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"_Toc15550"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第一章  投标邀请</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p>
    <w:p>
      <w:pPr>
        <w:pStyle w:val="828"/>
        <w:shd w:val="clear" w:color="auto"/>
        <w:tabs>
          <w:tab w:val="right" w:pos="8953" w:leader="dot"/>
        </w:tabs>
        <w:rPr>
          <w:rFonts w:hint="eastAsia" w:ascii="宋体" w:hAnsi="宋体" w:eastAsia="宋体" w:cs="宋体"/>
          <w:b/>
          <w:color w:val="auto"/>
          <w:sz w:val="28"/>
          <w:szCs w:val="3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"_Toc6971"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56"/>
          <w:highlight w:val="none"/>
        </w:rPr>
        <w:t xml:space="preserve">第二章  投标人须知</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4</w:t>
      </w:r>
      <w:r>
        <w:rPr>
          <w:rFonts w:hint="eastAsia" w:ascii="宋体" w:hAnsi="宋体" w:eastAsia="宋体" w:cs="宋体"/>
          <w:b/>
          <w:color w:val="auto"/>
          <w:sz w:val="28"/>
          <w:szCs w:val="32"/>
          <w:highlight w:val="none"/>
        </w:rPr>
        <w:fldChar w:fldCharType="end"/>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"_Toc8406"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第三章  合同文本</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1</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9</w:t>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"_Toc30589"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第四章  采购需求</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3</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4</w:t>
      </w:r>
      <w:r/>
    </w:p>
    <w:p>
      <w:pPr>
        <w:pStyle w:val="828"/>
        <w:shd w:val="clear" w:color="auto"/>
        <w:tabs>
          <w:tab w:val="right" w:pos="8953" w:leader="dot"/>
        </w:tabs>
        <w:rPr>
          <w:rFonts w:hint="eastAsia" w:ascii="宋体" w:hAnsi="宋体" w:eastAsia="宋体" w:cs="宋体"/>
          <w:b/>
          <w:color w:val="auto"/>
          <w:sz w:val="28"/>
          <w:szCs w:val="3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"_Toc7441"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第五章  评标方法与评标标准</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47</w:t>
      </w:r>
      <w:r/>
    </w:p>
    <w:p>
      <w:pPr>
        <w:pStyle w:val="828"/>
        <w:shd w:val="clear" w:color="auto"/>
        <w:tabs>
          <w:tab w:val="right" w:pos="8953" w:leader="dot"/>
        </w:tabs>
        <w:rPr>
          <w:rFonts w:hint="eastAsia" w:ascii="宋体" w:hAnsi="宋体" w:eastAsia="宋体" w:cs="宋体"/>
          <w:b/>
          <w:color w:val="auto"/>
          <w:sz w:val="24"/>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"_Toc20454"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8"/>
          <w:szCs w:val="32"/>
          <w:highlight w:val="none"/>
        </w:rPr>
        <w:t xml:space="preserve">第六章  投标文件格式</w:t>
      </w:r>
      <w:r>
        <w:rPr>
          <w:rFonts w:hint="eastAsia" w:ascii="宋体" w:hAnsi="宋体" w:eastAsia="宋体" w:cs="宋体"/>
          <w:b/>
          <w:color w:val="auto"/>
          <w:sz w:val="28"/>
          <w:szCs w:val="32"/>
          <w:highlight w:val="none"/>
        </w:rPr>
        <w:tab/>
      </w:r>
      <w:r>
        <w:rPr>
          <w:rFonts w:hint="eastAsia" w:ascii="宋体" w:hAnsi="宋体" w:eastAsia="宋体" w:cs="宋体"/>
          <w:b/>
          <w:color w:val="auto"/>
          <w:sz w:val="28"/>
          <w:szCs w:val="32"/>
          <w:highlight w:val="none"/>
          <w:lang w:val="en-US" w:eastAsia="zh-CN"/>
        </w:rPr>
        <w:t xml:space="preserve">5</w:t>
      </w:r>
      <w:r>
        <w:rPr>
          <w:rFonts w:hint="eastAsia" w:ascii="宋体" w:hAnsi="宋体" w:eastAsia="宋体" w:cs="宋体"/>
          <w:b/>
          <w:color w:val="auto"/>
          <w:sz w:val="28"/>
          <w:szCs w:val="32"/>
          <w:highlight w:val="none"/>
        </w:rPr>
        <w:fldChar w:fldCharType="end"/>
      </w:r>
      <w:r>
        <w:rPr>
          <w:rFonts w:hint="eastAsia" w:ascii="宋体" w:hAnsi="宋体" w:eastAsia="宋体" w:cs="宋体"/>
          <w:b/>
          <w:color w:val="auto"/>
          <w:sz w:val="28"/>
          <w:szCs w:val="32"/>
          <w:highlight w:val="none"/>
          <w:lang w:val="en-US" w:eastAsia="zh-CN"/>
        </w:rPr>
        <w:t xml:space="preserve">8</w:t>
      </w:r>
      <w:r/>
    </w:p>
    <w:p>
      <w:pPr>
        <w:shd w:val="clear" w:color="auto"/>
        <w:rPr>
          <w:rFonts w:hint="eastAsia" w:ascii="宋体" w:hAnsi="宋体" w:eastAsia="宋体" w:cs="宋体"/>
          <w:b/>
          <w:bCs/>
          <w:color w:val="auto"/>
          <w:sz w:val="22"/>
          <w:szCs w:val="40"/>
          <w:highlight w:val="none"/>
        </w:rPr>
      </w:pPr>
      <w:r>
        <w:rPr>
          <w:rFonts w:hint="eastAsia" w:ascii="宋体" w:hAnsi="宋体" w:eastAsia="宋体" w:cs="宋体"/>
          <w:b/>
          <w:color w:val="auto"/>
          <w:sz w:val="24"/>
          <w:szCs w:val="48"/>
          <w:highlight w:val="none"/>
        </w:rPr>
        <w:fldChar w:fldCharType="end"/>
      </w:r>
      <w:r/>
    </w:p>
    <w:p>
      <w:pPr>
        <w:pStyle w:val="806"/>
        <w:jc w:val="center"/>
        <w:shd w:val="clear" w:color="auto"/>
        <w:rPr>
          <w:rFonts w:hint="eastAsia" w:ascii="宋体" w:hAnsi="宋体" w:eastAsia="宋体" w:cs="宋体"/>
          <w:bCs/>
          <w:color w:val="auto"/>
          <w:sz w:val="44"/>
          <w:highlight w:val="none"/>
        </w:rPr>
        <w:sectPr>
          <w:footerReference w:type="default" r:id="rId12"/>
          <w:footnotePr/>
          <w:endnotePr/>
          <w:type w:val="nextPage"/>
          <w:pgSz w:w="11906" w:h="16838" w:orient="portrait"/>
          <w:pgMar w:top="1440" w:right="1797" w:bottom="1440" w:left="1797" w:header="851" w:footer="992" w:gutter="0"/>
          <w:pgNumType w:start="1"/>
          <w:cols w:num="1" w:sep="0" w:space="720" w:equalWidth="1"/>
          <w:docGrid w:linePitch="360"/>
        </w:sectPr>
      </w:pPr>
      <w:r/>
      <w:bookmarkStart w:id="0" w:name="_Toc15550"/>
      <w:r/>
      <w:r/>
    </w:p>
    <w:p>
      <w:pPr>
        <w:pStyle w:val="806"/>
        <w:jc w:val="center"/>
        <w:shd w:val="clear" w:color="auto"/>
        <w:rPr>
          <w:rFonts w:hint="eastAsia" w:ascii="宋体" w:hAnsi="宋体" w:eastAsia="宋体" w:cs="宋体"/>
          <w:bCs/>
          <w:color w:val="auto"/>
          <w:sz w:val="44"/>
          <w:szCs w:val="44"/>
          <w:highlight w:val="none"/>
        </w:rPr>
      </w:pPr>
      <w:r>
        <w:rPr>
          <w:rFonts w:hint="eastAsia" w:ascii="宋体" w:hAnsi="宋体" w:eastAsia="宋体" w:cs="宋体"/>
          <w:bCs/>
          <w:color w:val="auto"/>
          <w:sz w:val="44"/>
          <w:highlight w:val="none"/>
        </w:rPr>
        <w:t xml:space="preserve">第一章  投标邀请</w:t>
      </w:r>
      <w:bookmarkEnd w:id="0"/>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宿迁市体育局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宿迁市楚韵项目管理有限公司</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宿迁市2026年（省体育局资助）全民健身器材采购项目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项目编号：</w:t>
      </w:r>
      <w:r>
        <w:rPr>
          <w:rFonts w:hint="eastAsia" w:ascii="宋体" w:hAnsi="宋体" w:eastAsia="宋体" w:cs="宋体"/>
          <w:b/>
          <w:bCs/>
          <w:color w:val="auto"/>
          <w:sz w:val="24"/>
          <w:szCs w:val="24"/>
          <w:highlight w:val="none"/>
          <w:u w:val="single"/>
          <w:lang w:eastAsia="zh-CN"/>
        </w:rPr>
        <w:t xml:space="preserve">JSZC-321300-SQCY-G2026-0002</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项目进行公开招标采购，欢迎符合条件的投标人投标。</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400" w:lineRule="exact"/>
        <w:shd w:val="clear" w:color="auto"/>
        <w:widowControl/>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lang w:eastAsia="zh-CN"/>
        </w:rPr>
        <w:t xml:space="preserve">宿迁市2026年（省体育局资助）全民健身器材采购项目</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color w:val="auto"/>
          <w:sz w:val="24"/>
          <w:szCs w:val="24"/>
          <w:highlight w:val="none"/>
        </w:rPr>
        <w:t xml:space="preserve">招标项目的潜在投标人应通过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b/>
          <w:bCs/>
          <w:color w:val="auto"/>
          <w:sz w:val="24"/>
          <w:szCs w:val="24"/>
          <w:highlight w:val="none"/>
          <w:u w:val="single"/>
        </w:rPr>
        <w:t xml:space="preserve">2026年</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月1</w:t>
      </w:r>
      <w:r>
        <w:rPr>
          <w:rFonts w:hint="eastAsia" w:ascii="宋体" w:hAnsi="宋体" w:eastAsia="宋体" w:cs="宋体"/>
          <w:b/>
          <w:bCs/>
          <w:color w:val="auto"/>
          <w:sz w:val="24"/>
          <w:szCs w:val="24"/>
          <w:highlight w:val="none"/>
          <w:u w:val="single"/>
        </w:rPr>
        <w:t xml:space="preserve">日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点</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1" w:name="_Toc28359079"/>
      <w:r/>
      <w:bookmarkStart w:id="2" w:name="_Toc35393621"/>
      <w:r/>
      <w:bookmarkStart w:id="3" w:name="_Toc28359002"/>
      <w:r/>
      <w:bookmarkStart w:id="4" w:name="_Toc38985263"/>
      <w:r/>
      <w:bookmarkStart w:id="5" w:name="_Toc35393790"/>
      <w:r/>
      <w:bookmarkStart w:id="6" w:name="_Hlk24379207"/>
      <w:r>
        <w:rPr>
          <w:rFonts w:hint="eastAsia" w:ascii="宋体" w:hAnsi="宋体" w:eastAsia="宋体" w:cs="宋体"/>
          <w:b/>
          <w:bCs/>
          <w:color w:val="auto"/>
          <w:sz w:val="24"/>
          <w:szCs w:val="24"/>
          <w:highlight w:val="none"/>
        </w:rPr>
        <w:t xml:space="preserve">一、项目基本情况</w:t>
      </w:r>
      <w:bookmarkEnd w:id="1"/>
      <w:r/>
      <w:bookmarkEnd w:id="2"/>
      <w:r/>
      <w:bookmarkEnd w:id="3"/>
      <w:r/>
      <w:bookmarkEnd w:id="4"/>
      <w:r/>
      <w:bookmarkEnd w:id="5"/>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JSZC-321300-SQCY-G2026-0002</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End w:id="6"/>
      <w:r>
        <w:rPr>
          <w:rFonts w:hint="eastAsia" w:ascii="宋体" w:hAnsi="宋体" w:eastAsia="宋体" w:cs="宋体"/>
          <w:color w:val="auto"/>
          <w:sz w:val="24"/>
          <w:szCs w:val="24"/>
          <w:highlight w:val="none"/>
          <w:lang w:eastAsia="zh-CN"/>
        </w:rPr>
        <w:t xml:space="preserve">宿迁市2026年（省体育局资助）全民健身器材采购项目</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bookmarkStart w:id="7" w:name="EB5d3d0ac51d7b4c0abb3797d4d4297cdd"/>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个分包项目总预算为</w:t>
      </w:r>
      <w:r>
        <w:rPr>
          <w:rFonts w:hint="eastAsia" w:ascii="宋体" w:hAnsi="宋体" w:eastAsia="宋体" w:cs="宋体"/>
          <w:color w:val="auto"/>
          <w:sz w:val="24"/>
          <w:szCs w:val="24"/>
          <w:highlight w:val="none"/>
          <w:lang w:val="en-US" w:eastAsia="zh-CN"/>
        </w:rPr>
        <w:t xml:space="preserve">353.8万元</w:t>
      </w:r>
      <w:r>
        <w:rPr>
          <w:rFonts w:hint="eastAsia" w:ascii="宋体" w:hAnsi="宋体" w:eastAsia="宋体" w:cs="宋体"/>
          <w:color w:val="auto"/>
          <w:sz w:val="24"/>
          <w:szCs w:val="24"/>
          <w:highlight w:val="none"/>
        </w:rPr>
        <w:t xml:space="preserve">，分包一预算为196.8万元，分包二预算为</w:t>
      </w: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rPr>
        <w:t xml:space="preserve">万元，分包三预算为</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分包</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预算为</w:t>
      </w:r>
      <w:r>
        <w:rPr>
          <w:rFonts w:hint="eastAsia" w:ascii="宋体" w:hAnsi="宋体" w:eastAsia="宋体" w:cs="宋体"/>
          <w:color w:val="auto"/>
          <w:sz w:val="24"/>
          <w:szCs w:val="24"/>
          <w:highlight w:val="none"/>
          <w:lang w:val="en-US" w:eastAsia="zh-CN"/>
        </w:rPr>
        <w:t xml:space="preserve">59</w:t>
      </w:r>
      <w:r>
        <w:rPr>
          <w:rFonts w:hint="eastAsia" w:ascii="宋体" w:hAnsi="宋体" w:eastAsia="宋体" w:cs="宋体"/>
          <w:color w:val="auto"/>
          <w:sz w:val="24"/>
          <w:szCs w:val="24"/>
          <w:highlight w:val="none"/>
        </w:rPr>
        <w:t xml:space="preserve">万元。</w:t>
      </w:r>
      <w:bookmarkEnd w:id="7"/>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4.本项目</w:t>
      </w:r>
      <w:r>
        <w:rPr>
          <w:rFonts w:hint="eastAsia" w:ascii="宋体" w:hAnsi="宋体" w:eastAsia="宋体" w:cs="宋体"/>
          <w:color w:val="auto"/>
          <w:sz w:val="24"/>
          <w:szCs w:val="24"/>
          <w:highlight w:val="none"/>
          <w:u w:val="none"/>
        </w:rPr>
        <w:t xml:space="preserve">设定</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分包一最高限价为196.8万元，分包二最高限价为39万元，分包三最高限价为59万元，分包四最高限价为59万元。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5.采购需求（简介）：本项目共分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个分包：</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分包一：采购一代户外健身路径80套，本分包核心产品为一代户外健身路径，预算为196.8万元。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分包二：采购室外地埋式篮球架50套，本分包核心产品为室外地埋式篮球架，预算为39万元。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分包三：采购室外乒乓球桌200张，本分包核心产品为室外乒乓球桌，预算为59万元。</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分包四：采购室外灯光篮球场2片，本分包核心产品为室外灯光篮球场，预算为59万元。</w:t>
      </w:r>
      <w:r/>
    </w:p>
    <w:p>
      <w:pPr>
        <w:ind w:firstLine="480"/>
        <w:pageBreakBefore w:val="0"/>
        <w:spacing w:line="400" w:lineRule="exact"/>
        <w:shd w:val="clear" w:color="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详细内容见本招标文件第四章</w:t>
      </w:r>
      <w:r>
        <w:rPr>
          <w:rFonts w:hint="eastAsia" w:ascii="宋体" w:hAnsi="宋体" w:eastAsia="宋体" w:cs="宋体"/>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eastAsia="宋体" w:cs="宋体"/>
          <w:color w:val="auto"/>
          <w:sz w:val="24"/>
          <w:szCs w:val="24"/>
          <w:highlight w:val="none"/>
          <w:lang w:eastAsia="zh-CN"/>
        </w:rPr>
        <w:t xml:space="preserve">：</w:t>
      </w:r>
      <w:bookmarkStart w:id="8" w:name="EBb920db3eebc44049b2d27a5203bb6f6d"/>
      <w:r>
        <w:rPr>
          <w:rFonts w:hint="eastAsia" w:ascii="宋体" w:hAnsi="宋体" w:eastAsia="宋体" w:cs="宋体"/>
          <w:color w:val="auto"/>
          <w:sz w:val="24"/>
          <w:szCs w:val="24"/>
          <w:highlight w:val="none"/>
          <w:lang w:eastAsia="zh-CN"/>
        </w:rPr>
        <w:t xml:space="preserve">30个日历天。</w:t>
      </w:r>
      <w:bookmarkEnd w:id="8"/>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none"/>
        </w:rPr>
        <w:t xml:space="preserve">不接受</w:t>
      </w:r>
      <w:r>
        <w:rPr>
          <w:rFonts w:hint="eastAsia" w:ascii="宋体" w:hAnsi="宋体" w:eastAsia="宋体" w:cs="宋体"/>
          <w:color w:val="auto"/>
          <w:sz w:val="24"/>
          <w:szCs w:val="24"/>
          <w:highlight w:val="none"/>
        </w:rPr>
        <w:t xml:space="preserve">联合体投标</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9" w:name="_Toc38985264"/>
      <w:r/>
      <w:bookmarkStart w:id="10" w:name="_Toc28359003"/>
      <w:r/>
      <w:bookmarkStart w:id="11" w:name="_Toc28359080"/>
      <w:r/>
      <w:bookmarkStart w:id="12" w:name="_Toc35393622"/>
      <w:r/>
      <w:bookmarkStart w:id="13" w:name="_Toc35393791"/>
      <w:r>
        <w:rPr>
          <w:rFonts w:hint="eastAsia" w:ascii="宋体" w:hAnsi="宋体" w:eastAsia="宋体" w:cs="宋体"/>
          <w:b/>
          <w:bCs/>
          <w:color w:val="auto"/>
          <w:sz w:val="24"/>
          <w:szCs w:val="24"/>
          <w:highlight w:val="none"/>
        </w:rPr>
        <w:t xml:space="preserve">二、申请人的资格要求：</w:t>
      </w:r>
      <w:bookmarkEnd w:id="9"/>
      <w:r/>
      <w:bookmarkEnd w:id="10"/>
      <w:r/>
      <w:bookmarkEnd w:id="11"/>
      <w:r/>
      <w:bookmarkEnd w:id="12"/>
      <w:r/>
      <w:bookmarkEnd w:id="13"/>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14" w:name="_Toc28359004"/>
      <w:r/>
      <w:bookmarkStart w:id="15" w:name="_Toc35393792"/>
      <w:r/>
      <w:bookmarkStart w:id="16" w:name="_Toc28359081"/>
      <w:r/>
      <w:bookmarkStart w:id="17" w:name="_Toc38985265"/>
      <w:r/>
      <w:bookmarkStart w:id="18" w:name="_Toc35393623"/>
      <w:r>
        <w:rPr>
          <w:rFonts w:hint="eastAsia" w:ascii="宋体" w:hAnsi="宋体" w:eastAsia="宋体" w:cs="宋体"/>
          <w:color w:val="auto"/>
          <w:sz w:val="24"/>
          <w:szCs w:val="24"/>
          <w:highlight w:val="none"/>
        </w:rPr>
        <w:t xml:space="preserve">（一）通用资格要求</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3.落实政府采购政策需满足的资格要求：本项目为专门面向中小企业采购的项目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shd w:val="clear" w:color="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（二）本项目的特定资格要求：无。</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14"/>
      <w:r/>
      <w:bookmarkEnd w:id="15"/>
      <w:r/>
      <w:bookmarkEnd w:id="16"/>
      <w:r/>
      <w:bookmarkEnd w:id="17"/>
      <w:r/>
      <w:bookmarkEnd w:id="18"/>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19" w:name="_Toc28359082"/>
      <w:r/>
      <w:bookmarkStart w:id="20" w:name="_Toc28359005"/>
      <w:r/>
      <w:bookmarkStart w:id="21" w:name="_Toc35393793"/>
      <w:r/>
      <w:bookmarkStart w:id="22" w:name="_Toc38985266"/>
      <w:r/>
      <w:bookmarkStart w:id="23" w:name="_Toc35393624"/>
      <w:r>
        <w:rPr>
          <w:rFonts w:hint="eastAsia" w:ascii="宋体" w:hAnsi="宋体" w:eastAsia="宋体" w:cs="宋体"/>
          <w:color w:val="auto"/>
          <w:sz w:val="24"/>
          <w:szCs w:val="24"/>
          <w:highlight w:val="none"/>
        </w:rPr>
        <w:t xml:space="preserve">1.获取招标文件时间：</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文件公告发布之日起5个工作日</w:t>
      </w:r>
      <w:r>
        <w:rPr>
          <w:rFonts w:hint="eastAsia" w:ascii="宋体" w:hAnsi="宋体" w:eastAsia="宋体" w:cs="宋体"/>
          <w:color w:val="000000"/>
          <w:sz w:val="24"/>
          <w:szCs w:val="24"/>
          <w:highlight w:val="none"/>
          <w:lang w:eastAsia="zh-CN"/>
        </w:rPr>
        <w:t xml:space="preserve">。</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24" w:name="EB0c44ff4da61f4af989d119fe214be450"/>
      <w:r>
        <w:rPr>
          <w:rFonts w:hint="eastAsia" w:ascii="宋体" w:hAnsi="宋体" w:eastAsia="宋体" w:cs="宋体"/>
          <w:color w:val="auto"/>
          <w:sz w:val="24"/>
          <w:szCs w:val="24"/>
          <w:highlight w:val="none"/>
        </w:rPr>
        <w:t xml:space="preserve">3.本项目共分</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个包。投标人未按要求获取招标文件导致无法投标的，后果自负（其投标文件不予接受）。</w:t>
      </w:r>
      <w:bookmarkEnd w:id="24"/>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w:t>
      </w:r>
      <w:bookmarkEnd w:id="19"/>
      <w:r/>
      <w:bookmarkEnd w:id="20"/>
      <w:r>
        <w:rPr>
          <w:rFonts w:hint="eastAsia" w:ascii="宋体" w:hAnsi="宋体" w:eastAsia="宋体" w:cs="宋体"/>
          <w:b/>
          <w:bCs/>
          <w:color w:val="auto"/>
          <w:sz w:val="24"/>
          <w:szCs w:val="24"/>
          <w:highlight w:val="none"/>
        </w:rPr>
        <w:t xml:space="preserve">截止时间、开标时间和地点</w:t>
      </w:r>
      <w:bookmarkEnd w:id="21"/>
      <w:r/>
      <w:bookmarkEnd w:id="22"/>
      <w:r/>
      <w:bookmarkEnd w:id="23"/>
      <w:r/>
      <w:r/>
    </w:p>
    <w:p>
      <w:pPr>
        <w:ind w:firstLine="480"/>
        <w:pageBreakBefore w:val="0"/>
        <w:spacing w:line="400" w:lineRule="exact"/>
        <w:shd w:val="clear" w:color="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提交投标文件截止时间、开标时间：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rPr>
          <w:rFonts w:hint="eastAsia" w:ascii="宋体" w:hAnsi="宋体" w:eastAsia="宋体" w:cs="宋体"/>
          <w:bCs/>
          <w:color w:val="auto"/>
          <w:sz w:val="24"/>
          <w:szCs w:val="24"/>
          <w:highlight w:val="none"/>
        </w:rPr>
        <w:t xml:space="preserve">（北京时间）</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bookmarkStart w:id="25" w:name="_Toc28359084"/>
      <w:r/>
      <w:bookmarkStart w:id="26" w:name="_Toc38985267"/>
      <w:r/>
      <w:bookmarkStart w:id="27" w:name="_Toc28359007"/>
      <w:r/>
      <w:bookmarkStart w:id="28" w:name="_Toc35393625"/>
      <w:r/>
      <w:bookmarkStart w:id="29" w:name="_Toc35393794"/>
      <w:r>
        <w:rPr>
          <w:rFonts w:hint="eastAsia" w:ascii="宋体" w:hAnsi="宋体" w:eastAsia="宋体" w:cs="宋体"/>
          <w:b/>
          <w:bCs/>
          <w:color w:val="auto"/>
          <w:sz w:val="24"/>
          <w:szCs w:val="24"/>
          <w:highlight w:val="none"/>
        </w:rPr>
        <w:t xml:space="preserve">五、公告期限</w:t>
      </w:r>
      <w:bookmarkEnd w:id="25"/>
      <w:r/>
      <w:bookmarkEnd w:id="26"/>
      <w:r/>
      <w:bookmarkEnd w:id="27"/>
      <w:r/>
      <w:bookmarkEnd w:id="28"/>
      <w:r/>
      <w:bookmarkEnd w:id="29"/>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bookmarkStart w:id="30" w:name="_Toc35393626"/>
      <w:r/>
      <w:bookmarkStart w:id="31" w:name="_Toc38985268"/>
      <w:r/>
      <w:bookmarkStart w:id="32" w:name="_Toc35393795"/>
      <w:r>
        <w:rPr>
          <w:rFonts w:hint="eastAsia" w:ascii="宋体" w:hAnsi="宋体" w:eastAsia="宋体" w:cs="宋体"/>
          <w:color w:val="auto"/>
          <w:sz w:val="24"/>
          <w:szCs w:val="24"/>
          <w:highlight w:val="none"/>
        </w:rPr>
        <w:t xml:space="preserve">招标公告及招标文件公告期限为自本公告发布之日起5个工作日。</w:t>
      </w:r>
      <w:r>
        <w:rPr>
          <w:rFonts w:hint="eastAsia" w:ascii="宋体" w:hAnsi="宋体" w:eastAsia="宋体" w:cs="宋体"/>
          <w:bCs/>
          <w:color w:val="auto"/>
          <w:sz w:val="24"/>
          <w:szCs w:val="24"/>
          <w:highlight w:val="none"/>
        </w:rPr>
        <w:t xml:space="preserve">招标公告发布媒体：宿迁市政府采购网、宿迁市公共资源交易平台、江苏省财政部门指定的媒体。</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bookmarkEnd w:id="30"/>
      <w:r/>
      <w:bookmarkEnd w:id="31"/>
      <w:r/>
      <w:bookmarkEnd w:id="32"/>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bookmarkStart w:id="33" w:name="_Toc28359085"/>
      <w:r/>
      <w:bookmarkStart w:id="34" w:name="_Toc28359008"/>
      <w:r/>
      <w:bookmarkStart w:id="35" w:name="_Toc38985269"/>
      <w:r/>
      <w:bookmarkStart w:id="36" w:name="_Toc35393796"/>
      <w:r/>
      <w:bookmarkStart w:id="37" w:name="_Toc35393627"/>
      <w:r>
        <w:rPr>
          <w:rFonts w:hint="eastAsia" w:ascii="宋体" w:hAnsi="宋体" w:eastAsia="宋体" w:cs="宋体"/>
          <w:b w:val="0"/>
          <w:bCs w:val="0"/>
          <w:color w:val="auto"/>
          <w:sz w:val="24"/>
          <w:szCs w:val="24"/>
          <w:highlight w:val="none"/>
        </w:rPr>
        <w:t xml:space="preserve">1.财政部门监督电话：0527-8</w:t>
      </w:r>
      <w:r>
        <w:rPr>
          <w:rFonts w:hint="eastAsia" w:ascii="宋体" w:hAnsi="宋体" w:eastAsia="宋体" w:cs="宋体"/>
          <w:b w:val="0"/>
          <w:bCs w:val="0"/>
          <w:color w:val="auto"/>
          <w:sz w:val="24"/>
          <w:szCs w:val="24"/>
          <w:highlight w:val="none"/>
          <w:lang w:val="en-US" w:eastAsia="zh-CN"/>
        </w:rPr>
        <w:t xml:space="preserve">4363063</w:t>
      </w:r>
      <w:r>
        <w:rPr>
          <w:rFonts w:hint="eastAsia" w:ascii="宋体" w:hAnsi="宋体" w:eastAsia="宋体" w:cs="宋体"/>
          <w:b w:val="0"/>
          <w:bCs w:val="0"/>
          <w:color w:val="auto"/>
          <w:sz w:val="24"/>
          <w:szCs w:val="24"/>
          <w:highlight w:val="none"/>
        </w:rPr>
        <w:t xml:space="preserve">。</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“CA”数字证书办理：“苏采云”系统目前仅支持“苏采云”系统下的意源CA。省内各地区办理的“苏采云”系统下的意源CA全省通用。宿迁地区CA数字证书办理联系方式：18351098172。</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3.宿迁地区“苏采云”系统技术支持客服电话：0527-84225125、0519-86722806。</w:t>
      </w:r>
      <w:r/>
    </w:p>
    <w:p>
      <w:pPr>
        <w:pStyle w:val="808"/>
        <w:ind w:firstLine="465"/>
        <w:pageBreakBefore w:val="0"/>
        <w:spacing w:before="0" w:after="0" w:line="400" w:lineRule="exact"/>
        <w:shd w:val="clear" w:color="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4.现场勘察及答疑：本项目不组织集中勘察及答疑，供应商如对采购需求有疑问，请咨询采购单位联系人。</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七、本次招标联系方式</w:t>
      </w:r>
      <w:bookmarkEnd w:id="33"/>
      <w:r/>
      <w:bookmarkEnd w:id="34"/>
      <w:r/>
      <w:bookmarkEnd w:id="35"/>
      <w:r/>
      <w:bookmarkEnd w:id="36"/>
      <w:r/>
      <w:bookmarkEnd w:id="37"/>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38" w:name="_Toc28359086"/>
      <w:r/>
      <w:bookmarkStart w:id="39" w:name="_Toc28359009"/>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宿迁市体育局</w:t>
      </w:r>
      <w:bookmarkStart w:id="231" w:name="_GoBack"/>
      <w:r/>
      <w:bookmarkEnd w:id="231"/>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宿迁市宿城区世纪大道92号宿迁市全民健身中心6层</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高洋</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0527-84353970</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38"/>
      <w:r/>
      <w:bookmarkEnd w:id="39"/>
      <w:r>
        <w:rPr>
          <w:rFonts w:hint="eastAsia" w:ascii="宋体" w:hAnsi="宋体" w:eastAsia="宋体" w:cs="宋体"/>
          <w:color w:val="auto"/>
          <w:sz w:val="24"/>
          <w:szCs w:val="24"/>
          <w:highlight w:val="none"/>
        </w:rPr>
        <w:t xml:space="preserve">采购代理机构信息</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bookmarkStart w:id="40" w:name="_Toc28359087"/>
      <w:r/>
      <w:bookmarkStart w:id="41" w:name="_Toc28359010"/>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宿迁市楚韵项目管理有限公司</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沈晨</w:t>
      </w:r>
      <w:r/>
    </w:p>
    <w:p>
      <w:pPr>
        <w:ind w:firstLine="480"/>
        <w:pageBreakBefore w:val="0"/>
        <w:spacing w:line="400" w:lineRule="exact"/>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联系方式：</w:t>
      </w:r>
      <w:bookmarkEnd w:id="40"/>
      <w:r/>
      <w:bookmarkEnd w:id="41"/>
      <w:r>
        <w:rPr>
          <w:rFonts w:hint="eastAsia" w:ascii="宋体" w:hAnsi="宋体" w:eastAsia="宋体" w:cs="宋体"/>
          <w:color w:val="auto"/>
          <w:sz w:val="24"/>
          <w:szCs w:val="24"/>
          <w:highlight w:val="none"/>
          <w:lang w:eastAsia="zh-CN"/>
        </w:rPr>
        <w:t xml:space="preserve">19305243020</w:t>
      </w:r>
      <w:r/>
    </w:p>
    <w:p>
      <w:pPr>
        <w:pStyle w:val="808"/>
        <w:ind w:firstLine="465"/>
        <w:pageBreakBefore w:val="0"/>
        <w:spacing w:before="0" w:after="0"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八、其他</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有关本次招标的事项若存在变动或修改，敬请及时关注“宿迁市政府采购网”等平台更正公告。</w:t>
      </w:r>
      <w:r/>
    </w:p>
    <w:p>
      <w:pPr>
        <w:ind w:firstLine="480"/>
        <w:pageBreakBefore w:val="0"/>
        <w:spacing w:line="400" w:lineRule="exact"/>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本次招标不收取投标保证金。</w:t>
      </w:r>
      <w:r/>
    </w:p>
    <w:p>
      <w:pPr>
        <w:pageBreakBefore w:val="0"/>
        <w:spacing w:line="400" w:lineRule="exact"/>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806"/>
        <w:jc w:val="center"/>
        <w:shd w:val="clear" w:color="auto"/>
        <w:rPr>
          <w:rFonts w:hint="eastAsia" w:ascii="宋体" w:hAnsi="宋体" w:eastAsia="宋体" w:cs="宋体"/>
          <w:b/>
          <w:bCs/>
          <w:color w:val="auto"/>
          <w:highlight w:val="none"/>
        </w:rPr>
      </w:pPr>
      <w:r/>
      <w:bookmarkStart w:id="42" w:name="_Toc6971"/>
      <w:r>
        <w:rPr>
          <w:rFonts w:hint="eastAsia" w:ascii="宋体" w:hAnsi="宋体" w:eastAsia="宋体" w:cs="宋体"/>
          <w:b/>
          <w:bCs/>
          <w:color w:val="auto"/>
          <w:sz w:val="44"/>
          <w:szCs w:val="44"/>
          <w:highlight w:val="none"/>
        </w:rPr>
        <w:t xml:space="preserve">第二章  </w:t>
      </w:r>
      <w:bookmarkStart w:id="43" w:name="_Toc513029202"/>
      <w:r/>
      <w:bookmarkStart w:id="44" w:name="_Toc120614213"/>
      <w:r/>
      <w:bookmarkStart w:id="45" w:name="_Toc20823274"/>
      <w:r/>
      <w:bookmarkStart w:id="46" w:name="_Toc16938518"/>
      <w:r>
        <w:rPr>
          <w:rFonts w:hint="eastAsia" w:ascii="宋体" w:hAnsi="宋体" w:eastAsia="宋体" w:cs="宋体"/>
          <w:b/>
          <w:bCs/>
          <w:color w:val="auto"/>
          <w:sz w:val="44"/>
          <w:szCs w:val="44"/>
          <w:highlight w:val="none"/>
        </w:rPr>
        <w:t xml:space="preserve">投标人须知</w:t>
      </w:r>
      <w:bookmarkEnd w:id="42"/>
      <w:r/>
      <w:bookmarkEnd w:id="43"/>
      <w:r/>
      <w:bookmarkEnd w:id="44"/>
      <w:r/>
      <w:bookmarkEnd w:id="45"/>
      <w:r/>
      <w:bookmarkEnd w:id="46"/>
      <w:r/>
      <w:r/>
    </w:p>
    <w:tbl>
      <w:tblPr>
        <w:tblStyle w:val="816"/>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rPr>
                <w:rFonts w:hint="eastAsia" w:ascii="宋体" w:hAnsi="宋体" w:eastAsia="宋体" w:cs="宋体"/>
                <w:b/>
                <w:sz w:val="24"/>
                <w:szCs w:val="24"/>
              </w:rPr>
            </w:pPr>
            <w:r/>
            <w:bookmarkStart w:id="47" w:name="_Toc16938519"/>
            <w:r/>
            <w:bookmarkStart w:id="48" w:name="_Toc20823275"/>
            <w:r/>
            <w:bookmarkStart w:id="49" w:name="_Toc120614214"/>
            <w:r/>
            <w:bookmarkStart w:id="50" w:name="_Toc513029203"/>
            <w:r>
              <w:rPr>
                <w:rFonts w:hint="eastAsia" w:ascii="宋体" w:hAnsi="宋体" w:eastAsia="宋体" w:cs="宋体"/>
                <w:b/>
                <w:bCs/>
                <w:color w:val="auto"/>
                <w:sz w:val="24"/>
                <w:szCs w:val="24"/>
                <w:highlight w:val="none"/>
              </w:rPr>
              <w:br w:type="page" w:clear="all"/>
            </w:r>
            <w:bookmarkStart w:id="51" w:name="_Toc81575154"/>
            <w:r/>
            <w:bookmarkStart w:id="52" w:name="_Toc29262"/>
            <w:r/>
            <w:bookmarkStart w:id="53" w:name="_Toc81575191"/>
            <w:r>
              <w:rPr>
                <w:rFonts w:hint="eastAsia" w:ascii="宋体" w:hAnsi="宋体" w:eastAsia="宋体" w:cs="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本项目</w:t>
            </w:r>
            <w:bookmarkStart w:id="54" w:name="EB9a5853ee094f4f0ea6ec3169265f6f2c"/>
            <w:r>
              <w:rPr>
                <w:rFonts w:hint="eastAsia" w:ascii="宋体" w:hAnsi="宋体" w:eastAsia="宋体" w:cs="宋体"/>
                <w:sz w:val="24"/>
                <w:szCs w:val="24"/>
              </w:rPr>
              <w:t xml:space="preserve">属性按以下第</w:t>
            </w:r>
            <w:bookmarkEnd w:id="54"/>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w:t>
            </w:r>
            <w:bookmarkStart w:id="55" w:name="EBd5c6c026f9674c39b21b31ecd0c1e7fa"/>
            <w:r>
              <w:rPr>
                <w:rFonts w:hint="eastAsia" w:ascii="宋体" w:hAnsi="宋体" w:eastAsia="宋体" w:cs="宋体"/>
                <w:sz w:val="24"/>
                <w:szCs w:val="24"/>
              </w:rPr>
              <w:t xml:space="preserve">采购；2.</w:t>
            </w:r>
            <w:bookmarkEnd w:id="55"/>
            <w:r>
              <w:rPr>
                <w:rFonts w:hint="eastAsia" w:ascii="宋体" w:hAnsi="宋体" w:eastAsia="宋体" w:cs="宋体"/>
                <w:sz w:val="24"/>
                <w:szCs w:val="24"/>
              </w:rPr>
              <w:t xml:space="preserve">服务</w:t>
            </w:r>
            <w:bookmarkStart w:id="56" w:name="EBf7d2a4f44ecb4166a93ea852e73be69f"/>
            <w:r>
              <w:rPr>
                <w:rFonts w:hint="eastAsia" w:ascii="宋体" w:hAnsi="宋体" w:eastAsia="宋体" w:cs="宋体"/>
                <w:sz w:val="24"/>
                <w:szCs w:val="24"/>
              </w:rPr>
              <w:t xml:space="preserve">采购；3.</w:t>
            </w:r>
            <w:bookmarkEnd w:id="56"/>
            <w:r>
              <w:rPr>
                <w:rFonts w:hint="eastAsia" w:ascii="宋体" w:hAnsi="宋体" w:eastAsia="宋体" w:cs="宋体"/>
                <w:sz w:val="24"/>
                <w:szCs w:val="24"/>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7" w:name="EBd40b5fb42f2944a3b45e579ce3941f02"/>
            <w:r/>
            <w:bookmarkEnd w:id="57"/>
            <w:r>
              <w:rPr>
                <w:rFonts w:hint="eastAsia" w:ascii="宋体" w:hAnsi="宋体" w:eastAsia="宋体" w:cs="宋体"/>
                <w:sz w:val="24"/>
                <w:szCs w:val="24"/>
                <w:u w:val="single"/>
              </w:rPr>
              <w:t xml:space="preserve">60</w:t>
            </w:r>
            <w:r>
              <w:rPr>
                <w:rFonts w:hint="eastAsia" w:ascii="宋体" w:hAnsi="宋体" w:eastAsia="宋体" w:cs="宋体"/>
                <w:sz w:val="24"/>
                <w:szCs w:val="24"/>
              </w:rPr>
              <w:t xml:space="preserve">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提交加密电子投标文件</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种方式确定：</w:t>
            </w:r>
            <w:r/>
          </w:p>
          <w:p>
            <w:pPr>
              <w:spacing w:line="360" w:lineRule="exact"/>
              <w:rPr>
                <w:rFonts w:hint="eastAsia" w:ascii="宋体" w:hAnsi="宋体" w:eastAsia="宋体" w:cs="宋体"/>
                <w:sz w:val="24"/>
                <w:szCs w:val="24"/>
              </w:rPr>
            </w:pPr>
            <w:r>
              <w:rPr>
                <w:rFonts w:hint="eastAsia" w:ascii="宋体" w:hAnsi="宋体" w:eastAsia="宋体" w:cs="宋体"/>
                <w:sz w:val="24"/>
                <w:szCs w:val="24"/>
              </w:rPr>
              <w:t xml:space="preserve">1.接受进口产品。</w:t>
            </w:r>
            <w:r>
              <w:rPr>
                <w:rFonts w:hint="eastAsia" w:ascii="宋体" w:hAnsi="宋体" w:eastAsia="宋体" w:cs="宋体"/>
                <w:sz w:val="24"/>
              </w:rPr>
              <w:t xml:space="preserve">应当符合《政府采购进口产品管理办法》（财库〔2007〕119号）、《关于政府采购进口产品管理有关问题的通知》（财办库〔2008〕248号）等相关规定</w:t>
            </w:r>
            <w:r>
              <w:rPr>
                <w:rFonts w:hint="eastAsia" w:ascii="宋体" w:hAnsi="宋体" w:eastAsia="宋体" w:cs="宋体"/>
                <w:sz w:val="24"/>
                <w:szCs w:val="24"/>
              </w:rPr>
              <w:t xml:space="preserve">；</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具体评标办法详见招标文件第</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评标委员会依据招标文件规定的评标办法和标准推荐</w:t>
            </w:r>
            <w:r>
              <w:rPr>
                <w:rFonts w:hint="eastAsia" w:ascii="宋体" w:hAnsi="宋体" w:eastAsia="宋体" w:cs="宋体"/>
                <w:sz w:val="24"/>
                <w:szCs w:val="24"/>
                <w:u w:val="single"/>
                <w:lang w:val="en-US" w:eastAsia="zh-CN"/>
              </w:rPr>
              <w:t xml:space="preserve">3</w:t>
            </w:r>
            <w:r>
              <w:rPr>
                <w:rFonts w:hint="eastAsia" w:ascii="宋体" w:hAnsi="宋体" w:eastAsia="宋体" w:cs="宋体"/>
                <w:sz w:val="24"/>
                <w:szCs w:val="24"/>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采购人按规定在评标委员会推荐的中标候选人中确定中标人。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400" w:lineRule="exact"/>
              <w:rPr>
                <w:rFonts w:hint="eastAsia" w:ascii="宋体" w:hAnsi="宋体" w:eastAsia="宋体" w:cs="宋体"/>
                <w:sz w:val="24"/>
                <w:szCs w:val="24"/>
              </w:rPr>
            </w:pPr>
            <w:r/>
            <w:bookmarkStart w:id="58" w:name="EBebac1462c5d9459fbda8a75065c2455d"/>
            <w:r>
              <w:rPr>
                <w:rFonts w:hint="eastAsia" w:ascii="宋体" w:hAnsi="宋体" w:eastAsia="宋体" w:cs="宋体"/>
                <w:sz w:val="24"/>
                <w:szCs w:val="24"/>
              </w:rPr>
              <w:t xml:space="preserve">本项目的非主体、非关键性工作是否允许分包</w:t>
            </w:r>
            <w:bookmarkEnd w:id="58"/>
            <w:r>
              <w:rPr>
                <w:rFonts w:hint="eastAsia" w:ascii="宋体" w:hAnsi="宋体" w:eastAsia="宋体" w:cs="宋体"/>
                <w:sz w:val="24"/>
                <w:szCs w:val="24"/>
              </w:rPr>
              <w:t xml:space="preserve">按以下第</w:t>
            </w:r>
            <w:r>
              <w:rPr>
                <w:rFonts w:hint="eastAsia" w:ascii="宋体" w:hAnsi="宋体" w:eastAsia="宋体" w:cs="宋体"/>
                <w:sz w:val="24"/>
                <w:szCs w:val="24"/>
                <w:u w:val="single"/>
              </w:rPr>
              <w:t xml:space="preserve">  2  </w:t>
            </w:r>
            <w:r>
              <w:rPr>
                <w:rFonts w:hint="eastAsia" w:ascii="宋体" w:hAnsi="宋体" w:eastAsia="宋体" w:cs="宋体"/>
                <w:sz w:val="24"/>
                <w:szCs w:val="24"/>
              </w:rPr>
              <w:t xml:space="preserve">种方式确定：</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1.允许分包，</w:t>
            </w:r>
            <w:bookmarkStart w:id="59" w:name="EB512ba06683724173802e2aae54a26079"/>
            <w:r>
              <w:rPr>
                <w:rFonts w:hint="eastAsia" w:ascii="宋体" w:hAnsi="宋体" w:eastAsia="宋体" w:cs="宋体"/>
                <w:sz w:val="24"/>
                <w:szCs w:val="24"/>
              </w:rPr>
              <w:t xml:space="preserve">允许大中型企业向一家或者多家小微企业分包，分包具体内容、金额或比例：</w:t>
            </w:r>
            <w:bookmarkEnd w:id="59"/>
            <w:r>
              <w:rPr>
                <w:rFonts w:hint="eastAsia" w:ascii="宋体" w:hAnsi="宋体" w:eastAsia="宋体" w:cs="宋体"/>
                <w:sz w:val="24"/>
                <w:szCs w:val="24"/>
              </w:rPr>
              <w:t xml:space="preserve">无</w:t>
            </w:r>
            <w:r/>
          </w:p>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其他</w:t>
            </w:r>
            <w:bookmarkEnd w:id="51"/>
            <w:r/>
            <w:bookmarkEnd w:id="52"/>
            <w:r/>
            <w:bookmarkEnd w:id="53"/>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08"/>
        <w:ind w:firstLine="465"/>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bookmarkEnd w:id="47"/>
      <w:r/>
      <w:bookmarkEnd w:id="48"/>
      <w:r/>
      <w:bookmarkEnd w:id="49"/>
      <w:r/>
      <w:bookmarkEnd w:id="50"/>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0" w:name="_Hlt16619475"/>
      <w:r/>
      <w:bookmarkEnd w:id="60"/>
      <w:r/>
      <w:bookmarkStart w:id="61" w:name="_Toc458694821"/>
      <w:r/>
      <w:bookmarkStart w:id="62" w:name="_Toc20823276"/>
      <w:r/>
      <w:bookmarkStart w:id="63" w:name="_Toc16938520"/>
      <w:r/>
      <w:bookmarkStart w:id="64" w:name="_Toc513029204"/>
      <w:r>
        <w:rPr>
          <w:rFonts w:hint="eastAsia" w:ascii="宋体" w:hAnsi="宋体" w:eastAsia="宋体" w:cs="宋体"/>
          <w:b w:val="0"/>
          <w:bCs w:val="0"/>
          <w:color w:val="auto"/>
          <w:sz w:val="24"/>
          <w:szCs w:val="24"/>
          <w:highlight w:val="none"/>
          <w:lang w:eastAsia="zh-CN"/>
        </w:rPr>
        <w:t xml:space="preserve">1.</w:t>
      </w:r>
      <w:bookmarkEnd w:id="61"/>
      <w:r>
        <w:rPr>
          <w:rFonts w:hint="eastAsia" w:ascii="宋体" w:hAnsi="宋体" w:eastAsia="宋体" w:cs="宋体"/>
          <w:b w:val="0"/>
          <w:bCs w:val="0"/>
          <w:color w:val="auto"/>
          <w:sz w:val="24"/>
          <w:szCs w:val="24"/>
          <w:highlight w:val="none"/>
        </w:rPr>
        <w:t xml:space="preserve">招标方式</w:t>
      </w:r>
      <w:bookmarkEnd w:id="62"/>
      <w:r/>
      <w:bookmarkEnd w:id="63"/>
      <w:r/>
      <w:bookmarkEnd w:id="6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5" w:name="_Toc513029205"/>
      <w:r/>
      <w:bookmarkStart w:id="66" w:name="_Toc16938521"/>
      <w:r/>
      <w:bookmarkStart w:id="67" w:name="_Toc20823277"/>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rPr>
        <w:t xml:space="preserve">合格的投标人</w:t>
      </w:r>
      <w:bookmarkEnd w:id="65"/>
      <w:r/>
      <w:bookmarkEnd w:id="66"/>
      <w:r/>
      <w:bookmarkEnd w:id="67"/>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68" w:name="_Toc20823278"/>
      <w:r/>
      <w:bookmarkStart w:id="69" w:name="_Toc16938522"/>
      <w:r/>
      <w:bookmarkStart w:id="70" w:name="_Toc513029206"/>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rPr>
        <w:t xml:space="preserve">适用法律</w:t>
      </w:r>
      <w:bookmarkEnd w:id="68"/>
      <w:r/>
      <w:bookmarkEnd w:id="69"/>
      <w:r/>
      <w:bookmarkEnd w:id="7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1" w:name="_Toc513029207"/>
      <w:r/>
      <w:bookmarkStart w:id="72" w:name="_Toc20823279"/>
      <w:r/>
      <w:bookmarkStart w:id="73" w:name="_Toc462564067"/>
      <w:r/>
      <w:bookmarkStart w:id="74" w:name="_Toc16938523"/>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rPr>
        <w:t xml:space="preserve">投标费用</w:t>
      </w:r>
      <w:bookmarkEnd w:id="71"/>
      <w:r/>
      <w:bookmarkEnd w:id="72"/>
      <w:r/>
      <w:bookmarkEnd w:id="73"/>
      <w:r/>
      <w:bookmarkEnd w:id="74"/>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4.2.2</w:t>
      </w:r>
      <w:r>
        <w:rPr>
          <w:rFonts w:hint="eastAsia" w:ascii="宋体" w:hAnsi="宋体" w:eastAsia="宋体" w:cs="宋体"/>
          <w:color w:val="auto"/>
          <w:sz w:val="24"/>
          <w:szCs w:val="24"/>
          <w:highlight w:val="none"/>
        </w:rPr>
        <w:t xml:space="preserve">种方式执行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4.2.1无需支付；</w:t>
      </w:r>
      <w:r/>
    </w:p>
    <w:p>
      <w:pPr>
        <w:pStyle w:val="993"/>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sz w:val="24"/>
          <w:szCs w:val="21"/>
          <w:highlight w:val="none"/>
          <w:lang w:val="zh-CN"/>
        </w:rPr>
        <w:t xml:space="preserve">采购人支付，具体方式及标准为：</w:t>
      </w:r>
      <w:r>
        <w:rPr>
          <w:rFonts w:hint="eastAsia" w:ascii="Times New Roman" w:hAnsi="Times New Roman" w:eastAsia="宋体" w:cs="Times New Roman"/>
          <w:caps w:val="0"/>
          <w:color w:val="auto"/>
          <w:sz w:val="24"/>
          <w:szCs w:val="21"/>
          <w:highlight w:val="none"/>
          <w:u w:val="single"/>
          <w:lang w:val="zh-CN"/>
        </w:rPr>
        <w:t xml:space="preserve">根据中标金额参考发改办价格[2003]857号文规定标准向代理单位交纳代理服务费，建议推行数字人民币支付，由采购人支付</w:t>
      </w:r>
      <w:r>
        <w:rPr>
          <w:rFonts w:hint="eastAsia" w:ascii="Times New Roman" w:hAnsi="Times New Roman" w:eastAsia="宋体" w:cs="Times New Roman"/>
          <w:caps w:val="0"/>
          <w:color w:val="auto"/>
          <w:sz w:val="24"/>
          <w:szCs w:val="21"/>
          <w:highlight w:val="none"/>
          <w:u w:val="single"/>
          <w:lang w:val="en-US" w:eastAsia="zh-CN"/>
        </w:rPr>
        <w:t xml:space="preserve">。</w:t>
      </w:r>
      <w:r/>
    </w:p>
    <w:p>
      <w:pPr>
        <w:pStyle w:val="809"/>
        <w:ind w:firstLine="522"/>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rPr>
        <w:t xml:space="preserve">招标文件的约束力</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808"/>
        <w:ind w:firstLine="30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75" w:name="_Toc513029209"/>
      <w:r/>
      <w:bookmarkStart w:id="76" w:name="_Toc120614215"/>
      <w:r/>
      <w:bookmarkStart w:id="77" w:name="_Toc20823281"/>
      <w:r/>
      <w:bookmarkStart w:id="78" w:name="_Toc16938525"/>
      <w:r>
        <w:rPr>
          <w:rFonts w:hint="eastAsia" w:ascii="宋体" w:hAnsi="宋体" w:eastAsia="宋体" w:cs="宋体"/>
          <w:b/>
          <w:bCs/>
          <w:color w:val="auto"/>
          <w:sz w:val="24"/>
          <w:szCs w:val="24"/>
          <w:highlight w:val="none"/>
        </w:rPr>
        <w:t xml:space="preserve">二、招标文件</w:t>
      </w:r>
      <w:bookmarkEnd w:id="75"/>
      <w:r/>
      <w:bookmarkEnd w:id="76"/>
      <w:r/>
      <w:bookmarkEnd w:id="77"/>
      <w:r/>
      <w:bookmarkEnd w:id="78"/>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79" w:name="_Toc513029210"/>
      <w:r/>
      <w:bookmarkStart w:id="80" w:name="_Toc20823282"/>
      <w:r/>
      <w:bookmarkStart w:id="81" w:name="_Toc16938526"/>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rPr>
        <w:t xml:space="preserve">招标文件构成</w:t>
      </w:r>
      <w:bookmarkEnd w:id="79"/>
      <w:r/>
      <w:bookmarkEnd w:id="80"/>
      <w:r/>
      <w:bookmarkEnd w:id="81"/>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招标文件由以下部分组成：</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36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2" w:name="_Toc462564070"/>
      <w:r/>
      <w:bookmarkStart w:id="83" w:name="_Toc20823283"/>
      <w:r/>
      <w:bookmarkStart w:id="84" w:name="_Toc16938527"/>
      <w:r/>
      <w:bookmarkStart w:id="85" w:name="_Toc513029211"/>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rPr>
        <w:t xml:space="preserve">招标文件的澄清</w:t>
      </w:r>
      <w:bookmarkEnd w:id="82"/>
      <w:r/>
      <w:bookmarkEnd w:id="83"/>
      <w:r/>
      <w:bookmarkEnd w:id="84"/>
      <w:r/>
      <w:bookmarkEnd w:id="85"/>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前按招标公告中的通讯地址，以书面形式通知采购代理机构。</w:t>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86" w:name="_Toc20823284"/>
      <w:r/>
      <w:bookmarkStart w:id="87" w:name="_Toc16938528"/>
      <w:r/>
      <w:bookmarkStart w:id="88" w:name="_Toc513029212"/>
      <w:r/>
      <w:bookmarkStart w:id="89" w:name="_Toc462564071"/>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rPr>
        <w:t xml:space="preserve">招标文件的修改</w:t>
      </w:r>
      <w:bookmarkEnd w:id="86"/>
      <w:r/>
      <w:bookmarkEnd w:id="87"/>
      <w:r/>
      <w:bookmarkEnd w:id="88"/>
      <w:r/>
      <w:bookmarkEnd w:id="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8.2在投标截止时</w:t>
      </w:r>
      <w:r>
        <w:rPr>
          <w:rFonts w:hint="eastAsia" w:ascii="宋体" w:hAnsi="宋体" w:eastAsia="宋体" w:cs="宋体"/>
          <w:bCs/>
          <w:color w:val="auto"/>
          <w:sz w:val="24"/>
          <w:szCs w:val="24"/>
          <w:highlight w:val="none"/>
          <w:lang w:eastAsia="zh-CN"/>
        </w:rPr>
        <w:t xml:space="preserve">间之</w:t>
      </w:r>
      <w:r>
        <w:rPr>
          <w:rFonts w:hint="eastAsia" w:ascii="宋体" w:hAnsi="宋体" w:eastAsia="宋体" w:cs="宋体"/>
          <w:bCs/>
          <w:color w:val="auto"/>
          <w:sz w:val="24"/>
          <w:szCs w:val="24"/>
          <w:highlight w:val="none"/>
        </w:rPr>
        <w:t xml:space="preserve">前，采购代理机构可以对招标文件进行修改。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8.3采购代理机构有权按照法定的要求推迟投标截止日期和开标日期。</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8.4招标文件的修改将在原公告媒体上发布更正公告，补充文件将作为招标文件的组成部分，并对投标人具有约束力。</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808"/>
        <w:ind w:firstLine="45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90" w:name="_Toc20823285"/>
      <w:r/>
      <w:bookmarkStart w:id="91" w:name="_Toc462564072"/>
      <w:r/>
      <w:bookmarkStart w:id="92" w:name="_Toc16938529"/>
      <w:r/>
      <w:bookmarkStart w:id="93" w:name="_Toc513029213"/>
      <w:r/>
      <w:bookmarkStart w:id="94" w:name="_Toc120614216"/>
      <w:r>
        <w:rPr>
          <w:rFonts w:hint="eastAsia" w:ascii="宋体" w:hAnsi="宋体" w:eastAsia="宋体" w:cs="宋体"/>
          <w:b/>
          <w:bCs/>
          <w:color w:val="auto"/>
          <w:sz w:val="24"/>
          <w:szCs w:val="24"/>
          <w:highlight w:val="none"/>
        </w:rPr>
        <w:t xml:space="preserve">三、投标文件的编制</w:t>
      </w:r>
      <w:bookmarkEnd w:id="90"/>
      <w:r/>
      <w:bookmarkEnd w:id="91"/>
      <w:r/>
      <w:bookmarkEnd w:id="92"/>
      <w:r/>
      <w:bookmarkEnd w:id="93"/>
      <w:r/>
      <w:bookmarkEnd w:id="94"/>
      <w:r/>
      <w:r/>
    </w:p>
    <w:p>
      <w:pPr>
        <w:pStyle w:val="809"/>
        <w:ind w:firstLine="520"/>
        <w:keepLines w:val="0"/>
        <w:keepNext w:val="0"/>
        <w:pageBreakBefore w:val="0"/>
        <w:spacing w:before="0" w:after="0" w:line="400" w:lineRule="exact"/>
        <w:shd w:val="clear" w:color="auto"/>
        <w:widowControl w:val="off"/>
        <w:rPr>
          <w:rFonts w:hint="eastAsia" w:ascii="宋体" w:hAnsi="宋体" w:eastAsia="宋体" w:cs="宋体"/>
          <w:bCs w:val="0"/>
          <w:color w:val="auto"/>
          <w:sz w:val="24"/>
          <w:szCs w:val="24"/>
          <w:highlight w:val="none"/>
        </w:rPr>
      </w:pPr>
      <w:r/>
      <w:bookmarkStart w:id="95" w:name="_Toc462564073"/>
      <w:r/>
      <w:bookmarkStart w:id="96" w:name="_Toc16938530"/>
      <w:r/>
      <w:bookmarkStart w:id="97" w:name="_Toc513029214"/>
      <w:r/>
      <w:bookmarkStart w:id="98" w:name="_Toc20823286"/>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投标文件的语言及度量衡单位</w:t>
      </w:r>
      <w:bookmarkEnd w:id="95"/>
      <w:r/>
      <w:bookmarkEnd w:id="96"/>
      <w:r/>
      <w:bookmarkEnd w:id="97"/>
      <w:r/>
      <w:bookmarkEnd w:id="98"/>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除技术性能另有规定外，投标文件所使用的度量衡单位，均须采用国家法定计量单位。</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99" w:name="_Toc16938531"/>
      <w:r/>
      <w:bookmarkStart w:id="100" w:name="_Toc513029215"/>
      <w:r/>
      <w:bookmarkStart w:id="101" w:name="_Toc20823287"/>
      <w:r/>
      <w:bookmarkStart w:id="102" w:name="_Toc462564074"/>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rPr>
        <w:t xml:space="preserve">投标文件构成</w:t>
      </w:r>
      <w:bookmarkEnd w:id="99"/>
      <w:r/>
      <w:bookmarkEnd w:id="100"/>
      <w:r/>
      <w:bookmarkEnd w:id="101"/>
      <w:r/>
      <w:bookmarkEnd w:id="102"/>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各投标人在编制投标文件时请按照招标文件第六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10.2投标人编写的投标文件应包括资格证明文件、符合性证明文件、清单明细及报价表、响应及偏离表、其他证明文件、投标函、开标一览表等部分。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10.2如标书制作工具中格式和内容与“宿迁市政府采购网”发布的招标文件不一致，请以“宿迁市政府采购网”发布的招标文件为准。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10.6中标后按相关要求提供与电子投标文件一致的纸质打印投标文件4份。</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03" w:name="EBc50e2bb832bb43068403b10c1cce6141"/>
      <w:r>
        <w:rPr>
          <w:rFonts w:hint="eastAsia" w:ascii="宋体" w:hAnsi="宋体" w:eastAsia="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04" w:name="_Hlt26954838"/>
      <w:r/>
      <w:bookmarkEnd w:id="104"/>
      <w:r/>
      <w:bookmarkStart w:id="105" w:name="_Hlt26668975"/>
      <w:r/>
      <w:bookmarkEnd w:id="105"/>
      <w:r/>
      <w:bookmarkStart w:id="106" w:name="_Hlt26670360"/>
      <w:r/>
      <w:bookmarkEnd w:id="106"/>
      <w:r/>
      <w:bookmarkStart w:id="107" w:name="_Toc14577354"/>
      <w:r/>
      <w:bookmarkStart w:id="108" w:name="_Toc513029219"/>
      <w:r/>
      <w:bookmarkStart w:id="109" w:name="_Toc49090507"/>
      <w:r/>
      <w:bookmarkStart w:id="110" w:name="_Toc513029216"/>
      <w:r/>
      <w:bookmarkStart w:id="111" w:name="_Toc14577357"/>
      <w:r/>
      <w:bookmarkStart w:id="112" w:name="_Toc49090509"/>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rPr>
        <w:t xml:space="preserve">证明投标人及投标标的符合招标文件规定的文件</w:t>
      </w:r>
      <w:bookmarkEnd w:id="107"/>
      <w:r/>
      <w:bookmarkEnd w:id="108"/>
      <w:r/>
      <w:bookmarkEnd w:id="109"/>
      <w:r/>
      <w:bookmarkEnd w:id="110"/>
      <w:r/>
      <w:bookmarkEnd w:id="111"/>
      <w:r/>
      <w:bookmarkEnd w:id="11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13" w:name="_Toc14577355"/>
      <w:r/>
      <w:bookmarkStart w:id="114" w:name="_Toc49090508"/>
      <w:r>
        <w:rPr>
          <w:rFonts w:hint="eastAsia" w:ascii="宋体" w:hAnsi="宋体" w:eastAsia="宋体" w:cs="宋体"/>
          <w:color w:val="auto"/>
          <w:sz w:val="24"/>
          <w:szCs w:val="24"/>
          <w:highlight w:val="none"/>
        </w:rPr>
        <w:t xml:space="preserve">11.1投标人应按照</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、规章和规范性文件以及招标文件要求提交证明文件，证明其及投标标的符合招标文件规定。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09"/>
        <w:ind w:firstLine="39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rPr>
        <w:t xml:space="preserve">投标分项报价</w:t>
      </w:r>
      <w:bookmarkEnd w:id="113"/>
      <w:r/>
      <w:bookmarkStart w:id="115" w:name="_Hlt26670373"/>
      <w:r/>
      <w:bookmarkEnd w:id="115"/>
      <w:r>
        <w:rPr>
          <w:rFonts w:hint="eastAsia" w:ascii="宋体" w:hAnsi="宋体" w:eastAsia="宋体" w:cs="宋体"/>
          <w:b w:val="0"/>
          <w:bCs w:val="0"/>
          <w:color w:val="auto"/>
          <w:sz w:val="24"/>
          <w:szCs w:val="24"/>
          <w:highlight w:val="none"/>
        </w:rPr>
        <w:t xml:space="preserve">表</w:t>
      </w:r>
      <w:bookmarkEnd w:id="11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投</w:t>
      </w:r>
      <w:bookmarkStart w:id="116" w:name="_Hlt26954840"/>
      <w:r/>
      <w:bookmarkEnd w:id="116"/>
      <w:r>
        <w:rPr>
          <w:rFonts w:hint="eastAsia" w:ascii="宋体" w:hAnsi="宋体" w:eastAsia="宋体" w:cs="宋体"/>
          <w:color w:val="auto"/>
          <w:sz w:val="24"/>
          <w:szCs w:val="24"/>
          <w:highlight w:val="none"/>
        </w:rPr>
        <w:t xml:space="preserve">标人应按照招标文件规定格式填报投标分项报价表</w:t>
      </w:r>
      <w:bookmarkStart w:id="117" w:name="_Hlt26670399"/>
      <w:r/>
      <w:bookmarkEnd w:id="117"/>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olor w:val="auto"/>
          <w:sz w:val="24"/>
          <w:szCs w:val="24"/>
          <w:highlight w:val="none"/>
        </w:rPr>
        <w:t xml:space="preserve">招标文件中另有规定的按规定执行。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12.3本项目不接受备选的投标方案或有选择的报价，只允许有一个报价。投标报价内容包括：完成本项目所</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的一切相关费用。</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18" w:name="_Hlt26954848"/>
      <w:r/>
      <w:bookmarkEnd w:id="118"/>
      <w:r/>
      <w:bookmarkStart w:id="119" w:name="_Hlt26954846"/>
      <w:r/>
      <w:bookmarkEnd w:id="119"/>
      <w:r/>
      <w:bookmarkStart w:id="120" w:name="_Hlt26668983"/>
      <w:r/>
      <w:bookmarkEnd w:id="120"/>
      <w:r/>
      <w:bookmarkStart w:id="121" w:name="_Hlt26670482"/>
      <w:r/>
      <w:bookmarkEnd w:id="121"/>
      <w:r/>
      <w:bookmarkStart w:id="122" w:name="_Hlt26670486"/>
      <w:r/>
      <w:bookmarkEnd w:id="122"/>
      <w:r/>
      <w:bookmarkStart w:id="123" w:name="_Hlt26954844"/>
      <w:r/>
      <w:bookmarkEnd w:id="123"/>
      <w:r/>
      <w:bookmarkStart w:id="124" w:name="_Hlt26954842"/>
      <w:r/>
      <w:bookmarkEnd w:id="124"/>
      <w:r/>
      <w:bookmarkStart w:id="125" w:name="_Hlt26670425"/>
      <w:r/>
      <w:bookmarkEnd w:id="125"/>
      <w:r/>
      <w:bookmarkStart w:id="126" w:name="_Hlt26954731"/>
      <w:r/>
      <w:bookmarkEnd w:id="126"/>
      <w:r/>
      <w:bookmarkStart w:id="127" w:name="_Hlt26670403"/>
      <w:r/>
      <w:bookmarkEnd w:id="127"/>
      <w:r/>
      <w:bookmarkStart w:id="128" w:name="_Toc14577359"/>
      <w:r/>
      <w:bookmarkStart w:id="129" w:name="_Toc49090510"/>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rPr>
        <w:t xml:space="preserve">技术要求响应及偏离表、商务要求响应及偏离表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400" w:lineRule="exact"/>
        <w:shd w:val="clear" w:color="auto"/>
        <w:widowControl w:val="off"/>
        <w:tabs>
          <w:tab w:val="left" w:pos="1035" w:leader="none"/>
        </w:tabs>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14.2投标人需根据招标文件要求提供培训计划。</w:t>
      </w:r>
      <w:r/>
    </w:p>
    <w:p>
      <w:pPr>
        <w:ind w:firstLine="480"/>
        <w:keepLines w:val="0"/>
        <w:keepNext w:val="0"/>
        <w:pageBreakBefore w:val="0"/>
        <w:spacing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14.3投标人需根据招标文件要求提供</w:t>
      </w:r>
      <w:r>
        <w:rPr>
          <w:rFonts w:hint="eastAsia" w:ascii="宋体" w:hAnsi="宋体" w:eastAsia="宋体" w:cs="宋体"/>
          <w:color w:val="auto"/>
          <w:sz w:val="24"/>
          <w:szCs w:val="24"/>
          <w:highlight w:val="none"/>
          <w:lang w:val="zh-CN"/>
        </w:rPr>
        <w:t xml:space="preserve">所投标的的主要组成部分、功能设计、实现思路及关键技术等。</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rPr>
        <w:t xml:space="preserve">投标声明及承诺函和开标一览表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投标人应按照招标文件中提供的格式完整、正确填写投标声明及承诺函、开标一览表。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15.2</w:t>
      </w:r>
      <w:r>
        <w:rPr>
          <w:rFonts w:hint="eastAsia" w:ascii="宋体" w:hAnsi="宋体" w:eastAsia="宋体" w:cs="宋体"/>
          <w:color w:val="auto"/>
          <w:sz w:val="24"/>
          <w:szCs w:val="24"/>
          <w:highlight w:val="none"/>
        </w:rPr>
        <w:t xml:space="preserve">对于采用货币报价的项目，</w:t>
      </w:r>
      <w:r>
        <w:rPr>
          <w:rFonts w:hint="eastAsia" w:ascii="宋体" w:hAnsi="宋体" w:eastAsia="宋体" w:cs="宋体"/>
          <w:bCs/>
          <w:color w:val="auto"/>
          <w:sz w:val="24"/>
          <w:szCs w:val="24"/>
          <w:highlight w:val="none"/>
        </w:rPr>
        <w:t xml:space="preserve">开标一览表中的投标总报价应与投标分项报价表中的投标总报价一致，如不一致，</w:t>
      </w:r>
      <w:r>
        <w:rPr>
          <w:rFonts w:hint="eastAsia" w:ascii="宋体" w:hAnsi="宋体" w:eastAsia="宋体" w:cs="宋体"/>
          <w:color w:val="auto"/>
          <w:sz w:val="24"/>
          <w:szCs w:val="24"/>
          <w:highlight w:val="none"/>
        </w:rPr>
        <w:t xml:space="preserve">不作为无效投标处理</w:t>
      </w:r>
      <w:r>
        <w:rPr>
          <w:rFonts w:hint="eastAsia" w:ascii="宋体" w:hAnsi="宋体" w:eastAsia="宋体" w:cs="宋体"/>
          <w:bCs/>
          <w:color w:val="auto"/>
          <w:sz w:val="24"/>
          <w:szCs w:val="24"/>
          <w:highlight w:val="none"/>
        </w:rPr>
        <w:t xml:space="preserve">，但评标时按开标一览表中价格为准</w:t>
      </w:r>
      <w:r>
        <w:rPr>
          <w:rFonts w:hint="eastAsia" w:ascii="宋体" w:hAnsi="宋体" w:eastAsia="宋体" w:cs="宋体"/>
          <w:b/>
          <w:bCs/>
          <w:color w:val="auto"/>
          <w:sz w:val="24"/>
          <w:szCs w:val="24"/>
          <w:highlight w:val="none"/>
        </w:rPr>
        <w:t xml:space="preserve">。</w:t>
      </w:r>
      <w:bookmarkEnd w:id="128"/>
      <w:r/>
      <w:bookmarkEnd w:id="129"/>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30" w:name="_Hlt26954850"/>
      <w:r/>
      <w:bookmarkEnd w:id="130"/>
      <w:r/>
      <w:bookmarkStart w:id="131" w:name="_Hlt26670489"/>
      <w:r/>
      <w:bookmarkEnd w:id="131"/>
      <w:r/>
      <w:bookmarkStart w:id="132" w:name="_Hlt26954734"/>
      <w:r/>
      <w:bookmarkEnd w:id="132"/>
      <w:r/>
      <w:bookmarkStart w:id="133" w:name="_Toc14577360"/>
      <w:r/>
      <w:bookmarkStart w:id="134" w:name="_Toc49090511"/>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rPr>
        <w:t xml:space="preserve">投标有效期</w:t>
      </w:r>
      <w:bookmarkEnd w:id="133"/>
      <w:r/>
      <w:bookmarkEnd w:id="134"/>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Cs/>
          <w:color w:val="auto"/>
          <w:sz w:val="24"/>
          <w:szCs w:val="24"/>
          <w:highlight w:val="none"/>
        </w:rPr>
        <w:t xml:space="preserve">投标有效期为开标之日后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。投标有效期比规定短的将被视为未实质性响应招标文件而予以拒绝。</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rPr>
        <w:t xml:space="preserve">投标有效期的延长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17.1</w:t>
      </w:r>
      <w:r>
        <w:rPr>
          <w:rFonts w:hint="eastAsia" w:ascii="宋体" w:hAnsi="宋体" w:eastAsia="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17.2中标人的投标文件作为项目合同的附件，其有效期至中标人全部合同义务履行完毕为止。</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35" w:name="_Hlt26954852"/>
      <w:r/>
      <w:bookmarkEnd w:id="135"/>
      <w:r/>
      <w:bookmarkStart w:id="136" w:name="_Hlt26954739"/>
      <w:r/>
      <w:bookmarkEnd w:id="136"/>
      <w:r/>
      <w:bookmarkStart w:id="137" w:name="_Toc120614217"/>
      <w:r/>
      <w:bookmarkStart w:id="138" w:name="_Toc16938540"/>
      <w:r/>
      <w:bookmarkStart w:id="139" w:name="_Toc20823296"/>
      <w:r/>
      <w:bookmarkStart w:id="140" w:name="_Toc513029224"/>
      <w:r>
        <w:rPr>
          <w:rFonts w:hint="eastAsia" w:ascii="宋体" w:hAnsi="宋体" w:eastAsia="宋体" w:cs="宋体"/>
          <w:b/>
          <w:bCs/>
          <w:color w:val="auto"/>
          <w:sz w:val="24"/>
          <w:szCs w:val="24"/>
          <w:highlight w:val="none"/>
        </w:rPr>
        <w:t xml:space="preserve">四、投标文件的递交</w:t>
      </w:r>
      <w:bookmarkEnd w:id="137"/>
      <w:r/>
      <w:bookmarkEnd w:id="138"/>
      <w:r/>
      <w:bookmarkEnd w:id="139"/>
      <w:r/>
      <w:bookmarkEnd w:id="140"/>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1" w:name="_Toc462564084"/>
      <w:r/>
      <w:bookmarkStart w:id="142" w:name="_Toc513029225"/>
      <w:r/>
      <w:bookmarkStart w:id="143" w:name="_Toc20823297"/>
      <w:r/>
      <w:bookmarkStart w:id="144" w:name="_Toc16938541"/>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rPr>
        <w:t xml:space="preserve">投标文件</w:t>
      </w:r>
      <w:bookmarkEnd w:id="141"/>
      <w:r/>
      <w:bookmarkEnd w:id="142"/>
      <w:r/>
      <w:bookmarkEnd w:id="143"/>
      <w:r/>
      <w:bookmarkEnd w:id="144"/>
      <w:r>
        <w:rPr>
          <w:rFonts w:hint="eastAsia" w:ascii="宋体" w:hAnsi="宋体" w:eastAsia="宋体" w:cs="宋体"/>
          <w:b w:val="0"/>
          <w:bCs w:val="0"/>
          <w:color w:val="auto"/>
          <w:sz w:val="24"/>
          <w:szCs w:val="24"/>
          <w:highlight w:val="none"/>
        </w:rPr>
        <w:t xml:space="preserve">的递交</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45" w:name="_Toc20823298"/>
      <w:r/>
      <w:bookmarkStart w:id="146" w:name="_Toc513029226"/>
      <w:r/>
      <w:bookmarkStart w:id="147" w:name="_Toc16938542"/>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19.</w:t>
      </w:r>
      <w:r>
        <w:rPr>
          <w:rFonts w:hint="eastAsia" w:ascii="宋体" w:hAnsi="宋体" w:eastAsia="宋体" w:cs="宋体"/>
          <w:b w:val="0"/>
          <w:color w:val="auto"/>
          <w:sz w:val="24"/>
          <w:szCs w:val="24"/>
          <w:highlight w:val="none"/>
        </w:rPr>
        <w:t xml:space="preserve">投标截止</w:t>
      </w:r>
      <w:bookmarkEnd w:id="145"/>
      <w:r/>
      <w:bookmarkEnd w:id="146"/>
      <w:r/>
      <w:bookmarkEnd w:id="147"/>
      <w:r>
        <w:rPr>
          <w:rFonts w:hint="eastAsia" w:ascii="宋体" w:hAnsi="宋体" w:eastAsia="宋体" w:cs="宋体"/>
          <w:b w:val="0"/>
          <w:color w:val="auto"/>
          <w:sz w:val="24"/>
          <w:szCs w:val="24"/>
          <w:highlight w:val="none"/>
        </w:rPr>
        <w:t xml:space="preserve">时间</w:t>
      </w:r>
      <w:r/>
    </w:p>
    <w:p>
      <w:pPr>
        <w:ind w:firstLine="480"/>
        <w:keepLines w:val="0"/>
        <w:keepNext w:val="0"/>
        <w:pageBreakBefore w:val="0"/>
        <w:spacing w:line="400" w:lineRule="exact"/>
        <w:shd w:val="clear" w:color="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19.1投标人上传电子投标文件的时间不得迟于招标公告中规定的投标截止时间。</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w:t>
      </w:r>
      <w:r>
        <w:rPr>
          <w:rFonts w:hint="eastAsia" w:ascii="宋体" w:hAnsi="宋体" w:eastAsia="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48" w:name="_Toc16938543"/>
      <w:r/>
      <w:bookmarkStart w:id="149" w:name="_Toc513029227"/>
      <w:r/>
      <w:bookmarkStart w:id="150" w:name="_Toc20823299"/>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rPr>
        <w:t xml:space="preserve">投标文件</w:t>
      </w:r>
      <w:bookmarkEnd w:id="148"/>
      <w:r/>
      <w:bookmarkEnd w:id="149"/>
      <w:r/>
      <w:bookmarkEnd w:id="150"/>
      <w:r>
        <w:rPr>
          <w:rFonts w:hint="eastAsia" w:ascii="宋体" w:hAnsi="宋体" w:eastAsia="宋体" w:cs="宋体"/>
          <w:b w:val="0"/>
          <w:bCs w:val="0"/>
          <w:color w:val="auto"/>
          <w:sz w:val="24"/>
          <w:szCs w:val="24"/>
          <w:highlight w:val="none"/>
        </w:rPr>
        <w:t xml:space="preserve">的拒收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bCs/>
          <w:color w:val="auto"/>
          <w:sz w:val="24"/>
          <w:szCs w:val="24"/>
          <w:highlight w:val="none"/>
        </w:rPr>
        <w:t xml:space="preserve">采购代理机构拒绝接收在其规定的投标截止时间后上传的任何投标文件。</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1" w:name="_Toc20823300"/>
      <w:r/>
      <w:bookmarkStart w:id="152" w:name="_Toc513029228"/>
      <w:r/>
      <w:bookmarkStart w:id="153" w:name="_Toc16938544"/>
      <w:r/>
      <w:bookmarkStart w:id="154" w:name="_Toc20823301"/>
      <w:r/>
      <w:bookmarkStart w:id="155" w:name="_Toc120614218"/>
      <w:r/>
      <w:bookmarkStart w:id="156" w:name="_Toc513029229"/>
      <w:r/>
      <w:bookmarkStart w:id="157" w:name="_Toc16938545"/>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rPr>
        <w:t xml:space="preserve">投标文件的撤回和修改</w:t>
      </w:r>
      <w:bookmarkEnd w:id="151"/>
      <w:r/>
      <w:bookmarkEnd w:id="152"/>
      <w:r/>
      <w:bookmarkEnd w:id="153"/>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21.1.1电子投标文件的撤回</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21.2投标文件的修改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在投标截止时间之后，投标人不得对其电子投标文件作任何修改。</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在投标截止时间至招标文件中规定的投标有效期满之间的这段时间内，投标人不得撤回其投标。</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五、开标与评标</w:t>
      </w:r>
      <w:bookmarkEnd w:id="154"/>
      <w:r/>
      <w:bookmarkEnd w:id="155"/>
      <w:r/>
      <w:bookmarkEnd w:id="156"/>
      <w:r/>
      <w:bookmarkEnd w:id="157"/>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58" w:name="_Toc20823302"/>
      <w:r/>
      <w:bookmarkStart w:id="159" w:name="_Toc513029230"/>
      <w:r/>
      <w:bookmarkStart w:id="160" w:name="_Toc16938546"/>
      <w:r/>
      <w:bookmarkStart w:id="161" w:name="_Toc16938547"/>
      <w:r/>
      <w:bookmarkStart w:id="162" w:name="_Toc20823303"/>
      <w:r/>
      <w:bookmarkStart w:id="163" w:name="_Toc513029231"/>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rPr>
        <w:t xml:space="preserve">开标</w:t>
      </w:r>
      <w:bookmarkEnd w:id="158"/>
      <w:r/>
      <w:bookmarkEnd w:id="159"/>
      <w:r/>
      <w:bookmarkEnd w:id="160"/>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22.3投标人在开标过程中</w:t>
      </w:r>
      <w:r>
        <w:rPr>
          <w:rFonts w:hint="eastAsia" w:ascii="宋体" w:hAnsi="宋体" w:eastAsia="宋体" w:cs="宋体"/>
          <w:bCs/>
          <w:color w:val="auto"/>
          <w:sz w:val="24"/>
          <w:szCs w:val="24"/>
          <w:highlight w:val="none"/>
          <w:lang w:eastAsia="zh-CN"/>
        </w:rPr>
        <w:t xml:space="preserve">涉及</w:t>
      </w:r>
      <w:r>
        <w:rPr>
          <w:rFonts w:hint="eastAsia" w:ascii="宋体" w:hAnsi="宋体" w:eastAsia="宋体" w:cs="宋体"/>
          <w:bCs/>
          <w:color w:val="auto"/>
          <w:sz w:val="24"/>
          <w:szCs w:val="24"/>
          <w:highlight w:val="none"/>
        </w:rPr>
        <w:t xml:space="preserve">的投标文件解密、开标结果确认等工作，应按照《操作手册》规定执行。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评标委员会</w:t>
      </w:r>
      <w:r/>
    </w:p>
    <w:p>
      <w:pPr>
        <w:ind w:firstLine="480"/>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color w:val="auto"/>
          <w:sz w:val="24"/>
          <w:szCs w:val="24"/>
          <w:highlight w:val="none"/>
        </w:rPr>
        <w:t xml:space="preserve">23.1开标后，采购代理机构将立即组织评标委员会（以下简称评委会）进行评标。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23.2评委会由采购人代表和有关技术、经济等方面的专家组成，且人员构成符合政府采购有关规定。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23.3评委会独立工作，负责评审所有投标文件并确定中标候选人。</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rPr>
        <w:t xml:space="preserve">评标过程的保密与公正</w:t>
      </w:r>
      <w:bookmarkEnd w:id="161"/>
      <w:r/>
      <w:bookmarkEnd w:id="162"/>
      <w:r/>
      <w:bookmarkEnd w:id="163"/>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24.2在评标过程中，投标人不得以任何行为影响评标过程，否则其投标文件将被作为无效投标文件。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24.3采购代理机构和评委会不向未中标的投标人解释未中标原因，也不公布评标过程中的相关细节。</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4" w:name="_Toc16938548"/>
      <w:r/>
      <w:bookmarkStart w:id="165" w:name="_Toc20823304"/>
      <w:r/>
      <w:bookmarkStart w:id="166" w:name="_Toc513029232"/>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rPr>
        <w:t xml:space="preserve">投标文件的澄清</w:t>
      </w:r>
      <w:bookmarkEnd w:id="164"/>
      <w:r/>
      <w:bookmarkEnd w:id="165"/>
      <w:r/>
      <w:bookmarkEnd w:id="166"/>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评委会并非对每个投标人都做澄清要求。</w:t>
      </w:r>
      <w:r/>
    </w:p>
    <w:p>
      <w:pPr>
        <w:pStyle w:val="995"/>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rPr>
        <w:t xml:space="preserve">5</w:t>
      </w:r>
      <w:r>
        <w:rPr>
          <w:rFonts w:hint="eastAsia" w:ascii="宋体" w:hAnsi="宋体" w:eastAsia="宋体" w:cs="宋体"/>
          <w:color w:val="auto"/>
          <w:sz w:val="24"/>
          <w:szCs w:val="24"/>
          <w:highlight w:val="none"/>
        </w:rPr>
        <w:t xml:space="preserve">.2需要投标人进行澄清、说明和补正的，</w:t>
      </w:r>
      <w:r>
        <w:rPr>
          <w:rFonts w:hint="eastAsia" w:ascii="宋体" w:hAnsi="宋体" w:eastAsia="宋体" w:cs="宋体"/>
          <w:color w:val="auto"/>
          <w:sz w:val="24"/>
          <w:szCs w:val="24"/>
          <w:highlight w:val="none"/>
          <w:lang w:val="en-US"/>
        </w:rPr>
        <w:t xml:space="preserve">本项目投标人的澄清、说明或者补正采用线上澄清，</w:t>
      </w:r>
      <w:r>
        <w:rPr>
          <w:rFonts w:hint="eastAsia" w:ascii="宋体" w:hAnsi="宋体" w:eastAsia="宋体" w:cs="宋体"/>
          <w:color w:val="auto"/>
          <w:sz w:val="24"/>
          <w:szCs w:val="24"/>
          <w:highlight w:val="none"/>
        </w:rPr>
        <w:t xml:space="preserve">评委会将通过</w:t>
      </w:r>
      <w:r>
        <w:rPr>
          <w:rFonts w:hint="eastAsia" w:ascii="宋体" w:hAnsi="宋体" w:eastAsia="宋体" w:cs="宋体"/>
          <w:color w:val="auto"/>
          <w:sz w:val="24"/>
          <w:szCs w:val="24"/>
          <w:highlight w:val="none"/>
          <w:lang w:val="en-US"/>
        </w:rPr>
        <w:t xml:space="preserve">“苏采云”系统</w:t>
      </w:r>
      <w:r>
        <w:rPr>
          <w:rFonts w:hint="eastAsia" w:ascii="宋体" w:hAnsi="宋体" w:eastAsia="宋体" w:cs="宋体"/>
          <w:color w:val="auto"/>
          <w:sz w:val="24"/>
          <w:szCs w:val="24"/>
          <w:highlight w:val="none"/>
        </w:rPr>
        <w:t xml:space="preserve">向投标人发出“澄清要求函”，接到“澄清要求函”的投标人应当按照要求</w:t>
      </w:r>
      <w:r>
        <w:rPr>
          <w:rFonts w:hint="eastAsia" w:ascii="宋体" w:hAnsi="宋体" w:eastAsia="宋体" w:cs="宋体"/>
          <w:color w:val="auto"/>
          <w:sz w:val="24"/>
          <w:szCs w:val="24"/>
          <w:highlight w:val="none"/>
          <w:lang w:val="en-US"/>
        </w:rPr>
        <w:t xml:space="preserve">在规定时间内通过“苏采云”系统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bookmarkStart w:id="167" w:name="_Toc513029233"/>
      <w:r/>
      <w:bookmarkStart w:id="168" w:name="_Toc20823305"/>
      <w:r/>
      <w:bookmarkStart w:id="169" w:name="_Toc16938549"/>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rPr>
        <w:t xml:space="preserve">对投标文件的初审</w:t>
      </w:r>
      <w:bookmarkEnd w:id="167"/>
      <w:r/>
      <w:bookmarkEnd w:id="168"/>
      <w:r/>
      <w:bookmarkEnd w:id="16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投标文件初审分为资格审查和符合性审查。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26.1.1资格审查：依据法律法规和招标文件的规定，</w:t>
      </w:r>
      <w:r>
        <w:rPr>
          <w:rFonts w:hint="eastAsia" w:ascii="宋体" w:hAnsi="宋体" w:eastAsia="宋体" w:cs="宋体"/>
          <w:color w:val="auto"/>
          <w:sz w:val="24"/>
          <w:szCs w:val="24"/>
          <w:highlight w:val="none"/>
        </w:rPr>
        <w:t xml:space="preserve">由招标人或其委托的代理机构对投标文件中的资格证明文件进行审查，以确定投标人是否具备投标资格。</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eastAsia="宋体" w:cs="宋体"/>
          <w:color w:val="auto"/>
          <w:sz w:val="24"/>
          <w:szCs w:val="24"/>
          <w:highlight w:val="none"/>
          <w:lang w:val="zh-CN"/>
        </w:rPr>
        <w:t xml:space="preserve">“苏采云”系统告知未通过符合性审查的原因，评标结束后，将不再告知未通过符合性审查的原因</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合要求的偏离或保留而使其投标成为实质性响应的投标。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26.4</w:t>
      </w:r>
      <w:r>
        <w:rPr>
          <w:rFonts w:hint="eastAsia" w:ascii="宋体" w:hAnsi="宋体" w:eastAsia="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评委会将按上述修正错误的方法调整投标文件中的投标报价，并通过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宋体" w:cs="宋体"/>
          <w:bCs/>
          <w:color w:val="auto"/>
          <w:sz w:val="24"/>
          <w:highlight w:val="none"/>
        </w:rPr>
        <w:t xml:space="preserve">；供应商不能证明其报价合理性的，评委会</w:t>
      </w:r>
      <w:r>
        <w:rPr>
          <w:rFonts w:hint="eastAsia" w:ascii="宋体" w:hAnsi="宋体" w:eastAsia="宋体" w:cs="宋体"/>
          <w:color w:val="auto"/>
          <w:sz w:val="24"/>
          <w:szCs w:val="24"/>
          <w:highlight w:val="none"/>
        </w:rPr>
        <w:t xml:space="preserve">应当将其作为无效投标处理。</w:t>
      </w:r>
      <w:r/>
    </w:p>
    <w:p>
      <w:pPr>
        <w:ind w:firstLine="48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70" w:name="_Toc513029234"/>
      <w:r/>
      <w:bookmarkStart w:id="171" w:name="_Toc16938550"/>
      <w:r/>
      <w:bookmarkStart w:id="172"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投标人在开、评标全过程中应随时保持系统在线，及时在“苏采云”系统查阅、答复相关信息。</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27.</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73" w:name="_Toc20823307"/>
      <w:r/>
      <w:bookmarkStart w:id="174" w:name="_Toc513029235"/>
      <w:r/>
      <w:bookmarkStart w:id="175" w:name="_Toc16938551"/>
      <w:r>
        <w:rPr>
          <w:rFonts w:hint="eastAsia" w:ascii="宋体" w:hAnsi="宋体" w:eastAsia="宋体" w:cs="宋体"/>
          <w:bCs/>
          <w:color w:val="auto"/>
          <w:sz w:val="24"/>
          <w:szCs w:val="24"/>
          <w:highlight w:val="none"/>
        </w:rPr>
        <w:t xml:space="preserve">27.1无效投标条款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27.1.1投标人在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27.1.2投标人未按照招标文件要求上传电子投标文件的。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27.1.3同一投标人提交两个（含两个）以上不同的投标报价的。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27.1.4投标人不具备招标文件中规定资格要求的。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27.1.5投标人的报价超过了采购预算或最高限价的。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27.1.6未通过符合性审查的。</w:t>
      </w:r>
      <w:r/>
    </w:p>
    <w:p>
      <w:pPr>
        <w:ind w:firstLine="480"/>
        <w:keepLines w:val="0"/>
        <w:keepNext w:val="0"/>
        <w:pageBreakBefore w:val="0"/>
        <w:spacing w:line="400" w:lineRule="exact"/>
        <w:shd w:val="clear" w:color="auto"/>
        <w:widowControl w:val="off"/>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27.1.7不符合招标文件中规定的实质性要求和条件的（</w:t>
      </w:r>
      <w:r>
        <w:rPr>
          <w:rFonts w:hint="eastAsia" w:ascii="宋体" w:hAnsi="宋体" w:eastAsia="宋体" w:cs="宋体"/>
          <w:bCs/>
          <w:i/>
          <w:color w:val="auto"/>
          <w:sz w:val="24"/>
          <w:szCs w:val="24"/>
          <w:highlight w:val="none"/>
          <w:u w:val="single"/>
        </w:rPr>
        <w:t xml:space="preserve">加斜体下划线内容或打“★”内容为实质性要求和条件）。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27.1.9投标文件含有招标人不能接受的附加条件的。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.1.11本项目采购产品被财政部、国家发展改革委、生态环境部等列入“节能产品品目清单”“环境标志产品品目清单”强制采购范围，而</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所</w:t>
      </w:r>
      <w:r>
        <w:rPr>
          <w:rFonts w:hint="eastAsia" w:ascii="宋体" w:hAnsi="宋体" w:eastAsia="宋体" w:cs="宋体"/>
          <w:color w:val="auto"/>
          <w:sz w:val="24"/>
          <w:szCs w:val="24"/>
          <w:highlight w:val="none"/>
        </w:rPr>
        <w:t xml:space="preserve">投</w:t>
      </w:r>
      <w:r>
        <w:rPr>
          <w:rFonts w:hint="eastAsia" w:ascii="宋体" w:hAnsi="宋体" w:eastAsia="宋体" w:cs="宋体"/>
          <w:color w:val="auto"/>
          <w:sz w:val="24"/>
          <w:szCs w:val="24"/>
          <w:highlight w:val="none"/>
          <w:lang w:val="zh-CN"/>
        </w:rPr>
        <w:t xml:space="preserve">产品不在强制采购范围内的。（</w:t>
      </w:r>
      <w:r>
        <w:rPr>
          <w:rFonts w:hint="eastAsia" w:ascii="宋体" w:hAnsi="宋体" w:eastAsia="宋体" w:cs="宋体"/>
          <w:color w:val="auto"/>
          <w:sz w:val="24"/>
          <w:szCs w:val="24"/>
          <w:highlight w:val="none"/>
        </w:rPr>
        <w:t xml:space="preserve">所投</w:t>
      </w:r>
      <w:r>
        <w:rPr>
          <w:rFonts w:hint="eastAsia" w:ascii="宋体" w:hAnsi="宋体" w:eastAsia="宋体" w:cs="宋体"/>
          <w:color w:val="auto"/>
          <w:sz w:val="24"/>
          <w:szCs w:val="24"/>
          <w:highlight w:val="none"/>
          <w:lang w:val="zh-CN"/>
        </w:rPr>
        <w:t xml:space="preserve">产品如属于政府强制采购节能产品品目清单范围内，</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文件中必须提供国家确定的认证机构出具的、处于有效期之内的该节能产品认证证书图片）。</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27.1.12投标文件未按照招标文件要求加盖CA电子公章的。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27.1.13其他</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及本招标文件规定的属无效投标的27.2废标条款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27.2.1符合专业条件的投标人或者对招标文件作实质响应的投标人不足三家的。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27.2.2出现影响采购公正的违法、违规行为的。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27.2.3因重大变故，采购任务取消的。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27.2.4评委会认定招标文件存在歧义、重大缺陷导致评审工作无法进行。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27.2.5因</w:t>
      </w:r>
      <w:r>
        <w:rPr>
          <w:rFonts w:hint="eastAsia" w:ascii="宋体" w:hAnsi="宋体" w:eastAsia="宋体" w:cs="宋体"/>
          <w:color w:val="auto"/>
          <w:sz w:val="24"/>
          <w:szCs w:val="24"/>
          <w:highlight w:val="none"/>
        </w:rPr>
        <w:t xml:space="preserve">“苏采云”系统故障</w:t>
      </w:r>
      <w:r>
        <w:rPr>
          <w:rFonts w:hint="eastAsia" w:ascii="宋体" w:hAnsi="宋体" w:eastAsia="宋体" w:cs="宋体"/>
          <w:bCs/>
          <w:color w:val="auto"/>
          <w:sz w:val="24"/>
          <w:szCs w:val="24"/>
          <w:highlight w:val="none"/>
        </w:rPr>
        <w:t xml:space="preserve">原因造成开标不成功的。</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27.3投标截止时间结束后参加投标的投标人不足三家的处理：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注：本项目为苏采云系统电子标。因系统原因评标委员会仅可通过苏采云系统向被废标供应商发送被废标的“告知函”，后续将不再向被废标供应商发放纸质版无效标通知书。</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bookmarkStart w:id="176" w:name="_Toc120614219"/>
      <w:r>
        <w:rPr>
          <w:rFonts w:hint="eastAsia" w:ascii="宋体" w:hAnsi="宋体" w:eastAsia="宋体" w:cs="宋体"/>
          <w:b/>
          <w:bCs/>
          <w:color w:val="auto"/>
          <w:sz w:val="24"/>
          <w:szCs w:val="24"/>
          <w:highlight w:val="none"/>
        </w:rPr>
        <w:t xml:space="preserve">六、</w:t>
      </w:r>
      <w:bookmarkEnd w:id="173"/>
      <w:r/>
      <w:bookmarkEnd w:id="174"/>
      <w:r/>
      <w:bookmarkEnd w:id="175"/>
      <w:r>
        <w:rPr>
          <w:rFonts w:hint="eastAsia" w:ascii="宋体" w:hAnsi="宋体" w:eastAsia="宋体" w:cs="宋体"/>
          <w:b/>
          <w:bCs/>
          <w:color w:val="auto"/>
          <w:sz w:val="24"/>
          <w:szCs w:val="24"/>
          <w:highlight w:val="none"/>
        </w:rPr>
        <w:t xml:space="preserve">定标</w:t>
      </w:r>
      <w:bookmarkEnd w:id="176"/>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77" w:name="_Toc513029238"/>
      <w:r/>
      <w:bookmarkStart w:id="178" w:name="_Toc16938554"/>
      <w:r/>
      <w:bookmarkStart w:id="179" w:name="_Toc20823310"/>
      <w:r>
        <w:rPr>
          <w:rFonts w:hint="eastAsia" w:ascii="宋体" w:hAnsi="宋体" w:eastAsia="宋体" w:cs="宋体"/>
          <w:b w:val="0"/>
          <w:color w:val="auto"/>
          <w:sz w:val="24"/>
          <w:szCs w:val="24"/>
          <w:highlight w:val="none"/>
          <w:lang w:eastAsia="zh-CN"/>
        </w:rPr>
        <w:t xml:space="preserve">28.</w:t>
      </w:r>
      <w:bookmarkEnd w:id="177"/>
      <w:r>
        <w:rPr>
          <w:rFonts w:hint="eastAsia" w:ascii="宋体" w:hAnsi="宋体" w:eastAsia="宋体" w:cs="宋体"/>
          <w:b w:val="0"/>
          <w:color w:val="auto"/>
          <w:sz w:val="24"/>
          <w:szCs w:val="24"/>
          <w:highlight w:val="none"/>
        </w:rPr>
        <w:t xml:space="preserve">确定</w:t>
      </w:r>
      <w:bookmarkEnd w:id="178"/>
      <w:r/>
      <w:bookmarkEnd w:id="179"/>
      <w:r>
        <w:rPr>
          <w:rFonts w:hint="eastAsia" w:ascii="宋体" w:hAnsi="宋体" w:eastAsia="宋体" w:cs="宋体"/>
          <w:b w:val="0"/>
          <w:color w:val="auto"/>
          <w:sz w:val="24"/>
          <w:szCs w:val="24"/>
          <w:highlight w:val="none"/>
        </w:rPr>
        <w:t xml:space="preserve">中标单位</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28.1中标候选人的选取原则和数量见招标文件第五章规定。</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lang w:val="zh-CN"/>
        </w:rPr>
        <w:t xml:space="preserve">.2按以下第</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种方式确定中标人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（1）评委会直接确定排名第一的中标候选人为中标人；</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（2）招标人在评委会推荐的中标候选人中按顺序确定中标人。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种方式确定中标人的，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28.3</w:t>
      </w:r>
      <w:r>
        <w:rPr>
          <w:rFonts w:hint="eastAsia" w:ascii="宋体" w:hAnsi="宋体" w:eastAsia="宋体" w:cs="宋体"/>
          <w:color w:val="auto"/>
          <w:sz w:val="24"/>
          <w:szCs w:val="24"/>
          <w:highlight w:val="none"/>
        </w:rPr>
        <w:t xml:space="preserve">采购代理机构将在“宿迁市政府采购网”发布中标公告，公告期限为1个工作日。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28.4若有充分证据证明，中标人出现下列情况之一的，一经查实，将被取消中标资格：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28.4.2向招标人、采购代理机构行贿或者提供其他不正当利益的。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28.4.4与招标人或者其他投标人恶意串通的。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28.4.5采取不正当手段诋毁、排挤其他投标人的。</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0" w:name="_Toc200451960"/>
      <w:r>
        <w:rPr>
          <w:rFonts w:hint="eastAsia" w:ascii="宋体" w:hAnsi="宋体" w:eastAsia="宋体" w:cs="宋体"/>
          <w:color w:val="auto"/>
          <w:sz w:val="24"/>
          <w:szCs w:val="24"/>
          <w:highlight w:val="none"/>
        </w:rPr>
        <w:t xml:space="preserve">28.5有下列情形之一的，视为投标人串通投标，投标无效：</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28.5.3不同投标人的投标文件载明的项目管理成员或者联系人员为同一人。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29.</w:t>
      </w:r>
      <w:r>
        <w:rPr>
          <w:rFonts w:hint="eastAsia" w:ascii="宋体" w:hAnsi="宋体" w:eastAsia="宋体" w:cs="宋体"/>
          <w:b w:val="0"/>
          <w:color w:val="auto"/>
          <w:sz w:val="24"/>
          <w:szCs w:val="24"/>
          <w:highlight w:val="none"/>
        </w:rPr>
        <w:t xml:space="preserve">质疑处理</w:t>
      </w:r>
      <w:bookmarkEnd w:id="180"/>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29.4投标人应以书面形式向招标人或者其委托的采购代理机构提出质疑。质疑超出采购机构代理范围的，投标人应当向招标人提出。</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lang w:eastAsia="zh-CN"/>
        </w:rPr>
        <w:t xml:space="preserve">宿迁市体育局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宿迁市楚韵项目管理有限公司</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0527-84353970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19305243020</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lang w:eastAsia="zh-CN"/>
        </w:rPr>
        <w:t xml:space="preserve">宿迁市宿城区世纪大道92号宿迁市全民健身中心6层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宿迁市宿城区河滨街道观澜路恒大悦澜湾南门办公楼</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29.5.4未参加投标活动的投标人或在投标活动中自身权益未受到损害的投标人所提出的质疑。</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30.</w:t>
      </w:r>
      <w:r>
        <w:rPr>
          <w:rFonts w:hint="eastAsia" w:ascii="宋体" w:hAnsi="宋体" w:eastAsia="宋体" w:cs="宋体"/>
          <w:b w:val="0"/>
          <w:color w:val="auto"/>
          <w:sz w:val="24"/>
          <w:szCs w:val="24"/>
          <w:highlight w:val="none"/>
        </w:rPr>
        <w:t xml:space="preserve">中标通知书</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bookmarkStart w:id="181" w:name="_Toc120614220"/>
      <w:r/>
      <w:bookmarkStart w:id="182" w:name="_Toc20823308"/>
      <w:r/>
      <w:bookmarkStart w:id="183" w:name="_Toc513029236"/>
      <w:r/>
      <w:bookmarkStart w:id="184" w:name="_Toc16938552"/>
      <w:r>
        <w:rPr>
          <w:rFonts w:hint="eastAsia" w:ascii="宋体" w:hAnsi="宋体" w:eastAsia="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808"/>
        <w:ind w:firstLine="480"/>
        <w:keepLines w:val="0"/>
        <w:keepNext w:val="0"/>
        <w:pageBreakBefore w:val="0"/>
        <w:spacing w:before="0" w:after="0" w:line="400" w:lineRule="exact"/>
        <w:shd w:val="clear" w:color="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七、授予合同</w:t>
      </w:r>
      <w:bookmarkEnd w:id="181"/>
      <w:r/>
      <w:bookmarkEnd w:id="182"/>
      <w:r/>
      <w:bookmarkEnd w:id="183"/>
      <w:r/>
      <w:bookmarkEnd w:id="184"/>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bookmarkStart w:id="185" w:name="_Toc20823309"/>
      <w:r/>
      <w:bookmarkStart w:id="186" w:name="_Toc16938553"/>
      <w:r/>
      <w:bookmarkStart w:id="187" w:name="_Toc513029237"/>
      <w:r>
        <w:rPr>
          <w:rFonts w:hint="eastAsia" w:ascii="宋体" w:hAnsi="宋体" w:eastAsia="宋体" w:cs="宋体"/>
          <w:b w:val="0"/>
          <w:color w:val="auto"/>
          <w:sz w:val="24"/>
          <w:szCs w:val="24"/>
          <w:highlight w:val="none"/>
          <w:lang w:eastAsia="zh-CN"/>
        </w:rPr>
        <w:t xml:space="preserve">31.</w:t>
      </w:r>
      <w:r>
        <w:rPr>
          <w:rFonts w:hint="eastAsia" w:ascii="宋体" w:hAnsi="宋体" w:eastAsia="宋体" w:cs="宋体"/>
          <w:b w:val="0"/>
          <w:color w:val="auto"/>
          <w:sz w:val="24"/>
          <w:szCs w:val="24"/>
          <w:highlight w:val="none"/>
        </w:rPr>
        <w:t xml:space="preserve">签订合同</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.l中标人应当在中标通知书发出之日起15日内，按照招标文件确定的事项与招标人签订政府采购合同。</w:t>
      </w:r>
      <w:r>
        <w:rPr>
          <w:rFonts w:hint="eastAsia" w:ascii="宋体" w:hAnsi="宋体" w:eastAsia="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w:t>
      </w:r>
      <w:r>
        <w:rPr>
          <w:rFonts w:hint="eastAsia" w:ascii="宋体" w:hAnsi="宋体" w:eastAsia="宋体" w:cs="宋体"/>
          <w:color w:val="auto"/>
          <w:sz w:val="24"/>
          <w:szCs w:val="24"/>
          <w:highlight w:val="none"/>
          <w:u w:val="single"/>
          <w:lang w:val="en-US" w:eastAsia="zh-CN"/>
        </w:rPr>
        <w:t xml:space="preserve"> 2 </w:t>
      </w:r>
      <w:r>
        <w:rPr>
          <w:rFonts w:hint="eastAsia" w:ascii="宋体" w:hAnsi="宋体" w:eastAsia="宋体" w:cs="宋体"/>
          <w:color w:val="auto"/>
          <w:sz w:val="24"/>
          <w:szCs w:val="24"/>
          <w:highlight w:val="none"/>
        </w:rPr>
        <w:t xml:space="preserve">种方式确定：</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本项目允许大中型企业向一家或者多家小微企业分包，分包具体内容、金额或比例：大中型企业向小微企业分包的，如果分包意向协议约定小微企业的合同份额占到合同总金额40%以上的，对大中型企业的报价给予5%的扣除，用扣除后的价格参加评审；</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注：①投标人须在投标文件中提供分包意向协议；分包意向协议要明确分包人的名称，分包内容，所占合同总金额比例等。分包要求：投标人须上传真实、有效的中小企业预留份额合同原件电子件。</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②投标人须在《中小企业声明函》中填写签订分包意向协议的中小企业相关信息。须按《中小企业声明函》中的要求正确填写。</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按照以下第</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lang w:val="zh-CN"/>
        </w:rPr>
        <w:t xml:space="preserve">方式确定履约保证收取方式。</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（1）不收取履约保证金。</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（2）履约保证金应在采购合同签订前向采购人提交，履约保证金的金额：按采购合同总价的</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lang w:val="zh-CN"/>
        </w:rPr>
        <w:t xml:space="preserve">%</w:t>
      </w:r>
      <w:r>
        <w:rPr>
          <w:rFonts w:hint="eastAsia" w:ascii="宋体" w:hAnsi="宋体" w:eastAsia="宋体" w:cs="宋体"/>
          <w:bCs/>
          <w:color w:val="auto"/>
          <w:sz w:val="24"/>
          <w:szCs w:val="24"/>
          <w:highlight w:val="none"/>
          <w:lang w:val="zh-CN"/>
        </w:rPr>
        <w:t xml:space="preserve">（履约保证金原提交金额的6折）提交。办理流程、偿付等内容见江苏省政府采购网“保险保函”模块。</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履约保证金退还的条件：</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货物类项目，项目验收合格，出具验收报告及履约保证金收据申请退付；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履约保证金退还时间：采购人收到成交供应商退付申请后5个工作日内退还；</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lang w:eastAsia="zh-CN"/>
        </w:rPr>
        <w:t xml:space="preserve">32.</w:t>
      </w:r>
      <w:r>
        <w:rPr>
          <w:rFonts w:hint="eastAsia" w:ascii="宋体" w:hAnsi="宋体" w:eastAsia="宋体" w:cs="宋体"/>
          <w:bCs/>
          <w:color w:val="auto"/>
          <w:sz w:val="24"/>
          <w:szCs w:val="24"/>
          <w:highlight w:val="none"/>
        </w:rPr>
        <w:t xml:space="preserve">货物（包含与货物相关的服务）的追加</w:t>
      </w:r>
      <w:r/>
    </w:p>
    <w:p>
      <w:pPr>
        <w:ind w:firstLine="480"/>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5"/>
      <w:r/>
      <w:bookmarkEnd w:id="186"/>
      <w:r/>
      <w:bookmarkEnd w:id="187"/>
      <w:r/>
      <w:r/>
    </w:p>
    <w:p>
      <w:pPr>
        <w:pStyle w:val="809"/>
        <w:ind w:firstLine="480"/>
        <w:keepLines w:val="0"/>
        <w:keepNext w:val="0"/>
        <w:pageBreakBefore w:val="0"/>
        <w:spacing w:before="0" w:after="0" w:line="400" w:lineRule="exact"/>
        <w:shd w:val="clear" w:color="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33.</w:t>
      </w:r>
      <w:r>
        <w:rPr>
          <w:rFonts w:hint="eastAsia" w:ascii="宋体" w:hAnsi="宋体" w:eastAsia="宋体" w:cs="宋体"/>
          <w:b w:val="0"/>
          <w:color w:val="auto"/>
          <w:sz w:val="24"/>
          <w:szCs w:val="24"/>
          <w:highlight w:val="none"/>
        </w:rPr>
        <w:t xml:space="preserve">政府采购履约资金扶持政策</w:t>
      </w:r>
      <w:r/>
    </w:p>
    <w:p>
      <w:pPr>
        <w:pStyle w:val="817"/>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33.1根据江苏省财政厅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09"/>
        <w:ind w:firstLine="482"/>
        <w:keepLines w:val="0"/>
        <w:keepNext w:val="0"/>
        <w:pageBreakBefore w:val="0"/>
        <w:spacing w:before="0" w:after="0"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34.</w:t>
      </w:r>
      <w:r>
        <w:rPr>
          <w:rFonts w:hint="eastAsia" w:ascii="宋体" w:hAnsi="宋体" w:eastAsia="宋体" w:cs="宋体"/>
          <w:color w:val="auto"/>
          <w:sz w:val="24"/>
          <w:szCs w:val="24"/>
          <w:highlight w:val="none"/>
        </w:rPr>
        <w:t xml:space="preserve">验收及付款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34.4验收合格的项目，采购人将根据采购合同的约定及时向供应商支付采购资金、退还履约保证金（如有）。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keepLines w:val="0"/>
        <w:keepNext w:val="0"/>
        <w:pageBreakBefore w:val="0"/>
        <w:spacing w:line="400" w:lineRule="exact"/>
        <w:shd w:val="clear" w:color="auto"/>
        <w:widowControl w:val="off"/>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bookmarkStart w:id="188" w:name="EBec7f529f50594afd871ea9378869e456"/>
      <w:r>
        <w:rPr>
          <w:rFonts w:hint="eastAsia" w:ascii="宋体" w:hAnsi="宋体" w:eastAsia="宋体" w:cs="宋体"/>
          <w:bCs/>
          <w:color w:val="auto"/>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88"/>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bookmarkStart w:id="189" w:name="EB11398ec6946f4019bc4c35221e27b04f"/>
      <w:r>
        <w:rPr>
          <w:rFonts w:hint="eastAsia" w:ascii="宋体" w:hAnsi="宋体" w:eastAsia="宋体" w:cs="宋体"/>
          <w:bCs/>
          <w:color w:val="auto"/>
          <w:sz w:val="24"/>
          <w:szCs w:val="24"/>
          <w:highlight w:val="none"/>
          <w:lang w:val="en-US" w:eastAsia="zh-CN"/>
        </w:rPr>
        <w:t xml:space="preserve">预付款：合同金额的30%，合同签订后按规定支付； </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进度款：</w:t>
      </w:r>
      <w:r>
        <w:rPr>
          <w:rStyle w:val="815"/>
          <w:rFonts w:hint="eastAsia" w:ascii="宋体" w:hAnsi="宋体" w:eastAsia="宋体" w:cs="宋体"/>
          <w:color w:val="auto"/>
          <w:sz w:val="24"/>
          <w:szCs w:val="24"/>
          <w:highlight w:val="none"/>
          <w:lang w:val="en-US" w:eastAsia="zh-CN" w:bidi="ar-SA"/>
        </w:rPr>
        <w:t xml:space="preserve">项目建成并验收合格，采购人自收到供应商发票之日起10个工作日内付至合同价款的100%</w:t>
      </w:r>
      <w:r>
        <w:rPr>
          <w:rFonts w:hint="eastAsia" w:ascii="宋体" w:hAnsi="宋体" w:eastAsia="宋体" w:cs="宋体"/>
          <w:bCs/>
          <w:color w:val="auto"/>
          <w:sz w:val="24"/>
          <w:szCs w:val="24"/>
          <w:highlight w:val="none"/>
          <w:lang w:val="en-US" w:eastAsia="zh-CN"/>
        </w:rPr>
        <w:t xml:space="preserve">。</w:t>
      </w:r>
      <w:bookmarkEnd w:id="189"/>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资金支付的时间：收到供应商发票10个工作日内；</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资金支付的条件：满足相应阶段的要求且收到供应商发票；</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注：在签订合同时，投标人明确表示无需预付款或者主动要求降低预付款比例的金额，采购人可不适用前述规定。支付方式可以通过转账或数字人民币等方式。</w:t>
      </w:r>
      <w:r/>
    </w:p>
    <w:p>
      <w:pPr>
        <w:ind w:firstLine="480"/>
        <w:keepLines w:val="0"/>
        <w:keepNext w:val="0"/>
        <w:pageBreakBefore w:val="0"/>
        <w:spacing w:line="400" w:lineRule="exact"/>
        <w:shd w:val="clear" w:color="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36.</w:t>
      </w:r>
      <w:r>
        <w:rPr>
          <w:rFonts w:hint="eastAsia" w:ascii="宋体" w:hAnsi="宋体" w:eastAsia="宋体" w:cs="宋体"/>
          <w:b/>
          <w:bCs w:val="0"/>
          <w:color w:val="auto"/>
          <w:sz w:val="24"/>
          <w:szCs w:val="24"/>
          <w:highlight w:val="none"/>
        </w:rPr>
        <w:t xml:space="preserve">补充救济条款</w:t>
      </w:r>
      <w:r/>
    </w:p>
    <w:p>
      <w:pPr>
        <w:ind w:firstLine="480"/>
        <w:keepLines w:val="0"/>
        <w:keepNext w:val="0"/>
        <w:pageBreakBefore w:val="0"/>
        <w:spacing w:line="40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keepLines w:val="0"/>
        <w:keepNext w:val="0"/>
        <w:pageBreakBefore w:val="0"/>
        <w:spacing w:line="40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pStyle w:val="806"/>
        <w:jc w:val="center"/>
        <w:shd w:val="clear" w:color="auto"/>
        <w:rPr>
          <w:rFonts w:hint="eastAsia" w:ascii="宋体" w:hAnsi="宋体" w:eastAsia="宋体" w:cs="宋体"/>
          <w:b/>
          <w:bCs w:val="0"/>
          <w:color w:val="auto"/>
          <w:sz w:val="44"/>
          <w:highlight w:val="none"/>
          <w:lang w:eastAsia="zh-CN"/>
        </w:rPr>
      </w:pPr>
      <w:r/>
      <w:bookmarkStart w:id="190" w:name="_Toc8406"/>
      <w:r>
        <w:rPr>
          <w:rFonts w:hint="eastAsia" w:ascii="宋体" w:hAnsi="宋体" w:eastAsia="宋体" w:cs="宋体"/>
          <w:b/>
          <w:bCs w:val="0"/>
          <w:color w:val="auto"/>
          <w:sz w:val="44"/>
          <w:highlight w:val="none"/>
        </w:rPr>
        <w:t xml:space="preserve">第三章  合同文本</w:t>
      </w:r>
      <w:bookmarkEnd w:id="190"/>
      <w:r>
        <w:rPr>
          <w:rFonts w:hint="eastAsia" w:ascii="宋体" w:hAnsi="宋体" w:eastAsia="宋体" w:cs="宋体"/>
          <w:b/>
          <w:bCs w:val="0"/>
          <w:color w:val="auto"/>
          <w:sz w:val="44"/>
          <w:highlight w:val="none"/>
          <w:lang w:eastAsia="zh-CN"/>
        </w:rPr>
        <w:t xml:space="preserve">（参考）</w:t>
      </w:r>
      <w:r/>
    </w:p>
    <w:p>
      <w:pPr>
        <w:jc w:val="left"/>
        <w:keepLines w:val="0"/>
        <w:keepNext w:val="0"/>
        <w:pageBreakBefore w:val="0"/>
        <w:spacing w:line="360" w:lineRule="auto"/>
        <w:widowControl w:val="off"/>
        <w:rPr>
          <w:rFonts w:hint="eastAsia" w:ascii="宋体" w:hAnsi="宋体" w:eastAsia="宋体" w:cs="宋体"/>
          <w:color w:val="auto"/>
          <w:sz w:val="30"/>
          <w:szCs w:val="30"/>
          <w:highlight w:val="none"/>
        </w:rPr>
      </w:pPr>
      <w:r/>
      <w:bookmarkStart w:id="191" w:name="_Hlt16619369"/>
      <w:r/>
      <w:bookmarkEnd w:id="191"/>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合同编号：</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甲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乙    方：</w:t>
      </w:r>
      <w:r>
        <w:rPr>
          <w:rFonts w:hint="eastAsia" w:ascii="宋体" w:hAnsi="宋体" w:eastAsia="宋体" w:cs="宋体"/>
          <w:sz w:val="28"/>
          <w:szCs w:val="28"/>
          <w:u w:val="single"/>
        </w:rPr>
        <w:t xml:space="preserve">                             </w:t>
      </w:r>
      <w:r/>
    </w:p>
    <w:p>
      <w:pPr>
        <w:ind w:left="420"/>
        <w:spacing w:line="360" w:lineRule="auto"/>
        <w:rPr>
          <w:rFonts w:hint="eastAsia" w:ascii="宋体" w:hAnsi="宋体" w:eastAsia="宋体" w:cs="宋体"/>
          <w:sz w:val="28"/>
          <w:szCs w:val="28"/>
        </w:rPr>
      </w:pPr>
      <w:r>
        <w:rPr>
          <w:rFonts w:hint="eastAsia" w:ascii="宋体" w:hAnsi="宋体" w:eastAsia="宋体" w:cs="宋体"/>
          <w:sz w:val="28"/>
          <w:szCs w:val="28"/>
        </w:rPr>
        <w:t xml:space="preserve">签订时间：</w:t>
      </w:r>
      <w:r>
        <w:rPr>
          <w:rFonts w:hint="eastAsia" w:ascii="宋体" w:hAnsi="宋体" w:eastAsia="宋体" w:cs="宋体"/>
          <w:sz w:val="28"/>
          <w:szCs w:val="28"/>
          <w:u w:val="single"/>
        </w:rPr>
        <w:t xml:space="preserve">                             </w:t>
      </w:r>
      <w:r/>
    </w:p>
    <w:p>
      <w:pPr>
        <w:rPr>
          <w:rFonts w:hint="eastAsia" w:ascii="宋体" w:hAnsi="宋体" w:eastAsia="宋体" w:cs="宋体"/>
          <w:szCs w:val="22"/>
        </w:rPr>
      </w:pPr>
      <w:r>
        <w:rPr>
          <w:rFonts w:hint="eastAsia" w:ascii="宋体" w:hAnsi="宋体" w:eastAsia="宋体" w:cs="宋体"/>
          <w:szCs w:val="22"/>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rPr>
          <w:rFonts w:hint="eastAsia" w:ascii="宋体" w:hAnsi="宋体" w:eastAsia="宋体" w:cs="宋体"/>
          <w:sz w:val="44"/>
          <w:szCs w:val="44"/>
        </w:rPr>
      </w:pPr>
      <w:r>
        <w:rPr>
          <w:rFonts w:hint="eastAsia" w:ascii="宋体" w:hAnsi="宋体" w:eastAsia="宋体" w:cs="宋体"/>
          <w:sz w:val="44"/>
          <w:szCs w:val="44"/>
        </w:rPr>
      </w:r>
      <w:r/>
    </w:p>
    <w:p>
      <w:pPr>
        <w:jc w:val="center"/>
        <w:rPr>
          <w:rFonts w:hint="eastAsia" w:ascii="宋体" w:hAnsi="宋体" w:eastAsia="宋体" w:cs="宋体"/>
          <w:sz w:val="32"/>
          <w:szCs w:val="32"/>
        </w:rPr>
      </w:pPr>
      <w:r>
        <w:rPr>
          <w:rFonts w:hint="eastAsia" w:ascii="宋体" w:hAnsi="宋体" w:eastAsia="宋体" w:cs="宋体"/>
          <w:sz w:val="32"/>
          <w:szCs w:val="32"/>
        </w:rPr>
        <w:t xml:space="preserve">使 用 说 明</w:t>
      </w:r>
      <w:r/>
    </w:p>
    <w:p>
      <w:pPr>
        <w:ind w:firstLine="640"/>
        <w:rPr>
          <w:rFonts w:hint="eastAsia" w:ascii="宋体" w:hAnsi="宋体" w:eastAsia="宋体" w:cs="宋体"/>
          <w:sz w:val="32"/>
          <w:szCs w:val="32"/>
        </w:rPr>
      </w:pPr>
      <w:r>
        <w:rPr>
          <w:rFonts w:hint="eastAsia" w:ascii="宋体" w:hAnsi="宋体" w:eastAsia="宋体" w:cs="宋体"/>
          <w:sz w:val="32"/>
          <w:szCs w:val="32"/>
        </w:rPr>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1.本合同标准文本适用于购买现成货物的采购项目，不包括需要供应商定制开发、创新研发的货物采购项目。</w:t>
      </w:r>
      <w:r/>
    </w:p>
    <w:p>
      <w:pPr>
        <w:rPr>
          <w:rFonts w:hint="eastAsia" w:ascii="宋体" w:hAnsi="宋体" w:eastAsia="宋体" w:cs="宋体"/>
          <w:sz w:val="28"/>
          <w:szCs w:val="28"/>
        </w:rPr>
      </w:pPr>
      <w:r>
        <w:rPr>
          <w:rFonts w:hint="eastAsia" w:ascii="宋体" w:hAnsi="宋体" w:eastAsia="宋体" w:cs="宋体"/>
          <w:sz w:val="28"/>
          <w:szCs w:val="28"/>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rPr>
      </w:pPr>
      <w:r>
        <w:rPr>
          <w:rFonts w:hint="eastAsia" w:ascii="宋体" w:hAnsi="宋体" w:eastAsia="宋体" w:cs="宋体"/>
          <w:sz w:val="28"/>
          <w:szCs w:val="28"/>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eastAsia="宋体" w:cs="宋体"/>
          <w:sz w:val="44"/>
          <w:szCs w:val="44"/>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eastAsia="宋体" w:cs="宋体"/>
          <w:sz w:val="44"/>
          <w:szCs w:val="44"/>
        </w:rPr>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t xml:space="preserve">第一节 政府采购合同协议书</w:t>
      </w:r>
      <w:r/>
    </w:p>
    <w:p>
      <w:pPr>
        <w:jc w:val="center"/>
        <w:keepLines/>
        <w:keepNext/>
        <w:spacing w:before="260" w:after="260" w:line="400" w:lineRule="exact"/>
        <w:rPr>
          <w:rFonts w:hint="eastAsia" w:ascii="宋体" w:hAnsi="宋体" w:eastAsia="宋体" w:cs="宋体"/>
          <w:sz w:val="28"/>
          <w:szCs w:val="28"/>
        </w:rPr>
        <w:outlineLvl w:val="1"/>
      </w:pPr>
      <w:r>
        <w:rPr>
          <w:rFonts w:hint="eastAsia" w:ascii="宋体" w:hAnsi="宋体" w:eastAsia="宋体" w:cs="宋体"/>
          <w:sz w:val="28"/>
          <w:szCs w:val="28"/>
        </w:rPr>
      </w:r>
      <w:r/>
    </w:p>
    <w:p>
      <w:pPr>
        <w:spacing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rPr>
          <w:rFonts w:hint="eastAsia" w:ascii="宋体" w:hAnsi="宋体" w:eastAsia="宋体" w:cs="宋体"/>
          <w:szCs w:val="21"/>
        </w:rPr>
        <w:t xml:space="preserve">（采购人、受采购人委托签订合同的单位或采购文件约定的合同甲方）</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乙方1（全称）：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szCs w:val="21"/>
        </w:rPr>
      </w:pPr>
      <w:r>
        <w:rPr>
          <w:rFonts w:hint="eastAsia" w:ascii="宋体" w:hAnsi="宋体" w:eastAsia="宋体" w:cs="宋体"/>
          <w:szCs w:val="21"/>
        </w:rPr>
        <w:t xml:space="preserve">乙方2（全称）：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1"/>
        </w:rPr>
      </w:pPr>
      <w:r>
        <w:rPr>
          <w:rFonts w:hint="eastAsia" w:ascii="宋体" w:hAnsi="宋体" w:eastAsia="宋体" w:cs="宋体"/>
          <w:szCs w:val="22"/>
        </w:rPr>
        <w:t xml:space="preserve">乙方</w:t>
      </w:r>
      <w:r>
        <w:rPr>
          <w:rFonts w:hint="eastAsia" w:ascii="宋体" w:hAnsi="宋体" w:eastAsia="宋体" w:cs="宋体"/>
          <w:szCs w:val="21"/>
        </w:rPr>
        <w:t xml:space="preserve">3</w:t>
      </w:r>
      <w:r>
        <w:rPr>
          <w:rFonts w:hint="eastAsia" w:ascii="宋体" w:hAnsi="宋体" w:eastAsia="宋体" w:cs="宋体"/>
          <w:szCs w:val="22"/>
        </w:rPr>
        <w:t xml:space="preserve">（全称）</w:t>
      </w:r>
      <w:r>
        <w:rPr>
          <w:rFonts w:hint="eastAsia" w:ascii="宋体" w:hAnsi="宋体" w:eastAsia="宋体" w:cs="宋体"/>
          <w:szCs w:val="21"/>
          <w:u w:val="single"/>
        </w:rPr>
        <w:t xml:space="preserve">                          </w:t>
      </w:r>
      <w:r>
        <w:rPr>
          <w:rFonts w:hint="eastAsia" w:ascii="宋体" w:hAnsi="宋体" w:eastAsia="宋体" w:cs="宋体"/>
          <w:szCs w:val="21"/>
        </w:rPr>
        <w:t xml:space="preserve">（联合体成员供应商或其他合同主体）（如有）</w:t>
      </w:r>
      <w:r/>
    </w:p>
    <w:p>
      <w:pPr>
        <w:spacing w:line="400" w:lineRule="exact"/>
        <w:rPr>
          <w:rFonts w:hint="eastAsia" w:ascii="宋体" w:hAnsi="宋体" w:eastAsia="宋体" w:cs="宋体"/>
          <w:szCs w:val="22"/>
        </w:rPr>
      </w:pPr>
      <w:r>
        <w:rPr>
          <w:rFonts w:hint="eastAsia" w:ascii="宋体" w:hAnsi="宋体" w:eastAsia="宋体" w:cs="宋体"/>
          <w:szCs w:val="22"/>
        </w:rPr>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依据《中华人民共和国民法典</w:t>
      </w:r>
      <w:r>
        <w:rPr>
          <w:rFonts w:hint="eastAsia" w:ascii="宋体" w:hAnsi="宋体" w:eastAsia="宋体" w:cs="宋体"/>
          <w:szCs w:val="21"/>
          <w:lang w:eastAsia="zh-CN"/>
        </w:rPr>
        <w:t xml:space="preserve">》《</w:t>
      </w:r>
      <w:r>
        <w:rPr>
          <w:rFonts w:hint="eastAsia" w:ascii="宋体" w:hAnsi="宋体" w:eastAsia="宋体" w:cs="宋体"/>
          <w:szCs w:val="21"/>
        </w:rPr>
        <w:t xml:space="preserve">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项目信息</w:t>
      </w:r>
      <w:r/>
    </w:p>
    <w:p>
      <w:pPr>
        <w:numPr>
          <w:ilvl w:val="0"/>
          <w:numId w:val="4"/>
        </w:num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采购项目名称：</w:t>
      </w:r>
      <w:r>
        <w:rPr>
          <w:rFonts w:hint="eastAsia" w:ascii="宋体" w:hAnsi="宋体" w:eastAsia="宋体" w:cs="宋体"/>
          <w:szCs w:val="21"/>
          <w:u w:val="single"/>
        </w:rPr>
        <w:t xml:space="preserve">                                          </w:t>
      </w:r>
      <w:r/>
    </w:p>
    <w:p>
      <w:pPr>
        <w:spacing w:line="400" w:lineRule="exact"/>
        <w:tabs>
          <w:tab w:val="left" w:pos="999" w:leader="none"/>
        </w:tabs>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采购标的及数量（台/套</w:t>
      </w:r>
      <w:r>
        <w:rPr>
          <w:rFonts w:hint="eastAsia" w:ascii="宋体" w:hAnsi="宋体" w:eastAsia="宋体" w:cs="宋体"/>
          <w:szCs w:val="21"/>
          <w:lang w:val="en"/>
        </w:rPr>
        <w:t xml:space="preserve">/个/架/组等</w:t>
      </w:r>
      <w:r>
        <w:rPr>
          <w:rFonts w:hint="eastAsia" w:ascii="宋体" w:hAnsi="宋体" w:eastAsia="宋体" w:cs="宋体"/>
          <w:szCs w:val="21"/>
        </w:rPr>
        <w:t xml:space="preserve">）：</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spacing w:line="400" w:lineRule="exact"/>
        <w:rPr>
          <w:rFonts w:hint="eastAsia" w:ascii="宋体" w:hAnsi="宋体" w:eastAsia="宋体" w:cs="宋体"/>
          <w:szCs w:val="21"/>
          <w:lang w:val="en"/>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p>
    <w:p>
      <w:pPr>
        <w:ind w:firstLine="945"/>
        <w:spacing w:line="400" w:lineRule="exact"/>
        <w:rPr>
          <w:rFonts w:hint="eastAsia" w:ascii="宋体" w:hAnsi="宋体" w:eastAsia="宋体" w:cs="宋体"/>
          <w:szCs w:val="21"/>
          <w:u w:val="single"/>
        </w:rPr>
      </w:pPr>
      <w:r>
        <w:rPr>
          <w:rFonts w:hint="eastAsia" w:ascii="宋体" w:hAnsi="宋体" w:eastAsia="宋体" w:cs="宋体"/>
          <w:szCs w:val="21"/>
        </w:rPr>
        <w:t xml:space="preserve">采购标的的技术要求、商务要求具体见附件。</w:t>
      </w:r>
      <w:r/>
    </w:p>
    <w:p>
      <w:pPr>
        <w:ind w:firstLine="945"/>
        <w:spacing w:line="400" w:lineRule="exact"/>
        <w:rPr>
          <w:rFonts w:hint="eastAsia" w:ascii="宋体" w:hAnsi="宋体" w:eastAsia="宋体" w:cs="宋体"/>
          <w:szCs w:val="21"/>
        </w:rPr>
      </w:pPr>
      <w:r>
        <w:rPr>
          <w:rFonts w:hint="eastAsia" w:ascii="宋体" w:hAnsi="宋体" w:eastAsia="宋体" w:cs="宋体"/>
          <w:szCs w:val="21"/>
        </w:rPr>
        <w:t xml:space="preserve">①涉及信息类产品，请填写该产品关键部件的品牌、型号：</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hint="eastAsia"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②涉及车辆采购，请填写是否属于新能源汽车：</w:t>
      </w:r>
      <w:r/>
    </w:p>
    <w:p>
      <w:pPr>
        <w:jc w:val="left"/>
        <w:spacing w:line="400" w:lineRule="exact"/>
        <w:widowControl/>
        <w:rPr>
          <w:rFonts w:ascii="宋体" w:hAnsi="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数量：</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400" w:lineRule="exact"/>
        <w:widowControl/>
        <w:rPr>
          <w:rFonts w:hint="eastAsia" w:ascii="宋体" w:hAnsi="宋体" w:eastAsia="宋体" w:cs="宋体"/>
          <w:szCs w:val="21"/>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þ</w:t>
      </w:r>
      <w:r>
        <w:rPr>
          <w:rFonts w:hint="eastAsia" w:ascii="宋体" w:hAnsi="宋体" w:eastAsia="宋体" w:cs="宋体"/>
          <w:szCs w:val="21"/>
        </w:rPr>
        <w:t xml:space="preserve">分散采购</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þ</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20"/>
        <w:jc w:val="left"/>
        <w:spacing w:line="400" w:lineRule="exact"/>
        <w:widowControl/>
        <w:rPr>
          <w:rFonts w:hint="eastAsia" w:ascii="宋体" w:hAnsi="宋体" w:eastAsia="宋体" w:cs="宋体"/>
          <w:szCs w:val="21"/>
          <w:u w:val="single"/>
        </w:rPr>
      </w:pPr>
      <w:r>
        <w:rPr>
          <w:rFonts w:hint="eastAsia" w:ascii="宋体" w:hAnsi="宋体" w:eastAsia="宋体" w:cs="宋体"/>
          <w:sz w:val="22"/>
          <w:szCs w:val="21"/>
        </w:rPr>
        <w:t xml:space="preserve">                  </w:t>
      </w:r>
      <w:r>
        <w:rPr>
          <w:rFonts w:hint="eastAsia" w:ascii="宋体" w:hAnsi="宋体" w:eastAsia="宋体" w:cs="宋体"/>
          <w:szCs w:val="21"/>
        </w:rPr>
        <w:t xml:space="preserve"></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220"/>
        <w:jc w:val="left"/>
        <w:spacing w:line="400" w:lineRule="exact"/>
        <w:widowControl/>
        <w:rPr>
          <w:rFonts w:hint="eastAsia" w:ascii="宋体" w:hAnsi="宋体" w:eastAsia="宋体" w:cs="宋体"/>
          <w:szCs w:val="21"/>
        </w:rPr>
      </w:pPr>
      <w:r>
        <w:rPr>
          <w:rFonts w:hint="eastAsia" w:ascii="宋体" w:hAnsi="宋体" w:eastAsia="宋体" w:cs="宋体"/>
          <w:sz w:val="22"/>
          <w:szCs w:val="21"/>
        </w:rPr>
        <w:t xml:space="preserve"> （</w:t>
      </w:r>
      <w:r>
        <w:rPr>
          <w:rFonts w:hint="eastAsia" w:ascii="宋体" w:hAnsi="宋体" w:eastAsia="宋体" w:cs="宋体"/>
          <w:sz w:val="22"/>
          <w:szCs w:val="21"/>
          <w:lang w:val="en"/>
        </w:rPr>
        <w:t xml:space="preserve">6</w:t>
      </w:r>
      <w:r>
        <w:rPr>
          <w:rFonts w:hint="eastAsia" w:ascii="宋体" w:hAnsi="宋体" w:eastAsia="宋体" w:cs="宋体"/>
          <w:sz w:val="22"/>
          <w:szCs w:val="21"/>
        </w:rPr>
        <w:t xml:space="preserve">）</w:t>
      </w:r>
      <w:r>
        <w:rPr>
          <w:rFonts w:hint="eastAsia" w:ascii="宋体" w:hAnsi="宋体" w:eastAsia="宋体" w:cs="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若本项目不专门面向中小企业采购，是否给予小微企业评审优惠：</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iCs/>
          <w:szCs w:val="21"/>
        </w:rPr>
      </w:pPr>
      <w:r>
        <w:rPr>
          <w:rFonts w:hint="eastAsia" w:ascii="宋体" w:hAnsi="宋体" w:eastAsia="宋体" w:cs="宋体"/>
          <w:szCs w:val="22"/>
        </w:rPr>
        <w:t xml:space="preserve">        中标（成交）采购标的制造商是否为残疾人福利性单位：</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2"/>
        </w:rPr>
      </w:pPr>
      <w:r>
        <w:rPr>
          <w:rFonts w:hint="eastAsia" w:ascii="宋体" w:hAnsi="宋体" w:eastAsia="宋体" w:cs="宋体"/>
          <w:szCs w:val="22"/>
        </w:rPr>
        <w:t xml:space="preserve">        中标（成交）采购标的制造商是否为监狱企业：</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7</w:t>
      </w:r>
      <w:r>
        <w:rPr>
          <w:rFonts w:hint="eastAsia" w:ascii="宋体" w:hAnsi="宋体" w:eastAsia="宋体" w:cs="宋体"/>
          <w:szCs w:val="21"/>
        </w:rPr>
        <w:t xml:space="preserve">）合同是否分包：</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分包主要内容：</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分包供应商/制造商名称（如供应商和制造商不同，请分别填写）：</w:t>
      </w:r>
      <w:r/>
    </w:p>
    <w:p>
      <w:p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分包供应商/制造商类型（如果供应商和制造商不同，只填写制造商类型）：</w:t>
      </w:r>
      <w:r/>
    </w:p>
    <w:p>
      <w:pPr>
        <w:ind w:firstLine="840"/>
        <w:spacing w:line="400" w:lineRule="exact"/>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小微型企业  </w:t>
      </w:r>
      <w:r/>
    </w:p>
    <w:p>
      <w:pPr>
        <w:ind w:firstLine="840"/>
        <w:spacing w:line="400" w:lineRule="exact"/>
        <w:rPr>
          <w:rFonts w:hint="eastAsia" w:ascii="宋体" w:hAnsi="宋体" w:eastAsia="宋体" w:cs="宋体"/>
          <w:szCs w:val="22"/>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监狱企业 </w:t>
      </w:r>
      <w:r>
        <w:rPr>
          <w:rFonts w:ascii="Wingdings" w:hAnsi="Wingdings" w:eastAsia="Wingdings" w:cs="Wingdings"/>
          <w:iCs/>
          <w:szCs w:val="21"/>
        </w:rPr>
        <w:t xml:space="preserve"></w:t>
      </w:r>
      <w:r>
        <w:rPr>
          <w:rFonts w:hint="eastAsia" w:ascii="宋体" w:hAnsi="宋体" w:eastAsia="宋体" w:cs="宋体"/>
          <w:iCs/>
          <w:szCs w:val="21"/>
        </w:rPr>
        <w:t xml:space="preserve">其他</w:t>
      </w:r>
      <w:r/>
    </w:p>
    <w:p>
      <w:pPr>
        <w:spacing w:line="400" w:lineRule="exact"/>
        <w:rPr>
          <w:rFonts w:hint="eastAsia" w:ascii="宋体" w:hAnsi="宋体" w:eastAsia="宋体" w:cs="宋体"/>
          <w:iCs/>
          <w:szCs w:val="21"/>
        </w:rPr>
      </w:pPr>
      <w:r>
        <w:rPr>
          <w:rFonts w:hint="eastAsia" w:ascii="宋体" w:hAnsi="宋体" w:eastAsia="宋体" w:cs="宋体"/>
          <w:szCs w:val="21"/>
        </w:rPr>
        <w:t xml:space="preserve">    （</w:t>
      </w:r>
      <w:r>
        <w:rPr>
          <w:rFonts w:hint="eastAsia"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hint="default" w:ascii="Wingdings" w:hAnsi="Wingdings" w:eastAsia="Wingdings" w:cs="Wingdings"/>
          <w:sz w:val="21"/>
          <w:szCs w:val="21"/>
          <w:lang w:val="en-US" w:eastAsia="zh-CN" w:bidi="ar-SA"/>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hint="eastAsia"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84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840"/>
        <w:spacing w:line="400" w:lineRule="exact"/>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0</w:t>
      </w:r>
      <w:r>
        <w:rPr>
          <w:rFonts w:hint="eastAsia" w:ascii="宋体" w:hAnsi="宋体" w:eastAsia="宋体" w:cs="宋体"/>
          <w:szCs w:val="21"/>
        </w:rPr>
        <w:t xml:space="preserve">）是否涉及节能产品：</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是否涉及环境标志产品：</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是否涉及绿色产品： </w:t>
      </w:r>
      <w:r/>
    </w:p>
    <w:p>
      <w:pPr>
        <w:ind w:firstLine="420"/>
        <w:jc w:val="left"/>
        <w:spacing w:line="400" w:lineRule="exact"/>
        <w:widowControl/>
        <w:rPr>
          <w:rFonts w:hint="eastAsia" w:ascii="宋体" w:hAnsi="宋体" w:eastAsia="宋体" w:cs="宋体"/>
          <w:sz w:val="22"/>
          <w:szCs w:val="21"/>
          <w:u w:val="single"/>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是，绿色产品政府采购相关政策确定的底级品目名称：</w:t>
      </w:r>
      <w:r>
        <w:rPr>
          <w:rFonts w:hint="eastAsia" w:ascii="宋体" w:hAnsi="宋体" w:eastAsia="宋体" w:cs="宋体"/>
          <w:sz w:val="22"/>
          <w:szCs w:val="21"/>
          <w:u w:val="single"/>
        </w:rPr>
        <w:t xml:space="preserve">         </w:t>
      </w:r>
      <w:r/>
    </w:p>
    <w:p>
      <w:p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强制采购      </w:t>
      </w:r>
      <w:r>
        <w:rPr>
          <w:rFonts w:ascii="Wingdings" w:hAnsi="Wingdings" w:eastAsia="Wingdings" w:cs="Wingdings"/>
          <w:iCs/>
          <w:szCs w:val="21"/>
        </w:rPr>
        <w:t xml:space="preserve"></w:t>
      </w:r>
      <w:r>
        <w:rPr>
          <w:rFonts w:hint="eastAsia" w:ascii="宋体" w:hAnsi="宋体" w:eastAsia="宋体" w:cs="宋体"/>
          <w:iCs/>
          <w:szCs w:val="21"/>
        </w:rPr>
        <w:t xml:space="preserve">优先采购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iCs/>
          <w:szCs w:val="21"/>
        </w:rPr>
        <w:t xml:space="preserve"></w:t>
      </w:r>
      <w:r>
        <w:rPr>
          <w:rFonts w:hint="eastAsia" w:ascii="宋体" w:hAnsi="宋体" w:eastAsia="宋体" w:cs="宋体"/>
          <w:szCs w:val="21"/>
        </w:rPr>
        <w:t xml:space="preserve">否</w:t>
      </w:r>
      <w:r/>
    </w:p>
    <w:p>
      <w:pPr>
        <w:spacing w:line="400" w:lineRule="exact"/>
        <w:rPr>
          <w:rFonts w:hint="eastAsia" w:ascii="宋体" w:hAnsi="宋体" w:eastAsia="宋体" w:cs="宋体"/>
          <w:szCs w:val="21"/>
        </w:rPr>
      </w:pPr>
      <w:r>
        <w:rPr>
          <w:rFonts w:hint="eastAsia" w:ascii="宋体" w:hAnsi="宋体" w:eastAsia="宋体" w:cs="宋体"/>
          <w:szCs w:val="21"/>
        </w:rPr>
        <w:t xml:space="preserve">    （1</w:t>
      </w:r>
      <w:r>
        <w:rPr>
          <w:rFonts w:hint="eastAsia" w:ascii="宋体" w:hAnsi="宋体" w:eastAsia="宋体" w:cs="宋体"/>
          <w:szCs w:val="21"/>
          <w:lang w:val="en"/>
        </w:rPr>
        <w:t xml:space="preserve">1</w:t>
      </w:r>
      <w:r>
        <w:rPr>
          <w:rFonts w:hint="eastAsia" w:ascii="宋体" w:hAnsi="宋体" w:eastAsia="宋体" w:cs="宋体"/>
          <w:szCs w:val="21"/>
        </w:rPr>
        <w:t xml:space="preserve">）涉及商品包装和快递包装的，是否参考《商品包装政府采购需求标准（试行）</w:t>
      </w:r>
      <w:r>
        <w:rPr>
          <w:rFonts w:hint="eastAsia" w:ascii="宋体" w:hAnsi="宋体" w:eastAsia="宋体" w:cs="宋体"/>
          <w:szCs w:val="21"/>
          <w:lang w:eastAsia="zh-CN"/>
        </w:rPr>
        <w:t xml:space="preserve">》《</w:t>
      </w:r>
      <w:r>
        <w:rPr>
          <w:rFonts w:hint="eastAsia" w:ascii="宋体" w:hAnsi="宋体" w:eastAsia="宋体" w:cs="宋体"/>
          <w:szCs w:val="21"/>
        </w:rPr>
        <w:t xml:space="preserve">快递包装政府采购需求标准（试行）》明确产品及相关快递服务的具体包装要求：</w:t>
      </w:r>
      <w:r/>
    </w:p>
    <w:p>
      <w:pPr>
        <w:ind w:firstLine="840"/>
        <w:spacing w:line="400" w:lineRule="exact"/>
        <w:rPr>
          <w:rFonts w:hint="eastAsia" w:ascii="宋体" w:hAnsi="宋体" w:eastAsia="宋体" w:cs="宋体"/>
          <w:szCs w:val="21"/>
        </w:rPr>
      </w:pPr>
      <w:r>
        <w:rPr>
          <w:rFonts w:ascii="Wingdings" w:hAnsi="Wingdings" w:eastAsia="Wingdings" w:cs="Wingdings"/>
          <w:iCs/>
          <w:szCs w:val="21"/>
        </w:rPr>
        <w:t xml:space="preserve"></w:t>
      </w:r>
      <w:r>
        <w:rPr>
          <w:rFonts w:hint="eastAsia" w:ascii="宋体" w:hAnsi="宋体" w:eastAsia="宋体" w:cs="宋体"/>
          <w:szCs w:val="21"/>
        </w:rPr>
        <w:t xml:space="preserve">是       </w:t>
      </w:r>
      <w:r>
        <w:rPr>
          <w:rFonts w:ascii="Wingdings" w:hAnsi="Wingdings" w:eastAsia="Wingdings" w:cs="Wingdings"/>
          <w:iCs/>
          <w:szCs w:val="21"/>
        </w:rPr>
        <w:t xml:space="preserve"></w:t>
      </w:r>
      <w:r>
        <w:rPr>
          <w:rFonts w:hint="eastAsia" w:ascii="宋体" w:hAnsi="宋体" w:eastAsia="宋体" w:cs="宋体"/>
          <w:szCs w:val="21"/>
        </w:rPr>
        <w:t xml:space="preserve">否      </w:t>
      </w:r>
      <w:r>
        <w:rPr>
          <w:rFonts w:ascii="Wingdings" w:hAnsi="Wingdings" w:eastAsia="Wingdings" w:cs="Wingdings"/>
          <w:iCs/>
          <w:szCs w:val="21"/>
        </w:rPr>
        <w:t xml:space="preserve"></w:t>
      </w:r>
      <w:r>
        <w:rPr>
          <w:rFonts w:hint="eastAsia" w:ascii="宋体" w:hAnsi="宋体" w:eastAsia="宋体" w:cs="宋体"/>
          <w:szCs w:val="21"/>
        </w:rPr>
        <w:t xml:space="preserve">不涉及</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合同金额</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分包金额（如有）小写：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p>
    <w:p>
      <w:pPr>
        <w:spacing w:line="400" w:lineRule="exact"/>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r/>
    </w:p>
    <w:p>
      <w:pPr>
        <w:spacing w:line="400" w:lineRule="exact"/>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r/>
    </w:p>
    <w:p>
      <w:pPr>
        <w:ind w:firstLine="420"/>
        <w:spacing w:line="400" w:lineRule="exact"/>
        <w:rPr>
          <w:rFonts w:hint="eastAsia" w:ascii="宋体" w:hAnsi="宋体" w:eastAsia="宋体" w:cs="宋体"/>
          <w:szCs w:val="21"/>
        </w:rPr>
      </w:pP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w:t>
      </w:r>
      <w:r>
        <w:rPr>
          <w:rFonts w:hint="eastAsia" w:ascii="宋体" w:hAnsi="宋体" w:eastAsia="宋体" w:cs="宋体"/>
          <w:iCs/>
          <w:szCs w:val="21"/>
        </w:rPr>
        <w:t xml:space="preserve">固定单价 </w:t>
      </w:r>
      <w:r>
        <w:rPr>
          <w:rFonts w:ascii="Wingdings" w:hAnsi="Wingdings" w:eastAsia="Wingdings" w:cs="Wingdings"/>
          <w:iCs/>
          <w:szCs w:val="21"/>
        </w:rPr>
        <w:t xml:space="preserve"></w:t>
      </w:r>
      <w:r>
        <w:rPr>
          <w:rFonts w:hint="eastAsia" w:ascii="宋体" w:hAnsi="宋体" w:eastAsia="宋体" w:cs="宋体"/>
          <w:iCs/>
          <w:szCs w:val="21"/>
        </w:rPr>
        <w:t xml:space="preserve">固定费率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 </w:t>
      </w:r>
      <w:r>
        <w:rPr>
          <w:rFonts w:ascii="Wingdings" w:hAnsi="Wingdings" w:eastAsia="Wingdings" w:cs="Wingdings"/>
          <w:iCs/>
          <w:szCs w:val="21"/>
        </w:rPr>
        <w:t xml:space="preserve"></w:t>
      </w:r>
      <w:r>
        <w:rPr>
          <w:rFonts w:hint="eastAsia" w:ascii="宋体" w:hAnsi="宋体" w:eastAsia="宋体" w:cs="宋体"/>
          <w:iCs/>
          <w:szCs w:val="21"/>
        </w:rPr>
        <w:t xml:space="preserve">其他</w:t>
      </w:r>
      <w:r>
        <w:rPr>
          <w:rFonts w:hint="eastAsia" w:ascii="宋体" w:hAnsi="宋体" w:eastAsia="宋体" w:cs="宋体"/>
          <w:szCs w:val="21"/>
          <w:u w:val="single"/>
        </w:rPr>
        <w:t xml:space="preserve">       </w:t>
      </w:r>
      <w:r/>
    </w:p>
    <w:p>
      <w:pPr>
        <w:contextualSpacing/>
        <w:ind w:firstLine="420"/>
        <w:jc w:val="left"/>
        <w:spacing w:line="400" w:lineRule="exact"/>
        <w:widowControl/>
        <w:rPr>
          <w:rFonts w:hint="eastAsia" w:ascii="宋体" w:hAnsi="宋体" w:eastAsia="宋体" w:cs="宋体"/>
          <w:szCs w:val="21"/>
          <w:lang w:bidi="en-US"/>
        </w:rPr>
      </w:pPr>
      <w:r>
        <w:rPr>
          <w:rFonts w:hint="eastAsia" w:ascii="宋体" w:hAnsi="宋体" w:eastAsia="宋体" w:cs="宋体"/>
          <w:szCs w:val="21"/>
          <w:lang w:bidi="en-US"/>
        </w:rPr>
        <w:t xml:space="preserve">（3）付款方式（按项目实际勾选填写）：</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p>
    <w:p>
      <w:pPr>
        <w:ind w:firstLine="630"/>
        <w:spacing w:line="400" w:lineRule="exact"/>
        <w:rPr>
          <w:rFonts w:hint="eastAsia" w:ascii="宋体" w:hAnsi="宋体" w:eastAsia="宋体" w:cs="宋体"/>
          <w:szCs w:val="22"/>
        </w:rPr>
      </w:pPr>
      <w:r>
        <w:rPr>
          <w:rFonts w:ascii="Wingdings" w:hAnsi="Wingdings" w:eastAsia="Wingdings" w:cs="Wingdings"/>
          <w:iCs/>
          <w:szCs w:val="21"/>
        </w:rPr>
        <w:t xml:space="preserve"></w:t>
      </w:r>
      <w:r>
        <w:rPr>
          <w:rFonts w:hint="eastAsia" w:ascii="宋体" w:hAnsi="宋体" w:eastAsia="宋体" w:cs="宋体"/>
          <w:szCs w:val="21"/>
        </w:rPr>
        <w:t xml:space="preserve">分期付款：</w:t>
      </w:r>
      <w:r>
        <w:rPr>
          <w:rFonts w:hint="eastAsia" w:ascii="宋体" w:hAnsi="宋体" w:eastAsia="宋体" w:cs="宋体"/>
          <w:szCs w:val="21"/>
          <w:u w:val="single"/>
        </w:rPr>
        <w:t xml:space="preserve">  （应明确分期支付合同款项的各期比例和支付条件，各期支付条件应与分期履约验收情况挂钩） </w:t>
      </w:r>
      <w:r>
        <w:rPr>
          <w:rFonts w:hint="eastAsia" w:ascii="宋体" w:hAnsi="宋体" w:eastAsia="宋体" w:cs="宋体"/>
          <w:szCs w:val="21"/>
        </w:rPr>
        <w:t xml:space="preserve">，其中涉及预付款的：</w:t>
      </w:r>
      <w:r>
        <w:rPr>
          <w:rFonts w:hint="eastAsia" w:ascii="宋体" w:hAnsi="宋体" w:eastAsia="宋体" w:cs="宋体"/>
          <w:szCs w:val="21"/>
          <w:u w:val="single"/>
        </w:rPr>
        <w:t xml:space="preserve"> （应明确预付款的支付比例和支付条件）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p>
    <w:p>
      <w:pPr>
        <w:ind w:firstLine="630"/>
        <w:spacing w:line="400" w:lineRule="exact"/>
        <w:rPr>
          <w:rFonts w:hint="eastAsia" w:ascii="宋体" w:hAnsi="宋体" w:eastAsia="宋体" w:cs="宋体"/>
          <w:szCs w:val="21"/>
          <w:u w:val="single"/>
        </w:rPr>
      </w:pPr>
      <w:r>
        <w:rPr>
          <w:rFonts w:ascii="Wingdings" w:hAnsi="Wingdings" w:eastAsia="Wingdings" w:cs="Wingdings"/>
          <w:iC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eastAsia="宋体" w:cs="宋体"/>
          <w:b/>
          <w:szCs w:val="21"/>
          <w:u w:val="single"/>
        </w:rPr>
      </w:pPr>
      <w:r>
        <w:rPr>
          <w:rFonts w:hint="eastAsia" w:ascii="宋体" w:hAnsi="宋体" w:eastAsia="宋体" w:cs="宋体"/>
          <w:b/>
          <w:szCs w:val="21"/>
        </w:rPr>
        <w:t xml:space="preserve">合同履行</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szCs w:val="22"/>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þ</w:t>
      </w:r>
      <w:r>
        <w:rPr>
          <w:rFonts w:hint="eastAsia" w:ascii="宋体" w:hAnsi="宋体" w:eastAsia="宋体" w:cs="宋体"/>
          <w:szCs w:val="21"/>
        </w:rPr>
        <w:t xml:space="preserve">否</w:t>
      </w:r>
      <w:r/>
    </w:p>
    <w:p>
      <w:pPr>
        <w:ind w:firstLine="440"/>
        <w:jc w:val="left"/>
        <w:spacing w:line="400" w:lineRule="exact"/>
        <w:widowControl/>
        <w:rPr>
          <w:rFonts w:hint="eastAsia" w:ascii="宋体" w:hAnsi="宋体" w:eastAsia="宋体" w:cs="宋体"/>
          <w:szCs w:val="21"/>
        </w:rPr>
      </w:pPr>
      <w:r>
        <w:rPr>
          <w:rFonts w:hint="eastAsia" w:ascii="宋体" w:hAnsi="宋体" w:eastAsia="宋体" w:cs="宋体"/>
          <w:bCs/>
          <w:sz w:val="22"/>
          <w:szCs w:val="21"/>
        </w:rPr>
        <w:t xml:space="preserve"> </w:t>
      </w:r>
      <w:r>
        <w:rPr>
          <w:rFonts w:hint="eastAsia" w:ascii="宋体" w:hAnsi="宋体" w:eastAsia="宋体" w:cs="宋体"/>
          <w:szCs w:val="21"/>
        </w:rPr>
        <w:t xml:space="preserve">收取履约保证金形式：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szCs w:val="21"/>
        </w:rPr>
        <w:t xml:space="preserve"> 如以履约保函（保险）形式缴纳履约保证金，供应商可通过政府采购电子履约保函（保险）平台（www.jsdzbh.com）在线申请履约保函（保险）。</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合同履行结束后，甲方应及时退还交纳的履约保证金。</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履约保证金的退还：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（1）方式：退还至乙方缴纳履约保证金的账户。如为保函（保险），在到期时自行失效。</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（2）时间：验收合格且甲方收到发票后30日内。</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（3）条件：按合同要求全部履约完成并经甲方验收合格，且甲方收到乙方出具的发票。</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（4）不予退还情形：</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除不可抗力情况外，乙方出现下列情形之一的，其履约保证金，甲方将视情节决定不予退还或部分不予退还。</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4.1乙方无正当理由拒绝签订合同的，或者在签订合同时向甲方提出附加条件或者更改合同实质性内容要求的；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4.2乙方不履行与甲方订立的合同的；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4.3乙方所供货物或服务不符合招标文件规定要求的；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4.4乙方采取欺骗、弄虚作假方式投标的或与其他投标人串通投标的；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4.5乙方将合同内容转包、违法分包的；</w:t>
      </w:r>
      <w:r/>
    </w:p>
    <w:p>
      <w:pPr>
        <w:ind w:firstLine="420"/>
        <w:jc w:val="left"/>
        <w:spacing w:line="400" w:lineRule="exact"/>
        <w:widowControl/>
        <w:rPr>
          <w:rFonts w:hint="eastAsia" w:ascii="宋体" w:hAnsi="宋体" w:eastAsia="宋体" w:cs="宋体"/>
          <w:bCs/>
          <w:szCs w:val="21"/>
          <w:u w:val="single"/>
        </w:rPr>
      </w:pPr>
      <w:r>
        <w:rPr>
          <w:rFonts w:hint="eastAsia" w:ascii="宋体" w:hAnsi="宋体" w:eastAsia="宋体" w:cs="宋体"/>
          <w:bCs/>
          <w:szCs w:val="21"/>
          <w:u w:val="single"/>
        </w:rPr>
        <w:t xml:space="preserve">4.6乙方故意捏造事实或伪造证明材料，进行虚假恶意投诉或反映的。</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 收取</w:t>
      </w:r>
      <w:bookmarkStart w:id="192" w:name="OLE_LINK22"/>
      <w:r>
        <w:rPr>
          <w:rFonts w:hint="eastAsia" w:ascii="宋体" w:hAnsi="宋体" w:eastAsia="宋体" w:cs="宋体"/>
          <w:szCs w:val="21"/>
        </w:rPr>
        <w:t xml:space="preserve">履约保证金金额：</w:t>
      </w:r>
      <w:r>
        <w:rPr>
          <w:rFonts w:hint="eastAsia" w:ascii="宋体" w:hAnsi="宋体" w:eastAsia="宋体" w:cs="宋体"/>
          <w:bCs/>
          <w:szCs w:val="21"/>
          <w:u w:val="single"/>
        </w:rPr>
        <w:t xml:space="preserve"> （合同金额的10%）</w:t>
      </w:r>
      <w:bookmarkEnd w:id="192"/>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2"/>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5"/>
        </w:num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iCs/>
          <w:szCs w:val="21"/>
        </w:rPr>
        <w:t xml:space="preserve"></w:t>
      </w:r>
      <w:r>
        <w:rPr>
          <w:rFonts w:hint="eastAsia" w:ascii="宋体" w:hAnsi="宋体" w:eastAsia="宋体" w:cs="宋体"/>
          <w:bCs/>
          <w:szCs w:val="21"/>
        </w:rPr>
        <w:t xml:space="preserve">自行组织 </w:t>
      </w:r>
      <w:r>
        <w:rPr>
          <w:rFonts w:ascii="Wingdings" w:hAnsi="Wingdings" w:eastAsia="Wingdings" w:cs="Wingdings"/>
          <w:iCs/>
          <w:szCs w:val="21"/>
        </w:rPr>
        <w:t xml:space="preserve">¨</w:t>
      </w:r>
      <w:r>
        <w:rPr>
          <w:rFonts w:hint="eastAsia" w:ascii="宋体" w:hAnsi="宋体" w:eastAsia="宋体" w:cs="宋体"/>
          <w:bCs/>
          <w:szCs w:val="21"/>
        </w:rPr>
        <w:t xml:space="preserve">委托第三方组织</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验收主体：</w:t>
      </w:r>
      <w:r>
        <w:rPr>
          <w:rFonts w:hint="eastAsia" w:ascii="宋体" w:hAnsi="宋体" w:eastAsia="宋体" w:cs="宋体"/>
          <w:bCs/>
          <w:szCs w:val="21"/>
          <w:u w:val="single"/>
        </w:rPr>
        <w:t xml:space="preserve">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是否邀请本项目的其他供应商参加验收：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rPr>
      </w:pPr>
      <w:r>
        <w:rPr>
          <w:rFonts w:hint="eastAsia" w:ascii="宋体" w:hAnsi="宋体" w:eastAsia="宋体" w:cs="宋体"/>
          <w:bCs/>
          <w:szCs w:val="21"/>
        </w:rPr>
        <w:t xml:space="preserve">是否进行抽查检测：</w:t>
      </w:r>
      <w:r>
        <w:rPr>
          <w:rFonts w:ascii="Wingdings" w:hAnsi="Wingdings" w:eastAsia="Wingdings" w:cs="Wingdings"/>
          <w:iCs/>
          <w:szCs w:val="21"/>
        </w:rPr>
        <w:t xml:space="preserve"></w:t>
      </w:r>
      <w:r>
        <w:rPr>
          <w:rFonts w:hint="eastAsia" w:ascii="宋体" w:hAnsi="宋体" w:eastAsia="宋体" w:cs="宋体"/>
          <w:bCs/>
          <w:szCs w:val="21"/>
        </w:rPr>
        <w:t xml:space="preserve">是，抽查比例：</w:t>
      </w:r>
      <w:r>
        <w:rPr>
          <w:rFonts w:hint="eastAsia" w:ascii="宋体" w:hAnsi="宋体" w:eastAsia="宋体" w:cs="宋体"/>
          <w:bCs/>
          <w:szCs w:val="21"/>
          <w:u w:val="single"/>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是否存在破坏性检测：</w:t>
      </w:r>
      <w:r>
        <w:rPr>
          <w:rFonts w:ascii="Wingdings" w:hAnsi="Wingdings" w:eastAsia="Wingdings" w:cs="Wingdings"/>
          <w:iCs/>
          <w:szCs w:val="21"/>
        </w:rPr>
        <w:t xml:space="preserve"></w:t>
      </w:r>
      <w:r>
        <w:rPr>
          <w:rFonts w:hint="eastAsia" w:ascii="宋体" w:hAnsi="宋体" w:eastAsia="宋体" w:cs="宋体"/>
          <w:bCs/>
          <w:szCs w:val="21"/>
        </w:rPr>
        <w:t xml:space="preserve">是，</w:t>
      </w:r>
      <w:r>
        <w:rPr>
          <w:rFonts w:hint="eastAsia" w:ascii="宋体" w:hAnsi="宋体" w:eastAsia="宋体" w:cs="宋体"/>
          <w:bCs/>
          <w:szCs w:val="21"/>
          <w:u w:val="single"/>
        </w:rPr>
        <w:t xml:space="preserve">（应明确对被破坏的检测产品的处理方式）</w:t>
      </w:r>
      <w:r/>
    </w:p>
    <w:p>
      <w:pPr>
        <w:ind w:firstLine="525"/>
        <w:spacing w:line="400" w:lineRule="exact"/>
        <w:rPr>
          <w:rFonts w:hint="eastAsia" w:ascii="宋体" w:hAnsi="宋体" w:eastAsia="宋体" w:cs="宋体"/>
          <w:bCs/>
          <w:szCs w:val="21"/>
        </w:rPr>
      </w:pP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525"/>
        <w:spacing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iCs/>
          <w:szCs w:val="21"/>
        </w:rPr>
        <w:t xml:space="preserve"></w:t>
      </w:r>
      <w:r>
        <w:rPr>
          <w:rFonts w:hint="eastAsia" w:ascii="宋体" w:hAnsi="宋体" w:eastAsia="宋体" w:cs="宋体"/>
          <w:bCs/>
          <w:szCs w:val="21"/>
        </w:rPr>
        <w:t xml:space="preserve">一次性验收         </w:t>
      </w:r>
      <w:r/>
    </w:p>
    <w:p>
      <w:pPr>
        <w:spacing w:line="400" w:lineRule="exact"/>
        <w:rPr>
          <w:rFonts w:hint="eastAsia" w:ascii="宋体" w:hAnsi="宋体" w:eastAsia="宋体" w:cs="宋体"/>
          <w:bCs/>
          <w:szCs w:val="21"/>
        </w:rPr>
      </w:pPr>
      <w:r>
        <w:rPr>
          <w:rFonts w:hint="eastAsia" w:ascii="宋体" w:hAnsi="宋体" w:eastAsia="宋体" w:cs="宋体"/>
          <w:bCs/>
          <w:szCs w:val="21"/>
        </w:rPr>
        <w:t xml:space="preserve">                       </w:t>
      </w:r>
      <w:r>
        <w:rPr>
          <w:rFonts w:ascii="Wingdings" w:hAnsi="Wingdings" w:eastAsia="Wingdings" w:cs="Wingdings"/>
          <w:iCs/>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u w:val="single"/>
        </w:rPr>
        <w:t xml:space="preserve"> （应明确分期</w:t>
      </w:r>
      <w:r>
        <w:rPr>
          <w:rFonts w:hint="eastAsia" w:ascii="宋体" w:hAnsi="宋体" w:eastAsia="宋体" w:cs="宋体"/>
          <w:bCs/>
          <w:szCs w:val="21"/>
          <w:u w:val="single"/>
          <w:lang w:val="en"/>
        </w:rPr>
        <w:t xml:space="preserve">/分项验收的工作安排</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rPr>
        <w:t xml:space="preserve">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rPr>
        <w:t xml:space="preserve">                                         </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iCs/>
          <w:szCs w:val="21"/>
        </w:rPr>
        <w:t xml:space="preserve"></w:t>
      </w:r>
      <w:r>
        <w:rPr>
          <w:rFonts w:hint="eastAsia" w:ascii="宋体" w:hAnsi="宋体" w:eastAsia="宋体" w:cs="宋体"/>
          <w:bCs/>
          <w:szCs w:val="21"/>
        </w:rPr>
        <w:t xml:space="preserve">是  </w:t>
      </w:r>
      <w:r>
        <w:rPr>
          <w:rFonts w:ascii="Wingdings" w:hAnsi="Wingdings" w:eastAsia="Wingdings" w:cs="Wingdings"/>
          <w:iCs/>
          <w:szCs w:val="21"/>
        </w:rPr>
        <w:t xml:space="preserve"></w:t>
      </w:r>
      <w:r>
        <w:rPr>
          <w:rFonts w:hint="eastAsia" w:ascii="宋体" w:hAnsi="宋体" w:eastAsia="宋体" w:cs="宋体"/>
          <w:bCs/>
          <w:szCs w:val="21"/>
        </w:rPr>
        <w:t xml:space="preserve">否</w:t>
      </w:r>
      <w:r/>
    </w:p>
    <w:p>
      <w:pPr>
        <w:ind w:firstLine="420"/>
        <w:spacing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（2）政府采购合同专用条款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（3）政府采购合同通用条款</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（4）中标（成交）通知书</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（5）投标（响应）文件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3"/>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份，甲方执</w:t>
      </w:r>
      <w:r>
        <w:rPr>
          <w:rFonts w:hint="eastAsia" w:ascii="宋体" w:hAnsi="宋体" w:eastAsia="宋体" w:cs="宋体"/>
          <w:szCs w:val="21"/>
          <w:u w:val="single"/>
        </w:rPr>
        <w:t xml:space="preserve">    </w:t>
      </w:r>
      <w:r>
        <w:rPr>
          <w:rFonts w:hint="eastAsia" w:ascii="宋体" w:hAnsi="宋体" w:eastAsia="宋体" w:cs="宋体"/>
          <w:szCs w:val="21"/>
        </w:rPr>
        <w:t xml:space="preserve">份，乙方执</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line="400" w:lineRule="exact"/>
        <w:rPr>
          <w:rFonts w:hint="eastAsia" w:ascii="宋体" w:hAnsi="宋体" w:eastAsia="宋体" w:cs="宋体"/>
          <w:b/>
          <w:bCs/>
          <w:szCs w:val="21"/>
        </w:rPr>
      </w:pPr>
      <w:r>
        <w:rPr>
          <w:rFonts w:hint="eastAsia" w:ascii="宋体" w:hAnsi="宋体" w:eastAsia="宋体" w:cs="宋体"/>
          <w:szCs w:val="21"/>
        </w:rPr>
        <w:t xml:space="preserve">附件：具体标的及其技术要求和商务要求、联合协议、分包意向协议等</w:t>
      </w:r>
      <w:r>
        <w:rPr>
          <w:rFonts w:hint="eastAsia" w:ascii="宋体" w:hAnsi="宋体" w:eastAsia="宋体" w:cs="宋体"/>
          <w:szCs w:val="22"/>
          <w:lang w:val="en"/>
        </w:rPr>
        <w:t xml:space="preserve">   </w:t>
      </w:r>
      <w:r/>
    </w:p>
    <w:p>
      <w:pPr>
        <w:contextualSpacing/>
        <w:ind w:left="720"/>
        <w:jc w:val="left"/>
        <w:widowControl/>
        <w:rPr>
          <w:rFonts w:hint="eastAsia" w:ascii="宋体" w:hAnsi="宋体" w:eastAsia="宋体" w:cs="宋体"/>
          <w:sz w:val="24"/>
          <w:lang w:bidi="en-US"/>
        </w:rPr>
      </w:pPr>
      <w:r>
        <w:rPr>
          <w:rFonts w:hint="eastAsia" w:ascii="宋体" w:hAnsi="宋体" w:eastAsia="宋体" w:cs="宋体"/>
          <w:sz w:val="24"/>
          <w:lang w:bidi="en-US"/>
        </w:rPr>
      </w:r>
      <w:r/>
    </w:p>
    <w:tbl>
      <w:tblPr>
        <w:tblStyle w:val="81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szCs w:val="22"/>
              </w:rPr>
            </w:pPr>
            <w:r>
              <w:rPr>
                <w:rFonts w:hint="eastAsia" w:ascii="宋体" w:hAnsi="宋体" w:eastAsia="宋体" w:cs="宋体"/>
                <w:szCs w:val="21"/>
              </w:rPr>
              <w:t xml:space="preserve">甲方（采购人、受采购人委托签订合同的单位或采购文件约定的合同甲方）</w:t>
            </w:r>
            <w:r/>
          </w:p>
        </w:tc>
        <w:tc>
          <w:tcPr>
            <w:gridSpan w:val="2"/>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jc w:val="center"/>
              <w:spacing w:line="300" w:lineRule="exact"/>
              <w:rPr>
                <w:rFonts w:hint="eastAsia" w:ascii="宋体" w:hAnsi="宋体" w:eastAsia="宋体" w:cs="宋体"/>
                <w:szCs w:val="22"/>
                <w:lang w:eastAsia="en-US"/>
              </w:rPr>
            </w:pPr>
            <w:r>
              <w:rPr>
                <w:rFonts w:hint="eastAsia" w:ascii="宋体" w:hAnsi="宋体" w:eastAsia="宋体" w:cs="宋体"/>
                <w:szCs w:val="21"/>
                <w:lang w:eastAsia="en-US"/>
              </w:rPr>
              <w:t xml:space="preserve">乙方（供应商）</w:t>
            </w:r>
            <w:r/>
          </w:p>
        </w:tc>
      </w:tr>
      <w:tr>
        <w:trPr>
          <w:trHeight w:val="917"/>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1"/>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Borders>
              <w:top w:val="single" w:color="auto" w:sz="2" w:space="0"/>
              <w:left w:val="single" w:color="auto" w:sz="4"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0" w:type="auto"/>
            <w:vAlign w:val="center"/>
            <w:vMerge w:val="continue"/>
            <w:textDirection w:val="lrTb"/>
            <w:noWrap w:val="false"/>
          </w:tcPr>
          <w:p>
            <w:pPr>
              <w:jc w:val="left"/>
              <w:widowControl/>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拥有者性别</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住  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 系 人</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联系电话</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通信地址</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邮政编码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电子邮箱</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统一社会信用代码</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开户名称</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开户银行</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483"/>
        </w:trPr>
        <w:tc>
          <w:tcPr>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szCs w:val="21"/>
                <w:lang w:eastAsia="en-US"/>
              </w:rPr>
            </w:pPr>
            <w:r>
              <w:rPr>
                <w:rFonts w:hint="eastAsia" w:ascii="宋体" w:hAnsi="宋体" w:eastAsia="宋体" w:cs="宋体"/>
                <w:szCs w:val="21"/>
                <w:lang w:eastAsia="en-US"/>
              </w:rPr>
              <w:t xml:space="preserve">银行账号</w:t>
            </w:r>
            <w:r/>
          </w:p>
        </w:tc>
        <w:tc>
          <w:tcPr>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jc w:val="center"/>
              <w:spacing w:line="300" w:lineRule="exact"/>
              <w:rPr>
                <w:rFonts w:hint="eastAsia" w:ascii="宋体" w:hAnsi="宋体" w:eastAsia="宋体" w:cs="宋体"/>
                <w:spacing w:val="20"/>
                <w:szCs w:val="21"/>
                <w:lang w:eastAsia="en-US"/>
              </w:rPr>
            </w:pPr>
            <w:r>
              <w:rPr>
                <w:rFonts w:hint="eastAsia" w:ascii="宋体" w:hAnsi="宋体" w:eastAsia="宋体" w:cs="宋体"/>
                <w:spacing w:val="20"/>
                <w:szCs w:val="21"/>
                <w:lang w:eastAsia="en-US"/>
              </w:rPr>
            </w:r>
            <w:r/>
          </w:p>
        </w:tc>
      </w:tr>
      <w:tr>
        <w:trPr>
          <w:trHeight w:val="586"/>
        </w:trPr>
        <w:tc>
          <w:tcPr>
            <w:gridSpan w:val="4"/>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jc w:val="left"/>
              <w:spacing w:before="12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jc w:val="center"/>
        <w:keepLines/>
        <w:keepNext/>
        <w:spacing w:before="120" w:after="260" w:line="415" w:lineRule="auto"/>
        <w:rPr>
          <w:rFonts w:hint="eastAsia" w:ascii="宋体" w:hAnsi="宋体" w:eastAsia="宋体" w:cs="宋体"/>
          <w:b/>
          <w:bCs/>
          <w:sz w:val="28"/>
          <w:szCs w:val="28"/>
        </w:rPr>
        <w:outlineLvl w:val="1"/>
      </w:pPr>
      <w:r>
        <w:rPr>
          <w:rFonts w:hint="eastAsia" w:ascii="宋体" w:hAnsi="宋体" w:eastAsia="宋体" w:cs="宋体"/>
          <w:sz w:val="44"/>
          <w:szCs w:val="21"/>
          <w:u w:val="single"/>
        </w:rPr>
        <w:br w:type="page" w:clear="all"/>
      </w:r>
      <w:r>
        <w:rPr>
          <w:rFonts w:hint="eastAsia" w:ascii="宋体" w:hAnsi="宋体" w:eastAsia="宋体" w:cs="宋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宋体" w:hAnsi="宋体" w:eastAsia="宋体" w:cs="宋体"/>
          <w:b/>
          <w:bCs/>
          <w:sz w:val="24"/>
          <w:szCs w:val="22"/>
        </w:rPr>
      </w:pPr>
      <w:r>
        <w:rPr>
          <w:rFonts w:hint="eastAsia" w:ascii="宋体" w:hAnsi="宋体" w:eastAsia="宋体" w:cs="宋体"/>
          <w:b/>
          <w:sz w:val="24"/>
          <w:szCs w:val="22"/>
        </w:rPr>
        <w:t xml:space="preserve">1. </w:t>
      </w:r>
      <w:r>
        <w:rPr>
          <w:rFonts w:hint="eastAsia" w:ascii="宋体" w:hAnsi="宋体" w:eastAsia="宋体" w:cs="宋体"/>
          <w:b/>
          <w:bCs/>
          <w:sz w:val="24"/>
          <w:szCs w:val="22"/>
        </w:rPr>
        <w:t xml:space="preserve">定义</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包括软件）及相关的备品备件、工具、手册及</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技术资料和材料等。</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义务。</w:t>
      </w:r>
      <w:r/>
    </w:p>
    <w:p>
      <w:pPr>
        <w:ind w:firstLine="420"/>
        <w:jc w:val="left"/>
        <w:spacing w:line="400" w:lineRule="exact"/>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p>
    <w:p>
      <w:pPr>
        <w:numPr>
          <w:ilvl w:val="0"/>
          <w:numId w:val="6"/>
        </w:numPr>
        <w:jc w:val="left"/>
        <w:spacing w:line="400" w:lineRule="exact"/>
        <w:rPr>
          <w:rFonts w:hint="eastAsia" w:ascii="宋体" w:hAnsi="宋体" w:eastAsia="宋体" w:cs="宋体"/>
          <w:b/>
          <w:bCs/>
          <w:color w:val="000000"/>
          <w:sz w:val="24"/>
          <w:szCs w:val="22"/>
        </w:rPr>
      </w:pPr>
      <w:r>
        <w:rPr>
          <w:rFonts w:hint="eastAsia" w:ascii="宋体" w:hAnsi="宋体" w:eastAsia="宋体" w:cs="宋体"/>
          <w:b/>
          <w:color w:val="000000"/>
          <w:sz w:val="24"/>
          <w:szCs w:val="22"/>
        </w:rPr>
        <w:t xml:space="preserve">合同标的及金额</w:t>
      </w:r>
      <w:r/>
    </w:p>
    <w:p>
      <w:pPr>
        <w:ind w:firstLine="420"/>
        <w:jc w:val="left"/>
        <w:spacing w:line="400" w:lineRule="exact"/>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szCs w:val="21"/>
          <w:lang w:val="en"/>
        </w:rPr>
        <w:t xml:space="preserve">其他</w:t>
      </w:r>
      <w:r>
        <w:rPr>
          <w:rFonts w:hint="eastAsia" w:ascii="宋体" w:hAnsi="宋体" w:eastAsia="宋体" w:cs="宋体"/>
          <w:color w:val="000000"/>
          <w:szCs w:val="21"/>
        </w:rPr>
        <w:t xml:space="preserve">任何费用。</w:t>
      </w:r>
      <w:r/>
    </w:p>
    <w:p>
      <w:pPr>
        <w:jc w:val="left"/>
        <w:spacing w:line="400" w:lineRule="exact"/>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3. 履行合同的时间、地点和方式</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4. 甲方的权利和义务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Cs w:val="22"/>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4.6 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5. 乙方的权利和义务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5.3乙方有权根据合同约定向甲方收取合同价款。</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5.4国家法律法规规定及</w:t>
      </w:r>
      <w:r>
        <w:rPr>
          <w:rFonts w:hint="eastAsia" w:ascii="宋体" w:hAnsi="宋体" w:eastAsia="宋体" w:cs="宋体"/>
          <w:b/>
          <w:color w:val="000000"/>
          <w:szCs w:val="21"/>
        </w:rPr>
        <w:t xml:space="preserve">【政府采购合同专用条款】</w:t>
      </w:r>
      <w:r>
        <w:rPr>
          <w:rFonts w:hint="eastAsia" w:ascii="宋体" w:hAnsi="宋体" w:eastAsia="宋体" w:cs="宋体"/>
          <w:color w:val="000000"/>
          <w:szCs w:val="21"/>
        </w:rPr>
        <w:t xml:space="preserve">约定应由乙方承担的其他义务和责任。</w:t>
      </w:r>
      <w:r/>
    </w:p>
    <w:p>
      <w:pPr>
        <w:numPr>
          <w:ilvl w:val="0"/>
          <w:numId w:val="7"/>
        </w:num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合同履行</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p>
    <w:p>
      <w:pPr>
        <w:ind w:firstLine="420"/>
        <w:jc w:val="left"/>
        <w:spacing w:line="400" w:lineRule="exact"/>
        <w:rPr>
          <w:rFonts w:hint="eastAsia" w:ascii="宋体" w:hAnsi="宋体" w:eastAsia="宋体" w:cs="宋体"/>
          <w:szCs w:val="22"/>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7. 货物包装、运输、保险和交付要求</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sz w:val="24"/>
          <w:szCs w:val="22"/>
        </w:rPr>
      </w:pPr>
      <w:r>
        <w:rPr>
          <w:rFonts w:hint="eastAsia" w:ascii="宋体" w:hAnsi="宋体" w:eastAsia="宋体" w:cs="宋体"/>
          <w:b/>
          <w:color w:val="000000"/>
          <w:sz w:val="24"/>
          <w:szCs w:val="22"/>
        </w:rPr>
        <w:t xml:space="preserve">8. </w:t>
      </w:r>
      <w:r>
        <w:rPr>
          <w:rFonts w:hint="eastAsia" w:ascii="宋体" w:hAnsi="宋体" w:eastAsia="宋体" w:cs="宋体"/>
          <w:b/>
          <w:sz w:val="24"/>
          <w:szCs w:val="22"/>
        </w:rPr>
        <w:t xml:space="preserve">质量标准和保证</w:t>
      </w:r>
      <w:r/>
    </w:p>
    <w:p>
      <w:pPr>
        <w:ind w:firstLine="420"/>
        <w:jc w:val="left"/>
        <w:spacing w:line="400" w:lineRule="exact"/>
        <w:rPr>
          <w:rFonts w:hint="eastAsia" w:ascii="宋体" w:hAnsi="宋体" w:eastAsia="宋体" w:cs="宋体"/>
          <w:b/>
          <w:szCs w:val="21"/>
        </w:rPr>
      </w:pPr>
      <w:r>
        <w:rPr>
          <w:rFonts w:hint="eastAsia" w:ascii="宋体" w:hAnsi="宋体" w:eastAsia="宋体" w:cs="宋体"/>
          <w:szCs w:val="21"/>
        </w:rPr>
        <w:t xml:space="preserve">8.1 质量标准</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（2）采用中华人民共和国法定计量单位。</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8.2 保证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sz w:val="24"/>
          <w:szCs w:val="22"/>
        </w:rPr>
      </w:pPr>
      <w:r>
        <w:rPr>
          <w:rFonts w:hint="eastAsia" w:ascii="宋体" w:hAnsi="宋体" w:eastAsia="宋体" w:cs="宋体"/>
          <w:b/>
          <w:bCs/>
          <w:color w:val="000000"/>
          <w:sz w:val="24"/>
          <w:szCs w:val="22"/>
        </w:rPr>
        <w:t xml:space="preserve">9</w:t>
      </w:r>
      <w:r>
        <w:rPr>
          <w:rFonts w:hint="eastAsia" w:ascii="宋体" w:hAnsi="宋体" w:eastAsia="宋体" w:cs="宋体"/>
          <w:b/>
          <w:bCs/>
          <w:sz w:val="24"/>
          <w:szCs w:val="22"/>
        </w:rPr>
        <w:t xml:space="preserve">.</w:t>
      </w:r>
      <w:r>
        <w:rPr>
          <w:rFonts w:hint="eastAsia" w:ascii="宋体" w:hAnsi="宋体" w:eastAsia="宋体" w:cs="宋体"/>
          <w:b/>
          <w:bCs/>
          <w:color w:val="000000"/>
          <w:sz w:val="24"/>
          <w:szCs w:val="22"/>
        </w:rPr>
        <w:t xml:space="preserve"> </w:t>
      </w:r>
      <w:r>
        <w:rPr>
          <w:rFonts w:hint="eastAsia" w:ascii="宋体" w:hAnsi="宋体" w:eastAsia="宋体" w:cs="宋体"/>
          <w:b/>
          <w:bCs/>
          <w:sz w:val="24"/>
          <w:szCs w:val="22"/>
        </w:rPr>
        <w:t xml:space="preserve">权利瑕疵担保</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p>
    <w:p>
      <w:pPr>
        <w:jc w:val="left"/>
        <w:spacing w:line="400" w:lineRule="exact"/>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10. 知识产权保护</w:t>
      </w:r>
      <w:r/>
    </w:p>
    <w:p>
      <w:pPr>
        <w:ind w:firstLine="420"/>
        <w:jc w:val="left"/>
        <w:spacing w:line="400" w:lineRule="exact"/>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11. 保密义务</w:t>
      </w:r>
      <w:r/>
    </w:p>
    <w:p>
      <w:pPr>
        <w:ind w:firstLine="420"/>
        <w:jc w:val="left"/>
        <w:spacing w:line="400" w:lineRule="exact"/>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12. 合同价款支付</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】中约定。</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13. 履约保证金</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Cs w:val="22"/>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p>
    <w:p>
      <w:pPr>
        <w:jc w:val="left"/>
        <w:spacing w:line="400" w:lineRule="exact"/>
        <w:rPr>
          <w:rFonts w:hint="eastAsia" w:ascii="宋体" w:hAnsi="宋体" w:eastAsia="宋体" w:cs="宋体"/>
          <w:b/>
          <w:sz w:val="24"/>
          <w:szCs w:val="22"/>
        </w:rPr>
      </w:pPr>
      <w:r>
        <w:rPr>
          <w:rFonts w:hint="eastAsia" w:ascii="宋体" w:hAnsi="宋体" w:eastAsia="宋体" w:cs="宋体"/>
          <w:b/>
          <w:bCs/>
          <w:sz w:val="24"/>
          <w:szCs w:val="22"/>
        </w:rPr>
        <w:t xml:space="preserve">14. </w:t>
      </w:r>
      <w:r>
        <w:rPr>
          <w:rFonts w:hint="eastAsia" w:ascii="宋体" w:hAnsi="宋体" w:eastAsia="宋体" w:cs="宋体"/>
          <w:b/>
          <w:sz w:val="24"/>
          <w:szCs w:val="22"/>
        </w:rPr>
        <w:t xml:space="preserve">售后服务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hint="eastAsia"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15. 违约责任</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15.1质量瑕疵的违约责任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15.2 迟延交货的违约责任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15.3 迟延支付的违约责任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p>
    <w:p>
      <w:pPr>
        <w:ind w:firstLine="420"/>
        <w:jc w:val="left"/>
        <w:spacing w:line="400" w:lineRule="exact"/>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p>
    <w:p>
      <w:pPr>
        <w:numPr>
          <w:ilvl w:val="0"/>
          <w:numId w:val="8"/>
        </w:num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合同变更、中止与终止</w:t>
      </w:r>
      <w:r/>
    </w:p>
    <w:p>
      <w:pPr>
        <w:jc w:val="left"/>
        <w:spacing w:line="400" w:lineRule="exact"/>
        <w:rPr>
          <w:rFonts w:hint="eastAsia" w:ascii="宋体" w:hAnsi="宋体" w:eastAsia="宋体" w:cs="宋体"/>
          <w:szCs w:val="21"/>
        </w:rPr>
      </w:pPr>
      <w:r>
        <w:rPr>
          <w:rFonts w:hint="eastAsia" w:ascii="宋体" w:hAnsi="宋体" w:eastAsia="宋体" w:cs="宋体"/>
          <w:szCs w:val="21"/>
        </w:rPr>
        <w:t xml:space="preserve">    16.1合同的变更</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16.2合同的中止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Cs w:val="22"/>
        </w:rPr>
      </w:pPr>
      <w:r>
        <w:rPr>
          <w:rFonts w:hint="eastAsia" w:ascii="宋体" w:hAnsi="宋体" w:eastAsia="宋体" w:cs="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16.3合同的终止</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（1）合同因有效期限届满而终止；</w:t>
      </w:r>
      <w:r/>
    </w:p>
    <w:p>
      <w:pPr>
        <w:ind w:firstLine="420"/>
        <w:spacing w:line="400" w:lineRule="exact"/>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p>
    <w:p>
      <w:pPr>
        <w:ind w:firstLine="440"/>
        <w:jc w:val="left"/>
        <w:spacing w:line="400" w:lineRule="exact"/>
        <w:widowControl/>
        <w:rPr>
          <w:rFonts w:hint="eastAsia" w:ascii="宋体" w:hAnsi="宋体" w:eastAsia="宋体" w:cs="宋体"/>
          <w:sz w:val="22"/>
          <w:szCs w:val="21"/>
        </w:rPr>
      </w:pPr>
      <w:r>
        <w:rPr>
          <w:rFonts w:hint="eastAsia" w:ascii="宋体" w:hAnsi="宋体" w:eastAsia="宋体" w:cs="宋体"/>
          <w:sz w:val="22"/>
          <w:szCs w:val="21"/>
        </w:rPr>
        <w:t xml:space="preserve">16.4 </w:t>
      </w:r>
      <w:r>
        <w:rPr>
          <w:rFonts w:hint="eastAsia" w:ascii="宋体" w:hAnsi="宋体" w:eastAsia="宋体" w:cs="宋体"/>
          <w:szCs w:val="21"/>
        </w:rPr>
        <w:t xml:space="preserve">涉及国家利益、社会公共利益的情形</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17. 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18. 不可抗力</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19. 解决争议的方法</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sz w:val="24"/>
          <w:szCs w:val="22"/>
        </w:rPr>
      </w:pPr>
      <w:r>
        <w:rPr>
          <w:rFonts w:hint="eastAsia" w:ascii="宋体" w:hAnsi="宋体" w:eastAsia="宋体" w:cs="宋体"/>
          <w:b/>
          <w:sz w:val="24"/>
          <w:szCs w:val="22"/>
        </w:rPr>
        <w:t xml:space="preserve">20. 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szCs w:val="22"/>
          <w:lang w:val="en-GB"/>
        </w:rPr>
        <w:t xml:space="preserve">本合同应当按照规定执行政府采购政策。</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szCs w:val="22"/>
        </w:rPr>
        <w:t xml:space="preserve">甲乙双方</w:t>
      </w:r>
      <w:r>
        <w:rPr>
          <w:rFonts w:hint="eastAsia" w:ascii="宋体" w:hAnsi="宋体" w:eastAsia="宋体" w:cs="宋体"/>
          <w:szCs w:val="22"/>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21. 法律适用</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sz w:val="24"/>
          <w:szCs w:val="22"/>
        </w:rPr>
      </w:pPr>
      <w:r>
        <w:rPr>
          <w:rFonts w:hint="eastAsia" w:ascii="宋体" w:hAnsi="宋体" w:eastAsia="宋体" w:cs="宋体"/>
          <w:b/>
          <w:sz w:val="24"/>
          <w:szCs w:val="22"/>
        </w:rPr>
        <w:t xml:space="preserve">22. 通知</w:t>
      </w:r>
      <w:r/>
    </w:p>
    <w:p>
      <w:pPr>
        <w:ind w:firstLine="420"/>
        <w:spacing w:line="400" w:lineRule="exact"/>
        <w:widowControl/>
        <w:rPr>
          <w:rFonts w:hint="eastAsia" w:ascii="宋体" w:hAnsi="宋体" w:eastAsia="宋体" w:cs="宋体"/>
          <w:szCs w:val="21"/>
        </w:rPr>
      </w:pPr>
      <w:r>
        <w:rPr>
          <w:rFonts w:hint="eastAsia"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hint="eastAsia" w:ascii="宋体" w:hAnsi="宋体" w:eastAsia="宋体" w:cs="宋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p>
    <w:p>
      <w:pPr>
        <w:numPr>
          <w:ilvl w:val="0"/>
          <w:numId w:val="9"/>
        </w:numPr>
        <w:jc w:val="left"/>
        <w:spacing w:line="400" w:lineRule="exact"/>
        <w:rPr>
          <w:rFonts w:hint="eastAsia" w:ascii="宋体" w:hAnsi="宋体" w:eastAsia="宋体" w:cs="宋体"/>
          <w:b/>
          <w:bCs/>
          <w:sz w:val="24"/>
          <w:szCs w:val="22"/>
        </w:rPr>
      </w:pPr>
      <w:r>
        <w:rPr>
          <w:rFonts w:hint="eastAsia" w:ascii="宋体" w:hAnsi="宋体" w:eastAsia="宋体" w:cs="宋体"/>
          <w:b/>
          <w:bCs/>
          <w:sz w:val="24"/>
          <w:szCs w:val="22"/>
        </w:rPr>
        <w:t xml:space="preserve">合同未尽事项</w:t>
      </w:r>
      <w:r/>
    </w:p>
    <w:p>
      <w:pPr>
        <w:ind w:firstLine="420"/>
        <w:jc w:val="left"/>
        <w:spacing w:line="400" w:lineRule="exact"/>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p>
    <w:p>
      <w:pPr>
        <w:jc w:val="left"/>
        <w:spacing w:line="400" w:lineRule="exact"/>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p>
    <w:p>
      <w:pPr>
        <w:jc w:val="center"/>
        <w:rPr>
          <w:rFonts w:hint="eastAsia" w:ascii="宋体" w:hAnsi="宋体" w:eastAsia="宋体" w:cs="宋体"/>
          <w:b/>
          <w:bCs/>
          <w:sz w:val="28"/>
          <w:szCs w:val="28"/>
        </w:rPr>
      </w:pPr>
      <w:r>
        <w:rPr>
          <w:rFonts w:hint="eastAsia" w:ascii="宋体" w:hAnsi="宋体" w:eastAsia="宋体" w:cs="宋体"/>
          <w:sz w:val="28"/>
          <w:szCs w:val="28"/>
        </w:rPr>
        <w:br w:type="page" w:clear="all"/>
      </w:r>
      <w:r>
        <w:rPr>
          <w:rFonts w:hint="eastAsia" w:ascii="宋体" w:hAnsi="宋体" w:eastAsia="宋体" w:cs="宋体"/>
          <w:b/>
          <w:bCs/>
          <w:sz w:val="28"/>
          <w:szCs w:val="28"/>
        </w:rPr>
        <w:t xml:space="preserve">第三节 政府采购合同专用条款</w:t>
      </w:r>
      <w:r/>
    </w:p>
    <w:tbl>
      <w:tblPr>
        <w:tblStyle w:val="816"/>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1"/>
      </w:tblGrid>
      <w:tr>
        <w:trPr>
          <w:trHeight w:val="736"/>
        </w:trPr>
        <w:tc>
          <w:tcPr>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第1.2（6）项</w:t>
            </w:r>
            <w:r/>
          </w:p>
        </w:tc>
        <w:tc>
          <w:tcPr>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联合体具体要求</w:t>
            </w:r>
            <w:r/>
          </w:p>
        </w:tc>
        <w:tc>
          <w:tcPr>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0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第1.2（7）项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其他术语解释</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履约验收中甲方提出异议或作出说明的期限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第4.6款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约定甲方承担的其他义务和责任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2"/>
                <w:lang w:eastAsia="en-US"/>
              </w:rPr>
            </w:pPr>
            <w:r>
              <w:rPr>
                <w:rFonts w:hint="eastAsia" w:ascii="宋体" w:hAnsi="宋体" w:eastAsia="宋体" w:cs="宋体"/>
                <w:szCs w:val="21"/>
                <w:lang w:eastAsia="en-US"/>
              </w:rPr>
              <w:t xml:space="preserve">第5.4款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约定乙方承担的其他义务和责任</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第6.1款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履行合同义务的顺序</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包装特殊要求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jc w:val="left"/>
              <w:widowControl/>
              <w:rPr>
                <w:rFonts w:hint="eastAsia" w:ascii="宋体" w:hAnsi="宋体" w:eastAsia="宋体" w:cs="宋体"/>
                <w:szCs w:val="21"/>
                <w:lang w:eastAsia="en-US"/>
              </w:rPr>
            </w:pPr>
            <w:r>
              <w:rPr>
                <w:rFonts w:hint="eastAsia" w:ascii="宋体" w:hAnsi="宋体" w:eastAsia="宋体" w:cs="宋体"/>
                <w:szCs w:val="21"/>
                <w:lang w:eastAsia="en-US"/>
              </w:rPr>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指定现场</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72"/>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运输特殊要求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66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第7.3款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保险要求</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rPr>
                <w:rFonts w:hint="eastAsia" w:ascii="宋体" w:hAnsi="宋体" w:eastAsia="宋体" w:cs="宋体"/>
                <w:szCs w:val="22"/>
                <w:lang w:eastAsia="en-US"/>
              </w:rPr>
            </w:pPr>
            <w:r>
              <w:rPr>
                <w:rFonts w:hint="eastAsia" w:ascii="宋体" w:hAnsi="宋体" w:eastAsia="宋体" w:cs="宋体"/>
                <w:szCs w:val="22"/>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第8.2（1）项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质量保证期</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firstLine="420"/>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第8.2（3）项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spacing w:line="400" w:lineRule="exact"/>
              <w:widowControl/>
              <w:rPr>
                <w:rFonts w:hint="eastAsia" w:ascii="宋体" w:hAnsi="宋体" w:eastAsia="宋体" w:cs="宋体"/>
                <w:sz w:val="22"/>
                <w:szCs w:val="21"/>
                <w:lang w:eastAsia="en-US"/>
              </w:rPr>
            </w:pPr>
            <w:r>
              <w:rPr>
                <w:rFonts w:hint="eastAsia" w:ascii="宋体" w:hAnsi="宋体" w:eastAsia="宋体" w:cs="宋体"/>
                <w:sz w:val="22"/>
                <w:szCs w:val="21"/>
                <w:lang w:eastAsia="en-US"/>
              </w:rPr>
              <w:t xml:space="preserve">第11.1款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rPr>
                <w:rFonts w:hint="eastAsia" w:ascii="宋体" w:hAnsi="宋体" w:eastAsia="宋体" w:cs="宋体"/>
                <w:szCs w:val="21"/>
                <w:lang w:eastAsia="en-US"/>
              </w:rPr>
            </w:pPr>
            <w:r>
              <w:rPr>
                <w:rFonts w:hint="eastAsia" w:ascii="宋体" w:hAnsi="宋体" w:eastAsia="宋体" w:cs="宋体"/>
                <w:szCs w:val="21"/>
                <w:lang w:eastAsia="en-US"/>
              </w:rPr>
              <w:t xml:space="preserve">其他应当保密的信息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第12.2款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合同价款支付时间</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697"/>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第13.2款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第13.3款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第14.1（3）项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运行监督、维修期限</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84"/>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第14.1（5）项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货物回收的约定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第14.1（6）项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乙方提供的其他服务</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第15.1款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第15.2（2）项</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迟延交货赔偿费</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第15.3款</w:t>
            </w:r>
            <w:r/>
          </w:p>
        </w:tc>
        <w:tc>
          <w:tcPr>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逾期付款利息</w:t>
            </w:r>
            <w:r/>
          </w:p>
        </w:tc>
        <w:tc>
          <w:tcPr>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876"/>
        </w:trPr>
        <w:tc>
          <w:tcPr>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第15.4款</w:t>
            </w:r>
            <w:r/>
          </w:p>
        </w:tc>
        <w:tc>
          <w:tcPr>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其他违约责任</w:t>
            </w:r>
            <w:r/>
          </w:p>
        </w:tc>
        <w:tc>
          <w:tcPr>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jc w:val="left"/>
              <w:rPr>
                <w:rFonts w:hint="eastAsia" w:ascii="宋体" w:hAnsi="宋体" w:eastAsia="宋体" w:cs="宋体"/>
                <w:szCs w:val="21"/>
                <w:u w:val="single"/>
                <w:lang w:eastAsia="en-US"/>
              </w:rPr>
            </w:pPr>
            <w:r>
              <w:rPr>
                <w:rFonts w:hint="eastAsia" w:ascii="宋体" w:hAnsi="宋体" w:eastAsia="宋体" w:cs="宋体"/>
                <w:szCs w:val="21"/>
                <w:u w:val="single"/>
                <w:lang w:eastAsia="en-US"/>
              </w:rPr>
            </w:r>
            <w:r/>
          </w:p>
        </w:tc>
      </w:tr>
      <w:tr>
        <w:trPr>
          <w:trHeight w:val="90"/>
        </w:trPr>
        <w:tc>
          <w:tcPr>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第19.2款</w:t>
            </w:r>
            <w:r/>
          </w:p>
        </w:tc>
        <w:tc>
          <w:tcPr>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t xml:space="preserve">解决争议的方法</w:t>
            </w:r>
            <w:r/>
          </w:p>
        </w:tc>
        <w:tc>
          <w:tcPr>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hint="eastAsia"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hint="eastAsia" w:ascii="宋体" w:hAnsi="宋体" w:eastAsia="宋体" w:cs="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第二节</w:t>
            </w:r>
            <w:r/>
          </w:p>
          <w:p>
            <w:pPr>
              <w:jc w:val="center"/>
              <w:rPr>
                <w:rFonts w:hint="eastAsia" w:ascii="宋体" w:hAnsi="宋体" w:eastAsia="宋体" w:cs="宋体"/>
                <w:szCs w:val="21"/>
                <w:lang w:eastAsia="en-US"/>
              </w:rPr>
            </w:pPr>
            <w:r>
              <w:rPr>
                <w:rFonts w:hint="eastAsia" w:ascii="宋体" w:hAnsi="宋体" w:eastAsia="宋体" w:cs="宋体"/>
                <w:szCs w:val="21"/>
                <w:lang w:eastAsia="en-US"/>
              </w:rPr>
              <w:t xml:space="preserve">第23.1款</w:t>
            </w:r>
            <w:r/>
          </w:p>
        </w:tc>
        <w:tc>
          <w:tcPr>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bCs/>
                <w:szCs w:val="21"/>
                <w:lang w:eastAsia="en-US"/>
              </w:rPr>
              <w:t xml:space="preserve">其他专用条款</w:t>
            </w:r>
            <w:r/>
          </w:p>
        </w:tc>
        <w:tc>
          <w:tcPr>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jc w:val="left"/>
              <w:rPr>
                <w:rFonts w:hint="eastAsia" w:ascii="宋体" w:hAnsi="宋体" w:eastAsia="宋体" w:cs="宋体"/>
                <w:szCs w:val="21"/>
                <w:lang w:eastAsia="en-US"/>
              </w:rPr>
            </w:pPr>
            <w:r>
              <w:rPr>
                <w:rFonts w:hint="eastAsia" w:ascii="宋体" w:hAnsi="宋体" w:eastAsia="宋体" w:cs="宋体"/>
                <w:szCs w:val="21"/>
                <w:lang w:eastAsia="en-US"/>
              </w:rPr>
            </w:r>
            <w:r/>
          </w:p>
        </w:tc>
      </w:tr>
    </w:tbl>
    <w:p>
      <w:pPr>
        <w:ind w:firstLine="240"/>
        <w:jc w:val="right"/>
        <w:keepLines w:val="0"/>
        <w:keepNext w:val="0"/>
        <w:pageBreakBefore w:val="0"/>
        <w:spacing w:before="120" w:after="120" w:line="36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bookmarkStart w:id="193" w:name="_Hlk166579025"/>
      <w:r/>
      <w:r/>
    </w:p>
    <w:p>
      <w:pPr>
        <w:keepLines w:val="0"/>
        <w:keepNext w:val="0"/>
        <w:pageBreakBefore w:val="0"/>
        <w:spacing w:before="120" w:after="120"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991"/>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第四章  采购需求</w:t>
      </w:r>
      <w:r/>
    </w:p>
    <w:p>
      <w:pPr>
        <w:keepLines w:val="0"/>
        <w:keepNext w:val="0"/>
        <w:pageBreakBefore w:val="0"/>
        <w:spacing w:line="560" w:lineRule="exact"/>
        <w:widowControl w:val="off"/>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项目属性：货物类项目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工业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 不接受 </w:t>
      </w:r>
      <w:r>
        <w:rPr>
          <w:rFonts w:hint="eastAsia" w:ascii="宋体" w:hAnsi="宋体" w:eastAsia="宋体" w:cs="宋体"/>
          <w:color w:val="auto"/>
          <w:sz w:val="24"/>
          <w:szCs w:val="24"/>
          <w:highlight w:val="none"/>
          <w:lang w:val="en-US" w:eastAsia="zh-CN"/>
        </w:rPr>
        <w:t xml:space="preserve">（接受/不接受）进口产品。</w:t>
      </w:r>
      <w:r/>
    </w:p>
    <w:p>
      <w:pPr>
        <w:numPr>
          <w:ilvl w:val="0"/>
          <w:numId w:val="0"/>
        </w:numPr>
        <w:ind w:firstLine="482"/>
        <w:keepLines w:val="0"/>
        <w:keepNext w:val="0"/>
        <w:pageBreakBefore w:val="0"/>
        <w:spacing w:line="360" w:lineRule="auto"/>
        <w:widowControl/>
        <w:rPr>
          <w:rStyle w:val="815"/>
          <w:rFonts w:hint="eastAsia" w:ascii="宋体" w:hAnsi="宋体" w:eastAsia="宋体" w:cs="宋体"/>
          <w:b/>
          <w:bCs/>
          <w:color w:val="auto"/>
          <w:sz w:val="24"/>
          <w:szCs w:val="22"/>
          <w:highlight w:val="none"/>
          <w:lang w:val="en-US" w:eastAsia="zh-CN" w:bidi="ar-SA"/>
        </w:rPr>
      </w:pPr>
      <w:r/>
      <w:bookmarkStart w:id="194" w:name="_Toc256000014"/>
      <w:r/>
      <w:bookmarkStart w:id="195" w:name="_Toc111564910"/>
      <w:r/>
      <w:bookmarkStart w:id="196" w:name="_Toc760"/>
      <w:r/>
      <w:bookmarkStart w:id="197" w:name="_Toc31498"/>
      <w:r>
        <w:rPr>
          <w:rFonts w:hint="eastAsia" w:ascii="宋体" w:hAnsi="宋体" w:eastAsia="宋体" w:cs="宋体"/>
          <w:b/>
          <w:bCs/>
          <w:color w:val="auto"/>
          <w:sz w:val="24"/>
          <w:szCs w:val="22"/>
          <w:highlight w:val="none"/>
          <w:lang w:val="en-US" w:eastAsia="zh-CN" w:bidi="ar-SA"/>
        </w:rPr>
        <w:t xml:space="preserve">一、</w:t>
      </w:r>
      <w:r>
        <w:rPr>
          <w:rStyle w:val="815"/>
          <w:rFonts w:hint="eastAsia" w:ascii="宋体" w:hAnsi="宋体" w:eastAsia="宋体" w:cs="宋体"/>
          <w:b/>
          <w:bCs/>
          <w:color w:val="auto"/>
          <w:sz w:val="24"/>
          <w:szCs w:val="22"/>
          <w:highlight w:val="none"/>
          <w:lang w:val="en-US" w:eastAsia="zh-CN" w:bidi="ar-SA"/>
        </w:rPr>
        <w:t xml:space="preserve">项目概况</w:t>
      </w:r>
      <w:bookmarkEnd w:id="194"/>
      <w:r/>
      <w:bookmarkEnd w:id="195"/>
      <w:r/>
      <w:bookmarkEnd w:id="196"/>
      <w:r/>
      <w:bookmarkEnd w:id="197"/>
      <w:r/>
      <w:r/>
    </w:p>
    <w:p>
      <w:pPr>
        <w:numPr>
          <w:ilvl w:val="0"/>
          <w:numId w:val="0"/>
        </w:numPr>
        <w:ind w:firstLine="48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Style w:val="815"/>
          <w:rFonts w:hint="eastAsia" w:ascii="宋体" w:hAnsi="宋体" w:eastAsia="宋体" w:cs="Times New Roman"/>
          <w:sz w:val="24"/>
          <w:szCs w:val="24"/>
          <w:lang w:val="en-US" w:eastAsia="zh-CN" w:bidi="ar-SA"/>
        </w:rPr>
        <w:t xml:space="preserve">（一）</w:t>
      </w:r>
      <w:r>
        <w:rPr>
          <w:rFonts w:hint="eastAsia" w:ascii="宋体" w:hAnsi="宋体" w:eastAsia="宋体" w:cs="宋体"/>
          <w:color w:val="auto"/>
          <w:sz w:val="24"/>
          <w:szCs w:val="24"/>
          <w:highlight w:val="none"/>
          <w:lang w:eastAsia="zh-CN"/>
        </w:rPr>
        <w:t xml:space="preserve">宿迁市2026年（省体育局资助）全民健身器材采购项目</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分包一：采购一代户外健身路径80套，本分包核心产品为一代户外健身路径，预算为196.8万元。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分包二：采购室外地埋式篮球架50套，本分包核心产品为室外地埋式篮球架，预算为39万元。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分包三：采购室外乒乓球桌200张，本分包核心产品为室外乒乓球桌，预算为59万元。</w:t>
      </w:r>
      <w:r/>
    </w:p>
    <w:p>
      <w:pPr>
        <w:numPr>
          <w:ilvl w:val="0"/>
          <w:numId w:val="0"/>
        </w:numPr>
        <w:ind w:firstLine="480"/>
        <w:jc w:val="both"/>
        <w:keepLines w:val="0"/>
        <w:keepNext w:val="0"/>
        <w:pageBreakBefore w:val="0"/>
        <w:spacing w:line="360" w:lineRule="auto"/>
        <w:widowControl/>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分包四：采购室外灯光篮球场2片，本分包核心产品为室外灯光篮球场，预算为59万元。</w:t>
      </w:r>
      <w:r/>
    </w:p>
    <w:p>
      <w:pPr>
        <w:ind w:firstLine="482"/>
        <w:jc w:val="both"/>
        <w:keepLines w:val="0"/>
        <w:keepNext w:val="0"/>
        <w:pageBreakBefore w:val="0"/>
        <w:spacing w:line="360" w:lineRule="auto"/>
        <w:widowControl/>
        <w:rPr>
          <w:rStyle w:val="815"/>
          <w:rFonts w:hint="default"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（二）招标内容：采购、安装、维保。</w:t>
      </w:r>
      <w:r/>
    </w:p>
    <w:p>
      <w:pPr>
        <w:numPr>
          <w:ilvl w:val="0"/>
          <w:numId w:val="0"/>
        </w:numPr>
        <w:ind w:firstLine="482"/>
        <w:keepLines w:val="0"/>
        <w:keepNext w:val="0"/>
        <w:pageBreakBefore w:val="0"/>
        <w:spacing w:line="360" w:lineRule="auto"/>
        <w:widowControl/>
        <w:rPr>
          <w:rStyle w:val="815"/>
          <w:rFonts w:hint="eastAsia"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（三）质量要求</w:t>
      </w:r>
      <w:r/>
    </w:p>
    <w:p>
      <w:pPr>
        <w:numPr>
          <w:ilvl w:val="0"/>
          <w:numId w:val="0"/>
        </w:numPr>
        <w:ind w:firstLine="480"/>
        <w:keepLines w:val="0"/>
        <w:keepNext w:val="0"/>
        <w:pageBreakBefore w:val="0"/>
        <w:spacing w:line="360" w:lineRule="auto"/>
        <w:widowControl/>
        <w:rPr>
          <w:rStyle w:val="815"/>
          <w:rFonts w:hint="eastAsia" w:ascii="宋体" w:hAnsi="宋体" w:eastAsia="宋体" w:cs="宋体"/>
          <w:b w:val="0"/>
          <w:bCs/>
          <w:color w:val="auto"/>
          <w:sz w:val="24"/>
          <w:szCs w:val="24"/>
          <w:highlight w:val="none"/>
          <w:lang w:val="en-US" w:eastAsia="zh-CN" w:bidi="ar-SA"/>
        </w:rPr>
      </w:pPr>
      <w:r>
        <w:rPr>
          <w:rStyle w:val="815"/>
          <w:rFonts w:hint="eastAsia" w:ascii="宋体" w:hAnsi="宋体" w:eastAsia="宋体" w:cs="Times New Roman"/>
          <w:b w:val="0"/>
          <w:bCs/>
          <w:sz w:val="24"/>
          <w:szCs w:val="24"/>
          <w:lang w:val="en-US" w:eastAsia="zh-CN" w:bidi="ar-SA"/>
        </w:rPr>
        <w:t xml:space="preserve">分包一：全部符合“室外健身器材的安全通用要求（GB19272-2024）”的有关要求，并提供国家体育用品质量监督检验中心出具的检验报告以及国家体育总局认可的权威检测机构相关证书</w:t>
      </w:r>
      <w:r>
        <w:rPr>
          <w:rStyle w:val="815"/>
          <w:rFonts w:hint="eastAsia" w:ascii="宋体" w:hAnsi="宋体" w:eastAsia="宋体" w:cs="宋体"/>
          <w:b w:val="0"/>
          <w:bCs/>
          <w:color w:val="auto"/>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Times New Roman"/>
          <w:b w:val="0"/>
          <w:bCs/>
          <w:sz w:val="24"/>
          <w:szCs w:val="24"/>
          <w:lang w:val="en-US" w:eastAsia="zh-CN" w:bidi="ar-SA"/>
        </w:rPr>
      </w:pPr>
      <w:r>
        <w:rPr>
          <w:rFonts w:hint="eastAsia" w:ascii="宋体" w:hAnsi="宋体" w:eastAsia="宋体" w:cs="Times New Roman"/>
          <w:b w:val="0"/>
          <w:bCs/>
          <w:sz w:val="24"/>
          <w:szCs w:val="24"/>
          <w:lang w:val="en-US" w:eastAsia="zh-CN" w:bidi="ar-SA"/>
        </w:rPr>
        <w:t xml:space="preserve">分包二：</w:t>
      </w:r>
      <w:r>
        <w:rPr>
          <w:rStyle w:val="815"/>
          <w:rFonts w:hint="eastAsia" w:ascii="宋体" w:hAnsi="宋体" w:eastAsia="宋体" w:cs="Times New Roman"/>
          <w:b w:val="0"/>
          <w:bCs/>
          <w:sz w:val="24"/>
          <w:szCs w:val="24"/>
          <w:lang w:val="en-US" w:eastAsia="zh-CN" w:bidi="ar-SA"/>
        </w:rPr>
        <w:t xml:space="preserve">全部符合“室外健身器材的安全通用要求（GB19272-2024）”的有关要求，并提供国家体育用品质量监督检验中心出具的检验报告以及国家体育总局认可的权威检测机构相关证书</w:t>
      </w:r>
      <w:r>
        <w:rPr>
          <w:rFonts w:hint="eastAsia" w:ascii="宋体" w:hAnsi="宋体" w:eastAsia="宋体" w:cs="Times New Roman"/>
          <w:b w:val="0"/>
          <w:bCs/>
          <w:sz w:val="24"/>
          <w:szCs w:val="24"/>
          <w:lang w:val="en-US" w:eastAsia="zh-CN" w:bidi="ar-SA"/>
        </w:rPr>
        <w:t xml:space="preserve">。</w:t>
      </w:r>
      <w:r/>
    </w:p>
    <w:p>
      <w:pPr>
        <w:ind w:firstLine="480"/>
        <w:keepLines w:val="0"/>
        <w:keepNext w:val="0"/>
        <w:pageBreakBefore w:val="0"/>
        <w:spacing w:line="360" w:lineRule="auto"/>
        <w:rPr>
          <w:rFonts w:hint="eastAsia" w:ascii="宋体" w:hAnsi="宋体" w:eastAsia="宋体"/>
          <w:b w:val="0"/>
          <w:bCs/>
          <w:sz w:val="24"/>
          <w:szCs w:val="24"/>
        </w:rPr>
      </w:pPr>
      <w:r>
        <w:rPr>
          <w:rFonts w:hint="eastAsia" w:ascii="宋体" w:hAnsi="宋体" w:eastAsia="宋体" w:cs="Times New Roman"/>
          <w:b w:val="0"/>
          <w:bCs/>
          <w:sz w:val="24"/>
          <w:szCs w:val="24"/>
          <w:lang w:val="en-US" w:eastAsia="zh-CN" w:bidi="ar-SA"/>
        </w:rPr>
        <w:t xml:space="preserve">分包三</w:t>
      </w:r>
      <w:r>
        <w:rPr>
          <w:rStyle w:val="815"/>
          <w:rFonts w:hint="eastAsia" w:ascii="宋体" w:hAnsi="宋体" w:eastAsia="宋体" w:cs="Times New Roman"/>
          <w:b w:val="0"/>
          <w:bCs/>
          <w:sz w:val="24"/>
          <w:szCs w:val="24"/>
          <w:lang w:val="en-US" w:eastAsia="zh-CN" w:bidi="ar-SA"/>
        </w:rPr>
        <w:t xml:space="preserve">：全部符合“室外健身器材的安全通用要求（GB19272-2024）”的有关要求，并提供国家体育用品质量监督检验中心出具的检验报告以及国家体育总局认可的权威检测机构相关证书</w:t>
      </w:r>
      <w:r>
        <w:rPr>
          <w:rFonts w:hint="eastAsia" w:ascii="宋体" w:hAnsi="宋体" w:eastAsia="宋体"/>
          <w:b w:val="0"/>
          <w:bCs/>
          <w:sz w:val="24"/>
          <w:szCs w:val="24"/>
        </w:rPr>
        <w:t xml:space="preserve">。</w:t>
      </w:r>
      <w:r/>
    </w:p>
    <w:p>
      <w:pPr>
        <w:ind w:firstLine="480"/>
        <w:keepLines w:val="0"/>
        <w:keepNext w:val="0"/>
        <w:pageBreakBefore w:val="0"/>
        <w:spacing w:line="360" w:lineRule="auto"/>
        <w:rPr>
          <w:rFonts w:hint="eastAsia"/>
          <w:b w:val="0"/>
          <w:bCs/>
          <w:lang w:val="en-US" w:eastAsia="zh-CN"/>
        </w:rPr>
      </w:pPr>
      <w:r>
        <w:rPr>
          <w:rFonts w:hint="eastAsia" w:ascii="宋体" w:hAnsi="宋体" w:eastAsia="宋体" w:cs="Times New Roman"/>
          <w:b w:val="0"/>
          <w:bCs/>
          <w:sz w:val="24"/>
          <w:szCs w:val="24"/>
          <w:lang w:val="en-US" w:eastAsia="zh-CN" w:bidi="ar-SA"/>
        </w:rPr>
        <w:t xml:space="preserve">分包四：</w:t>
      </w:r>
      <w:r>
        <w:rPr>
          <w:rFonts w:hint="eastAsia" w:ascii="宋体" w:hAnsi="宋体" w:eastAsia="宋体" w:cs="Times New Roman"/>
          <w:sz w:val="24"/>
          <w:szCs w:val="24"/>
          <w:lang w:val="en-US" w:eastAsia="zh-CN" w:bidi="ar-SA"/>
        </w:rPr>
        <w:t xml:space="preserve">投标围网（笼式足球场、笼式多功能场地等）须符合“室外健身器材的安全通用要求（GB19272-2024）”的有关要求，并提供国家体育用品质量检验检测中心出具的检验报告以及国家体育总局认可的权威检测机构相关证书</w:t>
      </w:r>
      <w:r>
        <w:rPr>
          <w:rFonts w:hint="eastAsia" w:ascii="宋体" w:hAnsi="宋体" w:eastAsia="宋体" w:cs="Times New Roman"/>
          <w:b w:val="0"/>
          <w:bCs/>
          <w:sz w:val="24"/>
          <w:szCs w:val="24"/>
          <w:lang w:val="en-US" w:eastAsia="zh-CN" w:bidi="ar-SA"/>
        </w:rPr>
        <w:t xml:space="preserve">。</w:t>
      </w:r>
      <w:r/>
    </w:p>
    <w:p>
      <w:pPr>
        <w:numPr>
          <w:ilvl w:val="0"/>
          <w:numId w:val="0"/>
        </w:numPr>
        <w:ind w:firstLine="482"/>
        <w:keepLines w:val="0"/>
        <w:keepNext w:val="0"/>
        <w:pageBreakBefore w:val="0"/>
        <w:spacing w:line="360" w:lineRule="auto"/>
        <w:widowControl/>
        <w:rPr>
          <w:rFonts w:hint="eastAsia" w:ascii="宋体" w:hAnsi="宋体" w:eastAsia="宋体" w:cs="宋体"/>
          <w:b/>
          <w:bCs/>
          <w:color w:val="auto"/>
          <w:sz w:val="24"/>
          <w:szCs w:val="22"/>
          <w:highlight w:val="none"/>
          <w:lang w:val="en-US" w:eastAsia="zh-CN" w:bidi="ar-SA"/>
        </w:rPr>
      </w:pPr>
      <w:r/>
      <w:bookmarkStart w:id="198" w:name="_Toc514921155"/>
      <w:r/>
      <w:bookmarkStart w:id="199" w:name="_Toc462997022"/>
      <w:r/>
      <w:bookmarkStart w:id="200" w:name="_Toc12084"/>
      <w:r/>
      <w:bookmarkStart w:id="201" w:name="_Toc536788500"/>
      <w:r/>
      <w:bookmarkStart w:id="202" w:name="_Toc256000015"/>
      <w:r/>
      <w:bookmarkStart w:id="203" w:name="_Toc18066"/>
      <w:r/>
      <w:bookmarkStart w:id="204" w:name="_Toc105493079"/>
      <w:r/>
      <w:bookmarkStart w:id="205" w:name="_Toc495673448"/>
      <w:r/>
      <w:bookmarkStart w:id="206" w:name="_Toc5123"/>
      <w:r/>
      <w:bookmarkStart w:id="207" w:name="_Toc111564911"/>
      <w:r/>
      <w:bookmarkStart w:id="208" w:name="_Toc510533529"/>
      <w:r/>
      <w:bookmarkStart w:id="209" w:name="_Toc256000038"/>
      <w:r/>
      <w:bookmarkStart w:id="210" w:name="_Toc514426469"/>
      <w:r>
        <w:rPr>
          <w:rFonts w:hint="eastAsia" w:ascii="宋体" w:hAnsi="宋体" w:eastAsia="宋体" w:cs="宋体"/>
          <w:b/>
          <w:bCs/>
          <w:color w:val="auto"/>
          <w:sz w:val="24"/>
          <w:szCs w:val="22"/>
          <w:highlight w:val="none"/>
          <w:lang w:val="en-US" w:eastAsia="zh-CN" w:bidi="ar-SA"/>
        </w:rPr>
        <w:t xml:space="preserve">二、采购清单</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rPr>
          <w:rFonts w:hint="eastAsia" w:ascii="宋体" w:hAnsi="宋体" w:eastAsia="宋体" w:cs="宋体"/>
          <w:b/>
          <w:bCs/>
          <w:color w:val="auto"/>
          <w:sz w:val="24"/>
          <w:szCs w:val="22"/>
          <w:highlight w:val="none"/>
          <w:lang w:val="en-US" w:eastAsia="zh-CN" w:bidi="ar-SA"/>
        </w:rPr>
        <w:t xml:space="preserve">及技术参数</w:t>
      </w:r>
      <w:r/>
    </w:p>
    <w:p>
      <w:pPr>
        <w:ind w:firstLine="482"/>
        <w:keepLines w:val="0"/>
        <w:keepNext w:val="0"/>
        <w:pageBreakBefore w:val="0"/>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分包一：</w:t>
      </w:r>
      <w:r/>
    </w:p>
    <w:tbl>
      <w:tblPr>
        <w:tblStyle w:val="816"/>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436"/>
        <w:gridCol w:w="2766"/>
        <w:gridCol w:w="4932"/>
        <w:gridCol w:w="427"/>
        <w:gridCol w:w="430"/>
      </w:tblGrid>
      <w:tr>
        <w:trPr>
          <w:trHeight w:val="20"/>
        </w:trPr>
        <w:tc>
          <w:tcPr>
            <w:gridSpan w:val="6"/>
            <w:tcW w:w="5000" w:type="pct"/>
            <w:vAlign w:val="top"/>
            <w:textDirection w:val="lrTb"/>
            <w:noWrap w:val="false"/>
          </w:tcPr>
          <w:p>
            <w:pPr>
              <w:jc w:val="both"/>
              <w:spacing w:line="360" w:lineRule="auto"/>
              <w:widowControl w:val="off"/>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5000" w:type="pct"/>
            <w:vAlign w:val="center"/>
            <w:textDirection w:val="lrTb"/>
            <w:noWrap w:val="false"/>
          </w:tcPr>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★1、为保证全民健身路径健身器材统一、管理规范化，投标供应商所有健身器材的品牌必须要求一致，不得出现多个不同品牌产品，器材主要材料为：钢管、</w:t>
            </w:r>
            <w:bookmarkStart w:id="211" w:name="OLE_LINK1"/>
            <w:r>
              <w:rPr>
                <w:rFonts w:hint="eastAsia" w:ascii="宋体-PUA" w:hAnsi="宋体-PUA" w:eastAsia="宋体-PUA" w:cs="宋体-PUA"/>
                <w:b/>
                <w:sz w:val="21"/>
                <w:szCs w:val="21"/>
                <w:lang w:val="en-US" w:eastAsia="zh-CN" w:bidi="ar-SA"/>
              </w:rPr>
              <w:t xml:space="preserve">镀锌</w:t>
            </w:r>
            <w:bookmarkEnd w:id="211"/>
            <w:r>
              <w:rPr>
                <w:rFonts w:hint="eastAsia" w:ascii="宋体-PUA" w:hAnsi="宋体-PUA" w:eastAsia="宋体-PUA" w:cs="宋体-PUA"/>
                <w:b/>
                <w:sz w:val="21"/>
                <w:szCs w:val="21"/>
                <w:lang w:val="en-US" w:eastAsia="zh-CN" w:bidi="ar-SA"/>
              </w:rPr>
              <w:t xml:space="preserve">钢管，否则作无效投标处理。</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2、为了体现产品的成熟性，所投产品（含所有配件以及涂层橡胶、塑料件等有害物质限量）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pStyle w:val="1007"/>
              <w:jc w:val="left"/>
              <w:rPr>
                <w:rFonts w:hint="eastAsia" w:ascii="Calibri" w:hAnsi="Calibri"/>
                <w:sz w:val="21"/>
                <w:szCs w:val="22"/>
                <w:lang w:val="en-US" w:eastAsia="zh-CN" w:bidi="ar-SA"/>
              </w:rPr>
            </w:pPr>
            <w:r>
              <w:rPr>
                <w:rFonts w:hint="eastAsia" w:ascii="宋体-PUA" w:hAnsi="宋体-PUA" w:eastAsia="宋体-PUA" w:cs="宋体-PUA"/>
                <w:sz w:val="21"/>
                <w:szCs w:val="21"/>
              </w:rPr>
              <w:t xml:space="preserve">★3、</w:t>
            </w:r>
            <w:r>
              <w:rPr>
                <w:rFonts w:hint="eastAsia" w:ascii="宋体-PUA" w:hAnsi="宋体-PUA" w:eastAsia="宋体-PUA" w:cs="宋体-PUA"/>
                <w:sz w:val="21"/>
                <w:szCs w:val="21"/>
                <w:lang w:val="en-US" w:eastAsia="zh-CN" w:bidi="ar-SA"/>
              </w:rPr>
              <w:t xml:space="preserve">所有器材安全使用寿命不低于8年，</w:t>
            </w:r>
            <w:r>
              <w:rPr>
                <w:rFonts w:hint="eastAsia" w:ascii="宋体-PUA" w:hAnsi="宋体-PUA" w:eastAsia="宋体-PUA" w:cs="宋体-PUA"/>
                <w:sz w:val="21"/>
                <w:szCs w:val="21"/>
              </w:rPr>
              <w:t xml:space="preserve">供应商在出厂前在器材铭牌上方单独制作报修二维码铭牌，器材铭牌、报修铭牌2项内容需经采购方同意后制作。</w:t>
            </w:r>
            <w:r/>
          </w:p>
        </w:tc>
      </w:tr>
      <w:tr>
        <w:trPr>
          <w:trHeight w:val="20"/>
        </w:trPr>
        <w:tc>
          <w:tcPr>
            <w:gridSpan w:val="6"/>
            <w:tcW w:w="5000" w:type="pct"/>
            <w:vAlign w:val="center"/>
            <w:textDirection w:val="lrTb"/>
            <w:noWrap w:val="false"/>
          </w:tcPr>
          <w:p>
            <w:pPr>
              <w:pStyle w:val="1007"/>
              <w:jc w:val="both"/>
              <w:rPr>
                <w:rFonts w:hint="eastAsia" w:ascii="Calibri" w:hAnsi="Calibri"/>
                <w:sz w:val="21"/>
                <w:szCs w:val="22"/>
                <w:lang w:val="en-US" w:eastAsia="zh-CN" w:bidi="ar-SA"/>
              </w:rPr>
            </w:pPr>
            <w:r>
              <w:rPr>
                <w:rFonts w:hint="eastAsia" w:ascii="宋体" w:hAnsi="宋体"/>
                <w:b/>
                <w:sz w:val="24"/>
                <w:szCs w:val="24"/>
                <w:lang w:eastAsia="zh-CN"/>
              </w:rPr>
              <w:t xml:space="preserve">（</w:t>
            </w:r>
            <w:r>
              <w:rPr>
                <w:rFonts w:hint="eastAsia" w:ascii="宋体" w:hAnsi="宋体"/>
                <w:b/>
                <w:sz w:val="24"/>
                <w:szCs w:val="24"/>
                <w:lang w:val="en-US" w:eastAsia="zh-CN"/>
              </w:rPr>
              <w:t xml:space="preserve">二</w:t>
            </w:r>
            <w:r>
              <w:rPr>
                <w:rFonts w:hint="eastAsia" w:ascii="宋体" w:hAnsi="宋体"/>
                <w:b/>
                <w:sz w:val="24"/>
                <w:szCs w:val="24"/>
                <w:lang w:eastAsia="zh-CN"/>
              </w:rPr>
              <w:t xml:space="preserve">）</w:t>
            </w:r>
            <w:r>
              <w:rPr>
                <w:rFonts w:hint="eastAsia" w:ascii="宋体" w:hAnsi="宋体"/>
                <w:b/>
                <w:sz w:val="24"/>
                <w:szCs w:val="24"/>
              </w:rPr>
              <w:t xml:space="preserve">参数要求</w:t>
            </w:r>
            <w:r/>
          </w:p>
        </w:tc>
      </w:tr>
      <w:tr>
        <w:trPr>
          <w:trHeight w:val="20"/>
        </w:trPr>
        <w:tc>
          <w:tcPr>
            <w:tcW w:w="0" w:type="auto"/>
            <w:vAlign w:val="center"/>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w:t>
            </w:r>
            <w:r/>
          </w:p>
        </w:tc>
        <w:tc>
          <w:tcPr>
            <w:tcW w:w="0" w:type="auto"/>
            <w:vAlign w:val="center"/>
            <w:textDirection w:val="lrTb"/>
            <w:noWrap w:val="false"/>
          </w:tcPr>
          <w:p>
            <w:pPr>
              <w:jc w:val="center"/>
              <w:spacing w:line="360" w:lineRule="exact"/>
              <w:widowControl w:val="off"/>
              <w:rPr>
                <w:rFonts w:hint="default" w:ascii="宋体-PUA" w:hAnsi="宋体-PUA" w:eastAsia="宋体-PUA" w:cs="宋体-PUA"/>
                <w:bCs/>
                <w:szCs w:val="21"/>
                <w:lang w:val="en-US" w:eastAsia="zh-CN" w:bidi="ar-SA"/>
              </w:rPr>
            </w:pPr>
            <w:r>
              <w:rPr>
                <w:rFonts w:hint="eastAsia" w:ascii="宋体-PUA" w:hAnsi="宋体-PUA" w:eastAsia="宋体-PUA" w:cs="宋体-PUA"/>
                <w:bCs/>
                <w:szCs w:val="21"/>
                <w:lang w:val="en-US" w:eastAsia="zh-CN" w:bidi="ar-SA"/>
              </w:rPr>
              <w:t xml:space="preserve">告</w:t>
            </w:r>
            <w:r/>
          </w:p>
          <w:p>
            <w:pPr>
              <w:jc w:val="center"/>
              <w:spacing w:line="360" w:lineRule="exact"/>
              <w:widowControl w:val="off"/>
              <w:rPr>
                <w:rFonts w:hint="default" w:ascii="宋体-PUA" w:hAnsi="宋体-PUA" w:eastAsia="宋体-PUA" w:cs="宋体-PUA"/>
                <w:bCs/>
                <w:szCs w:val="21"/>
                <w:lang w:val="en-US" w:eastAsia="zh-CN" w:bidi="ar-SA"/>
              </w:rPr>
            </w:pPr>
            <w:r>
              <w:rPr>
                <w:rFonts w:hint="eastAsia" w:ascii="宋体-PUA" w:hAnsi="宋体-PUA" w:eastAsia="宋体-PUA" w:cs="宋体-PUA"/>
                <w:bCs/>
                <w:szCs w:val="21"/>
                <w:lang w:val="en-US" w:eastAsia="zh-CN" w:bidi="ar-SA"/>
              </w:rPr>
              <w:t xml:space="preserve">示</w:t>
            </w:r>
            <w:r/>
          </w:p>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Cs w:val="21"/>
                <w:lang w:val="en-US" w:eastAsia="zh-CN" w:bidi="ar-SA"/>
              </w:rPr>
              <w:t xml:space="preserve">牌</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447800" cy="99060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144780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78.0pt;mso-wrap-distance-left:0.0pt;mso-wrap-distance-top:0.0pt;mso-wrap-distance-right:0.0pt;mso-wrap-distance-bottom:0.0pt;" stroked="f">
                      <v:path textboxrect="0,0,0,0"/>
                      <v:imagedata r:id="rId18" o:title=""/>
                    </v:shape>
                  </w:pict>
                </mc:Fallback>
              </mc:AlternateContent>
            </w:r>
            <w:r/>
          </w:p>
        </w:tc>
        <w:tc>
          <w:tcPr>
            <w:tcW w:w="0" w:type="auto"/>
            <w:vAlign w:val="top"/>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1、产品尺寸≥800*114*1600mm。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2、主要承载立柱（单柱或双柱）≥Φ114*3mm镀锌管材；主要承载横梁≥40*40*2.5mm管材。</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3、器材立柱顶部应采用钢制封头，避免淋入雨水；棱边和棱角半径不小于3.0mm；牌面采用夹层式设计，防止产生刮伤的可能。</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器材应采用横式不锈钢牌面，牌面尺寸(700~900) ×(500~600)mm，板材厚度不小于1mm，图样及字样蚀刻处理，人体易接触区域不应有钩挂、缠绕结构。告示牌至少包含以下内容：监管单位名称（市县区体育部门）和联系电话；责任单位名称（受赠方）、责任人名字、联系电话；安全警示说明、发现器材有缺陷应立即停止使用直到修复的说明、器材供应商的全称及售后服务电话、管理维护单位及联系电话等。</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2</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肋木架</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960120" cy="1181100"/>
                      <wp:effectExtent l="0" t="0" r="1143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9"/>
                              <a:stretch/>
                            </pic:blipFill>
                            <pic:spPr bwMode="auto">
                              <a:xfrm>
                                <a:off x="0" y="0"/>
                                <a:ext cx="960120" cy="11810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6pt;height:93.0pt;mso-wrap-distance-left:0.0pt;mso-wrap-distance-top:0.0pt;mso-wrap-distance-right:0.0pt;mso-wrap-distance-bottom:0.0pt;" stroked="f">
                      <v:path textboxrect="0,0,0,0"/>
                      <v:imagedata r:id="rId19"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1、产品尺寸≥1200*114*2200mm。</w:t>
            </w:r>
            <w:r/>
          </w:p>
          <w:p>
            <w:pPr>
              <w:jc w:val="left"/>
              <w:widowControl/>
              <w:rPr>
                <w:rFonts w:hint="default" w:ascii="宋体-PUA" w:hAnsi="宋体-PUA" w:eastAsia="宋体-PUA" w:cs="宋体-PUA"/>
                <w:szCs w:val="21"/>
              </w:rPr>
            </w:pPr>
            <w:r>
              <w:rPr>
                <w:rFonts w:hint="eastAsia" w:ascii="宋体-PUA" w:hAnsi="宋体-PUA" w:eastAsia="宋体-PUA" w:cs="宋体-PUA"/>
                <w:szCs w:val="21"/>
              </w:rPr>
              <w:t xml:space="preserve">2、主要承载立柱≥Φ114*3mm镀锌管材；主要承载横梁≥Φ32*3mm管材。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3、器材采用整体焊接方式连接，</w:t>
            </w:r>
            <w:r>
              <w:rPr>
                <w:rFonts w:hint="eastAsia" w:ascii="宋体-PUA" w:hAnsi="宋体-PUA" w:eastAsia="宋体-PUA" w:cs="宋体-PUA"/>
                <w:szCs w:val="21"/>
                <w:lang w:val="en-US" w:eastAsia="zh-CN"/>
              </w:rPr>
              <w:t xml:space="preserve">横杆</w:t>
            </w:r>
            <w:r>
              <w:rPr>
                <w:rFonts w:hint="eastAsia" w:ascii="宋体-PUA" w:hAnsi="宋体-PUA" w:eastAsia="宋体-PUA" w:cs="宋体-PUA"/>
                <w:szCs w:val="21"/>
              </w:rPr>
              <w:t xml:space="preserve">数量不少于6个。</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3</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Times New Roman" w:eastAsia="宋体" w:cs="宋体"/>
                <w:color w:val="000000"/>
                <w:sz w:val="22"/>
                <w:szCs w:val="21"/>
              </w:rPr>
              <w:t xml:space="preserve">天梯</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485900" cy="1074420"/>
                      <wp:effectExtent l="0" t="0" r="0" b="1143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20"/>
                              <a:stretch/>
                            </pic:blipFill>
                            <pic:spPr bwMode="auto">
                              <a:xfrm>
                                <a:off x="0" y="0"/>
                                <a:ext cx="1485900" cy="1074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7.0pt;height:84.6pt;mso-wrap-distance-left:0.0pt;mso-wrap-distance-top:0.0pt;mso-wrap-distance-right:0.0pt;mso-wrap-distance-bottom:0.0pt;" stroked="f">
                      <v:path textboxrect="0,0,0,0"/>
                      <v:imagedata r:id="rId20"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1、产品尺寸≥2800*900*2200mm。</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2、主要承载立柱≥Φ114*3mm镀锌管材；主要承载横梁≥Φ60*3mm管材。</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4</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双位漫步机</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750060" cy="1329690"/>
                      <wp:effectExtent l="0" t="0" r="2540"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r/>
                            </pic:nvPicPr>
                            <pic:blipFill>
                              <a:blip r:embed="rId21"/>
                              <a:stretch/>
                            </pic:blipFill>
                            <pic:spPr bwMode="auto">
                              <a:xfrm>
                                <a:off x="0" y="0"/>
                                <a:ext cx="1750060" cy="1329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7.8pt;height:104.7pt;mso-wrap-distance-left:0.0pt;mso-wrap-distance-top:0.0pt;mso-wrap-distance-right:0.0pt;mso-wrap-distance-bottom:0.0pt;" stroked="f">
                      <v:path textboxrect="0,0,0,0"/>
                      <v:imagedata r:id="rId21"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1、产品尺寸≥2100*500*1280mm。</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2、主要承载立柱≥Φ114*3mm镀锌管材；主要承载横梁≥Φ60*3mm管材。</w:t>
            </w:r>
            <w:r/>
          </w:p>
          <w:p>
            <w:pPr>
              <w:jc w:val="left"/>
              <w:widowControl/>
              <w:rPr>
                <w:rFonts w:hint="eastAsia"/>
                <w:lang w:val="en-US" w:eastAsia="zh-CN"/>
              </w:rPr>
            </w:pPr>
            <w:r>
              <w:rPr>
                <w:rFonts w:hint="eastAsia" w:ascii="宋体-PUA" w:hAnsi="宋体-PUA" w:eastAsia="宋体-PUA" w:cs="宋体-PUA"/>
                <w:szCs w:val="21"/>
              </w:rPr>
              <w:t xml:space="preserve">3、器材能够同时满足2人使用。  </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5</w:t>
            </w:r>
            <w:r/>
          </w:p>
        </w:tc>
        <w:tc>
          <w:tcPr>
            <w:tcW w:w="0" w:type="auto"/>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1"/>
              </w:rPr>
              <w:t xml:space="preserve">双</w:t>
            </w:r>
            <w:r>
              <w:rPr>
                <w:rFonts w:hint="eastAsia" w:ascii="宋体" w:hAnsi="宋体" w:eastAsia="宋体" w:cs="宋体"/>
                <w:color w:val="000000"/>
                <w:sz w:val="22"/>
                <w:szCs w:val="21"/>
                <w:lang w:val="en-US" w:eastAsia="zh-CN"/>
              </w:rPr>
              <w:t xml:space="preserve">杠</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mc:AlternateContent>
                <mc:Choice Requires="wpg">
                  <w:drawing>
                    <wp:inline xmlns:wp="http://schemas.openxmlformats.org/drawingml/2006/wordprocessingDrawing" distT="0" distB="0" distL="0" distR="0">
                      <wp:extent cx="1424940" cy="1078230"/>
                      <wp:effectExtent l="0" t="0" r="3810" b="762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r/>
                            </pic:nvPicPr>
                            <pic:blipFill>
                              <a:blip r:embed="rId22"/>
                              <a:stretch/>
                            </pic:blipFill>
                            <pic:spPr bwMode="auto">
                              <a:xfrm>
                                <a:off x="0" y="0"/>
                                <a:ext cx="1424940" cy="1078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2.2pt;height:84.9pt;mso-wrap-distance-left:0.0pt;mso-wrap-distance-top:0.0pt;mso-wrap-distance-right:0.0pt;mso-wrap-distance-bottom:0.0pt;" stroked="f">
                      <v:path textboxrect="0,0,0,0"/>
                      <v:imagedata r:id="rId22"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1、产品尺寸≥2</w:t>
            </w: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00*</w:t>
            </w:r>
            <w:r>
              <w:rPr>
                <w:rFonts w:hint="eastAsia" w:ascii="宋体-PUA" w:hAnsi="宋体-PUA" w:eastAsia="宋体-PUA" w:cs="宋体-PUA"/>
                <w:szCs w:val="21"/>
                <w:lang w:val="en-US" w:eastAsia="zh-CN"/>
              </w:rPr>
              <w:t xml:space="preserve">70</w:t>
            </w:r>
            <w:r>
              <w:rPr>
                <w:rFonts w:hint="eastAsia" w:ascii="宋体-PUA" w:hAnsi="宋体-PUA" w:eastAsia="宋体-PUA" w:cs="宋体-PUA"/>
                <w:szCs w:val="21"/>
              </w:rPr>
              <w:t xml:space="preserve">0*1</w:t>
            </w:r>
            <w:r>
              <w:rPr>
                <w:rFonts w:hint="eastAsia" w:ascii="宋体-PUA" w:hAnsi="宋体-PUA" w:eastAsia="宋体-PUA" w:cs="宋体-PUA"/>
                <w:szCs w:val="21"/>
                <w:lang w:val="en-US" w:eastAsia="zh-CN"/>
              </w:rPr>
              <w:t xml:space="preserve">40</w:t>
            </w:r>
            <w:r>
              <w:rPr>
                <w:rFonts w:hint="eastAsia" w:ascii="宋体-PUA" w:hAnsi="宋体-PUA" w:eastAsia="宋体-PUA" w:cs="宋体-PUA"/>
                <w:szCs w:val="21"/>
              </w:rPr>
              <w:t xml:space="preserve">0mm。</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2、主要承载立柱≥Φ114*3mm镀锌管材；主要承载横梁≥Φ</w:t>
            </w:r>
            <w:r>
              <w:rPr>
                <w:rFonts w:hint="eastAsia" w:ascii="宋体-PUA" w:hAnsi="宋体-PUA" w:eastAsia="宋体-PUA" w:cs="宋体-PUA"/>
                <w:szCs w:val="21"/>
                <w:lang w:val="en-US" w:eastAsia="zh-CN"/>
              </w:rPr>
              <w:t xml:space="preserve">42</w:t>
            </w:r>
            <w:r>
              <w:rPr>
                <w:rFonts w:hint="eastAsia" w:ascii="宋体-PUA" w:hAnsi="宋体-PUA" w:eastAsia="宋体-PUA" w:cs="宋体-PUA"/>
                <w:szCs w:val="21"/>
              </w:rPr>
              <w:t xml:space="preserve">*</w:t>
            </w:r>
            <w:r>
              <w:rPr>
                <w:rFonts w:hint="eastAsia" w:ascii="宋体-PUA" w:hAnsi="宋体-PUA" w:eastAsia="宋体-PUA" w:cs="宋体-PUA"/>
                <w:szCs w:val="21"/>
                <w:lang w:val="en-US" w:eastAsia="zh-CN"/>
              </w:rPr>
              <w:t xml:space="preserve">4</w:t>
            </w:r>
            <w:r>
              <w:rPr>
                <w:rFonts w:hint="eastAsia" w:ascii="宋体-PUA" w:hAnsi="宋体-PUA" w:eastAsia="宋体-PUA" w:cs="宋体-PUA"/>
                <w:szCs w:val="21"/>
              </w:rPr>
              <w:t xml:space="preserve">mm管材。</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6</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上肢牵引器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975360" cy="1432560"/>
                      <wp:effectExtent l="0" t="0" r="15240" b="1524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23"/>
                              <a:stretch/>
                            </pic:blipFill>
                            <pic:spPr bwMode="auto">
                              <a:xfrm>
                                <a:off x="0" y="0"/>
                                <a:ext cx="975360"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6.8pt;height:112.8pt;mso-wrap-distance-left:0.0pt;mso-wrap-distance-top:0.0pt;mso-wrap-distance-right:0.0pt;mso-wrap-distance-bottom:0.0pt;" stroked="f">
                      <v:path textboxrect="0,0,0,0"/>
                      <v:imagedata r:id="rId23"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1、产品尺寸≥700*600*2400mm。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2、主要承载立柱≥Φ114*3mm镀锌管材；主要承载横梁≥Φ89*3mm管材。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3、器材能够同时满足2人使用。    </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2"/>
                <w:szCs w:val="22"/>
                <w:lang w:val="en-US" w:eastAsia="zh-CN" w:bidi="ar-SA"/>
              </w:rPr>
            </w:pPr>
            <w:r>
              <w:rPr>
                <w:rFonts w:hint="eastAsia" w:ascii="宋体" w:hAnsi="宋体" w:eastAsia="宋体" w:cs="宋体"/>
                <w:color w:val="000000"/>
                <w:sz w:val="22"/>
                <w:szCs w:val="21"/>
              </w:rPr>
              <w:t xml:space="preserve">三位扭腰</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617345" cy="1463040"/>
                      <wp:effectExtent l="0" t="0" r="1905" b="381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r/>
                            </pic:nvPicPr>
                            <pic:blipFill>
                              <a:blip r:embed="rId24"/>
                              <a:stretch/>
                            </pic:blipFill>
                            <pic:spPr bwMode="auto">
                              <a:xfrm>
                                <a:off x="0" y="0"/>
                                <a:ext cx="1617345"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27.3pt;height:115.2pt;mso-wrap-distance-left:0.0pt;mso-wrap-distance-top:0.0pt;mso-wrap-distance-right:0.0pt;mso-wrap-distance-bottom:0.0pt;" stroked="f">
                      <v:path textboxrect="0,0,0,0"/>
                      <v:imagedata r:id="rId24"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1、产品尺寸≥1300*1100*1200mm。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2、主要承载立柱≥Φ114*3mm镀锌管材；主要承载横梁≥Φ32*3mm管材。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3、器材能够同时满足3人使用。</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8</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宋体" w:eastAsia="宋体" w:cs="宋体"/>
                <w:color w:val="000000"/>
                <w:sz w:val="22"/>
                <w:szCs w:val="21"/>
              </w:rPr>
              <w:t xml:space="preserve">腰背按摩器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310640" cy="1463040"/>
                      <wp:effectExtent l="0" t="0" r="3810" b="381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r/>
                            </pic:nvPicPr>
                            <pic:blipFill>
                              <a:blip r:embed="rId25"/>
                              <a:stretch/>
                            </pic:blipFill>
                            <pic:spPr bwMode="auto">
                              <a:xfrm>
                                <a:off x="0" y="0"/>
                                <a:ext cx="1310640" cy="1463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3.2pt;height:115.2pt;mso-wrap-distance-left:0.0pt;mso-wrap-distance-top:0.0pt;mso-wrap-distance-right:0.0pt;mso-wrap-distance-bottom:0.0pt;" stroked="f">
                      <v:path textboxrect="0,0,0,0"/>
                      <v:imagedata r:id="rId25"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1、产品尺寸≥1000*700*1370mm。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2、主要承载立柱≥Φ114*3mm镀锌管材；主要承载横梁≥Φ48*3mm管材。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3、器材可</w:t>
            </w:r>
            <w:r>
              <w:rPr>
                <w:rFonts w:hint="eastAsia" w:ascii="宋体-PUA" w:hAnsi="宋体-PUA" w:eastAsia="宋体-PUA" w:cs="宋体-PUA"/>
                <w:szCs w:val="21"/>
                <w:lang w:val="en-US" w:eastAsia="zh-CN"/>
              </w:rPr>
              <w:t xml:space="preserve">2</w:t>
            </w:r>
            <w:r>
              <w:rPr>
                <w:rFonts w:hint="eastAsia" w:ascii="宋体-PUA" w:hAnsi="宋体-PUA" w:eastAsia="宋体-PUA" w:cs="宋体-PUA"/>
                <w:szCs w:val="21"/>
              </w:rPr>
              <w:t xml:space="preserve">人同时使用坐式腰背按摩与立式腰背按摩。</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9</w:t>
            </w:r>
            <w:r/>
          </w:p>
        </w:tc>
        <w:tc>
          <w:tcPr>
            <w:tcW w:w="0" w:type="auto"/>
            <w:vAlign w:val="center"/>
            <w:textDirection w:val="lrTb"/>
            <w:noWrap w:val="false"/>
          </w:tcPr>
          <w:p>
            <w:pPr>
              <w:jc w:val="center"/>
              <w:widowControl/>
              <w:rPr>
                <w:rFonts w:hint="eastAsia" w:ascii="宋体" w:hAnsi="Calibri" w:eastAsia="宋体" w:cs="宋体"/>
                <w:color w:val="000000"/>
                <w:sz w:val="22"/>
                <w:szCs w:val="22"/>
                <w:lang w:val="en-US" w:eastAsia="zh-CN" w:bidi="ar-SA"/>
              </w:rPr>
            </w:pPr>
            <w:r>
              <w:rPr>
                <w:rFonts w:hint="eastAsia" w:ascii="宋体" w:hAnsi="Times New Roman" w:eastAsia="宋体" w:cs="宋体"/>
                <w:color w:val="000000"/>
                <w:sz w:val="22"/>
                <w:szCs w:val="21"/>
              </w:rPr>
              <w:t xml:space="preserve">太极揉推器</w:t>
            </w:r>
            <w:r/>
          </w:p>
        </w:tc>
        <w:tc>
          <w:tcPr>
            <w:tcW w:w="0" w:type="auto"/>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Times New Roman" w:hAnsi="Times New Roman" w:eastAsia="宋体" w:cs="Times New Roman"/>
                <w:szCs w:val="21"/>
              </w:rPr>
              <mc:AlternateContent>
                <mc:Choice Requires="wpg">
                  <w:drawing>
                    <wp:inline xmlns:wp="http://schemas.openxmlformats.org/drawingml/2006/wordprocessingDrawing" distT="0" distB="0" distL="0" distR="0">
                      <wp:extent cx="1709420" cy="1405890"/>
                      <wp:effectExtent l="0" t="0" r="5080" b="3810"/>
                      <wp:docPr id="1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pic:cNvPicPr>
                                <a:picLocks noChangeAspect="1"/>
                              </pic:cNvPicPr>
                              <pic:nvPr/>
                            </pic:nvPicPr>
                            <pic:blipFill>
                              <a:blip r:embed="rId26"/>
                              <a:stretch/>
                            </pic:blipFill>
                            <pic:spPr bwMode="auto">
                              <a:xfrm>
                                <a:off x="0" y="0"/>
                                <a:ext cx="1709420" cy="1405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34.6pt;height:110.7pt;mso-wrap-distance-left:0.0pt;mso-wrap-distance-top:0.0pt;mso-wrap-distance-right:0.0pt;mso-wrap-distance-bottom:0.0pt;" stroked="f">
                      <v:path textboxrect="0,0,0,0"/>
                      <v:imagedata r:id="rId26"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1、产品尺寸≥1050*1050*1270mm。</w:t>
            </w:r>
            <w:r/>
          </w:p>
          <w:p>
            <w:pPr>
              <w:jc w:val="left"/>
              <w:widowControl/>
              <w:rPr>
                <w:rFonts w:hint="default" w:ascii="Times New Roman" w:hAnsi="Times New Roman" w:eastAsia="宋体" w:cs="Times New Roman"/>
                <w:szCs w:val="21"/>
              </w:rPr>
            </w:pPr>
            <w:r>
              <w:rPr>
                <w:rFonts w:hint="eastAsia" w:ascii="宋体-PUA" w:hAnsi="宋体-PUA" w:eastAsia="宋体-PUA" w:cs="宋体-PUA"/>
                <w:szCs w:val="21"/>
              </w:rPr>
              <w:t xml:space="preserve">2、主要承载立柱≥Φ114*3mm镀锌管材；主要承载横梁≥Φ60*3mm管材。</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Cs w:val="21"/>
              </w:rPr>
              <w:t xml:space="preserve">3、器材能够同时满足2人使用。</w:t>
            </w:r>
            <w:r/>
          </w:p>
        </w:tc>
        <w:tc>
          <w:tcPr>
            <w:tcW w:w="0" w:type="auto"/>
            <w:vAlign w:val="center"/>
            <w:textDirection w:val="lrTb"/>
            <w:noWrap w:val="false"/>
          </w:tcPr>
          <w:p>
            <w:pPr>
              <w:pStyle w:val="1007"/>
              <w:jc w:val="center"/>
              <w:rPr>
                <w:rFonts w:hint="eastAsia" w:ascii="Calibri" w:hAnsi="Calibri"/>
                <w:sz w:val="21"/>
                <w:szCs w:val="22"/>
                <w:lang w:val="en-US" w:eastAsia="zh-CN" w:bidi="ar-SA"/>
              </w:rPr>
            </w:pPr>
            <w:r>
              <w:rPr>
                <w:rFonts w:hint="eastAsia"/>
                <w:sz w:val="21"/>
                <w:szCs w:val="22"/>
              </w:rPr>
              <w:t xml:space="preserve">件</w:t>
            </w:r>
            <w:r/>
          </w:p>
        </w:tc>
        <w:tc>
          <w:tcPr>
            <w:tcW w:w="0" w:type="auto"/>
            <w:vAlign w:val="center"/>
            <w:textDirection w:val="lrTb"/>
            <w:noWrap w:val="false"/>
          </w:tcPr>
          <w:p>
            <w:pPr>
              <w:pStyle w:val="1007"/>
              <w:jc w:val="center"/>
              <w:rPr>
                <w:rFonts w:hint="default" w:ascii="Calibri" w:hAnsi="Calibri" w:eastAsia="宋体"/>
                <w:sz w:val="21"/>
                <w:szCs w:val="22"/>
                <w:lang w:val="en-US" w:eastAsia="zh-CN" w:bidi="ar-SA"/>
              </w:rPr>
            </w:pPr>
            <w:r>
              <w:rPr>
                <w:rFonts w:hint="eastAsia" w:ascii="Calibri" w:hAnsi="Calibri" w:eastAsia="宋体"/>
                <w:sz w:val="21"/>
                <w:szCs w:val="22"/>
                <w:lang w:val="en-US" w:eastAsia="zh-CN" w:bidi="ar-SA"/>
              </w:rPr>
              <w:t xml:space="preserve">80</w:t>
            </w:r>
            <w:r/>
          </w:p>
        </w:tc>
      </w:tr>
      <w:tr>
        <w:trPr>
          <w:trHeight w:val="20"/>
        </w:trPr>
        <w:tc>
          <w:tcPr>
            <w:tcW w:w="0" w:type="auto"/>
            <w:vAlign w:val="top"/>
            <w:textDirection w:val="lrTb"/>
            <w:noWrap w:val="false"/>
          </w:tcPr>
          <w:p>
            <w:pPr>
              <w:jc w:val="center"/>
              <w:spacing w:line="360" w:lineRule="exact"/>
              <w:widowControl w:val="off"/>
              <w:rPr>
                <w:rFonts w:hint="default"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10</w:t>
            </w:r>
            <w:r/>
          </w:p>
        </w:tc>
        <w:tc>
          <w:tcPr>
            <w:tcW w:w="0" w:type="auto"/>
            <w:vAlign w:val="center"/>
            <w:textDirection w:val="lrTb"/>
            <w:noWrap w:val="false"/>
          </w:tcPr>
          <w:p>
            <w:pPr>
              <w:jc w:val="center"/>
              <w:widowControl/>
              <w:rPr>
                <w:rFonts w:hint="eastAsia" w:ascii="宋体" w:hAnsi="Times New Roman" w:eastAsia="宋体" w:cs="宋体"/>
                <w:color w:val="000000"/>
                <w:sz w:val="22"/>
                <w:szCs w:val="21"/>
                <w:lang w:val="en-US" w:eastAsia="zh-CN"/>
              </w:rPr>
            </w:pPr>
            <w:r>
              <w:rPr>
                <w:rFonts w:hint="eastAsia" w:ascii="宋体" w:hAnsi="Times New Roman" w:eastAsia="宋体" w:cs="宋体"/>
                <w:color w:val="000000"/>
                <w:sz w:val="22"/>
                <w:szCs w:val="21"/>
                <w:lang w:val="en-US" w:eastAsia="zh-CN"/>
              </w:rPr>
              <w:t xml:space="preserve">棋牌桌</w:t>
            </w:r>
            <w:r/>
          </w:p>
        </w:tc>
        <w:tc>
          <w:tcPr>
            <w:tcW w:w="0" w:type="auto"/>
            <w:vAlign w:val="top"/>
            <w:textDirection w:val="lrTb"/>
            <w:noWrap w:val="false"/>
          </w:tcPr>
          <w:p>
            <w:pPr>
              <w:ind w:left="-105" w:right="-105"/>
              <w:jc w:val="center"/>
              <w:spacing w:line="360" w:lineRule="auto"/>
              <w:widowControl/>
              <w:rPr>
                <w:rFonts w:hint="eastAsia" w:ascii="Times New Roman" w:hAnsi="Times New Roman" w:eastAsia="宋体" w:cs="Times New Roman"/>
                <w:szCs w:val="21"/>
                <w:lang w:eastAsia="zh-CN"/>
              </w:rPr>
              <w:outlineLvl w:val="0"/>
            </w:pPr>
            <w:r>
              <w:rPr>
                <w:rFonts w:hint="eastAsia" w:ascii="Times New Roman" w:hAnsi="Times New Roman" w:eastAsia="宋体" w:cs="Times New Roman"/>
                <w:szCs w:val="21"/>
                <w:lang w:eastAsia="zh-CN"/>
              </w:rPr>
              <mc:AlternateContent>
                <mc:Choice Requires="wpg">
                  <w:drawing>
                    <wp:inline xmlns:wp="http://schemas.openxmlformats.org/drawingml/2006/wordprocessingDrawing" distT="0" distB="0" distL="0" distR="0">
                      <wp:extent cx="1616710" cy="1271270"/>
                      <wp:effectExtent l="0" t="0" r="2540" b="5080"/>
                      <wp:docPr id="13" name="图片 14" descr="3f34a81b-53e7-41f7-aab6-56aacea8f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3f34a81b-53e7-41f7-aab6-56aacea8f374"/>
                              <pic:cNvPicPr>
                                <a:picLocks noChangeAspect="1"/>
                              </pic:cNvPicPr>
                              <pic:nvPr/>
                            </pic:nvPicPr>
                            <pic:blipFill>
                              <a:blip r:embed="rId27"/>
                              <a:stretch/>
                            </pic:blipFill>
                            <pic:spPr bwMode="auto">
                              <a:xfrm>
                                <a:off x="0" y="0"/>
                                <a:ext cx="1616710" cy="1271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27.3pt;height:100.1pt;mso-wrap-distance-left:0.0pt;mso-wrap-distance-top:0.0pt;mso-wrap-distance-right:0.0pt;mso-wrap-distance-bottom:0.0pt;" stroked="false">
                      <v:path textboxrect="0,0,0,0"/>
                      <v:imagedata r:id="rId27" o:title=""/>
                    </v:shape>
                  </w:pict>
                </mc:Fallback>
              </mc:AlternateContent>
            </w:r>
            <w:r/>
          </w:p>
        </w:tc>
        <w:tc>
          <w:tcPr>
            <w:tcW w:w="0" w:type="auto"/>
            <w:vAlign w:val="center"/>
            <w:textDirection w:val="lrTb"/>
            <w:noWrap w:val="false"/>
          </w:tcPr>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1、产品尺寸≥1</w:t>
            </w:r>
            <w:r>
              <w:rPr>
                <w:rFonts w:hint="eastAsia" w:ascii="宋体-PUA" w:hAnsi="宋体-PUA" w:eastAsia="宋体-PUA" w:cs="宋体-PUA"/>
                <w:szCs w:val="21"/>
                <w:lang w:val="en-US" w:eastAsia="zh-CN"/>
              </w:rPr>
              <w:t xml:space="preserve">80</w:t>
            </w:r>
            <w:r>
              <w:rPr>
                <w:rFonts w:hint="eastAsia" w:ascii="宋体-PUA" w:hAnsi="宋体-PUA" w:eastAsia="宋体-PUA" w:cs="宋体-PUA"/>
                <w:szCs w:val="21"/>
              </w:rPr>
              <w:t xml:space="preserve">0*1</w:t>
            </w:r>
            <w:r>
              <w:rPr>
                <w:rFonts w:hint="eastAsia" w:ascii="宋体-PUA" w:hAnsi="宋体-PUA" w:eastAsia="宋体-PUA" w:cs="宋体-PUA"/>
                <w:szCs w:val="21"/>
                <w:lang w:val="en-US" w:eastAsia="zh-CN"/>
              </w:rPr>
              <w:t xml:space="preserve">80</w:t>
            </w:r>
            <w:r>
              <w:rPr>
                <w:rFonts w:hint="eastAsia" w:ascii="宋体-PUA" w:hAnsi="宋体-PUA" w:eastAsia="宋体-PUA" w:cs="宋体-PUA"/>
                <w:szCs w:val="21"/>
              </w:rPr>
              <w:t xml:space="preserve">0*</w:t>
            </w:r>
            <w:r>
              <w:rPr>
                <w:rFonts w:hint="eastAsia" w:ascii="宋体-PUA" w:hAnsi="宋体-PUA" w:eastAsia="宋体-PUA" w:cs="宋体-PUA"/>
                <w:szCs w:val="21"/>
                <w:lang w:val="en-US" w:eastAsia="zh-CN"/>
              </w:rPr>
              <w:t xml:space="preserve">60</w:t>
            </w:r>
            <w:r>
              <w:rPr>
                <w:rFonts w:hint="eastAsia" w:ascii="宋体-PUA" w:hAnsi="宋体-PUA" w:eastAsia="宋体-PUA" w:cs="宋体-PUA"/>
                <w:szCs w:val="21"/>
              </w:rPr>
              <w:t xml:space="preserve">0mm。</w:t>
            </w:r>
            <w:r/>
          </w:p>
          <w:p>
            <w:pPr>
              <w:jc w:val="left"/>
              <w:widowControl/>
              <w:rPr>
                <w:rFonts w:hint="eastAsia" w:ascii="宋体-PUA" w:hAnsi="宋体-PUA" w:eastAsia="宋体-PUA" w:cs="宋体-PUA"/>
                <w:szCs w:val="21"/>
              </w:rPr>
            </w:pPr>
            <w:r>
              <w:rPr>
                <w:rFonts w:hint="eastAsia" w:ascii="宋体-PUA" w:hAnsi="宋体-PUA" w:eastAsia="宋体-PUA" w:cs="宋体-PUA"/>
                <w:szCs w:val="21"/>
              </w:rPr>
              <w:t xml:space="preserve">2、主要承载立柱≥Φ114*3mm镀锌管材；主要承载横梁≥</w:t>
            </w:r>
            <w:r>
              <w:rPr>
                <w:rFonts w:hint="eastAsia" w:ascii="宋体-PUA" w:hAnsi="宋体-PUA" w:eastAsia="宋体-PUA" w:cs="宋体-PUA"/>
                <w:szCs w:val="21"/>
                <w:lang w:val="en-US" w:eastAsia="zh-CN"/>
              </w:rPr>
              <w:t xml:space="preserve">2</w:t>
            </w:r>
            <w:r>
              <w:rPr>
                <w:rFonts w:hint="eastAsia" w:ascii="宋体-PUA" w:hAnsi="宋体-PUA" w:eastAsia="宋体-PUA" w:cs="宋体-PUA"/>
                <w:szCs w:val="21"/>
              </w:rPr>
              <w:t xml:space="preserve">0*</w:t>
            </w:r>
            <w:r>
              <w:rPr>
                <w:rFonts w:hint="eastAsia" w:ascii="宋体-PUA" w:hAnsi="宋体-PUA" w:eastAsia="宋体-PUA" w:cs="宋体-PUA"/>
                <w:szCs w:val="21"/>
                <w:lang w:val="en-US" w:eastAsia="zh-CN"/>
              </w:rPr>
              <w:t xml:space="preserve">40*</w:t>
            </w:r>
            <w:r>
              <w:rPr>
                <w:rFonts w:hint="eastAsia" w:ascii="宋体-PUA" w:hAnsi="宋体-PUA" w:eastAsia="宋体-PUA" w:cs="宋体-PUA"/>
                <w:szCs w:val="21"/>
              </w:rPr>
              <w:t xml:space="preserve">3mm管材。</w:t>
            </w:r>
            <w:r/>
          </w:p>
          <w:p>
            <w:pPr>
              <w:jc w:val="left"/>
              <w:widowControl/>
              <w:rPr>
                <w:rFonts w:hint="default" w:ascii="宋体-PUA" w:hAnsi="宋体-PUA" w:eastAsia="宋体-PUA" w:cs="宋体-PUA"/>
                <w:szCs w:val="21"/>
                <w:lang w:val="en-US" w:eastAsia="zh-CN"/>
              </w:rPr>
            </w:pPr>
            <w:r>
              <w:rPr>
                <w:rFonts w:hint="eastAsia" w:ascii="宋体-PUA" w:hAnsi="宋体-PUA" w:eastAsia="宋体-PUA" w:cs="宋体-PUA"/>
                <w:szCs w:val="21"/>
                <w:lang w:val="en-US" w:eastAsia="zh-CN"/>
              </w:rPr>
              <w:t xml:space="preserve">3、桌面采用不锈钢材质。</w:t>
            </w:r>
            <w:r/>
          </w:p>
          <w:p>
            <w:pPr>
              <w:jc w:val="left"/>
              <w:widowControl/>
              <w:rPr>
                <w:rFonts w:hint="default" w:eastAsia="宋体-PUA"/>
                <w:lang w:val="en-US" w:eastAsia="zh-CN"/>
              </w:rPr>
            </w:pPr>
            <w:r>
              <w:rPr>
                <w:rFonts w:hint="eastAsia" w:ascii="宋体-PUA" w:hAnsi="宋体-PUA" w:eastAsia="宋体-PUA" w:cs="宋体-PUA"/>
                <w:szCs w:val="21"/>
                <w:lang w:val="en-US" w:eastAsia="zh-CN"/>
              </w:rPr>
              <w:t xml:space="preserve">4、4个座椅独立安装。</w:t>
            </w:r>
            <w:r/>
          </w:p>
        </w:tc>
        <w:tc>
          <w:tcPr>
            <w:shd w:val="clear" w:color="auto" w:fill="auto"/>
            <w:tcW w:w="0" w:type="auto"/>
            <w:vAlign w:val="center"/>
            <w:textDirection w:val="lrTb"/>
            <w:noWrap w:val="false"/>
          </w:tcPr>
          <w:p>
            <w:pPr>
              <w:pStyle w:val="1007"/>
              <w:jc w:val="center"/>
              <w:rPr>
                <w:rFonts w:hint="eastAsia" w:ascii="Calibri" w:hAnsi="Calibri" w:eastAsia="黑体" w:cs="黑体"/>
                <w:b/>
                <w:sz w:val="21"/>
                <w:szCs w:val="22"/>
                <w:lang w:val="en-US" w:eastAsia="zh-CN" w:bidi="ar-SA"/>
              </w:rPr>
            </w:pPr>
            <w:r>
              <w:rPr>
                <w:rFonts w:hint="eastAsia"/>
                <w:sz w:val="21"/>
                <w:szCs w:val="22"/>
              </w:rPr>
              <w:t xml:space="preserve">件</w:t>
            </w:r>
            <w:r/>
          </w:p>
        </w:tc>
        <w:tc>
          <w:tcPr>
            <w:shd w:val="clear" w:color="auto" w:fill="auto"/>
            <w:tcW w:w="0" w:type="auto"/>
            <w:vAlign w:val="center"/>
            <w:textDirection w:val="lrTb"/>
            <w:noWrap w:val="false"/>
          </w:tcPr>
          <w:p>
            <w:pPr>
              <w:pStyle w:val="1007"/>
              <w:jc w:val="center"/>
              <w:rPr>
                <w:rFonts w:hint="eastAsia" w:ascii="Calibri" w:hAnsi="Calibri" w:eastAsia="宋体" w:cs="黑体"/>
                <w:b/>
                <w:sz w:val="21"/>
                <w:szCs w:val="22"/>
                <w:lang w:val="en-US" w:eastAsia="zh-CN" w:bidi="ar-SA"/>
              </w:rPr>
            </w:pPr>
            <w:r>
              <w:rPr>
                <w:rFonts w:hint="eastAsia" w:ascii="Calibri" w:hAnsi="Calibri" w:eastAsia="宋体"/>
                <w:sz w:val="21"/>
                <w:szCs w:val="22"/>
                <w:lang w:val="en-US" w:eastAsia="zh-CN" w:bidi="ar-SA"/>
              </w:rPr>
              <w:t xml:space="preserve">80</w:t>
            </w:r>
            <w:r/>
          </w:p>
        </w:tc>
      </w:tr>
    </w:tbl>
    <w:p>
      <w:pPr>
        <w:pStyle w:val="820"/>
        <w:rPr>
          <w:rFonts w:hint="default"/>
          <w:lang w:val="en-US" w:eastAsia="zh-CN"/>
        </w:rPr>
      </w:pPr>
      <w:r>
        <w:rPr>
          <w:rFonts w:hint="default"/>
          <w:lang w:val="en-US" w:eastAsia="zh-CN"/>
        </w:rPr>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分包二：</w:t>
      </w:r>
      <w:r/>
    </w:p>
    <w:p>
      <w:pPr>
        <w:pStyle w:val="82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tbl>
      <w:tblPr>
        <w:tblStyle w:val="816"/>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61"/>
        <w:gridCol w:w="2652"/>
        <w:gridCol w:w="5010"/>
        <w:gridCol w:w="434"/>
        <w:gridCol w:w="428"/>
      </w:tblGrid>
      <w:tr>
        <w:trPr>
          <w:trHeight w:val="20"/>
        </w:trPr>
        <w:tc>
          <w:tcPr>
            <w:gridSpan w:val="6"/>
            <w:tcW w:w="5000" w:type="pct"/>
            <w:vAlign w:val="top"/>
            <w:textDirection w:val="lrTb"/>
            <w:noWrap w:val="false"/>
          </w:tcPr>
          <w:p>
            <w:pPr>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5000" w:type="pct"/>
            <w:vAlign w:val="center"/>
            <w:textDirection w:val="lrTb"/>
            <w:noWrap w:val="false"/>
          </w:tcPr>
          <w:p>
            <w:pPr>
              <w:numPr>
                <w:ilvl w:val="0"/>
                <w:numId w:val="10"/>
              </w:num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器材涂层、橡胶、塑料件有害物质限量以及器材闭合开口、不完全闭合开口、地埋式器材地埋深度、器材安装等都必须符合GB 19272-2011《室外健身器材的安全通用要求》的要求，并提供有效证明文件（具有资质的检验机构的检验报告）；</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螺钉、螺母应防锈、防松和防盗；并应采取措施对螺栓、螺纹永久的覆盖。</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覆盖件在其安装面以上直角部分的高度小于3mm；覆盖件直线部分超过3mm的，其突出部分外角应不小于105°或不应有易钩挂形状；</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器材不允许存在和使用功能无关的凸出物，使用者或第三者易接触的零部件的其他所有棱边应予以圆滑过渡或加以防护；</w:t>
            </w:r>
            <w:r/>
          </w:p>
          <w:p>
            <w:pPr>
              <w:numPr>
                <w:ilvl w:val="0"/>
                <w:numId w:val="10"/>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钢铁制件（不锈钢除外）表面，应经过酸洗、磷化处理后或经过表面热度锌处理后，进行表面喷塑处理，涂层厚度不小于0.7mm。</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6、为保证全民健身器材统一、管理规范化，投标供应商所投器材的品牌必须要求一致，不得出现多个不同品牌产品，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jc w:val="both"/>
              <w:spacing w:line="370" w:lineRule="exact"/>
              <w:widowControl w:val="off"/>
              <w:tabs>
                <w:tab w:val="left" w:pos="522" w:leader="none"/>
              </w:tabs>
              <w:rPr>
                <w:rFonts w:hint="eastAsia" w:ascii="Calibri" w:hAnsi="Calibri" w:eastAsia="宋体" w:cs="Times New Roman"/>
                <w:sz w:val="21"/>
                <w:szCs w:val="22"/>
                <w:lang w:val="en-US" w:eastAsia="zh-CN" w:bidi="ar-SA"/>
              </w:rPr>
            </w:pPr>
            <w:r>
              <w:rPr>
                <w:rFonts w:hint="eastAsia" w:ascii="宋体-PUA" w:hAnsi="宋体-PUA" w:eastAsia="宋体-PUA" w:cs="宋体-PUA"/>
                <w:sz w:val="21"/>
                <w:szCs w:val="21"/>
              </w:rPr>
              <w:t xml:space="preserve">★</w:t>
            </w:r>
            <w:r>
              <w:rPr>
                <w:rFonts w:hint="eastAsia" w:ascii="宋体-PUA" w:hAnsi="宋体-PUA" w:eastAsia="宋体-PUA" w:cs="宋体-PUA"/>
                <w:b/>
                <w:sz w:val="21"/>
                <w:szCs w:val="21"/>
                <w:lang w:val="en-US" w:eastAsia="zh-CN" w:bidi="ar-SA"/>
              </w:rPr>
              <w:t xml:space="preserve">7、所有器材安全使用寿命不低于8年，供应商在出厂前在器材铭牌上方单独制作报修二维码铭牌，器材铭牌、报修铭牌2项内容需经采购方同意后制作。</w:t>
            </w:r>
            <w:r/>
          </w:p>
        </w:tc>
      </w:tr>
      <w:tr>
        <w:trPr>
          <w:trHeight w:val="20"/>
        </w:trPr>
        <w:tc>
          <w:tcPr>
            <w:gridSpan w:val="6"/>
            <w:tcW w:w="5000" w:type="pct"/>
            <w:vAlign w:val="center"/>
            <w:textDirection w:val="lrTb"/>
            <w:noWrap w:val="false"/>
          </w:tcPr>
          <w:p>
            <w:pPr>
              <w:pStyle w:val="1007"/>
              <w:jc w:val="both"/>
              <w:rPr>
                <w:rFonts w:hint="default" w:ascii="Calibri" w:hAnsi="Calibri" w:eastAsia="黑体" w:cs="Times New Roman"/>
                <w:b w:val="0"/>
                <w:sz w:val="21"/>
                <w:szCs w:val="22"/>
                <w:lang w:val="en-US" w:eastAsia="zh-CN" w:bidi="ar-SA"/>
              </w:rPr>
            </w:pP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二</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rPr>
              <w:t xml:space="preserve">参数要求</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图片为网上下载，仅作样式提示，具体要求以产品参数为准）</w:t>
            </w:r>
            <w:r/>
          </w:p>
        </w:tc>
      </w:tr>
      <w:tr>
        <w:trPr>
          <w:trHeight w:val="20"/>
        </w:trPr>
        <w:tc>
          <w:tcPr>
            <w:tcW w:w="229" w:type="pct"/>
            <w:vAlign w:val="top"/>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2</w:t>
            </w:r>
            <w:r/>
          </w:p>
        </w:tc>
        <w:tc>
          <w:tcPr>
            <w:tcW w:w="245" w:type="pct"/>
            <w:vAlign w:val="center"/>
            <w:textDirection w:val="lrTb"/>
            <w:noWrap w:val="false"/>
          </w:tcPr>
          <w:p>
            <w:pPr>
              <w:jc w:val="center"/>
              <w:widowControl/>
              <w:rPr>
                <w:rFonts w:hint="default" w:ascii="宋体" w:hAnsi="Calibri" w:eastAsia="宋体" w:cs="宋体"/>
                <w:color w:val="000000"/>
                <w:sz w:val="22"/>
                <w:szCs w:val="22"/>
                <w:lang w:val="en-US" w:eastAsia="zh-CN" w:bidi="ar-SA"/>
              </w:rPr>
            </w:pPr>
            <w:r>
              <w:rPr>
                <w:rFonts w:hint="eastAsia" w:ascii="宋体" w:hAnsi="宋体" w:eastAsia="宋体" w:cs="宋体"/>
                <w:color w:val="000000"/>
                <w:sz w:val="22"/>
                <w:lang w:val="en-US" w:eastAsia="zh-CN"/>
              </w:rPr>
              <w:t xml:space="preserve">室外圆管地埋式篮球架</w:t>
            </w:r>
            <w:r/>
          </w:p>
        </w:tc>
        <w:tc>
          <w:tcPr>
            <w:tcW w:w="1407" w:type="pct"/>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Calibri" w:hAnsi="Calibri" w:eastAsia="宋体" w:cs="Times New Roman"/>
              </w:rPr>
              <mc:AlternateContent>
                <mc:Choice Requires="wpg">
                  <w:drawing>
                    <wp:inline xmlns:wp="http://schemas.openxmlformats.org/drawingml/2006/wordprocessingDrawing" distT="0" distB="0" distL="0" distR="0">
                      <wp:extent cx="1525270" cy="2155825"/>
                      <wp:effectExtent l="0" t="0" r="17780" b="15875"/>
                      <wp:docPr id="1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8"/>
                              <a:stretch/>
                            </pic:blipFill>
                            <pic:spPr bwMode="auto">
                              <a:xfrm>
                                <a:off x="0" y="0"/>
                                <a:ext cx="1525270" cy="215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1pt;height:169.8pt;mso-wrap-distance-left:0.0pt;mso-wrap-distance-top:0.0pt;mso-wrap-distance-right:0.0pt;mso-wrap-distance-bottom:0.0pt;" stroked="f">
                      <v:path textboxrect="0,0,0,0"/>
                      <v:imagedata r:id="rId28" o:title=""/>
                    </v:shape>
                  </w:pict>
                </mc:Fallback>
              </mc:AlternateContent>
            </w:r>
            <w:r/>
          </w:p>
        </w:tc>
        <w:tc>
          <w:tcPr>
            <w:tcW w:w="2659" w:type="pct"/>
            <w:vAlign w:val="center"/>
            <w:textDirection w:val="lrTb"/>
            <w:noWrap w:val="false"/>
          </w:tcPr>
          <w:p>
            <w:pPr>
              <w:jc w:val="left"/>
              <w:widowControl/>
              <w:rPr>
                <w:rFonts w:hint="eastAsia" w:ascii="宋体-PUA" w:hAnsi="宋体-PUA" w:eastAsia="宋体-PUA" w:cs="宋体-PUA"/>
                <w:sz w:val="21"/>
                <w:szCs w:val="21"/>
                <w:lang w:eastAsia="zh-CN"/>
              </w:rPr>
            </w:pPr>
            <w:r>
              <w:rPr>
                <w:rFonts w:hint="eastAsia" w:ascii="宋体-PUA" w:hAnsi="宋体-PUA" w:eastAsia="宋体-PUA" w:cs="宋体-PUA"/>
                <w:szCs w:val="21"/>
                <w:lang w:val="en-US" w:eastAsia="zh-CN"/>
              </w:rPr>
              <w:t xml:space="preserve">1、</w:t>
            </w:r>
            <w:r>
              <w:rPr>
                <w:rFonts w:hint="eastAsia" w:ascii="宋体-PUA" w:hAnsi="宋体-PUA" w:eastAsia="宋体-PUA" w:cs="宋体-PUA"/>
                <w:sz w:val="21"/>
                <w:szCs w:val="21"/>
              </w:rPr>
              <w:t xml:space="preserve">外形尺寸（长×宽×高） </w:t>
            </w:r>
            <w:r>
              <w:rPr>
                <w:rFonts w:hint="eastAsia" w:ascii="宋体-PUA" w:hAnsi="宋体-PUA" w:eastAsia="宋体-PUA" w:cs="宋体-PUA"/>
                <w:sz w:val="21"/>
                <w:szCs w:val="21"/>
                <w:lang w:val="en-US" w:eastAsia="zh-CN"/>
              </w:rPr>
              <w:t xml:space="preserve">≥</w:t>
            </w:r>
            <w:r>
              <w:rPr>
                <w:rFonts w:hint="eastAsia" w:ascii="宋体-PUA" w:hAnsi="宋体-PUA" w:eastAsia="宋体-PUA" w:cs="宋体-PUA"/>
                <w:sz w:val="21"/>
                <w:szCs w:val="21"/>
              </w:rPr>
              <w:t xml:space="preserve">2585×1800×3950mm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2、</w:t>
            </w:r>
            <w:r>
              <w:rPr>
                <w:rFonts w:hint="eastAsia" w:ascii="宋体-PUA" w:hAnsi="宋体-PUA" w:eastAsia="宋体-PUA" w:cs="宋体-PUA"/>
                <w:sz w:val="21"/>
                <w:szCs w:val="21"/>
              </w:rPr>
              <w:t xml:space="preserve">主要承载立柱</w:t>
            </w:r>
            <w:r>
              <w:rPr>
                <w:rFonts w:hint="eastAsia" w:ascii="宋体-PUA" w:hAnsi="宋体-PUA" w:eastAsia="宋体-PUA" w:cs="宋体-PUA"/>
                <w:sz w:val="21"/>
                <w:szCs w:val="21"/>
                <w:lang w:val="en-US" w:eastAsia="zh-CN"/>
              </w:rPr>
              <w:t xml:space="preserve">尺寸≥</w:t>
            </w:r>
            <w:r>
              <w:rPr>
                <w:rFonts w:hint="eastAsia" w:ascii="宋体-PUA" w:hAnsi="宋体-PUA" w:eastAsia="宋体-PUA" w:cs="宋体-PUA"/>
                <w:sz w:val="21"/>
                <w:szCs w:val="21"/>
              </w:rPr>
              <w:t xml:space="preserve">Φ165×4mm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3</w:t>
            </w:r>
            <w:r>
              <w:rPr>
                <w:rFonts w:hint="eastAsia" w:ascii="宋体-PUA" w:hAnsi="宋体-PUA" w:eastAsia="宋体-PUA" w:cs="宋体-PUA"/>
                <w:sz w:val="21"/>
                <w:szCs w:val="21"/>
              </w:rPr>
              <w:t xml:space="preserve">、主要承载横梁</w:t>
            </w:r>
            <w:r>
              <w:rPr>
                <w:rFonts w:hint="eastAsia" w:ascii="宋体-PUA" w:hAnsi="宋体-PUA" w:eastAsia="宋体-PUA" w:cs="宋体-PUA"/>
                <w:sz w:val="21"/>
                <w:szCs w:val="21"/>
                <w:lang w:val="en-US" w:eastAsia="zh-CN"/>
              </w:rPr>
              <w:t xml:space="preserve">尺寸≥</w:t>
            </w:r>
            <w:r>
              <w:rPr>
                <w:rFonts w:hint="eastAsia" w:ascii="宋体-PUA" w:hAnsi="宋体-PUA" w:eastAsia="宋体-PUA" w:cs="宋体-PUA"/>
                <w:sz w:val="21"/>
                <w:szCs w:val="21"/>
              </w:rPr>
              <w:t xml:space="preserve">Φ165×4mm</w:t>
            </w:r>
            <w:r>
              <w:rPr>
                <w:rFonts w:hint="eastAsia" w:ascii="宋体-PUA" w:hAnsi="宋体-PUA" w:eastAsia="宋体-PUA" w:cs="宋体-PUA"/>
                <w:sz w:val="21"/>
                <w:szCs w:val="21"/>
                <w:lang w:eastAsia="zh-CN"/>
              </w:rPr>
              <w:t xml:space="preserve">。</w:t>
            </w:r>
            <w:r/>
          </w:p>
          <w:p>
            <w:pPr>
              <w:jc w:val="left"/>
              <w:widowControl/>
              <w:rPr>
                <w:rFonts w:hint="default" w:ascii="宋体-PUA" w:hAnsi="宋体-PUA" w:eastAsia="宋体-PUA" w:cs="宋体-PUA"/>
                <w:sz w:val="21"/>
                <w:szCs w:val="21"/>
                <w:lang w:val="en-US" w:eastAsia="zh-CN"/>
              </w:rPr>
            </w:pPr>
            <w:r>
              <w:rPr>
                <w:rFonts w:hint="eastAsia" w:ascii="宋体-PUA" w:hAnsi="宋体-PUA" w:eastAsia="宋体-PUA" w:cs="宋体-PUA"/>
                <w:sz w:val="21"/>
                <w:szCs w:val="21"/>
                <w:lang w:val="en-US" w:eastAsia="zh-CN"/>
              </w:rPr>
              <w:t xml:space="preserve">4、安装方式：直埋式或预埋式。</w:t>
            </w:r>
            <w:r/>
          </w:p>
          <w:p>
            <w:pPr>
              <w:jc w:val="left"/>
              <w:widowControl/>
              <w:rPr>
                <w:rFonts w:hint="default" w:ascii="宋体-PUA" w:hAnsi="宋体-PUA" w:eastAsia="宋体-PUA" w:cs="宋体-PUA"/>
                <w:sz w:val="21"/>
                <w:szCs w:val="21"/>
                <w:lang w:val="en-US" w:eastAsia="zh-CN"/>
              </w:rPr>
            </w:pPr>
            <w:r>
              <w:rPr>
                <w:rFonts w:hint="eastAsia" w:ascii="宋体-PUA" w:hAnsi="宋体-PUA" w:eastAsia="宋体-PUA" w:cs="宋体-PUA"/>
                <w:sz w:val="21"/>
                <w:szCs w:val="21"/>
                <w:lang w:val="en-US" w:eastAsia="zh-CN"/>
              </w:rPr>
              <w:t xml:space="preserve">5</w:t>
            </w:r>
            <w:r>
              <w:rPr>
                <w:rFonts w:hint="eastAsia" w:ascii="宋体-PUA" w:hAnsi="宋体-PUA" w:eastAsia="宋体-PUA" w:cs="宋体-PUA"/>
                <w:sz w:val="21"/>
                <w:szCs w:val="21"/>
              </w:rPr>
              <w:t xml:space="preserve">、</w:t>
            </w:r>
            <w:r>
              <w:rPr>
                <w:rFonts w:hint="eastAsia" w:ascii="宋体-PUA" w:hAnsi="宋体-PUA" w:eastAsia="宋体-PUA" w:cs="宋体-PUA"/>
                <w:sz w:val="21"/>
                <w:szCs w:val="21"/>
                <w:lang w:val="en-US" w:eastAsia="zh-CN"/>
              </w:rPr>
              <w:t xml:space="preserve">表面处理工艺为：脱脂-抛丸-静电喷涂或其他更优质工艺。</w:t>
            </w:r>
            <w:r/>
          </w:p>
          <w:p>
            <w:pPr>
              <w:jc w:val="left"/>
              <w:widowControl/>
              <w:rPr>
                <w:rFonts w:hint="eastAsia" w:ascii="宋体-PUA" w:hAnsi="宋体-PUA" w:eastAsia="宋体-PUA" w:cs="宋体-PUA"/>
                <w:sz w:val="21"/>
                <w:szCs w:val="21"/>
                <w:lang w:eastAsia="zh-CN"/>
              </w:rPr>
            </w:pPr>
            <w:r>
              <w:rPr>
                <w:rFonts w:hint="eastAsia" w:ascii="宋体-PUA" w:hAnsi="宋体-PUA" w:eastAsia="宋体-PUA" w:cs="宋体-PUA"/>
                <w:sz w:val="21"/>
                <w:szCs w:val="21"/>
                <w:lang w:val="en-US" w:eastAsia="zh-CN"/>
              </w:rPr>
              <w:t xml:space="preserve">6</w:t>
            </w:r>
            <w:r>
              <w:rPr>
                <w:rFonts w:hint="eastAsia" w:ascii="宋体-PUA" w:hAnsi="宋体-PUA" w:eastAsia="宋体-PUA" w:cs="宋体-PUA"/>
                <w:sz w:val="21"/>
                <w:szCs w:val="21"/>
              </w:rPr>
              <w:t xml:space="preserve">、</w:t>
            </w:r>
            <w:r>
              <w:rPr>
                <w:rFonts w:hint="eastAsia" w:ascii="宋体-PUA" w:hAnsi="宋体-PUA" w:eastAsia="宋体-PUA" w:cs="宋体-PUA"/>
                <w:sz w:val="21"/>
                <w:szCs w:val="21"/>
                <w:lang w:val="en-US" w:eastAsia="zh-CN"/>
              </w:rPr>
              <w:t xml:space="preserve">球架</w:t>
            </w:r>
            <w:r>
              <w:rPr>
                <w:rFonts w:hint="eastAsia" w:ascii="宋体-PUA" w:hAnsi="宋体-PUA" w:eastAsia="宋体-PUA" w:cs="宋体-PUA"/>
                <w:sz w:val="21"/>
                <w:szCs w:val="21"/>
              </w:rPr>
              <w:t xml:space="preserve">伸臂为1800mm，篮筐到地面距离3050mm</w:t>
            </w:r>
            <w:r>
              <w:rPr>
                <w:rFonts w:hint="eastAsia" w:ascii="宋体-PUA" w:hAnsi="宋体-PUA" w:eastAsia="宋体-PUA" w:cs="宋体-PUA"/>
                <w:sz w:val="21"/>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 w:val="21"/>
                <w:szCs w:val="21"/>
                <w:lang w:val="en-US" w:eastAsia="zh-CN"/>
              </w:rPr>
              <w:t xml:space="preserve">7、</w:t>
            </w:r>
            <w:r>
              <w:rPr>
                <w:rFonts w:hint="eastAsia" w:ascii="宋体-PUA" w:hAnsi="宋体-PUA" w:eastAsia="宋体-PUA" w:cs="宋体-PUA"/>
                <w:sz w:val="21"/>
                <w:szCs w:val="21"/>
              </w:rPr>
              <w:t xml:space="preserve">篮板采用SMC</w:t>
            </w:r>
            <w:r>
              <w:rPr>
                <w:rFonts w:hint="eastAsia" w:ascii="宋体-PUA" w:hAnsi="宋体-PUA" w:eastAsia="宋体-PUA" w:cs="宋体-PUA"/>
                <w:szCs w:val="21"/>
              </w:rPr>
              <w:t xml:space="preserve"> 篮板，五点连接，厚度50mm，背面采用“井”字形和辐射向加强筋</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Cs w:val="21"/>
                <w:lang w:val="en-US" w:eastAsia="zh-CN"/>
              </w:rPr>
              <w:t xml:space="preserve">8、</w:t>
            </w:r>
            <w:r>
              <w:rPr>
                <w:rFonts w:hint="eastAsia" w:ascii="宋体-PUA" w:hAnsi="宋体-PUA" w:eastAsia="宋体-PUA" w:cs="宋体-PUA"/>
                <w:szCs w:val="21"/>
              </w:rPr>
              <w:t xml:space="preserve">立柱和横梁采用直径165*4.0mm 优质钢管，一次性热弯成形</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lang w:eastAsia="zh-CN"/>
              </w:rPr>
            </w:pPr>
            <w:r>
              <w:rPr>
                <w:rFonts w:hint="eastAsia" w:ascii="宋体-PUA" w:hAnsi="宋体-PUA" w:eastAsia="宋体-PUA" w:cs="宋体-PUA"/>
                <w:szCs w:val="21"/>
                <w:lang w:val="en-US" w:eastAsia="zh-CN"/>
              </w:rPr>
              <w:t xml:space="preserve">9、篮球架</w:t>
            </w:r>
            <w:r>
              <w:rPr>
                <w:rFonts w:hint="eastAsia" w:ascii="宋体-PUA" w:hAnsi="宋体-PUA" w:eastAsia="宋体-PUA" w:cs="宋体-PUA"/>
                <w:szCs w:val="21"/>
              </w:rPr>
              <w:t xml:space="preserve">上下拉杆可调节篮板的垂直度、与地面的平行度</w:t>
            </w:r>
            <w:r>
              <w:rPr>
                <w:rFonts w:hint="eastAsia" w:ascii="宋体-PUA" w:hAnsi="宋体-PUA" w:eastAsia="宋体-PUA" w:cs="宋体-PUA"/>
                <w:szCs w:val="21"/>
                <w:lang w:eastAsia="zh-CN"/>
              </w:rPr>
              <w:t xml:space="preserve">。</w:t>
            </w:r>
            <w:r/>
          </w:p>
          <w:p>
            <w:pPr>
              <w:jc w:val="left"/>
              <w:widowControl/>
              <w:rPr>
                <w:rFonts w:hint="eastAsia" w:ascii="宋体-PUA" w:hAnsi="宋体-PUA" w:eastAsia="宋体-PUA" w:cs="宋体-PUA"/>
                <w:szCs w:val="21"/>
              </w:rPr>
            </w:pPr>
            <w:r>
              <w:rPr>
                <w:rFonts w:hint="eastAsia" w:ascii="宋体-PUA" w:hAnsi="宋体-PUA" w:eastAsia="宋体-PUA" w:cs="宋体-PUA"/>
                <w:szCs w:val="21"/>
                <w:lang w:val="en-US" w:eastAsia="zh-CN"/>
              </w:rPr>
              <w:t xml:space="preserve">10、</w:t>
            </w:r>
            <w:r>
              <w:rPr>
                <w:rFonts w:hint="eastAsia" w:ascii="宋体-PUA" w:hAnsi="宋体-PUA" w:eastAsia="宋体-PUA" w:cs="宋体-PUA"/>
                <w:szCs w:val="21"/>
              </w:rPr>
              <w:t xml:space="preserve">篮圈采用优质圆钢，圈下焊有十二段均匀分布的挂网环，内穿钢丝，配篮网</w:t>
            </w:r>
            <w:r>
              <w:rPr>
                <w:rFonts w:hint="eastAsia" w:ascii="宋体-PUA" w:hAnsi="宋体-PUA" w:eastAsia="宋体-PUA" w:cs="宋体-PUA"/>
                <w:szCs w:val="21"/>
                <w:lang w:eastAsia="zh-CN"/>
              </w:rPr>
              <w:t xml:space="preserve">。</w:t>
            </w:r>
            <w:r>
              <w:rPr>
                <w:rFonts w:hint="eastAsia" w:ascii="宋体-PUA" w:hAnsi="宋体-PUA" w:eastAsia="宋体-PUA" w:cs="宋体-PUA"/>
                <w:szCs w:val="21"/>
              </w:rPr>
              <w:t xml:space="preserve"> </w:t>
            </w:r>
            <w:r/>
          </w:p>
          <w:p>
            <w:pPr>
              <w:jc w:val="left"/>
              <w:widowControl/>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rPr>
              <w:t xml:space="preserve">注：第1-5项具体参数以投标品牌</w:t>
            </w:r>
            <w:r>
              <w:rPr>
                <w:rFonts w:ascii="宋体" w:hAnsi="宋体" w:eastAsia="宋体" w:cs="宋体"/>
                <w:color w:val="000000"/>
                <w:sz w:val="21"/>
                <w:szCs w:val="21"/>
              </w:rPr>
              <w:t xml:space="preserve">国家体育总局认可的权威检测机构相关证书</w:t>
            </w:r>
            <w:r>
              <w:rPr>
                <w:rFonts w:hint="eastAsia" w:ascii="宋体-PUA" w:hAnsi="宋体-PUA" w:eastAsia="宋体-PUA" w:cs="宋体-PUA"/>
                <w:sz w:val="21"/>
                <w:szCs w:val="21"/>
                <w:lang w:val="en-US" w:eastAsia="zh-CN"/>
              </w:rPr>
              <w:t xml:space="preserve">登记信息为准，第6-8项具体参数以国家体育用品质量监督检验中心检测报告为准，其余以</w:t>
            </w:r>
            <w:r>
              <w:rPr>
                <w:rFonts w:hint="default" w:ascii="Calibri" w:hAnsi="Calibri" w:eastAsia="宋体" w:cs="Times New Roman"/>
              </w:rPr>
              <w:t xml:space="preserve">《响应偏离表》</w:t>
            </w:r>
            <w:r>
              <w:rPr>
                <w:rFonts w:hint="eastAsia" w:ascii="Calibri" w:hAnsi="Calibri" w:eastAsia="宋体" w:cs="Times New Roman"/>
                <w:lang w:val="en-US" w:eastAsia="zh-CN"/>
              </w:rPr>
              <w:t xml:space="preserve">为准</w:t>
            </w:r>
            <w:r>
              <w:rPr>
                <w:rFonts w:hint="eastAsia" w:ascii="宋体-PUA" w:hAnsi="宋体-PUA" w:eastAsia="宋体-PUA" w:cs="宋体-PUA"/>
                <w:sz w:val="21"/>
                <w:szCs w:val="21"/>
                <w:lang w:val="en-US" w:eastAsia="zh-CN"/>
              </w:rPr>
              <w:t xml:space="preserve">。</w:t>
            </w:r>
            <w:r/>
          </w:p>
        </w:tc>
        <w:tc>
          <w:tcPr>
            <w:tcW w:w="230" w:type="pct"/>
            <w:vAlign w:val="center"/>
            <w:textDirection w:val="lrTb"/>
            <w:noWrap w:val="false"/>
          </w:tcPr>
          <w:p>
            <w:pPr>
              <w:pStyle w:val="1007"/>
              <w:jc w:val="center"/>
              <w:rPr>
                <w:rFonts w:hint="eastAsia" w:ascii="Calibri" w:hAnsi="Calibri" w:eastAsia="宋体" w:cs="Times New Roman"/>
                <w:b w:val="0"/>
                <w:sz w:val="21"/>
                <w:szCs w:val="22"/>
                <w:lang w:val="en-US" w:eastAsia="zh-CN" w:bidi="ar-SA"/>
              </w:rPr>
            </w:pPr>
            <w:r>
              <w:rPr>
                <w:rFonts w:hint="eastAsia" w:ascii="Times New Roman" w:hAnsi="Times New Roman" w:eastAsia="宋体" w:cs="Times New Roman"/>
                <w:b w:val="0"/>
                <w:sz w:val="21"/>
                <w:szCs w:val="22"/>
                <w:lang w:val="en-US" w:eastAsia="zh-CN"/>
              </w:rPr>
              <w:t xml:space="preserve">套</w:t>
            </w:r>
            <w:r/>
          </w:p>
        </w:tc>
        <w:tc>
          <w:tcPr>
            <w:tcW w:w="227" w:type="pct"/>
            <w:vAlign w:val="center"/>
            <w:textDirection w:val="lrTb"/>
            <w:noWrap w:val="false"/>
          </w:tcPr>
          <w:p>
            <w:pPr>
              <w:pStyle w:val="1007"/>
              <w:jc w:val="center"/>
              <w:rPr>
                <w:rFonts w:hint="default" w:ascii="Calibri" w:hAnsi="Calibri" w:eastAsia="宋体" w:cs="Times New Roman"/>
                <w:b w:val="0"/>
                <w:sz w:val="21"/>
                <w:szCs w:val="22"/>
                <w:lang w:val="en-US" w:eastAsia="zh-CN" w:bidi="ar-SA"/>
              </w:rPr>
            </w:pPr>
            <w:r>
              <w:rPr>
                <w:rFonts w:hint="eastAsia" w:ascii="Times New Roman" w:hAnsi="Times New Roman" w:eastAsia="Times New Roman" w:cs="Times New Roman"/>
                <w:b w:val="0"/>
                <w:sz w:val="21"/>
                <w:szCs w:val="22"/>
                <w:lang w:val="en-US" w:eastAsia="zh-CN"/>
              </w:rPr>
              <w:t xml:space="preserve">50</w:t>
            </w:r>
            <w:r/>
          </w:p>
        </w:tc>
      </w:tr>
    </w:tbl>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820"/>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分包三：</w:t>
      </w:r>
      <w:r/>
    </w:p>
    <w:p>
      <w:pPr>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tbl>
      <w:tblPr>
        <w:tblStyle w:val="816"/>
        <w:tblW w:w="51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2"/>
        <w:gridCol w:w="461"/>
        <w:gridCol w:w="2652"/>
        <w:gridCol w:w="5010"/>
        <w:gridCol w:w="434"/>
        <w:gridCol w:w="428"/>
      </w:tblGrid>
      <w:tr>
        <w:trPr>
          <w:trHeight w:val="20"/>
        </w:trPr>
        <w:tc>
          <w:tcPr>
            <w:gridSpan w:val="6"/>
            <w:tcW w:w="5000" w:type="pct"/>
            <w:vAlign w:val="top"/>
            <w:textDirection w:val="lrTb"/>
            <w:noWrap w:val="false"/>
          </w:tcPr>
          <w:p>
            <w:pPr>
              <w:spacing w:line="360" w:lineRule="auto"/>
              <w:rPr>
                <w:rFonts w:hint="eastAsia"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（一）通用要求</w:t>
            </w:r>
            <w:r/>
          </w:p>
        </w:tc>
      </w:tr>
      <w:tr>
        <w:trPr>
          <w:trHeight w:val="20"/>
        </w:trPr>
        <w:tc>
          <w:tcPr>
            <w:gridSpan w:val="6"/>
            <w:tcW w:w="5000" w:type="pct"/>
            <w:vAlign w:val="center"/>
            <w:textDirection w:val="lrTb"/>
            <w:noWrap w:val="false"/>
          </w:tcPr>
          <w:p>
            <w:pPr>
              <w:numPr>
                <w:ilvl w:val="0"/>
                <w:numId w:val="11"/>
              </w:num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器材涂层、橡胶、塑料件有害物质限量以及器材闭合开口、不完全闭合开口、地埋式器材地埋深度、器材安装等都必须符合GB 19272-2011《室外健身器材的安全通用要求》的要求，并提供有效证明文件（具有资质的检验机构的检验报告）；</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螺钉、螺母应防锈、防松和防盗；并应采取措施对螺栓、螺纹永久的覆盖。</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覆盖件在其安装面以上直角部分的高度小于3mm；覆盖件直线部分超过3mm的，其突出部分外角应不小于105°或不应有易钩挂形状；</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器材不允许存在和使用功能无关的凸出物，使用者或第三者易接触的零部件的其他所有棱边应予以圆滑过渡或加以防护；</w:t>
            </w:r>
            <w:r/>
          </w:p>
          <w:p>
            <w:pPr>
              <w:numPr>
                <w:ilvl w:val="0"/>
                <w:numId w:val="11"/>
              </w:numPr>
              <w:jc w:val="both"/>
              <w:spacing w:line="370" w:lineRule="exact"/>
              <w:widowControl w:val="off"/>
              <w:tabs>
                <w:tab w:val="left" w:pos="522" w:leader="none"/>
              </w:tabs>
              <w:rPr>
                <w:rFonts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钢铁制件（不锈钢除外）表面，应经过酸洗、磷化处理后或经过表面热度锌处理后，进行表面喷塑处理，涂层厚度不小于0.7mm。</w:t>
            </w:r>
            <w:r/>
          </w:p>
          <w:p>
            <w:pPr>
              <w:jc w:val="both"/>
              <w:spacing w:line="370" w:lineRule="exact"/>
              <w:widowControl w:val="off"/>
              <w:tabs>
                <w:tab w:val="left" w:pos="522" w:leader="none"/>
              </w:tabs>
              <w:rPr>
                <w:rFonts w:hint="eastAsia" w:ascii="宋体-PUA" w:hAnsi="宋体-PUA" w:eastAsia="宋体-PUA" w:cs="宋体-PUA"/>
                <w:b/>
                <w:sz w:val="21"/>
                <w:szCs w:val="21"/>
                <w:lang w:val="en-US" w:eastAsia="zh-CN" w:bidi="ar-SA"/>
              </w:rPr>
            </w:pPr>
            <w:r>
              <w:rPr>
                <w:rFonts w:hint="eastAsia" w:ascii="宋体-PUA" w:hAnsi="宋体-PUA" w:eastAsia="宋体-PUA" w:cs="宋体-PUA"/>
                <w:b/>
                <w:sz w:val="21"/>
                <w:szCs w:val="21"/>
                <w:lang w:val="en-US" w:eastAsia="zh-CN" w:bidi="ar-SA"/>
              </w:rPr>
              <w:t xml:space="preserve">★6、为保证全民健身器材统一、管理规范化，投标供应商所投器材的品牌必须要求一致，不得出现多个不同品牌产品，每一件都必须单独符合GB19272-2024《室外健身器材的安全通用要求》的规定要求，并提供国家体育用品质量监督检验中心出具的检验报告以及国家体育总局认可的权威检测机构相关证书，否则作为无效投标处理。</w:t>
            </w:r>
            <w:r/>
          </w:p>
          <w:p>
            <w:pPr>
              <w:jc w:val="both"/>
              <w:spacing w:line="370" w:lineRule="exact"/>
              <w:widowControl w:val="off"/>
              <w:tabs>
                <w:tab w:val="left" w:pos="522" w:leader="none"/>
              </w:tabs>
              <w:rPr>
                <w:rFonts w:hint="eastAsia" w:ascii="Calibri" w:hAnsi="Calibri" w:eastAsia="宋体" w:cs="Times New Roman"/>
                <w:sz w:val="21"/>
                <w:szCs w:val="22"/>
                <w:lang w:val="en-US" w:eastAsia="zh-CN" w:bidi="ar-SA"/>
              </w:rPr>
            </w:pPr>
            <w:r>
              <w:rPr>
                <w:rFonts w:hint="eastAsia" w:ascii="宋体-PUA" w:hAnsi="宋体-PUA" w:eastAsia="宋体-PUA" w:cs="宋体-PUA"/>
                <w:b/>
                <w:sz w:val="21"/>
                <w:szCs w:val="21"/>
                <w:lang w:val="en-US" w:eastAsia="zh-CN" w:bidi="ar-SA"/>
              </w:rPr>
              <w:t xml:space="preserve">★7、所有器材安全使用寿命不低于8年，且在出厂前在器材铭牌上方单独制作经采购方同意的器材报修二维码铭牌，否则作无效投标处理。</w:t>
            </w:r>
            <w:r/>
          </w:p>
        </w:tc>
      </w:tr>
      <w:tr>
        <w:trPr>
          <w:trHeight w:val="20"/>
        </w:trPr>
        <w:tc>
          <w:tcPr>
            <w:gridSpan w:val="6"/>
            <w:tcW w:w="5000" w:type="pct"/>
            <w:vAlign w:val="center"/>
            <w:textDirection w:val="lrTb"/>
            <w:noWrap w:val="false"/>
          </w:tcPr>
          <w:p>
            <w:pPr>
              <w:pStyle w:val="1007"/>
              <w:jc w:val="both"/>
              <w:rPr>
                <w:rFonts w:hint="default" w:ascii="Calibri" w:hAnsi="Calibri" w:eastAsia="黑体" w:cs="Times New Roman"/>
                <w:b w:val="0"/>
                <w:sz w:val="21"/>
                <w:szCs w:val="22"/>
                <w:lang w:val="en-US" w:eastAsia="zh-CN" w:bidi="ar-SA"/>
              </w:rPr>
            </w:pP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二</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rPr>
              <w:t xml:space="preserve">参数要求</w:t>
            </w:r>
            <w:r>
              <w:rPr>
                <w:rFonts w:hint="eastAsia" w:ascii="宋体" w:hAnsi="宋体" w:eastAsia="Times New Roman" w:cs="Times New Roman"/>
                <w:b/>
                <w:sz w:val="24"/>
                <w:szCs w:val="24"/>
                <w:lang w:eastAsia="zh-CN"/>
              </w:rPr>
              <w:t xml:space="preserve">（</w:t>
            </w:r>
            <w:r>
              <w:rPr>
                <w:rFonts w:hint="eastAsia" w:ascii="宋体" w:hAnsi="宋体" w:eastAsia="Times New Roman" w:cs="Times New Roman"/>
                <w:b/>
                <w:sz w:val="24"/>
                <w:szCs w:val="24"/>
                <w:lang w:val="en-US" w:eastAsia="zh-CN"/>
              </w:rPr>
              <w:t xml:space="preserve">图片为网上下载，仅作样式提示，具体要求以产品参数为准）</w:t>
            </w:r>
            <w:r/>
          </w:p>
        </w:tc>
      </w:tr>
      <w:tr>
        <w:trPr>
          <w:trHeight w:val="20"/>
        </w:trPr>
        <w:tc>
          <w:tcPr>
            <w:tcW w:w="229" w:type="pct"/>
            <w:vAlign w:val="center"/>
            <w:textDirection w:val="lrTb"/>
            <w:noWrap w:val="false"/>
          </w:tcPr>
          <w:p>
            <w:pPr>
              <w:jc w:val="center"/>
              <w:spacing w:line="360" w:lineRule="exact"/>
              <w:widowControl w:val="off"/>
              <w:rPr>
                <w:rFonts w:hint="eastAsia"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1</w:t>
            </w:r>
            <w:r/>
          </w:p>
        </w:tc>
        <w:tc>
          <w:tcPr>
            <w:tcW w:w="245" w:type="pct"/>
            <w:vAlign w:val="center"/>
            <w:textDirection w:val="lrTb"/>
            <w:noWrap w:val="false"/>
          </w:tcPr>
          <w:p>
            <w:pPr>
              <w:jc w:val="center"/>
              <w:spacing w:line="360" w:lineRule="exact"/>
              <w:widowControl w:val="off"/>
              <w:rPr>
                <w:rFonts w:hint="default" w:ascii="宋体-PUA" w:hAnsi="宋体-PUA" w:eastAsia="宋体-PUA" w:cs="宋体-PUA"/>
                <w:bCs/>
                <w:sz w:val="21"/>
                <w:szCs w:val="21"/>
                <w:lang w:val="en-US" w:eastAsia="zh-CN" w:bidi="ar-SA"/>
              </w:rPr>
            </w:pPr>
            <w:r>
              <w:rPr>
                <w:rFonts w:hint="eastAsia" w:ascii="宋体-PUA" w:hAnsi="宋体-PUA" w:eastAsia="宋体-PUA" w:cs="宋体-PUA"/>
                <w:bCs/>
                <w:sz w:val="21"/>
                <w:szCs w:val="21"/>
                <w:lang w:val="en-US" w:eastAsia="zh-CN" w:bidi="ar-SA"/>
              </w:rPr>
              <w:t xml:space="preserve">室外乒乓球桌</w:t>
            </w:r>
            <w:r/>
          </w:p>
        </w:tc>
        <w:tc>
          <w:tcPr>
            <w:tcW w:w="1407" w:type="pct"/>
            <w:vAlign w:val="top"/>
            <w:textDirection w:val="lrTb"/>
            <w:noWrap w:val="false"/>
          </w:tcPr>
          <w:p>
            <w:pPr>
              <w:ind w:left="-105" w:right="-105"/>
              <w:jc w:val="center"/>
              <w:spacing w:line="360" w:lineRule="auto"/>
              <w:widowControl/>
              <w:rPr>
                <w:rFonts w:hint="eastAsia" w:ascii="仿宋_GB2312" w:hAnsi="宋体" w:eastAsia="仿宋_GB2312" w:cs="Times New Roman"/>
                <w:b/>
                <w:sz w:val="21"/>
                <w:szCs w:val="21"/>
                <w:lang w:val="en-US" w:eastAsia="zh-CN" w:bidi="ar-SA"/>
              </w:rPr>
              <w:outlineLvl w:val="0"/>
            </w:pPr>
            <w:r>
              <w:rPr>
                <w:rFonts w:hint="default" w:ascii="Calibri" w:hAnsi="Calibri" w:eastAsia="宋体" w:cs="Times New Roman"/>
              </w:rPr>
              <mc:AlternateContent>
                <mc:Choice Requires="wpg">
                  <w:drawing>
                    <wp:inline xmlns:wp="http://schemas.openxmlformats.org/drawingml/2006/wordprocessingDrawing" distT="0" distB="0" distL="0" distR="0">
                      <wp:extent cx="1503680" cy="759460"/>
                      <wp:effectExtent l="0" t="0" r="1270" b="2540"/>
                      <wp:docPr id="1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2"/>
                              <pic:cNvPicPr>
                                <a:picLocks noChangeAspect="1"/>
                              </pic:cNvPicPr>
                              <pic:nvPr/>
                            </pic:nvPicPr>
                            <pic:blipFill>
                              <a:blip r:embed="rId29"/>
                              <a:stretch/>
                            </pic:blipFill>
                            <pic:spPr bwMode="auto">
                              <a:xfrm>
                                <a:off x="0" y="0"/>
                                <a:ext cx="1503680" cy="75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8.4pt;height:59.8pt;mso-wrap-distance-left:0.0pt;mso-wrap-distance-top:0.0pt;mso-wrap-distance-right:0.0pt;mso-wrap-distance-bottom:0.0pt;" stroked="f">
                      <v:path textboxrect="0,0,0,0"/>
                      <v:imagedata r:id="rId29" o:title=""/>
                    </v:shape>
                  </w:pict>
                </mc:Fallback>
              </mc:AlternateContent>
            </w:r>
            <w:r/>
          </w:p>
        </w:tc>
        <w:tc>
          <w:tcPr>
            <w:tcW w:w="2659" w:type="pct"/>
            <w:vAlign w:val="top"/>
            <w:textDirection w:val="lrTb"/>
            <w:noWrap w:val="false"/>
          </w:tcPr>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1、</w:t>
            </w:r>
            <w:r>
              <w:rPr>
                <w:rFonts w:ascii="SimSun" w:hAnsi="SimSun" w:eastAsia="SimSun" w:cs="SimSun"/>
                <w:color w:val="000000"/>
                <w:sz w:val="21"/>
              </w:rPr>
              <w:t xml:space="preserve">外形尺寸（长×宽×高） ≥2740×1535×930mm。</w:t>
            </w:r>
            <w:r>
              <w:rPr>
                <w:rFonts w:hint="eastAsia" w:ascii="宋体-PUA" w:hAnsi="宋体-PUA" w:eastAsia="宋体-PUA" w:cs="宋体-PUA"/>
                <w:sz w:val="21"/>
                <w:szCs w:val="21"/>
                <w:lang w:val="en-US" w:eastAsia="zh-CN" w:bidi="ar-SA"/>
              </w:rPr>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2、主要承载立柱尺寸≥φ60mm×3mm。</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3、</w:t>
            </w:r>
            <w:r>
              <w:rPr>
                <w:rFonts w:ascii="SimSun" w:hAnsi="SimSun" w:eastAsia="SimSun" w:cs="SimSun"/>
                <w:color w:val="000000"/>
                <w:sz w:val="21"/>
              </w:rPr>
              <w:t xml:space="preserve">主要承载横梁尺寸≥40mm×20mm×3mm。</w:t>
            </w:r>
            <w:r>
              <w:rPr>
                <w:rFonts w:hint="eastAsia" w:ascii="宋体-PUA" w:hAnsi="宋体-PUA" w:eastAsia="宋体-PUA" w:cs="宋体-PUA"/>
                <w:sz w:val="21"/>
                <w:szCs w:val="21"/>
                <w:lang w:val="en-US" w:eastAsia="zh-CN" w:bidi="ar-SA"/>
              </w:rPr>
            </w:r>
            <w:r/>
          </w:p>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4、安装方式：预埋式。</w:t>
            </w:r>
            <w:r/>
          </w:p>
          <w:p>
            <w:pPr>
              <w:jc w:val="both"/>
              <w:spacing w:line="370" w:lineRule="exact"/>
              <w:widowControl w:val="off"/>
              <w:tabs>
                <w:tab w:val="left" w:pos="522" w:leader="none"/>
              </w:tabs>
              <w:rPr>
                <w:rFonts w:hint="default"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5、表面处理工艺为：脱脂-抛丸-静电喷涂或其他更优质工艺。</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6、乒乓球桌台面SMC材料，翻边高50mm,板面厚5mm，台板背面井字型结构加强筋.</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7、支撑框架4纵4横结构连接；撑管采用30×20×2.0mm钢管；彩虹腿采用φ60mm×3mm焊管。</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8、网架采用钢管与钢板拼焊而成。</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9、棱边和棱角半径不小于3.0mm。</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10、紧固件材质为不锈钢，具有防盗.防锈.防松功能，螺纹突出部分不应超过其螺距3倍的长度，需专用工具方可拆卸。</w:t>
            </w:r>
            <w:r/>
          </w:p>
          <w:p>
            <w:pPr>
              <w:jc w:val="both"/>
              <w:spacing w:line="370" w:lineRule="exact"/>
              <w:widowControl w:val="off"/>
              <w:tabs>
                <w:tab w:val="left" w:pos="522" w:leader="none"/>
              </w:tabs>
              <w:rPr>
                <w:rFonts w:hint="eastAsia" w:ascii="宋体-PUA" w:hAnsi="宋体-PUA" w:eastAsia="宋体-PUA" w:cs="宋体-PUA"/>
                <w:sz w:val="21"/>
                <w:szCs w:val="21"/>
                <w:lang w:val="en-US" w:eastAsia="zh-CN" w:bidi="ar-SA"/>
              </w:rPr>
            </w:pPr>
            <w:r>
              <w:rPr>
                <w:rFonts w:hint="eastAsia" w:ascii="宋体-PUA" w:hAnsi="宋体-PUA" w:eastAsia="宋体-PUA" w:cs="宋体-PUA"/>
                <w:sz w:val="21"/>
                <w:szCs w:val="21"/>
                <w:lang w:val="en-US" w:eastAsia="zh-CN" w:bidi="ar-SA"/>
              </w:rPr>
              <w:t xml:space="preserve">注：第1-5项具体参数以投标品牌</w:t>
            </w:r>
            <w:r>
              <w:rPr>
                <w:rFonts w:ascii="宋体" w:hAnsi="宋体" w:eastAsia="宋体" w:cs="宋体"/>
                <w:color w:val="000000"/>
                <w:sz w:val="21"/>
                <w:szCs w:val="21"/>
              </w:rPr>
              <w:t xml:space="preserve">国家体育总局认可的权威检测机构相关证书</w:t>
            </w:r>
            <w:r>
              <w:rPr>
                <w:rFonts w:hint="eastAsia" w:ascii="宋体-PUA" w:hAnsi="宋体-PUA" w:eastAsia="宋体-PUA" w:cs="宋体-PUA"/>
                <w:sz w:val="21"/>
                <w:szCs w:val="21"/>
                <w:lang w:val="en-US" w:eastAsia="zh-CN" w:bidi="ar-SA"/>
              </w:rPr>
              <w:t xml:space="preserve">登记信息为准，第6项具体参数以国家体育用品质量监督检验中心检测报告为准，其余以</w:t>
            </w:r>
            <w:r>
              <w:rPr>
                <w:rFonts w:ascii="Calibri" w:hAnsi="Calibri" w:eastAsia="宋体" w:cs="Times New Roman"/>
                <w:sz w:val="21"/>
                <w:szCs w:val="22"/>
                <w:lang w:val="en-US" w:eastAsia="zh-CN" w:bidi="ar-SA"/>
              </w:rPr>
              <w:t xml:space="preserve">《响应偏离表》</w:t>
            </w:r>
            <w:r>
              <w:rPr>
                <w:rFonts w:hint="eastAsia" w:ascii="Calibri" w:hAnsi="Calibri" w:eastAsia="宋体" w:cs="Times New Roman"/>
                <w:sz w:val="21"/>
                <w:szCs w:val="22"/>
                <w:lang w:val="en-US" w:eastAsia="zh-CN" w:bidi="ar-SA"/>
              </w:rPr>
              <w:t xml:space="preserve">为准</w:t>
            </w:r>
            <w:r>
              <w:rPr>
                <w:rFonts w:hint="eastAsia" w:ascii="宋体-PUA" w:hAnsi="宋体-PUA" w:eastAsia="宋体-PUA" w:cs="宋体-PUA"/>
                <w:sz w:val="21"/>
                <w:szCs w:val="21"/>
                <w:lang w:val="en-US" w:eastAsia="zh-CN" w:bidi="ar-SA"/>
              </w:rPr>
              <w:t xml:space="preserve">。</w:t>
            </w:r>
            <w:r/>
          </w:p>
        </w:tc>
        <w:tc>
          <w:tcPr>
            <w:tcW w:w="230" w:type="pct"/>
            <w:vAlign w:val="center"/>
            <w:textDirection w:val="lrTb"/>
            <w:noWrap w:val="false"/>
          </w:tcPr>
          <w:p>
            <w:pPr>
              <w:pStyle w:val="1007"/>
              <w:jc w:val="center"/>
              <w:rPr>
                <w:rFonts w:hint="eastAsia" w:ascii="Calibri" w:hAnsi="Calibri" w:eastAsia="宋体" w:cs="Times New Roman"/>
                <w:b w:val="0"/>
                <w:sz w:val="21"/>
                <w:szCs w:val="22"/>
                <w:lang w:val="en-US" w:eastAsia="zh-CN" w:bidi="ar-SA"/>
              </w:rPr>
            </w:pPr>
            <w:r>
              <w:rPr>
                <w:rFonts w:hint="eastAsia" w:ascii="Times New Roman" w:hAnsi="Times New Roman" w:eastAsia="宋体" w:cs="Times New Roman"/>
                <w:b w:val="0"/>
                <w:sz w:val="21"/>
                <w:szCs w:val="22"/>
                <w:lang w:val="en-US" w:eastAsia="zh-CN"/>
              </w:rPr>
              <w:t xml:space="preserve">张</w:t>
            </w:r>
            <w:r/>
          </w:p>
        </w:tc>
        <w:tc>
          <w:tcPr>
            <w:tcW w:w="227" w:type="pct"/>
            <w:vAlign w:val="center"/>
            <w:textDirection w:val="lrTb"/>
            <w:noWrap w:val="false"/>
          </w:tcPr>
          <w:p>
            <w:pPr>
              <w:pStyle w:val="1007"/>
              <w:jc w:val="center"/>
              <w:rPr>
                <w:rFonts w:hint="default" w:ascii="Calibri" w:hAnsi="Calibri" w:eastAsia="宋体" w:cs="Times New Roman"/>
                <w:b w:val="0"/>
                <w:sz w:val="21"/>
                <w:szCs w:val="22"/>
                <w:lang w:val="en-US" w:eastAsia="zh-CN" w:bidi="ar-SA"/>
              </w:rPr>
            </w:pPr>
            <w:r>
              <w:rPr>
                <w:rFonts w:hint="eastAsia" w:ascii="Calibri" w:hAnsi="Calibri" w:eastAsia="宋体" w:cs="Times New Roman"/>
                <w:b w:val="0"/>
                <w:sz w:val="21"/>
                <w:szCs w:val="22"/>
                <w:lang w:val="en-US" w:eastAsia="zh-CN" w:bidi="ar-SA"/>
              </w:rPr>
              <w:t xml:space="preserve">200</w:t>
            </w:r>
            <w:r/>
          </w:p>
        </w:tc>
      </w:tr>
    </w:tbl>
    <w:p>
      <w:pPr>
        <w:pStyle w:val="820"/>
        <w:rPr>
          <w:rFonts w:hint="default"/>
          <w:lang w:val="en-US" w:eastAsia="zh-CN"/>
        </w:rPr>
      </w:pPr>
      <w:r>
        <w:rPr>
          <w:rFonts w:hint="default"/>
          <w:lang w:val="en-US" w:eastAsia="zh-CN"/>
        </w:rPr>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分包四：</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笼式多功能灯光球场2片，含围网、灯光、悬浮式拼装地板地面及运动器材等。</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★（一）篮球场场地尺寸：2片篮球场,总体尺寸35米*37米，围网总长度≥144米，围网高度4米；悬浮式拼装地板总面积≥1295平方米，平均厚度≥17.5mm。场地合理配置2个出入门，出入门设计需采购人审核同意。  </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二）投标围网（笼式足球场、笼式多功能场地等）须符合“室外健身器材的安全通用要求（GB19272-2024）”的有关要求，并提供国家体育用品质量检验检测中心出具的检验报告以及国家体育总局认可的权威检测机构相关证书（含有效期证书的确认函），否则作为无效投标处理。</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★（三）投标悬浮式拼装地板检测符合“GB/T14833-2020标准”的有关要求，并提供第三方合法合规检测机构出具的检验报告，否则作为无效投标处理。</w:t>
      </w:r>
      <w:r/>
    </w:p>
    <w:p>
      <w:pPr>
        <w:pStyle w:val="1028"/>
        <w:ind w:firstLine="482"/>
        <w:spacing w:line="360" w:lineRule="auto"/>
        <w:rPr>
          <w:rFonts w:hint="default"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★（四）投标篮球架符合“室外健身器材的安全通用要求（GB19272-2024）”的有关要求或GB/T23176-2008《篮球架》的检验要求，并提供第三方合法合规检测机构出具的检验报告，否则作为无效投标处理。</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（五）框架式场地围网系统：</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1.框架：围网主要承载立柱采用（Q235B材质）Ф76×3mm的优质钢管，立柱间隔≤3m，埋入地下深度400mm，地基尺寸400mm×400mm。主要承载立柱尺寸以国家体育总局认可的权威检测机构相关证书登记信息为依据，证书中所登记信息未明确标注主要承载立柱尺寸信息的视为负偏离。</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2.围网主要承载横梁采用（Q235B材质）Ф60×3mm的优质钢管，位于立柱顶端，横向与立柱连接，在不安装网片情况下，构建成独立框架结构。主要承载横梁尺寸以国家体育总局认可的权威检测机构相关证书登记信息为依据，证书中所登记信息未明确标注主要承载横梁尺寸信息的视为负偏离。</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3.围网采用模块拼接式，围网总高度4000mm，现场立柱独立直埋或预埋后安装网片。</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4.围网框架主要承载横梁采用（Q235B材质）Ф60×3mm或60×40×3mm的优质钢管。</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5.所有管材表面须经过静电粉末喷塑处理，颜色为墨绿色，色泽保持八年不变。</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6.围网进出口为1.4m宽、2m高的双开式框架进出口，采用50×50×t 2.5mm的方管，全部采用防盗不锈钢螺栓，并采用防松螺母防松方式，保证连接长期可靠，风载荷标准值0.35Kn/m2。</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★7.围网网片使用压框覆盖包塑网，防止刮伤。</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7.网丝：包塑网片丝浸塑处理后网片径Ф4.0mm, 采用优质低碳镀锌钢丝，处理前丝径≥Ф3 mm，网孔50 mm，勾花网或链式网，受到撞击后可迅速恢复原形，并有效保护使用者在撞击围网时不受伤害；</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8.网丝颜色为墨绿色，表面光滑细腻，吸水率为0%。围网孔径与运动功能相适应，具有防止球脱出的功能。</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（六）篮球架：</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 篮球架伸臂长2.25m，篮圈上沿离地面3.05m，篮架底座尺寸长x宽=2.0x1（m）。</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2.球架立柱采用定制口150x150x4优质大圆角方管制作，圆角R30mm，造型美观，安全性高；</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篮架伸臂采用δ3进口优质铁板在连续模中进行冲压成型，保持产品的美观性和统配性，伸臂上拉杆固定孔均采用冲压成型后焊接内置焊接螺母，篮架立柱底板采用优质精密铸钢件制作，造型美观大方，性能安全可靠。</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4.篮架上拉杆采用Φ48×2圆管与后拉杆采用口50×40×3优质方管在特制弯管设备上一次成型，避免了电焊及焊渣易引起生锈的隐患。</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5.球架底座轮廓采用δ3进口优质铁板在自动机器人线辅助冲压成型后再由全自动焊接线进行焊接。</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6.为了增强球架的使用安全性，单只球架可放置配重物不少于510kg。</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7.篮架所有紧固件均采用热镀锌处理，能保证长年不生锈。</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8.篮板。规格：1800x1050（mm），篮板配用国际通用的高强度安全玻璃篮板，具有透明度高、耐侯性好、抗老化、耐腐蚀、不易模糊等特点，并在篮板下沿及侧面覆盖有保护条，能保护运动员运动时不受伤害。</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篮圈。篮圈采用φ19实心圆钢制作，圈下焊有冲压成型的圆弧形网钩，十二段均匀分布留适当间隙，配篮网。篮圈抗弯性能好，水平固定在篮板上，与篮架连接的钢板和篮圈盖板均采用优质钢板一次冲压成型，造型美观。</w:t>
      </w:r>
      <w:r/>
    </w:p>
    <w:p>
      <w:pPr>
        <w:pStyle w:val="1032"/>
        <w:ind w:firstLine="480"/>
        <w:keepLines w:val="0"/>
        <w:keepNext w:val="0"/>
        <w:pageBreakBefore w:val="0"/>
        <w:spacing w:line="560" w:lineRule="exact"/>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10.表面处理。产品涂层厚度70—80um，铅笔硬度达3H+。产品具有耐酸碱、耐湿热、抗老化、外观美观等优点，能适合潮湿和酸雨环境，且前处理过程以及产品涂料配方均不含有毒元素，避免损害使用者的健康。</w:t>
      </w:r>
      <w:r/>
    </w:p>
    <w:p>
      <w:pPr>
        <w:numPr>
          <w:ilvl w:val="0"/>
          <w:numId w:val="0"/>
        </w:numPr>
        <w:ind w:firstLine="480"/>
        <w:jc w:val="both"/>
        <w:spacing w:after="120" w:line="360" w:lineRule="auto"/>
        <w:widowControl/>
        <w:tabs>
          <w:tab w:val="left" w:pos="24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（七）</w:t>
      </w:r>
      <w:r>
        <w:rPr>
          <w:rFonts w:hint="eastAsia" w:ascii="宋体" w:hAnsi="宋体" w:eastAsia="宋体" w:cs="Times New Roman"/>
          <w:sz w:val="24"/>
          <w:szCs w:val="24"/>
        </w:rPr>
        <w:t xml:space="preserve">宣传标示牌： </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1.应牢固固定于进出口区域，面板采用不锈钢材质，耐蚀性能相当于0Cr18Ni9（SUS304），厚度1mm，面板边缘及尖角不得翘起，图样及字样蚀刻处理。</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每块场地1块宣传标示牌。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报修二维码、联系人、联系方式等。应配备安全警示，应有禁止攀爬的警示语，安全出/入口的标示。内容须经采购人审核同意后方可制作。</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（八）场地运动面层系统：悬浮式拼装地板。</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1.悬浮式拼装地板采用PP(聚丙烯)，无毒、无味、绿色环保。双层镂空设计，宽梁加大平面接触率，细腻磨砂防滑纹理，地板结构为25小块软连接结构设计，弹性可伸缩，防止气候变化导致地板热胀冷缩而产生的起鼓，断裂，立体多重固化结构、不变形、不脱扣。大尺寸板体，铺装效率高，更适用于大型场地，板体不搓动、不位移，场地更稳定。</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2.地板规格要求：50×50cm，地板厚度不低于17.5mm。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3.依据GB/T14833-2020标准，冲击吸收（23℃±2℃）：20%-50%，垂直变形：≤3mm.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4.球反弹率：≥75%，撕裂强度：≥5kN/m。</w:t>
      </w:r>
      <w:r/>
    </w:p>
    <w:p>
      <w:pPr>
        <w:ind w:firstLine="480"/>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5.依据GB/T14833-2020标准，甲醛：≤0.4mg/(m².h)，甲苯、二甲苯和乙苯总和：≤1.0mg/(m².h)，可溶性铅含量：≤50mg/kg，可溶性镉含量：≤10mg/kg，游离甲苯二异氰酸酯（TDI）和游离六亚甲基二异氰酸酯（HDI）≤0.2g /kg。</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eastAsia="宋体" w:cs="Calibri"/>
          <w:sz w:val="24"/>
          <w:szCs w:val="24"/>
          <w:lang w:val="en-US" w:eastAsia="zh-CN" w:bidi="ar-SA"/>
        </w:rPr>
        <w:t xml:space="preserve">（九）</w:t>
      </w:r>
      <w:r>
        <w:rPr>
          <w:rFonts w:hint="eastAsia" w:ascii="宋体" w:hAnsi="宋体" w:eastAsia="宋体"/>
          <w:sz w:val="24"/>
          <w:szCs w:val="24"/>
        </w:rPr>
        <w:t xml:space="preserve">配套灯光系统</w:t>
      </w:r>
      <w:r/>
    </w:p>
    <w:p>
      <w:pPr>
        <w:pStyle w:val="1033"/>
        <w:numPr>
          <w:ilvl w:val="0"/>
          <w:numId w:val="0"/>
        </w:numPr>
        <w:ind w:firstLine="480"/>
        <w:spacing w:line="360" w:lineRule="auto"/>
        <w:tabs>
          <w:tab w:val="center" w:pos="4153" w:leader="none"/>
        </w:tabs>
        <w:rPr>
          <w:rFonts w:hint="eastAsia" w:ascii="宋体" w:hAnsi="宋体" w:eastAsia="宋体"/>
          <w:sz w:val="24"/>
          <w:szCs w:val="24"/>
          <w:lang w:val="en-US" w:eastAsia="zh-CN"/>
        </w:rPr>
      </w:pPr>
      <w:r>
        <w:rPr>
          <w:rFonts w:hint="eastAsia" w:ascii="宋体" w:hAnsi="宋体" w:eastAsia="宋体"/>
          <w:sz w:val="24"/>
          <w:szCs w:val="24"/>
          <w:highlight w:val="none"/>
          <w:lang w:val="en-US" w:eastAsia="zh-CN"/>
        </w:rPr>
        <w:t xml:space="preserve">1.</w:t>
      </w:r>
      <w:r>
        <w:rPr>
          <w:rFonts w:hint="eastAsia" w:ascii="宋体" w:hAnsi="宋体" w:eastAsia="宋体"/>
          <w:sz w:val="24"/>
          <w:szCs w:val="24"/>
          <w:lang w:val="en-US" w:eastAsia="zh-CN"/>
        </w:rPr>
        <w:t xml:space="preserve">单片场地，</w:t>
      </w:r>
      <w:r>
        <w:rPr>
          <w:rFonts w:hint="eastAsia" w:ascii="宋体" w:hAnsi="宋体" w:eastAsia="宋体"/>
          <w:sz w:val="24"/>
          <w:szCs w:val="24"/>
        </w:rPr>
        <w:t xml:space="preserve">灯柱为围网的一部分，在整场围网中亦为围网的主立柱，增强围网的稳定性。灯柱采用（Q235B材质）</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Ф114×3mm的优质钢管，</w:t>
      </w:r>
      <w:r>
        <w:rPr>
          <w:rFonts w:hint="eastAsia" w:ascii="宋体" w:hAnsi="宋体" w:eastAsia="宋体"/>
          <w:sz w:val="24"/>
          <w:szCs w:val="24"/>
          <w:lang w:val="en-US" w:eastAsia="zh-CN"/>
        </w:rPr>
        <w:t xml:space="preserve">6米高。</w:t>
      </w:r>
      <w:r/>
    </w:p>
    <w:p>
      <w:pPr>
        <w:pStyle w:val="1033"/>
        <w:numPr>
          <w:ilvl w:val="0"/>
          <w:numId w:val="0"/>
        </w:numPr>
        <w:ind w:firstLine="480"/>
        <w:spacing w:line="360" w:lineRule="auto"/>
        <w:tabs>
          <w:tab w:val="center" w:pos="4153" w:leader="none"/>
        </w:tabs>
        <w:rPr>
          <w:rFonts w:hint="default" w:ascii="宋体" w:hAnsi="宋体" w:eastAsia="宋体"/>
          <w:sz w:val="24"/>
          <w:szCs w:val="24"/>
          <w:lang w:val="en-US" w:eastAsia="zh-CN"/>
        </w:rPr>
      </w:pPr>
      <w:r>
        <w:rPr>
          <w:rFonts w:hint="eastAsia" w:ascii="宋体" w:hAnsi="宋体"/>
          <w:sz w:val="24"/>
          <w:szCs w:val="24"/>
          <w:lang w:val="en-US" w:eastAsia="zh-CN"/>
        </w:rPr>
        <w:t xml:space="preserve">2.</w:t>
      </w:r>
      <w:r>
        <w:rPr>
          <w:rFonts w:hint="eastAsia" w:ascii="宋体" w:hAnsi="宋体" w:eastAsia="宋体"/>
          <w:sz w:val="24"/>
          <w:szCs w:val="24"/>
          <w:lang w:val="en-US" w:eastAsia="zh-CN"/>
        </w:rPr>
        <w:t xml:space="preserve">篮球场单片灯柱8根。所有灯柱每个灯头分别配</w:t>
      </w:r>
      <w:r>
        <w:rPr>
          <w:rFonts w:hint="eastAsia" w:ascii="宋体" w:hAnsi="宋体" w:eastAsia="宋体"/>
          <w:sz w:val="24"/>
          <w:szCs w:val="24"/>
        </w:rPr>
        <w:t xml:space="preserve">套LED投光照明灯。灯柱采用预埋或直埋方式，预埋深度600mm，地基尺寸600×600mm。</w:t>
      </w:r>
      <w:r>
        <w:rPr>
          <w:rFonts w:hint="eastAsia" w:ascii="宋体" w:hAnsi="宋体" w:eastAsia="宋体"/>
          <w:sz w:val="24"/>
          <w:szCs w:val="24"/>
          <w:lang w:val="en-US" w:eastAsia="zh-CN"/>
        </w:rPr>
        <w:t xml:space="preserve">连片场地，相邻球场灯柱可单独设置或者混合使用，设置和混合使用方案须经采购方同意。</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t xml:space="preserve">每块场地均需独立配备配电柜。</w:t>
      </w:r>
      <w:r>
        <w:rPr>
          <w:rFonts w:hint="eastAsia" w:ascii="宋体" w:hAnsi="宋体" w:eastAsia="宋体"/>
          <w:sz w:val="24"/>
          <w:szCs w:val="24"/>
        </w:rPr>
        <w:t xml:space="preserve">配电柜及线路：电线（场内</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场外</w:t>
      </w:r>
      <w:r>
        <w:rPr>
          <w:rFonts w:hint="eastAsia" w:ascii="宋体" w:hAnsi="宋体" w:eastAsia="宋体"/>
          <w:sz w:val="24"/>
          <w:szCs w:val="24"/>
        </w:rPr>
        <w:t xml:space="preserve">RVV4平方线</w:t>
      </w:r>
      <w:r>
        <w:rPr>
          <w:rFonts w:hint="eastAsia" w:ascii="宋体" w:hAnsi="宋体" w:eastAsia="宋体"/>
          <w:sz w:val="24"/>
          <w:szCs w:val="24"/>
          <w:lang w:val="en-US" w:eastAsia="zh-CN"/>
        </w:rPr>
        <w:t xml:space="preserve">分别</w:t>
      </w:r>
      <w:r>
        <w:rPr>
          <w:rFonts w:hint="eastAsia" w:ascii="宋体" w:hAnsi="宋体" w:eastAsia="宋体"/>
          <w:sz w:val="24"/>
          <w:szCs w:val="24"/>
        </w:rPr>
        <w:t xml:space="preserve">配备100米，灯柱内RVV2.5平方线），配三相63A漏电开关及双极15A空气开关，分组控制，分两个回路，使用一半灯照明时，相隔灯亮。带漏电保护（采用配电箱，开关、电线与电负荷相匹配）。所有电线均需用PVC管穿套后地埋，地埋深度不低于10cm，通过灯柱内与顶端的灯具连接，PVC管的连接处必须密封，严禁PVC套管及电线裸露在外。</w:t>
      </w:r>
      <w:r/>
    </w:p>
    <w:p>
      <w:pPr>
        <w:pStyle w:val="1033"/>
        <w:numPr>
          <w:ilvl w:val="0"/>
          <w:numId w:val="0"/>
        </w:numPr>
        <w:ind w:firstLine="480"/>
        <w:spacing w:line="360" w:lineRule="auto"/>
        <w:tabs>
          <w:tab w:val="center" w:pos="4153" w:leader="none"/>
        </w:tabs>
        <w:rPr>
          <w:rFonts w:hint="eastAsia" w:ascii="宋体" w:hAnsi="宋体" w:eastAsia="宋体"/>
          <w:sz w:val="24"/>
          <w:szCs w:val="24"/>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灯具采用室外球场专用灯具。可30°角调节，</w:t>
      </w:r>
      <w:r>
        <w:rPr>
          <w:rFonts w:hint="eastAsia" w:ascii="Times New Roman" w:hAnsi="Times New Roman" w:eastAsia="宋体"/>
          <w:sz w:val="24"/>
          <w:szCs w:val="32"/>
        </w:rPr>
        <w:t xml:space="preserve">最少具有3种及以上配光</w:t>
      </w:r>
      <w:r>
        <w:rPr>
          <w:rFonts w:hint="eastAsia" w:ascii="Times New Roman" w:hAnsi="Times New Roman" w:eastAsia="宋体"/>
          <w:sz w:val="24"/>
          <w:szCs w:val="32"/>
          <w:lang w:eastAsia="zh-CN"/>
        </w:rPr>
        <w:t xml:space="preserve">，</w:t>
      </w:r>
      <w:r>
        <w:rPr>
          <w:rFonts w:hint="eastAsia" w:ascii="宋体" w:hAnsi="宋体" w:eastAsia="宋体"/>
          <w:sz w:val="24"/>
          <w:szCs w:val="24"/>
        </w:rPr>
        <w:t xml:space="preserve">亮度符合国际标准，光照度均匀，灯光柔和不刺眼</w:t>
      </w:r>
      <w:r>
        <w:rPr>
          <w:rFonts w:hint="eastAsia" w:ascii="宋体" w:hAnsi="宋体" w:eastAsia="宋体"/>
          <w:sz w:val="24"/>
          <w:szCs w:val="24"/>
          <w:lang w:eastAsia="zh-CN"/>
        </w:rPr>
        <w:t xml:space="preserve">，</w:t>
      </w:r>
      <w:r>
        <w:rPr>
          <w:rFonts w:hint="eastAsia" w:ascii="Times New Roman" w:hAnsi="Times New Roman" w:eastAsia="宋体"/>
          <w:sz w:val="24"/>
          <w:szCs w:val="32"/>
        </w:rPr>
        <w:t xml:space="preserve">避免眩光</w:t>
      </w:r>
      <w:r>
        <w:rPr>
          <w:rFonts w:hint="eastAsia" w:ascii="宋体" w:hAnsi="宋体" w:eastAsia="宋体"/>
          <w:sz w:val="24"/>
          <w:szCs w:val="24"/>
        </w:rPr>
        <w:t xml:space="preserve">。</w:t>
      </w:r>
      <w:r>
        <w:rPr>
          <w:rFonts w:hint="eastAsia" w:ascii="Times New Roman" w:hAnsi="Times New Roman" w:eastAsia="宋体"/>
          <w:sz w:val="24"/>
          <w:szCs w:val="32"/>
        </w:rPr>
        <w:t xml:space="preserve">灯具采用LED光源，采用SMD封装模式，不可采用LED集成光源、COB光源</w:t>
      </w:r>
      <w:r>
        <w:rPr>
          <w:rFonts w:hint="eastAsia" w:ascii="Times New Roman" w:hAnsi="Times New Roman" w:eastAsia="宋体"/>
          <w:sz w:val="24"/>
          <w:szCs w:val="32"/>
          <w:lang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t xml:space="preserve">.单个灯具</w:t>
      </w:r>
      <w:r>
        <w:rPr>
          <w:rFonts w:hint="eastAsia" w:ascii="Times New Roman" w:hAnsi="Times New Roman" w:eastAsia="宋体"/>
          <w:sz w:val="24"/>
          <w:szCs w:val="32"/>
        </w:rPr>
        <w:t xml:space="preserve">额定电压：220V-50/60HZ，功率：200W，额定电流：1A，光通量：</w:t>
      </w:r>
      <w:r>
        <w:rPr>
          <w:rFonts w:hint="eastAsia" w:ascii="Times New Roman" w:hAnsi="Times New Roman" w:eastAsia="宋体"/>
          <w:sz w:val="24"/>
          <w:szCs w:val="32"/>
          <w:lang w:val="en-US" w:eastAsia="zh-CN"/>
        </w:rPr>
        <w:t xml:space="preserve">≥</w:t>
      </w:r>
      <w:r>
        <w:rPr>
          <w:rFonts w:hint="eastAsia" w:ascii="Times New Roman" w:hAnsi="Times New Roman" w:eastAsia="宋体"/>
          <w:sz w:val="24"/>
          <w:szCs w:val="32"/>
        </w:rPr>
        <w:t xml:space="preserve">2</w:t>
      </w:r>
      <w:r>
        <w:rPr>
          <w:rFonts w:hint="eastAsia" w:ascii="Times New Roman" w:hAnsi="Times New Roman" w:eastAsia="宋体"/>
          <w:sz w:val="24"/>
          <w:szCs w:val="32"/>
          <w:lang w:val="en-US" w:eastAsia="zh-CN"/>
        </w:rPr>
        <w:t xml:space="preserve">4</w:t>
      </w:r>
      <w:r>
        <w:rPr>
          <w:rFonts w:hint="eastAsia" w:ascii="Times New Roman" w:hAnsi="Times New Roman" w:eastAsia="宋体"/>
          <w:sz w:val="24"/>
          <w:szCs w:val="32"/>
        </w:rPr>
        <w:t xml:space="preserve">000lm，色温：</w:t>
      </w:r>
      <w:r>
        <w:rPr>
          <w:rFonts w:hint="eastAsia" w:ascii="Times New Roman" w:hAnsi="Times New Roman" w:eastAsia="宋体"/>
          <w:sz w:val="24"/>
          <w:szCs w:val="32"/>
          <w:lang w:val="en-US" w:eastAsia="zh-CN"/>
        </w:rPr>
        <w:t xml:space="preserve">50</w:t>
      </w:r>
      <w:r>
        <w:rPr>
          <w:rFonts w:hint="eastAsia" w:ascii="Times New Roman" w:hAnsi="Times New Roman" w:eastAsia="宋体"/>
          <w:sz w:val="24"/>
          <w:szCs w:val="32"/>
        </w:rPr>
        <w:t xml:space="preserve">00</w:t>
      </w:r>
      <w:r>
        <w:rPr>
          <w:rFonts w:hint="eastAsia" w:ascii="Times New Roman" w:hAnsi="Times New Roman" w:eastAsia="宋体"/>
          <w:sz w:val="24"/>
          <w:szCs w:val="32"/>
          <w:lang w:val="en-US" w:eastAsia="zh-CN"/>
        </w:rPr>
        <w:t xml:space="preserve">-6000</w:t>
      </w:r>
      <w:r>
        <w:rPr>
          <w:rFonts w:hint="eastAsia" w:ascii="Times New Roman" w:hAnsi="Times New Roman" w:eastAsia="宋体"/>
          <w:sz w:val="24"/>
          <w:szCs w:val="32"/>
        </w:rPr>
        <w:t xml:space="preserve">K</w:t>
      </w:r>
      <w:r>
        <w:rPr>
          <w:rFonts w:hint="eastAsia" w:ascii="Times New Roman" w:hAnsi="Times New Roman" w:eastAsia="宋体"/>
          <w:sz w:val="24"/>
          <w:szCs w:val="32"/>
          <w:lang w:eastAsia="zh-CN"/>
        </w:rPr>
        <w:t xml:space="preserve">。</w:t>
      </w:r>
      <w:r>
        <w:rPr>
          <w:rFonts w:hint="eastAsia" w:ascii="Times New Roman" w:hAnsi="Times New Roman" w:eastAsia="宋体"/>
          <w:sz w:val="24"/>
          <w:szCs w:val="32"/>
        </w:rPr>
        <w:t xml:space="preserve">显色指数：Ra≥80，功率因数≥0.97；</w:t>
      </w:r>
      <w:r>
        <w:rPr>
          <w:rFonts w:hint="eastAsia" w:ascii="Times New Roman" w:hAnsi="Times New Roman" w:eastAsia="宋体"/>
          <w:color w:val="auto"/>
          <w:sz w:val="24"/>
          <w:szCs w:val="24"/>
          <w:lang w:val="en-US" w:eastAsia="zh-CN"/>
        </w:rPr>
        <w:t xml:space="preserve">UGR≤30</w:t>
      </w:r>
      <w:r>
        <w:rPr>
          <w:rFonts w:hint="eastAsia" w:ascii="Times New Roman" w:hAnsi="Times New Roman" w:eastAsia="宋体"/>
          <w:color w:val="auto"/>
          <w:sz w:val="24"/>
          <w:szCs w:val="24"/>
          <w:lang w:eastAsia="zh-CN"/>
        </w:rPr>
        <w:t xml:space="preserve">（</w:t>
      </w:r>
      <w:r>
        <w:rPr>
          <w:rFonts w:hint="eastAsia" w:ascii="Times New Roman" w:hAnsi="Times New Roman" w:eastAsia="宋体"/>
          <w:color w:val="auto"/>
          <w:sz w:val="24"/>
          <w:szCs w:val="24"/>
          <w:lang w:val="en-US" w:eastAsia="zh-CN"/>
        </w:rPr>
        <w:t xml:space="preserve">提供相关检测报告，否则视为负偏离）</w:t>
      </w:r>
      <w:r>
        <w:rPr>
          <w:rFonts w:hint="eastAsia" w:ascii="Times New Roman" w:hAnsi="Times New Roman" w:eastAsia="宋体"/>
          <w:sz w:val="24"/>
          <w:szCs w:val="32"/>
          <w:lang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rPr>
      </w:pPr>
      <w:r>
        <w:rPr>
          <w:rFonts w:hint="eastAsia"/>
          <w:sz w:val="24"/>
          <w:szCs w:val="32"/>
          <w:lang w:val="en-US" w:eastAsia="zh-CN"/>
        </w:rPr>
        <w:t xml:space="preserve">6</w:t>
      </w:r>
      <w:r>
        <w:rPr>
          <w:rFonts w:hint="eastAsia" w:ascii="Times New Roman" w:hAnsi="Times New Roman" w:eastAsia="宋体"/>
          <w:sz w:val="24"/>
          <w:szCs w:val="32"/>
          <w:lang w:val="en-US" w:eastAsia="zh-CN"/>
        </w:rPr>
        <w:t xml:space="preserve">.</w:t>
      </w:r>
      <w:r>
        <w:rPr>
          <w:rFonts w:hint="eastAsia" w:ascii="Times New Roman" w:hAnsi="Times New Roman" w:eastAsia="宋体"/>
          <w:sz w:val="24"/>
          <w:szCs w:val="32"/>
        </w:rPr>
        <w:t xml:space="preserve">灯具采用航空铝（海军铝）合金耐腐蚀性材料，并采用先进镀锌工艺处理。防护等级≥IP6</w:t>
      </w:r>
      <w:r>
        <w:rPr>
          <w:rFonts w:hint="eastAsia" w:ascii="Times New Roman" w:hAnsi="Times New Roman" w:eastAsia="宋体"/>
          <w:sz w:val="24"/>
          <w:szCs w:val="32"/>
          <w:lang w:val="en-US" w:eastAsia="zh-CN"/>
        </w:rPr>
        <w:t xml:space="preserve">5</w:t>
      </w:r>
      <w:r>
        <w:rPr>
          <w:rFonts w:hint="eastAsia" w:ascii="Times New Roman" w:hAnsi="Times New Roman" w:eastAsia="宋体"/>
          <w:sz w:val="24"/>
          <w:szCs w:val="32"/>
        </w:rPr>
        <w:t xml:space="preserve">，使用环境温度 （℃）： -20～+40 。灯具</w:t>
      </w:r>
      <w:r>
        <w:rPr>
          <w:rFonts w:hint="eastAsia" w:ascii="Times New Roman" w:hAnsi="Times New Roman" w:eastAsia="宋体"/>
          <w:sz w:val="24"/>
          <w:szCs w:val="32"/>
          <w:lang w:val="en-US" w:eastAsia="zh-CN"/>
        </w:rPr>
        <w:t xml:space="preserve">防腐等级达到WF2（提供检测报告</w:t>
      </w:r>
      <w:r>
        <w:rPr>
          <w:rFonts w:hint="eastAsia" w:ascii="Times New Roman" w:hAnsi="Times New Roman" w:eastAsia="宋体"/>
          <w:color w:val="auto"/>
          <w:sz w:val="24"/>
          <w:szCs w:val="24"/>
          <w:lang w:val="en-US" w:eastAsia="zh-CN"/>
        </w:rPr>
        <w:t xml:space="preserve">，否则视为负偏离</w:t>
      </w:r>
      <w:r>
        <w:rPr>
          <w:rFonts w:hint="eastAsia" w:ascii="Times New Roman" w:hAnsi="Times New Roman" w:eastAsia="宋体"/>
          <w:sz w:val="24"/>
          <w:szCs w:val="32"/>
          <w:lang w:val="en-US" w:eastAsia="zh-CN"/>
        </w:rPr>
        <w:t xml:space="preserve">）。</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sz w:val="24"/>
          <w:szCs w:val="32"/>
          <w:lang w:val="en-US" w:eastAsia="zh-CN"/>
        </w:rPr>
        <w:t xml:space="preserve">7</w:t>
      </w:r>
      <w:r>
        <w:rPr>
          <w:rFonts w:hint="eastAsia" w:ascii="Times New Roman" w:hAnsi="Times New Roman" w:eastAsia="宋体"/>
          <w:sz w:val="24"/>
          <w:szCs w:val="32"/>
          <w:lang w:val="en-US" w:eastAsia="zh-CN"/>
        </w:rPr>
        <w:t xml:space="preserve">.灯具</w:t>
      </w:r>
      <w:r>
        <w:rPr>
          <w:rFonts w:hint="eastAsia" w:ascii="Times New Roman" w:hAnsi="Times New Roman" w:eastAsia="宋体"/>
          <w:sz w:val="24"/>
          <w:szCs w:val="32"/>
        </w:rPr>
        <w:t xml:space="preserve">驱动采用优质电子器件，恒流电路设计技术；驱动电源带有防雷设计、具有过电流过电压保护、短路保护、抗浪涌、过温保护功能；驱动内部要采用灌胶工艺，防护等级达到IP66。</w:t>
      </w:r>
      <w:r/>
    </w:p>
    <w:p>
      <w:pPr>
        <w:pStyle w:val="1033"/>
        <w:numPr>
          <w:ilvl w:val="0"/>
          <w:numId w:val="0"/>
        </w:numPr>
        <w:ind w:firstLine="480"/>
        <w:spacing w:line="360" w:lineRule="auto"/>
        <w:tabs>
          <w:tab w:val="center" w:pos="4153" w:leader="none"/>
        </w:tabs>
        <w:rPr>
          <w:rFonts w:hint="eastAsia" w:ascii="Times New Roman" w:hAnsi="Times New Roman" w:eastAsia="宋体"/>
          <w:sz w:val="24"/>
          <w:szCs w:val="32"/>
          <w:lang w:eastAsia="zh-CN"/>
        </w:rPr>
      </w:pPr>
      <w:r>
        <w:rPr>
          <w:rFonts w:hint="eastAsia"/>
          <w:sz w:val="24"/>
          <w:szCs w:val="32"/>
          <w:lang w:val="en-US" w:eastAsia="zh-CN"/>
        </w:rPr>
        <w:t xml:space="preserve">8</w:t>
      </w:r>
      <w:r>
        <w:rPr>
          <w:rFonts w:hint="eastAsia" w:ascii="Times New Roman" w:hAnsi="Times New Roman" w:eastAsia="宋体"/>
          <w:sz w:val="24"/>
          <w:szCs w:val="32"/>
          <w:lang w:val="en-US" w:eastAsia="zh-CN"/>
        </w:rPr>
        <w:t xml:space="preserve">.</w:t>
      </w:r>
      <w:r>
        <w:rPr>
          <w:rFonts w:hint="eastAsia" w:ascii="宋体" w:hAnsi="宋体" w:eastAsia="宋体"/>
          <w:sz w:val="24"/>
          <w:szCs w:val="24"/>
        </w:rPr>
        <w:t xml:space="preserve">灯具内部需通过结构和材料双重减震，整体抗震性能良好。</w:t>
      </w:r>
      <w:r>
        <w:rPr>
          <w:rFonts w:hint="eastAsia" w:ascii="Times New Roman" w:hAnsi="Times New Roman" w:eastAsia="宋体"/>
          <w:sz w:val="24"/>
          <w:szCs w:val="32"/>
        </w:rPr>
        <w:t xml:space="preserve">灯具经过振动测试，测试等级：IK08。</w:t>
      </w:r>
      <w:r>
        <w:rPr>
          <w:rFonts w:hint="eastAsia" w:ascii="Times New Roman" w:hAnsi="Times New Roman" w:eastAsia="宋体"/>
          <w:sz w:val="24"/>
          <w:szCs w:val="32"/>
          <w:lang w:eastAsia="zh-CN"/>
        </w:rPr>
        <w:t xml:space="preserve">（</w:t>
      </w:r>
      <w:r>
        <w:rPr>
          <w:rFonts w:hint="eastAsia" w:ascii="Times New Roman" w:hAnsi="Times New Roman" w:eastAsia="宋体"/>
          <w:sz w:val="24"/>
          <w:szCs w:val="32"/>
          <w:lang w:val="en-US" w:eastAsia="zh-CN"/>
        </w:rPr>
        <w:t xml:space="preserve">提供检测报告</w:t>
      </w:r>
      <w:r>
        <w:rPr>
          <w:rFonts w:hint="eastAsia" w:ascii="Times New Roman" w:hAnsi="Times New Roman" w:eastAsia="宋体"/>
          <w:color w:val="auto"/>
          <w:sz w:val="24"/>
          <w:szCs w:val="24"/>
          <w:lang w:val="en-US" w:eastAsia="zh-CN"/>
        </w:rPr>
        <w:t xml:space="preserve">，否则视为负偏离</w:t>
      </w:r>
      <w:r>
        <w:rPr>
          <w:rFonts w:hint="eastAsia" w:ascii="Times New Roman" w:hAnsi="Times New Roman" w:eastAsia="宋体"/>
          <w:sz w:val="24"/>
          <w:szCs w:val="32"/>
          <w:lang w:eastAsia="zh-CN"/>
        </w:rPr>
        <w:t xml:space="preserve">）</w:t>
      </w:r>
      <w:r/>
    </w:p>
    <w:p>
      <w:pPr>
        <w:pStyle w:val="1028"/>
        <w:ind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★9.光源及灯具质保8年，禁止使用假冒伪劣产品，必须是原厂灯具，验收交付所使用的灯具必须与投标灯具一致，否则验收不合格，因此造成的损失由投标人承担。</w:t>
      </w:r>
      <w:r/>
    </w:p>
    <w:p>
      <w:pPr>
        <w:numPr>
          <w:ilvl w:val="0"/>
          <w:numId w:val="0"/>
        </w:numPr>
        <w:ind w:firstLine="482"/>
        <w:jc w:val="both"/>
        <w:keepLines w:val="0"/>
        <w:keepNext w:val="0"/>
        <w:pageBreakBefore w:val="0"/>
        <w:spacing w:line="560"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三、付款方式</w:t>
      </w:r>
      <w:r/>
    </w:p>
    <w:p>
      <w:pPr>
        <w:ind w:firstLine="480"/>
        <w:jc w:val="both"/>
        <w:keepLines w:val="0"/>
        <w:keepNext w:val="0"/>
        <w:pageBreakBefore w:val="0"/>
        <w:spacing w:line="560" w:lineRule="exact"/>
        <w:widowControl w:val="off"/>
        <w:rPr>
          <w:rStyle w:val="815"/>
          <w:rFonts w:hint="eastAsia"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对于满足合同约定支付条件的，自收到发票后10个工作日内将资金支付到合同约定的投标人账户或投标人数字人民币账户。</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1、合同签订后自收到供应商发票之日起10个工作日内，采购人向中标人支付合同总价款的30%作为预付款。</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highlight w:val="none"/>
          <w:lang w:val="en-US" w:eastAsia="zh-CN" w:bidi="ar-SA"/>
        </w:rPr>
      </w:pPr>
      <w:r>
        <w:rPr>
          <w:rStyle w:val="815"/>
          <w:rFonts w:hint="eastAsia" w:ascii="宋体" w:hAnsi="宋体" w:eastAsia="宋体" w:cs="Times New Roman"/>
          <w:sz w:val="24"/>
          <w:szCs w:val="24"/>
          <w:highlight w:val="none"/>
          <w:lang w:val="en-US" w:eastAsia="zh-CN" w:bidi="ar-SA"/>
        </w:rPr>
        <w:t xml:space="preserve">2、项目建成并验收合格，采购人自收到供应商发票之日起10个工作日内付至合同价款的100%。</w:t>
      </w:r>
      <w:r/>
    </w:p>
    <w:p>
      <w:pPr>
        <w:ind w:firstLine="482"/>
        <w:jc w:val="both"/>
        <w:keepLines w:val="0"/>
        <w:keepNext w:val="0"/>
        <w:pageBreakBefore w:val="0"/>
        <w:spacing w:line="560" w:lineRule="exact"/>
        <w:widowControl w:val="off"/>
        <w:rPr>
          <w:rStyle w:val="815"/>
          <w:rFonts w:hint="eastAsia" w:ascii="宋体" w:hAnsi="宋体" w:eastAsia="宋体" w:cs="Times New Roman"/>
          <w:b/>
          <w:sz w:val="24"/>
          <w:szCs w:val="24"/>
          <w:lang w:val="en-US" w:eastAsia="zh-CN" w:bidi="ar-SA"/>
        </w:rPr>
      </w:pPr>
      <w:r>
        <w:rPr>
          <w:rStyle w:val="815"/>
          <w:rFonts w:hint="eastAsia" w:ascii="宋体" w:hAnsi="宋体" w:eastAsia="宋体" w:cs="Times New Roman"/>
          <w:b/>
          <w:sz w:val="24"/>
          <w:szCs w:val="24"/>
          <w:lang w:val="en-US" w:eastAsia="zh-CN" w:bidi="ar-SA"/>
        </w:rPr>
        <w:t xml:space="preserve">注：在签订合同时，中标人明确表示无需预付款或者主动要求降低付款比例的金额，采购人可不适用前述规定。</w:t>
      </w:r>
      <w:r/>
    </w:p>
    <w:p>
      <w:pPr>
        <w:ind w:firstLine="482"/>
        <w:jc w:val="both"/>
        <w:keepLines w:val="0"/>
        <w:keepNext w:val="0"/>
        <w:pageBreakBefore w:val="0"/>
        <w:spacing w:line="560" w:lineRule="exact"/>
        <w:widowControl w:val="off"/>
        <w:rPr>
          <w:rStyle w:val="815"/>
          <w:rFonts w:hint="eastAsia" w:ascii="宋体" w:hAnsi="宋体" w:eastAsia="宋体" w:cs="宋体"/>
          <w:b/>
          <w:bCs/>
          <w:sz w:val="24"/>
          <w:szCs w:val="22"/>
          <w:lang w:val="en-US" w:eastAsia="zh-CN" w:bidi="ar-SA"/>
        </w:rPr>
        <w:outlineLvl w:val="1"/>
      </w:pPr>
      <w:r>
        <w:rPr>
          <w:rStyle w:val="815"/>
          <w:rFonts w:hint="eastAsia" w:ascii="宋体" w:hAnsi="宋体" w:eastAsia="宋体" w:cs="宋体"/>
          <w:b/>
          <w:bCs/>
          <w:sz w:val="24"/>
          <w:szCs w:val="22"/>
          <w:lang w:val="en-US" w:eastAsia="zh-CN" w:bidi="ar-SA"/>
        </w:rPr>
        <w:t xml:space="preserve">四、售后服务期限及地点</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（一）售后服务期：8年（费用含在本次报价中，自安装调试验收合格之日起计算）。</w:t>
      </w:r>
      <w:r/>
    </w:p>
    <w:p>
      <w:pPr>
        <w:ind w:firstLine="480"/>
        <w:jc w:val="both"/>
        <w:keepLines w:val="0"/>
        <w:keepNext w:val="0"/>
        <w:pageBreakBefore w:val="0"/>
        <w:spacing w:line="560" w:lineRule="exact"/>
        <w:widowControl w:val="off"/>
        <w:rPr>
          <w:rStyle w:val="815"/>
          <w:rFonts w:hint="eastAsia"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（二）供货期： 30个日历天。</w:t>
      </w:r>
      <w:r/>
    </w:p>
    <w:p>
      <w:pPr>
        <w:ind w:firstLine="480"/>
        <w:jc w:val="both"/>
        <w:keepLines w:val="0"/>
        <w:keepNext w:val="0"/>
        <w:pageBreakBefore w:val="0"/>
        <w:spacing w:line="560" w:lineRule="exact"/>
        <w:widowControl w:val="off"/>
        <w:rPr>
          <w:rStyle w:val="815"/>
          <w:rFonts w:hint="eastAsia" w:ascii="宋体" w:hAnsi="宋体" w:eastAsia="宋体" w:cs="宋体"/>
          <w:sz w:val="24"/>
          <w:szCs w:val="24"/>
          <w:lang w:val="en-US" w:eastAsia="zh-CN" w:bidi="ar-SA"/>
        </w:rPr>
      </w:pPr>
      <w:r>
        <w:rPr>
          <w:rStyle w:val="815"/>
          <w:rFonts w:hint="eastAsia" w:ascii="宋体" w:hAnsi="宋体" w:eastAsia="宋体" w:cs="宋体"/>
          <w:sz w:val="24"/>
          <w:szCs w:val="24"/>
          <w:lang w:val="en-US" w:eastAsia="zh-CN" w:bidi="ar-SA"/>
        </w:rPr>
        <w:t xml:space="preserve">（三）实施地点：采购人指定。</w:t>
      </w:r>
      <w:r/>
    </w:p>
    <w:p>
      <w:pPr>
        <w:ind w:firstLine="482"/>
        <w:jc w:val="both"/>
        <w:keepLines w:val="0"/>
        <w:keepNext w:val="0"/>
        <w:pageBreakBefore w:val="0"/>
        <w:spacing w:line="560" w:lineRule="exact"/>
        <w:widowControl w:val="off"/>
        <w:rPr>
          <w:rStyle w:val="815"/>
          <w:rFonts w:hint="eastAsia" w:ascii="宋体" w:hAnsi="宋体" w:eastAsia="宋体" w:cs="宋体"/>
          <w:b/>
          <w:bCs/>
          <w:sz w:val="24"/>
          <w:szCs w:val="22"/>
          <w:lang w:val="en-US" w:eastAsia="zh-CN" w:bidi="ar-SA"/>
        </w:rPr>
        <w:outlineLvl w:val="1"/>
      </w:pPr>
      <w:r>
        <w:rPr>
          <w:rStyle w:val="815"/>
          <w:rFonts w:hint="eastAsia" w:ascii="宋体" w:hAnsi="宋体" w:eastAsia="宋体" w:cs="宋体"/>
          <w:b/>
          <w:bCs/>
          <w:sz w:val="24"/>
          <w:szCs w:val="22"/>
          <w:lang w:val="en-US" w:eastAsia="zh-CN" w:bidi="ar-SA"/>
        </w:rPr>
        <w:t xml:space="preserve">五、其他要求</w:t>
      </w:r>
      <w:r/>
    </w:p>
    <w:p>
      <w:pPr>
        <w:ind w:firstLine="482"/>
        <w:jc w:val="both"/>
        <w:keepLines w:val="0"/>
        <w:keepNext w:val="0"/>
        <w:pageBreakBefore w:val="0"/>
        <w:spacing w:line="560" w:lineRule="exact"/>
        <w:widowControl w:val="off"/>
        <w:rPr>
          <w:rStyle w:val="815"/>
          <w:rFonts w:hint="default" w:ascii="宋体" w:hAnsi="宋体" w:eastAsia="宋体" w:cs="Times New Roman"/>
          <w:b/>
          <w:bCs/>
          <w:color w:val="000000"/>
          <w:sz w:val="24"/>
          <w:szCs w:val="21"/>
          <w:lang w:val="en-US" w:eastAsia="zh-CN" w:bidi="ar-SA"/>
        </w:rPr>
      </w:pPr>
      <w:r>
        <w:rPr>
          <w:rStyle w:val="815"/>
          <w:rFonts w:hint="eastAsia" w:ascii="宋体" w:hAnsi="宋体" w:eastAsia="宋体" w:cs="Times New Roman"/>
          <w:b/>
          <w:bCs/>
          <w:color w:val="000000"/>
          <w:sz w:val="24"/>
          <w:szCs w:val="21"/>
          <w:lang w:val="en-US" w:eastAsia="zh-CN" w:bidi="ar-SA"/>
        </w:rPr>
        <w:t xml:space="preserve">（一）项目实施方案、</w:t>
      </w:r>
      <w:r>
        <w:rPr>
          <w:rStyle w:val="815"/>
          <w:rFonts w:hint="default" w:ascii="宋体" w:hAnsi="宋体" w:eastAsia="宋体" w:cs="Times New Roman"/>
          <w:b/>
          <w:bCs/>
          <w:color w:val="000000"/>
          <w:sz w:val="24"/>
          <w:szCs w:val="21"/>
          <w:lang w:val="en-US" w:eastAsia="zh-CN" w:bidi="ar-SA"/>
        </w:rPr>
        <w:t xml:space="preserve">设备安装、调试要求</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1.送至采购人指定地点并安装调试到位，必须依照招标文件的要求和投标文件的承诺，将器材安装并调试至最佳状态。</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2.器材无侵权行为、表面无划损、无任何缺陷隐患，在中国境内可依常规安全合法使用。</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3.货物为原厂商未启封全新包装，出厂合格证，序列号、包装箱号与出厂批号一致，并可追溯查阅，所有随设备的附件必须齐全。</w:t>
      </w:r>
      <w:r/>
    </w:p>
    <w:p>
      <w:pPr>
        <w:ind w:firstLine="480"/>
        <w:jc w:val="both"/>
        <w:keepLines w:val="0"/>
        <w:keepNext w:val="0"/>
        <w:pageBreakBefore w:val="0"/>
        <w:spacing w:line="560" w:lineRule="exact"/>
        <w:widowControl w:val="off"/>
        <w:rPr>
          <w:rStyle w:val="815"/>
          <w:rFonts w:hint="default" w:ascii="宋体" w:hAnsi="宋体" w:eastAsia="宋体" w:cs="Times New Roman"/>
          <w:sz w:val="24"/>
          <w:szCs w:val="24"/>
          <w:lang w:val="en-US" w:eastAsia="zh-CN" w:bidi="ar-SA"/>
        </w:rPr>
      </w:pPr>
      <w:r>
        <w:rPr>
          <w:rStyle w:val="815"/>
          <w:rFonts w:hint="eastAsia" w:ascii="宋体" w:hAnsi="宋体" w:eastAsia="宋体" w:cs="Times New Roman"/>
          <w:sz w:val="24"/>
          <w:szCs w:val="24"/>
          <w:lang w:val="en-US" w:eastAsia="zh-CN" w:bidi="ar-SA"/>
        </w:rPr>
        <w:t xml:space="preserve">4.根据投标人的实施项目供货计划、安装工期安排、安装技术人员配备、现场安装流程、安装质量要求、项目验收方案等编制方案。</w:t>
      </w:r>
      <w:r/>
    </w:p>
    <w:p>
      <w:pPr>
        <w:ind w:firstLine="482"/>
        <w:jc w:val="both"/>
        <w:keepLines w:val="0"/>
        <w:keepNext w:val="0"/>
        <w:pageBreakBefore w:val="0"/>
        <w:spacing w:line="560" w:lineRule="exact"/>
        <w:widowControl w:val="off"/>
        <w:rPr>
          <w:rStyle w:val="815"/>
          <w:rFonts w:hint="default" w:ascii="宋体" w:hAnsi="宋体" w:eastAsia="宋体" w:cs="Times New Roman"/>
          <w:b/>
          <w:bCs/>
          <w:color w:val="000000"/>
          <w:sz w:val="24"/>
          <w:szCs w:val="21"/>
          <w:lang w:val="en-US" w:eastAsia="zh-CN" w:bidi="ar-SA"/>
        </w:rPr>
      </w:pPr>
      <w:r>
        <w:rPr>
          <w:rStyle w:val="815"/>
          <w:rFonts w:hint="eastAsia" w:ascii="宋体" w:hAnsi="宋体" w:eastAsia="宋体" w:cs="Times New Roman"/>
          <w:b/>
          <w:bCs/>
          <w:color w:val="000000"/>
          <w:sz w:val="24"/>
          <w:szCs w:val="21"/>
          <w:lang w:val="en-US" w:eastAsia="zh-CN" w:bidi="ar-SA"/>
        </w:rPr>
        <w:t xml:space="preserve">（二）</w:t>
      </w:r>
      <w:r>
        <w:rPr>
          <w:rStyle w:val="815"/>
          <w:rFonts w:hint="default" w:ascii="宋体" w:hAnsi="宋体" w:eastAsia="宋体" w:cs="Times New Roman"/>
          <w:b/>
          <w:bCs/>
          <w:color w:val="000000"/>
          <w:sz w:val="24"/>
          <w:szCs w:val="21"/>
          <w:lang w:val="en-US" w:eastAsia="zh-CN" w:bidi="ar-SA"/>
        </w:rPr>
        <w:t xml:space="preserve">验收</w:t>
      </w:r>
      <w:r/>
    </w:p>
    <w:p>
      <w:pPr>
        <w:ind w:firstLine="480"/>
        <w:jc w:val="both"/>
        <w:keepLines w:val="0"/>
        <w:keepNext w:val="0"/>
        <w:pageBreakBefore w:val="0"/>
        <w:spacing w:line="560" w:lineRule="exact"/>
        <w:widowControl w:val="off"/>
        <w:rPr>
          <w:rStyle w:val="815"/>
          <w:rFonts w:hint="eastAsia" w:ascii="宋体" w:hAnsi="宋体" w:eastAsia="宋体" w:cs="Times New Roman"/>
          <w:bCs/>
          <w:color w:val="000000"/>
          <w:sz w:val="24"/>
          <w:szCs w:val="21"/>
          <w:lang w:val="en-US" w:eastAsia="zh-CN" w:bidi="ar-SA"/>
        </w:rPr>
      </w:pPr>
      <w:r>
        <w:rPr>
          <w:rStyle w:val="815"/>
          <w:rFonts w:hint="eastAsia" w:ascii="宋体" w:hAnsi="宋体" w:eastAsia="宋体" w:cs="Times New Roman"/>
          <w:bCs/>
          <w:color w:val="000000"/>
          <w:sz w:val="24"/>
          <w:szCs w:val="21"/>
          <w:lang w:val="en-US" w:eastAsia="zh-CN" w:bidi="ar-SA"/>
        </w:rPr>
        <w:t xml:space="preserve">1.采购人按国家有关规定、规范以及招标文件、投标文件、技术资料、质量要求和双方签订的合同规定的条款组织验收，必要时邀请相关的专业人员或机构参与验收。因货物质量问题发生争议时，由本地质量技术监督部门鉴定。货物符合质量技术标准的，鉴定费由采购人承担；否则鉴定费由中标人承担。</w:t>
      </w:r>
      <w:r/>
    </w:p>
    <w:p>
      <w:pPr>
        <w:ind w:firstLine="480"/>
        <w:jc w:val="both"/>
        <w:keepLines w:val="0"/>
        <w:keepNext w:val="0"/>
        <w:pageBreakBefore w:val="0"/>
        <w:spacing w:line="560" w:lineRule="exact"/>
        <w:widowControl w:val="off"/>
        <w:rPr>
          <w:rStyle w:val="815"/>
          <w:rFonts w:hint="eastAsia" w:ascii="宋体" w:hAnsi="宋体" w:eastAsia="宋体" w:cs="Times New Roman"/>
          <w:bCs/>
          <w:color w:val="000000"/>
          <w:sz w:val="24"/>
          <w:szCs w:val="21"/>
          <w:lang w:val="en-US" w:eastAsia="zh-CN" w:bidi="ar-SA"/>
        </w:rPr>
      </w:pPr>
      <w:r>
        <w:rPr>
          <w:rStyle w:val="815"/>
          <w:rFonts w:hint="eastAsia" w:ascii="宋体" w:hAnsi="宋体" w:eastAsia="宋体" w:cs="Times New Roman"/>
          <w:bCs/>
          <w:color w:val="000000"/>
          <w:sz w:val="24"/>
          <w:szCs w:val="21"/>
          <w:lang w:val="en-US" w:eastAsia="zh-CN" w:bidi="ar-SA"/>
        </w:rPr>
        <w:t xml:space="preserve">2.中标供应商根据招标要求进行产品的安装，在货物进场并安装调试完毕 15 日内，由采购人或采购人聘请技术专家或专业检测机构进行验收（验收内容包括但不限于器材质量、站点和器材信息是否已按要求录入省平台、编码是否已印制在告示牌和器材上并激活等其它采购人要求的内容），因此支出的相关费用（包括但不限于检测费用及出具质量检测报告费用）均由中标供应商承担。</w:t>
      </w:r>
      <w:r/>
    </w:p>
    <w:p>
      <w:pPr>
        <w:ind w:firstLine="482"/>
        <w:jc w:val="both"/>
        <w:keepLines w:val="0"/>
        <w:keepNext w:val="0"/>
        <w:pageBreakBefore w:val="0"/>
        <w:spacing w:line="560" w:lineRule="exact"/>
        <w:widowControl w:val="off"/>
        <w:rPr>
          <w:rStyle w:val="815"/>
          <w:rFonts w:hint="default" w:ascii="宋体" w:hAnsi="宋体" w:eastAsia="宋体" w:cs="Times New Roman"/>
          <w:b/>
          <w:bCs w:val="0"/>
          <w:color w:val="000000"/>
          <w:sz w:val="24"/>
          <w:szCs w:val="21"/>
          <w:lang w:val="en-US" w:eastAsia="zh-CN" w:bidi="ar-SA"/>
        </w:rPr>
      </w:pPr>
      <w:r>
        <w:rPr>
          <w:rStyle w:val="815"/>
          <w:rFonts w:hint="eastAsia" w:ascii="宋体" w:hAnsi="宋体" w:eastAsia="宋体" w:cs="Times New Roman"/>
          <w:b/>
          <w:bCs w:val="0"/>
          <w:color w:val="000000"/>
          <w:sz w:val="24"/>
          <w:szCs w:val="21"/>
          <w:lang w:val="en-US" w:eastAsia="zh-CN" w:bidi="ar-SA"/>
        </w:rPr>
        <w:t xml:space="preserve">（三）</w:t>
      </w:r>
      <w:r>
        <w:rPr>
          <w:rStyle w:val="815"/>
          <w:rFonts w:hint="default" w:ascii="宋体" w:hAnsi="宋体" w:eastAsia="宋体" w:cs="Times New Roman"/>
          <w:b/>
          <w:bCs w:val="0"/>
          <w:color w:val="000000"/>
          <w:sz w:val="24"/>
          <w:szCs w:val="21"/>
          <w:lang w:val="en-US" w:eastAsia="zh-CN" w:bidi="ar-SA"/>
        </w:rPr>
        <w:t xml:space="preserve">售后服务要求</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1.提供售后服务质量保障方案，建立完善的售后服务管理体系及拥有专业的维护队伍</w:t>
      </w:r>
      <w:r>
        <w:rPr>
          <w:rStyle w:val="815"/>
          <w:rFonts w:hint="eastAsia" w:ascii="宋体" w:hAnsi="宋体" w:eastAsia="宋体" w:cs="Times New Roman"/>
          <w:bCs/>
          <w:sz w:val="24"/>
          <w:szCs w:val="21"/>
          <w:lang w:val="en-US" w:eastAsia="zh-CN" w:bidi="ar-SA"/>
        </w:rPr>
        <w:t xml:space="preserve">。</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2.质保期内中标人对所供货物实行包修、包换、包退、包维护保养，质保期满后可提供终身维修保养服务，只收取成本费用。</w:t>
      </w:r>
      <w:r/>
    </w:p>
    <w:p>
      <w:pPr>
        <w:ind w:firstLine="480"/>
        <w:jc w:val="both"/>
        <w:keepLines w:val="0"/>
        <w:keepNext w:val="0"/>
        <w:pageBreakBefore w:val="0"/>
        <w:spacing w:line="560" w:lineRule="exact"/>
        <w:widowControl w:val="off"/>
        <w:rPr>
          <w:rStyle w:val="815"/>
          <w:rFonts w:hint="default" w:ascii="宋体" w:hAnsi="宋体" w:eastAsia="宋体" w:cs="Times New Roman"/>
          <w:bCs/>
          <w:sz w:val="24"/>
          <w:szCs w:val="21"/>
          <w:lang w:val="en-US" w:eastAsia="zh-CN" w:bidi="ar-SA"/>
        </w:rPr>
      </w:pPr>
      <w:r>
        <w:rPr>
          <w:rStyle w:val="815"/>
          <w:rFonts w:hint="default" w:ascii="宋体" w:hAnsi="宋体" w:eastAsia="宋体" w:cs="Times New Roman"/>
          <w:bCs/>
          <w:sz w:val="24"/>
          <w:szCs w:val="21"/>
          <w:lang w:val="en-US" w:eastAsia="zh-CN" w:bidi="ar-SA"/>
        </w:rPr>
        <w:t xml:space="preserve">3.应针对本项目提供详细、明确、具体的日常维护和应急解决方案，应据自身的实际情况提供详细具体的售后服务方案。</w:t>
      </w:r>
      <w:r/>
    </w:p>
    <w:p>
      <w:pPr>
        <w:ind w:firstLine="482"/>
        <w:keepLines w:val="0"/>
        <w:keepNext w:val="0"/>
        <w:pageBreakBefore w:val="0"/>
        <w:spacing w:line="560" w:lineRule="exact"/>
        <w:rPr>
          <w:rStyle w:val="815"/>
          <w:rFonts w:hint="eastAsia" w:ascii="宋体" w:hAnsi="宋体" w:eastAsia="宋体" w:cs="宋体"/>
          <w:b/>
          <w:bCs w:val="0"/>
          <w:color w:val="auto"/>
          <w:sz w:val="24"/>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（四）落实商品包装、快递包装政府采购需求标准</w:t>
      </w:r>
      <w:r/>
    </w:p>
    <w:p>
      <w:pPr>
        <w:ind w:firstLine="480"/>
        <w:keepLines w:val="0"/>
        <w:keepNext w:val="0"/>
        <w:pageBreakBefore w:val="0"/>
        <w:spacing w:line="560" w:lineRule="exact"/>
        <w:rPr>
          <w:rStyle w:val="815"/>
          <w:rFonts w:hint="eastAsia" w:ascii="宋体" w:hAnsi="宋体" w:eastAsia="宋体" w:cs="宋体"/>
          <w:bCs/>
          <w:color w:val="auto"/>
          <w:sz w:val="24"/>
          <w:highlight w:val="none"/>
          <w:lang w:val="en-US" w:eastAsia="zh-CN" w:bidi="ar-SA"/>
        </w:rPr>
      </w:pPr>
      <w:r>
        <w:rPr>
          <w:rStyle w:val="815"/>
          <w:rFonts w:hint="eastAsia" w:ascii="宋体" w:hAnsi="宋体" w:eastAsia="宋体" w:cs="宋体"/>
          <w:bCs/>
          <w:color w:val="auto"/>
          <w:sz w:val="24"/>
          <w:szCs w:val="21"/>
          <w:highlight w:val="none"/>
          <w:lang w:val="en-US" w:eastAsia="zh-CN" w:bidi="ar-SA"/>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ind w:firstLine="482"/>
        <w:keepLines w:val="0"/>
        <w:keepNext w:val="0"/>
        <w:pageBreakBefore w:val="0"/>
        <w:spacing w:line="560" w:lineRule="exact"/>
        <w:rPr>
          <w:rStyle w:val="815"/>
          <w:rFonts w:hint="eastAsia" w:ascii="宋体" w:hAnsi="宋体" w:eastAsia="宋体" w:cs="宋体"/>
          <w:b/>
          <w:bCs w:val="0"/>
          <w:color w:val="auto"/>
          <w:sz w:val="24"/>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（五）落实节能、环保产品政策</w:t>
      </w:r>
      <w:r/>
    </w:p>
    <w:p>
      <w:pPr>
        <w:ind w:firstLine="480"/>
        <w:keepLines w:val="0"/>
        <w:keepNext w:val="0"/>
        <w:pageBreakBefore w:val="0"/>
        <w:spacing w:line="560" w:lineRule="exact"/>
        <w:rPr>
          <w:rStyle w:val="815"/>
          <w:rFonts w:hint="eastAsia" w:ascii="宋体" w:hAnsi="宋体" w:eastAsia="宋体" w:cs="宋体"/>
          <w:bCs/>
          <w:color w:val="auto"/>
          <w:sz w:val="24"/>
          <w:szCs w:val="21"/>
          <w:highlight w:val="none"/>
          <w:lang w:val="en-US" w:eastAsia="zh-CN" w:bidi="ar-SA"/>
        </w:rPr>
      </w:pPr>
      <w:r>
        <w:rPr>
          <w:rStyle w:val="815"/>
          <w:rFonts w:hint="eastAsia" w:ascii="宋体" w:hAnsi="宋体" w:eastAsia="宋体" w:cs="宋体"/>
          <w:bCs/>
          <w:color w:val="auto"/>
          <w:sz w:val="24"/>
          <w:szCs w:val="21"/>
          <w:highlight w:val="none"/>
          <w:lang w:val="en-US" w:eastAsia="zh-CN" w:bidi="ar-SA"/>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numPr>
          <w:ilvl w:val="0"/>
          <w:numId w:val="12"/>
        </w:numPr>
        <w:ind w:firstLine="482"/>
        <w:keepLines w:val="0"/>
        <w:keepNext w:val="0"/>
        <w:pageBreakBefore w:val="0"/>
        <w:spacing w:line="560" w:lineRule="exact"/>
        <w:rPr>
          <w:rStyle w:val="815"/>
          <w:rFonts w:hint="eastAsia" w:ascii="宋体" w:hAnsi="宋体" w:eastAsia="宋体" w:cs="宋体"/>
          <w:b/>
          <w:bCs w:val="0"/>
          <w:color w:val="auto"/>
          <w:sz w:val="24"/>
          <w:szCs w:val="21"/>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采购本国产品的支持政策</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ff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本项目政府采购活动中既有本国产品又有非本国产品参与竞争的，</w:t>
      </w:r>
      <w:bookmarkStart w:id="212" w:name="OLE_LINK7"/>
      <w:r>
        <w:rPr>
          <w:rFonts w:hint="eastAsia" w:ascii="宋体" w:hAnsi="宋体" w:eastAsia="宋体" w:cs="宋体"/>
          <w:sz w:val="24"/>
          <w:highlight w:val="none"/>
        </w:rPr>
        <w:t xml:space="preserve">依法对本国产品给予价格评审优惠，对本国产品的报价给予</w:t>
      </w:r>
      <w:r>
        <w:rPr>
          <w:rFonts w:hint="eastAsia" w:ascii="宋体" w:hAnsi="宋体" w:eastAsia="宋体" w:cs="宋体"/>
          <w:b/>
          <w:bCs/>
          <w:sz w:val="24"/>
          <w:highlight w:val="none"/>
          <w:u w:val="single"/>
        </w:rPr>
        <w:t xml:space="preserve">20%</w:t>
      </w:r>
      <w:r>
        <w:rPr>
          <w:rFonts w:hint="eastAsia" w:ascii="宋体" w:hAnsi="宋体" w:eastAsia="宋体" w:cs="宋体"/>
          <w:sz w:val="24"/>
          <w:highlight w:val="none"/>
        </w:rPr>
        <w:t xml:space="preserve">的价格扣除，用扣除后的价格参与评审。</w:t>
      </w:r>
      <w:bookmarkEnd w:id="212"/>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sz w:val="24"/>
          <w:highlight w:val="none"/>
        </w:rPr>
        <w:t xml:space="preserve">80%以上</w:t>
      </w:r>
      <w:r>
        <w:rPr>
          <w:rFonts w:hint="eastAsia" w:ascii="宋体" w:hAnsi="宋体" w:eastAsia="宋体" w:cs="宋体"/>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15"/>
          <w:rFonts w:hint="eastAsia" w:ascii="宋体" w:hAnsi="宋体" w:eastAsia="宋体" w:cs="宋体"/>
          <w:bCs/>
          <w:color w:val="auto"/>
          <w:sz w:val="24"/>
          <w:szCs w:val="21"/>
          <w:highlight w:val="none"/>
          <w:lang w:val="en-US" w:eastAsia="zh-CN" w:bidi="ar-SA"/>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numPr>
          <w:ilvl w:val="0"/>
          <w:numId w:val="12"/>
        </w:numPr>
        <w:ind w:firstLine="482"/>
        <w:keepLines w:val="0"/>
        <w:keepNext w:val="0"/>
        <w:pageBreakBefore w:val="0"/>
        <w:spacing w:line="560" w:lineRule="exact"/>
        <w:rPr>
          <w:rStyle w:val="815"/>
          <w:rFonts w:hint="eastAsia" w:ascii="宋体" w:hAnsi="宋体" w:eastAsia="宋体" w:cs="宋体"/>
          <w:b/>
          <w:bCs w:val="0"/>
          <w:color w:val="auto"/>
          <w:sz w:val="24"/>
          <w:szCs w:val="21"/>
          <w:highlight w:val="none"/>
          <w:lang w:val="en-US" w:eastAsia="zh-CN" w:bidi="ar-SA"/>
        </w:rPr>
      </w:pPr>
      <w:r>
        <w:rPr>
          <w:rStyle w:val="815"/>
          <w:rFonts w:hint="eastAsia" w:ascii="宋体" w:hAnsi="宋体" w:eastAsia="宋体" w:cs="宋体"/>
          <w:b/>
          <w:bCs w:val="0"/>
          <w:color w:val="auto"/>
          <w:sz w:val="24"/>
          <w:szCs w:val="21"/>
          <w:highlight w:val="none"/>
          <w:lang w:val="en-US" w:eastAsia="zh-CN" w:bidi="ar-SA"/>
        </w:rPr>
        <w:t xml:space="preserve">注意事项</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1.本项目对任何有选择的报价将不予接受，只允许有一个报价。报价内容包括: 货物本身价格、辅材、运输、装卸、人工、产品损耗等相关工作、售后服务及货物交付使用过程中涉及到的其他一切费用。 </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2.供应商报价时应充分考虑所有可能影响到报价的因素，一旦最终中标，总价将包定。不予调整。如发生漏、缺、少项，都将被认为是成交人的报价让利行为，损失自负。</w:t>
      </w:r>
      <w:r/>
    </w:p>
    <w:p>
      <w:pPr>
        <w:ind w:firstLine="480"/>
        <w:jc w:val="both"/>
        <w:keepLines w:val="0"/>
        <w:keepNext w:val="0"/>
        <w:pageBreakBefore w:val="0"/>
        <w:spacing w:line="560" w:lineRule="exact"/>
        <w:widowControl w:val="off"/>
        <w:rPr>
          <w:rStyle w:val="815"/>
          <w:rFonts w:hint="eastAsia" w:ascii="宋体" w:hAnsi="宋体" w:eastAsia="宋体" w:cs="宋体"/>
          <w:bCs/>
          <w:color w:val="auto"/>
          <w:sz w:val="24"/>
          <w:szCs w:val="20"/>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备注：1.★部分为实质性要求，不接受负偏离。否则，作为无效标处理。</w:t>
      </w:r>
      <w:r/>
    </w:p>
    <w:p>
      <w:pPr>
        <w:ind w:firstLine="480"/>
        <w:jc w:val="both"/>
        <w:keepLines w:val="0"/>
        <w:keepNext w:val="0"/>
        <w:pageBreakBefore w:val="0"/>
        <w:spacing w:line="560" w:lineRule="exact"/>
        <w:widowControl w:val="off"/>
        <w:rPr>
          <w:rFonts w:hint="eastAsia" w:ascii="宋体" w:hAnsi="宋体" w:eastAsia="宋体" w:cs="宋体"/>
          <w:b/>
          <w:bCs/>
          <w:color w:val="auto"/>
          <w:sz w:val="24"/>
          <w:szCs w:val="24"/>
          <w:highlight w:val="none"/>
          <w:lang w:val="en-US" w:eastAsia="zh-CN" w:bidi="ar-SA"/>
        </w:rPr>
      </w:pPr>
      <w:r>
        <w:rPr>
          <w:rStyle w:val="815"/>
          <w:rFonts w:hint="eastAsia" w:ascii="宋体" w:hAnsi="宋体" w:eastAsia="宋体" w:cs="宋体"/>
          <w:bCs/>
          <w:color w:val="auto"/>
          <w:sz w:val="24"/>
          <w:szCs w:val="20"/>
          <w:highlight w:val="none"/>
          <w:lang w:val="en-US" w:eastAsia="zh-CN" w:bidi="ar-SA"/>
        </w:rPr>
        <w:t xml:space="preserve">2.本项目所涉及的均为推荐品牌，中标人选投非推荐品牌的，需提供相关资料证明其技术性能及质量等级等于或高于推荐品牌。</w:t>
      </w:r>
      <w:bookmarkEnd w:id="193"/>
      <w:r/>
      <w:r/>
    </w:p>
    <w:p>
      <w:pPr>
        <w:pStyle w:val="991"/>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bCs w:val="0"/>
          <w:color w:val="auto"/>
          <w:sz w:val="44"/>
          <w:highlight w:val="none"/>
        </w:rPr>
      </w:pPr>
      <w:r/>
      <w:bookmarkStart w:id="213" w:name="_Toc7441"/>
      <w:r>
        <w:rPr>
          <w:rFonts w:hint="eastAsia" w:ascii="宋体" w:hAnsi="宋体" w:eastAsia="宋体" w:cs="宋体"/>
          <w:b/>
          <w:bCs w:val="0"/>
          <w:color w:val="auto"/>
          <w:sz w:val="44"/>
          <w:highlight w:val="none"/>
        </w:rPr>
        <w:br w:type="page" w:clear="all"/>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第五章  评标方法与评标标准</w:t>
      </w:r>
      <w:bookmarkEnd w:id="213"/>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816"/>
        <w:tblW w:w="5574" w:type="pct"/>
        <w:tblInd w:w="-49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86"/>
        <w:gridCol w:w="2817"/>
      </w:tblGrid>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资格审查因素</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投标声明及承诺函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中小（微）企业或残疾人福利性单位声明函</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91"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信用信息</w:t>
            </w:r>
            <w:r/>
          </w:p>
        </w:tc>
        <w:tc>
          <w:tcPr>
            <w:tcW w:w="1408"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816"/>
        <w:tblW w:w="5568" w:type="pct"/>
        <w:tblInd w:w="-48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7140"/>
        <w:gridCol w:w="2852"/>
      </w:tblGrid>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符合性审查因素</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审查标准</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法定代表人身份证明或授权委托书</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投标报价</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符合</w:t>
            </w:r>
            <w:r>
              <w:rPr>
                <w:rFonts w:hint="eastAsia" w:ascii="宋体" w:hAnsi="宋体" w:eastAsia="宋体" w:cs="宋体"/>
                <w:color w:val="auto"/>
                <w:sz w:val="24"/>
                <w:szCs w:val="28"/>
                <w:highlight w:val="none"/>
                <w:lang w:val="en-US" w:eastAsia="zh-CN"/>
              </w:rPr>
              <w:t xml:space="preserve">相关规定</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技术标准和要求</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r>
        <w:trPr/>
        <w:tc>
          <w:tcPr>
            <w:tcW w:w="3572"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其他</w:t>
            </w:r>
            <w:r/>
          </w:p>
        </w:tc>
        <w:tc>
          <w:tcPr>
            <w:tcW w:w="1427" w:type="pct"/>
            <w:vAlign w:val="center"/>
            <w:textDirection w:val="lrTb"/>
            <w:noWrap w:val="false"/>
          </w:tcPr>
          <w:p>
            <w:pPr>
              <w:jc w:val="center"/>
              <w:keepLines w:val="0"/>
              <w:keepNext w:val="0"/>
              <w:pageBreakBefore w:val="0"/>
              <w:spacing w:line="400" w:lineRule="exact"/>
              <w:shd w:val="clear" w:color="auto"/>
              <w:widowControl/>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符合招标文件要求</w:t>
            </w:r>
            <w:r/>
          </w:p>
        </w:tc>
      </w:tr>
    </w:tbl>
    <w:p>
      <w:pPr>
        <w:keepLines w:val="0"/>
        <w:keepNext w:val="0"/>
        <w:pageBreakBefore w:val="0"/>
        <w:spacing w:line="400" w:lineRule="exact"/>
        <w:shd w:val="clear" w:color="auto"/>
        <w:widowControl/>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numPr>
          <w:ilvl w:val="0"/>
          <w:numId w:val="13"/>
        </w:numPr>
        <w:ind w:firstLine="241"/>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keepLines w:val="0"/>
        <w:keepNext w:val="0"/>
        <w:pageBreakBefore w:val="0"/>
        <w:spacing w:line="400" w:lineRule="exact"/>
        <w:shd w:val="clear" w:color="auto"/>
        <w:widowControl/>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分包一：</w:t>
      </w:r>
      <w:r/>
    </w:p>
    <w:tbl>
      <w:tblPr>
        <w:tblStyle w:val="816"/>
        <w:tblW w:w="5000"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38"/>
        <w:gridCol w:w="2049"/>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分包一</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1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Times New Roman" w:hAnsi="Times New Roman" w:eastAsia="宋体" w:cs="Times New Roman"/>
                <w:szCs w:val="21"/>
              </w:rPr>
            </w:pPr>
            <w:r>
              <w:rPr>
                <w:rFonts w:ascii="宋体" w:hAnsi="宋体" w:eastAsia="宋体" w:cs="宋体"/>
                <w:color w:val="000000"/>
                <w:sz w:val="21"/>
                <w:szCs w:val="21"/>
              </w:rPr>
              <w:t xml:space="preserve">注：</w:t>
            </w:r>
            <w:r>
              <w:rPr>
                <w:rFonts w:ascii="Times New Roman" w:hAnsi="Times New Roman" w:eastAsia="Times New Roman" w:cs="Times New Roman"/>
                <w:color w:val="000000"/>
                <w:sz w:val="21"/>
                <w:szCs w:val="21"/>
              </w:rPr>
              <w:t xml:space="preserve">1</w:t>
            </w:r>
            <w:r>
              <w:rPr>
                <w:rFonts w:ascii="宋体" w:hAnsi="宋体" w:eastAsia="宋体" w:cs="宋体"/>
                <w:color w:val="000000"/>
                <w:sz w:val="21"/>
                <w:szCs w:val="21"/>
              </w:rPr>
              <w:t xml:space="preserve">、供应商针对本项评标内容在响应文件《技术要求响应及偏离表》中逐条列出响应及偏离情况；</w:t>
            </w:r>
            <w:r>
              <w:rPr>
                <w:rFonts w:ascii="Times New Roman" w:hAnsi="Times New Roman" w:eastAsia="Times New Roman" w:cs="Times New Roman"/>
                <w:color w:val="000000"/>
                <w:sz w:val="21"/>
                <w:szCs w:val="21"/>
              </w:rPr>
              <w:t xml:space="preserve">2</w:t>
            </w:r>
            <w:r>
              <w:rPr>
                <w:rFonts w:ascii="宋体" w:hAnsi="宋体" w:eastAsia="宋体" w:cs="宋体"/>
                <w:color w:val="000000"/>
                <w:sz w:val="21"/>
                <w:szCs w:val="21"/>
              </w:rPr>
              <w:t xml:space="preserve">、采购需求中国家体育总局认可的权威检测机构相关证书登记的内容，以证书登记信息为准，其余需要提供证明材料的以证明材料为准；</w:t>
            </w:r>
            <w:r>
              <w:rPr>
                <w:rFonts w:ascii="Times New Roman" w:hAnsi="Times New Roman" w:eastAsia="Times New Roman" w:cs="Times New Roman"/>
                <w:color w:val="000000"/>
                <w:sz w:val="21"/>
                <w:szCs w:val="21"/>
              </w:rPr>
              <w:t xml:space="preserve">3</w:t>
            </w:r>
            <w:r>
              <w:rPr>
                <w:rFonts w:ascii="宋体" w:hAnsi="宋体" w:eastAsia="宋体" w:cs="宋体"/>
                <w:color w:val="000000"/>
                <w:sz w:val="21"/>
                <w:szCs w:val="21"/>
              </w:rPr>
              <w:t xml:space="preserve">、采购需求中未要求提供证明材料的，以《技术要求响应及偏离表》为准。未按要求提供证明材料或未在技术要求响应及偏离表中列明偏离情况的对应项按负偏离进行扣分处理。</w:t>
            </w:r>
            <w:r>
              <w:rPr>
                <w:rFonts w:ascii="Times New Roman" w:hAnsi="Times New Roman" w:eastAsia="Times New Roman" w:cs="Times New Roman"/>
                <w:color w:val="000000"/>
                <w:sz w:val="21"/>
                <w:szCs w:val="21"/>
              </w:rPr>
              <w:t xml:space="preserve">4</w:t>
            </w:r>
            <w:r>
              <w:rPr>
                <w:rFonts w:ascii="宋体" w:hAnsi="宋体" w:eastAsia="宋体" w:cs="宋体"/>
                <w:color w:val="000000"/>
                <w:sz w:val="21"/>
                <w:szCs w:val="21"/>
              </w:rPr>
              <w:t xml:space="preserve">、</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号部分为实质性相应不接受负偏离，否则作无效投标处理，认定内容均以国家体育总局认可的权威检测机构相关证书登记为准。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4</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提供有效期内的质量体系认证、环境管理体系认证、职业健康安全管理体系认证</w:t>
            </w:r>
            <w:r>
              <w:rPr>
                <w:rFonts w:hint="eastAsia" w:ascii="Times New Roman" w:hAnsi="Times New Roman" w:eastAsia="宋体" w:cs="Times New Roman"/>
                <w:szCs w:val="21"/>
                <w:lang w:eastAsia="zh-CN"/>
              </w:rPr>
              <w:t xml:space="preserve">的</w:t>
            </w:r>
            <w:r>
              <w:rPr>
                <w:rFonts w:hint="default" w:ascii="Times New Roman" w:hAnsi="Times New Roman" w:eastAsia="宋体" w:cs="Times New Roman"/>
                <w:szCs w:val="21"/>
              </w:rPr>
              <w:t xml:space="preserve">每有一个得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分，最高得</w:t>
            </w: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分。</w:t>
            </w:r>
            <w:r/>
          </w:p>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2</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获得中国绿色材料标志授权使用证书的得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 </w:t>
            </w:r>
            <w:r/>
          </w:p>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9</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6</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售后服务</w:t>
            </w:r>
            <w:r/>
          </w:p>
        </w:tc>
        <w:tc>
          <w:tcPr>
            <w:tcBorders>
              <w:top w:val="single" w:color="auto" w:sz="6" w:space="0"/>
              <w:left w:val="single" w:color="auto" w:sz="6" w:space="0"/>
              <w:bottom w:val="single" w:color="auto" w:sz="6" w:space="0"/>
              <w:right w:val="single" w:color="auto" w:sz="6" w:space="0"/>
            </w:tcBorders>
            <w:tcW w:w="886" w:type="dxa"/>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8</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4430" w:type="dxa"/>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pStyle w:val="820"/>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pStyle w:val="820"/>
        <w:rPr>
          <w:rFonts w:hint="eastAsia" w:ascii="宋体" w:hAnsi="宋体" w:eastAsia="宋体" w:cs="宋体"/>
        </w:rPr>
      </w:pPr>
      <w:r>
        <w:rPr>
          <w:rFonts w:hint="eastAsia" w:ascii="宋体" w:hAnsi="宋体" w:eastAsia="宋体" w:cs="宋体"/>
          <w:b/>
          <w:bCs/>
          <w:color w:val="auto"/>
          <w:sz w:val="24"/>
          <w:highlight w:val="none"/>
          <w:lang w:val="en-US" w:eastAsia="zh-CN"/>
        </w:rPr>
        <w:t xml:space="preserve">分包二：</w:t>
      </w:r>
      <w:r/>
    </w:p>
    <w:tbl>
      <w:tblPr>
        <w:tblStyle w:val="816"/>
        <w:tblW w:w="5009"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41"/>
        <w:gridCol w:w="2052"/>
        <w:gridCol w:w="899"/>
        <w:gridCol w:w="4493"/>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分包二</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Times New Roman" w:cs="Times New Roman"/>
                <w:color w:val="000000"/>
                <w:sz w:val="21"/>
                <w:szCs w:val="21"/>
              </w:rPr>
              <w:t xml:space="preserve">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注：</w:t>
            </w:r>
            <w:r>
              <w:rPr>
                <w:rFonts w:hint="eastAsia" w:ascii="Calibri" w:hAnsi="Calibri" w:eastAsia="宋体" w:cs="Times New Roman"/>
              </w:rPr>
              <w:t xml:space="preserve">1、</w:t>
            </w:r>
            <w:r>
              <w:rPr>
                <w:rFonts w:hint="default" w:ascii="Calibri" w:hAnsi="Calibri" w:eastAsia="宋体" w:cs="Times New Roman"/>
              </w:rPr>
              <w:t xml:space="preserve">供应商针对本项评标内容在响应文件《响应偏离表》中逐条列出响应及偏离情况</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2、</w:t>
            </w:r>
            <w:r>
              <w:rPr>
                <w:rFonts w:hint="default" w:ascii="Calibri" w:hAnsi="Calibri" w:eastAsia="宋体" w:cs="Times New Roman"/>
              </w:rPr>
              <w:t xml:space="preserve">采购需求中</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lang w:val="en-US" w:eastAsia="zh-CN"/>
              </w:rPr>
              <w:t xml:space="preserve">登记的内容，以证书登记信息为准，其余需要提供证明材料的</w:t>
            </w:r>
            <w:r>
              <w:rPr>
                <w:rFonts w:hint="default" w:ascii="Calibri" w:hAnsi="Calibri" w:eastAsia="宋体" w:cs="Times New Roman"/>
              </w:rPr>
              <w:t xml:space="preserve">以证明材料为准；</w:t>
            </w:r>
            <w:r>
              <w:rPr>
                <w:rFonts w:hint="eastAsia" w:ascii="Calibri" w:hAnsi="Calibri" w:eastAsia="宋体" w:cs="Times New Roman"/>
                <w:lang w:val="en-US" w:eastAsia="zh-CN"/>
              </w:rPr>
              <w:t xml:space="preserve">3</w:t>
            </w:r>
            <w:r>
              <w:rPr>
                <w:rFonts w:hint="eastAsia" w:ascii="Calibri" w:hAnsi="Calibri" w:eastAsia="宋体" w:cs="Times New Roman"/>
              </w:rPr>
              <w:t xml:space="preserve">、</w:t>
            </w:r>
            <w:r>
              <w:rPr>
                <w:rFonts w:hint="default" w:ascii="Calibri" w:hAnsi="Calibri" w:eastAsia="宋体" w:cs="Times New Roman"/>
              </w:rPr>
              <w:t xml:space="preserve">采购需求中未要求提供证明材料的，以《响应偏离表》为准。未按要求提供证明材料或未在响应偏离表中列明偏离情况的对应项按负偏离进行扣分处理。</w:t>
            </w:r>
            <w:r>
              <w:rPr>
                <w:rFonts w:hint="eastAsia" w:ascii="Calibri" w:hAnsi="Calibri" w:eastAsia="宋体" w:cs="Times New Roman"/>
                <w:lang w:val="en-US" w:eastAsia="zh-CN"/>
              </w:rPr>
              <w:t xml:space="preserve">4</w:t>
            </w:r>
            <w:r>
              <w:rPr>
                <w:rFonts w:hint="eastAsia" w:ascii="Calibri" w:hAnsi="Calibri" w:eastAsia="宋体" w:cs="Times New Roman"/>
              </w:rPr>
              <w:t xml:space="preserve">、</w:t>
            </w:r>
            <w:r>
              <w:rPr>
                <w:rFonts w:hint="default" w:ascii="Calibri" w:hAnsi="Calibri" w:eastAsia="宋体" w:cs="Times New Roman"/>
              </w:rPr>
              <w:t xml:space="preserve">★号部分</w:t>
            </w:r>
            <w:r>
              <w:rPr>
                <w:rFonts w:hint="eastAsia" w:ascii="Calibri" w:hAnsi="Calibri" w:eastAsia="宋体" w:cs="Times New Roman"/>
              </w:rPr>
              <w:t xml:space="preserve">为实质性相应</w:t>
            </w:r>
            <w:r>
              <w:rPr>
                <w:rFonts w:hint="default" w:ascii="Calibri" w:hAnsi="Calibri" w:eastAsia="宋体" w:cs="Times New Roman"/>
              </w:rPr>
              <w:t xml:space="preserve">不接受负偏离，否则作无效投标处理</w:t>
            </w:r>
            <w:r>
              <w:rPr>
                <w:rFonts w:hint="eastAsia" w:ascii="Calibri" w:hAnsi="Calibri" w:eastAsia="宋体" w:cs="Times New Roman"/>
              </w:rPr>
              <w:t xml:space="preserve">，认定内容均以</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rPr>
              <w:t xml:space="preserve">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4</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1、</w:t>
            </w:r>
            <w:r>
              <w:rPr>
                <w:rFonts w:hint="default" w:ascii="Calibri" w:hAnsi="Calibri" w:eastAsia="宋体" w:cs="Times New Roman"/>
              </w:rPr>
              <w:t xml:space="preserve">投标产品提供有效期内的质量体系认证、环境管理体系认证、职业健康安全管理体系认证的得每有一个得</w:t>
            </w:r>
            <w:r>
              <w:rPr>
                <w:rFonts w:hint="eastAsia" w:ascii="Calibri" w:hAnsi="Calibri" w:eastAsia="宋体" w:cs="Times New Roman"/>
              </w:rPr>
              <w:t xml:space="preserve">1</w:t>
            </w:r>
            <w:r>
              <w:rPr>
                <w:rFonts w:hint="default" w:ascii="Calibri" w:hAnsi="Calibri" w:eastAsia="宋体" w:cs="Times New Roman"/>
              </w:rPr>
              <w:t xml:space="preserve">分，最高得</w:t>
            </w:r>
            <w:r>
              <w:rPr>
                <w:rFonts w:hint="eastAsia" w:ascii="Calibri" w:hAnsi="Calibri" w:eastAsia="宋体" w:cs="Times New Roman"/>
              </w:rPr>
              <w:t xml:space="preserve">3</w:t>
            </w:r>
            <w:r>
              <w:rPr>
                <w:rFonts w:hint="default" w:ascii="Calibri" w:hAnsi="Calibri" w:eastAsia="宋体" w:cs="Times New Roman"/>
              </w:rPr>
              <w:t xml:space="preserve">分。</w:t>
            </w:r>
            <w:r/>
          </w:p>
          <w:p>
            <w:pPr>
              <w:jc w:val="left"/>
              <w:widowControl w:val="off"/>
              <w:rPr>
                <w:rFonts w:hint="default" w:ascii="Calibri" w:hAnsi="Calibri" w:eastAsia="宋体" w:cs="Times New Roman"/>
              </w:rPr>
            </w:pPr>
            <w:r>
              <w:rPr>
                <w:rFonts w:hint="eastAsia" w:ascii="Calibri" w:hAnsi="Calibri" w:eastAsia="宋体" w:cs="Times New Roman"/>
              </w:rPr>
              <w:t xml:space="preserve">2</w:t>
            </w:r>
            <w:r>
              <w:rPr>
                <w:rFonts w:hint="default" w:ascii="Calibri" w:hAnsi="Calibri" w:eastAsia="宋体" w:cs="Times New Roman"/>
              </w:rPr>
              <w:t xml:space="preserve">、投标产品获得中国绿色材料标志授权使用证书的得</w:t>
            </w:r>
            <w:r>
              <w:rPr>
                <w:rFonts w:hint="eastAsia" w:ascii="Calibri" w:hAnsi="Calibri" w:eastAsia="宋体" w:cs="Times New Roman"/>
              </w:rPr>
              <w:t xml:space="preserve">1</w:t>
            </w:r>
            <w:r>
              <w:rPr>
                <w:rFonts w:hint="default" w:ascii="Calibri" w:hAnsi="Calibri" w:eastAsia="宋体" w:cs="Times New Roman"/>
              </w:rPr>
              <w:t xml:space="preserve">分。 </w:t>
            </w:r>
            <w:r/>
          </w:p>
          <w:p>
            <w:pPr>
              <w:jc w:val="left"/>
              <w:widowControl w:val="off"/>
              <w:rPr>
                <w:rFonts w:hint="default" w:ascii="Calibri" w:hAnsi="Calibri" w:eastAsia="宋体" w:cs="Times New Roman"/>
              </w:rPr>
            </w:pPr>
            <w:r>
              <w:rPr>
                <w:rFonts w:hint="default" w:ascii="Calibri" w:hAnsi="Calibri" w:eastAsia="宋体" w:cs="Times New Roman"/>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9</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6</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售后服务</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8</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numPr>
          <w:ilvl w:val="0"/>
          <w:numId w:val="0"/>
        </w:num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rPr>
      </w:pPr>
      <w:r>
        <w:rPr>
          <w:rFonts w:hint="eastAsia" w:ascii="宋体" w:hAnsi="宋体" w:eastAsia="宋体" w:cs="宋体"/>
          <w:b/>
          <w:bCs/>
          <w:color w:val="auto"/>
          <w:sz w:val="24"/>
          <w:highlight w:val="none"/>
          <w:lang w:val="en-US" w:eastAsia="zh-CN"/>
        </w:rPr>
        <w:t xml:space="preserve">分包三：</w:t>
      </w:r>
      <w:r/>
    </w:p>
    <w:tbl>
      <w:tblPr>
        <w:tblStyle w:val="816"/>
        <w:tblW w:w="5009"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41"/>
        <w:gridCol w:w="2052"/>
        <w:gridCol w:w="899"/>
        <w:gridCol w:w="4493"/>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Calibri" w:hAnsi="Calibri" w:eastAsia="宋体" w:cs="Times New Roman"/>
              </w:rPr>
            </w:pPr>
            <w:r>
              <w:rPr>
                <w:rFonts w:hint="default" w:ascii="Calibri" w:hAnsi="Calibri" w:eastAsia="宋体" w:cs="Times New Roman"/>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分包三</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Times New Roman" w:cs="Times New Roman"/>
                <w:color w:val="000000"/>
                <w:sz w:val="21"/>
                <w:szCs w:val="21"/>
              </w:rPr>
              <w:t xml:space="preserve">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Calibri" w:hAnsi="Calibri" w:eastAsia="宋体" w:cs="Times New Roman"/>
                <w:sz w:val="21"/>
                <w:szCs w:val="22"/>
                <w:lang w:val="en-US" w:eastAsia="zh-CN" w:bidi="ar-SA"/>
              </w:rPr>
            </w:pPr>
            <w:r>
              <w:rPr>
                <w:rFonts w:hint="default" w:ascii="Calibri" w:hAnsi="Calibri" w:eastAsia="宋体" w:cs="Times New Roman"/>
              </w:rPr>
              <w:t xml:space="preserve">注：</w:t>
            </w:r>
            <w:r>
              <w:rPr>
                <w:rFonts w:hint="eastAsia" w:ascii="Calibri" w:hAnsi="Calibri" w:eastAsia="宋体" w:cs="Times New Roman"/>
              </w:rPr>
              <w:t xml:space="preserve">1、</w:t>
            </w:r>
            <w:r>
              <w:rPr>
                <w:rFonts w:hint="default" w:ascii="Calibri" w:hAnsi="Calibri" w:eastAsia="宋体" w:cs="Times New Roman"/>
              </w:rPr>
              <w:t xml:space="preserve">供应商针对本项评标内容在响应文件《响应偏离表》中逐条列出响应及偏离情况</w:t>
            </w:r>
            <w:r>
              <w:rPr>
                <w:rFonts w:hint="eastAsia" w:ascii="Calibri" w:hAnsi="Calibri" w:eastAsia="宋体" w:cs="Times New Roman"/>
                <w:lang w:eastAsia="zh-CN"/>
              </w:rPr>
              <w:t xml:space="preserve">；</w:t>
            </w:r>
            <w:r>
              <w:rPr>
                <w:rFonts w:hint="eastAsia" w:ascii="Calibri" w:hAnsi="Calibri" w:eastAsia="宋体" w:cs="Times New Roman"/>
                <w:lang w:val="en-US" w:eastAsia="zh-CN"/>
              </w:rPr>
              <w:t xml:space="preserve">2、</w:t>
            </w:r>
            <w:r>
              <w:rPr>
                <w:rFonts w:hint="default" w:ascii="Calibri" w:hAnsi="Calibri" w:eastAsia="宋体" w:cs="Times New Roman"/>
              </w:rPr>
              <w:t xml:space="preserve">采购需求中</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lang w:val="en-US" w:eastAsia="zh-CN"/>
              </w:rPr>
              <w:t xml:space="preserve">登记的内容，以证书登记信息为准，其余需要提供证明材料的</w:t>
            </w:r>
            <w:r>
              <w:rPr>
                <w:rFonts w:hint="default" w:ascii="Calibri" w:hAnsi="Calibri" w:eastAsia="宋体" w:cs="Times New Roman"/>
              </w:rPr>
              <w:t xml:space="preserve">以证明材料为准；</w:t>
            </w:r>
            <w:r>
              <w:rPr>
                <w:rFonts w:hint="eastAsia" w:ascii="Calibri" w:hAnsi="Calibri" w:eastAsia="宋体" w:cs="Times New Roman"/>
                <w:lang w:val="en-US" w:eastAsia="zh-CN"/>
              </w:rPr>
              <w:t xml:space="preserve">3</w:t>
            </w:r>
            <w:r>
              <w:rPr>
                <w:rFonts w:hint="eastAsia" w:ascii="Calibri" w:hAnsi="Calibri" w:eastAsia="宋体" w:cs="Times New Roman"/>
              </w:rPr>
              <w:t xml:space="preserve">、</w:t>
            </w:r>
            <w:r>
              <w:rPr>
                <w:rFonts w:hint="default" w:ascii="Calibri" w:hAnsi="Calibri" w:eastAsia="宋体" w:cs="Times New Roman"/>
              </w:rPr>
              <w:t xml:space="preserve">采购需求中未要求提供证明材料的，以《响应偏离表》为准。未按要求提供证明材料或未在响应偏离表中列明偏离情况的对应项按负偏离进行扣分处理。</w:t>
            </w:r>
            <w:r>
              <w:rPr>
                <w:rFonts w:hint="eastAsia" w:ascii="Calibri" w:hAnsi="Calibri" w:eastAsia="宋体" w:cs="Times New Roman"/>
                <w:lang w:val="en-US" w:eastAsia="zh-CN"/>
              </w:rPr>
              <w:t xml:space="preserve">4</w:t>
            </w:r>
            <w:r>
              <w:rPr>
                <w:rFonts w:hint="eastAsia" w:ascii="Calibri" w:hAnsi="Calibri" w:eastAsia="宋体" w:cs="Times New Roman"/>
              </w:rPr>
              <w:t xml:space="preserve">、</w:t>
            </w:r>
            <w:r>
              <w:rPr>
                <w:rFonts w:hint="default" w:ascii="Calibri" w:hAnsi="Calibri" w:eastAsia="宋体" w:cs="Times New Roman"/>
              </w:rPr>
              <w:t xml:space="preserve">★号部分</w:t>
            </w:r>
            <w:r>
              <w:rPr>
                <w:rFonts w:hint="eastAsia" w:ascii="Calibri" w:hAnsi="Calibri" w:eastAsia="宋体" w:cs="Times New Roman"/>
              </w:rPr>
              <w:t xml:space="preserve">为实质性相应</w:t>
            </w:r>
            <w:r>
              <w:rPr>
                <w:rFonts w:hint="default" w:ascii="Calibri" w:hAnsi="Calibri" w:eastAsia="宋体" w:cs="Times New Roman"/>
              </w:rPr>
              <w:t xml:space="preserve">不接受负偏离，否则作无效投标处理</w:t>
            </w:r>
            <w:r>
              <w:rPr>
                <w:rFonts w:hint="eastAsia" w:ascii="Calibri" w:hAnsi="Calibri" w:eastAsia="宋体" w:cs="Times New Roman"/>
              </w:rPr>
              <w:t xml:space="preserve">，认定内容均以</w:t>
            </w:r>
            <w:r>
              <w:rPr>
                <w:rFonts w:ascii="宋体" w:hAnsi="宋体" w:eastAsia="宋体" w:cs="宋体"/>
                <w:color w:val="000000"/>
                <w:sz w:val="21"/>
                <w:szCs w:val="21"/>
              </w:rPr>
              <w:t xml:space="preserve">国家体育总局认可的权威检测机构相关证书</w:t>
            </w:r>
            <w:r>
              <w:rPr>
                <w:rFonts w:hint="eastAsia" w:ascii="Calibri" w:hAnsi="Calibri" w:eastAsia="宋体" w:cs="Times New Roman"/>
              </w:rPr>
              <w:t xml:space="preserve">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4</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1、</w:t>
            </w:r>
            <w:r>
              <w:rPr>
                <w:rFonts w:hint="default" w:ascii="Calibri" w:hAnsi="Calibri" w:eastAsia="宋体" w:cs="Times New Roman"/>
              </w:rPr>
              <w:t xml:space="preserve">投标产品提供有效期内的质量体系认证、环境管理体系认证、职业健康安全管理体系认证的得每有一个得</w:t>
            </w:r>
            <w:r>
              <w:rPr>
                <w:rFonts w:hint="eastAsia" w:ascii="Calibri" w:hAnsi="Calibri" w:eastAsia="宋体" w:cs="Times New Roman"/>
              </w:rPr>
              <w:t xml:space="preserve">1</w:t>
            </w:r>
            <w:r>
              <w:rPr>
                <w:rFonts w:hint="default" w:ascii="Calibri" w:hAnsi="Calibri" w:eastAsia="宋体" w:cs="Times New Roman"/>
              </w:rPr>
              <w:t xml:space="preserve">分，最高得</w:t>
            </w:r>
            <w:r>
              <w:rPr>
                <w:rFonts w:hint="eastAsia" w:ascii="Calibri" w:hAnsi="Calibri" w:eastAsia="宋体" w:cs="Times New Roman"/>
              </w:rPr>
              <w:t xml:space="preserve">3</w:t>
            </w:r>
            <w:r>
              <w:rPr>
                <w:rFonts w:hint="default" w:ascii="Calibri" w:hAnsi="Calibri" w:eastAsia="宋体" w:cs="Times New Roman"/>
              </w:rPr>
              <w:t xml:space="preserve">分。</w:t>
            </w:r>
            <w:r/>
          </w:p>
          <w:p>
            <w:pPr>
              <w:jc w:val="left"/>
              <w:widowControl w:val="off"/>
              <w:rPr>
                <w:rFonts w:hint="default" w:ascii="Calibri" w:hAnsi="Calibri" w:eastAsia="宋体" w:cs="Times New Roman"/>
              </w:rPr>
            </w:pPr>
            <w:r>
              <w:rPr>
                <w:rFonts w:hint="eastAsia" w:ascii="Calibri" w:hAnsi="Calibri" w:eastAsia="宋体" w:cs="Times New Roman"/>
              </w:rPr>
              <w:t xml:space="preserve">2</w:t>
            </w:r>
            <w:r>
              <w:rPr>
                <w:rFonts w:hint="default" w:ascii="Calibri" w:hAnsi="Calibri" w:eastAsia="宋体" w:cs="Times New Roman"/>
              </w:rPr>
              <w:t xml:space="preserve">、投标产品获得中国绿色材料标志授权使用证书的得</w:t>
            </w:r>
            <w:r>
              <w:rPr>
                <w:rFonts w:hint="eastAsia" w:ascii="Calibri" w:hAnsi="Calibri" w:eastAsia="宋体" w:cs="Times New Roman"/>
              </w:rPr>
              <w:t xml:space="preserve">1</w:t>
            </w:r>
            <w:r>
              <w:rPr>
                <w:rFonts w:hint="default" w:ascii="Calibri" w:hAnsi="Calibri" w:eastAsia="宋体" w:cs="Times New Roman"/>
              </w:rPr>
              <w:t xml:space="preserve">分。 </w:t>
            </w:r>
            <w:r/>
          </w:p>
          <w:p>
            <w:pPr>
              <w:jc w:val="left"/>
              <w:widowControl w:val="off"/>
              <w:rPr>
                <w:rFonts w:hint="default" w:ascii="Calibri" w:hAnsi="Calibri" w:eastAsia="宋体" w:cs="Times New Roman"/>
              </w:rPr>
            </w:pPr>
            <w:r>
              <w:rPr>
                <w:rFonts w:hint="default" w:ascii="Calibri" w:hAnsi="Calibri" w:eastAsia="宋体" w:cs="Times New Roman"/>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9</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6</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default" w:ascii="Calibri" w:hAnsi="Calibri" w:eastAsia="宋体" w:cs="Times New Roman"/>
              </w:rPr>
              <w:t xml:space="preserve">售后服务</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hint="eastAsia" w:ascii="Calibri" w:hAnsi="Calibri" w:eastAsia="宋体" w:cs="Times New Roman"/>
              </w:rPr>
              <w:t xml:space="preserve">8</w:t>
            </w:r>
            <w:r>
              <w:rPr>
                <w:rFonts w:hint="default" w:ascii="Calibri" w:hAnsi="Calibri" w:eastAsia="宋体" w:cs="Times New Roman"/>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Calibri" w:hAnsi="Calibri" w:eastAsia="宋体" w:cs="Times New Roman"/>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pStyle w:val="820"/>
        <w:rPr>
          <w:rFonts w:hint="eastAsia"/>
        </w:rPr>
      </w:pPr>
      <w:r>
        <w:rPr>
          <w:rFonts w:hint="eastAsia"/>
        </w:rPr>
      </w:r>
      <w:r/>
    </w:p>
    <w:p>
      <w:pPr>
        <w:jc w:val="both"/>
        <w:widowControl w:val="off"/>
        <w:rPr>
          <w:rFonts w:hint="eastAsia" w:ascii="楷体_GB2312" w:hAnsi="Arial" w:eastAsia="楷体_GB2312" w:cs="Times New Roman"/>
          <w:sz w:val="28"/>
          <w:szCs w:val="28"/>
          <w:lang w:val="en-US" w:eastAsia="zh-CN" w:bidi="ar-SA"/>
        </w:rPr>
      </w:pPr>
      <w:r>
        <w:rPr>
          <w:rFonts w:hint="eastAsia" w:ascii="宋体" w:hAnsi="宋体" w:eastAsia="宋体" w:cs="宋体"/>
          <w:b/>
          <w:bCs/>
          <w:color w:val="auto"/>
          <w:sz w:val="24"/>
          <w:szCs w:val="28"/>
          <w:highlight w:val="none"/>
          <w:lang w:val="en-US" w:eastAsia="zh-CN" w:bidi="ar-SA"/>
        </w:rPr>
        <w:t xml:space="preserve">分包四：</w:t>
      </w:r>
      <w:r/>
    </w:p>
    <w:tbl>
      <w:tblPr>
        <w:tblStyle w:val="816"/>
        <w:tblW w:w="5000" w:type="pct"/>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538"/>
        <w:gridCol w:w="2049"/>
        <w:gridCol w:w="897"/>
        <w:gridCol w:w="4485"/>
      </w:tblGrid>
      <w:tr>
        <w:trPr/>
        <w:tc>
          <w:tcPr>
            <w:gridSpan w:val="2"/>
            <w:tcBorders>
              <w:top w:val="single" w:color="auto" w:sz="6" w:space="0"/>
              <w:left w:val="single" w:color="auto" w:sz="6" w:space="0"/>
              <w:bottom w:val="single" w:color="auto" w:sz="6" w:space="0"/>
              <w:right w:val="single" w:color="auto" w:sz="6" w:space="0"/>
            </w:tcBorders>
            <w:tcW w:w="20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评审因素</w:t>
            </w:r>
            <w:r/>
          </w:p>
        </w:tc>
        <w:tc>
          <w:tcPr>
            <w:tcBorders>
              <w:top w:val="single" w:color="auto" w:sz="6" w:space="0"/>
              <w:left w:val="single" w:color="auto" w:sz="6" w:space="0"/>
              <w:bottom w:val="single" w:color="auto" w:sz="6" w:space="0"/>
              <w:right w:val="single" w:color="auto" w:sz="6" w:space="0"/>
            </w:tcBorders>
            <w:tcW w:w="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分数</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评审标准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报价分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采用低价优先法计算，即满足招标文件要求且投标价格最低的投标报价为评标基准价，其价格分为满分。其他投标人投标报价得分＝（评标基准价/投标报价）*30。 </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技术参数响应</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30.00分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left="0" w:right="0" w:firstLine="0"/>
              <w:jc w:val="both"/>
              <w:spacing w:before="0" w:after="0"/>
              <w:widowControl w:val="off"/>
              <w:rPr>
                <w:rFonts w:ascii="Times New Roman" w:hAnsi="Times New Roman" w:eastAsia="宋体" w:cs="Times New Roman"/>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rPr>
              <w:t xml:space="preserve">针对招标文件“第四章、采购需求”中的“二、采购清单及技术要求</w:t>
            </w:r>
            <w:r>
              <w:rPr>
                <w:rFonts w:hint="eastAsia" w:ascii="宋体" w:hAnsi="宋体" w:eastAsia="宋体" w:cs="宋体"/>
                <w:color w:val="000000"/>
                <w:sz w:val="21"/>
                <w:szCs w:val="21"/>
                <w:lang w:val="en-US" w:eastAsia="zh-CN"/>
              </w:rPr>
              <w:t xml:space="preserve">分包四</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所列内容进行评分，投标人所投产品的技术性能、功能、参数、规格等能够完全满足招标文件要求的得基本分</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分。每有一项负偏离扣</w:t>
            </w:r>
            <w:r>
              <w:rPr>
                <w:rFonts w:ascii="Times New Roman" w:hAnsi="Times New Roman" w:eastAsia="Times New Roman" w:cs="Times New Roman"/>
                <w:color w:val="000000"/>
                <w:sz w:val="21"/>
                <w:szCs w:val="21"/>
              </w:rPr>
              <w:t xml:space="preserve"> 1 </w:t>
            </w:r>
            <w:r>
              <w:rPr>
                <w:rFonts w:ascii="宋体" w:hAnsi="宋体" w:eastAsia="宋体" w:cs="宋体"/>
                <w:color w:val="000000"/>
                <w:sz w:val="21"/>
                <w:szCs w:val="21"/>
              </w:rPr>
              <w:t xml:space="preserve">分，扣完为止，本项最低得</w:t>
            </w:r>
            <w:r>
              <w:rPr>
                <w:rFonts w:ascii="Times New Roman" w:hAnsi="Times New Roman" w:eastAsia="Times New Roman" w:cs="Times New Roman"/>
                <w:color w:val="000000"/>
                <w:sz w:val="21"/>
                <w:szCs w:val="21"/>
              </w:rPr>
              <w:t xml:space="preserve">0</w:t>
            </w:r>
            <w:r>
              <w:rPr>
                <w:rFonts w:ascii="宋体" w:hAnsi="宋体" w:eastAsia="宋体" w:cs="宋体"/>
                <w:color w:val="000000"/>
                <w:sz w:val="21"/>
                <w:szCs w:val="21"/>
              </w:rPr>
              <w:t xml:space="preserve">分，最高得</w:t>
            </w:r>
            <w:r>
              <w:rPr>
                <w:rFonts w:ascii="Times New Roman" w:hAnsi="Times New Roman" w:eastAsia="Times New Roman" w:cs="Times New Roman"/>
                <w:color w:val="000000"/>
                <w:sz w:val="21"/>
                <w:szCs w:val="21"/>
              </w:rPr>
              <w:t xml:space="preserve">30</w:t>
            </w:r>
            <w:r>
              <w:rPr>
                <w:rFonts w:ascii="宋体" w:hAnsi="宋体" w:eastAsia="宋体" w:cs="宋体"/>
                <w:color w:val="000000"/>
                <w:sz w:val="21"/>
                <w:szCs w:val="21"/>
              </w:rPr>
              <w:t xml:space="preserve">分。</w:t>
            </w:r>
            <w:r/>
          </w:p>
          <w:p>
            <w:pPr>
              <w:jc w:val="left"/>
              <w:widowControl w:val="off"/>
              <w:rPr>
                <w:rFonts w:hint="default" w:ascii="Times New Roman" w:hAnsi="Times New Roman" w:eastAsia="宋体" w:cs="Times New Roman"/>
                <w:szCs w:val="21"/>
              </w:rPr>
            </w:pPr>
            <w:r>
              <w:rPr>
                <w:rFonts w:ascii="宋体" w:hAnsi="宋体" w:eastAsia="宋体" w:cs="宋体"/>
                <w:color w:val="000000"/>
                <w:sz w:val="21"/>
                <w:szCs w:val="21"/>
              </w:rPr>
              <w:t xml:space="preserve">注：</w:t>
            </w:r>
            <w:r>
              <w:rPr>
                <w:rFonts w:ascii="Times New Roman" w:hAnsi="Times New Roman" w:eastAsia="Times New Roman" w:cs="Times New Roman"/>
                <w:color w:val="000000"/>
                <w:sz w:val="21"/>
                <w:szCs w:val="21"/>
              </w:rPr>
              <w:t xml:space="preserve">1</w:t>
            </w:r>
            <w:r>
              <w:rPr>
                <w:rFonts w:ascii="宋体" w:hAnsi="宋体" w:eastAsia="宋体" w:cs="宋体"/>
                <w:color w:val="000000"/>
                <w:sz w:val="21"/>
                <w:szCs w:val="21"/>
              </w:rPr>
              <w:t xml:space="preserve">、供应商针对本项评标内容在响应文件《技术要求响应及偏离表》中逐条列出响应及偏离情况；</w:t>
            </w:r>
            <w:r>
              <w:rPr>
                <w:rFonts w:ascii="Times New Roman" w:hAnsi="Times New Roman" w:eastAsia="Times New Roman" w:cs="Times New Roman"/>
                <w:color w:val="000000"/>
                <w:sz w:val="21"/>
                <w:szCs w:val="21"/>
              </w:rPr>
              <w:t xml:space="preserve">2</w:t>
            </w:r>
            <w:r>
              <w:rPr>
                <w:rFonts w:ascii="宋体" w:hAnsi="宋体" w:eastAsia="宋体" w:cs="宋体"/>
                <w:color w:val="000000"/>
                <w:sz w:val="21"/>
                <w:szCs w:val="21"/>
              </w:rPr>
              <w:t xml:space="preserve">、采购需求中国家体育总局认可的权威检测机构相关证书登记的内容，以证书登记信息为准，其余需要提供证明材料的以证明材料为准；</w:t>
            </w:r>
            <w:r>
              <w:rPr>
                <w:rFonts w:ascii="Times New Roman" w:hAnsi="Times New Roman" w:eastAsia="Times New Roman" w:cs="Times New Roman"/>
                <w:color w:val="000000"/>
                <w:sz w:val="21"/>
                <w:szCs w:val="21"/>
              </w:rPr>
              <w:t xml:space="preserve">3</w:t>
            </w:r>
            <w:r>
              <w:rPr>
                <w:rFonts w:ascii="宋体" w:hAnsi="宋体" w:eastAsia="宋体" w:cs="宋体"/>
                <w:color w:val="000000"/>
                <w:sz w:val="21"/>
                <w:szCs w:val="21"/>
              </w:rPr>
              <w:t xml:space="preserve">、采购需求中未要求提供证明材料的，以《技术要求响应及偏离表》为准。未按要求提供证明材料或未在技术要求响应及偏离表中列明偏离情况的对应项按负偏离进行扣分处理。</w:t>
            </w:r>
            <w:r>
              <w:rPr>
                <w:rFonts w:ascii="Times New Roman" w:hAnsi="Times New Roman" w:eastAsia="Times New Roman" w:cs="Times New Roman"/>
                <w:color w:val="000000"/>
                <w:sz w:val="21"/>
                <w:szCs w:val="21"/>
              </w:rPr>
              <w:t xml:space="preserve">4</w:t>
            </w:r>
            <w:r>
              <w:rPr>
                <w:rFonts w:ascii="宋体" w:hAnsi="宋体" w:eastAsia="宋体" w:cs="宋体"/>
                <w:color w:val="000000"/>
                <w:sz w:val="21"/>
                <w:szCs w:val="21"/>
              </w:rPr>
              <w:t xml:space="preserve">、</w:t>
            </w:r>
            <w:r>
              <w:rPr>
                <w:rFonts w:ascii="Times New Roman" w:hAnsi="Times New Roman" w:eastAsia="Times New Roman" w:cs="Times New Roman"/>
                <w:color w:val="000000"/>
                <w:sz w:val="21"/>
                <w:szCs w:val="21"/>
              </w:rPr>
              <w:t xml:space="preserve">★</w:t>
            </w:r>
            <w:r>
              <w:rPr>
                <w:rFonts w:ascii="宋体" w:hAnsi="宋体" w:eastAsia="宋体" w:cs="宋体"/>
                <w:color w:val="000000"/>
                <w:sz w:val="21"/>
                <w:szCs w:val="21"/>
              </w:rPr>
              <w:t xml:space="preserve">号部分为实质性相应不接受负偏离，否则作无效投标处理，认定内容均以国家体育总局认可的权威检测机构相关证书登记为准。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企业经营业绩、信誉</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企业业绩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6.00分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投标人具有类似业绩的，每有一个得2分，最高得6分。（业绩须同时提供项目中标通知书、合同和甲方出具的验收合格材料复印件加盖公章，且业绩合同中主要内容、标的、金额等清晰可见，否则该业绩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企业荣誉、证书及综合实力</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4</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提供有效期内的质量体系认证、环境管理体系认证、职业健康安全管理体系认证</w:t>
            </w:r>
            <w:r>
              <w:rPr>
                <w:rFonts w:hint="eastAsia" w:ascii="Times New Roman" w:hAnsi="Times New Roman" w:eastAsia="宋体" w:cs="Times New Roman"/>
                <w:szCs w:val="21"/>
                <w:lang w:eastAsia="zh-CN"/>
              </w:rPr>
              <w:t xml:space="preserve">的</w:t>
            </w:r>
            <w:r>
              <w:rPr>
                <w:rFonts w:hint="default" w:ascii="Times New Roman" w:hAnsi="Times New Roman" w:eastAsia="宋体" w:cs="Times New Roman"/>
                <w:szCs w:val="21"/>
              </w:rPr>
              <w:t xml:space="preserve">每有一个得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分，最高得</w:t>
            </w:r>
            <w:r>
              <w:rPr>
                <w:rFonts w:hint="eastAsia" w:ascii="Times New Roman" w:hAnsi="Times New Roman" w:eastAsia="宋体" w:cs="Times New Roman"/>
                <w:szCs w:val="21"/>
              </w:rPr>
              <w:t xml:space="preserve">3</w:t>
            </w:r>
            <w:r>
              <w:rPr>
                <w:rFonts w:hint="default" w:ascii="Times New Roman" w:hAnsi="Times New Roman" w:eastAsia="宋体" w:cs="Times New Roman"/>
                <w:szCs w:val="21"/>
              </w:rPr>
              <w:t xml:space="preserve">分。</w:t>
            </w:r>
            <w:r/>
          </w:p>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2</w:t>
            </w:r>
            <w:r>
              <w:rPr>
                <w:rFonts w:hint="default" w:ascii="Times New Roman" w:hAnsi="Times New Roman" w:eastAsia="宋体" w:cs="Times New Roman"/>
                <w:szCs w:val="21"/>
              </w:rPr>
              <w:t xml:space="preserve">、投标</w:t>
            </w:r>
            <w:r>
              <w:rPr>
                <w:rFonts w:hint="eastAsia" w:ascii="Times New Roman" w:hAnsi="Times New Roman" w:eastAsia="宋体" w:cs="Times New Roman"/>
                <w:szCs w:val="21"/>
                <w:lang w:val="en-US" w:eastAsia="zh-CN"/>
              </w:rPr>
              <w:t xml:space="preserve">产品</w:t>
            </w:r>
            <w:r>
              <w:rPr>
                <w:rFonts w:hint="default" w:ascii="Times New Roman" w:hAnsi="Times New Roman" w:eastAsia="宋体" w:cs="Times New Roman"/>
                <w:szCs w:val="21"/>
              </w:rPr>
              <w:t xml:space="preserve">获得中国绿色材料标志授权使用证书的得</w:t>
            </w:r>
            <w:r>
              <w:rPr>
                <w:rFonts w:hint="eastAsia" w:ascii="Times New Roman" w:hAnsi="Times New Roman" w:eastAsia="宋体" w:cs="Times New Roman"/>
                <w:szCs w:val="21"/>
              </w:rPr>
              <w:t xml:space="preserve">1</w:t>
            </w:r>
            <w:r>
              <w:rPr>
                <w:rFonts w:hint="default" w:ascii="Times New Roman" w:hAnsi="Times New Roman" w:eastAsia="宋体" w:cs="Times New Roman"/>
                <w:szCs w:val="21"/>
              </w:rPr>
              <w:t xml:space="preserve">分。 </w:t>
            </w:r>
            <w:r/>
          </w:p>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以上提供相关证书材料原件扫描件加盖公章，未提供不得分。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节能环保</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2.00分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restart"/>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项目实施方案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9</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项目实施方案，包括实施项目供货计划、安装工期安排、安装技术人员配备、现场安装流程、安装质量要求、项目验收方案等进行打分，工作内容符合实际、结构严谨、内容完整详实、能够针对采购项目内容要求而细化制定、项目实施运行机制健全且优于采购需求的得</w:t>
            </w:r>
            <w:r>
              <w:rPr>
                <w:rFonts w:ascii="Times New Roman" w:hAnsi="Times New Roman" w:eastAsia="Times New Roman" w:cs="Times New Roman"/>
                <w:color w:val="000000"/>
                <w:sz w:val="21"/>
              </w:rPr>
              <w:t xml:space="preserve">9</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分；有项目实施方案、但方案内容笼统、针对本项目制定未细致、但承诺经过优化可实现采购需求的得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管理力量、技术人员安排</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6</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五、其他要求提供拟投入本项目人员管理及人员配备情况和使用计划进行打分。人员安排充足且合理、管理机构健全程度高、技术人员综合能力强、项目安装期仓储和车辆调度效率高的得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分；人员安排充足、管理机构健全、技术人员配置一般、有安装期暂存点的得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分；人员安排一般、管理机构不全、技术人员配置不到位、项目安装期无暂存点的得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分。本项最高得</w:t>
            </w:r>
            <w:r>
              <w:rPr>
                <w:rFonts w:ascii="Times New Roman" w:hAnsi="Times New Roman" w:eastAsia="Times New Roman" w:cs="Times New Roman"/>
                <w:color w:val="000000"/>
                <w:sz w:val="21"/>
              </w:rPr>
              <w:t xml:space="preserve">6</w:t>
            </w:r>
            <w:r>
              <w:rPr>
                <w:rFonts w:ascii="宋体" w:hAnsi="宋体" w:eastAsia="宋体" w:cs="宋体"/>
                <w:color w:val="000000"/>
                <w:sz w:val="21"/>
              </w:rPr>
              <w:t xml:space="preserve">分，没有内容的不得分。</w:t>
            </w:r>
            <w:r/>
          </w:p>
        </w:tc>
      </w:tr>
      <w:tr>
        <w:trPr/>
        <w:tc>
          <w:tcPr>
            <w:tcBorders>
              <w:top w:val="single" w:color="auto" w:sz="6" w:space="0"/>
              <w:left w:val="single" w:color="auto" w:sz="6" w:space="0"/>
              <w:bottom w:val="single" w:color="auto" w:sz="6" w:space="0"/>
              <w:right w:val="single" w:color="auto" w:sz="6" w:space="0"/>
            </w:tcBorders>
            <w:tcW w:w="0" w:type="auto"/>
            <w:vAlign w:val="center"/>
            <w:vMerge w:val="continue"/>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应急响应方案</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5.00分</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提供应急响应方案，投标人在运输，安装和交付使用后，可能发生的紧急情况具有完善的应急响应方案，投标人须详尽的列明不可预见的情况并提供针对此情况发生后的响应方案，评委会根据采购需求对投标人所投方案内容进行打分，应急响应方案健全且优于采购需求的得</w:t>
            </w:r>
            <w:r>
              <w:rPr>
                <w:rFonts w:ascii="Times New Roman" w:hAnsi="Times New Roman" w:eastAsia="Times New Roman" w:cs="Times New Roman"/>
                <w:color w:val="000000"/>
                <w:sz w:val="21"/>
              </w:rPr>
              <w:t xml:space="preserve">5</w:t>
            </w:r>
            <w:r>
              <w:rPr>
                <w:rFonts w:ascii="宋体" w:hAnsi="宋体" w:eastAsia="宋体" w:cs="宋体"/>
                <w:color w:val="000000"/>
                <w:sz w:val="21"/>
              </w:rPr>
              <w:t xml:space="preserve">分；方案完整、制定的措施较齐全、方案表述有偏差、但不影响实质性意思表达、能够满足采购需求的得</w:t>
            </w:r>
            <w:r>
              <w:rPr>
                <w:rFonts w:ascii="Times New Roman" w:hAnsi="Times New Roman" w:eastAsia="Times New Roman" w:cs="Times New Roman"/>
                <w:color w:val="000000"/>
                <w:sz w:val="21"/>
              </w:rPr>
              <w:t xml:space="preserve">3</w:t>
            </w:r>
            <w:r>
              <w:rPr>
                <w:rFonts w:ascii="宋体" w:hAnsi="宋体" w:eastAsia="宋体" w:cs="宋体"/>
                <w:color w:val="000000"/>
                <w:sz w:val="21"/>
              </w:rPr>
              <w:t xml:space="preserve">分；有应急响应方案、但方案内容笼统、针对本项目制定未细致、但承诺经过优化可实现采购需求的得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widowControl w:val="off"/>
              <w:rPr>
                <w:rFonts w:hint="default" w:ascii="Times New Roman" w:hAnsi="Times New Roman" w:eastAsia="宋体" w:cs="Times New Roman"/>
                <w:szCs w:val="21"/>
              </w:rPr>
            </w:pPr>
            <w:r>
              <w:rPr>
                <w:rFonts w:hint="default" w:ascii="Times New Roman" w:hAnsi="Times New Roman" w:eastAsia="宋体" w:cs="Times New Roman"/>
                <w:szCs w:val="21"/>
              </w:rPr>
              <w:t xml:space="preserve">售后服务</w:t>
            </w:r>
            <w:r/>
          </w:p>
        </w:tc>
        <w:tc>
          <w:tcPr>
            <w:tcBorders>
              <w:top w:val="single" w:color="auto" w:sz="6" w:space="0"/>
              <w:left w:val="single" w:color="auto" w:sz="6" w:space="0"/>
              <w:bottom w:val="single" w:color="auto" w:sz="6" w:space="0"/>
              <w:right w:val="single" w:color="auto" w:sz="6" w:space="0"/>
            </w:tcBorders>
            <w:tcW w:w="886" w:type="dxa"/>
            <w:vAlign w:val="center"/>
            <w:textDirection w:val="lrTb"/>
            <w:noWrap w:val="false"/>
          </w:tcPr>
          <w:p>
            <w:pPr>
              <w:jc w:val="left"/>
              <w:widowControl w:val="off"/>
              <w:rPr>
                <w:rFonts w:hint="default" w:ascii="Times New Roman" w:hAnsi="Times New Roman" w:eastAsia="宋体" w:cs="Times New Roman"/>
                <w:szCs w:val="21"/>
              </w:rPr>
            </w:pPr>
            <w:r>
              <w:rPr>
                <w:rFonts w:hint="eastAsia" w:ascii="Times New Roman" w:hAnsi="Times New Roman" w:eastAsia="宋体" w:cs="Times New Roman"/>
                <w:szCs w:val="21"/>
              </w:rPr>
              <w:t xml:space="preserve">8</w:t>
            </w:r>
            <w:r>
              <w:rPr>
                <w:rFonts w:hint="default" w:ascii="Times New Roman" w:hAnsi="Times New Roman" w:eastAsia="宋体" w:cs="Times New Roman"/>
                <w:szCs w:val="21"/>
              </w:rPr>
              <w:t xml:space="preserve">.00分</w:t>
            </w:r>
            <w:r/>
          </w:p>
        </w:tc>
        <w:tc>
          <w:tcPr>
            <w:tcBorders>
              <w:top w:val="single" w:color="auto" w:sz="6" w:space="0"/>
              <w:left w:val="single" w:color="auto" w:sz="6" w:space="0"/>
              <w:bottom w:val="single" w:color="auto" w:sz="6" w:space="0"/>
              <w:right w:val="single" w:color="auto" w:sz="6" w:space="0"/>
            </w:tcBorders>
            <w:tcW w:w="4430" w:type="dxa"/>
            <w:vAlign w:val="center"/>
            <w:textDirection w:val="lrTb"/>
            <w:noWrap w:val="false"/>
          </w:tcPr>
          <w:p>
            <w:pPr>
              <w:jc w:val="left"/>
              <w:widowControl w:val="off"/>
              <w:rPr>
                <w:rFonts w:hint="default" w:ascii="Times New Roman" w:hAnsi="Times New Roman" w:eastAsia="宋体" w:cs="Times New Roman"/>
                <w:szCs w:val="21"/>
              </w:rPr>
            </w:pPr>
            <w:r>
              <w:rPr>
                <w:rFonts w:ascii="宋体" w:hAnsi="宋体" w:eastAsia="宋体" w:cs="宋体"/>
                <w:color w:val="000000"/>
                <w:sz w:val="21"/>
              </w:rPr>
              <w:t xml:space="preserve">供应商根据招标文件“第四章、采购需求</w:t>
            </w:r>
            <w:r>
              <w:rPr>
                <w:rFonts w:ascii="Times New Roman" w:hAnsi="Times New Roman" w:eastAsia="Times New Roman" w:cs="Times New Roman"/>
                <w:color w:val="000000"/>
                <w:sz w:val="21"/>
              </w:rPr>
              <w:t xml:space="preserve">-</w:t>
            </w:r>
            <w:r>
              <w:rPr>
                <w:rFonts w:ascii="宋体" w:hAnsi="宋体" w:eastAsia="宋体" w:cs="宋体"/>
                <w:color w:val="000000"/>
                <w:sz w:val="21"/>
              </w:rPr>
              <w:t xml:space="preserve">五、其他要求制定售后服务方案：具有完善的售后服务管理体系，提供包含服务范围、响应时间以及质保期满后主要产品、配件优惠方案、完整的售后服务方案、地面处理建议方案等。方案详细、响应及时、服务体系完整的得</w:t>
            </w:r>
            <w:r>
              <w:rPr>
                <w:rFonts w:ascii="Times New Roman" w:hAnsi="Times New Roman" w:eastAsia="Times New Roman" w:cs="Times New Roman"/>
                <w:color w:val="000000"/>
                <w:sz w:val="21"/>
              </w:rPr>
              <w:t xml:space="preserve">8</w:t>
            </w:r>
            <w:r>
              <w:rPr>
                <w:rFonts w:ascii="宋体" w:hAnsi="宋体" w:eastAsia="宋体" w:cs="宋体"/>
                <w:color w:val="000000"/>
                <w:sz w:val="21"/>
              </w:rPr>
              <w:t xml:space="preserve">分；方案详细、服务范围广泛、响应虽有滞后性，服务体系完整，但能基本确保稳定运行的得</w:t>
            </w:r>
            <w:r>
              <w:rPr>
                <w:rFonts w:ascii="Times New Roman" w:hAnsi="Times New Roman" w:eastAsia="Times New Roman" w:cs="Times New Roman"/>
                <w:color w:val="000000"/>
                <w:sz w:val="21"/>
              </w:rPr>
              <w:t xml:space="preserve">4</w:t>
            </w:r>
            <w:r>
              <w:rPr>
                <w:rFonts w:ascii="宋体" w:hAnsi="宋体" w:eastAsia="宋体" w:cs="宋体"/>
                <w:color w:val="000000"/>
                <w:sz w:val="21"/>
              </w:rPr>
              <w:t xml:space="preserve">分；方案粗略、服务范围狭窄、响应滞后、服务体系虽完整，但缺乏有效保障稳定运行的措施的得</w:t>
            </w:r>
            <w:r>
              <w:rPr>
                <w:rFonts w:ascii="Times New Roman" w:hAnsi="Times New Roman" w:eastAsia="Times New Roman" w:cs="Times New Roman"/>
                <w:color w:val="000000"/>
                <w:sz w:val="21"/>
              </w:rPr>
              <w:t xml:space="preserve">1</w:t>
            </w:r>
            <w:r>
              <w:rPr>
                <w:rFonts w:ascii="宋体" w:hAnsi="宋体" w:eastAsia="宋体" w:cs="宋体"/>
                <w:color w:val="000000"/>
                <w:sz w:val="21"/>
              </w:rPr>
              <w:t xml:space="preserve">分，没有内容或其情况不满足招标文件需求的不得分。</w:t>
            </w:r>
            <w:r/>
          </w:p>
        </w:tc>
      </w:tr>
    </w:tbl>
    <w:p>
      <w:pPr>
        <w:rPr>
          <w:rFonts w:hint="eastAsia"/>
        </w:rPr>
      </w:pPr>
      <w:r>
        <w:rPr>
          <w:rFonts w:hint="eastAsia"/>
        </w:rPr>
      </w:r>
      <w:r/>
    </w:p>
    <w:p>
      <w:pPr>
        <w:ind w:firstLine="482"/>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ind w:firstLine="482"/>
        <w:keepLines w:val="0"/>
        <w:keepNext w:val="0"/>
        <w:pageBreakBefore w:val="0"/>
        <w:spacing w:line="400" w:lineRule="exact"/>
        <w:shd w:val="clear" w:color="auto"/>
        <w:widowControl/>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本项目落实的政府采购政策对应以下序号为</w:t>
      </w:r>
      <w:r>
        <w:rPr>
          <w:rFonts w:hint="eastAsia" w:ascii="宋体" w:hAnsi="宋体" w:eastAsia="宋体" w:cs="宋体"/>
          <w:b/>
          <w:bCs/>
          <w:color w:val="auto"/>
          <w:sz w:val="24"/>
          <w:highlight w:val="none"/>
          <w:u w:val="single"/>
        </w:rPr>
        <w:t xml:space="preserve"> 1</w:t>
      </w:r>
      <w:r>
        <w:rPr>
          <w:rFonts w:hint="eastAsia" w:ascii="宋体" w:hAnsi="宋体" w:eastAsia="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val="en-US" w:eastAsia="zh-CN"/>
        </w:rPr>
        <w:t xml:space="preserve">2（1）、3、4</w:t>
      </w:r>
      <w:r>
        <w:rPr>
          <w:rFonts w:hint="eastAsia" w:ascii="宋体" w:hAnsi="宋体" w:eastAsia="宋体" w:cs="宋体"/>
          <w:b/>
          <w:bCs/>
          <w:color w:val="auto"/>
          <w:sz w:val="24"/>
          <w:highlight w:val="none"/>
          <w:u w:val="single"/>
        </w:rPr>
        <w:t xml:space="preserve">  </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1.采购本国货物、工程和服务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val="0"/>
          <w:bCs w:val="0"/>
          <w:color w:val="auto"/>
          <w:sz w:val="24"/>
          <w:highlight w:val="none"/>
          <w:u w:val="single"/>
          <w:lang w:val="en-US" w:eastAsia="zh-CN"/>
        </w:rPr>
        <w:t xml:space="preserve">1</w:t>
      </w:r>
      <w:r>
        <w:rPr>
          <w:rFonts w:hint="eastAsia" w:ascii="宋体" w:hAnsi="宋体" w:eastAsia="宋体" w:cs="宋体"/>
          <w:b w:val="0"/>
          <w:bCs w:val="0"/>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种政策确定本项目落实的中小企业政策：</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z w:val="24"/>
          <w:highlight w:val="none"/>
          <w:lang w:eastAsia="zh-CN"/>
        </w:rPr>
        <w:t xml:space="preserve">（在</w:t>
      </w:r>
      <w:r>
        <w:rPr>
          <w:rFonts w:hint="eastAsia" w:ascii="宋体" w:hAnsi="宋体" w:eastAsia="宋体" w:cs="宋体"/>
          <w:color w:val="auto"/>
          <w:sz w:val="24"/>
          <w:highlight w:val="none"/>
        </w:rPr>
        <w:t xml:space="preserve">投标文件中上传加盖出具单位公章的电子件）。</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允许大中型企业向一家或者多家小微企业分包的采购项目，对于分包意向协议约定小微企业的合同份额占到合同总金额40%以上的，对大中型企业的报价给予5%的扣除，用扣除后的价格参加评审。（是否接受联合体以“项目基本情况”相关内容为准，是否允许大中型企业向一家或者多家小微企业分包以“投标人须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采购需求”相关内容为准。）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rPr>
        <w:t xml:space="preserve">政府采购节能产品、环境标志产品</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财政部发展改革委生态环境部市场监管总局关于调整优化节能产品、环境标志产品政府采购执行机制的通知》（财库〔2019〕9号）、《关于印发节能产品政府采购品目清单的通知》（财库〔2019〕19号）文件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招标人拟采购的产品属于政府强制采购的节能产品品目清单范围的，投标人须提供国家确定的认证机构出具的、处于有效期之内的节能产品认证证书的，否则无效标处理。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（3）招标人拟采购的产品属于优先采购的节能环保品目清单范围的，按以下条件优先采购：</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采购本国产品的支持政策</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highlight w:val="none"/>
          <w:u w:val="single"/>
        </w:rPr>
        <w:t xml:space="preserve">20%</w:t>
      </w:r>
      <w:r>
        <w:rPr>
          <w:rFonts w:hint="eastAsia" w:ascii="宋体" w:hAnsi="宋体" w:eastAsia="宋体" w:cs="宋体"/>
          <w:color w:val="auto"/>
          <w:sz w:val="24"/>
          <w:highlight w:val="none"/>
        </w:rPr>
        <w:t xml:space="preserve">的价格扣除，用扣除后的价格参与评审。</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cs="宋体"/>
          <w:b/>
          <w:bCs/>
          <w:color w:val="auto"/>
          <w:sz w:val="24"/>
          <w:highlight w:val="none"/>
        </w:rPr>
        <w:t xml:space="preserve">80%以上</w:t>
      </w:r>
      <w:r>
        <w:rPr>
          <w:rFonts w:hint="eastAsia" w:ascii="宋体" w:hAnsi="宋体" w:eastAsia="宋体" w:cs="宋体"/>
          <w:color w:val="auto"/>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投标人需按照招标文件的要求提供《关于符合本国产品标准的声明函》，如不提供将不享受本国产品价格评审优惠。</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Style w:val="815"/>
          <w:rFonts w:hint="eastAsia" w:ascii="宋体" w:hAnsi="宋体" w:eastAsia="宋体" w:cs="宋体"/>
          <w:bCs/>
          <w:color w:val="auto"/>
          <w:sz w:val="24"/>
          <w:szCs w:val="21"/>
          <w:highlight w:val="none"/>
          <w:lang w:val="en-US" w:eastAsia="zh-CN" w:bidi="ar-SA"/>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keepLines w:val="0"/>
        <w:keepNext w:val="0"/>
        <w:pageBreakBefore w:val="0"/>
        <w:spacing w:line="400" w:lineRule="exact"/>
        <w:shd w:val="clear" w:color="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val="0"/>
          <w:color w:val="auto"/>
          <w:sz w:val="44"/>
          <w:highlight w:val="none"/>
        </w:rPr>
      </w:pPr>
      <w:r/>
      <w:bookmarkStart w:id="214" w:name="_Toc20454"/>
      <w:r>
        <w:rPr>
          <w:rFonts w:hint="eastAsia" w:ascii="宋体" w:hAnsi="宋体" w:eastAsia="宋体" w:cs="宋体"/>
          <w:b/>
          <w:bCs w:val="0"/>
          <w:color w:val="auto"/>
          <w:sz w:val="44"/>
          <w:highlight w:val="none"/>
        </w:rPr>
        <w:br w:type="page" w:clear="all"/>
      </w:r>
      <w:r/>
    </w:p>
    <w:p>
      <w:pPr>
        <w:pStyle w:val="806"/>
        <w:jc w:val="center"/>
        <w:shd w:val="clear" w:color="auto"/>
        <w:rPr>
          <w:rFonts w:hint="eastAsia" w:ascii="宋体" w:hAnsi="宋体" w:eastAsia="宋体" w:cs="宋体"/>
          <w:b/>
          <w:bCs w:val="0"/>
          <w:color w:val="auto"/>
          <w:sz w:val="44"/>
          <w:highlight w:val="none"/>
        </w:rPr>
      </w:pPr>
      <w:r>
        <w:rPr>
          <w:rFonts w:hint="eastAsia" w:ascii="宋体" w:hAnsi="宋体" w:eastAsia="宋体" w:cs="宋体"/>
          <w:b/>
          <w:bCs w:val="0"/>
          <w:color w:val="auto"/>
          <w:sz w:val="44"/>
          <w:highlight w:val="none"/>
        </w:rPr>
        <w:t xml:space="preserve">第六章  投标文件格式</w:t>
      </w:r>
      <w:bookmarkEnd w:id="214"/>
      <w:r/>
      <w:r/>
    </w:p>
    <w:p>
      <w:pPr>
        <w:jc w:val="center"/>
        <w:shd w:val="clear" w:color="auto"/>
        <w:rPr>
          <w:rFonts w:hint="eastAsia" w:ascii="宋体" w:hAnsi="宋体" w:eastAsia="宋体" w:cs="宋体"/>
          <w:b/>
          <w:color w:val="auto"/>
          <w:sz w:val="72"/>
          <w:highlight w:val="none"/>
        </w:rPr>
      </w:pPr>
      <w:r/>
      <w:bookmarkStart w:id="215" w:name="_Hlt26671244"/>
      <w:r/>
      <w:bookmarkEnd w:id="215"/>
      <w:r/>
      <w:bookmarkStart w:id="216" w:name="_Hlt26955039"/>
      <w:r/>
      <w:bookmarkEnd w:id="216"/>
      <w:r/>
      <w:bookmarkStart w:id="217" w:name="_Toc120614282"/>
      <w:r/>
      <w:bookmarkStart w:id="218" w:name="_Toc49090576"/>
      <w:r/>
      <w:bookmarkStart w:id="219" w:name="_Toc26554094"/>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hd w:val="clear" w:color="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（加盖CA电子公章）</w:t>
      </w:r>
      <w:r/>
    </w:p>
    <w:p>
      <w:pPr>
        <w:shd w:val="clear" w:color="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084"/>
        <w:shd w:val="clear" w:color="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一、投标声明及承诺函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二、投标人基本情况</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三、满足特定资格要求的证明文件（如果设置特定资格要求，则需要提供）</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四、法定代表人身份证明或授权委托书</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六、投标报价明细表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七、中小（微）企业声明函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九、项目组成员</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十、企业业绩</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十一、关于符合本国产品标准的声明函</w:t>
      </w:r>
      <w:r/>
    </w:p>
    <w:p>
      <w:pPr>
        <w:ind w:firstLine="560"/>
        <w:spacing w:line="60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val="en-US" w:eastAsia="zh-CN"/>
        </w:rPr>
        <w:t xml:space="preserve">二</w:t>
      </w:r>
      <w:r>
        <w:rPr>
          <w:rFonts w:hint="eastAsia" w:ascii="宋体" w:hAnsi="宋体" w:eastAsia="宋体" w:cs="宋体"/>
          <w:color w:val="auto"/>
          <w:sz w:val="28"/>
          <w:szCs w:val="28"/>
          <w:highlight w:val="none"/>
        </w:rPr>
        <w:t xml:space="preserve">、投标所需其他材料</w:t>
      </w:r>
      <w:r/>
    </w:p>
    <w:p>
      <w:pPr>
        <w:pStyle w:val="998"/>
        <w:shd w:val="clear" w:color="auto"/>
        <w:rPr>
          <w:rFonts w:hint="eastAsia" w:ascii="宋体" w:hAnsi="宋体" w:eastAsia="宋体" w:cs="宋体"/>
          <w:b/>
          <w:color w:val="auto"/>
          <w:sz w:val="32"/>
          <w:szCs w:val="32"/>
          <w:highlight w:val="none"/>
        </w:rPr>
        <w:outlineLvl w:val="1"/>
      </w:pPr>
      <w:r/>
      <w:bookmarkStart w:id="220" w:name="_Toc23838"/>
      <w:r>
        <w:rPr>
          <w:rFonts w:hint="eastAsia" w:ascii="宋体" w:hAnsi="宋体" w:eastAsia="宋体" w:cs="宋体"/>
          <w:color w:val="auto"/>
          <w:highlight w:val="none"/>
        </w:rPr>
        <w:br w:type="page" w:clear="all"/>
      </w:r>
      <w:bookmarkEnd w:id="220"/>
      <w:r>
        <w:rPr>
          <w:rFonts w:hint="eastAsia" w:ascii="宋体" w:hAnsi="宋体" w:eastAsia="宋体" w:cs="宋体"/>
          <w:b/>
          <w:color w:val="auto"/>
          <w:sz w:val="32"/>
          <w:szCs w:val="32"/>
          <w:highlight w:val="none"/>
        </w:rPr>
        <w:t xml:space="preserve">一、</w:t>
      </w:r>
      <w:bookmarkEnd w:id="217"/>
      <w:r/>
      <w:bookmarkEnd w:id="218"/>
      <w:r/>
      <w:bookmarkEnd w:id="219"/>
      <w:r>
        <w:rPr>
          <w:rFonts w:hint="eastAsia" w:ascii="宋体" w:hAnsi="宋体" w:eastAsia="宋体" w:cs="宋体"/>
          <w:b/>
          <w:color w:val="auto"/>
          <w:sz w:val="32"/>
          <w:szCs w:val="32"/>
          <w:highlight w:val="none"/>
        </w:rPr>
        <w:t xml:space="preserve">投标声明及承诺函</w:t>
      </w:r>
      <w:r/>
    </w:p>
    <w:p>
      <w:pPr>
        <w:pStyle w:val="999"/>
        <w:jc w:val="left"/>
        <w:spacing w:line="500" w:lineRule="exact"/>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（采购单位名称）：</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项目的招标文件，我方在参加本项目招投标活动中，特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如下承诺：</w:t>
      </w:r>
      <w:r/>
    </w:p>
    <w:p>
      <w:pPr>
        <w:pStyle w:val="999"/>
        <w:ind w:firstLine="480"/>
        <w:jc w:val="left"/>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三、我方按招标文件要求提交投标文件，响应招标文件规定的投标有效期；</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四、如果我方的投标文件被接受，我方将</w:t>
      </w:r>
      <w:r>
        <w:rPr>
          <w:rFonts w:hint="eastAsia" w:ascii="宋体" w:hAnsi="宋体" w:eastAsia="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的规定，按期、按质、按量交付采购单位，全面做到履约守信；</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五、我方若违背本声明及承诺约定，经查实，自愿接受招标人及相关主管部门相应的规定处理，并依法承担相应的法律责任。</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六、我方同意招标人、采购代理机构将本声明及承诺函上网公开。</w:t>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9"/>
        <w:ind w:firstLine="480"/>
        <w:jc w:val="left"/>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（加盖CA电子公章）</w:t>
      </w:r>
      <w:r/>
    </w:p>
    <w:p>
      <w:pPr>
        <w:pStyle w:val="999"/>
        <w:ind w:firstLine="480"/>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日期：    年    月   日</w:t>
      </w:r>
      <w:r/>
    </w:p>
    <w:p>
      <w:pPr>
        <w:pStyle w:val="998"/>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二、投标人基本情况</w:t>
      </w:r>
      <w:r/>
    </w:p>
    <w:p>
      <w:pPr>
        <w:pStyle w:val="1000"/>
        <w:jc w:val="center"/>
        <w:shd w:val="clear" w:color="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8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00"/>
              <w:jc w:val="center"/>
              <w:spacing w:line="6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0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00"/>
              <w:ind w:firstLine="1432"/>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00"/>
              <w:jc w:val="center"/>
              <w:spacing w:line="56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00"/>
              <w:jc w:val="center"/>
              <w:spacing w:line="5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提供营业执照等证明材料</w:t>
            </w:r>
            <w:r/>
          </w:p>
        </w:tc>
      </w:tr>
    </w:tbl>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9"/>
        <w:shd w:val="clear" w:color="auto"/>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shd w:val="clear" w:color="auto"/>
        <w:rPr>
          <w:rFonts w:hint="eastAsia" w:ascii="宋体" w:hAnsi="宋体" w:eastAsia="宋体" w:cs="宋体"/>
          <w:i/>
          <w:color w:val="auto"/>
          <w:sz w:val="32"/>
          <w:szCs w:val="32"/>
          <w:highlight w:val="none"/>
          <w:u w:val="singl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三、满足特定资格要求的证明文件（如果设置特定资格要求，则需要提供。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如果本项目申请人的特定资格要求中要求提供的，必须提供。</w:t>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四、法定代表人身份证明或授权委托书</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1.</w:t>
      </w:r>
      <w:r>
        <w:rPr>
          <w:rFonts w:hint="eastAsia" w:ascii="宋体" w:hAnsi="宋体" w:eastAsia="宋体" w:cs="宋体"/>
          <w:b/>
          <w:bCs/>
          <w:color w:val="000000"/>
          <w:sz w:val="28"/>
          <w:szCs w:val="28"/>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单位性质：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成立时间：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日</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经营期限：</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性别：</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年龄：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人名称）的法定代表人。</w:t>
      </w:r>
      <w:r/>
    </w:p>
    <w:p>
      <w:pPr>
        <w:ind w:firstLine="480"/>
        <w:spacing w:line="56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法人</w:t>
      </w:r>
      <w:r>
        <w:rPr>
          <w:rFonts w:hint="eastAsia" w:ascii="宋体" w:hAnsi="宋体" w:eastAsia="宋体" w:cs="宋体"/>
          <w:color w:val="000000"/>
          <w:sz w:val="24"/>
          <w:szCs w:val="24"/>
          <w:highlight w:val="none"/>
        </w:rPr>
        <w:t xml:space="preserve">联系电话：（手机）</w:t>
      </w:r>
      <w:r>
        <w:rPr>
          <w:rFonts w:hint="eastAsia" w:ascii="宋体" w:hAnsi="宋体" w:eastAsia="宋体" w:cs="宋体"/>
          <w:color w:val="000000"/>
          <w:sz w:val="24"/>
          <w:szCs w:val="24"/>
          <w:highlight w:val="none"/>
          <w:u w:val="single"/>
        </w:rPr>
        <w:t xml:space="preserve">                          </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p>
    <w:p>
      <w:pPr>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（法定代表人出席</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的提供，未出席的可不提供。</w:t>
      </w:r>
      <w:r>
        <w:rPr>
          <w:rFonts w:hint="eastAsia" w:ascii="宋体" w:hAnsi="宋体" w:eastAsia="宋体" w:cs="宋体"/>
          <w:b/>
          <w:color w:val="000000"/>
          <w:sz w:val="24"/>
          <w:highlight w:val="none"/>
        </w:rPr>
        <w:t xml:space="preserve">附法定代表人居民身份证</w:t>
      </w: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法定代表人（签字或盖章）：</w:t>
      </w:r>
      <w:r>
        <w:rPr>
          <w:rFonts w:hint="eastAsia" w:ascii="宋体" w:hAnsi="宋体" w:eastAsia="宋体" w:cs="宋体"/>
          <w:color w:val="auto"/>
          <w:sz w:val="24"/>
          <w:szCs w:val="24"/>
          <w:highlight w:val="none"/>
          <w:u w:val="single"/>
        </w:rPr>
        <w:t xml:space="preserve">                            </w:t>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000000"/>
          <w:sz w:val="24"/>
          <w:szCs w:val="24"/>
          <w:highlight w:val="none"/>
        </w:rPr>
        <w:t xml:space="preserve">：（加盖CA电子公章）                                      </w:t>
      </w:r>
      <w:r/>
    </w:p>
    <w:p>
      <w:pPr>
        <w:jc w:val="righ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w:t>
      </w:r>
      <w:r/>
    </w:p>
    <w:p>
      <w:pPr>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firstLine="22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法定</w:t>
      </w:r>
      <w:r>
        <w:rPr>
          <w:rFonts w:hint="eastAsia" w:ascii="宋体" w:hAnsi="宋体" w:eastAsia="宋体" w:cs="宋体"/>
          <w:b/>
          <w:bCs/>
          <w:color w:val="000000"/>
          <w:sz w:val="28"/>
          <w:szCs w:val="28"/>
          <w:highlight w:val="none"/>
          <w:lang w:val="en-US" w:eastAsia="zh-CN"/>
        </w:rPr>
        <w:t xml:space="preserve">授权书</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本授权书声明：____________（投标人名称）授权________________（被授权人的姓名）为我方就项目编号为</w:t>
      </w:r>
      <w:r>
        <w:rPr>
          <w:rFonts w:hint="eastAsia" w:ascii="宋体" w:hAnsi="宋体" w:eastAsia="宋体" w:cs="宋体"/>
          <w:color w:val="auto"/>
          <w:sz w:val="24"/>
          <w:szCs w:val="24"/>
          <w:highlight w:val="none"/>
          <w:u w:val="single"/>
          <w:lang w:eastAsia="zh-CN"/>
        </w:rPr>
        <w:t xml:space="preserve">JSZC-321300-SQCY-G2026-0002</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eastAsia="zh-CN"/>
        </w:rPr>
        <w:t xml:space="preserve">宿迁市2026年（省体育局资助）全民健身器材采购项目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项目名称）采购活动的合法代理人，以本单位名义全权处理一切与该项目采购有关的事务。</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pStyle w:val="100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pStyle w:val="1001"/>
        <w:ind w:firstLine="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pStyle w:val="100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001"/>
        <w:ind w:firstLine="120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01"/>
        <w:ind w:firstLine="120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被授权人（签字或盖章）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u w:val="single"/>
        </w:rPr>
        <w:t xml:space="preserve">                            </w:t>
      </w:r>
      <w:r/>
    </w:p>
    <w:p>
      <w:pPr>
        <w:pStyle w:val="1001"/>
        <w:ind w:firstLine="480"/>
        <w:spacing w:line="48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pStyle w:val="1001"/>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21" w:name="_Hlt26955070"/>
      <w:r/>
      <w:bookmarkEnd w:id="221"/>
      <w:r/>
      <w:bookmarkStart w:id="222" w:name="_格式3__银行出具的资信证明"/>
      <w:r/>
      <w:bookmarkEnd w:id="222"/>
      <w:r/>
      <w:bookmarkStart w:id="223" w:name="_Hlt26671380"/>
      <w:r/>
      <w:bookmarkEnd w:id="223"/>
      <w:r>
        <w:rPr>
          <w:rFonts w:hint="eastAsia" w:ascii="宋体" w:hAnsi="宋体" w:eastAsia="宋体" w:cs="宋体"/>
          <w:color w:val="auto"/>
          <w:sz w:val="24"/>
          <w:szCs w:val="24"/>
          <w:highlight w:val="none"/>
          <w:u w:val="single"/>
        </w:rPr>
        <w:t xml:space="preserve">                                            </w:t>
      </w:r>
      <w:r/>
    </w:p>
    <w:p>
      <w:pPr>
        <w:pStyle w:val="817"/>
        <w:spacing w:line="480" w:lineRule="auto"/>
        <w:shd w:val="clear" w:color="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pStyle w:val="817"/>
        <w:ind w:firstLine="0"/>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1205"/>
        <w:shd w:val="clear" w:color="auto"/>
        <w:rPr>
          <w:rFonts w:hint="eastAsia" w:ascii="宋体" w:hAnsi="宋体" w:eastAsia="宋体" w:cs="宋体"/>
          <w:color w:val="auto"/>
          <w:sz w:val="24"/>
          <w:szCs w:val="20"/>
          <w:highlight w:val="none"/>
        </w:rPr>
        <w:outlineLvl w:val="1"/>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附法定代表人居民身份证</w:t>
      </w:r>
      <w:r>
        <w:rPr>
          <w:rFonts w:hint="eastAsia" w:ascii="宋体" w:hAnsi="宋体" w:eastAsia="宋体" w:cs="宋体"/>
          <w:b/>
          <w:bCs w:val="0"/>
          <w:color w:val="000000"/>
          <w:sz w:val="24"/>
          <w:highlight w:val="none"/>
          <w:lang w:val="en-US" w:eastAsia="zh-CN"/>
        </w:rPr>
        <w:t xml:space="preserve">及</w:t>
      </w:r>
      <w:r>
        <w:rPr>
          <w:rFonts w:hint="eastAsia" w:ascii="宋体" w:hAnsi="宋体" w:eastAsia="宋体" w:cs="宋体"/>
          <w:b/>
          <w:bCs w:val="0"/>
          <w:color w:val="auto"/>
          <w:sz w:val="24"/>
          <w:szCs w:val="24"/>
          <w:highlight w:val="none"/>
        </w:rPr>
        <w:t xml:space="preserve">被授权人</w:t>
      </w:r>
      <w:r>
        <w:rPr>
          <w:rFonts w:hint="eastAsia" w:ascii="宋体" w:hAnsi="宋体" w:eastAsia="宋体" w:cs="宋体"/>
          <w:b/>
          <w:bCs w:val="0"/>
          <w:color w:val="000000"/>
          <w:sz w:val="24"/>
          <w:highlight w:val="none"/>
        </w:rPr>
        <w:t xml:space="preserve">居民身份证</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auto"/>
          <w:sz w:val="24"/>
          <w:highlight w:val="none"/>
        </w:rPr>
        <w:br w:type="page" w:clear="all"/>
      </w:r>
      <w:r>
        <w:rPr>
          <w:rFonts w:hint="eastAsia" w:ascii="宋体" w:hAnsi="宋体" w:eastAsia="宋体" w:cs="宋体"/>
          <w:b/>
          <w:color w:val="auto"/>
          <w:sz w:val="32"/>
          <w:szCs w:val="32"/>
          <w:highlight w:val="none"/>
        </w:rPr>
        <w:t xml:space="preserve">五、开标一览表</w:t>
      </w:r>
      <w:r/>
    </w:p>
    <w:p>
      <w:pPr>
        <w:ind w:firstLine="480"/>
        <w:spacing w:line="48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投标人全称（CA</w:t>
      </w:r>
      <w:r>
        <w:rPr>
          <w:rFonts w:hint="eastAsia" w:ascii="宋体" w:hAnsi="宋体" w:eastAsia="宋体" w:cs="宋体"/>
          <w:color w:val="auto"/>
          <w:sz w:val="24"/>
          <w:szCs w:val="24"/>
          <w:highlight w:val="none"/>
          <w:lang w:val="en-US" w:eastAsia="zh-CN"/>
        </w:rPr>
        <w:t xml:space="preserve">公章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供应商名称</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宿迁市2026年（省体育局资助）全民健身器材采购项目</w:t>
      </w:r>
      <w:r/>
    </w:p>
    <w:p>
      <w:pPr>
        <w:ind w:firstLine="480"/>
        <w:spacing w:line="48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招标编号：</w:t>
      </w:r>
      <w:r>
        <w:rPr>
          <w:rFonts w:hint="eastAsia" w:ascii="宋体" w:hAnsi="宋体" w:eastAsia="宋体" w:cs="宋体"/>
          <w:color w:val="auto"/>
          <w:sz w:val="24"/>
          <w:szCs w:val="24"/>
          <w:highlight w:val="none"/>
          <w:lang w:eastAsia="zh-CN"/>
        </w:rPr>
        <w:t xml:space="preserve">JSZC-321300-SQCY-G2026-0002</w:t>
      </w:r>
      <w:r/>
    </w:p>
    <w:tbl>
      <w:tblPr>
        <w:tblStyle w:val="816"/>
        <w:tblW w:w="9534"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809"/>
      </w:tblGrid>
      <w:tr>
        <w:trPr>
          <w:cantSplit/>
          <w:trHeight w:val="668"/>
        </w:trPr>
        <w:tc>
          <w:tcPr>
            <w:tcW w:w="172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标题</w:t>
            </w:r>
            <w:r/>
          </w:p>
        </w:tc>
        <w:tc>
          <w:tcPr>
            <w:tcW w:w="78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内容</w:t>
            </w:r>
            <w:r/>
          </w:p>
        </w:tc>
      </w:tr>
      <w:tr>
        <w:trPr>
          <w:cantSplit/>
          <w:trHeight w:val="592"/>
        </w:trPr>
        <w:tc>
          <w:tcPr>
            <w:tcW w:w="1725"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元</w:t>
            </w:r>
            <w:r/>
          </w:p>
        </w:tc>
      </w:tr>
      <w:tr>
        <w:trPr>
          <w:cantSplit/>
          <w:trHeight w:val="612"/>
        </w:trPr>
        <w:tc>
          <w:tcPr>
            <w:tcW w:w="1725"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大写</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p>
        </w:tc>
        <w:tc>
          <w:tcPr>
            <w:tcW w:w="7809" w:type="dxa"/>
            <w:vAlign w:val="center"/>
            <w:textDirection w:val="lrTb"/>
            <w:noWrap w:val="false"/>
          </w:tcPr>
          <w:p>
            <w:pPr>
              <w:pStyle w:val="992"/>
              <w:ind w:firstLine="0"/>
              <w:keepLines w:val="0"/>
              <w:keepNext w:val="0"/>
              <w:pageBreakBefore w:val="0"/>
              <w:spacing w:before="0" w:after="0" w:line="56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金额大写（人民币：元）</w:t>
            </w:r>
            <w:r/>
          </w:p>
        </w:tc>
      </w:tr>
    </w:tbl>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sectPr>
          <w:headerReference w:type="default" r:id="rId9"/>
          <w:footerReference w:type="default" r:id="rId14"/>
          <w:footnotePr/>
          <w:endnotePr/>
          <w:type w:val="nextPage"/>
          <w:pgSz w:w="11906" w:h="16838" w:orient="portrait"/>
          <w:pgMar w:top="1417" w:right="1587" w:bottom="1417" w:left="1366" w:header="851" w:footer="907" w:gutter="0"/>
          <w:cols w:num="1" w:sep="0" w:space="720" w:equalWidth="1"/>
          <w:docGrid w:linePitch="360"/>
        </w:sectPr>
      </w:pPr>
      <w:r>
        <w:rPr>
          <w:rFonts w:hint="eastAsia" w:ascii="宋体" w:hAnsi="宋体" w:eastAsia="宋体" w:cs="宋体"/>
          <w:color w:val="auto"/>
          <w:sz w:val="24"/>
          <w:szCs w:val="24"/>
          <w:highlight w:val="none"/>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六、投标报价明细表</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16"/>
        <w:tblW w:w="9915" w:type="dxa"/>
        <w:tblInd w:w="-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890"/>
        <w:gridCol w:w="1080"/>
        <w:gridCol w:w="1245"/>
        <w:gridCol w:w="930"/>
        <w:gridCol w:w="870"/>
        <w:gridCol w:w="1665"/>
        <w:gridCol w:w="1395"/>
      </w:tblGrid>
      <w:tr>
        <w:trPr>
          <w:cantSplit/>
          <w:trHeight w:val="544"/>
        </w:trPr>
        <w:tc>
          <w:tcPr>
            <w:tcW w:w="840"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4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5</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r>
      <w:tr>
        <w:trPr>
          <w:cantSplit/>
          <w:trHeight w:val="294"/>
        </w:trPr>
        <w:tc>
          <w:tcPr>
            <w:tcW w:w="840" w:type="dxa"/>
            <w:vAlign w:val="center"/>
            <w:vMerge w:val="continue"/>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89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标的名称</w:t>
            </w:r>
            <w:r/>
          </w:p>
        </w:tc>
        <w:tc>
          <w:tcPr>
            <w:tcW w:w="108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245" w:type="dxa"/>
            <w:vAlign w:val="center"/>
            <w:textDirection w:val="lrTb"/>
            <w:noWrap w:val="false"/>
          </w:tcPr>
          <w:p>
            <w:pPr>
              <w:jc w:val="both"/>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规格型号</w:t>
            </w:r>
            <w:r/>
          </w:p>
        </w:tc>
        <w:tc>
          <w:tcPr>
            <w:tcW w:w="93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87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6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p>
        </w:tc>
        <w:tc>
          <w:tcPr>
            <w:tcW w:w="139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849"/>
        </w:trPr>
        <w:tc>
          <w:tcPr>
            <w:tcW w:w="84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19"/>
        </w:trPr>
        <w:tc>
          <w:tcPr>
            <w:tcW w:w="840"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1890" w:type="dxa"/>
            <w:vAlign w:val="center"/>
            <w:textDirection w:val="lrTb"/>
            <w:noWrap w:val="false"/>
          </w:tcPr>
          <w:p>
            <w:pP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08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24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930"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70" w:type="dxa"/>
            <w:vAlign w:val="center"/>
            <w:textDirection w:val="lrTb"/>
            <w:noWrap w:val="false"/>
          </w:tcPr>
          <w:p>
            <w:pPr>
              <w:jc w:val="center"/>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tc>
        <w:tc>
          <w:tcPr>
            <w:tcW w:w="166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030"/>
        </w:trPr>
        <w:tc>
          <w:tcPr>
            <w:gridSpan w:val="7"/>
            <w:tcW w:w="8520"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总报价（人民币：    ）</w:t>
            </w:r>
            <w:r/>
          </w:p>
        </w:tc>
        <w:tc>
          <w:tcPr>
            <w:tcW w:w="139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1030"/>
        </w:trPr>
        <w:tc>
          <w:tcPr>
            <w:gridSpan w:val="8"/>
            <w:tcW w:w="9915" w:type="dxa"/>
            <w:vAlign w:val="center"/>
            <w:textDirection w:val="lrTb"/>
            <w:noWrap w:val="false"/>
          </w:tcPr>
          <w:p>
            <w:pP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注：本采购包中提供的符合本国产品标准的产品成本之和占该采购包提供的全部产品成本之和的比例为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w:t>
            </w:r>
            <w:r/>
          </w:p>
        </w:tc>
      </w:tr>
    </w:tbl>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0"/>
        </w:numPr>
        <w:shd w:val="clear" w:color="auto"/>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备注：1.投标报价采用总承包方式，“投标总报价”应包括采购人需求的货物、服务（包含服务过程中的一切费用）、价格，项目在指定地点、环境交付、安装、调试、验收所需费用和所有相关税金费用及为完成整个项目所产生的</w:t>
      </w:r>
      <w:r>
        <w:rPr>
          <w:rFonts w:hint="eastAsia" w:ascii="宋体" w:hAnsi="宋体" w:eastAsia="宋体" w:cs="宋体"/>
          <w:color w:val="auto"/>
          <w:sz w:val="24"/>
          <w:highlight w:val="none"/>
          <w:lang w:eastAsia="zh-CN"/>
        </w:rPr>
        <w:t xml:space="preserve">其他所有</w:t>
      </w:r>
      <w:r>
        <w:rPr>
          <w:rFonts w:hint="eastAsia" w:ascii="宋体" w:hAnsi="宋体" w:eastAsia="宋体" w:cs="宋体"/>
          <w:color w:val="auto"/>
          <w:sz w:val="24"/>
          <w:highlight w:val="none"/>
        </w:rPr>
        <w:t xml:space="preserve">费用。</w:t>
      </w:r>
      <w:r/>
    </w:p>
    <w:p>
      <w:pPr>
        <w:numPr>
          <w:ilvl w:val="0"/>
          <w:numId w:val="0"/>
        </w:numPr>
        <w:ind w:firstLine="720"/>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color w:val="auto"/>
          <w:sz w:val="24"/>
          <w:highlight w:val="none"/>
        </w:rPr>
        <w:t xml:space="preserve">2.“投标总报价”数额应当与“开标一览表”中“报价”数额一致。</w:t>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pStyle w:val="991"/>
        <w:rPr>
          <w:rFonts w:hint="eastAsia" w:ascii="宋体" w:hAnsi="宋体" w:eastAsia="宋体" w:cs="宋体"/>
          <w:b/>
          <w:caps w:val="0"/>
          <w:color w:val="auto"/>
          <w:sz w:val="32"/>
          <w:szCs w:val="32"/>
          <w:lang w:val="en-US" w:eastAsia="zh-CN" w:bidi="ar-SA"/>
        </w:rPr>
      </w:pPr>
      <w:r>
        <w:rPr>
          <w:rFonts w:hint="eastAsia" w:ascii="宋体" w:hAnsi="宋体" w:eastAsia="宋体" w:cs="宋体"/>
          <w:b/>
          <w:caps w:val="0"/>
          <w:color w:val="auto"/>
          <w:sz w:val="32"/>
          <w:szCs w:val="32"/>
          <w:lang w:val="en-US" w:eastAsia="zh-CN" w:bidi="ar-SA"/>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r>
      <w:r/>
    </w:p>
    <w:p>
      <w:pPr>
        <w:numPr>
          <w:ilvl w:val="0"/>
          <w:numId w:val="0"/>
        </w:numPr>
        <w:shd w:val="clear" w:color="auto"/>
        <w:rPr>
          <w:rFonts w:hint="eastAsia" w:ascii="宋体" w:hAnsi="宋体" w:eastAsia="宋体" w:cs="宋体"/>
          <w:b/>
          <w:caps w:val="0"/>
          <w:color w:val="auto"/>
          <w:sz w:val="32"/>
          <w:szCs w:val="32"/>
          <w:lang w:val="en-US" w:eastAsia="zh-CN" w:bidi="ar-SA"/>
        </w:rPr>
        <w:outlineLvl w:val="1"/>
      </w:pPr>
      <w:r>
        <w:rPr>
          <w:rFonts w:hint="eastAsia" w:ascii="宋体" w:hAnsi="宋体" w:eastAsia="宋体" w:cs="宋体"/>
          <w:b/>
          <w:caps w:val="0"/>
          <w:color w:val="auto"/>
          <w:sz w:val="32"/>
          <w:szCs w:val="32"/>
          <w:lang w:val="en-US" w:eastAsia="zh-CN" w:bidi="ar-SA"/>
        </w:rPr>
        <w:t xml:space="preserve">七、中小（微）企业声明函</w:t>
      </w:r>
      <w:r/>
    </w:p>
    <w:p>
      <w:pPr>
        <w:pStyle w:val="1002"/>
        <w:jc w:val="center"/>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02"/>
        <w:jc w:val="center"/>
        <w:spacing w:line="360" w:lineRule="auto"/>
        <w:shd w:val="clear" w:color="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中小企业声明函（货物）</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（项目名称）采购活动，提供的</w:t>
      </w:r>
      <w:r>
        <w:rPr>
          <w:rFonts w:hint="eastAsia" w:ascii="宋体" w:hAnsi="宋体" w:eastAsia="宋体" w:cs="宋体"/>
          <w:b w:val="0"/>
          <w:bCs/>
          <w:color w:val="auto"/>
          <w:sz w:val="24"/>
          <w:highlight w:val="none"/>
          <w:u w:val="single"/>
        </w:rPr>
        <w:t xml:space="preserve">货物全部由符合政策要求的中小企业制造</w:t>
      </w:r>
      <w:r>
        <w:rPr>
          <w:rFonts w:hint="eastAsia" w:ascii="宋体" w:hAnsi="宋体" w:eastAsia="宋体" w:cs="宋体"/>
          <w:b w:val="0"/>
          <w:bCs/>
          <w:color w:val="auto"/>
          <w:sz w:val="24"/>
          <w:highlight w:val="none"/>
        </w:rPr>
        <w:t xml:space="preserve">。相关企业（含签订分包意向协议的中小企业）的具体情况如下：</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3.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          （企业名称）</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4.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pStyle w:val="1002"/>
        <w:ind w:firstLine="480"/>
        <w:keepLines w:val="0"/>
        <w:keepNext w:val="0"/>
        <w:pageBreakBefore w:val="0"/>
        <w:spacing w:line="360" w:lineRule="auto"/>
        <w:shd w:val="clear" w:color="auto"/>
        <w:widowControl/>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5.</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；制造商为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          （中型企业、小型企业、微型企业）；</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36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w:t>
      </w:r>
      <w:r/>
    </w:p>
    <w:p>
      <w:pPr>
        <w:ind w:right="180" w:firstLine="360"/>
        <w:jc w:val="righ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keepLines w:val="0"/>
        <w:keepNext w:val="0"/>
        <w:pageBreakBefore w:val="0"/>
        <w:spacing w:line="360" w:lineRule="auto"/>
        <w:shd w:val="clear" w:color="auto"/>
        <w:widowControl/>
        <w:rPr>
          <w:rFonts w:hint="eastAsia" w:ascii="宋体" w:hAnsi="宋体" w:eastAsia="宋体" w:cs="宋体"/>
          <w:b/>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年___月___日</w:t>
      </w:r>
      <w:r>
        <w:rPr>
          <w:rFonts w:hint="eastAsia" w:ascii="宋体" w:hAnsi="宋体" w:eastAsia="宋体" w:cs="宋体"/>
          <w:color w:val="auto"/>
          <w:szCs w:val="32"/>
          <w:highlight w:val="none"/>
        </w:rPr>
        <w:br w:type="page" w:clear="all"/>
      </w:r>
      <w:r>
        <w:rPr>
          <w:rFonts w:hint="eastAsia" w:ascii="宋体" w:hAnsi="宋体" w:eastAsia="宋体" w:cs="宋体"/>
          <w:b/>
          <w:color w:val="auto"/>
          <w:sz w:val="36"/>
          <w:szCs w:val="36"/>
          <w:highlight w:val="none"/>
          <w:lang w:val="en-US" w:eastAsia="zh-CN" w:bidi="ar-SA"/>
        </w:rPr>
        <w:t xml:space="preserve">中小企业声明函（工程、服务）</w:t>
      </w:r>
      <w:r/>
    </w:p>
    <w:p>
      <w:pPr>
        <w:pStyle w:val="1002"/>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本公司郑重声明，根据《政府采购促进中小企业发展管理办法》（财库〔2020〕46号）的规定，本公司参加</w:t>
      </w:r>
      <w:r>
        <w:rPr>
          <w:rFonts w:hint="eastAsia" w:ascii="宋体" w:hAnsi="宋体" w:eastAsia="宋体" w:cs="宋体"/>
          <w:b w:val="0"/>
          <w:bCs/>
          <w:color w:val="auto"/>
          <w:sz w:val="24"/>
          <w:highlight w:val="none"/>
          <w:u w:val="single"/>
        </w:rPr>
        <w:t xml:space="preserve"> 单位名称  </w:t>
      </w:r>
      <w:r>
        <w:rPr>
          <w:rFonts w:hint="eastAsia" w:ascii="宋体" w:hAnsi="宋体" w:eastAsia="宋体" w:cs="宋体"/>
          <w:b w:val="0"/>
          <w:bCs/>
          <w:color w:val="auto"/>
          <w:sz w:val="24"/>
          <w:highlight w:val="none"/>
        </w:rPr>
        <w:t xml:space="preserve">的（</w:t>
      </w:r>
      <w:r>
        <w:rPr>
          <w:rFonts w:hint="eastAsia" w:ascii="宋体" w:hAnsi="宋体" w:eastAsia="宋体" w:cs="宋体"/>
          <w:b w:val="0"/>
          <w:bCs/>
          <w:color w:val="auto"/>
          <w:sz w:val="24"/>
          <w:highlight w:val="none"/>
          <w:u w:val="single"/>
        </w:rPr>
        <w:t xml:space="preserve">项目名称）</w:t>
      </w:r>
      <w:r>
        <w:rPr>
          <w:rFonts w:hint="eastAsia" w:ascii="宋体" w:hAnsi="宋体" w:eastAsia="宋体" w:cs="宋体"/>
          <w:b w:val="0"/>
          <w:bCs/>
          <w:color w:val="auto"/>
          <w:sz w:val="24"/>
          <w:highlight w:val="none"/>
        </w:rPr>
        <w:t xml:space="preserve"> 采购活动，工程的施工单位全部为符合政策要求的中小企业（或者：服务全部由符合政策要求的中小企业承接）。相关企业（含签订分包意向协议的中小企业）的具体情况如下：</w:t>
      </w:r>
      <w:r/>
    </w:p>
    <w:p>
      <w:pPr>
        <w:pStyle w:val="100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w:t>
      </w:r>
      <w:r>
        <w:rPr>
          <w:rFonts w:hint="eastAsia" w:ascii="宋体" w:hAnsi="宋体" w:eastAsia="宋体" w:cs="宋体"/>
          <w:b w:val="0"/>
          <w:bCs/>
          <w:color w:val="auto"/>
          <w:sz w:val="24"/>
          <w:highlight w:val="none"/>
          <w:vertAlign w:val="superscript"/>
        </w:rPr>
        <w:t xml:space="preserve">1</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color w:val="auto"/>
          <w:sz w:val="24"/>
          <w:highlight w:val="none"/>
          <w:u w:val="single"/>
        </w:rPr>
        <w:t xml:space="preserve">（中型企业、小型企业、微型企业）；</w:t>
      </w:r>
      <w:r/>
    </w:p>
    <w:p>
      <w:pPr>
        <w:pStyle w:val="1002"/>
        <w:ind w:firstLine="480"/>
        <w:spacing w:line="500" w:lineRule="exact"/>
        <w:shd w:val="clear" w:color="auto"/>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 xml:space="preserve">，属于（</w:t>
      </w:r>
      <w:r>
        <w:rPr>
          <w:rFonts w:hint="eastAsia" w:ascii="宋体" w:hAnsi="宋体" w:eastAsia="宋体" w:cs="宋体"/>
          <w:b w:val="0"/>
          <w:bCs/>
          <w:i/>
          <w:color w:val="auto"/>
          <w:sz w:val="24"/>
          <w:highlight w:val="none"/>
          <w:u w:val="single"/>
        </w:rPr>
        <w:t xml:space="preserve">采购文件中明确的所属行业）</w:t>
      </w:r>
      <w:r>
        <w:rPr>
          <w:rFonts w:hint="eastAsia" w:ascii="宋体" w:hAnsi="宋体" w:eastAsia="宋体" w:cs="宋体"/>
          <w:b w:val="0"/>
          <w:bCs/>
          <w:color w:val="auto"/>
          <w:sz w:val="24"/>
          <w:highlight w:val="none"/>
          <w:u w:val="single"/>
        </w:rPr>
        <w:t xml:space="preserve">行业</w:t>
      </w:r>
      <w:r>
        <w:rPr>
          <w:rFonts w:hint="eastAsia" w:ascii="宋体" w:hAnsi="宋体" w:eastAsia="宋体" w:cs="宋体"/>
          <w:b w:val="0"/>
          <w:bCs/>
          <w:color w:val="auto"/>
          <w:sz w:val="24"/>
          <w:highlight w:val="none"/>
        </w:rPr>
        <w:t xml:space="preserve">；承建（承接）企业为</w:t>
      </w:r>
      <w:r>
        <w:rPr>
          <w:rFonts w:hint="eastAsia" w:ascii="宋体" w:hAnsi="宋体" w:eastAsia="宋体" w:cs="宋体"/>
          <w:b w:val="0"/>
          <w:bCs/>
          <w:color w:val="auto"/>
          <w:sz w:val="24"/>
          <w:highlight w:val="none"/>
          <w:u w:val="single"/>
        </w:rPr>
        <w:t xml:space="preserve">（企业名称）   </w:t>
      </w:r>
      <w:r>
        <w:rPr>
          <w:rFonts w:hint="eastAsia" w:ascii="宋体" w:hAnsi="宋体" w:eastAsia="宋体" w:cs="宋体"/>
          <w:b w:val="0"/>
          <w:bCs/>
          <w:color w:val="auto"/>
          <w:sz w:val="24"/>
          <w:highlight w:val="none"/>
        </w:rPr>
        <w:t xml:space="preserve">，从业人员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人，营业收入为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万元，属于</w:t>
      </w:r>
      <w:r>
        <w:rPr>
          <w:rFonts w:hint="eastAsia" w:ascii="宋体" w:hAnsi="宋体" w:eastAsia="宋体" w:cs="宋体"/>
          <w:b w:val="0"/>
          <w:bCs/>
          <w:color w:val="auto"/>
          <w:sz w:val="24"/>
          <w:highlight w:val="none"/>
          <w:u w:val="single"/>
        </w:rPr>
        <w:t xml:space="preserve">（中型企业、小型企业、微型企业）；</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以上企业，不属于大企业的分支机构，不存在控股股东为大企业的情形，也不存在与大企业的负责人为同一人的情形。</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本企业对上述声明内容的真实性负责。如有虚假，将依法承担相应责任。</w:t>
      </w:r>
      <w:r/>
    </w:p>
    <w:p>
      <w:pPr>
        <w:pStyle w:val="1002"/>
        <w:ind w:firstLine="480"/>
        <w:jc w:val="center"/>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企业名称（电子签章）：</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  年  月  日</w:t>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1002"/>
        <w:ind w:firstLine="480"/>
        <w:spacing w:line="500" w:lineRule="exact"/>
        <w:shd w:val="clear" w:color="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从业人员、营业收入、资产总额填报上一年数据，无上一年数据的新成立企业可不填报。</w:t>
      </w:r>
      <w:r/>
    </w:p>
    <w:p>
      <w:pPr>
        <w:jc w:val="center"/>
        <w:spacing w:line="360" w:lineRule="auto"/>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before="240" w:after="240" w:line="4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lang w:eastAsia="zh-CN"/>
        </w:rPr>
        <w:t xml:space="preserve">〔2017〕141号</w:t>
      </w:r>
      <w:r>
        <w:rPr>
          <w:rFonts w:hint="eastAsia" w:ascii="宋体" w:hAnsi="宋体" w:eastAsia="宋体" w:cs="宋体"/>
          <w:color w:val="auto"/>
          <w:sz w:val="24"/>
          <w:highlight w:val="none"/>
        </w:rPr>
        <w:t xml:space="preserve">）的规定，本单位为符合条件的残疾人福利性单位，且本单位参加______单位的采购文件项目编号为______的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shd w:val="clear" w:color="auto"/>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shd w:val="clear" w:color="auto"/>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560" w:lineRule="exact"/>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八、技术要求响应及偏离表</w:t>
      </w:r>
      <w:r/>
    </w:p>
    <w:tbl>
      <w:tblPr>
        <w:tblStyle w:val="816"/>
        <w:tblW w:w="0" w:type="auto"/>
        <w:tblInd w:w="-117"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shd w:val="clear" w:color="auto" w:fill="auto"/>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招标文件内容</w:t>
            </w:r>
            <w:r/>
          </w:p>
        </w:tc>
        <w:tc>
          <w:tcPr>
            <w:shd w:val="clear" w:color="auto" w:fill="auto"/>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rPr>
                <w:rFonts w:hint="eastAsia" w:ascii="宋体" w:hAnsi="宋体" w:eastAsia="宋体" w:cs="宋体"/>
                <w:color w:val="auto"/>
                <w:highlight w:val="none"/>
              </w:rPr>
            </w:pPr>
            <w:r>
              <w:rPr>
                <w:rFonts w:hint="eastAsia" w:ascii="宋体" w:hAnsi="宋体" w:eastAsia="宋体" w:cs="宋体"/>
                <w:color w:val="auto"/>
                <w:sz w:val="28"/>
                <w:highlight w:val="none"/>
              </w:rPr>
              <w:t xml:space="preserve">投标文件内容</w:t>
            </w:r>
            <w:r/>
          </w:p>
        </w:tc>
        <w:tc>
          <w:tcPr>
            <w:shd w:val="clear" w:color="auto" w:fill="auto"/>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偏离内容及说明（</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shd w:val="clear" w:color="auto" w:fill="auto"/>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65"/>
        </w:trPr>
        <w:tc>
          <w:tcPr>
            <w:shd w:val="clear" w:color="auto" w:fill="auto"/>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备注：1.针对采购需求中要求提供证明材料的，以证明材料为准；若《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》填写情况与提供证明材料的内容不一致，以证明材料为准；采购需求中未要求提供证明材料的，以《</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》为准，《</w:t>
      </w:r>
      <w:r>
        <w:rPr>
          <w:rFonts w:hint="eastAsia" w:ascii="宋体" w:hAnsi="宋体" w:eastAsia="宋体" w:cs="宋体"/>
          <w:color w:val="auto"/>
          <w:sz w:val="24"/>
          <w:highlight w:val="none"/>
          <w:lang w:eastAsia="zh-CN"/>
        </w:rPr>
        <w:t xml:space="preserve">技术要求响应及偏离表</w:t>
      </w:r>
      <w:r>
        <w:rPr>
          <w:rFonts w:hint="eastAsia" w:ascii="宋体" w:hAnsi="宋体" w:eastAsia="宋体" w:cs="宋体"/>
          <w:color w:val="auto"/>
          <w:sz w:val="24"/>
          <w:highlight w:val="none"/>
        </w:rPr>
        <w:t xml:space="preserve">》中未列明的，作无效响应处理。</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对采购需求的</w:t>
      </w:r>
      <w:r>
        <w:rPr>
          <w:rFonts w:hint="eastAsia" w:ascii="宋体" w:hAnsi="宋体" w:eastAsia="宋体" w:cs="宋体"/>
          <w:color w:val="auto"/>
          <w:sz w:val="24"/>
          <w:highlight w:val="none"/>
          <w:lang w:eastAsia="zh-CN"/>
        </w:rPr>
        <w:t xml:space="preserve">其他</w:t>
      </w:r>
      <w:r>
        <w:rPr>
          <w:rFonts w:hint="eastAsia" w:ascii="宋体" w:hAnsi="宋体" w:eastAsia="宋体" w:cs="宋体"/>
          <w:color w:val="auto"/>
          <w:sz w:val="24"/>
          <w:highlight w:val="none"/>
        </w:rPr>
        <w:t xml:space="preserve">非实质性要求，投标人按所投产品情况在此表中详细列出偏离情况（包括正偏离、负偏离、无偏离）并说明理由；未列明的均视为未响应招标文件要求。</w:t>
      </w:r>
      <w:r/>
    </w:p>
    <w:p>
      <w:pPr>
        <w:numPr>
          <w:ilvl w:val="0"/>
          <w:numId w:val="0"/>
        </w:numPr>
        <w:ind w:left="0" w:firstLine="0"/>
        <w:spacing w:line="588"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szCs w:val="22"/>
          <w:highlight w:val="none"/>
          <w:lang w:val="en-US" w:eastAsia="zh-CN" w:bidi="ar-SA"/>
        </w:rPr>
        <w:t xml:space="preserve">3.供应商所投产品如与招标文件要求的规格及配置不一致，则须在上表偏离说明中详细注明</w:t>
      </w:r>
      <w:r>
        <w:rPr>
          <w:rFonts w:hint="eastAsia" w:ascii="宋体" w:hAnsi="宋体" w:eastAsia="宋体" w:cs="宋体"/>
          <w:color w:val="auto"/>
          <w:sz w:val="24"/>
          <w:highlight w:val="none"/>
        </w:rPr>
        <w:t xml:space="preserve">。</w:t>
      </w:r>
      <w:r/>
    </w:p>
    <w:p>
      <w:pPr>
        <w:numPr>
          <w:ilvl w:val="0"/>
          <w:numId w:val="0"/>
        </w:numPr>
        <w:ind w:left="0" w:firstLine="0"/>
        <w:spacing w:line="588" w:lineRule="exact"/>
        <w:shd w:val="clear" w:color="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4.行数不够，可自行添加。</w:t>
      </w:r>
      <w:r/>
    </w:p>
    <w:p>
      <w:pPr>
        <w:spacing w:line="56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九、项目组人员</w:t>
      </w:r>
      <w:r/>
    </w:p>
    <w:p>
      <w:pPr>
        <w:pStyle w:val="836"/>
        <w:jc w:val="center"/>
        <w:spacing w:line="600" w:lineRule="exact"/>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项目组成员一览表</w:t>
      </w:r>
      <w:r/>
    </w:p>
    <w:tbl>
      <w:tblPr>
        <w:tblStyle w:val="816"/>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280"/>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jc w:val="center"/>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spacing w:beforeAutospacing="1"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0"/>
                <w:szCs w:val="20"/>
                <w:highlight w:val="none"/>
              </w:rPr>
            </w:pPr>
            <w:r>
              <w:rPr>
                <w:rFonts w:hint="eastAsia" w:ascii="宋体" w:hAnsi="宋体" w:eastAsia="宋体" w:cs="宋体"/>
                <w:color w:val="auto"/>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jc w:val="center"/>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836"/>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003"/>
              <w:ind w:firstLine="560"/>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36"/>
        <w:ind w:firstLine="398"/>
        <w:spacing w:line="460" w:lineRule="exact"/>
        <w:shd w:val="clear" w:color="auto"/>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注：如投标人中标，项目组成员必须按本表承诺人员操作，不得随意更换。按投标文件要求附相关人员证书。</w:t>
      </w:r>
      <w:r/>
    </w:p>
    <w:p>
      <w:pPr>
        <w:pStyle w:val="836"/>
        <w:ind w:firstLine="280"/>
        <w:spacing w:line="500" w:lineRule="exact"/>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4"/>
        <w:spacing w:line="500" w:lineRule="exact"/>
        <w:shd w:val="clear" w:color="auto"/>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24" w:name="_Toc11176"/>
      <w:r>
        <w:rPr>
          <w:rFonts w:hint="eastAsia" w:ascii="宋体" w:hAnsi="宋体" w:eastAsia="宋体" w:cs="宋体"/>
          <w:b/>
          <w:color w:val="auto"/>
          <w:sz w:val="32"/>
          <w:highlight w:val="none"/>
        </w:rPr>
        <w:t xml:space="preserve">十、</w:t>
      </w:r>
      <w:bookmarkEnd w:id="224"/>
      <w:r>
        <w:rPr>
          <w:rFonts w:hint="eastAsia" w:ascii="宋体" w:hAnsi="宋体" w:eastAsia="宋体" w:cs="宋体"/>
          <w:b/>
          <w:color w:val="auto"/>
          <w:sz w:val="32"/>
          <w:highlight w:val="none"/>
        </w:rPr>
        <w:t xml:space="preserve">企业业绩</w:t>
      </w:r>
      <w:r/>
    </w:p>
    <w:p>
      <w:pPr>
        <w:pStyle w:val="1005"/>
        <w:jc w:val="center"/>
        <w:shd w:val="clear" w:color="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16"/>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06"/>
              <w:jc w:val="center"/>
              <w:spacing w:line="560" w:lineRule="exact"/>
              <w:shd w:val="clear" w:color="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05"/>
        <w:shd w:val="clear" w:color="auto"/>
        <w:rPr>
          <w:rFonts w:hint="eastAsia" w:ascii="宋体" w:hAnsi="宋体" w:eastAsia="宋体" w:cs="宋体"/>
          <w:color w:val="auto"/>
          <w:sz w:val="24"/>
          <w:szCs w:val="24"/>
          <w:highlight w:val="none"/>
        </w:rPr>
      </w:pPr>
      <w:r>
        <w:rPr>
          <w:rFonts w:hint="eastAsia" w:ascii="宋体" w:hAnsi="宋体" w:eastAsia="宋体" w:cs="宋体"/>
          <w:b/>
          <w:color w:val="auto"/>
          <w:sz w:val="24"/>
          <w:highlight w:val="none"/>
        </w:rPr>
        <w:t xml:space="preserve">注：请填写此表，并按要求上传业绩资料电子件。</w:t>
      </w:r>
      <w:bookmarkStart w:id="225" w:name="_Toc28140"/>
      <w:r/>
      <w:r/>
    </w:p>
    <w:p>
      <w:pPr>
        <w:pStyle w:val="100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r>
        <w:rPr>
          <w:rFonts w:hint="eastAsia" w:ascii="宋体" w:hAnsi="宋体" w:eastAsia="宋体" w:cs="宋体"/>
          <w:color w:val="auto"/>
          <w:highlight w:val="none"/>
          <w:lang w:val="en-US" w:eastAsia="zh-CN"/>
        </w:rPr>
        <w:t xml:space="preserve">十一、</w:t>
      </w:r>
      <w:bookmarkEnd w:id="225"/>
      <w:r>
        <w:rPr>
          <w:rFonts w:hint="eastAsia" w:ascii="宋体" w:hAnsi="宋体" w:eastAsia="宋体" w:cs="宋体"/>
          <w:b/>
          <w:color w:val="auto"/>
          <w:sz w:val="32"/>
          <w:szCs w:val="32"/>
          <w:highlight w:val="none"/>
        </w:rPr>
        <w:t xml:space="preserve">关于符合本国产品标准的声明函</w:t>
      </w:r>
      <w:r/>
    </w:p>
    <w:p>
      <w:pPr>
        <w:pStyle w:val="1007"/>
        <w:numPr>
          <w:ilvl w:val="0"/>
          <w:numId w:val="0"/>
        </w:numPr>
        <w:shd w:val="clear" w:color="auto"/>
        <w:rPr>
          <w:rFonts w:hint="eastAsia"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2811780</wp:posOffset>
                </wp:positionH>
                <wp:positionV relativeFrom="paragraph">
                  <wp:posOffset>850265</wp:posOffset>
                </wp:positionV>
                <wp:extent cx="816610" cy="147320"/>
                <wp:effectExtent l="635" t="4445" r="1905" b="19685"/>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221.4pt;mso-position-horizontal:absolute;mso-position-vertical-relative:text;margin-top:67.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1133475</wp:posOffset>
                </wp:positionH>
                <wp:positionV relativeFrom="paragraph">
                  <wp:posOffset>824230</wp:posOffset>
                </wp:positionV>
                <wp:extent cx="816610" cy="147320"/>
                <wp:effectExtent l="635" t="4445" r="1905" b="196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89.2pt;mso-position-horizontal:absolute;mso-position-vertical-relative:text;margin-top:6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3978910</wp:posOffset>
                </wp:positionH>
                <wp:positionV relativeFrom="paragraph">
                  <wp:posOffset>591185</wp:posOffset>
                </wp:positionV>
                <wp:extent cx="816610" cy="147320"/>
                <wp:effectExtent l="635" t="4445" r="1905" b="19685"/>
                <wp:wrapNone/>
                <wp:docPr id="18"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313.3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1951355</wp:posOffset>
                </wp:positionH>
                <wp:positionV relativeFrom="paragraph">
                  <wp:posOffset>603885</wp:posOffset>
                </wp:positionV>
                <wp:extent cx="816610" cy="147320"/>
                <wp:effectExtent l="635" t="4445" r="1905" b="19685"/>
                <wp:wrapNone/>
                <wp:docPr id="19"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153.7pt;mso-position-horizontal:absolute;mso-position-vertical-relative:text;margin-top:4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2620010</wp:posOffset>
                </wp:positionH>
                <wp:positionV relativeFrom="paragraph">
                  <wp:posOffset>367030</wp:posOffset>
                </wp:positionV>
                <wp:extent cx="803910" cy="88900"/>
                <wp:effectExtent l="635" t="4445" r="14604" b="20955"/>
                <wp:wrapNone/>
                <wp:docPr id="20" name="直接箭头连接符 52"/>
                <wp:cNvGraphicFramePr/>
                <a:graphic xmlns:a="http://schemas.openxmlformats.org/drawingml/2006/main">
                  <a:graphicData uri="http://schemas.microsoft.com/office/word/2010/wordprocessingShape">
                    <wps:wsp>
                      <wps:cNvPr id="0" name=""/>
                      <wps:cNvSpPr/>
                      <wps:spPr bwMode="auto">
                        <a:xfrm flipV="1">
                          <a:off x="0" y="0"/>
                          <a:ext cx="803910" cy="889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206.3pt;mso-position-horizontal:absolute;mso-position-vertical-relative:text;margin-top:28.9pt;mso-position-vertical:absolute;width:63.3pt;height:7.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1.（产品名称1）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2798445</wp:posOffset>
                </wp:positionH>
                <wp:positionV relativeFrom="paragraph">
                  <wp:posOffset>772795</wp:posOffset>
                </wp:positionV>
                <wp:extent cx="773430" cy="221615"/>
                <wp:effectExtent l="1270" t="4445" r="6350" b="21590"/>
                <wp:wrapNone/>
                <wp:docPr id="21"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6432;o:allowoverlap:true;o:allowincell:true;mso-position-horizontal-relative:text;margin-left:220.3pt;mso-position-horizontal:absolute;mso-position-vertical-relative:text;margin-top:60.8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3896360</wp:posOffset>
                </wp:positionH>
                <wp:positionV relativeFrom="paragraph">
                  <wp:posOffset>525145</wp:posOffset>
                </wp:positionV>
                <wp:extent cx="780415" cy="212725"/>
                <wp:effectExtent l="1270" t="4445" r="18415" b="11430"/>
                <wp:wrapNone/>
                <wp:docPr id="22"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0528;o:allowoverlap:true;o:allowincell:true;mso-position-horizontal-relative:text;margin-left:306.8pt;mso-position-horizontal:absolute;mso-position-vertical-relative:text;margin-top:41.4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1113155</wp:posOffset>
                </wp:positionH>
                <wp:positionV relativeFrom="paragraph">
                  <wp:posOffset>816610</wp:posOffset>
                </wp:positionV>
                <wp:extent cx="816610" cy="147320"/>
                <wp:effectExtent l="635" t="4445" r="1905" b="19685"/>
                <wp:wrapNone/>
                <wp:docPr id="23"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7456;o:allowoverlap:true;o:allowincell:true;mso-position-horizontal-relative:text;margin-left:87.6pt;mso-position-horizontal:absolute;mso-position-vertical-relative:text;margin-top:64.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1939290</wp:posOffset>
                </wp:positionH>
                <wp:positionV relativeFrom="paragraph">
                  <wp:posOffset>578485</wp:posOffset>
                </wp:positionV>
                <wp:extent cx="816610" cy="147320"/>
                <wp:effectExtent l="635" t="4445" r="1905" b="19685"/>
                <wp:wrapNone/>
                <wp:docPr id="24"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71552;o:allowoverlap:true;o:allowincell:true;mso-position-horizontal-relative:text;margin-left:152.7pt;mso-position-horizontal:absolute;mso-position-vertical-relative:text;margin-top:45.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2646045</wp:posOffset>
                </wp:positionH>
                <wp:positionV relativeFrom="paragraph">
                  <wp:posOffset>339725</wp:posOffset>
                </wp:positionV>
                <wp:extent cx="816610" cy="147320"/>
                <wp:effectExtent l="635" t="4445" r="1905" b="19685"/>
                <wp:wrapNone/>
                <wp:docPr id="25"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65408;o:allowoverlap:true;o:allowincell:true;mso-position-horizontal-relative:text;margin-left:208.3pt;mso-position-horizontal:absolute;mso-position-vertical-relative:text;margin-top:26.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562"/>
        <w:jc w:val="both"/>
        <w:spacing w:line="500" w:lineRule="exact"/>
        <w:shd w:val="clear" w:color="auto"/>
        <w:rPr>
          <w:rFonts w:hint="eastAsia" w:ascii="宋体" w:hAnsi="宋体" w:eastAsia="宋体" w:cs="宋体"/>
          <w:color w:val="auto"/>
          <w:sz w:val="20"/>
          <w:highlight w:val="none"/>
        </w:rPr>
      </w:pPr>
      <w:r>
        <w:rPr>
          <w:rFonts w:hint="eastAsia" w:ascii="宋体" w:hAnsi="宋体" w:eastAsia="宋体" w:cs="宋体"/>
          <w:b w:val="0"/>
          <w:bCs/>
          <w:color w:val="auto"/>
          <w:sz w:val="24"/>
          <w:szCs w:val="24"/>
          <w:highlight w:val="none"/>
        </w:rPr>
        <w:t xml:space="preserve">6.用斜线划除的地方无需填写。</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48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8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817"/>
        <w:ind w:firstLine="0"/>
        <w:shd w:val="clear" w:color="auto"/>
        <w:rPr>
          <w:rFonts w:hint="eastAsia" w:ascii="宋体" w:hAnsi="宋体" w:eastAsia="宋体" w:cs="宋体"/>
          <w:color w:val="auto"/>
          <w:sz w:val="24"/>
          <w:highlight w:val="none"/>
        </w:rPr>
      </w:pPr>
      <w:r/>
      <w:bookmarkStart w:id="226" w:name="_Hlt26955066"/>
      <w:r/>
      <w:bookmarkEnd w:id="226"/>
      <w:r/>
      <w:bookmarkStart w:id="227" w:name="_Toc462564146"/>
      <w:r/>
      <w:bookmarkEnd w:id="227"/>
      <w:r/>
      <w:bookmarkStart w:id="228" w:name="_Hlt26609389"/>
      <w:r/>
      <w:bookmarkEnd w:id="228"/>
      <w:r/>
      <w:bookmarkStart w:id="229" w:name="_Hlt26671374"/>
      <w:r/>
      <w:bookmarkEnd w:id="229"/>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ind w:firstLine="480"/>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07"/>
        <w:numPr>
          <w:ilvl w:val="0"/>
          <w:numId w:val="0"/>
        </w:numPr>
        <w:shd w:val="clear" w:color="auto"/>
        <w:rPr>
          <w:rFonts w:hint="eastAsia" w:ascii="宋体" w:hAnsi="宋体" w:eastAsia="宋体" w:cs="宋体"/>
          <w:color w:val="auto"/>
          <w:highlight w:val="none"/>
          <w:lang w:val="en-US" w:eastAsia="zh-CN"/>
        </w:rPr>
        <w:outlineLvl w:val="1"/>
      </w:pPr>
      <w:r/>
      <w:bookmarkStart w:id="230" w:name="_格式2__法定代表人授权书"/>
      <w:r/>
      <w:bookmarkEnd w:id="230"/>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highlight w:val="none"/>
          <w:lang w:val="en-US" w:eastAsia="zh-CN"/>
        </w:rPr>
        <w:t xml:space="preserve">十二、投标所需其他材料</w:t>
      </w:r>
      <w:r/>
    </w:p>
    <w:p>
      <w:pPr>
        <w:pStyle w:val="1008"/>
        <w:ind w:firstLine="560"/>
        <w:spacing w:line="360" w:lineRule="auto"/>
        <w:shd w:val="clear" w:color="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hd w:val="clear" w:color="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40"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一、质疑投标人基本信息</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质疑投标人：</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招标人名称：</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shd w:val="clear" w:color="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1.投标人提出质疑时，应提交质疑函和必要的证明材料。</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3.质疑投标人若对项目的某一分包进行质疑，质疑函中应列明具体分包号。</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spacing w:line="400" w:lineRule="exact"/>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spacing w:line="400" w:lineRule="exact"/>
        <w:shd w:val="clear" w:color="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sectPr>
      <w:headerReference w:type="default" r:id="rId10"/>
      <w:footerReference w:type="default" r:id="rId15"/>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PUA">
    <w:panose1 w:val="0201060003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SimSun">
    <w:panose1 w:val="02010600030101010101"/>
  </w:font>
  <w:font w:name="宋体">
    <w:panose1 w:val="02010600030101010101"/>
  </w:font>
  <w:font w:name="Times New Roman">
    <w:panose1 w:val="02020603050405020304"/>
  </w:font>
  <w:font w:name="楷体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37</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enter" w:pos="4153" w:leader="none"/>
        <w:tab w:val="clear" w:pos="7143" w:leader="none"/>
        <w:tab w:val="right" w:pos="8306" w:leader="none"/>
        <w:tab w:val="clear" w:pos="14287"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101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6"/>
      <w:isLgl w:val="false"/>
      <w:suff w:val="nothing"/>
      <w:lvlText w:val="表%1　"/>
      <w:lvlJc w:val="left"/>
      <w:pPr>
        <w:ind w:left="0" w:firstLine="0"/>
      </w:pPr>
      <w:rPr>
        <w:rFonts w:hint="eastAsia" w:ascii="黑体" w:hAnsi="Times New Roman" w:eastAsia="黑体"/>
        <w:b w:val="0"/>
        <w:i w:val="0"/>
        <w:sz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5"/>
      <w:isLgl w:val="false"/>
      <w:suff w:val="nothing"/>
      <w:lvlText w:val="图%1　"/>
      <w:lvlJc w:val="left"/>
      <w:pPr>
        <w:ind w:left="0"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11"/>
    <w:lvlOverride w:ilvl="0">
      <w:startOverride w:val="1"/>
    </w:lvlOverride>
  </w:num>
  <w:num w:numId="4">
    <w:abstractNumId w:val="0"/>
    <w:lvlOverride w:ilvl="0">
      <w:startOverride w:val="1"/>
    </w:lvlOverride>
  </w:num>
  <w:num w:numId="5">
    <w:abstractNumId w:val="9"/>
    <w:lvlOverride w:ilvl="0">
      <w:startOverride w:val="1"/>
    </w:lvlOverride>
  </w:num>
  <w:num w:numId="6">
    <w:abstractNumId w:val="5"/>
    <w:lvlOverride w:ilvl="0">
      <w:startOverride w:val="2"/>
    </w:lvlOverride>
  </w:num>
  <w:num w:numId="7">
    <w:abstractNumId w:val="10"/>
    <w:lvlOverride w:ilvl="0">
      <w:startOverride w:val="6"/>
    </w:lvlOverride>
  </w:num>
  <w:num w:numId="8">
    <w:abstractNumId w:val="1"/>
    <w:lvlOverride w:ilvl="0">
      <w:startOverride w:val="16"/>
    </w:lvlOverride>
  </w:num>
  <w:num w:numId="9">
    <w:abstractNumId w:val="3"/>
    <w:lvlOverride w:ilvl="0">
      <w:startOverride w:val="23"/>
    </w:lvlOverride>
  </w:num>
  <w:num w:numId="10">
    <w:abstractNumId w:val="7"/>
  </w:num>
  <w:num w:numId="11">
    <w:abstractNumId w:val="8"/>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uiPriority w:val="0"/>
    <w:qFormat/>
    <w:rPr>
      <w:rFonts w:hint="default" w:asciiTheme="minorHAnsi" w:hAnsiTheme="minorHAnsi" w:eastAsiaTheme="minorEastAsia" w:cstheme="minorBidi"/>
      <w:sz w:val="21"/>
      <w:szCs w:val="22"/>
      <w:lang w:val="en-US" w:eastAsia="zh-CN" w:bidi="ar-SA"/>
    </w:rPr>
  </w:style>
  <w:style w:type="paragraph" w:styleId="806">
    <w:name w:val="Heading 1"/>
    <w:basedOn w:val="805"/>
    <w:next w:val="805"/>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4"/>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1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17"/>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47"/>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48"/>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0"/>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1"/>
    <w:uiPriority w:val="9"/>
    <w:unhideWhenUsed/>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0"/>
    <w:semiHidden/>
    <w:qFormat/>
  </w:style>
  <w:style w:type="table" w:styleId="816" w:default="1">
    <w:name w:val="Normal Table"/>
    <w:uiPriority w:val="0"/>
    <w:semiHidden/>
    <w:qFormat/>
    <w:tblPr>
      <w:tblCellMar>
        <w:left w:w="108" w:type="dxa"/>
        <w:top w:w="0" w:type="dxa"/>
        <w:right w:w="108" w:type="dxa"/>
        <w:bottom w:w="0" w:type="dxa"/>
      </w:tblCellMar>
    </w:tblPr>
  </w:style>
  <w:style w:type="paragraph" w:styleId="817">
    <w:name w:val="Normal Indent"/>
    <w:basedOn w:val="805"/>
    <w:next w:val="805"/>
    <w:uiPriority w:val="0"/>
    <w:qFormat/>
    <w:pPr>
      <w:ind w:firstLine="420"/>
    </w:pPr>
  </w:style>
  <w:style w:type="paragraph" w:styleId="818">
    <w:name w:val="toc 7"/>
    <w:basedOn w:val="805"/>
    <w:next w:val="805"/>
    <w:uiPriority w:val="39"/>
    <w:unhideWhenUsed/>
    <w:qFormat/>
    <w:pPr>
      <w:ind w:left="1701" w:right="0" w:firstLine="0"/>
      <w:spacing w:after="57"/>
    </w:pPr>
  </w:style>
  <w:style w:type="paragraph" w:styleId="819">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0">
    <w:name w:val="Body Text"/>
    <w:basedOn w:val="805"/>
    <w:next w:val="805"/>
    <w:uiPriority w:val="0"/>
    <w:qFormat/>
    <w:pPr>
      <w:jc w:val="both"/>
      <w:widowControl w:val="off"/>
    </w:pPr>
    <w:rPr>
      <w:rFonts w:ascii="楷体_GB2312" w:hAnsi="Arial" w:eastAsia="楷体_GB2312" w:cs="Times New Roman"/>
      <w:sz w:val="28"/>
      <w:szCs w:val="28"/>
      <w:lang w:val="en-US" w:eastAsia="zh-CN" w:bidi="ar-SA"/>
    </w:rPr>
  </w:style>
  <w:style w:type="paragraph" w:styleId="821">
    <w:name w:val="toc 5"/>
    <w:basedOn w:val="805"/>
    <w:next w:val="805"/>
    <w:uiPriority w:val="39"/>
    <w:unhideWhenUsed/>
    <w:qFormat/>
    <w:pPr>
      <w:ind w:left="1134" w:right="0" w:firstLine="0"/>
      <w:spacing w:after="57"/>
    </w:pPr>
  </w:style>
  <w:style w:type="paragraph" w:styleId="822">
    <w:name w:val="toc 3"/>
    <w:basedOn w:val="805"/>
    <w:next w:val="805"/>
    <w:uiPriority w:val="39"/>
    <w:unhideWhenUsed/>
    <w:qFormat/>
    <w:pPr>
      <w:ind w:left="567" w:right="0" w:firstLine="0"/>
      <w:spacing w:after="57"/>
    </w:pPr>
  </w:style>
  <w:style w:type="paragraph" w:styleId="823">
    <w:name w:val="Plain Text"/>
    <w:basedOn w:val="805"/>
    <w:uiPriority w:val="0"/>
    <w:qFormat/>
    <w:rPr>
      <w:rFonts w:ascii="宋体" w:hAnsi="Courier New" w:cs="Courier New"/>
    </w:rPr>
  </w:style>
  <w:style w:type="paragraph" w:styleId="824">
    <w:name w:val="toc 8"/>
    <w:basedOn w:val="805"/>
    <w:next w:val="805"/>
    <w:uiPriority w:val="39"/>
    <w:unhideWhenUsed/>
    <w:qFormat/>
    <w:pPr>
      <w:ind w:left="1984" w:right="0" w:firstLine="0"/>
      <w:spacing w:after="57"/>
    </w:pPr>
  </w:style>
  <w:style w:type="paragraph" w:styleId="825">
    <w:name w:val="endnote text"/>
    <w:basedOn w:val="805"/>
    <w:link w:val="989"/>
    <w:uiPriority w:val="99"/>
    <w:semiHidden/>
    <w:unhideWhenUsed/>
    <w:qFormat/>
    <w:pPr>
      <w:spacing w:after="0" w:line="240" w:lineRule="auto"/>
    </w:pPr>
    <w:rPr>
      <w:sz w:val="20"/>
    </w:rPr>
  </w:style>
  <w:style w:type="paragraph" w:styleId="826">
    <w:name w:val="Footer"/>
    <w:basedOn w:val="805"/>
    <w:uiPriority w:val="99"/>
    <w:unhideWhenUsed/>
    <w:qFormat/>
    <w:pPr>
      <w:tabs>
        <w:tab w:val="center" w:pos="7143" w:leader="none"/>
        <w:tab w:val="right" w:pos="14287" w:leader="none"/>
      </w:tabs>
    </w:pPr>
  </w:style>
  <w:style w:type="paragraph" w:styleId="827">
    <w:name w:val="Header"/>
    <w:basedOn w:val="805"/>
    <w:uiPriority w:val="99"/>
    <w:unhideWhenUsed/>
    <w:qFormat/>
    <w:pPr>
      <w:tabs>
        <w:tab w:val="center" w:pos="7143" w:leader="none"/>
        <w:tab w:val="right" w:pos="14287" w:leader="none"/>
      </w:tabs>
    </w:pPr>
  </w:style>
  <w:style w:type="paragraph" w:styleId="828">
    <w:name w:val="toc 1"/>
    <w:basedOn w:val="805"/>
    <w:next w:val="805"/>
    <w:uiPriority w:val="39"/>
    <w:unhideWhenUsed/>
    <w:qFormat/>
    <w:pPr>
      <w:spacing w:after="57"/>
    </w:pPr>
  </w:style>
  <w:style w:type="paragraph" w:styleId="829">
    <w:name w:val="toc 4"/>
    <w:basedOn w:val="805"/>
    <w:next w:val="805"/>
    <w:uiPriority w:val="39"/>
    <w:unhideWhenUsed/>
    <w:qFormat/>
    <w:pPr>
      <w:ind w:left="850" w:right="0" w:firstLine="0"/>
      <w:spacing w:after="57"/>
    </w:pPr>
  </w:style>
  <w:style w:type="paragraph" w:styleId="830">
    <w:name w:val="Subtitle"/>
    <w:basedOn w:val="805"/>
    <w:next w:val="805"/>
    <w:link w:val="855"/>
    <w:uiPriority w:val="11"/>
    <w:qFormat/>
    <w:pPr>
      <w:spacing w:before="200" w:after="200"/>
    </w:pPr>
    <w:rPr>
      <w:sz w:val="24"/>
      <w:szCs w:val="24"/>
    </w:rPr>
  </w:style>
  <w:style w:type="paragraph" w:styleId="831">
    <w:name w:val="footnote text"/>
    <w:basedOn w:val="805"/>
    <w:link w:val="988"/>
    <w:uiPriority w:val="99"/>
    <w:semiHidden/>
    <w:unhideWhenUsed/>
    <w:qFormat/>
    <w:pPr>
      <w:spacing w:after="40" w:line="240" w:lineRule="auto"/>
    </w:pPr>
    <w:rPr>
      <w:sz w:val="18"/>
    </w:rPr>
  </w:style>
  <w:style w:type="paragraph" w:styleId="832">
    <w:name w:val="toc 6"/>
    <w:basedOn w:val="805"/>
    <w:next w:val="805"/>
    <w:uiPriority w:val="39"/>
    <w:unhideWhenUsed/>
    <w:qFormat/>
    <w:pPr>
      <w:ind w:left="1417" w:right="0" w:firstLine="0"/>
      <w:spacing w:after="57"/>
    </w:pPr>
  </w:style>
  <w:style w:type="paragraph" w:styleId="833">
    <w:name w:val="table of figures"/>
    <w:basedOn w:val="805"/>
    <w:next w:val="805"/>
    <w:uiPriority w:val="99"/>
    <w:unhideWhenUsed/>
    <w:qFormat/>
    <w:pPr>
      <w:spacing w:after="0" w:afterAutospacing="0"/>
    </w:pPr>
  </w:style>
  <w:style w:type="paragraph" w:styleId="834">
    <w:name w:val="toc 2"/>
    <w:basedOn w:val="805"/>
    <w:next w:val="805"/>
    <w:uiPriority w:val="39"/>
    <w:unhideWhenUsed/>
    <w:qFormat/>
    <w:pPr>
      <w:ind w:left="283" w:right="0" w:firstLine="0"/>
      <w:spacing w:after="57"/>
    </w:pPr>
  </w:style>
  <w:style w:type="paragraph" w:styleId="835">
    <w:name w:val="toc 9"/>
    <w:basedOn w:val="805"/>
    <w:next w:val="805"/>
    <w:uiPriority w:val="39"/>
    <w:unhideWhenUsed/>
    <w:qFormat/>
    <w:pPr>
      <w:ind w:left="2268" w:right="0" w:firstLine="0"/>
      <w:spacing w:after="57"/>
    </w:pPr>
  </w:style>
  <w:style w:type="paragraph" w:styleId="836">
    <w:name w:val="Normal (Web)"/>
    <w:basedOn w:val="805"/>
    <w:uiPriority w:val="99"/>
    <w:qFormat/>
    <w:pPr>
      <w:spacing w:before="100" w:beforeAutospacing="1" w:after="100" w:afterAutospacing="1"/>
    </w:pPr>
    <w:rPr>
      <w:rFonts w:ascii="宋体" w:hAnsi="宋体" w:cs="宋体"/>
      <w:sz w:val="24"/>
      <w:szCs w:val="24"/>
    </w:rPr>
  </w:style>
  <w:style w:type="paragraph" w:styleId="837">
    <w:name w:val="Title"/>
    <w:basedOn w:val="805"/>
    <w:next w:val="805"/>
    <w:link w:val="854"/>
    <w:uiPriority w:val="10"/>
    <w:qFormat/>
    <w:pPr>
      <w:contextualSpacing/>
      <w:spacing w:before="300" w:after="200"/>
    </w:pPr>
    <w:rPr>
      <w:sz w:val="48"/>
      <w:szCs w:val="48"/>
    </w:rPr>
  </w:style>
  <w:style w:type="paragraph" w:styleId="838">
    <w:name w:val="Body Text First Indent"/>
    <w:basedOn w:val="820"/>
    <w:next w:val="805"/>
    <w:uiPriority w:val="0"/>
    <w:qFormat/>
    <w:pPr>
      <w:ind w:firstLine="200"/>
      <w:spacing w:line="360" w:lineRule="auto"/>
    </w:pPr>
    <w:rPr>
      <w:rFonts w:ascii="仿宋_GB2312" w:eastAsia="仿宋_GB2312"/>
    </w:rPr>
  </w:style>
  <w:style w:type="table" w:styleId="839">
    <w:name w:val="Table Grid"/>
    <w:basedOn w:val="81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0">
    <w:name w:val="endnote reference"/>
    <w:basedOn w:val="815"/>
    <w:uiPriority w:val="99"/>
    <w:semiHidden/>
    <w:unhideWhenUsed/>
    <w:qFormat/>
    <w:rPr>
      <w:vertAlign w:val="superscript"/>
    </w:rPr>
  </w:style>
  <w:style w:type="character" w:styleId="841">
    <w:name w:val="Hyperlink"/>
    <w:uiPriority w:val="99"/>
    <w:unhideWhenUsed/>
    <w:qFormat/>
    <w:rPr>
      <w:color w:val="0026e5" w:themeColor="hyperlink"/>
      <w:u w:val="single"/>
      <w14:textFill>
        <w14:solidFill>
          <w14:schemeClr w14:val="hlink"/>
        </w14:solidFill>
      </w14:textFill>
    </w:rPr>
  </w:style>
  <w:style w:type="character" w:styleId="842">
    <w:name w:val="footnote reference"/>
    <w:basedOn w:val="815"/>
    <w:uiPriority w:val="99"/>
    <w:unhideWhenUsed/>
    <w:qFormat/>
    <w:rPr>
      <w:vertAlign w:val="superscript"/>
    </w:rPr>
  </w:style>
  <w:style w:type="character" w:styleId="843" w:customStyle="1">
    <w:name w:val="Heading 1 Char"/>
    <w:basedOn w:val="815"/>
    <w:uiPriority w:val="9"/>
    <w:qFormat/>
    <w:rPr>
      <w:rFonts w:ascii="Arial" w:hAnsi="Arial" w:eastAsia="Arial" w:cs="Arial"/>
      <w:sz w:val="40"/>
      <w:szCs w:val="40"/>
    </w:rPr>
  </w:style>
  <w:style w:type="character" w:styleId="844" w:customStyle="1">
    <w:name w:val="Heading 2 Char"/>
    <w:basedOn w:val="815"/>
    <w:link w:val="807"/>
    <w:uiPriority w:val="9"/>
    <w:qFormat/>
    <w:rPr>
      <w:rFonts w:ascii="Arial" w:hAnsi="Arial" w:eastAsia="Arial" w:cs="Arial"/>
      <w:sz w:val="34"/>
    </w:rPr>
  </w:style>
  <w:style w:type="character" w:styleId="845" w:customStyle="1">
    <w:name w:val="Heading 3 Char"/>
    <w:basedOn w:val="815"/>
    <w:uiPriority w:val="9"/>
    <w:qFormat/>
    <w:rPr>
      <w:rFonts w:ascii="Arial" w:hAnsi="Arial" w:eastAsia="Arial" w:cs="Arial"/>
      <w:sz w:val="30"/>
      <w:szCs w:val="30"/>
    </w:rPr>
  </w:style>
  <w:style w:type="character" w:styleId="846" w:customStyle="1">
    <w:name w:val="Heading 4 Char"/>
    <w:basedOn w:val="815"/>
    <w:uiPriority w:val="9"/>
    <w:qFormat/>
    <w:rPr>
      <w:rFonts w:ascii="Arial" w:hAnsi="Arial" w:eastAsia="Arial" w:cs="Arial"/>
      <w:b/>
      <w:bCs/>
      <w:sz w:val="26"/>
      <w:szCs w:val="26"/>
    </w:rPr>
  </w:style>
  <w:style w:type="character" w:styleId="847" w:customStyle="1">
    <w:name w:val="Heading 5 Char"/>
    <w:basedOn w:val="815"/>
    <w:link w:val="810"/>
    <w:uiPriority w:val="9"/>
    <w:qFormat/>
    <w:rPr>
      <w:rFonts w:ascii="Arial" w:hAnsi="Arial" w:eastAsia="Arial" w:cs="Arial"/>
      <w:b/>
      <w:bCs/>
      <w:sz w:val="24"/>
      <w:szCs w:val="24"/>
    </w:rPr>
  </w:style>
  <w:style w:type="character" w:styleId="848" w:customStyle="1">
    <w:name w:val="Heading 6 Char"/>
    <w:basedOn w:val="815"/>
    <w:link w:val="811"/>
    <w:uiPriority w:val="9"/>
    <w:qFormat/>
    <w:rPr>
      <w:rFonts w:ascii="Arial" w:hAnsi="Arial" w:eastAsia="Arial" w:cs="Arial"/>
      <w:b/>
      <w:bCs/>
      <w:sz w:val="22"/>
      <w:szCs w:val="22"/>
    </w:rPr>
  </w:style>
  <w:style w:type="character" w:styleId="849" w:customStyle="1">
    <w:name w:val="Heading 7 Char"/>
    <w:basedOn w:val="815"/>
    <w:link w:val="812"/>
    <w:uiPriority w:val="9"/>
    <w:qFormat/>
    <w:rPr>
      <w:rFonts w:ascii="Arial" w:hAnsi="Arial" w:eastAsia="Arial" w:cs="Arial"/>
      <w:b/>
      <w:bCs/>
      <w:i/>
      <w:iCs/>
      <w:sz w:val="22"/>
      <w:szCs w:val="22"/>
    </w:rPr>
  </w:style>
  <w:style w:type="character" w:styleId="850" w:customStyle="1">
    <w:name w:val="Heading 8 Char"/>
    <w:basedOn w:val="815"/>
    <w:link w:val="813"/>
    <w:uiPriority w:val="9"/>
    <w:qFormat/>
    <w:rPr>
      <w:rFonts w:ascii="Arial" w:hAnsi="Arial" w:eastAsia="Arial" w:cs="Arial"/>
      <w:i/>
      <w:iCs/>
      <w:sz w:val="22"/>
      <w:szCs w:val="22"/>
    </w:rPr>
  </w:style>
  <w:style w:type="character" w:styleId="851" w:customStyle="1">
    <w:name w:val="Heading 9 Char"/>
    <w:basedOn w:val="815"/>
    <w:link w:val="814"/>
    <w:uiPriority w:val="9"/>
    <w:qFormat/>
    <w:rPr>
      <w:rFonts w:ascii="Arial" w:hAnsi="Arial" w:eastAsia="Arial" w:cs="Arial"/>
      <w:i/>
      <w:iCs/>
      <w:sz w:val="21"/>
      <w:szCs w:val="21"/>
    </w:rPr>
  </w:style>
  <w:style w:type="paragraph" w:styleId="852">
    <w:name w:val="List Paragraph"/>
    <w:basedOn w:val="805"/>
    <w:uiPriority w:val="34"/>
    <w:qFormat/>
    <w:pPr>
      <w:contextualSpacing/>
      <w:ind w:left="720"/>
    </w:pPr>
  </w:style>
  <w:style w:type="paragraph" w:styleId="853">
    <w:name w:val="No Spacing"/>
    <w:uiPriority w:val="1"/>
    <w:qFormat/>
    <w:pPr>
      <w:spacing w:before="0" w:after="0" w:line="240" w:lineRule="auto"/>
    </w:pPr>
    <w:rPr>
      <w:rFonts w:hint="default" w:asciiTheme="minorHAnsi" w:hAnsiTheme="minorHAnsi" w:eastAsiaTheme="minorEastAsia" w:cstheme="minorBidi"/>
    </w:rPr>
  </w:style>
  <w:style w:type="character" w:styleId="854" w:customStyle="1">
    <w:name w:val="Title Char"/>
    <w:basedOn w:val="815"/>
    <w:link w:val="837"/>
    <w:uiPriority w:val="10"/>
    <w:qFormat/>
    <w:rPr>
      <w:sz w:val="48"/>
      <w:szCs w:val="48"/>
    </w:rPr>
  </w:style>
  <w:style w:type="character" w:styleId="855" w:customStyle="1">
    <w:name w:val="Subtitle Char"/>
    <w:basedOn w:val="815"/>
    <w:link w:val="830"/>
    <w:uiPriority w:val="11"/>
    <w:qFormat/>
    <w:rPr>
      <w:sz w:val="24"/>
      <w:szCs w:val="24"/>
    </w:rPr>
  </w:style>
  <w:style w:type="paragraph" w:styleId="856">
    <w:name w:val="Quote"/>
    <w:basedOn w:val="805"/>
    <w:next w:val="805"/>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5"/>
    <w:next w:val="805"/>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15"/>
    <w:uiPriority w:val="99"/>
    <w:qFormat/>
  </w:style>
  <w:style w:type="character" w:styleId="861" w:customStyle="1">
    <w:name w:val="Footer Char"/>
    <w:basedOn w:val="815"/>
    <w:uiPriority w:val="99"/>
    <w:qFormat/>
  </w:style>
  <w:style w:type="character" w:styleId="862" w:customStyle="1">
    <w:name w:val="Caption Char"/>
    <w:uiPriority w:val="99"/>
    <w:qFormat/>
  </w:style>
  <w:style w:type="table" w:styleId="863" w:customStyle="1">
    <w:name w:val="Table Grid Light"/>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1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1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1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1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1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1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1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81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81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81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81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81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1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1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1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81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1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1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1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1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1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1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1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1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1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1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1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1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1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81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81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81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81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81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1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81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1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1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1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1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1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81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81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81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81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81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1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1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1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1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1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1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1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81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81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81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81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81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1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1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1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1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1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1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81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1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81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81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81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81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81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81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1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81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81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81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81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81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Footnote Text Char"/>
    <w:link w:val="831"/>
    <w:uiPriority w:val="99"/>
    <w:qFormat/>
    <w:rPr>
      <w:sz w:val="18"/>
    </w:rPr>
  </w:style>
  <w:style w:type="character" w:styleId="989" w:customStyle="1">
    <w:name w:val="Endnote Text Char"/>
    <w:link w:val="825"/>
    <w:uiPriority w:val="99"/>
    <w:qFormat/>
    <w:rPr>
      <w:sz w:val="20"/>
    </w:rPr>
  </w:style>
  <w:style w:type="paragraph" w:styleId="990" w:customStyle="1">
    <w:name w:val="TOC Heading"/>
    <w:uiPriority w:val="39"/>
    <w:unhideWhenUsed/>
    <w:qFormat/>
    <w:rPr>
      <w:rFonts w:hint="default" w:asciiTheme="minorHAnsi" w:hAnsiTheme="minorHAnsi" w:eastAsiaTheme="minorEastAsia" w:cstheme="minorBidi"/>
    </w:rPr>
  </w:style>
  <w:style w:type="paragraph" w:styleId="991" w:customStyle="1">
    <w:name w:val="正文文本缩进11"/>
    <w:basedOn w:val="805"/>
    <w:next w:val="805"/>
    <w:uiPriority w:val="0"/>
    <w:qFormat/>
    <w:pPr>
      <w:ind w:firstLine="225"/>
    </w:pPr>
    <w:rPr>
      <w:rFonts w:ascii="仿宋_GB2312" w:eastAsia="仿宋_GB2312"/>
      <w:sz w:val="32"/>
    </w:rPr>
  </w:style>
  <w:style w:type="paragraph" w:styleId="992" w:customStyle="1">
    <w:name w:val="普通正文"/>
    <w:basedOn w:val="805"/>
    <w:uiPriority w:val="0"/>
    <w:qFormat/>
    <w:pPr>
      <w:ind w:firstLine="480"/>
      <w:spacing w:before="120" w:after="120" w:line="360" w:lineRule="auto"/>
    </w:pPr>
    <w:rPr>
      <w:rFonts w:ascii="Arial" w:hAnsi="Arial"/>
      <w:sz w:val="24"/>
      <w:szCs w:val="24"/>
    </w:rPr>
  </w:style>
  <w:style w:type="paragraph" w:styleId="993" w:customStyle="1">
    <w:name w:val="正文空2字"/>
    <w:basedOn w:val="994"/>
    <w:uiPriority w:val="99"/>
    <w:qFormat/>
    <w:pPr>
      <w:ind w:firstLine="640"/>
      <w:spacing w:line="560" w:lineRule="exact"/>
      <w:widowControl w:val="off"/>
    </w:pPr>
    <w:rPr>
      <w:rFonts w:ascii="仿宋_GB2312" w:hAnsi="仿宋_GB2312" w:cs="仿宋_GB2312"/>
      <w:lang w:val="zh-TW"/>
    </w:rPr>
  </w:style>
  <w:style w:type="paragraph" w:styleId="994" w:customStyle="1">
    <w:name w:val="左对齐正文"/>
    <w:uiPriority w:val="99"/>
    <w:qFormat/>
    <w:rPr>
      <w:rFonts w:hint="default" w:ascii="Calibri" w:hAnsi="Calibri" w:eastAsia="仿宋_GB2312" w:cs="Calibri"/>
      <w:sz w:val="32"/>
      <w:szCs w:val="32"/>
      <w:lang w:val="en-US" w:eastAsia="zh-CN" w:bidi="ar-SA"/>
    </w:rPr>
  </w:style>
  <w:style w:type="paragraph" w:styleId="995" w:customStyle="1">
    <w:name w:val="首行缩进"/>
    <w:basedOn w:val="805"/>
    <w:uiPriority w:val="0"/>
    <w:qFormat/>
    <w:pPr>
      <w:ind w:firstLine="480"/>
    </w:pPr>
    <w:rPr>
      <w:rFonts w:ascii="Times New Roman" w:hAnsi="Times New Roman" w:cs="Times New Roman"/>
      <w:lang w:val="zh-CN"/>
    </w:rPr>
  </w:style>
  <w:style w:type="table" w:styleId="996" w:customStyle="1">
    <w:name w:val="网格型1"/>
    <w:basedOn w:val="997"/>
    <w:uiPriority w:val="0"/>
    <w:qFormat/>
    <w:pPr>
      <w:jc w:val="both"/>
      <w:widowControl w:val="off"/>
    </w:pPr>
    <w:tblPr/>
  </w:style>
  <w:style w:type="table" w:styleId="997" w:customStyle="1">
    <w:name w:val="普通表格1"/>
    <w:uiPriority w:val="99"/>
    <w:unhideWhenUsed/>
    <w:qFormat/>
    <w:tblPr/>
  </w:style>
  <w:style w:type="paragraph" w:styleId="9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1" w:customStyle="1">
    <w:name w:val="Char"/>
    <w:basedOn w:val="805"/>
    <w:uiPriority w:val="0"/>
    <w:qFormat/>
    <w:pPr>
      <w:ind w:firstLine="200"/>
      <w:tabs>
        <w:tab w:val="left" w:pos="360" w:leader="none"/>
      </w:tabs>
    </w:pPr>
    <w:rPr>
      <w:sz w:val="28"/>
      <w:szCs w:val="30"/>
    </w:rPr>
  </w:style>
  <w:style w:type="paragraph" w:styleId="1002" w:customStyle="1">
    <w:name w:val="Normal_12_0"/>
    <w:uiPriority w:val="0"/>
    <w:qFormat/>
    <w:rPr>
      <w:rFonts w:hint="default" w:ascii="黑体" w:hAnsi="黑体" w:eastAsia="黑体" w:cs="Times New Roman"/>
      <w:b/>
      <w:sz w:val="32"/>
      <w:szCs w:val="24"/>
      <w:lang w:val="en-US" w:eastAsia="zh-CN" w:bidi="ar-SA"/>
    </w:rPr>
  </w:style>
  <w:style w:type="paragraph" w:styleId="1003" w:customStyle="1">
    <w:name w:val="正文_12_0_0_0_0"/>
    <w:basedOn w:val="805"/>
    <w:uiPriority w:val="0"/>
    <w:qFormat/>
    <w:rPr>
      <w:rFonts w:ascii="Times New Roman" w:hAnsi="Times New Roman"/>
      <w:szCs w:val="24"/>
    </w:rPr>
  </w:style>
  <w:style w:type="paragraph" w:styleId="100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06"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Normal_20"/>
    <w:uiPriority w:val="0"/>
    <w:qFormat/>
    <w:rPr>
      <w:rFonts w:hint="default" w:ascii="黑体" w:hAnsi="黑体" w:eastAsia="黑体" w:cs="黑体"/>
      <w:b/>
      <w:sz w:val="32"/>
      <w:szCs w:val="24"/>
      <w:lang w:val="en-US" w:eastAsia="zh-CN" w:bidi="ar-SA"/>
    </w:rPr>
  </w:style>
  <w:style w:type="paragraph" w:styleId="100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09" w:customStyle="1">
    <w:name w:val="font11"/>
    <w:basedOn w:val="815"/>
    <w:uiPriority w:val="0"/>
    <w:qFormat/>
    <w:rPr>
      <w:rFonts w:hint="eastAsia" w:ascii="宋体" w:hAnsi="宋体" w:eastAsia="宋体" w:cs="宋体"/>
      <w:color w:val="000000"/>
      <w:sz w:val="20"/>
      <w:szCs w:val="20"/>
      <w:u w:val="none"/>
    </w:rPr>
  </w:style>
  <w:style w:type="character" w:styleId="1010" w:customStyle="1">
    <w:name w:val="font01"/>
    <w:basedOn w:val="815"/>
    <w:uiPriority w:val="0"/>
    <w:qFormat/>
    <w:rPr>
      <w:rFonts w:hint="default" w:ascii="Arial" w:hAnsi="Arial" w:cs="Arial"/>
      <w:color w:val="000000"/>
      <w:sz w:val="20"/>
      <w:szCs w:val="20"/>
      <w:u w:val="none"/>
    </w:rPr>
  </w:style>
  <w:style w:type="paragraph" w:styleId="1011" w:customStyle="1">
    <w:name w:val="普通(网站)1"/>
    <w:basedOn w:val="805"/>
    <w:uiPriority w:val="0"/>
    <w:qFormat/>
    <w:pPr>
      <w:jc w:val="left"/>
      <w:spacing w:beforeAutospacing="1" w:afterAutospacing="1"/>
    </w:pPr>
    <w:rPr>
      <w:sz w:val="24"/>
    </w:rPr>
  </w:style>
  <w:style w:type="paragraph" w:styleId="1012" w:customStyle="1">
    <w:name w:val="章标题"/>
    <w:next w:val="1013"/>
    <w:uiPriority w:val="0"/>
    <w:qFormat/>
    <w:pPr>
      <w:jc w:val="both"/>
      <w:outlineLvl w:val="1"/>
    </w:pPr>
    <w:rPr>
      <w:rFonts w:hint="default" w:ascii="黑体" w:hAnsi="Times New Roman" w:eastAsia="黑体" w:cs="Times New Roman"/>
      <w:sz w:val="21"/>
      <w:szCs w:val="22"/>
      <w:lang w:val="en-US" w:eastAsia="zh-CN" w:bidi="ar-SA"/>
    </w:rPr>
  </w:style>
  <w:style w:type="paragraph" w:styleId="1013" w:customStyle="1">
    <w:name w:val="段"/>
    <w:uiPriority w:val="0"/>
    <w:qFormat/>
    <w:pPr>
      <w:ind w:firstLine="420"/>
      <w:jc w:val="both"/>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14" w:customStyle="1">
    <w:name w:val="一级条标题"/>
    <w:next w:val="1013"/>
    <w:uiPriority w:val="0"/>
    <w:qFormat/>
    <w:pPr>
      <w:outlineLvl w:val="2"/>
    </w:pPr>
    <w:rPr>
      <w:rFonts w:hint="default" w:ascii="黑体" w:hAnsi="Times New Roman" w:eastAsia="黑体" w:cs="Times New Roman"/>
      <w:sz w:val="21"/>
      <w:szCs w:val="21"/>
      <w:lang w:val="en-US" w:eastAsia="zh-CN" w:bidi="ar-SA"/>
    </w:rPr>
  </w:style>
  <w:style w:type="paragraph" w:styleId="1015" w:customStyle="1">
    <w:name w:val="正文图标题"/>
    <w:next w:val="1013"/>
    <w:uiPriority w:val="0"/>
    <w:qFormat/>
    <w:pPr>
      <w:numPr>
        <w:ilvl w:val="0"/>
        <w:numId w:val="1"/>
      </w:numPr>
      <w:jc w:val="center"/>
    </w:pPr>
    <w:rPr>
      <w:rFonts w:hint="default" w:ascii="黑体" w:hAnsi="Times New Roman" w:eastAsia="黑体" w:cs="Times New Roman"/>
      <w:sz w:val="21"/>
      <w:lang w:val="en-US" w:eastAsia="zh-CN" w:bidi="ar-SA"/>
    </w:rPr>
  </w:style>
  <w:style w:type="paragraph" w:styleId="1016" w:customStyle="1">
    <w:name w:val="正文表标题"/>
    <w:next w:val="1013"/>
    <w:uiPriority w:val="0"/>
    <w:qFormat/>
    <w:pPr>
      <w:numPr>
        <w:ilvl w:val="0"/>
        <w:numId w:val="2"/>
      </w:numPr>
      <w:jc w:val="center"/>
    </w:pPr>
    <w:rPr>
      <w:rFonts w:hint="default" w:ascii="黑体" w:hAnsi="Times New Roman" w:eastAsia="黑体" w:cs="Times New Roman"/>
      <w:sz w:val="21"/>
      <w:lang w:val="en-US" w:eastAsia="zh-CN" w:bidi="ar-SA"/>
    </w:rPr>
  </w:style>
  <w:style w:type="paragraph" w:styleId="1017" w:customStyle="1">
    <w:name w:val="二级条标题"/>
    <w:basedOn w:val="1014"/>
    <w:next w:val="1013"/>
    <w:uiPriority w:val="0"/>
    <w:qFormat/>
    <w:pPr>
      <w:spacing w:before="50" w:after="50"/>
      <w:outlineLvl w:val="3"/>
    </w:pPr>
    <w:rPr>
      <w:rFonts w:ascii="黑体" w:hAnsi="Times New Roman" w:eastAsia="黑体" w:cs="Times New Roman"/>
      <w:sz w:val="21"/>
      <w:szCs w:val="21"/>
      <w:lang w:val="en-US" w:eastAsia="zh-CN" w:bidi="ar-SA"/>
    </w:rPr>
  </w:style>
  <w:style w:type="paragraph" w:styleId="1018" w:customStyle="1">
    <w:name w:val="三级条标题"/>
    <w:basedOn w:val="1017"/>
    <w:next w:val="1013"/>
    <w:uiPriority w:val="0"/>
    <w:qFormat/>
    <w:pPr>
      <w:spacing w:before="50" w:after="50"/>
      <w:outlineLvl w:val="4"/>
    </w:pPr>
    <w:rPr>
      <w:rFonts w:ascii="黑体" w:hAnsi="Times New Roman" w:eastAsia="黑体" w:cs="Times New Roman"/>
      <w:sz w:val="21"/>
      <w:szCs w:val="21"/>
      <w:lang w:val="en-US" w:eastAsia="zh-CN" w:bidi="ar-SA"/>
    </w:rPr>
  </w:style>
  <w:style w:type="character" w:styleId="1019" w:customStyle="1">
    <w:name w:val="二级条标题 Char"/>
    <w:uiPriority w:val="0"/>
    <w:qFormat/>
    <w:rPr>
      <w:rFonts w:ascii="黑体" w:eastAsia="黑体" w:cs="黑体"/>
      <w:sz w:val="21"/>
      <w:szCs w:val="21"/>
      <w:lang w:val="en-US" w:eastAsia="zh-CN" w:bidi="ar-SA"/>
    </w:rPr>
  </w:style>
  <w:style w:type="paragraph" w:styleId="1020" w:customStyle="1">
    <w:name w:val="正文1"/>
    <w:basedOn w:val="1021"/>
    <w:uiPriority w:val="0"/>
    <w:qFormat/>
    <w:pPr>
      <w:ind w:left="420" w:firstLine="527"/>
      <w:spacing w:before="120" w:line="360" w:lineRule="auto"/>
    </w:pPr>
    <w:rPr>
      <w:rFonts w:ascii="宋体" w:hAnsi="宋体"/>
    </w:rPr>
  </w:style>
  <w:style w:type="paragraph" w:styleId="1021" w:customStyle="1">
    <w:name w:val="正文11"/>
    <w:next w:val="10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无间隔11"/>
    <w:uiPriority w:val="0"/>
    <w:qFormat/>
    <w:rPr>
      <w:rFonts w:hint="default" w:ascii="Times New Roman" w:hAnsi="Times New Roman" w:eastAsia="宋体" w:cs="Times New Roman"/>
      <w:sz w:val="22"/>
      <w:szCs w:val="22"/>
      <w:lang w:val="en-US" w:eastAsia="en-US" w:bidi="ar-SA"/>
    </w:rPr>
  </w:style>
  <w:style w:type="paragraph" w:styleId="1023" w:customStyle="1">
    <w:name w:val="附录标识"/>
    <w:next w:val="1013"/>
    <w:uiPriority w:val="0"/>
    <w:qFormat/>
    <w:pPr>
      <w:jc w:val="center"/>
      <w:keepNext/>
      <w:spacing w:before="640" w:after="280"/>
      <w:shd w:val="clear" w:color="ffffff" w:fill="ffffff"/>
      <w:widowControl/>
      <w:tabs>
        <w:tab w:val="left" w:pos="6405" w:leader="none"/>
      </w:tabs>
      <w:outlineLvl w:val="0"/>
    </w:pPr>
    <w:rPr>
      <w:rFonts w:hint="default" w:ascii="黑体" w:hAnsi="Times New Roman" w:eastAsia="黑体" w:cs="Times New Roman"/>
      <w:sz w:val="20"/>
      <w:szCs w:val="20"/>
      <w:lang w:val="en-US" w:eastAsia="zh-CN" w:bidi="ar-SA"/>
    </w:rPr>
  </w:style>
  <w:style w:type="paragraph" w:styleId="1024" w:customStyle="1">
    <w:name w:val="附录章标题"/>
    <w:next w:val="1013"/>
    <w:uiPriority w:val="0"/>
    <w:qFormat/>
    <w:pPr>
      <w:jc w:val="both"/>
      <w:outlineLvl w:val="1"/>
    </w:pPr>
    <w:rPr>
      <w:rFonts w:hint="default" w:ascii="黑体" w:hAnsi="Times New Roman" w:eastAsia="黑体" w:cs="Times New Roman"/>
      <w:sz w:val="21"/>
      <w:lang w:val="en-US" w:eastAsia="zh-CN" w:bidi="ar-SA"/>
    </w:rPr>
  </w:style>
  <w:style w:type="paragraph" w:styleId="1025" w:customStyle="1">
    <w:name w:val="附录图标题"/>
    <w:next w:val="1013"/>
    <w:uiPriority w:val="0"/>
    <w:qFormat/>
    <w:pPr>
      <w:jc w:val="center"/>
      <w:widowControl w:val="off"/>
      <w:tabs>
        <w:tab w:val="left" w:pos="363" w:leader="none"/>
      </w:tabs>
    </w:pPr>
    <w:rPr>
      <w:rFonts w:hint="default" w:ascii="黑体" w:hAnsi="Times New Roman" w:eastAsia="黑体" w:cs="Times New Roman"/>
      <w:sz w:val="21"/>
      <w:szCs w:val="21"/>
      <w:lang w:val="en-US" w:eastAsia="zh-CN" w:bidi="ar-SA"/>
    </w:rPr>
  </w:style>
  <w:style w:type="paragraph" w:styleId="1026" w:customStyle="1">
    <w:name w:val="附录一级条标题"/>
    <w:basedOn w:val="1024"/>
    <w:next w:val="1013"/>
    <w:uiPriority w:val="0"/>
    <w:qFormat/>
    <w:pPr>
      <w:jc w:val="both"/>
      <w:tabs>
        <w:tab w:val="left" w:pos="360" w:leader="none"/>
      </w:tabs>
      <w:outlineLvl w:val="2"/>
    </w:pPr>
    <w:rPr>
      <w:rFonts w:ascii="黑体" w:hAnsi="Times New Roman" w:eastAsia="黑体" w:cs="Times New Roman"/>
      <w:sz w:val="21"/>
      <w:lang w:val="en-US" w:eastAsia="zh-CN" w:bidi="ar-SA"/>
    </w:rPr>
  </w:style>
  <w:style w:type="paragraph" w:styleId="1027" w:customStyle="1">
    <w:name w:val="正文文本首行缩进1"/>
    <w:basedOn w:val="820"/>
    <w:uiPriority w:val="0"/>
    <w:qFormat/>
    <w:pPr>
      <w:ind w:firstLine="420"/>
      <w:jc w:val="left"/>
      <w:spacing w:after="120"/>
      <w:widowControl/>
    </w:pPr>
    <w:rPr>
      <w:rFonts w:ascii="Times New Roman" w:hAnsi="Times New Roman" w:eastAsia="仿宋_GB2312" w:cs="Times New Roman"/>
      <w:sz w:val="21"/>
      <w:szCs w:val="32"/>
      <w:lang w:val="en-US" w:eastAsia="zh-CN" w:bidi="ar-SA"/>
    </w:rPr>
  </w:style>
  <w:style w:type="paragraph" w:styleId="1028" w:customStyle="1">
    <w:name w:val="正文4"/>
    <w:uiPriority w:val="0"/>
    <w:qFormat/>
    <w:rPr>
      <w:rFonts w:ascii="Tahoma" w:hAnsi="Tahoma" w:eastAsia="微软雅黑" w:cs="Times New Roman"/>
      <w:lang w:val="en-US" w:eastAsia="zh-CN" w:bidi="ar-SA"/>
    </w:rPr>
  </w:style>
  <w:style w:type="paragraph" w:styleId="1029" w:customStyle="1">
    <w:name w:val="正文_0_1"/>
    <w:uiPriority w:val="0"/>
    <w:qFormat/>
    <w:pPr>
      <w:jc w:val="both"/>
      <w:widowControl w:val="off"/>
    </w:pPr>
    <w:rPr>
      <w:rFonts w:ascii="Calibri" w:hAnsi="Calibri" w:eastAsia="宋体" w:cs="Times New Roman"/>
      <w:lang w:val="en-US" w:eastAsia="zh-CN" w:bidi="ar-SA"/>
    </w:rPr>
  </w:style>
  <w:style w:type="paragraph" w:styleId="1030" w:customStyle="1">
    <w:name w:val="Body Text First Indent"/>
    <w:uiPriority w:val="99"/>
    <w:unhideWhenUsed/>
    <w:qFormat/>
    <w:pPr>
      <w:ind w:firstLine="420"/>
      <w:spacing w:after="120"/>
    </w:pPr>
    <w:rPr>
      <w:rFonts w:hint="default" w:ascii="黑体" w:hAnsi="黑体" w:eastAsia="黑体" w:cs="黑体"/>
      <w:b/>
      <w:sz w:val="32"/>
      <w:szCs w:val="24"/>
      <w:lang w:val="en-US" w:eastAsia="zh-CN" w:bidi="ar-SA"/>
    </w:rPr>
  </w:style>
  <w:style w:type="paragraph" w:styleId="1031" w:customStyle="1">
    <w:name w:val="Body Text"/>
    <w:uiPriority w:val="99"/>
    <w:unhideWhenUsed/>
    <w:qFormat/>
    <w:pPr>
      <w:spacing w:after="120"/>
    </w:pPr>
    <w:rPr>
      <w:rFonts w:hint="default" w:ascii="黑体" w:hAnsi="黑体" w:eastAsia="黑体" w:cs="黑体"/>
      <w:b/>
      <w:sz w:val="32"/>
      <w:szCs w:val="24"/>
      <w:lang w:val="en-US" w:eastAsia="zh-CN" w:bidi="ar-SA"/>
    </w:rPr>
  </w:style>
  <w:style w:type="paragraph" w:styleId="1032" w:customStyle="1">
    <w:name w:val="正文4_0"/>
    <w:uiPriority w:val="0"/>
    <w:qFormat/>
    <w:rPr>
      <w:rFonts w:ascii="Tahoma" w:hAnsi="Tahoma" w:eastAsia="微软雅黑" w:cs="Times New Roman"/>
      <w:lang w:val="en-US" w:eastAsia="zh-CN" w:bidi="ar-SA"/>
    </w:rPr>
  </w:style>
  <w:style w:type="paragraph" w:styleId="1033" w:customStyle="1">
    <w:name w:val="正文_16"/>
    <w:uiPriority w:val="0"/>
    <w:qFormat/>
    <w:pPr>
      <w:jc w:val="both"/>
      <w:widowControl w:val="off"/>
    </w:pPr>
    <w:rPr>
      <w:rFonts w:ascii="Times New Roman" w:hAnsi="Times New Roman" w:eastAsia="宋体" w:cs="Calibri"/>
      <w:sz w:val="21"/>
      <w:szCs w:val="22"/>
      <w:lang w:val="en-US" w:eastAsia="zh-CN" w:bidi="ar-SA"/>
    </w:rPr>
  </w:style>
  <w:style w:type="paragraph" w:styleId="1034" w:customStyle="1">
    <w:name w:val="正文文本1"/>
    <w:next w:val="805"/>
    <w:uiPriority w:val="0"/>
    <w:qFormat/>
    <w:pPr>
      <w:jc w:val="both"/>
      <w:widowControl w:val="off"/>
    </w:pPr>
    <w:rPr>
      <w:rFonts w:hint="default" w:ascii="楷体_GB2312" w:hAnsi="Arial" w:eastAsia="楷体_GB2312" w:cs="Times New Roman"/>
      <w:sz w:val="28"/>
      <w:szCs w:val="28"/>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7ed6c6ad-c63c-4ed7-9504-2df7151ddcff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54DEDBED</paraID>
      <start xmlns="http://schemas.wps.cn/vas-ai-hub/contract-review">131</start>
      <end xmlns="http://schemas.wps.cn/vas-ai-hub/contract-review">133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cc06d656-1fb5-4716-be80-3d0c356e3475</errorID>
      <errorWord xmlns="http://schemas.wps.cn/vas-ai-hub/contract-review">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子文</item>
      </candidateList>
      <explain xmlns="http://schemas.wps.cn/vas-ai-hub/contract-review"/>
      <paraID xmlns="http://schemas.wps.cn/vas-ai-hub/contract-review">65B2E549</paraID>
      <start xmlns="http://schemas.wps.cn/vas-ai-hub/contract-review">161</start>
      <end xmlns="http://schemas.wps.cn/vas-ai-hub/contract-review">162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3963fc3f-0bc8-4a42-9e86-df14704dc046</errorID>
      <errorWord xmlns="http://schemas.wps.cn/vas-ai-hub/contract-review">做无效投标</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作无效投标</item>
      </candidateList>
      <explain xmlns="http://schemas.wps.cn/vas-ai-hub/contract-review"/>
      <paraID xmlns="http://schemas.wps.cn/vas-ai-hub/contract-review">71BD33F5</paraID>
      <start xmlns="http://schemas.wps.cn/vas-ai-hub/contract-review">68</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52930a3c-13a3-4dd1-b9cd-d5567a09024e</errorID>
      <errorWord xmlns="http://schemas.wps.cn/vas-ai-hub/contract-review">规定的属无效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规定的属于无效</item>
      </candidateList>
      <explain xmlns="http://schemas.wps.cn/vas-ai-hub/contract-review"/>
      <paraID xmlns="http://schemas.wps.cn/vas-ai-hub/contract-review">57DC4894</paraID>
      <start xmlns="http://schemas.wps.cn/vas-ai-hub/contract-review">19</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6c07b99f-6285-4218-9c99-e63b5ed3efb4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220183EC</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cecc5554-dec2-430f-b1f6-316539fea0e4</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47914E27</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e3c5f96b-371b-42a8-84a2-e16d3d2a64ad</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16B4F197</paraID>
      <start xmlns="http://schemas.wps.cn/vas-ai-hub/contract-review">40</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feb7b0f2-70c4-4893-9267-e75463d8e1a4</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应当</item>
      </candidateList>
      <explain xmlns="http://schemas.wps.cn/vas-ai-hub/contract-review"/>
      <paraID xmlns="http://schemas.wps.cn/vas-ai-hub/contract-review">418338CC</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20d9235c-ece3-482e-8403-594e49f51201</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5AAE9D94</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b3d44617-da2e-42ea-b7ea-52a8256b8274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eb1a6480-d846-4cbb-a35e-e8cdae40e536</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469F9C5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17e2230d-7cd8-453d-98dc-8ce5e9aa5fe9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856FE4A</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f34d25bf-629f-4f65-9636-de795cb57434</errorID>
      <errorWord xmlns="http://schemas.wps.cn/vas-ai-hub/contract-review">【2024】12号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〔2024〕12号</item>
      </candidateList>
      <explain xmlns="http://schemas.wps.cn/vas-ai-hub/contract-review">发文字号格式错误。</explain>
      <paraID xmlns="http://schemas.wps.cn/vas-ai-hub/contract-review">212616CA</paraID>
      <start xmlns="http://schemas.wps.cn/vas-ai-hub/contract-review">61</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a8196b29-a3e0-4641-a146-096b03ed2d40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3D49EED4</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ba97475c-f937-4874-94f5-1ddcb7da3d40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5108659A</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6ea0e7e3-9ad9-4f82-b885-232b7e6098f3</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4D2BCCAE</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598cf63a-5507-4c79-abbc-70fdf723e487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9BCF33</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72cba55f-8240-4667-9f03-60425ba6393e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6C865EBC</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fa043da2-954e-45cd-b083-6b15c7109249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BAC51A4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9142ce0e-261e-4c9e-9a66-f1e730ec98e0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5901D572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91f2267f-546a-4ece-9978-c39f2b42a14b</errorID>
      <errorWord xmlns="http://schemas.wps.cn/vas-ai-hub/contract-review">桔红色</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橘红色</item>
      </candidateList>
      <explain xmlns="http://schemas.wps.cn/vas-ai-hub/contract-review">存在发音相同字词的误用。</explain>
      <paraID xmlns="http://schemas.wps.cn/vas-ai-hub/contract-review"> D80A257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7cf1917d-ed3f-46f5-abc8-1ce999f8a9bd</errorID>
      <errorWord xmlns="http://schemas.wps.cn/vas-ai-hub/contract-review">包复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包覆</item>
      </candidateList>
      <explain xmlns="http://schemas.wps.cn/vas-ai-hub/contract-review">存在发音相同字词的误用。</explain>
      <paraID xmlns="http://schemas.wps.cn/vas-ai-hub/contract-review">2D868C75</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ea6ec3ef-82db-4acf-9c0e-a34ef6945dad</errorID>
      <errorWord xmlns="http://schemas.wps.cn/vas-ai-hub/contract-review">皱折</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皱褶</item>
      </candidateList>
      <explain xmlns="http://schemas.wps.cn/vas-ai-hub/contract-review">存在发音相同字词的误用。</explain>
      <paraID xmlns="http://schemas.wps.cn/vas-ai-hub/contract-review">32FA1141</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722a8842-b2ed-467c-9e73-cc6920d1b14b</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62BCF42F</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d8d34b03-a3a1-451a-99e2-040e969e669e</errorID>
      <errorWord xmlns="http://schemas.wps.cn/vas-ai-hub/contract-review">形位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定位</item>
      </candidateList>
      <explain xmlns="http://schemas.wps.cn/vas-ai-hub/contract-review"/>
      <paraID xmlns="http://schemas.wps.cn/vas-ai-hub/contract-review">4DA0841C</paraID>
      <start xmlns="http://schemas.wps.cn/vas-ai-hub/contract-review">29</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c0e9297f-e193-40da-a9d1-c04d3489fc83</errorID>
      <errorWord xmlns="http://schemas.wps.cn/vas-ai-hub/contract-review">不匀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不均</item>
      </candidateList>
      <explain xmlns="http://schemas.wps.cn/vas-ai-hub/contract-review"/>
      <paraID xmlns="http://schemas.wps.cn/vas-ai-hub/contract-review">39DD4E99</paraID>
      <start xmlns="http://schemas.wps.cn/vas-ai-hub/contract-review">31</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7c407848-b0af-4ffb-a65c-842adb7d5030</errorID>
      <errorWord xmlns="http://schemas.wps.cn/vas-ai-hub/contract-review">进厂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进场</item>
      </candidateList>
      <explain xmlns="http://schemas.wps.cn/vas-ai-hub/contract-review"/>
      <paraID xmlns="http://schemas.wps.cn/vas-ai-hub/contract-review">69E1B86C</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823bad17-cb27-455a-a948-da3407fcfd52</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 8E1A3FD</paraID>
      <start xmlns="http://schemas.wps.cn/vas-ai-hub/contract-review">56</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a2d44a10-48c1-4589-8841-37b1a4f9cabd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6E0915A9</paraID>
      <start xmlns="http://schemas.wps.cn/vas-ai-hub/contract-review">14</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64de98ab-5623-4891-b88a-4c592cad4b07</errorID>
      <errorWord xmlns="http://schemas.wps.cn/vas-ai-hub/contract-review">笔划</errorWord>
      <group xmlns="http://schemas.wps.cn/vas-ai-hub/contract-review">L1_Word</group>
      <groupName xmlns="http://schemas.wps.cn/vas-ai-hub/contract-review">字词问题</groupName>
      <ability xmlns="http://schemas.wps.cn/vas-ai-hub/contract-review">L2_Variant</ability>
      <abilityName xmlns="http://schemas.wps.cn/vas-ai-hub/contract-review">异形词</abilityName>
      <candidateList xmlns="http://schemas.wps.cn/vas-ai-hub/contract-review">
        <item xmlns="http://schemas.wps.cn/vas-ai-hub/contract-review">笔画</item>
      </candidateList>
      <explain xmlns="http://schemas.wps.cn/vas-ai-hub/contract-review">词汇[笔划]的规范词形写作[笔画]。</explain>
      <paraID xmlns="http://schemas.wps.cn/vas-ai-hub/contract-review">6E0915A9</paraID>
      <start xmlns="http://schemas.wps.cn/vas-ai-hub/contract-review">46</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6af2785d-fc16-4e88-88c7-fbc81567da88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85571E7</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6a995e69-ac52-4e76-aeac-91c2fbf21ef3</errorID>
      <errorWord xmlns="http://schemas.wps.cn/vas-ai-hub/contract-review">其它为</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其他为</item>
      </candidateList>
      <explain xmlns="http://schemas.wps.cn/vas-ai-hub/contract-review">词汇[其它为]为不规范表述或旧称，其规范书面表述为[其他为]。</explain>
      <paraID xmlns="http://schemas.wps.cn/vas-ai-hub/contract-review">37EE4465</paraID>
      <start xmlns="http://schemas.wps.cn/vas-ai-hub/contract-review">117</start>
      <end xmlns="http://schemas.wps.cn/vas-ai-hub/contract-review">120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d0809b6f-c9ec-4084-bcb1-56a591b18d81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67C39296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f7ed3efb-36ae-4f55-b96f-be5b5abb5122</errorID>
      <errorWord xmlns="http://schemas.wps.cn/vas-ai-hub/contract-review">个</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扇</item>
      </candidateList>
      <explain xmlns="http://schemas.wps.cn/vas-ai-hub/contract-review">请检查“个”是否为量词使用错误，建议修改为“扇”。</explain>
      <paraID xmlns="http://schemas.wps.cn/vas-ai-hub/contract-review"> 81D5557</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a1f2086b-1076-4eeb-994a-d081115d50a1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20BEBE3</paraID>
      <start xmlns="http://schemas.wps.cn/vas-ai-hub/contract-review">230</start>
      <end xmlns="http://schemas.wps.cn/vas-ai-hub/contract-review">232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7f0660c5-9a93-4635-9a89-da738a93e0d2</errorID>
      <errorWord xmlns="http://schemas.wps.cn/vas-ai-hub/contract-review">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呈</item>
      </candidateList>
      <explain xmlns="http://schemas.wps.cn/vas-ai-hub/contract-review">存在发音相同字词的误用。</explain>
      <paraID xmlns="http://schemas.wps.cn/vas-ai-hub/contract-review">50B45F62</paraID>
      <start xmlns="http://schemas.wps.cn/vas-ai-hub/contract-review">145</start>
      <end xmlns="http://schemas.wps.cn/vas-ai-hub/contract-review">146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ef18e32b-a910-4109-b99b-3925f25c8118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0955611f-c396-4bdd-a83e-422f2527bf28</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52</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ef888c56-b0b7-4d01-a0ba-80cf21d57d3b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6FC5C08A</paraID>
      <start xmlns="http://schemas.wps.cn/vas-ai-hub/contract-review">65</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4c3ff9fa-15af-4ecf-9789-f0c923a00503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）严</item>
      </candidateList>
      <explain xmlns="http://schemas.wps.cn/vas-ai-hub/contract-review"/>
      <paraID xmlns="http://schemas.wps.cn/vas-ai-hub/contract-review"> 230A9ED</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f51ab21d-d1ac-4e60-96a9-42bda064e68f</errorID>
      <errorWord xmlns="http://schemas.wps.cn/vas-ai-hub/contract-review">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判定</item>
      </candidateList>
      <explain xmlns="http://schemas.wps.cn/vas-ai-hub/contract-review"/>
      <paraID xmlns="http://schemas.wps.cn/vas-ai-hub/contract-review">42519E6E</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727f7729-e312-40cc-a99a-95d47eeb1bf2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3BCB422F</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9083584c-0a0a-4b11-9179-0d534f0d237c</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66</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97f0fa53-c631-4069-b029-053d2d25b6af</errorID>
      <errorWord xmlns="http://schemas.wps.cn/vas-ai-hub/contract-review">作全</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做全</item>
      </candidateList>
      <explain xmlns="http://schemas.wps.cn/vas-ai-hub/contract-review">词汇[作全]为不规范表述或旧称，其规范书面表述为[做全]。</explain>
      <paraID xmlns="http://schemas.wps.cn/vas-ai-hub/contract-review">7A0CA0F2</paraID>
      <start xmlns="http://schemas.wps.cn/vas-ai-hub/contract-review">105</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9d3673cc-1773-496c-95fd-a3ab7b1db43a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c657304d-2e5b-46af-b376-6ff8ffe02c6a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528DC62A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95374424-4c46-46cf-b5b2-53213aa4e7e4</errorID>
      <errorWord xmlns="http://schemas.wps.cn/vas-ai-hub/contract-review">顶里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顶</item>
      </candidateList>
      <explain xmlns="http://schemas.wps.cn/vas-ai-hub/contract-review"/>
      <paraID xmlns="http://schemas.wps.cn/vas-ai-hub/contract-review">78EAC6DD</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d39d2dbf-b731-441c-9360-4b412c7213bc</errorID>
      <errorWord xmlns="http://schemas.wps.cn/vas-ai-hub/contract-review">墙里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墙</item>
      </candidateList>
      <explain xmlns="http://schemas.wps.cn/vas-ai-hub/contract-review"/>
      <paraID xmlns="http://schemas.wps.cn/vas-ai-hub/contract-review">1ABD5888</paraID>
      <start xmlns="http://schemas.wps.cn/vas-ai-hub/contract-review">20</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5d3ebb47-607d-45b4-88a2-bf33c07ea47a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7FA03EB8</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1db12330-29d0-4e5f-9fb2-48e98e14b6fa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54ed5931-10db-49f1-a45f-3675a7dab43d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615DBF9F</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09c98900-9858-4dca-ab38-5e3a093a0a1e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36e1834b-8292-4681-8dcc-f346a0407774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735FD7A1</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2c2109ca-d109-493e-a5b3-9bad8942a4c4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9b10a794-6f06-4015-a571-81489c1e96e8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5B0BC25A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5fa972e2-b4bb-41e3-9d2f-e9dd7d1ced8b</errorID>
      <errorWord xmlns="http://schemas.wps.cn/vas-ai-hub/contract-review">铜板纸</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铜版纸</item>
      </candidateList>
      <explain xmlns="http://schemas.wps.cn/vas-ai-hub/contract-review">存在发音相同字词的误用。</explain>
      <paraID xmlns="http://schemas.wps.cn/vas-ai-hub/contract-review">59132F4A</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cd39c350-8886-402c-8d53-5e40d3acd70a</errorID>
      <errorWord xmlns="http://schemas.wps.cn/vas-ai-hub/contract-review">胶板印刷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胶版印刷</item>
      </candidateList>
      <explain xmlns="http://schemas.wps.cn/vas-ai-hub/contract-review">存在发音相同字词的误用。</explain>
      <paraID xmlns="http://schemas.wps.cn/vas-ai-hub/contract-review">2870B841</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5a062c8e-37d2-40d1-90f1-1ebacf99370c</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6BA83313</paraID>
      <start xmlns="http://schemas.wps.cn/vas-ai-hub/contract-review">8</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00e9dc31-96f9-400b-9094-c416359b2382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6C64F122</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efb3a9bd-4ff6-45bd-af9c-c3d726254578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d8adca69-65e1-4f82-aef3-42ca9374c1d1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2D3E4F68</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9d2ccc76-0a6c-455e-a774-2aafdbc4f66a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83a2bc1a-20ee-46f1-aca0-98aa1a673b05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189ABD9A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032a3f1e-f798-4914-afb1-46844f5187c0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163acb36-dc16-400e-975a-c69b51e3d739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42A3ECC3</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3d8c0681-67b0-46aa-b999-68bac7e71e0d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
      <paraID xmlns="http://schemas.wps.cn/vas-ai-hub/contract-review">504C2108</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193405e9-990c-45b7-837c-2d39146fd037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311106BB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ec69b370-3ff3-4549-8724-4d9ecdf41f3a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c56c9d28-2901-4a54-a7cf-2669a5fd6bd1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23758108</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d421b08f-5f9d-43f5-b259-1dda40b1df8f</errorID>
      <errorWord xmlns="http://schemas.wps.cn/vas-ai-hub/contract-review">Ｒ</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R</item>
      </candidateList>
      <explain xmlns="http://schemas.wps.cn/vas-ai-hub/contract-review">文本全半角错误。</explain>
      <paraID xmlns="http://schemas.wps.cn/vas-ai-hub/contract-review">4450AF9D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f42dff28-58ed-4323-b010-4a675a52a21e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2246a108-f309-4e8d-8e51-98700d44f0ab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D3C4B5</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3ee94432-f311-4f7c-b15a-804ffe54949f</errorID>
      <errorWord xmlns="http://schemas.wps.cn/vas-ai-hub/contract-review">抽插</errorWord>
      <group xmlns="http://schemas.wps.cn/vas-ai-hub/contract-review">L1_Sensitive</group>
      <groupName xmlns="http://schemas.wps.cn/vas-ai-hub/contract-review">敏感问题</groupName>
      <ability xmlns="http://schemas.wps.cn/vas-ai-hub/contract-review">L2_Yellow</ability>
      <abilityName xmlns="http://schemas.wps.cn/vas-ai-hub/contract-review">涉黄内容</abilityName>
      <candidateList xmlns="http://schemas.wps.cn/vas-ai-hub/contract-review"/>
      <explain xmlns="http://schemas.wps.cn/vas-ai-hub/contract-review">【涉黄词条】句中包含涉黄敏感词条，请注意甄别。</explain>
      <paraID xmlns="http://schemas.wps.cn/vas-ai-hub/contract-review">19518673</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25e7328f-80e7-4273-abdb-4c52363df78e</errorID>
      <errorWord xmlns="http://schemas.wps.cn/vas-ai-hub/contract-review">11～13%</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11%～13%</item>
      </candidateList>
      <explain xmlns="http://schemas.wps.cn/vas-ai-hub/contract-review">1. “11～13%”中的单位“%”仅出现在后一个数字上，容易引起歧义；根据《现代汉语标点符号数字用法规范手册》，数字表示范围两边需要使用统一的格式。2.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79379029</paraID>
      <start xmlns="http://schemas.wps.cn/vas-ai-hub/contract-review">26</start>
      <end xmlns="http://schemas.wps.cn/vas-ai-hub/contract-review">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e13efbb8-a42b-4c11-a189-ca15b9a94615</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19</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e39b1512-7670-41af-a4ce-204bd9651573</errorID>
      <errorWord xmlns="http://schemas.wps.cn/vas-ai-hub/contract-review">受权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授权</item>
      </candidateList>
      <explain xmlns="http://schemas.wps.cn/vas-ai-hub/contract-review"/>
      <paraID xmlns="http://schemas.wps.cn/vas-ai-hub/contract-review">50DD4C94</paraID>
      <start xmlns="http://schemas.wps.cn/vas-ai-hub/contract-review">73</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6945ce97-272e-4cca-a849-37d4cb34002b</errorID>
      <errorWord xmlns="http://schemas.wps.cn/vas-ai-hub/contract-review">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应根</item>
      </candidateList>
      <explain xmlns="http://schemas.wps.cn/vas-ai-hub/contract-review"/>
      <paraID xmlns="http://schemas.wps.cn/vas-ai-hub/contract-review">6371330F</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f10a2691-b4bd-46cd-9f1c-ab42f0fb58cb</errorID>
      <errorWord xmlns="http://schemas.wps.cn/vas-ai-hub/contract-review">国家市场监督管理局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国家市场监督管理总局</item>
      </candidateList>
      <explain xmlns="http://schemas.wps.cn/vas-ai-hub/contract-review"/>
      <paraID xmlns="http://schemas.wps.cn/vas-ai-hub/contract-review"> 3533880</paraID>
      <start xmlns="http://schemas.wps.cn/vas-ai-hub/contract-review">51</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c602be7c-04df-4cf1-acee-7031789afdfc</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22B3720D</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4c654dda-8ef9-4f1d-956d-b65aea596b58</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该表达中的“涉及到”存在语义重复。【词汇解析】涉及：牵涉到，关联到。包含了“到”的意思。</explain>
      <paraID xmlns="http://schemas.wps.cn/vas-ai-hub/contract-review">22B3720D</paraID>
      <start xmlns="http://schemas.wps.cn/vas-ai-hub/contract-review">93</start>
      <end xmlns="http://schemas.wps.cn/vas-ai-hub/contract-review">96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e6fb47cd-25ee-49f1-81a4-310455e441c3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348DB554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ced070c2-2cea-4be9-8781-d6e1a2c90e1f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28302E7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c3abd0dc-9dbc-4a86-bf87-24949d189330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6C38B26B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6c7b77d7-10ff-4867-b9fa-c43ceca57b5c</errorID>
      <errorWord xmlns="http://schemas.wps.cn/vas-ai-hub/contract-review">相应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响应</item>
      </candidateList>
      <explain xmlns="http://schemas.wps.cn/vas-ai-hub/contract-review">存在发音相同字词的误用。</explain>
      <paraID xmlns="http://schemas.wps.cn/vas-ai-hub/contract-review">6C38B26B</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6b45b402-9658-41fc-9d63-40d566cafa4c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5FBE8037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f0f3b47e-1d49-41c7-b8fe-9026c17fcd98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2F931A99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3981197c-cd08-48b7-b468-a4ee5d296df6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2D20667B</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6796b31a-be52-4a20-90ea-4f12ae76f9e7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2D20667B</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50e9e9e0-751f-418d-97f9-5bf8f98f40e2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2D20667B</paraID>
      <start xmlns="http://schemas.wps.cn/vas-ai-hub/contract-review">72</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453eff92-586b-4e9d-a1ba-9e5c08cc181b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2F78A624</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c3b8a0e5-a172-4a8d-97e8-c9a9c49e54bb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2F78A624</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2586ab71-dfc7-4c39-a161-5d68602df6d9</errorID>
      <errorWord xmlns="http://schemas.wps.cn/vas-ai-hub/contract-review">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求和</item>
      </candidateList>
      <explain xmlns="http://schemas.wps.cn/vas-ai-hub/contract-review"/>
      <paraID xmlns="http://schemas.wps.cn/vas-ai-hub/contract-review">4C143CA9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09b2e02c-2f72-44d1-b432-15eda2ce8909</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存在发音相同字词的误用。</explain>
      <paraID xmlns="http://schemas.wps.cn/vas-ai-hub/contract-review">4C143CA9</paraID>
      <start xmlns="http://schemas.wps.cn/vas-ai-hub/contract-review">106</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457d5489-143d-446a-bc17-f173918f4a13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7A803905</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9d57b47f-ca7e-4e92-87fb-b2e8fc9cc6ba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7A803905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59bba34f-1562-42ab-b527-57efccfd3d70</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7A803905</paraID>
      <start xmlns="http://schemas.wps.cn/vas-ai-hub/contract-review">65</start>
      <end xmlns="http://schemas.wps.cn/vas-ai-hub/contract-review">67</end>
      <status xmlns="http://schemas.wps.cn/vas-ai-hub/contract-review">modified</status>
      <modifiedWord xmlns="http://schemas.wps.cn/vas-ai-hub/contract-review">程中</modifiedWord>
      <trackRevisions xmlns="http://schemas.wps.cn/vas-ai-hub/contract-review">false</trackRevisions>
    </reviewItem>
    <reviewItem xmlns="http://schemas.wps.cn/vas-ai-hub/contract-review">
      <errorID xmlns="http://schemas.wps.cn/vas-ai-hub/contract-review">d07b3992-773a-47fc-be12-104d0e940abd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3905CC0D</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2c58a4c6-dc33-4a52-969b-b548b1dad569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3905CC0D</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e64d4db5-52db-45e5-bfe0-9d2a4a64e624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2DCB3E5B</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32a06b2c-098e-49ff-a031-02ed30fc8bb1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6844EA1B</paraID>
      <start xmlns="http://schemas.wps.cn/vas-ai-hub/contract-review">114</start>
      <end xmlns="http://schemas.wps.cn/vas-ai-hub/contract-review">115</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5CB1FDB-A2EE-457C-9E06-7FB7F45CD80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沈晨</cp:lastModifiedBy>
  <cp:revision>17</cp:revision>
  <dcterms:created xsi:type="dcterms:W3CDTF">2022-10-10T12:43:00Z</dcterms:created>
  <dcterms:modified xsi:type="dcterms:W3CDTF">2026-08-10T03:16:29Z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4D084690AAF4C7FD83EB5E6A24527EE5_43</vt:lpwstr>
  </property>
  <property fmtid="{D5CDD505-2E9C-101B-9397-08002B2CF9AE}" pid="4" name="KSOTemplateDocerSaveRecord">
    <vt:lpwstr>eyJoZGlkIjoiMjg5M2Y2MjRlNTI1NWM3OTZjZThmM2I5MGEwOTdmNDciLCJ1c2VySWQiOiIyNzA1NTgyNDQifQ==</vt:lpwstr>
  </property>
</Properties>
</file>