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9487E">
      <w:pPr>
        <w:spacing w:line="360" w:lineRule="auto"/>
        <w:jc w:val="left"/>
        <w:rPr>
          <w:rFonts w:ascii="宋体" w:hAnsi="宋体" w:eastAsia="宋体" w:cs="Times New Roman"/>
          <w:b/>
          <w:bCs/>
          <w:color w:val="auto"/>
          <w:spacing w:val="80"/>
          <w:sz w:val="64"/>
          <w:szCs w:val="20"/>
          <w:highlight w:val="none"/>
        </w:rPr>
      </w:pPr>
    </w:p>
    <w:p w14:paraId="34E365FF">
      <w:pPr>
        <w:spacing w:line="360" w:lineRule="auto"/>
        <w:jc w:val="left"/>
        <w:rPr>
          <w:rFonts w:ascii="宋体" w:hAnsi="宋体" w:eastAsia="宋体" w:cs="Times New Roman"/>
          <w:b/>
          <w:bCs/>
          <w:color w:val="auto"/>
          <w:spacing w:val="80"/>
          <w:sz w:val="64"/>
          <w:szCs w:val="20"/>
          <w:highlight w:val="none"/>
        </w:rPr>
      </w:pPr>
    </w:p>
    <w:p w14:paraId="0961022E">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连云港市政府采购</w:t>
      </w:r>
    </w:p>
    <w:p w14:paraId="22DFF0C3">
      <w:pPr>
        <w:spacing w:line="360" w:lineRule="auto"/>
        <w:ind w:firstLine="947"/>
        <w:rPr>
          <w:rFonts w:ascii="宋体" w:hAnsi="宋体" w:eastAsia="宋体" w:cs="Times New Roman"/>
          <w:b/>
          <w:bCs/>
          <w:color w:val="auto"/>
          <w:spacing w:val="16"/>
          <w:sz w:val="44"/>
          <w:szCs w:val="24"/>
          <w:highlight w:val="none"/>
        </w:rPr>
      </w:pPr>
    </w:p>
    <w:p w14:paraId="54983645">
      <w:pPr>
        <w:spacing w:line="360" w:lineRule="auto"/>
        <w:ind w:firstLine="947"/>
        <w:rPr>
          <w:rFonts w:ascii="宋体" w:hAnsi="宋体" w:eastAsia="宋体" w:cs="Times New Roman"/>
          <w:b/>
          <w:bCs/>
          <w:color w:val="auto"/>
          <w:spacing w:val="16"/>
          <w:sz w:val="44"/>
          <w:szCs w:val="24"/>
          <w:highlight w:val="none"/>
        </w:rPr>
      </w:pPr>
    </w:p>
    <w:p w14:paraId="4459A350">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招标文件</w:t>
      </w:r>
    </w:p>
    <w:p w14:paraId="1A624B72">
      <w:pPr>
        <w:spacing w:line="360" w:lineRule="auto"/>
        <w:ind w:firstLine="947"/>
        <w:rPr>
          <w:rFonts w:ascii="宋体" w:hAnsi="宋体" w:eastAsia="宋体" w:cs="Times New Roman"/>
          <w:b/>
          <w:bCs/>
          <w:color w:val="auto"/>
          <w:spacing w:val="16"/>
          <w:sz w:val="44"/>
          <w:szCs w:val="24"/>
          <w:highlight w:val="none"/>
        </w:rPr>
      </w:pPr>
    </w:p>
    <w:p w14:paraId="6309F08B">
      <w:pPr>
        <w:spacing w:line="360" w:lineRule="auto"/>
        <w:ind w:firstLine="947"/>
        <w:rPr>
          <w:rFonts w:ascii="宋体" w:hAnsi="宋体" w:eastAsia="宋体" w:cs="Times New Roman"/>
          <w:b/>
          <w:bCs/>
          <w:color w:val="auto"/>
          <w:spacing w:val="16"/>
          <w:sz w:val="44"/>
          <w:szCs w:val="24"/>
          <w:highlight w:val="none"/>
        </w:rPr>
      </w:pPr>
    </w:p>
    <w:p w14:paraId="5874A1D1">
      <w:pPr>
        <w:spacing w:line="360" w:lineRule="auto"/>
        <w:ind w:left="840" w:firstLine="611"/>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项目名称：</w:t>
      </w:r>
      <w:r>
        <w:rPr>
          <w:rFonts w:hint="eastAsia" w:ascii="宋体" w:hAnsi="宋体" w:eastAsia="宋体" w:cs="Times New Roman"/>
          <w:b/>
          <w:bCs/>
          <w:color w:val="auto"/>
          <w:sz w:val="32"/>
          <w:szCs w:val="24"/>
          <w:highlight w:val="none"/>
          <w:lang w:eastAsia="zh-CN"/>
        </w:rPr>
        <w:t>灌南县综合行政执法局移动式垃圾压缩设备采购项目</w:t>
      </w:r>
    </w:p>
    <w:p w14:paraId="38709FA6">
      <w:pPr>
        <w:spacing w:line="360" w:lineRule="auto"/>
        <w:ind w:left="840" w:firstLine="611"/>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项目编号：</w:t>
      </w:r>
      <w:r>
        <w:rPr>
          <w:rFonts w:hint="eastAsia" w:ascii="宋体" w:hAnsi="宋体" w:eastAsia="宋体" w:cs="Times New Roman"/>
          <w:b/>
          <w:bCs/>
          <w:color w:val="auto"/>
          <w:sz w:val="32"/>
          <w:szCs w:val="24"/>
          <w:highlight w:val="none"/>
          <w:lang w:eastAsia="zh-CN"/>
        </w:rPr>
        <w:t>JSZC-320724-RHHH-G2026-0048</w:t>
      </w:r>
      <w:r>
        <w:rPr>
          <w:rFonts w:hint="eastAsia" w:ascii="宋体" w:hAnsi="宋体" w:eastAsia="宋体" w:cs="Times New Roman"/>
          <w:b/>
          <w:bCs/>
          <w:color w:val="auto"/>
          <w:sz w:val="32"/>
          <w:szCs w:val="24"/>
          <w:highlight w:val="none"/>
          <w:lang w:val="en-US" w:eastAsia="zh-CN"/>
        </w:rPr>
        <w:t xml:space="preserve"> </w:t>
      </w:r>
    </w:p>
    <w:p w14:paraId="5E831653">
      <w:pPr>
        <w:spacing w:line="360" w:lineRule="auto"/>
        <w:rPr>
          <w:rFonts w:ascii="宋体" w:hAnsi="宋体" w:eastAsia="宋体" w:cs="Times New Roman"/>
          <w:color w:val="auto"/>
          <w:szCs w:val="24"/>
          <w:highlight w:val="none"/>
        </w:rPr>
      </w:pPr>
    </w:p>
    <w:p w14:paraId="1D45E5B4">
      <w:pPr>
        <w:spacing w:line="360" w:lineRule="auto"/>
        <w:ind w:right="-993"/>
        <w:rPr>
          <w:rFonts w:ascii="宋体" w:hAnsi="宋体" w:eastAsia="宋体" w:cs="Times New Roman"/>
          <w:color w:val="auto"/>
          <w:szCs w:val="20"/>
          <w:highlight w:val="none"/>
        </w:rPr>
      </w:pPr>
    </w:p>
    <w:p w14:paraId="3B29309A">
      <w:pPr>
        <w:spacing w:line="360" w:lineRule="auto"/>
        <w:ind w:right="-993"/>
        <w:rPr>
          <w:rFonts w:hint="eastAsia" w:ascii="宋体" w:hAnsi="宋体" w:cs="Times New Roman"/>
          <w:color w:val="auto"/>
          <w:szCs w:val="20"/>
          <w:highlight w:val="none"/>
        </w:rPr>
      </w:pPr>
    </w:p>
    <w:p w14:paraId="44882EDB">
      <w:pPr>
        <w:spacing w:before="120" w:after="120" w:line="360" w:lineRule="auto"/>
        <w:ind w:firstLine="1280"/>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采购人：</w:t>
      </w:r>
      <w:r>
        <w:rPr>
          <w:rFonts w:hint="eastAsia" w:ascii="宋体" w:hAnsi="宋体" w:eastAsia="宋体" w:cs="Times New Roman"/>
          <w:b w:val="0"/>
          <w:bCs w:val="0"/>
          <w:color w:val="auto"/>
          <w:sz w:val="32"/>
          <w:szCs w:val="24"/>
          <w:highlight w:val="none"/>
          <w:lang w:eastAsia="zh-CN"/>
        </w:rPr>
        <w:t>灌南县综合行政执法局</w:t>
      </w:r>
    </w:p>
    <w:p w14:paraId="633E5D5C">
      <w:pPr>
        <w:spacing w:before="120" w:after="120" w:line="360" w:lineRule="auto"/>
        <w:ind w:firstLine="1280"/>
        <w:jc w:val="left"/>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Arial" w:hAnsi="Arial" w:eastAsia="宋体" w:cs="Times New Roman"/>
          <w:bCs/>
          <w:color w:val="auto"/>
          <w:sz w:val="32"/>
          <w:szCs w:val="24"/>
          <w:highlight w:val="none"/>
          <w:lang w:eastAsia="zh-CN"/>
        </w:rPr>
        <w:t>江苏仁禾中衡工程咨询房地产估价有限公司</w:t>
      </w:r>
    </w:p>
    <w:p w14:paraId="5EDC43FF">
      <w:pPr>
        <w:spacing w:before="120" w:after="120"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202</w:t>
      </w:r>
      <w:r>
        <w:rPr>
          <w:rFonts w:hint="eastAsia" w:ascii="宋体" w:hAnsi="宋体" w:eastAsia="宋体" w:cs="宋体"/>
          <w:bCs/>
          <w:color w:val="auto"/>
          <w:sz w:val="30"/>
          <w:szCs w:val="30"/>
          <w:highlight w:val="none"/>
          <w:lang w:val="en-US" w:eastAsia="zh-CN"/>
        </w:rPr>
        <w:t>6</w:t>
      </w:r>
      <w:r>
        <w:rPr>
          <w:rFonts w:hint="eastAsia" w:ascii="宋体" w:hAnsi="宋体" w:eastAsia="宋体" w:cs="宋体"/>
          <w:bCs/>
          <w:color w:val="auto"/>
          <w:sz w:val="30"/>
          <w:szCs w:val="30"/>
          <w:highlight w:val="none"/>
          <w:lang w:eastAsia="zh-CN"/>
        </w:rPr>
        <w:t>年</w:t>
      </w:r>
      <w:r>
        <w:rPr>
          <w:rFonts w:hint="eastAsia" w:ascii="宋体" w:hAnsi="宋体" w:eastAsia="宋体" w:cs="宋体"/>
          <w:bCs/>
          <w:color w:val="auto"/>
          <w:sz w:val="30"/>
          <w:szCs w:val="30"/>
          <w:highlight w:val="none"/>
          <w:lang w:val="en-US" w:eastAsia="zh-CN"/>
        </w:rPr>
        <w:t>07</w:t>
      </w:r>
      <w:r>
        <w:rPr>
          <w:rFonts w:hint="eastAsia" w:ascii="宋体" w:hAnsi="宋体" w:eastAsia="宋体" w:cs="宋体"/>
          <w:bCs/>
          <w:color w:val="auto"/>
          <w:sz w:val="30"/>
          <w:szCs w:val="30"/>
          <w:highlight w:val="none"/>
          <w:lang w:eastAsia="zh-CN"/>
        </w:rPr>
        <w:t>月</w:t>
      </w:r>
    </w:p>
    <w:p w14:paraId="17AA12E2">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录</w:t>
      </w:r>
      <w:bookmarkEnd w:id="0"/>
    </w:p>
    <w:p w14:paraId="1E92B042">
      <w:pPr>
        <w:pStyle w:val="30"/>
        <w:tabs>
          <w:tab w:val="right" w:leader="dot" w:pos="9628"/>
        </w:tabs>
        <w:ind w:firstLine="560"/>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3"/>
          <w:rFonts w:hint="eastAsia" w:ascii="宋体" w:hAnsi="宋体"/>
          <w:i w:val="0"/>
          <w:color w:val="auto"/>
          <w:sz w:val="28"/>
          <w:szCs w:val="28"/>
          <w:highlight w:val="none"/>
        </w:rPr>
        <w:t>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17EE8D4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3"/>
          <w:rFonts w:hint="eastAsia" w:ascii="宋体" w:hAnsi="宋体"/>
          <w:i w:val="0"/>
          <w:color w:val="auto"/>
          <w:sz w:val="28"/>
          <w:szCs w:val="28"/>
          <w:highlight w:val="none"/>
        </w:rPr>
        <w:t>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83BF81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3"/>
          <w:rFonts w:hint="eastAsia" w:ascii="宋体" w:hAnsi="宋体"/>
          <w:i w:val="0"/>
          <w:color w:val="auto"/>
          <w:sz w:val="28"/>
          <w:szCs w:val="28"/>
          <w:highlight w:val="none"/>
        </w:rPr>
        <w:t>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22</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462115A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3"/>
          <w:rFonts w:hint="eastAsia" w:ascii="宋体" w:hAnsi="宋体"/>
          <w:i w:val="0"/>
          <w:color w:val="auto"/>
          <w:sz w:val="28"/>
          <w:szCs w:val="28"/>
          <w:highlight w:val="none"/>
        </w:rPr>
        <w:t>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31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43D9145A">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53"/>
          <w:rFonts w:hint="eastAsia" w:ascii="宋体" w:hAnsi="宋体"/>
          <w:i w:val="0"/>
          <w:color w:val="auto"/>
          <w:sz w:val="28"/>
          <w:szCs w:val="28"/>
          <w:highlight w:val="none"/>
        </w:rPr>
        <w:t>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7CE852F">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3"/>
          <w:rFonts w:hint="eastAsia" w:ascii="宋体" w:hAnsi="宋体"/>
          <w:i w:val="0"/>
          <w:color w:val="auto"/>
          <w:sz w:val="28"/>
          <w:szCs w:val="28"/>
          <w:highlight w:val="none"/>
        </w:rPr>
        <w:t>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8</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7CBE5442">
      <w:pPr>
        <w:pStyle w:val="30"/>
        <w:tabs>
          <w:tab w:val="right" w:leader="dot" w:pos="9628"/>
        </w:tabs>
        <w:ind w:firstLine="482"/>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3"/>
          <w:rFonts w:hint="eastAsia" w:ascii="宋体" w:hAnsi="宋体"/>
          <w:i w:val="0"/>
          <w:color w:val="auto"/>
          <w:sz w:val="28"/>
          <w:szCs w:val="28"/>
          <w:highlight w:val="none"/>
        </w:rPr>
        <w:t>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0</w:t>
      </w:r>
    </w:p>
    <w:p w14:paraId="4F2D251D">
      <w:pPr>
        <w:tabs>
          <w:tab w:val="right" w:leader="dot" w:pos="9638"/>
        </w:tabs>
        <w:spacing w:line="360" w:lineRule="auto"/>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p>
    <w:p w14:paraId="7A2FB54E">
      <w:pPr>
        <w:keepNext/>
        <w:keepLines/>
        <w:spacing w:line="360" w:lineRule="auto"/>
        <w:jc w:val="center"/>
        <w:outlineLvl w:val="0"/>
        <w:rPr>
          <w:rFonts w:ascii="Times New Roman" w:hAnsi="宋体" w:eastAsia="黑体" w:cs="Times New Roman"/>
          <w:color w:val="auto"/>
          <w:sz w:val="36"/>
          <w:szCs w:val="20"/>
          <w:highlight w:val="none"/>
        </w:rPr>
      </w:pPr>
      <w:bookmarkStart w:id="1" w:name="_Toc139967210"/>
      <w:bookmarkStart w:id="2" w:name="_Toc139966426"/>
      <w:r>
        <w:rPr>
          <w:rFonts w:ascii="Times New Roman" w:hAnsi="宋体" w:eastAsia="黑体" w:cs="Times New Roman"/>
          <w:color w:val="auto"/>
          <w:sz w:val="36"/>
          <w:szCs w:val="20"/>
          <w:highlight w:val="none"/>
        </w:rPr>
        <w:br w:type="page" w:clear="all"/>
      </w:r>
      <w:bookmarkStart w:id="3" w:name="_Toc513622226"/>
      <w:bookmarkStart w:id="4" w:name="_Toc150765434"/>
      <w:r>
        <w:rPr>
          <w:rFonts w:hint="eastAsia" w:ascii="Times New Roman" w:hAnsi="宋体" w:eastAsia="黑体" w:cs="Times New Roman"/>
          <w:color w:val="auto"/>
          <w:sz w:val="36"/>
          <w:szCs w:val="20"/>
          <w:highlight w:val="none"/>
        </w:rPr>
        <w:t>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投标邀请</w:t>
      </w:r>
      <w:bookmarkEnd w:id="3"/>
      <w:bookmarkEnd w:id="4"/>
    </w:p>
    <w:p w14:paraId="692A120A">
      <w:pPr>
        <w:spacing w:line="360" w:lineRule="auto"/>
        <w:ind w:firstLine="420"/>
        <w:rPr>
          <w:rFonts w:ascii="Times New Roman" w:hAnsi="Times New Roman" w:eastAsia="宋体" w:cs="Times New Roman"/>
          <w:color w:val="auto"/>
          <w:szCs w:val="24"/>
          <w:highlight w:val="none"/>
        </w:rPr>
      </w:pPr>
    </w:p>
    <w:tbl>
      <w:tblPr>
        <w:tblStyle w:val="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818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33A046B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项目概况</w:t>
            </w:r>
          </w:p>
          <w:p w14:paraId="13E4A4A1">
            <w:pPr>
              <w:spacing w:line="360" w:lineRule="auto"/>
              <w:ind w:firstLine="480"/>
              <w:rPr>
                <w:rFonts w:ascii="宋体" w:hAnsi="宋体" w:eastAsia="宋体" w:cs="Times New Roman"/>
                <w:color w:val="auto"/>
                <w:szCs w:val="24"/>
                <w:highlight w:val="none"/>
              </w:rPr>
            </w:pPr>
            <w:r>
              <w:rPr>
                <w:rFonts w:hint="eastAsia" w:ascii="宋体" w:hAnsi="宋体" w:eastAsia="宋体" w:cs="Times New Roman"/>
                <w:color w:val="auto"/>
                <w:sz w:val="24"/>
                <w:szCs w:val="24"/>
                <w:highlight w:val="none"/>
                <w:u w:val="single"/>
                <w:lang w:eastAsia="zh-CN"/>
              </w:rPr>
              <w:t>灌南县综合行政执法局移动式垃圾压缩设备采购项目</w:t>
            </w:r>
            <w:r>
              <w:rPr>
                <w:rFonts w:hint="eastAsia" w:ascii="宋体" w:hAnsi="宋体" w:eastAsia="宋体" w:cs="Times New Roman"/>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Times New Roman"/>
                <w:color w:val="auto"/>
                <w:sz w:val="24"/>
                <w:szCs w:val="24"/>
                <w:highlight w:val="none"/>
              </w:rPr>
              <w:t>获取招标文件，并于</w:t>
            </w:r>
            <w:r>
              <w:rPr>
                <w:rFonts w:hint="eastAsia" w:ascii="宋体" w:hAnsi="宋体" w:eastAsia="宋体" w:cs="Times New Roman"/>
                <w:bCs/>
                <w:color w:val="auto"/>
                <w:sz w:val="24"/>
                <w:szCs w:val="24"/>
                <w:highlight w:val="none"/>
                <w:u w:val="single"/>
              </w:rPr>
              <w:t>202</w:t>
            </w:r>
            <w:r>
              <w:rPr>
                <w:rFonts w:hint="eastAsia" w:ascii="宋体" w:hAnsi="宋体" w:eastAsia="宋体" w:cs="Times New Roman"/>
                <w:bCs/>
                <w:color w:val="auto"/>
                <w:sz w:val="24"/>
                <w:szCs w:val="24"/>
                <w:highlight w:val="none"/>
                <w:u w:val="single"/>
                <w:lang w:val="en-US" w:eastAsia="zh-CN"/>
              </w:rPr>
              <w:t>6</w:t>
            </w:r>
            <w:r>
              <w:rPr>
                <w:rFonts w:hint="eastAsia" w:ascii="宋体" w:hAnsi="宋体" w:eastAsia="宋体" w:cs="Times New Roman"/>
                <w:bCs/>
                <w:color w:val="auto"/>
                <w:sz w:val="24"/>
                <w:szCs w:val="24"/>
                <w:highlight w:val="none"/>
                <w:u w:val="single"/>
              </w:rPr>
              <w:t>年</w:t>
            </w:r>
            <w:r>
              <w:rPr>
                <w:rFonts w:hint="eastAsia" w:ascii="宋体" w:hAnsi="宋体" w:eastAsia="宋体" w:cs="Times New Roman"/>
                <w:bCs/>
                <w:color w:val="auto"/>
                <w:sz w:val="24"/>
                <w:szCs w:val="24"/>
                <w:highlight w:val="none"/>
                <w:u w:val="single"/>
                <w:lang w:val="en-US" w:eastAsia="zh-CN"/>
              </w:rPr>
              <w:t>08</w:t>
            </w:r>
            <w:r>
              <w:rPr>
                <w:rFonts w:hint="eastAsia" w:ascii="宋体" w:hAnsi="宋体" w:eastAsia="宋体" w:cs="Times New Roman"/>
                <w:bCs/>
                <w:color w:val="auto"/>
                <w:sz w:val="24"/>
                <w:szCs w:val="24"/>
                <w:highlight w:val="none"/>
                <w:u w:val="single"/>
              </w:rPr>
              <w:t>月</w:t>
            </w:r>
            <w:r>
              <w:rPr>
                <w:rFonts w:hint="eastAsia" w:ascii="宋体" w:hAnsi="宋体" w:eastAsia="宋体" w:cs="Times New Roman"/>
                <w:bCs/>
                <w:color w:val="auto"/>
                <w:sz w:val="24"/>
                <w:szCs w:val="24"/>
                <w:highlight w:val="none"/>
                <w:u w:val="single"/>
                <w:lang w:val="en-US" w:eastAsia="zh-CN"/>
              </w:rPr>
              <w:t>21</w:t>
            </w:r>
            <w:r>
              <w:rPr>
                <w:rFonts w:hint="eastAsia" w:ascii="宋体" w:hAnsi="宋体" w:eastAsia="宋体" w:cs="Times New Roman"/>
                <w:bCs/>
                <w:color w:val="auto"/>
                <w:sz w:val="24"/>
                <w:szCs w:val="24"/>
                <w:highlight w:val="none"/>
                <w:u w:val="single"/>
              </w:rPr>
              <w:t>日</w:t>
            </w:r>
            <w:r>
              <w:rPr>
                <w:rFonts w:hint="eastAsia" w:ascii="宋体" w:hAnsi="宋体" w:eastAsia="宋体" w:cs="Times New Roman"/>
                <w:color w:val="auto"/>
                <w:sz w:val="24"/>
                <w:szCs w:val="24"/>
                <w:highlight w:val="none"/>
                <w:u w:val="single"/>
                <w:lang w:val="en-US" w:eastAsia="zh-CN"/>
              </w:rPr>
              <w:t>10</w:t>
            </w:r>
            <w:r>
              <w:rPr>
                <w:rFonts w:hint="eastAsia" w:ascii="宋体" w:hAnsi="宋体" w:eastAsia="宋体" w:cs="Times New Roman"/>
                <w:color w:val="auto"/>
                <w:sz w:val="24"/>
                <w:szCs w:val="24"/>
                <w:highlight w:val="none"/>
                <w:u w:val="single"/>
              </w:rPr>
              <w:t>点</w:t>
            </w:r>
            <w:r>
              <w:rPr>
                <w:rFonts w:hint="eastAsia" w:ascii="宋体" w:hAnsi="宋体" w:eastAsia="宋体" w:cs="Times New Roman"/>
                <w:bCs/>
                <w:color w:val="auto"/>
                <w:sz w:val="24"/>
                <w:szCs w:val="24"/>
                <w:highlight w:val="none"/>
                <w:u w:val="single"/>
              </w:rPr>
              <w:t>00分00秒</w:t>
            </w:r>
            <w:r>
              <w:rPr>
                <w:rFonts w:hint="eastAsia" w:ascii="宋体" w:hAnsi="宋体" w:eastAsia="宋体" w:cs="Times New Roman"/>
                <w:color w:val="auto"/>
                <w:sz w:val="24"/>
                <w:szCs w:val="24"/>
                <w:highlight w:val="none"/>
              </w:rPr>
              <w:t>（北京时间）前</w:t>
            </w:r>
            <w:r>
              <w:rPr>
                <w:rFonts w:hint="eastAsia" w:ascii="宋体" w:hAnsi="宋体" w:eastAsia="宋体" w:cs="Times New Roman"/>
                <w:b/>
                <w:color w:val="auto"/>
                <w:sz w:val="24"/>
                <w:szCs w:val="24"/>
                <w:highlight w:val="none"/>
              </w:rPr>
              <w:t>上传电子投标文件</w:t>
            </w:r>
            <w:r>
              <w:rPr>
                <w:rFonts w:hint="eastAsia" w:ascii="宋体" w:hAnsi="宋体" w:eastAsia="宋体" w:cs="Times New Roman"/>
                <w:color w:val="auto"/>
                <w:sz w:val="24"/>
                <w:szCs w:val="24"/>
                <w:highlight w:val="none"/>
              </w:rPr>
              <w:t>。</w:t>
            </w:r>
          </w:p>
        </w:tc>
      </w:tr>
    </w:tbl>
    <w:p w14:paraId="072289FB">
      <w:pPr>
        <w:spacing w:line="360" w:lineRule="auto"/>
        <w:rPr>
          <w:rFonts w:ascii="宋体" w:hAnsi="宋体" w:eastAsia="宋体" w:cs="Times New Roman"/>
          <w:color w:val="auto"/>
          <w:szCs w:val="24"/>
          <w:highlight w:val="none"/>
        </w:rPr>
      </w:pPr>
    </w:p>
    <w:p w14:paraId="11FCC78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一、项目基本情况</w:t>
      </w:r>
    </w:p>
    <w:p w14:paraId="221E4A5C">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标段编号：</w:t>
      </w:r>
      <w:r>
        <w:rPr>
          <w:rFonts w:hint="eastAsia" w:ascii="宋体" w:hAnsi="宋体" w:eastAsia="宋体" w:cs="Times New Roman"/>
          <w:color w:val="auto"/>
          <w:sz w:val="24"/>
          <w:szCs w:val="24"/>
          <w:highlight w:val="none"/>
          <w:lang w:eastAsia="zh-CN"/>
        </w:rPr>
        <w:t>JSZC-320724-RHHH-G2026-0048</w:t>
      </w:r>
    </w:p>
    <w:p w14:paraId="334651E8">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标段名称：</w:t>
      </w:r>
      <w:r>
        <w:rPr>
          <w:rFonts w:hint="eastAsia" w:ascii="宋体" w:hAnsi="宋体" w:eastAsia="宋体" w:cs="Times New Roman"/>
          <w:color w:val="auto"/>
          <w:sz w:val="24"/>
          <w:szCs w:val="24"/>
          <w:highlight w:val="none"/>
          <w:lang w:eastAsia="zh-CN"/>
        </w:rPr>
        <w:t>灌南县综合行政执法局移动式垃圾压缩设备采购项目</w:t>
      </w:r>
    </w:p>
    <w:p w14:paraId="476F087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预算金额：</w:t>
      </w:r>
      <w:r>
        <w:rPr>
          <w:rFonts w:hint="eastAsia" w:ascii="宋体" w:hAnsi="宋体" w:eastAsia="宋体" w:cs="Times New Roman"/>
          <w:b w:val="0"/>
          <w:bCs/>
          <w:color w:val="auto"/>
          <w:sz w:val="24"/>
          <w:szCs w:val="24"/>
          <w:highlight w:val="none"/>
          <w:lang w:val="en-US" w:eastAsia="zh-CN"/>
        </w:rPr>
        <w:t>456</w:t>
      </w:r>
      <w:r>
        <w:rPr>
          <w:rFonts w:hint="eastAsia" w:ascii="宋体" w:hAnsi="宋体" w:eastAsia="宋体" w:cs="Times New Roman"/>
          <w:b w:val="0"/>
          <w:bCs/>
          <w:color w:val="auto"/>
          <w:sz w:val="24"/>
          <w:szCs w:val="24"/>
          <w:highlight w:val="none"/>
        </w:rPr>
        <w:t>万元。</w:t>
      </w:r>
    </w:p>
    <w:p w14:paraId="18C1F94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最高限价：</w:t>
      </w:r>
      <w:r>
        <w:rPr>
          <w:rFonts w:hint="eastAsia" w:ascii="宋体" w:hAnsi="宋体" w:eastAsia="宋体" w:cs="Times New Roman"/>
          <w:color w:val="auto"/>
          <w:sz w:val="24"/>
          <w:szCs w:val="24"/>
          <w:highlight w:val="none"/>
          <w:lang w:val="en-US" w:eastAsia="zh-CN"/>
        </w:rPr>
        <w:t>456</w:t>
      </w:r>
      <w:r>
        <w:rPr>
          <w:rFonts w:hint="eastAsia" w:ascii="宋体" w:hAnsi="宋体" w:cs="Times New Roman"/>
          <w:color w:val="auto"/>
          <w:sz w:val="24"/>
          <w:szCs w:val="24"/>
          <w:highlight w:val="none"/>
        </w:rPr>
        <w:t>万元人民币，投标报价超出最高限价的按无效响应处理</w:t>
      </w:r>
      <w:r>
        <w:rPr>
          <w:rFonts w:hint="eastAsia" w:ascii="宋体" w:hAnsi="宋体" w:eastAsia="宋体" w:cs="Times New Roman"/>
          <w:color w:val="auto"/>
          <w:sz w:val="24"/>
          <w:szCs w:val="24"/>
          <w:highlight w:val="none"/>
        </w:rPr>
        <w:t>。</w:t>
      </w:r>
    </w:p>
    <w:p w14:paraId="0149AC7F">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w:t>
      </w:r>
      <w:r>
        <w:rPr>
          <w:rFonts w:hint="eastAsia" w:ascii="宋体" w:hAnsi="宋体" w:eastAsia="宋体" w:cs="Times New Roman"/>
          <w:color w:val="auto"/>
          <w:sz w:val="24"/>
          <w:szCs w:val="24"/>
          <w:highlight w:val="none"/>
          <w:lang w:eastAsia="zh-CN"/>
        </w:rPr>
        <w:t>灌南县综合行政执法局移动式垃圾压缩设备采购项目</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移动式垃圾压缩设备</w:t>
      </w:r>
      <w:r>
        <w:rPr>
          <w:rFonts w:hint="eastAsia" w:ascii="宋体" w:hAnsi="宋体" w:eastAsia="宋体" w:cs="Times New Roman"/>
          <w:color w:val="auto"/>
          <w:sz w:val="24"/>
          <w:szCs w:val="24"/>
          <w:highlight w:val="none"/>
        </w:rPr>
        <w:t>12方的6个，</w:t>
      </w:r>
      <w:r>
        <w:rPr>
          <w:rFonts w:hint="eastAsia" w:ascii="宋体" w:hAnsi="宋体" w:eastAsia="宋体" w:cs="Times New Roman"/>
          <w:color w:val="auto"/>
          <w:sz w:val="24"/>
          <w:szCs w:val="24"/>
          <w:highlight w:val="none"/>
          <w:lang w:eastAsia="zh-CN"/>
        </w:rPr>
        <w:t>移动式垃圾压缩设备</w:t>
      </w:r>
      <w:r>
        <w:rPr>
          <w:rFonts w:hint="eastAsia" w:ascii="宋体" w:hAnsi="宋体" w:eastAsia="宋体" w:cs="Times New Roman"/>
          <w:color w:val="auto"/>
          <w:sz w:val="24"/>
          <w:szCs w:val="24"/>
          <w:highlight w:val="none"/>
        </w:rPr>
        <w:t>18方的14个</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具体</w:t>
      </w:r>
      <w:r>
        <w:rPr>
          <w:rFonts w:hint="eastAsia" w:ascii="宋体" w:hAnsi="宋体" w:eastAsia="宋体" w:cs="Times New Roman"/>
          <w:color w:val="auto"/>
          <w:sz w:val="24"/>
          <w:szCs w:val="24"/>
          <w:highlight w:val="none"/>
        </w:rPr>
        <w:t>详见项目需求。</w:t>
      </w:r>
    </w:p>
    <w:p w14:paraId="184CE241">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25B8F9A0">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合同履行期限（交货期）：合同签订后</w:t>
      </w:r>
      <w:r>
        <w:rPr>
          <w:rFonts w:hint="eastAsia" w:ascii="宋体" w:hAnsi="宋体" w:eastAsia="宋体" w:cs="Times New Roman"/>
          <w:color w:val="auto"/>
          <w:sz w:val="24"/>
          <w:szCs w:val="24"/>
          <w:highlight w:val="none"/>
          <w:lang w:val="en-US" w:eastAsia="zh-CN"/>
        </w:rPr>
        <w:t>45</w:t>
      </w:r>
      <w:r>
        <w:rPr>
          <w:rFonts w:hint="eastAsia" w:ascii="宋体" w:hAnsi="宋体" w:eastAsia="宋体" w:cs="Times New Roman"/>
          <w:color w:val="auto"/>
          <w:sz w:val="24"/>
          <w:szCs w:val="24"/>
          <w:highlight w:val="none"/>
        </w:rPr>
        <w:t>天内完成供货、安装、调试，直至交付采购人验收合格使用。</w:t>
      </w:r>
    </w:p>
    <w:p w14:paraId="7309B673">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本项目（是/否√）接受联合体投标。</w:t>
      </w:r>
    </w:p>
    <w:p w14:paraId="20443948">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二、申请人的资格要求</w:t>
      </w:r>
    </w:p>
    <w:p w14:paraId="39B7863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1.满足《中华人民共和国政府采购法》第二十二条规定，提供下列材料：</w:t>
      </w:r>
    </w:p>
    <w:p w14:paraId="7E291B6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2B79D34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p>
    <w:p w14:paraId="0E75A7ED">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（3）依法缴纳税收和社会保障资金的相关证明材料（按连财购〔2023〕4号文件要求，符合要求的可提交《财务状况报告及税收、社会保障资金缴纳情况承诺函》，格式详见招标文件）；</w:t>
      </w:r>
    </w:p>
    <w:p w14:paraId="4065DD15">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0D42AAB6">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2FDF8163">
      <w:pPr>
        <w:keepNext w:val="0"/>
        <w:keepLines w:val="0"/>
        <w:pageBreakBefore w:val="0"/>
        <w:widowControl w:val="0"/>
        <w:spacing w:line="500" w:lineRule="exact"/>
        <w:ind w:right="0" w:firstLine="480"/>
        <w:jc w:val="both"/>
        <w:outlineLvl w:val="9"/>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2.落实政府采购政策需满足的资格要求：</w:t>
      </w:r>
      <w:r>
        <w:rPr>
          <w:rFonts w:hint="eastAsia" w:ascii="宋体" w:hAnsi="宋体" w:eastAsia="宋体" w:cs="宋体"/>
          <w:sz w:val="24"/>
          <w:szCs w:val="24"/>
          <w:highlight w:val="none"/>
          <w:lang w:val="en-US" w:eastAsia="zh-CN"/>
        </w:rPr>
        <w:t>无</w:t>
      </w:r>
    </w:p>
    <w:p w14:paraId="275C50DF">
      <w:pPr>
        <w:keepNext w:val="0"/>
        <w:keepLines w:val="0"/>
        <w:pageBreakBefore w:val="0"/>
        <w:widowControl w:val="0"/>
        <w:spacing w:line="360" w:lineRule="auto"/>
        <w:ind w:firstLine="480"/>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w:t>
      </w:r>
    </w:p>
    <w:p w14:paraId="22EE9E6A">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4.本项目的其他资格要求：</w:t>
      </w:r>
    </w:p>
    <w:p w14:paraId="6596E3CE">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0E3137ED">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w:t>
      </w:r>
    </w:p>
    <w:p w14:paraId="3108C077">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（2）本项目</w:t>
      </w:r>
      <w:r>
        <w:rPr>
          <w:rFonts w:hint="eastAsia" w:ascii="宋体" w:hAnsi="宋体" w:eastAsia="宋体" w:cs="Times New Roman"/>
          <w:b/>
          <w:bCs/>
          <w:color w:val="auto"/>
          <w:sz w:val="24"/>
          <w:szCs w:val="24"/>
          <w:highlight w:val="none"/>
          <w:lang w:eastAsia="zh-CN"/>
        </w:rPr>
        <w:t>不</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147AE19F">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5.法律法规规定的其他条件。</w:t>
      </w:r>
    </w:p>
    <w:p w14:paraId="22685638">
      <w:pPr>
        <w:keepNext/>
        <w:keepLines w:val="0"/>
        <w:pageBreakBefore w:val="0"/>
        <w:widowControl w:val="0"/>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三、获取招标文件</w:t>
      </w:r>
    </w:p>
    <w:p w14:paraId="21257F28">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1．时间：</w:t>
      </w:r>
      <w:r>
        <w:rPr>
          <w:rFonts w:hint="eastAsia" w:ascii="宋体" w:hAnsi="宋体" w:eastAsia="宋体" w:cs="Times New Roman"/>
          <w:color w:val="auto"/>
          <w:sz w:val="24"/>
          <w:szCs w:val="24"/>
          <w:highlight w:val="none"/>
          <w:lang w:eastAsia="zh-CN"/>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07</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日至</w:t>
      </w:r>
      <w:r>
        <w:rPr>
          <w:rFonts w:hint="eastAsia" w:ascii="宋体" w:hAnsi="宋体" w:eastAsia="宋体" w:cs="Times New Roman"/>
          <w:color w:val="auto"/>
          <w:sz w:val="24"/>
          <w:szCs w:val="24"/>
          <w:highlight w:val="none"/>
          <w:lang w:eastAsia="zh-CN"/>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06</w:t>
      </w:r>
      <w:r>
        <w:rPr>
          <w:rFonts w:hint="eastAsia" w:ascii="宋体" w:hAnsi="宋体" w:eastAsia="宋体" w:cs="Times New Roman"/>
          <w:color w:val="auto"/>
          <w:sz w:val="24"/>
          <w:szCs w:val="24"/>
          <w:highlight w:val="none"/>
        </w:rPr>
        <w:t>日</w:t>
      </w:r>
      <w:r>
        <w:rPr>
          <w:rFonts w:hint="eastAsia" w:ascii="宋体" w:hAnsi="宋体"/>
          <w:color w:val="auto"/>
          <w:sz w:val="24"/>
          <w:highlight w:val="none"/>
        </w:rPr>
        <w:t>23:59止（北京时间）</w:t>
      </w:r>
      <w:r>
        <w:rPr>
          <w:rFonts w:hint="eastAsia" w:ascii="宋体" w:hAnsi="宋体" w:eastAsia="宋体" w:cs="Times New Roman"/>
          <w:color w:val="auto"/>
          <w:sz w:val="24"/>
          <w:szCs w:val="24"/>
          <w:highlight w:val="none"/>
        </w:rPr>
        <w:t>。</w:t>
      </w:r>
    </w:p>
    <w:p w14:paraId="4C261112">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2．获取方式：本项目采用网上注册登记方式。</w:t>
      </w:r>
    </w:p>
    <w:p w14:paraId="721718F9">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2.1潜在投标人访问电子招标投标交易平台的网络地址和方法：</w:t>
      </w:r>
    </w:p>
    <w:p w14:paraId="16D7E184">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83BCC3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（2）潜在供应商访问“苏采云”系统的网络地址和方法：</w:t>
      </w:r>
    </w:p>
    <w:p w14:paraId="1F0C268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“苏采云”系统的网址：http://jszfcg.jsczt.cn/。</w:t>
      </w:r>
    </w:p>
    <w:p w14:paraId="32E6D41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（3）“CA数字证书”的获取：</w:t>
      </w:r>
    </w:p>
    <w:p w14:paraId="22FB30E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http://jsxcmm.com/help/gys.html”</w:t>
      </w:r>
      <w:r>
        <w:rPr>
          <w:rFonts w:hint="eastAsia" w:ascii="宋体" w:hAnsi="宋体" w:eastAsia="宋体" w:cs="Times New Roman"/>
          <w:color w:val="auto"/>
          <w:sz w:val="24"/>
          <w:szCs w:val="24"/>
          <w:highlight w:val="none"/>
        </w:rPr>
        <w:t>。</w:t>
      </w:r>
    </w:p>
    <w:p w14:paraId="2AE42B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（4）采购文件（后缀名为“.kedt”）、供应商操作手册及政府采购客户端工具可通过“苏采云”系统--已报名项目--报名详情页面内相应链接进行下载。</w:t>
      </w:r>
    </w:p>
    <w:p w14:paraId="4BCF12A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（5）招标代理机构（采购代理机构）将数据电文形式的采购文件加载至“苏采云”系统，供潜在供应商下载或者查阅。</w:t>
      </w:r>
    </w:p>
    <w:p w14:paraId="2FD38A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3.地点：网上注册登记成功后系统内免费下载。</w:t>
      </w:r>
    </w:p>
    <w:p w14:paraId="6CF47D7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4.售价：免费</w:t>
      </w:r>
    </w:p>
    <w:p w14:paraId="4158285B">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四、提交投标文件截止时间、开标时间和地点</w:t>
      </w:r>
    </w:p>
    <w:p w14:paraId="0F9E35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1.投标文件接收时间</w:t>
      </w:r>
    </w:p>
    <w:p w14:paraId="458B8F9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21</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:00:00（北京时间）</w:t>
      </w:r>
    </w:p>
    <w:p w14:paraId="3E8C8A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5B4E9EF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21</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:00:00（北京时间）</w:t>
      </w:r>
    </w:p>
    <w:p w14:paraId="474B69A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开标地点：“苏采云”系统 “开标大厅”</w:t>
      </w:r>
    </w:p>
    <w:p w14:paraId="5331FB5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开标大厅网址：</w:t>
      </w:r>
    </w:p>
    <w:p w14:paraId="75CA440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http://jszfcg.jsczt.cn/</w:t>
      </w:r>
    </w:p>
    <w:p w14:paraId="3E1ADE9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五、公告期限</w:t>
      </w:r>
    </w:p>
    <w:p w14:paraId="671536F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自本公告发布之日起5个工作日。</w:t>
      </w:r>
    </w:p>
    <w:p w14:paraId="7126E0F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六、其他补充事宜</w:t>
      </w:r>
    </w:p>
    <w:p w14:paraId="6FFAA6F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本次公开招标不收取投标保证金。</w:t>
      </w:r>
    </w:p>
    <w:p w14:paraId="3F844B8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2.本招标文件中标注★的款项为实质性响应要求和条件，必须</w:t>
      </w:r>
      <w:r>
        <w:rPr>
          <w:rFonts w:hint="eastAsia" w:ascii="宋体" w:hAnsi="宋体" w:eastAsia="宋体" w:cs="Times New Roman"/>
          <w:b/>
          <w:color w:val="auto"/>
          <w:sz w:val="24"/>
          <w:szCs w:val="24"/>
          <w:highlight w:val="none"/>
        </w:rPr>
        <w:t>逐条</w:t>
      </w:r>
      <w:r>
        <w:rPr>
          <w:rFonts w:hint="eastAsia" w:ascii="宋体" w:hAnsi="宋体" w:eastAsia="宋体" w:cs="Times New Roman"/>
          <w:color w:val="auto"/>
          <w:sz w:val="24"/>
          <w:szCs w:val="24"/>
          <w:highlight w:val="none"/>
        </w:rPr>
        <w:t>做出满足要求和条件的响应，否则将按无效响应处理。</w:t>
      </w:r>
    </w:p>
    <w:p w14:paraId="70828DA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50353F7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七、对本次招标提出询问，请按以下方式联系。</w:t>
      </w:r>
    </w:p>
    <w:p w14:paraId="6FC04581">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514FD9BF">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w:t>
      </w:r>
      <w:r>
        <w:rPr>
          <w:rFonts w:hint="eastAsia" w:ascii="宋体" w:hAnsi="宋体" w:eastAsia="宋体" w:cs="Times New Roman"/>
          <w:color w:val="auto"/>
          <w:sz w:val="24"/>
          <w:szCs w:val="24"/>
          <w:highlight w:val="none"/>
          <w:lang w:eastAsia="zh-CN"/>
        </w:rPr>
        <w:t>灌南县综合行政执法局</w:t>
      </w:r>
    </w:p>
    <w:p w14:paraId="206A5D07">
      <w:pPr>
        <w:keepNext w:val="0"/>
        <w:keepLines w:val="0"/>
        <w:pageBreakBefore w:val="0"/>
        <w:widowControl w:val="0"/>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eastAsia="宋体"/>
          <w:sz w:val="24"/>
          <w:lang w:val="en-US" w:eastAsia="zh-CN"/>
        </w:rPr>
        <w:t>灌南县人民东路165号</w:t>
      </w:r>
    </w:p>
    <w:p w14:paraId="417C5B2D">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联系人：周波</w:t>
      </w:r>
    </w:p>
    <w:p w14:paraId="52309F68">
      <w:pPr>
        <w:keepNext w:val="0"/>
        <w:keepLines w:val="0"/>
        <w:pageBreakBefore w:val="0"/>
        <w:widowControl w:val="0"/>
        <w:spacing w:line="500" w:lineRule="exact"/>
        <w:ind w:firstLine="480"/>
        <w:jc w:val="left"/>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联系方式：0518-83299013</w:t>
      </w:r>
    </w:p>
    <w:p w14:paraId="1D8C5AC8">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36AF332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名称：江苏仁禾中衡工程咨询房地产估价有限公司</w:t>
      </w:r>
    </w:p>
    <w:p w14:paraId="28DDA33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s="宋体"/>
          <w:sz w:val="24"/>
          <w:szCs w:val="24"/>
          <w:highlight w:val="none"/>
        </w:rPr>
        <w:t>连云港市海州区解放东路138号</w:t>
      </w:r>
    </w:p>
    <w:p w14:paraId="3A04C516">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sz w:val="24"/>
          <w:szCs w:val="24"/>
          <w:highlight w:val="none"/>
        </w:rPr>
        <w:t>许工</w:t>
      </w:r>
    </w:p>
    <w:p w14:paraId="33103203">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13851238815</w:t>
      </w:r>
    </w:p>
    <w:p w14:paraId="6EAA0AF5">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2DA92EE3">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项目联系人：许工</w:t>
      </w:r>
    </w:p>
    <w:p w14:paraId="4FF2A83D">
      <w:pPr>
        <w:keepNext/>
        <w:spacing w:line="360" w:lineRule="auto"/>
        <w:ind w:firstLine="480"/>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电话：0518-85833367</w:t>
      </w:r>
    </w:p>
    <w:p w14:paraId="66FC058F">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八、电子招投标说明</w:t>
      </w:r>
    </w:p>
    <w:p w14:paraId="67A6663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1.本项目采用电子招标投标，请供应商严格按照招标文件的规定编制、提交投标文件，否则所造成的一切不利后果由供应商自行承担。</w:t>
      </w:r>
    </w:p>
    <w:p w14:paraId="761FEB7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2.投标人应当通过“苏采云”系统提交数据电文形式的投标文件（即电子投标）。</w:t>
      </w:r>
    </w:p>
    <w:p w14:paraId="353B443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特别说明：通过“苏采云”系统提交政府采购客户端工具导出加密的投标文件（后缀名为zip）。投标文件不得超过150M！</w:t>
      </w:r>
    </w:p>
    <w:p w14:paraId="370F21C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说明：本项目采用线上投标，即供应商投标文件从政府采购客户端工具制作通过“苏采云”系统提交，未提供线上投标文件的，投标无效。</w:t>
      </w:r>
    </w:p>
    <w:p w14:paraId="02284A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登录</w:t>
      </w:r>
      <w:r>
        <w:rPr>
          <w:rFonts w:hint="eastAsia" w:ascii="宋体" w:hAnsi="宋体" w:eastAsia="宋体" w:cs="Times New Roman"/>
          <w:color w:val="auto"/>
          <w:sz w:val="24"/>
          <w:szCs w:val="24"/>
          <w:highlight w:val="none"/>
        </w:rPr>
        <w:t>“苏采云”系统在线编制投标文件（电子数据），并在投标截止时间之前上传投标文件。</w:t>
      </w:r>
    </w:p>
    <w:p w14:paraId="717E16D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投标人应在达到开标时间后，使用CA数字证书解密各自投标文件。</w:t>
      </w:r>
    </w:p>
    <w:p w14:paraId="6015DDC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53B9845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所有投标人解密（或解密时间）结束后，“苏采云”系统生成开标记录并向社会公众公布，但依法应当保密的除外。</w:t>
      </w:r>
    </w:p>
    <w:p w14:paraId="6CC37D46">
      <w:pPr>
        <w:spacing w:line="360" w:lineRule="auto"/>
        <w:rPr>
          <w:rFonts w:ascii="宋体" w:hAnsi="宋体" w:eastAsia="宋体" w:cs="Times New Roman"/>
          <w:color w:val="auto"/>
          <w:sz w:val="24"/>
          <w:szCs w:val="24"/>
          <w:highlight w:val="none"/>
        </w:rPr>
      </w:pPr>
    </w:p>
    <w:p w14:paraId="11E8DB4E">
      <w:pPr>
        <w:spacing w:line="360" w:lineRule="auto"/>
        <w:ind w:firstLine="48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江苏仁禾中衡工程咨询房地产估价有限公司</w:t>
      </w:r>
    </w:p>
    <w:p w14:paraId="2CDFFBA7">
      <w:pPr>
        <w:keepNext/>
        <w:keepLines/>
        <w:spacing w:line="360" w:lineRule="auto"/>
        <w:jc w:val="center"/>
        <w:outlineLvl w:val="0"/>
        <w:rPr>
          <w:rFonts w:ascii="Times New Roman" w:hAnsi="Times New Roman" w:eastAsia="黑体" w:cs="Times New Roman"/>
          <w:b/>
          <w:color w:val="auto"/>
          <w:sz w:val="36"/>
          <w:szCs w:val="36"/>
          <w:highlight w:val="none"/>
        </w:rPr>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07</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w:t>
      </w:r>
      <w:r>
        <w:rPr>
          <w:rFonts w:ascii="Times New Roman" w:hAnsi="Times New Roman" w:eastAsia="黑体" w:cs="Times New Roman"/>
          <w:b/>
          <w:color w:val="auto"/>
          <w:sz w:val="36"/>
          <w:szCs w:val="20"/>
          <w:highlight w:val="none"/>
        </w:rPr>
        <w:br w:type="page" w:clear="all"/>
      </w:r>
      <w:bookmarkStart w:id="5" w:name="_Toc150765435"/>
      <w:bookmarkStart w:id="6" w:name="_Toc513622227"/>
      <w:r>
        <w:rPr>
          <w:rFonts w:hint="eastAsia" w:ascii="Times New Roman" w:hAnsi="宋体" w:eastAsia="黑体" w:cs="Times New Roman"/>
          <w:color w:val="auto"/>
          <w:sz w:val="36"/>
          <w:szCs w:val="20"/>
          <w:highlight w:val="none"/>
        </w:rPr>
        <w:t>第二章投标人须知</w:t>
      </w:r>
      <w:bookmarkEnd w:id="1"/>
      <w:bookmarkEnd w:id="2"/>
      <w:bookmarkEnd w:id="5"/>
      <w:bookmarkEnd w:id="6"/>
    </w:p>
    <w:p w14:paraId="419008B4">
      <w:pPr>
        <w:pStyle w:val="3"/>
        <w:numPr>
          <w:ilvl w:val="0"/>
          <w:numId w:val="0"/>
        </w:numPr>
        <w:rPr>
          <w:b w:val="0"/>
          <w:color w:val="auto"/>
          <w:highlight w:val="none"/>
        </w:rPr>
      </w:pPr>
      <w:r>
        <w:rPr>
          <w:rFonts w:hint="eastAsia"/>
          <w:color w:val="auto"/>
          <w:highlight w:val="none"/>
        </w:rPr>
        <w:t>一、总则</w:t>
      </w:r>
    </w:p>
    <w:p w14:paraId="1778C67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采购人、项目（标段）名称及编号，详见第一章“投标邀请”。</w:t>
      </w:r>
    </w:p>
    <w:p w14:paraId="66B0B99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采购预算</w:t>
      </w:r>
    </w:p>
    <w:p w14:paraId="41A0030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本项目的采购预算，详见第一章“投标邀请”。</w:t>
      </w:r>
    </w:p>
    <w:p w14:paraId="23155FF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资金来源</w:t>
      </w:r>
    </w:p>
    <w:p w14:paraId="2BAB57E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“投标邀请”中所述的采购人已获得一笔政府采购资金，用于采购第六章“项目需求”所列内容。</w:t>
      </w:r>
    </w:p>
    <w:p w14:paraId="184CA54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采购方式</w:t>
      </w:r>
    </w:p>
    <w:p w14:paraId="3010A4B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本项目采用公开招标采购方式，招标、投标、开标、评标和中标结果发布全程电子化。</w:t>
      </w:r>
    </w:p>
    <w:p w14:paraId="1D34881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合格的投标人</w:t>
      </w:r>
    </w:p>
    <w:p w14:paraId="53D602D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投标人应符合第一章“投标邀请”中规定的条件，</w:t>
      </w:r>
      <w:r>
        <w:rPr>
          <w:rFonts w:hint="eastAsia" w:ascii="宋体" w:hAnsi="宋体" w:eastAsia="宋体" w:cs="Times New Roman"/>
          <w:b/>
          <w:bCs/>
          <w:color w:val="auto"/>
          <w:sz w:val="24"/>
          <w:szCs w:val="24"/>
          <w:highlight w:val="none"/>
        </w:rPr>
        <w:t>否则投标无效</w:t>
      </w:r>
      <w:r>
        <w:rPr>
          <w:rFonts w:hint="eastAsia" w:ascii="宋体" w:hAnsi="宋体" w:eastAsia="宋体" w:cs="Times New Roman"/>
          <w:color w:val="auto"/>
          <w:sz w:val="24"/>
          <w:szCs w:val="24"/>
          <w:highlight w:val="none"/>
        </w:rPr>
        <w:t>。</w:t>
      </w:r>
    </w:p>
    <w:p w14:paraId="0624657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p>
    <w:p w14:paraId="02F553E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0E62D0B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5.4 符合上述条件的投标人应承担投标及履约过程应承担的全部责任与义务。</w:t>
      </w:r>
    </w:p>
    <w:p w14:paraId="0025A6C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投标费用</w:t>
      </w:r>
    </w:p>
    <w:p w14:paraId="2E206D1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不论投标结果如何，投标人均应自行承担所有与编写和提交投标文件有关的全部费用。</w:t>
      </w:r>
    </w:p>
    <w:p w14:paraId="08D7E93A">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6.2本次采购代理费按17000元计取，投标人在报价时应综合考虑以上相关费用，但不得单列。相关费用必须在中标公示后中标通知书发出前由中标人一次性付清。</w:t>
      </w:r>
    </w:p>
    <w:p w14:paraId="31E3930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 xml:space="preserve"> 质疑</w:t>
      </w:r>
    </w:p>
    <w:p w14:paraId="0EDAB32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质疑的提出</w:t>
      </w:r>
    </w:p>
    <w:p w14:paraId="2118DD1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7.1.1 提出质疑的供应商应当是参与所质疑项目采购活动的供应商。</w:t>
      </w:r>
    </w:p>
    <w:p w14:paraId="50628D86">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江苏仁禾中衡工程咨询房地产估价有限公司</w:t>
      </w:r>
      <w:r>
        <w:rPr>
          <w:rFonts w:hint="eastAsia" w:ascii="宋体" w:hAnsi="宋体" w:eastAsia="宋体" w:cs="Times New Roman"/>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未依照采购公告要求获取招标文件的供应商，视为未参与该项目的采购活动，不具备对该招标文件提出质疑的法定权利。</w:t>
      </w:r>
    </w:p>
    <w:p w14:paraId="2822180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应当依法申请具有法定职权的部门查清、认定，并将相关结果提供给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不具有法定调查、认定权限。</w:t>
      </w:r>
    </w:p>
    <w:p w14:paraId="01E53B2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质疑函的接收方式为供应商书面原件提交</w:t>
      </w:r>
      <w:r>
        <w:rPr>
          <w:rFonts w:hint="eastAsia" w:ascii="宋体" w:hAnsi="宋体" w:eastAsia="宋体" w:cs="Times New Roman"/>
          <w:color w:val="auto"/>
          <w:sz w:val="24"/>
          <w:szCs w:val="24"/>
          <w:highlight w:val="none"/>
        </w:rPr>
        <w:t>。联系部门、联系电话和通讯地址详见第一章“投标邀请”。</w:t>
      </w:r>
      <w:r>
        <w:rPr>
          <w:rFonts w:ascii="宋体" w:hAnsi="宋体" w:eastAsia="宋体" w:cs="Times New Roman"/>
          <w:color w:val="auto"/>
          <w:sz w:val="24"/>
          <w:szCs w:val="24"/>
          <w:highlight w:val="none"/>
        </w:rPr>
        <w:t>质疑实行实名制，不得进行虚假、恶意质疑。</w:t>
      </w:r>
    </w:p>
    <w:p w14:paraId="46D56FD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7.1.5 质疑函应当使用范本（详见连云港市政府采购交易平台-监管信息-意见反馈）。</w:t>
      </w:r>
    </w:p>
    <w:p w14:paraId="6B7222C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供应商提出质疑</w:t>
      </w:r>
      <w:r>
        <w:rPr>
          <w:rFonts w:hint="eastAsia" w:ascii="宋体" w:hAnsi="宋体" w:eastAsia="宋体" w:cs="Times New Roman"/>
          <w:b/>
          <w:color w:val="auto"/>
          <w:sz w:val="24"/>
          <w:szCs w:val="24"/>
          <w:highlight w:val="none"/>
        </w:rPr>
        <w:t>应当提交质疑函和必要的证明材料</w:t>
      </w:r>
      <w:r>
        <w:rPr>
          <w:rFonts w:hint="eastAsia" w:ascii="宋体" w:hAnsi="宋体" w:eastAsia="宋体" w:cs="Times New Roman"/>
          <w:color w:val="auto"/>
          <w:sz w:val="24"/>
          <w:szCs w:val="24"/>
          <w:highlight w:val="none"/>
        </w:rPr>
        <w:t>，应当包括下列内容：</w:t>
      </w:r>
    </w:p>
    <w:p w14:paraId="2C87ED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供应商的姓名或者名称、地址、邮编、联系人及联系电话；</w:t>
      </w:r>
    </w:p>
    <w:p w14:paraId="4509A23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质疑项目的名称、编号；</w:t>
      </w:r>
    </w:p>
    <w:p w14:paraId="721A070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具体、明确的质疑事项和与质疑事项相关的请求；</w:t>
      </w:r>
    </w:p>
    <w:p w14:paraId="520A265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事实依据；</w:t>
      </w:r>
    </w:p>
    <w:p w14:paraId="0E4CAC0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必要的法律依据；</w:t>
      </w:r>
    </w:p>
    <w:p w14:paraId="7C8E856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提出质疑的日期；</w:t>
      </w:r>
    </w:p>
    <w:p w14:paraId="2E45325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rPr>
        <w:t>必要的证明材料；</w:t>
      </w:r>
    </w:p>
    <w:p w14:paraId="556B4503">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（8）招标文件(交易文件)下载回执函；</w:t>
      </w:r>
    </w:p>
    <w:p w14:paraId="4E2CF66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营业执照复印件及法定代表人授权委托书、法定代表人身份证复印件、委托代理人身份证复印件。</w:t>
      </w:r>
    </w:p>
    <w:p w14:paraId="122791E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供应商为自然人的，应当由本人签字；供应商为法人或者其他组织的，应当由法定代表人、主要负责人，或者其授权代理人签字或者盖章，并加盖单位公章。</w:t>
      </w:r>
    </w:p>
    <w:p w14:paraId="0086050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质疑函的受理和答复</w:t>
      </w:r>
    </w:p>
    <w:p w14:paraId="083FFC5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w:t>
      </w:r>
      <w:r>
        <w:rPr>
          <w:rFonts w:hint="eastAsia" w:ascii="宋体" w:hAnsi="宋体" w:eastAsia="宋体" w:cs="Times New Roman"/>
          <w:color w:val="auto"/>
          <w:sz w:val="24"/>
          <w:szCs w:val="24"/>
          <w:highlight w:val="none"/>
        </w:rPr>
        <w:t>当</w:t>
      </w:r>
      <w:r>
        <w:rPr>
          <w:rFonts w:ascii="宋体" w:hAnsi="宋体" w:eastAsia="宋体" w:cs="Times New Roman"/>
          <w:color w:val="auto"/>
          <w:sz w:val="24"/>
          <w:szCs w:val="24"/>
          <w:highlight w:val="none"/>
        </w:rPr>
        <w:t>保证其提出的质疑事项及必要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证明材料的真实性及来源的合法性，并承担相应的法律责任。</w:t>
      </w:r>
      <w:r>
        <w:rPr>
          <w:rFonts w:ascii="宋体" w:hAnsi="宋体" w:eastAsia="宋体" w:cs="Times New Roman"/>
          <w:b/>
          <w:color w:val="auto"/>
          <w:sz w:val="24"/>
          <w:szCs w:val="24"/>
          <w:highlight w:val="none"/>
        </w:rPr>
        <w:t>对不能提供必要</w:t>
      </w:r>
      <w:r>
        <w:rPr>
          <w:rFonts w:hint="eastAsia" w:ascii="宋体" w:hAnsi="宋体" w:eastAsia="宋体" w:cs="Times New Roman"/>
          <w:b/>
          <w:color w:val="auto"/>
          <w:sz w:val="24"/>
          <w:szCs w:val="24"/>
          <w:highlight w:val="none"/>
        </w:rPr>
        <w:t>的</w:t>
      </w:r>
      <w:r>
        <w:rPr>
          <w:rFonts w:ascii="宋体" w:hAnsi="宋体" w:eastAsia="宋体" w:cs="Times New Roman"/>
          <w:b/>
          <w:color w:val="auto"/>
          <w:sz w:val="24"/>
          <w:szCs w:val="24"/>
          <w:highlight w:val="none"/>
        </w:rPr>
        <w:t>证明材料的、涉及商业秘密的、非书面原件形式的、匿名的质疑函将不予受理</w:t>
      </w:r>
      <w:r>
        <w:rPr>
          <w:rFonts w:ascii="宋体" w:hAnsi="宋体" w:eastAsia="宋体" w:cs="Times New Roman"/>
          <w:color w:val="auto"/>
          <w:sz w:val="24"/>
          <w:szCs w:val="24"/>
          <w:highlight w:val="none"/>
        </w:rPr>
        <w:t>。必要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证明材料要具备客观性、关联性、合法性，无法查实的</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如宣传册、媒体报道、猜测、推理等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不能作为证明材料。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不负责搜集必要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证明材料等工作。</w:t>
      </w:r>
    </w:p>
    <w:p w14:paraId="43AEB62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对符合质疑要求的，</w:t>
      </w:r>
      <w:r>
        <w:rPr>
          <w:rFonts w:hint="eastAsia" w:ascii="宋体" w:hAnsi="宋体" w:eastAsia="宋体" w:cs="Times New Roman"/>
          <w:color w:val="auto"/>
          <w:sz w:val="24"/>
          <w:szCs w:val="24"/>
          <w:highlight w:val="none"/>
        </w:rPr>
        <w:t>采购人、采购代理机构接收</w:t>
      </w:r>
      <w:r>
        <w:rPr>
          <w:rFonts w:ascii="宋体" w:hAnsi="宋体" w:eastAsia="宋体" w:cs="Times New Roman"/>
          <w:color w:val="auto"/>
          <w:sz w:val="24"/>
          <w:szCs w:val="24"/>
          <w:highlight w:val="none"/>
        </w:rPr>
        <w:t>并登记。在处理过程中，发现需要质疑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进一步补充必要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证明材料的，质疑</w:t>
      </w:r>
      <w:r>
        <w:rPr>
          <w:rFonts w:hint="eastAsia" w:ascii="宋体" w:hAnsi="宋体" w:eastAsia="宋体" w:cs="Times New Roman"/>
          <w:color w:val="auto"/>
          <w:sz w:val="24"/>
          <w:szCs w:val="24"/>
          <w:highlight w:val="none"/>
        </w:rPr>
        <w:t>供应商应</w:t>
      </w:r>
      <w:r>
        <w:rPr>
          <w:rFonts w:ascii="宋体" w:hAnsi="宋体" w:eastAsia="宋体" w:cs="Times New Roman"/>
          <w:color w:val="auto"/>
          <w:sz w:val="24"/>
          <w:szCs w:val="24"/>
          <w:highlight w:val="none"/>
        </w:rPr>
        <w:t>在法定的时间内提供，质疑答复时间相应顺延。质疑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不能按时提供必要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26CF8B4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对不符合质疑要求的，</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有权要求其补充必要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未在法定的时间内提供补充必要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74D93AC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7.2.4 采购人、采购代理机构</w:t>
      </w:r>
      <w:r>
        <w:rPr>
          <w:rFonts w:ascii="宋体" w:hAnsi="宋体" w:eastAsia="宋体" w:cs="Times New Roman"/>
          <w:color w:val="auto"/>
          <w:sz w:val="24"/>
          <w:szCs w:val="24"/>
          <w:highlight w:val="none"/>
        </w:rPr>
        <w:t>负责将质疑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提出的质疑函及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材料提供给评审委员会协助答复，并将答复意见回复质疑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。必要时，可向被质疑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转发《质疑函》及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应当在要求的时间内，以书面形式作出说明并提交</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w:t>
      </w:r>
    </w:p>
    <w:p w14:paraId="6FA97A7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质疑处理</w:t>
      </w:r>
    </w:p>
    <w:p w14:paraId="0F61650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供应商未按照法定程序进行质疑投诉的，</w:t>
      </w:r>
      <w:r>
        <w:rPr>
          <w:rFonts w:ascii="宋体" w:hAnsi="宋体" w:eastAsia="宋体" w:cs="Times New Roman"/>
          <w:color w:val="auto"/>
          <w:sz w:val="24"/>
          <w:szCs w:val="24"/>
          <w:highlight w:val="none"/>
        </w:rPr>
        <w:t>视为一般失信行为。</w:t>
      </w:r>
    </w:p>
    <w:p w14:paraId="42C9880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供应商不配合或者采用不正当手段干扰政府采购质疑、投诉处理工作</w:t>
      </w:r>
      <w:r>
        <w:rPr>
          <w:rFonts w:ascii="宋体" w:hAnsi="宋体" w:eastAsia="宋体" w:cs="Times New Roman"/>
          <w:color w:val="auto"/>
          <w:sz w:val="24"/>
          <w:szCs w:val="24"/>
          <w:highlight w:val="none"/>
        </w:rPr>
        <w:t>的，视为一般失信行为。</w:t>
      </w:r>
    </w:p>
    <w:p w14:paraId="462BB2A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供应商投诉受理期间，就同一事项多头举报，干扰财政部门投诉处理</w:t>
      </w:r>
      <w:r>
        <w:rPr>
          <w:rFonts w:ascii="宋体" w:hAnsi="宋体" w:eastAsia="宋体" w:cs="Times New Roman"/>
          <w:color w:val="auto"/>
          <w:sz w:val="24"/>
          <w:szCs w:val="24"/>
          <w:highlight w:val="none"/>
        </w:rPr>
        <w:t>的，视为一般失信行为。</w:t>
      </w:r>
    </w:p>
    <w:p w14:paraId="2FB57D2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供应商在全国范围12个月内三次以上质疑查无实据</w:t>
      </w:r>
      <w:r>
        <w:rPr>
          <w:rFonts w:ascii="宋体" w:hAnsi="宋体" w:eastAsia="宋体" w:cs="Times New Roman"/>
          <w:color w:val="auto"/>
          <w:sz w:val="24"/>
          <w:szCs w:val="24"/>
          <w:highlight w:val="none"/>
        </w:rPr>
        <w:t>的，视为一般失信行为。</w:t>
      </w:r>
    </w:p>
    <w:p w14:paraId="00FF27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供应商采用捏造事实、提供虚假材料或者以非法手段取得证明材料等方式进行虚假、恶意投诉</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（证据来源的合法性存在明显疑问，投诉人无法证明其取得方式合法的，视为以非法手段取得证明材料）</w:t>
      </w:r>
    </w:p>
    <w:p w14:paraId="49EFB20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供应商在全国范围12个月内三次以上投诉查无实据</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p>
    <w:p w14:paraId="5B0092E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未尽事宜，依照有关法律、法规执行。</w:t>
      </w:r>
    </w:p>
    <w:p w14:paraId="3E95D47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投诉</w:t>
      </w:r>
    </w:p>
    <w:p w14:paraId="7CD1B1C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8.1 投诉事项依照有关法律、法规执行。</w:t>
      </w:r>
    </w:p>
    <w:p w14:paraId="609FAFB7">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二、招标文件</w:t>
      </w:r>
    </w:p>
    <w:p w14:paraId="3B59BF3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招标文件构成</w:t>
      </w:r>
    </w:p>
    <w:p w14:paraId="53DFC0C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要求提供的货物、招标过程及合同条款在招标文件中均有说明，招标文件分为七章，各章的内容如下：</w:t>
      </w:r>
    </w:p>
    <w:p w14:paraId="444A402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投标邀请</w:t>
      </w:r>
    </w:p>
    <w:p w14:paraId="286450B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投标人须知</w:t>
      </w:r>
    </w:p>
    <w:p w14:paraId="04A149F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  政府采购合同格式</w:t>
      </w:r>
    </w:p>
    <w:p w14:paraId="7C47864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第四章  投标文件格式</w:t>
      </w:r>
    </w:p>
    <w:p w14:paraId="7A0411F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第五章  合同专用条款表</w:t>
      </w:r>
    </w:p>
    <w:p w14:paraId="565433C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第六章  项目需求</w:t>
      </w:r>
    </w:p>
    <w:p w14:paraId="793B278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第七章  评标办法</w:t>
      </w:r>
    </w:p>
    <w:p w14:paraId="4E9620B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招标文件的澄清或修改</w:t>
      </w:r>
    </w:p>
    <w:p w14:paraId="5AE3C0D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23A0772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034544C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1118886C">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三、投标文件的编制</w:t>
      </w:r>
    </w:p>
    <w:p w14:paraId="2E82674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投标文件编写注意事项</w:t>
      </w:r>
    </w:p>
    <w:p w14:paraId="43D0AF47">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无效响应处理</w:t>
      </w:r>
      <w:r>
        <w:rPr>
          <w:rFonts w:hint="eastAsia" w:ascii="宋体" w:hAnsi="宋体" w:eastAsia="宋体" w:cs="Times New Roman"/>
          <w:color w:val="auto"/>
          <w:sz w:val="24"/>
          <w:szCs w:val="24"/>
          <w:highlight w:val="none"/>
        </w:rPr>
        <w:t>。</w:t>
      </w:r>
    </w:p>
    <w:p w14:paraId="19DD879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作出满足原要求和条件的响应</w:t>
      </w:r>
      <w:r>
        <w:rPr>
          <w:rFonts w:hint="eastAsia" w:ascii="宋体" w:hAnsi="宋体" w:eastAsia="宋体" w:cs="Times New Roman"/>
          <w:color w:val="auto"/>
          <w:sz w:val="24"/>
          <w:szCs w:val="24"/>
          <w:highlight w:val="none"/>
        </w:rPr>
        <w:t>。</w:t>
      </w:r>
    </w:p>
    <w:p w14:paraId="0101D05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招标文件中标注★号的部分为实质性要求和条件</w:t>
      </w:r>
      <w:r>
        <w:rPr>
          <w:rFonts w:hint="eastAsia" w:ascii="宋体" w:hAnsi="宋体" w:eastAsia="宋体" w:cs="Times New Roman"/>
          <w:color w:val="auto"/>
          <w:sz w:val="24"/>
          <w:szCs w:val="24"/>
          <w:highlight w:val="none"/>
        </w:rPr>
        <w:t>。</w:t>
      </w:r>
    </w:p>
    <w:p w14:paraId="4887113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投标的语言及计量单位</w:t>
      </w:r>
    </w:p>
    <w:p w14:paraId="25F141B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投标人的投标文件以及投标人与采购代理机构就有关投标的所有来往函电统一使用中文（特别规定除外），既有中文也有外文的，以中文意义为准。</w:t>
      </w:r>
    </w:p>
    <w:p w14:paraId="6124A99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投标文件中使用的计量单位除招标文件中有特殊规定外，一律使用中国法定计量单位。</w:t>
      </w:r>
    </w:p>
    <w:p w14:paraId="5C95862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投标报价</w:t>
      </w:r>
    </w:p>
    <w:p w14:paraId="552D8B7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05A04E8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（1）投标的货物总价；</w:t>
      </w:r>
    </w:p>
    <w:p w14:paraId="624F406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（2）货物的标准附件、备品备件、专用工具、运输、装卸等各种费用；</w:t>
      </w:r>
    </w:p>
    <w:p w14:paraId="5F6293A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（3）必要的保险费用和各项税金；</w:t>
      </w:r>
    </w:p>
    <w:p w14:paraId="6FACE55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（4）投标总价要求包含安装维保费用。</w:t>
      </w:r>
    </w:p>
    <w:p w14:paraId="4A6E6F1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投标人可就第六章“项目需求”中的某个分标货物内容作完整唯一报价，也可就所有分标或某几个分标货物内容分别作完整唯一报价。</w:t>
      </w:r>
    </w:p>
    <w:p w14:paraId="283514F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投标货币</w:t>
      </w:r>
    </w:p>
    <w:p w14:paraId="1C7953F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投标应以人民币报价。</w:t>
      </w:r>
    </w:p>
    <w:p w14:paraId="6DFA36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投标文件有效期</w:t>
      </w:r>
    </w:p>
    <w:p w14:paraId="7341057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 本项目投标文件有效期为：投标文件接收截止时间结束后60天内，投标文件有效期不符合招标文件要求的，该投标人投标无效。</w:t>
      </w:r>
    </w:p>
    <w:p w14:paraId="55DC3F1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 在特殊情况下，采购代理机构可与投标人协商延长投标文件的有效期，这种要求与答复均应以书面形式提交。</w:t>
      </w:r>
    </w:p>
    <w:p w14:paraId="094EF8A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投标保证金</w:t>
      </w:r>
    </w:p>
    <w:p w14:paraId="166D019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本项目不收取投标保证金。</w:t>
      </w:r>
    </w:p>
    <w:p w14:paraId="1A8CC83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投标文件制作工具</w:t>
      </w:r>
    </w:p>
    <w:p w14:paraId="5166414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E98BBA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投标文件构成</w:t>
      </w:r>
    </w:p>
    <w:p w14:paraId="137FF2D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投标人编制的投标文件应包括</w:t>
      </w:r>
      <w:r>
        <w:rPr>
          <w:rFonts w:hint="eastAsia" w:ascii="宋体" w:hAnsi="宋体" w:eastAsia="宋体" w:cs="Times New Roman"/>
          <w:b/>
          <w:color w:val="auto"/>
          <w:sz w:val="24"/>
          <w:szCs w:val="24"/>
          <w:highlight w:val="none"/>
        </w:rPr>
        <w:t>商务文件、技术文件、评审因素所需材料和其他材料</w:t>
      </w:r>
      <w:r>
        <w:rPr>
          <w:rFonts w:hint="eastAsia" w:ascii="宋体" w:hAnsi="宋体" w:eastAsia="宋体" w:cs="Times New Roman"/>
          <w:color w:val="auto"/>
          <w:sz w:val="24"/>
          <w:szCs w:val="24"/>
          <w:highlight w:val="none"/>
        </w:rPr>
        <w:t>等内容，相关文件的提交如未特别注明可提供扫描件。</w:t>
      </w:r>
    </w:p>
    <w:p w14:paraId="0B9C7B7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投标文件格式：</w:t>
      </w:r>
    </w:p>
    <w:p w14:paraId="6F9BBE36">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填写投标人名称、投标人地址、法定代表人、委托代理人、日期等内容。</w:t>
      </w:r>
    </w:p>
    <w:p w14:paraId="6270156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商务文件：（政府采购政策有关材料可选提交；委托代理时必须提交法定代表人授权委托书，否则投标无效；其他文件必须提交，否则投标无效）</w:t>
      </w:r>
    </w:p>
    <w:p w14:paraId="540D159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（1）响应函：请按给定格式及要求填写。</w:t>
      </w:r>
    </w:p>
    <w:p w14:paraId="2FE3A88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（2）开标一览表：请按给定格式及要求填写。</w:t>
      </w:r>
    </w:p>
    <w:p w14:paraId="3C5B660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（3）投标产品配置及分项报价表：请按第四章“投标文件格式”提供的“投标产品配置及分项报价表”格式及要求填写。</w:t>
      </w:r>
    </w:p>
    <w:p w14:paraId="6346FE7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00FD149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（5）资格审查材料：</w:t>
      </w:r>
    </w:p>
    <w:p w14:paraId="6E1B374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3CAA437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（6）法定代表人授权委托书：请按给定格式及要求填写。</w:t>
      </w:r>
    </w:p>
    <w:p w14:paraId="00AFB05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（7）商务条款偏离表：请按给定格式及要求，并根据投标人投标承诺的商务条件与“合同条款”“合同专用条款表”“项目需求”等的差异填写。</w:t>
      </w:r>
    </w:p>
    <w:p w14:paraId="4B689C4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技术文件：</w:t>
      </w:r>
    </w:p>
    <w:p w14:paraId="6FD0E95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（1）技术标：可以但不限于技术方案、产品技术资料、招标文件规定的其他文件等，格式自定。</w:t>
      </w:r>
    </w:p>
    <w:p w14:paraId="07AB56B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（2）技术规格偏离表：按第四章“投标文件格式”提供的“技术规格偏离表”的格式及要求，根据投标人投标的货物与“项目需求”相关技术规格要求的差异填写。</w:t>
      </w:r>
    </w:p>
    <w:p w14:paraId="25EB33C9">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评审因素所需材料：</w:t>
      </w:r>
    </w:p>
    <w:p w14:paraId="64DB37B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456F7F21">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其他材料：</w:t>
      </w:r>
    </w:p>
    <w:p w14:paraId="6845366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6094F33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 生成投标文件</w:t>
      </w:r>
    </w:p>
    <w:p w14:paraId="197BB9F6">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19.1 投标文件应由</w:t>
      </w:r>
      <w:r>
        <w:rPr>
          <w:rFonts w:hint="eastAsia" w:ascii="宋体" w:hAnsi="宋体" w:eastAsia="宋体" w:cs="Times New Roman"/>
          <w:b/>
          <w:color w:val="auto"/>
          <w:sz w:val="24"/>
          <w:szCs w:val="24"/>
          <w:highlight w:val="none"/>
        </w:rPr>
        <w:t>法定代表人或其委托代理人</w:t>
      </w:r>
      <w:r>
        <w:rPr>
          <w:rFonts w:hint="eastAsia" w:ascii="宋体" w:hAnsi="宋体" w:eastAsia="宋体" w:cs="Times New Roman"/>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使用电子签章</w:t>
      </w:r>
      <w:r>
        <w:rPr>
          <w:rFonts w:hint="eastAsia" w:ascii="宋体" w:hAnsi="宋体" w:eastAsia="宋体" w:cs="Times New Roman"/>
          <w:color w:val="auto"/>
          <w:sz w:val="24"/>
          <w:szCs w:val="24"/>
          <w:highlight w:val="none"/>
        </w:rPr>
        <w:t>，本招标文件所表述的公章是指刻有投标人法定名称的印章，不包括合同、财务、税务、发票等形式的业务专用章。</w:t>
      </w:r>
    </w:p>
    <w:p w14:paraId="0173154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 电子投标文件不得涂改、行间插字或删除，如出现上述情况应重新编制。</w:t>
      </w:r>
    </w:p>
    <w:p w14:paraId="02040CD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19.3 投标文件制作工具生成内容相同、加密与未加密两个版本电子投标文件，加密版本用于提交上传</w:t>
      </w:r>
      <w:r>
        <w:rPr>
          <w:rFonts w:ascii="宋体" w:hAnsi="宋体" w:eastAsia="宋体" w:cs="Times New Roman"/>
          <w:color w:val="auto"/>
          <w:sz w:val="24"/>
          <w:szCs w:val="24"/>
          <w:highlight w:val="none"/>
        </w:rPr>
        <w:t>，未加密版本用于特殊情况处理。</w:t>
      </w:r>
    </w:p>
    <w:p w14:paraId="0D1EC5B1">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四、投标文件及样品的提交</w:t>
      </w:r>
    </w:p>
    <w:p w14:paraId="20F04C5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投标文件的上传、修改和撤回</w:t>
      </w:r>
    </w:p>
    <w:p w14:paraId="3E3B59A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不予接收</w:t>
      </w:r>
      <w:r>
        <w:rPr>
          <w:rFonts w:hint="eastAsia" w:ascii="宋体" w:hAnsi="宋体" w:eastAsia="宋体" w:cs="Times New Roman"/>
          <w:color w:val="auto"/>
          <w:sz w:val="24"/>
          <w:szCs w:val="24"/>
          <w:highlight w:val="none"/>
        </w:rPr>
        <w:t>。</w:t>
      </w:r>
    </w:p>
    <w:p w14:paraId="46D466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 投标人在上传投标文件后可以对其修改或撤回，但这种修改或撤回，必须在规定的投标截止时间前。</w:t>
      </w:r>
    </w:p>
    <w:p w14:paraId="6241613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对电子投标文件的修改，投标人可以在投标截止时间前登录电子交易平台撤回文件，并上传新的投标文件，投标文件以最终完成上传的为准。</w:t>
      </w:r>
    </w:p>
    <w:p w14:paraId="41950E65">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20.4 投标人不得在投标截止时间后修改投标文件，也不得在投标截止时间起至投标有效期满前撤回投标文件。</w:t>
      </w:r>
    </w:p>
    <w:p w14:paraId="1AC1881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提交投标样品截止时间和地点</w:t>
      </w:r>
    </w:p>
    <w:p w14:paraId="2C36A21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 采购项目需要提交样品的，投标人应当于招标文件规定的样品接收截止</w:t>
      </w:r>
      <w:r>
        <w:rPr>
          <w:rFonts w:hint="eastAsia" w:ascii="宋体" w:hAnsi="宋体" w:eastAsia="宋体" w:cs="Times New Roman"/>
          <w:bCs/>
          <w:color w:val="auto"/>
          <w:sz w:val="24"/>
          <w:szCs w:val="24"/>
          <w:highlight w:val="none"/>
        </w:rPr>
        <w:t>时间前将样品送达指定地点并登记完毕，</w:t>
      </w:r>
      <w:r>
        <w:rPr>
          <w:rFonts w:hint="eastAsia" w:ascii="宋体" w:hAnsi="宋体" w:eastAsia="宋体" w:cs="Times New Roman"/>
          <w:b/>
          <w:bCs/>
          <w:color w:val="auto"/>
          <w:sz w:val="24"/>
          <w:szCs w:val="24"/>
          <w:highlight w:val="none"/>
        </w:rPr>
        <w:t>否则不予接收</w:t>
      </w:r>
      <w:r>
        <w:rPr>
          <w:rFonts w:hint="eastAsia" w:ascii="宋体" w:hAnsi="宋体" w:eastAsia="宋体" w:cs="Times New Roman"/>
          <w:color w:val="auto"/>
          <w:sz w:val="24"/>
          <w:szCs w:val="24"/>
          <w:highlight w:val="none"/>
        </w:rPr>
        <w:t>。</w:t>
      </w:r>
    </w:p>
    <w:p w14:paraId="0B41E2D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66CB500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五、开标与评标</w:t>
      </w:r>
    </w:p>
    <w:p w14:paraId="0816087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开标</w:t>
      </w:r>
    </w:p>
    <w:p w14:paraId="5C9AFBF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准备身份证件和用于生成、加密和上传电子投标文件的CA数字证书参加开标会</w:t>
      </w:r>
      <w:r>
        <w:rPr>
          <w:rFonts w:hint="eastAsia" w:ascii="宋体" w:hAnsi="宋体" w:eastAsia="宋体" w:cs="Times New Roman"/>
          <w:color w:val="auto"/>
          <w:sz w:val="24"/>
          <w:szCs w:val="24"/>
          <w:highlight w:val="none"/>
        </w:rPr>
        <w:t>。</w:t>
      </w:r>
    </w:p>
    <w:p w14:paraId="1113FDD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线下开标的，供应商必须按规定时间递交CA数字证书，</w:t>
      </w:r>
      <w:r>
        <w:rPr>
          <w:rFonts w:hint="eastAsia" w:ascii="宋体" w:hAnsi="宋体" w:eastAsia="宋体" w:cs="Times New Roman"/>
          <w:b/>
          <w:color w:val="auto"/>
          <w:sz w:val="24"/>
          <w:szCs w:val="24"/>
          <w:highlight w:val="none"/>
        </w:rPr>
        <w:t>超过截止时间的采购代理机构有权拒收，视为放弃投标（响应）和放弃对开标（开启）全过程提出疑义的权利，并承担由此导致的一切后果。</w:t>
      </w:r>
    </w:p>
    <w:p w14:paraId="23595FB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7D4AA0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供应商未参加开标会的，视同认可开标结果。</w:t>
      </w:r>
    </w:p>
    <w:p w14:paraId="22E05D0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 开标程序：</w:t>
      </w:r>
    </w:p>
    <w:p w14:paraId="245AC5C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（1）开标会由采购代理机构主持，主持人宣布开标会议开始；</w:t>
      </w:r>
    </w:p>
    <w:p w14:paraId="6DBA805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（2）投标人解密投标文件；</w:t>
      </w:r>
    </w:p>
    <w:p w14:paraId="79E9198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2626C4D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（4）宣布评标期间的有关事项；</w:t>
      </w:r>
    </w:p>
    <w:p w14:paraId="07090C2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（5）开标会议结束。</w:t>
      </w:r>
    </w:p>
    <w:p w14:paraId="1963F7A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22.3 采购代理机构将做开标记录（包括投标人名称、投标总报价、分标报价、交货期等）。</w:t>
      </w:r>
    </w:p>
    <w:p w14:paraId="7F34BFA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22.4 开标结束后，采购人依法对投标人的资格进行审查。</w:t>
      </w:r>
    </w:p>
    <w:p w14:paraId="5D7F9E0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 评标</w:t>
      </w:r>
    </w:p>
    <w:p w14:paraId="551F6A1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 成立评标委员会。评标委员会由采购人代表和评审专家组成。</w:t>
      </w:r>
    </w:p>
    <w:p w14:paraId="47E937C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 评标的方式。本采购项目采用不公开方式评标，评标的依据为招标文件和投标文件。</w:t>
      </w:r>
    </w:p>
    <w:p w14:paraId="3B19D80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评标工作程序</w:t>
      </w:r>
    </w:p>
    <w:p w14:paraId="26F38FA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（1）评标委员会负责具体评标事务，并独立履行下列职责：</w:t>
      </w:r>
    </w:p>
    <w:p w14:paraId="69DD8DE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w:t>
      </w:r>
      <w:r>
        <w:rPr>
          <w:rFonts w:ascii="宋体" w:hAnsi="宋体" w:eastAsia="宋体" w:cs="Times New Roman"/>
          <w:color w:val="auto"/>
          <w:sz w:val="24"/>
          <w:szCs w:val="24"/>
          <w:highlight w:val="none"/>
        </w:rPr>
        <w:t>审查、评价投标文件是否符合招标文件的商务、技术等实质性要求；</w:t>
      </w:r>
    </w:p>
    <w:p w14:paraId="13E5677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w:t>
      </w:r>
      <w:r>
        <w:rPr>
          <w:rFonts w:ascii="宋体" w:hAnsi="宋体" w:eastAsia="宋体" w:cs="Times New Roman"/>
          <w:color w:val="auto"/>
          <w:sz w:val="24"/>
          <w:szCs w:val="24"/>
          <w:highlight w:val="none"/>
        </w:rPr>
        <w:t>要求投标人对投标文件有关事项作出澄清或者说明；</w:t>
      </w:r>
    </w:p>
    <w:p w14:paraId="3616C77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w:t>
      </w:r>
      <w:r>
        <w:rPr>
          <w:rFonts w:ascii="宋体" w:hAnsi="宋体" w:eastAsia="宋体" w:cs="Times New Roman"/>
          <w:color w:val="auto"/>
          <w:sz w:val="24"/>
          <w:szCs w:val="24"/>
          <w:highlight w:val="none"/>
        </w:rPr>
        <w:t>对投标文件进行比较和评价</w:t>
      </w:r>
      <w:r>
        <w:rPr>
          <w:rFonts w:hint="eastAsia" w:ascii="宋体" w:hAnsi="宋体" w:eastAsia="宋体" w:cs="Times New Roman"/>
          <w:color w:val="auto"/>
          <w:sz w:val="24"/>
          <w:szCs w:val="24"/>
          <w:highlight w:val="none"/>
        </w:rPr>
        <w:t>（对商务、技术及其他内容的比较和评价结束前，评标委员会不得比较和评价投标报价）</w:t>
      </w:r>
      <w:r>
        <w:rPr>
          <w:rFonts w:ascii="宋体" w:hAnsi="宋体" w:eastAsia="宋体" w:cs="Times New Roman"/>
          <w:color w:val="auto"/>
          <w:sz w:val="24"/>
          <w:szCs w:val="24"/>
          <w:highlight w:val="none"/>
        </w:rPr>
        <w:t>；</w:t>
      </w:r>
    </w:p>
    <w:p w14:paraId="1C5ACE3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④</w:t>
      </w:r>
      <w:r>
        <w:rPr>
          <w:rFonts w:ascii="宋体" w:hAnsi="宋体" w:eastAsia="宋体" w:cs="Times New Roman"/>
          <w:color w:val="auto"/>
          <w:sz w:val="24"/>
          <w:szCs w:val="24"/>
          <w:highlight w:val="none"/>
        </w:rPr>
        <w:t>确定中标候选人名单，以及根据采购人授权直接确定中标人；</w:t>
      </w:r>
    </w:p>
    <w:p w14:paraId="55A298E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⑤</w:t>
      </w:r>
      <w:r>
        <w:rPr>
          <w:rFonts w:ascii="宋体" w:hAnsi="宋体" w:eastAsia="宋体" w:cs="Times New Roman"/>
          <w:color w:val="auto"/>
          <w:sz w:val="24"/>
          <w:szCs w:val="24"/>
          <w:highlight w:val="none"/>
        </w:rPr>
        <w:t>向采购人、采购代理机构或者有关部门报告评标中发现的违法行为；</w:t>
      </w:r>
    </w:p>
    <w:p w14:paraId="18C9261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w:t>
      </w:r>
      <w:r>
        <w:rPr>
          <w:rFonts w:ascii="宋体" w:hAnsi="宋体" w:eastAsia="宋体" w:cs="Times New Roman"/>
          <w:color w:val="auto"/>
          <w:sz w:val="24"/>
          <w:szCs w:val="24"/>
          <w:highlight w:val="none"/>
        </w:rPr>
        <w:t>编写评标报告</w:t>
      </w:r>
      <w:r>
        <w:rPr>
          <w:rFonts w:hint="eastAsia" w:ascii="宋体" w:hAnsi="宋体" w:eastAsia="宋体" w:cs="Times New Roman"/>
          <w:color w:val="auto"/>
          <w:sz w:val="24"/>
          <w:szCs w:val="24"/>
          <w:highlight w:val="none"/>
        </w:rPr>
        <w:t>。</w:t>
      </w:r>
    </w:p>
    <w:p w14:paraId="39C645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（2）评标委员会对符合资格的投标人的投标文件进行符合性审查，以确定其是否满足招标文件的实质性要求。</w:t>
      </w:r>
    </w:p>
    <w:p w14:paraId="301307B5">
      <w:pPr>
        <w:spacing w:line="360" w:lineRule="auto"/>
        <w:ind w:firstLine="482"/>
        <w:jc w:val="lef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符合性检查</w:t>
      </w:r>
      <w:r>
        <w:rPr>
          <w:rFonts w:hint="eastAsia" w:ascii="宋体" w:hAnsi="宋体" w:eastAsia="宋体" w:cs="Times New Roman"/>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22D2C4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且其余非实质性技术及商务条款</w:t>
      </w:r>
      <w:r>
        <w:rPr>
          <w:rFonts w:hint="eastAsia" w:ascii="宋体" w:hAnsi="宋体" w:eastAsia="宋体" w:cs="Times New Roman"/>
          <w:color w:val="auto"/>
          <w:sz w:val="24"/>
          <w:szCs w:val="24"/>
          <w:highlight w:val="none"/>
        </w:rPr>
        <w:t>没有重大偏离或保留。</w:t>
      </w:r>
    </w:p>
    <w:p w14:paraId="474AEAD4">
      <w:pPr>
        <w:spacing w:line="360" w:lineRule="auto"/>
        <w:ind w:firstLine="482"/>
        <w:jc w:val="lef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所谓重大偏离或保留</w:t>
      </w:r>
      <w:r>
        <w:rPr>
          <w:rFonts w:ascii="宋体" w:hAnsi="宋体" w:eastAsia="宋体" w:cs="Times New Roman"/>
          <w:color w:val="auto"/>
          <w:sz w:val="24"/>
          <w:szCs w:val="24"/>
          <w:highlight w:val="none"/>
        </w:rPr>
        <w:t>，是指与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文件不一致，而且限制了合同中</w:t>
      </w:r>
      <w:r>
        <w:rPr>
          <w:rFonts w:hint="eastAsia" w:ascii="宋体" w:hAnsi="宋体" w:eastAsia="宋体" w:cs="Times New Roman"/>
          <w:color w:val="auto"/>
          <w:sz w:val="24"/>
          <w:szCs w:val="24"/>
          <w:highlight w:val="none"/>
        </w:rPr>
        <w:t>采购人和见证方</w:t>
      </w:r>
      <w:r>
        <w:rPr>
          <w:rFonts w:ascii="宋体" w:hAnsi="宋体" w:eastAsia="宋体" w:cs="Times New Roman"/>
          <w:color w:val="auto"/>
          <w:sz w:val="24"/>
          <w:szCs w:val="24"/>
          <w:highlight w:val="none"/>
        </w:rPr>
        <w:t>的权利或</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的义务，保留或给予纠正这些偏离的机会将会对其他实质性响应要求的</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的竞争地位产生不公正的影响。重大偏离的认定需经过</w:t>
      </w:r>
      <w:r>
        <w:rPr>
          <w:rFonts w:hint="eastAsia" w:ascii="宋体" w:hAnsi="宋体" w:eastAsia="宋体" w:cs="Times New Roman"/>
          <w:color w:val="auto"/>
          <w:sz w:val="24"/>
          <w:szCs w:val="24"/>
          <w:highlight w:val="none"/>
        </w:rPr>
        <w:t>评标委员会</w:t>
      </w:r>
      <w:r>
        <w:rPr>
          <w:rFonts w:ascii="宋体" w:hAnsi="宋体" w:eastAsia="宋体" w:cs="Times New Roman"/>
          <w:color w:val="auto"/>
          <w:sz w:val="24"/>
          <w:szCs w:val="24"/>
          <w:highlight w:val="none"/>
        </w:rPr>
        <w:t>2/3及以上成员的认定。</w:t>
      </w:r>
    </w:p>
    <w:p w14:paraId="4EBB7FD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评标委员会决定投标文件的响应性仅基于投标文件本身的内容，而不寻求外部证据。</w:t>
      </w:r>
    </w:p>
    <w:p w14:paraId="1194257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评标委员会将拒绝被确定为非实质性响应的投标人，投标人不能通过修正或撤销不符之处而使其投标成为实质性响应的投标。</w:t>
      </w:r>
    </w:p>
    <w:p w14:paraId="3F1E392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4552E81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23.4 评标过程的保密</w:t>
      </w:r>
    </w:p>
    <w:p w14:paraId="68BD358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6A0BD6F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投标文件报价出现前后不一致的，按照下列规定修正：</w:t>
      </w:r>
    </w:p>
    <w:p w14:paraId="11AA8CC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投标文件中开标一览表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内容与投标文件中相应内容不一致的，以开标一览表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为准；</w:t>
      </w:r>
    </w:p>
    <w:p w14:paraId="0EA81A6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大写金额和小写金额不一致的，以大写金额为准；</w:t>
      </w:r>
    </w:p>
    <w:p w14:paraId="3271503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单价金额小数点或者百分比有明显错位的，以开标一览表的总价为准，并修改单价；</w:t>
      </w:r>
    </w:p>
    <w:p w14:paraId="3319F6D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总价金额与按单价汇总金额不一致的，以单价金额计算结果为准。</w:t>
      </w:r>
    </w:p>
    <w:p w14:paraId="705E1FDF">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同时出现两种以上不一致的，按照前款规定的顺序修正。修正后的报价</w:t>
      </w:r>
      <w:r>
        <w:rPr>
          <w:rFonts w:hint="eastAsia" w:ascii="宋体" w:hAnsi="宋体" w:eastAsia="宋体" w:cs="Times New Roman"/>
          <w:color w:val="auto"/>
          <w:sz w:val="24"/>
          <w:szCs w:val="24"/>
          <w:highlight w:val="none"/>
        </w:rPr>
        <w:t>按照政府采购有关规定</w:t>
      </w:r>
      <w:r>
        <w:rPr>
          <w:rFonts w:ascii="宋体" w:hAnsi="宋体" w:eastAsia="宋体" w:cs="Times New Roman"/>
          <w:color w:val="auto"/>
          <w:sz w:val="24"/>
          <w:szCs w:val="24"/>
          <w:highlight w:val="none"/>
        </w:rPr>
        <w:t>经投标人确认后产生约束力，投标人不确认的，其投标无效。</w:t>
      </w:r>
    </w:p>
    <w:p w14:paraId="4AAE9A3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投标人有下列情况之一的，投标无效：</w:t>
      </w:r>
    </w:p>
    <w:p w14:paraId="3693392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（1）未按照招标文件的规定提交投标保证金的；</w:t>
      </w:r>
    </w:p>
    <w:p w14:paraId="19E12A4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（2）投标文件未按招标文件要求编制、签署、盖章的；</w:t>
      </w:r>
    </w:p>
    <w:p w14:paraId="422FC33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（3）不具备招标文件中规定的资格要求的；</w:t>
      </w:r>
    </w:p>
    <w:p w14:paraId="4DFDEA2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（4）报价超过招标文件中规定的预算金额或者最高限价的；</w:t>
      </w:r>
    </w:p>
    <w:p w14:paraId="6E0589B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（5）投标文件含有采购人不能接受的附加条件的；</w:t>
      </w:r>
    </w:p>
    <w:p w14:paraId="15A3FFF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55F6EA6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（7）投标人提交的电子投标文件、投标文件备份U盘（仅现场开标适用）均因其自身原因出现问题导致无法电子评标的；</w:t>
      </w:r>
    </w:p>
    <w:p w14:paraId="53F7460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（8）法律、法规和招标文件规定的其他无效情形。</w:t>
      </w:r>
    </w:p>
    <w:p w14:paraId="44AEE45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无效投标条款和废标条款</w:t>
      </w:r>
    </w:p>
    <w:p w14:paraId="2B97F44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.1无效投标条款：</w:t>
      </w:r>
    </w:p>
    <w:p w14:paraId="570F120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（1）投标人未按照招标文件要求递交（上传）电子投标文件的。</w:t>
      </w:r>
    </w:p>
    <w:p w14:paraId="1B798D0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（2）投标人在“苏采云”系统规定的时间内未成功解密电子投标文件的。</w:t>
      </w:r>
    </w:p>
    <w:p w14:paraId="01638B5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（3）投标人不具备招标文件中规定的资格要求的。</w:t>
      </w:r>
    </w:p>
    <w:p w14:paraId="248F866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B21F5E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（5）投标人提交两个（含两个）以上不同的投标报价的。</w:t>
      </w:r>
    </w:p>
    <w:p w14:paraId="5CE9841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（6）投标人的报价超过了采购预算或者最高限价的。</w:t>
      </w:r>
    </w:p>
    <w:p w14:paraId="26691C1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EB4BF0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（8）不符合招标文件中规定的实质性要求和条件的（招标文件中标注★号的部分为实质性要求和条件）。</w:t>
      </w:r>
    </w:p>
    <w:p w14:paraId="288CB7F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5BB20C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（10）投标人未通过符合性审查的。</w:t>
      </w:r>
    </w:p>
    <w:p w14:paraId="24404E8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450CF8B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53CDD13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78B8974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有下列情形之一的，视为投标人串通投标，投标无效：</w:t>
      </w:r>
    </w:p>
    <w:p w14:paraId="2B045F2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0D60513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5B96E60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48A3640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79552F1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3285E84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.3废标条款：</w:t>
      </w:r>
    </w:p>
    <w:p w14:paraId="76B0A95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79ADA1C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14:paraId="1D2917C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（3）符合专业条件的投标人或者对招标文件做实质响应的投标人不足三家的。</w:t>
      </w:r>
    </w:p>
    <w:p w14:paraId="4F7AC80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7E8D5865">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50417AB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.4出现投标截止时间结束后参加投标的投标人或者在评标期间对招标文件做出实质响应的投标人不足三家情况的，按照政府采购相关规定执行。</w:t>
      </w:r>
    </w:p>
    <w:p w14:paraId="430EF605">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26.5政府采购异常低价审查：</w:t>
      </w:r>
    </w:p>
    <w:p w14:paraId="7BB5F40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强化政府采购异常低价审查</w:t>
      </w:r>
    </w:p>
    <w:p w14:paraId="6D5C08A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（一）采购人应当在采购文件中明确，政府采购评审中出现下列情形之一的，评审委员会应当启动异常低价投标（响应）审查程序：</w:t>
      </w:r>
    </w:p>
    <w:p w14:paraId="666D8AA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13C99C3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79C9B63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%的，即投标（响应）报价&lt;采购项目最高限价×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p w14:paraId="663EA29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031D83F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采购人可以结合具体项目实际情况，提高上述第1项至第3项中启动异常低价投标（响应）审查的数值标准，但是最高不得超过65%。</w:t>
      </w:r>
    </w:p>
    <w:p w14:paraId="1994D18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4F17DC2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5AE32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971DC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26.6无效投标条款和废标条款</w:t>
      </w:r>
    </w:p>
    <w:p w14:paraId="68BA951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本项目遵照执行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关于落实解决政府采购异常低价问题相关措施的通知</w:t>
      </w:r>
      <w:r>
        <w:rPr>
          <w:rFonts w:hint="eastAsia" w:ascii="宋体" w:hAnsi="宋体" w:eastAsia="宋体" w:cs="宋体"/>
          <w:color w:val="auto"/>
          <w:sz w:val="24"/>
          <w:szCs w:val="24"/>
          <w:highlight w:val="none"/>
          <w:lang w:eastAsia="zh-CN"/>
        </w:rPr>
        <w:t>》（连财购〔2025]24号）</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6228E9A">
      <w:pPr>
        <w:pStyle w:val="41"/>
        <w:widowControl w:val="0"/>
        <w:spacing w:before="0" w:beforeAutospacing="0" w:after="0" w:afterAutospacing="0" w:line="360" w:lineRule="auto"/>
        <w:ind w:firstLine="480"/>
        <w:rPr>
          <w:rFonts w:hint="eastAsia" w:ascii="宋体" w:hAnsi="宋体" w:cs="宋体"/>
          <w:b/>
          <w:bCs/>
          <w:highlight w:val="yellow"/>
        </w:rPr>
      </w:pPr>
      <w:r>
        <w:rPr>
          <w:rFonts w:hint="eastAsia" w:ascii="宋体" w:hAnsi="宋体" w:eastAsia="宋体" w:cs="宋体"/>
          <w:color w:val="auto"/>
          <w:sz w:val="24"/>
          <w:szCs w:val="24"/>
          <w:highlight w:val="none"/>
          <w:lang w:val="en-US" w:eastAsia="zh-CN"/>
        </w:rPr>
        <w:t>26.7</w:t>
      </w:r>
      <w:r>
        <w:rPr>
          <w:rFonts w:hint="eastAsia" w:ascii="宋体" w:hAnsi="宋体" w:cs="宋体"/>
          <w:b/>
          <w:bCs/>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FE5B35D">
      <w:pPr>
        <w:widowControl w:val="0"/>
        <w:spacing w:before="0" w:beforeAutospacing="0" w:after="0" w:afterAutospacing="0" w:line="360" w:lineRule="auto"/>
        <w:ind w:firstLine="480"/>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34ABCD27">
      <w:pPr>
        <w:spacing w:line="360" w:lineRule="auto"/>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32"/>
          <w:highlight w:val="none"/>
        </w:rPr>
        <w:t>非单一产品采购项目</w:t>
      </w:r>
      <w:r>
        <w:rPr>
          <w:rFonts w:hint="eastAsia" w:ascii="宋体" w:hAnsi="宋体" w:eastAsia="宋体" w:cs="宋体"/>
          <w:b/>
          <w:bCs/>
          <w:sz w:val="24"/>
          <w:szCs w:val="32"/>
          <w:highlight w:val="none"/>
          <w:lang w:eastAsia="zh-CN"/>
        </w:rPr>
        <w:t>，</w:t>
      </w:r>
      <w:r>
        <w:rPr>
          <w:rFonts w:hint="eastAsia" w:ascii="宋体" w:hAnsi="宋体" w:eastAsia="宋体" w:cs="宋体"/>
          <w:b/>
          <w:bCs/>
          <w:sz w:val="24"/>
          <w:szCs w:val="32"/>
          <w:highlight w:val="none"/>
        </w:rPr>
        <w:t>招标文件中将载明核心产品。多家投标人提供的核心产品品牌相同的</w:t>
      </w:r>
      <w:r>
        <w:rPr>
          <w:rFonts w:hint="eastAsia" w:ascii="宋体" w:hAnsi="宋体" w:eastAsia="宋体" w:cs="宋体"/>
          <w:b/>
          <w:bCs/>
          <w:sz w:val="24"/>
          <w:szCs w:val="32"/>
          <w:highlight w:val="none"/>
          <w:lang w:eastAsia="zh-CN"/>
        </w:rPr>
        <w:t>，</w:t>
      </w:r>
      <w:r>
        <w:rPr>
          <w:rFonts w:hint="eastAsia" w:ascii="宋体" w:hAnsi="宋体" w:eastAsia="宋体" w:cs="宋体"/>
          <w:b/>
          <w:bCs/>
          <w:sz w:val="24"/>
          <w:szCs w:val="32"/>
          <w:highlight w:val="none"/>
        </w:rPr>
        <w:t>按前两款规定处理。</w:t>
      </w:r>
    </w:p>
    <w:p w14:paraId="41CA9CB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评标原则、评标办法和特殊情况处理</w:t>
      </w:r>
    </w:p>
    <w:p w14:paraId="363923A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评标原则</w:t>
      </w:r>
    </w:p>
    <w:p w14:paraId="0C9E079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1AAB44E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评标办法</w:t>
      </w:r>
    </w:p>
    <w:p w14:paraId="25F492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详见第七章“评标办法”。</w:t>
      </w:r>
    </w:p>
    <w:p w14:paraId="2EB928D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现场开标特殊情况处理（采用不见面交易方式招标的本条款不适用）</w:t>
      </w:r>
    </w:p>
    <w:p w14:paraId="47B457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18AF040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“开评标系统”自身故障是指非投标人原因造成所有投标人电子投标文件均无法解密的情形，部分投标文件无法解密的，不适用本条款。</w:t>
      </w:r>
    </w:p>
    <w:p w14:paraId="364B89C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12CD1C3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六、中标结果</w:t>
      </w:r>
    </w:p>
    <w:p w14:paraId="0EE8E85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 中标人的确定</w:t>
      </w:r>
    </w:p>
    <w:p w14:paraId="2DCAAE7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.1 评标委员会按照评审得分由高到低顺序推荐3名中标候选人。</w:t>
      </w:r>
    </w:p>
    <w:p w14:paraId="5A881E2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.2 根据采购人的授权，由评标委员会直接确定排名第一的中标候选人为中标人。</w:t>
      </w:r>
    </w:p>
    <w:p w14:paraId="1DB7F8E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 中标通知书</w:t>
      </w:r>
    </w:p>
    <w:p w14:paraId="2FAA12B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.1 中标人确定后，中标结果由采购代理机构公告，中标公告期限为1个工作日。</w:t>
      </w:r>
    </w:p>
    <w:p w14:paraId="56FAD6A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.2 在公告中标结果的同时，由采购代理机构向中标人发出中标通知书，</w:t>
      </w:r>
      <w:r>
        <w:rPr>
          <w:rFonts w:hint="eastAsia" w:ascii="宋体" w:hAnsi="宋体" w:eastAsia="宋体" w:cs="Times New Roman"/>
          <w:b/>
          <w:color w:val="auto"/>
          <w:sz w:val="24"/>
          <w:szCs w:val="24"/>
          <w:highlight w:val="none"/>
        </w:rPr>
        <w:t>中标供应商在领取中标通知书时，需提供伍份与电子投标文件一致的纸质打印投标文件</w:t>
      </w:r>
      <w:r>
        <w:rPr>
          <w:rFonts w:hint="eastAsia" w:ascii="宋体" w:hAnsi="宋体" w:eastAsia="宋体" w:cs="Times New Roman"/>
          <w:color w:val="auto"/>
          <w:sz w:val="24"/>
          <w:szCs w:val="24"/>
          <w:highlight w:val="none"/>
        </w:rPr>
        <w:t>；对未通过资格审查的投标人，应当告知其未通过的原因；采用综合评分法评审的，还应当告知未中标人本人的评审得分与排序。</w:t>
      </w:r>
    </w:p>
    <w:p w14:paraId="13BF8BB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.3 采购代理机构无义务向未中标投标人解释落标原因和退回投标文件。</w:t>
      </w:r>
    </w:p>
    <w:p w14:paraId="7E328C0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 签订合同</w:t>
      </w:r>
    </w:p>
    <w:p w14:paraId="38B7490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4CC6B3D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.2 中标人因不可抗力或者自身原因不能履行政府采购合同的，按政府采购有关法律法规执行。</w:t>
      </w:r>
    </w:p>
    <w:p w14:paraId="28B24EE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履约保证金及质保金</w:t>
      </w:r>
    </w:p>
    <w:p w14:paraId="18D1693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.1 履约保证金的数额不得超过政府采购合同金额的10%。中标人应当以支票、汇票、本票或者金融机构、担保机构出具的保函等非现金形式在合同签订前提交。</w:t>
      </w:r>
    </w:p>
    <w:p w14:paraId="2CECA62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.2 中标人违约的，采购人将按照合同约定扣除其全部或部分履约保证金。如中标人违约给采购人造成的损失超过履约保证金的，应当依法赔偿超过部分的损失。</w:t>
      </w:r>
    </w:p>
    <w:p w14:paraId="4DDE00B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.3 履约保证金自合同生效之日起至合同约定的中标人主要义务履行完毕止，采购人应当按合同约定及时退还履约保证金。</w:t>
      </w:r>
    </w:p>
    <w:p w14:paraId="2C24883F">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.4 本项目履约保证金要求详见招标文件第五章“合同专用条款表”。</w:t>
      </w:r>
    </w:p>
    <w:p w14:paraId="485D3273">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.5 采购人与中标人应按第五章“合同专用条款表”约定质保金，质保期内中标人提供的标的性能、质量和服务符合合同约定，经验收合格，质保期满后该款如数退还（不计利息）。</w:t>
      </w:r>
    </w:p>
    <w:p w14:paraId="2C2CD138">
      <w:pPr>
        <w:keepNext/>
        <w:spacing w:line="360" w:lineRule="auto"/>
        <w:outlineLvl w:val="1"/>
        <w:rPr>
          <w:rFonts w:ascii="Times New Roman" w:hAnsi="Times New Roman" w:eastAsia="宋体" w:cs="Times New Roman"/>
          <w:color w:val="auto"/>
          <w:sz w:val="24"/>
          <w:szCs w:val="24"/>
          <w:highlight w:val="none"/>
        </w:rPr>
      </w:pPr>
      <w:r>
        <w:rPr>
          <w:rFonts w:hint="eastAsia" w:ascii="Times New Roman" w:hAnsi="Times New Roman" w:eastAsia="黑体" w:cs="Times New Roman"/>
          <w:b/>
          <w:color w:val="auto"/>
          <w:sz w:val="28"/>
          <w:szCs w:val="20"/>
          <w:highlight w:val="none"/>
        </w:rPr>
        <w:t>七、其他事项</w:t>
      </w:r>
    </w:p>
    <w:p w14:paraId="7ED3AB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解释权</w:t>
      </w:r>
    </w:p>
    <w:p w14:paraId="26F1CF5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0EF62D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有关事宜</w:t>
      </w:r>
    </w:p>
    <w:p w14:paraId="02CC79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所有与本招标文件有关的函电和通讯地址见第一章“投标邀请”。</w:t>
      </w:r>
    </w:p>
    <w:p w14:paraId="5D2ED154">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八、政策功能</w:t>
      </w:r>
    </w:p>
    <w:p w14:paraId="24C454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、促进中小企业发展</w:t>
      </w:r>
    </w:p>
    <w:p w14:paraId="075F0D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对于小型企业、微型企业、监狱企业、残疾人福利性单位报价以扣除优惠比率后的价格参与评审，但不作为中标价和合同签约价。中标价和合同签约价仍以其投标文件中的一次报价为准。</w:t>
      </w:r>
    </w:p>
    <w:p w14:paraId="70D3B2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价格给予扣除标准：</w:t>
      </w:r>
    </w:p>
    <w:p w14:paraId="4014F2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6E149C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5B3825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本项目价格扣除计算方法如下：参与报价得分计算的价格＝投标人的投标报价-小型企业、微型企业、监狱企业、残疾人福利性单位的投标报价×10%。</w:t>
      </w:r>
    </w:p>
    <w:p w14:paraId="35A236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.3 参加政府采购活动的投标人享受价格评审优惠的应当提供的材料： </w:t>
      </w:r>
    </w:p>
    <w:p w14:paraId="32B11D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.3.1 投标人提供的货物全部由小型企业、微型企业制造的，提供《中小企业声明函》。</w:t>
      </w:r>
    </w:p>
    <w:p w14:paraId="09F359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.3.2 投标人为残疾人福利性单位且提供的货物全部由残疾人福利性单位制造的，符合财库〔2017〕141号文件规定条件的残疾人福利性单位视同小型企业、微型企业，提供《残疾人福利性单位声明函》。</w:t>
      </w:r>
    </w:p>
    <w:p w14:paraId="6F4783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.3.3 投标人为监狱企业或提供的货物由监狱企业制造的，提供省级以上监狱管理局、戒毒管理局（含新疆生产建设兵团）出具的属于监狱企业的证明文件。</w:t>
      </w:r>
    </w:p>
    <w:p w14:paraId="0F141D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F3B6B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、支持绿色发展</w:t>
      </w:r>
    </w:p>
    <w:p w14:paraId="5629F4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B0E0D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FCB3270">
      <w:pPr>
        <w:numPr>
          <w:ilvl w:val="0"/>
          <w:numId w:val="2"/>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政府采购需求标准</w:t>
      </w:r>
    </w:p>
    <w:p w14:paraId="21C36DD7">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39966427"/>
      <w:bookmarkStart w:id="8" w:name="_Toc513622228"/>
      <w:bookmarkStart w:id="9" w:name="_Toc150765436"/>
      <w:bookmarkStart w:id="10" w:name="_Toc139967211"/>
    </w:p>
    <w:p w14:paraId="6B0B032C">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37.采购本国产品的支持政策</w:t>
      </w:r>
    </w:p>
    <w:p w14:paraId="7221D3FA">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47002632">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67E2308">
      <w:pPr>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021A210D">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7B6397">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1F0A7D1">
      <w:pPr>
        <w:numPr>
          <w:ilvl w:val="0"/>
          <w:numId w:val="0"/>
        </w:numPr>
        <w:spacing w:line="360" w:lineRule="auto"/>
        <w:ind w:firstLine="480"/>
        <w:rPr>
          <w:rFonts w:hint="eastAsia" w:hAnsi="宋体"/>
          <w:color w:val="auto"/>
          <w:highlight w:val="none"/>
        </w:rPr>
      </w:pPr>
      <w:r>
        <w:rPr>
          <w:rFonts w:hint="eastAsia" w:ascii="宋体" w:hAnsi="宋体" w:eastAsia="宋体" w:cs="宋体"/>
          <w:color w:val="auto"/>
          <w:sz w:val="24"/>
          <w:szCs w:val="24"/>
          <w:highlight w:val="none"/>
          <w:lang w:val="en-US" w:eastAsia="zh-CN"/>
        </w:rPr>
        <w:t>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本项目</w:t>
      </w:r>
      <w:r>
        <w:rPr>
          <w:rFonts w:hint="eastAsia" w:ascii="宋体" w:hAnsi="宋体" w:eastAsia="宋体" w:cs="Times New Roman"/>
          <w:b/>
          <w:bCs/>
          <w:color w:val="auto"/>
          <w:sz w:val="24"/>
          <w:szCs w:val="24"/>
          <w:highlight w:val="none"/>
          <w:lang w:eastAsia="zh-CN"/>
        </w:rPr>
        <w:t>不</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04B957D0">
      <w:pPr>
        <w:rPr>
          <w:rFonts w:hint="eastAsia" w:hAnsi="宋体"/>
          <w:color w:val="auto"/>
          <w:highlight w:val="none"/>
        </w:rPr>
      </w:pPr>
    </w:p>
    <w:p w14:paraId="23D876B4">
      <w:pPr>
        <w:rPr>
          <w:rFonts w:hint="eastAsia" w:hAnsi="宋体"/>
          <w:color w:val="auto"/>
          <w:highlight w:val="none"/>
        </w:rPr>
      </w:pPr>
    </w:p>
    <w:p w14:paraId="62CF44D0">
      <w:pPr>
        <w:rPr>
          <w:rFonts w:hint="eastAsia" w:hAnsi="宋体"/>
          <w:color w:val="auto"/>
          <w:highlight w:val="none"/>
        </w:rPr>
      </w:pPr>
    </w:p>
    <w:p w14:paraId="618198D6">
      <w:pPr>
        <w:pStyle w:val="2"/>
        <w:numPr>
          <w:ilvl w:val="0"/>
          <w:numId w:val="0"/>
        </w:numPr>
        <w:ind w:firstLine="723"/>
        <w:jc w:val="center"/>
        <w:rPr>
          <w:b w:val="0"/>
          <w:color w:val="auto"/>
          <w:highlight w:val="none"/>
        </w:rPr>
      </w:pPr>
      <w:r>
        <w:rPr>
          <w:rFonts w:hint="eastAsia" w:hAnsi="宋体"/>
          <w:color w:val="auto"/>
          <w:highlight w:val="none"/>
        </w:rPr>
        <w:t>第三章政府采购合同格式</w:t>
      </w:r>
      <w:bookmarkEnd w:id="7"/>
      <w:bookmarkEnd w:id="8"/>
      <w:bookmarkEnd w:id="9"/>
      <w:bookmarkEnd w:id="10"/>
    </w:p>
    <w:p w14:paraId="50258CA7">
      <w:pPr>
        <w:spacing w:line="360" w:lineRule="auto"/>
        <w:ind w:firstLine="880"/>
        <w:rPr>
          <w:rFonts w:ascii="宋体" w:hAnsi="宋体" w:eastAsia="宋体" w:cs="Times New Roman"/>
          <w:color w:val="auto"/>
          <w:sz w:val="44"/>
          <w:szCs w:val="24"/>
          <w:highlight w:val="none"/>
        </w:rPr>
      </w:pPr>
    </w:p>
    <w:p w14:paraId="75B95003">
      <w:pPr>
        <w:spacing w:line="360" w:lineRule="auto"/>
        <w:ind w:firstLine="880"/>
        <w:rPr>
          <w:rFonts w:ascii="宋体" w:hAnsi="宋体" w:eastAsia="宋体" w:cs="Times New Roman"/>
          <w:color w:val="auto"/>
          <w:sz w:val="44"/>
          <w:szCs w:val="24"/>
          <w:highlight w:val="none"/>
        </w:rPr>
      </w:pPr>
    </w:p>
    <w:p w14:paraId="33B29FBD">
      <w:pPr>
        <w:spacing w:line="360" w:lineRule="auto"/>
        <w:ind w:firstLine="207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605A9EA2">
      <w:pPr>
        <w:spacing w:line="360" w:lineRule="auto"/>
        <w:ind w:firstLine="420"/>
        <w:rPr>
          <w:rFonts w:ascii="宋体" w:hAnsi="宋体" w:eastAsia="宋体" w:cs="Times New Roman"/>
          <w:color w:val="auto"/>
          <w:szCs w:val="24"/>
          <w:highlight w:val="none"/>
        </w:rPr>
      </w:pPr>
    </w:p>
    <w:p w14:paraId="1F51830C">
      <w:pPr>
        <w:spacing w:line="360" w:lineRule="auto"/>
        <w:ind w:firstLine="883"/>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3A35CDAF">
      <w:pPr>
        <w:spacing w:line="360" w:lineRule="auto"/>
        <w:ind w:firstLine="420"/>
        <w:rPr>
          <w:rFonts w:ascii="宋体" w:hAnsi="宋体" w:eastAsia="宋体" w:cs="Times New Roman"/>
          <w:color w:val="auto"/>
          <w:szCs w:val="24"/>
          <w:highlight w:val="none"/>
        </w:rPr>
      </w:pPr>
    </w:p>
    <w:p w14:paraId="1752DA83">
      <w:pPr>
        <w:spacing w:line="360" w:lineRule="auto"/>
        <w:ind w:firstLine="3507"/>
        <w:rPr>
          <w:rFonts w:ascii="宋体" w:hAnsi="宋体" w:eastAsia="宋体" w:cs="Times New Roman"/>
          <w:b/>
          <w:bCs/>
          <w:color w:val="auto"/>
          <w:sz w:val="44"/>
          <w:szCs w:val="24"/>
          <w:highlight w:val="none"/>
        </w:rPr>
      </w:pPr>
    </w:p>
    <w:p w14:paraId="43395D58">
      <w:pPr>
        <w:spacing w:line="360" w:lineRule="auto"/>
        <w:ind w:firstLine="3507"/>
        <w:rPr>
          <w:rFonts w:ascii="宋体" w:hAnsi="宋体" w:eastAsia="宋体" w:cs="Times New Roman"/>
          <w:b/>
          <w:bCs/>
          <w:color w:val="auto"/>
          <w:sz w:val="44"/>
          <w:szCs w:val="24"/>
          <w:highlight w:val="none"/>
        </w:rPr>
      </w:pPr>
    </w:p>
    <w:p w14:paraId="00C523E2">
      <w:pPr>
        <w:spacing w:line="360" w:lineRule="auto"/>
        <w:ind w:firstLine="3507"/>
        <w:rPr>
          <w:rFonts w:ascii="宋体" w:hAnsi="宋体" w:eastAsia="宋体" w:cs="Times New Roman"/>
          <w:b/>
          <w:bCs/>
          <w:color w:val="auto"/>
          <w:sz w:val="44"/>
          <w:szCs w:val="24"/>
          <w:highlight w:val="none"/>
        </w:rPr>
      </w:pPr>
    </w:p>
    <w:p w14:paraId="49058A1F">
      <w:pPr>
        <w:spacing w:line="360" w:lineRule="auto"/>
        <w:ind w:firstLine="1802"/>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60AF1CC3">
      <w:pPr>
        <w:spacing w:line="360" w:lineRule="auto"/>
        <w:ind w:firstLine="880"/>
        <w:rPr>
          <w:rFonts w:ascii="宋体" w:hAnsi="宋体" w:eastAsia="宋体" w:cs="Times New Roman"/>
          <w:color w:val="auto"/>
          <w:sz w:val="44"/>
          <w:szCs w:val="24"/>
          <w:highlight w:val="none"/>
        </w:rPr>
      </w:pPr>
    </w:p>
    <w:p w14:paraId="23AAA59B">
      <w:pPr>
        <w:spacing w:line="360" w:lineRule="auto"/>
        <w:ind w:firstLine="880"/>
        <w:rPr>
          <w:rFonts w:ascii="宋体" w:hAnsi="宋体" w:eastAsia="宋体" w:cs="Times New Roman"/>
          <w:color w:val="auto"/>
          <w:sz w:val="44"/>
          <w:szCs w:val="24"/>
          <w:highlight w:val="none"/>
        </w:rPr>
      </w:pPr>
    </w:p>
    <w:p w14:paraId="23411EB9">
      <w:pPr>
        <w:spacing w:line="360" w:lineRule="auto"/>
        <w:ind w:firstLine="880"/>
        <w:rPr>
          <w:rFonts w:ascii="宋体" w:hAnsi="宋体" w:eastAsia="宋体" w:cs="Times New Roman"/>
          <w:color w:val="auto"/>
          <w:sz w:val="44"/>
          <w:szCs w:val="24"/>
          <w:highlight w:val="none"/>
        </w:rPr>
      </w:pPr>
    </w:p>
    <w:p w14:paraId="77F31DEE">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0F686503">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45E6875E">
      <w:pPr>
        <w:spacing w:line="560" w:lineRule="exact"/>
        <w:jc w:val="center"/>
        <w:rPr>
          <w:rFonts w:hint="eastAsia" w:ascii="Times New Roman" w:hAnsi="Times New Roman" w:eastAsia="宋体" w:cs="Times New Roman"/>
          <w:b/>
          <w:color w:val="auto"/>
          <w:sz w:val="44"/>
          <w:szCs w:val="44"/>
          <w:highlight w:val="none"/>
        </w:rPr>
      </w:pPr>
    </w:p>
    <w:p w14:paraId="5F67A4DA">
      <w:pPr>
        <w:spacing w:line="560" w:lineRule="exact"/>
        <w:jc w:val="center"/>
        <w:rPr>
          <w:rFonts w:hint="eastAsia" w:ascii="Times New Roman" w:hAnsi="Times New Roman" w:eastAsia="宋体" w:cs="Times New Roman"/>
          <w:b/>
          <w:color w:val="auto"/>
          <w:sz w:val="44"/>
          <w:szCs w:val="44"/>
          <w:highlight w:val="none"/>
        </w:rPr>
      </w:pPr>
    </w:p>
    <w:p w14:paraId="345C97F3">
      <w:pPr>
        <w:spacing w:line="560" w:lineRule="exact"/>
        <w:jc w:val="center"/>
        <w:rPr>
          <w:rFonts w:hint="eastAsia" w:ascii="Times New Roman" w:hAnsi="Times New Roman" w:eastAsia="宋体" w:cs="Times New Roman"/>
          <w:b/>
          <w:color w:val="auto"/>
          <w:sz w:val="44"/>
          <w:szCs w:val="44"/>
          <w:highlight w:val="none"/>
        </w:rPr>
      </w:pPr>
    </w:p>
    <w:p w14:paraId="09174F3F">
      <w:pPr>
        <w:spacing w:line="560" w:lineRule="exact"/>
        <w:jc w:val="center"/>
        <w:rPr>
          <w:rFonts w:hint="default" w:ascii="黑体" w:hAnsi="黑体" w:eastAsia="黑体" w:cs="Times New Roman"/>
          <w:bCs/>
          <w:color w:val="auto"/>
          <w:sz w:val="44"/>
          <w:szCs w:val="44"/>
          <w:highlight w:val="none"/>
        </w:rPr>
      </w:pPr>
      <w:r>
        <w:rPr>
          <w:rFonts w:hint="eastAsia" w:ascii="Times New Roman" w:hAnsi="Times New Roman" w:eastAsia="宋体" w:cs="Times New Roman"/>
          <w:b/>
          <w:color w:val="auto"/>
          <w:sz w:val="44"/>
          <w:szCs w:val="44"/>
          <w:highlight w:val="none"/>
          <w:lang w:eastAsia="zh-CN"/>
        </w:rPr>
        <w:t>灌南县综合行政执法局</w:t>
      </w:r>
      <w:r>
        <w:rPr>
          <w:rFonts w:hint="eastAsia" w:ascii="Times New Roman" w:hAnsi="Times New Roman" w:eastAsia="宋体" w:cs="Times New Roman"/>
          <w:b/>
          <w:color w:val="auto"/>
          <w:sz w:val="44"/>
          <w:szCs w:val="44"/>
          <w:highlight w:val="none"/>
        </w:rPr>
        <w:t>采购合同</w:t>
      </w:r>
    </w:p>
    <w:p w14:paraId="7C60F678">
      <w:pPr>
        <w:spacing w:line="360" w:lineRule="auto"/>
        <w:ind w:firstLine="643"/>
        <w:jc w:val="center"/>
        <w:rPr>
          <w:rFonts w:hint="default" w:ascii="宋体" w:hAnsi="宋体" w:eastAsia="宋体" w:cs="Times New Roman"/>
          <w:b/>
          <w:color w:val="auto"/>
          <w:sz w:val="32"/>
          <w:szCs w:val="20"/>
          <w:highlight w:val="none"/>
        </w:rPr>
      </w:pPr>
    </w:p>
    <w:p w14:paraId="6C9E67F6">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灌南县综合行政执法局</w:t>
      </w:r>
    </w:p>
    <w:p w14:paraId="54783CFF">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乙方：</w:t>
      </w:r>
    </w:p>
    <w:p w14:paraId="5F1270F2">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就</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设备对外公开招标（标段编号：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）。经过专家评审，确定乙方为中标单位。为规范甲乙双方权利与义务，特订立本合同。</w:t>
      </w:r>
    </w:p>
    <w:p w14:paraId="7B7C1352">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4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910"/>
        <w:gridCol w:w="1480"/>
        <w:gridCol w:w="1410"/>
        <w:gridCol w:w="640"/>
        <w:gridCol w:w="650"/>
        <w:gridCol w:w="1290"/>
        <w:gridCol w:w="1175"/>
      </w:tblGrid>
      <w:tr w14:paraId="7B312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486" w:type="dxa"/>
            <w:noWrap w:val="0"/>
            <w:vAlign w:val="center"/>
          </w:tcPr>
          <w:p w14:paraId="1082541D">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1910" w:type="dxa"/>
            <w:noWrap w:val="0"/>
            <w:vAlign w:val="center"/>
          </w:tcPr>
          <w:p w14:paraId="3875A5D5">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1480" w:type="dxa"/>
            <w:noWrap w:val="0"/>
            <w:vAlign w:val="center"/>
          </w:tcPr>
          <w:p w14:paraId="1E7B81DD">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注册证号</w:t>
            </w:r>
          </w:p>
        </w:tc>
        <w:tc>
          <w:tcPr>
            <w:tcW w:w="1410" w:type="dxa"/>
            <w:noWrap w:val="0"/>
            <w:vAlign w:val="center"/>
          </w:tcPr>
          <w:p w14:paraId="49DD9D11">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640" w:type="dxa"/>
            <w:noWrap w:val="0"/>
            <w:vAlign w:val="center"/>
          </w:tcPr>
          <w:p w14:paraId="4ADBADA3">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650" w:type="dxa"/>
            <w:noWrap w:val="0"/>
            <w:vAlign w:val="center"/>
          </w:tcPr>
          <w:p w14:paraId="6B3FD628">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90" w:type="dxa"/>
            <w:noWrap w:val="0"/>
            <w:vAlign w:val="center"/>
          </w:tcPr>
          <w:p w14:paraId="464E6ED4">
            <w:pPr>
              <w:widowControl/>
              <w:jc w:val="center"/>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单价（元）</w:t>
            </w:r>
          </w:p>
        </w:tc>
        <w:tc>
          <w:tcPr>
            <w:tcW w:w="1175" w:type="dxa"/>
            <w:noWrap w:val="0"/>
            <w:vAlign w:val="center"/>
          </w:tcPr>
          <w:p w14:paraId="43FD77A6">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金额（元）</w:t>
            </w:r>
          </w:p>
        </w:tc>
      </w:tr>
      <w:tr w14:paraId="58B6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486" w:type="dxa"/>
            <w:noWrap w:val="0"/>
            <w:vAlign w:val="center"/>
          </w:tcPr>
          <w:p w14:paraId="0558A66A">
            <w:pPr>
              <w:jc w:val="center"/>
              <w:rPr>
                <w:rFonts w:hint="eastAsia" w:ascii="宋体" w:hAnsi="宋体" w:eastAsia="宋体" w:cs="宋体"/>
                <w:color w:val="auto"/>
                <w:sz w:val="24"/>
                <w:szCs w:val="24"/>
                <w:highlight w:val="none"/>
              </w:rPr>
            </w:pPr>
          </w:p>
        </w:tc>
        <w:tc>
          <w:tcPr>
            <w:tcW w:w="1910" w:type="dxa"/>
            <w:noWrap w:val="0"/>
            <w:vAlign w:val="center"/>
          </w:tcPr>
          <w:p w14:paraId="39AA24B3">
            <w:pPr>
              <w:jc w:val="center"/>
              <w:rPr>
                <w:rFonts w:hint="eastAsia" w:ascii="宋体" w:hAnsi="宋体" w:eastAsia="宋体" w:cs="宋体"/>
                <w:color w:val="auto"/>
                <w:sz w:val="24"/>
                <w:szCs w:val="24"/>
                <w:highlight w:val="none"/>
              </w:rPr>
            </w:pPr>
          </w:p>
        </w:tc>
        <w:tc>
          <w:tcPr>
            <w:tcW w:w="1480" w:type="dxa"/>
            <w:noWrap w:val="0"/>
            <w:vAlign w:val="center"/>
          </w:tcPr>
          <w:p w14:paraId="288331BE">
            <w:pPr>
              <w:jc w:val="center"/>
              <w:rPr>
                <w:rFonts w:hint="eastAsia" w:ascii="宋体" w:hAnsi="宋体" w:eastAsia="宋体" w:cs="宋体"/>
                <w:color w:val="auto"/>
                <w:sz w:val="24"/>
                <w:szCs w:val="24"/>
                <w:highlight w:val="none"/>
              </w:rPr>
            </w:pPr>
          </w:p>
        </w:tc>
        <w:tc>
          <w:tcPr>
            <w:tcW w:w="1410" w:type="dxa"/>
            <w:noWrap w:val="0"/>
            <w:vAlign w:val="center"/>
          </w:tcPr>
          <w:p w14:paraId="6C44F8DE">
            <w:pPr>
              <w:keepNext w:val="0"/>
              <w:keepLines w:val="0"/>
              <w:widowControl/>
              <w:suppressLineNumbers w:val="0"/>
              <w:jc w:val="left"/>
              <w:rPr>
                <w:rFonts w:hint="eastAsia" w:ascii="宋体" w:hAnsi="宋体" w:eastAsia="宋体" w:cs="宋体"/>
                <w:color w:val="auto"/>
                <w:sz w:val="24"/>
                <w:szCs w:val="24"/>
                <w:highlight w:val="none"/>
                <w:lang w:eastAsia="zh-CN"/>
              </w:rPr>
            </w:pPr>
          </w:p>
        </w:tc>
        <w:tc>
          <w:tcPr>
            <w:tcW w:w="640" w:type="dxa"/>
            <w:noWrap w:val="0"/>
            <w:vAlign w:val="center"/>
          </w:tcPr>
          <w:p w14:paraId="5093A400">
            <w:pPr>
              <w:jc w:val="center"/>
              <w:rPr>
                <w:rFonts w:hint="eastAsia" w:ascii="宋体" w:hAnsi="宋体" w:eastAsia="宋体" w:cs="宋体"/>
                <w:color w:val="auto"/>
                <w:sz w:val="24"/>
                <w:szCs w:val="24"/>
                <w:highlight w:val="none"/>
                <w:lang w:val="en-US" w:eastAsia="zh-CN"/>
              </w:rPr>
            </w:pPr>
          </w:p>
        </w:tc>
        <w:tc>
          <w:tcPr>
            <w:tcW w:w="650" w:type="dxa"/>
            <w:noWrap w:val="0"/>
            <w:vAlign w:val="center"/>
          </w:tcPr>
          <w:p w14:paraId="57AD052C">
            <w:pPr>
              <w:jc w:val="center"/>
              <w:rPr>
                <w:rFonts w:hint="eastAsia" w:ascii="宋体" w:hAnsi="宋体" w:eastAsia="宋体" w:cs="宋体"/>
                <w:color w:val="auto"/>
                <w:sz w:val="24"/>
                <w:szCs w:val="24"/>
                <w:highlight w:val="none"/>
                <w:lang w:val="en-US" w:eastAsia="zh-CN"/>
              </w:rPr>
            </w:pPr>
          </w:p>
        </w:tc>
        <w:tc>
          <w:tcPr>
            <w:tcW w:w="1290" w:type="dxa"/>
            <w:noWrap w:val="0"/>
            <w:vAlign w:val="center"/>
          </w:tcPr>
          <w:p w14:paraId="44266419">
            <w:pPr>
              <w:jc w:val="center"/>
              <w:rPr>
                <w:rFonts w:hint="eastAsia" w:ascii="宋体" w:hAnsi="宋体" w:eastAsia="宋体" w:cs="宋体"/>
                <w:color w:val="auto"/>
                <w:sz w:val="24"/>
                <w:szCs w:val="24"/>
                <w:highlight w:val="none"/>
                <w:lang w:val="en-US" w:eastAsia="zh-CN"/>
              </w:rPr>
            </w:pPr>
          </w:p>
        </w:tc>
        <w:tc>
          <w:tcPr>
            <w:tcW w:w="1175" w:type="dxa"/>
            <w:noWrap w:val="0"/>
            <w:vAlign w:val="center"/>
          </w:tcPr>
          <w:p w14:paraId="46274D9C">
            <w:pPr>
              <w:jc w:val="center"/>
              <w:rPr>
                <w:rFonts w:hint="eastAsia" w:ascii="宋体" w:hAnsi="宋体" w:eastAsia="宋体" w:cs="宋体"/>
                <w:color w:val="auto"/>
                <w:sz w:val="24"/>
                <w:szCs w:val="24"/>
                <w:highlight w:val="none"/>
                <w:lang w:val="en-US" w:eastAsia="zh-CN"/>
              </w:rPr>
            </w:pPr>
          </w:p>
        </w:tc>
      </w:tr>
      <w:tr w14:paraId="2143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486" w:type="dxa"/>
            <w:noWrap w:val="0"/>
            <w:vAlign w:val="center"/>
          </w:tcPr>
          <w:p w14:paraId="529CF2A5">
            <w:pPr>
              <w:jc w:val="center"/>
              <w:rPr>
                <w:rFonts w:hint="eastAsia" w:ascii="宋体" w:hAnsi="宋体" w:eastAsia="宋体" w:cs="宋体"/>
                <w:color w:val="auto"/>
                <w:sz w:val="24"/>
                <w:szCs w:val="24"/>
                <w:highlight w:val="none"/>
              </w:rPr>
            </w:pPr>
          </w:p>
        </w:tc>
        <w:tc>
          <w:tcPr>
            <w:tcW w:w="1910" w:type="dxa"/>
            <w:noWrap w:val="0"/>
            <w:vAlign w:val="center"/>
          </w:tcPr>
          <w:p w14:paraId="65AE6E32">
            <w:pPr>
              <w:jc w:val="center"/>
              <w:rPr>
                <w:rFonts w:hint="eastAsia" w:ascii="宋体" w:hAnsi="宋体" w:eastAsia="宋体" w:cs="宋体"/>
                <w:color w:val="auto"/>
                <w:sz w:val="24"/>
                <w:szCs w:val="24"/>
                <w:highlight w:val="none"/>
              </w:rPr>
            </w:pPr>
          </w:p>
        </w:tc>
        <w:tc>
          <w:tcPr>
            <w:tcW w:w="1480" w:type="dxa"/>
            <w:noWrap w:val="0"/>
            <w:vAlign w:val="center"/>
          </w:tcPr>
          <w:p w14:paraId="675CDF83">
            <w:pPr>
              <w:jc w:val="center"/>
              <w:rPr>
                <w:rFonts w:hint="eastAsia" w:ascii="宋体" w:hAnsi="宋体" w:eastAsia="宋体" w:cs="宋体"/>
                <w:color w:val="auto"/>
                <w:sz w:val="24"/>
                <w:szCs w:val="24"/>
                <w:highlight w:val="none"/>
              </w:rPr>
            </w:pPr>
          </w:p>
        </w:tc>
        <w:tc>
          <w:tcPr>
            <w:tcW w:w="1410" w:type="dxa"/>
            <w:noWrap w:val="0"/>
            <w:vAlign w:val="center"/>
          </w:tcPr>
          <w:p w14:paraId="5269EBD1">
            <w:pPr>
              <w:keepNext w:val="0"/>
              <w:keepLines w:val="0"/>
              <w:widowControl/>
              <w:suppressLineNumbers w:val="0"/>
              <w:jc w:val="left"/>
              <w:rPr>
                <w:rFonts w:hint="eastAsia" w:ascii="宋体" w:hAnsi="宋体" w:eastAsia="宋体" w:cs="宋体"/>
                <w:color w:val="auto"/>
                <w:sz w:val="24"/>
                <w:szCs w:val="24"/>
                <w:highlight w:val="none"/>
                <w:lang w:eastAsia="zh-CN"/>
              </w:rPr>
            </w:pPr>
          </w:p>
        </w:tc>
        <w:tc>
          <w:tcPr>
            <w:tcW w:w="640" w:type="dxa"/>
            <w:noWrap w:val="0"/>
            <w:vAlign w:val="center"/>
          </w:tcPr>
          <w:p w14:paraId="0CFC19C9">
            <w:pPr>
              <w:jc w:val="center"/>
              <w:rPr>
                <w:rFonts w:hint="eastAsia" w:ascii="宋体" w:hAnsi="宋体" w:eastAsia="宋体" w:cs="宋体"/>
                <w:color w:val="auto"/>
                <w:sz w:val="24"/>
                <w:szCs w:val="24"/>
                <w:highlight w:val="none"/>
                <w:lang w:val="en-US" w:eastAsia="zh-CN"/>
              </w:rPr>
            </w:pPr>
          </w:p>
        </w:tc>
        <w:tc>
          <w:tcPr>
            <w:tcW w:w="650" w:type="dxa"/>
            <w:noWrap w:val="0"/>
            <w:vAlign w:val="center"/>
          </w:tcPr>
          <w:p w14:paraId="3ED5DA9B">
            <w:pPr>
              <w:jc w:val="center"/>
              <w:rPr>
                <w:rFonts w:hint="eastAsia" w:ascii="宋体" w:hAnsi="宋体" w:eastAsia="宋体" w:cs="宋体"/>
                <w:color w:val="auto"/>
                <w:sz w:val="24"/>
                <w:szCs w:val="24"/>
                <w:highlight w:val="none"/>
                <w:lang w:val="en-US" w:eastAsia="zh-CN"/>
              </w:rPr>
            </w:pPr>
          </w:p>
        </w:tc>
        <w:tc>
          <w:tcPr>
            <w:tcW w:w="1290" w:type="dxa"/>
            <w:noWrap w:val="0"/>
            <w:vAlign w:val="center"/>
          </w:tcPr>
          <w:p w14:paraId="45F4109D">
            <w:pPr>
              <w:jc w:val="center"/>
              <w:rPr>
                <w:rFonts w:hint="eastAsia" w:ascii="宋体" w:hAnsi="宋体" w:eastAsia="宋体" w:cs="宋体"/>
                <w:color w:val="auto"/>
                <w:sz w:val="24"/>
                <w:szCs w:val="24"/>
                <w:highlight w:val="none"/>
                <w:lang w:val="en-US" w:eastAsia="zh-CN"/>
              </w:rPr>
            </w:pPr>
          </w:p>
        </w:tc>
        <w:tc>
          <w:tcPr>
            <w:tcW w:w="1175" w:type="dxa"/>
            <w:noWrap w:val="0"/>
            <w:vAlign w:val="center"/>
          </w:tcPr>
          <w:p w14:paraId="2590BBF2">
            <w:pPr>
              <w:jc w:val="center"/>
              <w:rPr>
                <w:rFonts w:hint="eastAsia" w:ascii="宋体" w:hAnsi="宋体" w:eastAsia="宋体" w:cs="宋体"/>
                <w:color w:val="auto"/>
                <w:sz w:val="24"/>
                <w:szCs w:val="24"/>
                <w:highlight w:val="none"/>
                <w:lang w:val="en-US" w:eastAsia="zh-CN"/>
              </w:rPr>
            </w:pPr>
          </w:p>
        </w:tc>
      </w:tr>
      <w:tr w14:paraId="6576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576" w:type="dxa"/>
            <w:gridSpan w:val="6"/>
            <w:noWrap w:val="0"/>
            <w:vAlign w:val="bottom"/>
          </w:tcPr>
          <w:p w14:paraId="53AFC776">
            <w:pPr>
              <w:widowControl/>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总计（大写）：人民币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整</w:t>
            </w:r>
          </w:p>
        </w:tc>
        <w:tc>
          <w:tcPr>
            <w:tcW w:w="2465" w:type="dxa"/>
            <w:gridSpan w:val="2"/>
            <w:noWrap w:val="0"/>
            <w:vAlign w:val="bottom"/>
          </w:tcPr>
          <w:p w14:paraId="142E102F">
            <w:pP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元</w:t>
            </w:r>
          </w:p>
        </w:tc>
      </w:tr>
    </w:tbl>
    <w:p w14:paraId="549B72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合同价款已包含货物生产（含所有配件、备品备件、专用工具等）、包装、运输（运抵现场）、保险、检测检验、安装、管理费、产品保护、技术服务、税金、利润、相关部门验收、不可预见及其他相关所有费用，直至交付甲方使用。</w:t>
      </w:r>
      <w:r>
        <w:rPr>
          <w:rFonts w:hint="eastAsia" w:ascii="宋体" w:hAnsi="宋体" w:eastAsia="宋体" w:cs="宋体"/>
          <w:b/>
          <w:color w:val="auto"/>
          <w:sz w:val="24"/>
          <w:szCs w:val="24"/>
        </w:rPr>
        <w:t>任何情况下，甲方无需额外向乙方支付本合同约定以外的任何费用，乙方不得擅自加价或变相收取其他费用</w:t>
      </w:r>
      <w:r>
        <w:rPr>
          <w:rFonts w:hint="eastAsia" w:ascii="宋体" w:hAnsi="宋体" w:eastAsia="宋体" w:cs="宋体"/>
          <w:color w:val="auto"/>
          <w:sz w:val="24"/>
          <w:szCs w:val="24"/>
        </w:rPr>
        <w:t>。</w:t>
      </w:r>
    </w:p>
    <w:p w14:paraId="447C3E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二、设备配置清单见附件。</w:t>
      </w:r>
      <w:r>
        <w:rPr>
          <w:rFonts w:hint="eastAsia" w:ascii="宋体" w:hAnsi="宋体" w:eastAsia="宋体" w:cs="宋体"/>
          <w:color w:val="auto"/>
          <w:sz w:val="24"/>
          <w:szCs w:val="24"/>
        </w:rPr>
        <w:t>附件需经甲乙双方签字盖章确认，作为本合同不可分割的一部分，</w:t>
      </w:r>
      <w:r>
        <w:rPr>
          <w:rFonts w:hint="eastAsia" w:ascii="宋体" w:hAnsi="宋体" w:eastAsia="宋体" w:cs="宋体"/>
          <w:b/>
          <w:color w:val="auto"/>
          <w:sz w:val="24"/>
          <w:szCs w:val="24"/>
        </w:rPr>
        <w:t>附件中设备配置需与招标文件第六章“项目需求”及乙方投标文件承诺的配置完全一致，不得擅自缩减、替换或降低配置标准</w:t>
      </w:r>
    </w:p>
    <w:p w14:paraId="4E07241F">
      <w:pPr>
        <w:spacing w:line="360" w:lineRule="auto"/>
        <w:ind w:firstLine="24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三、付款方式：</w:t>
      </w:r>
      <w:r>
        <w:rPr>
          <w:rFonts w:hint="eastAsia" w:ascii="宋体" w:hAnsi="宋体" w:eastAsia="宋体" w:cs="宋体"/>
          <w:color w:val="auto"/>
          <w:sz w:val="24"/>
          <w:szCs w:val="24"/>
          <w:highlight w:val="none"/>
        </w:rPr>
        <w:t>到货后中标人负责安装、调试。验收合格后，中标人提供免费保修证明，中标人应向采购人出具符合采购人要求的发票，采购人付款100%。采购人付款前，中标人应向采购人出具符合采购人要求的发票。</w:t>
      </w:r>
      <w:r>
        <w:rPr>
          <w:rFonts w:hint="eastAsia" w:ascii="宋体" w:hAnsi="宋体" w:eastAsia="宋体" w:cs="宋体"/>
          <w:color w:val="auto"/>
          <w:sz w:val="24"/>
          <w:szCs w:val="24"/>
          <w:highlight w:val="none"/>
          <w:lang w:val="en-US" w:eastAsia="zh-CN"/>
        </w:rPr>
        <w:t>因中标人未提供发票或提供的发票不符合采购人要求的，采购人有权逾期付款且不承担任何违约责任。</w:t>
      </w:r>
    </w:p>
    <w:p w14:paraId="0B104D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天之内将货物运抵甲方指定地点</w:t>
      </w:r>
      <w:r>
        <w:rPr>
          <w:rFonts w:hint="eastAsia" w:ascii="宋体" w:hAnsi="宋体" w:eastAsia="宋体" w:cs="宋体"/>
          <w:bCs/>
          <w:color w:val="0000FF"/>
          <w:sz w:val="24"/>
          <w:szCs w:val="24"/>
          <w:highlight w:val="none"/>
        </w:rPr>
        <w:t>。</w:t>
      </w:r>
      <w:r>
        <w:rPr>
          <w:rFonts w:hint="eastAsia" w:ascii="宋体" w:hAnsi="宋体" w:eastAsia="宋体" w:cs="宋体"/>
          <w:color w:val="0000FF"/>
          <w:sz w:val="24"/>
          <w:szCs w:val="24"/>
        </w:rPr>
        <w:t>并</w:t>
      </w:r>
      <w:r>
        <w:rPr>
          <w:rFonts w:hint="eastAsia" w:ascii="宋体" w:hAnsi="宋体" w:eastAsia="宋体" w:cs="宋体"/>
          <w:color w:val="auto"/>
          <w:sz w:val="24"/>
          <w:szCs w:val="24"/>
          <w:highlight w:val="none"/>
        </w:rPr>
        <w:t>完成安装、调试，确保设备达到正常使用条件。</w:t>
      </w:r>
      <w:r>
        <w:rPr>
          <w:rFonts w:hint="eastAsia" w:ascii="宋体" w:hAnsi="宋体" w:eastAsia="宋体" w:cs="宋体"/>
          <w:b/>
          <w:color w:val="auto"/>
          <w:sz w:val="24"/>
          <w:szCs w:val="24"/>
          <w:highlight w:val="none"/>
        </w:rPr>
        <w:t>逾期交付的，每逾期1天，乙方向甲方偿付逾期交货部分货款总额的万分之五的滞纳金；逾期超过15天的，甲方有权单方解除合同，乙方应退还甲方已支付的全部款项，并按合同总金额20%向甲方支付违约金，同时赔偿甲方因此遭受的全部损失（包括但不限于另行采购的差价、工期延误损失等）</w:t>
      </w:r>
      <w:r>
        <w:rPr>
          <w:rFonts w:hint="eastAsia" w:ascii="宋体" w:hAnsi="宋体" w:eastAsia="宋体" w:cs="宋体"/>
          <w:color w:val="auto"/>
          <w:sz w:val="24"/>
          <w:szCs w:val="24"/>
          <w:highlight w:val="none"/>
        </w:rPr>
        <w:t>。</w:t>
      </w:r>
    </w:p>
    <w:p w14:paraId="4D62D76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五、交货地点：</w:t>
      </w:r>
      <w:r>
        <w:rPr>
          <w:rFonts w:hint="eastAsia" w:ascii="宋体" w:hAnsi="宋体" w:eastAsia="宋体" w:cs="宋体"/>
          <w:bCs/>
          <w:color w:val="auto"/>
          <w:sz w:val="24"/>
          <w:szCs w:val="24"/>
          <w:highlight w:val="none"/>
          <w:lang w:eastAsia="zh-CN"/>
        </w:rPr>
        <w:t>灌南县综合行政执法局</w:t>
      </w:r>
      <w:r>
        <w:rPr>
          <w:rFonts w:hint="eastAsia" w:ascii="宋体" w:hAnsi="宋体" w:eastAsia="宋体" w:cs="宋体"/>
          <w:bCs/>
          <w:color w:val="auto"/>
          <w:sz w:val="24"/>
          <w:szCs w:val="24"/>
          <w:highlight w:val="none"/>
        </w:rPr>
        <w:t>指定</w:t>
      </w:r>
      <w:r>
        <w:rPr>
          <w:rFonts w:hint="eastAsia" w:ascii="宋体" w:hAnsi="宋体" w:eastAsia="宋体" w:cs="宋体"/>
          <w:bCs/>
          <w:color w:val="auto"/>
          <w:sz w:val="24"/>
          <w:szCs w:val="24"/>
          <w:highlight w:val="none"/>
          <w:lang w:val="en-US" w:eastAsia="zh-CN"/>
        </w:rPr>
        <w:t>区域</w:t>
      </w: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rPr>
        <w:t>乙方需提前3个工作日书面通知甲方货物到货时间，便于甲方安排接收、验收工作，未提前通知导致甲方无法及时接收、产生额外仓储或管理费用的，该费用由乙方承担，且视为乙方逾期交货</w:t>
      </w:r>
      <w:r>
        <w:rPr>
          <w:rFonts w:hint="eastAsia" w:ascii="宋体" w:hAnsi="宋体" w:eastAsia="宋体" w:cs="宋体"/>
          <w:b/>
          <w:color w:val="auto"/>
          <w:sz w:val="24"/>
          <w:szCs w:val="24"/>
          <w:highlight w:val="none"/>
          <w:lang w:eastAsia="zh-CN"/>
        </w:rPr>
        <w:t>。</w:t>
      </w:r>
    </w:p>
    <w:p w14:paraId="13515D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年，自甲方正式验收合格之日起计算。在质保期内，乙方需对所提供的货物定期检查和保养，并且保证每年上门检修、保养一次，不再向甲方收取费用。</w:t>
      </w:r>
      <w:r>
        <w:rPr>
          <w:rFonts w:hint="eastAsia" w:ascii="宋体" w:hAnsi="宋体" w:eastAsia="宋体" w:cs="宋体"/>
          <w:b/>
          <w:color w:val="auto"/>
          <w:sz w:val="24"/>
          <w:szCs w:val="24"/>
          <w:highlight w:val="none"/>
        </w:rPr>
        <w:t>质保期内，设备出现任何质量问题（人为损坏除外），乙方需在接到甲方报修通知后24小时内上门维修，48小时内解决故障；若无法在48小时内解决的，乙方需提供与故障设备同等规格、性能的备用设备，保障甲方正常使用，否则每逾期1天，乙方按合同总金额0.5%支付违约金；若同一设备同一故障经3次维修仍无法正常使用的，甲方有权要求乙方无条件更换全新设备，或解除该部分设备对应的合同，乙方退还对应款项并赔偿损失</w:t>
      </w:r>
      <w:r>
        <w:rPr>
          <w:rFonts w:hint="eastAsia" w:ascii="宋体" w:hAnsi="宋体" w:eastAsia="宋体" w:cs="宋体"/>
          <w:color w:val="auto"/>
          <w:sz w:val="24"/>
          <w:szCs w:val="24"/>
          <w:highlight w:val="none"/>
        </w:rPr>
        <w:t>。</w:t>
      </w:r>
    </w:p>
    <w:p w14:paraId="3D1C4A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七、资质、质量要求及技术标准</w:t>
      </w:r>
    </w:p>
    <w:p w14:paraId="4DDC8D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1．特别提醒条款：</w:t>
      </w:r>
      <w:r>
        <w:rPr>
          <w:rFonts w:hint="eastAsia" w:ascii="宋体" w:hAnsi="宋体" w:eastAsia="宋体" w:cs="宋体"/>
          <w:bCs/>
          <w:color w:val="auto"/>
          <w:sz w:val="24"/>
          <w:szCs w:val="24"/>
          <w:highlight w:val="none"/>
        </w:rPr>
        <w:t>a、乙方所提供</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产品必须</w:t>
      </w:r>
      <w:r>
        <w:rPr>
          <w:rFonts w:hint="eastAsia" w:ascii="宋体" w:hAnsi="宋体" w:eastAsia="宋体" w:cs="宋体"/>
          <w:bCs/>
          <w:color w:val="auto"/>
          <w:sz w:val="24"/>
          <w:szCs w:val="24"/>
          <w:highlight w:val="none"/>
          <w:lang w:val="en-US" w:eastAsia="zh-CN"/>
        </w:rPr>
        <w:t>合法</w:t>
      </w:r>
      <w:r>
        <w:rPr>
          <w:rFonts w:hint="eastAsia" w:ascii="宋体" w:hAnsi="宋体" w:eastAsia="宋体" w:cs="宋体"/>
          <w:bCs/>
          <w:color w:val="auto"/>
          <w:sz w:val="24"/>
          <w:szCs w:val="24"/>
          <w:highlight w:val="none"/>
        </w:rPr>
        <w:t>有效</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符合国家相关标准、行业标准及招标文件第六章“项目需求”的全部要求</w:t>
      </w:r>
      <w:r>
        <w:rPr>
          <w:rFonts w:hint="eastAsia" w:ascii="宋体" w:hAnsi="宋体" w:eastAsia="宋体" w:cs="宋体"/>
          <w:bCs/>
          <w:color w:val="auto"/>
          <w:sz w:val="24"/>
          <w:szCs w:val="24"/>
          <w:highlight w:val="none"/>
        </w:rPr>
        <w:t>；b、乙方所提供设备上的中文品名、型号及产品说明书所注适用范围必须与</w:t>
      </w:r>
      <w:r>
        <w:rPr>
          <w:rFonts w:hint="eastAsia" w:ascii="宋体" w:hAnsi="宋体" w:eastAsia="宋体" w:cs="宋体"/>
          <w:bCs/>
          <w:color w:val="auto"/>
          <w:sz w:val="24"/>
          <w:szCs w:val="24"/>
          <w:highlight w:val="none"/>
          <w:lang w:val="en-US" w:eastAsia="zh-CN"/>
        </w:rPr>
        <w:t>所提供产品</w:t>
      </w:r>
      <w:r>
        <w:rPr>
          <w:rFonts w:hint="eastAsia" w:ascii="宋体" w:hAnsi="宋体" w:eastAsia="宋体" w:cs="宋体"/>
          <w:bCs/>
          <w:color w:val="auto"/>
          <w:sz w:val="24"/>
          <w:szCs w:val="24"/>
          <w:highlight w:val="none"/>
        </w:rPr>
        <w:t>的完全一致</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与招标文件、投标文件承诺一致</w:t>
      </w:r>
      <w:r>
        <w:rPr>
          <w:rFonts w:hint="eastAsia" w:ascii="宋体" w:hAnsi="宋体" w:eastAsia="宋体" w:cs="宋体"/>
          <w:bCs/>
          <w:color w:val="auto"/>
          <w:sz w:val="24"/>
          <w:szCs w:val="24"/>
          <w:highlight w:val="none"/>
        </w:rPr>
        <w:t>；c、发票上所列品名与型号必须与合同所列品名与型号完全一致；d、其他未提及事项必须符合国家市场监督管理局的相关规定。以上条款必须满足，否则如因产品质量引发侵犯权益的问题，乙方应积极配合处理并最终承担全部责任，即由此引起的一切责任</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损失（</w:t>
      </w:r>
      <w:r>
        <w:rPr>
          <w:rFonts w:hint="eastAsia" w:ascii="宋体" w:hAnsi="宋体" w:eastAsia="宋体" w:cs="宋体"/>
          <w:color w:val="auto"/>
          <w:sz w:val="24"/>
          <w:szCs w:val="24"/>
          <w:highlight w:val="none"/>
        </w:rPr>
        <w:t>包括但不限于甲方的直接损失、间接损失、维权费用等）</w:t>
      </w:r>
      <w:r>
        <w:rPr>
          <w:rFonts w:hint="eastAsia" w:ascii="宋体" w:hAnsi="宋体" w:eastAsia="宋体" w:cs="宋体"/>
          <w:bCs/>
          <w:color w:val="auto"/>
          <w:sz w:val="24"/>
          <w:szCs w:val="24"/>
          <w:highlight w:val="none"/>
        </w:rPr>
        <w:t>由乙方负责。</w:t>
      </w:r>
    </w:p>
    <w:p w14:paraId="52F3B1F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rPr>
          <w:rFonts w:hint="eastAsia" w:ascii="宋体" w:hAnsi="宋体" w:eastAsia="宋体" w:cs="宋体"/>
          <w:b/>
          <w:color w:val="auto"/>
          <w:sz w:val="24"/>
          <w:szCs w:val="24"/>
          <w:highlight w:val="none"/>
        </w:rPr>
        <w:t>且证书需在有效期内，真实有效，若经查证证书虚假、过期或无效，视为乙方违约，甲方有权解除合同，乙方退还全部款项并按合同总金额30%支付违约金</w:t>
      </w:r>
      <w:r>
        <w:rPr>
          <w:rFonts w:hint="eastAsia" w:ascii="宋体" w:hAnsi="宋体" w:eastAsia="宋体" w:cs="宋体"/>
          <w:b/>
          <w:color w:val="auto"/>
          <w:sz w:val="24"/>
          <w:szCs w:val="24"/>
          <w:highlight w:val="none"/>
          <w:lang w:eastAsia="zh-CN"/>
        </w:rPr>
        <w:t>。</w:t>
      </w:r>
    </w:p>
    <w:p w14:paraId="0459C4C0">
      <w:p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3．乙方保证所供设备为全新、未使用过的原装正品，生产日期在合同签订之日</w:t>
      </w:r>
      <w:r>
        <w:rPr>
          <w:rFonts w:hint="eastAsia" w:ascii="宋体" w:hAnsi="宋体" w:eastAsia="宋体" w:cs="宋体"/>
          <w:color w:val="auto"/>
          <w:sz w:val="24"/>
          <w:szCs w:val="24"/>
          <w:highlight w:val="none"/>
          <w:lang w:eastAsia="zh-CN"/>
        </w:rPr>
        <w:t>六个月</w:t>
      </w:r>
      <w:r>
        <w:rPr>
          <w:rFonts w:hint="eastAsia" w:ascii="宋体" w:hAnsi="宋体" w:eastAsia="宋体" w:cs="宋体"/>
          <w:color w:val="auto"/>
          <w:sz w:val="24"/>
          <w:szCs w:val="24"/>
          <w:highlight w:val="none"/>
        </w:rPr>
        <w:t>以内，并严格保持原包装</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设备开箱验收时，乙方需全程在场，若发现设备存在破损、残缺、型号不符、非原装正品等问题，甲方有权拒收，乙方需在7日内无条件更换合格设备，同时按该批设备金额的10%支付违约金，若逾期未更换，甲方有权解除合同并要求乙方赔偿全部损失</w:t>
      </w:r>
      <w:r>
        <w:rPr>
          <w:rFonts w:hint="eastAsia" w:ascii="宋体" w:hAnsi="宋体" w:eastAsia="宋体" w:cs="宋体"/>
          <w:color w:val="auto"/>
          <w:sz w:val="24"/>
          <w:szCs w:val="24"/>
          <w:highlight w:val="none"/>
        </w:rPr>
        <w:t>，否则甲方有权拒收或要求更换，造成的一切损失由乙方负全部责任。</w:t>
      </w:r>
    </w:p>
    <w:p w14:paraId="3F662A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八、设备到货、安装和验收要求</w:t>
      </w:r>
    </w:p>
    <w:p w14:paraId="56142F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到货时间，乙方应提前一周通知甲方，以便甲方安排好接收工作。设备到货后，甲方及时通知乙方，乙方接到通知一周内到达现场，负责设备的免费安装和调试。设备安装时，乙方必须事先与甲方联系，并与</w:t>
      </w:r>
      <w:r>
        <w:rPr>
          <w:rFonts w:hint="eastAsia" w:ascii="宋体" w:hAnsi="宋体" w:eastAsia="宋体" w:cs="宋体"/>
          <w:color w:val="auto"/>
          <w:sz w:val="24"/>
          <w:szCs w:val="24"/>
          <w:highlight w:val="none"/>
          <w:lang w:eastAsia="zh-CN"/>
        </w:rPr>
        <w:t>设备处</w:t>
      </w:r>
      <w:r>
        <w:rPr>
          <w:rFonts w:hint="eastAsia" w:ascii="宋体" w:hAnsi="宋体" w:eastAsia="宋体" w:cs="宋体"/>
          <w:color w:val="auto"/>
          <w:sz w:val="24"/>
          <w:szCs w:val="24"/>
          <w:highlight w:val="none"/>
        </w:rPr>
        <w:t>共同参与，并按照甲方要求提供验收所需资料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包括但不限于产品合格证、检测报告、说明书、配件清单等），</w:t>
      </w:r>
      <w:r>
        <w:rPr>
          <w:rFonts w:hint="eastAsia" w:ascii="宋体" w:hAnsi="宋体" w:eastAsia="宋体" w:cs="宋体"/>
          <w:b/>
          <w:color w:val="auto"/>
          <w:sz w:val="24"/>
          <w:szCs w:val="24"/>
          <w:highlight w:val="none"/>
        </w:rPr>
        <w:t>资料不全的，甲方有权暂缓验收，视为乙方未完成安装调试义务，逾期未补齐资料的，按逾期交货处理</w:t>
      </w:r>
      <w:r>
        <w:rPr>
          <w:rFonts w:hint="eastAsia" w:ascii="宋体" w:hAnsi="宋体" w:eastAsia="宋体" w:cs="宋体"/>
          <w:color w:val="auto"/>
          <w:sz w:val="24"/>
          <w:szCs w:val="24"/>
          <w:highlight w:val="none"/>
        </w:rPr>
        <w:t>。否则引起的一切责任由乙方承担。</w:t>
      </w:r>
    </w:p>
    <w:p w14:paraId="4AD778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2．如乙方提供的设备设有维修软件密码，乙方应保证无条件地为甲方永久免费打开。并提供详细的密码及操作说明，</w:t>
      </w:r>
      <w:r>
        <w:rPr>
          <w:rFonts w:hint="eastAsia" w:ascii="宋体" w:hAnsi="宋体" w:eastAsia="宋体" w:cs="宋体"/>
          <w:b/>
          <w:color w:val="auto"/>
          <w:sz w:val="24"/>
          <w:szCs w:val="24"/>
          <w:highlight w:val="none"/>
        </w:rPr>
        <w:t>若乙方拒绝提供、隐瞒密码或密码无法使用，乙方应向甲方支付货款总额50%的违约金，给甲方造成损失的，还应全额赔偿；若设备带有应用软件，乙方需按甲方要求免费升级，升级不及时或无法升级的，甲方有权扣除相应质保金</w:t>
      </w:r>
      <w:r>
        <w:rPr>
          <w:rFonts w:hint="eastAsia" w:ascii="宋体" w:hAnsi="宋体" w:eastAsia="宋体" w:cs="宋体"/>
          <w:color w:val="auto"/>
          <w:sz w:val="24"/>
          <w:szCs w:val="24"/>
          <w:highlight w:val="none"/>
        </w:rPr>
        <w:t>。否则，乙方应向甲方支付货款总额50%的违约金，给甲方造成损失的，还应赔偿损失。若设备带有应用软件，乙方需按甲方要求免费升级。</w:t>
      </w:r>
    </w:p>
    <w:p w14:paraId="1C1A37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3．设备安装、调试结束后，甲方对设备试用后进行验收（时间由甲、乙双方商定），</w:t>
      </w:r>
      <w:r>
        <w:rPr>
          <w:rFonts w:hint="eastAsia" w:ascii="宋体" w:hAnsi="宋体" w:eastAsia="宋体" w:cs="宋体"/>
          <w:color w:val="auto"/>
          <w:sz w:val="24"/>
          <w:szCs w:val="24"/>
          <w:highlight w:val="none"/>
          <w:lang w:eastAsia="zh-CN"/>
        </w:rPr>
        <w:t>甲方根据招标文件中的参数逐条验收，</w:t>
      </w:r>
      <w:r>
        <w:rPr>
          <w:rFonts w:hint="eastAsia" w:ascii="宋体" w:hAnsi="宋体" w:eastAsia="宋体" w:cs="宋体"/>
          <w:b/>
          <w:color w:val="auto"/>
          <w:sz w:val="24"/>
          <w:szCs w:val="24"/>
          <w:highlight w:val="none"/>
        </w:rPr>
        <w:t>验收过程中，乙方需全程配合，提供必要的技术支持；若验收不合格，甲方有权要求乙方在15日内整改，整改后仍不合格的，甲方有权拒收设备，解除合同，乙方退还全部款项并按合同总金额20%支付违约金，同时赔偿甲方因此遭受的全部损失</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若不能完全满足参数要求，</w:t>
      </w:r>
      <w:r>
        <w:rPr>
          <w:rFonts w:hint="eastAsia" w:ascii="宋体" w:hAnsi="宋体" w:eastAsia="宋体" w:cs="宋体"/>
          <w:color w:val="auto"/>
          <w:sz w:val="24"/>
          <w:szCs w:val="24"/>
          <w:highlight w:val="none"/>
        </w:rPr>
        <w:t>甲方有权退回所采购的设备</w:t>
      </w:r>
      <w:r>
        <w:rPr>
          <w:rFonts w:hint="eastAsia" w:ascii="宋体" w:hAnsi="宋体" w:eastAsia="宋体" w:cs="宋体"/>
          <w:color w:val="auto"/>
          <w:sz w:val="24"/>
          <w:szCs w:val="24"/>
          <w:highlight w:val="none"/>
          <w:lang w:eastAsia="zh-CN"/>
        </w:rPr>
        <w:t>并让乙方承担甲方损失。</w:t>
      </w:r>
      <w:r>
        <w:rPr>
          <w:rFonts w:hint="eastAsia" w:ascii="宋体" w:hAnsi="宋体" w:eastAsia="宋体" w:cs="宋体"/>
          <w:color w:val="auto"/>
          <w:sz w:val="24"/>
          <w:szCs w:val="24"/>
          <w:highlight w:val="none"/>
        </w:rPr>
        <w:t>乙方免费派工程师到达现场协助验收工作。</w:t>
      </w:r>
    </w:p>
    <w:p w14:paraId="56F048AE">
      <w:pPr>
        <w:spacing w:before="120" w:after="120" w:line="288"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乙方确保设备安装调试后须具备正常运行所需的所有条件，即为交钥匙项目。</w:t>
      </w:r>
      <w:r>
        <w:rPr>
          <w:rFonts w:hint="eastAsia" w:ascii="宋体" w:hAnsi="宋体" w:eastAsia="宋体" w:cs="宋体"/>
          <w:b/>
          <w:color w:val="auto"/>
          <w:sz w:val="24"/>
          <w:szCs w:val="24"/>
          <w:highlight w:val="none"/>
        </w:rPr>
        <w:t>若安装调试后设备无法正常运行，或缺少必要的配套设施、软件，视为乙方未完成履约义务，乙方需在7日内整改完毕，逾期未整改的，按逾期交货处理，同时赔偿甲方因此产生的损失</w:t>
      </w:r>
      <w:r>
        <w:rPr>
          <w:rFonts w:hint="eastAsia" w:ascii="宋体" w:hAnsi="宋体" w:eastAsia="宋体" w:cs="宋体"/>
          <w:color w:val="auto"/>
          <w:sz w:val="24"/>
          <w:szCs w:val="24"/>
          <w:highlight w:val="none"/>
        </w:rPr>
        <w:t>。</w:t>
      </w:r>
    </w:p>
    <w:p w14:paraId="2E19FFD8">
      <w:pPr>
        <w:spacing w:line="360" w:lineRule="auto"/>
        <w:ind w:firstLine="480"/>
        <w:rPr>
          <w:rFonts w:hint="eastAsia" w:ascii="宋体" w:hAnsi="宋体" w:eastAsia="宋体" w:cs="宋体"/>
          <w:color w:val="auto"/>
          <w:sz w:val="24"/>
          <w:szCs w:val="24"/>
          <w:highlight w:val="none"/>
        </w:rPr>
      </w:pPr>
    </w:p>
    <w:p w14:paraId="1FE96F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5．保修期自甲方书面验收合格之日算起，保修期外只收配件费，免收人工费等一切费用。</w:t>
      </w:r>
      <w:r>
        <w:rPr>
          <w:rFonts w:hint="eastAsia" w:ascii="宋体" w:hAnsi="宋体" w:eastAsia="宋体" w:cs="宋体"/>
          <w:b/>
          <w:color w:val="auto"/>
          <w:sz w:val="24"/>
          <w:szCs w:val="24"/>
          <w:highlight w:val="none"/>
        </w:rPr>
        <w:t>保修期外，乙方提供的配件价格需低于市场公允价10%以上，且保证配件供应及时，接到甲方配件需求后7日内送达，逾期未送达的，每逾期1天，按配件金额的5%支付违约金</w:t>
      </w:r>
    </w:p>
    <w:p w14:paraId="7FB073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6.若设备有专机专用耗材（指该耗材无法被其他品牌耗材代替）需在本协议中体现，并保证在设备安装验收合格并投入使用后不再有新增专机专用耗材需引进</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若乙方擅自新增专机专用耗材，甲方有权退回所采购的设备并要求乙方退还所有已支付采购货款，同时乙方需按合同总金额20%支付违约金，赔偿甲方因此遭受的损失</w:t>
      </w:r>
      <w:r>
        <w:rPr>
          <w:rFonts w:hint="eastAsia" w:ascii="宋体" w:hAnsi="宋体" w:eastAsia="宋体" w:cs="宋体"/>
          <w:color w:val="auto"/>
          <w:sz w:val="24"/>
          <w:szCs w:val="24"/>
          <w:highlight w:val="none"/>
        </w:rPr>
        <w:t>。否则甲方有权退回所采购的设备并要求乙方退还所有已支付采购货款。</w:t>
      </w:r>
    </w:p>
    <w:p w14:paraId="3C7EE3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九、技术培训</w:t>
      </w:r>
    </w:p>
    <w:p w14:paraId="79512BDC">
      <w:pPr>
        <w:spacing w:before="120" w:after="120" w:line="288"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①现场技术培训：在安装过程中或安装结束后，乙方工程师或有关人员有义务免费对甲方工程师和操作人员进行现场维修、保养、操作培训，解答甲方人员提出的问题。</w:t>
      </w:r>
      <w:r>
        <w:rPr>
          <w:rFonts w:hint="eastAsia" w:ascii="宋体" w:hAnsi="宋体" w:eastAsia="宋体" w:cs="宋体"/>
          <w:b/>
          <w:color w:val="auto"/>
          <w:sz w:val="24"/>
          <w:szCs w:val="24"/>
          <w:highlight w:val="none"/>
        </w:rPr>
        <w:t>培训需确保甲方至少2名操作人员能够熟练掌握设备操作、日常维护及简单故障处理技能，培训结束后需出具培训合格证明，若甲方人员无法熟练操作，乙方需重新培训，直至合格，产生的费用由乙方承担</w:t>
      </w:r>
      <w:r>
        <w:rPr>
          <w:rFonts w:hint="eastAsia" w:ascii="宋体" w:hAnsi="宋体" w:eastAsia="宋体" w:cs="宋体"/>
          <w:color w:val="auto"/>
          <w:sz w:val="24"/>
          <w:szCs w:val="24"/>
          <w:highlight w:val="none"/>
        </w:rPr>
        <w:t>。</w:t>
      </w:r>
    </w:p>
    <w:p w14:paraId="1D6194E2">
      <w:pPr>
        <w:spacing w:line="360" w:lineRule="auto"/>
        <w:ind w:firstLine="480"/>
        <w:rPr>
          <w:rFonts w:hint="eastAsia" w:ascii="宋体" w:hAnsi="宋体" w:eastAsia="宋体" w:cs="宋体"/>
          <w:color w:val="auto"/>
          <w:sz w:val="24"/>
          <w:szCs w:val="24"/>
          <w:highlight w:val="none"/>
        </w:rPr>
      </w:pPr>
    </w:p>
    <w:p w14:paraId="15CCAE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p>
    <w:p w14:paraId="5AE9B0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十、售后服务要求</w:t>
      </w:r>
    </w:p>
    <w:p w14:paraId="2016784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1．确保设备保修期内</w:t>
      </w:r>
      <w:r>
        <w:rPr>
          <w:rFonts w:hint="eastAsia" w:ascii="宋体" w:hAnsi="宋体" w:eastAsia="宋体" w:cs="宋体"/>
          <w:color w:val="auto"/>
          <w:sz w:val="24"/>
          <w:szCs w:val="24"/>
          <w:highlight w:val="none"/>
          <w:lang w:val="en-US" w:eastAsia="zh-CN"/>
        </w:rPr>
        <w:t>正常使用率</w:t>
      </w:r>
      <w:r>
        <w:rPr>
          <w:rFonts w:hint="eastAsia" w:ascii="宋体" w:hAnsi="宋体" w:eastAsia="宋体" w:cs="宋体"/>
          <w:color w:val="auto"/>
          <w:sz w:val="24"/>
          <w:szCs w:val="24"/>
          <w:highlight w:val="none"/>
        </w:rPr>
        <w:t>为9</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%，如设备故障停机率超过</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%（一年按365天计算，每年</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天），每超过一天（一天并不意味24小时停机，只要当日发生停机事件，即视为停机一天），保修期延长两周，超过10天，乙方应向甲方每天支付合同金额1%的违约金</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同时乙方需在3日内排查故障根源，彻底解决问题，若因同一原因导致多次停机，甲方有权要求乙方更换设备或解除合同</w:t>
      </w:r>
      <w:r>
        <w:rPr>
          <w:rFonts w:hint="eastAsia" w:ascii="宋体" w:hAnsi="宋体" w:eastAsia="宋体" w:cs="宋体"/>
          <w:color w:val="auto"/>
          <w:sz w:val="24"/>
          <w:szCs w:val="24"/>
          <w:highlight w:val="none"/>
        </w:rPr>
        <w:t>。</w:t>
      </w:r>
    </w:p>
    <w:p w14:paraId="63DA24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2．如设备发生故障，乙方在接到甲方报修电话后30分钟内予以响应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24小时</w:t>
      </w:r>
      <w:r>
        <w:rPr>
          <w:rFonts w:hint="eastAsia" w:ascii="宋体" w:hAnsi="宋体" w:eastAsia="宋体" w:cs="宋体"/>
          <w:color w:val="auto"/>
          <w:sz w:val="24"/>
          <w:szCs w:val="24"/>
          <w:highlight w:val="none"/>
        </w:rPr>
        <w:t>上门维修，</w:t>
      </w:r>
      <w:r>
        <w:rPr>
          <w:rFonts w:hint="eastAsia" w:ascii="宋体" w:hAnsi="宋体" w:eastAsia="宋体" w:cs="宋体"/>
          <w:b/>
          <w:color w:val="auto"/>
          <w:sz w:val="24"/>
          <w:szCs w:val="24"/>
          <w:highlight w:val="none"/>
        </w:rPr>
        <w:t>若乙方未按时响应或未按时上门，甲方可自行委托第三方进行维修，产生的维修费用由乙方承担，同时乙方需按维修费用的2倍支付违约金；如遇特殊情况，乙方承诺无法现场解决问题，乙方需在24小时内提供备用设备服务保障正常工作，逾期未提供的，每逾期1天，按合同总金额0.5%支付违约金</w:t>
      </w:r>
      <w:r>
        <w:rPr>
          <w:rFonts w:hint="eastAsia" w:ascii="宋体" w:hAnsi="宋体" w:eastAsia="宋体" w:cs="宋体"/>
          <w:color w:val="auto"/>
          <w:sz w:val="24"/>
          <w:szCs w:val="24"/>
          <w:highlight w:val="none"/>
        </w:rPr>
        <w:t>。否则甲方可自行采取必要的措施，由此产生的风险和费用由乙方承担。如遇特殊情况，乙方承诺无法现场解决问题，乙方需提供备</w:t>
      </w:r>
      <w:r>
        <w:rPr>
          <w:rFonts w:hint="eastAsia" w:ascii="宋体" w:hAnsi="宋体" w:eastAsia="宋体" w:cs="宋体"/>
          <w:color w:val="auto"/>
          <w:sz w:val="24"/>
          <w:szCs w:val="24"/>
          <w:highlight w:val="none"/>
          <w:lang w:val="en-US" w:eastAsia="zh-CN"/>
        </w:rPr>
        <w:t>用设备</w:t>
      </w:r>
      <w:r>
        <w:rPr>
          <w:rFonts w:hint="eastAsia" w:ascii="宋体" w:hAnsi="宋体" w:eastAsia="宋体" w:cs="宋体"/>
          <w:color w:val="auto"/>
          <w:sz w:val="24"/>
          <w:szCs w:val="24"/>
          <w:highlight w:val="none"/>
        </w:rPr>
        <w:t>服务保障正常工作。</w:t>
      </w:r>
    </w:p>
    <w:p w14:paraId="044F51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设备处</w:t>
      </w:r>
      <w:r>
        <w:rPr>
          <w:rFonts w:hint="eastAsia" w:ascii="宋体" w:hAnsi="宋体" w:eastAsia="宋体" w:cs="宋体"/>
          <w:color w:val="auto"/>
          <w:sz w:val="24"/>
          <w:szCs w:val="24"/>
          <w:highlight w:val="none"/>
        </w:rPr>
        <w:t>取得联系；在维修过程中与甲方工程师共同完成维修工作。</w:t>
      </w:r>
      <w:r>
        <w:rPr>
          <w:rFonts w:hint="eastAsia" w:ascii="宋体" w:hAnsi="宋体" w:eastAsia="宋体" w:cs="宋体"/>
          <w:b/>
          <w:color w:val="auto"/>
          <w:sz w:val="24"/>
          <w:szCs w:val="24"/>
          <w:highlight w:val="none"/>
        </w:rPr>
        <w:t>维修后需出具维修报告，注明故障原因、维修内容、更换配件等信息，经甲方签字确认后生效，若乙方未按要求提供维修报告，甲方有权拒付保修期外的维修费用，保修期内的，视为乙方未完成维修义务</w:t>
      </w:r>
      <w:r>
        <w:rPr>
          <w:rFonts w:hint="eastAsia" w:ascii="宋体" w:hAnsi="宋体" w:eastAsia="宋体" w:cs="宋体"/>
          <w:color w:val="auto"/>
          <w:sz w:val="24"/>
          <w:szCs w:val="24"/>
          <w:highlight w:val="none"/>
        </w:rPr>
        <w:t>。否则由此引起的一切责任由乙方负责。</w:t>
      </w:r>
    </w:p>
    <w:p w14:paraId="4045F3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4．乙方免费提供全套技术资料（维修说明书包括详细电路图、操作说明书及光盘等），</w:t>
      </w:r>
      <w:r>
        <w:rPr>
          <w:rFonts w:hint="eastAsia" w:ascii="宋体" w:hAnsi="宋体" w:eastAsia="宋体" w:cs="宋体"/>
          <w:b/>
          <w:color w:val="auto"/>
          <w:sz w:val="24"/>
          <w:szCs w:val="24"/>
          <w:highlight w:val="none"/>
        </w:rPr>
        <w:t>技术资料需完整、规范、易懂，若技术资料不全、错误导致甲方无法正常操作、维护设备，甲方有权拒付剩余款项（若有），并要求乙方在7日内补齐、更正资料，逾期未补齐、更正的，按合同总金额5%支付违约金</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如技术资料不全，甲方有权不支付货款。</w:t>
      </w:r>
    </w:p>
    <w:p w14:paraId="3370D6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十一、专利权和货物相关的更改要求</w:t>
      </w:r>
    </w:p>
    <w:p w14:paraId="3291E8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rPr>
          <w:rFonts w:hint="eastAsia" w:ascii="宋体" w:hAnsi="宋体" w:eastAsia="宋体" w:cs="宋体"/>
          <w:b/>
          <w:color w:val="auto"/>
          <w:sz w:val="24"/>
          <w:szCs w:val="24"/>
          <w:highlight w:val="none"/>
        </w:rPr>
        <w:t>若因侵权导致甲方设备被查封、扣押或无法使用，乙方需立即更换无侵权风险的设备，或退还全部货款，同时按合同总金额30%支付违约金，赔偿甲方因此遭受的全部损失</w:t>
      </w:r>
    </w:p>
    <w:p w14:paraId="5D8396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2、乙方保证所交付的货物的所有权完全属于乙方且无任何抵押、查封等产权瑕疵。如乙方所交货物有产权瑕疵的，视为乙方违约，按照本合同第十二条第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款的约定处理。但在已经全部支付完合同款后才发现有产权瑕疵的，除了支付违约金，乙方还应负担由此而产生的一切损失。</w:t>
      </w:r>
      <w:r>
        <w:rPr>
          <w:rFonts w:hint="eastAsia" w:ascii="宋体" w:hAnsi="宋体" w:eastAsia="宋体" w:cs="宋体"/>
          <w:b/>
          <w:color w:val="auto"/>
          <w:sz w:val="24"/>
          <w:szCs w:val="24"/>
          <w:highlight w:val="none"/>
        </w:rPr>
        <w:t>同时甲方有权要求乙方无条件更换无产权瑕疵的设备，或解除合同，乙方退还全部款项并按合同总金额20%支付违约金</w:t>
      </w:r>
      <w:r>
        <w:rPr>
          <w:rFonts w:hint="eastAsia" w:ascii="宋体" w:hAnsi="宋体" w:eastAsia="宋体" w:cs="宋体"/>
          <w:color w:val="auto"/>
          <w:sz w:val="24"/>
          <w:szCs w:val="24"/>
          <w:highlight w:val="none"/>
        </w:rPr>
        <w:t>。</w:t>
      </w:r>
    </w:p>
    <w:p w14:paraId="78362B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w:t>
      </w:r>
      <w:r>
        <w:rPr>
          <w:rFonts w:hint="eastAsia" w:ascii="宋体" w:hAnsi="宋体" w:eastAsia="宋体" w:cs="宋体"/>
          <w:b/>
          <w:color w:val="auto"/>
          <w:sz w:val="24"/>
          <w:szCs w:val="24"/>
          <w:highlight w:val="none"/>
        </w:rPr>
        <w:t>扣除价格需按乙方投标报价中的分项报价执行，不得高于投标报价，若乙方无故抬高扣除价格或拒绝扣除，甲方有权扣除相应款项，同时乙方需按该部分货物金额的10%支付违约金</w:t>
      </w:r>
      <w:r>
        <w:rPr>
          <w:rFonts w:hint="eastAsia" w:ascii="宋体" w:hAnsi="宋体" w:eastAsia="宋体" w:cs="宋体"/>
          <w:color w:val="auto"/>
          <w:sz w:val="24"/>
          <w:szCs w:val="24"/>
          <w:highlight w:val="none"/>
        </w:rPr>
        <w:t>。甲方就部分货物及其功能做修改时，乙方应予以充分配合。</w:t>
      </w:r>
    </w:p>
    <w:p w14:paraId="749209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4、在合同执行过程中，如果国家相应的技术规范作出调整，或货物的技术有了较大的更新，乙方应免费更换所供货物的相应部件。</w:t>
      </w:r>
      <w:r>
        <w:rPr>
          <w:rFonts w:hint="eastAsia" w:ascii="宋体" w:hAnsi="宋体" w:eastAsia="宋体" w:cs="宋体"/>
          <w:b/>
          <w:color w:val="auto"/>
          <w:sz w:val="24"/>
          <w:szCs w:val="24"/>
          <w:highlight w:val="none"/>
        </w:rPr>
        <w:t>确保设备符合最新技术规范要求，更换部件不得降低设备原有性能、配置，若乙方拒绝更换或更换后仍不符合要求，甲方有权解除合同，乙方退还全部款项并赔偿损失</w:t>
      </w:r>
    </w:p>
    <w:p w14:paraId="753009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十二、违约责任</w:t>
      </w:r>
    </w:p>
    <w:p w14:paraId="4FD336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、如乙方不能交付货物，乙方应向甲方支付合同总价5%违约金。</w:t>
      </w:r>
      <w:r>
        <w:rPr>
          <w:rFonts w:hint="eastAsia" w:ascii="宋体" w:hAnsi="宋体" w:eastAsia="宋体" w:cs="宋体"/>
          <w:b/>
          <w:color w:val="auto"/>
          <w:sz w:val="24"/>
          <w:szCs w:val="24"/>
          <w:highlight w:val="none"/>
        </w:rPr>
        <w:t>同时乙方需退还甲方已支付的全部款项，赔偿甲方因此遭受的全部损失（包括但不限于另行采购的差价、工期延误损失、维权费用等），甲方有权单方解除合同</w:t>
      </w:r>
      <w:r>
        <w:rPr>
          <w:rFonts w:hint="eastAsia" w:ascii="宋体" w:hAnsi="宋体" w:eastAsia="宋体" w:cs="宋体"/>
          <w:color w:val="auto"/>
          <w:sz w:val="24"/>
          <w:szCs w:val="24"/>
          <w:highlight w:val="none"/>
        </w:rPr>
        <w:t>。</w:t>
      </w:r>
    </w:p>
    <w:p w14:paraId="2C76E9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、乙方逾期交付货物的，每逾期1天，乙方向甲方偿付逾期交货部分货款总额的万分之三的滞纳金。如乙方逾期交货达10天，甲方有权解除合同，合同自通知到达乙方时解除。</w:t>
      </w:r>
      <w:r>
        <w:rPr>
          <w:rFonts w:hint="eastAsia" w:ascii="宋体" w:hAnsi="宋体" w:eastAsia="宋体" w:cs="宋体"/>
          <w:b/>
          <w:color w:val="auto"/>
          <w:sz w:val="24"/>
          <w:szCs w:val="24"/>
          <w:highlight w:val="none"/>
        </w:rPr>
        <w:t>合同解除后，乙方需退还甲方已支付的全部款项，按合同总金额20%支付违约金，并赔偿甲方因此遭受的全部损失</w:t>
      </w:r>
    </w:p>
    <w:p w14:paraId="206BE3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、乙方所交付的货物品种、型号、规格等不符合合同规定的，甲方有权拒收。甲方拒收的，乙方应向甲方支付合同货款总额5%的违约金。</w:t>
      </w:r>
      <w:r>
        <w:rPr>
          <w:rFonts w:hint="eastAsia" w:ascii="宋体" w:hAnsi="宋体" w:eastAsia="宋体" w:cs="宋体"/>
          <w:b/>
          <w:color w:val="auto"/>
          <w:sz w:val="24"/>
          <w:szCs w:val="24"/>
          <w:highlight w:val="none"/>
        </w:rPr>
        <w:t>同时需在7日内无条件更换符合合同要求的货物，逾期未更换的，甲方有权解除合同，乙方退还全部款项并赔偿甲方损失；若更换后仍不符合要求，甲方有权解除合同，乙方按合同总金额20%支付违约金并赔偿损失</w:t>
      </w:r>
      <w:r>
        <w:rPr>
          <w:rFonts w:hint="eastAsia" w:ascii="宋体" w:hAnsi="宋体" w:eastAsia="宋体" w:cs="宋体"/>
          <w:color w:val="auto"/>
          <w:sz w:val="24"/>
          <w:szCs w:val="24"/>
          <w:highlight w:val="none"/>
        </w:rPr>
        <w:t>。</w:t>
      </w:r>
    </w:p>
    <w:p w14:paraId="1D2FE6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、乙方所供设备如验收不合格，根据甲方的要求，乙方必须在甲方规定的时间内无条件换货或退货，由此引起的一切损失由乙方承担。</w:t>
      </w:r>
      <w:r>
        <w:rPr>
          <w:rFonts w:hint="eastAsia" w:ascii="宋体" w:hAnsi="宋体" w:eastAsia="宋体" w:cs="宋体"/>
          <w:b/>
          <w:color w:val="auto"/>
          <w:sz w:val="24"/>
          <w:szCs w:val="24"/>
          <w:highlight w:val="none"/>
        </w:rPr>
        <w:t>若乙方拒绝换货、退货，或逾期未完成换货、退货，甲方有权单方解除合同，乙方退还全部款项，按合同总金额20%支付违约金，并赔偿甲方因此遭受的全部损失</w:t>
      </w:r>
      <w:r>
        <w:rPr>
          <w:rFonts w:hint="eastAsia" w:ascii="宋体" w:hAnsi="宋体" w:eastAsia="宋体" w:cs="宋体"/>
          <w:color w:val="auto"/>
          <w:sz w:val="24"/>
          <w:szCs w:val="24"/>
          <w:highlight w:val="none"/>
        </w:rPr>
        <w:t>。</w:t>
      </w:r>
    </w:p>
    <w:p w14:paraId="63A9B2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rFonts w:hint="eastAsia" w:ascii="宋体" w:hAnsi="宋体" w:eastAsia="宋体" w:cs="宋体"/>
          <w:b/>
          <w:color w:val="auto"/>
          <w:sz w:val="24"/>
          <w:szCs w:val="24"/>
          <w:highlight w:val="none"/>
        </w:rPr>
        <w:t>实际损失包括但不限于设备采购费用、安装调试费用、停机损失、维权费用等</w:t>
      </w:r>
      <w:r>
        <w:rPr>
          <w:rFonts w:hint="eastAsia" w:ascii="宋体" w:hAnsi="宋体" w:eastAsia="宋体" w:cs="宋体"/>
          <w:color w:val="auto"/>
          <w:sz w:val="24"/>
          <w:szCs w:val="24"/>
          <w:highlight w:val="none"/>
        </w:rPr>
        <w:t>。</w:t>
      </w:r>
    </w:p>
    <w:p w14:paraId="1CD4C3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、乙方未按本合同的规定和“服务承诺”提供伴随服务/售后服务的，应按合同总价款的10%向甲方承担违约责任,同时将依法向上级招投标机构要求给予乙方列入黑名单的处罚，并保留追究相关法律责任的权利。</w:t>
      </w:r>
      <w:r>
        <w:rPr>
          <w:rFonts w:hint="eastAsia" w:ascii="宋体" w:hAnsi="宋体" w:eastAsia="宋体" w:cs="宋体"/>
          <w:b/>
          <w:color w:val="auto"/>
          <w:sz w:val="24"/>
          <w:szCs w:val="24"/>
          <w:highlight w:val="none"/>
        </w:rPr>
        <w:t>若因此给甲方造成损失的，乙方需全额赔偿，甲方有权扣除相应的质保金（若有）</w:t>
      </w:r>
      <w:r>
        <w:rPr>
          <w:rFonts w:hint="eastAsia" w:ascii="宋体" w:hAnsi="宋体" w:eastAsia="宋体" w:cs="宋体"/>
          <w:color w:val="auto"/>
          <w:sz w:val="24"/>
          <w:szCs w:val="24"/>
          <w:highlight w:val="none"/>
        </w:rPr>
        <w:t>。</w:t>
      </w:r>
    </w:p>
    <w:p w14:paraId="3FA9FC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十三、合同的变更和终止</w:t>
      </w:r>
    </w:p>
    <w:p w14:paraId="221C018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（一）合同变更</w:t>
      </w:r>
    </w:p>
    <w:p w14:paraId="4BDAA3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1、如因国家相关法律、法规及国家政策发生变化，需变更本合同的，则双方应对相关条款进行依法变更；</w:t>
      </w:r>
    </w:p>
    <w:p w14:paraId="39AC125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eastAsia="宋体" w:cs="宋体"/>
          <w:b/>
          <w:color w:val="auto"/>
          <w:sz w:val="24"/>
          <w:szCs w:val="24"/>
          <w:highlight w:val="none"/>
        </w:rPr>
        <w:t>若乙方单方面变更合同条款，视为乙方违约，甲方有权解除合同，乙方退还全部款项并按合同总金额20%支付违约金，赔偿甲方损失</w:t>
      </w:r>
      <w:r>
        <w:rPr>
          <w:rFonts w:hint="eastAsia" w:ascii="宋体" w:hAnsi="宋体" w:eastAsia="宋体" w:cs="宋体"/>
          <w:color w:val="auto"/>
          <w:sz w:val="24"/>
          <w:szCs w:val="24"/>
          <w:highlight w:val="none"/>
        </w:rPr>
        <w:t>。</w:t>
      </w:r>
    </w:p>
    <w:p w14:paraId="1F9F91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（二）合同终止</w:t>
      </w:r>
    </w:p>
    <w:p w14:paraId="1A53D7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出现下列情况之一的，合同将终止：</w:t>
      </w:r>
    </w:p>
    <w:p w14:paraId="5062EA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1、合同履行完毕、权利义务关系消灭的；</w:t>
      </w:r>
    </w:p>
    <w:p w14:paraId="4D0466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2、国家法律、法规、条例进行调整，禁止本合同延续的；或合同一方被国家执法机关处罚、查封关闭的；</w:t>
      </w:r>
    </w:p>
    <w:p w14:paraId="3DAF44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r>
        <w:rPr>
          <w:rFonts w:hint="eastAsia" w:ascii="宋体" w:hAnsi="宋体" w:eastAsia="宋体" w:cs="宋体"/>
          <w:b/>
          <w:color w:val="auto"/>
          <w:sz w:val="24"/>
          <w:szCs w:val="24"/>
          <w:highlight w:val="none"/>
        </w:rPr>
        <w:t>守约方有权单方解除合同，解除合同通知送达对方即生效，违约方需承担相应的违约责任，赔偿守约方全部损失</w:t>
      </w:r>
      <w:r>
        <w:rPr>
          <w:rFonts w:hint="eastAsia" w:ascii="宋体" w:hAnsi="宋体" w:eastAsia="宋体" w:cs="宋体"/>
          <w:color w:val="auto"/>
          <w:sz w:val="24"/>
          <w:szCs w:val="24"/>
          <w:highlight w:val="none"/>
        </w:rPr>
        <w:t xml:space="preserve">； </w:t>
      </w:r>
    </w:p>
    <w:p w14:paraId="0F47427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、其他国家法律、法规规定的或经双方共同认可的其他可终止合同情况。</w:t>
      </w:r>
    </w:p>
    <w:p w14:paraId="08A1B5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十四、争议的解决</w:t>
      </w:r>
    </w:p>
    <w:p w14:paraId="191AEB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rPr>
          <w:rFonts w:hint="eastAsia" w:ascii="宋体" w:hAnsi="宋体" w:eastAsia="宋体" w:cs="宋体"/>
          <w:b/>
          <w:color w:val="auto"/>
          <w:sz w:val="24"/>
          <w:szCs w:val="24"/>
          <w:highlight w:val="none"/>
        </w:rPr>
        <w:t>鉴定期间，乙方需提供备用设备保障甲方正常使用，否则按停机天数支付违约金</w:t>
      </w:r>
      <w:r>
        <w:rPr>
          <w:rFonts w:hint="eastAsia" w:ascii="宋体" w:hAnsi="宋体" w:eastAsia="宋体" w:cs="宋体"/>
          <w:color w:val="auto"/>
          <w:sz w:val="24"/>
          <w:szCs w:val="24"/>
          <w:highlight w:val="none"/>
        </w:rPr>
        <w:t>。</w:t>
      </w:r>
    </w:p>
    <w:p w14:paraId="25FE784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2、因履行本合同引起的或与本合同有关的争议，甲、乙双方应首先通过友好协商解决，如果协商不能解决争议，向甲方所在地人民法院提起诉讼。</w:t>
      </w:r>
      <w:r>
        <w:rPr>
          <w:rFonts w:hint="eastAsia" w:ascii="宋体" w:hAnsi="宋体" w:eastAsia="宋体" w:cs="宋体"/>
          <w:b/>
          <w:color w:val="auto"/>
          <w:sz w:val="24"/>
          <w:szCs w:val="24"/>
          <w:highlight w:val="none"/>
        </w:rPr>
        <w:t>违约方需承担守约方为解决争议支出的全部费用（包括但不限于律师费、诉讼费、保全费、差旅费等）</w:t>
      </w:r>
      <w:r>
        <w:rPr>
          <w:rFonts w:hint="eastAsia" w:ascii="宋体" w:hAnsi="宋体" w:eastAsia="宋体" w:cs="宋体"/>
          <w:b/>
          <w:color w:val="auto"/>
          <w:sz w:val="24"/>
          <w:szCs w:val="24"/>
          <w:highlight w:val="none"/>
          <w:lang w:eastAsia="zh-CN"/>
        </w:rPr>
        <w:t>。</w:t>
      </w:r>
    </w:p>
    <w:p w14:paraId="46D155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、合同生效</w:t>
      </w:r>
    </w:p>
    <w:p w14:paraId="06C690C6">
      <w:pPr>
        <w:spacing w:line="360" w:lineRule="auto"/>
        <w:ind w:firstLine="480"/>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本合同和招、投标文件及承诺书，内容互补，</w:t>
      </w:r>
      <w:r>
        <w:rPr>
          <w:rFonts w:hint="eastAsia" w:ascii="宋体" w:hAnsi="宋体" w:eastAsia="宋体" w:cs="宋体"/>
          <w:color w:val="auto"/>
          <w:sz w:val="24"/>
          <w:szCs w:val="24"/>
          <w:highlight w:val="none"/>
        </w:rPr>
        <w:t>具有同等法律效力，应按照中华人民共和国的现行法律进行解释。合同一式</w:t>
      </w:r>
      <w:r>
        <w:rPr>
          <w:rFonts w:hint="eastAsia" w:ascii="宋体" w:hAnsi="宋体" w:eastAsia="宋体" w:cs="宋体"/>
          <w:color w:val="auto"/>
          <w:sz w:val="24"/>
          <w:szCs w:val="24"/>
          <w:highlight w:val="none"/>
          <w:lang w:val="en-US" w:eastAsia="zh-CN"/>
        </w:rPr>
        <w:t>陆</w:t>
      </w:r>
      <w:r>
        <w:rPr>
          <w:rFonts w:hint="eastAsia" w:ascii="宋体" w:hAnsi="宋体" w:eastAsia="宋体" w:cs="宋体"/>
          <w:color w:val="auto"/>
          <w:sz w:val="24"/>
          <w:szCs w:val="24"/>
          <w:highlight w:val="none"/>
        </w:rPr>
        <w:t>份，甲方叁份、乙方</w:t>
      </w:r>
      <w:r>
        <w:rPr>
          <w:rFonts w:hint="eastAsia" w:ascii="宋体" w:hAnsi="宋体" w:eastAsia="宋体" w:cs="宋体"/>
          <w:color w:val="auto"/>
          <w:sz w:val="24"/>
          <w:szCs w:val="24"/>
          <w:highlight w:val="none"/>
          <w:lang w:val="en-US" w:eastAsia="zh-CN"/>
        </w:rPr>
        <w:t>叁</w:t>
      </w:r>
      <w:r>
        <w:rPr>
          <w:rFonts w:hint="eastAsia" w:ascii="宋体" w:hAnsi="宋体" w:eastAsia="宋体" w:cs="宋体"/>
          <w:color w:val="auto"/>
          <w:sz w:val="24"/>
          <w:szCs w:val="24"/>
          <w:highlight w:val="none"/>
        </w:rPr>
        <w:t>份，自双方签字盖章后生效。</w:t>
      </w:r>
    </w:p>
    <w:p w14:paraId="087CED09">
      <w:pPr>
        <w:spacing w:line="360" w:lineRule="auto"/>
        <w:rPr>
          <w:rFonts w:hint="default" w:ascii="宋体" w:hAnsi="宋体" w:eastAsia="宋体" w:cs="宋体"/>
          <w:color w:val="auto"/>
          <w:sz w:val="18"/>
          <w:szCs w:val="18"/>
          <w:highlight w:val="none"/>
        </w:rPr>
      </w:pPr>
    </w:p>
    <w:p w14:paraId="01824E09">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甲方：</w:t>
      </w:r>
      <w:r>
        <w:rPr>
          <w:rFonts w:hint="eastAsia" w:ascii="宋体" w:hAnsi="宋体" w:eastAsia="宋体" w:cs="宋体"/>
          <w:b w:val="0"/>
          <w:bCs/>
          <w:color w:val="auto"/>
          <w:sz w:val="24"/>
          <w:szCs w:val="24"/>
          <w:highlight w:val="none"/>
          <w:lang w:val="en-US" w:eastAsia="zh-CN"/>
        </w:rPr>
        <w:t>灌南县综合行政执法局</w:t>
      </w:r>
      <w:r>
        <w:rPr>
          <w:rFonts w:hint="eastAsia" w:ascii="宋体" w:hAnsi="宋体" w:eastAsia="宋体" w:cs="宋体"/>
          <w:b w:val="0"/>
          <w:bCs/>
          <w:color w:val="auto"/>
          <w:sz w:val="24"/>
          <w:szCs w:val="24"/>
          <w:highlight w:val="none"/>
        </w:rPr>
        <w:t xml:space="preserve">                乙方：</w:t>
      </w:r>
    </w:p>
    <w:p w14:paraId="361BAAD6">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地址：</w:t>
      </w:r>
      <w:r>
        <w:rPr>
          <w:rFonts w:hint="eastAsia" w:ascii="宋体" w:hAnsi="宋体" w:eastAsia="宋体" w:cs="Times New Roman"/>
          <w:color w:val="auto"/>
          <w:sz w:val="24"/>
          <w:szCs w:val="24"/>
          <w:highlight w:val="none"/>
          <w:lang w:val="en-US" w:eastAsia="zh-CN"/>
        </w:rPr>
        <w:t>灌南县人民东路165号</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地址：</w:t>
      </w:r>
    </w:p>
    <w:p w14:paraId="5972F76A">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电话：</w:t>
      </w:r>
      <w:r>
        <w:rPr>
          <w:rFonts w:hint="eastAsia" w:ascii="宋体" w:hAnsi="宋体" w:eastAsia="宋体" w:cs="Times New Roman"/>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电话：</w:t>
      </w:r>
    </w:p>
    <w:p w14:paraId="7177D4C6">
      <w:pPr>
        <w:spacing w:line="60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授权代表：                                授权代表：</w:t>
      </w:r>
    </w:p>
    <w:p w14:paraId="5ECFCEF1">
      <w:pPr>
        <w:tabs>
          <w:tab w:val="left" w:pos="5250"/>
        </w:tabs>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p>
    <w:p w14:paraId="5DC649A5">
      <w:pPr>
        <w:spacing w:line="360" w:lineRule="auto"/>
        <w:jc w:val="left"/>
        <w:rPr>
          <w:rFonts w:cs="宋体" w:asciiTheme="minorEastAsia" w:hAnsiTheme="minorEastAsia"/>
          <w:b/>
          <w:color w:val="auto"/>
          <w:sz w:val="24"/>
          <w:szCs w:val="24"/>
          <w:highlight w:val="none"/>
        </w:rPr>
      </w:pPr>
    </w:p>
    <w:p w14:paraId="1E2AF732">
      <w:pPr>
        <w:pStyle w:val="2"/>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bookmarkStart w:id="12" w:name="_Toc150765437"/>
      <w:bookmarkStart w:id="13" w:name="_Toc513622229"/>
      <w:bookmarkStart w:id="14" w:name="_Toc139967212"/>
      <w:r>
        <w:rPr>
          <w:rFonts w:hint="eastAsia" w:hAnsi="宋体"/>
          <w:color w:val="auto"/>
          <w:highlight w:val="none"/>
        </w:rPr>
        <w:t>第四章投标文件格式</w:t>
      </w:r>
      <w:bookmarkEnd w:id="11"/>
      <w:bookmarkEnd w:id="12"/>
      <w:bookmarkEnd w:id="13"/>
      <w:bookmarkEnd w:id="14"/>
    </w:p>
    <w:p w14:paraId="7684F47D">
      <w:pPr>
        <w:spacing w:line="360" w:lineRule="auto"/>
        <w:ind w:firstLine="1044"/>
        <w:jc w:val="center"/>
        <w:rPr>
          <w:rFonts w:ascii="宋体" w:hAnsi="宋体" w:eastAsia="宋体" w:cs="Times New Roman"/>
          <w:b/>
          <w:color w:val="auto"/>
          <w:sz w:val="52"/>
          <w:szCs w:val="52"/>
          <w:highlight w:val="none"/>
        </w:rPr>
      </w:pPr>
    </w:p>
    <w:p w14:paraId="5A831BBB">
      <w:pPr>
        <w:spacing w:line="360" w:lineRule="auto"/>
        <w:jc w:val="center"/>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连 云 港 市 政 府 采 购</w:t>
      </w:r>
    </w:p>
    <w:p w14:paraId="75B9377F">
      <w:pPr>
        <w:spacing w:line="360" w:lineRule="auto"/>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794B6C6F">
      <w:pPr>
        <w:spacing w:line="360" w:lineRule="auto"/>
        <w:ind w:firstLine="643"/>
        <w:jc w:val="center"/>
        <w:rPr>
          <w:rFonts w:ascii="宋体" w:hAnsi="宋体" w:eastAsia="宋体" w:cs="Times New Roman"/>
          <w:b/>
          <w:color w:val="auto"/>
          <w:sz w:val="32"/>
          <w:szCs w:val="32"/>
          <w:highlight w:val="none"/>
        </w:rPr>
      </w:pPr>
    </w:p>
    <w:p w14:paraId="5F6F03A8">
      <w:pPr>
        <w:spacing w:line="360" w:lineRule="auto"/>
        <w:ind w:firstLine="1084"/>
        <w:rPr>
          <w:rFonts w:ascii="宋体" w:hAnsi="宋体" w:eastAsia="宋体" w:cs="Times New Roman"/>
          <w:b/>
          <w:color w:val="auto"/>
          <w:sz w:val="36"/>
          <w:szCs w:val="21"/>
          <w:highlight w:val="none"/>
        </w:rPr>
      </w:pPr>
    </w:p>
    <w:p w14:paraId="6A883CB7">
      <w:pPr>
        <w:jc w:val="left"/>
        <w:rPr>
          <w:rFonts w:ascii="MS Mincho" w:hAnsi="Calibri" w:eastAsia="宋体" w:cs="Times New Roman"/>
          <w:color w:val="auto"/>
          <w:szCs w:val="24"/>
          <w:highlight w:val="none"/>
        </w:rPr>
      </w:pPr>
    </w:p>
    <w:p w14:paraId="0D38A726">
      <w:pPr>
        <w:jc w:val="left"/>
        <w:rPr>
          <w:rFonts w:ascii="MS Mincho" w:hAnsi="Calibri" w:eastAsia="宋体" w:cs="Times New Roman"/>
          <w:color w:val="auto"/>
          <w:szCs w:val="24"/>
          <w:highlight w:val="none"/>
        </w:rPr>
      </w:pPr>
    </w:p>
    <w:p w14:paraId="35BF9A8E">
      <w:pPr>
        <w:jc w:val="left"/>
        <w:rPr>
          <w:rFonts w:ascii="MS Mincho" w:hAnsi="Calibri" w:eastAsia="宋体" w:cs="Times New Roman"/>
          <w:color w:val="auto"/>
          <w:szCs w:val="24"/>
          <w:highlight w:val="none"/>
        </w:rPr>
      </w:pPr>
    </w:p>
    <w:p w14:paraId="6A014B9D">
      <w:pPr>
        <w:jc w:val="left"/>
        <w:rPr>
          <w:rFonts w:ascii="MS Mincho" w:hAnsi="Calibri" w:eastAsia="宋体" w:cs="Times New Roman"/>
          <w:color w:val="auto"/>
          <w:szCs w:val="24"/>
          <w:highlight w:val="none"/>
        </w:rPr>
      </w:pPr>
    </w:p>
    <w:p w14:paraId="495D3D9E">
      <w:pPr>
        <w:spacing w:line="360" w:lineRule="auto"/>
        <w:ind w:firstLine="1084"/>
        <w:rPr>
          <w:rFonts w:ascii="宋体" w:hAnsi="宋体" w:eastAsia="宋体" w:cs="Times New Roman"/>
          <w:b/>
          <w:color w:val="auto"/>
          <w:sz w:val="36"/>
          <w:szCs w:val="21"/>
          <w:highlight w:val="none"/>
        </w:rPr>
      </w:pPr>
    </w:p>
    <w:p w14:paraId="677469CC">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7CDC00C6">
      <w:pPr>
        <w:spacing w:line="360" w:lineRule="auto"/>
        <w:rPr>
          <w:rFonts w:ascii="宋体" w:hAnsi="宋体" w:eastAsia="宋体" w:cs="Times New Roman"/>
          <w:b/>
          <w:color w:val="auto"/>
          <w:sz w:val="36"/>
          <w:szCs w:val="24"/>
          <w:highlight w:val="none"/>
        </w:rPr>
      </w:pPr>
    </w:p>
    <w:p w14:paraId="7105323E">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4D1079FD">
      <w:pPr>
        <w:spacing w:line="360" w:lineRule="auto"/>
        <w:ind w:firstLine="1084"/>
        <w:rPr>
          <w:rFonts w:ascii="宋体" w:hAnsi="宋体" w:eastAsia="宋体" w:cs="Times New Roman"/>
          <w:b/>
          <w:color w:val="auto"/>
          <w:sz w:val="36"/>
          <w:szCs w:val="24"/>
          <w:highlight w:val="none"/>
        </w:rPr>
      </w:pPr>
    </w:p>
    <w:p w14:paraId="41C04458">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投标人名称：</w:t>
      </w:r>
    </w:p>
    <w:p w14:paraId="7082BC3C">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p>
    <w:p w14:paraId="3A2824A9">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03B8AEEC">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3957819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68459C1B">
      <w:pPr>
        <w:keepNext/>
        <w:spacing w:line="360" w:lineRule="auto"/>
        <w:outlineLvl w:val="1"/>
        <w:rPr>
          <w:rFonts w:ascii="宋体" w:hAnsi="宋体" w:eastAsia="宋体" w:cs="Times New Roman"/>
          <w:color w:val="auto"/>
          <w:sz w:val="24"/>
          <w:szCs w:val="24"/>
          <w:highlight w:val="none"/>
        </w:rPr>
      </w:pPr>
      <w:r>
        <w:rPr>
          <w:rFonts w:ascii="Times New Roman" w:hAnsi="宋体" w:eastAsia="黑体" w:cs="Times New Roman"/>
          <w:b/>
          <w:color w:val="auto"/>
          <w:sz w:val="36"/>
          <w:szCs w:val="20"/>
          <w:highlight w:val="none"/>
        </w:rPr>
        <w:br w:type="page" w:clear="all"/>
      </w:r>
      <w:bookmarkStart w:id="15" w:name="_Toc139966431"/>
      <w:bookmarkStart w:id="16" w:name="_Toc139967215"/>
      <w:r>
        <w:rPr>
          <w:rFonts w:hint="eastAsia" w:ascii="宋体" w:hAnsi="宋体" w:eastAsia="宋体" w:cs="Times New Roman"/>
          <w:color w:val="auto"/>
          <w:sz w:val="24"/>
          <w:szCs w:val="24"/>
          <w:highlight w:val="none"/>
        </w:rPr>
        <w:t>格式1、响应函</w:t>
      </w:r>
    </w:p>
    <w:p w14:paraId="60FE635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3A2E540D">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致：</w:t>
      </w:r>
      <w:r>
        <w:rPr>
          <w:rFonts w:hint="eastAsia" w:ascii="宋体" w:hAnsi="宋体" w:eastAsia="宋体" w:cs="Times New Roman"/>
          <w:color w:val="auto"/>
          <w:szCs w:val="24"/>
          <w:highlight w:val="none"/>
          <w:lang w:eastAsia="zh-CN"/>
        </w:rPr>
        <w:t>灌南县综合行政执法局</w:t>
      </w:r>
    </w:p>
    <w:p w14:paraId="683A32C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根据贵方标段（标段编号：</w:t>
      </w: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Cs w:val="24"/>
          <w:highlight w:val="none"/>
        </w:rPr>
        <w:t>）招标文件，正式授权下述签字人全权代表参加贵方组织的采购活动，按照招标文件要求提交响应文件。</w:t>
      </w:r>
    </w:p>
    <w:p w14:paraId="546C579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据此函，签字人兹宣布同意如下：</w:t>
      </w:r>
    </w:p>
    <w:p w14:paraId="2E72AC1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1.按招标文件项目需求提交响应报价，报价、交货期等详见开标一览表。</w:t>
      </w:r>
    </w:p>
    <w:p w14:paraId="2FECBF5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2.我方同意在本标段招标文件中规定的响应文件递交截止之日起60天内遵守本响应文件中的承诺且在此期限期满之前均具有约束力。</w:t>
      </w:r>
    </w:p>
    <w:p w14:paraId="4055C7D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3.我方承诺已经具备《中华人民共和国政府采购法》中规定的参加政府采购活动的供应商应当具备的条件：</w:t>
      </w:r>
    </w:p>
    <w:p w14:paraId="0B678DC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(1)具有独立承担民事责任的能力；</w:t>
      </w:r>
    </w:p>
    <w:p w14:paraId="3BA1378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(2)具有良好的商业信誉和健全的财务会计制度；</w:t>
      </w:r>
    </w:p>
    <w:p w14:paraId="69FFD1F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(3)具有履行合同所必需的设备和专业技术能力；</w:t>
      </w:r>
    </w:p>
    <w:p w14:paraId="5B3E1E0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(4)有依法缴纳税收和社会保障资金的良好记录；</w:t>
      </w:r>
    </w:p>
    <w:p w14:paraId="6F74967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(5)参加此项采购活动前三年内，在经营活动中没有重大违法记录。</w:t>
      </w:r>
    </w:p>
    <w:p w14:paraId="646B77C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4.我方根据招标文件的规定，承担完成合同的责任和义务。</w:t>
      </w:r>
    </w:p>
    <w:p w14:paraId="2017990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5.我方已详细审核招标文件，我方知道必须放弃提出含糊不清或误解问题的权利。</w:t>
      </w:r>
    </w:p>
    <w:p w14:paraId="5C101AE3">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6.如果在响应文件有效期内撤回或者有其他违约行为，我方的保证金可被贵方全部或部分没收。</w:t>
      </w:r>
    </w:p>
    <w:p w14:paraId="3CC0905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7.同意应贵方要求提供与本次采购活动有关的任何数据或资料。</w:t>
      </w:r>
    </w:p>
    <w:p w14:paraId="772E9C5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8.我方完全理解，最低报价不是中标（成交）的唯一条件。</w:t>
      </w:r>
    </w:p>
    <w:p w14:paraId="0C6B151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9.若贵方需要，我方愿意提供我方作出的一切承诺的证明材料。</w:t>
      </w:r>
    </w:p>
    <w:p w14:paraId="3F05DA3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C4B581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(1)提供虚假材料谋取中标、成交的；</w:t>
      </w:r>
    </w:p>
    <w:p w14:paraId="4354C5E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(2)采取不正当手段诋毁、排挤其他供应商的；</w:t>
      </w:r>
    </w:p>
    <w:p w14:paraId="0E85783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(3)与采购人、其他供应商或者采购代理机构恶意串通的；</w:t>
      </w:r>
    </w:p>
    <w:p w14:paraId="7813968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(4)向采购人、采购代理机构行贿或者提供其他不正当利益的；</w:t>
      </w:r>
    </w:p>
    <w:p w14:paraId="6A14BA9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(5)在招标采购过程中与采购人进行协商谈判的；</w:t>
      </w:r>
    </w:p>
    <w:p w14:paraId="113CCE1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(6)拒绝有关部门监督检查或提供虚假情况的。</w:t>
      </w:r>
    </w:p>
    <w:p w14:paraId="60F5ADDD">
      <w:pPr>
        <w:spacing w:line="480" w:lineRule="exact"/>
        <w:ind w:firstLine="420"/>
        <w:rPr>
          <w:rFonts w:ascii="宋体" w:hAnsi="宋体" w:eastAsia="宋体" w:cs="Times New Roman"/>
          <w:color w:val="auto"/>
          <w:szCs w:val="24"/>
          <w:highlight w:val="none"/>
        </w:rPr>
      </w:pPr>
    </w:p>
    <w:p w14:paraId="3035ECD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法定代表人或其委托代理人签字（或盖章）： 　　</w:t>
      </w:r>
    </w:p>
    <w:p w14:paraId="0CB3D18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p>
    <w:p w14:paraId="60D2699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p>
    <w:p w14:paraId="1FF34450">
      <w:pPr>
        <w:spacing w:line="480" w:lineRule="exact"/>
        <w:ind w:firstLine="420"/>
        <w:rPr>
          <w:rFonts w:ascii="宋体" w:hAnsi="宋体" w:eastAsia="宋体" w:cs="Times New Roman"/>
          <w:color w:val="auto"/>
          <w:szCs w:val="24"/>
          <w:highlight w:val="none"/>
        </w:rPr>
      </w:pPr>
    </w:p>
    <w:p w14:paraId="62C38575">
      <w:pPr>
        <w:spacing w:line="480" w:lineRule="exact"/>
        <w:ind w:firstLine="420"/>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注：未按照本响应函的格式要求填写的，将造成非实质响应，从而导致该供应商响应无效。</w:t>
      </w:r>
    </w:p>
    <w:p w14:paraId="50C28B83">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4BB44D09">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开标一览表</w:t>
      </w:r>
    </w:p>
    <w:p w14:paraId="74C8FC61">
      <w:pPr>
        <w:spacing w:line="360" w:lineRule="auto"/>
        <w:ind w:firstLine="720"/>
        <w:jc w:val="left"/>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 xml:space="preserve"> </w:t>
      </w:r>
    </w:p>
    <w:p w14:paraId="67CF311E">
      <w:pPr>
        <w:spacing w:line="360" w:lineRule="auto"/>
        <w:ind w:firstLine="72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标段名称：</w:t>
      </w:r>
    </w:p>
    <w:p w14:paraId="03F2BE2B">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报价单位：元</w:t>
      </w:r>
    </w:p>
    <w:tbl>
      <w:tblPr>
        <w:tblStyle w:val="46"/>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51BA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6908092F">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标题</w:t>
            </w:r>
          </w:p>
        </w:tc>
        <w:tc>
          <w:tcPr>
            <w:tcW w:w="3651" w:type="dxa"/>
            <w:noWrap w:val="0"/>
            <w:vAlign w:val="center"/>
          </w:tcPr>
          <w:p w14:paraId="5EECE4B1">
            <w:pPr>
              <w:spacing w:line="360" w:lineRule="auto"/>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内容</w:t>
            </w:r>
          </w:p>
        </w:tc>
      </w:tr>
      <w:tr w14:paraId="00AB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4B3CB588">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投标报价</w:t>
            </w:r>
          </w:p>
        </w:tc>
        <w:tc>
          <w:tcPr>
            <w:tcW w:w="3651" w:type="dxa"/>
            <w:noWrap w:val="0"/>
            <w:vAlign w:val="center"/>
          </w:tcPr>
          <w:p w14:paraId="6DA532FF">
            <w:pPr>
              <w:spacing w:line="360" w:lineRule="auto"/>
              <w:jc w:val="center"/>
              <w:rPr>
                <w:rFonts w:ascii="宋体" w:hAnsi="宋体" w:eastAsia="宋体" w:cs="Times New Roman"/>
                <w:color w:val="auto"/>
                <w:sz w:val="28"/>
                <w:szCs w:val="28"/>
                <w:highlight w:val="none"/>
              </w:rPr>
            </w:pPr>
          </w:p>
        </w:tc>
      </w:tr>
      <w:tr w14:paraId="28630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E10713E">
            <w:pPr>
              <w:spacing w:line="360" w:lineRule="auto"/>
              <w:jc w:val="center"/>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质保期</w:t>
            </w:r>
          </w:p>
        </w:tc>
        <w:tc>
          <w:tcPr>
            <w:tcW w:w="3651" w:type="dxa"/>
            <w:noWrap w:val="0"/>
            <w:vAlign w:val="center"/>
          </w:tcPr>
          <w:p w14:paraId="5F9AFAA8">
            <w:pPr>
              <w:spacing w:line="360" w:lineRule="auto"/>
              <w:jc w:val="center"/>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lang w:val="en-US" w:eastAsia="zh-CN"/>
              </w:rPr>
              <w:t>年</w:t>
            </w:r>
          </w:p>
        </w:tc>
      </w:tr>
    </w:tbl>
    <w:p w14:paraId="6E934563">
      <w:pPr>
        <w:spacing w:line="360" w:lineRule="auto"/>
        <w:ind w:firstLine="420"/>
        <w:jc w:val="left"/>
        <w:rPr>
          <w:rFonts w:ascii="宋体" w:hAnsi="宋体" w:eastAsia="宋体" w:cs="Times New Roman"/>
          <w:bCs/>
          <w:color w:val="auto"/>
          <w:szCs w:val="24"/>
          <w:highlight w:val="none"/>
        </w:rPr>
      </w:pPr>
    </w:p>
    <w:p w14:paraId="3DE11956">
      <w:pPr>
        <w:spacing w:line="360" w:lineRule="auto"/>
        <w:ind w:firstLine="420"/>
        <w:jc w:val="left"/>
        <w:rPr>
          <w:rFonts w:ascii="宋体" w:hAnsi="宋体" w:eastAsia="宋体" w:cs="Times New Roman"/>
          <w:bCs/>
          <w:color w:val="auto"/>
          <w:szCs w:val="24"/>
          <w:highlight w:val="none"/>
        </w:rPr>
      </w:pPr>
    </w:p>
    <w:p w14:paraId="7574F57E">
      <w:pPr>
        <w:spacing w:line="360" w:lineRule="auto"/>
        <w:ind w:firstLine="420"/>
        <w:jc w:val="left"/>
        <w:rPr>
          <w:rFonts w:ascii="宋体" w:hAnsi="宋体" w:eastAsia="宋体" w:cs="Times New Roman"/>
          <w:bCs/>
          <w:color w:val="auto"/>
          <w:szCs w:val="24"/>
          <w:highlight w:val="none"/>
        </w:rPr>
      </w:pPr>
    </w:p>
    <w:p w14:paraId="10AC2266">
      <w:pPr>
        <w:spacing w:line="360" w:lineRule="auto"/>
        <w:ind w:firstLine="420"/>
        <w:rPr>
          <w:rFonts w:ascii="Times New Roman" w:hAnsi="Times New Roman" w:eastAsia="宋体" w:cs="Times New Roman"/>
          <w:color w:val="auto"/>
          <w:szCs w:val="24"/>
          <w:highlight w:val="none"/>
        </w:rPr>
      </w:pPr>
    </w:p>
    <w:p w14:paraId="0929D95B">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1645C54B">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2FC75F38">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047E16EC">
      <w:pPr>
        <w:spacing w:line="360" w:lineRule="auto"/>
        <w:ind w:firstLine="420"/>
        <w:rPr>
          <w:rFonts w:ascii="Times New Roman" w:hAnsi="Times New Roman" w:eastAsia="宋体" w:cs="Times New Roman"/>
          <w:color w:val="auto"/>
          <w:szCs w:val="24"/>
          <w:highlight w:val="none"/>
        </w:rPr>
      </w:pPr>
    </w:p>
    <w:p w14:paraId="1E32FA8B">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格式3、投标产品配置及分项报价表</w:t>
      </w:r>
    </w:p>
    <w:p w14:paraId="73DACE0C">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投标产品配置及分项报价表</w:t>
      </w:r>
    </w:p>
    <w:p w14:paraId="6A43C108">
      <w:pPr>
        <w:spacing w:line="360" w:lineRule="auto"/>
        <w:jc w:val="left"/>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标段名称：</w:t>
      </w:r>
      <w:r>
        <w:rPr>
          <w:rFonts w:hint="eastAsia" w:ascii="宋体" w:hAnsi="宋体" w:eastAsia="宋体" w:cs="方正仿宋_GBK"/>
          <w:color w:val="auto"/>
          <w:sz w:val="24"/>
          <w:szCs w:val="24"/>
          <w:highlight w:val="none"/>
          <w:lang w:eastAsia="zh-CN"/>
        </w:rPr>
        <w:t>灌南县综合行政执法局移动式垃圾压缩设备采购项目</w:t>
      </w:r>
    </w:p>
    <w:p w14:paraId="54BF1081">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w:t>
      </w:r>
    </w:p>
    <w:p w14:paraId="599885FE">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46"/>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618"/>
        <w:gridCol w:w="1280"/>
        <w:gridCol w:w="1079"/>
        <w:gridCol w:w="850"/>
        <w:gridCol w:w="1134"/>
        <w:gridCol w:w="709"/>
        <w:gridCol w:w="1134"/>
        <w:gridCol w:w="1094"/>
        <w:gridCol w:w="1047"/>
      </w:tblGrid>
      <w:tr w14:paraId="15C9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04102E24">
            <w:pPr>
              <w:widowControl/>
              <w:jc w:val="center"/>
              <w:rPr>
                <w:bCs/>
                <w:color w:val="auto"/>
                <w:highlight w:val="none"/>
              </w:rPr>
            </w:pPr>
            <w:r>
              <w:rPr>
                <w:rFonts w:hint="eastAsia"/>
                <w:bCs/>
                <w:color w:val="auto"/>
                <w:highlight w:val="none"/>
              </w:rPr>
              <w:t>序号</w:t>
            </w:r>
          </w:p>
        </w:tc>
        <w:tc>
          <w:tcPr>
            <w:tcW w:w="1134" w:type="dxa"/>
            <w:noWrap/>
            <w:vAlign w:val="center"/>
          </w:tcPr>
          <w:p w14:paraId="5BB9B1FF">
            <w:pPr>
              <w:widowControl/>
              <w:jc w:val="center"/>
              <w:rPr>
                <w:bCs/>
                <w:color w:val="auto"/>
                <w:highlight w:val="none"/>
              </w:rPr>
            </w:pPr>
            <w:r>
              <w:rPr>
                <w:bCs/>
                <w:color w:val="auto"/>
                <w:highlight w:val="none"/>
              </w:rPr>
              <w:t>名称</w:t>
            </w:r>
          </w:p>
        </w:tc>
        <w:tc>
          <w:tcPr>
            <w:tcW w:w="618" w:type="dxa"/>
            <w:noWrap/>
            <w:vAlign w:val="center"/>
          </w:tcPr>
          <w:p w14:paraId="3171BBE8">
            <w:pPr>
              <w:widowControl/>
              <w:jc w:val="center"/>
              <w:rPr>
                <w:bCs/>
                <w:color w:val="auto"/>
                <w:highlight w:val="none"/>
              </w:rPr>
            </w:pPr>
            <w:r>
              <w:rPr>
                <w:bCs/>
                <w:color w:val="auto"/>
                <w:highlight w:val="none"/>
              </w:rPr>
              <w:t>品牌</w:t>
            </w:r>
          </w:p>
        </w:tc>
        <w:tc>
          <w:tcPr>
            <w:tcW w:w="1280" w:type="dxa"/>
            <w:noWrap/>
            <w:vAlign w:val="center"/>
          </w:tcPr>
          <w:p w14:paraId="4CCA0C67">
            <w:pPr>
              <w:widowControl/>
              <w:jc w:val="center"/>
              <w:rPr>
                <w:bCs/>
                <w:color w:val="auto"/>
                <w:highlight w:val="none"/>
              </w:rPr>
            </w:pPr>
            <w:r>
              <w:rPr>
                <w:rFonts w:hint="eastAsia"/>
                <w:bCs/>
                <w:color w:val="auto"/>
                <w:highlight w:val="none"/>
              </w:rPr>
              <w:t>是否符合本国产品标准</w:t>
            </w:r>
          </w:p>
        </w:tc>
        <w:tc>
          <w:tcPr>
            <w:tcW w:w="1079" w:type="dxa"/>
            <w:noWrap/>
            <w:vAlign w:val="center"/>
          </w:tcPr>
          <w:p w14:paraId="6DF766C7">
            <w:pPr>
              <w:widowControl/>
              <w:jc w:val="center"/>
              <w:rPr>
                <w:bCs/>
                <w:color w:val="auto"/>
                <w:highlight w:val="none"/>
              </w:rPr>
            </w:pPr>
            <w:r>
              <w:rPr>
                <w:bCs/>
                <w:color w:val="auto"/>
                <w:highlight w:val="none"/>
              </w:rPr>
              <w:t>规格型号</w:t>
            </w:r>
          </w:p>
        </w:tc>
        <w:tc>
          <w:tcPr>
            <w:tcW w:w="850" w:type="dxa"/>
            <w:noWrap/>
            <w:vAlign w:val="center"/>
          </w:tcPr>
          <w:p w14:paraId="5CFFD174">
            <w:pPr>
              <w:widowControl/>
              <w:jc w:val="center"/>
              <w:rPr>
                <w:bCs/>
                <w:color w:val="auto"/>
                <w:highlight w:val="none"/>
              </w:rPr>
            </w:pPr>
            <w:r>
              <w:rPr>
                <w:bCs/>
                <w:color w:val="auto"/>
                <w:highlight w:val="none"/>
              </w:rPr>
              <w:t>制造商</w:t>
            </w:r>
          </w:p>
        </w:tc>
        <w:tc>
          <w:tcPr>
            <w:tcW w:w="1134" w:type="dxa"/>
            <w:noWrap/>
            <w:vAlign w:val="center"/>
          </w:tcPr>
          <w:p w14:paraId="4216A3F2">
            <w:pPr>
              <w:widowControl/>
              <w:jc w:val="center"/>
              <w:rPr>
                <w:bCs/>
                <w:color w:val="auto"/>
                <w:highlight w:val="none"/>
              </w:rPr>
            </w:pPr>
            <w:r>
              <w:rPr>
                <w:bCs/>
                <w:color w:val="auto"/>
                <w:highlight w:val="none"/>
              </w:rPr>
              <w:t>制造商企业类型</w:t>
            </w:r>
          </w:p>
        </w:tc>
        <w:tc>
          <w:tcPr>
            <w:tcW w:w="709" w:type="dxa"/>
            <w:noWrap/>
            <w:vAlign w:val="center"/>
          </w:tcPr>
          <w:p w14:paraId="0F38A9B9">
            <w:pPr>
              <w:widowControl/>
              <w:jc w:val="center"/>
              <w:rPr>
                <w:bCs/>
                <w:color w:val="auto"/>
                <w:highlight w:val="none"/>
              </w:rPr>
            </w:pPr>
            <w:r>
              <w:rPr>
                <w:bCs/>
                <w:color w:val="auto"/>
                <w:highlight w:val="none"/>
              </w:rPr>
              <w:t>单价</w:t>
            </w:r>
          </w:p>
        </w:tc>
        <w:tc>
          <w:tcPr>
            <w:tcW w:w="1134" w:type="dxa"/>
            <w:noWrap/>
            <w:vAlign w:val="center"/>
          </w:tcPr>
          <w:p w14:paraId="39E5D583">
            <w:pPr>
              <w:widowControl/>
              <w:jc w:val="center"/>
              <w:rPr>
                <w:bCs/>
                <w:color w:val="auto"/>
                <w:highlight w:val="none"/>
              </w:rPr>
            </w:pPr>
            <w:r>
              <w:rPr>
                <w:bCs/>
                <w:color w:val="auto"/>
                <w:highlight w:val="none"/>
              </w:rPr>
              <w:t>采购数量</w:t>
            </w:r>
          </w:p>
        </w:tc>
        <w:tc>
          <w:tcPr>
            <w:tcW w:w="1094" w:type="dxa"/>
            <w:noWrap/>
            <w:vAlign w:val="center"/>
          </w:tcPr>
          <w:p w14:paraId="487A61D6">
            <w:pPr>
              <w:widowControl/>
              <w:jc w:val="center"/>
              <w:rPr>
                <w:bCs/>
                <w:color w:val="auto"/>
                <w:highlight w:val="none"/>
              </w:rPr>
            </w:pPr>
            <w:r>
              <w:rPr>
                <w:bCs/>
                <w:color w:val="auto"/>
                <w:highlight w:val="none"/>
              </w:rPr>
              <w:t>计量单位</w:t>
            </w:r>
          </w:p>
        </w:tc>
        <w:tc>
          <w:tcPr>
            <w:tcW w:w="1047" w:type="dxa"/>
            <w:noWrap/>
            <w:vAlign w:val="center"/>
          </w:tcPr>
          <w:p w14:paraId="0193950A">
            <w:pPr>
              <w:widowControl/>
              <w:jc w:val="center"/>
              <w:rPr>
                <w:bCs/>
                <w:color w:val="auto"/>
                <w:highlight w:val="none"/>
              </w:rPr>
            </w:pPr>
            <w:r>
              <w:rPr>
                <w:rFonts w:ascii="Times New Roman" w:hAnsi="Times New Roman" w:eastAsia="宋体" w:cs="Times New Roman"/>
                <w:bCs/>
                <w:i w:val="0"/>
                <w:iCs/>
                <w:color w:val="000000"/>
                <w:szCs w:val="24"/>
                <w:highlight w:val="none"/>
              </w:rPr>
              <w:t>单项合计价</w:t>
            </w:r>
          </w:p>
        </w:tc>
      </w:tr>
      <w:tr w14:paraId="269C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1A433BBE">
            <w:pPr>
              <w:widowControl/>
              <w:rPr>
                <w:color w:val="auto"/>
                <w:highlight w:val="none"/>
              </w:rPr>
            </w:pPr>
          </w:p>
        </w:tc>
        <w:tc>
          <w:tcPr>
            <w:tcW w:w="1134" w:type="dxa"/>
            <w:noWrap/>
            <w:vAlign w:val="center"/>
          </w:tcPr>
          <w:p w14:paraId="2DE8BD1A">
            <w:pPr>
              <w:widowControl/>
              <w:rPr>
                <w:color w:val="auto"/>
                <w:highlight w:val="none"/>
              </w:rPr>
            </w:pPr>
          </w:p>
        </w:tc>
        <w:tc>
          <w:tcPr>
            <w:tcW w:w="618" w:type="dxa"/>
            <w:noWrap/>
            <w:vAlign w:val="center"/>
          </w:tcPr>
          <w:p w14:paraId="46175DEC">
            <w:pPr>
              <w:widowControl/>
              <w:rPr>
                <w:color w:val="auto"/>
                <w:highlight w:val="none"/>
              </w:rPr>
            </w:pPr>
          </w:p>
        </w:tc>
        <w:tc>
          <w:tcPr>
            <w:tcW w:w="1280" w:type="dxa"/>
            <w:noWrap/>
            <w:vAlign w:val="center"/>
          </w:tcPr>
          <w:p w14:paraId="43E5799A">
            <w:pPr>
              <w:widowControl/>
              <w:rPr>
                <w:color w:val="auto"/>
                <w:highlight w:val="none"/>
              </w:rPr>
            </w:pPr>
          </w:p>
        </w:tc>
        <w:tc>
          <w:tcPr>
            <w:tcW w:w="1079" w:type="dxa"/>
            <w:noWrap/>
            <w:vAlign w:val="center"/>
          </w:tcPr>
          <w:p w14:paraId="413A8594">
            <w:pPr>
              <w:widowControl/>
              <w:rPr>
                <w:color w:val="auto"/>
                <w:highlight w:val="none"/>
              </w:rPr>
            </w:pPr>
          </w:p>
        </w:tc>
        <w:tc>
          <w:tcPr>
            <w:tcW w:w="850" w:type="dxa"/>
            <w:noWrap/>
            <w:vAlign w:val="center"/>
          </w:tcPr>
          <w:p w14:paraId="35FC8098">
            <w:pPr>
              <w:widowControl/>
              <w:rPr>
                <w:color w:val="auto"/>
                <w:highlight w:val="none"/>
              </w:rPr>
            </w:pPr>
          </w:p>
        </w:tc>
        <w:tc>
          <w:tcPr>
            <w:tcW w:w="1134" w:type="dxa"/>
            <w:noWrap/>
            <w:vAlign w:val="center"/>
          </w:tcPr>
          <w:p w14:paraId="7381F167">
            <w:pPr>
              <w:widowControl/>
              <w:rPr>
                <w:color w:val="auto"/>
                <w:highlight w:val="none"/>
              </w:rPr>
            </w:pPr>
          </w:p>
        </w:tc>
        <w:tc>
          <w:tcPr>
            <w:tcW w:w="709" w:type="dxa"/>
            <w:noWrap/>
            <w:vAlign w:val="center"/>
          </w:tcPr>
          <w:p w14:paraId="6EF49A7C">
            <w:pPr>
              <w:widowControl/>
              <w:rPr>
                <w:color w:val="auto"/>
                <w:highlight w:val="none"/>
              </w:rPr>
            </w:pPr>
          </w:p>
        </w:tc>
        <w:tc>
          <w:tcPr>
            <w:tcW w:w="1134" w:type="dxa"/>
            <w:noWrap/>
            <w:vAlign w:val="center"/>
          </w:tcPr>
          <w:p w14:paraId="1B3E90E2">
            <w:pPr>
              <w:widowControl/>
              <w:rPr>
                <w:color w:val="auto"/>
                <w:highlight w:val="none"/>
              </w:rPr>
            </w:pPr>
          </w:p>
        </w:tc>
        <w:tc>
          <w:tcPr>
            <w:tcW w:w="1094" w:type="dxa"/>
            <w:noWrap/>
            <w:vAlign w:val="center"/>
          </w:tcPr>
          <w:p w14:paraId="305970BD">
            <w:pPr>
              <w:widowControl/>
              <w:rPr>
                <w:color w:val="auto"/>
                <w:highlight w:val="none"/>
              </w:rPr>
            </w:pPr>
          </w:p>
        </w:tc>
        <w:tc>
          <w:tcPr>
            <w:tcW w:w="1047" w:type="dxa"/>
            <w:noWrap/>
            <w:vAlign w:val="center"/>
          </w:tcPr>
          <w:p w14:paraId="0FCFC68C">
            <w:pPr>
              <w:widowControl/>
              <w:rPr>
                <w:color w:val="auto"/>
                <w:highlight w:val="none"/>
              </w:rPr>
            </w:pPr>
          </w:p>
        </w:tc>
      </w:tr>
      <w:tr w14:paraId="33FA9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53B263CE">
            <w:pPr>
              <w:widowControl/>
              <w:rPr>
                <w:color w:val="auto"/>
                <w:highlight w:val="none"/>
              </w:rPr>
            </w:pPr>
          </w:p>
        </w:tc>
        <w:tc>
          <w:tcPr>
            <w:tcW w:w="1134" w:type="dxa"/>
            <w:noWrap/>
            <w:vAlign w:val="center"/>
          </w:tcPr>
          <w:p w14:paraId="3080708D">
            <w:pPr>
              <w:widowControl/>
              <w:rPr>
                <w:color w:val="auto"/>
                <w:highlight w:val="none"/>
              </w:rPr>
            </w:pPr>
          </w:p>
        </w:tc>
        <w:tc>
          <w:tcPr>
            <w:tcW w:w="618" w:type="dxa"/>
            <w:noWrap/>
            <w:vAlign w:val="center"/>
          </w:tcPr>
          <w:p w14:paraId="3DE5947C">
            <w:pPr>
              <w:widowControl/>
              <w:rPr>
                <w:color w:val="auto"/>
                <w:highlight w:val="none"/>
              </w:rPr>
            </w:pPr>
          </w:p>
        </w:tc>
        <w:tc>
          <w:tcPr>
            <w:tcW w:w="1280" w:type="dxa"/>
            <w:noWrap/>
            <w:vAlign w:val="center"/>
          </w:tcPr>
          <w:p w14:paraId="78BE2A70">
            <w:pPr>
              <w:widowControl/>
              <w:rPr>
                <w:color w:val="auto"/>
                <w:highlight w:val="none"/>
              </w:rPr>
            </w:pPr>
          </w:p>
        </w:tc>
        <w:tc>
          <w:tcPr>
            <w:tcW w:w="1079" w:type="dxa"/>
            <w:noWrap/>
            <w:vAlign w:val="center"/>
          </w:tcPr>
          <w:p w14:paraId="38F959C2">
            <w:pPr>
              <w:widowControl/>
              <w:rPr>
                <w:color w:val="auto"/>
                <w:highlight w:val="none"/>
              </w:rPr>
            </w:pPr>
          </w:p>
        </w:tc>
        <w:tc>
          <w:tcPr>
            <w:tcW w:w="850" w:type="dxa"/>
            <w:noWrap/>
            <w:vAlign w:val="center"/>
          </w:tcPr>
          <w:p w14:paraId="640DC2E6">
            <w:pPr>
              <w:widowControl/>
              <w:rPr>
                <w:color w:val="auto"/>
                <w:highlight w:val="none"/>
              </w:rPr>
            </w:pPr>
          </w:p>
        </w:tc>
        <w:tc>
          <w:tcPr>
            <w:tcW w:w="1134" w:type="dxa"/>
            <w:noWrap/>
            <w:vAlign w:val="center"/>
          </w:tcPr>
          <w:p w14:paraId="716DF75A">
            <w:pPr>
              <w:widowControl/>
              <w:rPr>
                <w:color w:val="auto"/>
                <w:highlight w:val="none"/>
              </w:rPr>
            </w:pPr>
          </w:p>
        </w:tc>
        <w:tc>
          <w:tcPr>
            <w:tcW w:w="709" w:type="dxa"/>
            <w:noWrap/>
            <w:vAlign w:val="center"/>
          </w:tcPr>
          <w:p w14:paraId="24D75B4C">
            <w:pPr>
              <w:widowControl/>
              <w:rPr>
                <w:color w:val="auto"/>
                <w:highlight w:val="none"/>
              </w:rPr>
            </w:pPr>
          </w:p>
        </w:tc>
        <w:tc>
          <w:tcPr>
            <w:tcW w:w="1134" w:type="dxa"/>
            <w:noWrap/>
            <w:vAlign w:val="center"/>
          </w:tcPr>
          <w:p w14:paraId="21D3B538">
            <w:pPr>
              <w:widowControl/>
              <w:rPr>
                <w:color w:val="auto"/>
                <w:highlight w:val="none"/>
              </w:rPr>
            </w:pPr>
          </w:p>
        </w:tc>
        <w:tc>
          <w:tcPr>
            <w:tcW w:w="1094" w:type="dxa"/>
            <w:noWrap/>
            <w:vAlign w:val="center"/>
          </w:tcPr>
          <w:p w14:paraId="7257D6B2">
            <w:pPr>
              <w:widowControl/>
              <w:rPr>
                <w:color w:val="auto"/>
                <w:highlight w:val="none"/>
              </w:rPr>
            </w:pPr>
          </w:p>
        </w:tc>
        <w:tc>
          <w:tcPr>
            <w:tcW w:w="1047" w:type="dxa"/>
            <w:noWrap/>
            <w:vAlign w:val="center"/>
          </w:tcPr>
          <w:p w14:paraId="1C7A0B51">
            <w:pPr>
              <w:widowControl/>
              <w:rPr>
                <w:color w:val="auto"/>
                <w:highlight w:val="none"/>
              </w:rPr>
            </w:pPr>
          </w:p>
        </w:tc>
      </w:tr>
      <w:tr w14:paraId="34AE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67A2095F">
            <w:pPr>
              <w:widowControl/>
              <w:rPr>
                <w:color w:val="auto"/>
                <w:highlight w:val="none"/>
              </w:rPr>
            </w:pPr>
          </w:p>
        </w:tc>
        <w:tc>
          <w:tcPr>
            <w:tcW w:w="1134" w:type="dxa"/>
            <w:noWrap/>
            <w:vAlign w:val="center"/>
          </w:tcPr>
          <w:p w14:paraId="04CDBF4A">
            <w:pPr>
              <w:widowControl/>
              <w:rPr>
                <w:color w:val="auto"/>
                <w:highlight w:val="none"/>
              </w:rPr>
            </w:pPr>
          </w:p>
        </w:tc>
        <w:tc>
          <w:tcPr>
            <w:tcW w:w="618" w:type="dxa"/>
            <w:noWrap/>
            <w:vAlign w:val="center"/>
          </w:tcPr>
          <w:p w14:paraId="7353143F">
            <w:pPr>
              <w:widowControl/>
              <w:rPr>
                <w:color w:val="auto"/>
                <w:highlight w:val="none"/>
              </w:rPr>
            </w:pPr>
          </w:p>
        </w:tc>
        <w:tc>
          <w:tcPr>
            <w:tcW w:w="1280" w:type="dxa"/>
            <w:noWrap/>
            <w:vAlign w:val="center"/>
          </w:tcPr>
          <w:p w14:paraId="35D49CEF">
            <w:pPr>
              <w:widowControl/>
              <w:rPr>
                <w:color w:val="auto"/>
                <w:highlight w:val="none"/>
              </w:rPr>
            </w:pPr>
          </w:p>
        </w:tc>
        <w:tc>
          <w:tcPr>
            <w:tcW w:w="1079" w:type="dxa"/>
            <w:noWrap/>
            <w:vAlign w:val="center"/>
          </w:tcPr>
          <w:p w14:paraId="50154AE0">
            <w:pPr>
              <w:widowControl/>
              <w:rPr>
                <w:color w:val="auto"/>
                <w:highlight w:val="none"/>
              </w:rPr>
            </w:pPr>
          </w:p>
        </w:tc>
        <w:tc>
          <w:tcPr>
            <w:tcW w:w="850" w:type="dxa"/>
            <w:noWrap/>
            <w:vAlign w:val="center"/>
          </w:tcPr>
          <w:p w14:paraId="664104EB">
            <w:pPr>
              <w:widowControl/>
              <w:rPr>
                <w:color w:val="auto"/>
                <w:highlight w:val="none"/>
              </w:rPr>
            </w:pPr>
          </w:p>
        </w:tc>
        <w:tc>
          <w:tcPr>
            <w:tcW w:w="1134" w:type="dxa"/>
            <w:noWrap/>
            <w:vAlign w:val="center"/>
          </w:tcPr>
          <w:p w14:paraId="53BFB8B3">
            <w:pPr>
              <w:widowControl/>
              <w:rPr>
                <w:color w:val="auto"/>
                <w:highlight w:val="none"/>
              </w:rPr>
            </w:pPr>
          </w:p>
        </w:tc>
        <w:tc>
          <w:tcPr>
            <w:tcW w:w="709" w:type="dxa"/>
            <w:noWrap/>
            <w:vAlign w:val="center"/>
          </w:tcPr>
          <w:p w14:paraId="66AF1685">
            <w:pPr>
              <w:widowControl/>
              <w:rPr>
                <w:color w:val="auto"/>
                <w:highlight w:val="none"/>
              </w:rPr>
            </w:pPr>
          </w:p>
        </w:tc>
        <w:tc>
          <w:tcPr>
            <w:tcW w:w="1134" w:type="dxa"/>
            <w:noWrap/>
            <w:vAlign w:val="center"/>
          </w:tcPr>
          <w:p w14:paraId="7E29D262">
            <w:pPr>
              <w:widowControl/>
              <w:rPr>
                <w:color w:val="auto"/>
                <w:highlight w:val="none"/>
              </w:rPr>
            </w:pPr>
          </w:p>
        </w:tc>
        <w:tc>
          <w:tcPr>
            <w:tcW w:w="1094" w:type="dxa"/>
            <w:noWrap/>
            <w:vAlign w:val="center"/>
          </w:tcPr>
          <w:p w14:paraId="040494B5">
            <w:pPr>
              <w:widowControl/>
              <w:rPr>
                <w:color w:val="auto"/>
                <w:highlight w:val="none"/>
              </w:rPr>
            </w:pPr>
          </w:p>
        </w:tc>
        <w:tc>
          <w:tcPr>
            <w:tcW w:w="1047" w:type="dxa"/>
            <w:noWrap/>
            <w:vAlign w:val="center"/>
          </w:tcPr>
          <w:p w14:paraId="7D45FC5C">
            <w:pPr>
              <w:widowControl/>
              <w:rPr>
                <w:color w:val="auto"/>
                <w:highlight w:val="none"/>
              </w:rPr>
            </w:pPr>
          </w:p>
        </w:tc>
      </w:tr>
      <w:tr w14:paraId="77A7C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6DE78492">
            <w:pPr>
              <w:widowControl/>
              <w:rPr>
                <w:color w:val="auto"/>
                <w:highlight w:val="none"/>
              </w:rPr>
            </w:pPr>
          </w:p>
        </w:tc>
        <w:tc>
          <w:tcPr>
            <w:tcW w:w="1134" w:type="dxa"/>
            <w:noWrap/>
            <w:vAlign w:val="center"/>
          </w:tcPr>
          <w:p w14:paraId="37669ECA">
            <w:pPr>
              <w:widowControl/>
              <w:rPr>
                <w:color w:val="auto"/>
                <w:highlight w:val="none"/>
              </w:rPr>
            </w:pPr>
          </w:p>
        </w:tc>
        <w:tc>
          <w:tcPr>
            <w:tcW w:w="618" w:type="dxa"/>
            <w:noWrap/>
            <w:vAlign w:val="center"/>
          </w:tcPr>
          <w:p w14:paraId="26F434F4">
            <w:pPr>
              <w:widowControl/>
              <w:rPr>
                <w:color w:val="auto"/>
                <w:highlight w:val="none"/>
              </w:rPr>
            </w:pPr>
          </w:p>
        </w:tc>
        <w:tc>
          <w:tcPr>
            <w:tcW w:w="1280" w:type="dxa"/>
            <w:noWrap/>
            <w:vAlign w:val="center"/>
          </w:tcPr>
          <w:p w14:paraId="6ED04E4A">
            <w:pPr>
              <w:widowControl/>
              <w:rPr>
                <w:color w:val="auto"/>
                <w:highlight w:val="none"/>
              </w:rPr>
            </w:pPr>
          </w:p>
        </w:tc>
        <w:tc>
          <w:tcPr>
            <w:tcW w:w="1079" w:type="dxa"/>
            <w:noWrap/>
            <w:vAlign w:val="center"/>
          </w:tcPr>
          <w:p w14:paraId="2173AA9D">
            <w:pPr>
              <w:widowControl/>
              <w:rPr>
                <w:color w:val="auto"/>
                <w:highlight w:val="none"/>
              </w:rPr>
            </w:pPr>
          </w:p>
        </w:tc>
        <w:tc>
          <w:tcPr>
            <w:tcW w:w="850" w:type="dxa"/>
            <w:noWrap/>
            <w:vAlign w:val="center"/>
          </w:tcPr>
          <w:p w14:paraId="414B2276">
            <w:pPr>
              <w:widowControl/>
              <w:rPr>
                <w:color w:val="auto"/>
                <w:highlight w:val="none"/>
              </w:rPr>
            </w:pPr>
          </w:p>
        </w:tc>
        <w:tc>
          <w:tcPr>
            <w:tcW w:w="1134" w:type="dxa"/>
            <w:noWrap/>
            <w:vAlign w:val="center"/>
          </w:tcPr>
          <w:p w14:paraId="22513E90">
            <w:pPr>
              <w:widowControl/>
              <w:rPr>
                <w:color w:val="auto"/>
                <w:highlight w:val="none"/>
              </w:rPr>
            </w:pPr>
          </w:p>
        </w:tc>
        <w:tc>
          <w:tcPr>
            <w:tcW w:w="709" w:type="dxa"/>
            <w:noWrap/>
            <w:vAlign w:val="center"/>
          </w:tcPr>
          <w:p w14:paraId="3970D521">
            <w:pPr>
              <w:widowControl/>
              <w:rPr>
                <w:color w:val="auto"/>
                <w:highlight w:val="none"/>
              </w:rPr>
            </w:pPr>
          </w:p>
        </w:tc>
        <w:tc>
          <w:tcPr>
            <w:tcW w:w="1134" w:type="dxa"/>
            <w:noWrap/>
            <w:vAlign w:val="center"/>
          </w:tcPr>
          <w:p w14:paraId="7A04BDAE">
            <w:pPr>
              <w:widowControl/>
              <w:rPr>
                <w:color w:val="auto"/>
                <w:highlight w:val="none"/>
              </w:rPr>
            </w:pPr>
          </w:p>
        </w:tc>
        <w:tc>
          <w:tcPr>
            <w:tcW w:w="1094" w:type="dxa"/>
            <w:noWrap/>
            <w:vAlign w:val="center"/>
          </w:tcPr>
          <w:p w14:paraId="0E6CA51B">
            <w:pPr>
              <w:widowControl/>
              <w:rPr>
                <w:color w:val="auto"/>
                <w:highlight w:val="none"/>
              </w:rPr>
            </w:pPr>
          </w:p>
        </w:tc>
        <w:tc>
          <w:tcPr>
            <w:tcW w:w="1047" w:type="dxa"/>
            <w:noWrap/>
            <w:vAlign w:val="center"/>
          </w:tcPr>
          <w:p w14:paraId="768D62AE">
            <w:pPr>
              <w:widowControl/>
              <w:rPr>
                <w:color w:val="auto"/>
                <w:highlight w:val="none"/>
              </w:rPr>
            </w:pPr>
          </w:p>
        </w:tc>
      </w:tr>
      <w:tr w14:paraId="1948F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58351F4B">
            <w:pPr>
              <w:widowControl/>
              <w:rPr>
                <w:color w:val="auto"/>
                <w:highlight w:val="none"/>
              </w:rPr>
            </w:pPr>
          </w:p>
        </w:tc>
        <w:tc>
          <w:tcPr>
            <w:tcW w:w="1134" w:type="dxa"/>
            <w:noWrap/>
            <w:vAlign w:val="center"/>
          </w:tcPr>
          <w:p w14:paraId="10D2111C">
            <w:pPr>
              <w:widowControl/>
              <w:rPr>
                <w:color w:val="auto"/>
                <w:highlight w:val="none"/>
              </w:rPr>
            </w:pPr>
          </w:p>
        </w:tc>
        <w:tc>
          <w:tcPr>
            <w:tcW w:w="618" w:type="dxa"/>
            <w:noWrap/>
            <w:vAlign w:val="center"/>
          </w:tcPr>
          <w:p w14:paraId="4D9343F0">
            <w:pPr>
              <w:widowControl/>
              <w:rPr>
                <w:color w:val="auto"/>
                <w:highlight w:val="none"/>
              </w:rPr>
            </w:pPr>
          </w:p>
        </w:tc>
        <w:tc>
          <w:tcPr>
            <w:tcW w:w="1280" w:type="dxa"/>
            <w:noWrap/>
            <w:vAlign w:val="center"/>
          </w:tcPr>
          <w:p w14:paraId="3B7D72B9">
            <w:pPr>
              <w:widowControl/>
              <w:rPr>
                <w:color w:val="auto"/>
                <w:highlight w:val="none"/>
              </w:rPr>
            </w:pPr>
          </w:p>
        </w:tc>
        <w:tc>
          <w:tcPr>
            <w:tcW w:w="1079" w:type="dxa"/>
            <w:noWrap/>
            <w:vAlign w:val="center"/>
          </w:tcPr>
          <w:p w14:paraId="2B790C9B">
            <w:pPr>
              <w:widowControl/>
              <w:rPr>
                <w:color w:val="auto"/>
                <w:highlight w:val="none"/>
              </w:rPr>
            </w:pPr>
          </w:p>
        </w:tc>
        <w:tc>
          <w:tcPr>
            <w:tcW w:w="850" w:type="dxa"/>
            <w:noWrap/>
            <w:vAlign w:val="center"/>
          </w:tcPr>
          <w:p w14:paraId="1F007A33">
            <w:pPr>
              <w:widowControl/>
              <w:rPr>
                <w:color w:val="auto"/>
                <w:highlight w:val="none"/>
              </w:rPr>
            </w:pPr>
          </w:p>
        </w:tc>
        <w:tc>
          <w:tcPr>
            <w:tcW w:w="1134" w:type="dxa"/>
            <w:noWrap/>
            <w:vAlign w:val="center"/>
          </w:tcPr>
          <w:p w14:paraId="5E739BF3">
            <w:pPr>
              <w:widowControl/>
              <w:rPr>
                <w:color w:val="auto"/>
                <w:highlight w:val="none"/>
              </w:rPr>
            </w:pPr>
          </w:p>
        </w:tc>
        <w:tc>
          <w:tcPr>
            <w:tcW w:w="709" w:type="dxa"/>
            <w:noWrap/>
            <w:vAlign w:val="center"/>
          </w:tcPr>
          <w:p w14:paraId="1BC29448">
            <w:pPr>
              <w:widowControl/>
              <w:rPr>
                <w:color w:val="auto"/>
                <w:highlight w:val="none"/>
              </w:rPr>
            </w:pPr>
          </w:p>
        </w:tc>
        <w:tc>
          <w:tcPr>
            <w:tcW w:w="1134" w:type="dxa"/>
            <w:noWrap/>
            <w:vAlign w:val="center"/>
          </w:tcPr>
          <w:p w14:paraId="21566DD0">
            <w:pPr>
              <w:widowControl/>
              <w:rPr>
                <w:color w:val="auto"/>
                <w:highlight w:val="none"/>
              </w:rPr>
            </w:pPr>
          </w:p>
        </w:tc>
        <w:tc>
          <w:tcPr>
            <w:tcW w:w="1094" w:type="dxa"/>
            <w:noWrap/>
            <w:vAlign w:val="center"/>
          </w:tcPr>
          <w:p w14:paraId="6456FDB2">
            <w:pPr>
              <w:widowControl/>
              <w:rPr>
                <w:color w:val="auto"/>
                <w:highlight w:val="none"/>
              </w:rPr>
            </w:pPr>
          </w:p>
        </w:tc>
        <w:tc>
          <w:tcPr>
            <w:tcW w:w="1047" w:type="dxa"/>
            <w:noWrap/>
            <w:vAlign w:val="center"/>
          </w:tcPr>
          <w:p w14:paraId="551026AB">
            <w:pPr>
              <w:widowControl/>
              <w:rPr>
                <w:color w:val="auto"/>
                <w:highlight w:val="none"/>
              </w:rPr>
            </w:pPr>
          </w:p>
        </w:tc>
      </w:tr>
      <w:tr w14:paraId="3E7B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05" w:type="dxa"/>
            <w:gridSpan w:val="11"/>
            <w:shd w:val="clear" w:color="auto" w:fill="auto"/>
            <w:noWrap/>
            <w:vAlign w:val="center"/>
          </w:tcPr>
          <w:p w14:paraId="027A5962">
            <w:pPr>
              <w:widowControl/>
              <w:rPr>
                <w:color w:val="auto"/>
                <w:highlight w:val="none"/>
              </w:rPr>
            </w:pPr>
            <w:r>
              <w:rPr>
                <w:rFonts w:hint="eastAsia" w:ascii="宋体" w:hAnsi="宋体"/>
                <w:sz w:val="24"/>
                <w:szCs w:val="24"/>
              </w:rPr>
              <w:t>投标总报价（人民币：元）</w:t>
            </w:r>
            <w:r>
              <w:rPr>
                <w:rFonts w:hint="eastAsia" w:ascii="宋体" w:hAnsi="宋体"/>
                <w:sz w:val="24"/>
                <w:szCs w:val="24"/>
                <w:u w:val="single"/>
              </w:rPr>
              <w:t xml:space="preserve">                             </w:t>
            </w:r>
          </w:p>
        </w:tc>
      </w:tr>
      <w:tr w14:paraId="0252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805" w:type="dxa"/>
            <w:gridSpan w:val="11"/>
            <w:shd w:val="clear" w:color="auto" w:fill="auto"/>
            <w:noWrap/>
            <w:vAlign w:val="center"/>
          </w:tcPr>
          <w:p w14:paraId="7D3D3C3D">
            <w:pPr>
              <w:widowControl/>
              <w:rPr>
                <w:color w:val="auto"/>
                <w:highlight w:val="none"/>
              </w:rPr>
            </w:pPr>
            <w:r>
              <w:rPr>
                <w:rFonts w:hint="eastAsia" w:ascii="宋体" w:hAnsi="宋体" w:eastAsia="宋体" w:cs="宋体"/>
                <w:b/>
                <w:bCs/>
                <w:color w:val="auto"/>
                <w:sz w:val="24"/>
                <w:szCs w:val="32"/>
                <w:highlight w:val="none"/>
              </w:rPr>
              <w:t>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w:t>
            </w:r>
          </w:p>
        </w:tc>
      </w:tr>
    </w:tbl>
    <w:p w14:paraId="731771DF">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填报说明：</w:t>
      </w:r>
    </w:p>
    <w:p w14:paraId="024CA69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811CDB1">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w:t>
      </w:r>
      <w:r>
        <w:rPr>
          <w:rFonts w:hint="eastAsia" w:ascii="宋体" w:hAnsi="宋体"/>
          <w:b/>
          <w:bCs/>
          <w:color w:val="000000"/>
          <w:highlight w:val="none"/>
        </w:rPr>
        <w:t>以上总</w:t>
      </w:r>
      <w:r>
        <w:rPr>
          <w:rFonts w:hint="eastAsia" w:ascii="宋体" w:hAnsi="宋体" w:cs="宋体"/>
          <w:b/>
          <w:bCs/>
          <w:szCs w:val="21"/>
          <w:highlight w:val="none"/>
          <w:lang w:bidi="ar"/>
        </w:rPr>
        <w:t>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szCs w:val="21"/>
          <w:highlight w:val="none"/>
          <w:lang w:eastAsia="zh-CN" w:bidi="ar"/>
        </w:rPr>
        <w:t>，</w:t>
      </w:r>
      <w:r>
        <w:rPr>
          <w:rFonts w:hint="eastAsia" w:ascii="宋体" w:hAnsi="宋体" w:cs="宋体"/>
          <w:b/>
          <w:bCs/>
          <w:szCs w:val="21"/>
          <w:highlight w:val="none"/>
          <w:lang w:bidi="ar"/>
        </w:rPr>
        <w:t>中标后费用不再另行增加</w:t>
      </w:r>
      <w:r>
        <w:rPr>
          <w:rFonts w:hint="eastAsia" w:ascii="宋体" w:hAnsi="宋体"/>
          <w:b/>
          <w:bCs/>
          <w:color w:val="000000"/>
          <w:highlight w:val="none"/>
        </w:rPr>
        <w:t>。</w:t>
      </w:r>
    </w:p>
    <w:p w14:paraId="2C206CD1">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3、请供应商正确填写本表，所填内容将作为评审的依据，其内容应与对应的证明资料相符。</w:t>
      </w:r>
    </w:p>
    <w:p w14:paraId="119AD713">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4、本表中事项填写不得有缺失，请如实填写，行数或事项不够，可自行增加。</w:t>
      </w:r>
    </w:p>
    <w:p w14:paraId="45B0C4ED">
      <w:pPr>
        <w:pStyle w:val="17"/>
        <w:rPr>
          <w:color w:val="auto"/>
          <w:highlight w:val="none"/>
        </w:rPr>
      </w:pPr>
    </w:p>
    <w:p w14:paraId="6AA7FA1D">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3AC3A22E">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3545496D">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0A8708CA">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格式4、中小企业声明函</w:t>
      </w:r>
    </w:p>
    <w:p w14:paraId="24934C66">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1D52FE19">
      <w:pPr>
        <w:jc w:val="left"/>
        <w:rPr>
          <w:rFonts w:ascii="MS Mincho" w:hAnsi="Calibri" w:eastAsia="宋体" w:cs="Times New Roman"/>
          <w:color w:val="auto"/>
          <w:szCs w:val="24"/>
          <w:highlight w:val="none"/>
        </w:rPr>
      </w:pPr>
    </w:p>
    <w:p w14:paraId="23469F45">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本公司郑重声明，根据《政府采购促进中小企业发展管理办法》（财库﹝2020﹞46号）的规定，本公司参加</w:t>
      </w:r>
      <w:r>
        <w:rPr>
          <w:rFonts w:ascii="宋体" w:hAnsi="宋体" w:eastAsia="宋体" w:cs="Times New Roman"/>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采购活动，提供的货物全部由符合政策要求的中小企业制造。相关企业的具体情况如下：</w:t>
      </w:r>
    </w:p>
    <w:p w14:paraId="654D142A">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 xml:space="preserve">； </w:t>
      </w:r>
    </w:p>
    <w:p w14:paraId="406040B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w:t>
      </w:r>
    </w:p>
    <w:p w14:paraId="339BEA8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p>
    <w:p w14:paraId="19044622">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p>
    <w:p w14:paraId="2678872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p>
    <w:p w14:paraId="6C9B1020">
      <w:pPr>
        <w:spacing w:line="360" w:lineRule="auto"/>
        <w:ind w:firstLine="480"/>
        <w:rPr>
          <w:rFonts w:ascii="宋体" w:hAnsi="宋体" w:eastAsia="宋体" w:cs="Times New Roman"/>
          <w:color w:val="auto"/>
          <w:sz w:val="24"/>
          <w:szCs w:val="24"/>
          <w:highlight w:val="none"/>
        </w:rPr>
      </w:pPr>
    </w:p>
    <w:p w14:paraId="3AFFE4B8">
      <w:pPr>
        <w:spacing w:line="360" w:lineRule="auto"/>
        <w:ind w:right="480" w:firstLine="4920"/>
        <w:rPr>
          <w:rFonts w:ascii="宋体" w:hAnsi="宋体" w:eastAsia="宋体" w:cs="Times New Roman"/>
          <w:color w:val="auto"/>
          <w:sz w:val="24"/>
          <w:szCs w:val="24"/>
          <w:highlight w:val="none"/>
        </w:rPr>
      </w:pPr>
    </w:p>
    <w:p w14:paraId="2E467E9E">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p>
    <w:p w14:paraId="79412B97">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rPr>
        <w:t xml:space="preserve">   年   月   日</w:t>
      </w:r>
    </w:p>
    <w:p w14:paraId="673B5C38">
      <w:pPr>
        <w:spacing w:line="360" w:lineRule="auto"/>
        <w:ind w:right="480" w:firstLine="482"/>
        <w:rPr>
          <w:rFonts w:ascii="宋体" w:hAnsi="宋体" w:eastAsia="宋体" w:cs="Times New Roman"/>
          <w:b/>
          <w:color w:val="auto"/>
          <w:sz w:val="24"/>
          <w:szCs w:val="24"/>
          <w:highlight w:val="none"/>
        </w:rPr>
      </w:pPr>
    </w:p>
    <w:p w14:paraId="5A6CE6ED">
      <w:pPr>
        <w:spacing w:line="360" w:lineRule="auto"/>
        <w:ind w:right="480" w:firstLine="482"/>
        <w:rPr>
          <w:rFonts w:ascii="宋体" w:hAnsi="宋体" w:eastAsia="宋体" w:cs="Times New Roman"/>
          <w:b/>
          <w:color w:val="auto"/>
          <w:sz w:val="24"/>
          <w:szCs w:val="24"/>
          <w:highlight w:val="none"/>
        </w:rPr>
      </w:pPr>
    </w:p>
    <w:p w14:paraId="02344E96">
      <w:pPr>
        <w:spacing w:line="360" w:lineRule="auto"/>
        <w:ind w:right="480" w:firstLine="482"/>
        <w:rPr>
          <w:rFonts w:ascii="宋体" w:hAnsi="宋体" w:eastAsia="宋体" w:cs="Times New Roman"/>
          <w:b/>
          <w:color w:val="auto"/>
          <w:sz w:val="24"/>
          <w:szCs w:val="24"/>
          <w:highlight w:val="none"/>
        </w:rPr>
      </w:pPr>
    </w:p>
    <w:p w14:paraId="1FE47433">
      <w:pPr>
        <w:spacing w:line="360" w:lineRule="auto"/>
        <w:ind w:right="480" w:firstLine="482"/>
        <w:rPr>
          <w:rFonts w:ascii="宋体" w:hAnsi="宋体" w:eastAsia="宋体" w:cs="Times New Roman"/>
          <w:b/>
          <w:color w:val="auto"/>
          <w:sz w:val="24"/>
          <w:szCs w:val="24"/>
          <w:highlight w:val="none"/>
        </w:rPr>
      </w:pPr>
    </w:p>
    <w:p w14:paraId="20080C9B">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3FD5013E">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1AEFBAC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2、请供应商如实填写，所填内容将作为评审的依据。其内容填写须与分项报价表一致，如填写不完整或不一致，将不享受扶持政策。</w:t>
      </w:r>
    </w:p>
    <w:p w14:paraId="0253D14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3、中标供应商的《中小企业声明函》随中标结果公开。</w:t>
      </w:r>
    </w:p>
    <w:p w14:paraId="172765F9">
      <w:pPr>
        <w:spacing w:line="360" w:lineRule="auto"/>
        <w:ind w:firstLine="482"/>
        <w:rPr>
          <w:rFonts w:ascii="宋体" w:hAnsi="宋体" w:eastAsia="宋体" w:cs="Times New Roman"/>
          <w:b/>
          <w:color w:val="auto"/>
          <w:sz w:val="24"/>
          <w:szCs w:val="24"/>
          <w:highlight w:val="none"/>
        </w:rPr>
      </w:pPr>
    </w:p>
    <w:p w14:paraId="46A35E36">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3698BDA2">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格式5、残疾人福利性企业声明函</w:t>
      </w:r>
    </w:p>
    <w:p w14:paraId="5262A8F1">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10719C4F">
      <w:pPr>
        <w:jc w:val="left"/>
        <w:rPr>
          <w:rFonts w:ascii="MS Mincho" w:hAnsi="Calibri" w:eastAsia="宋体" w:cs="Times New Roman"/>
          <w:color w:val="auto"/>
          <w:szCs w:val="24"/>
          <w:highlight w:val="none"/>
        </w:rPr>
      </w:pPr>
    </w:p>
    <w:p w14:paraId="2201ECF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1AFF193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 xml:space="preserve">，属于残疾人福利性单位； </w:t>
      </w:r>
    </w:p>
    <w:p w14:paraId="5D792FA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，属于残疾人福利性单位；</w:t>
      </w:r>
    </w:p>
    <w:p w14:paraId="26B5BAC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p>
    <w:p w14:paraId="3BE4A0E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282DA150">
      <w:pPr>
        <w:spacing w:line="360" w:lineRule="auto"/>
        <w:ind w:firstLine="480"/>
        <w:rPr>
          <w:rFonts w:ascii="宋体" w:hAnsi="宋体" w:eastAsia="宋体" w:cs="Times New Roman"/>
          <w:color w:val="auto"/>
          <w:sz w:val="24"/>
          <w:szCs w:val="24"/>
          <w:highlight w:val="none"/>
        </w:rPr>
      </w:pPr>
    </w:p>
    <w:p w14:paraId="39BDA52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企业名称(盖章)：</w:t>
      </w:r>
    </w:p>
    <w:p w14:paraId="510CB13A">
      <w:pPr>
        <w:spacing w:line="588" w:lineRule="exact"/>
        <w:ind w:firstLine="480"/>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日期：   年   月   日</w:t>
      </w:r>
    </w:p>
    <w:p w14:paraId="2EEDB942">
      <w:pPr>
        <w:spacing w:line="360" w:lineRule="auto"/>
        <w:ind w:firstLine="442"/>
        <w:rPr>
          <w:rFonts w:ascii="Times New Roman" w:hAnsi="Times New Roman" w:eastAsia="宋体" w:cs="Times New Roman"/>
          <w:b/>
          <w:color w:val="auto"/>
          <w:sz w:val="22"/>
          <w:szCs w:val="21"/>
          <w:highlight w:val="none"/>
        </w:rPr>
      </w:pPr>
    </w:p>
    <w:p w14:paraId="4C22D805">
      <w:pPr>
        <w:spacing w:line="360" w:lineRule="auto"/>
        <w:ind w:firstLine="442"/>
        <w:rPr>
          <w:rFonts w:ascii="Times New Roman" w:hAnsi="Times New Roman" w:eastAsia="宋体" w:cs="Times New Roman"/>
          <w:b/>
          <w:color w:val="auto"/>
          <w:sz w:val="22"/>
          <w:szCs w:val="21"/>
          <w:highlight w:val="none"/>
        </w:rPr>
      </w:pPr>
    </w:p>
    <w:p w14:paraId="0DBDE2C3">
      <w:pPr>
        <w:spacing w:line="360" w:lineRule="auto"/>
        <w:ind w:firstLine="442"/>
        <w:rPr>
          <w:rFonts w:ascii="Times New Roman" w:hAnsi="Times New Roman" w:eastAsia="宋体" w:cs="Times New Roman"/>
          <w:b/>
          <w:color w:val="auto"/>
          <w:sz w:val="22"/>
          <w:szCs w:val="21"/>
          <w:highlight w:val="none"/>
        </w:rPr>
      </w:pPr>
    </w:p>
    <w:p w14:paraId="6DB3DB58">
      <w:pPr>
        <w:spacing w:line="360" w:lineRule="auto"/>
        <w:ind w:firstLine="442"/>
        <w:rPr>
          <w:rFonts w:ascii="Times New Roman" w:hAnsi="Times New Roman" w:eastAsia="宋体" w:cs="Times New Roman"/>
          <w:b/>
          <w:color w:val="auto"/>
          <w:sz w:val="22"/>
          <w:szCs w:val="21"/>
          <w:highlight w:val="none"/>
        </w:rPr>
      </w:pPr>
    </w:p>
    <w:p w14:paraId="7F38273A">
      <w:pPr>
        <w:spacing w:line="360" w:lineRule="auto"/>
        <w:ind w:firstLine="442"/>
        <w:rPr>
          <w:rFonts w:ascii="Times New Roman" w:hAnsi="Times New Roman" w:eastAsia="宋体" w:cs="Times New Roman"/>
          <w:b/>
          <w:color w:val="auto"/>
          <w:sz w:val="22"/>
          <w:szCs w:val="21"/>
          <w:highlight w:val="none"/>
        </w:rPr>
      </w:pPr>
    </w:p>
    <w:p w14:paraId="1BF0A8B7">
      <w:pPr>
        <w:spacing w:line="360" w:lineRule="auto"/>
        <w:ind w:firstLine="442"/>
        <w:rPr>
          <w:rFonts w:ascii="Times New Roman" w:hAnsi="Times New Roman" w:eastAsia="宋体" w:cs="Times New Roman"/>
          <w:b/>
          <w:color w:val="auto"/>
          <w:sz w:val="22"/>
          <w:szCs w:val="21"/>
          <w:highlight w:val="none"/>
        </w:rPr>
      </w:pPr>
    </w:p>
    <w:p w14:paraId="6C790FE2">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5E6FBF39">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1、请供应商如实填写，所填内容将作为评审的依据。</w:t>
      </w:r>
      <w:r>
        <w:rPr>
          <w:rFonts w:hint="eastAsia" w:ascii="宋体" w:hAnsi="宋体" w:eastAsia="宋体" w:cs="Times New Roman"/>
          <w:color w:val="auto"/>
          <w:sz w:val="24"/>
          <w:szCs w:val="24"/>
          <w:highlight w:val="none"/>
        </w:rPr>
        <w:t>其内容填写须与分项报价表一致，如填写不完整或不一致，将不享受扶</w:t>
      </w:r>
      <w:r>
        <w:rPr>
          <w:rFonts w:hint="eastAsia" w:ascii="宋体" w:hAnsi="宋体" w:eastAsia="宋体" w:cs="Times New Roman"/>
          <w:bCs/>
          <w:color w:val="auto"/>
          <w:sz w:val="24"/>
          <w:szCs w:val="24"/>
          <w:highlight w:val="none"/>
        </w:rPr>
        <w:t>持政策。</w:t>
      </w:r>
    </w:p>
    <w:p w14:paraId="76BE606B">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2、中标供应商的《残疾人福利性单位声明函》随中标结果公开。</w:t>
      </w:r>
    </w:p>
    <w:p w14:paraId="4C0B0025">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格式6、具备履行合同所必需的设备和专业技术能力的声明及证明材料</w:t>
      </w:r>
    </w:p>
    <w:p w14:paraId="1E0EA19B">
      <w:pPr>
        <w:jc w:val="left"/>
        <w:rPr>
          <w:rFonts w:ascii="MS Mincho" w:hAnsi="Calibri" w:eastAsia="宋体" w:cs="Times New Roman"/>
          <w:color w:val="auto"/>
          <w:szCs w:val="24"/>
          <w:highlight w:val="none"/>
        </w:rPr>
      </w:pPr>
    </w:p>
    <w:p w14:paraId="5E135AD9">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6BBEC0AE">
      <w:pPr>
        <w:spacing w:line="360" w:lineRule="auto"/>
        <w:rPr>
          <w:rFonts w:ascii="Times New Roman" w:hAnsi="Times New Roman" w:eastAsia="宋体" w:cs="Times New Roman"/>
          <w:color w:val="auto"/>
          <w:sz w:val="24"/>
          <w:szCs w:val="24"/>
          <w:highlight w:val="none"/>
        </w:rPr>
      </w:pPr>
    </w:p>
    <w:p w14:paraId="52E5CFB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2135055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p>
    <w:p w14:paraId="60E89BC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p>
    <w:p w14:paraId="43D49C27">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126E0193">
      <w:pPr>
        <w:spacing w:line="360" w:lineRule="auto"/>
        <w:ind w:firstLine="480"/>
        <w:rPr>
          <w:rFonts w:ascii="Times New Roman" w:hAnsi="Times New Roman" w:eastAsia="宋体" w:cs="Times New Roman"/>
          <w:color w:val="auto"/>
          <w:sz w:val="24"/>
          <w:szCs w:val="24"/>
          <w:highlight w:val="none"/>
        </w:rPr>
      </w:pPr>
    </w:p>
    <w:p w14:paraId="17363E16">
      <w:pPr>
        <w:spacing w:line="360" w:lineRule="auto"/>
        <w:ind w:firstLine="480"/>
        <w:rPr>
          <w:rFonts w:ascii="Times New Roman" w:hAnsi="Times New Roman" w:eastAsia="宋体" w:cs="Times New Roman"/>
          <w:color w:val="auto"/>
          <w:sz w:val="24"/>
          <w:szCs w:val="24"/>
          <w:highlight w:val="none"/>
        </w:rPr>
      </w:pPr>
    </w:p>
    <w:p w14:paraId="5C759D9D">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3CB6C582">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15749640">
      <w:pPr>
        <w:spacing w:line="460" w:lineRule="exact"/>
        <w:ind w:firstLine="422"/>
        <w:rPr>
          <w:rFonts w:ascii="Times New Roman" w:hAnsi="Times New Roman" w:eastAsia="宋体" w:cs="Times New Roman"/>
          <w:b/>
          <w:color w:val="auto"/>
          <w:szCs w:val="24"/>
          <w:highlight w:val="none"/>
        </w:rPr>
      </w:pPr>
    </w:p>
    <w:p w14:paraId="517592F1">
      <w:pPr>
        <w:spacing w:line="460" w:lineRule="exact"/>
        <w:ind w:firstLine="422"/>
        <w:rPr>
          <w:rFonts w:ascii="Times New Roman" w:hAnsi="Times New Roman" w:eastAsia="宋体" w:cs="Times New Roman"/>
          <w:b/>
          <w:color w:val="auto"/>
          <w:szCs w:val="24"/>
          <w:highlight w:val="none"/>
        </w:rPr>
      </w:pPr>
    </w:p>
    <w:p w14:paraId="679E2D71">
      <w:pPr>
        <w:spacing w:line="460" w:lineRule="exact"/>
        <w:ind w:firstLine="422"/>
        <w:rPr>
          <w:rFonts w:ascii="Times New Roman" w:hAnsi="Times New Roman" w:eastAsia="宋体" w:cs="Times New Roman"/>
          <w:b/>
          <w:color w:val="auto"/>
          <w:szCs w:val="24"/>
          <w:highlight w:val="none"/>
        </w:rPr>
      </w:pPr>
    </w:p>
    <w:p w14:paraId="63767425">
      <w:pPr>
        <w:spacing w:line="460" w:lineRule="exact"/>
        <w:ind w:firstLine="422"/>
        <w:rPr>
          <w:rFonts w:ascii="Times New Roman" w:hAnsi="Times New Roman" w:eastAsia="宋体" w:cs="Times New Roman"/>
          <w:b/>
          <w:color w:val="auto"/>
          <w:szCs w:val="24"/>
          <w:highlight w:val="none"/>
        </w:rPr>
      </w:pPr>
    </w:p>
    <w:p w14:paraId="11E5A97A">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格式7、参加政府采购活动前 3 年内在经营活动中没有重大违法记录的书面声明</w:t>
      </w:r>
    </w:p>
    <w:p w14:paraId="08D818D4">
      <w:pPr>
        <w:spacing w:line="360" w:lineRule="auto"/>
        <w:ind w:firstLine="420"/>
        <w:rPr>
          <w:rFonts w:ascii="Times New Roman" w:hAnsi="Times New Roman" w:eastAsia="宋体" w:cs="Times New Roman"/>
          <w:color w:val="auto"/>
          <w:szCs w:val="24"/>
          <w:highlight w:val="none"/>
        </w:rPr>
      </w:pPr>
    </w:p>
    <w:p w14:paraId="42E64839">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12EE6B2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60819D1A">
      <w:pPr>
        <w:spacing w:line="360" w:lineRule="auto"/>
        <w:ind w:firstLine="480"/>
        <w:rPr>
          <w:rFonts w:ascii="宋体" w:hAnsi="宋体" w:eastAsia="宋体" w:cs="Times New Roman"/>
          <w:bCs/>
          <w:color w:val="auto"/>
          <w:sz w:val="24"/>
          <w:szCs w:val="24"/>
          <w:highlight w:val="none"/>
        </w:rPr>
      </w:pPr>
    </w:p>
    <w:p w14:paraId="5EF8DA0D">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61DA53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416906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59E20391">
      <w:pPr>
        <w:keepNext/>
        <w:spacing w:line="360" w:lineRule="auto"/>
        <w:outlineLvl w:val="1"/>
        <w:rPr>
          <w:rFonts w:ascii="Times New Roman" w:hAnsi="Times New Roman" w:eastAsia="宋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格式8、法定代表人授权委托书</w:t>
      </w:r>
    </w:p>
    <w:p w14:paraId="5AB962F3">
      <w:pPr>
        <w:spacing w:line="360" w:lineRule="auto"/>
        <w:ind w:firstLine="720"/>
        <w:jc w:val="center"/>
        <w:rPr>
          <w:rFonts w:ascii="黑体" w:hAnsi="黑体" w:eastAsia="黑体" w:cs="宋体"/>
          <w:bCs/>
          <w:color w:val="auto"/>
          <w:sz w:val="36"/>
          <w:szCs w:val="28"/>
          <w:highlight w:val="none"/>
        </w:rPr>
      </w:pPr>
    </w:p>
    <w:p w14:paraId="178348A1">
      <w:pPr>
        <w:spacing w:line="360" w:lineRule="auto"/>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3ED4C504">
      <w:pPr>
        <w:spacing w:line="500" w:lineRule="exact"/>
        <w:ind w:firstLine="420"/>
        <w:rPr>
          <w:rFonts w:ascii="宋体" w:hAnsi="Courier New" w:eastAsia="宋体" w:cs="Times New Roman"/>
          <w:color w:val="auto"/>
          <w:szCs w:val="20"/>
          <w:highlight w:val="none"/>
        </w:rPr>
      </w:pPr>
    </w:p>
    <w:p w14:paraId="727A82BE">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采购单位</w:t>
      </w:r>
    </w:p>
    <w:p w14:paraId="57D17E7D">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本人</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（姓名）系</w:t>
      </w:r>
      <w:r>
        <w:rPr>
          <w:rFonts w:hint="eastAsia" w:ascii="宋体" w:hAnsi="宋体" w:eastAsia="宋体" w:cs="Times New Roman"/>
          <w:color w:val="auto"/>
          <w:sz w:val="24"/>
          <w:szCs w:val="24"/>
          <w:highlight w:val="none"/>
          <w:lang w:val="zh-CN"/>
        </w:rPr>
        <w:t>________________</w:t>
      </w:r>
      <w:r>
        <w:rPr>
          <w:rFonts w:hint="eastAsia" w:ascii="宋体" w:hAnsi="宋体" w:eastAsia="宋体" w:cs="Times New Roman"/>
          <w:color w:val="auto"/>
          <w:sz w:val="24"/>
          <w:szCs w:val="20"/>
          <w:highlight w:val="none"/>
        </w:rPr>
        <w:t>（投标人名称）的法定代表人（单位负责人），现委托</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（姓名）为我方代理人。代理人根据授权，以我方名义签署、澄清确认、递交、撤回、修改</w:t>
      </w:r>
      <w:r>
        <w:rPr>
          <w:rFonts w:hint="eastAsia" w:ascii="Calibri" w:hAnsi="Calibri" w:eastAsia="宋体" w:cs="Times New Roman"/>
          <w:i/>
          <w:color w:val="auto"/>
          <w:sz w:val="24"/>
          <w:szCs w:val="24"/>
          <w:highlight w:val="none"/>
          <w:u w:val="single"/>
        </w:rPr>
        <w:t>标段名称</w:t>
      </w:r>
      <w:r>
        <w:rPr>
          <w:rFonts w:hint="eastAsia" w:ascii="Calibri" w:hAnsi="Calibri" w:eastAsia="宋体" w:cs="Times New Roman"/>
          <w:color w:val="auto"/>
          <w:sz w:val="24"/>
          <w:szCs w:val="24"/>
          <w:highlight w:val="none"/>
        </w:rPr>
        <w:t>项目（标段编号：</w:t>
      </w:r>
      <w:r>
        <w:rPr>
          <w:rFonts w:hint="eastAsia" w:ascii="Calibri" w:hAnsi="宋体" w:eastAsia="宋体" w:cs="Times New Roman"/>
          <w:i/>
          <w:color w:val="auto"/>
          <w:sz w:val="24"/>
          <w:szCs w:val="24"/>
          <w:highlight w:val="none"/>
          <w:u w:val="single"/>
        </w:rPr>
        <w:t>标段编号</w:t>
      </w:r>
      <w:r>
        <w:rPr>
          <w:rFonts w:hint="eastAsia" w:ascii="Calibri" w:hAnsi="Calibri" w:eastAsia="宋体" w:cs="Times New Roman"/>
          <w:color w:val="auto"/>
          <w:sz w:val="24"/>
          <w:szCs w:val="24"/>
          <w:highlight w:val="none"/>
        </w:rPr>
        <w:t>）</w:t>
      </w:r>
      <w:r>
        <w:rPr>
          <w:rFonts w:hint="eastAsia" w:ascii="宋体" w:hAnsi="宋体" w:eastAsia="宋体" w:cs="Times New Roman"/>
          <w:color w:val="auto"/>
          <w:sz w:val="24"/>
          <w:szCs w:val="20"/>
          <w:highlight w:val="none"/>
        </w:rPr>
        <w:t>投标文件和处理有关事宜，其法律后果由我方承担。</w:t>
      </w:r>
    </w:p>
    <w:p w14:paraId="433029F4">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委托期限：自本授权委托书签署之日起至响应有效期届满之日止。</w:t>
      </w:r>
    </w:p>
    <w:p w14:paraId="2A35C09E">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w:t>
      </w:r>
    </w:p>
    <w:p w14:paraId="737EE927">
      <w:pPr>
        <w:ind w:firstLine="420"/>
        <w:rPr>
          <w:rFonts w:ascii="宋体" w:hAnsi="宋体" w:eastAsia="宋体" w:cs="Times New Roman"/>
          <w:color w:val="auto"/>
          <w:sz w:val="24"/>
          <w:szCs w:val="20"/>
          <w:highlight w:val="none"/>
        </w:rPr>
      </w:pPr>
    </w:p>
    <w:p w14:paraId="267ADFD7">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投标人名称（加盖公章）</w:t>
      </w:r>
      <w:r>
        <w:rPr>
          <w:rFonts w:hint="eastAsia" w:ascii="宋体" w:hAnsi="宋体" w:eastAsia="宋体" w:cs="Times New Roman"/>
          <w:color w:val="auto"/>
          <w:sz w:val="24"/>
          <w:szCs w:val="24"/>
          <w:highlight w:val="none"/>
          <w:lang w:val="zh-CN"/>
        </w:rPr>
        <w:t>：________________</w:t>
      </w:r>
    </w:p>
    <w:p w14:paraId="13E12810">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法定代表人（单位负责人）（签字、签章或印鉴）：</w:t>
      </w:r>
      <w:r>
        <w:rPr>
          <w:rFonts w:hint="eastAsia" w:ascii="宋体" w:hAnsi="宋体" w:eastAsia="宋体" w:cs="Times New Roman"/>
          <w:color w:val="auto"/>
          <w:sz w:val="24"/>
          <w:szCs w:val="24"/>
          <w:highlight w:val="none"/>
          <w:lang w:val="zh-CN"/>
        </w:rPr>
        <w:t>________________</w:t>
      </w:r>
    </w:p>
    <w:p w14:paraId="5A3617F5">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委托代理人（签字/签章）：</w:t>
      </w:r>
      <w:r>
        <w:rPr>
          <w:rFonts w:hint="eastAsia" w:ascii="宋体" w:hAnsi="宋体" w:eastAsia="宋体" w:cs="Times New Roman"/>
          <w:color w:val="auto"/>
          <w:sz w:val="24"/>
          <w:szCs w:val="24"/>
          <w:highlight w:val="none"/>
          <w:lang w:val="zh-CN"/>
        </w:rPr>
        <w:t>________________</w:t>
      </w:r>
    </w:p>
    <w:p w14:paraId="0F9DBB56">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日期：_____年______月______日</w:t>
      </w:r>
    </w:p>
    <w:p w14:paraId="157D2A8B">
      <w:pPr>
        <w:tabs>
          <w:tab w:val="left" w:pos="5580"/>
        </w:tabs>
        <w:ind w:firstLine="480"/>
        <w:rPr>
          <w:rFonts w:ascii="宋体" w:hAnsi="宋体" w:eastAsia="宋体" w:cs="Times New Roman"/>
          <w:color w:val="auto"/>
          <w:sz w:val="24"/>
          <w:szCs w:val="20"/>
          <w:highlight w:val="none"/>
        </w:rPr>
      </w:pPr>
    </w:p>
    <w:p w14:paraId="6170F0DD">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1996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6B62B659">
            <w:pPr>
              <w:tabs>
                <w:tab w:val="left" w:pos="5580"/>
              </w:tabs>
              <w:jc w:val="left"/>
              <w:rPr>
                <w:rFonts w:ascii="宋体" w:hAnsi="宋体" w:eastAsia="宋体" w:cs="Times New Roman"/>
                <w:color w:val="auto"/>
                <w:sz w:val="24"/>
                <w:szCs w:val="20"/>
                <w:highlight w:val="none"/>
              </w:rPr>
            </w:pPr>
          </w:p>
          <w:p w14:paraId="749A1A71">
            <w:pPr>
              <w:tabs>
                <w:tab w:val="left" w:pos="5580"/>
              </w:tabs>
              <w:jc w:val="left"/>
              <w:rPr>
                <w:rFonts w:ascii="宋体" w:hAnsi="宋体" w:eastAsia="宋体" w:cs="Times New Roman"/>
                <w:color w:val="auto"/>
                <w:sz w:val="24"/>
                <w:szCs w:val="20"/>
                <w:highlight w:val="none"/>
              </w:rPr>
            </w:pPr>
          </w:p>
          <w:p w14:paraId="7E0A6F1F">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06498B56">
            <w:pPr>
              <w:tabs>
                <w:tab w:val="left" w:pos="5580"/>
              </w:tabs>
              <w:jc w:val="left"/>
              <w:rPr>
                <w:rFonts w:ascii="宋体" w:hAnsi="宋体" w:eastAsia="宋体" w:cs="Times New Roman"/>
                <w:color w:val="auto"/>
                <w:sz w:val="24"/>
                <w:szCs w:val="20"/>
                <w:highlight w:val="none"/>
              </w:rPr>
            </w:pPr>
          </w:p>
          <w:p w14:paraId="663B73A8">
            <w:pPr>
              <w:tabs>
                <w:tab w:val="left" w:pos="5580"/>
              </w:tabs>
              <w:jc w:val="left"/>
              <w:rPr>
                <w:rFonts w:ascii="宋体" w:hAnsi="宋体" w:eastAsia="宋体" w:cs="Times New Roman"/>
                <w:color w:val="auto"/>
                <w:sz w:val="24"/>
                <w:szCs w:val="20"/>
                <w:highlight w:val="none"/>
              </w:rPr>
            </w:pPr>
          </w:p>
          <w:p w14:paraId="7E17F539">
            <w:pPr>
              <w:tabs>
                <w:tab w:val="left" w:pos="5580"/>
              </w:tabs>
              <w:spacing w:line="360" w:lineRule="auto"/>
              <w:jc w:val="left"/>
              <w:rPr>
                <w:rFonts w:ascii="宋体" w:hAnsi="宋体" w:eastAsia="宋体" w:cs="Times New Roman"/>
                <w:color w:val="auto"/>
                <w:sz w:val="24"/>
                <w:szCs w:val="20"/>
                <w:highlight w:val="none"/>
              </w:rPr>
            </w:pPr>
          </w:p>
        </w:tc>
      </w:tr>
    </w:tbl>
    <w:p w14:paraId="6B67B188">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E66D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358B829C">
            <w:pPr>
              <w:tabs>
                <w:tab w:val="left" w:pos="5580"/>
              </w:tabs>
              <w:jc w:val="left"/>
              <w:rPr>
                <w:rFonts w:ascii="宋体" w:hAnsi="宋体" w:eastAsia="宋体" w:cs="Times New Roman"/>
                <w:color w:val="auto"/>
                <w:sz w:val="24"/>
                <w:szCs w:val="20"/>
                <w:highlight w:val="none"/>
              </w:rPr>
            </w:pPr>
          </w:p>
          <w:p w14:paraId="12DDA6CC">
            <w:pPr>
              <w:tabs>
                <w:tab w:val="left" w:pos="5580"/>
              </w:tabs>
              <w:jc w:val="left"/>
              <w:rPr>
                <w:rFonts w:ascii="宋体" w:hAnsi="宋体" w:eastAsia="宋体" w:cs="Times New Roman"/>
                <w:color w:val="auto"/>
                <w:sz w:val="24"/>
                <w:szCs w:val="20"/>
                <w:highlight w:val="none"/>
              </w:rPr>
            </w:pPr>
          </w:p>
          <w:p w14:paraId="773CAC28">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7C60479C">
            <w:pPr>
              <w:tabs>
                <w:tab w:val="left" w:pos="5580"/>
              </w:tabs>
              <w:jc w:val="left"/>
              <w:rPr>
                <w:rFonts w:ascii="宋体" w:hAnsi="宋体" w:eastAsia="宋体" w:cs="Times New Roman"/>
                <w:color w:val="auto"/>
                <w:sz w:val="24"/>
                <w:szCs w:val="20"/>
                <w:highlight w:val="none"/>
              </w:rPr>
            </w:pPr>
          </w:p>
          <w:p w14:paraId="6EECF016">
            <w:pPr>
              <w:tabs>
                <w:tab w:val="left" w:pos="5580"/>
              </w:tabs>
              <w:jc w:val="left"/>
              <w:rPr>
                <w:rFonts w:ascii="宋体" w:hAnsi="宋体" w:eastAsia="宋体" w:cs="Times New Roman"/>
                <w:color w:val="auto"/>
                <w:sz w:val="24"/>
                <w:szCs w:val="20"/>
                <w:highlight w:val="none"/>
              </w:rPr>
            </w:pPr>
          </w:p>
          <w:p w14:paraId="7A662442">
            <w:pPr>
              <w:tabs>
                <w:tab w:val="left" w:pos="5580"/>
              </w:tabs>
              <w:spacing w:line="360" w:lineRule="auto"/>
              <w:jc w:val="left"/>
              <w:rPr>
                <w:rFonts w:ascii="宋体" w:hAnsi="宋体" w:eastAsia="宋体" w:cs="Times New Roman"/>
                <w:color w:val="auto"/>
                <w:sz w:val="24"/>
                <w:szCs w:val="20"/>
                <w:highlight w:val="none"/>
              </w:rPr>
            </w:pPr>
          </w:p>
        </w:tc>
      </w:tr>
    </w:tbl>
    <w:p w14:paraId="313C2B6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66A22A5A">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1.若供应商为事业单位或其他组织或分支机构（仅当招标文件注明允许分支机构投标的），则法定代表人（单位负责人）处的签署人可为单位负责人。</w:t>
      </w:r>
    </w:p>
    <w:p w14:paraId="6E4756CE">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2.若投标文件中签字之处均为法定代表人（单位负责人）本人签署，则可不提供本《授权委托书》，但须提供《法定代表人（单位负责人）身份证明》。</w:t>
      </w:r>
    </w:p>
    <w:p w14:paraId="5E7F6E25">
      <w:pPr>
        <w:spacing w:line="360" w:lineRule="auto"/>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3.供应商为自然人的情形，可不提供本《授权委托书》。</w:t>
      </w:r>
    </w:p>
    <w:p w14:paraId="5862CF06">
      <w:pPr>
        <w:keepNext/>
        <w:spacing w:line="360" w:lineRule="auto"/>
        <w:outlineLvl w:val="1"/>
        <w:rPr>
          <w:rFonts w:ascii="Times New Roman" w:hAnsi="Times New Roman" w:eastAsia="黑体" w:cs="Times New Roman"/>
          <w:bCs/>
          <w:color w:val="auto"/>
          <w:sz w:val="32"/>
          <w:szCs w:val="21"/>
          <w:highlight w:val="none"/>
        </w:rPr>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格式9、商务条款偏离表</w:t>
      </w:r>
    </w:p>
    <w:p w14:paraId="692E676F">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64A3DB4F">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140F6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vAlign w:val="center"/>
          </w:tcPr>
          <w:p w14:paraId="7D44303F">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1091" w:type="dxa"/>
            <w:noWrap w:val="0"/>
            <w:vAlign w:val="center"/>
          </w:tcPr>
          <w:p w14:paraId="0EF21332">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条款</w:t>
            </w:r>
          </w:p>
        </w:tc>
        <w:tc>
          <w:tcPr>
            <w:tcW w:w="1559" w:type="dxa"/>
            <w:noWrap w:val="0"/>
            <w:vAlign w:val="center"/>
          </w:tcPr>
          <w:p w14:paraId="002C5BBB">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采购请求</w:t>
            </w:r>
          </w:p>
        </w:tc>
        <w:tc>
          <w:tcPr>
            <w:tcW w:w="1938" w:type="dxa"/>
            <w:noWrap w:val="0"/>
            <w:vAlign w:val="center"/>
          </w:tcPr>
          <w:p w14:paraId="12F418E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投标响应请求</w:t>
            </w:r>
          </w:p>
        </w:tc>
        <w:tc>
          <w:tcPr>
            <w:tcW w:w="2031" w:type="dxa"/>
            <w:noWrap w:val="0"/>
            <w:vAlign w:val="center"/>
          </w:tcPr>
          <w:p w14:paraId="03A6C9F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偏离情况</w:t>
            </w:r>
          </w:p>
        </w:tc>
        <w:tc>
          <w:tcPr>
            <w:tcW w:w="1655" w:type="dxa"/>
            <w:noWrap w:val="0"/>
            <w:vAlign w:val="center"/>
          </w:tcPr>
          <w:p w14:paraId="5AD2A7F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偏离说明</w:t>
            </w:r>
          </w:p>
        </w:tc>
      </w:tr>
      <w:tr w14:paraId="337D4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2ABD773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1091" w:type="dxa"/>
            <w:noWrap w:val="0"/>
          </w:tcPr>
          <w:p w14:paraId="109B524E">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0DFB850">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74AF220E">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56191B2">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325B9C0B">
            <w:pPr>
              <w:spacing w:line="360" w:lineRule="auto"/>
              <w:jc w:val="center"/>
              <w:rPr>
                <w:rFonts w:cs="宋体" w:asciiTheme="minorEastAsia" w:hAnsiTheme="minorEastAsia"/>
                <w:bCs/>
                <w:color w:val="auto"/>
                <w:sz w:val="24"/>
                <w:szCs w:val="24"/>
                <w:highlight w:val="none"/>
                <w:lang w:val="zh-CN"/>
              </w:rPr>
            </w:pPr>
          </w:p>
        </w:tc>
      </w:tr>
      <w:tr w14:paraId="623DA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1237873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1091" w:type="dxa"/>
            <w:noWrap w:val="0"/>
          </w:tcPr>
          <w:p w14:paraId="38FC175F">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4802346A">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098690BC">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05E16EA">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2D2D5552">
            <w:pPr>
              <w:spacing w:line="360" w:lineRule="auto"/>
              <w:jc w:val="center"/>
              <w:rPr>
                <w:rFonts w:cs="宋体" w:asciiTheme="minorEastAsia" w:hAnsiTheme="minorEastAsia"/>
                <w:bCs/>
                <w:color w:val="auto"/>
                <w:sz w:val="24"/>
                <w:szCs w:val="24"/>
                <w:highlight w:val="none"/>
                <w:lang w:val="zh-CN"/>
              </w:rPr>
            </w:pPr>
          </w:p>
        </w:tc>
      </w:tr>
      <w:tr w14:paraId="34E61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62D1AC4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1091" w:type="dxa"/>
            <w:noWrap w:val="0"/>
          </w:tcPr>
          <w:p w14:paraId="1E5135FF">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B1DB19D">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4CA2F0BF">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5D2F4AF5">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2759A159">
            <w:pPr>
              <w:spacing w:line="360" w:lineRule="auto"/>
              <w:jc w:val="center"/>
              <w:rPr>
                <w:rFonts w:cs="宋体" w:asciiTheme="minorEastAsia" w:hAnsiTheme="minorEastAsia"/>
                <w:bCs/>
                <w:color w:val="auto"/>
                <w:sz w:val="24"/>
                <w:szCs w:val="24"/>
                <w:highlight w:val="none"/>
                <w:lang w:val="zh-CN"/>
              </w:rPr>
            </w:pPr>
          </w:p>
        </w:tc>
      </w:tr>
      <w:tr w14:paraId="01F6D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6D93987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1091" w:type="dxa"/>
            <w:noWrap w:val="0"/>
          </w:tcPr>
          <w:p w14:paraId="1F36873D">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47F871E7">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579511E8">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7F6AC535">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25AD884A">
            <w:pPr>
              <w:spacing w:line="360" w:lineRule="auto"/>
              <w:jc w:val="center"/>
              <w:rPr>
                <w:rFonts w:cs="宋体" w:asciiTheme="minorEastAsia" w:hAnsiTheme="minorEastAsia"/>
                <w:bCs/>
                <w:color w:val="auto"/>
                <w:sz w:val="24"/>
                <w:szCs w:val="24"/>
                <w:highlight w:val="none"/>
                <w:lang w:val="zh-CN"/>
              </w:rPr>
            </w:pPr>
          </w:p>
        </w:tc>
      </w:tr>
      <w:tr w14:paraId="7415A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5743893B">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1091" w:type="dxa"/>
            <w:noWrap w:val="0"/>
          </w:tcPr>
          <w:p w14:paraId="04D10A7C">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4488862A">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1495EA93">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13AAE54E">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5EBB0EED">
            <w:pPr>
              <w:spacing w:line="360" w:lineRule="auto"/>
              <w:jc w:val="center"/>
              <w:rPr>
                <w:rFonts w:cs="宋体" w:asciiTheme="minorEastAsia" w:hAnsiTheme="minorEastAsia"/>
                <w:bCs/>
                <w:color w:val="auto"/>
                <w:sz w:val="24"/>
                <w:szCs w:val="24"/>
                <w:highlight w:val="none"/>
                <w:lang w:val="zh-CN"/>
              </w:rPr>
            </w:pPr>
          </w:p>
        </w:tc>
      </w:tr>
    </w:tbl>
    <w:p w14:paraId="3EA2CB0F">
      <w:pPr>
        <w:spacing w:line="360" w:lineRule="auto"/>
        <w:ind w:firstLine="480"/>
        <w:rPr>
          <w:rFonts w:ascii="宋体" w:hAnsi="宋体" w:eastAsia="宋体" w:cs="Times New Roman"/>
          <w:color w:val="auto"/>
          <w:sz w:val="24"/>
          <w:szCs w:val="24"/>
          <w:highlight w:val="none"/>
        </w:rPr>
      </w:pPr>
    </w:p>
    <w:p w14:paraId="5503A3A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A8C401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417558F8">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1E35ACA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1625739B">
      <w:pPr>
        <w:spacing w:line="600" w:lineRule="exact"/>
        <w:ind w:firstLine="420"/>
        <w:rPr>
          <w:rFonts w:ascii="宋体" w:hAnsi="宋体" w:eastAsia="宋体" w:cs="Times New Roman"/>
          <w:color w:val="auto"/>
          <w:szCs w:val="20"/>
          <w:highlight w:val="none"/>
        </w:rPr>
      </w:pPr>
    </w:p>
    <w:p w14:paraId="1FC76C35">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594A33F8">
      <w:pPr>
        <w:keepNext/>
        <w:spacing w:line="360" w:lineRule="auto"/>
        <w:jc w:val="left"/>
        <w:outlineLvl w:val="1"/>
        <w:rPr>
          <w:rFonts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格式10、技术参数偏离表</w:t>
      </w:r>
    </w:p>
    <w:p w14:paraId="0F1B6A5E">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技术参数</w:t>
      </w:r>
      <w:r>
        <w:rPr>
          <w:rFonts w:hint="eastAsia" w:ascii="黑体" w:hAnsi="黑体" w:eastAsia="黑体" w:cs="宋体"/>
          <w:bCs/>
          <w:color w:val="auto"/>
          <w:sz w:val="36"/>
          <w:szCs w:val="28"/>
          <w:highlight w:val="none"/>
        </w:rPr>
        <w:t>偏离表</w:t>
      </w:r>
    </w:p>
    <w:tbl>
      <w:tblPr>
        <w:tblStyle w:val="46"/>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8"/>
        <w:gridCol w:w="1824"/>
        <w:gridCol w:w="2716"/>
        <w:gridCol w:w="1930"/>
        <w:gridCol w:w="1248"/>
        <w:gridCol w:w="1540"/>
      </w:tblGrid>
      <w:tr w14:paraId="3946E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vAlign w:val="center"/>
          </w:tcPr>
          <w:p w14:paraId="4EE004CC">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序号</w:t>
            </w:r>
          </w:p>
        </w:tc>
        <w:tc>
          <w:tcPr>
            <w:tcW w:w="1824" w:type="dxa"/>
            <w:noWrap w:val="0"/>
            <w:vAlign w:val="center"/>
          </w:tcPr>
          <w:p w14:paraId="30722866">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技术参数要求（逐条填写）</w:t>
            </w:r>
          </w:p>
        </w:tc>
        <w:tc>
          <w:tcPr>
            <w:tcW w:w="2716" w:type="dxa"/>
            <w:noWrap w:val="0"/>
            <w:vAlign w:val="center"/>
          </w:tcPr>
          <w:p w14:paraId="5ECAE77F">
            <w:pPr>
              <w:spacing w:line="400" w:lineRule="exact"/>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投标实际参数</w:t>
            </w:r>
            <w:r>
              <w:rPr>
                <w:rFonts w:hint="eastAsia" w:cs="Times New Roman" w:asciiTheme="minorEastAsia" w:hAnsiTheme="minorEastAsia"/>
                <w:bCs/>
                <w:color w:val="auto"/>
                <w:sz w:val="24"/>
                <w:szCs w:val="24"/>
                <w:highlight w:val="none"/>
              </w:rPr>
              <w:t>(投标人应按投标实际数据填写，不能照抄招标要求)</w:t>
            </w:r>
          </w:p>
        </w:tc>
        <w:tc>
          <w:tcPr>
            <w:tcW w:w="1930" w:type="dxa"/>
            <w:noWrap w:val="0"/>
            <w:vAlign w:val="center"/>
          </w:tcPr>
          <w:p w14:paraId="43701116">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是否偏离</w:t>
            </w:r>
          </w:p>
          <w:p w14:paraId="6F294A5E">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（无偏离/正偏离/负偏离）</w:t>
            </w:r>
          </w:p>
        </w:tc>
        <w:tc>
          <w:tcPr>
            <w:tcW w:w="1248" w:type="dxa"/>
            <w:noWrap w:val="0"/>
            <w:vAlign w:val="center"/>
          </w:tcPr>
          <w:p w14:paraId="61F60A70">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偏离说明</w:t>
            </w:r>
          </w:p>
        </w:tc>
        <w:tc>
          <w:tcPr>
            <w:tcW w:w="1540" w:type="dxa"/>
            <w:noWrap w:val="0"/>
            <w:vAlign w:val="center"/>
          </w:tcPr>
          <w:p w14:paraId="3AB83D1E">
            <w:pPr>
              <w:spacing w:line="400" w:lineRule="exact"/>
              <w:jc w:val="center"/>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参数证明材料内容及所在位置</w:t>
            </w:r>
          </w:p>
        </w:tc>
      </w:tr>
      <w:tr w14:paraId="3E8AF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tcPr>
          <w:p w14:paraId="1D3BFB7F">
            <w:pPr>
              <w:spacing w:line="360" w:lineRule="auto"/>
              <w:jc w:val="left"/>
              <w:rPr>
                <w:rFonts w:cs="宋体" w:asciiTheme="minorEastAsia" w:hAnsiTheme="minorEastAsia"/>
                <w:b/>
                <w:bCs/>
                <w:color w:val="auto"/>
                <w:sz w:val="24"/>
                <w:szCs w:val="24"/>
                <w:highlight w:val="none"/>
                <w:lang w:val="zh-CN"/>
              </w:rPr>
            </w:pPr>
          </w:p>
        </w:tc>
        <w:tc>
          <w:tcPr>
            <w:tcW w:w="1824" w:type="dxa"/>
            <w:noWrap w:val="0"/>
          </w:tcPr>
          <w:p w14:paraId="25C962BD">
            <w:pPr>
              <w:spacing w:line="360" w:lineRule="auto"/>
              <w:jc w:val="left"/>
              <w:rPr>
                <w:rFonts w:cs="宋体" w:asciiTheme="minorEastAsia" w:hAnsiTheme="minorEastAsia"/>
                <w:b/>
                <w:bCs/>
                <w:color w:val="auto"/>
                <w:sz w:val="24"/>
                <w:szCs w:val="24"/>
                <w:highlight w:val="none"/>
                <w:lang w:val="zh-CN"/>
              </w:rPr>
            </w:pPr>
          </w:p>
        </w:tc>
        <w:tc>
          <w:tcPr>
            <w:tcW w:w="2716" w:type="dxa"/>
            <w:noWrap w:val="0"/>
          </w:tcPr>
          <w:p w14:paraId="775EAF4E">
            <w:pPr>
              <w:spacing w:line="360" w:lineRule="auto"/>
              <w:jc w:val="left"/>
              <w:rPr>
                <w:rFonts w:cs="宋体" w:asciiTheme="minorEastAsia" w:hAnsiTheme="minorEastAsia"/>
                <w:b/>
                <w:bCs/>
                <w:color w:val="auto"/>
                <w:sz w:val="24"/>
                <w:szCs w:val="24"/>
                <w:highlight w:val="none"/>
                <w:lang w:val="zh-CN"/>
              </w:rPr>
            </w:pPr>
          </w:p>
        </w:tc>
        <w:tc>
          <w:tcPr>
            <w:tcW w:w="1930" w:type="dxa"/>
            <w:noWrap w:val="0"/>
          </w:tcPr>
          <w:p w14:paraId="42A1619E">
            <w:pPr>
              <w:spacing w:line="360" w:lineRule="auto"/>
              <w:jc w:val="left"/>
              <w:rPr>
                <w:rFonts w:cs="宋体" w:asciiTheme="minorEastAsia" w:hAnsiTheme="minorEastAsia"/>
                <w:b/>
                <w:bCs/>
                <w:color w:val="auto"/>
                <w:sz w:val="24"/>
                <w:szCs w:val="24"/>
                <w:highlight w:val="none"/>
                <w:lang w:val="zh-CN"/>
              </w:rPr>
            </w:pPr>
          </w:p>
        </w:tc>
        <w:tc>
          <w:tcPr>
            <w:tcW w:w="1248" w:type="dxa"/>
            <w:noWrap w:val="0"/>
          </w:tcPr>
          <w:p w14:paraId="69F9843C">
            <w:pPr>
              <w:spacing w:line="360" w:lineRule="auto"/>
              <w:jc w:val="left"/>
              <w:rPr>
                <w:rFonts w:cs="宋体" w:asciiTheme="minorEastAsia" w:hAnsiTheme="minorEastAsia"/>
                <w:b/>
                <w:bCs/>
                <w:color w:val="auto"/>
                <w:sz w:val="24"/>
                <w:szCs w:val="24"/>
                <w:highlight w:val="none"/>
                <w:lang w:val="zh-CN"/>
              </w:rPr>
            </w:pPr>
          </w:p>
        </w:tc>
        <w:tc>
          <w:tcPr>
            <w:tcW w:w="1540" w:type="dxa"/>
            <w:noWrap w:val="0"/>
          </w:tcPr>
          <w:p w14:paraId="2E68A0BD">
            <w:pPr>
              <w:spacing w:line="360" w:lineRule="auto"/>
              <w:jc w:val="left"/>
              <w:rPr>
                <w:rFonts w:cs="宋体" w:asciiTheme="minorEastAsia" w:hAnsiTheme="minorEastAsia"/>
                <w:b/>
                <w:bCs/>
                <w:color w:val="auto"/>
                <w:sz w:val="24"/>
                <w:szCs w:val="24"/>
                <w:highlight w:val="none"/>
                <w:lang w:val="zh-CN"/>
              </w:rPr>
            </w:pPr>
          </w:p>
        </w:tc>
      </w:tr>
      <w:tr w14:paraId="5AD86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tcPr>
          <w:p w14:paraId="45020C2C">
            <w:pPr>
              <w:spacing w:line="360" w:lineRule="auto"/>
              <w:jc w:val="left"/>
              <w:rPr>
                <w:rFonts w:cs="宋体" w:asciiTheme="minorEastAsia" w:hAnsiTheme="minorEastAsia"/>
                <w:b/>
                <w:bCs/>
                <w:color w:val="auto"/>
                <w:sz w:val="24"/>
                <w:szCs w:val="24"/>
                <w:highlight w:val="none"/>
                <w:lang w:val="zh-CN"/>
              </w:rPr>
            </w:pPr>
          </w:p>
        </w:tc>
        <w:tc>
          <w:tcPr>
            <w:tcW w:w="1824" w:type="dxa"/>
            <w:noWrap w:val="0"/>
          </w:tcPr>
          <w:p w14:paraId="5F5F50D1">
            <w:pPr>
              <w:spacing w:line="360" w:lineRule="auto"/>
              <w:jc w:val="left"/>
              <w:rPr>
                <w:rFonts w:cs="宋体" w:asciiTheme="minorEastAsia" w:hAnsiTheme="minorEastAsia"/>
                <w:b/>
                <w:bCs/>
                <w:color w:val="auto"/>
                <w:sz w:val="24"/>
                <w:szCs w:val="24"/>
                <w:highlight w:val="none"/>
                <w:lang w:val="zh-CN"/>
              </w:rPr>
            </w:pPr>
          </w:p>
        </w:tc>
        <w:tc>
          <w:tcPr>
            <w:tcW w:w="2716" w:type="dxa"/>
            <w:noWrap w:val="0"/>
          </w:tcPr>
          <w:p w14:paraId="6DE012F0">
            <w:pPr>
              <w:spacing w:line="360" w:lineRule="auto"/>
              <w:jc w:val="left"/>
              <w:rPr>
                <w:rFonts w:cs="宋体" w:asciiTheme="minorEastAsia" w:hAnsiTheme="minorEastAsia"/>
                <w:b/>
                <w:bCs/>
                <w:color w:val="auto"/>
                <w:sz w:val="24"/>
                <w:szCs w:val="24"/>
                <w:highlight w:val="none"/>
                <w:lang w:val="zh-CN"/>
              </w:rPr>
            </w:pPr>
          </w:p>
        </w:tc>
        <w:tc>
          <w:tcPr>
            <w:tcW w:w="1930" w:type="dxa"/>
            <w:noWrap w:val="0"/>
          </w:tcPr>
          <w:p w14:paraId="737C194B">
            <w:pPr>
              <w:spacing w:line="360" w:lineRule="auto"/>
              <w:jc w:val="left"/>
              <w:rPr>
                <w:rFonts w:cs="宋体" w:asciiTheme="minorEastAsia" w:hAnsiTheme="minorEastAsia"/>
                <w:b/>
                <w:bCs/>
                <w:color w:val="auto"/>
                <w:sz w:val="24"/>
                <w:szCs w:val="24"/>
                <w:highlight w:val="none"/>
                <w:lang w:val="zh-CN"/>
              </w:rPr>
            </w:pPr>
          </w:p>
        </w:tc>
        <w:tc>
          <w:tcPr>
            <w:tcW w:w="1248" w:type="dxa"/>
            <w:noWrap w:val="0"/>
          </w:tcPr>
          <w:p w14:paraId="6E9A2185">
            <w:pPr>
              <w:spacing w:line="360" w:lineRule="auto"/>
              <w:jc w:val="left"/>
              <w:rPr>
                <w:rFonts w:cs="宋体" w:asciiTheme="minorEastAsia" w:hAnsiTheme="minorEastAsia"/>
                <w:b/>
                <w:bCs/>
                <w:color w:val="auto"/>
                <w:sz w:val="24"/>
                <w:szCs w:val="24"/>
                <w:highlight w:val="none"/>
                <w:lang w:val="zh-CN"/>
              </w:rPr>
            </w:pPr>
          </w:p>
        </w:tc>
        <w:tc>
          <w:tcPr>
            <w:tcW w:w="1540" w:type="dxa"/>
            <w:noWrap w:val="0"/>
          </w:tcPr>
          <w:p w14:paraId="70297BEA">
            <w:pPr>
              <w:spacing w:line="360" w:lineRule="auto"/>
              <w:jc w:val="left"/>
              <w:rPr>
                <w:rFonts w:cs="宋体" w:asciiTheme="minorEastAsia" w:hAnsiTheme="minorEastAsia"/>
                <w:b/>
                <w:bCs/>
                <w:color w:val="auto"/>
                <w:sz w:val="24"/>
                <w:szCs w:val="24"/>
                <w:highlight w:val="none"/>
                <w:lang w:val="zh-CN"/>
              </w:rPr>
            </w:pPr>
          </w:p>
        </w:tc>
      </w:tr>
      <w:tr w14:paraId="54C88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tcPr>
          <w:p w14:paraId="3BAADC1E">
            <w:pPr>
              <w:spacing w:line="360" w:lineRule="auto"/>
              <w:jc w:val="left"/>
              <w:rPr>
                <w:rFonts w:cs="宋体" w:asciiTheme="minorEastAsia" w:hAnsiTheme="minorEastAsia"/>
                <w:b/>
                <w:bCs/>
                <w:color w:val="auto"/>
                <w:sz w:val="24"/>
                <w:szCs w:val="24"/>
                <w:highlight w:val="none"/>
                <w:lang w:val="zh-CN"/>
              </w:rPr>
            </w:pPr>
          </w:p>
        </w:tc>
        <w:tc>
          <w:tcPr>
            <w:tcW w:w="1824" w:type="dxa"/>
            <w:noWrap w:val="0"/>
          </w:tcPr>
          <w:p w14:paraId="62E4203E">
            <w:pPr>
              <w:spacing w:line="360" w:lineRule="auto"/>
              <w:jc w:val="left"/>
              <w:rPr>
                <w:rFonts w:cs="宋体" w:asciiTheme="minorEastAsia" w:hAnsiTheme="minorEastAsia"/>
                <w:b/>
                <w:bCs/>
                <w:color w:val="auto"/>
                <w:sz w:val="24"/>
                <w:szCs w:val="24"/>
                <w:highlight w:val="none"/>
                <w:lang w:val="zh-CN"/>
              </w:rPr>
            </w:pPr>
          </w:p>
        </w:tc>
        <w:tc>
          <w:tcPr>
            <w:tcW w:w="2716" w:type="dxa"/>
            <w:noWrap w:val="0"/>
          </w:tcPr>
          <w:p w14:paraId="085306BF">
            <w:pPr>
              <w:spacing w:line="360" w:lineRule="auto"/>
              <w:jc w:val="left"/>
              <w:rPr>
                <w:rFonts w:cs="宋体" w:asciiTheme="minorEastAsia" w:hAnsiTheme="minorEastAsia"/>
                <w:b/>
                <w:bCs/>
                <w:color w:val="auto"/>
                <w:sz w:val="24"/>
                <w:szCs w:val="24"/>
                <w:highlight w:val="none"/>
                <w:lang w:val="zh-CN"/>
              </w:rPr>
            </w:pPr>
          </w:p>
        </w:tc>
        <w:tc>
          <w:tcPr>
            <w:tcW w:w="1930" w:type="dxa"/>
            <w:noWrap w:val="0"/>
          </w:tcPr>
          <w:p w14:paraId="6C157615">
            <w:pPr>
              <w:spacing w:line="360" w:lineRule="auto"/>
              <w:jc w:val="left"/>
              <w:rPr>
                <w:rFonts w:cs="宋体" w:asciiTheme="minorEastAsia" w:hAnsiTheme="minorEastAsia"/>
                <w:b/>
                <w:bCs/>
                <w:color w:val="auto"/>
                <w:sz w:val="24"/>
                <w:szCs w:val="24"/>
                <w:highlight w:val="none"/>
                <w:lang w:val="zh-CN"/>
              </w:rPr>
            </w:pPr>
          </w:p>
        </w:tc>
        <w:tc>
          <w:tcPr>
            <w:tcW w:w="1248" w:type="dxa"/>
            <w:noWrap w:val="0"/>
          </w:tcPr>
          <w:p w14:paraId="71275C6E">
            <w:pPr>
              <w:spacing w:line="360" w:lineRule="auto"/>
              <w:jc w:val="left"/>
              <w:rPr>
                <w:rFonts w:cs="宋体" w:asciiTheme="minorEastAsia" w:hAnsiTheme="minorEastAsia"/>
                <w:b/>
                <w:bCs/>
                <w:color w:val="auto"/>
                <w:sz w:val="24"/>
                <w:szCs w:val="24"/>
                <w:highlight w:val="none"/>
                <w:lang w:val="zh-CN"/>
              </w:rPr>
            </w:pPr>
          </w:p>
        </w:tc>
        <w:tc>
          <w:tcPr>
            <w:tcW w:w="1540" w:type="dxa"/>
            <w:noWrap w:val="0"/>
          </w:tcPr>
          <w:p w14:paraId="63ACBD73">
            <w:pPr>
              <w:spacing w:line="360" w:lineRule="auto"/>
              <w:jc w:val="left"/>
              <w:rPr>
                <w:rFonts w:cs="宋体" w:asciiTheme="minorEastAsia" w:hAnsiTheme="minorEastAsia"/>
                <w:b/>
                <w:bCs/>
                <w:color w:val="auto"/>
                <w:sz w:val="24"/>
                <w:szCs w:val="24"/>
                <w:highlight w:val="none"/>
                <w:lang w:val="zh-CN"/>
              </w:rPr>
            </w:pPr>
          </w:p>
        </w:tc>
      </w:tr>
      <w:tr w14:paraId="05395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tcPr>
          <w:p w14:paraId="4CA9DD0E">
            <w:pPr>
              <w:spacing w:line="360" w:lineRule="auto"/>
              <w:jc w:val="left"/>
              <w:rPr>
                <w:rFonts w:cs="宋体" w:asciiTheme="minorEastAsia" w:hAnsiTheme="minorEastAsia"/>
                <w:b/>
                <w:bCs/>
                <w:color w:val="auto"/>
                <w:sz w:val="24"/>
                <w:szCs w:val="24"/>
                <w:highlight w:val="none"/>
                <w:lang w:val="zh-CN"/>
              </w:rPr>
            </w:pPr>
          </w:p>
        </w:tc>
        <w:tc>
          <w:tcPr>
            <w:tcW w:w="1824" w:type="dxa"/>
            <w:noWrap w:val="0"/>
          </w:tcPr>
          <w:p w14:paraId="418343D1">
            <w:pPr>
              <w:spacing w:line="360" w:lineRule="auto"/>
              <w:jc w:val="left"/>
              <w:rPr>
                <w:rFonts w:cs="宋体" w:asciiTheme="minorEastAsia" w:hAnsiTheme="minorEastAsia"/>
                <w:b/>
                <w:bCs/>
                <w:color w:val="auto"/>
                <w:sz w:val="24"/>
                <w:szCs w:val="24"/>
                <w:highlight w:val="none"/>
                <w:lang w:val="zh-CN"/>
              </w:rPr>
            </w:pPr>
          </w:p>
        </w:tc>
        <w:tc>
          <w:tcPr>
            <w:tcW w:w="2716" w:type="dxa"/>
            <w:noWrap w:val="0"/>
          </w:tcPr>
          <w:p w14:paraId="475DE0AB">
            <w:pPr>
              <w:spacing w:line="360" w:lineRule="auto"/>
              <w:jc w:val="left"/>
              <w:rPr>
                <w:rFonts w:cs="宋体" w:asciiTheme="minorEastAsia" w:hAnsiTheme="minorEastAsia"/>
                <w:b/>
                <w:bCs/>
                <w:color w:val="auto"/>
                <w:sz w:val="24"/>
                <w:szCs w:val="24"/>
                <w:highlight w:val="none"/>
                <w:lang w:val="zh-CN"/>
              </w:rPr>
            </w:pPr>
          </w:p>
        </w:tc>
        <w:tc>
          <w:tcPr>
            <w:tcW w:w="1930" w:type="dxa"/>
            <w:noWrap w:val="0"/>
          </w:tcPr>
          <w:p w14:paraId="4A1E9B28">
            <w:pPr>
              <w:spacing w:line="360" w:lineRule="auto"/>
              <w:jc w:val="left"/>
              <w:rPr>
                <w:rFonts w:cs="宋体" w:asciiTheme="minorEastAsia" w:hAnsiTheme="minorEastAsia"/>
                <w:b/>
                <w:bCs/>
                <w:color w:val="auto"/>
                <w:sz w:val="24"/>
                <w:szCs w:val="24"/>
                <w:highlight w:val="none"/>
                <w:lang w:val="zh-CN"/>
              </w:rPr>
            </w:pPr>
          </w:p>
        </w:tc>
        <w:tc>
          <w:tcPr>
            <w:tcW w:w="1248" w:type="dxa"/>
            <w:noWrap w:val="0"/>
          </w:tcPr>
          <w:p w14:paraId="2E4586D0">
            <w:pPr>
              <w:spacing w:line="360" w:lineRule="auto"/>
              <w:jc w:val="left"/>
              <w:rPr>
                <w:rFonts w:cs="宋体" w:asciiTheme="minorEastAsia" w:hAnsiTheme="minorEastAsia"/>
                <w:b/>
                <w:bCs/>
                <w:color w:val="auto"/>
                <w:sz w:val="24"/>
                <w:szCs w:val="24"/>
                <w:highlight w:val="none"/>
                <w:lang w:val="zh-CN"/>
              </w:rPr>
            </w:pPr>
          </w:p>
        </w:tc>
        <w:tc>
          <w:tcPr>
            <w:tcW w:w="1540" w:type="dxa"/>
            <w:noWrap w:val="0"/>
          </w:tcPr>
          <w:p w14:paraId="47FC3669">
            <w:pPr>
              <w:spacing w:line="360" w:lineRule="auto"/>
              <w:jc w:val="left"/>
              <w:rPr>
                <w:rFonts w:cs="宋体" w:asciiTheme="minorEastAsia" w:hAnsiTheme="minorEastAsia"/>
                <w:b/>
                <w:bCs/>
                <w:color w:val="auto"/>
                <w:sz w:val="24"/>
                <w:szCs w:val="24"/>
                <w:highlight w:val="none"/>
                <w:lang w:val="zh-CN"/>
              </w:rPr>
            </w:pPr>
          </w:p>
        </w:tc>
      </w:tr>
      <w:tr w14:paraId="09452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8" w:type="dxa"/>
            <w:noWrap w:val="0"/>
          </w:tcPr>
          <w:p w14:paraId="7E7D5BD5">
            <w:pPr>
              <w:spacing w:line="360" w:lineRule="auto"/>
              <w:jc w:val="left"/>
              <w:rPr>
                <w:rFonts w:cs="宋体" w:asciiTheme="minorEastAsia" w:hAnsiTheme="minorEastAsia"/>
                <w:b/>
                <w:bCs/>
                <w:color w:val="auto"/>
                <w:sz w:val="24"/>
                <w:szCs w:val="24"/>
                <w:highlight w:val="none"/>
                <w:lang w:val="zh-CN"/>
              </w:rPr>
            </w:pPr>
          </w:p>
        </w:tc>
        <w:tc>
          <w:tcPr>
            <w:tcW w:w="1824" w:type="dxa"/>
            <w:noWrap w:val="0"/>
          </w:tcPr>
          <w:p w14:paraId="3E5856D7">
            <w:pPr>
              <w:spacing w:line="360" w:lineRule="auto"/>
              <w:jc w:val="left"/>
              <w:rPr>
                <w:rFonts w:cs="宋体" w:asciiTheme="minorEastAsia" w:hAnsiTheme="minorEastAsia"/>
                <w:b/>
                <w:bCs/>
                <w:color w:val="auto"/>
                <w:sz w:val="24"/>
                <w:szCs w:val="24"/>
                <w:highlight w:val="none"/>
                <w:lang w:val="zh-CN"/>
              </w:rPr>
            </w:pPr>
          </w:p>
        </w:tc>
        <w:tc>
          <w:tcPr>
            <w:tcW w:w="2716" w:type="dxa"/>
            <w:noWrap w:val="0"/>
          </w:tcPr>
          <w:p w14:paraId="7512D919">
            <w:pPr>
              <w:spacing w:line="360" w:lineRule="auto"/>
              <w:jc w:val="left"/>
              <w:rPr>
                <w:rFonts w:cs="宋体" w:asciiTheme="minorEastAsia" w:hAnsiTheme="minorEastAsia"/>
                <w:b/>
                <w:bCs/>
                <w:color w:val="auto"/>
                <w:sz w:val="24"/>
                <w:szCs w:val="24"/>
                <w:highlight w:val="none"/>
                <w:lang w:val="zh-CN"/>
              </w:rPr>
            </w:pPr>
          </w:p>
        </w:tc>
        <w:tc>
          <w:tcPr>
            <w:tcW w:w="1930" w:type="dxa"/>
            <w:noWrap w:val="0"/>
          </w:tcPr>
          <w:p w14:paraId="0F4416F8">
            <w:pPr>
              <w:spacing w:line="360" w:lineRule="auto"/>
              <w:jc w:val="left"/>
              <w:rPr>
                <w:rFonts w:cs="宋体" w:asciiTheme="minorEastAsia" w:hAnsiTheme="minorEastAsia"/>
                <w:b/>
                <w:bCs/>
                <w:color w:val="auto"/>
                <w:sz w:val="24"/>
                <w:szCs w:val="24"/>
                <w:highlight w:val="none"/>
                <w:lang w:val="zh-CN"/>
              </w:rPr>
            </w:pPr>
          </w:p>
        </w:tc>
        <w:tc>
          <w:tcPr>
            <w:tcW w:w="1248" w:type="dxa"/>
            <w:noWrap w:val="0"/>
          </w:tcPr>
          <w:p w14:paraId="4D4D6F05">
            <w:pPr>
              <w:spacing w:line="360" w:lineRule="auto"/>
              <w:jc w:val="left"/>
              <w:rPr>
                <w:rFonts w:cs="宋体" w:asciiTheme="minorEastAsia" w:hAnsiTheme="minorEastAsia"/>
                <w:b/>
                <w:bCs/>
                <w:color w:val="auto"/>
                <w:sz w:val="24"/>
                <w:szCs w:val="24"/>
                <w:highlight w:val="none"/>
                <w:lang w:val="zh-CN"/>
              </w:rPr>
            </w:pPr>
          </w:p>
        </w:tc>
        <w:tc>
          <w:tcPr>
            <w:tcW w:w="1540" w:type="dxa"/>
            <w:noWrap w:val="0"/>
          </w:tcPr>
          <w:p w14:paraId="080EBC88">
            <w:pPr>
              <w:spacing w:line="360" w:lineRule="auto"/>
              <w:jc w:val="left"/>
              <w:rPr>
                <w:rFonts w:cs="宋体" w:asciiTheme="minorEastAsia" w:hAnsiTheme="minorEastAsia"/>
                <w:b/>
                <w:bCs/>
                <w:color w:val="auto"/>
                <w:sz w:val="24"/>
                <w:szCs w:val="24"/>
                <w:highlight w:val="none"/>
                <w:lang w:val="zh-CN"/>
              </w:rPr>
            </w:pPr>
          </w:p>
        </w:tc>
      </w:tr>
    </w:tbl>
    <w:p w14:paraId="27C15229">
      <w:pPr>
        <w:spacing w:line="360" w:lineRule="auto"/>
        <w:ind w:firstLine="480"/>
        <w:rPr>
          <w:rFonts w:ascii="宋体" w:hAnsi="宋体" w:eastAsia="宋体" w:cs="Times New Roman"/>
          <w:color w:val="auto"/>
          <w:sz w:val="24"/>
          <w:szCs w:val="24"/>
          <w:highlight w:val="none"/>
        </w:rPr>
      </w:pPr>
    </w:p>
    <w:p w14:paraId="20CFDBF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501F79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18B1C2B">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格式11、售后服务承诺书</w:t>
      </w:r>
    </w:p>
    <w:p w14:paraId="07942015">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42BBD432">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22191993">
      <w:pPr>
        <w:widowControl/>
        <w:jc w:val="left"/>
        <w:rPr>
          <w:rFonts w:ascii="宋体" w:hAnsi="宋体" w:eastAsia="宋体" w:cs="Times New Roman"/>
          <w:color w:val="auto"/>
          <w:sz w:val="24"/>
          <w:szCs w:val="24"/>
          <w:highlight w:val="none"/>
        </w:rPr>
      </w:pPr>
    </w:p>
    <w:p w14:paraId="06B70509">
      <w:pPr>
        <w:spacing w:line="360" w:lineRule="auto"/>
        <w:ind w:firstLine="480"/>
        <w:rPr>
          <w:rFonts w:ascii="宋体" w:hAnsi="宋体" w:eastAsia="宋体" w:cs="Times New Roman"/>
          <w:color w:val="auto"/>
          <w:sz w:val="24"/>
          <w:szCs w:val="24"/>
          <w:highlight w:val="none"/>
        </w:rPr>
      </w:pPr>
    </w:p>
    <w:p w14:paraId="398C6EF2">
      <w:pPr>
        <w:spacing w:line="360" w:lineRule="auto"/>
        <w:ind w:firstLine="480"/>
        <w:rPr>
          <w:rFonts w:ascii="宋体" w:hAnsi="宋体" w:eastAsia="宋体" w:cs="Times New Roman"/>
          <w:color w:val="auto"/>
          <w:sz w:val="24"/>
          <w:szCs w:val="24"/>
          <w:highlight w:val="none"/>
        </w:rPr>
      </w:pPr>
    </w:p>
    <w:p w14:paraId="6A4536C4">
      <w:pPr>
        <w:spacing w:line="360" w:lineRule="auto"/>
        <w:ind w:firstLine="480"/>
        <w:rPr>
          <w:rFonts w:ascii="宋体" w:hAnsi="宋体" w:eastAsia="宋体" w:cs="Times New Roman"/>
          <w:color w:val="auto"/>
          <w:sz w:val="24"/>
          <w:szCs w:val="24"/>
          <w:highlight w:val="none"/>
        </w:rPr>
      </w:pPr>
    </w:p>
    <w:p w14:paraId="7B9A27A6">
      <w:pPr>
        <w:spacing w:line="360" w:lineRule="auto"/>
        <w:ind w:firstLine="480"/>
        <w:rPr>
          <w:rFonts w:ascii="宋体" w:hAnsi="宋体" w:eastAsia="宋体" w:cs="Times New Roman"/>
          <w:color w:val="auto"/>
          <w:sz w:val="24"/>
          <w:szCs w:val="24"/>
          <w:highlight w:val="none"/>
        </w:rPr>
      </w:pPr>
    </w:p>
    <w:p w14:paraId="5D1801EA">
      <w:pPr>
        <w:spacing w:line="360" w:lineRule="auto"/>
        <w:ind w:firstLine="480"/>
        <w:rPr>
          <w:rFonts w:ascii="宋体" w:hAnsi="宋体" w:eastAsia="宋体" w:cs="Times New Roman"/>
          <w:color w:val="auto"/>
          <w:sz w:val="24"/>
          <w:szCs w:val="24"/>
          <w:highlight w:val="none"/>
        </w:rPr>
      </w:pPr>
    </w:p>
    <w:p w14:paraId="3E781C48">
      <w:pPr>
        <w:spacing w:line="360" w:lineRule="auto"/>
        <w:ind w:firstLine="480"/>
        <w:rPr>
          <w:rFonts w:ascii="宋体" w:hAnsi="宋体" w:eastAsia="宋体" w:cs="Times New Roman"/>
          <w:color w:val="auto"/>
          <w:sz w:val="24"/>
          <w:szCs w:val="24"/>
          <w:highlight w:val="none"/>
        </w:rPr>
      </w:pPr>
    </w:p>
    <w:p w14:paraId="489E1556">
      <w:pPr>
        <w:spacing w:line="360" w:lineRule="auto"/>
        <w:ind w:firstLine="480"/>
        <w:rPr>
          <w:rFonts w:ascii="宋体" w:hAnsi="宋体" w:eastAsia="宋体" w:cs="Times New Roman"/>
          <w:color w:val="auto"/>
          <w:sz w:val="24"/>
          <w:szCs w:val="24"/>
          <w:highlight w:val="none"/>
        </w:rPr>
      </w:pPr>
    </w:p>
    <w:p w14:paraId="2EA69645">
      <w:pPr>
        <w:spacing w:line="360" w:lineRule="auto"/>
        <w:ind w:firstLine="480"/>
        <w:rPr>
          <w:rFonts w:ascii="宋体" w:hAnsi="宋体" w:eastAsia="宋体" w:cs="Times New Roman"/>
          <w:color w:val="auto"/>
          <w:sz w:val="24"/>
          <w:szCs w:val="24"/>
          <w:highlight w:val="none"/>
        </w:rPr>
      </w:pPr>
    </w:p>
    <w:p w14:paraId="0DC53244">
      <w:pPr>
        <w:spacing w:line="360" w:lineRule="auto"/>
        <w:ind w:firstLine="480"/>
        <w:rPr>
          <w:rFonts w:ascii="宋体" w:hAnsi="宋体" w:eastAsia="宋体" w:cs="Times New Roman"/>
          <w:color w:val="auto"/>
          <w:sz w:val="24"/>
          <w:szCs w:val="24"/>
          <w:highlight w:val="none"/>
        </w:rPr>
      </w:pPr>
    </w:p>
    <w:p w14:paraId="2F7E6DE5">
      <w:pPr>
        <w:spacing w:line="360" w:lineRule="auto"/>
        <w:ind w:firstLine="480"/>
        <w:rPr>
          <w:rFonts w:ascii="宋体" w:hAnsi="宋体" w:eastAsia="宋体" w:cs="Times New Roman"/>
          <w:color w:val="auto"/>
          <w:sz w:val="24"/>
          <w:szCs w:val="24"/>
          <w:highlight w:val="none"/>
        </w:rPr>
      </w:pPr>
    </w:p>
    <w:p w14:paraId="54DFC418">
      <w:pPr>
        <w:spacing w:line="360" w:lineRule="auto"/>
        <w:ind w:firstLine="480"/>
        <w:rPr>
          <w:rFonts w:ascii="宋体" w:hAnsi="宋体" w:eastAsia="宋体" w:cs="Times New Roman"/>
          <w:color w:val="auto"/>
          <w:sz w:val="24"/>
          <w:szCs w:val="24"/>
          <w:highlight w:val="none"/>
        </w:rPr>
      </w:pPr>
    </w:p>
    <w:p w14:paraId="4FF664A1">
      <w:pPr>
        <w:spacing w:line="360" w:lineRule="auto"/>
        <w:ind w:firstLine="480"/>
        <w:rPr>
          <w:rFonts w:ascii="宋体" w:hAnsi="宋体" w:eastAsia="宋体" w:cs="Times New Roman"/>
          <w:color w:val="auto"/>
          <w:sz w:val="24"/>
          <w:szCs w:val="24"/>
          <w:highlight w:val="none"/>
        </w:rPr>
      </w:pPr>
    </w:p>
    <w:p w14:paraId="62CFDE9C">
      <w:pPr>
        <w:spacing w:line="360" w:lineRule="auto"/>
        <w:ind w:firstLine="480"/>
        <w:rPr>
          <w:rFonts w:ascii="宋体" w:hAnsi="宋体" w:eastAsia="宋体" w:cs="Times New Roman"/>
          <w:color w:val="auto"/>
          <w:sz w:val="24"/>
          <w:szCs w:val="24"/>
          <w:highlight w:val="none"/>
        </w:rPr>
      </w:pPr>
    </w:p>
    <w:p w14:paraId="2F78FA9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B66651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561B316A">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4A6B6821">
      <w:pPr>
        <w:widowControl/>
        <w:jc w:val="left"/>
        <w:rPr>
          <w:rFonts w:ascii="宋体" w:hAnsi="宋体" w:eastAsia="宋体" w:cs="Times New Roman"/>
          <w:color w:val="auto"/>
          <w:sz w:val="24"/>
          <w:szCs w:val="24"/>
          <w:highlight w:val="none"/>
        </w:rPr>
      </w:pPr>
    </w:p>
    <w:p w14:paraId="3B772B01">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49455007">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格式12、安装调试方案</w:t>
      </w:r>
    </w:p>
    <w:p w14:paraId="7D3F9B10">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安装调试方案</w:t>
      </w:r>
    </w:p>
    <w:p w14:paraId="70844C84">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7E2F73AA">
      <w:pPr>
        <w:spacing w:line="360" w:lineRule="auto"/>
        <w:ind w:firstLine="480"/>
        <w:rPr>
          <w:rFonts w:ascii="宋体" w:hAnsi="宋体" w:eastAsia="宋体" w:cs="Times New Roman"/>
          <w:color w:val="auto"/>
          <w:sz w:val="24"/>
          <w:szCs w:val="24"/>
          <w:highlight w:val="none"/>
        </w:rPr>
      </w:pPr>
    </w:p>
    <w:p w14:paraId="17C6B90B">
      <w:pPr>
        <w:spacing w:line="360" w:lineRule="auto"/>
        <w:ind w:firstLine="480"/>
        <w:rPr>
          <w:rFonts w:ascii="宋体" w:hAnsi="宋体" w:eastAsia="宋体" w:cs="Times New Roman"/>
          <w:color w:val="auto"/>
          <w:sz w:val="24"/>
          <w:szCs w:val="24"/>
          <w:highlight w:val="none"/>
        </w:rPr>
      </w:pPr>
    </w:p>
    <w:p w14:paraId="7D7CEEE9">
      <w:pPr>
        <w:spacing w:line="360" w:lineRule="auto"/>
        <w:ind w:firstLine="480"/>
        <w:rPr>
          <w:rFonts w:ascii="宋体" w:hAnsi="宋体" w:eastAsia="宋体" w:cs="Times New Roman"/>
          <w:color w:val="auto"/>
          <w:sz w:val="24"/>
          <w:szCs w:val="24"/>
          <w:highlight w:val="none"/>
        </w:rPr>
      </w:pPr>
    </w:p>
    <w:p w14:paraId="443B8503">
      <w:pPr>
        <w:spacing w:line="360" w:lineRule="auto"/>
        <w:ind w:firstLine="480"/>
        <w:rPr>
          <w:rFonts w:ascii="宋体" w:hAnsi="宋体" w:eastAsia="宋体" w:cs="Times New Roman"/>
          <w:color w:val="auto"/>
          <w:sz w:val="24"/>
          <w:szCs w:val="24"/>
          <w:highlight w:val="none"/>
        </w:rPr>
      </w:pPr>
    </w:p>
    <w:p w14:paraId="15AAEC5B">
      <w:pPr>
        <w:spacing w:line="360" w:lineRule="auto"/>
        <w:ind w:firstLine="480"/>
        <w:rPr>
          <w:rFonts w:ascii="宋体" w:hAnsi="宋体" w:eastAsia="宋体" w:cs="Times New Roman"/>
          <w:color w:val="auto"/>
          <w:sz w:val="24"/>
          <w:szCs w:val="24"/>
          <w:highlight w:val="none"/>
        </w:rPr>
      </w:pPr>
    </w:p>
    <w:p w14:paraId="3C256ED3">
      <w:pPr>
        <w:spacing w:line="360" w:lineRule="auto"/>
        <w:ind w:firstLine="480"/>
        <w:rPr>
          <w:rFonts w:ascii="宋体" w:hAnsi="宋体" w:eastAsia="宋体" w:cs="Times New Roman"/>
          <w:color w:val="auto"/>
          <w:sz w:val="24"/>
          <w:szCs w:val="24"/>
          <w:highlight w:val="none"/>
        </w:rPr>
      </w:pPr>
    </w:p>
    <w:p w14:paraId="2090C514">
      <w:pPr>
        <w:spacing w:line="360" w:lineRule="auto"/>
        <w:ind w:firstLine="480"/>
        <w:rPr>
          <w:rFonts w:ascii="宋体" w:hAnsi="宋体" w:eastAsia="宋体" w:cs="Times New Roman"/>
          <w:color w:val="auto"/>
          <w:sz w:val="24"/>
          <w:szCs w:val="24"/>
          <w:highlight w:val="none"/>
        </w:rPr>
      </w:pPr>
    </w:p>
    <w:p w14:paraId="67186C21">
      <w:pPr>
        <w:spacing w:line="360" w:lineRule="auto"/>
        <w:ind w:firstLine="480"/>
        <w:rPr>
          <w:rFonts w:ascii="宋体" w:hAnsi="宋体" w:eastAsia="宋体" w:cs="Times New Roman"/>
          <w:color w:val="auto"/>
          <w:sz w:val="24"/>
          <w:szCs w:val="24"/>
          <w:highlight w:val="none"/>
        </w:rPr>
      </w:pPr>
    </w:p>
    <w:p w14:paraId="26AB8E96">
      <w:pPr>
        <w:spacing w:line="360" w:lineRule="auto"/>
        <w:ind w:firstLine="480"/>
        <w:rPr>
          <w:rFonts w:ascii="宋体" w:hAnsi="宋体" w:eastAsia="宋体" w:cs="Times New Roman"/>
          <w:color w:val="auto"/>
          <w:sz w:val="24"/>
          <w:szCs w:val="24"/>
          <w:highlight w:val="none"/>
        </w:rPr>
      </w:pPr>
    </w:p>
    <w:p w14:paraId="11F21839">
      <w:pPr>
        <w:spacing w:line="360" w:lineRule="auto"/>
        <w:ind w:firstLine="480"/>
        <w:rPr>
          <w:rFonts w:ascii="宋体" w:hAnsi="宋体" w:eastAsia="宋体" w:cs="Times New Roman"/>
          <w:color w:val="auto"/>
          <w:sz w:val="24"/>
          <w:szCs w:val="24"/>
          <w:highlight w:val="none"/>
        </w:rPr>
      </w:pPr>
    </w:p>
    <w:p w14:paraId="4BE0F805">
      <w:pPr>
        <w:spacing w:line="360" w:lineRule="auto"/>
        <w:ind w:firstLine="480"/>
        <w:rPr>
          <w:rFonts w:ascii="宋体" w:hAnsi="宋体" w:eastAsia="宋体" w:cs="Times New Roman"/>
          <w:color w:val="auto"/>
          <w:sz w:val="24"/>
          <w:szCs w:val="24"/>
          <w:highlight w:val="none"/>
        </w:rPr>
      </w:pPr>
    </w:p>
    <w:p w14:paraId="51CE2E2D">
      <w:pPr>
        <w:spacing w:line="360" w:lineRule="auto"/>
        <w:ind w:firstLine="480"/>
        <w:rPr>
          <w:rFonts w:ascii="宋体" w:hAnsi="宋体" w:eastAsia="宋体" w:cs="Times New Roman"/>
          <w:color w:val="auto"/>
          <w:sz w:val="24"/>
          <w:szCs w:val="24"/>
          <w:highlight w:val="none"/>
        </w:rPr>
      </w:pPr>
    </w:p>
    <w:p w14:paraId="36339AAD">
      <w:pPr>
        <w:spacing w:line="360" w:lineRule="auto"/>
        <w:ind w:firstLine="480"/>
        <w:rPr>
          <w:rFonts w:ascii="宋体" w:hAnsi="宋体" w:eastAsia="宋体" w:cs="Times New Roman"/>
          <w:color w:val="auto"/>
          <w:sz w:val="24"/>
          <w:szCs w:val="24"/>
          <w:highlight w:val="none"/>
        </w:rPr>
      </w:pPr>
    </w:p>
    <w:p w14:paraId="38BE344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2B6690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43B66D9D">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77914AC3">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52CBE051">
      <w:pPr>
        <w:keepNext/>
        <w:spacing w:line="360" w:lineRule="auto"/>
        <w:jc w:val="left"/>
        <w:outlineLvl w:val="1"/>
        <w:rPr>
          <w:rFonts w:hint="eastAsia" w:ascii="宋体" w:hAnsi="宋体" w:eastAsia="宋体" w:cs="Times New Roman"/>
          <w:color w:val="auto"/>
          <w:sz w:val="24"/>
          <w:szCs w:val="2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pPr>
    </w:p>
    <w:p w14:paraId="7AE69F7E">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售后服务</w:t>
      </w:r>
      <w:r>
        <w:rPr>
          <w:rFonts w:hint="eastAsia" w:ascii="宋体" w:hAnsi="宋体" w:eastAsia="宋体" w:cs="Times New Roman"/>
          <w:color w:val="auto"/>
          <w:sz w:val="24"/>
          <w:szCs w:val="24"/>
          <w:highlight w:val="none"/>
        </w:rPr>
        <w:t>方案</w:t>
      </w:r>
    </w:p>
    <w:p w14:paraId="0142FEC4">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售后服务</w:t>
      </w:r>
      <w:r>
        <w:rPr>
          <w:rFonts w:hint="eastAsia" w:ascii="黑体" w:hAnsi="黑体" w:eastAsia="黑体" w:cs="宋体"/>
          <w:bCs/>
          <w:color w:val="auto"/>
          <w:sz w:val="36"/>
          <w:szCs w:val="28"/>
          <w:highlight w:val="none"/>
        </w:rPr>
        <w:t>方案</w:t>
      </w:r>
    </w:p>
    <w:p w14:paraId="24569A29">
      <w:pPr>
        <w:spacing w:line="360" w:lineRule="auto"/>
        <w:ind w:firstLine="480"/>
        <w:rPr>
          <w:rFonts w:hint="eastAsia" w:ascii="Times New Roman" w:hAnsi="Times New Roman" w:eastAsia="宋体" w:cs="Times New Roman"/>
          <w:color w:val="auto"/>
          <w:sz w:val="24"/>
          <w:szCs w:val="24"/>
          <w:highlight w:val="none"/>
        </w:rPr>
      </w:pPr>
    </w:p>
    <w:p w14:paraId="04DA24FE">
      <w:pPr>
        <w:spacing w:line="360" w:lineRule="auto"/>
        <w:ind w:firstLine="480"/>
        <w:rPr>
          <w:rFonts w:hint="eastAsia" w:ascii="Times New Roman" w:hAnsi="Times New Roman" w:eastAsia="宋体" w:cs="Times New Roman"/>
          <w:color w:val="auto"/>
          <w:sz w:val="24"/>
          <w:szCs w:val="24"/>
          <w:highlight w:val="none"/>
        </w:rPr>
      </w:pPr>
    </w:p>
    <w:p w14:paraId="73142BFD">
      <w:pPr>
        <w:spacing w:line="360" w:lineRule="auto"/>
        <w:ind w:firstLine="480"/>
        <w:rPr>
          <w:rFonts w:hint="eastAsia" w:ascii="Times New Roman" w:hAnsi="Times New Roman" w:eastAsia="宋体" w:cs="Times New Roman"/>
          <w:color w:val="auto"/>
          <w:sz w:val="24"/>
          <w:szCs w:val="24"/>
          <w:highlight w:val="none"/>
        </w:rPr>
      </w:pPr>
    </w:p>
    <w:p w14:paraId="7E76AFEF">
      <w:pPr>
        <w:spacing w:line="360" w:lineRule="auto"/>
        <w:ind w:firstLine="480"/>
        <w:rPr>
          <w:rFonts w:hint="eastAsia" w:ascii="Times New Roman" w:hAnsi="Times New Roman" w:eastAsia="宋体" w:cs="Times New Roman"/>
          <w:color w:val="auto"/>
          <w:sz w:val="24"/>
          <w:szCs w:val="24"/>
          <w:highlight w:val="none"/>
        </w:rPr>
      </w:pPr>
    </w:p>
    <w:p w14:paraId="7E8675EF">
      <w:pPr>
        <w:spacing w:line="360" w:lineRule="auto"/>
        <w:ind w:firstLine="480"/>
        <w:rPr>
          <w:rFonts w:hint="eastAsia" w:ascii="Times New Roman" w:hAnsi="Times New Roman" w:eastAsia="宋体" w:cs="Times New Roman"/>
          <w:color w:val="auto"/>
          <w:sz w:val="24"/>
          <w:szCs w:val="24"/>
          <w:highlight w:val="none"/>
        </w:rPr>
      </w:pPr>
    </w:p>
    <w:p w14:paraId="547091B8">
      <w:pPr>
        <w:spacing w:line="360" w:lineRule="auto"/>
        <w:ind w:firstLine="480"/>
        <w:rPr>
          <w:rFonts w:hint="eastAsia" w:ascii="Times New Roman" w:hAnsi="Times New Roman" w:eastAsia="宋体" w:cs="Times New Roman"/>
          <w:color w:val="auto"/>
          <w:sz w:val="24"/>
          <w:szCs w:val="24"/>
          <w:highlight w:val="none"/>
        </w:rPr>
      </w:pPr>
    </w:p>
    <w:p w14:paraId="7EE0739F">
      <w:pPr>
        <w:spacing w:line="360" w:lineRule="auto"/>
        <w:ind w:firstLine="480"/>
        <w:rPr>
          <w:rFonts w:hint="eastAsia" w:ascii="Times New Roman" w:hAnsi="Times New Roman" w:eastAsia="宋体" w:cs="Times New Roman"/>
          <w:color w:val="auto"/>
          <w:sz w:val="24"/>
          <w:szCs w:val="24"/>
          <w:highlight w:val="none"/>
        </w:rPr>
      </w:pPr>
    </w:p>
    <w:p w14:paraId="306687A2">
      <w:pPr>
        <w:spacing w:line="360" w:lineRule="auto"/>
        <w:ind w:firstLine="480"/>
        <w:rPr>
          <w:rFonts w:hint="eastAsia" w:ascii="Times New Roman" w:hAnsi="Times New Roman" w:eastAsia="宋体" w:cs="Times New Roman"/>
          <w:color w:val="auto"/>
          <w:sz w:val="24"/>
          <w:szCs w:val="24"/>
          <w:highlight w:val="none"/>
        </w:rPr>
      </w:pPr>
    </w:p>
    <w:p w14:paraId="6AC9AC59">
      <w:pPr>
        <w:spacing w:line="360" w:lineRule="auto"/>
        <w:ind w:firstLine="480"/>
        <w:rPr>
          <w:rFonts w:hint="eastAsia" w:ascii="Times New Roman" w:hAnsi="Times New Roman" w:eastAsia="宋体" w:cs="Times New Roman"/>
          <w:color w:val="auto"/>
          <w:sz w:val="24"/>
          <w:szCs w:val="24"/>
          <w:highlight w:val="none"/>
        </w:rPr>
      </w:pPr>
    </w:p>
    <w:p w14:paraId="514E75EA">
      <w:pPr>
        <w:spacing w:line="360" w:lineRule="auto"/>
        <w:ind w:firstLine="480"/>
        <w:rPr>
          <w:rFonts w:hint="eastAsia" w:ascii="Times New Roman" w:hAnsi="Times New Roman" w:eastAsia="宋体" w:cs="Times New Roman"/>
          <w:color w:val="auto"/>
          <w:sz w:val="24"/>
          <w:szCs w:val="24"/>
          <w:highlight w:val="none"/>
        </w:rPr>
      </w:pPr>
    </w:p>
    <w:p w14:paraId="1C0DCA49">
      <w:pPr>
        <w:spacing w:line="360" w:lineRule="auto"/>
        <w:ind w:firstLine="480"/>
        <w:rPr>
          <w:rFonts w:hint="eastAsia" w:ascii="Times New Roman" w:hAnsi="Times New Roman" w:eastAsia="宋体" w:cs="Times New Roman"/>
          <w:color w:val="auto"/>
          <w:sz w:val="24"/>
          <w:szCs w:val="24"/>
          <w:highlight w:val="none"/>
        </w:rPr>
      </w:pPr>
    </w:p>
    <w:p w14:paraId="67FD243F">
      <w:pPr>
        <w:spacing w:line="360" w:lineRule="auto"/>
        <w:ind w:firstLine="480"/>
        <w:rPr>
          <w:rFonts w:hint="eastAsia" w:ascii="Times New Roman" w:hAnsi="Times New Roman" w:eastAsia="宋体" w:cs="Times New Roman"/>
          <w:color w:val="auto"/>
          <w:sz w:val="24"/>
          <w:szCs w:val="24"/>
          <w:highlight w:val="none"/>
        </w:rPr>
      </w:pPr>
    </w:p>
    <w:p w14:paraId="46B16501">
      <w:pPr>
        <w:spacing w:line="360" w:lineRule="auto"/>
        <w:ind w:firstLine="480"/>
        <w:rPr>
          <w:rFonts w:hint="eastAsia" w:ascii="Times New Roman" w:hAnsi="Times New Roman" w:eastAsia="宋体" w:cs="Times New Roman"/>
          <w:color w:val="auto"/>
          <w:sz w:val="24"/>
          <w:szCs w:val="24"/>
          <w:highlight w:val="none"/>
        </w:rPr>
      </w:pPr>
    </w:p>
    <w:p w14:paraId="60F8739F">
      <w:pPr>
        <w:spacing w:line="360" w:lineRule="auto"/>
        <w:ind w:firstLine="480"/>
        <w:rPr>
          <w:rFonts w:hint="eastAsia" w:ascii="Times New Roman" w:hAnsi="Times New Roman" w:eastAsia="宋体" w:cs="Times New Roman"/>
          <w:color w:val="auto"/>
          <w:sz w:val="24"/>
          <w:szCs w:val="24"/>
          <w:highlight w:val="none"/>
        </w:rPr>
      </w:pPr>
    </w:p>
    <w:p w14:paraId="03A318A2">
      <w:pPr>
        <w:spacing w:line="360" w:lineRule="auto"/>
        <w:ind w:firstLine="480"/>
        <w:rPr>
          <w:rFonts w:hint="eastAsia" w:ascii="Times New Roman" w:hAnsi="Times New Roman" w:eastAsia="宋体" w:cs="Times New Roman"/>
          <w:color w:val="auto"/>
          <w:sz w:val="24"/>
          <w:szCs w:val="24"/>
          <w:highlight w:val="none"/>
        </w:rPr>
      </w:pPr>
    </w:p>
    <w:p w14:paraId="0C8942E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8E5226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15EFBC0">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2540CA45">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64EFBAF0">
      <w:pPr>
        <w:keepNext/>
        <w:spacing w:line="360" w:lineRule="auto"/>
        <w:jc w:val="left"/>
        <w:outlineLvl w:val="1"/>
        <w:rPr>
          <w:rFonts w:hint="eastAsia" w:ascii="宋体" w:hAnsi="宋体" w:eastAsia="宋体" w:cs="Times New Roman"/>
          <w:color w:val="auto"/>
          <w:sz w:val="24"/>
          <w:szCs w:val="24"/>
          <w:highlight w:val="none"/>
        </w:rPr>
        <w:sectPr>
          <w:pgSz w:w="11906" w:h="16838"/>
          <w:pgMar w:top="1134" w:right="1134" w:bottom="1134" w:left="1134" w:header="720" w:footer="720" w:gutter="0"/>
          <w:pgNumType w:start="1"/>
          <w:cols w:space="720" w:num="1"/>
          <w:titlePg/>
          <w:docGrid w:linePitch="360" w:charSpace="0"/>
        </w:sectPr>
      </w:pPr>
    </w:p>
    <w:p w14:paraId="413C732F">
      <w:pPr>
        <w:keepNext/>
        <w:spacing w:line="360" w:lineRule="auto"/>
        <w:jc w:val="both"/>
        <w:outlineLvl w:val="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格式14、日常维护方案</w:t>
      </w:r>
    </w:p>
    <w:p w14:paraId="0FF04370">
      <w:pPr>
        <w:keepNext/>
        <w:spacing w:line="360" w:lineRule="auto"/>
        <w:jc w:val="left"/>
        <w:outlineLvl w:val="1"/>
        <w:rPr>
          <w:rFonts w:hint="eastAsia" w:ascii="宋体" w:hAnsi="宋体" w:eastAsia="宋体"/>
          <w:color w:val="auto"/>
          <w:sz w:val="24"/>
          <w:szCs w:val="24"/>
          <w:highlight w:val="none"/>
        </w:rPr>
      </w:pPr>
    </w:p>
    <w:p w14:paraId="729631AE">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日常维护方案</w:t>
      </w:r>
    </w:p>
    <w:p w14:paraId="10CC732D">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32BAB5D">
      <w:pPr>
        <w:spacing w:line="360" w:lineRule="auto"/>
        <w:ind w:firstLine="480"/>
        <w:rPr>
          <w:rFonts w:ascii="宋体" w:hAnsi="宋体" w:eastAsia="宋体" w:cs="Times New Roman"/>
          <w:color w:val="auto"/>
          <w:sz w:val="24"/>
          <w:szCs w:val="24"/>
          <w:highlight w:val="none"/>
        </w:rPr>
      </w:pPr>
    </w:p>
    <w:p w14:paraId="48A5D072">
      <w:pPr>
        <w:spacing w:line="360" w:lineRule="auto"/>
        <w:ind w:firstLine="480"/>
        <w:rPr>
          <w:rFonts w:ascii="宋体" w:hAnsi="宋体" w:eastAsia="宋体" w:cs="Times New Roman"/>
          <w:color w:val="auto"/>
          <w:sz w:val="24"/>
          <w:szCs w:val="24"/>
          <w:highlight w:val="none"/>
        </w:rPr>
      </w:pPr>
    </w:p>
    <w:p w14:paraId="0A608B18">
      <w:pPr>
        <w:spacing w:line="360" w:lineRule="auto"/>
        <w:ind w:firstLine="480"/>
        <w:rPr>
          <w:rFonts w:ascii="宋体" w:hAnsi="宋体" w:eastAsia="宋体" w:cs="Times New Roman"/>
          <w:color w:val="auto"/>
          <w:sz w:val="24"/>
          <w:szCs w:val="24"/>
          <w:highlight w:val="none"/>
        </w:rPr>
      </w:pPr>
    </w:p>
    <w:p w14:paraId="09B00793">
      <w:pPr>
        <w:spacing w:line="360" w:lineRule="auto"/>
        <w:ind w:firstLine="480"/>
        <w:rPr>
          <w:rFonts w:ascii="宋体" w:hAnsi="宋体" w:eastAsia="宋体" w:cs="Times New Roman"/>
          <w:color w:val="auto"/>
          <w:sz w:val="24"/>
          <w:szCs w:val="24"/>
          <w:highlight w:val="none"/>
        </w:rPr>
      </w:pPr>
    </w:p>
    <w:p w14:paraId="0D989456">
      <w:pPr>
        <w:spacing w:line="360" w:lineRule="auto"/>
        <w:ind w:firstLine="480"/>
        <w:rPr>
          <w:rFonts w:ascii="宋体" w:hAnsi="宋体" w:eastAsia="宋体" w:cs="Times New Roman"/>
          <w:color w:val="auto"/>
          <w:sz w:val="24"/>
          <w:szCs w:val="24"/>
          <w:highlight w:val="none"/>
        </w:rPr>
      </w:pPr>
    </w:p>
    <w:p w14:paraId="6C6E00EB">
      <w:pPr>
        <w:spacing w:line="360" w:lineRule="auto"/>
        <w:ind w:firstLine="480"/>
        <w:rPr>
          <w:rFonts w:ascii="宋体" w:hAnsi="宋体" w:eastAsia="宋体" w:cs="Times New Roman"/>
          <w:color w:val="auto"/>
          <w:sz w:val="24"/>
          <w:szCs w:val="24"/>
          <w:highlight w:val="none"/>
        </w:rPr>
      </w:pPr>
    </w:p>
    <w:p w14:paraId="54285E98">
      <w:pPr>
        <w:spacing w:line="360" w:lineRule="auto"/>
        <w:ind w:firstLine="480"/>
        <w:rPr>
          <w:rFonts w:ascii="宋体" w:hAnsi="宋体" w:eastAsia="宋体" w:cs="Times New Roman"/>
          <w:color w:val="auto"/>
          <w:sz w:val="24"/>
          <w:szCs w:val="24"/>
          <w:highlight w:val="none"/>
        </w:rPr>
      </w:pPr>
    </w:p>
    <w:p w14:paraId="1FD541A8">
      <w:pPr>
        <w:spacing w:line="360" w:lineRule="auto"/>
        <w:ind w:firstLine="480"/>
        <w:rPr>
          <w:rFonts w:ascii="宋体" w:hAnsi="宋体" w:eastAsia="宋体" w:cs="Times New Roman"/>
          <w:color w:val="auto"/>
          <w:sz w:val="24"/>
          <w:szCs w:val="24"/>
          <w:highlight w:val="none"/>
        </w:rPr>
      </w:pPr>
    </w:p>
    <w:p w14:paraId="658FB4BF">
      <w:pPr>
        <w:spacing w:line="360" w:lineRule="auto"/>
        <w:ind w:firstLine="480"/>
        <w:rPr>
          <w:rFonts w:ascii="宋体" w:hAnsi="宋体" w:eastAsia="宋体" w:cs="Times New Roman"/>
          <w:color w:val="auto"/>
          <w:sz w:val="24"/>
          <w:szCs w:val="24"/>
          <w:highlight w:val="none"/>
        </w:rPr>
      </w:pPr>
    </w:p>
    <w:p w14:paraId="1A3917C3">
      <w:pPr>
        <w:spacing w:line="360" w:lineRule="auto"/>
        <w:ind w:firstLine="480"/>
        <w:rPr>
          <w:rFonts w:ascii="宋体" w:hAnsi="宋体" w:eastAsia="宋体" w:cs="Times New Roman"/>
          <w:color w:val="auto"/>
          <w:sz w:val="24"/>
          <w:szCs w:val="24"/>
          <w:highlight w:val="none"/>
        </w:rPr>
      </w:pPr>
    </w:p>
    <w:p w14:paraId="27B5D2A1">
      <w:pPr>
        <w:spacing w:line="360" w:lineRule="auto"/>
        <w:ind w:firstLine="480"/>
        <w:rPr>
          <w:rFonts w:ascii="宋体" w:hAnsi="宋体" w:eastAsia="宋体" w:cs="Times New Roman"/>
          <w:color w:val="auto"/>
          <w:sz w:val="24"/>
          <w:szCs w:val="24"/>
          <w:highlight w:val="none"/>
        </w:rPr>
      </w:pPr>
    </w:p>
    <w:p w14:paraId="17843F87">
      <w:pPr>
        <w:spacing w:line="360" w:lineRule="auto"/>
        <w:ind w:firstLine="480"/>
        <w:rPr>
          <w:rFonts w:ascii="宋体" w:hAnsi="宋体" w:eastAsia="宋体" w:cs="Times New Roman"/>
          <w:color w:val="auto"/>
          <w:sz w:val="24"/>
          <w:szCs w:val="24"/>
          <w:highlight w:val="none"/>
        </w:rPr>
      </w:pPr>
    </w:p>
    <w:p w14:paraId="4CAAF287">
      <w:pPr>
        <w:spacing w:line="360" w:lineRule="auto"/>
        <w:ind w:firstLine="480"/>
        <w:rPr>
          <w:rFonts w:ascii="宋体" w:hAnsi="宋体" w:eastAsia="宋体" w:cs="Times New Roman"/>
          <w:color w:val="auto"/>
          <w:sz w:val="24"/>
          <w:szCs w:val="24"/>
          <w:highlight w:val="none"/>
        </w:rPr>
      </w:pPr>
    </w:p>
    <w:p w14:paraId="4A0F16D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BADFB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365863D2">
      <w:pPr>
        <w:spacing w:line="360" w:lineRule="auto"/>
        <w:ind w:firstLine="480"/>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66EB4D4">
      <w:pPr>
        <w:spacing w:line="360" w:lineRule="auto"/>
        <w:ind w:firstLine="480"/>
        <w:rPr>
          <w:rFonts w:hint="eastAsia" w:ascii="宋体" w:hAnsi="Courier New" w:eastAsia="宋体" w:cs="Times New Roman"/>
          <w:color w:val="auto"/>
          <w:sz w:val="24"/>
          <w:szCs w:val="24"/>
          <w:highlight w:val="none"/>
        </w:rPr>
      </w:pPr>
    </w:p>
    <w:p w14:paraId="31BE99F1">
      <w:pPr>
        <w:spacing w:line="360" w:lineRule="auto"/>
        <w:ind w:firstLine="480"/>
        <w:rPr>
          <w:rFonts w:hint="eastAsia" w:ascii="宋体" w:hAnsi="Courier New" w:eastAsia="宋体" w:cs="Times New Roman"/>
          <w:color w:val="auto"/>
          <w:sz w:val="24"/>
          <w:szCs w:val="24"/>
          <w:highlight w:val="none"/>
        </w:rPr>
      </w:pPr>
    </w:p>
    <w:p w14:paraId="3A0FD247">
      <w:pPr>
        <w:spacing w:line="360" w:lineRule="auto"/>
        <w:ind w:firstLine="480"/>
        <w:rPr>
          <w:rFonts w:hint="eastAsia" w:ascii="宋体" w:hAnsi="Courier New" w:eastAsia="宋体" w:cs="Times New Roman"/>
          <w:color w:val="auto"/>
          <w:sz w:val="24"/>
          <w:szCs w:val="24"/>
          <w:highlight w:val="none"/>
        </w:rPr>
      </w:pPr>
    </w:p>
    <w:p w14:paraId="3795A0B0">
      <w:pPr>
        <w:spacing w:line="360" w:lineRule="auto"/>
        <w:ind w:firstLine="480"/>
        <w:rPr>
          <w:rFonts w:hint="eastAsia" w:ascii="宋体" w:hAnsi="Courier New" w:eastAsia="宋体" w:cs="Times New Roman"/>
          <w:color w:val="auto"/>
          <w:sz w:val="24"/>
          <w:szCs w:val="24"/>
          <w:highlight w:val="none"/>
        </w:rPr>
      </w:pPr>
    </w:p>
    <w:p w14:paraId="78ACE76A">
      <w:pPr>
        <w:spacing w:line="360" w:lineRule="auto"/>
        <w:ind w:firstLine="480"/>
        <w:rPr>
          <w:rFonts w:hint="eastAsia" w:ascii="宋体" w:hAnsi="Courier New" w:eastAsia="宋体" w:cs="Times New Roman"/>
          <w:color w:val="auto"/>
          <w:sz w:val="24"/>
          <w:szCs w:val="24"/>
          <w:highlight w:val="none"/>
        </w:rPr>
      </w:pPr>
    </w:p>
    <w:p w14:paraId="756DD62B">
      <w:pPr>
        <w:keepNext/>
        <w:spacing w:line="360" w:lineRule="auto"/>
        <w:jc w:val="left"/>
        <w:outlineLvl w:val="1"/>
        <w:rPr>
          <w:rFonts w:hint="eastAsia" w:ascii="宋体" w:hAnsi="宋体" w:eastAsia="宋体" w:cs="Times New Roman"/>
          <w:color w:val="auto"/>
          <w:sz w:val="24"/>
          <w:szCs w:val="24"/>
          <w:highlight w:val="none"/>
        </w:rPr>
        <w:sectPr>
          <w:pgSz w:w="11906" w:h="16838"/>
          <w:pgMar w:top="1134" w:right="1134" w:bottom="1134" w:left="1134" w:header="720" w:footer="720" w:gutter="0"/>
          <w:pgNumType w:start="1"/>
          <w:cols w:space="720" w:num="1"/>
          <w:titlePg/>
          <w:docGrid w:linePitch="360" w:charSpace="0"/>
        </w:sectPr>
      </w:pPr>
    </w:p>
    <w:p w14:paraId="148A3E95">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、培训方案</w:t>
      </w:r>
    </w:p>
    <w:p w14:paraId="183B54C2">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培训方案</w:t>
      </w:r>
    </w:p>
    <w:p w14:paraId="2921CCC1">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6BC21F8">
      <w:pPr>
        <w:spacing w:line="360" w:lineRule="auto"/>
        <w:ind w:firstLine="480"/>
        <w:rPr>
          <w:rFonts w:ascii="宋体" w:hAnsi="宋体" w:eastAsia="宋体" w:cs="Times New Roman"/>
          <w:color w:val="auto"/>
          <w:sz w:val="24"/>
          <w:szCs w:val="24"/>
          <w:highlight w:val="none"/>
        </w:rPr>
      </w:pPr>
    </w:p>
    <w:p w14:paraId="6466875A">
      <w:pPr>
        <w:spacing w:line="360" w:lineRule="auto"/>
        <w:ind w:firstLine="480"/>
        <w:rPr>
          <w:rFonts w:ascii="宋体" w:hAnsi="宋体" w:eastAsia="宋体" w:cs="Times New Roman"/>
          <w:color w:val="auto"/>
          <w:sz w:val="24"/>
          <w:szCs w:val="24"/>
          <w:highlight w:val="none"/>
        </w:rPr>
      </w:pPr>
    </w:p>
    <w:p w14:paraId="0CB08F9C">
      <w:pPr>
        <w:spacing w:line="360" w:lineRule="auto"/>
        <w:ind w:firstLine="480"/>
        <w:rPr>
          <w:rFonts w:ascii="宋体" w:hAnsi="宋体" w:eastAsia="宋体" w:cs="Times New Roman"/>
          <w:color w:val="auto"/>
          <w:sz w:val="24"/>
          <w:szCs w:val="24"/>
          <w:highlight w:val="none"/>
        </w:rPr>
      </w:pPr>
    </w:p>
    <w:p w14:paraId="5EED2198">
      <w:pPr>
        <w:spacing w:line="360" w:lineRule="auto"/>
        <w:ind w:firstLine="480"/>
        <w:rPr>
          <w:rFonts w:ascii="宋体" w:hAnsi="宋体" w:eastAsia="宋体" w:cs="Times New Roman"/>
          <w:color w:val="auto"/>
          <w:sz w:val="24"/>
          <w:szCs w:val="24"/>
          <w:highlight w:val="none"/>
        </w:rPr>
      </w:pPr>
    </w:p>
    <w:p w14:paraId="6E62785B">
      <w:pPr>
        <w:spacing w:line="360" w:lineRule="auto"/>
        <w:ind w:firstLine="480"/>
        <w:rPr>
          <w:rFonts w:ascii="宋体" w:hAnsi="宋体" w:eastAsia="宋体" w:cs="Times New Roman"/>
          <w:color w:val="auto"/>
          <w:sz w:val="24"/>
          <w:szCs w:val="24"/>
          <w:highlight w:val="none"/>
        </w:rPr>
      </w:pPr>
    </w:p>
    <w:p w14:paraId="5E986BB4">
      <w:pPr>
        <w:spacing w:line="360" w:lineRule="auto"/>
        <w:ind w:firstLine="480"/>
        <w:rPr>
          <w:rFonts w:ascii="宋体" w:hAnsi="宋体" w:eastAsia="宋体" w:cs="Times New Roman"/>
          <w:color w:val="auto"/>
          <w:sz w:val="24"/>
          <w:szCs w:val="24"/>
          <w:highlight w:val="none"/>
        </w:rPr>
      </w:pPr>
    </w:p>
    <w:p w14:paraId="20979015">
      <w:pPr>
        <w:spacing w:line="360" w:lineRule="auto"/>
        <w:ind w:firstLine="480"/>
        <w:rPr>
          <w:rFonts w:ascii="宋体" w:hAnsi="宋体" w:eastAsia="宋体" w:cs="Times New Roman"/>
          <w:color w:val="auto"/>
          <w:sz w:val="24"/>
          <w:szCs w:val="24"/>
          <w:highlight w:val="none"/>
        </w:rPr>
      </w:pPr>
    </w:p>
    <w:p w14:paraId="0390A5CD">
      <w:pPr>
        <w:spacing w:line="360" w:lineRule="auto"/>
        <w:ind w:firstLine="480"/>
        <w:rPr>
          <w:rFonts w:ascii="宋体" w:hAnsi="宋体" w:eastAsia="宋体" w:cs="Times New Roman"/>
          <w:color w:val="auto"/>
          <w:sz w:val="24"/>
          <w:szCs w:val="24"/>
          <w:highlight w:val="none"/>
        </w:rPr>
      </w:pPr>
    </w:p>
    <w:p w14:paraId="66069598">
      <w:pPr>
        <w:spacing w:line="360" w:lineRule="auto"/>
        <w:ind w:firstLine="480"/>
        <w:rPr>
          <w:rFonts w:ascii="宋体" w:hAnsi="宋体" w:eastAsia="宋体" w:cs="Times New Roman"/>
          <w:color w:val="auto"/>
          <w:sz w:val="24"/>
          <w:szCs w:val="24"/>
          <w:highlight w:val="none"/>
        </w:rPr>
      </w:pPr>
    </w:p>
    <w:p w14:paraId="6EFEC0A3">
      <w:pPr>
        <w:spacing w:line="360" w:lineRule="auto"/>
        <w:ind w:firstLine="480"/>
        <w:rPr>
          <w:rFonts w:ascii="宋体" w:hAnsi="宋体" w:eastAsia="宋体" w:cs="Times New Roman"/>
          <w:color w:val="auto"/>
          <w:sz w:val="24"/>
          <w:szCs w:val="24"/>
          <w:highlight w:val="none"/>
        </w:rPr>
      </w:pPr>
    </w:p>
    <w:p w14:paraId="08A45584">
      <w:pPr>
        <w:spacing w:line="360" w:lineRule="auto"/>
        <w:ind w:firstLine="480"/>
        <w:rPr>
          <w:rFonts w:ascii="宋体" w:hAnsi="宋体" w:eastAsia="宋体" w:cs="Times New Roman"/>
          <w:color w:val="auto"/>
          <w:sz w:val="24"/>
          <w:szCs w:val="24"/>
          <w:highlight w:val="none"/>
        </w:rPr>
      </w:pPr>
    </w:p>
    <w:p w14:paraId="135188E1">
      <w:pPr>
        <w:spacing w:line="360" w:lineRule="auto"/>
        <w:ind w:firstLine="480"/>
        <w:rPr>
          <w:rFonts w:ascii="宋体" w:hAnsi="宋体" w:eastAsia="宋体" w:cs="Times New Roman"/>
          <w:color w:val="auto"/>
          <w:sz w:val="24"/>
          <w:szCs w:val="24"/>
          <w:highlight w:val="none"/>
        </w:rPr>
      </w:pPr>
    </w:p>
    <w:p w14:paraId="441CB82D">
      <w:pPr>
        <w:spacing w:line="360" w:lineRule="auto"/>
        <w:ind w:firstLine="480"/>
        <w:rPr>
          <w:rFonts w:ascii="宋体" w:hAnsi="宋体" w:eastAsia="宋体" w:cs="Times New Roman"/>
          <w:color w:val="auto"/>
          <w:sz w:val="24"/>
          <w:szCs w:val="24"/>
          <w:highlight w:val="none"/>
        </w:rPr>
      </w:pPr>
    </w:p>
    <w:p w14:paraId="14B0F6B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76EFBE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C87B51A">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C0D07FC">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7934AEAD">
      <w:pPr>
        <w:widowControl/>
        <w:jc w:val="left"/>
        <w:rPr>
          <w:rFonts w:ascii="Times New Roman" w:hAnsi="Times New Roman" w:eastAsia="黑体" w:cs="Times New Roman"/>
          <w:b/>
          <w:color w:val="auto"/>
          <w:sz w:val="28"/>
          <w:szCs w:val="20"/>
          <w:highlight w:val="none"/>
        </w:rPr>
      </w:pPr>
    </w:p>
    <w:p w14:paraId="66717FCF">
      <w:pPr>
        <w:keepNext/>
        <w:spacing w:line="360" w:lineRule="auto"/>
        <w:jc w:val="both"/>
        <w:outlineLvl w:val="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、日常维护方案</w:t>
      </w:r>
    </w:p>
    <w:p w14:paraId="1BF66DF8">
      <w:pPr>
        <w:keepNext/>
        <w:spacing w:line="360" w:lineRule="auto"/>
        <w:jc w:val="left"/>
        <w:outlineLvl w:val="1"/>
        <w:rPr>
          <w:rFonts w:hint="eastAsia" w:ascii="宋体" w:hAnsi="宋体" w:eastAsia="宋体"/>
          <w:color w:val="auto"/>
          <w:sz w:val="24"/>
          <w:szCs w:val="24"/>
          <w:highlight w:val="none"/>
        </w:rPr>
      </w:pPr>
    </w:p>
    <w:p w14:paraId="2E0AAC3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备品备件</w:t>
      </w:r>
      <w:r>
        <w:rPr>
          <w:rFonts w:hint="eastAsia" w:ascii="黑体" w:hAnsi="黑体" w:eastAsia="黑体" w:cs="宋体"/>
          <w:bCs/>
          <w:color w:val="auto"/>
          <w:sz w:val="36"/>
          <w:szCs w:val="28"/>
          <w:highlight w:val="none"/>
        </w:rPr>
        <w:t>方案</w:t>
      </w:r>
    </w:p>
    <w:p w14:paraId="065C2CD0">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3300086E">
      <w:pPr>
        <w:spacing w:line="360" w:lineRule="auto"/>
        <w:ind w:firstLine="480"/>
        <w:rPr>
          <w:rFonts w:ascii="宋体" w:hAnsi="宋体" w:eastAsia="宋体" w:cs="Times New Roman"/>
          <w:color w:val="auto"/>
          <w:sz w:val="24"/>
          <w:szCs w:val="24"/>
          <w:highlight w:val="none"/>
        </w:rPr>
      </w:pPr>
    </w:p>
    <w:p w14:paraId="2EC78234">
      <w:pPr>
        <w:spacing w:line="360" w:lineRule="auto"/>
        <w:ind w:firstLine="480"/>
        <w:rPr>
          <w:rFonts w:ascii="宋体" w:hAnsi="宋体" w:eastAsia="宋体" w:cs="Times New Roman"/>
          <w:color w:val="auto"/>
          <w:sz w:val="24"/>
          <w:szCs w:val="24"/>
          <w:highlight w:val="none"/>
        </w:rPr>
      </w:pPr>
    </w:p>
    <w:p w14:paraId="4FD28704">
      <w:pPr>
        <w:spacing w:line="360" w:lineRule="auto"/>
        <w:ind w:firstLine="480"/>
        <w:rPr>
          <w:rFonts w:ascii="宋体" w:hAnsi="宋体" w:eastAsia="宋体" w:cs="Times New Roman"/>
          <w:color w:val="auto"/>
          <w:sz w:val="24"/>
          <w:szCs w:val="24"/>
          <w:highlight w:val="none"/>
        </w:rPr>
      </w:pPr>
    </w:p>
    <w:p w14:paraId="1E671061">
      <w:pPr>
        <w:spacing w:line="360" w:lineRule="auto"/>
        <w:ind w:firstLine="480"/>
        <w:rPr>
          <w:rFonts w:ascii="宋体" w:hAnsi="宋体" w:eastAsia="宋体" w:cs="Times New Roman"/>
          <w:color w:val="auto"/>
          <w:sz w:val="24"/>
          <w:szCs w:val="24"/>
          <w:highlight w:val="none"/>
        </w:rPr>
      </w:pPr>
    </w:p>
    <w:p w14:paraId="38A3ADB3">
      <w:pPr>
        <w:spacing w:line="360" w:lineRule="auto"/>
        <w:ind w:firstLine="480"/>
        <w:rPr>
          <w:rFonts w:ascii="宋体" w:hAnsi="宋体" w:eastAsia="宋体" w:cs="Times New Roman"/>
          <w:color w:val="auto"/>
          <w:sz w:val="24"/>
          <w:szCs w:val="24"/>
          <w:highlight w:val="none"/>
        </w:rPr>
      </w:pPr>
    </w:p>
    <w:p w14:paraId="42DB4144">
      <w:pPr>
        <w:spacing w:line="360" w:lineRule="auto"/>
        <w:ind w:firstLine="480"/>
        <w:rPr>
          <w:rFonts w:ascii="宋体" w:hAnsi="宋体" w:eastAsia="宋体" w:cs="Times New Roman"/>
          <w:color w:val="auto"/>
          <w:sz w:val="24"/>
          <w:szCs w:val="24"/>
          <w:highlight w:val="none"/>
        </w:rPr>
      </w:pPr>
    </w:p>
    <w:p w14:paraId="524D2553">
      <w:pPr>
        <w:spacing w:line="360" w:lineRule="auto"/>
        <w:ind w:firstLine="480"/>
        <w:rPr>
          <w:rFonts w:ascii="宋体" w:hAnsi="宋体" w:eastAsia="宋体" w:cs="Times New Roman"/>
          <w:color w:val="auto"/>
          <w:sz w:val="24"/>
          <w:szCs w:val="24"/>
          <w:highlight w:val="none"/>
        </w:rPr>
      </w:pPr>
    </w:p>
    <w:p w14:paraId="103B840E">
      <w:pPr>
        <w:spacing w:line="360" w:lineRule="auto"/>
        <w:ind w:firstLine="480"/>
        <w:rPr>
          <w:rFonts w:ascii="宋体" w:hAnsi="宋体" w:eastAsia="宋体" w:cs="Times New Roman"/>
          <w:color w:val="auto"/>
          <w:sz w:val="24"/>
          <w:szCs w:val="24"/>
          <w:highlight w:val="none"/>
        </w:rPr>
      </w:pPr>
    </w:p>
    <w:p w14:paraId="7F7491F4">
      <w:pPr>
        <w:spacing w:line="360" w:lineRule="auto"/>
        <w:ind w:firstLine="480"/>
        <w:rPr>
          <w:rFonts w:ascii="宋体" w:hAnsi="宋体" w:eastAsia="宋体" w:cs="Times New Roman"/>
          <w:color w:val="auto"/>
          <w:sz w:val="24"/>
          <w:szCs w:val="24"/>
          <w:highlight w:val="none"/>
        </w:rPr>
      </w:pPr>
    </w:p>
    <w:p w14:paraId="72D1CCEB">
      <w:pPr>
        <w:spacing w:line="360" w:lineRule="auto"/>
        <w:ind w:firstLine="480"/>
        <w:rPr>
          <w:rFonts w:ascii="宋体" w:hAnsi="宋体" w:eastAsia="宋体" w:cs="Times New Roman"/>
          <w:color w:val="auto"/>
          <w:sz w:val="24"/>
          <w:szCs w:val="24"/>
          <w:highlight w:val="none"/>
        </w:rPr>
      </w:pPr>
    </w:p>
    <w:p w14:paraId="173E4FEF">
      <w:pPr>
        <w:spacing w:line="360" w:lineRule="auto"/>
        <w:ind w:firstLine="480"/>
        <w:rPr>
          <w:rFonts w:ascii="宋体" w:hAnsi="宋体" w:eastAsia="宋体" w:cs="Times New Roman"/>
          <w:color w:val="auto"/>
          <w:sz w:val="24"/>
          <w:szCs w:val="24"/>
          <w:highlight w:val="none"/>
        </w:rPr>
      </w:pPr>
    </w:p>
    <w:p w14:paraId="6F7D728C">
      <w:pPr>
        <w:spacing w:line="360" w:lineRule="auto"/>
        <w:ind w:firstLine="480"/>
        <w:rPr>
          <w:rFonts w:ascii="宋体" w:hAnsi="宋体" w:eastAsia="宋体" w:cs="Times New Roman"/>
          <w:color w:val="auto"/>
          <w:sz w:val="24"/>
          <w:szCs w:val="24"/>
          <w:highlight w:val="none"/>
        </w:rPr>
      </w:pPr>
    </w:p>
    <w:p w14:paraId="254454AA">
      <w:pPr>
        <w:spacing w:line="360" w:lineRule="auto"/>
        <w:ind w:firstLine="480"/>
        <w:rPr>
          <w:rFonts w:ascii="宋体" w:hAnsi="宋体" w:eastAsia="宋体" w:cs="Times New Roman"/>
          <w:color w:val="auto"/>
          <w:sz w:val="24"/>
          <w:szCs w:val="24"/>
          <w:highlight w:val="none"/>
        </w:rPr>
      </w:pPr>
    </w:p>
    <w:p w14:paraId="50B757F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0AC5E2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21107847">
      <w:pPr>
        <w:spacing w:line="360" w:lineRule="auto"/>
        <w:ind w:firstLine="480"/>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49BE977">
      <w:pPr>
        <w:spacing w:line="360" w:lineRule="auto"/>
        <w:ind w:firstLine="480"/>
        <w:rPr>
          <w:rFonts w:hint="eastAsia" w:ascii="宋体" w:hAnsi="Courier New" w:eastAsia="宋体" w:cs="Times New Roman"/>
          <w:color w:val="auto"/>
          <w:sz w:val="24"/>
          <w:szCs w:val="24"/>
          <w:highlight w:val="none"/>
        </w:rPr>
      </w:pPr>
    </w:p>
    <w:p w14:paraId="6789746A">
      <w:pPr>
        <w:spacing w:line="360" w:lineRule="auto"/>
        <w:ind w:firstLine="480"/>
        <w:rPr>
          <w:rFonts w:hint="eastAsia" w:ascii="宋体" w:hAnsi="Courier New" w:eastAsia="宋体" w:cs="Times New Roman"/>
          <w:color w:val="auto"/>
          <w:sz w:val="24"/>
          <w:szCs w:val="24"/>
          <w:highlight w:val="none"/>
        </w:rPr>
      </w:pPr>
    </w:p>
    <w:p w14:paraId="312D0315">
      <w:pPr>
        <w:spacing w:line="360" w:lineRule="auto"/>
        <w:ind w:firstLine="480"/>
        <w:rPr>
          <w:rFonts w:hint="eastAsia" w:ascii="宋体" w:hAnsi="Courier New" w:eastAsia="宋体" w:cs="Times New Roman"/>
          <w:color w:val="auto"/>
          <w:sz w:val="24"/>
          <w:szCs w:val="24"/>
          <w:highlight w:val="none"/>
        </w:rPr>
      </w:pPr>
    </w:p>
    <w:p w14:paraId="04A1429F">
      <w:pPr>
        <w:spacing w:line="360" w:lineRule="auto"/>
        <w:ind w:firstLine="480"/>
        <w:rPr>
          <w:rFonts w:hint="eastAsia" w:ascii="宋体" w:hAnsi="Courier New" w:eastAsia="宋体" w:cs="Times New Roman"/>
          <w:color w:val="auto"/>
          <w:sz w:val="24"/>
          <w:szCs w:val="24"/>
          <w:highlight w:val="none"/>
        </w:rPr>
      </w:pPr>
    </w:p>
    <w:p w14:paraId="663B415E">
      <w:pPr>
        <w:spacing w:line="360" w:lineRule="auto"/>
        <w:ind w:firstLine="480"/>
        <w:rPr>
          <w:rFonts w:hint="eastAsia" w:ascii="宋体" w:hAnsi="Courier New" w:eastAsia="宋体" w:cs="Times New Roman"/>
          <w:color w:val="auto"/>
          <w:sz w:val="24"/>
          <w:szCs w:val="24"/>
          <w:highlight w:val="none"/>
        </w:rPr>
      </w:pPr>
    </w:p>
    <w:p w14:paraId="55EF7398">
      <w:pPr>
        <w:rPr>
          <w:rFonts w:hint="eastAsia" w:ascii="宋体" w:hAnsi="Courier New" w:eastAsia="宋体" w:cs="Times New Roman"/>
          <w:color w:val="auto"/>
          <w:sz w:val="24"/>
          <w:szCs w:val="24"/>
          <w:highlight w:val="none"/>
        </w:rPr>
      </w:pPr>
    </w:p>
    <w:p w14:paraId="300D55FF">
      <w:pPr>
        <w:spacing w:line="360" w:lineRule="auto"/>
        <w:ind w:firstLine="480"/>
        <w:rPr>
          <w:rFonts w:hint="eastAsia" w:ascii="宋体" w:hAnsi="Courier New" w:eastAsia="宋体" w:cs="Times New Roman"/>
          <w:color w:val="auto"/>
          <w:sz w:val="24"/>
          <w:szCs w:val="24"/>
          <w:highlight w:val="none"/>
        </w:rPr>
      </w:pPr>
    </w:p>
    <w:p w14:paraId="0B70FE96">
      <w:pPr>
        <w:spacing w:line="360" w:lineRule="auto"/>
        <w:ind w:firstLine="480"/>
        <w:rPr>
          <w:rFonts w:hint="eastAsia" w:ascii="宋体" w:hAnsi="Courier New" w:eastAsia="宋体" w:cs="Times New Roman"/>
          <w:color w:val="auto"/>
          <w:sz w:val="24"/>
          <w:szCs w:val="24"/>
          <w:highlight w:val="none"/>
        </w:rPr>
      </w:pPr>
    </w:p>
    <w:p w14:paraId="595C2550">
      <w:pPr>
        <w:spacing w:line="360" w:lineRule="auto"/>
        <w:ind w:firstLine="480"/>
        <w:rPr>
          <w:rFonts w:hint="eastAsia" w:ascii="宋体" w:hAnsi="Courier New" w:eastAsia="宋体" w:cs="Times New Roman"/>
          <w:color w:val="auto"/>
          <w:sz w:val="24"/>
          <w:szCs w:val="24"/>
          <w:highlight w:val="none"/>
        </w:rPr>
      </w:pPr>
    </w:p>
    <w:p w14:paraId="79D8D7F7">
      <w:pPr>
        <w:keepNext/>
        <w:spacing w:line="360" w:lineRule="auto"/>
        <w:jc w:val="left"/>
        <w:outlineLvl w:val="1"/>
        <w:rPr>
          <w:rFonts w:hint="eastAsia" w:ascii="宋体" w:hAnsi="宋体" w:eastAsia="宋体"/>
          <w:color w:val="auto"/>
          <w:sz w:val="24"/>
          <w:szCs w:val="24"/>
          <w:highlight w:val="none"/>
        </w:rPr>
      </w:pPr>
    </w:p>
    <w:p w14:paraId="0BAA55FE">
      <w:pPr>
        <w:keepNext/>
        <w:spacing w:line="360" w:lineRule="auto"/>
        <w:jc w:val="left"/>
        <w:outlineLvl w:val="1"/>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7</w:t>
      </w:r>
      <w:r>
        <w:rPr>
          <w:rFonts w:hint="eastAsia" w:ascii="宋体" w:hAnsi="宋体" w:eastAsia="宋体"/>
          <w:color w:val="auto"/>
          <w:sz w:val="24"/>
          <w:szCs w:val="24"/>
          <w:highlight w:val="none"/>
        </w:rPr>
        <w:t>、</w:t>
      </w:r>
      <w:r>
        <w:rPr>
          <w:rFonts w:hint="eastAsia" w:ascii="宋体" w:hAnsi="宋体" w:eastAsia="宋体" w:cs="Times New Roman"/>
          <w:color w:val="auto"/>
          <w:sz w:val="24"/>
          <w:szCs w:val="24"/>
          <w:highlight w:val="none"/>
        </w:rPr>
        <w:t>类似项目业绩一览表</w:t>
      </w:r>
    </w:p>
    <w:p w14:paraId="0443AF3C">
      <w:pPr>
        <w:tabs>
          <w:tab w:val="left" w:pos="360"/>
        </w:tabs>
        <w:spacing w:line="360" w:lineRule="auto"/>
        <w:jc w:val="center"/>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类似项目业绩一览表</w:t>
      </w:r>
    </w:p>
    <w:p w14:paraId="6E46CB43">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项目名称：      项目编号：      分包号：</w:t>
      </w:r>
      <w:r>
        <w:rPr>
          <w:rFonts w:ascii="宋体" w:hAnsi="宋体" w:eastAsia="宋体" w:cs="Times New Roman"/>
          <w:bCs/>
          <w:i w:val="0"/>
          <w:iCs/>
          <w:color w:val="auto"/>
          <w:sz w:val="24"/>
          <w:szCs w:val="24"/>
          <w:highlight w:val="none"/>
        </w:rPr>
        <w:t xml:space="preserve"> </w:t>
      </w:r>
    </w:p>
    <w:tbl>
      <w:tblPr>
        <w:tblStyle w:val="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9972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69617EA4">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2686" w:type="dxa"/>
            <w:noWrap w:val="0"/>
            <w:vAlign w:val="center"/>
          </w:tcPr>
          <w:p w14:paraId="643920FD">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项目名称</w:t>
            </w:r>
          </w:p>
        </w:tc>
        <w:tc>
          <w:tcPr>
            <w:tcW w:w="1850" w:type="dxa"/>
            <w:noWrap w:val="0"/>
            <w:vAlign w:val="center"/>
          </w:tcPr>
          <w:p w14:paraId="661E2088">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签订时间</w:t>
            </w:r>
          </w:p>
        </w:tc>
        <w:tc>
          <w:tcPr>
            <w:tcW w:w="1985" w:type="dxa"/>
            <w:noWrap w:val="0"/>
            <w:vAlign w:val="center"/>
          </w:tcPr>
          <w:p w14:paraId="3E2CA04A">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采购单位</w:t>
            </w:r>
          </w:p>
        </w:tc>
        <w:tc>
          <w:tcPr>
            <w:tcW w:w="1309" w:type="dxa"/>
            <w:noWrap w:val="0"/>
            <w:vAlign w:val="center"/>
          </w:tcPr>
          <w:p w14:paraId="33401CC3">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主要标的</w:t>
            </w:r>
          </w:p>
        </w:tc>
      </w:tr>
      <w:tr w14:paraId="4C14A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C6C9C97">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2686" w:type="dxa"/>
            <w:noWrap w:val="0"/>
            <w:vAlign w:val="center"/>
          </w:tcPr>
          <w:p w14:paraId="5DF601A5">
            <w:pPr>
              <w:jc w:val="center"/>
              <w:rPr>
                <w:rFonts w:ascii="宋体" w:hAnsi="宋体" w:eastAsia="宋体" w:cs="Times New Roman"/>
                <w:i w:val="0"/>
                <w:iCs/>
                <w:color w:val="auto"/>
                <w:sz w:val="24"/>
                <w:szCs w:val="24"/>
                <w:highlight w:val="none"/>
              </w:rPr>
            </w:pPr>
          </w:p>
        </w:tc>
        <w:tc>
          <w:tcPr>
            <w:tcW w:w="1850" w:type="dxa"/>
            <w:noWrap w:val="0"/>
          </w:tcPr>
          <w:p w14:paraId="7AAFD29D">
            <w:pPr>
              <w:jc w:val="center"/>
              <w:rPr>
                <w:rFonts w:ascii="宋体" w:hAnsi="宋体" w:eastAsia="宋体" w:cs="Times New Roman"/>
                <w:i w:val="0"/>
                <w:iCs/>
                <w:color w:val="auto"/>
                <w:sz w:val="24"/>
                <w:szCs w:val="24"/>
                <w:highlight w:val="none"/>
              </w:rPr>
            </w:pPr>
          </w:p>
        </w:tc>
        <w:tc>
          <w:tcPr>
            <w:tcW w:w="1985" w:type="dxa"/>
            <w:noWrap w:val="0"/>
            <w:vAlign w:val="center"/>
          </w:tcPr>
          <w:p w14:paraId="683744E6">
            <w:pPr>
              <w:jc w:val="center"/>
              <w:rPr>
                <w:rFonts w:ascii="宋体" w:hAnsi="宋体" w:eastAsia="宋体" w:cs="Times New Roman"/>
                <w:i w:val="0"/>
                <w:iCs/>
                <w:color w:val="auto"/>
                <w:sz w:val="24"/>
                <w:szCs w:val="24"/>
                <w:highlight w:val="none"/>
              </w:rPr>
            </w:pPr>
          </w:p>
        </w:tc>
        <w:tc>
          <w:tcPr>
            <w:tcW w:w="1309" w:type="dxa"/>
            <w:noWrap w:val="0"/>
            <w:vAlign w:val="center"/>
          </w:tcPr>
          <w:p w14:paraId="1492FF05">
            <w:pPr>
              <w:jc w:val="center"/>
              <w:rPr>
                <w:rFonts w:ascii="宋体" w:hAnsi="宋体" w:eastAsia="宋体" w:cs="Times New Roman"/>
                <w:i w:val="0"/>
                <w:iCs/>
                <w:color w:val="auto"/>
                <w:sz w:val="24"/>
                <w:szCs w:val="24"/>
                <w:highlight w:val="none"/>
              </w:rPr>
            </w:pPr>
          </w:p>
        </w:tc>
      </w:tr>
      <w:tr w14:paraId="36502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715C405">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2686" w:type="dxa"/>
            <w:noWrap w:val="0"/>
            <w:vAlign w:val="center"/>
          </w:tcPr>
          <w:p w14:paraId="74F72FAA">
            <w:pPr>
              <w:jc w:val="center"/>
              <w:rPr>
                <w:rFonts w:ascii="宋体" w:hAnsi="宋体" w:eastAsia="宋体" w:cs="Times New Roman"/>
                <w:i w:val="0"/>
                <w:iCs/>
                <w:color w:val="auto"/>
                <w:sz w:val="24"/>
                <w:szCs w:val="24"/>
                <w:highlight w:val="none"/>
              </w:rPr>
            </w:pPr>
          </w:p>
        </w:tc>
        <w:tc>
          <w:tcPr>
            <w:tcW w:w="1850" w:type="dxa"/>
            <w:noWrap w:val="0"/>
          </w:tcPr>
          <w:p w14:paraId="6EC46620">
            <w:pPr>
              <w:jc w:val="center"/>
              <w:rPr>
                <w:rFonts w:ascii="宋体" w:hAnsi="宋体" w:eastAsia="宋体" w:cs="Times New Roman"/>
                <w:i w:val="0"/>
                <w:iCs/>
                <w:color w:val="auto"/>
                <w:sz w:val="24"/>
                <w:szCs w:val="24"/>
                <w:highlight w:val="none"/>
              </w:rPr>
            </w:pPr>
          </w:p>
        </w:tc>
        <w:tc>
          <w:tcPr>
            <w:tcW w:w="1985" w:type="dxa"/>
            <w:noWrap w:val="0"/>
            <w:vAlign w:val="center"/>
          </w:tcPr>
          <w:p w14:paraId="4FAD0F1A">
            <w:pPr>
              <w:jc w:val="center"/>
              <w:rPr>
                <w:rFonts w:ascii="宋体" w:hAnsi="宋体" w:eastAsia="宋体" w:cs="Times New Roman"/>
                <w:i w:val="0"/>
                <w:iCs/>
                <w:color w:val="auto"/>
                <w:sz w:val="24"/>
                <w:szCs w:val="24"/>
                <w:highlight w:val="none"/>
              </w:rPr>
            </w:pPr>
          </w:p>
        </w:tc>
        <w:tc>
          <w:tcPr>
            <w:tcW w:w="1309" w:type="dxa"/>
            <w:noWrap w:val="0"/>
            <w:vAlign w:val="center"/>
          </w:tcPr>
          <w:p w14:paraId="4309DB36">
            <w:pPr>
              <w:jc w:val="center"/>
              <w:rPr>
                <w:rFonts w:ascii="宋体" w:hAnsi="宋体" w:eastAsia="宋体" w:cs="Times New Roman"/>
                <w:i w:val="0"/>
                <w:iCs/>
                <w:color w:val="auto"/>
                <w:sz w:val="24"/>
                <w:szCs w:val="24"/>
                <w:highlight w:val="none"/>
              </w:rPr>
            </w:pPr>
          </w:p>
        </w:tc>
      </w:tr>
      <w:tr w14:paraId="0D67D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6EFB827">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2686" w:type="dxa"/>
            <w:noWrap w:val="0"/>
            <w:vAlign w:val="center"/>
          </w:tcPr>
          <w:p w14:paraId="741B657B">
            <w:pPr>
              <w:jc w:val="center"/>
              <w:rPr>
                <w:rFonts w:ascii="宋体" w:hAnsi="宋体" w:eastAsia="宋体" w:cs="Times New Roman"/>
                <w:i w:val="0"/>
                <w:iCs/>
                <w:color w:val="auto"/>
                <w:sz w:val="24"/>
                <w:szCs w:val="24"/>
                <w:highlight w:val="none"/>
              </w:rPr>
            </w:pPr>
          </w:p>
        </w:tc>
        <w:tc>
          <w:tcPr>
            <w:tcW w:w="1850" w:type="dxa"/>
            <w:noWrap w:val="0"/>
          </w:tcPr>
          <w:p w14:paraId="2EAAA9B9">
            <w:pPr>
              <w:jc w:val="center"/>
              <w:rPr>
                <w:rFonts w:ascii="宋体" w:hAnsi="宋体" w:eastAsia="宋体" w:cs="Times New Roman"/>
                <w:i w:val="0"/>
                <w:iCs/>
                <w:color w:val="auto"/>
                <w:sz w:val="24"/>
                <w:szCs w:val="24"/>
                <w:highlight w:val="none"/>
              </w:rPr>
            </w:pPr>
          </w:p>
        </w:tc>
        <w:tc>
          <w:tcPr>
            <w:tcW w:w="1985" w:type="dxa"/>
            <w:noWrap w:val="0"/>
            <w:vAlign w:val="center"/>
          </w:tcPr>
          <w:p w14:paraId="69D7DD66">
            <w:pPr>
              <w:jc w:val="center"/>
              <w:rPr>
                <w:rFonts w:ascii="宋体" w:hAnsi="宋体" w:eastAsia="宋体" w:cs="Times New Roman"/>
                <w:i w:val="0"/>
                <w:iCs/>
                <w:color w:val="auto"/>
                <w:sz w:val="24"/>
                <w:szCs w:val="24"/>
                <w:highlight w:val="none"/>
              </w:rPr>
            </w:pPr>
          </w:p>
        </w:tc>
        <w:tc>
          <w:tcPr>
            <w:tcW w:w="1309" w:type="dxa"/>
            <w:noWrap w:val="0"/>
            <w:vAlign w:val="center"/>
          </w:tcPr>
          <w:p w14:paraId="7D8AE067">
            <w:pPr>
              <w:jc w:val="center"/>
              <w:rPr>
                <w:rFonts w:ascii="宋体" w:hAnsi="宋体" w:eastAsia="宋体" w:cs="Times New Roman"/>
                <w:i w:val="0"/>
                <w:iCs/>
                <w:color w:val="auto"/>
                <w:sz w:val="24"/>
                <w:szCs w:val="24"/>
                <w:highlight w:val="none"/>
              </w:rPr>
            </w:pPr>
          </w:p>
        </w:tc>
      </w:tr>
      <w:tr w14:paraId="625E4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178797B">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2686" w:type="dxa"/>
            <w:noWrap w:val="0"/>
            <w:vAlign w:val="center"/>
          </w:tcPr>
          <w:p w14:paraId="6235D805">
            <w:pPr>
              <w:jc w:val="center"/>
              <w:rPr>
                <w:rFonts w:ascii="宋体" w:hAnsi="宋体" w:eastAsia="宋体" w:cs="Times New Roman"/>
                <w:i w:val="0"/>
                <w:iCs/>
                <w:color w:val="auto"/>
                <w:sz w:val="24"/>
                <w:szCs w:val="24"/>
                <w:highlight w:val="none"/>
              </w:rPr>
            </w:pPr>
          </w:p>
        </w:tc>
        <w:tc>
          <w:tcPr>
            <w:tcW w:w="1850" w:type="dxa"/>
            <w:noWrap w:val="0"/>
          </w:tcPr>
          <w:p w14:paraId="228B6928">
            <w:pPr>
              <w:jc w:val="center"/>
              <w:rPr>
                <w:rFonts w:ascii="宋体" w:hAnsi="宋体" w:eastAsia="宋体" w:cs="Times New Roman"/>
                <w:i w:val="0"/>
                <w:iCs/>
                <w:color w:val="auto"/>
                <w:sz w:val="24"/>
                <w:szCs w:val="24"/>
                <w:highlight w:val="none"/>
              </w:rPr>
            </w:pPr>
          </w:p>
        </w:tc>
        <w:tc>
          <w:tcPr>
            <w:tcW w:w="1985" w:type="dxa"/>
            <w:noWrap w:val="0"/>
            <w:vAlign w:val="center"/>
          </w:tcPr>
          <w:p w14:paraId="416ECD5C">
            <w:pPr>
              <w:jc w:val="center"/>
              <w:rPr>
                <w:rFonts w:ascii="宋体" w:hAnsi="宋体" w:eastAsia="宋体" w:cs="Times New Roman"/>
                <w:i w:val="0"/>
                <w:iCs/>
                <w:color w:val="auto"/>
                <w:sz w:val="24"/>
                <w:szCs w:val="24"/>
                <w:highlight w:val="none"/>
              </w:rPr>
            </w:pPr>
          </w:p>
        </w:tc>
        <w:tc>
          <w:tcPr>
            <w:tcW w:w="1309" w:type="dxa"/>
            <w:noWrap w:val="0"/>
            <w:vAlign w:val="center"/>
          </w:tcPr>
          <w:p w14:paraId="6C39A283">
            <w:pPr>
              <w:jc w:val="center"/>
              <w:rPr>
                <w:rFonts w:ascii="宋体" w:hAnsi="宋体" w:eastAsia="宋体" w:cs="Times New Roman"/>
                <w:i w:val="0"/>
                <w:iCs/>
                <w:color w:val="auto"/>
                <w:sz w:val="24"/>
                <w:szCs w:val="24"/>
                <w:highlight w:val="none"/>
              </w:rPr>
            </w:pPr>
          </w:p>
        </w:tc>
      </w:tr>
    </w:tbl>
    <w:p w14:paraId="6640BF7F">
      <w:pPr>
        <w:spacing w:line="500" w:lineRule="exact"/>
        <w:ind w:firstLine="480"/>
        <w:rPr>
          <w:rFonts w:ascii="宋体" w:hAnsi="宋体" w:eastAsia="宋体" w:cs="Times New Roman"/>
          <w:i w:val="0"/>
          <w:iCs/>
          <w:color w:val="auto"/>
          <w:sz w:val="24"/>
          <w:szCs w:val="24"/>
          <w:highlight w:val="none"/>
        </w:rPr>
      </w:pPr>
    </w:p>
    <w:p w14:paraId="6B388A1C">
      <w:pPr>
        <w:spacing w:line="500" w:lineRule="exact"/>
        <w:ind w:firstLine="480"/>
        <w:rPr>
          <w:rFonts w:ascii="宋体" w:hAnsi="宋体" w:eastAsia="宋体" w:cs="Times New Roman"/>
          <w:i w:val="0"/>
          <w:iCs/>
          <w:color w:val="auto"/>
          <w:sz w:val="24"/>
          <w:szCs w:val="24"/>
          <w:highlight w:val="none"/>
        </w:rPr>
      </w:pPr>
    </w:p>
    <w:p w14:paraId="3D189A18">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投标人（盖章）：</w:t>
      </w:r>
    </w:p>
    <w:p w14:paraId="0439FF6F">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法定代表人</w:t>
      </w:r>
      <w:r>
        <w:rPr>
          <w:rFonts w:ascii="Calibri" w:hAnsi="Calibri" w:eastAsia="宋体" w:cs="Times New Roman"/>
          <w:i w:val="0"/>
          <w:iCs/>
          <w:color w:val="auto"/>
          <w:sz w:val="24"/>
          <w:szCs w:val="24"/>
          <w:highlight w:val="none"/>
        </w:rPr>
        <w:t>（单位负责人）</w:t>
      </w:r>
      <w:r>
        <w:rPr>
          <w:rFonts w:hint="eastAsia" w:ascii="Times New Roman" w:hAnsi="Times New Roman" w:eastAsia="宋体" w:cs="Times New Roman"/>
          <w:i w:val="0"/>
          <w:iCs/>
          <w:color w:val="auto"/>
          <w:sz w:val="24"/>
          <w:szCs w:val="24"/>
          <w:highlight w:val="none"/>
        </w:rPr>
        <w:t>或委托代理人（签字或盖章）：</w:t>
      </w:r>
    </w:p>
    <w:p w14:paraId="6693AC03">
      <w:pPr>
        <w:spacing w:line="500" w:lineRule="exact"/>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日期：    年     月     日</w:t>
      </w:r>
    </w:p>
    <w:p w14:paraId="5F0517C9">
      <w:pPr>
        <w:widowControl/>
        <w:jc w:val="left"/>
        <w:rPr>
          <w:rFonts w:ascii="Times New Roman" w:hAnsi="Times New Roman" w:eastAsia="黑体" w:cs="Times New Roman"/>
          <w:b/>
          <w:color w:val="auto"/>
          <w:sz w:val="28"/>
          <w:szCs w:val="20"/>
          <w:highlight w:val="none"/>
        </w:rPr>
      </w:pPr>
    </w:p>
    <w:p w14:paraId="18AD4ED3">
      <w:pPr>
        <w:widowControl/>
        <w:jc w:val="left"/>
        <w:rPr>
          <w:rFonts w:ascii="Times New Roman" w:hAnsi="Times New Roman" w:eastAsia="黑体" w:cs="Times New Roman"/>
          <w:b/>
          <w:color w:val="auto"/>
          <w:sz w:val="28"/>
          <w:szCs w:val="20"/>
          <w:highlight w:val="none"/>
        </w:rPr>
      </w:pPr>
    </w:p>
    <w:p w14:paraId="24C3C739">
      <w:pPr>
        <w:widowControl/>
        <w:jc w:val="left"/>
        <w:rPr>
          <w:rFonts w:ascii="Times New Roman" w:hAnsi="Times New Roman" w:eastAsia="黑体" w:cs="Times New Roman"/>
          <w:b/>
          <w:color w:val="auto"/>
          <w:sz w:val="28"/>
          <w:szCs w:val="20"/>
          <w:highlight w:val="none"/>
        </w:rPr>
      </w:pPr>
    </w:p>
    <w:p w14:paraId="2776C615">
      <w:pPr>
        <w:widowControl/>
        <w:jc w:val="left"/>
        <w:rPr>
          <w:rFonts w:ascii="Times New Roman" w:hAnsi="Times New Roman" w:eastAsia="黑体" w:cs="Times New Roman"/>
          <w:b/>
          <w:color w:val="auto"/>
          <w:sz w:val="28"/>
          <w:szCs w:val="20"/>
          <w:highlight w:val="none"/>
        </w:rPr>
      </w:pPr>
    </w:p>
    <w:p w14:paraId="10A415AC">
      <w:pPr>
        <w:widowControl/>
        <w:jc w:val="left"/>
        <w:rPr>
          <w:rFonts w:ascii="Times New Roman" w:hAnsi="Times New Roman" w:eastAsia="黑体" w:cs="Times New Roman"/>
          <w:b/>
          <w:color w:val="auto"/>
          <w:sz w:val="28"/>
          <w:szCs w:val="20"/>
          <w:highlight w:val="none"/>
        </w:rPr>
      </w:pPr>
    </w:p>
    <w:p w14:paraId="4813A1FD">
      <w:pPr>
        <w:widowControl/>
        <w:jc w:val="left"/>
        <w:rPr>
          <w:rFonts w:ascii="Times New Roman" w:hAnsi="Times New Roman" w:eastAsia="黑体" w:cs="Times New Roman"/>
          <w:b/>
          <w:color w:val="auto"/>
          <w:sz w:val="28"/>
          <w:szCs w:val="20"/>
          <w:highlight w:val="none"/>
        </w:rPr>
      </w:pPr>
    </w:p>
    <w:p w14:paraId="01491857">
      <w:pPr>
        <w:widowControl/>
        <w:jc w:val="left"/>
        <w:rPr>
          <w:rFonts w:ascii="Times New Roman" w:hAnsi="Times New Roman" w:eastAsia="黑体" w:cs="Times New Roman"/>
          <w:b/>
          <w:color w:val="auto"/>
          <w:sz w:val="28"/>
          <w:szCs w:val="20"/>
          <w:highlight w:val="none"/>
        </w:rPr>
      </w:pPr>
    </w:p>
    <w:p w14:paraId="70B757F2">
      <w:pPr>
        <w:widowControl/>
        <w:jc w:val="left"/>
        <w:rPr>
          <w:rFonts w:ascii="Times New Roman" w:hAnsi="Times New Roman" w:eastAsia="黑体" w:cs="Times New Roman"/>
          <w:b/>
          <w:color w:val="auto"/>
          <w:sz w:val="28"/>
          <w:szCs w:val="20"/>
          <w:highlight w:val="none"/>
        </w:rPr>
      </w:pPr>
    </w:p>
    <w:p w14:paraId="44F36DBB">
      <w:pPr>
        <w:widowControl/>
        <w:jc w:val="left"/>
        <w:rPr>
          <w:rFonts w:ascii="Times New Roman" w:hAnsi="Times New Roman" w:eastAsia="黑体" w:cs="Times New Roman"/>
          <w:b/>
          <w:color w:val="auto"/>
          <w:sz w:val="28"/>
          <w:szCs w:val="20"/>
          <w:highlight w:val="none"/>
        </w:rPr>
      </w:pPr>
    </w:p>
    <w:p w14:paraId="6ACF66A4">
      <w:pPr>
        <w:widowControl/>
        <w:jc w:val="left"/>
        <w:rPr>
          <w:rFonts w:ascii="Times New Roman" w:hAnsi="Times New Roman" w:eastAsia="黑体" w:cs="Times New Roman"/>
          <w:b/>
          <w:color w:val="auto"/>
          <w:sz w:val="28"/>
          <w:szCs w:val="20"/>
          <w:highlight w:val="none"/>
        </w:rPr>
      </w:pPr>
    </w:p>
    <w:p w14:paraId="02ECBE65">
      <w:pPr>
        <w:widowControl/>
        <w:jc w:val="left"/>
        <w:rPr>
          <w:rFonts w:ascii="Times New Roman" w:hAnsi="Times New Roman" w:eastAsia="黑体" w:cs="Times New Roman"/>
          <w:b/>
          <w:color w:val="auto"/>
          <w:sz w:val="28"/>
          <w:szCs w:val="20"/>
          <w:highlight w:val="none"/>
        </w:rPr>
      </w:pPr>
    </w:p>
    <w:p w14:paraId="7C19F25F">
      <w:pPr>
        <w:widowControl/>
        <w:jc w:val="left"/>
        <w:rPr>
          <w:rFonts w:ascii="Times New Roman" w:hAnsi="Times New Roman" w:eastAsia="黑体" w:cs="Times New Roman"/>
          <w:b/>
          <w:color w:val="auto"/>
          <w:sz w:val="28"/>
          <w:szCs w:val="20"/>
          <w:highlight w:val="none"/>
        </w:rPr>
      </w:pPr>
    </w:p>
    <w:p w14:paraId="27181A0F">
      <w:pPr>
        <w:widowControl/>
        <w:jc w:val="left"/>
        <w:rPr>
          <w:rFonts w:ascii="Times New Roman" w:hAnsi="Times New Roman" w:eastAsia="黑体" w:cs="Times New Roman"/>
          <w:b/>
          <w:color w:val="auto"/>
          <w:sz w:val="28"/>
          <w:szCs w:val="20"/>
          <w:highlight w:val="none"/>
        </w:rPr>
      </w:pPr>
    </w:p>
    <w:p w14:paraId="428B7DD6">
      <w:pPr>
        <w:widowControl/>
        <w:jc w:val="left"/>
        <w:rPr>
          <w:rFonts w:ascii="Times New Roman" w:hAnsi="Times New Roman" w:eastAsia="黑体" w:cs="Times New Roman"/>
          <w:b/>
          <w:color w:val="auto"/>
          <w:sz w:val="28"/>
          <w:szCs w:val="20"/>
          <w:highlight w:val="none"/>
        </w:rPr>
      </w:pPr>
    </w:p>
    <w:p w14:paraId="74F90309">
      <w:pPr>
        <w:widowControl/>
        <w:jc w:val="left"/>
        <w:rPr>
          <w:rFonts w:ascii="Times New Roman" w:hAnsi="Times New Roman" w:eastAsia="黑体" w:cs="Times New Roman"/>
          <w:b/>
          <w:color w:val="auto"/>
          <w:sz w:val="28"/>
          <w:szCs w:val="20"/>
          <w:highlight w:val="none"/>
        </w:rPr>
      </w:pPr>
    </w:p>
    <w:p w14:paraId="7330BDE8">
      <w:pPr>
        <w:widowControl/>
        <w:jc w:val="left"/>
        <w:rPr>
          <w:rFonts w:ascii="Times New Roman" w:hAnsi="Times New Roman" w:eastAsia="黑体" w:cs="Times New Roman"/>
          <w:b/>
          <w:color w:val="auto"/>
          <w:sz w:val="28"/>
          <w:szCs w:val="20"/>
          <w:highlight w:val="none"/>
        </w:rPr>
      </w:pPr>
    </w:p>
    <w:p w14:paraId="22D7F1B0">
      <w:pPr>
        <w:widowControl/>
        <w:jc w:val="left"/>
        <w:rPr>
          <w:rFonts w:ascii="Times New Roman" w:hAnsi="Times New Roman" w:eastAsia="黑体" w:cs="Times New Roman"/>
          <w:b/>
          <w:color w:val="auto"/>
          <w:sz w:val="28"/>
          <w:szCs w:val="20"/>
          <w:highlight w:val="none"/>
        </w:rPr>
      </w:pPr>
    </w:p>
    <w:p w14:paraId="0D26CC06">
      <w:pPr>
        <w:widowControl/>
        <w:jc w:val="left"/>
        <w:rPr>
          <w:rFonts w:ascii="Times New Roman" w:hAnsi="Times New Roman" w:eastAsia="黑体" w:cs="Times New Roman"/>
          <w:b/>
          <w:color w:val="auto"/>
          <w:sz w:val="28"/>
          <w:szCs w:val="20"/>
          <w:highlight w:val="none"/>
        </w:rPr>
      </w:pPr>
    </w:p>
    <w:p w14:paraId="74A49187">
      <w:pPr>
        <w:widowControl/>
        <w:jc w:val="left"/>
        <w:rPr>
          <w:rFonts w:ascii="Times New Roman" w:hAnsi="Times New Roman" w:eastAsia="黑体" w:cs="Times New Roman"/>
          <w:b/>
          <w:color w:val="auto"/>
          <w:sz w:val="28"/>
          <w:szCs w:val="20"/>
          <w:highlight w:val="none"/>
        </w:rPr>
      </w:pPr>
    </w:p>
    <w:p w14:paraId="548BAC91">
      <w:pPr>
        <w:widowControl/>
        <w:jc w:val="left"/>
        <w:rPr>
          <w:rFonts w:ascii="Times New Roman" w:hAnsi="Times New Roman" w:eastAsia="黑体" w:cs="Times New Roman"/>
          <w:b/>
          <w:color w:val="auto"/>
          <w:sz w:val="28"/>
          <w:szCs w:val="20"/>
          <w:highlight w:val="none"/>
        </w:rPr>
      </w:pPr>
    </w:p>
    <w:p w14:paraId="53B18EC3">
      <w:pPr>
        <w:widowControl/>
        <w:jc w:val="left"/>
        <w:rPr>
          <w:rFonts w:ascii="Times New Roman" w:hAnsi="Times New Roman" w:eastAsia="黑体" w:cs="Times New Roman"/>
          <w:b/>
          <w:color w:val="auto"/>
          <w:sz w:val="28"/>
          <w:szCs w:val="20"/>
          <w:highlight w:val="none"/>
        </w:rPr>
      </w:pPr>
    </w:p>
    <w:p w14:paraId="5F091680">
      <w:pPr>
        <w:widowControl/>
        <w:jc w:val="left"/>
        <w:rPr>
          <w:rFonts w:ascii="Times New Roman" w:hAnsi="Times New Roman" w:eastAsia="黑体" w:cs="Times New Roman"/>
          <w:b/>
          <w:color w:val="auto"/>
          <w:sz w:val="28"/>
          <w:szCs w:val="20"/>
          <w:highlight w:val="none"/>
        </w:rPr>
      </w:pPr>
    </w:p>
    <w:p w14:paraId="683B0494">
      <w:pPr>
        <w:keepNext/>
        <w:spacing w:line="360" w:lineRule="auto"/>
        <w:outlineLvl w:val="1"/>
        <w:rPr>
          <w:rFonts w:ascii="宋体" w:hAnsi="Courier New" w:eastAsia="宋体" w:cs="Times New Roman"/>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8</w:t>
      </w:r>
      <w:r>
        <w:rPr>
          <w:rFonts w:hint="eastAsia" w:ascii="宋体" w:hAnsi="宋体" w:eastAsia="宋体"/>
          <w:color w:val="auto"/>
          <w:sz w:val="24"/>
          <w:szCs w:val="24"/>
          <w:highlight w:val="none"/>
        </w:rPr>
        <w:t>、财务状况报告及税收、社会保障资金缴纳情况承诺函</w:t>
      </w:r>
    </w:p>
    <w:p w14:paraId="30CE1824">
      <w:pPr>
        <w:jc w:val="center"/>
        <w:rPr>
          <w:rFonts w:ascii="黑体" w:hAnsi="黑体" w:eastAsia="黑体" w:cs="宋体"/>
          <w:bCs/>
          <w:color w:val="auto"/>
          <w:sz w:val="36"/>
          <w:szCs w:val="28"/>
          <w:highlight w:val="none"/>
        </w:rPr>
      </w:pPr>
    </w:p>
    <w:p w14:paraId="279E716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447C5AF4">
      <w:pPr>
        <w:pStyle w:val="219"/>
        <w:rPr>
          <w:color w:val="auto"/>
          <w:highlight w:val="none"/>
        </w:rPr>
      </w:pPr>
    </w:p>
    <w:p w14:paraId="0C8C50BE">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i/>
          <w:color w:val="auto"/>
          <w:sz w:val="24"/>
          <w:highlight w:val="none"/>
          <w:u w:val="single"/>
        </w:rPr>
        <w:t>【采购单位】</w:t>
      </w:r>
    </w:p>
    <w:p w14:paraId="7B472194">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w:t>
      </w:r>
      <w:r>
        <w:rPr>
          <w:rFonts w:hint="eastAsia" w:ascii="宋体" w:hAnsi="宋体" w:eastAsia="宋体" w:cs="Times New Roman"/>
          <w:i/>
          <w:color w:val="auto"/>
          <w:sz w:val="24"/>
          <w:highlight w:val="none"/>
          <w:u w:val="single"/>
        </w:rPr>
        <w:t>供应商名称</w:t>
      </w:r>
      <w:r>
        <w:rPr>
          <w:rFonts w:hint="eastAsia" w:ascii="宋体" w:hAnsi="宋体" w:eastAsia="宋体" w:cs="Times New Roman"/>
          <w:color w:val="auto"/>
          <w:sz w:val="24"/>
          <w:highlight w:val="none"/>
        </w:rPr>
        <w:t>参加</w:t>
      </w:r>
      <w:r>
        <w:rPr>
          <w:rFonts w:hint="eastAsia" w:ascii="宋体" w:hAnsi="宋体" w:eastAsia="宋体" w:cs="Times New Roman"/>
          <w:i/>
          <w:color w:val="auto"/>
          <w:sz w:val="24"/>
          <w:highlight w:val="none"/>
          <w:u w:val="single"/>
        </w:rPr>
        <w:t>【标段名称】</w:t>
      </w:r>
      <w:r>
        <w:rPr>
          <w:rFonts w:hint="eastAsia" w:ascii="宋体" w:hAnsi="宋体" w:eastAsia="宋体" w:cs="Times New Roman"/>
          <w:color w:val="auto"/>
          <w:sz w:val="24"/>
          <w:highlight w:val="none"/>
        </w:rPr>
        <w:t>（项目编号：</w:t>
      </w:r>
      <w:r>
        <w:rPr>
          <w:rFonts w:hint="eastAsia" w:ascii="宋体" w:hAnsi="宋体" w:eastAsia="宋体" w:cs="Times New Roman"/>
          <w:i/>
          <w:color w:val="auto"/>
          <w:sz w:val="24"/>
          <w:highlight w:val="none"/>
          <w:u w:val="single"/>
        </w:rPr>
        <w:t>【标段编号】</w:t>
      </w:r>
      <w:r>
        <w:rPr>
          <w:rFonts w:hint="eastAsia" w:ascii="宋体" w:hAnsi="宋体" w:eastAsia="宋体" w:cs="Times New Roman"/>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81FD690">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（1）具有良好的商业信誉和健全的财务会计制度（财务状况报告）；</w:t>
      </w:r>
    </w:p>
    <w:p w14:paraId="3E193186">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（2）有依法缴纳税收和社会保障资金的良好记录。</w:t>
      </w:r>
    </w:p>
    <w:p w14:paraId="178365DD">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DE368C5">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特此承诺</w:t>
      </w:r>
    </w:p>
    <w:p w14:paraId="4430A7D0">
      <w:pPr>
        <w:ind w:firstLine="480"/>
        <w:rPr>
          <w:rFonts w:ascii="宋体" w:hAnsi="宋体" w:eastAsia="宋体" w:cs="Times New Roman"/>
          <w:color w:val="auto"/>
          <w:sz w:val="24"/>
          <w:highlight w:val="none"/>
        </w:rPr>
      </w:pPr>
    </w:p>
    <w:p w14:paraId="4E9724DB">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投标人（盖章）：</w:t>
      </w:r>
    </w:p>
    <w:p w14:paraId="1020CE28">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法定代表人或委托代理人（签字或盖章）：</w:t>
      </w:r>
    </w:p>
    <w:p w14:paraId="1A58A74B">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日期：    年     月     日</w:t>
      </w:r>
    </w:p>
    <w:p w14:paraId="19FC9A5F">
      <w:pPr>
        <w:spacing w:line="360" w:lineRule="auto"/>
        <w:ind w:firstLine="482"/>
        <w:rPr>
          <w:rFonts w:ascii="宋体" w:hAnsi="Courier New" w:eastAsia="宋体" w:cs="Times New Roman"/>
          <w:b/>
          <w:color w:val="auto"/>
          <w:sz w:val="24"/>
          <w:szCs w:val="24"/>
          <w:highlight w:val="none"/>
        </w:rPr>
      </w:pPr>
    </w:p>
    <w:p w14:paraId="3B31A842">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43B2A75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格式1</w:t>
      </w:r>
      <w:r>
        <w:rPr>
          <w:rFonts w:hint="eastAsia" w:ascii="宋体" w:hAnsi="宋体" w:eastAsia="宋体" w:cs="宋体"/>
          <w:color w:val="000000"/>
          <w:sz w:val="24"/>
          <w:lang w:val="en-US" w:eastAsia="zh-CN"/>
        </w:rPr>
        <w:t>9</w:t>
      </w:r>
      <w:r>
        <w:rPr>
          <w:rFonts w:ascii="宋体" w:hAnsi="宋体" w:eastAsia="宋体" w:cs="宋体"/>
          <w:color w:val="000000"/>
          <w:sz w:val="24"/>
        </w:rPr>
        <w:t>、关于符合本国产品标准的声明函</w:t>
      </w:r>
    </w:p>
    <w:p w14:paraId="2935BC4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32"/>
          <w:u w:val="single"/>
        </w:rPr>
        <w:t>关于符合本国产品标准的声明函</w:t>
      </w:r>
    </w:p>
    <w:p w14:paraId="067AA35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w:t>
      </w:r>
    </w:p>
    <w:p w14:paraId="1857763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本公司（联合体）郑重声明，根据《国务院办公厅关于在政府采购中实施本国产品标准及相关政策的通知》（国办发〔2025〕34号）的规定，本公司（单位）提供的以下产品属于本国产品。具体情况如下：</w:t>
      </w:r>
    </w:p>
    <w:p w14:paraId="1D5A40A7">
      <w:pPr>
        <w:pBdr>
          <w:top w:val="none" w:color="000000" w:sz="0" w:space="0"/>
          <w:left w:val="none" w:color="000000" w:sz="0" w:space="0"/>
          <w:bottom w:val="none" w:color="000000" w:sz="0" w:space="0"/>
          <w:right w:val="none" w:color="000000" w:sz="0" w:space="0"/>
        </w:pBdr>
        <w:spacing w:before="30" w:after="30" w:line="85" w:lineRule="atLeast"/>
        <w:ind w:left="0" w:right="0" w:firstLine="420"/>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的中国境内生产的组件成本占比≥</w:t>
      </w:r>
      <w:r>
        <w:rPr>
          <w:rFonts w:ascii="宋体" w:hAnsi="宋体" w:eastAsia="宋体" w:cs="宋体"/>
          <w:strike/>
          <w:color w:val="000000"/>
          <w:sz w:val="24"/>
          <w:highlight w:val="white"/>
          <w:u w:val="single"/>
        </w:rPr>
        <w:t>（规定比例）</w:t>
      </w:r>
      <w:r>
        <w:rPr>
          <w:rFonts w:ascii="宋体" w:hAnsi="宋体" w:eastAsia="宋体" w:cs="宋体"/>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（关键组件）</w:t>
      </w:r>
      <w:r>
        <w:rPr>
          <w:rFonts w:ascii="宋体" w:hAnsi="宋体" w:eastAsia="宋体" w:cs="宋体"/>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（关键工序）</w:t>
      </w:r>
      <w:r>
        <w:rPr>
          <w:rFonts w:ascii="宋体" w:hAnsi="宋体" w:eastAsia="宋体" w:cs="宋体"/>
          <w:color w:val="000000"/>
          <w:sz w:val="24"/>
          <w:highlight w:val="white"/>
          <w:vertAlign w:val="superscript"/>
        </w:rPr>
        <w:t>5</w:t>
      </w:r>
      <w:r>
        <w:rPr>
          <w:rFonts w:ascii="宋体" w:hAnsi="宋体" w:eastAsia="宋体" w:cs="宋体"/>
          <w:color w:val="000000"/>
          <w:sz w:val="24"/>
          <w:highlight w:val="white"/>
        </w:rPr>
        <w:t>在中国境内完成。</w:t>
      </w:r>
    </w:p>
    <w:p w14:paraId="29F71E4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（产品名称2）</w:t>
      </w:r>
      <w:r>
        <w:rPr>
          <w:rFonts w:ascii="宋体" w:hAnsi="宋体" w:eastAsia="宋体" w:cs="宋体"/>
          <w:color w:val="000000"/>
          <w:sz w:val="24"/>
          <w:highlight w:val="white"/>
        </w:rPr>
        <w:t>的中国境内生产的组件成本占比≥</w:t>
      </w:r>
      <w:r>
        <w:rPr>
          <w:rFonts w:ascii="宋体" w:hAnsi="宋体" w:eastAsia="宋体" w:cs="宋体"/>
          <w:strike/>
          <w:color w:val="000000"/>
          <w:sz w:val="24"/>
          <w:highlight w:val="white"/>
          <w:u w:val="single"/>
        </w:rPr>
        <w:t>（规定比例）</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（关键组件）</w:t>
      </w:r>
      <w:r>
        <w:rPr>
          <w:rFonts w:ascii="宋体" w:hAnsi="宋体" w:eastAsia="宋体" w:cs="宋体"/>
          <w:color w:val="000000"/>
          <w:sz w:val="24"/>
          <w:highlight w:val="white"/>
        </w:rPr>
        <w:t>在中国境内生产。</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（关键工序）</w:t>
      </w:r>
      <w:r>
        <w:rPr>
          <w:rFonts w:ascii="宋体" w:hAnsi="宋体" w:eastAsia="宋体" w:cs="宋体"/>
          <w:color w:val="000000"/>
          <w:sz w:val="24"/>
          <w:highlight w:val="white"/>
        </w:rPr>
        <w:t>在中国境内完成。</w:t>
      </w:r>
    </w:p>
    <w:p w14:paraId="6A4F340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w:t>
      </w:r>
    </w:p>
    <w:p w14:paraId="622A7ED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本公司（单位）对上述声明内容的真实性负责。如有虚假，愿承担相应法律责任。</w:t>
      </w:r>
    </w:p>
    <w:p w14:paraId="0AF252FD">
      <w:pPr>
        <w:pBdr>
          <w:top w:val="none" w:color="000000" w:sz="0" w:space="0"/>
          <w:left w:val="none" w:color="000000" w:sz="0" w:space="0"/>
          <w:bottom w:val="none" w:color="000000" w:sz="0" w:space="0"/>
          <w:right w:val="none" w:color="000000" w:sz="0" w:space="0"/>
        </w:pBdr>
        <w:spacing w:before="0" w:after="0" w:line="559" w:lineRule="atLeast"/>
        <w:ind w:left="0" w:right="1620" w:firstLine="2880"/>
        <w:jc w:val="both"/>
      </w:pPr>
      <w:r>
        <w:rPr>
          <w:rFonts w:ascii="宋体" w:hAnsi="宋体" w:eastAsia="宋体" w:cs="宋体"/>
          <w:color w:val="000000"/>
          <w:sz w:val="24"/>
        </w:rPr>
        <w:t>公司（单位）名称（盖章）：</w:t>
      </w:r>
    </w:p>
    <w:p w14:paraId="57F727FF">
      <w:pPr>
        <w:pBdr>
          <w:top w:val="none" w:color="000000" w:sz="0" w:space="0"/>
          <w:left w:val="none" w:color="000000" w:sz="0" w:space="0"/>
          <w:bottom w:val="none" w:color="000000" w:sz="0" w:space="0"/>
          <w:right w:val="none" w:color="000000" w:sz="0" w:space="0"/>
        </w:pBdr>
        <w:spacing w:before="0" w:after="0" w:line="559" w:lineRule="atLeast"/>
        <w:ind w:left="0" w:right="1140" w:firstLine="2880"/>
        <w:jc w:val="both"/>
      </w:pPr>
      <w:r>
        <w:rPr>
          <w:rFonts w:ascii="宋体" w:hAnsi="宋体" w:eastAsia="宋体" w:cs="宋体"/>
          <w:color w:val="000000"/>
          <w:sz w:val="24"/>
        </w:rPr>
        <w:t>日期：</w:t>
      </w:r>
    </w:p>
    <w:p w14:paraId="42B062B6">
      <w:pPr>
        <w:pBdr>
          <w:top w:val="none" w:color="000000" w:sz="0" w:space="0"/>
          <w:left w:val="none" w:color="000000" w:sz="0" w:space="0"/>
          <w:bottom w:val="none" w:color="000000" w:sz="0" w:space="0"/>
          <w:right w:val="none" w:color="000000" w:sz="0" w:space="0"/>
        </w:pBdr>
        <w:spacing w:before="0" w:after="0" w:line="85" w:lineRule="atLeast"/>
        <w:ind w:left="0" w:right="480" w:firstLine="0"/>
      </w:pPr>
      <w:r>
        <w:rPr>
          <w:rFonts w:ascii="宋体" w:hAnsi="宋体" w:eastAsia="宋体" w:cs="宋体"/>
          <w:color w:val="000000"/>
          <w:sz w:val="24"/>
        </w:rPr>
        <w:t>填报说明：</w:t>
      </w:r>
    </w:p>
    <w:p w14:paraId="44818E9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1.产品如有型号，请在“产品名称”栏一并填写。</w:t>
      </w:r>
    </w:p>
    <w:p w14:paraId="0DB97C06">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2.生产厂名与厂址应与生产厂营业执照载明的相关信息保持一致。</w:t>
      </w:r>
    </w:p>
    <w:p w14:paraId="0659F5F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3.该产品的中国境内生产的组件成本占比相关要求实施前，“规定比例”栏可不填，下同。</w:t>
      </w:r>
    </w:p>
    <w:p w14:paraId="580A7FA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4.该产品的关键组件要求实施前，“关键组件”栏可不填，下同。</w:t>
      </w:r>
    </w:p>
    <w:p w14:paraId="316403F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5.该产品的关键工序要求实施前，“关键工序”栏可不填，下同。</w:t>
      </w:r>
    </w:p>
    <w:p w14:paraId="3B58C01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6.用线划除的地方无需填写。</w:t>
      </w:r>
    </w:p>
    <w:p w14:paraId="4566E5A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7.请供应商如实填写，如填写有误，将承担一切不利后果。</w:t>
      </w:r>
    </w:p>
    <w:p w14:paraId="12985764">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8.供应商提供虚假《声明函》、虚假证明文件谋取中标的，依照《中华人民共和国政府采购法》等法律法规规定追究相应责任。</w:t>
      </w:r>
    </w:p>
    <w:p w14:paraId="672B1C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9.中标人的《声明函》或有关证明文件随中标结果公开，接受社会监督。</w:t>
      </w:r>
    </w:p>
    <w:p w14:paraId="48DA0C86">
      <w:pPr>
        <w:rPr>
          <w:rFonts w:ascii="Times New Roman" w:hAnsi="Times New Roman" w:eastAsia="黑体" w:cs="Times New Roman"/>
          <w:b/>
          <w:color w:val="auto"/>
          <w:sz w:val="36"/>
          <w:szCs w:val="20"/>
          <w:highlight w:val="none"/>
        </w:rPr>
      </w:pPr>
    </w:p>
    <w:p w14:paraId="22F2A13E">
      <w:pPr>
        <w:rPr>
          <w:color w:val="auto"/>
          <w:sz w:val="24"/>
          <w:szCs w:val="24"/>
          <w:highlight w:val="none"/>
        </w:rPr>
      </w:pPr>
    </w:p>
    <w:p w14:paraId="69471DE3">
      <w:pPr>
        <w:rPr>
          <w:rFonts w:hint="eastAsia"/>
          <w:color w:val="auto"/>
          <w:sz w:val="24"/>
          <w:szCs w:val="24"/>
          <w:highlight w:val="none"/>
        </w:rPr>
      </w:pPr>
    </w:p>
    <w:p w14:paraId="534DA4E9">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p>
    <w:p w14:paraId="56AEA583">
      <w:pPr>
        <w:rPr>
          <w:rFonts w:hint="eastAsia"/>
          <w:color w:val="auto"/>
          <w:sz w:val="24"/>
          <w:szCs w:val="24"/>
          <w:highlight w:val="none"/>
        </w:rPr>
      </w:pPr>
      <w:r>
        <w:rPr>
          <w:rFonts w:hint="eastAsia" w:ascii="宋体" w:hAnsi="宋体" w:eastAsia="宋体"/>
          <w:color w:val="auto"/>
          <w:sz w:val="24"/>
          <w:szCs w:val="24"/>
          <w:highlight w:val="none"/>
        </w:rPr>
        <w:t>格式</w:t>
      </w:r>
      <w:r>
        <w:rPr>
          <w:rFonts w:hint="eastAsia" w:ascii="宋体" w:hAnsi="宋体" w:eastAsia="宋体"/>
          <w:color w:val="auto"/>
          <w:sz w:val="24"/>
          <w:szCs w:val="24"/>
          <w:highlight w:val="none"/>
          <w:lang w:val="en-US" w:eastAsia="zh-CN"/>
        </w:rPr>
        <w:t>20</w:t>
      </w:r>
      <w:r>
        <w:rPr>
          <w:rFonts w:hint="eastAsia" w:ascii="宋体" w:hAnsi="宋体" w:eastAsia="宋体"/>
          <w:color w:val="auto"/>
          <w:sz w:val="24"/>
          <w:szCs w:val="24"/>
          <w:highlight w:val="none"/>
        </w:rPr>
        <w:t>、</w:t>
      </w:r>
      <w:r>
        <w:rPr>
          <w:rFonts w:hint="eastAsia"/>
          <w:color w:val="auto"/>
          <w:sz w:val="24"/>
          <w:highlight w:val="none"/>
        </w:rPr>
        <w:t>其他材料</w:t>
      </w:r>
    </w:p>
    <w:p w14:paraId="2CDF3FE0">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1908DE02">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7F1DE6C6">
      <w:pPr>
        <w:spacing w:line="520" w:lineRule="exact"/>
        <w:rPr>
          <w:rFonts w:ascii="宋体" w:hAnsi="宋体" w:eastAsia="宋体" w:cs="Times New Roman"/>
          <w:color w:val="auto"/>
          <w:sz w:val="24"/>
          <w:szCs w:val="24"/>
          <w:highlight w:val="none"/>
        </w:rPr>
      </w:pPr>
    </w:p>
    <w:p w14:paraId="70AD0F06">
      <w:pPr>
        <w:spacing w:line="520" w:lineRule="exact"/>
        <w:rPr>
          <w:rFonts w:ascii="宋体" w:hAnsi="宋体" w:eastAsia="宋体" w:cs="Times New Roman"/>
          <w:color w:val="auto"/>
          <w:sz w:val="24"/>
          <w:szCs w:val="24"/>
          <w:highlight w:val="none"/>
        </w:rPr>
      </w:pPr>
    </w:p>
    <w:p w14:paraId="2463D98C">
      <w:pPr>
        <w:spacing w:line="520" w:lineRule="exact"/>
        <w:rPr>
          <w:rFonts w:ascii="宋体" w:hAnsi="宋体" w:eastAsia="宋体" w:cs="Times New Roman"/>
          <w:color w:val="auto"/>
          <w:sz w:val="24"/>
          <w:szCs w:val="24"/>
          <w:highlight w:val="none"/>
        </w:rPr>
      </w:pPr>
    </w:p>
    <w:p w14:paraId="424EC851">
      <w:pPr>
        <w:spacing w:line="520" w:lineRule="exact"/>
        <w:rPr>
          <w:rFonts w:ascii="宋体" w:hAnsi="宋体" w:eastAsia="宋体" w:cs="Times New Roman"/>
          <w:color w:val="auto"/>
          <w:sz w:val="24"/>
          <w:szCs w:val="24"/>
          <w:highlight w:val="none"/>
        </w:rPr>
      </w:pPr>
    </w:p>
    <w:p w14:paraId="5B2DC0BF">
      <w:pPr>
        <w:spacing w:line="520" w:lineRule="exact"/>
        <w:rPr>
          <w:rFonts w:ascii="宋体" w:hAnsi="宋体" w:eastAsia="宋体" w:cs="Times New Roman"/>
          <w:color w:val="auto"/>
          <w:sz w:val="24"/>
          <w:szCs w:val="24"/>
          <w:highlight w:val="none"/>
        </w:rPr>
      </w:pPr>
    </w:p>
    <w:p w14:paraId="2ADF3D2E">
      <w:pPr>
        <w:spacing w:line="520" w:lineRule="exact"/>
        <w:rPr>
          <w:rFonts w:ascii="宋体" w:hAnsi="宋体" w:eastAsia="宋体" w:cs="Times New Roman"/>
          <w:color w:val="auto"/>
          <w:sz w:val="24"/>
          <w:szCs w:val="24"/>
          <w:highlight w:val="none"/>
        </w:rPr>
      </w:pPr>
    </w:p>
    <w:p w14:paraId="2363B15C">
      <w:pPr>
        <w:spacing w:line="520" w:lineRule="exact"/>
        <w:rPr>
          <w:rFonts w:ascii="宋体" w:hAnsi="宋体" w:eastAsia="宋体" w:cs="Times New Roman"/>
          <w:color w:val="auto"/>
          <w:sz w:val="24"/>
          <w:szCs w:val="24"/>
          <w:highlight w:val="none"/>
        </w:rPr>
      </w:pPr>
    </w:p>
    <w:p w14:paraId="74A15273">
      <w:pPr>
        <w:spacing w:line="520" w:lineRule="exact"/>
        <w:rPr>
          <w:rFonts w:ascii="宋体" w:hAnsi="宋体" w:eastAsia="宋体" w:cs="Times New Roman"/>
          <w:color w:val="auto"/>
          <w:sz w:val="24"/>
          <w:szCs w:val="24"/>
          <w:highlight w:val="none"/>
        </w:rPr>
      </w:pPr>
    </w:p>
    <w:p w14:paraId="3672AFBA">
      <w:pPr>
        <w:spacing w:line="520" w:lineRule="exact"/>
        <w:rPr>
          <w:rFonts w:ascii="宋体" w:hAnsi="宋体" w:eastAsia="宋体" w:cs="Times New Roman"/>
          <w:color w:val="auto"/>
          <w:sz w:val="24"/>
          <w:szCs w:val="24"/>
          <w:highlight w:val="none"/>
        </w:rPr>
      </w:pPr>
    </w:p>
    <w:p w14:paraId="5F134726">
      <w:pPr>
        <w:spacing w:line="520" w:lineRule="exact"/>
        <w:rPr>
          <w:rFonts w:ascii="宋体" w:hAnsi="宋体" w:eastAsia="宋体" w:cs="Times New Roman"/>
          <w:color w:val="auto"/>
          <w:sz w:val="24"/>
          <w:szCs w:val="24"/>
          <w:highlight w:val="none"/>
        </w:rPr>
      </w:pPr>
    </w:p>
    <w:p w14:paraId="5587E5A1">
      <w:pPr>
        <w:spacing w:line="520" w:lineRule="exact"/>
        <w:rPr>
          <w:rFonts w:ascii="宋体" w:hAnsi="宋体" w:eastAsia="宋体" w:cs="Times New Roman"/>
          <w:color w:val="auto"/>
          <w:sz w:val="24"/>
          <w:szCs w:val="24"/>
          <w:highlight w:val="none"/>
        </w:rPr>
      </w:pPr>
    </w:p>
    <w:p w14:paraId="0AA88CF9">
      <w:pPr>
        <w:spacing w:line="520" w:lineRule="exact"/>
        <w:rPr>
          <w:rFonts w:ascii="宋体" w:hAnsi="宋体" w:eastAsia="宋体" w:cs="Times New Roman"/>
          <w:color w:val="auto"/>
          <w:sz w:val="24"/>
          <w:szCs w:val="24"/>
          <w:highlight w:val="none"/>
        </w:rPr>
      </w:pPr>
    </w:p>
    <w:p w14:paraId="1D661335">
      <w:pPr>
        <w:spacing w:line="520" w:lineRule="exact"/>
        <w:rPr>
          <w:rFonts w:ascii="宋体" w:hAnsi="宋体" w:eastAsia="宋体" w:cs="Times New Roman"/>
          <w:color w:val="auto"/>
          <w:sz w:val="24"/>
          <w:szCs w:val="24"/>
          <w:highlight w:val="none"/>
        </w:rPr>
      </w:pPr>
    </w:p>
    <w:p w14:paraId="1DA53BEB">
      <w:pPr>
        <w:spacing w:line="520" w:lineRule="exact"/>
        <w:rPr>
          <w:rFonts w:ascii="宋体" w:hAnsi="宋体" w:eastAsia="宋体" w:cs="Times New Roman"/>
          <w:color w:val="auto"/>
          <w:sz w:val="24"/>
          <w:szCs w:val="24"/>
          <w:highlight w:val="none"/>
        </w:rPr>
      </w:pPr>
    </w:p>
    <w:p w14:paraId="4056DDA7">
      <w:pPr>
        <w:spacing w:line="520" w:lineRule="exact"/>
        <w:rPr>
          <w:rFonts w:ascii="宋体" w:hAnsi="宋体" w:eastAsia="宋体" w:cs="Times New Roman"/>
          <w:color w:val="auto"/>
          <w:sz w:val="24"/>
          <w:szCs w:val="24"/>
          <w:highlight w:val="none"/>
        </w:rPr>
      </w:pPr>
    </w:p>
    <w:p w14:paraId="1AC41BDD">
      <w:pPr>
        <w:spacing w:line="520" w:lineRule="exact"/>
        <w:rPr>
          <w:rFonts w:ascii="宋体" w:hAnsi="宋体" w:eastAsia="宋体" w:cs="Times New Roman"/>
          <w:color w:val="auto"/>
          <w:sz w:val="24"/>
          <w:szCs w:val="24"/>
          <w:highlight w:val="none"/>
        </w:rPr>
      </w:pPr>
    </w:p>
    <w:p w14:paraId="2FB522B4">
      <w:pPr>
        <w:spacing w:line="520" w:lineRule="exact"/>
        <w:rPr>
          <w:rFonts w:ascii="宋体" w:hAnsi="宋体" w:eastAsia="宋体" w:cs="Times New Roman"/>
          <w:color w:val="auto"/>
          <w:sz w:val="24"/>
          <w:szCs w:val="24"/>
          <w:highlight w:val="none"/>
        </w:rPr>
      </w:pPr>
    </w:p>
    <w:p w14:paraId="5A00CE6A">
      <w:pPr>
        <w:spacing w:line="400" w:lineRule="exact"/>
        <w:rPr>
          <w:rFonts w:ascii="宋体" w:hAnsi="宋体" w:eastAsia="宋体" w:cs="Times New Roman"/>
          <w:b/>
          <w:color w:val="auto"/>
          <w:sz w:val="28"/>
          <w:szCs w:val="30"/>
          <w:highlight w:val="none"/>
        </w:rPr>
      </w:pPr>
    </w:p>
    <w:p w14:paraId="5A034ADD">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39D82A7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2D23BB4E">
      <w:pPr>
        <w:spacing w:line="360" w:lineRule="auto"/>
        <w:ind w:firstLine="480"/>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日期：    年     月     日</w:t>
      </w:r>
    </w:p>
    <w:p w14:paraId="70C1865E">
      <w:pPr>
        <w:widowControl/>
        <w:jc w:val="left"/>
        <w:rPr>
          <w:rFonts w:ascii="Times New Roman" w:hAnsi="Times New Roman" w:eastAsia="黑体" w:cs="Times New Roman"/>
          <w:b/>
          <w:color w:val="auto"/>
          <w:sz w:val="36"/>
          <w:szCs w:val="20"/>
          <w:highlight w:val="none"/>
        </w:rPr>
      </w:pPr>
    </w:p>
    <w:p w14:paraId="4FF8C46A">
      <w:pPr>
        <w:widowControl/>
        <w:jc w:val="left"/>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77BF56A8">
      <w:pPr>
        <w:keepNext/>
        <w:keepLines/>
        <w:spacing w:line="360" w:lineRule="auto"/>
        <w:jc w:val="center"/>
        <w:outlineLvl w:val="0"/>
        <w:rPr>
          <w:rFonts w:ascii="Times New Roman" w:hAnsi="宋体" w:eastAsia="黑体" w:cs="Times New Roman"/>
          <w:b/>
          <w:color w:val="auto"/>
          <w:sz w:val="36"/>
          <w:szCs w:val="20"/>
          <w:highlight w:val="none"/>
        </w:rPr>
      </w:pPr>
      <w:bookmarkStart w:id="17" w:name="_Toc150765438"/>
      <w:r>
        <w:rPr>
          <w:rFonts w:hint="eastAsia" w:ascii="Times New Roman" w:hAnsi="Times New Roman" w:eastAsia="黑体" w:cs="Times New Roman"/>
          <w:b/>
          <w:color w:val="auto"/>
          <w:sz w:val="36"/>
          <w:szCs w:val="20"/>
          <w:highlight w:val="none"/>
        </w:rPr>
        <w:t>第五章合同专用条款表</w:t>
      </w:r>
      <w:bookmarkEnd w:id="17"/>
    </w:p>
    <w:p w14:paraId="4A28CCD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本表是对第三章“政府采购合同格式”的补充和修改。如果两者之间有抵触，以本专用条款表为准。</w:t>
      </w:r>
    </w:p>
    <w:tbl>
      <w:tblPr>
        <w:tblStyle w:val="46"/>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8529"/>
      </w:tblGrid>
      <w:tr w14:paraId="0937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F9070C3">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条款号</w:t>
            </w:r>
          </w:p>
        </w:tc>
        <w:tc>
          <w:tcPr>
            <w:tcW w:w="8529" w:type="dxa"/>
            <w:shd w:val="clear" w:color="auto" w:fill="FEFEFE"/>
            <w:noWrap w:val="0"/>
            <w:vAlign w:val="center"/>
          </w:tcPr>
          <w:p w14:paraId="142096F6">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内容</w:t>
            </w:r>
          </w:p>
        </w:tc>
      </w:tr>
      <w:tr w14:paraId="48FB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0F495C44">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8529" w:type="dxa"/>
            <w:shd w:val="clear" w:color="auto" w:fill="FEFEFE"/>
            <w:noWrap w:val="0"/>
            <w:vAlign w:val="center"/>
          </w:tcPr>
          <w:p w14:paraId="035C286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履约保证金：</w:t>
            </w:r>
            <w:r>
              <w:rPr>
                <w:rFonts w:hint="eastAsia" w:ascii="宋体" w:hAnsi="宋体"/>
                <w:color w:val="000000"/>
                <w:sz w:val="24"/>
              </w:rPr>
              <w:t xml:space="preserve">合同价的 </w:t>
            </w:r>
            <w:r>
              <w:rPr>
                <w:rFonts w:hint="eastAsia" w:ascii="宋体" w:hAnsi="宋体" w:eastAsia="宋体"/>
                <w:color w:val="000000"/>
                <w:sz w:val="24"/>
                <w:lang w:val="en-US" w:eastAsia="zh-CN"/>
              </w:rPr>
              <w:t>10</w:t>
            </w:r>
            <w:r>
              <w:rPr>
                <w:rFonts w:hint="eastAsia" w:ascii="宋体" w:hAnsi="宋体"/>
                <w:color w:val="000000"/>
                <w:sz w:val="24"/>
              </w:rPr>
              <w:t>%</w:t>
            </w:r>
            <w:r>
              <w:rPr>
                <w:rFonts w:hint="eastAsia" w:ascii="宋体" w:hAnsi="宋体" w:eastAsia="宋体" w:cs="Times New Roman"/>
                <w:color w:val="auto"/>
                <w:sz w:val="24"/>
                <w:szCs w:val="24"/>
                <w:highlight w:val="none"/>
              </w:rPr>
              <w:t>。</w:t>
            </w:r>
          </w:p>
        </w:tc>
      </w:tr>
      <w:tr w14:paraId="796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40AAFEBD">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8529" w:type="dxa"/>
            <w:shd w:val="clear" w:color="auto" w:fill="FEFEFE"/>
            <w:noWrap w:val="0"/>
            <w:vAlign w:val="center"/>
          </w:tcPr>
          <w:p w14:paraId="12C1F5DF">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交货期：合同签订后</w:t>
            </w:r>
            <w:r>
              <w:rPr>
                <w:rFonts w:hint="eastAsia" w:ascii="宋体" w:hAnsi="宋体" w:eastAsia="宋体" w:cs="Times New Roman"/>
                <w:b/>
                <w:color w:val="auto"/>
                <w:sz w:val="24"/>
                <w:szCs w:val="24"/>
                <w:highlight w:val="none"/>
                <w:lang w:val="en-US" w:eastAsia="zh-CN"/>
              </w:rPr>
              <w:t>45</w:t>
            </w:r>
            <w:r>
              <w:rPr>
                <w:rFonts w:hint="eastAsia" w:ascii="宋体" w:hAnsi="宋体" w:eastAsia="宋体" w:cs="Times New Roman"/>
                <w:b/>
                <w:color w:val="auto"/>
                <w:sz w:val="24"/>
                <w:szCs w:val="24"/>
                <w:highlight w:val="none"/>
              </w:rPr>
              <w:t>天内完成供货、安装、调试，直至交付采购人验收合格使用。</w:t>
            </w:r>
          </w:p>
        </w:tc>
      </w:tr>
      <w:tr w14:paraId="1723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070" w:type="dxa"/>
            <w:shd w:val="clear" w:color="auto" w:fill="FEFEFE"/>
            <w:noWrap w:val="0"/>
            <w:vAlign w:val="center"/>
          </w:tcPr>
          <w:p w14:paraId="5737266A">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8529" w:type="dxa"/>
            <w:shd w:val="clear" w:color="auto" w:fill="FEFEFE"/>
            <w:noWrap w:val="0"/>
            <w:vAlign w:val="center"/>
          </w:tcPr>
          <w:p w14:paraId="2101E7A0">
            <w:pPr>
              <w:keepNext w:val="0"/>
              <w:keepLines w:val="0"/>
              <w:pageBreakBefore w:val="0"/>
              <w:widowControl w:val="0"/>
              <w:spacing w:line="240" w:lineRule="auto"/>
              <w:rPr>
                <w:rFonts w:ascii="宋体" w:hAnsi="宋体" w:eastAsia="宋体" w:cs="Times New Roman"/>
                <w:color w:val="auto"/>
                <w:sz w:val="24"/>
                <w:szCs w:val="24"/>
                <w:highlight w:val="none"/>
              </w:rPr>
            </w:pPr>
            <w:r>
              <w:rPr>
                <w:rFonts w:hint="eastAsia" w:ascii="宋体" w:hAnsi="宋体"/>
                <w:b/>
                <w:color w:val="auto"/>
                <w:sz w:val="24"/>
                <w:highlight w:val="none"/>
                <w:lang w:eastAsia="zh-CN"/>
              </w:rPr>
              <w:t>原厂质保</w:t>
            </w: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tc>
      </w:tr>
      <w:tr w14:paraId="791D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70" w:type="dxa"/>
            <w:shd w:val="clear" w:color="auto" w:fill="FEFEFE"/>
            <w:noWrap w:val="0"/>
            <w:vAlign w:val="center"/>
          </w:tcPr>
          <w:p w14:paraId="7F5D56FC">
            <w:pPr>
              <w:ind w:firstLine="24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8529" w:type="dxa"/>
            <w:shd w:val="clear" w:color="auto" w:fill="FEFEFE"/>
            <w:noWrap w:val="0"/>
            <w:vAlign w:val="center"/>
          </w:tcPr>
          <w:p w14:paraId="0A81C7F6">
            <w:pPr>
              <w:rPr>
                <w:rFonts w:ascii="宋体" w:hAnsi="宋体" w:eastAsia="宋体" w:cs="Times New Roman"/>
                <w:color w:val="auto"/>
                <w:sz w:val="24"/>
                <w:szCs w:val="24"/>
                <w:highlight w:val="none"/>
              </w:rPr>
            </w:pPr>
            <w:r>
              <w:rPr>
                <w:rFonts w:hint="eastAsia" w:ascii="宋体" w:hAnsi="宋体"/>
                <w:b/>
                <w:bCs/>
                <w:color w:val="auto"/>
                <w:sz w:val="24"/>
                <w:highlight w:val="none"/>
              </w:rPr>
              <w:t>付款方式</w:t>
            </w:r>
            <w:r>
              <w:rPr>
                <w:rFonts w:hint="eastAsia" w:ascii="宋体" w:hAnsi="宋体"/>
                <w:b/>
                <w:color w:val="auto"/>
                <w:sz w:val="24"/>
                <w:highlight w:val="none"/>
              </w:rPr>
              <w:t>：</w:t>
            </w:r>
            <w:r>
              <w:rPr>
                <w:rFonts w:hint="eastAsia" w:ascii="宋体" w:hAnsi="宋体" w:eastAsia="宋体" w:cs="宋体"/>
                <w:color w:val="auto"/>
                <w:sz w:val="24"/>
                <w:szCs w:val="24"/>
                <w:highlight w:val="none"/>
              </w:rPr>
              <w:t>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采购人付款前，中标人应向采购人出具符合采购人要求的发票。</w:t>
            </w:r>
          </w:p>
        </w:tc>
      </w:tr>
      <w:tr w14:paraId="1D26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070" w:type="dxa"/>
            <w:shd w:val="clear" w:color="auto" w:fill="FEFEFE"/>
            <w:noWrap w:val="0"/>
            <w:vAlign w:val="center"/>
          </w:tcPr>
          <w:p w14:paraId="5CF4792E">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p>
        </w:tc>
        <w:tc>
          <w:tcPr>
            <w:tcW w:w="8529" w:type="dxa"/>
            <w:shd w:val="clear" w:color="auto" w:fill="FEFEFE"/>
            <w:noWrap w:val="0"/>
            <w:vAlign w:val="center"/>
          </w:tcPr>
          <w:p w14:paraId="73B7967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违约责任：</w:t>
            </w:r>
          </w:p>
          <w:p w14:paraId="4F50C50D">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具体违约条款及其它未尽事宜，将在双方签订合同时议定。</w:t>
            </w:r>
          </w:p>
        </w:tc>
      </w:tr>
    </w:tbl>
    <w:p w14:paraId="70CCC28F">
      <w:pPr>
        <w:spacing w:line="360" w:lineRule="auto"/>
        <w:ind w:firstLine="482"/>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注：招标文件中标注★号的部分为实质性要求和条件（由采购人根据实际情况设置），投标人必须作出满足或者优于原要求和条件的响应，否则投标无效。</w:t>
      </w:r>
    </w:p>
    <w:p w14:paraId="17A0ECDF">
      <w:pPr>
        <w:keepNext/>
        <w:keepLines/>
        <w:spacing w:line="360" w:lineRule="auto"/>
        <w:jc w:val="center"/>
        <w:outlineLvl w:val="0"/>
        <w:rPr>
          <w:rFonts w:ascii="Times New Roman" w:hAnsi="宋体" w:eastAsia="黑体" w:cs="Times New Roman"/>
          <w:color w:val="auto"/>
          <w:sz w:val="36"/>
          <w:szCs w:val="20"/>
          <w:highlight w:val="none"/>
        </w:rPr>
      </w:pPr>
      <w:r>
        <w:rPr>
          <w:rFonts w:ascii="Times New Roman" w:hAnsi="宋体" w:eastAsia="黑体" w:cs="Times New Roman"/>
          <w:bCs/>
          <w:color w:val="auto"/>
          <w:sz w:val="36"/>
          <w:szCs w:val="20"/>
          <w:highlight w:val="none"/>
        </w:rPr>
        <w:br w:type="page" w:clear="all"/>
      </w:r>
      <w:bookmarkEnd w:id="15"/>
      <w:bookmarkEnd w:id="16"/>
      <w:bookmarkStart w:id="18" w:name="_Toc513622230"/>
      <w:bookmarkStart w:id="19" w:name="_Toc150765439"/>
      <w:r>
        <w:rPr>
          <w:rFonts w:hint="eastAsia" w:ascii="Times New Roman" w:hAnsi="宋体" w:eastAsia="黑体" w:cs="Times New Roman"/>
          <w:color w:val="auto"/>
          <w:sz w:val="36"/>
          <w:szCs w:val="20"/>
          <w:highlight w:val="none"/>
        </w:rPr>
        <w:t>第六章项目需求</w:t>
      </w:r>
      <w:bookmarkEnd w:id="18"/>
      <w:bookmarkEnd w:id="19"/>
    </w:p>
    <w:p w14:paraId="6A59EF6A">
      <w:pPr>
        <w:spacing w:line="360" w:lineRule="auto"/>
        <w:ind w:firstLine="482"/>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说明：本项目属性为货物，</w:t>
      </w:r>
      <w:r>
        <w:rPr>
          <w:rFonts w:hint="eastAsia" w:ascii="宋体" w:hAnsi="Times New Roman" w:eastAsia="宋体" w:cs="Times New Roman"/>
          <w:b/>
          <w:color w:val="auto"/>
          <w:sz w:val="24"/>
          <w:szCs w:val="21"/>
          <w:highlight w:val="none"/>
        </w:rPr>
        <w:t>采购标的对应的中小企业划分标准所属行业为</w:t>
      </w:r>
      <w:r>
        <w:rPr>
          <w:rFonts w:hint="eastAsia" w:ascii="宋体" w:hAnsi="Times New Roman" w:eastAsia="宋体" w:cs="Times New Roman"/>
          <w:b/>
          <w:color w:val="auto"/>
          <w:sz w:val="24"/>
          <w:szCs w:val="21"/>
          <w:highlight w:val="none"/>
          <w:u w:val="single"/>
        </w:rPr>
        <w:t>　</w:t>
      </w:r>
      <w:r>
        <w:rPr>
          <w:rFonts w:hint="eastAsia" w:ascii="宋体" w:eastAsia="宋体"/>
          <w:b/>
          <w:color w:val="auto"/>
          <w:sz w:val="24"/>
          <w:szCs w:val="21"/>
          <w:highlight w:val="none"/>
          <w:u w:val="single"/>
        </w:rPr>
        <w:t>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w:t>
      </w:r>
    </w:p>
    <w:p w14:paraId="315CCA3A">
      <w:pPr>
        <w:numPr>
          <w:ilvl w:val="0"/>
          <w:numId w:val="3"/>
        </w:numPr>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0B35F31C">
      <w:pPr>
        <w:numPr>
          <w:ilvl w:val="0"/>
          <w:numId w:val="0"/>
        </w:numPr>
        <w:spacing w:line="360" w:lineRule="auto"/>
        <w:ind w:firstLine="482"/>
        <w:jc w:val="lef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p>
    <w:p w14:paraId="4FDD2C9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4B060DC3">
      <w:pPr>
        <w:spacing w:line="360" w:lineRule="auto"/>
        <w:rPr>
          <w:rFonts w:ascii="宋体" w:hAnsi="宋体" w:eastAsia="宋体" w:cs="宋体"/>
          <w:b/>
          <w:color w:val="auto"/>
          <w:sz w:val="24"/>
          <w:szCs w:val="24"/>
          <w:highlight w:val="none"/>
        </w:rPr>
      </w:pPr>
      <w:bookmarkStart w:id="20" w:name="_Toc513622231"/>
      <w:bookmarkStart w:id="21" w:name="_Toc139966433"/>
      <w:bookmarkStart w:id="22" w:name="_Toc139967217"/>
      <w:r>
        <w:rPr>
          <w:rFonts w:hint="eastAsia" w:ascii="宋体" w:hAnsi="宋体" w:eastAsia="宋体" w:cs="宋体"/>
          <w:b/>
          <w:color w:val="auto"/>
          <w:sz w:val="24"/>
          <w:szCs w:val="24"/>
          <w:highlight w:val="none"/>
        </w:rPr>
        <w:t>一、项目概述</w:t>
      </w:r>
    </w:p>
    <w:p w14:paraId="6D60353B">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本次采购的内容为灌南县综合行政执法局移动式垃圾压缩设备采购项目，中标人负责将</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eastAsia="zh-CN"/>
        </w:rPr>
        <w:t>运抵采购人指定地点，完成安装，检测、验收合格，交付采购人使用，即交钥匙工程。</w:t>
      </w:r>
    </w:p>
    <w:tbl>
      <w:tblPr>
        <w:tblStyle w:val="264"/>
        <w:tblW w:w="10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2"/>
        <w:gridCol w:w="4870"/>
        <w:gridCol w:w="990"/>
        <w:gridCol w:w="3066"/>
      </w:tblGrid>
      <w:tr w14:paraId="2BC8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232" w:type="dxa"/>
            <w:noWrap w:val="0"/>
            <w:vAlign w:val="center"/>
          </w:tcPr>
          <w:p w14:paraId="10413BE1">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序号</w:t>
            </w:r>
          </w:p>
        </w:tc>
        <w:tc>
          <w:tcPr>
            <w:tcW w:w="4870" w:type="dxa"/>
            <w:noWrap w:val="0"/>
            <w:vAlign w:val="center"/>
          </w:tcPr>
          <w:p w14:paraId="2619F5F6">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名称</w:t>
            </w:r>
          </w:p>
        </w:tc>
        <w:tc>
          <w:tcPr>
            <w:tcW w:w="990" w:type="dxa"/>
            <w:noWrap w:val="0"/>
            <w:vAlign w:val="center"/>
          </w:tcPr>
          <w:p w14:paraId="0A6B5AAE">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数量</w:t>
            </w:r>
          </w:p>
        </w:tc>
        <w:tc>
          <w:tcPr>
            <w:tcW w:w="3066" w:type="dxa"/>
            <w:noWrap w:val="0"/>
            <w:vAlign w:val="center"/>
          </w:tcPr>
          <w:p w14:paraId="60590236">
            <w:pPr>
              <w:jc w:val="center"/>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eastAsia="zh-CN"/>
              </w:rPr>
              <w:t>备注</w:t>
            </w:r>
          </w:p>
        </w:tc>
      </w:tr>
      <w:tr w14:paraId="6763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232" w:type="dxa"/>
            <w:noWrap w:val="0"/>
            <w:vAlign w:val="center"/>
          </w:tcPr>
          <w:p w14:paraId="4B1DE401">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1</w:t>
            </w:r>
          </w:p>
        </w:tc>
        <w:tc>
          <w:tcPr>
            <w:tcW w:w="4870" w:type="dxa"/>
            <w:noWrap w:val="0"/>
            <w:vAlign w:val="center"/>
          </w:tcPr>
          <w:p w14:paraId="38801083">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12m³移动式垃圾压缩设备 </w:t>
            </w:r>
          </w:p>
        </w:tc>
        <w:tc>
          <w:tcPr>
            <w:tcW w:w="990" w:type="dxa"/>
            <w:noWrap w:val="0"/>
            <w:vAlign w:val="center"/>
          </w:tcPr>
          <w:p w14:paraId="31880D40">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6</w:t>
            </w:r>
          </w:p>
        </w:tc>
        <w:tc>
          <w:tcPr>
            <w:tcW w:w="3066" w:type="dxa"/>
            <w:noWrap w:val="0"/>
            <w:vAlign w:val="center"/>
          </w:tcPr>
          <w:p w14:paraId="1DA9141C">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每个垃圾箱均需额外多配备电脑板、电源、油管、遥控器各3套；每个垃圾箱配套料斗总成1个，含在总报价中。</w:t>
            </w:r>
          </w:p>
        </w:tc>
      </w:tr>
      <w:tr w14:paraId="5FBD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232" w:type="dxa"/>
            <w:noWrap w:val="0"/>
            <w:vAlign w:val="center"/>
          </w:tcPr>
          <w:p w14:paraId="29BFE667">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w:t>
            </w:r>
          </w:p>
        </w:tc>
        <w:tc>
          <w:tcPr>
            <w:tcW w:w="4870" w:type="dxa"/>
            <w:noWrap w:val="0"/>
            <w:vAlign w:val="center"/>
          </w:tcPr>
          <w:p w14:paraId="464A41D1">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18m³移动式垃圾压缩设备</w:t>
            </w:r>
          </w:p>
        </w:tc>
        <w:tc>
          <w:tcPr>
            <w:tcW w:w="990" w:type="dxa"/>
            <w:noWrap w:val="0"/>
            <w:vAlign w:val="center"/>
          </w:tcPr>
          <w:p w14:paraId="19A64276">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14</w:t>
            </w:r>
          </w:p>
        </w:tc>
        <w:tc>
          <w:tcPr>
            <w:tcW w:w="3066" w:type="dxa"/>
            <w:noWrap w:val="0"/>
            <w:vAlign w:val="center"/>
          </w:tcPr>
          <w:p w14:paraId="38B8828F">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每个垃圾箱均需额外多配备电脑板、电源、油管、遥控器各3套；每个垃圾箱配套料斗总成1个，含在总报价中。</w:t>
            </w:r>
          </w:p>
        </w:tc>
      </w:tr>
    </w:tbl>
    <w:p w14:paraId="546016C8">
      <w:pPr>
        <w:widowControl/>
        <w:ind w:firstLine="420"/>
        <w:rPr>
          <w:rFonts w:ascii="宋体" w:hAnsi="Times New Roman" w:eastAsia="宋体" w:cs="Times New Roman"/>
          <w:color w:val="auto"/>
          <w:highlight w:val="none"/>
        </w:rPr>
      </w:pPr>
    </w:p>
    <w:p w14:paraId="42358742">
      <w:pPr>
        <w:widowControl/>
        <w:spacing w:line="400" w:lineRule="exact"/>
        <w:ind w:firstLine="0"/>
        <w:jc w:val="left"/>
        <w:rPr>
          <w:rFonts w:ascii="宋体" w:hAnsi="宋体" w:cs="宋体"/>
          <w:b/>
          <w:sz w:val="24"/>
          <w:szCs w:val="24"/>
        </w:rPr>
      </w:pPr>
      <w:r>
        <w:rPr>
          <w:rFonts w:hint="eastAsia" w:ascii="宋体" w:hAnsi="宋体" w:eastAsia="宋体" w:cs="宋体"/>
          <w:b/>
          <w:bCs/>
          <w:color w:val="auto"/>
          <w:sz w:val="24"/>
          <w:szCs w:val="24"/>
          <w:highlight w:val="none"/>
          <w:lang w:eastAsia="zh-CN"/>
        </w:rPr>
        <w:t>二、</w:t>
      </w:r>
      <w:r>
        <w:rPr>
          <w:rFonts w:hint="eastAsia" w:ascii="宋体" w:hAnsi="宋体" w:cs="宋体"/>
          <w:b/>
          <w:sz w:val="24"/>
          <w:szCs w:val="24"/>
        </w:rPr>
        <w:t>招标文件第</w:t>
      </w:r>
      <w:r>
        <w:rPr>
          <w:rFonts w:hint="eastAsia" w:ascii="宋体" w:hAnsi="宋体" w:cs="宋体"/>
          <w:b/>
          <w:sz w:val="24"/>
          <w:szCs w:val="24"/>
          <w:lang w:eastAsia="zh-CN"/>
        </w:rPr>
        <w:t>六</w:t>
      </w:r>
      <w:r>
        <w:rPr>
          <w:rFonts w:hint="eastAsia" w:ascii="宋体" w:hAnsi="宋体" w:cs="宋体"/>
          <w:b/>
          <w:sz w:val="24"/>
          <w:szCs w:val="24"/>
        </w:rPr>
        <w:t>章《项目需求》“</w:t>
      </w:r>
      <w:r>
        <w:rPr>
          <w:rFonts w:hint="eastAsia" w:ascii="宋体" w:hAnsi="宋体" w:eastAsia="宋体" w:cs="宋体"/>
          <w:b/>
          <w:sz w:val="24"/>
          <w:szCs w:val="24"/>
          <w:lang w:eastAsia="zh-CN"/>
        </w:rPr>
        <w:t>技术</w:t>
      </w:r>
      <w:r>
        <w:rPr>
          <w:rFonts w:hint="eastAsia" w:ascii="宋体" w:hAnsi="宋体" w:cs="宋体"/>
          <w:b/>
          <w:sz w:val="24"/>
          <w:szCs w:val="24"/>
        </w:rPr>
        <w:t>参数要求”中</w:t>
      </w: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加</w:t>
      </w: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的为核心指标，不允许负偏离，否则废标；</w:t>
      </w:r>
      <w:r>
        <w:rPr>
          <w:rFonts w:hint="eastAsia" w:ascii="宋体" w:hAnsi="宋体" w:cs="宋体"/>
          <w:b/>
          <w:sz w:val="24"/>
          <w:szCs w:val="24"/>
        </w:rPr>
        <w:t>加“</w:t>
      </w:r>
      <w:r>
        <w:rPr>
          <w:rFonts w:hint="eastAsia" w:ascii="宋体" w:hAnsi="宋体" w:cs="宋体"/>
          <w:bCs/>
          <w:color w:val="333333"/>
          <w:sz w:val="24"/>
          <w:szCs w:val="24"/>
        </w:rPr>
        <w:t>▲</w:t>
      </w:r>
      <w:r>
        <w:rPr>
          <w:rFonts w:hint="eastAsia" w:ascii="宋体" w:hAnsi="宋体" w:cs="宋体"/>
          <w:b/>
          <w:sz w:val="24"/>
          <w:szCs w:val="24"/>
        </w:rPr>
        <w:t>”标志的为重要响应指标，其余为非重要响应指标。</w:t>
      </w:r>
    </w:p>
    <w:p w14:paraId="6599AD2B">
      <w:pPr>
        <w:keepNext w:val="0"/>
        <w:keepLines w:val="0"/>
        <w:pageBreakBefore w:val="0"/>
        <w:widowControl w:val="0"/>
        <w:numPr>
          <w:ilvl w:val="0"/>
          <w:numId w:val="0"/>
        </w:numPr>
        <w:spacing w:line="360" w:lineRule="auto"/>
        <w:rPr>
          <w:rFonts w:hint="eastAsia" w:ascii="宋体" w:hAnsi="宋体" w:eastAsia="宋体" w:cs="宋体"/>
          <w:b/>
          <w:bCs/>
          <w:sz w:val="24"/>
          <w:szCs w:val="24"/>
          <w:highlight w:val="yellow"/>
          <w:lang w:eastAsia="zh-CN"/>
        </w:rPr>
      </w:pPr>
      <w:r>
        <w:rPr>
          <w:rFonts w:hint="eastAsia" w:cs="宋体" w:asciiTheme="minorEastAsia" w:hAnsiTheme="minorEastAsia"/>
          <w:b/>
          <w:color w:val="000000" w:themeColor="text1"/>
          <w:sz w:val="24"/>
          <w:szCs w:val="24"/>
          <w14:textFill>
            <w14:solidFill>
              <w14:schemeClr w14:val="tx1"/>
            </w14:solidFill>
          </w14:textFill>
        </w:rPr>
        <w:t>（技术参数要求投标人应逐一列出所有参数性能配置等偏离情况</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需逐条</w:t>
      </w:r>
      <w:r>
        <w:rPr>
          <w:rFonts w:hint="eastAsia" w:ascii="宋体" w:hAnsi="宋体" w:eastAsia="宋体" w:cs="宋体"/>
          <w:b/>
          <w:bCs/>
          <w:sz w:val="24"/>
          <w:szCs w:val="24"/>
        </w:rPr>
        <w:t>提供明确的佐证材料证明（包括但不限于：产品说明书、彩页、检测报告、注册证</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图片</w:t>
      </w:r>
      <w:r>
        <w:rPr>
          <w:rFonts w:hint="eastAsia" w:ascii="宋体" w:hAnsi="宋体" w:eastAsia="宋体" w:cs="宋体"/>
          <w:b/>
          <w:bCs/>
          <w:sz w:val="24"/>
          <w:szCs w:val="24"/>
        </w:rPr>
        <w:t>等</w:t>
      </w:r>
      <w:r>
        <w:rPr>
          <w:rFonts w:hint="eastAsia" w:ascii="宋体" w:hAnsi="宋体" w:eastAsia="宋体" w:cs="宋体"/>
          <w:b/>
          <w:bCs/>
          <w:sz w:val="24"/>
          <w:szCs w:val="24"/>
          <w:lang w:eastAsia="zh-CN"/>
        </w:rPr>
        <w:t>）</w:t>
      </w:r>
      <w:r>
        <w:rPr>
          <w:rFonts w:hint="eastAsia" w:ascii="宋体" w:hAnsi="宋体" w:eastAsia="宋体" w:cs="宋体"/>
          <w:b/>
          <w:bCs/>
          <w:sz w:val="24"/>
          <w:szCs w:val="24"/>
        </w:rPr>
        <w:t>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w:t>
      </w:r>
    </w:p>
    <w:p w14:paraId="4B489117">
      <w:pP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br w:type="page" w:clear="all"/>
      </w:r>
    </w:p>
    <w:p w14:paraId="4D64AD7E">
      <w:pPr>
        <w:keepNext w:val="0"/>
        <w:keepLines w:val="0"/>
        <w:pageBreakBefore w:val="0"/>
        <w:spacing w:line="360" w:lineRule="auto"/>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sz w:val="24"/>
          <w:szCs w:val="24"/>
          <w:lang w:eastAsia="zh-CN"/>
        </w:rPr>
        <w:t>技术</w:t>
      </w:r>
      <w:r>
        <w:rPr>
          <w:rFonts w:hint="eastAsia" w:ascii="宋体" w:hAnsi="宋体" w:cs="宋体"/>
          <w:b/>
          <w:sz w:val="24"/>
          <w:szCs w:val="24"/>
        </w:rPr>
        <w:t>参数要求</w:t>
      </w:r>
    </w:p>
    <w:p w14:paraId="7B0F6633">
      <w:pPr>
        <w:keepNext w:val="0"/>
        <w:keepLines w:val="0"/>
        <w:pageBreakBefore w:val="0"/>
        <w:spacing w:line="360" w:lineRule="auto"/>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bCs w:val="0"/>
          <w:color w:val="auto"/>
          <w:sz w:val="28"/>
          <w:szCs w:val="28"/>
          <w:highlight w:val="none"/>
          <w:lang w:eastAsia="zh-CN"/>
        </w:rPr>
        <w:t>（一）</w:t>
      </w:r>
      <w:r>
        <w:rPr>
          <w:rFonts w:hint="eastAsia" w:ascii="宋体" w:hAnsi="宋体" w:eastAsia="宋体" w:cs="宋体"/>
          <w:b/>
          <w:bCs w:val="0"/>
          <w:color w:val="auto"/>
          <w:sz w:val="28"/>
          <w:szCs w:val="28"/>
          <w:highlight w:val="none"/>
          <w:lang w:val="en-US" w:eastAsia="zh-CN"/>
        </w:rPr>
        <w:t>12m³移动式垃圾压缩设备</w:t>
      </w:r>
    </w:p>
    <w:p w14:paraId="48BD0D32">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总体要求</w:t>
      </w:r>
    </w:p>
    <w:p w14:paraId="7AF139F8">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1.1设备为移动式水平垃圾压缩设备，由压缩腔、压缩头、料斗举升装置及连体式料斗、压缩垃圾存储部分、后门及密封系统、液压系统、控制系统、轨道钢板等组成。</w:t>
      </w:r>
    </w:p>
    <w:p w14:paraId="50277923">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1.2</w:t>
      </w:r>
      <w:r>
        <w:rPr>
          <w:rFonts w:hint="eastAsia" w:ascii="宋体" w:hAnsi="宋体" w:eastAsia="宋体" w:cs="宋体"/>
          <w:b/>
          <w:sz w:val="24"/>
          <w:szCs w:val="24"/>
          <w:lang w:eastAsia="zh-CN"/>
        </w:rPr>
        <w:t>★</w:t>
      </w:r>
      <w:r>
        <w:rPr>
          <w:rFonts w:hint="eastAsia" w:ascii="宋体" w:hAnsi="宋体" w:eastAsia="宋体" w:cs="宋体"/>
          <w:color w:val="auto"/>
          <w:sz w:val="24"/>
          <w:szCs w:val="24"/>
          <w:highlight w:val="none"/>
          <w:lang w:val="en-US" w:eastAsia="zh-CN"/>
        </w:rPr>
        <w:t>设备应与采购单位现有勾臂车（拉臂车）配套使用，箱体拖箱装置应符合1570mm拉臂车配套标准，底梁应符合1060mm装载标准。</w:t>
      </w:r>
    </w:p>
    <w:p w14:paraId="338EED73">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压缩腔与压缩头</w:t>
      </w:r>
    </w:p>
    <w:p w14:paraId="4488422C">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2.1压缩头在压缩腔内为无导轨、小间隙、水平式运动。</w:t>
      </w:r>
    </w:p>
    <w:p w14:paraId="43B01BDC">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2.2压缩腔后部应设有排污口，采用消防接头密封。</w:t>
      </w:r>
    </w:p>
    <w:p w14:paraId="720A1FC1">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2.3</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压缩头及压缩腔底板应采用高强度耐磨钢板，屈服强度≥1150MPa，布氏硬度≥450HBW（需提供第三方检测报告或材质证明）。</w:t>
      </w:r>
    </w:p>
    <w:p w14:paraId="7D5F7EA4">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2.4</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压缩头底板厚度≥10mm，压缩腔底板厚度≥10mm，储料箱侧围板厚度≥5mm，箱体底板厚度≥5mm。</w:t>
      </w:r>
    </w:p>
    <w:p w14:paraId="02CC252E">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料斗与举升装置</w:t>
      </w:r>
    </w:p>
    <w:p w14:paraId="664D24CA">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3.1</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料斗采用连体式结构，有效宽度≥2200mm，有效容积≥3m³。</w:t>
      </w:r>
    </w:p>
    <w:p w14:paraId="286B9A52">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3.2料斗举升机构举升力≥1.5T，满载时任意工作位置停止15min油缸沉降量≤5mm。</w:t>
      </w:r>
    </w:p>
    <w:p w14:paraId="2C05718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3.3上料机构应具备自动缓冲装置，避免冲击；油缸应采用防爆管装置，确保爆管时料斗可安全停止。</w:t>
      </w:r>
    </w:p>
    <w:p w14:paraId="54F7429A">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压缩垃圾存储部分</w:t>
      </w:r>
    </w:p>
    <w:p w14:paraId="34C6CE1E">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4.1存储部分侧板采用整板制造，无外露加强筋，有效容积≥12m³。</w:t>
      </w:r>
    </w:p>
    <w:p w14:paraId="25E65AB5">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后门及密封系统</w:t>
      </w:r>
    </w:p>
    <w:p w14:paraId="0BD5F54C">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5.1后门为整板制造，无外露加强筋。</w:t>
      </w:r>
    </w:p>
    <w:p w14:paraId="568195EC">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5.2后门锁紧采用液压锁紧装置，从勾臂车取力，驾驶室内可完成开门、倾倒、锁门作业。</w:t>
      </w:r>
    </w:p>
    <w:p w14:paraId="65BCE79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5.3后门密封采用优质密封件，具备可调节功能，防止运输中滴漏（需提供密封件照片及说明）。</w:t>
      </w:r>
    </w:p>
    <w:p w14:paraId="6436CC64">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液压系统</w:t>
      </w:r>
    </w:p>
    <w:p w14:paraId="4CCFB6A5">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6.1液压系统关键元件（电机、油泵、控制阀、管路密封件）应采用知名品牌优质产品。</w:t>
      </w:r>
    </w:p>
    <w:p w14:paraId="42894A7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6.2压缩油缸活塞杆应具备耐腐蚀处理（如镀铬），油缸密封件选用优质产品。</w:t>
      </w:r>
    </w:p>
    <w:p w14:paraId="3363E532">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6.3液压系统电机功率≥5.5kW，380V三相交流电机（需提供电机品牌、型号、参数及现场照片）。</w:t>
      </w:r>
    </w:p>
    <w:p w14:paraId="08C8D0A0">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6.4液压系统应配备自动强制风冷散热装置，具有自动控制启停功能（需提供照片及工作原理说明）。</w:t>
      </w:r>
    </w:p>
    <w:p w14:paraId="58172412">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控制系统</w:t>
      </w:r>
    </w:p>
    <w:p w14:paraId="1E3FF0E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7.1控制系统具备液晶显示功能，可显示设备运行状态、压力、压缩头位置、压缩时间、满载提示、故障诊断等信息。</w:t>
      </w:r>
    </w:p>
    <w:p w14:paraId="6BCC5CEA">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7.2压缩头运动控制不得使用点位置传感器，以降低故障率（需提供照片及工作原理说明）。</w:t>
      </w:r>
    </w:p>
    <w:p w14:paraId="4EE04AA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7.3控制系统应具备：</w:t>
      </w:r>
    </w:p>
    <w:p w14:paraId="52722945">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7.3.1满载警示功能</w:t>
      </w:r>
    </w:p>
    <w:p w14:paraId="61BEFF3D">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7.3.2紧急停机功能</w:t>
      </w:r>
    </w:p>
    <w:p w14:paraId="63DB9D10">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7.3.4压缩头任意位置强制回退功能</w:t>
      </w:r>
    </w:p>
    <w:p w14:paraId="26C59AF0">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7.3.5故障自动报警与诊断（包括相位错误、油压过低、紧急停止、传感器损坏等）</w:t>
      </w:r>
    </w:p>
    <w:p w14:paraId="78851DF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7.4设备具备手动操作箱与无线遥控两种操作方式。</w:t>
      </w:r>
    </w:p>
    <w:p w14:paraId="45FE398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7.5安全性：具备自动安全调控功能，压力超限时自动停止工作；配备紧急停止按钮。</w:t>
      </w:r>
    </w:p>
    <w:p w14:paraId="0A0E32F4">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其他结构与配套</w:t>
      </w:r>
    </w:p>
    <w:p w14:paraId="57EF37F7">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8.1</w:t>
      </w:r>
      <w:r>
        <w:rPr>
          <w:rFonts w:hint="eastAsia" w:ascii="宋体" w:hAnsi="宋体" w:eastAsia="宋体" w:cs="宋体"/>
          <w:b/>
          <w:sz w:val="24"/>
          <w:szCs w:val="24"/>
          <w:lang w:eastAsia="zh-CN"/>
        </w:rPr>
        <w:t>★</w:t>
      </w:r>
      <w:r>
        <w:rPr>
          <w:rFonts w:hint="eastAsia" w:ascii="宋体" w:hAnsi="宋体" w:eastAsia="宋体" w:cs="宋体"/>
          <w:color w:val="auto"/>
          <w:sz w:val="24"/>
          <w:szCs w:val="24"/>
          <w:highlight w:val="none"/>
          <w:lang w:val="en-US" w:eastAsia="zh-CN"/>
        </w:rPr>
        <w:t>箱体外形尺寸：长≤5100mm，宽≤2600mm，高≤2650mm。</w:t>
      </w:r>
    </w:p>
    <w:p w14:paraId="5EA2DEE4">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8.2设备整体重量≤6.0t。</w:t>
      </w:r>
    </w:p>
    <w:p w14:paraId="6EF648D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8.3设备所有钢制部件应经高压喷丸除锈处理，喷涂优质耐磨防腐底漆和高耐候性面漆。</w:t>
      </w:r>
    </w:p>
    <w:p w14:paraId="5463E641">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性能参数要求</w:t>
      </w:r>
    </w:p>
    <w:p w14:paraId="639EBAB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9.1垃圾处理能力≥120m³/h</w:t>
      </w:r>
    </w:p>
    <w:p w14:paraId="7EA29E50">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9.2最大压缩力≥340kN</w:t>
      </w:r>
    </w:p>
    <w:p w14:paraId="1DDBA82A">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9.3压缩腔有效容积</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≥1.3m³</w:t>
      </w:r>
    </w:p>
    <w:p w14:paraId="012CB13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9.4一次压缩循环时间≤40s</w:t>
      </w:r>
    </w:p>
    <w:p w14:paraId="1931FA0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9.5单行程压缩量≥1.2m³</w:t>
      </w:r>
    </w:p>
    <w:p w14:paraId="5F7178F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9.6最大密实度≥0.7t/m³</w:t>
      </w:r>
    </w:p>
    <w:p w14:paraId="43378CB0">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9.7设备运行噪音≤70dB</w:t>
      </w:r>
    </w:p>
    <w:p w14:paraId="6B537F5E">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9.8连续工作2h油温≤65℃</w:t>
      </w:r>
    </w:p>
    <w:p w14:paraId="0F52EB4D">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9.9空载运行系统压力≤4MPa</w:t>
      </w:r>
    </w:p>
    <w:p w14:paraId="2743B6AD">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9.10绝缘电阻率≥50MΩ</w:t>
      </w:r>
    </w:p>
    <w:p w14:paraId="5B7F2818">
      <w:pPr>
        <w:keepNext w:val="0"/>
        <w:keepLines w:val="0"/>
        <w:pageBreakBefore w:val="0"/>
        <w:numPr>
          <w:ilvl w:val="0"/>
          <w:numId w:val="4"/>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其他要求</w:t>
      </w:r>
    </w:p>
    <w:p w14:paraId="037BD4D3">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10.1设备关键零部件（液压阀组、油泵、电机、电控元件）应采用知名品牌，关键电气元件符合安全标准（提供承诺书，格式自拟）。</w:t>
      </w:r>
    </w:p>
    <w:p w14:paraId="0C47968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10.2设备应具备相序换相功能，无需重新接线。</w:t>
      </w:r>
    </w:p>
    <w:p w14:paraId="200132F4">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10.3供应商应提供设备与采购单位现有勾臂车配套使用的承诺函或适配性说明。</w:t>
      </w:r>
    </w:p>
    <w:p w14:paraId="7DD6061D">
      <w:pPr>
        <w:keepNext w:val="0"/>
        <w:keepLines w:val="0"/>
        <w:pageBreakBefore w:val="0"/>
        <w:spacing w:line="360" w:lineRule="auto"/>
        <w:jc w:val="both"/>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（二）18m³移动式垃圾压缩设备</w:t>
      </w:r>
    </w:p>
    <w:p w14:paraId="2C5CBCFE">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总体要求</w:t>
      </w:r>
    </w:p>
    <w:p w14:paraId="2C47E725">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1.1设备为移动式水平垃圾压缩设备，由压缩腔、压缩头、料斗举升装置及连体式料斗、压缩垃圾存储部分、后门及密封系统、液压系统、控制系统等组成。</w:t>
      </w:r>
    </w:p>
    <w:p w14:paraId="0034E45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1.2</w:t>
      </w:r>
      <w:r>
        <w:rPr>
          <w:rFonts w:hint="eastAsia" w:ascii="宋体" w:hAnsi="宋体" w:eastAsia="宋体" w:cs="宋体"/>
          <w:b/>
          <w:sz w:val="24"/>
          <w:szCs w:val="24"/>
          <w:lang w:eastAsia="zh-CN"/>
        </w:rPr>
        <w:t>★</w:t>
      </w:r>
      <w:r>
        <w:rPr>
          <w:rFonts w:hint="eastAsia" w:ascii="宋体" w:hAnsi="宋体" w:eastAsia="宋体" w:cs="宋体"/>
          <w:color w:val="auto"/>
          <w:sz w:val="24"/>
          <w:szCs w:val="24"/>
          <w:highlight w:val="none"/>
          <w:lang w:val="en-US" w:eastAsia="zh-CN"/>
        </w:rPr>
        <w:t>设备应与采购单位现有勾臂车（拉臂车）配套使用，箱体拖箱装置应符合1570mm拉臂车配套标准，底梁应符合1060mm装载标准。</w:t>
      </w:r>
    </w:p>
    <w:p w14:paraId="72FC5515">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压缩腔与压缩头</w:t>
      </w:r>
    </w:p>
    <w:p w14:paraId="508D345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2.1压缩头在压缩腔内为无导轨、小间隙、水平式运动。</w:t>
      </w:r>
    </w:p>
    <w:p w14:paraId="50FEC7F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2.2压缩腔后部应设有排污口，采用消防接头密封。</w:t>
      </w:r>
    </w:p>
    <w:p w14:paraId="587CC02D">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2.3</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压缩头及压缩腔底板应采用高强度耐磨钢板，屈服强度≥1150MPa，布氏硬度≥450HBW（需提供第三方检测报告或材质证明）。</w:t>
      </w:r>
    </w:p>
    <w:p w14:paraId="45D7C18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2.4</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压缩头底板厚度≥10mm，压缩腔底板厚度≥10mm，储料箱侧围板厚度≥5mm，箱体底板厚度≥5mm。</w:t>
      </w:r>
    </w:p>
    <w:p w14:paraId="50CD1B14">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料斗与举升装置</w:t>
      </w:r>
    </w:p>
    <w:p w14:paraId="3381107E">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3.1</w:t>
      </w:r>
      <w:r>
        <w:rPr>
          <w:rFonts w:hint="eastAsia" w:ascii="宋体" w:hAnsi="宋体" w:cs="宋体"/>
          <w:bCs/>
          <w:color w:val="333333"/>
          <w:sz w:val="24"/>
          <w:szCs w:val="24"/>
          <w:highlight w:val="none"/>
        </w:rPr>
        <w:t>▲</w:t>
      </w:r>
      <w:r>
        <w:rPr>
          <w:rFonts w:hint="eastAsia" w:ascii="宋体" w:hAnsi="宋体" w:eastAsia="宋体" w:cs="宋体"/>
          <w:color w:val="auto"/>
          <w:sz w:val="24"/>
          <w:szCs w:val="24"/>
          <w:highlight w:val="none"/>
          <w:lang w:val="en-US" w:eastAsia="zh-CN"/>
        </w:rPr>
        <w:t>料斗采用连体式结构，有效宽度≥2200mm，有效容积≥3m³。</w:t>
      </w:r>
    </w:p>
    <w:p w14:paraId="5E729FF7">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3.2料斗举升机构举升力≥1.5T，满载时任意工作位置停止15min油缸沉降量≤5mm。</w:t>
      </w:r>
    </w:p>
    <w:p w14:paraId="4744E42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3.3上料机构应具备自动缓冲装置，避免冲击；油缸应采用防爆管装置，确保爆管时料斗可安全停止。</w:t>
      </w:r>
    </w:p>
    <w:p w14:paraId="0F0A1C67">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压缩垃圾存储部分</w:t>
      </w:r>
    </w:p>
    <w:p w14:paraId="3FBA8963">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4.1存储部分侧板采用整板制造，无外露加强筋，有效容积≥18m³。</w:t>
      </w:r>
    </w:p>
    <w:p w14:paraId="4A26FDDF">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后门及密封系统</w:t>
      </w:r>
    </w:p>
    <w:p w14:paraId="7C4C3F18">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5.1后门为整板制造，无外露加强筋。</w:t>
      </w:r>
    </w:p>
    <w:p w14:paraId="18AC1814">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5.2后门锁紧采用液压锁紧装置，从勾臂车取力，驾驶室内可完成开门、倾倒、锁门作业。</w:t>
      </w:r>
    </w:p>
    <w:p w14:paraId="2F1BBDD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5.3后门密封采用优质密封件，具备可调节功能，防止运输中滴漏（需提供密封件照片及说明）。</w:t>
      </w:r>
    </w:p>
    <w:p w14:paraId="5A32E652">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液压系统</w:t>
      </w:r>
    </w:p>
    <w:p w14:paraId="353E5982">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6.1液压系统关键元件（电机、油泵、控制阀、管路密封件）应采用知名品牌优质产品。</w:t>
      </w:r>
    </w:p>
    <w:p w14:paraId="7DE10758">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6.2压缩油缸活塞杆应具备耐腐蚀处理（如镀铬），油缸密封件选用优质产品。</w:t>
      </w:r>
    </w:p>
    <w:p w14:paraId="66440A8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6.3液压系统电机功率≥5.5kW，380V三相交流电机（需提供电机品牌、型号、参数及现场照片）。</w:t>
      </w:r>
    </w:p>
    <w:p w14:paraId="1E9B129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6.4液压系统应配备自动强制风冷散热装置，具有自动控制启停功能（需提供照片及工作原理说明）。</w:t>
      </w:r>
    </w:p>
    <w:p w14:paraId="4CC68F7D">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控制系统</w:t>
      </w:r>
    </w:p>
    <w:p w14:paraId="1B4FC85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7.1控制系统具备液晶显示功能，可显示设备运行状态、压力、压缩头位置、压缩时间、满载提示、故障诊断等信息。</w:t>
      </w:r>
    </w:p>
    <w:p w14:paraId="6A78CC2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7.2压缩头运动控制不得使用点位置传感器，以降低故障率（需提供照片及工作原理说明）。</w:t>
      </w:r>
    </w:p>
    <w:p w14:paraId="51162E3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7.3控制系统应具备：</w:t>
      </w:r>
    </w:p>
    <w:p w14:paraId="76CC560F">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7.3.1满载警示功能</w:t>
      </w:r>
    </w:p>
    <w:p w14:paraId="2031A773">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7.3.2紧急停机功能</w:t>
      </w:r>
    </w:p>
    <w:p w14:paraId="5718A0AD">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7.3.3压缩头任意位置强制回退功能</w:t>
      </w:r>
    </w:p>
    <w:p w14:paraId="49CF0A12">
      <w:pPr>
        <w:keepNext w:val="0"/>
        <w:keepLines w:val="0"/>
        <w:pageBreakBefore w:val="0"/>
        <w:numPr>
          <w:ilvl w:val="0"/>
          <w:numId w:val="0"/>
        </w:numPr>
        <w:spacing w:line="360" w:lineRule="auto"/>
        <w:ind w:left="8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7.3.4故障自动报警与诊断（包括相位错误、油压过低、紧急停止、传感器损坏等）</w:t>
      </w:r>
    </w:p>
    <w:p w14:paraId="29262A4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7.4设备具备手动操作箱与无线遥控两种操作方式。</w:t>
      </w:r>
    </w:p>
    <w:p w14:paraId="4A9ED2A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7.5安全性：具备自动安全调控功能，压力超限时自动停止工作；配备紧急停止按钮。</w:t>
      </w:r>
    </w:p>
    <w:p w14:paraId="0A0CBC55">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其他结构与配套</w:t>
      </w:r>
    </w:p>
    <w:p w14:paraId="6610319E">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8.1</w:t>
      </w:r>
      <w:r>
        <w:rPr>
          <w:rFonts w:hint="eastAsia" w:ascii="宋体" w:hAnsi="宋体" w:eastAsia="宋体" w:cs="宋体"/>
          <w:b/>
          <w:sz w:val="24"/>
          <w:szCs w:val="24"/>
          <w:lang w:eastAsia="zh-CN"/>
        </w:rPr>
        <w:t>★</w:t>
      </w:r>
      <w:r>
        <w:rPr>
          <w:rFonts w:hint="eastAsia" w:ascii="宋体" w:hAnsi="宋体" w:eastAsia="宋体" w:cs="宋体"/>
          <w:color w:val="auto"/>
          <w:sz w:val="24"/>
          <w:szCs w:val="24"/>
          <w:highlight w:val="none"/>
          <w:lang w:val="en-US" w:eastAsia="zh-CN"/>
        </w:rPr>
        <w:t>箱体外形尺寸：长≤6500mm，宽≤2600mm，高≤2650mm。</w:t>
      </w:r>
    </w:p>
    <w:p w14:paraId="03A94653">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8.2设备整体重量≤6.5t。</w:t>
      </w:r>
    </w:p>
    <w:p w14:paraId="3F5FE0B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8.3设备所有钢制部件应经高压喷丸除锈处理，喷涂优质耐磨防腐底漆和高耐候性面漆。</w:t>
      </w:r>
    </w:p>
    <w:p w14:paraId="5A48AE52">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性能参数要求</w:t>
      </w:r>
    </w:p>
    <w:p w14:paraId="14391D47">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9.1垃圾处理能力≥120m³/h </w:t>
      </w:r>
    </w:p>
    <w:p w14:paraId="5D689365">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9.2最大压缩力≥340kN</w:t>
      </w:r>
    </w:p>
    <w:p w14:paraId="22BAA2B1">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9.3压缩腔有效容积</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≥1.3m³</w:t>
      </w:r>
    </w:p>
    <w:p w14:paraId="1991647F">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9.4一次压缩循环时间≤45s</w:t>
      </w:r>
    </w:p>
    <w:p w14:paraId="605B0FE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9.5单行程压缩量≥1.2m³</w:t>
      </w:r>
    </w:p>
    <w:p w14:paraId="27CCB26E">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9.6最大密实度≥0.7t/m³</w:t>
      </w:r>
    </w:p>
    <w:p w14:paraId="2A88953D">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9.7设备运行噪音≤70dB</w:t>
      </w:r>
    </w:p>
    <w:p w14:paraId="2E4EE5B0">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9.8连续工作2h油温≤65℃</w:t>
      </w:r>
    </w:p>
    <w:p w14:paraId="3DE1336A">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9.9空载运行系统压力≤4MPa</w:t>
      </w:r>
    </w:p>
    <w:p w14:paraId="23F73DCB">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9.10绝缘电阻率≥50MΩ</w:t>
      </w:r>
    </w:p>
    <w:p w14:paraId="19C3C4D8">
      <w:pPr>
        <w:keepNext w:val="0"/>
        <w:keepLines w:val="0"/>
        <w:pageBreakBefore w:val="0"/>
        <w:numPr>
          <w:ilvl w:val="0"/>
          <w:numId w:val="5"/>
        </w:numPr>
        <w:spacing w:line="360" w:lineRule="auto"/>
        <w:ind w:left="425" w:hanging="42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其他要求</w:t>
      </w:r>
    </w:p>
    <w:p w14:paraId="7B8F6CC6">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10.1设备关键零部件（液压阀组、油泵、电机、电控元件）应采用知名品牌，关键电气元件符合安全标准（提供承诺书，格式自拟）。</w:t>
      </w:r>
    </w:p>
    <w:p w14:paraId="70441269">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10.2设备应具备相序换相功能，无需重新接线。</w:t>
      </w:r>
    </w:p>
    <w:p w14:paraId="56908EC7">
      <w:pPr>
        <w:keepNext w:val="0"/>
        <w:keepLines w:val="0"/>
        <w:pageBreakBefore w:val="0"/>
        <w:numPr>
          <w:ilvl w:val="0"/>
          <w:numId w:val="0"/>
        </w:numPr>
        <w:spacing w:line="360" w:lineRule="auto"/>
        <w:ind w:left="397"/>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10.3供应商应提供设备与采购单位现有勾臂车配套使用的承诺函或适配性说明。</w:t>
      </w:r>
    </w:p>
    <w:p w14:paraId="2E6E5180">
      <w:pPr>
        <w:keepNext w:val="0"/>
        <w:keepLines w:val="0"/>
        <w:pageBreakBefore w:val="0"/>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、供货要求</w:t>
      </w:r>
    </w:p>
    <w:p w14:paraId="097F0EAF">
      <w:pPr>
        <w:keepNext w:val="0"/>
        <w:keepLines w:val="0"/>
        <w:pageBreakBefore w:val="0"/>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天内完成供货、安装、调试，直至交付采购人验收合格使用，所有费用包含在本项目报价内。</w:t>
      </w:r>
    </w:p>
    <w:p w14:paraId="6EE072B2">
      <w:pPr>
        <w:keepNext w:val="0"/>
        <w:keepLines w:val="0"/>
        <w:pageBreakBefore w:val="0"/>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（2）设备包装、供货、保管过程中中标人应遵守安全操作制度，严格安全措施落实，承担安全责任。</w:t>
      </w:r>
    </w:p>
    <w:p w14:paraId="0F227BF0">
      <w:pPr>
        <w:keepNext w:val="0"/>
        <w:keepLines w:val="0"/>
        <w:pageBreakBefore w:val="0"/>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（3）严格按国家规定的技术规范标准生产和安装，设备实行“三包”，并明确注明“三包”内容。质保期内的维护更换等费用全部由卖方承担，包括人工、更换配件等费用。</w:t>
      </w:r>
    </w:p>
    <w:p w14:paraId="77EEED1F">
      <w:pPr>
        <w:keepNext w:val="0"/>
        <w:keepLines w:val="0"/>
        <w:pageBreakBefore w:val="0"/>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（4）设备运输、仓储、保管过程中的费用由中标单位承担。</w:t>
      </w:r>
    </w:p>
    <w:p w14:paraId="4C6F81AB">
      <w:pPr>
        <w:keepNext w:val="0"/>
        <w:keepLines w:val="0"/>
        <w:pageBreakBefore w:val="0"/>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（5）投标人须提供操作手册,维护手册等。</w:t>
      </w:r>
    </w:p>
    <w:p w14:paraId="2650840C">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、安装调试要求</w:t>
      </w:r>
    </w:p>
    <w:p w14:paraId="598A24C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（1）所有货物的款式、设计、版型、颜色需经采购人认可后方可生产供货。</w:t>
      </w:r>
    </w:p>
    <w:p w14:paraId="466503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（2）货物（含配件）应是全新、未使用过的原装合格正品，并保证所提供货物的开箱合格率为100%，外观和内在质量都不得有任何问题。</w:t>
      </w:r>
    </w:p>
    <w:p w14:paraId="0F50638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（3）产品及主要部件均须非停产设备，并提供备件、附件和耗材的供应。</w:t>
      </w:r>
    </w:p>
    <w:p w14:paraId="3B9D634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（4）产品及主要部件必须为成熟的产品，须充分考虑产品的使用者和使用环境。</w:t>
      </w:r>
    </w:p>
    <w:p w14:paraId="3C8E96C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（5）供货时须向采购人提供详细材料一览表（各主要部分用料、规格及厚度、产地证明等），包括产品说明书或产品主要技术资料和性能的详细描述等。</w:t>
      </w:r>
    </w:p>
    <w:p w14:paraId="6191473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（6）采购人使用货物的任何一部分，当受第三方提出的侵犯其专利权、商标权或工业设计权的投诉时，一切后果由中标人负责。</w:t>
      </w:r>
    </w:p>
    <w:p w14:paraId="03AF2F6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（7）应将货物送到采购人指定地点，并负责办理运输和装卸，费用由中标人负责。</w:t>
      </w:r>
    </w:p>
    <w:p w14:paraId="7E6AF76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（8）如未能达到合同要求，采购人有权退货并要求供应商赔偿损失。</w:t>
      </w:r>
    </w:p>
    <w:p w14:paraId="594E420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（9）投标人须向采购人提供设备的运行,安装,使用环境要求等。</w:t>
      </w:r>
    </w:p>
    <w:p w14:paraId="22C7AC35">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（10）在货物到达采购人指定地点后,投标人须在7天内派专业工程师到达现场,提供安装、调试等服务,协助采购人组织验收，并承担相关费用。</w:t>
      </w:r>
    </w:p>
    <w:p w14:paraId="1BA75A9A">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、国家或行业相关规范标准</w:t>
      </w:r>
    </w:p>
    <w:p w14:paraId="7A0FDF39">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）采用行业标准的不得低于国家标准；</w:t>
      </w:r>
    </w:p>
    <w:p w14:paraId="710BD098">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）必须通过国家安装规范和验收规范。</w:t>
      </w:r>
    </w:p>
    <w:p w14:paraId="280E1151">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、人员配备要求</w:t>
      </w:r>
    </w:p>
    <w:p w14:paraId="59603947">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投标人须为本项目配备安装人员，投标人须为采购人免费提供人员培训，配备人员不得少于一人</w:t>
      </w:r>
      <w:r>
        <w:rPr>
          <w:rFonts w:hint="eastAsia" w:ascii="宋体" w:hAnsi="宋体" w:eastAsia="宋体" w:cs="宋体"/>
          <w:b/>
          <w:color w:val="auto"/>
          <w:sz w:val="24"/>
          <w:szCs w:val="24"/>
          <w:highlight w:val="none"/>
        </w:rPr>
        <w:t>。</w:t>
      </w:r>
    </w:p>
    <w:p w14:paraId="69251688">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、履约验收要求</w:t>
      </w:r>
    </w:p>
    <w:p w14:paraId="767AA6D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506DF9B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（2）中标人交货前应对产品作出全面检查和对验收文件进行整理，并列出清单，作为采购人收货验收和使用的技术条件依据，检验的结果应随货物交采购人。</w:t>
      </w:r>
    </w:p>
    <w:p w14:paraId="1E1E9D3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（3）采购人对中标人提供的货物在使用前，中标人需负责安装调试并培训采购人的使用操作人员，并协助采购人一起调试，直到符合技术要求。安装调试费用由中标人负责。</w:t>
      </w:r>
    </w:p>
    <w:p w14:paraId="45EAB451">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（4）验收时中标人必须在现场，验收完毕后作出验收结果报告。对技术复杂的项目，采购人可组织有关部门和专家进行验收，相关费用由采购人和中标人双方协商解决。</w:t>
      </w:r>
    </w:p>
    <w:p w14:paraId="0A71368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八、培训要求</w:t>
      </w:r>
    </w:p>
    <w:p w14:paraId="338307AF">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（1）投标单位须提供操作培训，</w:t>
      </w:r>
      <w:r>
        <w:rPr>
          <w:rFonts w:hint="eastAsia" w:ascii="宋体" w:hAnsi="宋体" w:eastAsia="宋体" w:cs="宋体"/>
          <w:color w:val="auto"/>
          <w:sz w:val="24"/>
          <w:szCs w:val="24"/>
          <w:highlight w:val="none"/>
          <w:lang w:val="en-US" w:eastAsia="zh-CN"/>
        </w:rPr>
        <w:t>每个站点</w:t>
      </w:r>
      <w:r>
        <w:rPr>
          <w:rFonts w:hint="eastAsia" w:ascii="宋体" w:hAnsi="宋体" w:eastAsia="宋体" w:cs="宋体"/>
          <w:color w:val="auto"/>
          <w:sz w:val="24"/>
          <w:szCs w:val="24"/>
          <w:highlight w:val="none"/>
        </w:rPr>
        <w:t>操作使用培训，直至</w:t>
      </w:r>
      <w:r>
        <w:rPr>
          <w:rFonts w:hint="eastAsia" w:ascii="宋体" w:hAnsi="宋体" w:eastAsia="宋体" w:cs="宋体"/>
          <w:color w:val="auto"/>
          <w:sz w:val="24"/>
          <w:szCs w:val="24"/>
          <w:highlight w:val="none"/>
          <w:lang w:val="en-US" w:eastAsia="zh-CN"/>
        </w:rPr>
        <w:t>才做人员</w:t>
      </w:r>
      <w:r>
        <w:rPr>
          <w:rFonts w:hint="eastAsia" w:ascii="宋体" w:hAnsi="宋体" w:eastAsia="宋体" w:cs="宋体"/>
          <w:color w:val="auto"/>
          <w:sz w:val="24"/>
          <w:szCs w:val="24"/>
          <w:highlight w:val="none"/>
        </w:rPr>
        <w:t>可熟练使用。</w:t>
      </w:r>
    </w:p>
    <w:p w14:paraId="584D40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（2）投标人在投标时须对产品质量及服务做出维保承诺，为采购人提供人员培训计划，所需费用含本次报价中。</w:t>
      </w:r>
    </w:p>
    <w:p w14:paraId="77E179B1">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免费维保期间，每季度对所有设备进行巡检一次，并对相关人员进行培训指导一次。</w:t>
      </w:r>
    </w:p>
    <w:p w14:paraId="218E990F">
      <w:pPr>
        <w:spacing w:line="360" w:lineRule="auto"/>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九、售后服务要求</w:t>
      </w:r>
    </w:p>
    <w:p w14:paraId="716AF15D">
      <w:pPr>
        <w:spacing w:line="360" w:lineRule="auto"/>
        <w:ind w:firstLine="480"/>
        <w:rPr>
          <w:rFonts w:hint="eastAsia" w:ascii="宋体" w:hAnsi="宋体"/>
          <w:color w:val="auto"/>
          <w:sz w:val="24"/>
          <w:highlight w:val="none"/>
        </w:rPr>
      </w:pPr>
      <w:r>
        <w:rPr>
          <w:rFonts w:hint="eastAsia" w:ascii="宋体" w:hAnsi="宋体" w:eastAsia="宋体" w:cs="宋体"/>
          <w:color w:val="auto"/>
          <w:sz w:val="24"/>
          <w:szCs w:val="24"/>
          <w:highlight w:val="none"/>
        </w:rPr>
        <w:t>（1）质保期:</w:t>
      </w:r>
      <w:r>
        <w:rPr>
          <w:rFonts w:hint="eastAsia" w:ascii="宋体" w:hAnsi="宋体" w:eastAsia="宋体" w:cs="宋体"/>
          <w:color w:val="auto"/>
          <w:sz w:val="24"/>
          <w:szCs w:val="24"/>
          <w:highlight w:val="none"/>
          <w:lang w:val="en-US" w:eastAsia="zh-CN"/>
        </w:rPr>
        <w:t>整体设备</w:t>
      </w:r>
      <w:r>
        <w:rPr>
          <w:rFonts w:hint="eastAsia" w:ascii="宋体" w:hAnsi="宋体" w:eastAsia="宋体" w:cs="宋体"/>
          <w:color w:val="auto"/>
          <w:sz w:val="24"/>
          <w:szCs w:val="24"/>
          <w:highlight w:val="none"/>
        </w:rPr>
        <w:t>不低于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p w14:paraId="53C0DDDB">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确保设备保修期内</w:t>
      </w:r>
      <w:r>
        <w:rPr>
          <w:rFonts w:hint="eastAsia" w:ascii="宋体" w:hAnsi="宋体" w:eastAsia="宋体" w:cs="宋体"/>
          <w:color w:val="auto"/>
          <w:sz w:val="24"/>
          <w:szCs w:val="24"/>
          <w:highlight w:val="none"/>
          <w:lang w:val="en-US" w:eastAsia="zh-CN"/>
        </w:rPr>
        <w:t>正常使用率</w:t>
      </w:r>
      <w:r>
        <w:rPr>
          <w:rFonts w:hint="eastAsia" w:ascii="宋体" w:hAnsi="宋体" w:eastAsia="宋体" w:cs="宋体"/>
          <w:color w:val="auto"/>
          <w:sz w:val="24"/>
          <w:szCs w:val="24"/>
          <w:highlight w:val="none"/>
        </w:rPr>
        <w:t>为9</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%，如设备故障停机率超过</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%（一年按365天计算，每年</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天），每超过一天（一天并不意味24小时停机，只要当日发生</w:t>
      </w:r>
      <w:r>
        <w:rPr>
          <w:rFonts w:hint="eastAsia" w:ascii="宋体" w:hAnsi="宋体" w:eastAsia="宋体" w:cs="宋体"/>
          <w:color w:val="auto"/>
          <w:sz w:val="24"/>
          <w:szCs w:val="24"/>
          <w:highlight w:val="none"/>
          <w:lang w:val="en-US" w:eastAsia="zh-CN"/>
        </w:rPr>
        <w:t>故障</w:t>
      </w:r>
      <w:r>
        <w:rPr>
          <w:rFonts w:hint="eastAsia" w:ascii="宋体" w:hAnsi="宋体" w:eastAsia="宋体" w:cs="宋体"/>
          <w:color w:val="auto"/>
          <w:sz w:val="24"/>
          <w:szCs w:val="24"/>
          <w:highlight w:val="none"/>
        </w:rPr>
        <w:t>事件，即视为停机一天），保修期延长两周，超过10天，乙方应向甲方每天支付合同金额1%的违约金。</w:t>
      </w:r>
    </w:p>
    <w:p w14:paraId="2E1CAC54">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如设备发生故障，乙方在接到甲方报修电话后30分钟内予以响应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24小时</w:t>
      </w:r>
      <w:r>
        <w:rPr>
          <w:rFonts w:hint="eastAsia" w:ascii="宋体" w:hAnsi="宋体" w:eastAsia="宋体" w:cs="宋体"/>
          <w:color w:val="auto"/>
          <w:sz w:val="24"/>
          <w:szCs w:val="24"/>
          <w:highlight w:val="none"/>
        </w:rPr>
        <w:t>上门维修，否则甲方可自行采取必要的措施，由此产生的风险和费用由乙方承担。如遇特殊情况，乙方承诺无法现场解决问题，乙方需提供备机服务保障正常工作。</w:t>
      </w:r>
    </w:p>
    <w:p w14:paraId="60CDC713">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设备处</w:t>
      </w:r>
      <w:r>
        <w:rPr>
          <w:rFonts w:hint="eastAsia" w:ascii="宋体" w:hAnsi="宋体" w:eastAsia="宋体" w:cs="宋体"/>
          <w:color w:val="auto"/>
          <w:sz w:val="24"/>
          <w:szCs w:val="24"/>
          <w:highlight w:val="none"/>
        </w:rPr>
        <w:t>取得联系；在维修过程中与甲方工程师共同完成维修工作。否则由此引起的一切责任由乙方负责。</w:t>
      </w:r>
    </w:p>
    <w:p w14:paraId="30ED1019">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乙方免费提供全套技术资料（维修说明书包括详细电路图、操作说明书及光盘等），如技术资料不全，甲方有权不支付货款。</w:t>
      </w:r>
    </w:p>
    <w:p w14:paraId="7579406E">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十、投标报价要求</w:t>
      </w:r>
    </w:p>
    <w:p w14:paraId="68E5391E">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71158A5E">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十一、其他</w:t>
      </w:r>
    </w:p>
    <w:p w14:paraId="72EB357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）履约保证金:本项目收取履约保证金。</w:t>
      </w:r>
    </w:p>
    <w:p w14:paraId="0649682F">
      <w:pPr>
        <w:spacing w:line="360" w:lineRule="auto"/>
        <w:ind w:firstLine="480"/>
        <w:jc w:val="left"/>
        <w:rPr>
          <w:rFonts w:ascii="宋体" w:hAnsi="宋体" w:eastAsia="宋体" w:cs="宋体"/>
          <w:sz w:val="24"/>
          <w:szCs w:val="24"/>
        </w:rPr>
      </w:pPr>
      <w:bookmarkStart w:id="23" w:name="_Toc150765440"/>
      <w:r>
        <w:rPr>
          <w:rFonts w:hint="eastAsia" w:ascii="宋体" w:hAnsi="宋体" w:eastAsia="宋体" w:cs="宋体"/>
          <w:sz w:val="24"/>
          <w:szCs w:val="24"/>
        </w:rPr>
        <w:t>1.1 缴纳形式：以支票、汇票、本票或者金融机构、担保机构出具的保函等非现金形式在合同签订前提交；</w:t>
      </w:r>
    </w:p>
    <w:p w14:paraId="59F4580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 xml:space="preserve">1.2 缴纳金额：合同价的 </w:t>
      </w:r>
      <w:r>
        <w:rPr>
          <w:rFonts w:hint="eastAsia" w:ascii="宋体" w:hAnsi="宋体" w:eastAsia="宋体" w:cs="宋体"/>
          <w:sz w:val="24"/>
          <w:szCs w:val="24"/>
          <w:lang w:val="en-US" w:eastAsia="zh-CN"/>
        </w:rPr>
        <w:t>10</w:t>
      </w:r>
      <w:r>
        <w:rPr>
          <w:rFonts w:hint="eastAsia" w:ascii="宋体" w:hAnsi="宋体" w:eastAsia="宋体" w:cs="宋体"/>
          <w:sz w:val="24"/>
          <w:szCs w:val="24"/>
        </w:rPr>
        <w:t>%；</w:t>
      </w:r>
    </w:p>
    <w:p w14:paraId="049C6FD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1.3 退还方式：按乙方递交履约保证金的方式退还；</w:t>
      </w:r>
    </w:p>
    <w:p w14:paraId="205450A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1.4 退还时间：项目全部完成后经双方签字同意后 10 个工作日内由甲方全部退还（无息）；</w:t>
      </w:r>
    </w:p>
    <w:p w14:paraId="69BD805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1.5 退还条件：通过甲方及其他相关机构验收合格并经双方签字同意后；</w:t>
      </w:r>
    </w:p>
    <w:p w14:paraId="7BD5159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1.6 不予退还情形：</w:t>
      </w:r>
    </w:p>
    <w:p w14:paraId="131F368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（1）乙方未按约定签订采购合同；</w:t>
      </w:r>
    </w:p>
    <w:p w14:paraId="32628EE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（2）乙方违约的，甲方将扣除其全部履约保证金。如乙方违约给甲方造成的损失超过履约保证金的，应当依法赔偿超过部分的损失。</w:t>
      </w:r>
    </w:p>
    <w:p w14:paraId="1D37DCE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1.7甲方逾期退还履约保证金的应承担违约责任，按照中国人民银行同期贷款基准利率向中标人支付超期资金占用费。</w:t>
      </w:r>
    </w:p>
    <w:p w14:paraId="0FDE054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付款方式：到货后中标人负责安装、调试。验收合格后，中标人提供免费保修证明，中标人应向采购人出具符合采购人要求的发票，采购人付款100%。采购人付款前，中标人应向采购人出具符合采购人要求的发票。</w:t>
      </w:r>
    </w:p>
    <w:p w14:paraId="05127DD4">
      <w:pPr>
        <w:spacing w:line="360" w:lineRule="auto"/>
        <w:ind w:firstLine="480"/>
        <w:jc w:val="left"/>
        <w:rPr>
          <w:rFonts w:ascii="宋体" w:hAnsi="宋体" w:eastAsia="宋体" w:cs="Times New Roman"/>
          <w:sz w:val="24"/>
        </w:rPr>
      </w:pPr>
      <w:r>
        <w:rPr>
          <w:rFonts w:hint="eastAsia" w:ascii="宋体" w:hAnsi="宋体" w:eastAsia="宋体" w:cs="宋体"/>
          <w:sz w:val="24"/>
          <w:szCs w:val="24"/>
        </w:rPr>
        <w:t>（3）工作中涉及的敏感资料、电子数据等相关信息，中标人应严格执行保密的相关规定，不得以任何方式向任何第三人披露、泄露或许可第三人使用，否则追究其相应法律责任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Times New Roman"/>
          <w:sz w:val="24"/>
        </w:rPr>
        <w:t>。</w:t>
      </w:r>
    </w:p>
    <w:p w14:paraId="3F88944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（4）本项目涉及商品包装和快递包装的，中标人提供产品及相关快递服务的要满足《商品包装政府采购需求标准(试行)》、《快递包装政府采购需求标准(试行)》的相关要求。</w:t>
      </w:r>
    </w:p>
    <w:p w14:paraId="5920BC30">
      <w:pPr>
        <w:pStyle w:val="2"/>
        <w:numPr>
          <w:ilvl w:val="0"/>
          <w:numId w:val="0"/>
        </w:numPr>
        <w:rPr>
          <w:rFonts w:hint="eastAsia"/>
          <w:color w:val="auto"/>
          <w:highlight w:val="none"/>
        </w:rPr>
      </w:pPr>
    </w:p>
    <w:p w14:paraId="7AFC64DB">
      <w:pPr>
        <w:pStyle w:val="2"/>
        <w:numPr>
          <w:ilvl w:val="0"/>
          <w:numId w:val="0"/>
        </w:numPr>
        <w:rPr>
          <w:rFonts w:ascii="宋体" w:hAnsi="宋体"/>
          <w:color w:val="auto"/>
          <w:sz w:val="24"/>
          <w:highlight w:val="none"/>
        </w:rPr>
      </w:pPr>
      <w:r>
        <w:rPr>
          <w:rFonts w:hint="eastAsia"/>
          <w:color w:val="auto"/>
          <w:highlight w:val="none"/>
        </w:rPr>
        <w:t>第七章评标办法</w:t>
      </w:r>
      <w:bookmarkEnd w:id="20"/>
      <w:bookmarkEnd w:id="23"/>
    </w:p>
    <w:p w14:paraId="72C6A376">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bCs/>
          <w:color w:val="auto"/>
          <w:sz w:val="24"/>
          <w:szCs w:val="24"/>
          <w:highlight w:val="none"/>
        </w:rPr>
        <w:t>评标委员会构成</w:t>
      </w:r>
      <w:r>
        <w:rPr>
          <w:rFonts w:hint="eastAsia" w:ascii="宋体" w:hAnsi="宋体" w:eastAsia="宋体" w:cs="Times New Roman"/>
          <w:b/>
          <w:color w:val="auto"/>
          <w:sz w:val="24"/>
          <w:szCs w:val="24"/>
          <w:highlight w:val="none"/>
        </w:rPr>
        <w:t>：</w:t>
      </w:r>
    </w:p>
    <w:p w14:paraId="1BB4B61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本采购项目评标委员会的评委由采购人代表、相关专家组成。</w:t>
      </w:r>
    </w:p>
    <w:p w14:paraId="5D2F42D9">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二、</w:t>
      </w:r>
      <w:r>
        <w:rPr>
          <w:rFonts w:hint="eastAsia" w:ascii="宋体" w:hAnsi="宋体" w:eastAsia="宋体" w:cs="Times New Roman"/>
          <w:b/>
          <w:bCs/>
          <w:color w:val="auto"/>
          <w:sz w:val="24"/>
          <w:szCs w:val="24"/>
          <w:highlight w:val="none"/>
        </w:rPr>
        <w:t>评标方法</w:t>
      </w:r>
      <w:r>
        <w:rPr>
          <w:rFonts w:hint="eastAsia" w:ascii="宋体" w:hAnsi="宋体" w:eastAsia="宋体" w:cs="Times New Roman"/>
          <w:b/>
          <w:color w:val="auto"/>
          <w:sz w:val="24"/>
          <w:szCs w:val="24"/>
          <w:highlight w:val="none"/>
        </w:rPr>
        <w:t>：</w:t>
      </w:r>
    </w:p>
    <w:p w14:paraId="041A92E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56E7B427">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w:t>
      </w:r>
      <w:r>
        <w:rPr>
          <w:rFonts w:hint="eastAsia" w:ascii="宋体" w:hAnsi="宋体" w:eastAsia="宋体" w:cs="Times New Roman"/>
          <w:b/>
          <w:bCs/>
          <w:color w:val="auto"/>
          <w:sz w:val="24"/>
          <w:szCs w:val="24"/>
          <w:highlight w:val="none"/>
        </w:rPr>
        <w:t>评标原则</w:t>
      </w:r>
      <w:r>
        <w:rPr>
          <w:rFonts w:hint="eastAsia" w:ascii="宋体" w:hAnsi="宋体" w:eastAsia="宋体" w:cs="Times New Roman"/>
          <w:b/>
          <w:color w:val="auto"/>
          <w:sz w:val="24"/>
          <w:szCs w:val="24"/>
          <w:highlight w:val="none"/>
        </w:rPr>
        <w:t>：</w:t>
      </w:r>
    </w:p>
    <w:p w14:paraId="36A600B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37F875DC">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hint="eastAsia" w:ascii="宋体" w:hAnsi="宋体" w:eastAsia="宋体" w:cs="Times New Roman"/>
          <w:b/>
          <w:bCs/>
          <w:color w:val="auto"/>
          <w:sz w:val="24"/>
          <w:szCs w:val="24"/>
          <w:highlight w:val="none"/>
        </w:rPr>
        <w:t>评标标准</w:t>
      </w:r>
      <w:r>
        <w:rPr>
          <w:rFonts w:hint="eastAsia" w:ascii="宋体" w:hAnsi="宋体" w:eastAsia="宋体" w:cs="Times New Roman"/>
          <w:b/>
          <w:color w:val="auto"/>
          <w:sz w:val="24"/>
          <w:szCs w:val="24"/>
          <w:highlight w:val="none"/>
        </w:rPr>
        <w:t>：</w:t>
      </w:r>
    </w:p>
    <w:p w14:paraId="247030F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（一）评标时，评标委员会以招标文件为评标依据，评标委员会各成员独立对每个投标人的投标文件进行评价，并汇总每个投标人的得分。</w:t>
      </w:r>
    </w:p>
    <w:p w14:paraId="07A32E7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（二）本项目评分总分为100分，按四舍五入取至小数点后两位。</w:t>
      </w:r>
    </w:p>
    <w:p w14:paraId="0E93948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p>
    <w:p w14:paraId="2371663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DFBC13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综合评分法</w:t>
      </w:r>
    </w:p>
    <w:tbl>
      <w:tblPr>
        <w:tblStyle w:val="46"/>
        <w:tblpPr w:leftFromText="180" w:rightFromText="180" w:vertAnchor="text" w:horzAnchor="page" w:tblpX="1405" w:tblpY="527"/>
        <w:tblW w:w="94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8006"/>
      </w:tblGrid>
      <w:tr w14:paraId="4B45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04" w:type="dxa"/>
            <w:noWrap/>
            <w:vAlign w:val="center"/>
          </w:tcPr>
          <w:p w14:paraId="7BB56B75">
            <w:pPr>
              <w:widowControl/>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8006" w:type="dxa"/>
            <w:noWrap/>
            <w:vAlign w:val="center"/>
          </w:tcPr>
          <w:p w14:paraId="772383AE">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评分依据</w:t>
            </w:r>
          </w:p>
        </w:tc>
      </w:tr>
      <w:tr w14:paraId="094E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404" w:type="dxa"/>
            <w:noWrap/>
            <w:vAlign w:val="center"/>
          </w:tcPr>
          <w:p w14:paraId="27A26B25">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价格分（30分）</w:t>
            </w:r>
          </w:p>
        </w:tc>
        <w:tc>
          <w:tcPr>
            <w:tcW w:w="8006" w:type="dxa"/>
            <w:noWrap/>
            <w:vAlign w:val="center"/>
          </w:tcPr>
          <w:p w14:paraId="4993CAC2">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采用低价优先法计算，即满足招标文件要求且投标价格最低的投标报价（投标人的最低评审价格）为评标基准价，其价格分为满分。其他投标人的价格分统一按照下列公式计算：</w:t>
            </w:r>
          </w:p>
          <w:p w14:paraId="17FCF05E">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投标报价得分=（评标基准价/各投标人评审价格）×30分</w:t>
            </w:r>
          </w:p>
          <w:p w14:paraId="2651D5DB">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评标过程中，不得去掉报价中的最高报价和最低报价。结果保留两位小数。</w:t>
            </w:r>
          </w:p>
        </w:tc>
      </w:tr>
      <w:tr w14:paraId="0295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noWrap/>
            <w:vAlign w:val="center"/>
          </w:tcPr>
          <w:p w14:paraId="4B4A8CC2">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8006" w:type="dxa"/>
            <w:noWrap/>
            <w:vAlign w:val="center"/>
          </w:tcPr>
          <w:p w14:paraId="481C6649">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完全符合招标文件第六章《项目需求》中“</w:t>
            </w:r>
            <w:r>
              <w:rPr>
                <w:rFonts w:hint="eastAsia" w:ascii="宋体" w:hAnsi="宋体" w:eastAsia="宋体" w:cs="宋体"/>
                <w:color w:val="auto"/>
                <w:sz w:val="24"/>
                <w:szCs w:val="24"/>
                <w:highlight w:val="none"/>
                <w:lang w:eastAsia="zh-CN"/>
              </w:rPr>
              <w:t>技术参数要求</w:t>
            </w:r>
            <w:r>
              <w:rPr>
                <w:rFonts w:hint="eastAsia" w:ascii="宋体" w:hAnsi="宋体" w:eastAsia="宋体" w:cs="宋体"/>
                <w:color w:val="auto"/>
                <w:sz w:val="24"/>
                <w:szCs w:val="24"/>
                <w:highlight w:val="none"/>
              </w:rPr>
              <w:t>”响应指标，满足要求的得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r>
              <w:rPr>
                <w:rFonts w:hint="eastAsia" w:ascii="宋体" w:hAnsi="宋体" w:cs="宋体"/>
                <w:sz w:val="24"/>
                <w:szCs w:val="24"/>
                <w:highlight w:val="none"/>
              </w:rPr>
              <w:t>每一项重要响应指标负偏离（缺、漏项视为负偏离）</w:t>
            </w:r>
            <w:r>
              <w:rPr>
                <w:rFonts w:hint="eastAsia" w:ascii="宋体" w:hAnsi="宋体" w:eastAsia="宋体" w:cs="宋体"/>
                <w:sz w:val="24"/>
                <w:szCs w:val="24"/>
                <w:highlight w:val="none"/>
                <w:lang w:eastAsia="zh-CN"/>
              </w:rPr>
              <w:t>扣</w:t>
            </w: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rPr>
              <w:t>分；每一项非重要响应指标负偏离（缺、漏项视为负偏离）</w:t>
            </w:r>
            <w:r>
              <w:rPr>
                <w:rFonts w:hint="eastAsia" w:ascii="宋体" w:hAnsi="宋体" w:eastAsia="宋体" w:cs="宋体"/>
                <w:sz w:val="24"/>
                <w:szCs w:val="24"/>
                <w:highlight w:val="none"/>
                <w:lang w:eastAsia="zh-CN"/>
              </w:rPr>
              <w:t>扣</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sz w:val="24"/>
                <w:szCs w:val="24"/>
                <w:highlight w:val="none"/>
              </w:rPr>
              <w:t>本项最高得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分,最低得0分。</w:t>
            </w:r>
          </w:p>
          <w:p w14:paraId="349061EC">
            <w:pPr>
              <w:widowControl/>
              <w:spacing w:line="400" w:lineRule="exact"/>
              <w:ind w:firstLine="0"/>
              <w:jc w:val="left"/>
              <w:rPr>
                <w:rFonts w:ascii="宋体" w:hAnsi="宋体" w:cs="宋体"/>
                <w:b/>
                <w:sz w:val="24"/>
                <w:szCs w:val="24"/>
                <w:highlight w:val="none"/>
              </w:rPr>
            </w:pPr>
            <w:r>
              <w:rPr>
                <w:rFonts w:hint="eastAsia" w:ascii="宋体" w:hAnsi="宋体" w:cs="宋体"/>
                <w:b/>
                <w:sz w:val="24"/>
                <w:szCs w:val="24"/>
                <w:highlight w:val="none"/>
              </w:rPr>
              <w:t>备注：招标文件第</w:t>
            </w:r>
            <w:r>
              <w:rPr>
                <w:rFonts w:hint="eastAsia" w:ascii="宋体" w:hAnsi="宋体" w:cs="宋体"/>
                <w:b/>
                <w:sz w:val="24"/>
                <w:szCs w:val="24"/>
                <w:highlight w:val="none"/>
                <w:lang w:eastAsia="zh-CN"/>
              </w:rPr>
              <w:t>六</w:t>
            </w:r>
            <w:r>
              <w:rPr>
                <w:rFonts w:hint="eastAsia" w:ascii="宋体" w:hAnsi="宋体" w:cs="宋体"/>
                <w:b/>
                <w:sz w:val="24"/>
                <w:szCs w:val="24"/>
                <w:highlight w:val="none"/>
              </w:rPr>
              <w:t>章《</w:t>
            </w:r>
            <w:r>
              <w:rPr>
                <w:rFonts w:hint="eastAsia" w:ascii="宋体" w:hAnsi="宋体" w:eastAsia="宋体" w:cs="宋体"/>
                <w:color w:val="auto"/>
                <w:sz w:val="24"/>
                <w:szCs w:val="24"/>
                <w:highlight w:val="none"/>
              </w:rPr>
              <w:t>项目需求</w:t>
            </w:r>
            <w:r>
              <w:rPr>
                <w:rFonts w:hint="eastAsia" w:ascii="宋体" w:hAnsi="宋体" w:cs="宋体"/>
                <w:b/>
                <w:sz w:val="24"/>
                <w:szCs w:val="24"/>
                <w:highlight w:val="none"/>
              </w:rPr>
              <w:t>》“</w:t>
            </w:r>
            <w:r>
              <w:rPr>
                <w:rFonts w:hint="eastAsia" w:ascii="宋体" w:hAnsi="宋体" w:eastAsia="宋体" w:cs="宋体"/>
                <w:b/>
                <w:sz w:val="24"/>
                <w:szCs w:val="24"/>
                <w:highlight w:val="none"/>
                <w:lang w:eastAsia="zh-CN"/>
              </w:rPr>
              <w:t>技术</w:t>
            </w:r>
            <w:r>
              <w:rPr>
                <w:rFonts w:hint="eastAsia" w:ascii="宋体" w:hAnsi="宋体" w:cs="宋体"/>
                <w:b/>
                <w:sz w:val="24"/>
                <w:szCs w:val="24"/>
                <w:highlight w:val="none"/>
              </w:rPr>
              <w:t>参数要求”中</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加</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的为核心指标，不允许负偏离，否则废标；</w:t>
            </w:r>
            <w:r>
              <w:rPr>
                <w:rFonts w:hint="eastAsia" w:ascii="宋体" w:hAnsi="宋体" w:cs="宋体"/>
                <w:b/>
                <w:sz w:val="24"/>
                <w:szCs w:val="24"/>
                <w:highlight w:val="none"/>
              </w:rPr>
              <w:t>加“</w:t>
            </w:r>
            <w:r>
              <w:rPr>
                <w:rFonts w:hint="eastAsia" w:ascii="宋体" w:hAnsi="宋体" w:cs="宋体"/>
                <w:bCs/>
                <w:color w:val="333333"/>
                <w:sz w:val="24"/>
                <w:szCs w:val="24"/>
                <w:highlight w:val="none"/>
              </w:rPr>
              <w:t>▲</w:t>
            </w:r>
            <w:r>
              <w:rPr>
                <w:rFonts w:hint="eastAsia" w:ascii="宋体" w:hAnsi="宋体" w:cs="宋体"/>
                <w:b/>
                <w:sz w:val="24"/>
                <w:szCs w:val="24"/>
                <w:highlight w:val="none"/>
              </w:rPr>
              <w:t>”标志的为重要响应指标，其余为非重要响应指标。</w:t>
            </w:r>
          </w:p>
          <w:p w14:paraId="6AB9DE7F">
            <w:pPr>
              <w:spacing w:line="460" w:lineRule="exact"/>
              <w:jc w:val="lef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highlight w:val="none"/>
                <w14:textFill>
                  <w14:solidFill>
                    <w14:schemeClr w14:val="tx1"/>
                  </w14:solidFill>
                </w14:textFill>
              </w:rPr>
              <w:t>（技术参数要求投标人应逐一</w:t>
            </w:r>
            <w:r>
              <w:rPr>
                <w:rFonts w:hint="eastAsia" w:eastAsia="宋体" w:cs="宋体" w:asciiTheme="minorEastAsia" w:hAnsiTheme="minorEastAsia"/>
                <w:b/>
                <w:color w:val="000000" w:themeColor="text1"/>
                <w:sz w:val="24"/>
                <w:szCs w:val="24"/>
                <w:highlight w:val="none"/>
                <w:lang w:eastAsia="zh-CN"/>
                <w14:textFill>
                  <w14:solidFill>
                    <w14:schemeClr w14:val="tx1"/>
                  </w14:solidFill>
                </w14:textFill>
              </w:rPr>
              <w:t>响应</w:t>
            </w:r>
            <w:r>
              <w:rPr>
                <w:rFonts w:hint="eastAsia" w:cs="宋体" w:asciiTheme="minorEastAsia" w:hAnsiTheme="minorEastAsia"/>
                <w:b/>
                <w:color w:val="000000" w:themeColor="text1"/>
                <w:sz w:val="24"/>
                <w:szCs w:val="24"/>
                <w:highlight w:val="none"/>
                <w14:textFill>
                  <w14:solidFill>
                    <w14:schemeClr w14:val="tx1"/>
                  </w14:solidFill>
                </w14:textFill>
              </w:rPr>
              <w:t>所有参数性能配置等偏离情况</w:t>
            </w:r>
            <w:r>
              <w:rPr>
                <w:rFonts w:hint="eastAsia" w:eastAsia="宋体" w:cs="宋体" w:asciiTheme="minorEastAsia" w:hAnsiTheme="minorEastAsia"/>
                <w:b/>
                <w:color w:val="000000" w:themeColor="text1"/>
                <w:sz w:val="24"/>
                <w:szCs w:val="24"/>
                <w:highlight w:val="none"/>
                <w:lang w:eastAsia="zh-CN"/>
                <w14:textFill>
                  <w14:solidFill>
                    <w14:schemeClr w14:val="tx1"/>
                  </w14:solidFill>
                </w14:textFill>
              </w:rPr>
              <w:t>，</w:t>
            </w:r>
            <w:r>
              <w:rPr>
                <w:rFonts w:hint="eastAsia" w:eastAsia="宋体" w:cs="宋体" w:asciiTheme="minorEastAsia" w:hAnsiTheme="minorEastAsia"/>
                <w:b/>
                <w:color w:val="000000" w:themeColor="text1"/>
                <w:sz w:val="24"/>
                <w:szCs w:val="24"/>
                <w:highlight w:val="none"/>
                <w:lang w:val="en-US" w:eastAsia="zh-CN"/>
                <w14:textFill>
                  <w14:solidFill>
                    <w14:schemeClr w14:val="tx1"/>
                  </w14:solidFill>
                </w14:textFill>
              </w:rPr>
              <w:t>加</w:t>
            </w:r>
            <w:r>
              <w:rPr>
                <w:rFonts w:hint="eastAsia" w:ascii="宋体" w:hAnsi="宋体" w:eastAsia="宋体" w:cs="宋体"/>
                <w:b/>
                <w:sz w:val="24"/>
                <w:szCs w:val="24"/>
                <w:highlight w:val="none"/>
                <w:lang w:eastAsia="zh-CN"/>
              </w:rPr>
              <w:t>“★”、</w:t>
            </w:r>
            <w:r>
              <w:rPr>
                <w:rFonts w:hint="eastAsia" w:ascii="宋体" w:hAnsi="宋体" w:cs="宋体"/>
                <w:b/>
                <w:sz w:val="24"/>
                <w:szCs w:val="24"/>
                <w:highlight w:val="none"/>
              </w:rPr>
              <w:t>“</w:t>
            </w:r>
            <w:r>
              <w:rPr>
                <w:rFonts w:hint="eastAsia" w:ascii="宋体" w:hAnsi="宋体" w:cs="宋体"/>
                <w:bCs/>
                <w:color w:val="333333"/>
                <w:sz w:val="24"/>
                <w:szCs w:val="24"/>
                <w:highlight w:val="none"/>
              </w:rPr>
              <w:t>▲</w:t>
            </w:r>
            <w:r>
              <w:rPr>
                <w:rFonts w:hint="eastAsia" w:ascii="宋体" w:hAnsi="宋体" w:cs="宋体"/>
                <w:b/>
                <w:sz w:val="24"/>
                <w:szCs w:val="24"/>
                <w:highlight w:val="none"/>
              </w:rPr>
              <w:t>”标志的</w:t>
            </w:r>
            <w:r>
              <w:rPr>
                <w:rFonts w:hint="eastAsia" w:ascii="宋体" w:hAnsi="宋体" w:eastAsia="宋体" w:cs="宋体"/>
                <w:b/>
                <w:bCs/>
                <w:sz w:val="24"/>
                <w:szCs w:val="24"/>
                <w:highlight w:val="none"/>
              </w:rPr>
              <w:t>提供明确的佐证材料证明（包括但不限于：产品说明书、彩页、检测报告、注册证</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图片</w:t>
            </w:r>
            <w:r>
              <w:rPr>
                <w:rFonts w:hint="eastAsia" w:ascii="宋体" w:hAnsi="宋体" w:eastAsia="宋体" w:cs="宋体"/>
                <w:b/>
                <w:bCs/>
                <w:sz w:val="24"/>
                <w:szCs w:val="24"/>
                <w:highlight w:val="none"/>
              </w:rPr>
              <w:t>等</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并详细标注出佐证材料证明所在位置，未对证明材料标注或标注不明确视为未提供证明材料，除特殊要求自行承诺以外，其他自行承诺符合要求的不予认可。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highlight w:val="none"/>
                <w:lang w:eastAsia="zh-CN"/>
              </w:rPr>
              <w:t>）</w:t>
            </w:r>
          </w:p>
        </w:tc>
      </w:tr>
      <w:tr w14:paraId="7027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34032AD0">
            <w:pPr>
              <w:widowControl/>
              <w:spacing w:line="46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highlight w:val="none"/>
                <w:lang w:val="en-US" w:eastAsia="zh-CN"/>
              </w:rPr>
              <w:t>项目总体实施方案（5分）</w:t>
            </w:r>
          </w:p>
        </w:tc>
        <w:tc>
          <w:tcPr>
            <w:tcW w:w="8006" w:type="dxa"/>
            <w:shd w:val="clear" w:color="auto" w:fill="auto"/>
            <w:noWrap/>
            <w:vAlign w:val="center"/>
          </w:tcPr>
          <w:p w14:paraId="0DB939E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w:t>
            </w:r>
            <w:r>
              <w:rPr>
                <w:rFonts w:hint="eastAsia" w:ascii="宋体" w:hAnsi="宋体" w:eastAsia="宋体" w:cs="宋体"/>
                <w:color w:val="auto"/>
                <w:sz w:val="24"/>
                <w:szCs w:val="24"/>
                <w:highlight w:val="none"/>
                <w:lang w:val="en-US" w:eastAsia="zh-CN"/>
              </w:rPr>
              <w:t>项目总体实施方案</w:t>
            </w:r>
            <w:r>
              <w:rPr>
                <w:rFonts w:hint="eastAsia" w:ascii="宋体" w:hAnsi="宋体" w:eastAsia="宋体" w:cs="宋体"/>
                <w:color w:val="auto"/>
                <w:sz w:val="24"/>
                <w:szCs w:val="24"/>
                <w:highlight w:val="none"/>
              </w:rPr>
              <w:t>》,包含但不限于项目</w:t>
            </w:r>
            <w:r>
              <w:rPr>
                <w:rFonts w:hint="eastAsia" w:ascii="宋体" w:hAnsi="宋体" w:eastAsia="宋体" w:cs="宋体"/>
                <w:color w:val="auto"/>
                <w:sz w:val="24"/>
                <w:szCs w:val="24"/>
                <w:highlight w:val="none"/>
                <w:lang w:val="en-US" w:eastAsia="zh-CN"/>
              </w:rPr>
              <w:t>总体生产</w:t>
            </w:r>
            <w:r>
              <w:rPr>
                <w:rFonts w:hint="eastAsia" w:ascii="宋体" w:hAnsi="宋体" w:eastAsia="宋体" w:cs="宋体"/>
                <w:color w:val="auto"/>
                <w:sz w:val="24"/>
                <w:szCs w:val="24"/>
                <w:highlight w:val="none"/>
              </w:rPr>
              <w:t>计划、</w:t>
            </w:r>
            <w:r>
              <w:rPr>
                <w:rFonts w:hint="eastAsia" w:ascii="宋体" w:hAnsi="宋体" w:eastAsia="宋体" w:cs="宋体"/>
                <w:color w:val="auto"/>
                <w:sz w:val="24"/>
                <w:szCs w:val="24"/>
                <w:highlight w:val="none"/>
                <w:lang w:val="en-US" w:eastAsia="zh-CN"/>
              </w:rPr>
              <w:t>总体供货计划</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总体实施方案</w:t>
            </w:r>
            <w:r>
              <w:rPr>
                <w:rFonts w:hint="eastAsia" w:ascii="宋体" w:hAnsi="宋体" w:eastAsia="宋体" w:cs="宋体"/>
                <w:color w:val="auto"/>
                <w:sz w:val="24"/>
                <w:szCs w:val="24"/>
                <w:highlight w:val="none"/>
              </w:rPr>
              <w:t>等相关内容：</w:t>
            </w:r>
          </w:p>
          <w:p w14:paraId="077CC14E">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560F463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A3B920C">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A33D2A8">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4B8F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404" w:type="dxa"/>
            <w:noWrap/>
            <w:vAlign w:val="center"/>
          </w:tcPr>
          <w:p w14:paraId="122518E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安装调试方案</w:t>
            </w:r>
          </w:p>
          <w:p w14:paraId="5EA2705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06" w:type="dxa"/>
            <w:noWrap/>
            <w:vAlign w:val="center"/>
          </w:tcPr>
          <w:p w14:paraId="551F556C">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投标人提供《安装调试方案》,包含但不限于项目实施计划、人员安排、时间进度和应急保障计划等相关内容：</w:t>
            </w:r>
          </w:p>
          <w:p w14:paraId="4ED31067">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9348D7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6C23E9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A6117B9">
            <w:pPr>
              <w:pStyle w:val="1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未见阐述不得分。</w:t>
            </w:r>
          </w:p>
        </w:tc>
      </w:tr>
      <w:tr w14:paraId="6A0E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04" w:type="dxa"/>
            <w:noWrap/>
            <w:vAlign w:val="center"/>
          </w:tcPr>
          <w:p w14:paraId="5ECA3556">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06" w:type="dxa"/>
            <w:noWrap/>
            <w:vAlign w:val="center"/>
          </w:tcPr>
          <w:p w14:paraId="49DD2DEB">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投标人提供售后服务方案（承诺）：</w:t>
            </w:r>
          </w:p>
          <w:p w14:paraId="794FF30F">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F33C671">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99F480B">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819C3EF">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2A6F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404" w:type="dxa"/>
            <w:noWrap/>
            <w:vAlign w:val="center"/>
          </w:tcPr>
          <w:p w14:paraId="232BFE83">
            <w:pPr>
              <w:spacing w:line="4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日常维护方案</w:t>
            </w:r>
          </w:p>
          <w:p w14:paraId="08FD0BB2">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（5分）</w:t>
            </w:r>
          </w:p>
        </w:tc>
        <w:tc>
          <w:tcPr>
            <w:tcW w:w="8006" w:type="dxa"/>
            <w:noWrap/>
            <w:vAlign w:val="center"/>
          </w:tcPr>
          <w:p w14:paraId="19E502F1">
            <w:pPr>
              <w:widowControl/>
              <w:spacing w:line="46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rPr>
              <w:t>针对本项目</w:t>
            </w:r>
            <w:r>
              <w:rPr>
                <w:rFonts w:hint="eastAsia" w:ascii="宋体" w:hAnsi="宋体" w:eastAsia="宋体" w:cs="宋体"/>
                <w:color w:val="auto"/>
                <w:sz w:val="24"/>
                <w:szCs w:val="24"/>
                <w:highlight w:val="none"/>
                <w:lang w:val="en-US" w:eastAsia="zh-CN"/>
              </w:rPr>
              <w:t>指定日常维护的方式方法：</w:t>
            </w:r>
          </w:p>
          <w:p w14:paraId="4438D01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计划内容全面具体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科学合理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可行性、可操作性强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措施完善</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w:t>
            </w:r>
          </w:p>
          <w:p w14:paraId="2C6D464D">
            <w:pPr>
              <w:widowControl/>
              <w:spacing w:line="460" w:lineRule="exact"/>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计划内容具体，较科学合理，可行性、可操作性较强，措施较完善：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4B90E5B">
            <w:pPr>
              <w:widowControl/>
              <w:spacing w:line="460" w:lineRule="exact"/>
              <w:jc w:val="left"/>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计划内容有缺失、可行性、可操作性较差：1分。</w:t>
            </w:r>
          </w:p>
          <w:p w14:paraId="1D3C07D6">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4F23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trPr>
        <w:tc>
          <w:tcPr>
            <w:tcW w:w="1404" w:type="dxa"/>
            <w:noWrap/>
            <w:vAlign w:val="center"/>
          </w:tcPr>
          <w:p w14:paraId="2D4ECBDC">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06" w:type="dxa"/>
            <w:noWrap/>
            <w:vAlign w:val="center"/>
          </w:tcPr>
          <w:p w14:paraId="38522919">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投标人提供《培训方案》,包含但不限于培训计划、技术人员能力、时间安排等相关内容：</w:t>
            </w:r>
          </w:p>
          <w:p w14:paraId="511955D9">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方案内容完整，可实施性强的得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796F8F70">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方案内容较完整，实施性</w:t>
            </w:r>
            <w:r>
              <w:rPr>
                <w:rFonts w:hint="eastAsia" w:ascii="宋体" w:hAnsi="宋体" w:eastAsia="宋体" w:cs="宋体"/>
                <w:color w:val="auto"/>
                <w:sz w:val="24"/>
                <w:szCs w:val="24"/>
                <w:highlight w:val="none"/>
                <w:lang w:eastAsia="zh-CN"/>
              </w:rPr>
              <w:t>一般</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28D0282">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方案有缺项，未完全包含相关内容，可实施性</w:t>
            </w:r>
            <w:r>
              <w:rPr>
                <w:rFonts w:hint="eastAsia" w:ascii="宋体" w:hAnsi="宋体" w:eastAsia="宋体" w:cs="宋体"/>
                <w:color w:val="auto"/>
                <w:sz w:val="24"/>
                <w:szCs w:val="24"/>
                <w:highlight w:val="none"/>
                <w:lang w:eastAsia="zh-CN"/>
              </w:rPr>
              <w:t>较差</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7102160">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2238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noWrap/>
            <w:vAlign w:val="center"/>
          </w:tcPr>
          <w:p w14:paraId="4A8098F3">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备品备件（</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06" w:type="dxa"/>
            <w:noWrap/>
            <w:vAlign w:val="center"/>
          </w:tcPr>
          <w:p w14:paraId="6D0A1213">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依据投标文件中备品备件是否齐全、供应是否及时、价格是否合理及后期使用、保养、维护成本等进行评价。</w:t>
            </w:r>
          </w:p>
          <w:p w14:paraId="23AF0BED">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合理、可行性、针对性强的得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18D9DBE">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合理、可行性、针对性较强的，得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E865206">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不合理、可行性、针对性差的得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91C439B">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78F1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1404" w:type="dxa"/>
            <w:noWrap w:val="0"/>
            <w:vAlign w:val="center"/>
          </w:tcPr>
          <w:p w14:paraId="33BE9A41">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产品业绩（</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006" w:type="dxa"/>
            <w:noWrap w:val="0"/>
            <w:vAlign w:val="center"/>
          </w:tcPr>
          <w:p w14:paraId="6BA9D2E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ascii="宋体" w:hAnsi="宋体" w:eastAsia="宋体" w:cs="宋体"/>
                <w:color w:val="000000"/>
                <w:sz w:val="24"/>
              </w:rPr>
            </w:pPr>
            <w:r>
              <w:rPr>
                <w:rFonts w:hint="eastAsia" w:ascii="宋体" w:hAnsi="宋体" w:eastAsia="宋体" w:cs="宋体"/>
                <w:color w:val="000000"/>
                <w:sz w:val="24"/>
                <w:lang w:val="en-US" w:eastAsia="zh-CN"/>
              </w:rPr>
              <w:t>投标人</w:t>
            </w:r>
            <w:r>
              <w:rPr>
                <w:rFonts w:ascii="宋体" w:hAnsi="宋体" w:eastAsia="宋体" w:cs="宋体"/>
                <w:color w:val="000000"/>
                <w:sz w:val="24"/>
              </w:rPr>
              <w:t>提供自202</w:t>
            </w:r>
            <w:r>
              <w:rPr>
                <w:rFonts w:hint="eastAsia" w:ascii="宋体" w:hAnsi="宋体" w:eastAsia="宋体" w:cs="宋体"/>
                <w:color w:val="000000"/>
                <w:sz w:val="24"/>
                <w:lang w:val="en-US" w:eastAsia="zh-CN"/>
              </w:rPr>
              <w:t>3</w:t>
            </w:r>
            <w:r>
              <w:rPr>
                <w:rFonts w:ascii="宋体" w:hAnsi="宋体" w:eastAsia="宋体" w:cs="宋体"/>
                <w:color w:val="000000"/>
                <w:sz w:val="24"/>
              </w:rPr>
              <w:t>年1月1日至今</w:t>
            </w:r>
            <w:r>
              <w:rPr>
                <w:rFonts w:hint="eastAsia" w:ascii="宋体" w:hAnsi="宋体" w:eastAsia="宋体" w:cs="宋体"/>
                <w:color w:val="000000"/>
                <w:sz w:val="24"/>
                <w:lang w:val="en-US" w:eastAsia="zh-CN"/>
              </w:rPr>
              <w:t>具有所投类似</w:t>
            </w:r>
            <w:r>
              <w:rPr>
                <w:rFonts w:ascii="宋体" w:hAnsi="宋体" w:eastAsia="宋体" w:cs="宋体"/>
                <w:color w:val="000000"/>
                <w:sz w:val="24"/>
              </w:rPr>
              <w:t>产品业绩</w:t>
            </w:r>
            <w:r>
              <w:rPr>
                <w:rFonts w:hint="eastAsia" w:ascii="宋体" w:hAnsi="宋体" w:eastAsia="宋体" w:cs="宋体"/>
                <w:color w:val="000000"/>
                <w:sz w:val="24"/>
                <w:lang w:val="en-US" w:eastAsia="zh-CN"/>
              </w:rPr>
              <w:t>证明</w:t>
            </w:r>
            <w:r>
              <w:rPr>
                <w:rFonts w:ascii="宋体" w:hAnsi="宋体" w:eastAsia="宋体" w:cs="宋体"/>
                <w:color w:val="000000"/>
                <w:sz w:val="24"/>
              </w:rPr>
              <w:t>，每</w:t>
            </w:r>
            <w:r>
              <w:rPr>
                <w:rFonts w:hint="eastAsia" w:ascii="宋体" w:hAnsi="宋体" w:eastAsia="宋体" w:cs="宋体"/>
                <w:color w:val="000000"/>
                <w:sz w:val="24"/>
                <w:lang w:eastAsia="zh-CN"/>
              </w:rPr>
              <w:t>提供一份</w:t>
            </w:r>
            <w:r>
              <w:rPr>
                <w:rFonts w:ascii="宋体" w:hAnsi="宋体" w:eastAsia="宋体" w:cs="宋体"/>
                <w:color w:val="000000"/>
                <w:sz w:val="24"/>
              </w:rPr>
              <w:t>得</w:t>
            </w:r>
            <w:r>
              <w:rPr>
                <w:rFonts w:hint="eastAsia" w:ascii="宋体" w:hAnsi="宋体" w:eastAsia="宋体" w:cs="宋体"/>
                <w:color w:val="000000"/>
                <w:sz w:val="24"/>
                <w:lang w:val="en-US" w:eastAsia="zh-CN"/>
              </w:rPr>
              <w:t>1</w:t>
            </w:r>
            <w:r>
              <w:rPr>
                <w:rFonts w:ascii="宋体" w:hAnsi="宋体" w:eastAsia="宋体" w:cs="宋体"/>
                <w:color w:val="000000"/>
                <w:sz w:val="24"/>
              </w:rPr>
              <w:t>分，满分</w:t>
            </w:r>
            <w:r>
              <w:rPr>
                <w:rFonts w:hint="eastAsia" w:ascii="宋体" w:hAnsi="宋体" w:eastAsia="宋体" w:cs="宋体"/>
                <w:color w:val="000000"/>
                <w:sz w:val="24"/>
                <w:lang w:val="en-US" w:eastAsia="zh-CN"/>
              </w:rPr>
              <w:t>3</w:t>
            </w:r>
            <w:r>
              <w:rPr>
                <w:rFonts w:ascii="宋体" w:hAnsi="宋体" w:eastAsia="宋体" w:cs="宋体"/>
                <w:color w:val="000000"/>
                <w:sz w:val="24"/>
              </w:rPr>
              <w:t>分。</w:t>
            </w:r>
          </w:p>
          <w:p w14:paraId="752A8885">
            <w:pPr>
              <w:pStyle w:val="17"/>
              <w:keepNext w:val="0"/>
              <w:keepLines w:val="0"/>
              <w:pageBreakBefore w:val="0"/>
              <w:widowControl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投标文件中提供合同扫描件并加盖投标人公章，</w:t>
            </w:r>
            <w:r>
              <w:rPr>
                <w:rFonts w:ascii="宋体" w:hAnsi="宋体" w:eastAsia="宋体" w:cs="宋体"/>
                <w:color w:val="000000"/>
                <w:sz w:val="24"/>
              </w:rPr>
              <w:t>且所提供资料必须能证明是本次投标</w:t>
            </w:r>
            <w:r>
              <w:rPr>
                <w:rFonts w:hint="eastAsia" w:ascii="宋体" w:hAnsi="宋体" w:eastAsia="宋体" w:cs="宋体"/>
                <w:color w:val="000000"/>
                <w:sz w:val="24"/>
                <w:lang w:val="en-US" w:eastAsia="zh-CN"/>
              </w:rPr>
              <w:t>类似</w:t>
            </w:r>
            <w:r>
              <w:rPr>
                <w:rFonts w:ascii="宋体" w:hAnsi="宋体" w:eastAsia="宋体" w:cs="宋体"/>
                <w:color w:val="000000"/>
                <w:sz w:val="24"/>
              </w:rPr>
              <w:t>产品</w:t>
            </w:r>
            <w:r>
              <w:rPr>
                <w:rFonts w:hint="eastAsia" w:ascii="宋体" w:hAnsi="宋体" w:eastAsia="宋体" w:cs="宋体"/>
                <w:color w:val="000000"/>
                <w:sz w:val="24"/>
                <w:lang w:eastAsia="zh-CN"/>
              </w:rPr>
              <w:t>；</w:t>
            </w:r>
            <w:r>
              <w:rPr>
                <w:rFonts w:hint="eastAsia" w:ascii="宋体" w:hAnsi="宋体" w:eastAsia="宋体" w:cs="宋体"/>
                <w:color w:val="auto"/>
                <w:sz w:val="24"/>
                <w:szCs w:val="24"/>
                <w:highlight w:val="none"/>
              </w:rPr>
              <w:t>时间、标的内容以合同为准，否则不得分。</w:t>
            </w:r>
            <w:bookmarkEnd w:id="21"/>
            <w:bookmarkEnd w:id="22"/>
          </w:p>
        </w:tc>
      </w:tr>
      <w:tr w14:paraId="5308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1404" w:type="dxa"/>
            <w:noWrap w:val="0"/>
            <w:vAlign w:val="center"/>
          </w:tcPr>
          <w:p w14:paraId="656DE49C">
            <w:pPr>
              <w:widowControl/>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项目安装人员（4分）</w:t>
            </w:r>
          </w:p>
        </w:tc>
        <w:tc>
          <w:tcPr>
            <w:tcW w:w="8006" w:type="dxa"/>
            <w:noWrap w:val="0"/>
            <w:vAlign w:val="center"/>
          </w:tcPr>
          <w:p w14:paraId="066D3D8C">
            <w:pPr>
              <w:pStyle w:val="17"/>
              <w:keepNext w:val="0"/>
              <w:keepLines w:val="0"/>
              <w:pageBreakBefore w:val="0"/>
              <w:widowControl w:val="0"/>
              <w:spacing w:line="460" w:lineRule="exact"/>
              <w:jc w:val="left"/>
              <w:rPr>
                <w:rFonts w:hint="default"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lang w:val="en-US" w:eastAsia="zh-CN" w:bidi="ar-SA"/>
              </w:rPr>
              <w:t>项目安装人员中，每提供一个机械类相关专业高级职称得得2分，最高得4分；</w:t>
            </w:r>
          </w:p>
          <w:p w14:paraId="206307A1">
            <w:pPr>
              <w:pStyle w:val="17"/>
              <w:keepNext w:val="0"/>
              <w:keepLines w:val="0"/>
              <w:pageBreakBefore w:val="0"/>
              <w:widowControl w:val="0"/>
              <w:spacing w:line="460" w:lineRule="exact"/>
              <w:jc w:val="left"/>
              <w:rPr>
                <w:rFonts w:hint="eastAsia"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lang w:val="en-US" w:eastAsia="zh-CN" w:bidi="ar-SA"/>
              </w:rPr>
              <w:t>项目安装人员中，每提供</w:t>
            </w:r>
            <w:bookmarkStart w:id="24" w:name="_GoBack"/>
            <w:bookmarkEnd w:id="24"/>
            <w:r>
              <w:rPr>
                <w:rFonts w:hint="eastAsia" w:ascii="宋体" w:hAnsi="宋体" w:eastAsia="宋体" w:cs="宋体"/>
                <w:b w:val="0"/>
                <w:color w:val="auto"/>
                <w:spacing w:val="0"/>
                <w:sz w:val="24"/>
                <w:szCs w:val="24"/>
                <w:highlight w:val="none"/>
                <w:lang w:val="en-US" w:eastAsia="zh-CN" w:bidi="ar-SA"/>
              </w:rPr>
              <w:t>一个机械类相关专业中级职称的得1分，最高得2分。</w:t>
            </w:r>
          </w:p>
          <w:p w14:paraId="14567661">
            <w:pPr>
              <w:pStyle w:val="17"/>
              <w:keepNext w:val="0"/>
              <w:keepLines w:val="0"/>
              <w:pageBreakBefore w:val="0"/>
              <w:widowControl w:val="0"/>
              <w:spacing w:line="46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b w:val="0"/>
                <w:color w:val="auto"/>
                <w:spacing w:val="0"/>
                <w:sz w:val="24"/>
                <w:szCs w:val="24"/>
                <w:highlight w:val="none"/>
                <w:lang w:val="en-US" w:eastAsia="zh-CN" w:bidi="ar-SA"/>
              </w:rPr>
              <w:t>本项最多得4分。</w:t>
            </w:r>
            <w:r>
              <w:rPr>
                <w:rFonts w:hint="eastAsia" w:ascii="宋体" w:hAnsi="宋体" w:eastAsia="宋体" w:cs="宋体"/>
                <w:b w:val="0"/>
                <w:color w:val="auto"/>
                <w:spacing w:val="0"/>
                <w:sz w:val="24"/>
                <w:szCs w:val="24"/>
                <w:highlight w:val="none"/>
                <w:lang w:val="en-US" w:eastAsia="zh-CN" w:bidi="ar-SA"/>
              </w:rPr>
              <w:br w:type="textWrapping"/>
            </w:r>
            <w:r>
              <w:rPr>
                <w:rFonts w:hint="eastAsia" w:ascii="宋体" w:hAnsi="宋体" w:eastAsia="宋体" w:cs="宋体"/>
                <w:b w:val="0"/>
                <w:color w:val="auto"/>
                <w:spacing w:val="0"/>
                <w:sz w:val="24"/>
                <w:szCs w:val="24"/>
                <w:highlight w:val="none"/>
                <w:lang w:val="en-US" w:eastAsia="zh-CN" w:bidi="ar-SA"/>
              </w:rPr>
              <w:t>注：需提供项目组成员职称证书、在本单位近六个月任意一个月的社保证明并加盖公章，未按要求提供不得分。</w:t>
            </w:r>
          </w:p>
        </w:tc>
      </w:tr>
      <w:tr w14:paraId="757DC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1404" w:type="dxa"/>
            <w:shd w:val="clear" w:color="auto" w:fill="auto"/>
            <w:noWrap w:val="0"/>
            <w:vAlign w:val="center"/>
          </w:tcPr>
          <w:p w14:paraId="54178CDF">
            <w:pPr>
              <w:widowControl/>
              <w:spacing w:line="46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免费质保期（</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8006" w:type="dxa"/>
            <w:shd w:val="clear" w:color="auto" w:fill="auto"/>
            <w:noWrap w:val="0"/>
            <w:vAlign w:val="center"/>
          </w:tcPr>
          <w:p w14:paraId="316883D0">
            <w:pPr>
              <w:widowControl/>
              <w:spacing w:line="4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根据招标文件中免费质保期的相关要求，</w:t>
            </w:r>
            <w:r>
              <w:rPr>
                <w:rFonts w:hint="eastAsia" w:ascii="宋体" w:hAnsi="宋体" w:eastAsia="宋体" w:cs="宋体"/>
                <w:sz w:val="24"/>
                <w:szCs w:val="24"/>
                <w:lang w:eastAsia="zh-CN"/>
              </w:rPr>
              <w:t>在</w:t>
            </w:r>
            <w:r>
              <w:rPr>
                <w:rFonts w:hint="eastAsia" w:ascii="宋体" w:hAnsi="宋体" w:eastAsia="宋体" w:cs="宋体"/>
                <w:sz w:val="24"/>
                <w:szCs w:val="24"/>
              </w:rPr>
              <w:t>满足文件要求</w:t>
            </w:r>
            <w:r>
              <w:rPr>
                <w:rFonts w:hint="eastAsia" w:ascii="宋体" w:hAnsi="宋体" w:eastAsia="宋体" w:cs="宋体"/>
                <w:sz w:val="24"/>
                <w:szCs w:val="24"/>
                <w:lang w:val="en-US" w:eastAsia="zh-CN"/>
              </w:rPr>
              <w:t>3年</w:t>
            </w:r>
            <w:r>
              <w:rPr>
                <w:rFonts w:hint="eastAsia" w:ascii="宋体" w:hAnsi="宋体" w:eastAsia="宋体" w:cs="宋体"/>
                <w:sz w:val="24"/>
                <w:szCs w:val="24"/>
              </w:rPr>
              <w:t>的基础上</w:t>
            </w:r>
            <w:r>
              <w:rPr>
                <w:rFonts w:hint="eastAsia" w:ascii="宋体" w:hAnsi="宋体" w:eastAsia="宋体" w:cs="宋体"/>
                <w:sz w:val="24"/>
                <w:szCs w:val="24"/>
                <w:lang w:eastAsia="zh-CN"/>
              </w:rPr>
              <w:t>，</w:t>
            </w:r>
            <w:r>
              <w:rPr>
                <w:rFonts w:hint="eastAsia" w:ascii="宋体" w:hAnsi="宋体" w:eastAsia="宋体" w:cs="宋体"/>
                <w:sz w:val="24"/>
                <w:szCs w:val="24"/>
              </w:rPr>
              <w:t>每增加1年加</w:t>
            </w:r>
            <w:r>
              <w:rPr>
                <w:rFonts w:hint="eastAsia" w:ascii="宋体" w:hAnsi="宋体" w:eastAsia="宋体" w:cs="宋体"/>
                <w:sz w:val="24"/>
                <w:szCs w:val="24"/>
                <w:lang w:val="en-US" w:eastAsia="zh-CN"/>
              </w:rPr>
              <w:t>1.5</w:t>
            </w:r>
            <w:r>
              <w:rPr>
                <w:rFonts w:hint="eastAsia" w:ascii="宋体" w:hAnsi="宋体" w:eastAsia="宋体" w:cs="宋体"/>
                <w:sz w:val="24"/>
                <w:szCs w:val="24"/>
              </w:rPr>
              <w:t>分。本项最高得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bl>
    <w:p w14:paraId="4C4D794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auto"/>
          <w:sz w:val="24"/>
          <w:szCs w:val="24"/>
          <w:highlight w:val="none"/>
        </w:rPr>
      </w:pPr>
    </w:p>
    <w:sectPr>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10006FF" w:usb1="4000205B" w:usb2="00000010" w:usb3="00000000" w:csb0="2000019F"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E6340">
    <w:pPr>
      <w:ind w:firstLine="420"/>
      <w:jc w:val="center"/>
    </w:pPr>
    <w:r>
      <w:t>第</w:t>
    </w:r>
    <w:r>
      <w:fldChar w:fldCharType="begin"/>
    </w:r>
    <w:r>
      <w:instrText xml:space="preserve"> PAGE  \* Arabic  \* MERGEFORMAT </w:instrText>
    </w:r>
    <w:r>
      <w:fldChar w:fldCharType="separate"/>
    </w:r>
    <w:r>
      <w:t>46</w:t>
    </w:r>
    <w:r>
      <w:fldChar w:fldCharType="end"/>
    </w:r>
    <w:r>
      <w:t>页</w:t>
    </w:r>
    <w:r>
      <w:rPr>
        <w:rFonts w:hint="eastAsia"/>
      </w:rPr>
      <w:t>共</w:t>
    </w:r>
    <w:r>
      <w:fldChar w:fldCharType="begin"/>
    </w:r>
    <w:r>
      <w:instrText xml:space="preserve"> NUMPAGES  \* Arabic  \* MERGEFORMAT </w:instrText>
    </w:r>
    <w:r>
      <w:fldChar w:fldCharType="separate"/>
    </w:r>
    <w:r>
      <w:t>52</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F02D">
    <w:pPr>
      <w:framePr w:wrap="around" w:vAnchor="text" w:hAnchor="margin" w:xAlign="center" w:y="1"/>
      <w:ind w:firstLine="420"/>
    </w:pPr>
    <w:r>
      <w:fldChar w:fldCharType="begin"/>
    </w:r>
    <w:r>
      <w:instrText xml:space="preserve">PAGE  </w:instrText>
    </w:r>
    <w:r>
      <w:fldChar w:fldCharType="separate"/>
    </w:r>
    <w:r>
      <w:t>34</w:t>
    </w:r>
    <w:r>
      <w:fldChar w:fldCharType="end"/>
    </w:r>
  </w:p>
  <w:p w14:paraId="1AA282DF">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E68CC">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9A01D">
    <w:pPr>
      <w:pBdr>
        <w:bottom w:val="single" w:color="auto" w:sz="6" w:space="1"/>
      </w:pBdr>
    </w:pPr>
    <w:r>
      <w:rPr>
        <w:rFonts w:hint="eastAsia"/>
        <w:lang w:eastAsia="zh-CN"/>
      </w:rPr>
      <w:t>江苏仁禾中衡工程咨询房地产估价有限公司</w:t>
    </w:r>
    <w:r>
      <w:rPr>
        <w:rFonts w:hint="eastAsia"/>
        <w:lang w:val="en-US" w:eastAsia="zh-CN"/>
      </w:rPr>
      <w:t xml:space="preserve">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5B784">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B98DE">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
    <w:nsid w:val="BF205925"/>
    <w:multiLevelType w:val="multilevel"/>
    <w:tmpl w:val="BF205925"/>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CF092B84"/>
    <w:multiLevelType w:val="multilevel"/>
    <w:tmpl w:val="CF092B84"/>
    <w:lvl w:ilvl="0" w:tentative="0">
      <w:start w:val="3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0B3940"/>
    <w:rsid w:val="0BFB0F4E"/>
    <w:rsid w:val="13DF7E80"/>
    <w:rsid w:val="30672C91"/>
    <w:rsid w:val="49ED036D"/>
    <w:rsid w:val="4EDE4273"/>
    <w:rsid w:val="5EAF7A90"/>
    <w:rsid w:val="5FEF58E3"/>
    <w:rsid w:val="61271C56"/>
    <w:rsid w:val="641A26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6"/>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07"/>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8"/>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9"/>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4"/>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5"/>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6"/>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7"/>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8"/>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8">
    <w:name w:val="Default Paragraph Font"/>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9"/>
    <w:semiHidden/>
    <w:unhideWhenUsed/>
    <w:qFormat/>
    <w:uiPriority w:val="99"/>
    <w:rPr>
      <w:rFonts w:ascii="宋体" w:eastAsia="宋体"/>
      <w:sz w:val="18"/>
      <w:szCs w:val="18"/>
    </w:rPr>
  </w:style>
  <w:style w:type="paragraph" w:styleId="15">
    <w:name w:val="annotation text"/>
    <w:basedOn w:val="1"/>
    <w:link w:val="221"/>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2"/>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3"/>
    <w:qFormat/>
    <w:uiPriority w:val="0"/>
    <w:pPr>
      <w:tabs>
        <w:tab w:val="left" w:pos="675"/>
      </w:tabs>
      <w:spacing w:line="500" w:lineRule="exact"/>
      <w:ind w:firstLine="640"/>
    </w:pPr>
    <w:rPr>
      <w:rFonts w:ascii="FangSong_GB2312" w:hAnsi="Times New Roman" w:eastAsia="FangSong_GB2312" w:cs="Times New Roman"/>
      <w:sz w:val="32"/>
      <w:szCs w:val="24"/>
    </w:rPr>
  </w:style>
  <w:style w:type="paragraph" w:styleId="19">
    <w:name w:val="List 2"/>
    <w:basedOn w:val="1"/>
    <w:qFormat/>
    <w:uiPriority w:val="0"/>
    <w:pPr>
      <w:ind w:left="840" w:hanging="420"/>
    </w:pPr>
    <w:rPr>
      <w:rFonts w:ascii="隶书" w:hAnsi="Times New Roman" w:eastAsia="FangSong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1"/>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4"/>
    <w:qFormat/>
    <w:uiPriority w:val="0"/>
    <w:pPr>
      <w:ind w:left="100"/>
    </w:pPr>
    <w:rPr>
      <w:rFonts w:ascii="FangSong_GB2312" w:hAnsi="Times New Roman" w:eastAsia="FangSong_GB2312" w:cs="Times New Roman"/>
      <w:sz w:val="32"/>
      <w:szCs w:val="24"/>
    </w:rPr>
  </w:style>
  <w:style w:type="paragraph" w:styleId="25">
    <w:name w:val="Body Text Indent 2"/>
    <w:basedOn w:val="1"/>
    <w:link w:val="235"/>
    <w:qFormat/>
    <w:uiPriority w:val="0"/>
    <w:pPr>
      <w:spacing w:line="440" w:lineRule="exact"/>
      <w:ind w:firstLine="645"/>
    </w:pPr>
    <w:rPr>
      <w:rFonts w:ascii="Times New Roman" w:hAnsi="Times New Roman" w:eastAsia="FangSong_GB2312" w:cs="Times New Roman"/>
      <w:sz w:val="32"/>
      <w:szCs w:val="24"/>
    </w:rPr>
  </w:style>
  <w:style w:type="paragraph" w:styleId="26">
    <w:name w:val="endnote text"/>
    <w:basedOn w:val="1"/>
    <w:link w:val="200"/>
    <w:semiHidden/>
    <w:unhideWhenUsed/>
    <w:qFormat/>
    <w:uiPriority w:val="99"/>
    <w:pPr>
      <w:spacing w:after="0" w:line="240" w:lineRule="auto"/>
    </w:pPr>
    <w:rPr>
      <w:sz w:val="20"/>
    </w:rPr>
  </w:style>
  <w:style w:type="paragraph" w:styleId="27">
    <w:name w:val="Balloon Text"/>
    <w:basedOn w:val="1"/>
    <w:link w:val="222"/>
    <w:semiHidden/>
    <w:qFormat/>
    <w:uiPriority w:val="0"/>
    <w:pPr>
      <w:ind w:firstLine="922"/>
    </w:pPr>
    <w:rPr>
      <w:rFonts w:ascii="Times New Roman" w:hAnsi="Times New Roman" w:eastAsia="宋体" w:cs="Times New Roman"/>
      <w:sz w:val="18"/>
      <w:szCs w:val="18"/>
    </w:rPr>
  </w:style>
  <w:style w:type="paragraph" w:styleId="28">
    <w:name w:val="footer"/>
    <w:basedOn w:val="1"/>
    <w:link w:val="237"/>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8"/>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10"/>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199"/>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39"/>
    <w:qFormat/>
    <w:uiPriority w:val="0"/>
    <w:pPr>
      <w:spacing w:line="360" w:lineRule="auto"/>
      <w:ind w:firstLine="800"/>
    </w:pPr>
    <w:rPr>
      <w:rFonts w:ascii="FangSong_GB2312" w:hAnsi="华文中宋" w:eastAsia="FangSong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40"/>
    <w:qFormat/>
    <w:uiPriority w:val="0"/>
    <w:pPr>
      <w:jc w:val="center"/>
    </w:pPr>
    <w:rPr>
      <w:rFonts w:ascii="Times New Roman" w:hAnsi="Times New Roman" w:eastAsia="宋体" w:cs="Times New Roman"/>
      <w:szCs w:val="24"/>
    </w:rPr>
  </w:style>
  <w:style w:type="paragraph" w:styleId="40">
    <w:name w:val="HTML Preformatted"/>
    <w:basedOn w:val="1"/>
    <w:link w:val="2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67"/>
    <w:qFormat/>
    <w:uiPriority w:val="10"/>
    <w:pPr>
      <w:spacing w:before="300" w:after="200"/>
      <w:contextualSpacing/>
    </w:pPr>
    <w:rPr>
      <w:sz w:val="48"/>
      <w:szCs w:val="48"/>
    </w:rPr>
  </w:style>
  <w:style w:type="paragraph" w:styleId="44">
    <w:name w:val="annotation subject"/>
    <w:basedOn w:val="15"/>
    <w:next w:val="15"/>
    <w:link w:val="228"/>
    <w:semiHidden/>
    <w:unhideWhenUsed/>
    <w:qFormat/>
    <w:uiPriority w:val="0"/>
    <w:pPr>
      <w:spacing w:line="240" w:lineRule="auto"/>
      <w:ind w:firstLine="0"/>
    </w:pPr>
    <w:rPr>
      <w:rFonts w:asciiTheme="minorHAnsi" w:hAnsiTheme="minorHAnsi" w:eastAsiaTheme="minorEastAsia" w:cstheme="minorBidi"/>
      <w:b/>
      <w:bCs/>
      <w:szCs w:val="22"/>
    </w:rPr>
  </w:style>
  <w:style w:type="paragraph" w:styleId="45">
    <w:name w:val="Body Text First Indent"/>
    <w:qFormat/>
    <w:uiPriority w:val="0"/>
    <w:pPr>
      <w:widowControl w:val="0"/>
      <w:spacing w:after="120"/>
      <w:ind w:firstLine="420"/>
      <w:jc w:val="both"/>
    </w:pPr>
    <w:rPr>
      <w:rFonts w:hint="default" w:ascii="Times New Roman" w:hAnsi="Times New Roman" w:eastAsia="仿宋" w:cs="Times New Roman"/>
      <w:b/>
      <w:bCs/>
      <w:color w:val="FF0000"/>
      <w:sz w:val="21"/>
      <w:szCs w:val="24"/>
      <w:lang w:val="zh-CN"/>
    </w:rPr>
  </w:style>
  <w:style w:type="table" w:styleId="47">
    <w:name w:val="Table Grid"/>
    <w:basedOn w:val="46"/>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endnote reference"/>
    <w:basedOn w:val="48"/>
    <w:semiHidden/>
    <w:unhideWhenUsed/>
    <w:qFormat/>
    <w:uiPriority w:val="99"/>
    <w:rPr>
      <w:vertAlign w:val="superscript"/>
    </w:rPr>
  </w:style>
  <w:style w:type="character" w:styleId="51">
    <w:name w:val="page number"/>
    <w:qFormat/>
    <w:uiPriority w:val="0"/>
  </w:style>
  <w:style w:type="character" w:styleId="52">
    <w:name w:val="FollowedHyperlink"/>
    <w:unhideWhenUsed/>
    <w:qFormat/>
    <w:uiPriority w:val="0"/>
    <w:rPr>
      <w:color w:val="800080"/>
      <w:u w:val="single"/>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footnote reference"/>
    <w:basedOn w:val="48"/>
    <w:unhideWhenUsed/>
    <w:qFormat/>
    <w:uiPriority w:val="99"/>
    <w:rPr>
      <w:vertAlign w:val="superscript"/>
    </w:rPr>
  </w:style>
  <w:style w:type="paragraph" w:customStyle="1" w:styleId="56">
    <w:name w:val="标题 21"/>
    <w:basedOn w:val="1"/>
    <w:next w:val="1"/>
    <w:qFormat/>
    <w:uiPriority w:val="9"/>
    <w:pPr>
      <w:keepNext/>
      <w:keepLines/>
      <w:spacing w:before="260" w:after="260" w:line="416" w:lineRule="auto"/>
      <w:outlineLvl w:val="1"/>
    </w:pPr>
    <w:rPr>
      <w:rFonts w:ascii="Cambria" w:hAnsi="Cambria"/>
      <w:b/>
      <w:bCs/>
      <w:sz w:val="32"/>
      <w:szCs w:val="32"/>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qFormat/>
    <w:uiPriority w:val="9"/>
    <w:rPr>
      <w:rFonts w:ascii="Arial" w:hAnsi="Arial" w:eastAsia="Arial" w:cs="Arial"/>
      <w:b/>
      <w:bCs/>
      <w:i/>
      <w:iCs/>
      <w:sz w:val="22"/>
      <w:szCs w:val="22"/>
    </w:rPr>
  </w:style>
  <w:style w:type="character" w:customStyle="1" w:styleId="64">
    <w:name w:val="Heading 8 Char"/>
    <w:basedOn w:val="48"/>
    <w:qFormat/>
    <w:uiPriority w:val="9"/>
    <w:rPr>
      <w:rFonts w:ascii="Arial" w:hAnsi="Arial" w:eastAsia="Arial" w:cs="Arial"/>
      <w:i/>
      <w:iCs/>
      <w:sz w:val="22"/>
      <w:szCs w:val="22"/>
    </w:rPr>
  </w:style>
  <w:style w:type="character" w:customStyle="1" w:styleId="65">
    <w:name w:val="Heading 9 Char"/>
    <w:basedOn w:val="48"/>
    <w:qFormat/>
    <w:uiPriority w:val="9"/>
    <w:rPr>
      <w:rFonts w:ascii="Arial" w:hAnsi="Arial" w:eastAsia="Arial" w:cs="Arial"/>
      <w:i/>
      <w:iCs/>
      <w:sz w:val="21"/>
      <w:szCs w:val="21"/>
    </w:rPr>
  </w:style>
  <w:style w:type="paragraph" w:styleId="66">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7">
    <w:name w:val="Title Char"/>
    <w:basedOn w:val="48"/>
    <w:link w:val="43"/>
    <w:qFormat/>
    <w:uiPriority w:val="10"/>
    <w:rPr>
      <w:sz w:val="48"/>
      <w:szCs w:val="48"/>
    </w:rPr>
  </w:style>
  <w:style w:type="character" w:customStyle="1" w:styleId="68">
    <w:name w:val="Subtitle Char"/>
    <w:basedOn w:val="4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Footer Char"/>
    <w:basedOn w:val="48"/>
    <w:qFormat/>
    <w:uiPriority w:val="99"/>
  </w:style>
  <w:style w:type="character" w:customStyle="1" w:styleId="74">
    <w:name w:val="Caption Char"/>
    <w:qFormat/>
    <w:uiPriority w:val="99"/>
  </w:style>
  <w:style w:type="table" w:customStyle="1" w:styleId="75">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4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basedOn w:val="4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basedOn w:val="4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4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basedOn w:val="4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basedOn w:val="4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basedOn w:val="4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4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basedOn w:val="4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basedOn w:val="4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basedOn w:val="4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basedOn w:val="4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basedOn w:val="4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4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4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4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4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4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4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4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4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basedOn w:val="4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basedOn w:val="4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basedOn w:val="4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basedOn w:val="4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basedOn w:val="4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4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basedOn w:val="4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basedOn w:val="4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basedOn w:val="4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basedOn w:val="4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33"/>
    <w:qFormat/>
    <w:uiPriority w:val="99"/>
    <w:rPr>
      <w:sz w:val="18"/>
    </w:rPr>
  </w:style>
  <w:style w:type="character" w:customStyle="1" w:styleId="200">
    <w:name w:val="Endnote Text Char"/>
    <w:link w:val="26"/>
    <w:qFormat/>
    <w:uiPriority w:val="99"/>
    <w:rPr>
      <w:sz w:val="20"/>
    </w:rPr>
  </w:style>
  <w:style w:type="paragraph" w:customStyle="1" w:styleId="201">
    <w:name w:val="TOC Heading"/>
    <w:unhideWhenUsed/>
    <w:qFormat/>
    <w:uiPriority w:val="39"/>
    <w:rPr>
      <w:rFonts w:hint="default" w:ascii="Times New Roman" w:hAnsi="Times New Roman" w:cs="Times New Roman" w:eastAsiaTheme="minorEastAsia"/>
    </w:rPr>
  </w:style>
  <w:style w:type="paragraph" w:customStyle="1" w:styleId="202">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3">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4">
    <w:name w:val="1"/>
    <w:basedOn w:val="1"/>
    <w:link w:val="205"/>
    <w:qFormat/>
    <w:uiPriority w:val="0"/>
    <w:pPr>
      <w:spacing w:line="360" w:lineRule="auto"/>
      <w:jc w:val="left"/>
    </w:pPr>
    <w:rPr>
      <w:szCs w:val="24"/>
    </w:rPr>
  </w:style>
  <w:style w:type="character" w:customStyle="1" w:styleId="205">
    <w:name w:val="1 Char"/>
    <w:link w:val="204"/>
    <w:qFormat/>
    <w:uiPriority w:val="0"/>
    <w:rPr>
      <w:szCs w:val="24"/>
    </w:rPr>
  </w:style>
  <w:style w:type="character" w:customStyle="1" w:styleId="206">
    <w:name w:val="标题 1 Char"/>
    <w:basedOn w:val="48"/>
    <w:link w:val="2"/>
    <w:qFormat/>
    <w:uiPriority w:val="0"/>
    <w:rPr>
      <w:rFonts w:ascii="Times New Roman" w:hAnsi="Times New Roman" w:eastAsia="黑体" w:cs="Times New Roman"/>
      <w:b/>
      <w:sz w:val="36"/>
      <w:szCs w:val="20"/>
    </w:rPr>
  </w:style>
  <w:style w:type="character" w:customStyle="1" w:styleId="207">
    <w:name w:val="标题 2 Char"/>
    <w:basedOn w:val="48"/>
    <w:link w:val="3"/>
    <w:qFormat/>
    <w:uiPriority w:val="0"/>
    <w:rPr>
      <w:rFonts w:ascii="Times New Roman" w:hAnsi="Times New Roman" w:eastAsia="黑体" w:cs="Times New Roman"/>
      <w:b/>
      <w:sz w:val="28"/>
      <w:szCs w:val="20"/>
    </w:rPr>
  </w:style>
  <w:style w:type="character" w:customStyle="1" w:styleId="208">
    <w:name w:val="标题 3 Char"/>
    <w:basedOn w:val="48"/>
    <w:link w:val="4"/>
    <w:qFormat/>
    <w:uiPriority w:val="0"/>
    <w:rPr>
      <w:rFonts w:ascii="Times New Roman" w:hAnsi="Times New Roman" w:eastAsia="黑体" w:cs="Times New Roman"/>
      <w:b/>
      <w:sz w:val="28"/>
      <w:szCs w:val="20"/>
    </w:rPr>
  </w:style>
  <w:style w:type="character" w:customStyle="1" w:styleId="209">
    <w:name w:val="标题 4 Char"/>
    <w:basedOn w:val="48"/>
    <w:link w:val="5"/>
    <w:qFormat/>
    <w:uiPriority w:val="0"/>
    <w:rPr>
      <w:rFonts w:ascii="Arial" w:hAnsi="Times New Roman" w:eastAsia="黑体" w:cs="Times New Roman"/>
      <w:sz w:val="28"/>
      <w:szCs w:val="20"/>
    </w:rPr>
  </w:style>
  <w:style w:type="character" w:customStyle="1" w:styleId="210">
    <w:name w:val="副标题 Char"/>
    <w:link w:val="32"/>
    <w:qFormat/>
    <w:uiPriority w:val="0"/>
    <w:rPr>
      <w:rFonts w:ascii="Cambria" w:hAnsi="Cambria"/>
      <w:b/>
      <w:bCs/>
      <w:sz w:val="32"/>
      <w:szCs w:val="32"/>
    </w:rPr>
  </w:style>
  <w:style w:type="character" w:customStyle="1" w:styleId="211">
    <w:name w:val="纯文本 Char"/>
    <w:link w:val="22"/>
    <w:qFormat/>
    <w:uiPriority w:val="0"/>
    <w:rPr>
      <w:rFonts w:ascii="宋体" w:hAnsi="Courier New"/>
    </w:rPr>
  </w:style>
  <w:style w:type="paragraph" w:styleId="212">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3">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4">
    <w:name w:val="标题 5 Char"/>
    <w:basedOn w:val="48"/>
    <w:link w:val="6"/>
    <w:semiHidden/>
    <w:qFormat/>
    <w:uiPriority w:val="0"/>
    <w:rPr>
      <w:rFonts w:ascii="Times New Roman" w:hAnsi="Times New Roman" w:eastAsia="宋体" w:cs="Times New Roman"/>
      <w:b/>
      <w:bCs/>
      <w:sz w:val="28"/>
      <w:szCs w:val="28"/>
    </w:rPr>
  </w:style>
  <w:style w:type="character" w:customStyle="1" w:styleId="215">
    <w:name w:val="标题 6 Char"/>
    <w:basedOn w:val="48"/>
    <w:link w:val="7"/>
    <w:semiHidden/>
    <w:qFormat/>
    <w:uiPriority w:val="0"/>
    <w:rPr>
      <w:rFonts w:ascii="Cambria" w:hAnsi="Cambria" w:eastAsia="宋体" w:cs="Times New Roman"/>
      <w:b/>
      <w:bCs/>
      <w:sz w:val="24"/>
      <w:szCs w:val="24"/>
    </w:rPr>
  </w:style>
  <w:style w:type="character" w:customStyle="1" w:styleId="216">
    <w:name w:val="标题 7 Char"/>
    <w:basedOn w:val="48"/>
    <w:link w:val="8"/>
    <w:semiHidden/>
    <w:qFormat/>
    <w:uiPriority w:val="0"/>
    <w:rPr>
      <w:rFonts w:ascii="Times New Roman" w:hAnsi="Times New Roman" w:eastAsia="宋体" w:cs="Times New Roman"/>
      <w:b/>
      <w:bCs/>
      <w:sz w:val="24"/>
      <w:szCs w:val="24"/>
    </w:rPr>
  </w:style>
  <w:style w:type="character" w:customStyle="1" w:styleId="217">
    <w:name w:val="标题 8 Char"/>
    <w:basedOn w:val="48"/>
    <w:link w:val="9"/>
    <w:semiHidden/>
    <w:qFormat/>
    <w:uiPriority w:val="0"/>
    <w:rPr>
      <w:rFonts w:ascii="Cambria" w:hAnsi="Cambria" w:eastAsia="宋体" w:cs="Times New Roman"/>
      <w:sz w:val="24"/>
      <w:szCs w:val="24"/>
    </w:rPr>
  </w:style>
  <w:style w:type="character" w:customStyle="1" w:styleId="218">
    <w:name w:val="标题 9 Char"/>
    <w:basedOn w:val="48"/>
    <w:link w:val="10"/>
    <w:semiHidden/>
    <w:qFormat/>
    <w:uiPriority w:val="0"/>
    <w:rPr>
      <w:rFonts w:ascii="Cambria" w:hAnsi="Cambria" w:eastAsia="宋体" w:cs="Times New Roman"/>
      <w:szCs w:val="21"/>
    </w:rPr>
  </w:style>
  <w:style w:type="paragraph" w:customStyle="1" w:styleId="219">
    <w:name w:val="Default"/>
    <w:link w:val="220"/>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0">
    <w:name w:val="Default Char"/>
    <w:link w:val="219"/>
    <w:qFormat/>
    <w:uiPriority w:val="99"/>
    <w:rPr>
      <w:rFonts w:ascii="MS Mincho" w:hAnsi="Calibri" w:eastAsia="宋体" w:cs="Times New Roman"/>
      <w:color w:val="000000"/>
      <w:szCs w:val="24"/>
    </w:rPr>
  </w:style>
  <w:style w:type="character" w:customStyle="1" w:styleId="221">
    <w:name w:val="批注文字 Char"/>
    <w:basedOn w:val="48"/>
    <w:link w:val="15"/>
    <w:qFormat/>
    <w:uiPriority w:val="0"/>
    <w:rPr>
      <w:rFonts w:ascii="Times New Roman" w:hAnsi="Times New Roman" w:eastAsia="宋体" w:cs="Times New Roman"/>
      <w:szCs w:val="24"/>
    </w:rPr>
  </w:style>
  <w:style w:type="character" w:customStyle="1" w:styleId="222">
    <w:name w:val="批注框文本 Char"/>
    <w:basedOn w:val="48"/>
    <w:link w:val="27"/>
    <w:semiHidden/>
    <w:qFormat/>
    <w:uiPriority w:val="0"/>
    <w:rPr>
      <w:rFonts w:ascii="Times New Roman" w:hAnsi="Times New Roman" w:eastAsia="宋体" w:cs="Times New Roman"/>
      <w:sz w:val="18"/>
      <w:szCs w:val="18"/>
    </w:rPr>
  </w:style>
  <w:style w:type="character" w:customStyle="1" w:styleId="223">
    <w:name w:val="HTML 预设格式 Char"/>
    <w:link w:val="40"/>
    <w:qFormat/>
    <w:uiPriority w:val="0"/>
    <w:rPr>
      <w:rFonts w:ascii="宋体" w:hAnsi="宋体" w:cs="宋体"/>
      <w:sz w:val="24"/>
      <w:szCs w:val="24"/>
    </w:rPr>
  </w:style>
  <w:style w:type="character" w:customStyle="1" w:styleId="224">
    <w:name w:val="HTML 预设格式 Char1"/>
    <w:basedOn w:val="48"/>
    <w:semiHidden/>
    <w:qFormat/>
    <w:uiPriority w:val="99"/>
    <w:rPr>
      <w:rFonts w:ascii="Courier New" w:hAnsi="Courier New" w:cs="Courier New"/>
      <w:sz w:val="20"/>
      <w:szCs w:val="20"/>
    </w:rPr>
  </w:style>
  <w:style w:type="character" w:customStyle="1" w:styleId="225">
    <w:name w:val="普通正文 Char"/>
    <w:link w:val="226"/>
    <w:qFormat/>
    <w:uiPriority w:val="0"/>
    <w:rPr>
      <w:rFonts w:ascii="Arial" w:hAnsi="Arial"/>
      <w:sz w:val="24"/>
      <w:szCs w:val="24"/>
    </w:rPr>
  </w:style>
  <w:style w:type="paragraph" w:customStyle="1" w:styleId="226">
    <w:name w:val="普通正文"/>
    <w:basedOn w:val="1"/>
    <w:link w:val="225"/>
    <w:qFormat/>
    <w:uiPriority w:val="0"/>
    <w:pPr>
      <w:spacing w:before="120" w:after="120" w:line="360" w:lineRule="auto"/>
      <w:ind w:firstLine="480"/>
      <w:jc w:val="left"/>
    </w:pPr>
    <w:rPr>
      <w:rFonts w:ascii="Arial" w:hAnsi="Arial"/>
      <w:sz w:val="24"/>
      <w:szCs w:val="24"/>
    </w:rPr>
  </w:style>
  <w:style w:type="paragraph" w:customStyle="1" w:styleId="227">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8">
    <w:name w:val="批注主题 Char"/>
    <w:basedOn w:val="221"/>
    <w:link w:val="44"/>
    <w:semiHidden/>
    <w:qFormat/>
    <w:uiPriority w:val="99"/>
    <w:rPr>
      <w:rFonts w:ascii="Times New Roman" w:hAnsi="Times New Roman" w:eastAsia="宋体" w:cs="Times New Roman"/>
      <w:b/>
      <w:bCs/>
      <w:szCs w:val="24"/>
    </w:rPr>
  </w:style>
  <w:style w:type="character" w:customStyle="1" w:styleId="229">
    <w:name w:val="文档结构图 Char"/>
    <w:basedOn w:val="48"/>
    <w:link w:val="14"/>
    <w:semiHidden/>
    <w:qFormat/>
    <w:uiPriority w:val="99"/>
    <w:rPr>
      <w:rFonts w:ascii="宋体" w:eastAsia="宋体"/>
      <w:sz w:val="18"/>
      <w:szCs w:val="18"/>
    </w:rPr>
  </w:style>
  <w:style w:type="paragraph" w:customStyle="1" w:styleId="230">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1">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2">
    <w:name w:val="正文文本 3 Char"/>
    <w:basedOn w:val="48"/>
    <w:link w:val="16"/>
    <w:qFormat/>
    <w:uiPriority w:val="0"/>
    <w:rPr>
      <w:rFonts w:ascii="Times New Roman" w:hAnsi="Times New Roman" w:eastAsia="宋体" w:cs="Times New Roman"/>
      <w:sz w:val="16"/>
      <w:szCs w:val="16"/>
    </w:rPr>
  </w:style>
  <w:style w:type="character" w:customStyle="1" w:styleId="233">
    <w:name w:val="正文文本缩进 Char"/>
    <w:basedOn w:val="48"/>
    <w:link w:val="18"/>
    <w:qFormat/>
    <w:uiPriority w:val="0"/>
    <w:rPr>
      <w:rFonts w:ascii="FangSong_GB2312" w:hAnsi="Times New Roman" w:eastAsia="FangSong_GB2312" w:cs="Times New Roman"/>
      <w:sz w:val="32"/>
      <w:szCs w:val="24"/>
    </w:rPr>
  </w:style>
  <w:style w:type="character" w:customStyle="1" w:styleId="234">
    <w:name w:val="日期 Char"/>
    <w:basedOn w:val="48"/>
    <w:link w:val="24"/>
    <w:qFormat/>
    <w:uiPriority w:val="0"/>
    <w:rPr>
      <w:rFonts w:ascii="FangSong_GB2312" w:hAnsi="Times New Roman" w:eastAsia="FangSong_GB2312" w:cs="Times New Roman"/>
      <w:sz w:val="32"/>
      <w:szCs w:val="24"/>
    </w:rPr>
  </w:style>
  <w:style w:type="character" w:customStyle="1" w:styleId="235">
    <w:name w:val="正文文本缩进 2 Char"/>
    <w:basedOn w:val="48"/>
    <w:link w:val="25"/>
    <w:qFormat/>
    <w:uiPriority w:val="0"/>
    <w:rPr>
      <w:rFonts w:ascii="Times New Roman" w:hAnsi="Times New Roman" w:eastAsia="FangSong_GB2312" w:cs="Times New Roman"/>
      <w:sz w:val="32"/>
      <w:szCs w:val="24"/>
    </w:rPr>
  </w:style>
  <w:style w:type="character" w:customStyle="1" w:styleId="236">
    <w:name w:val="页脚 Char"/>
    <w:basedOn w:val="48"/>
    <w:link w:val="28"/>
    <w:qFormat/>
    <w:uiPriority w:val="0"/>
    <w:rPr>
      <w:sz w:val="18"/>
      <w:szCs w:val="18"/>
    </w:rPr>
  </w:style>
  <w:style w:type="character" w:customStyle="1" w:styleId="237">
    <w:name w:val="页脚 Char1"/>
    <w:link w:val="28"/>
    <w:qFormat/>
    <w:uiPriority w:val="0"/>
    <w:rPr>
      <w:rFonts w:ascii="Times New Roman" w:hAnsi="Times New Roman" w:eastAsia="宋体" w:cs="Times New Roman"/>
      <w:sz w:val="18"/>
      <w:szCs w:val="18"/>
    </w:rPr>
  </w:style>
  <w:style w:type="character" w:customStyle="1" w:styleId="238">
    <w:name w:val="页眉 Char"/>
    <w:basedOn w:val="48"/>
    <w:link w:val="29"/>
    <w:qFormat/>
    <w:uiPriority w:val="0"/>
    <w:rPr>
      <w:rFonts w:ascii="Times New Roman" w:hAnsi="Times New Roman" w:eastAsia="宋体" w:cs="Times New Roman"/>
      <w:sz w:val="18"/>
      <w:szCs w:val="18"/>
    </w:rPr>
  </w:style>
  <w:style w:type="character" w:customStyle="1" w:styleId="239">
    <w:name w:val="正文文本缩进 3 Char"/>
    <w:basedOn w:val="48"/>
    <w:link w:val="35"/>
    <w:qFormat/>
    <w:uiPriority w:val="0"/>
    <w:rPr>
      <w:rFonts w:ascii="FangSong_GB2312" w:hAnsi="华文中宋" w:eastAsia="FangSong_GB2312" w:cs="Times New Roman"/>
      <w:sz w:val="32"/>
      <w:szCs w:val="32"/>
    </w:rPr>
  </w:style>
  <w:style w:type="character" w:customStyle="1" w:styleId="240">
    <w:name w:val="正文文本 2 Char"/>
    <w:basedOn w:val="48"/>
    <w:link w:val="39"/>
    <w:qFormat/>
    <w:uiPriority w:val="0"/>
    <w:rPr>
      <w:rFonts w:ascii="Times New Roman" w:hAnsi="Times New Roman" w:eastAsia="宋体" w:cs="Times New Roman"/>
      <w:sz w:val="21"/>
      <w:szCs w:val="24"/>
    </w:rPr>
  </w:style>
  <w:style w:type="table" w:customStyle="1" w:styleId="241">
    <w:name w:val="网格型1"/>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2">
    <w:name w:val="Header Char"/>
    <w:qFormat/>
    <w:uiPriority w:val="0"/>
    <w:rPr>
      <w:rFonts w:cs="Times New Roman"/>
      <w:sz w:val="18"/>
      <w:szCs w:val="18"/>
    </w:rPr>
  </w:style>
  <w:style w:type="character" w:customStyle="1" w:styleId="243">
    <w:name w:val="style341"/>
    <w:qFormat/>
    <w:uiPriority w:val="0"/>
  </w:style>
  <w:style w:type="paragraph" w:customStyle="1" w:styleId="244">
    <w:name w:val="p0"/>
    <w:basedOn w:val="1"/>
    <w:qFormat/>
    <w:uiPriority w:val="0"/>
    <w:pPr>
      <w:widowControl/>
    </w:pPr>
    <w:rPr>
      <w:rFonts w:ascii="Calibri" w:hAnsi="Calibri" w:eastAsia="宋体" w:cs="宋体"/>
      <w:szCs w:val="21"/>
    </w:rPr>
  </w:style>
  <w:style w:type="paragraph" w:customStyle="1" w:styleId="245">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6">
    <w:name w:val="p15"/>
    <w:basedOn w:val="1"/>
    <w:qFormat/>
    <w:uiPriority w:val="0"/>
    <w:pPr>
      <w:widowControl/>
      <w:ind w:firstLine="420"/>
    </w:pPr>
    <w:rPr>
      <w:rFonts w:ascii="Calibri" w:hAnsi="Calibri" w:eastAsia="宋体" w:cs="宋体"/>
      <w:szCs w:val="21"/>
    </w:rPr>
  </w:style>
  <w:style w:type="paragraph" w:customStyle="1" w:styleId="247">
    <w:name w:val="_Style 31"/>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8">
    <w:name w:val="_Style 3"/>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9">
    <w:name w:val="Char2"/>
    <w:basedOn w:val="1"/>
    <w:qFormat/>
    <w:uiPriority w:val="0"/>
    <w:pPr>
      <w:tabs>
        <w:tab w:val="left" w:pos="360"/>
      </w:tabs>
    </w:pPr>
    <w:rPr>
      <w:rFonts w:ascii="Times New Roman" w:hAnsi="Times New Roman" w:eastAsia="宋体" w:cs="Times New Roman"/>
      <w:sz w:val="24"/>
      <w:szCs w:val="24"/>
    </w:rPr>
  </w:style>
  <w:style w:type="paragraph" w:customStyle="1" w:styleId="250">
    <w:name w:val="Char Char Char Char Char Char Char Char Char"/>
    <w:basedOn w:val="1"/>
    <w:qFormat/>
    <w:uiPriority w:val="0"/>
    <w:pPr>
      <w:widowControl/>
      <w:spacing w:after="160" w:line="240" w:lineRule="exact"/>
      <w:jc w:val="left"/>
    </w:pPr>
    <w:rPr>
      <w:rFonts w:ascii="Verdana" w:hAnsi="Verdana" w:eastAsia="FangSong_GB2312" w:cs="Times New Roman"/>
      <w:sz w:val="24"/>
      <w:szCs w:val="20"/>
      <w:lang w:eastAsia="en-US"/>
    </w:rPr>
  </w:style>
  <w:style w:type="character" w:customStyle="1" w:styleId="251">
    <w:name w:val="font01"/>
    <w:qFormat/>
    <w:uiPriority w:val="0"/>
    <w:rPr>
      <w:rFonts w:hint="eastAsia" w:ascii="宋体" w:hAnsi="宋体" w:eastAsia="宋体" w:cs="宋体"/>
      <w:color w:val="000000"/>
      <w:sz w:val="22"/>
      <w:szCs w:val="22"/>
      <w:u w:val="none"/>
    </w:rPr>
  </w:style>
  <w:style w:type="character" w:customStyle="1" w:styleId="252">
    <w:name w:val="font11"/>
    <w:qFormat/>
    <w:uiPriority w:val="0"/>
    <w:rPr>
      <w:rFonts w:hint="eastAsia" w:ascii="宋体" w:hAnsi="宋体" w:eastAsia="宋体" w:cs="宋体"/>
      <w:color w:val="FF0000"/>
      <w:sz w:val="22"/>
      <w:szCs w:val="22"/>
      <w:u w:val="none"/>
    </w:rPr>
  </w:style>
  <w:style w:type="character" w:customStyle="1" w:styleId="253">
    <w:name w:val="font31"/>
    <w:basedOn w:val="48"/>
    <w:qFormat/>
    <w:uiPriority w:val="0"/>
    <w:rPr>
      <w:rFonts w:hint="eastAsia" w:ascii="仿宋" w:hAnsi="仿宋" w:eastAsia="仿宋" w:cs="仿宋"/>
      <w:b/>
      <w:bCs/>
      <w:color w:val="000000"/>
      <w:sz w:val="16"/>
      <w:szCs w:val="16"/>
      <w:u w:val="none"/>
    </w:rPr>
  </w:style>
  <w:style w:type="character" w:customStyle="1" w:styleId="254">
    <w:name w:val="font21"/>
    <w:basedOn w:val="48"/>
    <w:qFormat/>
    <w:uiPriority w:val="0"/>
    <w:rPr>
      <w:rFonts w:hint="eastAsia" w:ascii="仿宋" w:hAnsi="仿宋" w:eastAsia="仿宋" w:cs="仿宋"/>
      <w:color w:val="000000"/>
      <w:sz w:val="16"/>
      <w:szCs w:val="16"/>
      <w:u w:val="none"/>
    </w:rPr>
  </w:style>
  <w:style w:type="character" w:customStyle="1" w:styleId="255">
    <w:name w:val="font41"/>
    <w:basedOn w:val="48"/>
    <w:qFormat/>
    <w:uiPriority w:val="0"/>
    <w:rPr>
      <w:rFonts w:hint="eastAsia" w:ascii="仿宋" w:hAnsi="仿宋" w:eastAsia="仿宋" w:cs="仿宋"/>
      <w:b/>
      <w:bCs/>
      <w:color w:val="FF0000"/>
      <w:sz w:val="16"/>
      <w:szCs w:val="16"/>
      <w:u w:val="none"/>
    </w:rPr>
  </w:style>
  <w:style w:type="paragraph" w:customStyle="1" w:styleId="256">
    <w:name w:val="列出段落1"/>
    <w:basedOn w:val="1"/>
    <w:qFormat/>
    <w:uiPriority w:val="99"/>
    <w:pPr>
      <w:ind w:firstLine="420"/>
    </w:pPr>
    <w:rPr>
      <w:rFonts w:ascii="Calibri" w:hAnsi="Calibri" w:eastAsia="宋体" w:cs="Times New Roman"/>
    </w:rPr>
  </w:style>
  <w:style w:type="paragraph" w:customStyle="1" w:styleId="257">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8">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59">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0">
    <w:name w:val="Grid Table 2 - Accent 1"/>
    <w:basedOn w:val="46"/>
    <w:qFormat/>
    <w:uiPriority w:val="99"/>
    <w:tblPr>
      <w:tblBorders>
        <w:bottom w:val="single" w:color="68A2D8" w:sz="4" w:space="0"/>
        <w:insideH w:val="single" w:color="68A2D8" w:sz="4" w:space="0"/>
        <w:insideV w:val="single" w:color="68A2D8" w:sz="4" w:space="0"/>
      </w:tblBorders>
      <w:tblCellMar>
        <w:top w:w="0" w:type="dxa"/>
        <w:left w:w="108" w:type="dxa"/>
        <w:bottom w:w="0" w:type="dxa"/>
        <w:right w:w="108" w:type="dxa"/>
      </w:tblCellMar>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61">
    <w:name w:val="正文1"/>
    <w:basedOn w:val="1"/>
    <w:next w:val="1"/>
    <w:qFormat/>
    <w:uiPriority w:val="0"/>
    <w:rPr>
      <w:rFonts w:ascii="Times New Roman" w:hAnsi="Times New Roman" w:eastAsia="宋体" w:cs="Times New Roman"/>
      <w:szCs w:val="24"/>
    </w:rPr>
  </w:style>
  <w:style w:type="paragraph" w:customStyle="1" w:styleId="262">
    <w:name w:val="Heading 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3">
    <w:name w:val="网格型6"/>
    <w:basedOn w:val="46"/>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4">
    <w:name w:val="网格型3"/>
    <w:basedOn w:val="46"/>
    <w:semiHidden/>
    <w:unhideWhenUsed/>
    <w:qFormat/>
    <w:uiPriority w:val="99"/>
    <w:pPr>
      <w:widowControl w:val="0"/>
      <w:jc w:val="both"/>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65">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character" w:customStyle="1" w:styleId="266">
    <w:name w:val="font61"/>
    <w:basedOn w:val="48"/>
    <w:qFormat/>
    <w:uiPriority w:val="0"/>
    <w:rPr>
      <w:rFonts w:hint="default" w:ascii="等线" w:hAnsi="等线" w:eastAsia="等线" w:cs="等线"/>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66</Pages>
  <Words>23477</Words>
  <Characters>24502</Characters>
  <TotalTime>4</TotalTime>
  <ScaleCrop>false</ScaleCrop>
  <LinksUpToDate>false</LinksUpToDate>
  <CharactersWithSpaces>25035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Rodman</cp:lastModifiedBy>
  <cp:lastPrinted>2026-07-16T09:14:00Z</cp:lastPrinted>
  <dcterms:modified xsi:type="dcterms:W3CDTF">2026-07-29T02:38:41Z</dcterms:modified>
  <cp:revision>715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1B21CBC8CD984FFEBAE641FB8E972658_13</vt:lpwstr>
  </property>
  <property fmtid="{D5CDD505-2E9C-101B-9397-08002B2CF9AE}" pid="4" name="KSOTemplateDocerSaveRecord">
    <vt:lpwstr>eyJoZGlkIjoiZGNhNTc1ZWVhMzA0YTMwNTc1YmIzZmQ0MWIwMTM0MDciLCJ1c2VySWQiOiIyNzIxODk3NDkifQ==</vt:lpwstr>
  </property>
</Properties>
</file>