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spacing w:before="0" w:after="0" w:line="240" w:lineRule="auto"/>
        <w:rPr>
          <w:rFonts w:hint="eastAsia" w:ascii="宋体" w:hAnsi="宋体"/>
          <w:b/>
          <w:bCs/>
          <w:color w:val="000000"/>
          <w:highlight w:val="none"/>
        </w:rPr>
      </w:pPr>
      <w:r>
        <w:rPr>
          <w:rFonts w:hint="eastAsia" w:ascii="宋体" w:hAnsi="宋体"/>
          <w:b/>
          <w:bCs/>
          <w:color w:val="000000"/>
          <w:highlight w:val="none"/>
        </w:rPr>
      </w:r>
      <w:r/>
    </w:p>
    <w:p>
      <w:pPr>
        <w:pStyle w:val="1033"/>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1033"/>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1033"/>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1033"/>
        <w:ind w:firstLine="0"/>
        <w:jc w:val="center"/>
        <w:spacing w:before="200"/>
        <w:rPr>
          <w:rFonts w:ascii="微软雅黑" w:hAnsi="微软雅黑" w:eastAsia="微软雅黑"/>
          <w:b/>
          <w:bCs/>
          <w:color w:val="000000"/>
          <w:sz w:val="100"/>
          <w:szCs w:val="100"/>
          <w:highlight w:val="none"/>
        </w:rPr>
      </w:pPr>
      <w:r>
        <w:rPr>
          <w:rFonts w:hint="eastAsia" w:ascii="微软雅黑" w:hAnsi="微软雅黑" w:eastAsia="微软雅黑"/>
          <w:b/>
          <w:bCs/>
          <w:color w:val="000000"/>
          <w:sz w:val="100"/>
          <w:szCs w:val="100"/>
          <w:highlight w:val="none"/>
        </w:rPr>
        <w:t xml:space="preserve">招　标　文　件</w:t>
      </w:r>
      <w:r>
        <w:rPr>
          <w:rFonts w:ascii="微软雅黑" w:hAnsi="微软雅黑" w:eastAsia="微软雅黑"/>
          <w:b/>
          <w:bCs/>
          <w:color w:val="000000"/>
          <w:sz w:val="100"/>
          <w:szCs w:val="100"/>
          <w:highlight w:val="none"/>
        </w:rPr>
      </w:r>
      <w:r/>
    </w:p>
    <w:p>
      <w:pPr>
        <w:pStyle w:val="1033"/>
        <w:ind w:firstLine="0"/>
        <w:spacing w:before="0" w:after="0" w:line="240" w:lineRule="auto"/>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1033"/>
        <w:ind w:firstLine="0"/>
        <w:jc w:val="center"/>
        <w:spacing w:before="0" w:after="0" w:line="240" w:lineRule="auto"/>
        <w:rPr>
          <w:rFonts w:eastAsia="华文中宋"/>
          <w:b/>
          <w:bCs/>
          <w:color w:val="000000"/>
          <w:sz w:val="32"/>
          <w:highlight w:val="none"/>
        </w:rPr>
      </w:pPr>
      <w:r>
        <w:rPr>
          <w:rFonts w:hint="eastAsia" w:ascii="华文中宋" w:hAnsi="华文中宋" w:eastAsia="华文中宋"/>
          <w:b/>
          <w:bCs/>
          <w:color w:val="000000"/>
          <w:sz w:val="36"/>
          <w:highlight w:val="none"/>
        </w:rPr>
        <w:t xml:space="preserve">项目编</w:t>
      </w:r>
      <w:r>
        <w:rPr>
          <w:rFonts w:hint="eastAsia" w:ascii="华文中宋" w:hAnsi="华文中宋" w:eastAsia="华文中宋" w:cs="Times New Roman"/>
          <w:b/>
          <w:bCs/>
          <w:color w:val="000000"/>
          <w:sz w:val="36"/>
          <w:highlight w:val="none"/>
        </w:rPr>
        <w:t xml:space="preserve">号：JSZC-320000-JSSZ-G2026-0041</w:t>
      </w:r>
      <w:r>
        <w:rPr>
          <w:rFonts w:hint="eastAsia" w:ascii="华文中宋" w:hAnsi="华文中宋" w:eastAsia="华文中宋"/>
          <w:b/>
          <w:bCs/>
          <w:color w:val="000000"/>
          <w:sz w:val="36"/>
          <w:highlight w:val="none"/>
        </w:rPr>
        <w:t xml:space="preserve">  </w:t>
      </w:r>
      <w:r>
        <w:rPr>
          <w:rFonts w:eastAsia="华文中宋"/>
          <w:b/>
          <w:bCs/>
          <w:color w:val="000000"/>
          <w:sz w:val="32"/>
          <w:highlight w:val="none"/>
        </w:rPr>
      </w:r>
      <w:r/>
    </w:p>
    <w:p>
      <w:pPr>
        <w:pStyle w:val="1033"/>
        <w:ind w:firstLine="0"/>
        <w:spacing w:before="0" w:after="0" w:line="240" w:lineRule="auto"/>
        <w:rPr>
          <w:b/>
          <w:bCs/>
          <w:color w:val="000000"/>
          <w:sz w:val="32"/>
          <w:highlight w:val="none"/>
        </w:rPr>
      </w:pPr>
      <w:r>
        <w:rPr>
          <w:b/>
          <w:bCs/>
          <w:color w:val="000000"/>
          <w:sz w:val="32"/>
          <w:highlight w:val="none"/>
        </w:rPr>
      </w:r>
      <w:r/>
    </w:p>
    <w:p>
      <w:pPr>
        <w:pStyle w:val="1033"/>
        <w:ind w:firstLine="0"/>
        <w:spacing w:before="0" w:after="0" w:line="240" w:lineRule="auto"/>
        <w:rPr>
          <w:b/>
          <w:bCs/>
          <w:color w:val="000000"/>
          <w:sz w:val="32"/>
          <w:highlight w:val="none"/>
        </w:rPr>
      </w:pPr>
      <w:r>
        <w:rPr>
          <w:b/>
          <w:bCs/>
          <w:color w:val="000000"/>
          <w:sz w:val="32"/>
          <w:highlight w:val="none"/>
        </w:rPr>
      </w:r>
      <w:r/>
    </w:p>
    <w:p>
      <w:pPr>
        <w:pStyle w:val="1033"/>
        <w:ind w:firstLine="0"/>
        <w:spacing w:before="0" w:after="0" w:line="240" w:lineRule="auto"/>
        <w:rPr>
          <w:b/>
          <w:bCs/>
          <w:color w:val="000000"/>
          <w:sz w:val="32"/>
          <w:highlight w:val="none"/>
        </w:rPr>
      </w:pPr>
      <w:r>
        <w:rPr>
          <w:b/>
          <w:bCs/>
          <w:color w:val="000000"/>
          <w:sz w:val="32"/>
          <w:highlight w:val="none"/>
        </w:rPr>
      </w:r>
      <w:r/>
    </w:p>
    <w:p>
      <w:pPr>
        <w:pStyle w:val="1033"/>
        <w:ind w:firstLine="0"/>
        <w:spacing w:before="0" w:after="0" w:line="240" w:lineRule="auto"/>
        <w:rPr>
          <w:b/>
          <w:bCs/>
          <w:color w:val="000000"/>
          <w:sz w:val="32"/>
          <w:highlight w:val="none"/>
        </w:rPr>
      </w:pPr>
      <w:r>
        <w:rPr>
          <w:b/>
          <w:bCs/>
          <w:color w:val="000000"/>
          <w:sz w:val="32"/>
          <w:highlight w:val="none"/>
        </w:rPr>
      </w:r>
      <w:r/>
    </w:p>
    <w:p>
      <w:pPr>
        <w:pStyle w:val="1033"/>
        <w:ind w:firstLine="0"/>
        <w:spacing w:before="0" w:after="0" w:line="240" w:lineRule="auto"/>
        <w:rPr>
          <w:b/>
          <w:bCs/>
          <w:color w:val="000000"/>
          <w:sz w:val="32"/>
          <w:highlight w:val="none"/>
        </w:rPr>
      </w:pPr>
      <w:r>
        <w:rPr>
          <w:b/>
          <w:bCs/>
          <w:color w:val="000000"/>
          <w:sz w:val="32"/>
          <w:highlight w:val="none"/>
        </w:rPr>
      </w:r>
      <w:r/>
    </w:p>
    <w:p>
      <w:pPr>
        <w:pStyle w:val="1033"/>
        <w:ind w:left="2344" w:hanging="1800"/>
        <w:spacing w:before="0" w:after="0" w:line="240" w:lineRule="auto"/>
        <w:rPr>
          <w:rFonts w:hint="eastAsia"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000000"/>
          <w:sz w:val="36"/>
          <w:highlight w:val="none"/>
        </w:rPr>
        <w:t xml:space="preserve">项目名称：</w:t>
      </w:r>
      <w:r>
        <w:rPr>
          <w:rFonts w:hint="eastAsia" w:ascii="华文中宋" w:hAnsi="华文中宋" w:eastAsia="华文中宋"/>
          <w:b/>
          <w:bCs/>
          <w:color w:val="000000"/>
          <w:sz w:val="36"/>
          <w:highlight w:val="none"/>
        </w:rPr>
        <w:t xml:space="preserve">江苏省血液中心堂食及配送餐食等服务项</w:t>
      </w:r>
      <w:r>
        <w:rPr>
          <w:rFonts w:hint="eastAsia" w:ascii="华文中宋" w:hAnsi="华文中宋" w:eastAsia="华文中宋"/>
          <w:b/>
          <w:bCs/>
          <w:color w:val="000000"/>
          <w:sz w:val="36"/>
          <w:highlight w:val="none"/>
          <w:u w:val="none"/>
        </w:rPr>
        <w:t xml:space="preserve">目</w:t>
      </w:r>
      <w:r>
        <w:rPr>
          <w:rFonts w:hint="eastAsia" w:ascii="华文中宋" w:hAnsi="华文中宋" w:eastAsia="华文中宋"/>
          <w:b/>
          <w:bCs/>
          <w:color w:val="000000"/>
          <w:sz w:val="36"/>
          <w:highlight w:val="none"/>
          <w:u w:val="single"/>
        </w:rPr>
      </w:r>
      <w:r/>
    </w:p>
    <w:p>
      <w:pPr>
        <w:pStyle w:val="1033"/>
        <w:ind w:left="3247" w:hanging="2703"/>
        <w:spacing w:before="0" w:after="0" w:line="240" w:lineRule="auto"/>
        <w:rPr>
          <w:rFonts w:ascii="华文中宋" w:hAnsi="华文中宋" w:eastAsia="华文中宋"/>
          <w:b/>
          <w:bCs/>
          <w:color w:val="000000"/>
          <w:sz w:val="36"/>
          <w:highlight w:val="none"/>
          <w:u w:val="single"/>
        </w:rPr>
      </w:pPr>
      <w:r>
        <w:rPr>
          <w:rFonts w:ascii="华文中宋" w:hAnsi="华文中宋" w:eastAsia="华文中宋"/>
          <w:b/>
          <w:bCs/>
          <w:color w:val="000000"/>
          <w:sz w:val="36"/>
          <w:highlight w:val="none"/>
          <w:u w:val="single"/>
        </w:rPr>
      </w:r>
      <w:r/>
    </w:p>
    <w:p>
      <w:pPr>
        <w:pStyle w:val="1033"/>
        <w:ind w:left="630" w:firstLine="0"/>
        <w:spacing w:before="0" w:after="0" w:line="480" w:lineRule="auto"/>
        <w:rPr>
          <w:rFonts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highlight w:val="none"/>
        </w:rPr>
        <w:t xml:space="preserve">采 购 人：</w:t>
      </w:r>
      <w:r>
        <w:rPr>
          <w:rFonts w:hint="eastAsia" w:ascii="华文中宋" w:hAnsi="华文中宋" w:eastAsia="华文中宋"/>
          <w:b/>
          <w:bCs/>
          <w:color w:val="000000"/>
          <w:sz w:val="36"/>
          <w:highlight w:val="none"/>
        </w:rPr>
        <w:t xml:space="preserve">江苏省血液中心</w:t>
      </w:r>
      <w:r>
        <w:rPr>
          <w:rFonts w:hint="eastAsia"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u w:val="single"/>
        </w:rPr>
      </w:r>
      <w:r/>
    </w:p>
    <w:p>
      <w:pPr>
        <w:pStyle w:val="1033"/>
        <w:ind w:left="630" w:firstLine="0"/>
        <w:spacing w:before="0" w:after="0" w:line="480" w:lineRule="auto"/>
        <w:rPr>
          <w:rFonts w:ascii="华文中宋" w:hAnsi="华文中宋" w:eastAsia="华文中宋"/>
          <w:b/>
          <w:bCs/>
          <w:color w:val="000000"/>
          <w:sz w:val="36"/>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highlight w:val="none"/>
        </w:rPr>
        <w:t xml:space="preserve">采购代理：江苏苏咨工程咨询有限责任公司</w:t>
      </w:r>
      <w:r>
        <w:rPr>
          <w:rFonts w:ascii="华文中宋" w:hAnsi="华文中宋" w:eastAsia="华文中宋"/>
          <w:b/>
          <w:bCs/>
          <w:color w:val="000000"/>
          <w:sz w:val="36"/>
          <w:highlight w:val="none"/>
        </w:rPr>
      </w:r>
      <w:r/>
    </w:p>
    <w:p>
      <w:pPr>
        <w:pStyle w:val="1033"/>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1033"/>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1033"/>
        <w:ind w:firstLine="0"/>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1033"/>
        <w:ind w:firstLine="0"/>
        <w:jc w:val="center"/>
        <w:spacing w:before="0" w:after="0" w:line="24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二零二六年八月</w:t>
      </w:r>
      <w:r>
        <w:rPr>
          <w:rFonts w:ascii="华文中宋" w:hAnsi="华文中宋" w:eastAsia="华文中宋"/>
          <w:b/>
          <w:bCs/>
          <w:color w:val="000000"/>
          <w:sz w:val="36"/>
          <w:highlight w:val="none"/>
        </w:rPr>
      </w:r>
      <w:r/>
    </w:p>
    <w:p>
      <w:pPr>
        <w:pStyle w:val="771"/>
        <w:jc w:val="center"/>
        <w:rPr>
          <w:rFonts w:ascii="华文中宋" w:hAnsi="华文中宋" w:eastAsia="华文中宋"/>
          <w:b/>
          <w:bCs/>
          <w:color w:val="000000"/>
          <w:sz w:val="36"/>
          <w:szCs w:val="36"/>
          <w:highlight w:val="none"/>
        </w:rPr>
      </w:pPr>
      <w:r/>
      <w:bookmarkStart w:id="0" w:name="_Toc8485109"/>
      <w:r/>
      <w:bookmarkStart w:id="1" w:name="_Toc8484864"/>
      <w:r/>
      <w:bookmarkStart w:id="2" w:name="_Toc8482900"/>
      <w:r/>
      <w:bookmarkStart w:id="3" w:name="_Toc120614210"/>
      <w:r/>
      <w:bookmarkStart w:id="4" w:name="_Toc16938516"/>
      <w:r/>
      <w:bookmarkStart w:id="5" w:name="_Toc479757206"/>
      <w:r/>
      <w:bookmarkStart w:id="6" w:name="_Toc513029200"/>
      <w:r/>
      <w:bookmarkStart w:id="7" w:name="_Toc523127445"/>
      <w:r/>
      <w:bookmarkStart w:id="8" w:name="_Toc20823272"/>
      <w:r>
        <w:rPr>
          <w:color w:val="000000"/>
          <w:highlight w:val="none"/>
        </w:rPr>
        <w:br w:type="page" w:clear="all"/>
      </w:r>
      <w:bookmarkStart w:id="9" w:name="_Toc8831877"/>
      <w:r>
        <w:rPr>
          <w:rFonts w:hint="eastAsia" w:ascii="华文中宋" w:hAnsi="华文中宋" w:eastAsia="华文中宋"/>
          <w:b/>
          <w:bCs/>
          <w:color w:val="000000"/>
          <w:sz w:val="36"/>
          <w:szCs w:val="36"/>
          <w:highlight w:val="none"/>
        </w:rPr>
        <w:t xml:space="preserve">目  </w:t>
      </w:r>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录</w:t>
      </w:r>
      <w:bookmarkEnd w:id="0"/>
      <w:r/>
      <w:bookmarkEnd w:id="1"/>
      <w:r/>
      <w:bookmarkEnd w:id="2"/>
      <w:r/>
      <w:bookmarkEnd w:id="9"/>
      <w:r>
        <w:rPr>
          <w:rFonts w:ascii="华文中宋" w:hAnsi="华文中宋" w:eastAsia="华文中宋"/>
          <w:b/>
          <w:bCs/>
          <w:color w:val="000000"/>
          <w:sz w:val="36"/>
          <w:szCs w:val="36"/>
          <w:highlight w:val="none"/>
        </w:rPr>
      </w:r>
      <w:r/>
    </w:p>
    <w:p>
      <w:pPr>
        <w:pStyle w:val="1104"/>
        <w:ind w:firstLine="721"/>
        <w:tabs>
          <w:tab w:val="right" w:pos="9440" w:leader="dot"/>
        </w:tabs>
        <w:rPr>
          <w:rFonts w:ascii="华文中宋" w:hAnsi="华文中宋" w:eastAsia="华文中宋"/>
          <w:b w:val="0"/>
          <w:color w:val="000000"/>
          <w:sz w:val="36"/>
          <w:szCs w:val="36"/>
          <w:highlight w:val="none"/>
        </w:rPr>
      </w:pPr>
      <w:r/>
      <w:bookmarkStart w:id="10" w:name="_Toc8485110"/>
      <w:r/>
      <w:bookmarkStart w:id="11" w:name="_Toc9363424"/>
      <w:r>
        <w:rPr>
          <w:rFonts w:ascii="华文中宋" w:hAnsi="华文中宋" w:eastAsia="华文中宋"/>
          <w:b w:val="0"/>
          <w:color w:val="000000"/>
          <w:sz w:val="36"/>
          <w:szCs w:val="36"/>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rFonts w:hint="eastAsia" w:ascii="宋体" w:hAnsi="宋体" w:eastAsia="宋体" w:cs="宋体"/>
          <w:bCs w:val="0"/>
          <w:caps/>
          <w:color w:val="000000"/>
          <w:szCs w:val="18"/>
          <w:highlight w:val="none"/>
        </w:rPr>
        <w:fldChar w:fldCharType="begin"/>
      </w:r>
      <w:r>
        <w:rPr>
          <w:rFonts w:hint="eastAsia" w:ascii="宋体" w:hAnsi="宋体" w:eastAsia="宋体" w:cs="宋体"/>
          <w:bCs w:val="0"/>
          <w:caps/>
          <w:color w:val="000000"/>
          <w:szCs w:val="18"/>
          <w:highlight w:val="none"/>
        </w:rPr>
        <w:instrText xml:space="preserve"> TOC \o "1-2" \h \z \u </w:instrText>
      </w:r>
      <w:r>
        <w:rPr>
          <w:rFonts w:hint="eastAsia" w:ascii="宋体" w:hAnsi="宋体" w:eastAsia="宋体" w:cs="宋体"/>
          <w:bCs w:val="0"/>
          <w:caps/>
          <w:color w:val="000000"/>
          <w:szCs w:val="18"/>
          <w:highlight w:val="none"/>
        </w:rPr>
        <w:fldChar w:fldCharType="separate"/>
      </w:r>
      <w:r>
        <w:rPr>
          <w:color w:val="000000"/>
          <w:highlight w:val="none"/>
        </w:rPr>
        <w:fldChar w:fldCharType="begin"/>
      </w:r>
      <w:r>
        <w:rPr>
          <w:color w:val="000000"/>
          <w:highlight w:val="none"/>
        </w:rPr>
        <w:instrText xml:space="preserve"> HYPERLINK \l "_Toc5483" </w:instrText>
      </w:r>
      <w:r>
        <w:rPr>
          <w:color w:val="000000"/>
          <w:highlight w:val="none"/>
        </w:rPr>
        <w:fldChar w:fldCharType="separate"/>
      </w:r>
      <w:r>
        <w:rPr>
          <w:rStyle w:val="858"/>
          <w:rFonts w:hint="eastAsia" w:ascii="宋体" w:hAnsi="宋体" w:eastAsia="宋体" w:cs="宋体"/>
          <w:color w:val="000000"/>
          <w:szCs w:val="18"/>
          <w:highlight w:val="none"/>
        </w:rPr>
        <w:t xml:space="preserve">第一章 投标邀请</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_Toc5483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3</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"_Toc5535" </w:instrText>
      </w:r>
      <w:r>
        <w:rPr>
          <w:color w:val="000000"/>
          <w:highlight w:val="none"/>
        </w:rPr>
        <w:fldChar w:fldCharType="separate"/>
      </w:r>
      <w:r>
        <w:rPr>
          <w:rStyle w:val="858"/>
          <w:rFonts w:hint="eastAsia" w:ascii="宋体" w:hAnsi="宋体" w:eastAsia="宋体" w:cs="宋体"/>
          <w:color w:val="000000"/>
          <w:szCs w:val="18"/>
          <w:highlight w:val="none"/>
        </w:rPr>
        <w:t xml:space="preserve">第二章 投标人须知</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_Toc5535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7</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"_Toc21583" </w:instrText>
      </w:r>
      <w:r>
        <w:rPr>
          <w:color w:val="000000"/>
          <w:highlight w:val="none"/>
        </w:rPr>
        <w:fldChar w:fldCharType="separate"/>
      </w:r>
      <w:r>
        <w:rPr>
          <w:rStyle w:val="858"/>
          <w:rFonts w:hint="eastAsia" w:ascii="宋体" w:hAnsi="宋体" w:eastAsia="宋体" w:cs="宋体"/>
          <w:color w:val="000000"/>
          <w:szCs w:val="18"/>
          <w:highlight w:val="none"/>
        </w:rPr>
        <w:t xml:space="preserve">第三章 合同文本</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_Toc21583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25</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"_Toc6705" </w:instrText>
      </w:r>
      <w:r>
        <w:rPr>
          <w:color w:val="000000"/>
          <w:highlight w:val="none"/>
        </w:rPr>
        <w:fldChar w:fldCharType="separate"/>
      </w:r>
      <w:r>
        <w:rPr>
          <w:rStyle w:val="858"/>
          <w:rFonts w:hint="eastAsia" w:ascii="宋体" w:hAnsi="宋体" w:eastAsia="宋体" w:cs="宋体"/>
          <w:color w:val="000000"/>
          <w:szCs w:val="18"/>
          <w:highlight w:val="none"/>
        </w:rPr>
        <w:t xml:space="preserve">第四章 项目需求</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_Toc6705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25</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"_Toc31478" </w:instrText>
      </w:r>
      <w:r>
        <w:rPr>
          <w:color w:val="000000"/>
          <w:highlight w:val="none"/>
        </w:rPr>
        <w:fldChar w:fldCharType="separate"/>
      </w:r>
      <w:r>
        <w:rPr>
          <w:rStyle w:val="858"/>
          <w:rFonts w:hint="eastAsia" w:ascii="宋体" w:hAnsi="宋体" w:eastAsia="宋体" w:cs="宋体"/>
          <w:color w:val="000000"/>
          <w:szCs w:val="18"/>
          <w:highlight w:val="none"/>
        </w:rPr>
        <w:t xml:space="preserve">第五章 评标方法与评标标准</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_Toc31478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36</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"_Toc27670" </w:instrText>
      </w:r>
      <w:r>
        <w:rPr>
          <w:color w:val="000000"/>
          <w:highlight w:val="none"/>
        </w:rPr>
        <w:fldChar w:fldCharType="separate"/>
      </w:r>
      <w:r>
        <w:rPr>
          <w:rStyle w:val="858"/>
          <w:rFonts w:hint="eastAsia" w:ascii="宋体" w:hAnsi="宋体" w:eastAsia="宋体" w:cs="宋体"/>
          <w:color w:val="000000"/>
          <w:szCs w:val="18"/>
          <w:highlight w:val="none"/>
        </w:rPr>
        <w:t xml:space="preserve">一、评标方法与定标原则</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_Toc27670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36</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"_Toc7770" </w:instrText>
      </w:r>
      <w:r>
        <w:rPr>
          <w:color w:val="000000"/>
          <w:highlight w:val="none"/>
        </w:rPr>
        <w:fldChar w:fldCharType="separate"/>
      </w:r>
      <w:r>
        <w:rPr>
          <w:rStyle w:val="858"/>
          <w:rFonts w:hint="eastAsia" w:ascii="宋体" w:hAnsi="宋体" w:eastAsia="宋体" w:cs="宋体"/>
          <w:color w:val="000000"/>
          <w:szCs w:val="18"/>
          <w:highlight w:val="none"/>
        </w:rPr>
        <w:t xml:space="preserve">二、评标标准</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_Toc7770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36</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"_Toc30424" </w:instrText>
      </w:r>
      <w:r>
        <w:rPr>
          <w:color w:val="000000"/>
          <w:highlight w:val="none"/>
        </w:rPr>
        <w:fldChar w:fldCharType="separate"/>
      </w:r>
      <w:r>
        <w:rPr>
          <w:rStyle w:val="858"/>
          <w:rFonts w:hint="eastAsia" w:ascii="宋体" w:hAnsi="宋体" w:eastAsia="宋体" w:cs="宋体"/>
          <w:color w:val="000000"/>
          <w:szCs w:val="18"/>
          <w:highlight w:val="none"/>
        </w:rPr>
        <w:t xml:space="preserve">三、政府采购政策功能落实</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_Toc30424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39</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"_Toc24306" </w:instrText>
      </w:r>
      <w:r>
        <w:rPr>
          <w:color w:val="000000"/>
          <w:highlight w:val="none"/>
        </w:rPr>
        <w:fldChar w:fldCharType="separate"/>
      </w:r>
      <w:r>
        <w:rPr>
          <w:rStyle w:val="858"/>
          <w:rFonts w:hint="eastAsia" w:ascii="宋体" w:hAnsi="宋体" w:eastAsia="宋体" w:cs="宋体"/>
          <w:color w:val="000000"/>
          <w:szCs w:val="18"/>
          <w:highlight w:val="none"/>
        </w:rPr>
        <w:t xml:space="preserve">第六章 投标文件格式</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_Toc24306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42</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"_Toc21397" </w:instrText>
      </w:r>
      <w:r>
        <w:rPr>
          <w:color w:val="000000"/>
          <w:highlight w:val="none"/>
        </w:rPr>
        <w:fldChar w:fldCharType="separate"/>
      </w:r>
      <w:r>
        <w:rPr>
          <w:rStyle w:val="858"/>
          <w:rFonts w:hint="eastAsia" w:ascii="宋体" w:hAnsi="宋体" w:eastAsia="宋体" w:cs="宋体"/>
          <w:color w:val="000000"/>
          <w:szCs w:val="18"/>
          <w:highlight w:val="none"/>
        </w:rPr>
        <w:t xml:space="preserve">一、评分索引表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_Toc21397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44</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"_Toc10693" </w:instrText>
      </w:r>
      <w:r>
        <w:rPr>
          <w:color w:val="000000"/>
          <w:highlight w:val="none"/>
        </w:rPr>
        <w:fldChar w:fldCharType="separate"/>
      </w:r>
      <w:r>
        <w:rPr>
          <w:rStyle w:val="858"/>
          <w:rFonts w:hint="eastAsia" w:ascii="宋体" w:hAnsi="宋体" w:eastAsia="宋体" w:cs="宋体"/>
          <w:color w:val="000000"/>
          <w:szCs w:val="18"/>
          <w:highlight w:val="none"/>
        </w:rPr>
        <w:t xml:space="preserve">二、资格审查响应对照表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_Toc10693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45</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"_Toc6679" </w:instrText>
      </w:r>
      <w:r>
        <w:rPr>
          <w:color w:val="000000"/>
          <w:highlight w:val="none"/>
        </w:rPr>
        <w:fldChar w:fldCharType="separate"/>
      </w:r>
      <w:r>
        <w:rPr>
          <w:rStyle w:val="858"/>
          <w:rFonts w:hint="eastAsia" w:ascii="宋体" w:hAnsi="宋体" w:eastAsia="宋体" w:cs="宋体"/>
          <w:color w:val="000000"/>
          <w:szCs w:val="18"/>
          <w:highlight w:val="none"/>
        </w:rPr>
        <w:t xml:space="preserve">三、符合性审查响应对照表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_Toc6679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46</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"_Toc749" </w:instrText>
      </w:r>
      <w:r>
        <w:rPr>
          <w:color w:val="000000"/>
          <w:highlight w:val="none"/>
        </w:rPr>
        <w:fldChar w:fldCharType="separate"/>
      </w:r>
      <w:r>
        <w:rPr>
          <w:rStyle w:val="858"/>
          <w:rFonts w:hint="eastAsia" w:ascii="宋体" w:hAnsi="宋体" w:eastAsia="宋体" w:cs="宋体"/>
          <w:color w:val="000000"/>
          <w:szCs w:val="18"/>
          <w:highlight w:val="none"/>
        </w:rPr>
        <w:t xml:space="preserve">四、开标一览表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_Toc749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51</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"_Toc9146" </w:instrText>
      </w:r>
      <w:r>
        <w:rPr>
          <w:color w:val="000000"/>
          <w:highlight w:val="none"/>
        </w:rPr>
        <w:fldChar w:fldCharType="separate"/>
      </w:r>
      <w:r>
        <w:rPr>
          <w:rStyle w:val="858"/>
          <w:rFonts w:hint="eastAsia" w:ascii="宋体" w:hAnsi="宋体" w:eastAsia="宋体" w:cs="宋体"/>
          <w:color w:val="000000"/>
          <w:szCs w:val="18"/>
          <w:highlight w:val="none"/>
        </w:rPr>
        <w:t xml:space="preserve">五、分项报价表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_Toc9146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52</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Style w:val="85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"_Toc21842" </w:instrText>
      </w:r>
      <w:r>
        <w:rPr>
          <w:color w:val="000000"/>
          <w:highlight w:val="none"/>
        </w:rPr>
        <w:fldChar w:fldCharType="separate"/>
      </w:r>
      <w:r>
        <w:rPr>
          <w:rStyle w:val="858"/>
          <w:rFonts w:hint="eastAsia" w:ascii="宋体" w:hAnsi="宋体" w:eastAsia="宋体" w:cs="宋体"/>
          <w:color w:val="000000"/>
          <w:szCs w:val="18"/>
          <w:highlight w:val="none"/>
        </w:rPr>
        <w:t xml:space="preserve">六、技术响应偏离表</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_Toc21842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53</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Style w:val="858"/>
          <w:rFonts w:ascii="宋体" w:hAnsi="宋体" w:eastAsia="宋体" w:cs="宋体"/>
          <w:color w:val="000000"/>
          <w:szCs w:val="18"/>
          <w:highlight w:val="none"/>
        </w:rPr>
      </w:r>
      <w:r/>
    </w:p>
    <w:p>
      <w:pPr>
        <w:pStyle w:val="1104"/>
        <w:spacing w:line="360" w:lineRule="auto"/>
        <w:tabs>
          <w:tab w:val="right" w:pos="9440" w:leader="dot"/>
        </w:tabs>
        <w:rPr>
          <w:rFonts w:ascii="宋体" w:hAnsi="宋体" w:eastAsia="宋体" w:cs="宋体"/>
          <w:bCs w:val="0"/>
          <w:color w:val="000000"/>
          <w:szCs w:val="18"/>
          <w:highlight w:val="none"/>
        </w:rPr>
      </w:pPr>
      <w:r>
        <w:rPr>
          <w:color w:val="000000"/>
          <w:highlight w:val="none"/>
        </w:rPr>
        <w:fldChar w:fldCharType="begin"/>
      </w:r>
      <w:r>
        <w:rPr>
          <w:color w:val="000000"/>
          <w:highlight w:val="none"/>
        </w:rPr>
        <w:instrText xml:space="preserve"> HYPERLINK \l "_Toc21183" </w:instrText>
      </w:r>
      <w:r>
        <w:rPr>
          <w:color w:val="000000"/>
          <w:highlight w:val="none"/>
        </w:rPr>
        <w:fldChar w:fldCharType="separate"/>
      </w:r>
      <w:r>
        <w:rPr>
          <w:rStyle w:val="858"/>
          <w:rFonts w:hint="eastAsia" w:ascii="宋体" w:hAnsi="宋体" w:eastAsia="宋体" w:cs="宋体"/>
          <w:color w:val="000000"/>
          <w:szCs w:val="18"/>
          <w:highlight w:val="none"/>
        </w:rPr>
        <w:t xml:space="preserve">附件：</w:t>
      </w:r>
      <w:r>
        <w:rPr>
          <w:rStyle w:val="858"/>
          <w:rFonts w:hint="eastAsia" w:ascii="宋体" w:hAnsi="宋体" w:eastAsia="宋体" w:cs="宋体"/>
          <w:color w:val="000000"/>
          <w:szCs w:val="18"/>
          <w:highlight w:val="none"/>
        </w:rPr>
        <w:tab/>
      </w:r>
      <w:r>
        <w:rPr>
          <w:rStyle w:val="858"/>
          <w:rFonts w:hint="eastAsia" w:ascii="宋体" w:hAnsi="宋体" w:eastAsia="宋体" w:cs="宋体"/>
          <w:color w:val="000000"/>
          <w:szCs w:val="18"/>
          <w:highlight w:val="none"/>
        </w:rPr>
        <w:fldChar w:fldCharType="begin"/>
      </w:r>
      <w:r>
        <w:rPr>
          <w:rStyle w:val="858"/>
          <w:rFonts w:hint="eastAsia" w:ascii="宋体" w:hAnsi="宋体" w:eastAsia="宋体" w:cs="宋体"/>
          <w:color w:val="000000"/>
          <w:szCs w:val="18"/>
          <w:highlight w:val="none"/>
        </w:rPr>
        <w:instrText xml:space="preserve"> PAGEREF _Toc21183 \h </w:instrText>
      </w:r>
      <w:r>
        <w:rPr>
          <w:rStyle w:val="858"/>
          <w:rFonts w:hint="eastAsia" w:ascii="宋体" w:hAnsi="宋体" w:eastAsia="宋体" w:cs="宋体"/>
          <w:color w:val="000000"/>
          <w:szCs w:val="18"/>
          <w:highlight w:val="none"/>
        </w:rPr>
        <w:fldChar w:fldCharType="separate"/>
      </w:r>
      <w:r>
        <w:rPr>
          <w:rStyle w:val="858"/>
          <w:rFonts w:hint="eastAsia" w:ascii="宋体" w:hAnsi="宋体" w:eastAsia="宋体" w:cs="宋体"/>
          <w:color w:val="000000"/>
          <w:szCs w:val="18"/>
          <w:highlight w:val="none"/>
        </w:rPr>
        <w:t xml:space="preserve">54</w:t>
      </w:r>
      <w:r>
        <w:rPr>
          <w:rStyle w:val="858"/>
          <w:rFonts w:hint="eastAsia" w:ascii="宋体" w:hAnsi="宋体" w:eastAsia="宋体" w:cs="宋体"/>
          <w:color w:val="000000"/>
          <w:szCs w:val="18"/>
          <w:highlight w:val="none"/>
        </w:rPr>
        <w:fldChar w:fldCharType="end"/>
      </w:r>
      <w:r>
        <w:rPr>
          <w:rStyle w:val="858"/>
          <w:rFonts w:hint="eastAsia" w:ascii="宋体" w:hAnsi="宋体" w:eastAsia="宋体" w:cs="宋体"/>
          <w:color w:val="000000"/>
          <w:szCs w:val="18"/>
          <w:highlight w:val="none"/>
        </w:rPr>
        <w:fldChar w:fldCharType="end"/>
      </w:r>
      <w:r>
        <w:rPr>
          <w:rFonts w:ascii="宋体" w:hAnsi="宋体" w:eastAsia="宋体" w:cs="宋体"/>
          <w:bCs w:val="0"/>
          <w:color w:val="000000"/>
          <w:szCs w:val="18"/>
          <w:highlight w:val="none"/>
        </w:rPr>
      </w:r>
      <w:r/>
    </w:p>
    <w:p>
      <w:pPr>
        <w:pStyle w:val="771"/>
        <w:spacing w:line="360" w:lineRule="auto"/>
        <w:rPr>
          <w:color w:val="000000"/>
          <w:highlight w:val="none"/>
        </w:rPr>
      </w:pPr>
      <w:r>
        <w:rPr>
          <w:rFonts w:hint="eastAsia" w:ascii="宋体" w:hAnsi="宋体" w:cs="宋体"/>
          <w:b/>
          <w:color w:val="000000"/>
          <w:sz w:val="18"/>
          <w:szCs w:val="18"/>
          <w:highlight w:val="none"/>
        </w:rPr>
        <w:fldChar w:fldCharType="end"/>
      </w:r>
      <w:r>
        <w:rPr>
          <w:color w:val="000000"/>
          <w:highlight w:val="none"/>
        </w:rPr>
      </w:r>
      <w:r/>
    </w:p>
    <w:p>
      <w:pPr>
        <w:pStyle w:val="772"/>
        <w:jc w:val="center"/>
        <w:spacing w:before="291" w:after="291"/>
        <w:rPr>
          <w:rFonts w:ascii="华文中宋" w:hAnsi="华文中宋" w:eastAsia="华文中宋"/>
          <w:b/>
          <w:bCs/>
          <w:color w:val="000000"/>
          <w:sz w:val="36"/>
          <w:szCs w:val="36"/>
          <w:highlight w:val="none"/>
        </w:rPr>
      </w:pPr>
      <w:r>
        <w:rPr>
          <w:color w:val="000000"/>
          <w:highlight w:val="none"/>
        </w:rPr>
        <w:br w:type="page" w:clear="all"/>
      </w:r>
      <w:bookmarkStart w:id="12" w:name="_Toc12887259"/>
      <w:r/>
      <w:bookmarkStart w:id="13" w:name="_Toc5483"/>
      <w:r/>
      <w:bookmarkStart w:id="14" w:name="_Toc12708969"/>
      <w:r>
        <w:rPr>
          <w:rFonts w:hint="eastAsia" w:ascii="华文中宋" w:hAnsi="华文中宋" w:eastAsia="华文中宋"/>
          <w:b/>
          <w:color w:val="000000"/>
          <w:sz w:val="36"/>
          <w:szCs w:val="36"/>
          <w:highlight w:val="none"/>
        </w:rPr>
        <w:t xml:space="preserve">第一章</w:t>
      </w:r>
      <w:bookmarkEnd w:id="3"/>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投标邀请</w:t>
      </w:r>
      <w:bookmarkEnd w:id="10"/>
      <w:r/>
      <w:bookmarkEnd w:id="11"/>
      <w:r/>
      <w:bookmarkEnd w:id="12"/>
      <w:r/>
      <w:bookmarkEnd w:id="13"/>
      <w:r/>
      <w:bookmarkEnd w:id="14"/>
      <w:r>
        <w:rPr>
          <w:rFonts w:ascii="华文中宋" w:hAnsi="华文中宋" w:eastAsia="华文中宋"/>
          <w:b/>
          <w:bCs/>
          <w:color w:val="000000"/>
          <w:sz w:val="36"/>
          <w:szCs w:val="36"/>
          <w:highlight w:val="none"/>
        </w:rPr>
      </w:r>
      <w:r/>
    </w:p>
    <w:p>
      <w:pPr>
        <w:pStyle w:val="771"/>
        <w:ind w:firstLine="480"/>
        <w:spacing w:line="360" w:lineRule="auto"/>
        <w:rPr>
          <w:rFonts w:ascii="宋体" w:hAnsi="宋体"/>
          <w:bCs/>
          <w:color w:val="000000"/>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rPr>
        <w:t xml:space="preserve">江苏省血液中心</w:t>
      </w:r>
      <w:r>
        <w:rPr>
          <w:rFonts w:hint="eastAsia" w:ascii="宋体" w:hAnsi="宋体"/>
          <w:color w:val="000000"/>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rPr>
        <w:t xml:space="preserve">江苏省血液中心堂食及配送餐食等服务项目</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潜在投标人</w:t>
      </w:r>
      <w:r>
        <w:rPr>
          <w:rFonts w:hint="eastAsia" w:ascii="宋体" w:hAnsi="宋体" w:cs="宋体"/>
          <w:color w:val="000000"/>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color w:val="000000"/>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日14点30</w:t>
      </w:r>
      <w:r>
        <w:rPr>
          <w:rFonts w:ascii="宋体" w:hAnsi="宋体"/>
          <w:bCs/>
          <w:color w:val="000000"/>
          <w:sz w:val="24"/>
          <w:highlight w:val="none"/>
        </w:rPr>
        <w:t xml:space="preserve">分</w:t>
      </w:r>
      <w:r>
        <w:rPr>
          <w:rFonts w:hint="eastAsia" w:ascii="宋体" w:hAnsi="宋体"/>
          <w:bCs/>
          <w:color w:val="000000"/>
          <w:sz w:val="24"/>
          <w:highlight w:val="none"/>
        </w:rPr>
        <w:t xml:space="preserve">（北京时间）前递交投标文件。</w:t>
      </w:r>
      <w:r>
        <w:rPr>
          <w:rFonts w:ascii="宋体" w:hAnsi="宋体"/>
          <w:bCs/>
          <w:color w:val="000000"/>
          <w:sz w:val="24"/>
          <w:highlight w:val="none"/>
        </w:rPr>
      </w:r>
      <w:r/>
    </w:p>
    <w:p>
      <w:pPr>
        <w:pStyle w:val="77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771"/>
        <w:ind w:firstLine="480"/>
        <w:spacing w:line="360" w:lineRule="auto"/>
        <w:widowControl/>
        <w:rPr>
          <w:rFonts w:hint="eastAsia" w:ascii="宋体" w:hAnsi="宋体" w:eastAsia="宋体" w:cs="Times New Roman"/>
          <w:bCs/>
          <w:color w:val="000000"/>
          <w:sz w:val="24"/>
          <w:highlight w:val="none"/>
        </w:rPr>
      </w:pPr>
      <w:r/>
      <w:bookmarkStart w:id="16" w:name="_Hlk28680462"/>
      <w:r>
        <w:rPr>
          <w:rFonts w:hint="eastAsia" w:ascii="宋体" w:hAnsi="宋体"/>
          <w:bCs/>
          <w:color w:val="000000"/>
          <w:sz w:val="24"/>
          <w:highlight w:val="none"/>
        </w:rPr>
        <w:t xml:space="preserve">1.1项目编号</w:t>
      </w:r>
      <w:r>
        <w:rPr>
          <w:rFonts w:hint="eastAsia" w:ascii="宋体" w:hAnsi="宋体" w:eastAsia="宋体" w:cs="Times New Roman"/>
          <w:bCs/>
          <w:color w:val="000000"/>
          <w:sz w:val="24"/>
          <w:highlight w:val="none"/>
        </w:rPr>
        <w:t xml:space="preserve">：JSZC-320000-JSSZ-G2026-0041   </w:t>
      </w:r>
      <w:r>
        <w:rPr>
          <w:rFonts w:hint="eastAsia" w:ascii="宋体" w:hAnsi="宋体" w:eastAsia="宋体" w:cs="Times New Roman"/>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1.2</w:t>
      </w:r>
      <w:bookmarkStart w:id="17" w:name="_Hlk88135353"/>
      <w:r>
        <w:rPr>
          <w:rFonts w:hint="eastAsia" w:ascii="宋体" w:hAnsi="宋体" w:cs="宋体"/>
          <w:bCs/>
          <w:color w:val="000000"/>
          <w:sz w:val="24"/>
          <w:highlight w:val="none"/>
        </w:rPr>
        <w:t xml:space="preserve">项目名称：</w:t>
      </w:r>
      <w:bookmarkEnd w:id="17"/>
      <w:r>
        <w:rPr>
          <w:rFonts w:hint="eastAsia" w:ascii="宋体" w:hAnsi="宋体"/>
          <w:bCs/>
          <w:color w:val="000000"/>
          <w:sz w:val="24"/>
          <w:highlight w:val="none"/>
        </w:rPr>
        <w:t xml:space="preserve">江苏省血液中心堂食及配送餐食等服务项目</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预算金额：435万元</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.4</w:t>
      </w:r>
      <w:r>
        <w:rPr>
          <w:rFonts w:hint="eastAsia" w:ascii="宋体" w:hAnsi="宋体"/>
          <w:color w:val="000000"/>
          <w:sz w:val="24"/>
          <w:highlight w:val="none"/>
        </w:rPr>
        <w:t xml:space="preserve">最高限价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本项目最高限价145万元/年，实际采购金额根据中心实际发生餐费结算。本项目为固定餐标采购项目，投标报价不作为评审因素，投标人根据格式必须填写的投标总价按145万元/年填入。</w:t>
      </w:r>
      <w:r>
        <w:rPr>
          <w:rFonts w:ascii="宋体" w:hAnsi="宋体" w:cs="宋体"/>
          <w:bCs/>
          <w:color w:val="000000"/>
          <w:sz w:val="24"/>
          <w:highlight w:val="none"/>
        </w:rPr>
      </w:r>
      <w:r/>
    </w:p>
    <w:p>
      <w:pPr>
        <w:pStyle w:val="77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bookmarkStart w:id="18" w:name="_Hlk88135376"/>
      <w:r>
        <w:rPr>
          <w:rFonts w:hint="eastAsia" w:ascii="宋体" w:hAnsi="宋体" w:cs="宋体"/>
          <w:bCs/>
          <w:color w:val="000000"/>
          <w:sz w:val="24"/>
          <w:highlight w:val="none"/>
        </w:rPr>
        <w:t xml:space="preserve">5采购需求：</w:t>
      </w:r>
      <w:bookmarkEnd w:id="18"/>
      <w:r>
        <w:rPr>
          <w:rFonts w:hint="eastAsia" w:ascii="宋体" w:hAnsi="宋体" w:cs="宋体"/>
          <w:bCs/>
          <w:color w:val="000000"/>
          <w:sz w:val="24"/>
          <w:highlight w:val="none"/>
        </w:rPr>
        <w:t xml:space="preserve">为满足中心员工就餐需要，拟开展堂食及配餐就餐等服务项目采</w:t>
      </w:r>
      <w:r>
        <w:rPr>
          <w:rFonts w:hint="eastAsia" w:ascii="宋体" w:hAnsi="宋体" w:cs="宋体"/>
          <w:bCs/>
          <w:color w:val="000000"/>
          <w:sz w:val="24"/>
          <w:highlight w:val="none"/>
        </w:rPr>
        <w:t xml:space="preserve">购。（详细内容见招标文件）。</w:t>
      </w:r>
      <w:r>
        <w:rPr>
          <w:rFonts w:hint="eastAsia"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6合同履行期限：</w:t>
      </w:r>
      <w:r>
        <w:rPr>
          <w:rFonts w:hint="eastAsia" w:ascii="宋体" w:hAnsi="宋体" w:cs="宋体"/>
          <w:bCs/>
          <w:color w:val="000000"/>
          <w:sz w:val="24"/>
          <w:highlight w:val="none"/>
        </w:rPr>
        <w:t xml:space="preserve">3年。</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bookmarkStart w:id="19" w:name="_Hlk88135443"/>
      <w:r>
        <w:rPr>
          <w:rFonts w:hint="eastAsia" w:ascii="宋体" w:hAnsi="宋体" w:cs="宋体"/>
          <w:bCs/>
          <w:color w:val="000000"/>
          <w:sz w:val="24"/>
          <w:highlight w:val="none"/>
        </w:rPr>
        <w:t xml:space="preserve">7本项目采购标的所属</w:t>
      </w:r>
      <w:r>
        <w:rPr>
          <w:rFonts w:hint="eastAsia" w:ascii="宋体" w:hAnsi="宋体"/>
          <w:color w:val="000000"/>
          <w:sz w:val="24"/>
          <w:highlight w:val="none"/>
        </w:rPr>
        <w:t xml:space="preserve">行业为：</w:t>
      </w:r>
      <w:bookmarkEnd w:id="19"/>
      <w:r>
        <w:rPr>
          <w:rFonts w:hint="eastAsia" w:ascii="宋体" w:hAnsi="宋体" w:cs="宋体"/>
          <w:bCs/>
          <w:color w:val="000000"/>
          <w:sz w:val="24"/>
          <w:highlight w:val="none"/>
        </w:rPr>
        <w:t xml:space="preserve">餐饮业</w:t>
      </w:r>
      <w:r>
        <w:rPr>
          <w:rFonts w:ascii="宋体" w:hAnsi="宋体" w:cs="宋体"/>
          <w:bCs/>
          <w:color w:val="000000"/>
          <w:sz w:val="24"/>
          <w:highlight w:val="none"/>
        </w:rPr>
      </w:r>
      <w:r/>
    </w:p>
    <w:p>
      <w:pPr>
        <w:pStyle w:val="771"/>
        <w:ind w:firstLine="482"/>
        <w:spacing w:line="360" w:lineRule="auto"/>
        <w:widowControl/>
        <w:rPr>
          <w:rFonts w:ascii="宋体" w:hAnsi="宋体" w:cs="宋体"/>
          <w:b/>
          <w:bCs/>
          <w:color w:val="000000"/>
          <w:sz w:val="24"/>
          <w:highlight w:val="none"/>
        </w:rPr>
      </w:pPr>
      <w:r/>
      <w:bookmarkEnd w:id="16"/>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771"/>
        <w:ind w:firstLine="480"/>
        <w:spacing w:line="360" w:lineRule="auto"/>
        <w:widowControl/>
        <w:rPr>
          <w:rFonts w:ascii="宋体" w:hAnsi="宋体" w:cs="宋体"/>
          <w:bCs/>
          <w:color w:val="000000"/>
          <w:sz w:val="24"/>
          <w:highlight w:val="none"/>
        </w:rPr>
      </w:pPr>
      <w:r/>
      <w:bookmarkStart w:id="20" w:name="_Hlk8392111"/>
      <w:r>
        <w:rPr>
          <w:rFonts w:hint="eastAsia" w:ascii="宋体" w:hAnsi="宋体" w:cs="宋体"/>
          <w:bCs/>
          <w:color w:val="000000"/>
          <w:sz w:val="24"/>
          <w:highlight w:val="none"/>
        </w:rPr>
        <w:t xml:space="preserve">2.1满足《中华人民共和国政府采购法》第二十二条规定，并提供下列材料：</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（1）具有独立承担民事责任的能力（提供法人或者其他组织的营业执照等证明文件并加盖公章。如投标人为自然人的，提供其身份证明，并加盖公章。）； </w:t>
      </w:r>
      <w:r>
        <w:rPr>
          <w:rFonts w:ascii="宋体" w:hAnsi="宋体" w:cs="宋体"/>
          <w:bCs/>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（2）具有良好的商业信誉和健全的财务会计制度（提供距提</w:t>
      </w:r>
      <w:r>
        <w:rPr>
          <w:rFonts w:hint="eastAsia" w:ascii="宋体" w:hAnsi="宋体" w:cs="宋体"/>
          <w:color w:val="000000"/>
          <w:sz w:val="24"/>
          <w:highlight w:val="none"/>
        </w:rPr>
        <w:t xml:space="preserve">交</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文件截止之日前的一年内任意一个月资产负债表、利润表（或收入费用表），并加盖公章。）；</w:t>
      </w:r>
      <w:r>
        <w:rPr>
          <w:rFonts w:hint="eastAsia" w:ascii="宋体" w:hAnsi="宋体" w:cs="宋体"/>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（3）有依法缴纳税收和社会保障资金的良好记录（提供距提交</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文</w:t>
      </w:r>
      <w:r>
        <w:rPr>
          <w:rFonts w:hint="eastAsia" w:ascii="宋体" w:hAnsi="宋体" w:cs="宋体"/>
          <w:color w:val="000000"/>
          <w:sz w:val="24"/>
          <w:highlight w:val="none"/>
        </w:rPr>
        <w:t xml:space="preserve">件截止之日前的一年内任意一个月缴纳税收和社保的证明，并加盖公章。）；</w:t>
      </w:r>
      <w:r>
        <w:rPr>
          <w:rFonts w:hint="eastAsia"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具备履行合同所必需的设备和专业技术能力</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rPr>
          <w:rFonts w:ascii="宋体" w:hAnsi="宋体" w:cs="宋体"/>
          <w:color w:val="000000"/>
          <w:sz w:val="24"/>
          <w:highlight w:val="none"/>
        </w:rPr>
        <w:t xml:space="preserve">；</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参加政府采购活动前3年内在经营活动中没有重大违法记录</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rPr>
          <w:rFonts w:ascii="宋体" w:hAnsi="宋体" w:cs="宋体"/>
          <w:color w:val="000000"/>
          <w:sz w:val="24"/>
          <w:highlight w:val="none"/>
        </w:rPr>
      </w:r>
      <w:r/>
    </w:p>
    <w:p>
      <w:pPr>
        <w:pStyle w:val="771"/>
        <w:ind w:firstLine="482"/>
        <w:spacing w:line="360" w:lineRule="auto"/>
        <w:rPr>
          <w:rFonts w:ascii="宋体" w:hAnsi="宋体" w:cs="Arial"/>
          <w:b/>
          <w:bCs/>
          <w:color w:val="000000"/>
          <w:sz w:val="24"/>
          <w:highlight w:val="none"/>
        </w:rPr>
      </w:pPr>
      <w:r/>
      <w:bookmarkStart w:id="21" w:name="_Hlk106724798"/>
      <w:r>
        <w:rPr>
          <w:rFonts w:ascii="宋体" w:hAnsi="宋体" w:cs="Arial"/>
          <w:b/>
          <w:bCs/>
          <w:color w:val="000000"/>
          <w:sz w:val="24"/>
          <w:highlight w:val="none"/>
        </w:rPr>
        <w:t xml:space="preserve">2.2</w:t>
      </w:r>
      <w:bookmarkStart w:id="22" w:name="_Hlk106725740"/>
      <w:r/>
      <w:bookmarkStart w:id="23" w:name="_Hlk106726432"/>
      <w:r>
        <w:rPr>
          <w:rFonts w:hint="eastAsia" w:ascii="宋体" w:hAnsi="宋体" w:cs="Arial"/>
          <w:b/>
          <w:bCs/>
          <w:color w:val="000000"/>
          <w:sz w:val="24"/>
          <w:highlight w:val="none"/>
        </w:rPr>
        <w:t xml:space="preserve">落实政府采购政策需满足的资格要求：</w:t>
      </w:r>
      <w:r>
        <w:rPr>
          <w:rFonts w:ascii="宋体" w:hAnsi="宋体" w:cs="Arial"/>
          <w:b/>
          <w:bCs/>
          <w:color w:val="000000"/>
          <w:sz w:val="24"/>
          <w:highlight w:val="none"/>
        </w:rPr>
      </w:r>
      <w:r/>
    </w:p>
    <w:p>
      <w:pPr>
        <w:pStyle w:val="771"/>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rPr>
          <w:rFonts w:ascii="宋体" w:hAnsi="宋体" w:cs="Arial"/>
          <w:b/>
          <w:bCs/>
          <w:color w:val="000000"/>
          <w:sz w:val="24"/>
          <w:highlight w:val="none"/>
        </w:rPr>
      </w:r>
      <w:r/>
    </w:p>
    <w:p>
      <w:pPr>
        <w:pStyle w:val="77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种方式预留部分采购份额，面向中小企业采购：</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1"/>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（4）本项目为非预留份额专门面向中小企业的采购项目或采购包，执行价格扣除优</w:t>
      </w:r>
      <w:r>
        <w:rPr>
          <w:rFonts w:hint="eastAsia" w:ascii="宋体" w:hAnsi="宋体" w:cs="宋体"/>
          <w:b/>
          <w:bCs/>
          <w:color w:val="000000"/>
          <w:sz w:val="24"/>
          <w:highlight w:val="none"/>
        </w:rPr>
        <w:t xml:space="preserve">惠政策，详见“第五章评标办法与评分标准”。</w:t>
      </w:r>
      <w:r>
        <w:rPr>
          <w:rFonts w:ascii="宋体" w:hAnsi="宋体" w:cs="宋体"/>
          <w:b/>
          <w:bCs/>
          <w:color w:val="000000"/>
          <w:sz w:val="24"/>
          <w:highlight w:val="none"/>
        </w:rPr>
      </w:r>
      <w:r/>
    </w:p>
    <w:p>
      <w:pPr>
        <w:pStyle w:val="771"/>
        <w:ind w:firstLine="482"/>
        <w:spacing w:line="360" w:lineRule="auto"/>
        <w:widowControl/>
        <w:rPr>
          <w:rFonts w:ascii="宋体" w:hAnsi="宋体" w:cs="宋体"/>
          <w:b/>
          <w:color w:val="000000"/>
          <w:sz w:val="24"/>
          <w:highlight w:val="none"/>
        </w:rPr>
      </w:pPr>
      <w:r/>
      <w:bookmarkEnd w:id="21"/>
      <w:r/>
      <w:bookmarkEnd w:id="22"/>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不接受 </w:t>
      </w:r>
      <w:r>
        <w:rPr>
          <w:rFonts w:hint="eastAsia" w:ascii="宋体" w:hAnsi="宋体" w:cs="宋体"/>
          <w:b/>
          <w:color w:val="000000"/>
          <w:sz w:val="24"/>
          <w:highlight w:val="none"/>
        </w:rPr>
        <w:t xml:space="preserve">进口产品投标；本项目 </w:t>
      </w:r>
      <w:r>
        <w:rPr>
          <w:rFonts w:hint="eastAsia" w:ascii="宋体" w:hAnsi="宋体" w:cs="宋体"/>
          <w:b/>
          <w:color w:val="000000"/>
          <w:sz w:val="24"/>
          <w:highlight w:val="none"/>
          <w:u w:val="single"/>
        </w:rPr>
        <w:t xml:space="preserve">不接受</w:t>
      </w:r>
      <w:r>
        <w:rPr>
          <w:rFonts w:hint="eastAsia" w:ascii="宋体" w:hAnsi="宋体" w:cs="宋体"/>
          <w:b/>
          <w:color w:val="000000"/>
          <w:sz w:val="24"/>
          <w:highlight w:val="none"/>
        </w:rPr>
        <w:t xml:space="preserve"> 联合体参与投标。</w:t>
      </w:r>
      <w:r>
        <w:rPr>
          <w:rFonts w:ascii="宋体" w:hAnsi="宋体" w:cs="宋体"/>
          <w:b/>
          <w:color w:val="000000"/>
          <w:sz w:val="24"/>
          <w:highlight w:val="none"/>
        </w:rPr>
      </w:r>
      <w:r/>
    </w:p>
    <w:p>
      <w:pPr>
        <w:pStyle w:val="771"/>
        <w:ind w:firstLine="482"/>
        <w:spacing w:line="360" w:lineRule="auto"/>
        <w:widowControl/>
        <w:rPr>
          <w:rFonts w:ascii="宋体" w:hAnsi="宋体" w:cs="宋体"/>
          <w:color w:val="000000"/>
          <w:sz w:val="24"/>
          <w:highlight w:val="none"/>
        </w:rPr>
      </w:pPr>
      <w:r>
        <w:rPr>
          <w:rFonts w:ascii="宋体" w:hAnsi="宋体"/>
          <w:b/>
          <w:bCs/>
          <w:color w:val="000000"/>
          <w:sz w:val="24"/>
          <w:highlight w:val="none"/>
        </w:rPr>
        <w:t xml:space="preserve">2.4</w:t>
      </w:r>
      <w:r>
        <w:rPr>
          <w:rFonts w:hint="eastAsia" w:ascii="宋体" w:hAnsi="宋体"/>
          <w:b/>
          <w:bCs/>
          <w:color w:val="000000"/>
          <w:sz w:val="24"/>
          <w:highlight w:val="none"/>
        </w:rPr>
        <w:t xml:space="preserve">本项目的特定资格要求：</w:t>
      </w:r>
      <w:bookmarkStart w:id="24" w:name="_Hlk28680991"/>
      <w:r>
        <w:rPr>
          <w:rFonts w:hint="eastAsia" w:ascii="宋体" w:hAnsi="宋体"/>
          <w:b/>
          <w:bCs/>
          <w:color w:val="000000"/>
          <w:sz w:val="24"/>
          <w:highlight w:val="none"/>
        </w:rPr>
        <w:t xml:space="preserve">投标人</w:t>
      </w:r>
      <w:r>
        <w:rPr>
          <w:rFonts w:hint="eastAsia" w:ascii="宋体" w:hAnsi="宋体" w:cs="宋体"/>
          <w:b/>
          <w:bCs/>
          <w:color w:val="000000"/>
          <w:sz w:val="24"/>
          <w:highlight w:val="none"/>
        </w:rPr>
        <w:t xml:space="preserve">具有有效</w:t>
      </w:r>
      <w:r>
        <w:rPr>
          <w:rFonts w:hint="eastAsia" w:ascii="宋体" w:hAnsi="宋体" w:cs="宋体"/>
          <w:b/>
          <w:bCs/>
          <w:color w:val="000000"/>
          <w:sz w:val="24"/>
          <w:highlight w:val="none"/>
        </w:rPr>
        <w:t xml:space="preserve">的《食品经营许可证》，证书主体业态需包含集体用餐配送单位；（提供证书复印件并加盖公章）。</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拒绝以下投标人参加本次采购活动：</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w:t>
      </w:r>
      <w:r>
        <w:rPr>
          <w:rFonts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为</w:t>
      </w:r>
      <w:r>
        <w:rPr>
          <w:rFonts w:hint="eastAsia" w:ascii="宋体" w:hAnsi="宋体" w:cs="宋体"/>
          <w:color w:val="000000"/>
          <w:sz w:val="24"/>
          <w:highlight w:val="none"/>
        </w:rPr>
        <w:t xml:space="preserve">本</w:t>
      </w:r>
      <w:r>
        <w:rPr>
          <w:rFonts w:ascii="宋体" w:hAnsi="宋体" w:cs="宋体"/>
          <w:color w:val="000000"/>
          <w:sz w:val="24"/>
          <w:highlight w:val="none"/>
        </w:rPr>
        <w:t xml:space="preserve">项目提供整体设计、规范编制或者项目管理、监理、检测等服务的供应商，不得再参加</w:t>
      </w:r>
      <w:r>
        <w:rPr>
          <w:rFonts w:hint="eastAsia" w:ascii="宋体" w:hAnsi="宋体" w:cs="宋体"/>
          <w:color w:val="000000"/>
          <w:sz w:val="24"/>
          <w:highlight w:val="none"/>
        </w:rPr>
        <w:t xml:space="preserve">本项目的其他</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1"/>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ascii="宋体" w:hAnsi="宋体" w:cs="宋体"/>
          <w:b/>
          <w:bCs/>
          <w:color w:val="000000"/>
          <w:sz w:val="24"/>
          <w:highlight w:val="none"/>
        </w:rPr>
      </w:r>
      <w:r/>
    </w:p>
    <w:p>
      <w:pPr>
        <w:pStyle w:val="771"/>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3.1获取时间：自招标文件公告发布之日起5个工作日 </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3.2地点：江苏政府采购网</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3.3方式：</w:t>
      </w:r>
      <w:r>
        <w:rPr>
          <w:rFonts w:ascii="SimSun" w:hAnsi="SimSun" w:eastAsia="SimSun" w:cs="SimSun"/>
          <w:color w:val="000000"/>
          <w:sz w:val="24"/>
        </w:rPr>
        <w:t xml:space="preserve">供应商登陆“江苏政府采购网”，在网站首页点击“苏采云”一使用CA锁登录系统(新用户需进行“平台用户注册”)“项目参与”进行登记，在“可参与项目”中选择“我要参与”，参与成功后到“已参与项目”界面中找到该项目下载文件并进行操作。</w:t>
      </w:r>
      <w:r>
        <w:rPr>
          <w:rFonts w:ascii="宋体" w:hAnsi="宋体" w:cs="宋体"/>
          <w:bCs/>
          <w:color w:val="000000"/>
          <w:sz w:val="24"/>
          <w:highlight w:val="none"/>
        </w:rPr>
      </w:r>
      <w:r/>
    </w:p>
    <w:p>
      <w:pPr>
        <w:pStyle w:val="77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3.4售价：0元</w:t>
      </w:r>
      <w:r>
        <w:rPr>
          <w:rFonts w:ascii="宋体" w:hAnsi="宋体" w:cs="宋体"/>
          <w:bCs/>
          <w:color w:val="000000"/>
          <w:sz w:val="24"/>
          <w:highlight w:val="none"/>
        </w:rPr>
      </w:r>
      <w:r/>
    </w:p>
    <w:p>
      <w:pPr>
        <w:pStyle w:val="77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771"/>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日14时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.2</w:t>
      </w:r>
      <w:r>
        <w:rPr>
          <w:rFonts w:hint="eastAsia" w:ascii="宋体" w:hAnsi="宋体"/>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日14时</w:t>
      </w:r>
      <w:r>
        <w:rPr>
          <w:rFonts w:ascii="宋体" w:hAnsi="宋体"/>
          <w:color w:val="000000"/>
          <w:sz w:val="24"/>
          <w:highlight w:val="none"/>
        </w:rPr>
        <w:t xml:space="preserve">30</w:t>
      </w:r>
      <w:r>
        <w:rPr>
          <w:rFonts w:hint="eastAsia" w:ascii="宋体" w:hAnsi="宋体"/>
          <w:color w:val="000000"/>
          <w:sz w:val="24"/>
          <w:highlight w:val="none"/>
        </w:rPr>
        <w:t xml:space="preserve">分</w:t>
      </w:r>
      <w:r>
        <w:rPr>
          <w:rFonts w:hint="eastAsia" w:ascii="宋体" w:hAnsi="宋体"/>
          <w:color w:val="000000"/>
          <w:sz w:val="24"/>
          <w:highlight w:val="none"/>
        </w:rPr>
        <w:t xml:space="preserve">（北京时间）</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ascii="宋体" w:hAnsi="宋体"/>
          <w:color w:val="000000"/>
          <w:sz w:val="24"/>
          <w:highlight w:val="none"/>
        </w:rPr>
        <w:t xml:space="preserve">4.3</w:t>
      </w:r>
      <w:r>
        <w:rPr>
          <w:rFonts w:hint="eastAsia" w:ascii="宋体" w:hAnsi="宋体"/>
          <w:color w:val="000000"/>
          <w:sz w:val="24"/>
          <w:highlight w:val="none"/>
        </w:rPr>
        <w:t xml:space="preserve">地点：</w:t>
      </w:r>
      <w:r>
        <w:rPr>
          <w:rFonts w:ascii="SimSun" w:hAnsi="SimSun" w:eastAsia="SimSun" w:cs="SimSun"/>
          <w:color w:val="000000"/>
          <w:sz w:val="24"/>
        </w:rPr>
        <w:t xml:space="preserve">江苏省政府采购管理交易系统（以下简称“苏采云”）网上开标大厅</w:t>
      </w:r>
      <w:r>
        <w:rPr>
          <w:rFonts w:ascii="宋体" w:hAnsi="宋体"/>
          <w:color w:val="000000"/>
          <w:sz w:val="24"/>
          <w:highlight w:val="none"/>
        </w:rPr>
      </w:r>
      <w:r/>
    </w:p>
    <w:p>
      <w:pPr>
        <w:pStyle w:val="77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olor w:val="000000"/>
          <w:sz w:val="24"/>
          <w:highlight w:val="none"/>
        </w:rPr>
        <w:t xml:space="preserve">自本公告在“江苏政府采购网”发布之日起5个工作日。</w:t>
      </w:r>
      <w:r>
        <w:rPr>
          <w:rFonts w:ascii="宋体" w:hAnsi="宋体" w:cs="宋体"/>
          <w:b/>
          <w:bCs/>
          <w:color w:val="000000"/>
          <w:sz w:val="24"/>
          <w:highlight w:val="none"/>
        </w:rPr>
      </w:r>
      <w:r/>
    </w:p>
    <w:p>
      <w:pPr>
        <w:pStyle w:val="77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771"/>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1、本次招标 </w:t>
      </w:r>
      <w:r>
        <w:rPr>
          <w:rFonts w:hint="eastAsia" w:ascii="宋体" w:hAnsi="宋体"/>
          <w:b/>
          <w:bCs/>
          <w:color w:val="000000"/>
          <w:sz w:val="24"/>
          <w:highlight w:val="none"/>
          <w:u w:val="single"/>
        </w:rPr>
        <w:t xml:space="preserve">不</w:t>
      </w:r>
      <w:r>
        <w:rPr>
          <w:rFonts w:hint="eastAsia" w:ascii="宋体" w:hAnsi="宋体" w:cs="宋体"/>
          <w:b/>
          <w:bCs/>
          <w:color w:val="000000"/>
          <w:sz w:val="24"/>
          <w:highlight w:val="none"/>
          <w:u w:val="single"/>
        </w:rPr>
        <w:t xml:space="preserve">收取</w:t>
      </w:r>
      <w:r>
        <w:rPr>
          <w:rFonts w:hint="eastAsia" w:ascii="宋体" w:hAnsi="宋体" w:cs="宋体"/>
          <w:b/>
          <w:bCs/>
          <w:color w:val="000000"/>
          <w:sz w:val="24"/>
          <w:highlight w:val="none"/>
        </w:rPr>
        <w:t xml:space="preserve"> </w:t>
      </w:r>
      <w:r>
        <w:rPr>
          <w:rFonts w:hint="eastAsia" w:ascii="宋体" w:hAnsi="宋体"/>
          <w:b/>
          <w:bCs/>
          <w:color w:val="000000"/>
          <w:sz w:val="24"/>
          <w:highlight w:val="none"/>
        </w:rPr>
        <w:t xml:space="preserve">投标保证金</w:t>
      </w:r>
      <w:r>
        <w:rPr>
          <w:rFonts w:hint="eastAsia" w:ascii="宋体" w:hAnsi="宋体"/>
          <w:b/>
          <w:bCs/>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2.潜在供应商访问政府采购管理交易系统（苏采云）的网络地址和方法：</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（2）“CA数字证书”的获取：供应商需办理CA锁，“苏采云”系统目前仅支持“苏采云”系统下的政务CA，省内各地区办理的“苏采云”系统下的政务CA全省通用。</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（5）采购文件（后缀名为“.kedt”）、供应商操作手册及政府采购客户端工具也可通过“苏采云”系统--已报名项目--报名详情页面内相应链接进行下载。</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highlight w:val="none"/>
        </w:rPr>
      </w:r>
      <w:r/>
    </w:p>
    <w:p>
      <w:pPr>
        <w:pStyle w:val="77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771"/>
        <w:ind w:firstLine="480"/>
        <w:spacing w:line="360" w:lineRule="auto"/>
        <w:rPr>
          <w:rFonts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采购人信息</w:t>
      </w:r>
      <w:r>
        <w:rPr>
          <w:rFonts w:ascii="宋体" w:hAnsi="宋体"/>
          <w:color w:val="000000"/>
          <w:sz w:val="24"/>
          <w:highlight w:val="none"/>
        </w:rPr>
      </w:r>
      <w:r/>
    </w:p>
    <w:p>
      <w:pPr>
        <w:pStyle w:val="7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cs="宋体"/>
          <w:color w:val="000000"/>
          <w:sz w:val="24"/>
          <w:highlight w:val="none"/>
        </w:rPr>
        <w:t xml:space="preserve">江苏省血液中心</w:t>
      </w:r>
      <w:r>
        <w:rPr>
          <w:rFonts w:hint="eastAsia" w:ascii="宋体" w:hAnsi="宋体"/>
          <w:color w:val="000000"/>
          <w:sz w:val="24"/>
          <w:highlight w:val="none"/>
        </w:rPr>
      </w:r>
      <w:r/>
    </w:p>
    <w:p>
      <w:pPr>
        <w:pStyle w:val="7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s="宋体"/>
          <w:color w:val="000000"/>
          <w:sz w:val="24"/>
          <w:highlight w:val="none"/>
        </w:rPr>
        <w:t xml:space="preserve">南京市龙蟠路179号</w:t>
      </w:r>
      <w:r>
        <w:rPr>
          <w:rFonts w:hint="eastAsia"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联系人：严老师</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s="宋体"/>
          <w:color w:val="000000"/>
          <w:sz w:val="24"/>
          <w:highlight w:val="none"/>
        </w:rPr>
        <w:t xml:space="preserve">025-85411563</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联系电话：025-83581356</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7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803"/>
        <w:rPr>
          <w:color w:val="000000"/>
          <w:highlight w:val="none"/>
        </w:rPr>
      </w:pPr>
      <w:r>
        <w:rPr>
          <w:color w:val="000000"/>
          <w:highlight w:val="none"/>
        </w:rPr>
      </w:r>
      <w:r/>
    </w:p>
    <w:p>
      <w:pPr>
        <w:pStyle w:val="772"/>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color w:val="000000"/>
          <w:sz w:val="36"/>
          <w:szCs w:val="36"/>
          <w:highlight w:val="none"/>
        </w:rPr>
        <w:br w:type="page" w:clear="all"/>
      </w:r>
      <w:bookmarkStart w:id="27" w:name="_Toc12887260"/>
      <w:r/>
      <w:bookmarkStart w:id="28" w:name="_Toc5535"/>
      <w:r/>
      <w:bookmarkStart w:id="29" w:name="_Toc12708970"/>
      <w:r/>
      <w:bookmarkStart w:id="30" w:name="_Toc9363425"/>
      <w:r>
        <w:rPr>
          <w:rFonts w:hint="eastAsia" w:ascii="华文中宋" w:hAnsi="华文中宋" w:eastAsia="华文中宋"/>
          <w:b/>
          <w:bCs/>
          <w:color w:val="000000"/>
          <w:sz w:val="36"/>
          <w:szCs w:val="36"/>
          <w:highlight w:val="none"/>
        </w:rPr>
        <w:t xml:space="preserve">第二章</w:t>
      </w:r>
      <w:bookmarkEnd w:id="4"/>
      <w:r/>
      <w:bookmarkEnd w:id="5"/>
      <w:r/>
      <w:bookmarkEnd w:id="6"/>
      <w:r/>
      <w:bookmarkEnd w:id="7"/>
      <w:r/>
      <w:bookmarkEnd w:id="8"/>
      <w:r/>
      <w:bookmarkEnd w:id="25"/>
      <w:r/>
      <w:bookmarkStart w:id="31" w:name="_Toc20823274"/>
      <w:r/>
      <w:bookmarkStart w:id="32" w:name="_Toc120614213"/>
      <w:r/>
      <w:bookmarkStart w:id="33" w:name="_Toc513029202"/>
      <w:r/>
      <w:bookmarkStart w:id="34" w:name="_Toc16938518"/>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投标人须知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1108"/>
        <w:ind w:left="0" w:right="210"/>
        <w:spacing w:line="360" w:lineRule="auto"/>
        <w:rPr>
          <w:rFonts w:hint="eastAsia" w:ascii="宋体" w:hAnsi="宋体" w:cs="宋体"/>
          <w:color w:val="000000"/>
          <w:sz w:val="24"/>
          <w:szCs w:val="24"/>
          <w:highlight w:val="none"/>
        </w:rPr>
      </w:pPr>
      <w:r/>
      <w:bookmarkStart w:id="35" w:name="_Toc27152"/>
      <w:r/>
      <w:bookmarkStart w:id="36" w:name="_Toc107246214"/>
      <w:r/>
      <w:bookmarkStart w:id="37" w:name="_Toc32506"/>
      <w:r/>
      <w:bookmarkStart w:id="38" w:name="_Toc29508"/>
      <w:r/>
      <w:bookmarkStart w:id="39" w:name="_Toc29032"/>
      <w:r/>
      <w:bookmarkStart w:id="40" w:name="_Toc513029242"/>
      <w:r/>
      <w:bookmarkStart w:id="41" w:name="_Toc8485120"/>
      <w:r/>
      <w:bookmarkStart w:id="42" w:name="_Toc120614221"/>
      <w:r/>
      <w:bookmarkStart w:id="43" w:name="_Toc16938558"/>
      <w:r/>
      <w:bookmarkStart w:id="44" w:name="_Toc80264708"/>
      <w:r/>
      <w:bookmarkStart w:id="45" w:name="_Toc104560856"/>
      <w:r/>
      <w:bookmarkStart w:id="46" w:name="_Toc107246233"/>
      <w:r/>
      <w:bookmarkStart w:id="47" w:name="_Toc91836558"/>
      <w:r/>
      <w:bookmarkStart w:id="48" w:name="_Toc20823314"/>
      <w:r/>
      <w:bookmarkStart w:id="49" w:name="_Toc479757207"/>
      <w:r>
        <w:rPr>
          <w:rFonts w:hint="eastAsia" w:ascii="宋体" w:hAnsi="宋体" w:cs="宋体"/>
          <w:color w:val="000000"/>
          <w:sz w:val="24"/>
          <w:szCs w:val="24"/>
          <w:highlight w:val="none"/>
        </w:rPr>
        <w:t xml:space="preserve">一、总则</w:t>
      </w:r>
      <w:bookmarkEnd w:id="35"/>
      <w:r/>
      <w:bookmarkEnd w:id="36"/>
      <w:r/>
      <w:bookmarkEnd w:id="37"/>
      <w:r/>
      <w:bookmarkEnd w:id="38"/>
      <w:r/>
      <w:bookmarkEnd w:id="39"/>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50" w:name="_Toc107246215"/>
      <w:r/>
      <w:bookmarkStart w:id="51" w:name="_Toc103848528"/>
      <w:r/>
      <w:bookmarkStart w:id="52" w:name="_Toc24546"/>
      <w:r/>
      <w:bookmarkStart w:id="53" w:name="_Toc6438"/>
      <w:r/>
      <w:bookmarkStart w:id="54" w:name="_Toc4298"/>
      <w:r/>
      <w:bookmarkStart w:id="55" w:name="_Toc96347862"/>
      <w:r/>
      <w:bookmarkStart w:id="56" w:name="_Toc100905201"/>
      <w:r/>
      <w:bookmarkStart w:id="57" w:name="_Toc104560839"/>
      <w:r/>
      <w:bookmarkStart w:id="58" w:name="_Toc27709"/>
      <w:r>
        <w:rPr>
          <w:rFonts w:hint="eastAsia" w:ascii="宋体" w:hAnsi="宋体" w:cs="宋体"/>
          <w:color w:val="000000"/>
          <w:sz w:val="24"/>
          <w:szCs w:val="24"/>
          <w:highlight w:val="none"/>
        </w:rPr>
        <w:t xml:space="preserve">1.采购人式</w:t>
      </w:r>
      <w:bookmarkEnd w:id="50"/>
      <w:r/>
      <w:bookmarkEnd w:id="51"/>
      <w:r/>
      <w:bookmarkEnd w:id="52"/>
      <w:r/>
      <w:bookmarkEnd w:id="53"/>
      <w:r/>
      <w:bookmarkEnd w:id="54"/>
      <w:r/>
      <w:bookmarkEnd w:id="55"/>
      <w:r/>
      <w:bookmarkEnd w:id="56"/>
      <w:r/>
      <w:bookmarkEnd w:id="57"/>
      <w:r/>
      <w:bookmarkEnd w:id="58"/>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59" w:name="_Toc100905202"/>
      <w:r/>
      <w:bookmarkStart w:id="60" w:name="_Toc104560840"/>
      <w:r/>
      <w:bookmarkStart w:id="61" w:name="_Toc2183"/>
      <w:r/>
      <w:bookmarkStart w:id="62" w:name="_Toc103848529"/>
      <w:r/>
      <w:bookmarkStart w:id="63" w:name="_Toc107246216"/>
      <w:r/>
      <w:bookmarkStart w:id="64" w:name="_Toc15695"/>
      <w:r/>
      <w:bookmarkStart w:id="65" w:name="_Toc29840"/>
      <w:r/>
      <w:bookmarkStart w:id="66" w:name="_Toc96347863"/>
      <w:r/>
      <w:bookmarkStart w:id="67" w:name="_Toc16909"/>
      <w:r>
        <w:rPr>
          <w:rFonts w:hint="eastAsia" w:ascii="宋体" w:hAnsi="宋体" w:cs="宋体"/>
          <w:color w:val="000000"/>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4"/>
          <w:highlight w:val="none"/>
        </w:rPr>
        <w:t xml:space="preserve">投标人须知前附表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采购代理机构</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4"/>
          <w:highlight w:val="none"/>
        </w:rPr>
        <w:t xml:space="preserve">投标人须知前附表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2.3“采购人”是指采购人和</w:t>
      </w:r>
      <w:r>
        <w:rPr>
          <w:rFonts w:hint="eastAsia" w:ascii="宋体" w:hAnsi="宋体" w:cs="宋体"/>
          <w:color w:val="000000"/>
          <w:sz w:val="24"/>
          <w:highlight w:val="none"/>
        </w:rPr>
        <w:t xml:space="preserve">采购代理机构的合称。</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是指向采购人提供货物、工程或者服务的法人、其他组织或者自然人。</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中标供应商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评标委员会</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是依据政府采购相关法律法规规定组建，依法履行评审采购活动职责的评审成员。</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是指各种形态和种类的物品，包括原材料、燃料、设备、产品等。</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工程</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是指建设工程，包括建筑物和构筑物的新建、改建、扩建、装修、拆除、修缮等。</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是指除货物和工程以外的其他政府采购对象。</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节能产品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或者</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环保产品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进口产品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是指通过中国海关报关验放进入中国境内且产自关境外的产品。</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68" w:name="_Toc103848530"/>
      <w:r/>
      <w:bookmarkStart w:id="69" w:name="_Toc14949"/>
      <w:r/>
      <w:bookmarkStart w:id="70" w:name="_Toc96347864"/>
      <w:r/>
      <w:bookmarkStart w:id="71" w:name="_Toc107246217"/>
      <w:r/>
      <w:bookmarkStart w:id="72" w:name="_Toc15633"/>
      <w:r/>
      <w:bookmarkStart w:id="73" w:name="_Toc21715"/>
      <w:r/>
      <w:bookmarkStart w:id="74" w:name="_Toc104560841"/>
      <w:r/>
      <w:bookmarkStart w:id="75" w:name="_Toc18167"/>
      <w:r/>
      <w:bookmarkStart w:id="76" w:name="_Toc100905203"/>
      <w:r>
        <w:rPr>
          <w:rFonts w:hint="eastAsia" w:ascii="宋体" w:hAnsi="宋体" w:cs="宋体"/>
          <w:color w:val="000000"/>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bookmarkStart w:id="77" w:name="_Toc100905204"/>
      <w:r>
        <w:rPr>
          <w:rFonts w:hint="eastAsia" w:ascii="宋体" w:hAnsi="宋体" w:cs="宋体"/>
          <w:color w:val="000000"/>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78" w:name="_Toc107246218"/>
      <w:r/>
      <w:bookmarkStart w:id="79" w:name="_Toc104560842"/>
      <w:r/>
      <w:bookmarkStart w:id="80" w:name="_Toc5865"/>
      <w:r/>
      <w:bookmarkStart w:id="81" w:name="_Toc12476"/>
      <w:r/>
      <w:bookmarkStart w:id="82" w:name="_Toc25168"/>
      <w:r/>
      <w:bookmarkStart w:id="83" w:name="_Toc103848531"/>
      <w:r/>
      <w:bookmarkStart w:id="84" w:name="_Toc11834"/>
      <w:r>
        <w:rPr>
          <w:rFonts w:hint="eastAsia" w:ascii="宋体" w:hAnsi="宋体" w:cs="宋体"/>
          <w:color w:val="000000"/>
          <w:sz w:val="24"/>
          <w:szCs w:val="24"/>
          <w:highlight w:val="none"/>
        </w:rPr>
        <w:t xml:space="preserve">4.</w:t>
      </w:r>
      <w:bookmarkEnd w:id="83"/>
      <w:r>
        <w:rPr>
          <w:rFonts w:hint="eastAsia" w:ascii="宋体" w:hAnsi="宋体" w:cs="宋体"/>
          <w:color w:val="000000"/>
          <w:sz w:val="24"/>
          <w:szCs w:val="24"/>
          <w:highlight w:val="none"/>
        </w:rPr>
        <w:t xml:space="preserve">政府采购政策（包括但不限于下列具体政策要求）</w:t>
      </w:r>
      <w:bookmarkEnd w:id="78"/>
      <w:r/>
      <w:bookmarkEnd w:id="79"/>
      <w:r/>
      <w:bookmarkEnd w:id="80"/>
      <w:r/>
      <w:bookmarkEnd w:id="81"/>
      <w:r/>
      <w:bookmarkEnd w:id="82"/>
      <w:r/>
      <w:bookmarkEnd w:id="84"/>
      <w:r>
        <w:rPr>
          <w:rFonts w:hint="eastAsia" w:ascii="宋体" w:hAnsi="宋体" w:cs="宋体"/>
          <w:color w:val="000000"/>
          <w:sz w:val="24"/>
          <w:szCs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4.1中小企业、监狱企业及残疾人福利性单位</w:t>
      </w:r>
      <w:r>
        <w:rPr>
          <w:rFonts w:hint="eastAsia" w:ascii="宋体" w:hAnsi="宋体" w:cs="宋体"/>
          <w:b/>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4.1.1中小企业定义：</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4.1.1.2供应商提供的货物、工程或者服务符合下列情形的，享受中小企业扶持政策：</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4.1.3残疾人福利单位定义：享受政府采购支持政策的残疾人福利性单位应当同时满足以下条件：</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（2）依法与安置的每位残疾人签订了一年以上（含一年）的劳动合同或服务协议；</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4.1.4小微企业价格评审优惠的政策调整：见第五章《评标方法与评标标准》（如涉及）。</w:t>
      </w:r>
      <w:r>
        <w:rPr>
          <w:rFonts w:hint="eastAsia" w:ascii="宋体" w:hAnsi="宋体" w:cs="宋体"/>
          <w:b/>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4.2政府采购节能产品、环境标志产品</w:t>
      </w:r>
      <w:r>
        <w:rPr>
          <w:rFonts w:hint="eastAsia" w:ascii="宋体" w:hAnsi="宋体" w:cs="宋体"/>
          <w:b/>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4.3信息安全产品</w:t>
      </w:r>
      <w:r>
        <w:rPr>
          <w:rFonts w:hint="eastAsia" w:ascii="宋体" w:hAnsi="宋体" w:cs="宋体"/>
          <w:b/>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4.4未按要求提供相关材料的，不享受相关政策。</w:t>
      </w:r>
      <w:r>
        <w:rPr>
          <w:rFonts w:hint="eastAsia" w:ascii="宋体" w:hAnsi="宋体" w:cs="宋体"/>
          <w:b/>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End w:id="77"/>
      <w:r/>
      <w:bookmarkStart w:id="85" w:name="_Toc104560843"/>
      <w:r/>
      <w:bookmarkStart w:id="86" w:name="_Toc15333"/>
      <w:r/>
      <w:bookmarkStart w:id="87" w:name="_Toc100905205"/>
      <w:r/>
      <w:bookmarkStart w:id="88" w:name="_Toc2402"/>
      <w:r/>
      <w:bookmarkStart w:id="89" w:name="_Toc7322"/>
      <w:r/>
      <w:bookmarkStart w:id="90" w:name="_Toc103848532"/>
      <w:r/>
      <w:bookmarkStart w:id="91" w:name="_Toc96347865"/>
      <w:r/>
      <w:bookmarkStart w:id="92" w:name="_Toc107246219"/>
      <w:r/>
      <w:bookmarkStart w:id="93" w:name="_Toc30143"/>
      <w:r>
        <w:rPr>
          <w:rFonts w:hint="eastAsia" w:ascii="宋体" w:hAnsi="宋体" w:cs="宋体"/>
          <w:color w:val="000000"/>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w:t>
      </w:r>
      <w:bookmarkStart w:id="94" w:name="_Toc80264707"/>
      <w:r>
        <w:rPr>
          <w:rFonts w:hint="eastAsia" w:ascii="宋体" w:hAnsi="宋体" w:cs="宋体"/>
          <w:color w:val="000000"/>
          <w:sz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95" w:name="_Toc103848533"/>
      <w:r/>
      <w:bookmarkStart w:id="96" w:name="_Toc96347866"/>
      <w:r/>
      <w:bookmarkStart w:id="97" w:name="_Toc16078"/>
      <w:r/>
      <w:bookmarkStart w:id="98" w:name="_Toc4718"/>
      <w:r/>
      <w:bookmarkStart w:id="99" w:name="_Toc104560844"/>
      <w:r/>
      <w:bookmarkStart w:id="100" w:name="_Toc100905206"/>
      <w:r/>
      <w:bookmarkStart w:id="101" w:name="_Toc683"/>
      <w:r/>
      <w:bookmarkStart w:id="102" w:name="_Toc23530"/>
      <w:r/>
      <w:bookmarkStart w:id="103" w:name="_Toc107246220"/>
      <w:r>
        <w:rPr>
          <w:rFonts w:hint="eastAsia" w:ascii="宋体" w:hAnsi="宋体" w:cs="宋体"/>
          <w:color w:val="000000"/>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bookmarkStart w:id="104" w:name="_Toc96347867"/>
      <w:r/>
      <w:bookmarkStart w:id="105" w:name="_Toc100905207"/>
      <w:r>
        <w:rPr>
          <w:rFonts w:hint="eastAsia" w:ascii="宋体" w:hAnsi="宋体" w:cs="宋体"/>
          <w:color w:val="000000"/>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06" w:name="_Toc29314"/>
      <w:r/>
      <w:bookmarkStart w:id="107" w:name="_Toc15386"/>
      <w:r/>
      <w:bookmarkStart w:id="108" w:name="_Toc103848534"/>
      <w:r/>
      <w:bookmarkStart w:id="109" w:name="_Toc107246221"/>
      <w:r/>
      <w:bookmarkStart w:id="110" w:name="_Toc5461"/>
      <w:r/>
      <w:bookmarkStart w:id="111" w:name="_Toc7179"/>
      <w:r/>
      <w:bookmarkStart w:id="112" w:name="_Toc104560845"/>
      <w:r>
        <w:rPr>
          <w:rFonts w:hint="eastAsia" w:ascii="宋体" w:hAnsi="宋体" w:cs="宋体"/>
          <w:color w:val="000000"/>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7.1所有文件使用的语言文字为中文。专用术语使用外文的，应附有中文注释。</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7.2所有文件中的计量单位，除招标文件有特殊要求外，应采用国家法定计量单位。</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13" w:name="_Toc29723"/>
      <w:r/>
      <w:bookmarkStart w:id="114" w:name="_Toc6288"/>
      <w:r/>
      <w:bookmarkStart w:id="115" w:name="_Toc23132"/>
      <w:r/>
      <w:bookmarkStart w:id="116" w:name="_Toc100905208"/>
      <w:r/>
      <w:bookmarkStart w:id="117" w:name="_Toc96347868"/>
      <w:r/>
      <w:bookmarkStart w:id="118" w:name="_Toc107246222"/>
      <w:r/>
      <w:bookmarkStart w:id="119" w:name="_Toc104560846"/>
      <w:r/>
      <w:bookmarkStart w:id="120" w:name="_Toc103848535"/>
      <w:r/>
      <w:bookmarkStart w:id="121" w:name="_Toc2432"/>
      <w:r>
        <w:rPr>
          <w:rFonts w:hint="eastAsia" w:ascii="宋体" w:hAnsi="宋体" w:cs="宋体"/>
          <w:color w:val="000000"/>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8.1供应商须按照规定的时间、地点参加踏勘，以获得有关编制投标文件和签署合同所涉及现场的资料。供应商承担现场考察所发生的自身费用、责任和风险。</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8.2供应商不按照</w:t>
      </w:r>
      <w:r>
        <w:rPr>
          <w:rFonts w:hint="eastAsia" w:ascii="宋体" w:hAnsi="宋体" w:cs="宋体"/>
          <w:bCs/>
          <w:color w:val="000000"/>
          <w:sz w:val="24"/>
          <w:highlight w:val="none"/>
        </w:rPr>
        <w:t xml:space="preserve">本须知的规定</w:t>
      </w:r>
      <w:r>
        <w:rPr>
          <w:rFonts w:hint="eastAsia" w:ascii="宋体" w:hAnsi="宋体" w:cs="宋体"/>
          <w:color w:val="000000"/>
          <w:sz w:val="24"/>
          <w:highlight w:val="none"/>
        </w:rPr>
        <w:t xml:space="preserve">参加项目现场考察的，视同放弃现场考察，采购人将不再另行组织现场考察。以此为由，影响后期投标文件相关的投标、签约、履约条件的，是供应商自身的风险，采购人对此不承担责任。</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22" w:name="_Toc102117275"/>
      <w:r/>
      <w:bookmarkStart w:id="123" w:name="_Toc24357"/>
      <w:r/>
      <w:bookmarkStart w:id="124" w:name="_Toc10913"/>
      <w:r/>
      <w:bookmarkStart w:id="125" w:name="_Toc23902"/>
      <w:r/>
      <w:bookmarkStart w:id="126" w:name="_Toc107246223"/>
      <w:r/>
      <w:bookmarkStart w:id="127" w:name="_Toc4813"/>
      <w:r>
        <w:rPr>
          <w:rFonts w:hint="eastAsia" w:ascii="宋体" w:hAnsi="宋体" w:cs="宋体"/>
          <w:color w:val="000000"/>
          <w:sz w:val="24"/>
          <w:szCs w:val="24"/>
          <w:highlight w:val="none"/>
        </w:rPr>
        <w:t xml:space="preserve">9.开标前答疑会</w:t>
      </w:r>
      <w:bookmarkEnd w:id="122"/>
      <w:r/>
      <w:bookmarkEnd w:id="123"/>
      <w:r/>
      <w:bookmarkEnd w:id="124"/>
      <w:r/>
      <w:bookmarkEnd w:id="125"/>
      <w:r/>
      <w:bookmarkEnd w:id="126"/>
      <w:r/>
      <w:bookmarkEnd w:id="127"/>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9.1召开开标前答疑会的，采购人按规定的时间和地点召开开标前答疑会，澄清供应商提出的询问。</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9.2供应商应按规定的时间和形式将提出的询问送达采购人，以便采购人在会议期间澄清，逾期的询问将不被接受。</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28" w:name="_Toc107246224"/>
      <w:r/>
      <w:bookmarkStart w:id="129" w:name="_Toc19831"/>
      <w:r/>
      <w:bookmarkStart w:id="130" w:name="_Toc103848536"/>
      <w:r/>
      <w:bookmarkStart w:id="131" w:name="_Toc100905210"/>
      <w:r/>
      <w:bookmarkStart w:id="132" w:name="_Toc104560847"/>
      <w:r/>
      <w:bookmarkStart w:id="133" w:name="_Toc17051"/>
      <w:r/>
      <w:bookmarkStart w:id="134" w:name="_Toc3884"/>
      <w:r/>
      <w:bookmarkStart w:id="135" w:name="_Toc12956"/>
      <w:r/>
      <w:bookmarkStart w:id="136" w:name="_Toc96347869"/>
      <w:r>
        <w:rPr>
          <w:rFonts w:hint="eastAsia" w:ascii="宋体" w:hAnsi="宋体" w:cs="宋体"/>
          <w:color w:val="000000"/>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10.1供应商为联合体形式的，应遵守以下规定：</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（1）联合体各方必须签订联合体协议书，明确联合体牵头人和各方权利、义务及分工、合同工作量比例；</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（2）联合体各方均应当符合《政府采购法》第二十二条第一款规定的条件；</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（3）除另有规定外，联合体各方中至少有一方应当符合采购人规定的特定资格条件；</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37" w:name="_Toc19195"/>
      <w:r/>
      <w:bookmarkStart w:id="138" w:name="_Toc104560848"/>
      <w:r/>
      <w:bookmarkStart w:id="139" w:name="_Toc8435"/>
      <w:r/>
      <w:bookmarkStart w:id="140" w:name="_Toc25524"/>
      <w:r/>
      <w:bookmarkStart w:id="141" w:name="_Toc107246225"/>
      <w:r/>
      <w:bookmarkStart w:id="142" w:name="_Toc100905213"/>
      <w:r/>
      <w:bookmarkStart w:id="143" w:name="_Toc11849"/>
      <w:r/>
      <w:bookmarkStart w:id="144" w:name="_Toc103848537"/>
      <w:r/>
      <w:bookmarkStart w:id="145" w:name="_Toc100905211"/>
      <w:r>
        <w:rPr>
          <w:rFonts w:hint="eastAsia" w:ascii="宋体" w:hAnsi="宋体" w:cs="宋体"/>
          <w:color w:val="000000"/>
          <w:sz w:val="24"/>
          <w:szCs w:val="24"/>
          <w:highlight w:val="none"/>
        </w:rPr>
        <w:t xml:space="preserve">11.分包</w:t>
      </w:r>
      <w:bookmarkEnd w:id="137"/>
      <w:r/>
      <w:bookmarkEnd w:id="138"/>
      <w:r/>
      <w:bookmarkEnd w:id="139"/>
      <w:r/>
      <w:bookmarkEnd w:id="140"/>
      <w:r/>
      <w:bookmarkEnd w:id="141"/>
      <w:r/>
      <w:bookmarkEnd w:id="142"/>
      <w:r/>
      <w:bookmarkEnd w:id="143"/>
      <w:r/>
      <w:bookmarkEnd w:id="144"/>
      <w:r>
        <w:rPr>
          <w:rFonts w:hint="eastAsia" w:ascii="宋体" w:hAnsi="宋体" w:cs="宋体"/>
          <w:color w:val="000000"/>
          <w:sz w:val="24"/>
          <w:szCs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11.1采购人允许采用分包方式履行合同的，中标人可以依法在中标后将中标项目的非主体、非关键性工作采取分包方式履行合同。</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46" w:name="_Toc28218"/>
      <w:r/>
      <w:bookmarkStart w:id="147" w:name="_Toc26696"/>
      <w:r/>
      <w:bookmarkStart w:id="148" w:name="_Toc107246226"/>
      <w:r/>
      <w:bookmarkStart w:id="149" w:name="_Toc12434"/>
      <w:r/>
      <w:bookmarkStart w:id="150" w:name="_Toc9858"/>
      <w:r/>
      <w:bookmarkStart w:id="151" w:name="_Toc104560849"/>
      <w:r>
        <w:rPr>
          <w:rFonts w:hint="eastAsia" w:ascii="宋体" w:hAnsi="宋体" w:cs="宋体"/>
          <w:color w:val="000000"/>
          <w:sz w:val="24"/>
          <w:szCs w:val="24"/>
          <w:highlight w:val="none"/>
        </w:rPr>
        <w:t xml:space="preserve">12.样品</w:t>
      </w:r>
      <w:bookmarkEnd w:id="146"/>
      <w:r/>
      <w:bookmarkEnd w:id="147"/>
      <w:r/>
      <w:bookmarkEnd w:id="148"/>
      <w:r/>
      <w:bookmarkEnd w:id="149"/>
      <w:r/>
      <w:bookmarkEnd w:id="150"/>
      <w:r/>
      <w:bookmarkEnd w:id="151"/>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rPr>
      </w:r>
      <w:r/>
    </w:p>
    <w:p>
      <w:pPr>
        <w:pStyle w:val="771"/>
        <w:spacing w:before="156" w:line="360" w:lineRule="auto"/>
        <w:rPr>
          <w:rFonts w:hint="eastAsia" w:ascii="宋体" w:hAnsi="宋体" w:cs="宋体"/>
          <w:color w:val="000000"/>
          <w:sz w:val="24"/>
          <w:highlight w:val="none"/>
        </w:rPr>
      </w:pPr>
      <w:r/>
      <w:bookmarkEnd w:id="136"/>
      <w:r/>
      <w:bookmarkEnd w:id="145"/>
      <w:r>
        <w:rPr>
          <w:rFonts w:hint="eastAsia" w:ascii="宋体" w:hAnsi="宋体" w:cs="宋体"/>
          <w:color w:val="000000"/>
          <w:sz w:val="24"/>
          <w:highlight w:val="none"/>
        </w:rPr>
        <w:t xml:space="preserve">13. 本项目采购资金已列入政府采购预算，预算金额见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71"/>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 本项目最高限价要求见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52" w:name="_Toc107246229"/>
      <w:r/>
      <w:bookmarkStart w:id="153" w:name="_Toc1447"/>
      <w:r/>
      <w:bookmarkStart w:id="154" w:name="_Toc104560852"/>
      <w:r/>
      <w:bookmarkStart w:id="155" w:name="_Toc6933"/>
      <w:r/>
      <w:bookmarkStart w:id="156" w:name="_Toc1887"/>
      <w:r/>
      <w:bookmarkStart w:id="157" w:name="_Toc1124"/>
      <w:r>
        <w:rPr>
          <w:rFonts w:hint="eastAsia" w:ascii="宋体" w:hAnsi="宋体" w:cs="宋体"/>
          <w:color w:val="000000"/>
          <w:sz w:val="24"/>
          <w:szCs w:val="24"/>
          <w:highlight w:val="none"/>
        </w:rPr>
        <w:t xml:space="preserve">15.</w:t>
      </w:r>
      <w:r>
        <w:rPr>
          <w:rFonts w:hint="eastAsia" w:ascii="宋体" w:hAnsi="宋体" w:cs="宋体"/>
          <w:bCs w:val="0"/>
          <w:color w:val="000000"/>
          <w:sz w:val="24"/>
          <w:szCs w:val="24"/>
          <w:highlight w:val="none"/>
        </w:rPr>
        <w:t xml:space="preserve"> 供应商</w:t>
      </w:r>
      <w:r>
        <w:rPr>
          <w:rFonts w:hint="eastAsia" w:ascii="宋体" w:hAnsi="宋体" w:cs="宋体"/>
          <w:color w:val="000000"/>
          <w:sz w:val="24"/>
          <w:szCs w:val="24"/>
          <w:highlight w:val="none"/>
        </w:rPr>
        <w:t xml:space="preserve">资格条件</w:t>
      </w:r>
      <w:bookmarkEnd w:id="152"/>
      <w:r/>
      <w:bookmarkEnd w:id="153"/>
      <w:r/>
      <w:bookmarkEnd w:id="154"/>
      <w:r/>
      <w:bookmarkEnd w:id="155"/>
      <w:r/>
      <w:bookmarkEnd w:id="156"/>
      <w:r/>
      <w:bookmarkEnd w:id="157"/>
      <w:r>
        <w:rPr>
          <w:rFonts w:hint="eastAsia" w:ascii="宋体" w:hAnsi="宋体" w:cs="宋体"/>
          <w:color w:val="000000"/>
          <w:sz w:val="24"/>
          <w:szCs w:val="24"/>
          <w:highlight w:val="none"/>
        </w:rPr>
      </w:r>
      <w:r/>
    </w:p>
    <w:p>
      <w:pPr>
        <w:pStyle w:val="771"/>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资格条件见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158" w:name="_Toc2165"/>
      <w:r/>
      <w:bookmarkStart w:id="159" w:name="_Toc31830"/>
      <w:r/>
      <w:bookmarkStart w:id="160" w:name="_Toc107246230"/>
      <w:r/>
      <w:bookmarkStart w:id="161" w:name="_Toc4452"/>
      <w:r/>
      <w:bookmarkStart w:id="162" w:name="_Toc4755"/>
      <w:r>
        <w:rPr>
          <w:rFonts w:hint="eastAsia" w:ascii="宋体" w:hAnsi="宋体" w:cs="宋体"/>
          <w:color w:val="000000"/>
          <w:sz w:val="24"/>
          <w:szCs w:val="24"/>
          <w:highlight w:val="none"/>
        </w:rPr>
        <w:t xml:space="preserve">二．招标文件</w:t>
      </w:r>
      <w:bookmarkEnd w:id="94"/>
      <w:r/>
      <w:bookmarkEnd w:id="158"/>
      <w:r/>
      <w:bookmarkEnd w:id="159"/>
      <w:r/>
      <w:bookmarkEnd w:id="160"/>
      <w:r/>
      <w:bookmarkEnd w:id="161"/>
      <w:r/>
      <w:bookmarkEnd w:id="162"/>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163" w:name="_Toc8614"/>
      <w:r/>
      <w:bookmarkStart w:id="164" w:name="_Toc15749"/>
      <w:r/>
      <w:bookmarkStart w:id="165" w:name="_Toc96347871"/>
      <w:r/>
      <w:bookmarkStart w:id="166" w:name="_Toc775"/>
      <w:r/>
      <w:bookmarkStart w:id="167" w:name="_Toc100905217"/>
      <w:r/>
      <w:bookmarkStart w:id="168" w:name="_Toc29647"/>
      <w:r/>
      <w:bookmarkStart w:id="169" w:name="_Toc107246231"/>
      <w:r/>
      <w:bookmarkStart w:id="170" w:name="_Toc103848540"/>
      <w:r/>
      <w:bookmarkStart w:id="171" w:name="_Toc104560854"/>
      <w:r>
        <w:rPr>
          <w:rFonts w:hint="eastAsia" w:ascii="宋体" w:hAnsi="宋体" w:cs="宋体"/>
          <w:color w:val="000000"/>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color w:val="000000"/>
          <w:sz w:val="24"/>
          <w:szCs w:val="24"/>
          <w:highlight w:val="none"/>
        </w:rPr>
      </w:r>
      <w:r/>
    </w:p>
    <w:p>
      <w:pPr>
        <w:pStyle w:val="1109"/>
        <w:ind w:firstLine="420"/>
        <w:rPr>
          <w:rFonts w:hint="eastAsia" w:hAnsi="宋体" w:cs="宋体"/>
          <w:bCs/>
          <w:color w:val="000000"/>
          <w:sz w:val="24"/>
          <w:szCs w:val="24"/>
          <w:highlight w:val="none"/>
        </w:rPr>
      </w:pPr>
      <w:r>
        <w:rPr>
          <w:rFonts w:hint="eastAsia" w:hAnsi="宋体" w:cs="宋体"/>
          <w:bCs/>
          <w:color w:val="000000"/>
          <w:sz w:val="24"/>
          <w:szCs w:val="24"/>
          <w:highlight w:val="none"/>
        </w:rPr>
        <w:t xml:space="preserve">16.1招标文件各章节的内容如下：</w:t>
      </w:r>
      <w:r>
        <w:rPr>
          <w:rFonts w:hint="eastAsia" w:hAnsi="宋体" w:cs="宋体"/>
          <w:bCs/>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第一章：招标公告</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第三章：政府采购合同条款及格式</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第四章：采购需求</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第五章：评标方法与评标标准</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w:t>
      </w:r>
      <w:bookmarkStart w:id="172" w:name="_Toc96347872"/>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对招标文件所作的澄清、修改，构成招标文件的组成部分。</w:t>
      </w:r>
      <w:r>
        <w:rPr>
          <w:rFonts w:hint="eastAsia" w:ascii="宋体" w:hAnsi="宋体" w:cs="宋体"/>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如标书制作工具中格式和内容与“江苏政府采购网/中国政府采购网”发布的招标文件不一致的，以上述网站发布的招标文件为准。</w:t>
      </w:r>
      <w:r>
        <w:rPr>
          <w:rFonts w:hint="eastAsia" w:ascii="宋体" w:hAnsi="宋体" w:cs="宋体"/>
          <w:b/>
          <w:color w:val="000000"/>
          <w:sz w:val="24"/>
          <w:highlight w:val="none"/>
        </w:rPr>
      </w:r>
      <w:r/>
    </w:p>
    <w:p>
      <w:pPr>
        <w:pStyle w:val="771"/>
        <w:ind w:firstLine="422"/>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★招标文件中标注</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符号的条款为实质性要求条款。</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16.2供应商应仔细阅读和检查招标文件的全部内容。如发现招标文件内容不全，应及时向采购人提出，以便补齐。</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16.3</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承担。</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16.4本项目招标文件如包括多个分包，则除非特别说明，招标文件所列各项要求均为各分包通用要求。</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End w:id="172"/>
      <w:r/>
      <w:bookmarkStart w:id="173" w:name="_Toc104560855"/>
      <w:r/>
      <w:bookmarkStart w:id="174" w:name="_Toc2940"/>
      <w:r/>
      <w:bookmarkStart w:id="175" w:name="_Toc100905218"/>
      <w:r/>
      <w:bookmarkStart w:id="176" w:name="_Toc103848541"/>
      <w:r/>
      <w:bookmarkStart w:id="177" w:name="_Toc107246232"/>
      <w:r/>
      <w:bookmarkStart w:id="178" w:name="_Toc19430"/>
      <w:r/>
      <w:bookmarkStart w:id="179" w:name="_Toc28666"/>
      <w:r/>
      <w:bookmarkStart w:id="180" w:name="_Toc96347873"/>
      <w:r/>
      <w:bookmarkStart w:id="181" w:name="_Toc19978"/>
      <w:r>
        <w:rPr>
          <w:rFonts w:hint="eastAsia" w:ascii="宋体" w:hAnsi="宋体" w:cs="宋体"/>
          <w:color w:val="000000"/>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bookmarkStart w:id="182" w:name="_Toc100905219"/>
      <w:r>
        <w:rPr>
          <w:rFonts w:hint="eastAsia" w:ascii="宋体" w:hAnsi="宋体" w:cs="宋体"/>
          <w:color w:val="000000"/>
          <w:sz w:val="24"/>
          <w:highlight w:val="none"/>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End w:id="182"/>
      <w:r/>
      <w:bookmarkStart w:id="183" w:name="_Toc31995"/>
      <w:r/>
      <w:bookmarkStart w:id="184" w:name="_Toc25252"/>
      <w:r/>
      <w:bookmarkStart w:id="185" w:name="_Toc12745"/>
      <w:r/>
      <w:bookmarkStart w:id="186" w:name="_Toc26795"/>
      <w:r>
        <w:rPr>
          <w:rFonts w:hint="eastAsia" w:ascii="宋体" w:hAnsi="宋体" w:cs="宋体"/>
          <w:color w:val="000000"/>
          <w:sz w:val="24"/>
          <w:szCs w:val="24"/>
          <w:highlight w:val="none"/>
        </w:rPr>
        <w:t xml:space="preserve">三．投标文件</w:t>
      </w:r>
      <w:bookmarkEnd w:id="45"/>
      <w:r/>
      <w:bookmarkEnd w:id="46"/>
      <w:r/>
      <w:bookmarkEnd w:id="47"/>
      <w:r/>
      <w:bookmarkEnd w:id="183"/>
      <w:r/>
      <w:bookmarkEnd w:id="184"/>
      <w:r/>
      <w:bookmarkEnd w:id="185"/>
      <w:r/>
      <w:bookmarkEnd w:id="186"/>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187" w:name="_Toc104560857"/>
      <w:r/>
      <w:bookmarkStart w:id="188" w:name="_Toc107246234"/>
      <w:r/>
      <w:bookmarkStart w:id="189" w:name="_Toc31248"/>
      <w:r/>
      <w:bookmarkStart w:id="190" w:name="_Toc32487"/>
      <w:r/>
      <w:bookmarkStart w:id="191" w:name="_Toc100905221"/>
      <w:r/>
      <w:bookmarkStart w:id="192" w:name="_Toc96347875"/>
      <w:r/>
      <w:bookmarkStart w:id="193" w:name="_Toc103848543"/>
      <w:r/>
      <w:bookmarkStart w:id="194" w:name="_Toc6504"/>
      <w:r/>
      <w:bookmarkStart w:id="195" w:name="_Toc26708"/>
      <w:r>
        <w:rPr>
          <w:rFonts w:hint="eastAsia" w:ascii="宋体" w:hAnsi="宋体" w:cs="宋体"/>
          <w:color w:val="000000"/>
          <w:sz w:val="24"/>
          <w:szCs w:val="24"/>
          <w:highlight w:val="none"/>
        </w:rPr>
        <w:t xml:space="preserve">18.投标文件的组成</w:t>
      </w:r>
      <w:bookmarkEnd w:id="187"/>
      <w:r/>
      <w:bookmarkEnd w:id="188"/>
      <w:r/>
      <w:bookmarkEnd w:id="189"/>
      <w:r/>
      <w:bookmarkEnd w:id="190"/>
      <w:r/>
      <w:bookmarkEnd w:id="193"/>
      <w:r/>
      <w:bookmarkEnd w:id="194"/>
      <w:r/>
      <w:bookmarkEnd w:id="195"/>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18.1投标文件由价格及商务部分、技术部分以及其他部分组成，格式见招标文件第六章《投标文件格式》。</w:t>
      </w:r>
      <w:r>
        <w:rPr>
          <w:rFonts w:hint="eastAsia" w:ascii="宋体" w:hAnsi="宋体" w:cs="宋体"/>
          <w:color w:val="000000"/>
          <w:sz w:val="24"/>
          <w:highlight w:val="none"/>
        </w:rPr>
      </w:r>
      <w:r/>
    </w:p>
    <w:p>
      <w:pPr>
        <w:pStyle w:val="771"/>
        <w:ind w:firstLine="422"/>
        <w:spacing w:before="156" w:line="360" w:lineRule="auto"/>
        <w:rPr>
          <w:rFonts w:hint="eastAsia" w:ascii="宋体" w:hAnsi="宋体" w:cs="宋体"/>
          <w:b/>
          <w:color w:val="000000"/>
          <w:sz w:val="24"/>
          <w:highlight w:val="none"/>
        </w:rPr>
      </w:pPr>
      <w:r/>
      <w:bookmarkStart w:id="196" w:name="_Toc107246235"/>
      <w:r/>
      <w:bookmarkStart w:id="197" w:name="_Toc104560858"/>
      <w:r>
        <w:rPr>
          <w:rFonts w:hint="eastAsia" w:ascii="宋体" w:hAnsi="宋体" w:cs="宋体"/>
          <w:b/>
          <w:color w:val="000000"/>
          <w:sz w:val="24"/>
          <w:highlight w:val="none"/>
        </w:rPr>
        <w:t xml:space="preserve">18.2投标文件的价格及商务部分，包括但不限于下列文件：</w:t>
      </w:r>
      <w:r>
        <w:rPr>
          <w:rFonts w:hint="eastAsia" w:ascii="宋体" w:hAnsi="宋体" w:cs="宋体"/>
          <w:b/>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（2）法定代表人（单位负责人）身份证明，格式见附件。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（3）法定代表人（单位负责人）授权委托书（适用于法人/非法人），格式见附件。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（4）开标一览表，格式见附件。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（5）分项报价表，格式见附件。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（6）商务条款偏离表，格式见附件。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（7）投标人具备投标资格的证明文件：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（7-1-1）法人或者其他组织的营业执照等证明文件，自然人的身份证明。</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（a）投标人为企业（包括合伙企业）的，应提供有效的“营业执照”。</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（b）投标人为事业单位的，应提供有效的“事业单位法人证书”。</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（c）投标人是非企业机构的，应提供有效的“执业许可证”、“登记证书”等证明文件。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（d）投标人是个体工商户的，应提供有效的“个体工商户营业执照”。</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（e）投标人是自然人的，应提供有效的自然人身份证明。</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（f）若本项目允许分支机构参加投标，则分支机构参加投标的，此处可提供该分支机构或其所属法人或其他组织的相应证明文件。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（7-1-2）工商变更登记文件（如需），如发生了单位名称等变更的，需提供工商变更登记文件。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（7-2）具有良好的商业信誉和健全的财务会计制度。</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（7-3）具有履行合同所必需的设备和专业技术能力，格式见附件。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（7-4）有依法缴纳税收的良好记录。</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（7-5）有依法缴纳社会保障资金的良好记录。</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（7-6）参加政府采购活动前三年内，在经营活动中没有重大违法记录，提供声明函原件，格式见附件。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（7-7）无不良信用记录承诺函（投标人自行查询适用），格式见附件。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（7-8）招标文件要求的其它实质性资格资信证明文件。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（8）公章授权书（如需），格式见附件。</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（9）业绩。</w:t>
      </w:r>
      <w:r>
        <w:rPr>
          <w:rFonts w:hint="eastAsia" w:ascii="宋体" w:hAnsi="宋体" w:cs="宋体"/>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（10）人员配备方案。</w:t>
      </w:r>
      <w:r>
        <w:rPr>
          <w:rFonts w:hint="eastAsia" w:ascii="宋体" w:hAnsi="宋体" w:cs="宋体"/>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18.3</w:t>
      </w:r>
      <w:r>
        <w:rPr>
          <w:rFonts w:hint="eastAsia" w:ascii="宋体" w:hAnsi="宋体" w:cs="宋体"/>
          <w:b/>
          <w:color w:val="000000"/>
          <w:sz w:val="24"/>
          <w:highlight w:val="none"/>
          <w:lang w:val="zh-CN"/>
        </w:rPr>
        <w:t xml:space="preserve">投标文件的技术部分，包括但不限于下列文件：</w:t>
      </w:r>
      <w:r>
        <w:rPr>
          <w:rFonts w:hint="eastAsia" w:ascii="宋体" w:hAnsi="宋体" w:cs="宋体"/>
          <w:b/>
          <w:color w:val="000000"/>
          <w:sz w:val="24"/>
          <w:highlight w:val="none"/>
        </w:rPr>
      </w:r>
      <w:r/>
    </w:p>
    <w:p>
      <w:pPr>
        <w:pStyle w:val="771"/>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（1）技术条款偏离表，格式见附件。</w:t>
      </w:r>
      <w:r>
        <w:rPr>
          <w:rFonts w:hint="eastAsia" w:ascii="宋体" w:hAnsi="宋体" w:cs="宋体"/>
          <w:color w:val="000000"/>
          <w:sz w:val="24"/>
          <w:highlight w:val="none"/>
        </w:rPr>
      </w:r>
      <w:r/>
    </w:p>
    <w:p>
      <w:pPr>
        <w:pStyle w:val="771"/>
        <w:ind w:firstLine="315"/>
        <w:jc w:val="left"/>
        <w:spacing w:before="156" w:line="360" w:lineRule="auto"/>
        <w:rPr>
          <w:rFonts w:ascii="宋体" w:hAnsi="宋体" w:cs="宋体"/>
          <w:b/>
          <w:color w:val="000000"/>
          <w:sz w:val="24"/>
          <w:highlight w:val="none"/>
        </w:rPr>
      </w:pPr>
      <w:r>
        <w:rPr>
          <w:rFonts w:hint="eastAsia" w:ascii="宋体" w:hAnsi="宋体" w:cs="宋体"/>
          <w:color w:val="000000"/>
          <w:sz w:val="24"/>
          <w:highlight w:val="none"/>
        </w:rPr>
        <w:t xml:space="preserve">（2）服务方案等</w:t>
      </w:r>
      <w:r>
        <w:rPr>
          <w:rFonts w:ascii="宋体" w:hAnsi="宋体" w:cs="宋体"/>
          <w:b/>
          <w:color w:val="000000"/>
          <w:sz w:val="24"/>
          <w:highlight w:val="none"/>
        </w:rPr>
      </w:r>
      <w:r/>
    </w:p>
    <w:p>
      <w:pPr>
        <w:pStyle w:val="771"/>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18.4投标文件的其他部分</w:t>
      </w:r>
      <w:r>
        <w:rPr>
          <w:rFonts w:hint="eastAsia" w:ascii="宋体" w:hAnsi="宋体" w:cs="宋体"/>
          <w:b/>
          <w:color w:val="000000"/>
          <w:sz w:val="24"/>
          <w:highlight w:val="none"/>
        </w:rPr>
      </w:r>
      <w:r/>
    </w:p>
    <w:p>
      <w:pPr>
        <w:pStyle w:val="771"/>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提供符合政府采购政策的证明材料。</w:t>
      </w:r>
      <w:r>
        <w:rPr>
          <w:rFonts w:hint="eastAsia" w:ascii="宋体" w:hAnsi="宋体" w:cs="宋体"/>
          <w:color w:val="000000"/>
          <w:sz w:val="24"/>
          <w:highlight w:val="none"/>
        </w:rPr>
      </w:r>
      <w:r/>
    </w:p>
    <w:p>
      <w:pPr>
        <w:pStyle w:val="771"/>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投标人认为需提供的其他文件或证明材料。</w:t>
      </w:r>
      <w:r>
        <w:rPr>
          <w:rFonts w:hint="eastAsia" w:ascii="宋体" w:hAnsi="宋体" w:cs="宋体"/>
          <w:color w:val="000000"/>
          <w:sz w:val="24"/>
          <w:highlight w:val="none"/>
        </w:rPr>
      </w:r>
      <w:r/>
    </w:p>
    <w:p>
      <w:pPr>
        <w:pStyle w:val="771"/>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要求投标人提交的其他文件材料或证明材料</w:t>
      </w:r>
      <w:r>
        <w:rPr>
          <w:rFonts w:hint="eastAsia" w:ascii="宋体" w:hAnsi="宋体" w:cs="宋体"/>
          <w:color w:val="000000"/>
          <w:sz w:val="24"/>
          <w:highlight w:val="none"/>
        </w:rPr>
      </w:r>
      <w:r/>
    </w:p>
    <w:p>
      <w:pPr>
        <w:pStyle w:val="1108"/>
        <w:ind w:left="210" w:right="210"/>
        <w:rPr>
          <w:rFonts w:hint="eastAsia" w:ascii="宋体" w:hAnsi="宋体" w:cs="宋体"/>
          <w:color w:val="000000"/>
          <w:sz w:val="24"/>
          <w:szCs w:val="24"/>
          <w:highlight w:val="none"/>
        </w:rPr>
      </w:pPr>
      <w:r/>
      <w:bookmarkEnd w:id="44"/>
      <w:r/>
      <w:bookmarkEnd w:id="191"/>
      <w:r/>
      <w:bookmarkEnd w:id="192"/>
      <w:r/>
      <w:bookmarkEnd w:id="196"/>
      <w:r/>
      <w:bookmarkEnd w:id="197"/>
      <w:r/>
      <w:bookmarkStart w:id="198" w:name="_Toc4211"/>
      <w:r/>
      <w:bookmarkStart w:id="199" w:name="_Toc17577"/>
      <w:r/>
      <w:bookmarkStart w:id="200" w:name="_Toc2967"/>
      <w:r>
        <w:rPr>
          <w:rFonts w:hint="eastAsia" w:ascii="宋体" w:hAnsi="宋体" w:cs="宋体"/>
          <w:color w:val="000000"/>
          <w:sz w:val="24"/>
          <w:szCs w:val="24"/>
          <w:highlight w:val="none"/>
        </w:rPr>
        <w:t xml:space="preserve">19.投标文件编制的原则</w:t>
      </w:r>
      <w:bookmarkEnd w:id="198"/>
      <w:r/>
      <w:bookmarkEnd w:id="199"/>
      <w:r/>
      <w:bookmarkEnd w:id="200"/>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19.1</w:t>
      </w:r>
      <w:r>
        <w:rPr>
          <w:rFonts w:hint="eastAsia" w:ascii="宋体" w:hAnsi="宋体" w:cs="宋体"/>
          <w:color w:val="000000"/>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19.2</w:t>
      </w:r>
      <w:r>
        <w:rPr>
          <w:rFonts w:hint="eastAsia" w:ascii="宋体" w:hAnsi="宋体" w:cs="宋体"/>
          <w:color w:val="000000"/>
          <w:sz w:val="24"/>
          <w:highlight w:val="none"/>
        </w:rPr>
        <w:t xml:space="preserve">投标人必须保证投标文件所提供的全部资料真实可靠。</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19.3</w:t>
      </w:r>
      <w:r>
        <w:rPr>
          <w:rFonts w:hint="eastAsia" w:ascii="宋体" w:hAnsi="宋体" w:cs="宋体"/>
          <w:color w:val="000000"/>
          <w:sz w:val="24"/>
          <w:highlight w:val="none"/>
        </w:rPr>
        <w:t xml:space="preserve">投标文件须对招标文件中的内容做出实质性和完整的响应。</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01" w:name="_Toc107246236"/>
      <w:r/>
      <w:bookmarkStart w:id="202" w:name="_Toc5166"/>
      <w:r/>
      <w:bookmarkStart w:id="203" w:name="_Toc11550"/>
      <w:r/>
      <w:bookmarkStart w:id="204" w:name="_Toc10373"/>
      <w:r/>
      <w:bookmarkStart w:id="205" w:name="_Toc32399"/>
      <w:r>
        <w:rPr>
          <w:rFonts w:hint="eastAsia" w:ascii="宋体" w:hAnsi="宋体" w:cs="宋体"/>
          <w:color w:val="000000"/>
          <w:sz w:val="24"/>
          <w:szCs w:val="24"/>
          <w:highlight w:val="none"/>
        </w:rPr>
        <w:t xml:space="preserve">20.投标报价</w:t>
      </w:r>
      <w:bookmarkEnd w:id="201"/>
      <w:r/>
      <w:bookmarkEnd w:id="202"/>
      <w:r/>
      <w:bookmarkEnd w:id="203"/>
      <w:r/>
      <w:bookmarkEnd w:id="204"/>
      <w:r/>
      <w:bookmarkEnd w:id="205"/>
      <w:r>
        <w:rPr>
          <w:rFonts w:hint="eastAsia" w:ascii="宋体" w:hAnsi="宋体" w:cs="宋体"/>
          <w:color w:val="000000"/>
          <w:sz w:val="24"/>
          <w:szCs w:val="24"/>
          <w:highlight w:val="none"/>
        </w:rPr>
      </w:r>
      <w:r/>
    </w:p>
    <w:p>
      <w:pPr>
        <w:pStyle w:val="771"/>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20.1所有投标均以人民币报价，应包括国家规定的增值税税金。</w:t>
      </w:r>
      <w:r>
        <w:rPr>
          <w:rFonts w:hint="eastAsia" w:ascii="宋体" w:hAnsi="宋体" w:cs="宋体"/>
          <w:bCs/>
          <w:color w:val="000000"/>
          <w:sz w:val="24"/>
          <w:highlight w:val="none"/>
        </w:rPr>
      </w:r>
      <w:r/>
    </w:p>
    <w:p>
      <w:pPr>
        <w:pStyle w:val="771"/>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20.3</w:t>
      </w:r>
      <w:r>
        <w:rPr>
          <w:rFonts w:hint="eastAsia" w:ascii="宋体" w:hAnsi="宋体" w:cs="宋体"/>
          <w:color w:val="000000"/>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20.4</w:t>
      </w:r>
      <w:r>
        <w:rPr>
          <w:rFonts w:hint="eastAsia" w:ascii="宋体" w:hAnsi="宋体" w:cs="宋体"/>
          <w:color w:val="000000"/>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06" w:name="_Toc103848545"/>
      <w:r/>
      <w:bookmarkStart w:id="207" w:name="_Toc107246237"/>
      <w:r/>
      <w:bookmarkStart w:id="208" w:name="_Toc96347878"/>
      <w:r/>
      <w:bookmarkStart w:id="209" w:name="_Toc100905223"/>
      <w:r/>
      <w:bookmarkStart w:id="210" w:name="_Toc103848544"/>
      <w:r/>
      <w:bookmarkStart w:id="211" w:name="_Toc12798"/>
      <w:r/>
      <w:bookmarkStart w:id="212" w:name="_Toc13556"/>
      <w:r/>
      <w:bookmarkStart w:id="213" w:name="_Toc6307"/>
      <w:r/>
      <w:bookmarkStart w:id="214" w:name="_Toc24016"/>
      <w:r/>
      <w:bookmarkStart w:id="215" w:name="_Toc100905224"/>
      <w:r/>
      <w:bookmarkStart w:id="216" w:name="_Toc104560859"/>
      <w:r>
        <w:rPr>
          <w:rFonts w:hint="eastAsia" w:ascii="宋体" w:hAnsi="宋体" w:cs="宋体"/>
          <w:color w:val="000000"/>
          <w:sz w:val="24"/>
          <w:szCs w:val="24"/>
          <w:highlight w:val="none"/>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21.1投标有效期为</w:t>
      </w:r>
      <w:r>
        <w:rPr>
          <w:rFonts w:hint="eastAsia" w:ascii="宋体" w:hAnsi="宋体" w:cs="宋体"/>
          <w:bCs/>
          <w:color w:val="000000"/>
          <w:sz w:val="24"/>
          <w:highlight w:val="none"/>
          <w:u w:val="single"/>
        </w:rPr>
        <w:t xml:space="preserve">60天</w:t>
      </w:r>
      <w:r>
        <w:rPr>
          <w:rFonts w:hint="eastAsia" w:ascii="宋体" w:hAnsi="宋体" w:cs="宋体"/>
          <w:bCs/>
          <w:color w:val="000000"/>
          <w:sz w:val="24"/>
          <w:highlight w:val="none"/>
        </w:rPr>
        <w:t xml:space="preserve">，在此期间投标文件对投标人具有法</w:t>
      </w:r>
      <w:r>
        <w:rPr>
          <w:rFonts w:hint="eastAsia" w:ascii="宋体" w:hAnsi="宋体" w:cs="宋体"/>
          <w:color w:val="000000"/>
          <w:sz w:val="24"/>
          <w:highlight w:val="none"/>
        </w:rPr>
        <w:t xml:space="preserve">律约束力，以保证采购人有足够的时间完成评标、定标以及签订合同。投标有效期从投标截止之日起计算。</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color w:val="000000"/>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17" w:name="_Toc17120"/>
      <w:r/>
      <w:bookmarkStart w:id="218" w:name="_Toc104560860"/>
      <w:r/>
      <w:bookmarkStart w:id="219" w:name="_Toc20130"/>
      <w:r/>
      <w:bookmarkStart w:id="220" w:name="_Toc17827"/>
      <w:r/>
      <w:bookmarkStart w:id="221" w:name="_Toc107246238"/>
      <w:r/>
      <w:bookmarkStart w:id="222" w:name="_Toc22490"/>
      <w:r>
        <w:rPr>
          <w:rFonts w:hint="eastAsia" w:ascii="宋体" w:hAnsi="宋体" w:cs="宋体"/>
          <w:color w:val="000000"/>
          <w:sz w:val="24"/>
          <w:szCs w:val="24"/>
          <w:highlight w:val="none"/>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cs="宋体"/>
          <w:color w:val="000000"/>
          <w:sz w:val="24"/>
          <w:szCs w:val="24"/>
          <w:highlight w:val="none"/>
        </w:rPr>
        <w:t xml:space="preserve">（如有，本项目不涉及）</w:t>
      </w:r>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223" w:name="_Toc9388"/>
      <w:r/>
      <w:bookmarkStart w:id="224" w:name="_Toc100905225"/>
      <w:r/>
      <w:bookmarkStart w:id="225" w:name="_Toc103848546"/>
      <w:r/>
      <w:bookmarkStart w:id="226" w:name="_Toc19689"/>
      <w:r/>
      <w:bookmarkStart w:id="227" w:name="_Toc104560861"/>
      <w:r/>
      <w:bookmarkStart w:id="228" w:name="_Toc23087"/>
      <w:r/>
      <w:bookmarkStart w:id="229" w:name="_Toc96347880"/>
      <w:r/>
      <w:bookmarkStart w:id="230" w:name="_Toc107246239"/>
      <w:r/>
      <w:bookmarkStart w:id="231" w:name="_Toc19130"/>
      <w:r>
        <w:rPr>
          <w:rFonts w:hint="eastAsia" w:ascii="宋体" w:hAnsi="宋体" w:cs="宋体"/>
          <w:color w:val="000000"/>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771"/>
        <w:ind w:firstLine="422"/>
        <w:spacing w:before="156"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23.2</w:t>
      </w:r>
      <w:r>
        <w:rPr>
          <w:rFonts w:hint="eastAsia" w:ascii="宋体" w:hAnsi="宋体" w:cs="宋体"/>
          <w:b/>
          <w:color w:val="000000"/>
          <w:sz w:val="24"/>
          <w:highlight w:val="none"/>
        </w:rPr>
        <w:t xml:space="preserve">投标文件</w:t>
      </w:r>
      <w:r>
        <w:rPr>
          <w:rFonts w:hint="eastAsia" w:ascii="宋体" w:hAnsi="宋体" w:cs="宋体"/>
          <w:b/>
          <w:bCs/>
          <w:color w:val="000000"/>
          <w:sz w:val="24"/>
          <w:highlight w:val="none"/>
        </w:rPr>
        <w:t xml:space="preserve">应加盖公章并由投标人法定代表人（单位负责人）或其授权代表签字。授权代表须提供法定代表人以书面形式出具的</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法定代表人授权书”（原件，由法定代表人签章并加盖企业公章。）授权其负责本项目投标。</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23.4如投标过程中投标人使用其他形式的印章（如电子印章、带有“专用章”等字样的印章），须提供“公章授权书”</w:t>
      </w:r>
      <w:r>
        <w:rPr>
          <w:rFonts w:hint="eastAsia" w:ascii="宋体" w:hAnsi="宋体" w:cs="宋体"/>
          <w:color w:val="000000"/>
          <w:sz w:val="24"/>
          <w:highlight w:val="none"/>
        </w:rPr>
        <w:t xml:space="preserve">（见附件）</w:t>
      </w:r>
      <w:r>
        <w:rPr>
          <w:rFonts w:hint="eastAsia" w:ascii="宋体" w:hAnsi="宋体" w:cs="宋体"/>
          <w:bCs/>
          <w:color w:val="000000"/>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32" w:name="_Toc13139"/>
      <w:r/>
      <w:bookmarkStart w:id="233" w:name="_Toc107246240"/>
      <w:r/>
      <w:bookmarkStart w:id="234" w:name="_Toc5158"/>
      <w:r/>
      <w:bookmarkStart w:id="235" w:name="_Toc5091"/>
      <w:r/>
      <w:bookmarkStart w:id="236" w:name="_Toc9469"/>
      <w:r>
        <w:rPr>
          <w:rFonts w:hint="eastAsia" w:ascii="宋体" w:hAnsi="宋体" w:cs="宋体"/>
          <w:color w:val="000000"/>
          <w:sz w:val="24"/>
          <w:szCs w:val="24"/>
          <w:highlight w:val="none"/>
        </w:rPr>
        <w:t xml:space="preserve">四．投标文件的递交</w:t>
      </w:r>
      <w:bookmarkEnd w:id="232"/>
      <w:r/>
      <w:bookmarkEnd w:id="233"/>
      <w:r/>
      <w:bookmarkEnd w:id="234"/>
      <w:r/>
      <w:bookmarkEnd w:id="235"/>
      <w:r/>
      <w:bookmarkEnd w:id="236"/>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237" w:name="_Toc103848548"/>
      <w:r/>
      <w:bookmarkStart w:id="238" w:name="_Toc107246241"/>
      <w:r/>
      <w:bookmarkStart w:id="239" w:name="_Toc104560863"/>
      <w:r/>
      <w:bookmarkStart w:id="240" w:name="_Toc100905226"/>
      <w:r/>
      <w:bookmarkStart w:id="241" w:name="_Toc96347881"/>
      <w:r/>
      <w:bookmarkStart w:id="242" w:name="_Toc27842"/>
      <w:r/>
      <w:bookmarkStart w:id="243" w:name="_Toc25296"/>
      <w:r/>
      <w:bookmarkStart w:id="244" w:name="_Toc31791"/>
      <w:r/>
      <w:bookmarkStart w:id="245" w:name="_Toc30261"/>
      <w:r>
        <w:rPr>
          <w:rFonts w:hint="eastAsia" w:ascii="宋体" w:hAnsi="宋体" w:cs="宋体"/>
          <w:color w:val="000000"/>
          <w:sz w:val="24"/>
          <w:szCs w:val="24"/>
          <w:highlight w:val="none"/>
        </w:rPr>
        <w:t xml:space="preserve">24.投标文件的</w:t>
      </w:r>
      <w:bookmarkEnd w:id="237"/>
      <w:r/>
      <w:bookmarkEnd w:id="238"/>
      <w:r/>
      <w:bookmarkEnd w:id="239"/>
      <w:r/>
      <w:bookmarkEnd w:id="240"/>
      <w:r/>
      <w:bookmarkEnd w:id="241"/>
      <w:r>
        <w:rPr>
          <w:rFonts w:hint="eastAsia" w:ascii="宋体" w:hAnsi="宋体" w:cs="宋体"/>
          <w:color w:val="000000"/>
          <w:sz w:val="24"/>
          <w:szCs w:val="24"/>
          <w:highlight w:val="none"/>
        </w:rPr>
        <w:t xml:space="preserve">递交</w:t>
      </w:r>
      <w:bookmarkEnd w:id="242"/>
      <w:r/>
      <w:bookmarkEnd w:id="243"/>
      <w:r/>
      <w:bookmarkEnd w:id="244"/>
      <w:r/>
      <w:bookmarkEnd w:id="245"/>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bookmarkStart w:id="246" w:name="_Toc11952"/>
      <w:r/>
      <w:bookmarkStart w:id="247" w:name="_Toc48151397"/>
      <w:r/>
      <w:bookmarkStart w:id="248" w:name="_Toc46219699"/>
      <w:r/>
      <w:bookmarkStart w:id="249" w:name="_Toc50528805"/>
      <w:r/>
      <w:bookmarkStart w:id="250" w:name="_Toc38931800"/>
      <w:r/>
      <w:bookmarkStart w:id="251" w:name="_Toc5042"/>
      <w:r/>
      <w:bookmarkStart w:id="252" w:name="_Toc51928343"/>
      <w:r/>
      <w:bookmarkStart w:id="253" w:name="_Toc89586904"/>
      <w:r/>
      <w:bookmarkStart w:id="254" w:name="_Toc11464"/>
      <w:r/>
      <w:bookmarkStart w:id="255" w:name="_Toc100905227"/>
      <w:r/>
      <w:bookmarkStart w:id="256" w:name="_Toc97561941"/>
      <w:r/>
      <w:bookmarkStart w:id="257" w:name="_Toc103848549"/>
      <w:r/>
      <w:bookmarkStart w:id="258" w:name="_Toc46960670"/>
      <w:r/>
      <w:bookmarkStart w:id="259" w:name="_Toc91399404"/>
      <w:r/>
      <w:bookmarkStart w:id="260" w:name="_Toc46939510"/>
      <w:r/>
      <w:bookmarkStart w:id="261" w:name="_Toc4536"/>
      <w:r/>
      <w:bookmarkStart w:id="262" w:name="_Toc469850063"/>
      <w:r/>
      <w:bookmarkStart w:id="263" w:name="_Toc40202948"/>
      <w:r/>
      <w:bookmarkStart w:id="264" w:name="_Toc38933357"/>
      <w:r/>
      <w:bookmarkStart w:id="265" w:name="_Toc96347882"/>
      <w:r/>
      <w:bookmarkStart w:id="266" w:name="_Toc19963"/>
      <w:r/>
      <w:bookmarkStart w:id="267" w:name="_Toc38931614"/>
      <w:r>
        <w:rPr>
          <w:rFonts w:hint="eastAsia" w:ascii="宋体" w:hAnsi="宋体" w:cs="宋体"/>
          <w:bCs/>
          <w:color w:val="000000"/>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69" w:name="_Toc2870"/>
      <w:r/>
      <w:bookmarkStart w:id="270" w:name="_Toc107246242"/>
      <w:r/>
      <w:bookmarkStart w:id="271" w:name="_Toc19464"/>
      <w:r/>
      <w:bookmarkStart w:id="272" w:name="_Toc20764"/>
      <w:r/>
      <w:bookmarkStart w:id="273" w:name="_Toc13949"/>
      <w:r>
        <w:rPr>
          <w:rFonts w:hint="eastAsia" w:ascii="宋体" w:hAnsi="宋体" w:cs="宋体"/>
          <w:color w:val="000000"/>
          <w:sz w:val="24"/>
          <w:szCs w:val="24"/>
          <w:highlight w:val="none"/>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color w:val="000000"/>
          <w:sz w:val="24"/>
          <w:szCs w:val="24"/>
          <w:highlight w:val="none"/>
        </w:rPr>
        <w:t xml:space="preserve">投标文件的解密</w:t>
      </w:r>
      <w:bookmarkEnd w:id="269"/>
      <w:r/>
      <w:bookmarkEnd w:id="270"/>
      <w:r/>
      <w:bookmarkEnd w:id="271"/>
      <w:r/>
      <w:bookmarkEnd w:id="272"/>
      <w:r/>
      <w:bookmarkEnd w:id="273"/>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bookmarkStart w:id="274" w:name="_Toc96347883"/>
      <w:r>
        <w:rPr>
          <w:rFonts w:hint="eastAsia" w:ascii="宋体" w:hAnsi="宋体" w:cs="宋体"/>
          <w:bCs/>
          <w:color w:val="000000"/>
          <w:sz w:val="24"/>
          <w:highlight w:val="none"/>
        </w:rPr>
        <w:t xml:space="preserve">25.1投标人应当按照《操作手册》规定，在“苏采云”系统规定的时间内对投标文件进行解密。</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
          <w:bCs/>
          <w:color w:val="000000"/>
          <w:sz w:val="24"/>
          <w:highlight w:val="none"/>
        </w:rPr>
      </w:pPr>
      <w:r>
        <w:rPr>
          <w:rFonts w:hint="eastAsia" w:ascii="宋体" w:hAnsi="宋体" w:cs="宋体"/>
          <w:bCs/>
          <w:color w:val="000000"/>
          <w:sz w:val="24"/>
          <w:highlight w:val="none"/>
        </w:rPr>
        <w:t xml:space="preserve">25.2投标人应充分考虑网络环境、网络带宽等因素可能对投标产生的影响，如因投标人自身原因造成的电子投标文件解密不成功的，做无效投标处理。</w:t>
      </w:r>
      <w:r>
        <w:rPr>
          <w:rFonts w:hint="eastAsia" w:ascii="宋体" w:hAnsi="宋体" w:cs="宋体"/>
          <w:b/>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75" w:name="_Toc8773"/>
      <w:r/>
      <w:bookmarkStart w:id="276" w:name="_Toc6798"/>
      <w:r/>
      <w:bookmarkStart w:id="277" w:name="_Toc18289"/>
      <w:r/>
      <w:bookmarkStart w:id="278" w:name="_Toc100905228"/>
      <w:r/>
      <w:bookmarkStart w:id="279" w:name="_Toc104560865"/>
      <w:r/>
      <w:bookmarkStart w:id="280" w:name="_Toc107246243"/>
      <w:r/>
      <w:bookmarkStart w:id="281" w:name="_Toc16657"/>
      <w:r/>
      <w:bookmarkStart w:id="282" w:name="_Toc103848550"/>
      <w:r>
        <w:rPr>
          <w:rFonts w:hint="eastAsia" w:ascii="宋体" w:hAnsi="宋体" w:cs="宋体"/>
          <w:color w:val="000000"/>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26.1投标人在递交投标文件后，可以修改或撤回其投标文件，但这种修改和撤回，必须在规定的投标截止时间前，以书面形式通知采购人。</w:t>
      </w:r>
      <w:r>
        <w:rPr>
          <w:rFonts w:hint="eastAsia" w:ascii="宋体" w:hAnsi="宋体" w:cs="宋体"/>
          <w:bCs/>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26.2</w:t>
      </w:r>
      <w:r>
        <w:rPr>
          <w:rFonts w:hint="eastAsia" w:ascii="宋体" w:hAnsi="宋体" w:cs="宋体"/>
          <w:color w:val="000000"/>
          <w:sz w:val="24"/>
          <w:highlight w:val="none"/>
        </w:rPr>
        <w:t xml:space="preserve">投标人对投标文件的补充、修改的内容应当按照采购文件要求签署、盖章后，作为投标文件的组成部分。</w:t>
      </w:r>
      <w:r>
        <w:rPr>
          <w:rFonts w:hint="eastAsia" w:ascii="宋体" w:hAnsi="宋体" w:cs="宋体"/>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 在投标截止时间之后，投标人不得对其投标文件作任何修改。</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 在投标截止时间至采购文件中规定的投标有效期满之间的这段时间内，投标人不得撤回其投标。</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83" w:name="_Toc19138"/>
      <w:r/>
      <w:bookmarkStart w:id="284" w:name="_Toc138"/>
      <w:r/>
      <w:bookmarkStart w:id="285" w:name="_Toc26994"/>
      <w:r/>
      <w:bookmarkStart w:id="286" w:name="_Toc107246244"/>
      <w:r/>
      <w:bookmarkStart w:id="287" w:name="_Toc32491"/>
      <w:r/>
      <w:bookmarkStart w:id="288" w:name="_Toc103848551"/>
      <w:r/>
      <w:bookmarkStart w:id="289" w:name="_Toc104560866"/>
      <w:r>
        <w:rPr>
          <w:rFonts w:hint="eastAsia" w:ascii="宋体" w:hAnsi="宋体" w:cs="宋体"/>
          <w:color w:val="000000"/>
          <w:sz w:val="24"/>
          <w:szCs w:val="24"/>
          <w:highlight w:val="none"/>
        </w:rPr>
        <w:t xml:space="preserve">27.诚实信用</w:t>
      </w:r>
      <w:bookmarkEnd w:id="283"/>
      <w:r/>
      <w:bookmarkEnd w:id="284"/>
      <w:r/>
      <w:bookmarkEnd w:id="285"/>
      <w:r/>
      <w:bookmarkEnd w:id="286"/>
      <w:r/>
      <w:bookmarkEnd w:id="287"/>
      <w:r/>
      <w:bookmarkEnd w:id="288"/>
      <w:r/>
      <w:bookmarkEnd w:id="289"/>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27.2在评标过程中发现投标人有上述情形的，评标委员会应当认定其投标无效，并书面报告本级财政部门。</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290" w:name="_Toc20073"/>
      <w:r/>
      <w:bookmarkStart w:id="291" w:name="_Toc107246245"/>
      <w:r/>
      <w:bookmarkStart w:id="292" w:name="_Toc23134"/>
      <w:r/>
      <w:bookmarkStart w:id="293" w:name="_Toc31101"/>
      <w:r/>
      <w:bookmarkStart w:id="294" w:name="_Toc21823"/>
      <w:r>
        <w:rPr>
          <w:rFonts w:hint="eastAsia" w:ascii="宋体" w:hAnsi="宋体" w:cs="宋体"/>
          <w:color w:val="000000"/>
          <w:sz w:val="24"/>
          <w:szCs w:val="24"/>
          <w:highlight w:val="none"/>
        </w:rPr>
        <w:t xml:space="preserve">五．开标和评标</w:t>
      </w:r>
      <w:bookmarkEnd w:id="290"/>
      <w:r/>
      <w:bookmarkEnd w:id="291"/>
      <w:r/>
      <w:bookmarkEnd w:id="292"/>
      <w:r/>
      <w:bookmarkEnd w:id="293"/>
      <w:r/>
      <w:bookmarkEnd w:id="294"/>
      <w:r/>
      <w:bookmarkStart w:id="295" w:name="_Toc96347885"/>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296" w:name="_Toc104560868"/>
      <w:r/>
      <w:bookmarkStart w:id="297" w:name="_Toc100905230"/>
      <w:r/>
      <w:bookmarkStart w:id="298" w:name="_Toc107246246"/>
      <w:r/>
      <w:bookmarkStart w:id="299" w:name="_Toc4351"/>
      <w:r/>
      <w:bookmarkStart w:id="300" w:name="_Toc25855"/>
      <w:r/>
      <w:bookmarkStart w:id="301" w:name="_Toc103848553"/>
      <w:r/>
      <w:bookmarkStart w:id="302" w:name="_Toc19353"/>
      <w:r/>
      <w:bookmarkStart w:id="303" w:name="_Toc24873"/>
      <w:r>
        <w:rPr>
          <w:rFonts w:hint="eastAsia" w:ascii="宋体" w:hAnsi="宋体" w:cs="宋体"/>
          <w:color w:val="000000"/>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bookmarkStart w:id="304" w:name="_Toc96347886"/>
      <w:r>
        <w:rPr>
          <w:rFonts w:hint="eastAsia" w:ascii="宋体" w:hAnsi="宋体" w:cs="宋体"/>
          <w:bCs/>
          <w:color w:val="000000"/>
          <w:sz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 投标人在开标过程中涉及到的投标文件解密、开标结果确认等工作，应按照《操作手册》规定执行。</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28.3投标人不足3家的，不得开标。</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（2）招标文件没有不合理条款、招标程序符合规定，需要采用其他采购人式采购的，采购人依法报财政部门批准，经批准后，可变更为其他采购人式采购。</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28.6投标人未参加开标的，视同认可开标结果。</w:t>
      </w:r>
      <w:bookmarkEnd w:id="304"/>
      <w:r/>
      <w:bookmarkStart w:id="305" w:name="_Toc100905231"/>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06" w:name="_Toc107246247"/>
      <w:r/>
      <w:bookmarkStart w:id="307" w:name="_Toc29051"/>
      <w:r/>
      <w:bookmarkStart w:id="308" w:name="_Toc18745"/>
      <w:r/>
      <w:bookmarkStart w:id="309" w:name="_Toc26201"/>
      <w:r/>
      <w:bookmarkStart w:id="310" w:name="_Toc12748"/>
      <w:r>
        <w:rPr>
          <w:rFonts w:hint="eastAsia" w:ascii="宋体" w:hAnsi="宋体" w:cs="宋体"/>
          <w:color w:val="000000"/>
          <w:sz w:val="24"/>
          <w:szCs w:val="24"/>
          <w:highlight w:val="none"/>
        </w:rPr>
        <w:t xml:space="preserve">29.资格性审查</w:t>
      </w:r>
      <w:bookmarkEnd w:id="306"/>
      <w:r/>
      <w:bookmarkEnd w:id="307"/>
      <w:r/>
      <w:bookmarkEnd w:id="308"/>
      <w:r/>
      <w:bookmarkEnd w:id="309"/>
      <w:r/>
      <w:bookmarkEnd w:id="310"/>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bookmarkStart w:id="311" w:name="_Toc104560869"/>
      <w:r/>
      <w:bookmarkStart w:id="312" w:name="_Toc103848554"/>
      <w:r>
        <w:rPr>
          <w:rFonts w:hint="eastAsia" w:ascii="宋体" w:hAnsi="宋体" w:cs="宋体"/>
          <w:bCs/>
          <w:color w:val="000000"/>
          <w:sz w:val="24"/>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29.2投标人不具备招标文件规定的投标人资格条件的，应在资格审查时按照无效投标处理。</w:t>
      </w:r>
      <w:r>
        <w:rPr>
          <w:rFonts w:hint="eastAsia" w:ascii="宋体" w:hAnsi="宋体" w:cs="宋体"/>
          <w:bCs/>
          <w:color w:val="000000"/>
          <w:sz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29.3已经进行资格预审的，可以不再对投标人资格进行审查，资格预审合格的投标人在评标阶段资格发生变化的，应当通知采购人。</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13" w:name="_Toc32002"/>
      <w:r/>
      <w:bookmarkStart w:id="314" w:name="_Toc960"/>
      <w:r/>
      <w:bookmarkStart w:id="315" w:name="_Toc28510"/>
      <w:r/>
      <w:bookmarkStart w:id="316" w:name="_Toc107246248"/>
      <w:r/>
      <w:bookmarkStart w:id="317" w:name="_Toc31304"/>
      <w:r>
        <w:rPr>
          <w:rFonts w:hint="eastAsia" w:ascii="宋体" w:hAnsi="宋体" w:cs="宋体"/>
          <w:color w:val="000000"/>
          <w:sz w:val="24"/>
          <w:szCs w:val="24"/>
          <w:highlight w:val="none"/>
        </w:rPr>
        <w:t xml:space="preserve">30.评标</w:t>
      </w:r>
      <w:bookmarkEnd w:id="311"/>
      <w:r/>
      <w:bookmarkEnd w:id="312"/>
      <w:r/>
      <w:bookmarkEnd w:id="313"/>
      <w:r/>
      <w:bookmarkEnd w:id="314"/>
      <w:r/>
      <w:bookmarkEnd w:id="315"/>
      <w:r/>
      <w:bookmarkEnd w:id="316"/>
      <w:r/>
      <w:bookmarkEnd w:id="317"/>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318" w:name="_Toc107246249"/>
      <w:r/>
      <w:bookmarkStart w:id="319" w:name="_Toc16988"/>
      <w:r/>
      <w:bookmarkStart w:id="320" w:name="_Toc103848555"/>
      <w:r/>
      <w:bookmarkStart w:id="321" w:name="_Toc17272"/>
      <w:r/>
      <w:bookmarkStart w:id="322" w:name="_Toc19512"/>
      <w:r/>
      <w:bookmarkStart w:id="323" w:name="_Toc8814"/>
      <w:r/>
      <w:bookmarkStart w:id="324" w:name="_Toc104560870"/>
      <w:r>
        <w:rPr>
          <w:rFonts w:hint="eastAsia" w:ascii="宋体" w:hAnsi="宋体" w:cs="宋体"/>
          <w:color w:val="000000"/>
          <w:sz w:val="24"/>
          <w:szCs w:val="24"/>
          <w:highlight w:val="none"/>
        </w:rPr>
        <w:t xml:space="preserve">30.1评标委员会</w:t>
      </w:r>
      <w:bookmarkEnd w:id="318"/>
      <w:r/>
      <w:bookmarkEnd w:id="319"/>
      <w:r/>
      <w:bookmarkEnd w:id="320"/>
      <w:r/>
      <w:bookmarkEnd w:id="321"/>
      <w:r/>
      <w:bookmarkEnd w:id="322"/>
      <w:r/>
      <w:bookmarkEnd w:id="323"/>
      <w:r/>
      <w:bookmarkEnd w:id="324"/>
      <w:r>
        <w:rPr>
          <w:rFonts w:hint="eastAsia" w:ascii="宋体" w:hAnsi="宋体" w:cs="宋体"/>
          <w:color w:val="000000"/>
          <w:sz w:val="24"/>
          <w:szCs w:val="24"/>
          <w:highlight w:val="none"/>
        </w:rPr>
      </w:r>
      <w:r/>
    </w:p>
    <w:p>
      <w:pPr>
        <w:pStyle w:val="771"/>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30.1.1评标委员会成员负责具体评标事务，并独立履行职责。</w:t>
      </w:r>
      <w:r>
        <w:rPr>
          <w:rFonts w:hint="eastAsia" w:ascii="宋体" w:hAnsi="宋体" w:cs="宋体"/>
          <w:bCs/>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25" w:name="_Toc104560871"/>
      <w:r/>
      <w:bookmarkStart w:id="326" w:name="_Toc103848556"/>
      <w:r/>
      <w:bookmarkStart w:id="327" w:name="_Toc23065"/>
      <w:r/>
      <w:bookmarkStart w:id="328" w:name="_Toc22047"/>
      <w:r/>
      <w:bookmarkStart w:id="329" w:name="_Toc2386"/>
      <w:r/>
      <w:bookmarkStart w:id="330" w:name="_Toc107246250"/>
      <w:r/>
      <w:bookmarkStart w:id="331" w:name="_Toc20916"/>
      <w:r>
        <w:rPr>
          <w:rFonts w:hint="eastAsia" w:ascii="宋体" w:hAnsi="宋体" w:cs="宋体"/>
          <w:color w:val="000000"/>
          <w:sz w:val="24"/>
          <w:szCs w:val="24"/>
          <w:highlight w:val="none"/>
        </w:rPr>
        <w:t xml:space="preserve">30.2</w:t>
      </w:r>
      <w:bookmarkEnd w:id="325"/>
      <w:r/>
      <w:bookmarkEnd w:id="326"/>
      <w:r>
        <w:rPr>
          <w:rFonts w:hint="eastAsia" w:ascii="宋体" w:hAnsi="宋体" w:cs="宋体"/>
          <w:color w:val="000000"/>
          <w:sz w:val="24"/>
          <w:szCs w:val="24"/>
          <w:highlight w:val="none"/>
        </w:rPr>
        <w:t xml:space="preserve">符合性审查</w:t>
      </w:r>
      <w:bookmarkEnd w:id="327"/>
      <w:r/>
      <w:bookmarkEnd w:id="328"/>
      <w:r/>
      <w:bookmarkEnd w:id="329"/>
      <w:r/>
      <w:bookmarkEnd w:id="330"/>
      <w:r/>
      <w:bookmarkEnd w:id="331"/>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30.2.3投标文件有下列情况之一的，在符合性检查时按照无效投标处理：</w:t>
      </w:r>
      <w:r>
        <w:rPr>
          <w:rFonts w:hint="eastAsia" w:ascii="宋体" w:hAnsi="宋体" w:cs="宋体"/>
          <w:b/>
          <w:bCs/>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（1）投标人在“苏采云”系统规定的时间内未成功解密电子投标文件的；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（2）投标人未按照招标文件要求上传电子投标文件的；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（3）同一投标人提交两个（含两个）以上不同的投标报价的；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（4）未按照招标文件规定要求签署、盖章的；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（5）报价超过招标文件中规定的预算金额或者最高限价的；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（6）投标文件中承诺的投标有效期不满足招标文件中载明的投标有效期的；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（7）未按照招标文件规定提交投标保证金的；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（8）投标文件含有采购人不能接受的附加条件的；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（9）投标文件不符合招标文件中规定的其它实质性要求的；</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（10）现行法律、法规、规章和招标文件规定的其他无效情形。</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End w:id="305"/>
      <w:r/>
      <w:bookmarkStart w:id="332" w:name="_Toc18531"/>
      <w:r/>
      <w:bookmarkStart w:id="333" w:name="_Toc7156"/>
      <w:r/>
      <w:bookmarkStart w:id="334" w:name="_Toc107246251"/>
      <w:r/>
      <w:bookmarkStart w:id="335" w:name="_Toc104560872"/>
      <w:r/>
      <w:bookmarkStart w:id="336" w:name="_Toc19533"/>
      <w:r/>
      <w:bookmarkStart w:id="337" w:name="_Toc103848557"/>
      <w:r/>
      <w:bookmarkStart w:id="338" w:name="_Toc409"/>
      <w:r>
        <w:rPr>
          <w:rFonts w:hint="eastAsia" w:ascii="宋体" w:hAnsi="宋体" w:cs="宋体"/>
          <w:color w:val="000000"/>
          <w:sz w:val="24"/>
          <w:szCs w:val="24"/>
          <w:highlight w:val="none"/>
        </w:rPr>
        <w:t xml:space="preserve">30.3投标文件澄清</w:t>
      </w:r>
      <w:bookmarkEnd w:id="332"/>
      <w:r/>
      <w:bookmarkEnd w:id="333"/>
      <w:r/>
      <w:bookmarkEnd w:id="334"/>
      <w:r/>
      <w:bookmarkEnd w:id="335"/>
      <w:r/>
      <w:bookmarkEnd w:id="336"/>
      <w:r/>
      <w:bookmarkEnd w:id="337"/>
      <w:r/>
      <w:bookmarkEnd w:id="338"/>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30.3.3评标委员会不接受投标人主动提出的澄清、说明。</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30.3.4有效的书面澄清材料，是投标文件的补充材料，成为投标文件的组成部分。</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39" w:name="_Toc32039"/>
      <w:r/>
      <w:bookmarkStart w:id="340" w:name="_Toc15005"/>
      <w:r/>
      <w:bookmarkStart w:id="341" w:name="_Toc14281"/>
      <w:r/>
      <w:bookmarkStart w:id="342" w:name="_Toc27935"/>
      <w:r/>
      <w:bookmarkStart w:id="343" w:name="_Toc107246252"/>
      <w:r>
        <w:rPr>
          <w:rFonts w:hint="eastAsia" w:ascii="宋体" w:hAnsi="宋体" w:cs="宋体"/>
          <w:color w:val="000000"/>
          <w:sz w:val="24"/>
          <w:szCs w:val="24"/>
          <w:highlight w:val="none"/>
        </w:rPr>
        <w:t xml:space="preserve">30.4</w:t>
      </w:r>
      <w:bookmarkEnd w:id="343"/>
      <w:r>
        <w:rPr>
          <w:rFonts w:hint="eastAsia" w:ascii="宋体" w:hAnsi="宋体" w:cs="宋体"/>
          <w:color w:val="000000"/>
          <w:sz w:val="24"/>
          <w:szCs w:val="24"/>
          <w:highlight w:val="none"/>
        </w:rPr>
        <w:t xml:space="preserve">报价修正</w:t>
      </w:r>
      <w:bookmarkEnd w:id="339"/>
      <w:r/>
      <w:bookmarkEnd w:id="340"/>
      <w:r/>
      <w:bookmarkEnd w:id="341"/>
      <w:r/>
      <w:bookmarkEnd w:id="342"/>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30.4.1投标文件报价出现前后不一致的，除招标文件另有规定外，按照下列规定修正：</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44" w:name="_Toc10306"/>
      <w:r/>
      <w:bookmarkStart w:id="345" w:name="_Toc104560873"/>
      <w:r/>
      <w:bookmarkStart w:id="346" w:name="_Toc103848558"/>
      <w:r/>
      <w:bookmarkStart w:id="347" w:name="_Toc16280"/>
      <w:r/>
      <w:bookmarkStart w:id="348" w:name="_Toc911"/>
      <w:r/>
      <w:bookmarkStart w:id="349" w:name="_Toc107246253"/>
      <w:r/>
      <w:bookmarkStart w:id="350" w:name="_Toc28662"/>
      <w:r>
        <w:rPr>
          <w:rFonts w:hint="eastAsia" w:ascii="宋体" w:hAnsi="宋体" w:cs="宋体"/>
          <w:color w:val="000000"/>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30.5.3非单一产品采购项目，根据采购项目技术构成、产品价格比重等合理确定核心产品。多家投标人提供的核心产品品牌相同的，按前两款规定处理。</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51" w:name="_Toc104560874"/>
      <w:r/>
      <w:bookmarkStart w:id="352" w:name="_Toc10010"/>
      <w:r/>
      <w:bookmarkStart w:id="353" w:name="_Toc103848559"/>
      <w:r/>
      <w:bookmarkStart w:id="354" w:name="_Toc107246254"/>
      <w:r/>
      <w:bookmarkStart w:id="355" w:name="_Toc7403"/>
      <w:r/>
      <w:bookmarkStart w:id="356" w:name="_Toc5246"/>
      <w:r/>
      <w:bookmarkStart w:id="357" w:name="_Toc30717"/>
      <w:r>
        <w:rPr>
          <w:rFonts w:hint="eastAsia" w:ascii="宋体" w:hAnsi="宋体" w:cs="宋体"/>
          <w:color w:val="000000"/>
          <w:sz w:val="24"/>
          <w:szCs w:val="24"/>
          <w:highlight w:val="none"/>
        </w:rPr>
        <w:t xml:space="preserve">30.6比较与评价</w:t>
      </w:r>
      <w:bookmarkEnd w:id="351"/>
      <w:r/>
      <w:bookmarkEnd w:id="352"/>
      <w:r/>
      <w:bookmarkEnd w:id="353"/>
      <w:r/>
      <w:bookmarkEnd w:id="354"/>
      <w:r/>
      <w:bookmarkEnd w:id="355"/>
      <w:r/>
      <w:bookmarkEnd w:id="356"/>
      <w:r/>
      <w:bookmarkEnd w:id="357"/>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30.6.1评标委员会应当按照招标文件中第五章《评标方法和评标标准》，对符合性审查合格的投标文件进行比较与评价。</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58" w:name="_Toc17871"/>
      <w:r/>
      <w:bookmarkStart w:id="359" w:name="_Toc9344"/>
      <w:r/>
      <w:bookmarkStart w:id="360" w:name="_Toc9528"/>
      <w:r/>
      <w:bookmarkStart w:id="361" w:name="_Toc107246255"/>
      <w:r/>
      <w:bookmarkStart w:id="362" w:name="_Toc19495"/>
      <w:r>
        <w:rPr>
          <w:rFonts w:hint="eastAsia" w:ascii="宋体" w:hAnsi="宋体" w:cs="宋体"/>
          <w:color w:val="000000"/>
          <w:sz w:val="24"/>
          <w:szCs w:val="24"/>
          <w:highlight w:val="none"/>
        </w:rPr>
        <w:t xml:space="preserve">30.7编写评标报告</w:t>
      </w:r>
      <w:bookmarkEnd w:id="358"/>
      <w:r/>
      <w:bookmarkEnd w:id="359"/>
      <w:r/>
      <w:bookmarkEnd w:id="360"/>
      <w:r/>
      <w:bookmarkEnd w:id="361"/>
      <w:r/>
      <w:bookmarkEnd w:id="362"/>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30.7.1评标委员会根据全体评标成员签字的原始评标记录和评标结果编写评标报告。</w:t>
      </w:r>
      <w:r>
        <w:rPr>
          <w:rFonts w:hint="eastAsia" w:ascii="宋体" w:hAnsi="宋体" w:cs="宋体"/>
          <w:color w:val="000000"/>
          <w:sz w:val="24"/>
          <w:highlight w:val="none"/>
        </w:rPr>
      </w:r>
      <w:r/>
    </w:p>
    <w:p>
      <w:pPr>
        <w:pStyle w:val="1108"/>
        <w:ind w:left="0" w:right="210"/>
        <w:spacing w:line="360" w:lineRule="auto"/>
        <w:tabs>
          <w:tab w:val="left" w:pos="5882" w:leader="none"/>
        </w:tabs>
        <w:rPr>
          <w:rFonts w:hint="eastAsia" w:ascii="宋体" w:hAnsi="宋体" w:cs="宋体"/>
          <w:color w:val="000000"/>
          <w:sz w:val="24"/>
          <w:szCs w:val="24"/>
          <w:highlight w:val="none"/>
        </w:rPr>
      </w:pPr>
      <w:r/>
      <w:bookmarkStart w:id="363" w:name="_Toc21441"/>
      <w:r/>
      <w:bookmarkStart w:id="364" w:name="_Toc16915"/>
      <w:r/>
      <w:bookmarkStart w:id="365" w:name="_Toc14498"/>
      <w:r/>
      <w:bookmarkStart w:id="366" w:name="_Toc107246256"/>
      <w:r/>
      <w:bookmarkStart w:id="367" w:name="_Toc103848561"/>
      <w:r/>
      <w:bookmarkStart w:id="368" w:name="_Toc28985"/>
      <w:r/>
      <w:bookmarkStart w:id="369" w:name="_Toc104560876"/>
      <w:r>
        <w:rPr>
          <w:rFonts w:hint="eastAsia" w:ascii="宋体" w:hAnsi="宋体" w:cs="宋体"/>
          <w:color w:val="000000"/>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30.8.1评标委员会成员名单在评标结果公示前应当保密。</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30.8.2采购人应当采取必要的措施，保证评标在严格保密的情况下进行。</w:t>
      </w:r>
      <w:r>
        <w:rPr>
          <w:rFonts w:hint="eastAsia" w:ascii="宋体" w:hAnsi="宋体" w:cs="宋体"/>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30.8.3有关人员对评标情况以及在评标过程中获悉的国家秘密、商业秘密负有保密责任。</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70" w:name="_Toc7173"/>
      <w:r/>
      <w:bookmarkStart w:id="371" w:name="_Toc15231"/>
      <w:r/>
      <w:bookmarkStart w:id="372" w:name="_Toc28267"/>
      <w:r/>
      <w:bookmarkStart w:id="373" w:name="_Toc27985"/>
      <w:r/>
      <w:bookmarkStart w:id="374" w:name="_Toc107246257"/>
      <w:r>
        <w:rPr>
          <w:rFonts w:hint="eastAsia" w:ascii="宋体" w:hAnsi="宋体" w:cs="宋体"/>
          <w:color w:val="000000"/>
          <w:sz w:val="24"/>
          <w:szCs w:val="24"/>
          <w:highlight w:val="none"/>
        </w:rPr>
        <w:t xml:space="preserve">六．确定中标</w:t>
      </w:r>
      <w:bookmarkEnd w:id="370"/>
      <w:r/>
      <w:bookmarkEnd w:id="371"/>
      <w:r/>
      <w:bookmarkEnd w:id="372"/>
      <w:r/>
      <w:bookmarkEnd w:id="373"/>
      <w:r/>
      <w:bookmarkEnd w:id="374"/>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Start w:id="375" w:name="_Toc5549"/>
      <w:r/>
      <w:bookmarkStart w:id="376" w:name="_Toc104560878"/>
      <w:r/>
      <w:bookmarkStart w:id="377" w:name="_Toc103848563"/>
      <w:r/>
      <w:bookmarkStart w:id="378" w:name="_Toc15590"/>
      <w:r/>
      <w:bookmarkStart w:id="379" w:name="_Toc4697"/>
      <w:r/>
      <w:bookmarkStart w:id="380" w:name="_Toc1065"/>
      <w:r/>
      <w:bookmarkStart w:id="381" w:name="_Toc107246258"/>
      <w:r>
        <w:rPr>
          <w:rFonts w:hint="eastAsia" w:ascii="宋体" w:hAnsi="宋体" w:cs="宋体"/>
          <w:color w:val="000000"/>
          <w:sz w:val="24"/>
          <w:szCs w:val="24"/>
          <w:highlight w:val="none"/>
        </w:rPr>
        <w:t xml:space="preserve">31.确定中标</w:t>
      </w:r>
      <w:bookmarkEnd w:id="376"/>
      <w:r/>
      <w:bookmarkEnd w:id="377"/>
      <w:r>
        <w:rPr>
          <w:rFonts w:hint="eastAsia" w:ascii="宋体" w:hAnsi="宋体" w:cs="宋体"/>
          <w:color w:val="000000"/>
          <w:sz w:val="24"/>
          <w:szCs w:val="24"/>
          <w:highlight w:val="none"/>
        </w:rPr>
        <w:t xml:space="preserve">人</w:t>
      </w:r>
      <w:bookmarkEnd w:id="375"/>
      <w:r/>
      <w:bookmarkEnd w:id="378"/>
      <w:r/>
      <w:bookmarkEnd w:id="379"/>
      <w:r/>
      <w:bookmarkEnd w:id="380"/>
      <w:r/>
      <w:bookmarkEnd w:id="381"/>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31.3评审结束后，中标人名单将省级以上财政部门指定的媒体上公告中标结果，中标公告期为1个工作日</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82" w:name="_Toc18046"/>
      <w:r/>
      <w:bookmarkStart w:id="383" w:name="_Toc103848564"/>
      <w:r/>
      <w:bookmarkStart w:id="384" w:name="_Toc680"/>
      <w:r/>
      <w:bookmarkStart w:id="385" w:name="_Toc27602"/>
      <w:r/>
      <w:bookmarkStart w:id="386" w:name="_Toc104560879"/>
      <w:r/>
      <w:bookmarkStart w:id="387" w:name="_Toc4935"/>
      <w:r/>
      <w:bookmarkStart w:id="388" w:name="_Toc107246259"/>
      <w:r>
        <w:rPr>
          <w:rFonts w:hint="eastAsia" w:ascii="宋体" w:hAnsi="宋体" w:cs="宋体"/>
          <w:color w:val="000000"/>
          <w:sz w:val="24"/>
          <w:szCs w:val="24"/>
          <w:highlight w:val="none"/>
        </w:rPr>
        <w:t xml:space="preserve">32.中标通知书</w:t>
      </w:r>
      <w:bookmarkEnd w:id="382"/>
      <w:r/>
      <w:bookmarkEnd w:id="383"/>
      <w:r/>
      <w:bookmarkEnd w:id="384"/>
      <w:r/>
      <w:bookmarkEnd w:id="385"/>
      <w:r/>
      <w:bookmarkEnd w:id="386"/>
      <w:r/>
      <w:bookmarkEnd w:id="387"/>
      <w:r/>
      <w:bookmarkEnd w:id="388"/>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32.1采购代理机构将在中标公告发布的同时向中标人发出中标通知书。</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32.2中标通知书将是合同的组成部分。对采购人和中标人均具有法律效力。</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32.3</w:t>
      </w:r>
      <w:bookmarkStart w:id="389" w:name="_Toc103848560"/>
      <w:r/>
      <w:bookmarkStart w:id="390" w:name="_Toc104560875"/>
      <w:r>
        <w:rPr>
          <w:rFonts w:hint="eastAsia" w:ascii="宋体" w:hAnsi="宋体" w:cs="宋体"/>
          <w:color w:val="000000"/>
          <w:sz w:val="24"/>
          <w:highlight w:val="none"/>
        </w:rPr>
        <w:t xml:space="preserve">中标通知书发出后，中标人无正当理由不得放弃中标，否则将依法承担法律责任。</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91" w:name="_Toc5939"/>
      <w:r/>
      <w:bookmarkStart w:id="392" w:name="_Toc19524"/>
      <w:r/>
      <w:bookmarkStart w:id="393" w:name="_Toc107246260"/>
      <w:r/>
      <w:bookmarkStart w:id="394" w:name="_Toc23182"/>
      <w:r/>
      <w:bookmarkStart w:id="395" w:name="_Toc21503"/>
      <w:r>
        <w:rPr>
          <w:rFonts w:hint="eastAsia" w:ascii="宋体" w:hAnsi="宋体" w:cs="宋体"/>
          <w:color w:val="000000"/>
          <w:sz w:val="24"/>
          <w:szCs w:val="24"/>
          <w:highlight w:val="none"/>
        </w:rPr>
        <w:t xml:space="preserve">33.废标</w:t>
      </w:r>
      <w:bookmarkEnd w:id="389"/>
      <w:r/>
      <w:bookmarkEnd w:id="390"/>
      <w:r/>
      <w:bookmarkEnd w:id="391"/>
      <w:r/>
      <w:bookmarkEnd w:id="392"/>
      <w:r/>
      <w:bookmarkEnd w:id="393"/>
      <w:r/>
      <w:bookmarkEnd w:id="394"/>
      <w:r/>
      <w:bookmarkEnd w:id="395"/>
      <w:r>
        <w:rPr>
          <w:rFonts w:hint="eastAsia" w:ascii="宋体" w:hAnsi="宋体" w:cs="宋体"/>
          <w:color w:val="000000"/>
          <w:sz w:val="24"/>
          <w:szCs w:val="24"/>
          <w:highlight w:val="none"/>
        </w:rPr>
      </w:r>
      <w:r/>
    </w:p>
    <w:p>
      <w:pPr>
        <w:pStyle w:val="771"/>
        <w:ind w:firstLine="316"/>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33.1出现下列情形之一的，应予废标：</w:t>
      </w:r>
      <w:r>
        <w:rPr>
          <w:rFonts w:hint="eastAsia" w:ascii="宋体" w:hAnsi="宋体" w:cs="宋体"/>
          <w:b/>
          <w:color w:val="000000"/>
          <w:sz w:val="24"/>
          <w:highlight w:val="none"/>
        </w:rPr>
      </w:r>
      <w:r/>
    </w:p>
    <w:p>
      <w:pPr>
        <w:pStyle w:val="771"/>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（1）符合专业条件的投标人或者对招标文件作实质响应的投标人不足三家的；</w:t>
      </w:r>
      <w:r>
        <w:rPr>
          <w:rFonts w:hint="eastAsia" w:ascii="宋体" w:hAnsi="宋体" w:cs="宋体"/>
          <w:bCs/>
          <w:color w:val="000000"/>
          <w:sz w:val="24"/>
          <w:highlight w:val="none"/>
        </w:rPr>
      </w:r>
      <w:r/>
    </w:p>
    <w:p>
      <w:pPr>
        <w:pStyle w:val="771"/>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w:t>
      </w:r>
      <w:r>
        <w:rPr>
          <w:rFonts w:hint="eastAsia" w:ascii="宋体" w:hAnsi="宋体" w:cs="宋体"/>
          <w:bCs/>
          <w:color w:val="000000"/>
          <w:sz w:val="24"/>
          <w:highlight w:val="none"/>
        </w:rPr>
      </w:r>
      <w:r/>
    </w:p>
    <w:p>
      <w:pPr>
        <w:pStyle w:val="771"/>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（3）投标人的报价均超过了采购预算，采购人不能支付的；</w:t>
      </w:r>
      <w:r>
        <w:rPr>
          <w:rFonts w:hint="eastAsia" w:ascii="宋体" w:hAnsi="宋体" w:cs="宋体"/>
          <w:bCs/>
          <w:color w:val="000000"/>
          <w:sz w:val="24"/>
          <w:highlight w:val="none"/>
        </w:rPr>
      </w:r>
      <w:r/>
    </w:p>
    <w:p>
      <w:pPr>
        <w:pStyle w:val="771"/>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（4）因重大变故，采购任务取消的。</w:t>
      </w:r>
      <w:r>
        <w:rPr>
          <w:rFonts w:hint="eastAsia" w:ascii="宋体" w:hAnsi="宋体" w:cs="宋体"/>
          <w:bCs/>
          <w:color w:val="000000"/>
          <w:sz w:val="24"/>
          <w:highlight w:val="none"/>
        </w:rPr>
      </w:r>
      <w:r/>
    </w:p>
    <w:p>
      <w:pPr>
        <w:pStyle w:val="771"/>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33.2废标后，采购人将废标理由通知所有投标人。</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396" w:name="_Toc104560880"/>
      <w:r/>
      <w:bookmarkStart w:id="397" w:name="_Toc14037"/>
      <w:r/>
      <w:bookmarkStart w:id="398" w:name="_Toc107246261"/>
      <w:r/>
      <w:bookmarkStart w:id="399" w:name="_Toc17229"/>
      <w:r/>
      <w:bookmarkStart w:id="400" w:name="_Toc103848565"/>
      <w:r/>
      <w:bookmarkStart w:id="401" w:name="_Toc3963"/>
      <w:r/>
      <w:bookmarkStart w:id="402" w:name="_Toc14732"/>
      <w:r/>
      <w:bookmarkStart w:id="403" w:name="_Toc16938553"/>
      <w:r/>
      <w:bookmarkStart w:id="404" w:name="_Toc20823309"/>
      <w:r/>
      <w:bookmarkStart w:id="405" w:name="_Toc513029237"/>
      <w:r>
        <w:rPr>
          <w:rFonts w:hint="eastAsia" w:ascii="宋体" w:hAnsi="宋体" w:cs="宋体"/>
          <w:color w:val="000000"/>
          <w:sz w:val="24"/>
          <w:szCs w:val="24"/>
          <w:highlight w:val="none"/>
        </w:rPr>
        <w:t xml:space="preserve">34.签订合同</w:t>
      </w:r>
      <w:bookmarkEnd w:id="396"/>
      <w:r/>
      <w:bookmarkEnd w:id="397"/>
      <w:r/>
      <w:bookmarkEnd w:id="398"/>
      <w:r/>
      <w:bookmarkEnd w:id="399"/>
      <w:r/>
      <w:bookmarkEnd w:id="400"/>
      <w:r/>
      <w:bookmarkEnd w:id="401"/>
      <w:r/>
      <w:bookmarkEnd w:id="402"/>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34.3联合体中标的，联合体各方应当共同与采购人签订合同，就中标项目向采购人承担连带责任。</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406" w:name="_Toc31735"/>
      <w:r/>
      <w:bookmarkStart w:id="407" w:name="_Toc104560881"/>
      <w:r/>
      <w:bookmarkStart w:id="408" w:name="_Toc107246262"/>
      <w:r/>
      <w:bookmarkStart w:id="409" w:name="_Toc12453"/>
      <w:r/>
      <w:bookmarkStart w:id="410" w:name="_Toc103848567"/>
      <w:r/>
      <w:bookmarkStart w:id="411" w:name="_Toc22296"/>
      <w:r/>
      <w:bookmarkStart w:id="412" w:name="_Toc13291"/>
      <w:r>
        <w:rPr>
          <w:rFonts w:hint="eastAsia" w:ascii="宋体" w:hAnsi="宋体" w:cs="宋体"/>
          <w:color w:val="000000"/>
          <w:sz w:val="24"/>
          <w:szCs w:val="24"/>
          <w:highlight w:val="none"/>
        </w:rPr>
        <w:t xml:space="preserve">35.履约保证金</w:t>
      </w:r>
      <w:bookmarkEnd w:id="406"/>
      <w:r/>
      <w:bookmarkEnd w:id="407"/>
      <w:r/>
      <w:bookmarkEnd w:id="408"/>
      <w:r/>
      <w:bookmarkEnd w:id="409"/>
      <w:r/>
      <w:bookmarkEnd w:id="410"/>
      <w:r/>
      <w:bookmarkEnd w:id="411"/>
      <w:r/>
      <w:bookmarkEnd w:id="412"/>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35.1</w:t>
      </w:r>
      <w:r>
        <w:rPr>
          <w:rFonts w:hint="eastAsia" w:ascii="宋体" w:hAnsi="宋体" w:cs="宋体"/>
          <w:bCs/>
          <w:color w:val="000000"/>
          <w:sz w:val="24"/>
          <w:highlight w:val="none"/>
        </w:rPr>
        <w:t xml:space="preserve">如</w:t>
      </w:r>
      <w:r>
        <w:rPr>
          <w:rFonts w:hint="eastAsia" w:ascii="宋体" w:hAnsi="宋体" w:cs="宋体"/>
          <w:color w:val="000000"/>
          <w:sz w:val="24"/>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 w:val="24"/>
          <w:highlight w:val="none"/>
        </w:rPr>
      </w:r>
      <w:r/>
    </w:p>
    <w:p>
      <w:pPr>
        <w:pStyle w:val="771"/>
        <w:ind w:firstLine="42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35.2中标人没有按照规定提交履约保证金的，视为放弃中标，其投标保证金不予退还。</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End w:id="403"/>
      <w:r/>
      <w:bookmarkEnd w:id="404"/>
      <w:r/>
      <w:bookmarkEnd w:id="405"/>
      <w:r/>
      <w:bookmarkStart w:id="413" w:name="_Toc7045"/>
      <w:r/>
      <w:bookmarkStart w:id="414" w:name="_Toc23794"/>
      <w:r/>
      <w:bookmarkStart w:id="415" w:name="_Toc11501"/>
      <w:r/>
      <w:bookmarkStart w:id="416" w:name="_Toc877"/>
      <w:r/>
      <w:bookmarkStart w:id="417" w:name="_Toc107246263"/>
      <w:r>
        <w:rPr>
          <w:rFonts w:hint="eastAsia" w:ascii="宋体" w:hAnsi="宋体" w:cs="宋体"/>
          <w:color w:val="000000"/>
          <w:sz w:val="24"/>
          <w:szCs w:val="24"/>
          <w:highlight w:val="none"/>
        </w:rPr>
        <w:t xml:space="preserve">七．</w:t>
      </w:r>
      <w:bookmarkStart w:id="418" w:name="_Toc103848569"/>
      <w:r>
        <w:rPr>
          <w:rFonts w:hint="eastAsia" w:ascii="宋体" w:hAnsi="宋体" w:cs="宋体"/>
          <w:color w:val="000000"/>
          <w:sz w:val="24"/>
          <w:szCs w:val="24"/>
          <w:highlight w:val="none"/>
        </w:rPr>
        <w:t xml:space="preserve">询问与质疑</w:t>
      </w:r>
      <w:bookmarkEnd w:id="413"/>
      <w:r/>
      <w:bookmarkEnd w:id="414"/>
      <w:r/>
      <w:bookmarkEnd w:id="415"/>
      <w:r/>
      <w:bookmarkEnd w:id="416"/>
      <w:r/>
      <w:bookmarkEnd w:id="417"/>
      <w:r>
        <w:rPr>
          <w:rFonts w:hint="eastAsia" w:ascii="宋体" w:hAnsi="宋体" w:cs="宋体"/>
          <w:color w:val="000000"/>
          <w:sz w:val="24"/>
          <w:szCs w:val="24"/>
          <w:highlight w:val="none"/>
        </w:rPr>
      </w:r>
      <w:r/>
    </w:p>
    <w:p>
      <w:pPr>
        <w:pStyle w:val="1108"/>
        <w:ind w:left="0" w:right="210"/>
        <w:spacing w:line="360" w:lineRule="auto"/>
        <w:rPr>
          <w:rFonts w:hint="eastAsia" w:ascii="宋体" w:hAnsi="宋体" w:cs="宋体"/>
          <w:color w:val="000000"/>
          <w:sz w:val="24"/>
          <w:szCs w:val="24"/>
          <w:highlight w:val="none"/>
        </w:rPr>
      </w:pPr>
      <w:r/>
      <w:bookmarkEnd w:id="418"/>
      <w:r/>
      <w:bookmarkStart w:id="419" w:name="_Toc17458"/>
      <w:r/>
      <w:bookmarkStart w:id="420" w:name="_Toc104560883"/>
      <w:r/>
      <w:bookmarkStart w:id="421" w:name="_Toc16131"/>
      <w:r/>
      <w:bookmarkStart w:id="422" w:name="_Toc107246264"/>
      <w:r/>
      <w:bookmarkStart w:id="423" w:name="_Toc31999"/>
      <w:r/>
      <w:bookmarkStart w:id="424" w:name="_Toc13968"/>
      <w:r/>
      <w:bookmarkStart w:id="425" w:name="_Toc102117305"/>
      <w:r>
        <w:rPr>
          <w:rFonts w:hint="eastAsia" w:ascii="宋体" w:hAnsi="宋体" w:cs="宋体"/>
          <w:color w:val="000000"/>
          <w:sz w:val="24"/>
          <w:szCs w:val="24"/>
          <w:highlight w:val="none"/>
        </w:rPr>
        <w:t xml:space="preserve">36.询问</w:t>
      </w:r>
      <w:bookmarkEnd w:id="419"/>
      <w:r/>
      <w:bookmarkEnd w:id="420"/>
      <w:r/>
      <w:bookmarkEnd w:id="421"/>
      <w:r/>
      <w:bookmarkEnd w:id="422"/>
      <w:r/>
      <w:bookmarkEnd w:id="423"/>
      <w:r/>
      <w:bookmarkEnd w:id="424"/>
      <w:r/>
      <w:bookmarkEnd w:id="425"/>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36.1供应商对政府采购活动事项有疑问的，可依法提出询问，并按</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载明的形式通知采购人。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36.2采购人对供应商依法提出的询问，在3个工作日内作出答复，但答复的内容不得涉及商业秘密。</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426" w:name="_Toc14426"/>
      <w:r/>
      <w:bookmarkStart w:id="427" w:name="_Toc102117306"/>
      <w:r/>
      <w:bookmarkStart w:id="428" w:name="_Toc24782"/>
      <w:r/>
      <w:bookmarkStart w:id="429" w:name="_Toc25773"/>
      <w:r/>
      <w:bookmarkStart w:id="430" w:name="_Toc699"/>
      <w:r/>
      <w:bookmarkStart w:id="431" w:name="_Toc107246265"/>
      <w:r/>
      <w:bookmarkStart w:id="432" w:name="_Toc104560884"/>
      <w:r>
        <w:rPr>
          <w:rFonts w:hint="eastAsia" w:ascii="宋体" w:hAnsi="宋体" w:cs="宋体"/>
          <w:color w:val="000000"/>
          <w:sz w:val="24"/>
          <w:szCs w:val="24"/>
          <w:highlight w:val="none"/>
        </w:rPr>
        <w:t xml:space="preserve">37.质疑</w:t>
      </w:r>
      <w:bookmarkEnd w:id="426"/>
      <w:r/>
      <w:bookmarkEnd w:id="427"/>
      <w:r/>
      <w:bookmarkEnd w:id="428"/>
      <w:r/>
      <w:bookmarkEnd w:id="429"/>
      <w:r/>
      <w:bookmarkEnd w:id="430"/>
      <w:r/>
      <w:bookmarkEnd w:id="431"/>
      <w:r/>
      <w:bookmarkEnd w:id="432"/>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的要求向采购人提出质疑。采购人将以书面形式答复质疑供应商，但答复的内容不涉及商业秘密。投标人在法定质疑期内针对同一采购程序环节的质疑必须一次性提出。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37.2以联合体形式参加投标的，应当由组成联合体的所有供应商共同提出。</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37.3质疑函应使用财政部制定的范本文件。</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bookmarkStart w:id="433" w:name="_Toc107246266"/>
      <w:r/>
      <w:bookmarkStart w:id="434" w:name="_Toc5"/>
      <w:r/>
      <w:bookmarkStart w:id="435" w:name="_Toc29703"/>
      <w:r/>
      <w:bookmarkStart w:id="436" w:name="_Toc2235"/>
      <w:r/>
      <w:bookmarkStart w:id="437" w:name="_Toc691"/>
      <w:r>
        <w:rPr>
          <w:rFonts w:hint="eastAsia" w:ascii="宋体" w:hAnsi="宋体" w:cs="宋体"/>
          <w:color w:val="000000"/>
          <w:sz w:val="24"/>
          <w:szCs w:val="24"/>
          <w:highlight w:val="none"/>
        </w:rPr>
        <w:t xml:space="preserve">八．其他</w:t>
      </w:r>
      <w:bookmarkEnd w:id="433"/>
      <w:r/>
      <w:bookmarkEnd w:id="434"/>
      <w:r/>
      <w:bookmarkEnd w:id="435"/>
      <w:r/>
      <w:bookmarkEnd w:id="436"/>
      <w:r/>
      <w:bookmarkEnd w:id="437"/>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bookmarkStart w:id="438" w:name="_Toc10620"/>
      <w:r/>
      <w:bookmarkStart w:id="439" w:name="_Toc27424"/>
      <w:r/>
      <w:bookmarkStart w:id="440" w:name="_Toc29330"/>
      <w:r/>
      <w:bookmarkStart w:id="441" w:name="_Toc107246267"/>
      <w:r/>
      <w:bookmarkStart w:id="442" w:name="_Toc103848572"/>
      <w:r/>
      <w:bookmarkStart w:id="443" w:name="_Toc16602"/>
      <w:r/>
      <w:bookmarkStart w:id="444" w:name="_Toc104560886"/>
      <w:r>
        <w:rPr>
          <w:rFonts w:hint="eastAsia" w:ascii="宋体" w:hAnsi="宋体" w:cs="宋体"/>
          <w:color w:val="000000"/>
          <w:sz w:val="24"/>
          <w:highlight w:val="none"/>
        </w:rPr>
        <w:t xml:space="preserve">38.招标代理服务费</w:t>
      </w:r>
      <w:bookmarkEnd w:id="438"/>
      <w:r/>
      <w:bookmarkEnd w:id="439"/>
      <w:r/>
      <w:bookmarkEnd w:id="440"/>
      <w:r/>
      <w:bookmarkEnd w:id="441"/>
      <w:r/>
      <w:bookmarkEnd w:id="442"/>
      <w:r/>
      <w:bookmarkEnd w:id="443"/>
      <w:r/>
      <w:bookmarkEnd w:id="444"/>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bookmarkStart w:id="445" w:name="_Toc5868"/>
      <w:r/>
      <w:bookmarkStart w:id="446" w:name="_Toc17112"/>
      <w:r/>
      <w:bookmarkStart w:id="447" w:name="_Toc103848574"/>
      <w:r/>
      <w:bookmarkStart w:id="448" w:name="_Toc107246269"/>
      <w:r/>
      <w:bookmarkStart w:id="449" w:name="_Toc12087"/>
      <w:r/>
      <w:bookmarkStart w:id="450" w:name="_Toc104560888"/>
      <w:r/>
      <w:bookmarkStart w:id="451" w:name="_Toc30669"/>
      <w:r>
        <w:rPr>
          <w:rFonts w:hint="eastAsia" w:ascii="宋体" w:hAnsi="宋体" w:cs="宋体"/>
          <w:color w:val="000000"/>
          <w:sz w:val="24"/>
          <w:highlight w:val="none"/>
        </w:rPr>
        <w:t xml:space="preserve">38.1支付主体和报价要求：本项目采购代理服务费由中标人支付，中标人在报价时应将代理服务费全额包含在投标总价中，采购人不再另行支付。</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38.2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原因：本项目项目预算编制过程中已包含本项目的采购代理服务费。</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38.3收取方式：中标人在领取中标通知书前，一次性向采购代理机构足额支付；支付方式为银行转账/电汇/现金。</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38.4收费标准：中标人以中标价为基数，参照苏招协</w:t>
      </w:r>
      <w:r>
        <w:rPr>
          <w:rFonts w:ascii="SimSun" w:hAnsi="SimSun" w:eastAsia="SimSun" w:cs="SimSun"/>
          <w:color w:val="000000"/>
          <w:sz w:val="24"/>
        </w:rPr>
        <w:t xml:space="preserve">【</w:t>
      </w:r>
      <w:r>
        <w:rPr>
          <w:rFonts w:hint="eastAsia" w:ascii="宋体" w:hAnsi="宋体" w:cs="宋体"/>
          <w:color w:val="000000"/>
          <w:sz w:val="24"/>
          <w:highlight w:val="none"/>
        </w:rPr>
        <w:t xml:space="preserve">2022】002《江苏省招标代理服务收费指导价》的80%计算，在领取中标通知书前向招标代理机构一次性支付服务费。</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38.5确定标准的依据：《政府采购代理机构管理暂行办法》【财库（2018）2号】、苏招协</w:t>
      </w:r>
      <w:r>
        <w:rPr>
          <w:rFonts w:ascii="SimSun" w:hAnsi="SimSun" w:eastAsia="SimSun" w:cs="SimSun"/>
          <w:color w:val="000000"/>
          <w:sz w:val="24"/>
        </w:rPr>
        <w:t xml:space="preserve">【</w:t>
      </w:r>
      <w:r>
        <w:rPr>
          <w:rFonts w:hint="eastAsia" w:ascii="宋体" w:hAnsi="宋体" w:cs="宋体"/>
          <w:color w:val="000000"/>
          <w:sz w:val="24"/>
          <w:highlight w:val="none"/>
        </w:rPr>
        <w:t xml:space="preserve">2022】002《江苏省招标代理服务收费指导价》。</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38.6江苏苏咨代理费收取账户：</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公司名称：江苏苏咨工程咨询有限责任公司</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统一社会信用代码：91320192728381846K</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开户银行：南京银行长江支行</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账号：088540201021684497</w:t>
      </w:r>
      <w:r>
        <w:rPr>
          <w:rFonts w:hint="eastAsia" w:ascii="宋体" w:hAnsi="宋体" w:cs="宋体"/>
          <w:color w:val="000000"/>
          <w:sz w:val="24"/>
          <w:highlight w:val="none"/>
        </w:rPr>
      </w:r>
      <w:r/>
    </w:p>
    <w:p>
      <w:pPr>
        <w:pStyle w:val="1108"/>
        <w:ind w:left="0" w:right="2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39.文件解释权</w:t>
      </w:r>
      <w:bookmarkEnd w:id="445"/>
      <w:r/>
      <w:bookmarkEnd w:id="446"/>
      <w:r/>
      <w:bookmarkEnd w:id="447"/>
      <w:r/>
      <w:bookmarkEnd w:id="448"/>
      <w:r/>
      <w:bookmarkEnd w:id="449"/>
      <w:r/>
      <w:bookmarkEnd w:id="450"/>
      <w:r/>
      <w:bookmarkEnd w:id="451"/>
      <w:r>
        <w:rPr>
          <w:rFonts w:hint="eastAsia" w:ascii="宋体" w:hAnsi="宋体" w:cs="宋体"/>
          <w:color w:val="000000"/>
          <w:sz w:val="24"/>
          <w:szCs w:val="24"/>
          <w:highlight w:val="none"/>
        </w:rPr>
      </w:r>
      <w:r/>
    </w:p>
    <w:p>
      <w:pPr>
        <w:pStyle w:val="771"/>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39.1本招标文件的解释权归采购人（或采购代理机构）所有。</w:t>
      </w:r>
      <w:r>
        <w:rPr>
          <w:rFonts w:hint="eastAsia" w:ascii="宋体" w:hAnsi="宋体" w:cs="宋体"/>
          <w:color w:val="000000"/>
          <w:sz w:val="24"/>
          <w:highlight w:val="none"/>
        </w:rPr>
      </w:r>
      <w:r/>
    </w:p>
    <w:p>
      <w:pPr>
        <w:pStyle w:val="771"/>
        <w:jc w:val="left"/>
        <w:widowControl/>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r>
      <w:r/>
    </w:p>
    <w:p>
      <w:pPr>
        <w:pStyle w:val="772"/>
        <w:jc w:val="center"/>
        <w:spacing w:before="291" w:after="291"/>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br w:type="page" w:clear="all"/>
      </w:r>
      <w:bookmarkStart w:id="452" w:name="_Toc12708979"/>
      <w:r/>
      <w:bookmarkStart w:id="453" w:name="_Toc9363434"/>
      <w:r/>
      <w:bookmarkStart w:id="454" w:name="_Toc21583"/>
      <w:r/>
      <w:bookmarkStart w:id="455" w:name="_Toc12887269"/>
      <w:r>
        <w:rPr>
          <w:rFonts w:hint="eastAsia" w:ascii="华文中宋" w:hAnsi="华文中宋" w:eastAsia="华文中宋"/>
          <w:b/>
          <w:color w:val="000000"/>
          <w:sz w:val="36"/>
          <w:szCs w:val="36"/>
          <w:highlight w:val="none"/>
        </w:rPr>
        <w:t xml:space="preserve">第三章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示范合同</w:t>
      </w:r>
      <w:bookmarkEnd w:id="40"/>
      <w:r/>
      <w:bookmarkEnd w:id="42"/>
      <w:r/>
      <w:bookmarkEnd w:id="43"/>
      <w:r/>
      <w:bookmarkEnd w:id="48"/>
      <w:r/>
      <w:bookmarkEnd w:id="49"/>
      <w:r>
        <w:rPr>
          <w:rFonts w:hint="eastAsia" w:ascii="华文中宋" w:hAnsi="华文中宋" w:eastAsia="华文中宋"/>
          <w:b/>
          <w:color w:val="000000"/>
          <w:sz w:val="36"/>
          <w:szCs w:val="36"/>
          <w:highlight w:val="none"/>
        </w:rPr>
        <w:t xml:space="preserve">文本</w:t>
      </w:r>
      <w:bookmarkEnd w:id="41"/>
      <w:r/>
      <w:bookmarkEnd w:id="452"/>
      <w:r/>
      <w:bookmarkEnd w:id="453"/>
      <w:r/>
      <w:bookmarkEnd w:id="454"/>
      <w:r/>
      <w:bookmarkEnd w:id="455"/>
      <w:r>
        <w:rPr>
          <w:rFonts w:ascii="华文中宋" w:hAnsi="华文中宋" w:eastAsia="华文中宋"/>
          <w:b/>
          <w:color w:val="000000"/>
          <w:sz w:val="36"/>
          <w:szCs w:val="36"/>
          <w:highlight w:val="none"/>
        </w:rPr>
      </w:r>
      <w:r/>
    </w:p>
    <w:p>
      <w:pPr>
        <w:pStyle w:val="1110"/>
        <w:ind w:firstLine="1405"/>
        <w:rPr>
          <w:color w:val="000000"/>
          <w:sz w:val="28"/>
          <w:szCs w:val="28"/>
          <w:highlight w:val="none"/>
        </w:rPr>
      </w:pPr>
      <w:r/>
      <w:bookmarkStart w:id="456" w:name="_Toc31165"/>
      <w:r/>
      <w:bookmarkStart w:id="457" w:name="_Toc462564139"/>
      <w:r/>
      <w:bookmarkStart w:id="458" w:name="_Toc479757211"/>
      <w:r/>
      <w:bookmarkStart w:id="459" w:name="_Toc8485121"/>
      <w:r/>
      <w:bookmarkStart w:id="460" w:name="_Toc12708980"/>
      <w:r/>
      <w:bookmarkStart w:id="461" w:name="_Toc12887270"/>
      <w:r/>
      <w:bookmarkStart w:id="462" w:name="_Toc9363435"/>
      <w:r/>
      <w:bookmarkStart w:id="463" w:name="_Toc6705"/>
      <w:r>
        <w:rPr>
          <w:rFonts w:hint="eastAsia"/>
          <w:color w:val="000000"/>
          <w:sz w:val="28"/>
          <w:szCs w:val="28"/>
          <w:highlight w:val="none"/>
        </w:rPr>
        <w:t xml:space="preserve">（本项目最终签订的合同由合同双方协商后确定）</w:t>
      </w:r>
      <w:bookmarkEnd w:id="456"/>
      <w:r>
        <w:rPr>
          <w:color w:val="000000"/>
          <w:sz w:val="28"/>
          <w:szCs w:val="28"/>
          <w:highlight w:val="none"/>
        </w:rPr>
      </w:r>
      <w:r/>
    </w:p>
    <w:p>
      <w:pPr>
        <w:pStyle w:val="771"/>
        <w:spacing w:before="62" w:line="400" w:lineRule="exact"/>
        <w:rPr>
          <w:rFonts w:ascii="宋体" w:hAnsi="宋体"/>
          <w:color w:val="000000"/>
          <w:sz w:val="24"/>
          <w:highlight w:val="none"/>
        </w:rPr>
      </w:pPr>
      <w:r>
        <w:rPr>
          <w:rFonts w:ascii="宋体" w:hAnsi="宋体"/>
          <w:color w:val="000000"/>
          <w:sz w:val="24"/>
          <w:highlight w:val="none"/>
        </w:rPr>
      </w:r>
      <w:r/>
    </w:p>
    <w:p>
      <w:pPr>
        <w:pStyle w:val="771"/>
        <w:ind w:firstLine="480"/>
        <w:spacing w:line="264" w:lineRule="auto"/>
        <w:rPr>
          <w:rFonts w:hint="eastAsia" w:ascii="宋体" w:hAnsi="宋体" w:cs="宋体"/>
          <w:bCs/>
          <w:color w:val="000000"/>
          <w:sz w:val="24"/>
          <w:szCs w:val="21"/>
          <w:highlight w:val="none"/>
        </w:rPr>
      </w:pPr>
      <w:r/>
      <w:bookmarkStart w:id="464" w:name="supplier_relation_tel"/>
      <w:r/>
      <w:bookmarkEnd w:id="464"/>
      <w:r/>
      <w:bookmarkStart w:id="465" w:name="purchase_relation_name"/>
      <w:r/>
      <w:bookmarkEnd w:id="465"/>
      <w:r/>
      <w:bookmarkStart w:id="466" w:name="supplier_relation_name"/>
      <w:r/>
      <w:bookmarkEnd w:id="466"/>
      <w:r/>
      <w:bookmarkStart w:id="467" w:name="purchase_end"/>
      <w:r/>
      <w:bookmarkEnd w:id="467"/>
      <w:r/>
      <w:bookmarkStart w:id="468" w:name="purchase_relation_tel"/>
      <w:r/>
      <w:bookmarkEnd w:id="468"/>
      <w:r/>
      <w:bookmarkStart w:id="469" w:name="_Toc20823315"/>
      <w:r/>
      <w:bookmarkStart w:id="470" w:name="_Toc16938559"/>
      <w:r/>
      <w:bookmarkStart w:id="471" w:name="_Toc513029243"/>
      <w:r>
        <w:rPr>
          <w:rFonts w:hint="eastAsia" w:ascii="宋体" w:hAnsi="宋体" w:cs="宋体"/>
          <w:bCs/>
          <w:color w:val="000000"/>
          <w:sz w:val="24"/>
          <w:szCs w:val="21"/>
          <w:highlight w:val="none"/>
        </w:rPr>
        <w:t xml:space="preserve">以下为本项目的合同条款，合同双方不得对招标、投标文件内容作实质性修改。</w:t>
      </w:r>
      <w:r>
        <w:rPr>
          <w:rFonts w:hint="eastAsia" w:ascii="宋体" w:hAnsi="宋体" w:cs="宋体"/>
          <w:bCs/>
          <w:color w:val="000000"/>
          <w:sz w:val="24"/>
          <w:szCs w:val="21"/>
          <w:highlight w:val="none"/>
        </w:rPr>
      </w:r>
      <w:r/>
    </w:p>
    <w:p>
      <w:pPr>
        <w:pStyle w:val="771"/>
        <w:jc w:val="center"/>
        <w:spacing w:before="145" w:after="145" w:line="264" w:lineRule="auto"/>
        <w:rPr>
          <w:rFonts w:hint="eastAsia" w:ascii="宋体" w:hAnsi="宋体" w:cs="宋体"/>
          <w:b/>
          <w:color w:val="000000"/>
          <w:sz w:val="30"/>
          <w:szCs w:val="21"/>
          <w:highlight w:val="none"/>
        </w:rPr>
      </w:pPr>
      <w:r>
        <w:rPr>
          <w:rFonts w:hint="eastAsia" w:ascii="宋体" w:hAnsi="宋体" w:cs="宋体"/>
          <w:b/>
          <w:color w:val="000000"/>
          <w:sz w:val="30"/>
          <w:szCs w:val="21"/>
          <w:highlight w:val="none"/>
        </w:rPr>
      </w:r>
      <w:r/>
    </w:p>
    <w:p>
      <w:pPr>
        <w:pStyle w:val="771"/>
        <w:jc w:val="center"/>
        <w:spacing w:before="145" w:after="145" w:line="264"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政府采购合同（服务）</w:t>
      </w:r>
      <w:r>
        <w:rPr>
          <w:rFonts w:hint="eastAsia" w:ascii="宋体" w:hAnsi="宋体" w:cs="宋体"/>
          <w:bCs/>
          <w:color w:val="000000"/>
          <w:sz w:val="32"/>
          <w:szCs w:val="32"/>
          <w:highlight w:val="none"/>
        </w:rPr>
      </w:r>
      <w:r/>
    </w:p>
    <w:p>
      <w:pPr>
        <w:pStyle w:val="771"/>
        <w:jc w:val="left"/>
        <w:spacing w:before="145" w:after="14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合同编号：</w:t>
      </w:r>
      <w:r>
        <w:rPr>
          <w:rFonts w:hint="eastAsia" w:ascii="宋体" w:hAnsi="宋体" w:cs="宋体"/>
          <w:color w:val="000000"/>
          <w:sz w:val="24"/>
          <w:highlight w:val="none"/>
        </w:rPr>
      </w:r>
      <w:r/>
    </w:p>
    <w:p>
      <w:pPr>
        <w:pStyle w:val="771"/>
        <w:spacing w:before="145" w:after="14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项目编号：</w:t>
      </w:r>
      <w:r>
        <w:rPr>
          <w:rFonts w:hint="eastAsia" w:ascii="宋体" w:hAnsi="宋体" w:cs="宋体"/>
          <w:color w:val="000000"/>
          <w:sz w:val="24"/>
          <w:highlight w:val="none"/>
        </w:rPr>
      </w:r>
      <w:r/>
    </w:p>
    <w:p>
      <w:pPr>
        <w:pStyle w:val="771"/>
        <w:jc w:val="left"/>
        <w:spacing w:before="145" w:after="14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rPr>
      </w:r>
      <w:r/>
    </w:p>
    <w:p>
      <w:pPr>
        <w:pStyle w:val="771"/>
        <w:jc w:val="left"/>
        <w:spacing w:before="145" w:after="14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乙方：（卖方）</w:t>
      </w:r>
      <w:r>
        <w:rPr>
          <w:rFonts w:hint="eastAsia" w:ascii="宋体" w:hAnsi="宋体" w:cs="宋体"/>
          <w:color w:val="000000"/>
          <w:sz w:val="24"/>
          <w:highlight w:val="none"/>
        </w:rPr>
      </w:r>
      <w:r/>
    </w:p>
    <w:p>
      <w:pPr>
        <w:pStyle w:val="77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甲、乙双方根据</w:t>
      </w:r>
      <w:r>
        <w:rPr>
          <w:rFonts w:hint="eastAsia" w:ascii="宋体" w:hAnsi="宋体" w:cs="宋体"/>
          <w:color w:val="000000"/>
          <w:sz w:val="24"/>
          <w:highlight w:val="none"/>
          <w:u w:val="single"/>
        </w:rPr>
        <w:t xml:space="preserve"> 江苏苏咨工程咨询有限责任公司 </w:t>
      </w:r>
      <w:r>
        <w:rPr>
          <w:rFonts w:hint="eastAsia" w:ascii="宋体" w:hAnsi="宋体" w:cs="宋体"/>
          <w:color w:val="000000"/>
          <w:sz w:val="24"/>
          <w:highlight w:val="none"/>
        </w:rPr>
        <w:t xml:space="preserve">组织的____________________项目公开招标结果，签署本合同。</w:t>
      </w:r>
      <w:r>
        <w:rPr>
          <w:rFonts w:hint="eastAsia" w:ascii="宋体" w:hAnsi="宋体" w:cs="宋体"/>
          <w:b/>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一、合同内容</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标的名称：</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标的质量：按招标文件及投标文件执行。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 标的数量（规模）：</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 履行时间（期限）：</w:t>
      </w:r>
      <w:r>
        <w:rPr>
          <w:rFonts w:hint="eastAsia" w:ascii="宋体" w:hAnsi="宋体" w:cs="宋体"/>
          <w:bCs/>
          <w:color w:val="000000"/>
          <w:sz w:val="24"/>
          <w:highlight w:val="none"/>
        </w:rPr>
        <w:t xml:space="preserve">3年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 履行地点：采购人指定地点。</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 履行方式：按招标文件及投标文件执行。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 包装方式：按招标文件及投标文件执行。</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二、合同金额</w:t>
      </w:r>
      <w:r>
        <w:rPr>
          <w:rFonts w:hint="eastAsia" w:ascii="宋体" w:hAnsi="宋体" w:cs="宋体"/>
          <w:bCs/>
          <w:color w:val="000000"/>
          <w:sz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2.1 本合同金额为（大写）：__________________圆（__________________元）人民币。</w:t>
      </w:r>
      <w:r>
        <w:rPr>
          <w:rFonts w:hint="eastAsia" w:hAnsi="宋体" w:cs="宋体"/>
          <w:color w:val="000000"/>
          <w:sz w:val="24"/>
          <w:szCs w:val="24"/>
          <w:highlight w:val="none"/>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556"/>
        <w:gridCol w:w="557"/>
        <w:gridCol w:w="557"/>
        <w:gridCol w:w="557"/>
        <w:gridCol w:w="1107"/>
        <w:gridCol w:w="4420"/>
        <w:gridCol w:w="1107"/>
      </w:tblGrid>
      <w:tr>
        <w:trPr>
          <w:trHeight w:val="523"/>
        </w:trPr>
        <w:tc>
          <w:tcPr>
            <w:tcW w:w="556"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3"/>
        </w:trPr>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6"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5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420"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45"/>
        </w:trPr>
        <w:tc>
          <w:tcPr>
            <w:tcW w:w="556" w:type="dxa"/>
            <w:vAlign w:val="center"/>
            <w:textDirection w:val="lrTb"/>
            <w:noWrap w:val="false"/>
          </w:tcPr>
          <w:p>
            <w:pPr>
              <w:pStyle w:val="7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总计</w:t>
            </w:r>
            <w:r>
              <w:rPr>
                <w:rFonts w:hint="eastAsia" w:ascii="宋体" w:hAnsi="宋体" w:cs="宋体"/>
                <w:color w:val="000000"/>
                <w:sz w:val="24"/>
                <w:highlight w:val="none"/>
              </w:rPr>
            </w:r>
            <w:r/>
          </w:p>
        </w:tc>
        <w:tc>
          <w:tcPr>
            <w:gridSpan w:val="6"/>
            <w:tcW w:w="7754"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rPr>
            </w:r>
            <w:r/>
          </w:p>
        </w:tc>
        <w:tc>
          <w:tcPr>
            <w:tcW w:w="1107" w:type="dxa"/>
            <w:vAlign w:val="center"/>
            <w:textDirection w:val="lrTb"/>
            <w:noWrap w:val="false"/>
          </w:tcPr>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1"/>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备注：</w:t>
      </w:r>
      <w:r>
        <w:rPr>
          <w:rFonts w:hint="eastAsia" w:ascii="宋体" w:hAnsi="宋体" w:cs="宋体"/>
          <w:bCs/>
          <w:color w:val="000000"/>
          <w:sz w:val="24"/>
          <w:highlight w:val="none"/>
        </w:rPr>
        <w:t xml:space="preserve">以上价格含包装、装卸、运输、保险、安装、税费等所有费用。</w:t>
      </w:r>
      <w:r>
        <w:rPr>
          <w:rFonts w:hint="eastAsia" w:ascii="宋体" w:hAnsi="宋体" w:cs="宋体"/>
          <w:bCs/>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三、技术资料</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乙方应按招标文件规定的时间向甲方提供使用货物（包含与货物相关的服务）的有关技术资料。</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 乙方保证所供产品、服务质量合格，不得弄虚作假、不得提供假冒伪劣产品、不合格服务或任意提供合同（协议）外产品、服务。</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 乙方向甲方提供营业执照复印件、信用报告、个人授权书、质量承诺书等相关证件，并加盖公章。</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四、知识产权</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五、产权担保</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六、履约保证金</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 乙方在</w:t>
      </w:r>
      <w:r>
        <w:rPr>
          <w:rFonts w:hint="eastAsia" w:ascii="宋体" w:hAnsi="宋体" w:cs="宋体"/>
          <w:color w:val="000000"/>
          <w:sz w:val="24"/>
          <w:highlight w:val="none"/>
          <w:u w:val="single"/>
        </w:rPr>
        <w:t xml:space="preserve"> 签订合同时</w:t>
      </w:r>
      <w:r>
        <w:rPr>
          <w:rFonts w:hint="eastAsia" w:ascii="宋体" w:hAnsi="宋体" w:cs="宋体"/>
          <w:color w:val="000000"/>
          <w:sz w:val="24"/>
          <w:highlight w:val="none"/>
        </w:rPr>
        <w:t xml:space="preserve">按照合同金额</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%缴纳履约保证金。合同履行结束后，甲方按以下约定退还：</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 退还时间及条件：验收合格且合同履行期结束后5个工作日内。</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 退还方式：扣除违约费用后一次性无息退还。</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6.1.3 不予退还的情形：合同约定的交付期内未履约完成、验收不合格、整改不到位等情形。</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七、合同转包或分包</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 乙方不得将合同标的转包给他人履行。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 除招标文件接受分包，并经甲方同意，乙方可按分包意向协议分包情况外，乙方不得将合同标的分包给他人履行。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 乙方如有转包或未经甲方同意的分包行为，甲方有权终止合同。</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八、合同款项支付</w:t>
      </w:r>
      <w:r>
        <w:rPr>
          <w:rFonts w:hint="eastAsia" w:ascii="宋体" w:hAnsi="宋体" w:cs="宋体"/>
          <w:bCs/>
          <w:color w:val="000000"/>
          <w:sz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8.1 合同款项的支付方式及时间</w:t>
      </w:r>
      <w:r>
        <w:rPr>
          <w:rFonts w:hint="eastAsia" w:hAnsi="宋体" w:cs="宋体"/>
          <w:color w:val="000000"/>
          <w:sz w:val="24"/>
          <w:szCs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8.1.1 合同签订后，甲方按月将职工餐补支付给乙方，并将每位职工饭卡余额一并支付给乙方。</w:t>
      </w:r>
      <w:r>
        <w:rPr>
          <w:rFonts w:hint="eastAsia" w:hAnsi="宋体" w:cs="宋体"/>
          <w:color w:val="000000"/>
          <w:sz w:val="24"/>
          <w:szCs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8.1.2 套餐费用以实际发生为准，乙方先开具发票，甲方在收到发票后，按月按实际金额支付给乙方。</w:t>
      </w:r>
      <w:r>
        <w:rPr>
          <w:rFonts w:hint="eastAsia" w:hAnsi="宋体" w:cs="宋体"/>
          <w:color w:val="000000"/>
          <w:sz w:val="24"/>
          <w:szCs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s="宋体"/>
          <w:color w:val="000000"/>
          <w:sz w:val="24"/>
          <w:szCs w:val="24"/>
          <w:highlight w:val="none"/>
        </w:rPr>
      </w:r>
      <w:r/>
    </w:p>
    <w:p>
      <w:pPr>
        <w:pStyle w:val="1109"/>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s="宋体"/>
          <w:color w:val="000000"/>
          <w:sz w:val="24"/>
          <w:szCs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九、税费</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 本合同执行中的相关税费均由乙方负担。</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十、项目验收</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 甲方依法组织履约验收工作。</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 对于实际使用人和甲方分离的项目，甲方邀请实际使用人参与验收。</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 如有必要，甲方可邀请参加本项目投标的其他供应商或第三方专业机构及专家参与验收，相关意见将作为验收结论的参考。</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十一、保密条款</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 双方对于本协议的签订、本协议的内容、本协议的履行以及因履行本协议而获知的甲方的技术、商务、管理等相关信息应承担保密义务。未经甲方书面同意，乙方不得向任何第三方泄露。法律、行政法规另有规定者除外。</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 双方应确保己方人员遵守本条约定保密义务，否则由此产生的一切后果由违约方承担责任。</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 本条约定在本协议解除、终止或被认为无效后仍然有效。</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十二、违约责任</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 甲方无正当理由拒绝接受乙方提供服务的，应向乙方偿付拒绝接受服务合同总额</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 甲方无故逾期验收和办理支付手续的，应按逾期付款总额每日</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向乙方支付违约金。</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 乙方逾期提供服务的，应按逾期提供服务合同总额每日向     甲方支付违约金，由甲方从待付合同款中扣除。逾期超过约定日期10个工作日不能提供服务的，甲方可解除本合同。乙方因逾期提供服务或因其他违约行为导致甲方解除合同的，应向甲方支付合同总额    的违约金。</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12.4 乙方所提供服务的标准不符合合同规定及招标文件规定标准的，甲方有权拒绝接受服务，并可单方面解除合同。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十三、不可抗力事件处理</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 不可抗力事件发生后，应立即通知对方并寄送有关权威机构出具的证明。</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13.3 不可抗力事件延续120天以上，双方应通过友好协商确定是否继续履行合同。</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十四、解决争议的方法</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 双方对其他违约责任按《中华人民共和国民法典》的有关规定处理，解决与本合同有关的一切争议。如一方不愿意协商或协商30日后无法解决的，应提交甲方所在地人民法院。</w:t>
      </w:r>
      <w:r>
        <w:rPr>
          <w:rFonts w:hint="eastAsia" w:ascii="宋体" w:hAnsi="宋体" w:cs="宋体"/>
          <w:color w:val="000000"/>
          <w:sz w:val="24"/>
          <w:highlight w:val="none"/>
        </w:rPr>
      </w:r>
      <w:r/>
    </w:p>
    <w:p>
      <w:pPr>
        <w:pStyle w:val="7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十五、合同生效及其他</w:t>
      </w:r>
      <w:r>
        <w:rPr>
          <w:rFonts w:hint="eastAsia" w:ascii="宋体" w:hAnsi="宋体" w:cs="宋体"/>
          <w:bCs/>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 本合同经双方加盖单位公章后生效。</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 本合同未尽事宜，遵照《中华人民共和国民法典》《中华人民共和国政府采购法》等有关条文执行。</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 本项目招标文件、投标文件、协议（合同）及附件、乙方其他承诺，均为本项目不可分割的重要组成部分，具有同等法律效力。</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 本合同正本一式两份，具有同等法律效力，甲方、乙方各执一份。</w:t>
      </w:r>
      <w:r>
        <w:rPr>
          <w:rFonts w:hint="eastAsia" w:ascii="宋体" w:hAnsi="宋体" w:cs="宋体"/>
          <w:color w:val="000000"/>
          <w:sz w:val="24"/>
          <w:highlight w:val="none"/>
        </w:rPr>
      </w:r>
      <w:r/>
    </w:p>
    <w:p>
      <w:pPr>
        <w:pStyle w:val="1109"/>
        <w:spacing w:before="120" w:after="120" w:line="360" w:lineRule="auto"/>
        <w:rPr>
          <w:rFonts w:hint="eastAsia" w:hAnsi="宋体" w:cs="宋体"/>
          <w:color w:val="000000"/>
          <w:sz w:val="24"/>
          <w:szCs w:val="24"/>
          <w:highlight w:val="none"/>
        </w:rPr>
      </w:pPr>
      <w:r/>
      <w:bookmarkEnd w:id="469"/>
      <w:r/>
      <w:bookmarkEnd w:id="470"/>
      <w:r/>
      <w:bookmarkEnd w:id="471"/>
      <w:r/>
      <w:bookmarkStart w:id="472" w:name="_Hlt16619369"/>
      <w:r/>
      <w:bookmarkEnd w:id="472"/>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            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1"/>
        <w:spacing w:before="145" w:after="145"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71"/>
        <w:jc w:val="center"/>
        <w:spacing w:before="145" w:after="145" w:line="264"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《*******合同》补充协议（合同附件）</w:t>
      </w:r>
      <w:r>
        <w:rPr>
          <w:rFonts w:hint="eastAsia" w:ascii="宋体" w:hAnsi="宋体" w:cs="宋体"/>
          <w:bCs/>
          <w:color w:val="000000"/>
          <w:sz w:val="32"/>
          <w:szCs w:val="32"/>
          <w:highlight w:val="none"/>
        </w:rPr>
      </w:r>
      <w:r/>
    </w:p>
    <w:p>
      <w:pPr>
        <w:pStyle w:val="771"/>
        <w:spacing w:line="360" w:lineRule="auto"/>
        <w:rPr>
          <w:rFonts w:hint="eastAsia" w:ascii="宋体" w:hAnsi="宋体" w:cs="宋体"/>
          <w:b/>
          <w:bCs/>
          <w:color w:val="000000"/>
          <w:sz w:val="36"/>
          <w:szCs w:val="36"/>
          <w:highlight w:val="none"/>
        </w:rPr>
      </w:pPr>
      <w:r>
        <w:rPr>
          <w:rFonts w:hint="eastAsia" w:ascii="宋体" w:hAnsi="宋体" w:cs="宋体"/>
          <w:color w:val="000000"/>
          <w:sz w:val="24"/>
          <w:highlight w:val="none"/>
        </w:rPr>
        <w:t xml:space="preserve">招标文件及合同未约定事项，双方可友好协商签订补充协议。</w:t>
      </w:r>
      <w:r>
        <w:rPr>
          <w:rFonts w:hint="eastAsia" w:ascii="宋体" w:hAnsi="宋体" w:cs="宋体"/>
          <w:b/>
          <w:bCs/>
          <w:color w:val="000000"/>
          <w:sz w:val="36"/>
          <w:szCs w:val="36"/>
          <w:highlight w:val="none"/>
        </w:rPr>
      </w:r>
      <w:r/>
    </w:p>
    <w:p>
      <w:pPr>
        <w:pStyle w:val="772"/>
        <w:jc w:val="center"/>
        <w:spacing w:line="264" w:lineRule="auto"/>
        <w:rPr>
          <w:rFonts w:ascii="华文中宋" w:hAnsi="华文中宋" w:eastAsia="华文中宋"/>
          <w:b/>
          <w:color w:val="000000"/>
          <w:sz w:val="36"/>
          <w:szCs w:val="36"/>
          <w:highlight w:val="none"/>
        </w:rPr>
      </w:pPr>
      <w:r>
        <w:rPr>
          <w:rFonts w:hint="eastAsia" w:ascii="宋体" w:hAnsi="宋体" w:cs="宋体"/>
          <w:b/>
          <w:bCs/>
          <w:color w:val="000000"/>
          <w:sz w:val="36"/>
          <w:szCs w:val="36"/>
          <w:highlight w:val="none"/>
        </w:rPr>
        <w:br w:type="page" w:clear="all"/>
      </w:r>
      <w:r>
        <w:rPr>
          <w:rFonts w:hint="eastAsia" w:ascii="华文中宋" w:hAnsi="华文中宋" w:eastAsia="华文中宋"/>
          <w:b/>
          <w:color w:val="000000"/>
          <w:sz w:val="36"/>
          <w:szCs w:val="36"/>
          <w:highlight w:val="none"/>
        </w:rPr>
        <w:t xml:space="preserve">第四章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项目需求</w:t>
      </w:r>
      <w:bookmarkEnd w:id="459"/>
      <w:r/>
      <w:bookmarkEnd w:id="460"/>
      <w:r/>
      <w:bookmarkEnd w:id="461"/>
      <w:r/>
      <w:bookmarkEnd w:id="462"/>
      <w:r/>
      <w:bookmarkEnd w:id="463"/>
      <w:r>
        <w:rPr>
          <w:rFonts w:ascii="华文中宋" w:hAnsi="华文中宋" w:eastAsia="华文中宋"/>
          <w:b/>
          <w:color w:val="000000"/>
          <w:sz w:val="36"/>
          <w:szCs w:val="36"/>
          <w:highlight w:val="none"/>
        </w:rPr>
      </w:r>
      <w:r/>
    </w:p>
    <w:p>
      <w:pPr>
        <w:pStyle w:val="771"/>
        <w:ind w:firstLine="525"/>
        <w:jc w:val="left"/>
        <w:spacing w:line="360" w:lineRule="auto"/>
        <w:rPr>
          <w:rFonts w:hint="eastAsia" w:ascii="宋体" w:hAnsi="宋体"/>
          <w:b/>
          <w:color w:val="000000"/>
          <w:sz w:val="28"/>
          <w:szCs w:val="28"/>
          <w:highlight w:val="none"/>
        </w:rPr>
      </w:pPr>
      <w:r/>
      <w:bookmarkStart w:id="473" w:name="_Toc12708982"/>
      <w:r/>
      <w:bookmarkStart w:id="474" w:name="_Toc12887273"/>
      <w:r/>
      <w:bookmarkStart w:id="475" w:name="_Toc9363436"/>
      <w:r/>
      <w:bookmarkStart w:id="476" w:name="_Toc49090575"/>
      <w:r/>
      <w:bookmarkStart w:id="477" w:name="_Toc26554093"/>
      <w:r/>
      <w:bookmarkStart w:id="478" w:name="_Toc120614281"/>
      <w:r/>
      <w:bookmarkStart w:id="479" w:name="_Toc8485122"/>
      <w:r>
        <w:rPr>
          <w:rFonts w:hint="eastAsia" w:ascii="宋体" w:hAnsi="宋体" w:cs="宋体"/>
          <w:b/>
          <w:color w:val="000000"/>
          <w:sz w:val="24"/>
          <w:highlight w:val="none"/>
        </w:rPr>
        <w:t xml:space="preserve">★</w:t>
      </w:r>
      <w:r>
        <w:rPr>
          <w:rFonts w:ascii="宋体" w:hAnsi="宋体"/>
          <w:b/>
          <w:color w:val="000000"/>
          <w:sz w:val="28"/>
          <w:szCs w:val="28"/>
          <w:highlight w:val="none"/>
        </w:rPr>
        <w:t xml:space="preserve">一、项目概</w:t>
      </w:r>
      <w:r>
        <w:rPr>
          <w:rFonts w:hint="eastAsia" w:ascii="宋体" w:hAnsi="宋体"/>
          <w:b/>
          <w:color w:val="000000"/>
          <w:sz w:val="28"/>
          <w:szCs w:val="28"/>
          <w:highlight w:val="none"/>
        </w:rPr>
        <w:t xml:space="preserve">况</w:t>
      </w:r>
      <w:r>
        <w:rPr>
          <w:rFonts w:hint="eastAsia" w:ascii="宋体" w:hAnsi="宋体"/>
          <w:b/>
          <w:color w:val="000000"/>
          <w:sz w:val="28"/>
          <w:szCs w:val="28"/>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（一）项目背景</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本次采购是为江苏省血液中心工作人员提供堂食就餐服务项目，供餐单位应按照采购人规定时间将餐食送至采购人食堂，同时可以为江苏省血液中心提供部分副食品订购服务等。</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投标供应商须具备餐食配送服务的能力，并能供应丰富多样的其他副食品供员工选购。本单位将为员工发放每月就餐补贴，中标供应商需在协议签署后为员工提供价格折扣。</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项目建设遵循标准</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1.《中华人民共和国食品安全法》；</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2.《中华人民共和国农产品质量安全法》；</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3.《中华人民共和国动物防疫法》；</w:t>
      </w:r>
      <w:r>
        <w:rPr>
          <w:rFonts w:hint="eastAsia" w:ascii="宋体" w:hAnsi="宋体" w:cs="宋体"/>
          <w:color w:val="000000"/>
          <w:sz w:val="24"/>
          <w:highlight w:val="none"/>
        </w:rPr>
      </w:r>
      <w:r/>
    </w:p>
    <w:p>
      <w:pPr>
        <w:pStyle w:val="771"/>
        <w:ind w:firstLine="4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4.《中华人民共和国食品安全法实施条例》以及遵守《中华人民共和国食品安全法》、《中华人民共和国食品安全法实施条例》等国家和江苏省的法律法规规定。</w:t>
      </w:r>
      <w:r>
        <w:rPr>
          <w:rFonts w:hint="eastAsia" w:ascii="宋体" w:hAnsi="宋体" w:cs="宋体"/>
          <w:color w:val="000000"/>
          <w:sz w:val="24"/>
          <w:highlight w:val="none"/>
        </w:rPr>
      </w:r>
      <w:r/>
    </w:p>
    <w:p>
      <w:pPr>
        <w:pStyle w:val="771"/>
        <w:ind w:firstLine="525"/>
        <w:jc w:val="left"/>
        <w:spacing w:line="360" w:lineRule="auto"/>
        <w:rPr>
          <w:rFonts w:ascii="宋体" w:hAnsi="宋体"/>
          <w:b/>
          <w:color w:val="000000"/>
          <w:sz w:val="28"/>
          <w:szCs w:val="28"/>
          <w:highlight w:val="none"/>
        </w:rPr>
      </w:pPr>
      <w:r>
        <w:rPr>
          <w:rFonts w:hint="eastAsia" w:ascii="宋体" w:hAnsi="宋体" w:cs="宋体"/>
          <w:b/>
          <w:color w:val="000000"/>
          <w:sz w:val="24"/>
          <w:highlight w:val="none"/>
        </w:rPr>
        <w:t xml:space="preserve">★</w:t>
      </w:r>
      <w:r>
        <w:rPr>
          <w:rFonts w:ascii="宋体" w:hAnsi="宋体"/>
          <w:b/>
          <w:color w:val="000000"/>
          <w:sz w:val="28"/>
          <w:szCs w:val="28"/>
          <w:highlight w:val="none"/>
        </w:rPr>
        <w:t xml:space="preserve">二、</w:t>
      </w:r>
      <w:r>
        <w:rPr>
          <w:rFonts w:hint="eastAsia" w:ascii="宋体" w:hAnsi="宋体"/>
          <w:b/>
          <w:color w:val="000000"/>
          <w:sz w:val="28"/>
          <w:szCs w:val="28"/>
          <w:highlight w:val="none"/>
        </w:rPr>
        <w:t xml:space="preserve">服务内容及要求</w:t>
      </w:r>
      <w:r>
        <w:rPr>
          <w:rFonts w:ascii="宋体" w:hAnsi="宋体"/>
          <w:b/>
          <w:color w:val="000000"/>
          <w:sz w:val="28"/>
          <w:szCs w:val="28"/>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1.工作日提供早餐、午餐堂食服务：</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早餐供餐时间：①7:00-8:00，职工堂食，早餐4元标准：需包含鸡蛋、稀饭、菜包（根据实际可换同类品种）、咸菜等，预估人数15人左右；②机采献血者早餐标准同上，不油的，需要在8:10前送至机采科二楼，预估就餐人数40-50人；送餐时间提前一天预定，以实际发生为准（提供部分餐单及价格）；</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1.2午餐供餐时间：11:00-12:00，职工堂食，午餐标准：大荤3种（6至12元）、小荤3种（4元）、素菜4种（2元），白米饭免费，送一个酸奶或水果，一菜一价（提供部分餐单及价格）；</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1.3套餐15元标准：1大荤、1小荤、2蔬菜、1米饭、1酸奶或水果；15元餐标的是团体采血工作人员+志愿者、工程师，进修人员，维修人员等外部人员，以实际发生为准，可外带、可堂食；</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1.4套餐12元标准：1大荤、1小荤、2蔬菜、1米饭；12元餐标的是机采献血者午餐，需要在10:30前送至机采科二楼，预估就餐人数40-50人；</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1.5采购人单位在职人数230人，预估早餐时间用餐人数约15人，周一午餐就餐人数约100人，其他时间午餐用餐人数约70-80人；夏季期间午餐用餐人数约60人。（人数以实际发生为准）</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2.具有灵活的订餐系统，支持工作人员对餐食的自由选择，按实结算费用，支持提前预订和临时加餐。</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供餐企业应采购社会认可度较高的品牌食材，食材品牌应在南京本地商超有售，至少提前一周提供菜谱，供采购人审阅，确保每周菜品不重样，以满足员工的不同口味需求，菜品应注重营养搭配。食品的温度、配送条件和时间应符合食品安全要求，从烧熟至食用的间隔时间（食用时限）应符合烧熟后2小时，食品的中心温度保持在60℃以上（热藏）的，其食用时限为烧熟后4小时。</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按采购人要求对原有食堂进行小范围改造，如安装抽油烟机，需按规定要求定期清洗；对就餐区域进行修缮，桌椅摆放整齐，间距合理，方便员工就餐，同时，应保持就餐区域的清洁卫生，定期进行消毒、清扫，确保地面无污渍、桌面无油渍，为员工营造干净、舒适的就餐环境，做好消杀记录。</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配备专业的服务人员，服务人员应具备良好的服务意识和职业素养，统一着装，保持仪容整洁。服务过程中及时为员工提供就餐引导、点餐服务、上菜服务等。需至少1人负责早餐，至少3人负责中餐，如遇团购需再加1人服务。</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6.就餐时，采购人食堂的堂食环境温度控制在26度以内，根据环境温度情况及时开启空调等设备。</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7.满足员工的安全管理，含食品安全、人身安全、卫生安全、进出安全等。</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8.供餐单位需负责餐具的清洁和消毒及厨余垃圾的处理。</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9.餐食需按规定进行留样，留样冰箱上锁，专人管理。</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（二）增值服务要求</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1.外卖配送服务：</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1.1配备专业配送团队，配送范围确保能覆盖本单位办公区域确保0.5小时内送达。免收配送费用和包装费用。</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1.2采用环保、卫生的食品包装材料，PP5以上材料，确保食品在配送过程中的安全与卫生，防止食品泄漏、污染。包装应具有良好的保温性能，以保证热食的温度。</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1.3有灵活的多渠道网上点餐系统（包含但不限于微信群、小程序、app等），方便工作人员进行点餐。</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2.副食品订购服务：</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2.1支持食品、饮料等副食品订购（包含但不限于小程序、app），如：大米、食用油、牛奶、酸奶、熟食、面点等。乙方提供的价格不得超过南京大型超市（苏果超市等同等超市）价格（特价除外）的5%。</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 结算服务</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 用餐地点需配备刷卡设备，用于结算当次费用。</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三、拟采购标的需要满足的技术、商务要求</w:t>
      </w:r>
      <w:r>
        <w:rPr>
          <w:rFonts w:hint="eastAsia" w:ascii="宋体" w:hAnsi="宋体" w:cs="宋体"/>
          <w:b/>
          <w:color w:val="000000"/>
          <w:sz w:val="28"/>
          <w:szCs w:val="28"/>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1.质量要求：</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 成交供应商应严格遵守《中华人民共和国食品安全法》和《动物检疫法》等相关规定，严格保证食品质量符合国家相关产品质量标准，符合国家各级强制性规范要求。在成交供应商出现因食品质量导致食物中毒的事故发生，成交供应商承担一切法律责任，并取消其供货资格； </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 严格禁止供应如下食品，一经发现，取消其供货资格：</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 腐败变质、油脂酸败、霉变、生虫、污秽不洁、混有异物或其他感官性状异常，对人体有害的；</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1.2.2 含有毒、有害物质或被有害物质污染，对人体身体健康有害的；含有严重超出标准限量的农药残留、兽药残留、重金属、污染物质以及其他危害人体健康的；</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1.2.3 未经动物部门检疫、检验或者检疫、检验不合格的肉类及其制品；</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1.2.4 病死、毒死或不明死因的禽、畜、兽、水产动物等及其制品；</w:t>
      </w:r>
      <w:r>
        <w:rPr>
          <w:rFonts w:hint="eastAsia" w:ascii="宋体" w:hAnsi="宋体" w:cs="宋体"/>
          <w:bCs/>
          <w:color w:val="000000"/>
          <w:sz w:val="24"/>
          <w:highlight w:val="none"/>
        </w:rPr>
      </w:r>
      <w:r/>
    </w:p>
    <w:p>
      <w:pPr>
        <w:pStyle w:val="7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1.2.5 用非食品原料加工的，加入非食品用化学物质或将非食品当作食品的。</w:t>
      </w:r>
      <w:r>
        <w:rPr>
          <w:rFonts w:hint="eastAsia" w:ascii="宋体" w:hAnsi="宋体" w:cs="宋体"/>
          <w:bCs/>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 食品加工制作过程应严格遵守国家相关食品安全操作规范，做到生熟分开、烧熟煮透。加工区域应保持清洁卫生，定期进行消毒，加工设备、工具应定期清洗、维护，确保正常运行。严禁使用过期、变质的食材进行加工制作，严禁添加非食用物质和滥用食品添加剂。</w:t>
      </w:r>
      <w:r>
        <w:rPr>
          <w:rFonts w:hint="eastAsia" w:ascii="宋体" w:hAnsi="宋体" w:cs="宋体"/>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 制定完善的卫生管理制度，对堂食场地、外卖配送工具、餐具等进行定期消毒。堂食场地应保持环境整洁，及时清理垃圾，防止蚊虫滋生。外卖配送工具应定期进行清洁、消毒，确保配送过程中的食品卫生安全。餐具应采用高温消毒或其他符合卫生标准的消毒方式，消毒后的餐具应存放在专用的保洁设施内，防止二次污染。</w:t>
      </w:r>
      <w:r>
        <w:rPr>
          <w:rFonts w:hint="eastAsia" w:ascii="宋体" w:hAnsi="宋体" w:cs="宋体"/>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2.报价要求</w:t>
      </w:r>
      <w:r>
        <w:rPr>
          <w:rFonts w:hint="eastAsia" w:ascii="宋体" w:hAnsi="宋体" w:cs="宋体"/>
          <w:color w:val="000000"/>
          <w:sz w:val="24"/>
          <w:highlight w:val="none"/>
        </w:rPr>
      </w:r>
      <w:r/>
    </w:p>
    <w:p>
      <w:pPr>
        <w:pStyle w:val="7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报价应包含商品价、配送费、人工费、保险费、税费等所有费用。</w:t>
      </w:r>
      <w:r>
        <w:rPr>
          <w:rFonts w:hint="eastAsia" w:ascii="宋体" w:hAnsi="宋体" w:cs="宋体"/>
          <w:color w:val="000000"/>
          <w:sz w:val="24"/>
          <w:highlight w:val="none"/>
        </w:rPr>
      </w:r>
      <w:r/>
    </w:p>
    <w:p>
      <w:pPr>
        <w:pStyle w:val="771"/>
        <w:ind w:firstLine="420"/>
        <w:jc w:val="left"/>
        <w:spacing w:line="360" w:lineRule="auto"/>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四、服务期限</w:t>
      </w:r>
      <w:r>
        <w:rPr>
          <w:rFonts w:hint="eastAsia" w:ascii="宋体" w:hAnsi="宋体" w:cs="宋体"/>
          <w:b/>
          <w:color w:val="000000"/>
          <w:sz w:val="28"/>
          <w:szCs w:val="28"/>
          <w:highlight w:val="none"/>
        </w:rPr>
      </w:r>
      <w:r/>
    </w:p>
    <w:p>
      <w:pPr>
        <w:pStyle w:val="771"/>
        <w:jc w:val="left"/>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本项目服务期为三年，具体起止日期在合同中明确。</w:t>
      </w:r>
      <w:r>
        <w:rPr>
          <w:rFonts w:hint="eastAsia" w:ascii="宋体" w:hAnsi="宋体" w:cs="宋体"/>
          <w:color w:val="000000"/>
          <w:sz w:val="24"/>
          <w:highlight w:val="none"/>
        </w:rPr>
      </w:r>
      <w:r/>
    </w:p>
    <w:p>
      <w:pPr>
        <w:pStyle w:val="771"/>
        <w:ind w:firstLine="420"/>
        <w:jc w:val="left"/>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五、履约及考核要求</w:t>
      </w:r>
      <w:r>
        <w:rPr>
          <w:rFonts w:hint="eastAsia" w:ascii="宋体" w:hAnsi="宋体" w:cs="宋体"/>
          <w:b/>
          <w:color w:val="000000"/>
          <w:sz w:val="28"/>
          <w:szCs w:val="28"/>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1.因中标供应商配送不及时导致伙食供应出现断供现象的，造成不良影响的，合同立即终止。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2.因中标供应商配送不及时导致伙食供应延时且经供应商采取补救措施未造成采购人不良影响的，第一次扣除履约保证金的50%，第二次扣除履约保证金的90%且取消合同。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3.采购人临时增加用餐人员，需临时补充餐食的，中标供应商应在约定时间内无条件把所需餐食按照要求进行准备，否则，按第2条处理。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4.凡经相关部门认定，如因中标供应商所提供的餐食原因造成采购人就餐人员出现食物中毒等卫生事故的，中标供应商除必须承担全部的法律责任外，还要全额承担因食物中毒发生造成后果的一切费用，并终止合同，暂扣当月所有费用作为中标供应商的赔偿预付款。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5.凡中标供应商向采购人提供产品发生质量问题，影响食用，经采购人、中标供应商、使用人确认，第一次扣除履约保证金的50%，第二次扣除履约保证金的90%且取消合同。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6.采购人将定期或不定期地组织专人对中标供应商所供餐食原材料的质量送质检部门抽检，若发现原材料质量检测结果与投标文件质量标准不符，检测费用由成交供应商支付，另采购人有权酌情予以罚款、没收保证金、解除合同等处罚。</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7.凡供应货物故意串规、定量包装批量误差超过相关规定误差之短缺，一经查实，均需按当月总采购量的3倍误差值作为中标供应商向采购人支付的违约金。 </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8.凡中标供应商违反国家、省及江苏省血液中心有关廉政建设的规定，一经查实，扣除全部履约保证金并取消合同。</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9.采购人每月将定期不定期对中标供应商提供的餐食服务、副食品订购服务进行满意度调查，满意度不合格即请整改；整改仍不合格的，采购人有权取消合同。</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10.因中标供应商未能按要求履行合同约定进行服务取消合同的，采购人有权根据排名情况对前三名的供应商依次进行考察，择优选取；如供应商无法达到采购人要求，采购人有权重新组织招标。</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11.因以上各种原因或不可抗力因素导致终止合同，中标供应商须将饭卡余额按94折退还每位职工银行账户。</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12.正常履约内，采购人应在合同有效期满前一个月，督促职工尽快使用饭卡内余额，如合同期满，饭卡内余额清零（只可享到期前退当月320元以内餐费）。</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b/>
          <w:color w:val="000000"/>
          <w:sz w:val="28"/>
          <w:szCs w:val="28"/>
          <w:highlight w:val="none"/>
        </w:rPr>
        <w:outlineLvl w:val="0"/>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六、履约保证金及服务费结算</w:t>
      </w:r>
      <w:r>
        <w:rPr>
          <w:rFonts w:hint="eastAsia" w:ascii="宋体" w:hAnsi="宋体" w:cs="宋体"/>
          <w:b/>
          <w:color w:val="000000"/>
          <w:sz w:val="28"/>
          <w:szCs w:val="28"/>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1.履约保证金：中标供应商在签订合同前需向采购人缴纳全年采购预算金额的5%（即人民币玖万元整）作为履约保证金。</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2.服务结束并验收合格后，甲方退还乙方合同金额5%的保证金。</w:t>
      </w:r>
      <w:r>
        <w:rPr>
          <w:rFonts w:hint="eastAsia" w:ascii="宋体" w:hAnsi="宋体" w:cs="宋体"/>
          <w:color w:val="000000"/>
          <w:sz w:val="24"/>
          <w:highlight w:val="none"/>
        </w:rPr>
      </w:r>
      <w:r/>
    </w:p>
    <w:p>
      <w:pPr>
        <w:pStyle w:val="771"/>
        <w:jc w:val="left"/>
        <w:spacing w:line="360" w:lineRule="auto"/>
        <w:widowControl/>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备注：本章所有内容均为实质性要求，不允许负偏离，否则作无效标处理。如有疑问请与采购人联系。</w:t>
      </w:r>
      <w:r>
        <w:rPr>
          <w:rFonts w:hint="eastAsia" w:ascii="宋体" w:hAnsi="宋体" w:cs="宋体"/>
          <w:b/>
          <w:bCs/>
          <w:color w:val="000000"/>
          <w:sz w:val="24"/>
          <w:highlight w:val="none"/>
        </w:rPr>
      </w:r>
      <w:r/>
    </w:p>
    <w:p>
      <w:pPr>
        <w:pStyle w:val="771"/>
        <w:ind w:firstLine="480"/>
        <w:jc w:val="left"/>
        <w:spacing w:line="360" w:lineRule="auto"/>
        <w:rPr>
          <w:rFonts w:ascii="宋体" w:hAnsi="宋体" w:cs="仿宋"/>
          <w:color w:val="000000"/>
          <w:highlight w:val="none"/>
        </w:rPr>
      </w:pPr>
      <w:r>
        <w:rPr>
          <w:rFonts w:ascii="宋体" w:hAnsi="宋体" w:cs="仿宋"/>
          <w:color w:val="000000"/>
          <w:highlight w:val="none"/>
        </w:rPr>
      </w:r>
      <w:r/>
    </w:p>
    <w:p>
      <w:pPr>
        <w:pStyle w:val="771"/>
        <w:jc w:val="center"/>
        <w:spacing w:line="360" w:lineRule="auto"/>
        <w:rPr>
          <w:rFonts w:ascii="华文中宋" w:hAnsi="华文中宋" w:eastAsia="华文中宋"/>
          <w:b/>
          <w:color w:val="000000"/>
          <w:sz w:val="36"/>
          <w:szCs w:val="36"/>
          <w:highlight w:val="none"/>
        </w:rPr>
        <w:outlineLvl w:val="0"/>
      </w:pPr>
      <w:r>
        <w:rPr>
          <w:rFonts w:hint="eastAsia" w:ascii="华文中宋" w:hAnsi="华文中宋" w:eastAsia="华文中宋"/>
          <w:b/>
          <w:color w:val="000000"/>
          <w:sz w:val="36"/>
          <w:szCs w:val="36"/>
          <w:highlight w:val="none"/>
        </w:rPr>
        <w:br w:type="page" w:clear="all"/>
      </w:r>
      <w:bookmarkStart w:id="480" w:name="_Toc31478"/>
      <w:r>
        <w:rPr>
          <w:rFonts w:hint="eastAsia" w:ascii="华文中宋" w:hAnsi="华文中宋" w:eastAsia="华文中宋"/>
          <w:b/>
          <w:color w:val="000000"/>
          <w:sz w:val="36"/>
          <w:szCs w:val="36"/>
          <w:highlight w:val="none"/>
        </w:rPr>
        <w:t xml:space="preserve">第五章 评标方法与评标标准</w:t>
      </w:r>
      <w:bookmarkEnd w:id="473"/>
      <w:r/>
      <w:bookmarkEnd w:id="474"/>
      <w:r/>
      <w:bookmarkEnd w:id="475"/>
      <w:r/>
      <w:bookmarkEnd w:id="479"/>
      <w:r/>
      <w:bookmarkEnd w:id="480"/>
      <w:r>
        <w:rPr>
          <w:rFonts w:ascii="华文中宋" w:hAnsi="华文中宋" w:eastAsia="华文中宋"/>
          <w:b/>
          <w:color w:val="000000"/>
          <w:sz w:val="36"/>
          <w:szCs w:val="36"/>
          <w:highlight w:val="none"/>
        </w:rPr>
      </w:r>
      <w:r/>
    </w:p>
    <w:p>
      <w:pPr>
        <w:pStyle w:val="773"/>
        <w:ind w:firstLine="482"/>
        <w:jc w:val="both"/>
        <w:spacing w:before="0" w:after="0" w:line="360" w:lineRule="auto"/>
        <w:rPr>
          <w:rFonts w:ascii="宋体" w:hAnsi="宋体" w:eastAsia="宋体"/>
          <w:color w:val="000000"/>
          <w:sz w:val="24"/>
          <w:szCs w:val="24"/>
          <w:highlight w:val="none"/>
        </w:rPr>
      </w:pPr>
      <w:r/>
      <w:bookmarkStart w:id="481" w:name="_Toc47453314"/>
      <w:r/>
      <w:bookmarkStart w:id="482" w:name="_Toc27670"/>
      <w:r/>
      <w:bookmarkStart w:id="483" w:name="_Toc9363437"/>
      <w:r/>
      <w:bookmarkStart w:id="484" w:name="_Toc12887274"/>
      <w:r/>
      <w:bookmarkStart w:id="485" w:name="_Toc12708983"/>
      <w:r>
        <w:rPr>
          <w:rFonts w:hint="eastAsia" w:ascii="宋体" w:hAnsi="宋体" w:eastAsia="宋体"/>
          <w:color w:val="000000"/>
          <w:sz w:val="24"/>
          <w:szCs w:val="24"/>
          <w:highlight w:val="none"/>
        </w:rPr>
        <w:t xml:space="preserve">一、评标方法与定标原则</w:t>
      </w:r>
      <w:bookmarkEnd w:id="481"/>
      <w:r/>
      <w:bookmarkEnd w:id="482"/>
      <w:r/>
      <w:bookmarkEnd w:id="483"/>
      <w:r/>
      <w:bookmarkEnd w:id="484"/>
      <w:r/>
      <w:bookmarkEnd w:id="485"/>
      <w:r>
        <w:rPr>
          <w:rFonts w:ascii="宋体" w:hAnsi="宋体" w:eastAsia="宋体"/>
          <w:color w:val="000000"/>
          <w:sz w:val="24"/>
          <w:szCs w:val="24"/>
          <w:highlight w:val="none"/>
        </w:rPr>
      </w:r>
      <w:r/>
    </w:p>
    <w:p>
      <w:pPr>
        <w:pStyle w:val="1033"/>
        <w:jc w:val="both"/>
        <w:spacing w:before="0" w:after="0"/>
        <w:rPr>
          <w:rFonts w:ascii="宋体" w:hAnsi="宋体"/>
          <w:bCs/>
          <w:color w:val="000000"/>
          <w:highlight w:val="none"/>
        </w:rPr>
      </w:pPr>
      <w:r>
        <w:rPr>
          <w:rFonts w:hint="eastAsia" w:ascii="宋体" w:hAnsi="宋体"/>
          <w:bCs/>
          <w:color w:val="000000"/>
          <w:highlight w:val="none"/>
        </w:rPr>
        <w:t xml:space="preserve">评委会将对确定为实质性响应招标文件要求的投标文件进行评价和比较，评标采用综合评分法。</w:t>
      </w:r>
      <w:r>
        <w:rPr>
          <w:rFonts w:ascii="宋体" w:hAnsi="宋体"/>
          <w:bCs/>
          <w:color w:val="000000"/>
          <w:highlight w:val="none"/>
        </w:rPr>
        <w:t xml:space="preserve">采用综合评分法的，评标结果按评审后得分由高到低顺序排列。得分相同的，按</w:t>
      </w:r>
      <w:r>
        <w:rPr>
          <w:rFonts w:hint="eastAsia" w:ascii="宋体" w:hAnsi="宋体"/>
          <w:bCs/>
          <w:color w:val="000000"/>
          <w:highlight w:val="none"/>
        </w:rPr>
        <w:t xml:space="preserve">方案部分</w:t>
      </w:r>
      <w:r>
        <w:rPr>
          <w:rFonts w:hint="eastAsia" w:ascii="宋体" w:hAnsi="宋体"/>
          <w:color w:val="000000"/>
          <w:szCs w:val="21"/>
          <w:highlight w:val="none"/>
        </w:rPr>
        <w:t xml:space="preserve">优劣顺序排列。</w:t>
      </w:r>
      <w:r>
        <w:rPr>
          <w:rFonts w:ascii="宋体" w:hAnsi="宋体"/>
          <w:bCs/>
          <w:color w:val="000000"/>
          <w:highlight w:val="none"/>
        </w:rPr>
      </w:r>
      <w:r/>
    </w:p>
    <w:p>
      <w:pPr>
        <w:pStyle w:val="773"/>
        <w:ind w:firstLine="482"/>
        <w:jc w:val="both"/>
        <w:spacing w:before="0" w:after="0" w:line="360" w:lineRule="auto"/>
        <w:rPr>
          <w:rFonts w:ascii="宋体" w:hAnsi="宋体" w:eastAsia="宋体"/>
          <w:color w:val="000000"/>
          <w:sz w:val="24"/>
          <w:szCs w:val="24"/>
          <w:highlight w:val="none"/>
        </w:rPr>
      </w:pPr>
      <w:r/>
      <w:bookmarkStart w:id="486" w:name="_Toc12887275"/>
      <w:r/>
      <w:bookmarkStart w:id="487" w:name="_Toc12708984"/>
      <w:r/>
      <w:bookmarkStart w:id="488" w:name="_Toc47453315"/>
      <w:r/>
      <w:bookmarkStart w:id="489" w:name="_Toc9363438"/>
      <w:r/>
      <w:bookmarkStart w:id="490" w:name="_Toc7770"/>
      <w:r>
        <w:rPr>
          <w:rFonts w:hint="eastAsia" w:ascii="宋体" w:hAnsi="宋体" w:eastAsia="宋体"/>
          <w:color w:val="000000"/>
          <w:sz w:val="24"/>
          <w:szCs w:val="24"/>
          <w:highlight w:val="none"/>
        </w:rPr>
        <w:t xml:space="preserve">二、评标标准</w:t>
      </w:r>
      <w:bookmarkEnd w:id="486"/>
      <w:r/>
      <w:bookmarkEnd w:id="487"/>
      <w:r/>
      <w:bookmarkEnd w:id="488"/>
      <w:r/>
      <w:bookmarkEnd w:id="489"/>
      <w:r/>
      <w:bookmarkEnd w:id="490"/>
      <w:r/>
      <w:bookmarkStart w:id="491" w:name="_Toc47453316"/>
      <w:r/>
      <w:bookmarkStart w:id="492" w:name="_Toc9363439"/>
      <w:r/>
      <w:bookmarkStart w:id="493" w:name="_Toc8485125"/>
      <w:r/>
      <w:bookmarkStart w:id="494" w:name="_Hlk106726583"/>
      <w:r/>
      <w:bookmarkStart w:id="495" w:name="_Hlk106727412"/>
      <w:r/>
      <w:bookmarkStart w:id="496" w:name="_Hlk106725945"/>
      <w:r/>
      <w:bookmarkStart w:id="497" w:name="_Toc12708985"/>
      <w:r/>
      <w:bookmarkStart w:id="498" w:name="_Toc12887276"/>
      <w:r>
        <w:rPr>
          <w:rFonts w:ascii="宋体" w:hAnsi="宋体" w:eastAsia="宋体"/>
          <w:color w:val="000000"/>
          <w:sz w:val="24"/>
          <w:szCs w:val="24"/>
          <w:highlight w:val="none"/>
        </w:rPr>
      </w:r>
      <w:r/>
    </w:p>
    <w:tbl>
      <w:tblPr>
        <w:tblW w:w="9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1010"/>
      </w:tblGrid>
      <w:tr>
        <w:trPr>
          <w:trHeight w:val="664"/>
          <w:tblHeader/>
        </w:trPr>
        <w:tc>
          <w:tcPr>
            <w:tcW w:w="609" w:type="dxa"/>
            <w:vAlign w:val="center"/>
            <w:textDirection w:val="lrTb"/>
            <w:noWrap w:val="false"/>
          </w:tcPr>
          <w:p>
            <w:pPr>
              <w:pStyle w:val="771"/>
              <w:jc w:val="center"/>
              <w:spacing w:line="36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254" w:type="dxa"/>
            <w:vAlign w:val="center"/>
            <w:textDirection w:val="lrTb"/>
            <w:noWrap w:val="false"/>
          </w:tcPr>
          <w:p>
            <w:pPr>
              <w:pStyle w:val="771"/>
              <w:jc w:val="center"/>
              <w:spacing w:line="36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类别评价项目</w:t>
            </w:r>
            <w:r>
              <w:rPr>
                <w:rFonts w:hint="eastAsia" w:ascii="宋体" w:hAnsi="宋体" w:cs="宋体"/>
                <w:b/>
                <w:color w:val="000000"/>
                <w:sz w:val="24"/>
                <w:highlight w:val="none"/>
              </w:rPr>
            </w:r>
            <w:r/>
          </w:p>
        </w:tc>
        <w:tc>
          <w:tcPr>
            <w:tcW w:w="1296" w:type="dxa"/>
            <w:vAlign w:val="center"/>
            <w:textDirection w:val="lrTb"/>
            <w:noWrap w:val="false"/>
          </w:tcPr>
          <w:p>
            <w:pPr>
              <w:pStyle w:val="771"/>
              <w:jc w:val="center"/>
              <w:spacing w:line="36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评分内容</w:t>
            </w:r>
            <w:r>
              <w:rPr>
                <w:rFonts w:hint="eastAsia" w:ascii="宋体" w:hAnsi="宋体" w:cs="宋体"/>
                <w:b/>
                <w:color w:val="000000"/>
                <w:sz w:val="24"/>
                <w:highlight w:val="none"/>
              </w:rPr>
            </w:r>
            <w:r/>
          </w:p>
        </w:tc>
        <w:tc>
          <w:tcPr>
            <w:tcW w:w="5207" w:type="dxa"/>
            <w:vAlign w:val="center"/>
            <w:textDirection w:val="lrTb"/>
            <w:noWrap w:val="false"/>
          </w:tcPr>
          <w:p>
            <w:pPr>
              <w:pStyle w:val="771"/>
              <w:jc w:val="center"/>
              <w:spacing w:line="36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r>
      <w:tr>
        <w:trPr>
          <w:cantSplit/>
          <w:trHeight w:val="1611"/>
        </w:trPr>
        <w:tc>
          <w:tcPr>
            <w:tcW w:w="609"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254"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服务</w:t>
            </w:r>
            <w:r>
              <w:rPr>
                <w:rFonts w:hint="eastAsia" w:ascii="宋体" w:hAnsi="宋体" w:cs="宋体"/>
                <w:bCs/>
                <w:color w:val="000000"/>
                <w:sz w:val="24"/>
                <w:highlight w:val="none"/>
              </w:rPr>
            </w:r>
            <w:r/>
          </w:p>
        </w:tc>
        <w:tc>
          <w:tcPr>
            <w:tcW w:w="1296" w:type="dxa"/>
            <w:vAlign w:val="center"/>
            <w:textDirection w:val="lrTb"/>
            <w:noWrap w:val="false"/>
          </w:tcPr>
          <w:p>
            <w:pPr>
              <w:pStyle w:val="771"/>
              <w:jc w:val="center"/>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供餐服务总体方案</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评委根据供应商所提供的供餐服务总体方案进行综合评分，至少包括经营思路、对本项目餐饮服务与管理的整体设想以及营养菜谱分析等。</w:t>
            </w:r>
            <w:r>
              <w:rPr>
                <w:rFonts w:hint="eastAsia" w:ascii="宋体" w:hAnsi="宋体" w:cs="宋体"/>
                <w:bCs/>
                <w:color w:val="000000"/>
                <w:sz w:val="24"/>
                <w:highlight w:val="none"/>
              </w:rPr>
            </w:r>
            <w:r/>
          </w:p>
          <w:p>
            <w:pPr>
              <w:pStyle w:val="771"/>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1.内容完整，保障到位且价格合理，具有规范的服务标准，且能够额外提供其他增值服务的，得10分；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2.内容较完整，保障基本到位且价格较合理，具有较为规范的服务标准的，得7分；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3.内容完整度一般，保障有所欠缺且价格不太合理，服务标准规范程度一般的，得4分；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4.未提供方案或方案无实质性内容的不得分。</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10分</w:t>
            </w:r>
            <w:r>
              <w:rPr>
                <w:rFonts w:hint="eastAsia" w:ascii="宋体" w:hAnsi="宋体" w:cs="宋体"/>
                <w:bCs/>
                <w:color w:val="000000"/>
                <w:sz w:val="24"/>
                <w:highlight w:val="none"/>
              </w:rPr>
            </w:r>
            <w:r/>
          </w:p>
        </w:tc>
      </w:tr>
      <w:tr>
        <w:trPr>
          <w:cantSplit/>
          <w:trHeight w:val="3318"/>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食品安全自查管理制度</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评委根据投标供应商所提供的食品安全自查管理制度进行综合评分。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1.自查管理制度科学、完善、能够有效预防食品安全问题的，得10分；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2.自查管理制度较为科学、完善、能够较为有效地预防食品安全问题的，得7分； </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3.自查管理制度一般，基本可以预防食品安全问题的，得4分；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4.未提供方案或自查管理制度较差、内容空泛、无实质性内容的不得分。</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10分</w:t>
            </w:r>
            <w:r>
              <w:rPr>
                <w:rFonts w:hint="eastAsia" w:ascii="宋体" w:hAnsi="宋体" w:cs="宋体"/>
                <w:bCs/>
                <w:color w:val="000000"/>
                <w:sz w:val="24"/>
                <w:highlight w:val="none"/>
              </w:rPr>
            </w:r>
            <w:r/>
          </w:p>
        </w:tc>
      </w:tr>
      <w:tr>
        <w:trPr>
          <w:cantSplit/>
          <w:trHeight w:val="2607"/>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质量管理制度</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评委根据供应商所提供的针对本项目的质量管理制度、投标供应商单位的内部员工奖惩激励机制，与各方的交接、协调沟通方案进行评分。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1.制度明确，针对性强，具有不同于其他投标人新颖思路，完全满足采购需求的，得10分；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2.制度明确，操作性强，能满足采购需求的，得7分；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3.制度较明确，有一定操作性，基本满足采购需求的，得4分；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4.制度不全面或不能满足采购需求的不得分。</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10分</w:t>
            </w:r>
            <w:r>
              <w:rPr>
                <w:rFonts w:hint="eastAsia" w:ascii="宋体" w:hAnsi="宋体" w:cs="宋体"/>
                <w:bCs/>
                <w:color w:val="000000"/>
                <w:sz w:val="24"/>
                <w:highlight w:val="none"/>
              </w:rPr>
            </w:r>
            <w:r/>
          </w:p>
        </w:tc>
      </w:tr>
      <w:tr>
        <w:trPr>
          <w:cantSplit/>
          <w:trHeight w:val="2025"/>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lang w:val="en-US"/>
              </w:rPr>
              <w:t xml:space="preserve">供餐菜品搭配方案</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lang w:val="en-US" w:eastAsia="en-US"/>
              </w:rPr>
            </w:pPr>
            <w:r>
              <w:rPr>
                <w:rFonts w:hint="eastAsia" w:ascii="宋体" w:hAnsi="宋体" w:cs="宋体"/>
                <w:bCs/>
                <w:color w:val="000000"/>
                <w:sz w:val="24"/>
                <w:highlight w:val="none"/>
                <w:lang w:val="en-US" w:eastAsia="en-US"/>
              </w:rPr>
              <w:t xml:space="preserve">评委根据供应商所提供的针对本项目餐标一周供餐菜品搭配方案进行综合评分。</w:t>
            </w:r>
            <w:r>
              <w:rPr>
                <w:rFonts w:hint="eastAsia" w:ascii="宋体" w:hAnsi="宋体" w:cs="宋体"/>
                <w:bCs/>
                <w:color w:val="000000"/>
                <w:sz w:val="24"/>
                <w:highlight w:val="none"/>
                <w:lang w:val="en-US" w:eastAsia="en-US"/>
              </w:rPr>
            </w:r>
            <w:r/>
          </w:p>
          <w:p>
            <w:pPr>
              <w:pStyle w:val="771"/>
              <w:jc w:val="left"/>
              <w:spacing w:line="360" w:lineRule="exact"/>
              <w:shd w:val="clear" w:color="auto" w:fill="ffffff"/>
              <w:widowControl/>
              <w:rPr>
                <w:rFonts w:hint="eastAsia" w:ascii="宋体" w:hAnsi="宋体" w:cs="宋体"/>
                <w:bCs/>
                <w:color w:val="000000"/>
                <w:sz w:val="24"/>
                <w:highlight w:val="none"/>
                <w:lang w:val="en-US"/>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en-US"/>
              </w:rPr>
              <w:t xml:space="preserve">菜品种类多样，荤素搭配合理，营养搭配均衡科学的</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eastAsia="en-US"/>
              </w:rPr>
              <w:t xml:space="preserve">得</w:t>
            </w:r>
            <w:r>
              <w:rPr>
                <w:rFonts w:hint="eastAsia" w:ascii="宋体" w:hAnsi="宋体" w:cs="宋体"/>
                <w:bCs/>
                <w:color w:val="000000"/>
                <w:sz w:val="24"/>
                <w:highlight w:val="none"/>
              </w:rPr>
              <w:t xml:space="preserve">10</w:t>
            </w:r>
            <w:r>
              <w:rPr>
                <w:rFonts w:hint="eastAsia" w:ascii="宋体" w:hAnsi="宋体" w:cs="宋体"/>
                <w:bCs/>
                <w:color w:val="000000"/>
                <w:sz w:val="24"/>
                <w:highlight w:val="none"/>
                <w:lang w:val="en-US" w:eastAsia="en-US"/>
              </w:rPr>
              <w:t xml:space="preserve">分</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rPr>
            </w:r>
            <w:r/>
          </w:p>
          <w:p>
            <w:pPr>
              <w:pStyle w:val="771"/>
              <w:jc w:val="left"/>
              <w:spacing w:line="360" w:lineRule="exact"/>
              <w:shd w:val="clear" w:color="auto" w:fill="ffffff"/>
              <w:widowControl/>
              <w:rPr>
                <w:rFonts w:hint="eastAsia" w:ascii="宋体" w:hAnsi="宋体" w:cs="宋体"/>
                <w:bCs/>
                <w:color w:val="000000"/>
                <w:sz w:val="24"/>
                <w:highlight w:val="none"/>
                <w:lang w:val="en-US"/>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en-US"/>
              </w:rPr>
              <w:t xml:space="preserve">菜品种类较为多样，荤素搭配较为合理，营养搭配较为均衡科学的</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eastAsia="en-US"/>
              </w:rPr>
              <w:t xml:space="preserve">得</w:t>
            </w:r>
            <w:r>
              <w:rPr>
                <w:rFonts w:hint="eastAsia" w:ascii="宋体" w:hAnsi="宋体" w:cs="宋体"/>
                <w:bCs/>
                <w:color w:val="000000"/>
                <w:sz w:val="24"/>
                <w:highlight w:val="none"/>
              </w:rPr>
              <w:t xml:space="preserve">7</w:t>
            </w:r>
            <w:r>
              <w:rPr>
                <w:rFonts w:hint="eastAsia" w:ascii="宋体" w:hAnsi="宋体" w:cs="宋体"/>
                <w:bCs/>
                <w:color w:val="000000"/>
                <w:sz w:val="24"/>
                <w:highlight w:val="none"/>
                <w:lang w:val="en-US" w:eastAsia="en-US"/>
              </w:rPr>
              <w:t xml:space="preserve">分</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rPr>
            </w:r>
            <w:r/>
          </w:p>
          <w:p>
            <w:pPr>
              <w:pStyle w:val="771"/>
              <w:jc w:val="left"/>
              <w:spacing w:line="360" w:lineRule="exact"/>
              <w:shd w:val="clear" w:color="auto" w:fill="ffffff"/>
              <w:widowControl/>
              <w:rPr>
                <w:rFonts w:hint="eastAsia" w:ascii="宋体" w:hAnsi="宋体" w:cs="宋体"/>
                <w:bCs/>
                <w:color w:val="000000"/>
                <w:sz w:val="24"/>
                <w:highlight w:val="none"/>
                <w:lang w:val="en-US"/>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en-US"/>
              </w:rPr>
              <w:t xml:space="preserve">菜品种类搭配单一，营养搭配均衡性和科学性一般的</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eastAsia="en-US"/>
              </w:rPr>
              <w:t xml:space="preserve">得</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en-US"/>
              </w:rPr>
              <w:t xml:space="preserve">分</w:t>
            </w:r>
            <w:r>
              <w:rPr>
                <w:rFonts w:hint="eastAsia" w:ascii="宋体" w:hAnsi="宋体" w:cs="宋体"/>
                <w:bCs/>
                <w:color w:val="000000"/>
                <w:sz w:val="24"/>
                <w:highlight w:val="none"/>
                <w:lang w:val="en-US"/>
              </w:rPr>
              <w:t xml:space="preserve">。</w:t>
            </w:r>
            <w:r>
              <w:rPr>
                <w:rFonts w:hint="eastAsia" w:ascii="宋体" w:hAnsi="宋体" w:cs="宋体"/>
                <w:bCs/>
                <w:color w:val="000000"/>
                <w:sz w:val="24"/>
                <w:highlight w:val="none"/>
                <w:lang w:val="en-US"/>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4.未</w:t>
            </w:r>
            <w:r>
              <w:rPr>
                <w:rFonts w:hint="eastAsia" w:ascii="宋体" w:hAnsi="宋体" w:cs="宋体"/>
                <w:bCs/>
                <w:color w:val="000000"/>
                <w:sz w:val="24"/>
                <w:highlight w:val="none"/>
                <w:lang w:val="en-US"/>
              </w:rPr>
              <w:t xml:space="preserve">提供方案不得分。</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10分</w:t>
            </w:r>
            <w:r>
              <w:rPr>
                <w:rFonts w:hint="eastAsia" w:ascii="宋体" w:hAnsi="宋体" w:cs="宋体"/>
                <w:bCs/>
                <w:color w:val="000000"/>
                <w:sz w:val="24"/>
                <w:highlight w:val="none"/>
              </w:rPr>
            </w:r>
            <w:r/>
          </w:p>
        </w:tc>
      </w:tr>
      <w:tr>
        <w:trPr>
          <w:cantSplit/>
          <w:trHeight w:val="2025"/>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应急预案</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评委根据供应商针对本项目所提供的（1）食品安全（如食物中出现异物、异味等）；（2）消防安全；（3）停电、停水、停气、恶劣天气及不可抗拒灾害等突发情况的应急预案进行综合评分。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1.应急预案完整无缺漏，预案科学、合理、可操作强的，得10分；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2.应急预案完整无缺漏，预案较科学、合理、可操作一般的，得7分；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3.应急预案不完整，可操作性较差的，得4分；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4.未提供方案不得分。</w:t>
            </w:r>
            <w:r>
              <w:rPr>
                <w:rFonts w:hint="eastAsia" w:ascii="宋体" w:hAnsi="宋体" w:cs="宋体"/>
                <w:bCs/>
                <w:color w:val="000000"/>
                <w:sz w:val="24"/>
                <w:highlight w:val="none"/>
              </w:rPr>
            </w:r>
            <w:r/>
          </w:p>
        </w:tc>
        <w:tc>
          <w:tcPr>
            <w:tcW w:w="1010" w:type="dxa"/>
            <w:vAlign w:val="center"/>
            <w:textDirection w:val="lrTb"/>
            <w:noWrap w:val="false"/>
          </w:tcPr>
          <w:p>
            <w:pPr>
              <w:pStyle w:val="771"/>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10分</w:t>
            </w:r>
            <w:r>
              <w:rPr>
                <w:rFonts w:hint="eastAsia" w:ascii="宋体" w:hAnsi="宋体" w:cs="宋体"/>
                <w:bCs/>
                <w:color w:val="000000"/>
                <w:sz w:val="24"/>
                <w:highlight w:val="none"/>
              </w:rPr>
            </w:r>
            <w:r/>
          </w:p>
        </w:tc>
      </w:tr>
      <w:tr>
        <w:trPr>
          <w:cantSplit/>
          <w:trHeight w:val="1891"/>
        </w:trPr>
        <w:tc>
          <w:tcPr>
            <w:tcW w:w="609"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1254"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业绩</w:t>
            </w:r>
            <w:r>
              <w:rPr>
                <w:rFonts w:hint="eastAsia" w:ascii="宋体" w:hAnsi="宋体" w:cs="宋体"/>
                <w:bCs/>
                <w:color w:val="000000"/>
                <w:sz w:val="24"/>
                <w:highlight w:val="none"/>
              </w:rPr>
            </w:r>
            <w:r/>
          </w:p>
        </w:tc>
        <w:tc>
          <w:tcPr>
            <w:tcW w:w="1296" w:type="dxa"/>
            <w:vAlign w:val="center"/>
            <w:textDirection w:val="lrTb"/>
            <w:noWrap w:val="false"/>
          </w:tcPr>
          <w:p>
            <w:pPr>
              <w:pStyle w:val="771"/>
              <w:jc w:val="left"/>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企业业绩</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自2023年1月1日以来，有类似服务项目管理经验（至少包含集体送餐或副食品订购服务）的情况进行打分，有一个业绩得3分，最高15分。提供合同复印件及业主满意证明加盖公章（合同需能反映签订时间和相关内容，可另附业主单位证明）。</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15分</w:t>
            </w:r>
            <w:r>
              <w:rPr>
                <w:rFonts w:hint="eastAsia" w:ascii="宋体" w:hAnsi="宋体" w:cs="宋体"/>
                <w:bCs/>
                <w:color w:val="000000"/>
                <w:sz w:val="24"/>
                <w:highlight w:val="none"/>
              </w:rPr>
            </w:r>
            <w:r/>
          </w:p>
        </w:tc>
      </w:tr>
      <w:tr>
        <w:trPr>
          <w:cantSplit/>
          <w:trHeight w:val="1178"/>
        </w:trPr>
        <w:tc>
          <w:tcPr>
            <w:tcW w:w="609"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254"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履约能力</w:t>
            </w:r>
            <w:r>
              <w:rPr>
                <w:rFonts w:hint="eastAsia" w:ascii="宋体" w:hAnsi="宋体" w:cs="宋体"/>
                <w:bCs/>
                <w:color w:val="000000"/>
                <w:sz w:val="24"/>
                <w:highlight w:val="none"/>
              </w:rPr>
            </w:r>
            <w:r/>
          </w:p>
        </w:tc>
        <w:tc>
          <w:tcPr>
            <w:tcW w:w="1296" w:type="dxa"/>
            <w:vAlign w:val="center"/>
            <w:textDirection w:val="lrTb"/>
            <w:noWrap w:val="false"/>
          </w:tcPr>
          <w:p>
            <w:pPr>
              <w:pStyle w:val="771"/>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食品安全责任险</w:t>
            </w:r>
            <w:r>
              <w:rPr>
                <w:rFonts w:hint="eastAsia" w:ascii="宋体" w:hAnsi="宋体" w:cs="宋体"/>
                <w:bCs/>
                <w:color w:val="000000"/>
                <w:sz w:val="24"/>
                <w:highlight w:val="none"/>
              </w:rPr>
            </w:r>
            <w:r/>
          </w:p>
        </w:tc>
        <w:tc>
          <w:tcPr>
            <w:tcW w:w="5207" w:type="dxa"/>
            <w:vAlign w:val="center"/>
            <w:textDirection w:val="lrTb"/>
            <w:noWrap w:val="false"/>
          </w:tcPr>
          <w:p>
            <w:pPr>
              <w:pStyle w:val="771"/>
              <w:rPr>
                <w:rFonts w:hint="eastAsia" w:ascii="宋体" w:hAnsi="宋体" w:cs="宋体"/>
                <w:bCs/>
                <w:color w:val="000000"/>
                <w:sz w:val="24"/>
                <w:highlight w:val="none"/>
              </w:rPr>
            </w:pPr>
            <w:r>
              <w:rPr>
                <w:rFonts w:hint="eastAsia" w:ascii="宋体" w:hAnsi="宋体" w:cs="宋体"/>
                <w:color w:val="000000"/>
                <w:sz w:val="24"/>
                <w:highlight w:val="none"/>
              </w:rPr>
              <w:t xml:space="preserve">供应商承诺</w:t>
            </w:r>
            <w:r>
              <w:rPr>
                <w:rFonts w:hint="eastAsia" w:ascii="宋体" w:hAnsi="宋体" w:cs="宋体"/>
                <w:color w:val="000000"/>
                <w:sz w:val="24"/>
                <w:highlight w:val="none"/>
              </w:rPr>
              <w:t xml:space="preserve">中标</w:t>
            </w:r>
            <w:r>
              <w:rPr>
                <w:rFonts w:hint="eastAsia" w:ascii="宋体" w:hAnsi="宋体" w:cs="宋体"/>
                <w:color w:val="000000"/>
                <w:sz w:val="24"/>
                <w:highlight w:val="none"/>
              </w:rPr>
              <w:t xml:space="preserve">后为本项目投保《食品安全责任险》的，得2分。注：提供承诺书（自拟）复印件加盖响应单位公章，否则不得分。</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2分</w:t>
            </w:r>
            <w:r>
              <w:rPr>
                <w:rFonts w:hint="eastAsia" w:ascii="宋体" w:hAnsi="宋体" w:cs="宋体"/>
                <w:bCs/>
                <w:color w:val="000000"/>
                <w:sz w:val="24"/>
                <w:highlight w:val="none"/>
              </w:rPr>
            </w:r>
            <w:r/>
          </w:p>
        </w:tc>
      </w:tr>
      <w:tr>
        <w:trPr>
          <w:cantSplit/>
          <w:trHeight w:val="1915"/>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业务时效承诺</w:t>
            </w:r>
            <w:r>
              <w:rPr>
                <w:rFonts w:hint="eastAsia" w:ascii="宋体" w:hAnsi="宋体" w:cs="宋体"/>
                <w:color w:val="000000"/>
                <w:sz w:val="24"/>
                <w:highlight w:val="none"/>
              </w:rPr>
            </w:r>
            <w:r/>
          </w:p>
        </w:tc>
        <w:tc>
          <w:tcPr>
            <w:tcW w:w="5207" w:type="dxa"/>
            <w:vAlign w:val="center"/>
            <w:textDirection w:val="lrTb"/>
            <w:noWrap w:val="false"/>
          </w:tcPr>
          <w:p>
            <w:pPr>
              <w:pStyle w:val="771"/>
              <w:rPr>
                <w:rFonts w:hint="eastAsia" w:ascii="宋体" w:hAnsi="宋体" w:cs="宋体"/>
                <w:color w:val="000000"/>
                <w:sz w:val="24"/>
                <w:highlight w:val="none"/>
              </w:rPr>
            </w:pPr>
            <w:r>
              <w:rPr>
                <w:rFonts w:hint="eastAsia" w:ascii="宋体" w:hAnsi="宋体" w:cs="宋体"/>
                <w:color w:val="000000"/>
                <w:sz w:val="24"/>
                <w:highlight w:val="none"/>
              </w:rPr>
              <w:t xml:space="preserve">供应商承诺可以在接到采购人用餐需求后，5分钟内进行回复确认，15分钟内安排服务人员至现场与采购人对接的，得6分。</w:t>
            </w:r>
            <w:r>
              <w:rPr>
                <w:rFonts w:hint="eastAsia" w:ascii="宋体" w:hAnsi="宋体" w:cs="宋体"/>
                <w:color w:val="000000"/>
                <w:sz w:val="24"/>
                <w:highlight w:val="none"/>
              </w:rPr>
            </w:r>
            <w:r/>
          </w:p>
          <w:p>
            <w:pPr>
              <w:pStyle w:val="771"/>
              <w:rPr>
                <w:rFonts w:hint="eastAsia" w:ascii="宋体" w:hAnsi="宋体" w:cs="宋体"/>
                <w:color w:val="000000"/>
                <w:sz w:val="24"/>
                <w:highlight w:val="none"/>
              </w:rPr>
            </w:pPr>
            <w:r>
              <w:rPr>
                <w:rFonts w:hint="eastAsia" w:ascii="宋体" w:hAnsi="宋体" w:cs="宋体"/>
                <w:color w:val="000000"/>
                <w:sz w:val="24"/>
                <w:highlight w:val="none"/>
              </w:rPr>
              <w:t xml:space="preserve">供应商承诺可以在接到采购人用餐需求后，10分钟内进行回复确认，30分钟内安排服务人员至现场与采购人对接的，得3分。</w:t>
            </w:r>
            <w:r>
              <w:rPr>
                <w:rFonts w:hint="eastAsia" w:ascii="宋体" w:hAnsi="宋体" w:cs="宋体"/>
                <w:color w:val="000000"/>
                <w:sz w:val="24"/>
                <w:highlight w:val="none"/>
              </w:rPr>
            </w:r>
            <w:r/>
          </w:p>
          <w:p>
            <w:pPr>
              <w:pStyle w:val="771"/>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p>
            <w:pPr>
              <w:pStyle w:val="771"/>
              <w:rPr>
                <w:rFonts w:hint="eastAsia" w:ascii="宋体" w:hAnsi="宋体" w:cs="宋体"/>
                <w:bCs/>
                <w:color w:val="000000"/>
                <w:sz w:val="24"/>
                <w:highlight w:val="none"/>
              </w:rPr>
            </w:pPr>
            <w:r>
              <w:rPr>
                <w:rFonts w:hint="eastAsia" w:ascii="宋体" w:hAnsi="宋体" w:cs="宋体"/>
                <w:color w:val="000000"/>
                <w:sz w:val="24"/>
                <w:highlight w:val="none"/>
              </w:rPr>
              <w:t xml:space="preserve">注：提供承诺书并加盖公章。</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6分</w:t>
            </w:r>
            <w:r>
              <w:rPr>
                <w:rFonts w:hint="eastAsia" w:ascii="宋体" w:hAnsi="宋体" w:cs="宋体"/>
                <w:bCs/>
                <w:color w:val="000000"/>
                <w:sz w:val="24"/>
                <w:highlight w:val="none"/>
              </w:rPr>
            </w:r>
            <w:r/>
          </w:p>
        </w:tc>
      </w:tr>
      <w:tr>
        <w:trPr>
          <w:cantSplit/>
          <w:trHeight w:val="436"/>
        </w:trPr>
        <w:tc>
          <w:tcPr>
            <w:tcW w:w="609"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254" w:type="dxa"/>
            <w:vAlign w:val="center"/>
            <w:vMerge w:val="restart"/>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综合实力</w:t>
            </w:r>
            <w:r>
              <w:rPr>
                <w:rFonts w:hint="eastAsia" w:ascii="宋体" w:hAnsi="宋体" w:cs="宋体"/>
                <w:bCs/>
                <w:color w:val="000000"/>
                <w:sz w:val="24"/>
                <w:highlight w:val="none"/>
              </w:rPr>
            </w:r>
            <w:r/>
          </w:p>
        </w:tc>
        <w:tc>
          <w:tcPr>
            <w:tcW w:w="1296" w:type="dxa"/>
            <w:vAlign w:val="center"/>
            <w:textDirection w:val="lrTb"/>
            <w:noWrap w:val="false"/>
          </w:tcPr>
          <w:p>
            <w:pPr>
              <w:pStyle w:val="7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供应商运输车辆情况</w:t>
            </w:r>
            <w:r>
              <w:rPr>
                <w:rFonts w:hint="eastAsia" w:ascii="宋体" w:hAnsi="宋体" w:cs="宋体"/>
                <w:color w:val="000000"/>
                <w:sz w:val="24"/>
                <w:highlight w:val="none"/>
              </w:rPr>
            </w:r>
            <w:r/>
          </w:p>
        </w:tc>
        <w:tc>
          <w:tcPr>
            <w:tcW w:w="5207" w:type="dxa"/>
            <w:vAlign w:val="center"/>
            <w:textDirection w:val="lrTb"/>
            <w:noWrap w:val="false"/>
          </w:tcPr>
          <w:p>
            <w:pPr>
              <w:pStyle w:val="771"/>
              <w:rPr>
                <w:rFonts w:hint="eastAsia" w:ascii="宋体" w:hAnsi="宋体" w:cs="宋体"/>
                <w:color w:val="000000"/>
                <w:sz w:val="24"/>
                <w:highlight w:val="none"/>
              </w:rPr>
            </w:pPr>
            <w:r>
              <w:rPr>
                <w:rFonts w:hint="eastAsia" w:ascii="宋体" w:hAnsi="宋体" w:cs="宋体"/>
                <w:color w:val="000000"/>
                <w:sz w:val="24"/>
                <w:highlight w:val="none"/>
              </w:rPr>
              <w:t xml:space="preserve">供应商拟投入本项目的配送车辆，有一辆得2分，最高2分。</w:t>
            </w:r>
            <w:r>
              <w:rPr>
                <w:rFonts w:hint="eastAsia" w:ascii="宋体" w:hAnsi="宋体" w:cs="宋体"/>
                <w:color w:val="000000"/>
                <w:sz w:val="24"/>
                <w:highlight w:val="none"/>
              </w:rPr>
            </w:r>
            <w:r/>
          </w:p>
          <w:p>
            <w:pPr>
              <w:pStyle w:val="771"/>
              <w:jc w:val="left"/>
              <w:spacing w:line="3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注：如提供配餐车辆为自有的，响应文件中需提供行驶证以及购买发票；如提供配餐车辆为租赁的，响应文件中需提供租赁合同、行驶证和租赁发票且租赁期限需覆盖本项目的服务期限；承诺</w:t>
            </w:r>
            <w:r>
              <w:rPr>
                <w:rFonts w:hint="eastAsia" w:ascii="宋体" w:hAnsi="宋体" w:cs="宋体"/>
                <w:color w:val="000000"/>
                <w:sz w:val="24"/>
                <w:highlight w:val="none"/>
              </w:rPr>
              <w:t xml:space="preserve">中标</w:t>
            </w:r>
            <w:r>
              <w:rPr>
                <w:rFonts w:hint="eastAsia" w:ascii="宋体" w:hAnsi="宋体" w:cs="宋体"/>
                <w:color w:val="000000"/>
                <w:sz w:val="24"/>
                <w:highlight w:val="none"/>
              </w:rPr>
              <w:t xml:space="preserve">后购买或租赁的需提供承诺书加盖响应单位公章。</w:t>
            </w:r>
            <w:r>
              <w:rPr>
                <w:rFonts w:hint="eastAsia" w:ascii="宋体" w:hAnsi="宋体" w:cs="宋体"/>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2分</w:t>
            </w:r>
            <w:r>
              <w:rPr>
                <w:rFonts w:hint="eastAsia" w:ascii="宋体" w:hAnsi="宋体" w:cs="宋体"/>
                <w:bCs/>
                <w:color w:val="000000"/>
                <w:sz w:val="24"/>
                <w:highlight w:val="none"/>
              </w:rPr>
            </w:r>
            <w:r/>
          </w:p>
        </w:tc>
      </w:tr>
      <w:tr>
        <w:trPr>
          <w:cantSplit/>
          <w:trHeight w:val="1477"/>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vMerge w:val="restart"/>
            <w:textDirection w:val="lrTb"/>
            <w:noWrap w:val="false"/>
          </w:tcPr>
          <w:p>
            <w:pPr>
              <w:pStyle w:val="771"/>
              <w:jc w:val="left"/>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企业综合实力</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投标人具有有效期内的质量管理体系认证证书、环境管理体系认证证书、职业健康安全管理体系认证证书、食品安全管理体系认证证书、HACCP体系认证证书。每提供一种类别的证书得3分，最高得15分</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15分</w:t>
            </w:r>
            <w:r>
              <w:rPr>
                <w:rFonts w:hint="eastAsia" w:ascii="宋体" w:hAnsi="宋体" w:cs="宋体"/>
                <w:bCs/>
                <w:color w:val="000000"/>
                <w:sz w:val="24"/>
                <w:highlight w:val="none"/>
              </w:rPr>
            </w:r>
            <w:r/>
          </w:p>
        </w:tc>
      </w:tr>
      <w:tr>
        <w:trPr>
          <w:cantSplit/>
          <w:trHeight w:val="2493"/>
        </w:trPr>
        <w:tc>
          <w:tcPr>
            <w:tcW w:w="609"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vMerge w:val="continue"/>
            <w:textDirection w:val="lrTb"/>
            <w:noWrap w:val="false"/>
          </w:tcPr>
          <w:p>
            <w:pPr>
              <w:pStyle w:val="771"/>
              <w:jc w:val="left"/>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投标人应具有与所投食材品种、数量相适应的仓储空间或冷库，仓储空间或冷库面积满100平方米及以上的得4分，面积100平方米（不含）-50平方米（含）的得3</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分，面积50平方米（不含）-20平方米（含）的得2分，20平方米以下不得分。须提供房屋产权或租赁等相关材料证明复印件加盖公章。</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4分</w:t>
            </w:r>
            <w:r>
              <w:rPr>
                <w:rFonts w:hint="eastAsia" w:ascii="宋体" w:hAnsi="宋体" w:cs="宋体"/>
                <w:bCs/>
                <w:color w:val="000000"/>
                <w:sz w:val="24"/>
                <w:highlight w:val="none"/>
              </w:rPr>
            </w:r>
            <w:r/>
          </w:p>
        </w:tc>
      </w:tr>
      <w:tr>
        <w:trPr>
          <w:trHeight w:val="1658"/>
        </w:trPr>
        <w:tc>
          <w:tcPr>
            <w:tcW w:w="609"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54" w:type="dxa"/>
            <w:vAlign w:val="center"/>
            <w:vMerge w:val="continue"/>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96" w:type="dxa"/>
            <w:vAlign w:val="center"/>
            <w:textDirection w:val="lrTb"/>
            <w:noWrap w:val="false"/>
          </w:tcPr>
          <w:p>
            <w:pPr>
              <w:pStyle w:val="771"/>
              <w:jc w:val="left"/>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团队人员</w:t>
            </w:r>
            <w:r>
              <w:rPr>
                <w:rFonts w:hint="eastAsia" w:ascii="宋体" w:hAnsi="宋体" w:cs="宋体"/>
                <w:bCs/>
                <w:color w:val="000000"/>
                <w:sz w:val="24"/>
                <w:highlight w:val="none"/>
              </w:rPr>
            </w:r>
            <w:r/>
          </w:p>
        </w:tc>
        <w:tc>
          <w:tcPr>
            <w:tcW w:w="5207" w:type="dxa"/>
            <w:vAlign w:val="center"/>
            <w:textDirection w:val="lrTb"/>
            <w:noWrap w:val="false"/>
          </w:tcPr>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1.供应商拟派团队成员中具有营养配餐师的，得2分；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2.供应商拟派团队成员中具有省行业协会颁发的食品安全管理员证书的，得2分；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3.供应商拟派团队成员中具有中式烹调师三级（（高级技能）高级厨师）的，得2分。</w:t>
            </w:r>
            <w:r>
              <w:rPr>
                <w:rFonts w:hint="eastAsia" w:ascii="宋体" w:hAnsi="宋体" w:cs="宋体"/>
                <w:bCs/>
                <w:color w:val="000000"/>
                <w:sz w:val="24"/>
                <w:highlight w:val="none"/>
              </w:rPr>
            </w:r>
            <w:r/>
          </w:p>
          <w:p>
            <w:pPr>
              <w:pStyle w:val="771"/>
              <w:jc w:val="left"/>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rPr>
              <w:t xml:space="preserve">一人多证情况仅计取一次。</w:t>
            </w:r>
            <w:r>
              <w:rPr>
                <w:rFonts w:hint="eastAsia" w:ascii="宋体" w:hAnsi="宋体" w:cs="宋体"/>
                <w:bCs/>
                <w:color w:val="000000"/>
                <w:sz w:val="24"/>
                <w:highlight w:val="none"/>
              </w:rPr>
              <w:t xml:space="preserve">以上内容所涉及的所有人员均需提供相关证书及近半年内任意一个月社保缴纳证明材料复印件并加盖公章。</w:t>
            </w:r>
            <w:r>
              <w:rPr>
                <w:rFonts w:hint="eastAsia" w:ascii="宋体" w:hAnsi="宋体" w:cs="宋体"/>
                <w:bCs/>
                <w:color w:val="000000"/>
                <w:sz w:val="24"/>
                <w:highlight w:val="none"/>
              </w:rPr>
            </w:r>
            <w:r/>
          </w:p>
        </w:tc>
        <w:tc>
          <w:tcPr>
            <w:tcW w:w="1010" w:type="dxa"/>
            <w:vAlign w:val="center"/>
            <w:textDirection w:val="lrTb"/>
            <w:noWrap w:val="false"/>
          </w:tcPr>
          <w:p>
            <w:pPr>
              <w:pStyle w:val="771"/>
              <w:jc w:val="center"/>
              <w:spacing w:line="360" w:lineRule="exact"/>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6分</w:t>
            </w:r>
            <w:r>
              <w:rPr>
                <w:rFonts w:hint="eastAsia" w:ascii="宋体" w:hAnsi="宋体" w:cs="宋体"/>
                <w:bCs/>
                <w:color w:val="000000"/>
                <w:sz w:val="24"/>
                <w:highlight w:val="none"/>
              </w:rPr>
            </w:r>
            <w:r/>
          </w:p>
        </w:tc>
      </w:tr>
    </w:tbl>
    <w:p>
      <w:pPr>
        <w:pStyle w:val="771"/>
        <w:ind w:firstLine="482"/>
        <w:spacing w:before="29" w:line="360" w:lineRule="auto"/>
        <w:rPr>
          <w:rFonts w:ascii="宋体" w:hAnsi="宋体"/>
          <w:b/>
          <w:bCs/>
          <w:color w:val="000000"/>
          <w:sz w:val="24"/>
          <w:highlight w:val="none"/>
        </w:rPr>
      </w:pPr>
      <w:r>
        <w:rPr>
          <w:rFonts w:ascii="宋体" w:hAnsi="宋体"/>
          <w:b/>
          <w:bCs/>
          <w:color w:val="000000"/>
          <w:sz w:val="24"/>
          <w:highlight w:val="none"/>
        </w:rPr>
      </w:r>
      <w:r/>
    </w:p>
    <w:p>
      <w:pPr>
        <w:pStyle w:val="77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注：</w:t>
      </w:r>
      <w:bookmarkEnd w:id="494"/>
      <w:r>
        <w:rPr>
          <w:rFonts w:ascii="宋体" w:hAnsi="宋体"/>
          <w:b/>
          <w:bCs/>
          <w:color w:val="000000"/>
          <w:sz w:val="24"/>
          <w:highlight w:val="none"/>
        </w:rPr>
      </w:r>
      <w:r/>
    </w:p>
    <w:p>
      <w:pPr>
        <w:pStyle w:val="77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bCs/>
          <w:color w:val="000000"/>
          <w:sz w:val="24"/>
          <w:highlight w:val="none"/>
        </w:rPr>
      </w:r>
      <w:r/>
    </w:p>
    <w:p>
      <w:pPr>
        <w:pStyle w:val="77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2、所有认证、证明和业绩均以有效的证明文件的复印件为依据。</w:t>
      </w:r>
      <w:r>
        <w:rPr>
          <w:rFonts w:ascii="宋体" w:hAnsi="宋体"/>
          <w:b/>
          <w:bCs/>
          <w:color w:val="000000"/>
          <w:sz w:val="24"/>
          <w:highlight w:val="none"/>
        </w:rPr>
      </w:r>
      <w:r/>
    </w:p>
    <w:p>
      <w:pPr>
        <w:pStyle w:val="773"/>
        <w:ind w:firstLine="482"/>
        <w:jc w:val="both"/>
        <w:spacing w:before="0" w:after="0" w:line="360" w:lineRule="auto"/>
        <w:rPr>
          <w:rFonts w:ascii="宋体" w:hAnsi="宋体" w:eastAsia="宋体"/>
          <w:color w:val="000000"/>
          <w:sz w:val="24"/>
          <w:szCs w:val="24"/>
          <w:highlight w:val="none"/>
        </w:rPr>
      </w:pPr>
      <w:r/>
      <w:bookmarkEnd w:id="495"/>
      <w:r/>
      <w:bookmarkEnd w:id="496"/>
      <w:r/>
      <w:bookmarkStart w:id="499" w:name="_Toc30424"/>
      <w:r>
        <w:rPr>
          <w:rFonts w:hint="eastAsia" w:ascii="宋体" w:hAnsi="宋体" w:eastAsia="宋体"/>
          <w:color w:val="000000"/>
          <w:sz w:val="24"/>
          <w:szCs w:val="24"/>
          <w:highlight w:val="none"/>
        </w:rPr>
        <w:t xml:space="preserve">三、政府采购政策功能落实</w:t>
      </w:r>
      <w:bookmarkEnd w:id="491"/>
      <w:r/>
      <w:bookmarkEnd w:id="492"/>
      <w:r/>
      <w:bookmarkEnd w:id="493"/>
      <w:r/>
      <w:bookmarkEnd w:id="497"/>
      <w:r/>
      <w:bookmarkEnd w:id="498"/>
      <w:r/>
      <w:bookmarkEnd w:id="499"/>
      <w:r>
        <w:rPr>
          <w:rFonts w:ascii="宋体" w:hAnsi="宋体" w:eastAsia="宋体"/>
          <w:color w:val="000000"/>
          <w:sz w:val="24"/>
          <w:szCs w:val="24"/>
          <w:highlight w:val="none"/>
        </w:rPr>
      </w:r>
      <w:r/>
    </w:p>
    <w:p>
      <w:pPr>
        <w:pStyle w:val="771"/>
        <w:ind w:firstLine="482"/>
        <w:spacing w:before="24" w:line="360" w:lineRule="auto"/>
        <w:rPr>
          <w:rFonts w:ascii="宋体" w:hAnsi="宋体"/>
          <w:b/>
          <w:color w:val="000000"/>
          <w:sz w:val="24"/>
          <w:highlight w:val="none"/>
        </w:rPr>
      </w:pPr>
      <w:r/>
      <w:bookmarkStart w:id="500" w:name="_Hlk106721217"/>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
          <w:color w:val="000000"/>
          <w:sz w:val="24"/>
          <w:highlight w:val="none"/>
        </w:rPr>
        <w:t xml:space="preserve">10</w:t>
      </w:r>
      <w:r>
        <w:rPr>
          <w:rFonts w:hint="eastAsia" w:ascii="宋体" w:hAnsi="宋体"/>
          <w:b/>
          <w:color w:val="000000"/>
          <w:sz w:val="24"/>
          <w:highlight w:val="none"/>
        </w:rPr>
        <w:t xml:space="preserve">%的扣除价格，用扣除后的价格参与评审</w:t>
      </w:r>
      <w:r>
        <w:rPr>
          <w:rFonts w:hint="eastAsia" w:ascii="宋体" w:hAnsi="宋体"/>
          <w:bCs/>
          <w:color w:val="000000"/>
          <w:sz w:val="24"/>
          <w:highlight w:val="none"/>
        </w:rPr>
        <w:t xml:space="preserve">。</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（2）供应商需按照采购文件的要求提供相应的《企业声明函》。</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771"/>
        <w:ind w:firstLine="482"/>
        <w:spacing w:before="24" w:line="360" w:lineRule="auto"/>
        <w:rPr>
          <w:rFonts w:ascii="宋体" w:hAnsi="宋体"/>
          <w:b/>
          <w:color w:val="000000"/>
          <w:sz w:val="24"/>
          <w:highlight w:val="none"/>
        </w:rPr>
      </w:pPr>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771"/>
        <w:ind w:firstLine="482"/>
        <w:spacing w:before="24" w:line="360" w:lineRule="auto"/>
        <w:rPr>
          <w:rFonts w:ascii="宋体" w:hAnsi="宋体"/>
          <w:b/>
          <w:color w:val="000000"/>
          <w:sz w:val="24"/>
          <w:highlight w:val="none"/>
        </w:rPr>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highlight w:val="none"/>
        </w:rPr>
      </w:r>
      <w:r/>
    </w:p>
    <w:p>
      <w:pPr>
        <w:pStyle w:val="77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771"/>
        <w:ind w:firstLine="482"/>
        <w:spacing w:before="24" w:line="360" w:lineRule="auto"/>
        <w:rPr>
          <w:rFonts w:ascii="宋体" w:hAnsi="宋体"/>
          <w:bCs/>
          <w:color w:val="000000"/>
          <w:sz w:val="24"/>
          <w:highlight w:val="none"/>
        </w:rPr>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771"/>
        <w:ind w:firstLine="482"/>
        <w:spacing w:before="24" w:line="360" w:lineRule="auto"/>
        <w:rPr>
          <w:rFonts w:ascii="宋体" w:hAnsi="宋体"/>
          <w:bCs/>
          <w:color w:val="000000"/>
          <w:sz w:val="24"/>
          <w:highlight w:val="none"/>
        </w:rPr>
      </w:pPr>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 30%以上的，对联合体或者大中型企业的报价给予2%的扣除，用扣除后的价格参加评审。</w:t>
      </w:r>
      <w:r>
        <w:rPr>
          <w:rFonts w:ascii="宋体" w:hAnsi="宋体"/>
          <w:bCs/>
          <w:color w:val="000000"/>
          <w:sz w:val="24"/>
          <w:highlight w:val="none"/>
        </w:rPr>
      </w:r>
      <w:r/>
    </w:p>
    <w:p>
      <w:pPr>
        <w:pStyle w:val="771"/>
        <w:ind w:firstLine="482"/>
        <w:rPr>
          <w:rFonts w:ascii="宋体" w:hAnsi="宋体" w:cs="宋体"/>
          <w:b/>
          <w:color w:val="000000"/>
          <w:sz w:val="24"/>
          <w:highlight w:val="none"/>
        </w:rPr>
      </w:pPr>
      <w:r/>
      <w:bookmarkEnd w:id="500"/>
      <w:r/>
      <w:bookmarkStart w:id="501" w:name="_Toc8485126"/>
      <w:r>
        <w:rPr>
          <w:rFonts w:hint="eastAsia" w:ascii="宋体" w:hAnsi="宋体" w:cs="宋体"/>
          <w:b/>
          <w:color w:val="000000"/>
          <w:sz w:val="24"/>
          <w:highlight w:val="none"/>
        </w:rPr>
        <w:t xml:space="preserve">四、关于“强化政府采购异常低价审查的要求”</w:t>
      </w:r>
      <w:r>
        <w:rPr>
          <w:rFonts w:ascii="宋体" w:hAnsi="宋体" w:cs="宋体"/>
          <w:b/>
          <w:color w:val="000000"/>
          <w:sz w:val="24"/>
          <w:highlight w:val="none"/>
        </w:rPr>
      </w:r>
      <w:r/>
    </w:p>
    <w:p>
      <w:pPr>
        <w:pStyle w:val="771"/>
        <w:ind w:firstLine="6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参照财库【2026】2号文《财政部关于推动解决政府采购异常低价问题的通知》执行，具体说明如下： </w:t>
      </w:r>
      <w:r>
        <w:rPr>
          <w:rFonts w:ascii="宋体" w:hAnsi="宋体" w:cs="宋体"/>
          <w:b/>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（一）采购人应当在采购文件中明确，政府采购评审中出现下列情形之一的，评审委员会应当启动异常低价投标（响应）审查程序：</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highlight w:val="none"/>
        </w:rPr>
      </w:r>
      <w:r/>
    </w:p>
    <w:p>
      <w:pPr>
        <w:pStyle w:val="77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highlight w:val="none"/>
        </w:rPr>
      </w:r>
      <w:r/>
    </w:p>
    <w:p>
      <w:pPr>
        <w:pStyle w:val="772"/>
        <w:jc w:val="center"/>
        <w:spacing w:before="291" w:after="291"/>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br w:type="page" w:clear="all"/>
      </w:r>
      <w:bookmarkStart w:id="502" w:name="_Toc12708986"/>
      <w:r/>
      <w:bookmarkStart w:id="503" w:name="_Toc12887277"/>
      <w:r/>
      <w:bookmarkStart w:id="504" w:name="_Toc9363440"/>
      <w:r/>
      <w:bookmarkStart w:id="505" w:name="_Toc24306"/>
      <w:r>
        <w:rPr>
          <w:rFonts w:hint="eastAsia" w:ascii="华文中宋" w:hAnsi="华文中宋" w:eastAsia="华文中宋"/>
          <w:b/>
          <w:color w:val="000000"/>
          <w:sz w:val="36"/>
          <w:szCs w:val="36"/>
          <w:highlight w:val="none"/>
        </w:rPr>
        <w:t xml:space="preserve">第六章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w:t>
      </w:r>
      <w:bookmarkEnd w:id="476"/>
      <w:r/>
      <w:bookmarkEnd w:id="477"/>
      <w:r/>
      <w:bookmarkEnd w:id="478"/>
      <w:r>
        <w:rPr>
          <w:rFonts w:hint="eastAsia" w:ascii="华文中宋" w:hAnsi="华文中宋" w:eastAsia="华文中宋"/>
          <w:b/>
          <w:color w:val="000000"/>
          <w:sz w:val="36"/>
          <w:szCs w:val="36"/>
          <w:highlight w:val="none"/>
        </w:rPr>
        <w:t xml:space="preserve">文件格式</w:t>
      </w:r>
      <w:bookmarkEnd w:id="501"/>
      <w:r/>
      <w:bookmarkEnd w:id="502"/>
      <w:r/>
      <w:bookmarkEnd w:id="503"/>
      <w:r/>
      <w:bookmarkEnd w:id="504"/>
      <w:r/>
      <w:bookmarkEnd w:id="505"/>
      <w:r>
        <w:rPr>
          <w:rFonts w:ascii="华文中宋" w:hAnsi="华文中宋" w:eastAsia="华文中宋"/>
          <w:b/>
          <w:color w:val="000000"/>
          <w:sz w:val="36"/>
          <w:szCs w:val="36"/>
          <w:highlight w:val="none"/>
        </w:rPr>
      </w:r>
      <w:r/>
    </w:p>
    <w:p>
      <w:pPr>
        <w:pStyle w:val="771"/>
        <w:jc w:val="left"/>
        <w:rPr>
          <w:color w:val="000000"/>
          <w:sz w:val="24"/>
          <w:highlight w:val="none"/>
        </w:rPr>
      </w:pPr>
      <w:r/>
      <w:bookmarkStart w:id="506" w:name="_Hlk18338237"/>
      <w:r>
        <w:rPr>
          <w:rFonts w:hint="eastAsia"/>
          <w:color w:val="000000"/>
          <w:sz w:val="28"/>
          <w:szCs w:val="28"/>
          <w:highlight w:val="none"/>
        </w:rPr>
        <w:t xml:space="preserve">（注：投标文件格式内，格式要求盖章、签署的，应当正确盖章、签署）</w:t>
      </w:r>
      <w:r>
        <w:rPr>
          <w:color w:val="000000"/>
          <w:sz w:val="24"/>
          <w:highlight w:val="none"/>
        </w:rPr>
      </w:r>
      <w:r/>
    </w:p>
    <w:p>
      <w:pPr>
        <w:pStyle w:val="771"/>
        <w:jc w:val="center"/>
        <w:rPr>
          <w:rFonts w:ascii="宋体" w:hAnsi="宋体"/>
          <w:b/>
          <w:color w:val="000000"/>
          <w:sz w:val="72"/>
          <w:highlight w:val="none"/>
        </w:rPr>
      </w:pPr>
      <w:r/>
      <w:bookmarkEnd w:id="506"/>
      <w:r/>
      <w:bookmarkStart w:id="507" w:name="_Hlt26955039"/>
      <w:r/>
      <w:bookmarkEnd w:id="507"/>
      <w:r/>
      <w:bookmarkStart w:id="508" w:name="_Hlt26671244"/>
      <w:r/>
      <w:bookmarkEnd w:id="508"/>
      <w:r/>
      <w:bookmarkStart w:id="509" w:name="_Toc120614282"/>
      <w:r/>
      <w:bookmarkStart w:id="510" w:name="_Toc26554094"/>
      <w:r/>
      <w:bookmarkStart w:id="511" w:name="_Toc49090576"/>
      <w:r>
        <w:rPr>
          <w:rFonts w:ascii="宋体" w:hAnsi="宋体"/>
          <w:b/>
          <w:color w:val="000000"/>
          <w:sz w:val="72"/>
          <w:highlight w:val="none"/>
        </w:rPr>
      </w:r>
      <w:r/>
    </w:p>
    <w:p>
      <w:pPr>
        <w:pStyle w:val="1033"/>
        <w:ind w:firstLine="0"/>
        <w:jc w:val="center"/>
        <w:rPr>
          <w:rFonts w:ascii="微软雅黑" w:hAnsi="微软雅黑" w:eastAsia="微软雅黑"/>
          <w:b/>
          <w:color w:val="000000"/>
          <w:sz w:val="96"/>
          <w:szCs w:val="28"/>
          <w:highlight w:val="none"/>
        </w:rPr>
      </w:pPr>
      <w:r>
        <w:rPr>
          <w:rFonts w:hint="eastAsia" w:ascii="微软雅黑" w:hAnsi="微软雅黑" w:eastAsia="微软雅黑"/>
          <w:b/>
          <w:bCs/>
          <w:color w:val="000000"/>
          <w:sz w:val="96"/>
          <w:szCs w:val="28"/>
          <w:highlight w:val="none"/>
        </w:rPr>
        <w:t xml:space="preserve">投  标  文  件</w:t>
      </w:r>
      <w:r>
        <w:rPr>
          <w:rFonts w:ascii="微软雅黑" w:hAnsi="微软雅黑" w:eastAsia="微软雅黑"/>
          <w:b/>
          <w:color w:val="000000"/>
          <w:sz w:val="96"/>
          <w:szCs w:val="28"/>
          <w:highlight w:val="none"/>
        </w:rPr>
      </w:r>
      <w:r/>
    </w:p>
    <w:p>
      <w:pPr>
        <w:pStyle w:val="771"/>
        <w:jc w:val="center"/>
        <w:spacing w:before="582"/>
        <w:rPr>
          <w:rFonts w:ascii="华文中宋" w:hAnsi="华文中宋" w:eastAsia="华文中宋"/>
          <w:b/>
          <w:color w:val="000000"/>
          <w:sz w:val="36"/>
          <w:highlight w:val="none"/>
        </w:rPr>
      </w:pPr>
      <w:r>
        <w:rPr>
          <w:rFonts w:hint="eastAsia" w:ascii="华文中宋" w:hAnsi="华文中宋" w:eastAsia="华文中宋"/>
          <w:b/>
          <w:color w:val="000000"/>
          <w:sz w:val="36"/>
          <w:highlight w:val="none"/>
        </w:rPr>
        <w:t xml:space="preserve">（正或副本）</w:t>
      </w:r>
      <w:r>
        <w:rPr>
          <w:rFonts w:ascii="华文中宋" w:hAnsi="华文中宋" w:eastAsia="华文中宋"/>
          <w:b/>
          <w:color w:val="000000"/>
          <w:sz w:val="36"/>
          <w:highlight w:val="none"/>
        </w:rPr>
      </w:r>
      <w:r/>
    </w:p>
    <w:p>
      <w:pPr>
        <w:pStyle w:val="771"/>
        <w:rPr>
          <w:rFonts w:ascii="华文中宋" w:hAnsi="华文中宋" w:eastAsia="华文中宋"/>
          <w:b/>
          <w:color w:val="000000"/>
          <w:sz w:val="72"/>
          <w:highlight w:val="none"/>
        </w:rPr>
      </w:pPr>
      <w:r>
        <w:rPr>
          <w:rFonts w:ascii="华文中宋" w:hAnsi="华文中宋" w:eastAsia="华文中宋"/>
          <w:b/>
          <w:color w:val="000000"/>
          <w:sz w:val="72"/>
          <w:highlight w:val="none"/>
        </w:rPr>
      </w:r>
      <w:r/>
    </w:p>
    <w:p>
      <w:pPr>
        <w:pStyle w:val="771"/>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771"/>
        <w:jc w:val="center"/>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1033"/>
        <w:ind w:left="1050" w:firstLine="0"/>
        <w:spacing w:before="0" w:after="0" w:line="480" w:lineRule="auto"/>
        <w:rPr>
          <w:rFonts w:ascii="华文中宋" w:hAnsi="华文中宋" w:eastAsia="华文中宋"/>
          <w:color w:val="000000"/>
          <w:sz w:val="36"/>
          <w:highlight w:val="none"/>
        </w:rPr>
      </w:pPr>
      <w:r>
        <w:rPr>
          <w:rFonts w:hint="eastAsia" w:ascii="华文中宋" w:hAnsi="华文中宋" w:eastAsia="华文中宋"/>
          <w:b/>
          <w:bCs/>
          <w:color w:val="000000"/>
          <w:sz w:val="36"/>
          <w:highlight w:val="none"/>
        </w:rPr>
        <w:t xml:space="preserve">项目名称：</w:t>
      </w:r>
      <w:bookmarkStart w:id="512" w:name="_Hlk18338261"/>
      <w:r>
        <w:rPr>
          <w:rFonts w:hint="eastAsia" w:ascii="华文中宋" w:hAnsi="华文中宋" w:eastAsia="华文中宋"/>
          <w:color w:val="000000"/>
          <w:sz w:val="32"/>
          <w:szCs w:val="22"/>
          <w:highlight w:val="none"/>
        </w:rPr>
        <w:t xml:space="preserve">（如有分包，需注明分包号）</w:t>
      </w:r>
      <w:bookmarkEnd w:id="512"/>
      <w:r>
        <w:rPr>
          <w:rFonts w:ascii="华文中宋" w:hAnsi="华文中宋" w:eastAsia="华文中宋"/>
          <w:color w:val="000000"/>
          <w:sz w:val="36"/>
          <w:highlight w:val="none"/>
        </w:rPr>
      </w:r>
      <w:r/>
    </w:p>
    <w:p>
      <w:pPr>
        <w:pStyle w:val="103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项目编号：</w:t>
      </w:r>
      <w:r>
        <w:rPr>
          <w:rFonts w:ascii="华文中宋" w:hAnsi="华文中宋" w:eastAsia="华文中宋"/>
          <w:b/>
          <w:bCs/>
          <w:color w:val="000000"/>
          <w:sz w:val="36"/>
          <w:highlight w:val="none"/>
        </w:rPr>
      </w:r>
      <w:r/>
    </w:p>
    <w:p>
      <w:pPr>
        <w:pStyle w:val="103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投标人全称（盖章） ：</w:t>
      </w:r>
      <w:r>
        <w:rPr>
          <w:rFonts w:ascii="华文中宋" w:hAnsi="华文中宋" w:eastAsia="华文中宋"/>
          <w:b/>
          <w:bCs/>
          <w:color w:val="000000"/>
          <w:sz w:val="36"/>
          <w:highlight w:val="none"/>
        </w:rPr>
      </w:r>
      <w:r/>
    </w:p>
    <w:p>
      <w:pPr>
        <w:pStyle w:val="103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日  </w:t>
      </w:r>
      <w:r>
        <w:rPr>
          <w:rFonts w:ascii="华文中宋" w:hAnsi="华文中宋" w:eastAsia="华文中宋"/>
          <w:b/>
          <w:bCs/>
          <w:color w:val="000000"/>
          <w:sz w:val="36"/>
          <w:highlight w:val="none"/>
        </w:rPr>
        <w:t xml:space="preserve"> </w:t>
      </w:r>
      <w:r>
        <w:rPr>
          <w:rFonts w:hint="eastAsia" w:ascii="华文中宋" w:hAnsi="华文中宋" w:eastAsia="华文中宋"/>
          <w:b/>
          <w:bCs/>
          <w:color w:val="000000"/>
          <w:sz w:val="36"/>
          <w:highlight w:val="none"/>
        </w:rPr>
        <w:t xml:space="preserve">期 ：</w:t>
      </w:r>
      <w:r>
        <w:rPr>
          <w:rFonts w:ascii="宋体" w:hAnsi="宋体"/>
          <w:color w:val="000000"/>
          <w:highlight w:val="none"/>
        </w:rPr>
        <w:t xml:space="preserve"> </w:t>
      </w:r>
      <w:r>
        <w:rPr>
          <w:rFonts w:ascii="华文中宋" w:hAnsi="华文中宋" w:eastAsia="华文中宋"/>
          <w:b/>
          <w:bCs/>
          <w:color w:val="000000"/>
          <w:sz w:val="36"/>
          <w:highlight w:val="none"/>
        </w:rPr>
      </w:r>
      <w:r/>
    </w:p>
    <w:p>
      <w:pPr>
        <w:pStyle w:val="771"/>
        <w:jc w:val="left"/>
        <w:widowControl/>
        <w:rPr>
          <w:rFonts w:ascii="宋体" w:hAnsi="宋体"/>
          <w:b/>
          <w:color w:val="000000"/>
          <w:sz w:val="32"/>
          <w:szCs w:val="32"/>
          <w:highlight w:val="none"/>
        </w:rPr>
      </w:pPr>
      <w:r>
        <w:rPr>
          <w:rFonts w:ascii="宋体" w:hAnsi="宋体"/>
          <w:b/>
          <w:color w:val="000000"/>
          <w:sz w:val="32"/>
          <w:szCs w:val="32"/>
          <w:highlight w:val="none"/>
        </w:rPr>
      </w:r>
      <w:r/>
    </w:p>
    <w:p>
      <w:pPr>
        <w:pStyle w:val="774"/>
        <w:jc w:val="center"/>
        <w:rPr>
          <w:color w:val="000000"/>
          <w:highlight w:val="none"/>
        </w:rPr>
      </w:pPr>
      <w:r>
        <w:rPr>
          <w:color w:val="000000"/>
          <w:highlight w:val="none"/>
        </w:rPr>
        <w:br w:type="page" w:clear="all"/>
      </w:r>
      <w:r>
        <w:rPr>
          <w:rFonts w:hint="eastAsia"/>
          <w:color w:val="000000"/>
          <w:highlight w:val="none"/>
        </w:rPr>
        <w:t xml:space="preserve">投标主要文件目录</w:t>
      </w:r>
      <w:r>
        <w:rPr>
          <w:color w:val="000000"/>
          <w:highlight w:val="none"/>
        </w:rPr>
      </w:r>
      <w:r/>
    </w:p>
    <w:p>
      <w:pPr>
        <w:pStyle w:val="77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一、评分索引表</w:t>
      </w:r>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二、资格性审查响应对照表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三、符合性审查响应对照表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四、开标一览表</w:t>
      </w:r>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五、投标配置与分项报价表</w:t>
      </w:r>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六、</w:t>
      </w:r>
      <w:bookmarkStart w:id="514" w:name="_Hlk45478944"/>
      <w:r>
        <w:rPr>
          <w:rFonts w:hint="eastAsia" w:ascii="宋体" w:hAnsi="宋体"/>
          <w:b/>
          <w:color w:val="000000"/>
          <w:sz w:val="24"/>
          <w:highlight w:val="none"/>
        </w:rPr>
        <w:t xml:space="preserve">项目技术及商务需求响应及偏离表</w:t>
      </w:r>
      <w:bookmarkEnd w:id="514"/>
      <w:r>
        <w:rPr>
          <w:rFonts w:ascii="宋体" w:hAnsi="宋体"/>
          <w:b/>
          <w:color w:val="000000"/>
          <w:sz w:val="24"/>
          <w:highlight w:val="none"/>
        </w:rPr>
        <w:t xml:space="preserve">……………………………………………………</w:t>
      </w:r>
      <w:r>
        <w:rPr>
          <w:rFonts w:ascii="宋体" w:hAnsi="宋体"/>
          <w:b/>
          <w:color w:val="000000"/>
          <w:sz w:val="24"/>
          <w:highlight w:val="none"/>
        </w:rPr>
      </w:r>
      <w:r/>
    </w:p>
    <w:p>
      <w:pPr>
        <w:pStyle w:val="771"/>
        <w:spacing w:line="720" w:lineRule="auto"/>
        <w:rPr>
          <w:rFonts w:ascii="宋体" w:hAnsi="宋体"/>
          <w:b/>
          <w:color w:val="000000"/>
          <w:sz w:val="24"/>
          <w:highlight w:val="none"/>
        </w:rPr>
      </w:pPr>
      <w:r>
        <w:rPr>
          <w:rFonts w:hint="eastAsia" w:ascii="宋体" w:hAnsi="宋体"/>
          <w:b/>
          <w:color w:val="000000"/>
          <w:sz w:val="24"/>
          <w:highlight w:val="none"/>
        </w:rPr>
        <w:t xml:space="preserve">七、附件</w:t>
      </w:r>
      <w:r>
        <w:rPr>
          <w:rFonts w:ascii="宋体" w:hAnsi="宋体"/>
          <w:b/>
          <w:color w:val="000000"/>
          <w:sz w:val="24"/>
          <w:highlight w:val="none"/>
        </w:rPr>
        <w:t xml:space="preserve">………………………………………………………………………………………</w:t>
      </w:r>
      <w:r>
        <w:rPr>
          <w:rFonts w:ascii="宋体" w:hAnsi="宋体"/>
          <w:b/>
          <w:color w:val="000000"/>
          <w:sz w:val="24"/>
          <w:highlight w:val="none"/>
        </w:rPr>
      </w:r>
      <w:r/>
    </w:p>
    <w:p>
      <w:pPr>
        <w:pStyle w:val="771"/>
        <w:ind w:firstLine="480"/>
        <w:spacing w:line="440" w:lineRule="exact"/>
        <w:rPr>
          <w:rFonts w:ascii="宋体" w:hAnsi="宋体"/>
          <w:color w:val="000000"/>
          <w:sz w:val="24"/>
          <w:highlight w:val="none"/>
        </w:rPr>
      </w:pPr>
      <w:r>
        <w:rPr>
          <w:rFonts w:ascii="宋体" w:hAnsi="宋体"/>
          <w:color w:val="000000"/>
          <w:sz w:val="24"/>
          <w:highlight w:val="none"/>
        </w:rPr>
      </w:r>
      <w:r/>
    </w:p>
    <w:p>
      <w:pPr>
        <w:pStyle w:val="773"/>
        <w:spacing w:before="291" w:after="145" w:line="360" w:lineRule="auto"/>
        <w:rPr>
          <w:rFonts w:ascii="宋体" w:hAnsi="宋体"/>
          <w:b w:val="0"/>
          <w:color w:val="000000"/>
          <w:sz w:val="32"/>
          <w:szCs w:val="32"/>
          <w:highlight w:val="none"/>
        </w:rPr>
      </w:pPr>
      <w:r>
        <w:rPr>
          <w:rFonts w:ascii="宋体" w:hAnsi="宋体"/>
          <w:color w:val="000000"/>
          <w:sz w:val="24"/>
          <w:highlight w:val="none"/>
        </w:rPr>
        <w:br w:type="page" w:clear="all"/>
      </w:r>
      <w:bookmarkStart w:id="515" w:name="_Toc12887278"/>
      <w:r/>
      <w:bookmarkStart w:id="516" w:name="_Toc12708987"/>
      <w:r/>
      <w:bookmarkStart w:id="517" w:name="_Toc8485127"/>
      <w:r/>
      <w:bookmarkStart w:id="518" w:name="_Toc9363441"/>
      <w:r/>
      <w:bookmarkStart w:id="519" w:name="_Toc21397"/>
      <w:r>
        <w:rPr>
          <w:rFonts w:hint="eastAsia" w:ascii="宋体" w:hAnsi="宋体" w:eastAsia="宋体"/>
          <w:color w:val="000000"/>
          <w:sz w:val="32"/>
          <w:szCs w:val="32"/>
          <w:highlight w:val="none"/>
        </w:rPr>
        <w:t xml:space="preserve">一、评分索引表</w:t>
      </w:r>
      <w:bookmarkEnd w:id="515"/>
      <w:r/>
      <w:bookmarkEnd w:id="519"/>
      <w:r>
        <w:rPr>
          <w:rFonts w:ascii="宋体" w:hAnsi="宋体"/>
          <w:b w:val="0"/>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1027"/>
              <w:ind w:left="420"/>
              <w:jc w:val="center"/>
              <w:spacing w:line="265" w:lineRule="atLeast"/>
              <w:shd w:val="clear" w:color="auto" w:fill="ffffff"/>
              <w:rPr>
                <w:rFonts w:ascii="宋体" w:hAnsi="宋体"/>
                <w:b/>
                <w:bCs/>
                <w:color w:val="000000"/>
                <w:highlight w:val="none"/>
                <w:lang w:eastAsia="zh-CN"/>
              </w:rPr>
            </w:pPr>
            <w:r>
              <w:rPr>
                <w:rFonts w:hint="eastAsia" w:ascii="宋体" w:hAnsi="宋体"/>
                <w:b/>
                <w:color w:val="000000"/>
                <w:highlight w:val="none"/>
              </w:rPr>
              <w:t xml:space="preserve">评分项目</w:t>
            </w:r>
            <w:r>
              <w:rPr>
                <w:rFonts w:ascii="宋体" w:hAnsi="宋体"/>
                <w:b/>
                <w:bCs/>
                <w:color w:val="000000"/>
                <w:highlight w:val="none"/>
                <w:lang w:eastAsia="zh-CN"/>
              </w:rPr>
            </w:r>
            <w:r/>
          </w:p>
        </w:tc>
        <w:tc>
          <w:tcPr>
            <w:tcW w:w="3190" w:type="dxa"/>
            <w:vAlign w:val="top"/>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lang w:bidi="en-US"/>
              </w:rPr>
              <w:t xml:space="preserve">在投标文件中的页码位置</w:t>
            </w:r>
            <w:r>
              <w:rPr>
                <w:rFonts w:ascii="宋体" w:hAnsi="宋体"/>
                <w:b/>
                <w:color w:val="000000"/>
                <w:sz w:val="24"/>
                <w:highlight w:val="none"/>
              </w:rPr>
            </w:r>
            <w:r/>
          </w:p>
        </w:tc>
      </w:tr>
      <w:tr>
        <w:trPr>
          <w:trHeight w:val="446"/>
        </w:trPr>
        <w:tc>
          <w:tcPr>
            <w:tcW w:w="5628" w:type="dxa"/>
            <w:vAlign w:val="top"/>
            <w:textDirection w:val="lrTb"/>
            <w:noWrap w:val="false"/>
          </w:tcPr>
          <w:p>
            <w:pPr>
              <w:pStyle w:val="1027"/>
              <w:ind w:left="0"/>
              <w:jc w:val="both"/>
              <w:shd w:val="clear" w:color="auto" w:fill="ffffff"/>
              <w:rPr>
                <w:rFonts w:ascii="宋体" w:hAnsi="宋体"/>
                <w:bCs/>
                <w:color w:val="000000"/>
                <w:highlight w:val="none"/>
                <w:lang w:eastAsia="zh-CN"/>
              </w:rPr>
            </w:pPr>
            <w:r>
              <w:rPr>
                <w:rFonts w:ascii="宋体" w:hAnsi="宋体" w:cs="宋体"/>
                <w:color w:val="000000"/>
                <w:highlight w:val="none"/>
                <w:lang w:eastAsia="zh-CN"/>
              </w:rPr>
              <w:t xml:space="preserve">******</w:t>
            </w:r>
            <w:r>
              <w:rPr>
                <w:rFonts w:ascii="宋体" w:hAnsi="宋体"/>
                <w:bCs/>
                <w:color w:val="000000"/>
                <w:highlight w:val="none"/>
                <w:lang w:eastAsia="zh-CN"/>
              </w:rPr>
              <w:t xml:space="preserve"> (</w:t>
            </w:r>
            <w:r>
              <w:rPr>
                <w:rFonts w:hint="eastAsia" w:ascii="宋体" w:hAnsi="宋体"/>
                <w:bCs/>
                <w:color w:val="000000"/>
                <w:highlight w:val="none"/>
                <w:lang w:eastAsia="zh-CN"/>
              </w:rPr>
              <w:t xml:space="preserve">根据本招标文件第五章的“评标标准”中评分项依次填列</w:t>
            </w:r>
            <w:r>
              <w:rPr>
                <w:rFonts w:ascii="宋体" w:hAnsi="宋体"/>
                <w:bCs/>
                <w:color w:val="000000"/>
                <w:highlight w:val="none"/>
                <w:lang w:eastAsia="zh-CN"/>
              </w:rPr>
              <w:t xml:space="preserve">)</w:t>
            </w:r>
            <w:r>
              <w:rPr>
                <w:rFonts w:ascii="宋体" w:hAnsi="宋体"/>
                <w:bCs/>
                <w:color w:val="000000"/>
                <w:highlight w:val="none"/>
                <w:lang w:eastAsia="zh-CN"/>
              </w:rPr>
            </w:r>
            <w:r/>
          </w:p>
        </w:tc>
        <w:tc>
          <w:tcPr>
            <w:tcW w:w="3190" w:type="dxa"/>
            <w:vAlign w:val="top"/>
            <w:textDirection w:val="lrTb"/>
            <w:noWrap w:val="false"/>
          </w:tcPr>
          <w:p>
            <w:pPr>
              <w:pStyle w:val="771"/>
              <w:rPr>
                <w:rFonts w:ascii="宋体" w:hAnsi="宋体"/>
                <w:b/>
                <w:color w:val="000000"/>
                <w:sz w:val="24"/>
                <w:highlight w:val="none"/>
                <w:lang w:bidi="en-US"/>
              </w:rPr>
            </w:pPr>
            <w:r>
              <w:rPr>
                <w:rFonts w:ascii="宋体" w:hAnsi="宋体"/>
                <w:b/>
                <w:color w:val="000000"/>
                <w:sz w:val="24"/>
                <w:highlight w:val="none"/>
                <w:lang w:bidi="en-US"/>
              </w:rPr>
            </w:r>
            <w:r/>
          </w:p>
        </w:tc>
      </w:tr>
      <w:tr>
        <w:trPr>
          <w:trHeight w:val="320"/>
        </w:trPr>
        <w:tc>
          <w:tcPr>
            <w:tcW w:w="5628" w:type="dxa"/>
            <w:vAlign w:val="top"/>
            <w:textDirection w:val="lrTb"/>
            <w:noWrap w:val="false"/>
          </w:tcPr>
          <w:p>
            <w:pPr>
              <w:pStyle w:val="1027"/>
              <w:ind w:left="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60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160"/>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289"/>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278"/>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trHeight w:val="269"/>
        </w:trPr>
        <w:tc>
          <w:tcPr>
            <w:tcW w:w="5628" w:type="dxa"/>
            <w:vAlign w:val="top"/>
            <w:textDirection w:val="lrTb"/>
            <w:noWrap w:val="false"/>
          </w:tcPr>
          <w:p>
            <w:pPr>
              <w:pStyle w:val="1027"/>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bl>
    <w:p>
      <w:pPr>
        <w:pStyle w:val="771"/>
        <w:rPr>
          <w:color w:val="000000"/>
          <w:highlight w:val="none"/>
        </w:rPr>
      </w:pPr>
      <w:r/>
      <w:bookmarkStart w:id="520" w:name="_Toc12887279"/>
      <w:r/>
      <w:bookmarkStart w:id="521" w:name="_Toc12887280"/>
      <w:r>
        <w:rPr>
          <w:color w:val="000000"/>
          <w:highlight w:val="none"/>
        </w:rPr>
      </w:r>
      <w:r/>
    </w:p>
    <w:p>
      <w:pPr>
        <w:pStyle w:val="773"/>
        <w:spacing w:before="0" w:after="0" w:line="360" w:lineRule="auto"/>
        <w:rPr>
          <w:rFonts w:ascii="宋体" w:hAnsi="宋体" w:eastAsia="宋体"/>
          <w:color w:val="000000"/>
          <w:sz w:val="32"/>
          <w:szCs w:val="32"/>
          <w:highlight w:val="none"/>
        </w:rPr>
      </w:pPr>
      <w:r>
        <w:rPr>
          <w:rFonts w:ascii="宋体" w:hAnsi="宋体" w:eastAsia="宋体"/>
          <w:color w:val="000000"/>
          <w:sz w:val="32"/>
          <w:szCs w:val="32"/>
          <w:highlight w:val="none"/>
        </w:rPr>
        <w:br w:type="page" w:clear="all"/>
      </w:r>
      <w:bookmarkStart w:id="522" w:name="_Toc10693"/>
      <w:r>
        <w:rPr>
          <w:rFonts w:hint="eastAsia" w:ascii="宋体" w:hAnsi="宋体" w:eastAsia="宋体"/>
          <w:color w:val="000000"/>
          <w:sz w:val="32"/>
          <w:szCs w:val="32"/>
          <w:highlight w:val="none"/>
        </w:rPr>
        <w:t xml:space="preserve">二、资格审查响应对照表</w:t>
      </w:r>
      <w:bookmarkEnd w:id="521"/>
      <w:r/>
      <w:bookmarkEnd w:id="522"/>
      <w:r/>
      <w:bookmarkStart w:id="523" w:name="_Hlk47431668"/>
      <w:r>
        <w:rPr>
          <w:rFonts w:ascii="宋体" w:hAnsi="宋体" w:eastAsia="宋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771"/>
              <w:jc w:val="center"/>
              <w:rPr>
                <w:rFonts w:ascii="宋体" w:hAnsi="宋体"/>
                <w:b/>
                <w:color w:val="000000"/>
                <w:sz w:val="24"/>
                <w:highlight w:val="none"/>
              </w:rPr>
            </w:pPr>
            <w:r/>
            <w:bookmarkStart w:id="524" w:name="_Hlk13225942"/>
            <w:r>
              <w:rPr>
                <w:rFonts w:hint="eastAsia" w:ascii="宋体" w:hAnsi="宋体"/>
                <w:b/>
                <w:color w:val="000000"/>
                <w:sz w:val="24"/>
                <w:highlight w:val="none"/>
              </w:rPr>
              <w:t xml:space="preserve">序号</w:t>
            </w:r>
            <w:r>
              <w:rPr>
                <w:rFonts w:ascii="宋体" w:hAnsi="宋体"/>
                <w:b/>
                <w:color w:val="000000"/>
                <w:sz w:val="24"/>
                <w:highlight w:val="none"/>
              </w:rPr>
            </w:r>
            <w:r/>
          </w:p>
        </w:tc>
        <w:tc>
          <w:tcPr>
            <w:tcW w:w="6430"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资格审查响应内容</w:t>
            </w:r>
            <w:r>
              <w:rPr>
                <w:rFonts w:ascii="宋体" w:hAnsi="宋体"/>
                <w:b/>
                <w:color w:val="000000"/>
                <w:sz w:val="24"/>
                <w:highlight w:val="none"/>
              </w:rPr>
            </w:r>
            <w:r/>
          </w:p>
        </w:tc>
        <w:tc>
          <w:tcPr>
            <w:tcW w:w="709" w:type="dxa"/>
            <w:vAlign w:val="center"/>
            <w:textDirection w:val="lrTb"/>
            <w:noWrap w:val="false"/>
          </w:tcPr>
          <w:p>
            <w:pPr>
              <w:pStyle w:val="771"/>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771"/>
              <w:jc w:val="center"/>
              <w:rPr>
                <w:rFonts w:ascii="宋体" w:hAnsi="宋体"/>
                <w:b/>
                <w:color w:val="000000"/>
                <w:szCs w:val="21"/>
                <w:highlight w:val="none"/>
              </w:rPr>
            </w:pPr>
            <w:r>
              <w:rPr>
                <w:rFonts w:hint="eastAsia" w:ascii="宋体" w:hAnsi="宋体"/>
                <w:b/>
                <w:color w:val="000000"/>
                <w:szCs w:val="21"/>
                <w:highlight w:val="none"/>
              </w:rPr>
              <w:t xml:space="preserve">投标文件中的页码位置</w:t>
            </w:r>
            <w:r>
              <w:rPr>
                <w:rFonts w:ascii="宋体" w:hAnsi="宋体"/>
                <w:b/>
                <w:color w:val="000000"/>
                <w:szCs w:val="21"/>
                <w:highlight w:val="none"/>
              </w:rPr>
            </w:r>
            <w:r/>
          </w:p>
        </w:tc>
      </w:tr>
      <w:tr>
        <w:trPr>
          <w:cantSplit/>
          <w:trHeight w:val="20"/>
        </w:trPr>
        <w:tc>
          <w:tcPr>
            <w:tcW w:w="658"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430" w:type="dxa"/>
            <w:vAlign w:val="center"/>
            <w:textDirection w:val="lrTb"/>
            <w:noWrap w:val="false"/>
          </w:tcPr>
          <w:p>
            <w:pPr>
              <w:pStyle w:val="77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71"/>
              <w:rPr>
                <w:rFonts w:ascii="宋体" w:hAnsi="宋体"/>
                <w:b/>
                <w:color w:val="000000"/>
                <w:sz w:val="24"/>
                <w:highlight w:val="none"/>
              </w:rPr>
            </w:pPr>
            <w:r>
              <w:rPr>
                <w:rFonts w:ascii="宋体" w:hAnsi="宋体"/>
                <w:b/>
                <w:color w:val="000000"/>
                <w:sz w:val="24"/>
                <w:highlight w:val="none"/>
              </w:rPr>
            </w:r>
            <w:r/>
          </w:p>
        </w:tc>
        <w:tc>
          <w:tcPr>
            <w:tcW w:w="1417" w:type="dxa"/>
            <w:vAlign w:val="center"/>
            <w:textDirection w:val="lrTb"/>
            <w:noWrap w:val="false"/>
          </w:tcPr>
          <w:p>
            <w:pPr>
              <w:pStyle w:val="771"/>
              <w:rPr>
                <w:rFonts w:ascii="宋体" w:hAnsi="宋体"/>
                <w:b/>
                <w:color w:val="000000"/>
                <w:sz w:val="24"/>
                <w:highlight w:val="none"/>
              </w:rPr>
            </w:pPr>
            <w:r>
              <w:rPr>
                <w:rFonts w:ascii="宋体" w:hAnsi="宋体"/>
                <w:b/>
                <w:color w:val="000000"/>
                <w:sz w:val="24"/>
                <w:highlight w:val="none"/>
              </w:rPr>
            </w:r>
            <w:r/>
          </w:p>
        </w:tc>
      </w:tr>
      <w:tr>
        <w:trPr>
          <w:cantSplit/>
          <w:trHeight w:val="20"/>
        </w:trPr>
        <w:tc>
          <w:tcPr>
            <w:tcW w:w="658" w:type="dxa"/>
            <w:vAlign w:val="center"/>
            <w:textDirection w:val="lrTb"/>
            <w:noWrap w:val="false"/>
          </w:tcPr>
          <w:p>
            <w:pPr>
              <w:pStyle w:val="771"/>
              <w:jc w:val="center"/>
              <w:rPr>
                <w:rFonts w:ascii="宋体" w:hAnsi="宋体" w:cs="宋体"/>
                <w:color w:val="000000"/>
                <w:sz w:val="24"/>
                <w:highlight w:val="none"/>
              </w:rPr>
            </w:pPr>
            <w:r/>
            <w:bookmarkStart w:id="525" w:name="_Hlk87459814"/>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6430" w:type="dxa"/>
            <w:vAlign w:val="center"/>
            <w:textDirection w:val="lrTb"/>
            <w:noWrap w:val="false"/>
          </w:tcPr>
          <w:p>
            <w:pPr>
              <w:pStyle w:val="77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7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7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7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7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7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7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bl>
    <w:p>
      <w:pPr>
        <w:pStyle w:val="771"/>
        <w:jc w:val="left"/>
        <w:spacing w:before="145" w:line="400" w:lineRule="exact"/>
        <w:rPr>
          <w:rFonts w:hint="eastAsia" w:ascii="宋体" w:hAnsi="宋体"/>
          <w:b/>
          <w:color w:val="000000"/>
          <w:sz w:val="24"/>
          <w:highlight w:val="none"/>
        </w:rPr>
      </w:pPr>
      <w:r/>
      <w:bookmarkEnd w:id="524"/>
      <w:r/>
      <w:bookmarkEnd w:id="525"/>
      <w:r>
        <w:rPr>
          <w:rFonts w:hint="eastAsia" w:ascii="宋体" w:hAnsi="宋体"/>
          <w:b/>
          <w:color w:val="000000"/>
          <w:sz w:val="24"/>
          <w:highlight w:val="none"/>
        </w:rPr>
        <w:t xml:space="preserve">备注：</w:t>
      </w:r>
      <w:r>
        <w:rPr>
          <w:rFonts w:hint="eastAsia" w:ascii="宋体" w:hAnsi="宋体" w:cs="宋体"/>
          <w:b/>
          <w:color w:val="000000"/>
          <w:sz w:val="24"/>
          <w:highlight w:val="none"/>
        </w:rPr>
        <w:t xml:space="preserve">★</w:t>
      </w:r>
      <w:r>
        <w:rPr>
          <w:rFonts w:hint="eastAsia" w:ascii="宋体" w:hAnsi="宋体"/>
          <w:b/>
          <w:color w:val="000000"/>
          <w:sz w:val="24"/>
          <w:highlight w:val="none"/>
        </w:rPr>
        <w:t xml:space="preserve">以上资格证明文件中要求盖章的，必须加盖公章。 </w:t>
      </w:r>
      <w:r>
        <w:rPr>
          <w:rFonts w:hint="eastAsia" w:ascii="宋体" w:hAnsi="宋体"/>
          <w:b/>
          <w:color w:val="000000"/>
          <w:sz w:val="24"/>
          <w:highlight w:val="none"/>
        </w:rPr>
      </w:r>
      <w:r/>
    </w:p>
    <w:p>
      <w:pPr>
        <w:pStyle w:val="773"/>
        <w:spacing w:before="291" w:after="145" w:line="360" w:lineRule="auto"/>
        <w:rPr>
          <w:rFonts w:ascii="宋体" w:hAnsi="宋体" w:eastAsia="宋体"/>
          <w:color w:val="000000"/>
          <w:sz w:val="32"/>
          <w:szCs w:val="32"/>
          <w:highlight w:val="none"/>
        </w:rPr>
      </w:pPr>
      <w:r>
        <w:rPr>
          <w:color w:val="000000"/>
          <w:highlight w:val="none"/>
        </w:rPr>
        <w:br w:type="page" w:clear="all"/>
      </w:r>
      <w:bookmarkEnd w:id="523"/>
      <w:r/>
      <w:bookmarkStart w:id="526" w:name="_Toc6679"/>
      <w:r>
        <w:rPr>
          <w:rFonts w:hint="eastAsia" w:ascii="宋体" w:hAnsi="宋体" w:eastAsia="宋体"/>
          <w:color w:val="000000"/>
          <w:sz w:val="32"/>
          <w:szCs w:val="32"/>
          <w:highlight w:val="none"/>
        </w:rPr>
        <w:t xml:space="preserve">三、符合性审查响应对照表</w:t>
      </w:r>
      <w:bookmarkEnd w:id="526"/>
      <w:r>
        <w:rPr>
          <w:rFonts w:ascii="宋体" w:hAnsi="宋体" w:eastAsia="宋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6526"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符合性审查响应内容</w:t>
            </w:r>
            <w:r>
              <w:rPr>
                <w:rFonts w:ascii="宋体" w:hAnsi="宋体"/>
                <w:b/>
                <w:color w:val="000000"/>
                <w:sz w:val="24"/>
                <w:highlight w:val="none"/>
              </w:rPr>
            </w:r>
            <w:r/>
          </w:p>
        </w:tc>
        <w:tc>
          <w:tcPr>
            <w:tcW w:w="709" w:type="dxa"/>
            <w:vAlign w:val="center"/>
            <w:textDirection w:val="lrTb"/>
            <w:noWrap w:val="false"/>
          </w:tcPr>
          <w:p>
            <w:pPr>
              <w:pStyle w:val="771"/>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771"/>
              <w:jc w:val="center"/>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680"/>
        </w:trPr>
        <w:tc>
          <w:tcPr>
            <w:tcW w:w="562"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526" w:type="dxa"/>
            <w:vAlign w:val="center"/>
            <w:textDirection w:val="lrTb"/>
            <w:noWrap w:val="false"/>
          </w:tcPr>
          <w:p>
            <w:pPr>
              <w:pStyle w:val="77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526" w:type="dxa"/>
            <w:vAlign w:val="center"/>
            <w:textDirection w:val="lrTb"/>
            <w:noWrap w:val="false"/>
          </w:tcPr>
          <w:p>
            <w:pPr>
              <w:pStyle w:val="77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6526" w:type="dxa"/>
            <w:vAlign w:val="center"/>
            <w:textDirection w:val="lrTb"/>
            <w:noWrap w:val="false"/>
          </w:tcPr>
          <w:p>
            <w:pPr>
              <w:pStyle w:val="77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6526" w:type="dxa"/>
            <w:vAlign w:val="center"/>
            <w:textDirection w:val="lrTb"/>
            <w:noWrap w:val="false"/>
          </w:tcPr>
          <w:p>
            <w:pPr>
              <w:pStyle w:val="77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71"/>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6526" w:type="dxa"/>
            <w:vAlign w:val="center"/>
            <w:textDirection w:val="lrTb"/>
            <w:noWrap w:val="false"/>
          </w:tcPr>
          <w:p>
            <w:pPr>
              <w:pStyle w:val="771"/>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709"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71"/>
              <w:rPr>
                <w:rFonts w:ascii="宋体" w:hAnsi="宋体"/>
                <w:color w:val="000000"/>
                <w:sz w:val="24"/>
                <w:highlight w:val="none"/>
              </w:rPr>
            </w:pPr>
            <w:r>
              <w:rPr>
                <w:rFonts w:ascii="宋体" w:hAnsi="宋体"/>
                <w:color w:val="000000"/>
                <w:sz w:val="24"/>
                <w:highlight w:val="none"/>
              </w:rPr>
            </w:r>
            <w:r/>
          </w:p>
        </w:tc>
      </w:tr>
    </w:tbl>
    <w:p>
      <w:pPr>
        <w:pStyle w:val="771"/>
        <w:rPr>
          <w:color w:val="000000"/>
          <w:sz w:val="24"/>
          <w:highlight w:val="none"/>
        </w:rPr>
      </w:pPr>
      <w:r/>
      <w:bookmarkStart w:id="527" w:name="_Hlk47433835"/>
      <w:r>
        <w:rPr>
          <w:rFonts w:hint="eastAsia"/>
          <w:b/>
          <w:color w:val="000000"/>
          <w:sz w:val="24"/>
          <w:highlight w:val="none"/>
        </w:rPr>
        <w:t xml:space="preserve">备注：</w:t>
      </w:r>
      <w:r>
        <w:rPr>
          <w:rFonts w:hint="eastAsia"/>
          <w:color w:val="000000"/>
          <w:sz w:val="24"/>
          <w:highlight w:val="none"/>
        </w:rPr>
        <w:t xml:space="preserve">如要求提供相应证明材料的，应在“备注”栏注明证明材料在投标文件中的页码位置；</w:t>
      </w:r>
      <w:bookmarkEnd w:id="527"/>
      <w:r>
        <w:rPr>
          <w:color w:val="000000"/>
          <w:sz w:val="24"/>
          <w:highlight w:val="none"/>
        </w:rPr>
        <w:br w:type="page" w:clear="all"/>
      </w:r>
      <w:bookmarkEnd w:id="509"/>
      <w:r/>
      <w:bookmarkEnd w:id="510"/>
      <w:r/>
      <w:bookmarkEnd w:id="511"/>
      <w:r/>
      <w:bookmarkEnd w:id="516"/>
      <w:r/>
      <w:bookmarkEnd w:id="517"/>
      <w:r/>
      <w:bookmarkEnd w:id="518"/>
      <w:r/>
      <w:bookmarkEnd w:id="520"/>
      <w:r/>
      <w:bookmarkStart w:id="528" w:name="_Toc120614284"/>
      <w:r>
        <w:rPr>
          <w:color w:val="000000"/>
          <w:sz w:val="24"/>
          <w:highlight w:val="none"/>
        </w:rPr>
      </w:r>
      <w:r/>
    </w:p>
    <w:p>
      <w:pPr>
        <w:pStyle w:val="774"/>
        <w:jc w:val="center"/>
        <w:spacing w:before="291" w:after="436" w:line="360" w:lineRule="auto"/>
        <w:rPr>
          <w:rFonts w:ascii="宋体" w:hAnsi="宋体"/>
          <w:bCs/>
          <w:color w:val="000000"/>
          <w:highlight w:val="none"/>
        </w:rPr>
      </w:pPr>
      <w:r/>
      <w:bookmarkStart w:id="529" w:name="_Hlk87459952"/>
      <w:r>
        <w:rPr>
          <w:rFonts w:hint="eastAsia" w:ascii="宋体" w:hAnsi="宋体"/>
          <w:color w:val="000000"/>
          <w:highlight w:val="none"/>
        </w:rPr>
        <w:t xml:space="preserve">具备履行合同所必需的设备和专业技术能力的书面声明</w:t>
      </w:r>
      <w:r>
        <w:rPr>
          <w:rFonts w:ascii="宋体" w:hAnsi="宋体"/>
          <w:bCs/>
          <w:color w:val="000000"/>
          <w:highlight w:val="none"/>
        </w:rPr>
      </w:r>
      <w:r/>
    </w:p>
    <w:p>
      <w:pPr>
        <w:pStyle w:val="77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77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主要设备有：</w:t>
      </w:r>
      <w:bookmarkStart w:id="530" w:name="_Hlk14868056"/>
      <w:r>
        <w:rPr>
          <w:rFonts w:hint="eastAsia" w:ascii="宋体" w:hAnsi="宋体"/>
          <w:bCs/>
          <w:color w:val="000000"/>
          <w:sz w:val="24"/>
          <w:highlight w:val="none"/>
        </w:rPr>
        <w:t xml:space="preserve">******</w:t>
      </w:r>
      <w:bookmarkEnd w:id="530"/>
      <w:r>
        <w:rPr>
          <w:rFonts w:ascii="宋体" w:hAnsi="宋体"/>
          <w:bCs/>
          <w:color w:val="000000"/>
          <w:sz w:val="24"/>
          <w:highlight w:val="none"/>
        </w:rPr>
      </w:r>
      <w:r/>
    </w:p>
    <w:p>
      <w:pPr>
        <w:pStyle w:val="77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主要专业技术能力有：****** </w:t>
      </w:r>
      <w:r>
        <w:rPr>
          <w:rFonts w:ascii="宋体" w:hAnsi="宋体"/>
          <w:bCs/>
          <w:color w:val="000000"/>
          <w:sz w:val="24"/>
          <w:highlight w:val="none"/>
        </w:rPr>
      </w:r>
      <w:r/>
    </w:p>
    <w:p>
      <w:pPr>
        <w:pStyle w:val="77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7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7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7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771"/>
        <w:ind w:firstLine="480"/>
        <w:spacing w:before="145" w:line="400" w:lineRule="exact"/>
        <w:rPr>
          <w:rFonts w:ascii="宋体" w:hAnsi="宋体"/>
          <w:bCs/>
          <w:color w:val="000000"/>
          <w:sz w:val="24"/>
          <w:highlight w:val="none"/>
        </w:rPr>
      </w:pPr>
      <w:r>
        <w:rPr>
          <w:rFonts w:ascii="宋体" w:hAnsi="宋体"/>
          <w:bCs/>
          <w:color w:val="000000"/>
          <w:sz w:val="24"/>
          <w:highlight w:val="none"/>
        </w:rPr>
      </w:r>
      <w:r/>
    </w:p>
    <w:p>
      <w:pPr>
        <w:pStyle w:val="771"/>
        <w:ind w:firstLine="480"/>
        <w:spacing w:before="145" w:line="400" w:lineRule="exact"/>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771"/>
        <w:jc w:val="left"/>
        <w:widowControl/>
        <w:rPr>
          <w:rFonts w:ascii="宋体" w:hAnsi="宋体"/>
          <w:bCs/>
          <w:color w:val="000000"/>
          <w:sz w:val="24"/>
          <w:highlight w:val="none"/>
        </w:rPr>
      </w:pPr>
      <w:r>
        <w:rPr>
          <w:rFonts w:ascii="宋体" w:hAnsi="宋体"/>
          <w:bCs/>
          <w:color w:val="000000"/>
          <w:sz w:val="24"/>
          <w:highlight w:val="none"/>
        </w:rPr>
      </w:r>
      <w:r/>
    </w:p>
    <w:p>
      <w:pPr>
        <w:pStyle w:val="771"/>
        <w:spacing w:line="360" w:lineRule="auto"/>
        <w:rPr>
          <w:color w:val="000000"/>
          <w:highlight w:val="none"/>
        </w:rPr>
      </w:pPr>
      <w:r>
        <w:rPr>
          <w:color w:val="000000"/>
          <w:highlight w:val="none"/>
        </w:rPr>
        <w:br w:type="page" w:clear="all"/>
      </w:r>
      <w:r>
        <w:rPr>
          <w:color w:val="000000"/>
          <w:highlight w:val="none"/>
        </w:rPr>
      </w:r>
      <w:r/>
    </w:p>
    <w:p>
      <w:pPr>
        <w:pStyle w:val="771"/>
        <w:spacing w:line="360" w:lineRule="auto"/>
        <w:rPr>
          <w:color w:val="000000"/>
          <w:highlight w:val="none"/>
        </w:rPr>
      </w:pPr>
      <w:r>
        <w:rPr>
          <w:color w:val="000000"/>
          <w:highlight w:val="none"/>
        </w:rPr>
      </w:r>
      <w:r/>
    </w:p>
    <w:p>
      <w:pPr>
        <w:pStyle w:val="774"/>
        <w:jc w:val="center"/>
        <w:spacing w:before="291" w:after="436" w:line="360" w:lineRule="auto"/>
        <w:rPr>
          <w:rFonts w:ascii="宋体" w:hAnsi="宋体"/>
          <w:bCs/>
          <w:color w:val="000000"/>
          <w:highlight w:val="none"/>
        </w:rPr>
      </w:pPr>
      <w:r>
        <w:rPr>
          <w:rFonts w:hint="eastAsia" w:ascii="宋体" w:hAnsi="宋体"/>
          <w:color w:val="000000"/>
          <w:highlight w:val="none"/>
        </w:rPr>
        <w:t xml:space="preserve">参加本次政府采购活动前3年内在经营活动中没有重大违法记录的书面声明</w:t>
      </w:r>
      <w:r>
        <w:rPr>
          <w:rFonts w:ascii="宋体" w:hAnsi="宋体"/>
          <w:bCs/>
          <w:color w:val="000000"/>
          <w:highlight w:val="none"/>
        </w:rPr>
      </w:r>
      <w:r/>
    </w:p>
    <w:p>
      <w:pPr>
        <w:pStyle w:val="771"/>
        <w:ind w:firstLine="480"/>
        <w:spacing w:before="58" w:line="480" w:lineRule="auto"/>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771"/>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771"/>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77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71"/>
        <w:rPr>
          <w:rFonts w:ascii="宋体" w:hAnsi="宋体"/>
          <w:color w:val="000000"/>
          <w:highlight w:val="none"/>
        </w:rPr>
      </w:pPr>
      <w:r/>
      <w:bookmarkEnd w:id="529"/>
      <w:r>
        <w:rPr>
          <w:rFonts w:hint="eastAsia" w:ascii="宋体" w:hAnsi="宋体"/>
          <w:color w:val="000000"/>
          <w:highlight w:val="none"/>
        </w:rPr>
        <w:br w:type="page" w:clear="all"/>
      </w:r>
      <w:r>
        <w:rPr>
          <w:rFonts w:ascii="宋体" w:hAnsi="宋体"/>
          <w:color w:val="000000"/>
          <w:highlight w:val="none"/>
        </w:rPr>
      </w:r>
      <w:r/>
    </w:p>
    <w:p>
      <w:pPr>
        <w:pStyle w:val="774"/>
        <w:jc w:val="center"/>
        <w:spacing w:before="291" w:after="436" w:line="360" w:lineRule="auto"/>
        <w:rPr>
          <w:rFonts w:ascii="黑体" w:hAnsi="宋体" w:eastAsia="黑体"/>
          <w:b w:val="0"/>
          <w:bCs/>
          <w:color w:val="000000"/>
          <w:sz w:val="30"/>
          <w:szCs w:val="30"/>
          <w:highlight w:val="none"/>
        </w:rPr>
      </w:pPr>
      <w:r>
        <w:rPr>
          <w:rFonts w:hint="eastAsia" w:ascii="宋体" w:hAnsi="宋体"/>
          <w:color w:val="000000"/>
          <w:highlight w:val="none"/>
        </w:rPr>
        <w:t xml:space="preserve">法人授权书</w:t>
      </w:r>
      <w:r>
        <w:rPr>
          <w:rFonts w:ascii="黑体" w:hAnsi="宋体" w:eastAsia="黑体"/>
          <w:b w:val="0"/>
          <w:bCs/>
          <w:color w:val="000000"/>
          <w:sz w:val="30"/>
          <w:szCs w:val="30"/>
          <w:highlight w:val="none"/>
        </w:rPr>
      </w:r>
      <w:r/>
    </w:p>
    <w:p>
      <w:pPr>
        <w:pStyle w:val="1056"/>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本授权书声明：</w:t>
      </w:r>
      <w:r>
        <w:rPr>
          <w:rFonts w:hint="eastAsia" w:ascii="宋体" w:hAnsi="宋体"/>
          <w:color w:val="000000"/>
          <w:highlight w:val="none"/>
        </w:rPr>
        <w:t xml:space="preserve">____</w:t>
      </w:r>
      <w:r>
        <w:rPr>
          <w:rFonts w:ascii="宋体" w:hAnsi="宋体"/>
          <w:color w:val="000000"/>
          <w:highlight w:val="none"/>
        </w:rPr>
        <w:t xml:space="preserve">[</w:t>
      </w:r>
      <w:r>
        <w:rPr>
          <w:rFonts w:hint="eastAsia" w:ascii="宋体" w:hAnsi="宋体"/>
          <w:color w:val="000000"/>
          <w:highlight w:val="none"/>
        </w:rPr>
        <w:t xml:space="preserve">投标人全称</w:t>
      </w:r>
      <w:r>
        <w:rPr>
          <w:rFonts w:ascii="宋体" w:hAnsi="宋体"/>
          <w:color w:val="000000"/>
          <w:highlight w:val="none"/>
        </w:rPr>
        <w:t xml:space="preserve">]</w:t>
      </w:r>
      <w:r>
        <w:rPr>
          <w:rFonts w:hint="eastAsia" w:ascii="宋体" w:hAnsi="宋体"/>
          <w:color w:val="000000"/>
          <w:highlight w:val="none"/>
        </w:rPr>
        <w:t xml:space="preserve">____</w:t>
      </w:r>
      <w:r>
        <w:rPr>
          <w:rFonts w:hint="eastAsia" w:ascii="宋体" w:hAnsi="宋体"/>
          <w:color w:val="000000"/>
          <w:highlight w:val="none"/>
          <w:u w:val="none"/>
        </w:rPr>
        <w:t xml:space="preserve">授权__</w:t>
      </w:r>
      <w:r>
        <w:rPr>
          <w:rFonts w:hint="eastAsia" w:ascii="宋体" w:hAnsi="宋体"/>
          <w:color w:val="000000"/>
          <w:highlight w:val="none"/>
        </w:rPr>
        <w:t xml:space="preserve">_[被授权人的姓名</w:t>
      </w:r>
      <w:r>
        <w:rPr>
          <w:rFonts w:ascii="宋体" w:hAnsi="宋体"/>
          <w:color w:val="000000"/>
          <w:highlight w:val="none"/>
        </w:rPr>
        <w:t xml:space="preserve">]</w:t>
      </w:r>
      <w:r>
        <w:rPr>
          <w:rFonts w:hint="eastAsia" w:ascii="宋体" w:hAnsi="宋体"/>
          <w:color w:val="000000"/>
          <w:highlight w:val="none"/>
        </w:rPr>
        <w:t xml:space="preserve">__</w:t>
      </w:r>
      <w:r>
        <w:rPr>
          <w:rFonts w:hint="eastAsia" w:ascii="宋体" w:hAnsi="宋体"/>
          <w:color w:val="000000"/>
          <w:highlight w:val="none"/>
          <w:u w:val="none"/>
        </w:rPr>
        <w:t xml:space="preserve">为我方就</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color w:val="000000"/>
          <w:highlight w:val="none"/>
        </w:rPr>
        <w:t xml:space="preserve">项目编号</w:t>
      </w:r>
      <w:r>
        <w:rPr>
          <w:rFonts w:ascii="宋体" w:hAnsi="宋体"/>
          <w:color w:val="000000"/>
          <w:highlight w:val="none"/>
        </w:rPr>
        <w:t xml:space="preserve">]  </w:t>
      </w:r>
      <w:r>
        <w:rPr>
          <w:rFonts w:hint="eastAsia" w:ascii="宋体" w:hAnsi="宋体"/>
          <w:color w:val="000000"/>
          <w:highlight w:val="none"/>
          <w:u w:val="none"/>
        </w:rPr>
        <w:t xml:space="preserve">号项目采购活动的合法代理人，以本单位名义全权处理一切与该项目采购有关的事务。</w:t>
      </w:r>
      <w:r>
        <w:rPr>
          <w:rFonts w:ascii="宋体" w:hAnsi="宋体"/>
          <w:color w:val="000000"/>
          <w:highlight w:val="none"/>
          <w:u w:val="none"/>
        </w:rPr>
      </w:r>
      <w:r/>
    </w:p>
    <w:p>
      <w:pPr>
        <w:pStyle w:val="1056"/>
        <w:ind w:firstLine="480"/>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(如有演示或陈述)我单位委托进行现场演示或陈述的人员为</w:t>
      </w:r>
      <w:r>
        <w:rPr>
          <w:rFonts w:ascii="宋体" w:hAnsi="宋体"/>
          <w:color w:val="000000"/>
          <w:highlight w:val="none"/>
        </w:rPr>
        <w:t xml:space="preserve">[</w:t>
      </w:r>
      <w:r>
        <w:rPr>
          <w:rFonts w:hint="eastAsia" w:ascii="宋体" w:hAnsi="宋体"/>
          <w:color w:val="000000"/>
          <w:highlight w:val="none"/>
        </w:rPr>
        <w:t xml:space="preserve">姓名</w:t>
      </w:r>
      <w:r>
        <w:rPr>
          <w:rFonts w:ascii="宋体" w:hAnsi="宋体"/>
          <w:color w:val="000000"/>
          <w:highlight w:val="none"/>
        </w:rPr>
        <w:t xml:space="preserve">]</w:t>
      </w:r>
      <w:r>
        <w:rPr>
          <w:rFonts w:hint="eastAsia" w:ascii="宋体" w:hAnsi="宋体"/>
          <w:color w:val="000000"/>
          <w:highlight w:val="none"/>
        </w:rPr>
        <w:t xml:space="preserve">（身份证号：）；</w:t>
      </w:r>
      <w:r>
        <w:rPr>
          <w:rFonts w:ascii="宋体" w:hAnsi="宋体"/>
          <w:color w:val="000000"/>
          <w:highlight w:val="none"/>
        </w:rPr>
      </w:r>
      <w:r/>
    </w:p>
    <w:p>
      <w:pPr>
        <w:pStyle w:val="1056"/>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本授权书于______年____月____日起生效，特此声明。</w:t>
      </w:r>
      <w:r>
        <w:rPr>
          <w:rFonts w:ascii="宋体" w:hAnsi="宋体"/>
          <w:color w:val="000000"/>
          <w:highlight w:val="none"/>
          <w:u w:val="none"/>
        </w:rPr>
      </w:r>
      <w:r/>
    </w:p>
    <w:p>
      <w:pPr>
        <w:pStyle w:val="1056"/>
        <w:ind w:firstLine="482"/>
        <w:spacing w:before="87" w:line="480" w:lineRule="auto"/>
        <w:tabs>
          <w:tab w:val="left" w:pos="360" w:leader="none"/>
        </w:tabs>
        <w:rPr>
          <w:rFonts w:ascii="黑体" w:hAnsi="黑体" w:eastAsia="黑体"/>
          <w:b/>
          <w:color w:val="000000"/>
          <w:sz w:val="32"/>
          <w:szCs w:val="32"/>
          <w:highlight w:val="none"/>
          <w:u w:val="none"/>
        </w:rPr>
      </w:pPr>
      <w:r/>
      <w:bookmarkStart w:id="531" w:name="_Hlk91232425"/>
      <w:r>
        <w:rPr>
          <w:rFonts w:hint="eastAsia" w:ascii="宋体" w:hAnsi="宋体"/>
          <w:b/>
          <w:bCs/>
          <w:color w:val="000000"/>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ascii="黑体" w:hAnsi="黑体" w:eastAsia="黑体"/>
          <w:b/>
          <w:color w:val="000000"/>
          <w:sz w:val="32"/>
          <w:szCs w:val="32"/>
          <w:highlight w:val="none"/>
          <w:u w:val="none"/>
        </w:rPr>
      </w:r>
      <w:r/>
    </w:p>
    <w:p>
      <w:pPr>
        <w:pStyle w:val="1056"/>
        <w:ind w:firstLine="480"/>
        <w:spacing w:before="87" w:line="480" w:lineRule="auto"/>
        <w:tabs>
          <w:tab w:val="left" w:pos="360" w:leader="none"/>
        </w:tabs>
        <w:rPr>
          <w:rFonts w:ascii="宋体" w:hAnsi="宋体"/>
          <w:color w:val="000000"/>
          <w:highlight w:val="none"/>
        </w:rPr>
      </w:pPr>
      <w:r>
        <w:rPr>
          <w:rFonts w:ascii="宋体" w:hAnsi="宋体"/>
          <w:color w:val="000000"/>
          <w:highlight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代理人（被授权人）签字：</w:t>
      </w:r>
      <w:r>
        <w:rPr>
          <w:rFonts w:ascii="宋体" w:hAnsi="宋体"/>
          <w:color w:val="000000"/>
          <w:highlight w:val="none"/>
          <w:u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身份证号码：                              </w:t>
      </w:r>
      <w:r>
        <w:rPr>
          <w:rFonts w:ascii="宋体" w:hAnsi="宋体"/>
          <w:color w:val="000000"/>
          <w:highlight w:val="none"/>
          <w:u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联系电话：（手机）                          </w:t>
      </w:r>
      <w:r>
        <w:rPr>
          <w:rFonts w:ascii="宋体" w:hAnsi="宋体"/>
          <w:color w:val="000000"/>
          <w:highlight w:val="none"/>
          <w:u w:val="none"/>
        </w:rPr>
      </w:r>
      <w:r/>
    </w:p>
    <w:p>
      <w:pPr>
        <w:pStyle w:val="1056"/>
        <w:ind w:firstLine="480"/>
        <w:jc w:val="both"/>
        <w:spacing w:before="87"/>
        <w:tabs>
          <w:tab w:val="clear" w:pos="360" w:leader="none"/>
        </w:tabs>
        <w:rPr>
          <w:rFonts w:ascii="宋体" w:hAnsi="宋体"/>
          <w:color w:val="000000"/>
          <w:szCs w:val="20"/>
          <w:highlight w:val="none"/>
          <w:u w:val="none"/>
        </w:rPr>
      </w:pPr>
      <w:r>
        <w:rPr>
          <w:rFonts w:ascii="宋体" w:hAnsi="宋体"/>
          <w:color w:val="000000"/>
          <w:szCs w:val="20"/>
          <w:highlight w:val="none"/>
          <w:u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授权单位名称（公章）：</w:t>
      </w:r>
      <w:r>
        <w:rPr>
          <w:rFonts w:ascii="宋体" w:hAnsi="宋体"/>
          <w:color w:val="000000"/>
          <w:highlight w:val="none"/>
          <w:u w:val="none"/>
        </w:rPr>
      </w:r>
      <w:r/>
    </w:p>
    <w:p>
      <w:pPr>
        <w:pStyle w:val="1056"/>
        <w:ind w:firstLine="480"/>
        <w:jc w:val="both"/>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法定代表人签字或签章：</w:t>
      </w:r>
      <w:r>
        <w:rPr>
          <w:rFonts w:ascii="宋体" w:hAnsi="宋体"/>
          <w:color w:val="000000"/>
          <w:highlight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单位地址：                                   </w:t>
      </w:r>
      <w:r>
        <w:rPr>
          <w:rFonts w:ascii="宋体" w:hAnsi="宋体"/>
          <w:color w:val="000000"/>
          <w:highlight w:val="none"/>
          <w:u w:val="none"/>
        </w:rPr>
      </w:r>
      <w:r/>
    </w:p>
    <w:p>
      <w:pPr>
        <w:pStyle w:val="1056"/>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日 </w:t>
      </w:r>
      <w:r>
        <w:rPr>
          <w:rFonts w:ascii="宋体" w:hAnsi="宋体"/>
          <w:color w:val="000000"/>
          <w:highlight w:val="none"/>
          <w:u w:val="none"/>
        </w:rPr>
        <w:t xml:space="preserve">   </w:t>
      </w:r>
      <w:r>
        <w:rPr>
          <w:rFonts w:hint="eastAsia" w:ascii="宋体" w:hAnsi="宋体"/>
          <w:color w:val="000000"/>
          <w:highlight w:val="none"/>
          <w:u w:val="none"/>
        </w:rPr>
        <w:t xml:space="preserve">期：</w:t>
      </w:r>
      <w:bookmarkStart w:id="532" w:name="_Hlt26671380"/>
      <w:r/>
      <w:bookmarkEnd w:id="532"/>
      <w:r/>
      <w:bookmarkStart w:id="533" w:name="_格式3__银行出具的资信证明"/>
      <w:r/>
      <w:bookmarkEnd w:id="533"/>
      <w:r/>
      <w:bookmarkStart w:id="534" w:name="_Hlt26955070"/>
      <w:r/>
      <w:bookmarkEnd w:id="534"/>
      <w:r>
        <w:rPr>
          <w:rFonts w:hint="eastAsia" w:ascii="宋体" w:hAnsi="宋体"/>
          <w:color w:val="000000"/>
          <w:highlight w:val="none"/>
          <w:u w:val="none"/>
        </w:rPr>
        <w:t xml:space="preserve">   年   月   日</w:t>
      </w:r>
      <w:r>
        <w:rPr>
          <w:rFonts w:ascii="宋体" w:hAnsi="宋体"/>
          <w:color w:val="000000"/>
          <w:highlight w:val="none"/>
          <w:u w:val="none"/>
        </w:rPr>
      </w:r>
      <w:r/>
    </w:p>
    <w:p>
      <w:pPr>
        <w:pStyle w:val="771"/>
        <w:jc w:val="left"/>
        <w:widowControl/>
        <w:rPr>
          <w:rFonts w:ascii="黑体" w:hAnsi="黑体" w:eastAsia="黑体"/>
          <w:b/>
          <w:color w:val="000000"/>
          <w:sz w:val="32"/>
          <w:szCs w:val="32"/>
          <w:highlight w:val="none"/>
        </w:rPr>
      </w:pPr>
      <w:r/>
      <w:bookmarkEnd w:id="531"/>
      <w:r>
        <w:rPr>
          <w:rFonts w:ascii="黑体" w:hAnsi="黑体" w:eastAsia="黑体"/>
          <w:b/>
          <w:color w:val="000000"/>
          <w:sz w:val="32"/>
          <w:szCs w:val="32"/>
          <w:highlight w:val="none"/>
        </w:rPr>
      </w:r>
      <w:r/>
    </w:p>
    <w:p>
      <w:pPr>
        <w:pStyle w:val="774"/>
        <w:jc w:val="center"/>
        <w:spacing w:before="291" w:after="145" w:line="360" w:lineRule="auto"/>
        <w:rPr>
          <w:rFonts w:ascii="宋体" w:hAnsi="宋体"/>
          <w:bCs/>
          <w:color w:val="000000"/>
          <w:szCs w:val="32"/>
          <w:highlight w:val="none"/>
        </w:rPr>
      </w:pPr>
      <w:r>
        <w:rPr>
          <w:rFonts w:ascii="宋体" w:hAnsi="宋体"/>
          <w:color w:val="000000"/>
          <w:highlight w:val="none"/>
        </w:rPr>
        <w:br w:type="page" w:clear="all"/>
      </w:r>
      <w:bookmarkStart w:id="535" w:name="_Toc9363443"/>
      <w:r/>
      <w:bookmarkStart w:id="536" w:name="_Toc12708989"/>
      <w:r>
        <w:rPr>
          <w:rFonts w:hint="eastAsia" w:ascii="宋体" w:hAnsi="宋体"/>
          <w:color w:val="000000"/>
          <w:highlight w:val="none"/>
        </w:rPr>
        <w:t xml:space="preserve">投标函</w:t>
      </w:r>
      <w:bookmarkEnd w:id="535"/>
      <w:r/>
      <w:bookmarkEnd w:id="536"/>
      <w:r>
        <w:rPr>
          <w:rFonts w:ascii="宋体" w:hAnsi="宋体"/>
          <w:bCs/>
          <w:color w:val="000000"/>
          <w:szCs w:val="32"/>
          <w:highlight w:val="none"/>
        </w:rPr>
      </w:r>
      <w:r/>
    </w:p>
    <w:p>
      <w:pPr>
        <w:pStyle w:val="771"/>
        <w:spacing w:before="58" w:after="145" w:line="400" w:lineRule="exact"/>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[采购人单位全称</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根据贵方的</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项目编号</w:t>
      </w:r>
      <w:r>
        <w:rPr>
          <w:rFonts w:ascii="宋体" w:hAnsi="宋体"/>
          <w:color w:val="000000"/>
          <w:sz w:val="24"/>
          <w:highlight w:val="none"/>
          <w:u w:val="single"/>
        </w:rPr>
        <w:t xml:space="preserve">]   </w:t>
      </w:r>
      <w:r>
        <w:rPr>
          <w:rFonts w:hint="eastAsia" w:ascii="宋体" w:hAnsi="宋体"/>
          <w:color w:val="000000"/>
          <w:sz w:val="24"/>
          <w:highlight w:val="none"/>
        </w:rPr>
        <w:t xml:space="preserve">号招标文件，正式授权下述签字人_</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姓名</w:t>
      </w:r>
      <w:r>
        <w:rPr>
          <w:rFonts w:ascii="宋体" w:hAnsi="宋体"/>
          <w:color w:val="000000"/>
          <w:sz w:val="24"/>
          <w:highlight w:val="none"/>
          <w:u w:val="single"/>
        </w:rPr>
        <w:t xml:space="preserve">] </w:t>
      </w:r>
      <w:r>
        <w:rPr>
          <w:rFonts w:hint="eastAsia" w:ascii="宋体" w:hAnsi="宋体"/>
          <w:color w:val="000000"/>
          <w:sz w:val="24"/>
          <w:highlight w:val="none"/>
        </w:rPr>
        <w:t xml:space="preserve">_代表我方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投标人的名称]</w:t>
      </w:r>
      <w:r>
        <w:rPr>
          <w:rFonts w:ascii="宋体" w:hAnsi="宋体"/>
          <w:color w:val="000000"/>
          <w:sz w:val="24"/>
          <w:highlight w:val="none"/>
          <w:u w:val="single"/>
        </w:rPr>
        <w:t xml:space="preserve">  </w:t>
      </w:r>
      <w:r>
        <w:rPr>
          <w:rFonts w:hint="eastAsia" w:ascii="宋体" w:hAnsi="宋体"/>
          <w:color w:val="000000"/>
          <w:sz w:val="24"/>
          <w:highlight w:val="none"/>
        </w:rPr>
        <w:t xml:space="preserve">，全权处理本次项目投标的有关事宜。</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据此函，</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签字人姓名</w:t>
      </w:r>
      <w:r>
        <w:rPr>
          <w:rFonts w:ascii="宋体" w:hAnsi="宋体"/>
          <w:color w:val="000000"/>
          <w:sz w:val="24"/>
          <w:highlight w:val="none"/>
          <w:u w:val="single"/>
        </w:rPr>
        <w:t xml:space="preserve">]     </w:t>
      </w:r>
      <w:r>
        <w:rPr>
          <w:rFonts w:hint="eastAsia" w:ascii="宋体" w:hAnsi="宋体"/>
          <w:color w:val="000000"/>
          <w:sz w:val="24"/>
          <w:highlight w:val="none"/>
        </w:rPr>
        <w:t xml:space="preserve">宣布同意如下：</w:t>
      </w:r>
      <w:r>
        <w:rPr>
          <w:rFonts w:ascii="宋体" w:hAnsi="宋体"/>
          <w:color w:val="000000"/>
          <w:sz w:val="24"/>
          <w:highlight w:val="none"/>
        </w:rPr>
      </w:r>
      <w:r/>
    </w:p>
    <w:p>
      <w:pPr>
        <w:pStyle w:val="771"/>
        <w:ind w:firstLine="482"/>
        <w:spacing w:before="29" w:line="400" w:lineRule="exact"/>
        <w:rPr>
          <w:rFonts w:ascii="宋体" w:hAnsi="宋体"/>
          <w:b/>
          <w:bCs/>
          <w:color w:val="000000"/>
          <w:sz w:val="24"/>
          <w:highlight w:val="none"/>
        </w:rPr>
      </w:pPr>
      <w:r>
        <w:rPr>
          <w:rFonts w:hint="eastAsia" w:ascii="宋体" w:hAnsi="宋体"/>
          <w:b/>
          <w:bCs/>
          <w:color w:val="000000"/>
          <w:sz w:val="24"/>
          <w:highlight w:val="none"/>
        </w:rPr>
        <w:t xml:space="preserve">1.按招标文件规定的各项要求，我们的投标报价为：</w:t>
      </w:r>
      <w:r>
        <w:rPr>
          <w:rFonts w:hint="eastAsia" w:ascii="宋体" w:hAnsi="宋体"/>
          <w:b/>
          <w:bCs/>
          <w:color w:val="000000"/>
          <w:sz w:val="24"/>
          <w:highlight w:val="none"/>
          <w:u w:val="single"/>
        </w:rPr>
        <w:t xml:space="preserve">     万元/年；大写   万元/年</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5.如果在开标后规定的投标有效期内撤回投标或中标后拒绝签订合同，</w:t>
      </w:r>
      <w:bookmarkStart w:id="537" w:name="_Hlk47427076"/>
      <w:r>
        <w:rPr>
          <w:rFonts w:hint="eastAsia" w:ascii="宋体" w:hAnsi="宋体"/>
          <w:color w:val="000000"/>
          <w:sz w:val="24"/>
          <w:highlight w:val="none"/>
        </w:rPr>
        <w:t xml:space="preserve">我方同意按照政府采购规定承担所有责任。</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bookmarkEnd w:id="537"/>
      <w:r>
        <w:rPr>
          <w:rFonts w:hint="eastAsia" w:ascii="宋体" w:hAnsi="宋体"/>
          <w:color w:val="000000"/>
          <w:sz w:val="24"/>
          <w:highlight w:val="none"/>
        </w:rPr>
        <w:t xml:space="preserve">6.同意向贵方提供贵方可能另外要求的与投标有关的任何证据或资料，并保证我方已提供和将要提供的文件是真实的、准确的。</w:t>
      </w:r>
      <w:r>
        <w:rPr>
          <w:rFonts w:ascii="宋体" w:hAnsi="宋体"/>
          <w:color w:val="000000"/>
          <w:sz w:val="24"/>
          <w:highlight w:val="none"/>
        </w:rPr>
      </w:r>
      <w:r/>
    </w:p>
    <w:p>
      <w:pPr>
        <w:pStyle w:val="77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7.一旦我方中标,我方将根据招标文件的规定，严格履行合同的责任和义务,并保证在招标文件规定的时间完成项目。</w:t>
      </w:r>
      <w:r>
        <w:rPr>
          <w:rFonts w:ascii="宋体" w:hAnsi="宋体"/>
          <w:color w:val="000000"/>
          <w:sz w:val="24"/>
          <w:highlight w:val="none"/>
        </w:rPr>
      </w:r>
      <w:r/>
    </w:p>
    <w:p>
      <w:pPr>
        <w:pStyle w:val="771"/>
        <w:ind w:firstLine="480"/>
        <w:spacing w:before="29" w:after="87" w:line="400" w:lineRule="exact"/>
        <w:rPr>
          <w:rFonts w:ascii="宋体" w:hAnsi="宋体"/>
          <w:color w:val="000000"/>
          <w:sz w:val="24"/>
          <w:highlight w:val="none"/>
        </w:rPr>
      </w:pPr>
      <w:r>
        <w:rPr>
          <w:rFonts w:hint="eastAsia" w:ascii="宋体" w:hAnsi="宋体"/>
          <w:color w:val="000000"/>
          <w:sz w:val="24"/>
          <w:highlight w:val="none"/>
        </w:rPr>
        <w:t xml:space="preserve">8.与本次投标有关的正式通讯信息如下：</w:t>
      </w:r>
      <w:r>
        <w:rPr>
          <w:rFonts w:ascii="宋体" w:hAnsi="宋体"/>
          <w:color w:val="000000"/>
          <w:sz w:val="24"/>
          <w:highlight w:val="none"/>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771"/>
              <w:jc w:val="center"/>
              <w:spacing w:before="58" w:line="400" w:lineRule="exact"/>
              <w:rPr>
                <w:rFonts w:ascii="宋体" w:hAnsi="宋体"/>
                <w:color w:val="000000"/>
                <w:sz w:val="24"/>
                <w:highlight w:val="none"/>
              </w:rPr>
            </w:pPr>
            <w:r/>
            <w:bookmarkStart w:id="538" w:name="_Hlk13223537"/>
            <w:r>
              <w:rPr>
                <w:rFonts w:hint="eastAsia" w:ascii="宋体" w:hAnsi="宋体"/>
                <w:color w:val="000000"/>
                <w:sz w:val="24"/>
                <w:highlight w:val="none"/>
              </w:rPr>
              <w:t xml:space="preserve">联系电话</w:t>
            </w:r>
            <w:r>
              <w:rPr>
                <w:rFonts w:ascii="宋体" w:hAnsi="宋体"/>
                <w:color w:val="000000"/>
                <w:sz w:val="24"/>
                <w:highlight w:val="none"/>
              </w:rPr>
            </w:r>
            <w:r/>
          </w:p>
        </w:tc>
        <w:tc>
          <w:tcPr>
            <w:tcW w:w="2551" w:type="dxa"/>
            <w:vAlign w:val="center"/>
            <w:textDirection w:val="lrTb"/>
            <w:noWrap w:val="false"/>
          </w:tcPr>
          <w:p>
            <w:pPr>
              <w:pStyle w:val="771"/>
              <w:jc w:val="center"/>
              <w:spacing w:before="58" w:line="40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77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联系邮箱</w:t>
            </w:r>
            <w:r>
              <w:rPr>
                <w:rFonts w:ascii="宋体" w:hAnsi="宋体"/>
                <w:color w:val="000000"/>
                <w:sz w:val="24"/>
                <w:highlight w:val="none"/>
              </w:rPr>
            </w:r>
            <w:r/>
          </w:p>
        </w:tc>
        <w:tc>
          <w:tcPr>
            <w:tcW w:w="2693" w:type="dxa"/>
            <w:vAlign w:val="center"/>
            <w:textDirection w:val="lrTb"/>
            <w:noWrap w:val="false"/>
          </w:tcPr>
          <w:p>
            <w:pPr>
              <w:pStyle w:val="77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361"/>
        </w:trPr>
        <w:tc>
          <w:tcPr>
            <w:tcW w:w="1985" w:type="dxa"/>
            <w:vAlign w:val="center"/>
            <w:textDirection w:val="lrTb"/>
            <w:noWrap w:val="false"/>
          </w:tcPr>
          <w:p>
            <w:pPr>
              <w:pStyle w:val="77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传 </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rPr>
            </w:r>
            <w:r/>
          </w:p>
        </w:tc>
        <w:tc>
          <w:tcPr>
            <w:tcW w:w="2551" w:type="dxa"/>
            <w:vAlign w:val="center"/>
            <w:textDirection w:val="lrTb"/>
            <w:noWrap w:val="false"/>
          </w:tcPr>
          <w:p>
            <w:pPr>
              <w:pStyle w:val="771"/>
              <w:jc w:val="center"/>
              <w:spacing w:before="58" w:line="40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77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邮 </w:t>
            </w:r>
            <w:r>
              <w:rPr>
                <w:rFonts w:ascii="宋体" w:hAnsi="宋体"/>
                <w:color w:val="000000"/>
                <w:sz w:val="24"/>
                <w:highlight w:val="none"/>
              </w:rPr>
              <w:t xml:space="preserve">   </w:t>
            </w:r>
            <w:r>
              <w:rPr>
                <w:rFonts w:hint="eastAsia" w:ascii="宋体" w:hAnsi="宋体"/>
                <w:color w:val="000000"/>
                <w:sz w:val="24"/>
                <w:highlight w:val="none"/>
              </w:rPr>
              <w:t xml:space="preserve">编</w:t>
            </w:r>
            <w:r>
              <w:rPr>
                <w:rFonts w:ascii="宋体" w:hAnsi="宋体"/>
                <w:color w:val="000000"/>
                <w:sz w:val="24"/>
                <w:highlight w:val="none"/>
              </w:rPr>
            </w:r>
            <w:r/>
          </w:p>
        </w:tc>
        <w:tc>
          <w:tcPr>
            <w:tcW w:w="2693" w:type="dxa"/>
            <w:vAlign w:val="center"/>
            <w:textDirection w:val="lrTb"/>
            <w:noWrap w:val="false"/>
          </w:tcPr>
          <w:p>
            <w:pPr>
              <w:pStyle w:val="77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325"/>
        </w:trPr>
        <w:tc>
          <w:tcPr>
            <w:tcW w:w="1985" w:type="dxa"/>
            <w:vAlign w:val="center"/>
            <w:textDirection w:val="lrTb"/>
            <w:noWrap w:val="false"/>
          </w:tcPr>
          <w:p>
            <w:pPr>
              <w:pStyle w:val="77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tc>
        <w:tc>
          <w:tcPr>
            <w:gridSpan w:val="3"/>
            <w:tcW w:w="7087" w:type="dxa"/>
            <w:vAlign w:val="center"/>
            <w:textDirection w:val="lrTb"/>
            <w:noWrap w:val="false"/>
          </w:tcPr>
          <w:p>
            <w:pPr>
              <w:pStyle w:val="77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1140"/>
        </w:trPr>
        <w:tc>
          <w:tcPr>
            <w:tcW w:w="1985" w:type="dxa"/>
            <w:vAlign w:val="center"/>
            <w:textDirection w:val="lrTb"/>
            <w:noWrap w:val="false"/>
          </w:tcPr>
          <w:p>
            <w:pPr>
              <w:pStyle w:val="771"/>
              <w:jc w:val="center"/>
              <w:spacing w:before="58"/>
              <w:rPr>
                <w:rFonts w:ascii="宋体" w:hAnsi="宋体"/>
                <w:color w:val="000000"/>
                <w:sz w:val="24"/>
                <w:highlight w:val="none"/>
              </w:rPr>
            </w:pPr>
            <w:r/>
            <w:bookmarkEnd w:id="538"/>
            <w:r>
              <w:rPr>
                <w:rFonts w:hint="eastAsia" w:ascii="宋体" w:hAnsi="宋体"/>
                <w:color w:val="000000"/>
                <w:sz w:val="24"/>
                <w:highlight w:val="none"/>
              </w:rPr>
              <w:t xml:space="preserve">投标人账户信息</w:t>
            </w:r>
            <w:r>
              <w:rPr>
                <w:rFonts w:ascii="宋体" w:hAnsi="宋体"/>
                <w:color w:val="000000"/>
                <w:sz w:val="24"/>
                <w:highlight w:val="none"/>
              </w:rPr>
            </w:r>
            <w:r/>
          </w:p>
        </w:tc>
        <w:tc>
          <w:tcPr>
            <w:gridSpan w:val="3"/>
            <w:tcW w:w="7087" w:type="dxa"/>
            <w:vAlign w:val="center"/>
            <w:textDirection w:val="lrTb"/>
            <w:noWrap w:val="false"/>
          </w:tcPr>
          <w:p>
            <w:pPr>
              <w:pStyle w:val="771"/>
              <w:spacing w:before="58"/>
              <w:rPr>
                <w:rFonts w:ascii="宋体" w:hAnsi="宋体"/>
                <w:color w:val="000000"/>
                <w:sz w:val="24"/>
                <w:highlight w:val="none"/>
              </w:rPr>
            </w:pPr>
            <w:r>
              <w:rPr>
                <w:rFonts w:hint="eastAsia" w:ascii="宋体" w:hAnsi="宋体"/>
                <w:color w:val="000000"/>
                <w:sz w:val="24"/>
                <w:highlight w:val="none"/>
              </w:rPr>
              <w:t xml:space="preserve">账户名称：</w:t>
            </w:r>
            <w:r>
              <w:rPr>
                <w:rFonts w:ascii="宋体" w:hAnsi="宋体"/>
                <w:color w:val="000000"/>
                <w:sz w:val="24"/>
                <w:highlight w:val="none"/>
              </w:rPr>
            </w:r>
            <w:r/>
          </w:p>
          <w:p>
            <w:pPr>
              <w:pStyle w:val="771"/>
              <w:spacing w:before="58"/>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p>
            <w:pPr>
              <w:pStyle w:val="771"/>
              <w:spacing w:before="58"/>
              <w:rPr>
                <w:rFonts w:ascii="宋体" w:hAnsi="宋体"/>
                <w:color w:val="000000"/>
                <w:sz w:val="24"/>
                <w:highlight w:val="none"/>
              </w:rPr>
            </w:pPr>
            <w:r>
              <w:rPr>
                <w:rFonts w:hint="eastAsia" w:ascii="宋体" w:hAnsi="宋体"/>
                <w:bCs/>
                <w:color w:val="000000"/>
                <w:sz w:val="24"/>
                <w:highlight w:val="none"/>
              </w:rPr>
              <w:t xml:space="preserve">账户号码：</w:t>
            </w:r>
            <w:r>
              <w:rPr>
                <w:rFonts w:ascii="宋体" w:hAnsi="宋体"/>
                <w:color w:val="000000"/>
                <w:sz w:val="24"/>
                <w:highlight w:val="none"/>
              </w:rPr>
            </w:r>
            <w:r/>
          </w:p>
        </w:tc>
      </w:tr>
    </w:tbl>
    <w:p>
      <w:pPr>
        <w:pStyle w:val="771"/>
        <w:ind w:firstLine="480"/>
        <w:spacing w:before="58"/>
        <w:rPr>
          <w:rFonts w:ascii="宋体" w:hAnsi="宋体"/>
          <w:color w:val="000000"/>
          <w:sz w:val="24"/>
          <w:highlight w:val="none"/>
        </w:rPr>
      </w:pPr>
      <w:r>
        <w:rPr>
          <w:rFonts w:ascii="宋体" w:hAnsi="宋体"/>
          <w:color w:val="000000"/>
          <w:sz w:val="24"/>
          <w:highlight w:val="none"/>
        </w:rPr>
      </w:r>
      <w:r/>
    </w:p>
    <w:p>
      <w:pPr>
        <w:pStyle w:val="771"/>
        <w:ind w:firstLine="480"/>
        <w:spacing w:before="58" w:line="360" w:lineRule="auto"/>
        <w:rPr>
          <w:rFonts w:ascii="宋体" w:hAnsi="宋体"/>
          <w:color w:val="000000"/>
          <w:sz w:val="24"/>
          <w:highlight w:val="none"/>
        </w:rPr>
      </w:pPr>
      <w:r/>
      <w:bookmarkStart w:id="539" w:name="_Hlk13223570"/>
      <w:r>
        <w:rPr>
          <w:rFonts w:hint="eastAsia" w:ascii="宋体" w:hAnsi="宋体"/>
          <w:color w:val="000000"/>
          <w:sz w:val="24"/>
          <w:highlight w:val="none"/>
        </w:rPr>
        <w:t xml:space="preserve">投标人全称（公章）： </w:t>
      </w:r>
      <w:r>
        <w:rPr>
          <w:rFonts w:ascii="宋体" w:hAnsi="宋体"/>
          <w:color w:val="000000"/>
          <w:sz w:val="24"/>
          <w:highlight w:val="none"/>
        </w:rPr>
      </w:r>
      <w:r/>
    </w:p>
    <w:p>
      <w:pPr>
        <w:pStyle w:val="771"/>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法定代表人或授权代表（签章或签字）：</w:t>
      </w:r>
      <w:r>
        <w:rPr>
          <w:rFonts w:ascii="宋体" w:hAnsi="宋体"/>
          <w:color w:val="000000"/>
          <w:sz w:val="24"/>
          <w:highlight w:val="none"/>
        </w:rPr>
      </w:r>
      <w:r/>
    </w:p>
    <w:p>
      <w:pPr>
        <w:pStyle w:val="771"/>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773"/>
        <w:spacing w:before="291" w:after="145" w:line="360" w:lineRule="auto"/>
        <w:rPr>
          <w:rFonts w:ascii="宋体" w:hAnsi="宋体" w:eastAsia="宋体"/>
          <w:color w:val="000000"/>
          <w:sz w:val="32"/>
          <w:szCs w:val="32"/>
          <w:highlight w:val="none"/>
        </w:rPr>
      </w:pPr>
      <w:r/>
      <w:bookmarkEnd w:id="539"/>
      <w:r/>
      <w:bookmarkStart w:id="540" w:name="_Toc9363448"/>
      <w:r/>
      <w:bookmarkStart w:id="541" w:name="_Toc749"/>
      <w:r/>
      <w:bookmarkStart w:id="542" w:name="_Toc12887281"/>
      <w:r/>
      <w:bookmarkStart w:id="543" w:name="_Toc12708994"/>
      <w:r/>
      <w:bookmarkStart w:id="544" w:name="_Toc8485130"/>
      <w:r/>
      <w:bookmarkStart w:id="545" w:name="_Toc9363444"/>
      <w:r/>
      <w:bookmarkStart w:id="546" w:name="_Toc12708990"/>
      <w:r>
        <w:rPr>
          <w:rFonts w:hint="eastAsia" w:ascii="宋体" w:hAnsi="宋体" w:eastAsia="宋体"/>
          <w:color w:val="000000"/>
          <w:sz w:val="32"/>
          <w:szCs w:val="32"/>
          <w:highlight w:val="none"/>
        </w:rPr>
        <w:t xml:space="preserve">四、开标一览表</w:t>
      </w:r>
      <w:bookmarkEnd w:id="540"/>
      <w:r/>
      <w:bookmarkEnd w:id="541"/>
      <w:r/>
      <w:bookmarkEnd w:id="542"/>
      <w:r/>
      <w:bookmarkEnd w:id="543"/>
      <w:r>
        <w:rPr>
          <w:rFonts w:ascii="宋体" w:hAnsi="宋体" w:eastAsia="宋体"/>
          <w:color w:val="000000"/>
          <w:sz w:val="32"/>
          <w:szCs w:val="32"/>
          <w:highlight w:val="none"/>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投标人全称</w:t>
            </w:r>
            <w:r>
              <w:rPr>
                <w:rFonts w:ascii="宋体" w:hAnsi="宋体"/>
                <w:b/>
                <w:color w:val="000000"/>
                <w:sz w:val="24"/>
                <w:highlight w:val="none"/>
              </w:rPr>
            </w:r>
            <w:r/>
          </w:p>
          <w:p>
            <w:pPr>
              <w:pStyle w:val="771"/>
              <w:jc w:val="center"/>
              <w:rPr>
                <w:rFonts w:ascii="宋体" w:hAnsi="宋体"/>
                <w:b/>
                <w:color w:val="000000"/>
                <w:sz w:val="24"/>
                <w:highlight w:val="none"/>
              </w:rPr>
            </w:pPr>
            <w:r>
              <w:rPr>
                <w:rFonts w:hint="eastAsia" w:ascii="宋体" w:hAnsi="宋体"/>
                <w:b/>
                <w:color w:val="000000"/>
                <w:sz w:val="24"/>
                <w:highlight w:val="none"/>
              </w:rPr>
              <w:t xml:space="preserve">（加盖公章）</w:t>
            </w:r>
            <w:r>
              <w:rPr>
                <w:rFonts w:ascii="宋体" w:hAnsi="宋体"/>
                <w:b/>
                <w:color w:val="000000"/>
                <w:sz w:val="24"/>
                <w:highlight w:val="none"/>
              </w:rPr>
            </w:r>
            <w:r/>
          </w:p>
        </w:tc>
        <w:tc>
          <w:tcPr>
            <w:tcW w:w="5546" w:type="dxa"/>
            <w:vAlign w:val="center"/>
            <w:textDirection w:val="lrTb"/>
            <w:noWrap w:val="false"/>
          </w:tcPr>
          <w:p>
            <w:pPr>
              <w:pStyle w:val="771"/>
              <w:jc w:val="center"/>
              <w:rPr>
                <w:rFonts w:ascii="宋体" w:hAnsi="宋体"/>
                <w:b/>
                <w:color w:val="000000"/>
                <w:sz w:val="24"/>
                <w:highlight w:val="none"/>
              </w:rPr>
            </w:pPr>
            <w:r>
              <w:rPr>
                <w:rFonts w:ascii="宋体" w:hAnsi="宋体"/>
                <w:b/>
                <w:color w:val="000000"/>
                <w:sz w:val="24"/>
                <w:highlight w:val="none"/>
              </w:rPr>
            </w:r>
            <w:r/>
          </w:p>
        </w:tc>
      </w:tr>
      <w:tr>
        <w:trPr>
          <w:trHeight w:val="555"/>
        </w:trPr>
        <w:tc>
          <w:tcPr>
            <w:tcW w:w="3384"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项目名称</w:t>
            </w:r>
            <w:r>
              <w:rPr>
                <w:rFonts w:ascii="宋体" w:hAnsi="宋体"/>
                <w:b/>
                <w:color w:val="000000"/>
                <w:sz w:val="24"/>
                <w:highlight w:val="none"/>
              </w:rPr>
            </w:r>
            <w:r/>
          </w:p>
        </w:tc>
        <w:tc>
          <w:tcPr>
            <w:tcW w:w="5546" w:type="dxa"/>
            <w:vAlign w:val="center"/>
            <w:textDirection w:val="lrTb"/>
            <w:noWrap w:val="false"/>
          </w:tcPr>
          <w:p>
            <w:pPr>
              <w:pStyle w:val="771"/>
              <w:jc w:val="center"/>
              <w:rPr>
                <w:rFonts w:ascii="宋体" w:hAnsi="宋体"/>
                <w:bCs/>
                <w:color w:val="000000"/>
                <w:sz w:val="24"/>
                <w:highlight w:val="none"/>
              </w:rPr>
            </w:pPr>
            <w:r>
              <w:rPr>
                <w:rFonts w:hint="eastAsia" w:ascii="宋体" w:hAnsi="宋体"/>
                <w:bCs/>
                <w:color w:val="000000"/>
                <w:sz w:val="24"/>
                <w:highlight w:val="none"/>
              </w:rPr>
              <w:t xml:space="preserve">（如有分包，需注明分包号）</w:t>
            </w:r>
            <w:r>
              <w:rPr>
                <w:rFonts w:ascii="宋体" w:hAnsi="宋体"/>
                <w:bCs/>
                <w:color w:val="000000"/>
                <w:sz w:val="24"/>
                <w:highlight w:val="none"/>
              </w:rPr>
            </w:r>
            <w:r/>
          </w:p>
        </w:tc>
      </w:tr>
      <w:tr>
        <w:trPr>
          <w:trHeight w:val="501"/>
        </w:trPr>
        <w:tc>
          <w:tcPr>
            <w:tcW w:w="3384"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项目编号</w:t>
            </w:r>
            <w:r>
              <w:rPr>
                <w:rFonts w:ascii="宋体" w:hAnsi="宋体"/>
                <w:b/>
                <w:color w:val="000000"/>
                <w:sz w:val="24"/>
                <w:highlight w:val="none"/>
              </w:rPr>
            </w:r>
            <w:r/>
          </w:p>
        </w:tc>
        <w:tc>
          <w:tcPr>
            <w:tcW w:w="5546" w:type="dxa"/>
            <w:vAlign w:val="center"/>
            <w:textDirection w:val="lrTb"/>
            <w:noWrap w:val="false"/>
          </w:tcPr>
          <w:p>
            <w:pPr>
              <w:pStyle w:val="771"/>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lang w:val="zh-CN"/>
              </w:rPr>
              <w:t xml:space="preserve">供应商是否属于小微型企业</w:t>
            </w:r>
            <w:r>
              <w:rPr>
                <w:rFonts w:ascii="宋体" w:hAnsi="宋体"/>
                <w:b/>
                <w:color w:val="000000"/>
                <w:sz w:val="24"/>
                <w:highlight w:val="none"/>
              </w:rPr>
            </w:r>
            <w:r/>
          </w:p>
        </w:tc>
        <w:tc>
          <w:tcPr>
            <w:tcW w:w="5546" w:type="dxa"/>
            <w:vAlign w:val="center"/>
            <w:textDirection w:val="lrTb"/>
            <w:noWrap w:val="false"/>
          </w:tcPr>
          <w:p>
            <w:pPr>
              <w:pStyle w:val="771"/>
              <w:jc w:val="center"/>
              <w:rPr>
                <w:rFonts w:ascii="宋体" w:hAnsi="宋体"/>
                <w:b/>
                <w:color w:val="000000"/>
                <w:sz w:val="24"/>
                <w:highlight w:val="none"/>
                <w:lang w:val="zh-CN"/>
              </w:rPr>
            </w:pPr>
            <w:r>
              <w:rPr>
                <w:rFonts w:hint="eastAsia" w:ascii="宋体" w:hAnsi="宋体"/>
                <w:b/>
                <w:color w:val="000000"/>
                <w:sz w:val="24"/>
                <w:highlight w:val="none"/>
                <w:lang w:val="zh-CN"/>
              </w:rPr>
              <w:t xml:space="preserve">是       否</w:t>
            </w:r>
            <w:r>
              <w:rPr>
                <w:rFonts w:ascii="宋体" w:hAnsi="宋体"/>
                <w:b/>
                <w:color w:val="000000"/>
                <w:sz w:val="24"/>
                <w:highlight w:val="none"/>
                <w:lang w:val="zh-CN"/>
              </w:rPr>
            </w:r>
            <w:r/>
          </w:p>
        </w:tc>
      </w:tr>
      <w:tr>
        <w:trPr>
          <w:trHeight w:val="501"/>
        </w:trPr>
        <w:tc>
          <w:tcPr>
            <w:tcW w:w="3384" w:type="dxa"/>
            <w:vAlign w:val="center"/>
            <w:textDirection w:val="lrTb"/>
            <w:noWrap w:val="false"/>
          </w:tcPr>
          <w:p>
            <w:pPr>
              <w:pStyle w:val="771"/>
              <w:jc w:val="center"/>
              <w:rPr>
                <w:rFonts w:ascii="宋体" w:hAnsi="宋体"/>
                <w:b/>
                <w:color w:val="000000"/>
                <w:sz w:val="24"/>
                <w:highlight w:val="none"/>
                <w:lang w:val="zh-CN"/>
              </w:rPr>
            </w:pPr>
            <w:r>
              <w:rPr>
                <w:rFonts w:hint="eastAsia" w:ascii="宋体" w:hAnsi="宋体"/>
                <w:b/>
                <w:color w:val="000000"/>
                <w:sz w:val="24"/>
                <w:highlight w:val="none"/>
                <w:lang w:val="zh-CN"/>
              </w:rPr>
              <w:t xml:space="preserve">合同履行期限</w:t>
            </w:r>
            <w:r>
              <w:rPr>
                <w:rFonts w:ascii="宋体" w:hAnsi="宋体"/>
                <w:b/>
                <w:color w:val="000000"/>
                <w:sz w:val="24"/>
                <w:highlight w:val="none"/>
                <w:lang w:val="zh-CN"/>
              </w:rPr>
            </w:r>
            <w:r/>
          </w:p>
        </w:tc>
        <w:tc>
          <w:tcPr>
            <w:tcW w:w="5546"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rPr>
              <w:t xml:space="preserve">3年</w:t>
            </w:r>
            <w:r>
              <w:rPr>
                <w:rFonts w:ascii="宋体" w:hAnsi="宋体"/>
                <w:b/>
                <w:color w:val="000000"/>
                <w:sz w:val="24"/>
                <w:highlight w:val="none"/>
              </w:rPr>
            </w:r>
            <w:r/>
          </w:p>
        </w:tc>
      </w:tr>
      <w:tr>
        <w:trPr>
          <w:trHeight w:val="501"/>
        </w:trPr>
        <w:tc>
          <w:tcPr>
            <w:tcW w:w="3384" w:type="dxa"/>
            <w:vAlign w:val="center"/>
            <w:textDirection w:val="lrTb"/>
            <w:noWrap w:val="false"/>
          </w:tcPr>
          <w:p>
            <w:pPr>
              <w:pStyle w:val="771"/>
              <w:jc w:val="center"/>
              <w:rPr>
                <w:rFonts w:ascii="宋体" w:hAnsi="宋体"/>
                <w:b/>
                <w:color w:val="000000"/>
                <w:sz w:val="24"/>
                <w:highlight w:val="none"/>
              </w:rPr>
            </w:pPr>
            <w:r>
              <w:rPr>
                <w:rFonts w:hint="eastAsia" w:ascii="宋体" w:hAnsi="宋体"/>
                <w:b/>
                <w:color w:val="000000"/>
                <w:sz w:val="24"/>
                <w:highlight w:val="none"/>
                <w:lang w:val="zh-CN"/>
              </w:rPr>
              <w:t xml:space="preserve">其他优惠承诺（如果有的话）</w:t>
            </w:r>
            <w:r>
              <w:rPr>
                <w:rFonts w:ascii="宋体" w:hAnsi="宋体"/>
                <w:b/>
                <w:color w:val="000000"/>
                <w:sz w:val="24"/>
                <w:highlight w:val="none"/>
              </w:rPr>
            </w:r>
            <w:r/>
          </w:p>
        </w:tc>
        <w:tc>
          <w:tcPr>
            <w:tcW w:w="5546" w:type="dxa"/>
            <w:vAlign w:val="center"/>
            <w:textDirection w:val="lrTb"/>
            <w:noWrap w:val="false"/>
          </w:tcPr>
          <w:p>
            <w:pPr>
              <w:pStyle w:val="771"/>
              <w:jc w:val="center"/>
              <w:rPr>
                <w:rFonts w:ascii="宋体" w:hAnsi="宋体"/>
                <w:b/>
                <w:color w:val="000000"/>
                <w:sz w:val="24"/>
                <w:highlight w:val="none"/>
              </w:rPr>
            </w:pPr>
            <w:r>
              <w:rPr>
                <w:rFonts w:ascii="宋体" w:hAnsi="宋体"/>
                <w:b/>
                <w:color w:val="000000"/>
                <w:sz w:val="24"/>
                <w:highlight w:val="none"/>
              </w:rPr>
            </w:r>
            <w:r/>
          </w:p>
        </w:tc>
      </w:tr>
      <w:tr>
        <w:trPr>
          <w:trHeight w:val="2411"/>
        </w:trPr>
        <w:tc>
          <w:tcPr>
            <w:tcW w:w="3384" w:type="dxa"/>
            <w:vAlign w:val="center"/>
            <w:textDirection w:val="lrTb"/>
            <w:noWrap w:val="false"/>
          </w:tcPr>
          <w:p>
            <w:pPr>
              <w:pStyle w:val="771"/>
              <w:jc w:val="center"/>
              <w:rPr>
                <w:rFonts w:ascii="宋体" w:hAnsi="宋体" w:cs="宋体"/>
                <w:b/>
                <w:color w:val="000000"/>
                <w:sz w:val="24"/>
                <w:highlight w:val="none"/>
              </w:rPr>
            </w:pPr>
            <w:r>
              <w:rPr>
                <w:rFonts w:hint="eastAsia" w:ascii="宋体" w:hAnsi="宋体"/>
                <w:b/>
                <w:color w:val="000000"/>
                <w:sz w:val="24"/>
                <w:highlight w:val="none"/>
              </w:rPr>
              <w:t xml:space="preserve">投标总报价</w:t>
            </w:r>
            <w:r>
              <w:rPr>
                <w:rFonts w:ascii="宋体" w:hAnsi="宋体" w:cs="宋体"/>
                <w:b/>
                <w:color w:val="000000"/>
                <w:sz w:val="24"/>
                <w:highlight w:val="none"/>
              </w:rPr>
            </w:r>
            <w:r/>
          </w:p>
        </w:tc>
        <w:tc>
          <w:tcPr>
            <w:tcW w:w="5546" w:type="dxa"/>
            <w:vAlign w:val="center"/>
            <w:textDirection w:val="lrTb"/>
            <w:noWrap w:val="false"/>
          </w:tcPr>
          <w:p>
            <w:pPr>
              <w:pStyle w:val="803"/>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   万元/年</w:t>
            </w:r>
            <w:r>
              <w:rPr>
                <w:rFonts w:ascii="宋体" w:hAnsi="宋体" w:eastAsia="宋体" w:cs="宋体"/>
                <w:color w:val="000000"/>
                <w:sz w:val="24"/>
                <w:szCs w:val="24"/>
                <w:highlight w:val="none"/>
              </w:rPr>
            </w:r>
            <w:r/>
          </w:p>
          <w:p>
            <w:pPr>
              <w:pStyle w:val="803"/>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1"/>
              <w:rPr>
                <w:rFonts w:ascii="宋体" w:hAnsi="宋体"/>
                <w:b/>
                <w:color w:val="000000"/>
                <w:sz w:val="24"/>
                <w:highlight w:val="none"/>
              </w:rPr>
            </w:pPr>
            <w:r>
              <w:rPr>
                <w:rFonts w:hint="eastAsia" w:ascii="宋体" w:hAnsi="宋体" w:cs="宋体"/>
                <w:color w:val="000000"/>
                <w:sz w:val="24"/>
                <w:highlight w:val="none"/>
              </w:rPr>
              <w:t xml:space="preserve">小写（人民币）：   万元/年</w:t>
            </w:r>
            <w:r>
              <w:rPr>
                <w:rFonts w:ascii="宋体" w:hAnsi="宋体"/>
                <w:b/>
                <w:color w:val="000000"/>
                <w:sz w:val="24"/>
                <w:highlight w:val="none"/>
              </w:rPr>
            </w:r>
            <w:r/>
          </w:p>
        </w:tc>
      </w:tr>
    </w:tbl>
    <w:p>
      <w:pPr>
        <w:pStyle w:val="771"/>
        <w:ind w:firstLine="480"/>
        <w:jc w:val="righ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 期：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 xml:space="preserve"> </w:t>
      </w:r>
      <w:r>
        <w:rPr>
          <w:rFonts w:ascii="宋体" w:hAnsi="宋体"/>
          <w:color w:val="000000"/>
          <w:sz w:val="24"/>
          <w:highlight w:val="none"/>
        </w:rPr>
      </w:r>
      <w:r/>
    </w:p>
    <w:p>
      <w:pPr>
        <w:pStyle w:val="771"/>
        <w:rPr>
          <w:rFonts w:ascii="宋体" w:hAnsi="宋体" w:cs="宋体"/>
          <w:b/>
          <w:bCs/>
          <w:color w:val="000000"/>
          <w:sz w:val="24"/>
          <w:highlight w:val="none"/>
        </w:rPr>
      </w:pPr>
      <w:r>
        <w:rPr>
          <w:rFonts w:hint="eastAsia" w:ascii="宋体" w:hAnsi="宋体" w:cs="宋体"/>
          <w:b/>
          <w:bCs/>
          <w:color w:val="000000"/>
          <w:sz w:val="24"/>
          <w:highlight w:val="none"/>
          <w:lang w:bidi="ar"/>
        </w:rPr>
        <w:t xml:space="preserve">填写说明：</w:t>
      </w:r>
      <w:r>
        <w:rPr>
          <w:rFonts w:ascii="宋体" w:hAnsi="宋体" w:cs="宋体"/>
          <w:b/>
          <w:bCs/>
          <w:color w:val="000000"/>
          <w:sz w:val="24"/>
          <w:highlight w:val="none"/>
        </w:rPr>
      </w:r>
      <w:r/>
    </w:p>
    <w:p>
      <w:pPr>
        <w:pStyle w:val="771"/>
        <w:spacing w:after="145" w:line="500" w:lineRule="exact"/>
        <w:rPr>
          <w:rFonts w:hint="eastAsia" w:ascii="宋体" w:hAnsi="宋体" w:cs="宋体"/>
          <w:b/>
          <w:iCs/>
          <w:color w:val="000000"/>
          <w:sz w:val="24"/>
          <w:highlight w:val="none"/>
          <w:lang w:bidi="ar"/>
        </w:rPr>
      </w:pPr>
      <w:r>
        <w:rPr>
          <w:rFonts w:hint="eastAsia" w:ascii="宋体" w:hAnsi="宋体" w:cs="宋体"/>
          <w:b/>
          <w:iCs/>
          <w:color w:val="000000"/>
          <w:sz w:val="24"/>
          <w:highlight w:val="none"/>
          <w:lang w:bidi="ar"/>
        </w:rPr>
        <w:t xml:space="preserve">1、开标一览表必须加盖投标人公章（复印件无效）。</w:t>
      </w:r>
      <w:r>
        <w:rPr>
          <w:rFonts w:hint="eastAsia" w:ascii="宋体" w:hAnsi="宋体" w:cs="宋体"/>
          <w:b/>
          <w:iCs/>
          <w:color w:val="000000"/>
          <w:sz w:val="24"/>
          <w:highlight w:val="none"/>
          <w:lang w:bidi="ar"/>
        </w:rPr>
      </w:r>
      <w:r/>
    </w:p>
    <w:p>
      <w:pPr>
        <w:pStyle w:val="771"/>
        <w:spacing w:after="145" w:line="500" w:lineRule="exact"/>
        <w:rPr>
          <w:rFonts w:hint="eastAsia" w:ascii="宋体" w:hAnsi="宋体" w:cs="宋体"/>
          <w:b/>
          <w:iCs/>
          <w:color w:val="000000"/>
          <w:sz w:val="24"/>
          <w:highlight w:val="none"/>
          <w:lang w:bidi="ar"/>
        </w:rPr>
      </w:pPr>
      <w:r>
        <w:rPr>
          <w:rFonts w:ascii="宋体" w:hAnsi="宋体" w:cs="宋体"/>
          <w:b/>
          <w:iCs/>
          <w:color w:val="000000"/>
          <w:sz w:val="24"/>
          <w:highlight w:val="none"/>
          <w:lang w:bidi="ar"/>
        </w:rPr>
        <w:t xml:space="preserve">2</w:t>
      </w:r>
      <w:r>
        <w:rPr>
          <w:rFonts w:hint="eastAsia" w:ascii="宋体" w:hAnsi="宋体" w:cs="宋体"/>
          <w:b/>
          <w:iCs/>
          <w:color w:val="000000"/>
          <w:sz w:val="24"/>
          <w:highlight w:val="none"/>
          <w:lang w:bidi="ar"/>
        </w:rPr>
        <w:t xml:space="preserve">、开标一览表需单独密封在信封中，在投标截止时间前与投标文件一并递交；</w:t>
      </w:r>
      <w:r>
        <w:rPr>
          <w:rFonts w:hint="eastAsia" w:ascii="宋体" w:hAnsi="宋体" w:cs="宋体"/>
          <w:b/>
          <w:iCs/>
          <w:color w:val="000000"/>
          <w:sz w:val="24"/>
          <w:highlight w:val="none"/>
          <w:lang w:bidi="ar"/>
        </w:rPr>
      </w:r>
      <w:r/>
    </w:p>
    <w:p>
      <w:pPr>
        <w:pStyle w:val="771"/>
        <w:spacing w:after="145" w:line="500" w:lineRule="exact"/>
        <w:rPr>
          <w:rFonts w:hint="eastAsia" w:ascii="宋体" w:hAnsi="宋体" w:cs="宋体"/>
          <w:b/>
          <w:iCs/>
          <w:color w:val="000000"/>
          <w:sz w:val="24"/>
          <w:highlight w:val="none"/>
          <w:lang w:bidi="ar"/>
        </w:rPr>
      </w:pPr>
      <w:r>
        <w:rPr>
          <w:rFonts w:hint="eastAsia" w:ascii="宋体" w:hAnsi="宋体" w:cs="宋体"/>
          <w:b/>
          <w:iCs/>
          <w:color w:val="000000"/>
          <w:sz w:val="24"/>
          <w:highlight w:val="none"/>
          <w:lang w:bidi="ar"/>
        </w:rPr>
        <w:t xml:space="preserve">3、本项目为固定餐标采购项目，投标报价不作为评审因素，投标人根据格式必须填写的投标总价按145万元/年填入。</w:t>
      </w:r>
      <w:r>
        <w:rPr>
          <w:rFonts w:hint="eastAsia" w:ascii="宋体" w:hAnsi="宋体" w:cs="宋体"/>
          <w:b/>
          <w:iCs/>
          <w:color w:val="000000"/>
          <w:sz w:val="24"/>
          <w:highlight w:val="none"/>
          <w:lang w:bidi="ar"/>
        </w:rPr>
      </w:r>
      <w:r/>
    </w:p>
    <w:p>
      <w:pPr>
        <w:pStyle w:val="773"/>
        <w:spacing w:before="291" w:after="145" w:line="360" w:lineRule="auto"/>
        <w:rPr>
          <w:rFonts w:ascii="宋体" w:hAnsi="宋体" w:eastAsia="宋体"/>
          <w:color w:val="000000"/>
          <w:sz w:val="32"/>
          <w:szCs w:val="32"/>
          <w:highlight w:val="none"/>
        </w:rPr>
      </w:pPr>
      <w:r>
        <w:rPr>
          <w:color w:val="000000"/>
          <w:highlight w:val="none"/>
        </w:rPr>
        <w:br w:type="page" w:clear="all"/>
      </w:r>
      <w:bookmarkStart w:id="547" w:name="_Toc12887282"/>
      <w:r/>
      <w:bookmarkStart w:id="548" w:name="_Toc9146"/>
      <w:r>
        <w:rPr>
          <w:rFonts w:hint="eastAsia" w:ascii="宋体" w:hAnsi="宋体" w:eastAsia="宋体"/>
          <w:color w:val="000000"/>
          <w:sz w:val="32"/>
          <w:szCs w:val="32"/>
          <w:highlight w:val="none"/>
        </w:rPr>
        <w:t xml:space="preserve">五、分项报价表</w:t>
      </w:r>
      <w:bookmarkEnd w:id="544"/>
      <w:r/>
      <w:bookmarkEnd w:id="545"/>
      <w:r/>
      <w:bookmarkEnd w:id="546"/>
      <w:r/>
      <w:bookmarkEnd w:id="547"/>
      <w:r/>
      <w:bookmarkEnd w:id="548"/>
      <w:r>
        <w:rPr>
          <w:rFonts w:ascii="宋体" w:hAnsi="宋体" w:eastAsia="宋体"/>
          <w:color w:val="000000"/>
          <w:sz w:val="32"/>
          <w:szCs w:val="32"/>
          <w:highlight w:val="none"/>
        </w:rPr>
      </w:r>
      <w:r/>
    </w:p>
    <w:p>
      <w:pPr>
        <w:pStyle w:val="815"/>
        <w:spacing w:line="360" w:lineRule="auto"/>
        <w:rPr>
          <w:rFonts w:ascii="宋体" w:hAnsi="宋体"/>
          <w:b/>
          <w:color w:val="000000"/>
          <w:szCs w:val="24"/>
          <w:highlight w:val="none"/>
        </w:rPr>
      </w:pPr>
      <w:r>
        <w:rPr>
          <w:rFonts w:hint="eastAsia" w:ascii="宋体" w:hAnsi="宋体"/>
          <w:b/>
          <w:color w:val="000000"/>
          <w:szCs w:val="24"/>
          <w:highlight w:val="none"/>
        </w:rPr>
        <w:t xml:space="preserve">（根据采购需求编写）</w:t>
      </w:r>
      <w:r>
        <w:rPr>
          <w:rFonts w:ascii="宋体" w:hAnsi="宋体"/>
          <w:b/>
          <w:color w:val="000000"/>
          <w:szCs w:val="24"/>
          <w:highlight w:val="none"/>
        </w:rPr>
      </w:r>
      <w:r/>
    </w:p>
    <w:p>
      <w:pPr>
        <w:pStyle w:val="815"/>
        <w:spacing w:line="360" w:lineRule="auto"/>
        <w:rPr>
          <w:rFonts w:ascii="宋体" w:hAnsi="宋体"/>
          <w:b/>
          <w:color w:val="000000"/>
          <w:szCs w:val="24"/>
          <w:highlight w:val="none"/>
        </w:rPr>
      </w:pPr>
      <w:r>
        <w:rPr>
          <w:rFonts w:hint="eastAsia" w:ascii="宋体" w:hAnsi="宋体"/>
          <w:b/>
          <w:color w:val="000000"/>
          <w:szCs w:val="24"/>
          <w:highlight w:val="none"/>
        </w:rPr>
        <w:t xml:space="preserve">是否提供了中小企业声明：</w:t>
      </w:r>
      <w:r>
        <w:rPr>
          <w:rFonts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是（</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中</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小</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微</w:t>
      </w:r>
      <w:r>
        <w:rPr>
          <w:rFonts w:ascii="宋体" w:hAnsi="宋体"/>
          <w:color w:val="000000"/>
          <w:szCs w:val="24"/>
          <w:highlight w:val="none"/>
        </w:rPr>
        <w:t xml:space="preserve">型企业</w:t>
      </w:r>
      <w:r>
        <w:rPr>
          <w:rFonts w:hint="eastAsia" w:ascii="宋体" w:hAnsi="宋体"/>
          <w:color w:val="000000"/>
          <w:szCs w:val="24"/>
          <w:highlight w:val="none"/>
        </w:rPr>
        <w:t xml:space="preserve">）；</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否 </w:t>
      </w:r>
      <w:r>
        <w:rPr>
          <w:rFonts w:ascii="宋体" w:hAnsi="宋体"/>
          <w:color w:val="000000"/>
          <w:szCs w:val="24"/>
          <w:highlight w:val="none"/>
        </w:rPr>
        <w:t xml:space="preserve">  </w:t>
      </w:r>
      <w:r>
        <w:rPr>
          <w:rFonts w:ascii="宋体" w:hAnsi="宋体"/>
          <w:b/>
          <w:color w:val="000000"/>
          <w:szCs w:val="24"/>
          <w:highlight w:val="none"/>
        </w:rPr>
      </w:r>
      <w:r/>
    </w:p>
    <w:p>
      <w:pPr>
        <w:pStyle w:val="771"/>
        <w:spacing w:before="145" w:line="300" w:lineRule="auto"/>
        <w:rPr>
          <w:rFonts w:ascii="宋体" w:hAnsi="宋体"/>
          <w:b/>
          <w:bCs/>
          <w:color w:val="000000"/>
          <w:sz w:val="24"/>
          <w:highlight w:val="none"/>
        </w:rPr>
      </w:pPr>
      <w:r/>
      <w:bookmarkStart w:id="549" w:name="_Hlk28858771"/>
      <w:r>
        <w:rPr>
          <w:rFonts w:ascii="宋体" w:hAnsi="宋体"/>
          <w:b/>
          <w:bCs/>
          <w:color w:val="000000"/>
          <w:sz w:val="24"/>
          <w:highlight w:val="none"/>
        </w:rPr>
      </w:r>
      <w:r/>
    </w:p>
    <w:p>
      <w:pPr>
        <w:pStyle w:val="771"/>
        <w:spacing w:before="145" w:line="300" w:lineRule="auto"/>
        <w:rPr>
          <w:rFonts w:ascii="宋体" w:hAnsi="宋体"/>
          <w:b/>
          <w:bCs/>
          <w:color w:val="000000"/>
          <w:sz w:val="24"/>
          <w:highlight w:val="none"/>
        </w:rPr>
      </w:pPr>
      <w:r>
        <w:rPr>
          <w:rFonts w:ascii="宋体" w:hAnsi="宋体"/>
          <w:b/>
          <w:bCs/>
          <w:color w:val="000000"/>
          <w:sz w:val="24"/>
          <w:highlight w:val="none"/>
        </w:rPr>
      </w:r>
      <w:r/>
    </w:p>
    <w:p>
      <w:pPr>
        <w:pStyle w:val="771"/>
        <w:spacing w:before="145" w:line="360" w:lineRule="auto"/>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771"/>
        <w:spacing w:line="360" w:lineRule="auto"/>
        <w:rPr>
          <w:rFonts w:ascii="宋体" w:hAnsi="宋体"/>
          <w:color w:val="000000"/>
          <w:sz w:val="24"/>
          <w:highlight w:val="none"/>
        </w:rPr>
      </w:pPr>
      <w:r/>
      <w:bookmarkStart w:id="550" w:name="_Hlk47437351"/>
      <w:r/>
      <w:bookmarkStart w:id="551" w:name="_Hlk45479321"/>
      <w:r>
        <w:rPr>
          <w:rFonts w:hint="eastAsia" w:ascii="宋体" w:hAnsi="宋体"/>
          <w:color w:val="000000"/>
          <w:sz w:val="24"/>
          <w:highlight w:val="none"/>
        </w:rPr>
        <w:t xml:space="preserve">1、投标人应按招标文件所需货物或服务逐项报价；</w:t>
      </w:r>
      <w:r>
        <w:rPr>
          <w:rFonts w:ascii="宋体" w:hAnsi="宋体"/>
          <w:color w:val="000000"/>
          <w:sz w:val="24"/>
          <w:highlight w:val="none"/>
        </w:rPr>
      </w:r>
      <w:r/>
    </w:p>
    <w:p>
      <w:pPr>
        <w:pStyle w:val="771"/>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771"/>
        <w:spacing w:line="360" w:lineRule="auto"/>
        <w:rPr>
          <w:rFonts w:ascii="宋体" w:hAnsi="宋体"/>
          <w:color w:val="000000"/>
          <w:sz w:val="24"/>
          <w:highlight w:val="none"/>
        </w:rPr>
      </w:pPr>
      <w:r/>
      <w:bookmarkEnd w:id="551"/>
      <w:r>
        <w:rPr>
          <w:rFonts w:hint="eastAsia" w:ascii="宋体" w:hAnsi="宋体"/>
          <w:color w:val="000000"/>
          <w:sz w:val="24"/>
          <w:highlight w:val="none"/>
        </w:rPr>
        <w:t xml:space="preserve">3、如参与多个分包的，请各投标供应商按所投分包分别列表。</w:t>
      </w:r>
      <w:r>
        <w:rPr>
          <w:rFonts w:ascii="宋体" w:hAnsi="宋体"/>
          <w:color w:val="000000"/>
          <w:sz w:val="24"/>
          <w:highlight w:val="none"/>
        </w:rPr>
      </w:r>
      <w:r/>
    </w:p>
    <w:p>
      <w:pPr>
        <w:pStyle w:val="773"/>
        <w:spacing w:before="291" w:after="145" w:line="360" w:lineRule="auto"/>
        <w:rPr>
          <w:rFonts w:ascii="宋体" w:hAnsi="宋体" w:eastAsia="宋体"/>
          <w:bCs/>
          <w:color w:val="000000"/>
          <w:sz w:val="32"/>
          <w:szCs w:val="32"/>
          <w:highlight w:val="none"/>
        </w:rPr>
      </w:pPr>
      <w:r/>
      <w:bookmarkEnd w:id="549"/>
      <w:r/>
      <w:bookmarkEnd w:id="550"/>
      <w:r/>
      <w:bookmarkStart w:id="552" w:name="_Toc8485132"/>
      <w:r>
        <w:rPr>
          <w:rFonts w:ascii="宋体" w:hAnsi="宋体" w:eastAsia="宋体"/>
          <w:color w:val="000000"/>
          <w:sz w:val="32"/>
          <w:szCs w:val="32"/>
          <w:highlight w:val="none"/>
        </w:rPr>
        <w:br w:type="page" w:clear="all"/>
      </w:r>
      <w:bookmarkStart w:id="553" w:name="_Toc21842"/>
      <w:r/>
      <w:bookmarkStart w:id="554" w:name="_Toc12708992"/>
      <w:r/>
      <w:bookmarkStart w:id="555" w:name="_Toc9363446"/>
      <w:r/>
      <w:bookmarkStart w:id="556" w:name="_Toc12887284"/>
      <w:r>
        <w:rPr>
          <w:rFonts w:hint="eastAsia" w:ascii="宋体" w:hAnsi="宋体" w:eastAsia="宋体"/>
          <w:color w:val="000000"/>
          <w:sz w:val="32"/>
          <w:szCs w:val="32"/>
          <w:highlight w:val="none"/>
        </w:rPr>
        <w:t xml:space="preserve">六、</w:t>
      </w:r>
      <w:bookmarkStart w:id="557" w:name="_Hlk47437482"/>
      <w:r>
        <w:rPr>
          <w:rFonts w:hint="eastAsia" w:ascii="宋体" w:hAnsi="宋体" w:eastAsia="宋体"/>
          <w:color w:val="000000"/>
          <w:sz w:val="32"/>
          <w:szCs w:val="32"/>
          <w:highlight w:val="none"/>
        </w:rPr>
        <w:t xml:space="preserve">技术响应偏离表</w:t>
      </w:r>
      <w:bookmarkEnd w:id="552"/>
      <w:r/>
      <w:bookmarkEnd w:id="553"/>
      <w:r/>
      <w:bookmarkEnd w:id="554"/>
      <w:r/>
      <w:bookmarkEnd w:id="555"/>
      <w:r/>
      <w:bookmarkEnd w:id="556"/>
      <w:r/>
      <w:bookmarkEnd w:id="557"/>
      <w:r>
        <w:rPr>
          <w:rFonts w:ascii="宋体" w:hAnsi="宋体" w:eastAsia="宋体"/>
          <w:bCs/>
          <w:color w:val="000000"/>
          <w:sz w:val="32"/>
          <w:szCs w:val="32"/>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71"/>
              <w:jc w:val="center"/>
              <w:spacing w:line="400" w:lineRule="exact"/>
              <w:rPr>
                <w:rFonts w:ascii="宋体" w:hAnsi="宋体"/>
                <w:b/>
                <w:color w:val="000000"/>
                <w:sz w:val="24"/>
                <w:highlight w:val="none"/>
              </w:rPr>
            </w:pPr>
            <w:r/>
            <w:bookmarkStart w:id="558" w:name="_Hlk13224763"/>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771"/>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771"/>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771"/>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r>
    </w:tbl>
    <w:p>
      <w:pPr>
        <w:pStyle w:val="771"/>
        <w:jc w:val="left"/>
        <w:spacing w:line="300" w:lineRule="auto"/>
        <w:rPr>
          <w:rFonts w:ascii="宋体" w:hAnsi="宋体"/>
          <w:b/>
          <w:color w:val="000000"/>
          <w:sz w:val="24"/>
          <w:highlight w:val="none"/>
        </w:rPr>
      </w:pPr>
      <w:r/>
      <w:bookmarkEnd w:id="558"/>
      <w:r/>
      <w:bookmarkStart w:id="559" w:name="_Hlk13224796"/>
      <w:r>
        <w:rPr>
          <w:rFonts w:ascii="宋体" w:hAnsi="宋体"/>
          <w:b/>
          <w:color w:val="000000"/>
          <w:sz w:val="24"/>
          <w:highlight w:val="none"/>
        </w:rPr>
      </w:r>
      <w:r/>
    </w:p>
    <w:p>
      <w:pPr>
        <w:pStyle w:val="803"/>
        <w:jc w:val="center"/>
        <w:rPr>
          <w:rFonts w:eastAsia="宋体"/>
          <w:color w:val="000000"/>
          <w:highlight w:val="none"/>
        </w:rPr>
      </w:pPr>
      <w:r>
        <w:rPr>
          <w:rFonts w:hint="eastAsia" w:ascii="宋体" w:hAnsi="宋体" w:eastAsia="宋体"/>
          <w:color w:val="000000"/>
          <w:sz w:val="32"/>
          <w:szCs w:val="32"/>
          <w:highlight w:val="none"/>
        </w:rPr>
        <w:t xml:space="preserve">商务响应偏离表</w:t>
      </w:r>
      <w:r>
        <w:rPr>
          <w:rFonts w:eastAsia="宋体"/>
          <w:color w:val="000000"/>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771"/>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771"/>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771"/>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77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71"/>
              <w:jc w:val="center"/>
              <w:rPr>
                <w:rFonts w:ascii="宋体" w:hAnsi="宋体"/>
                <w:color w:val="000000"/>
                <w:sz w:val="24"/>
                <w:highlight w:val="none"/>
              </w:rPr>
            </w:pPr>
            <w:r>
              <w:rPr>
                <w:rFonts w:ascii="宋体" w:hAnsi="宋体"/>
                <w:color w:val="000000"/>
                <w:sz w:val="24"/>
                <w:highlight w:val="none"/>
              </w:rPr>
            </w:r>
            <w:r/>
          </w:p>
        </w:tc>
      </w:tr>
    </w:tbl>
    <w:p>
      <w:pPr>
        <w:pStyle w:val="771"/>
        <w:ind w:left="482" w:hanging="482"/>
        <w:jc w:val="left"/>
        <w:spacing w:line="300" w:lineRule="auto"/>
        <w:rPr>
          <w:rFonts w:ascii="宋体" w:hAnsi="宋体"/>
          <w:b/>
          <w:color w:val="000000"/>
          <w:sz w:val="24"/>
          <w:highlight w:val="none"/>
        </w:rPr>
      </w:pPr>
      <w:r>
        <w:rPr>
          <w:rFonts w:ascii="宋体" w:hAnsi="宋体"/>
          <w:b/>
          <w:color w:val="000000"/>
          <w:sz w:val="24"/>
          <w:highlight w:val="none"/>
        </w:rPr>
      </w:r>
      <w:r/>
    </w:p>
    <w:p>
      <w:pPr>
        <w:pStyle w:val="771"/>
        <w:ind w:left="482" w:hanging="482"/>
        <w:jc w:val="left"/>
        <w:spacing w:line="30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p>
      <w:pPr>
        <w:pStyle w:val="771"/>
        <w:jc w:val="left"/>
        <w:spacing w:after="58" w:line="300" w:lineRule="auto"/>
        <w:rPr>
          <w:rFonts w:ascii="宋体" w:hAnsi="宋体"/>
          <w:color w:val="000000"/>
          <w:sz w:val="24"/>
          <w:highlight w:val="none"/>
        </w:rPr>
      </w:pPr>
      <w:r>
        <w:rPr>
          <w:rFonts w:hint="eastAsia" w:ascii="宋体" w:hAnsi="宋体"/>
          <w:color w:val="000000"/>
          <w:sz w:val="24"/>
          <w:highlight w:val="none"/>
        </w:rPr>
        <w:t xml:space="preserve">1、“招标要求”栏按照本招标文件</w:t>
      </w:r>
      <w:r>
        <w:rPr>
          <w:rFonts w:hint="eastAsia" w:ascii="宋体" w:hAnsi="宋体"/>
          <w:b/>
          <w:bCs/>
          <w:color w:val="000000"/>
          <w:sz w:val="24"/>
          <w:highlight w:val="none"/>
        </w:rPr>
        <w:t xml:space="preserve">“第四章</w:t>
      </w:r>
      <w:bookmarkStart w:id="560" w:name="_Hlk28858839"/>
      <w:r>
        <w:rPr>
          <w:rFonts w:hint="eastAsia" w:ascii="宋体" w:hAnsi="宋体"/>
          <w:b/>
          <w:bCs/>
          <w:color w:val="000000"/>
          <w:sz w:val="24"/>
          <w:highlight w:val="none"/>
        </w:rPr>
        <w:t xml:space="preserve"> 项目需求”</w:t>
      </w:r>
      <w:bookmarkEnd w:id="560"/>
      <w:r>
        <w:rPr>
          <w:rFonts w:hint="eastAsia" w:ascii="宋体" w:hAnsi="宋体"/>
          <w:color w:val="000000"/>
          <w:sz w:val="24"/>
          <w:highlight w:val="none"/>
        </w:rPr>
        <w:t xml:space="preserve">逐项填列</w:t>
      </w:r>
      <w:bookmarkStart w:id="561" w:name="_Hlk27472667"/>
      <w:r>
        <w:rPr>
          <w:rFonts w:hint="eastAsia" w:ascii="宋体" w:hAnsi="宋体"/>
          <w:color w:val="000000"/>
          <w:sz w:val="24"/>
          <w:highlight w:val="none"/>
        </w:rPr>
        <w:t xml:space="preserve">，</w:t>
      </w:r>
      <w:bookmarkStart w:id="562" w:name="_Hlk45479488"/>
      <w:r>
        <w:rPr>
          <w:rFonts w:hint="eastAsia" w:ascii="宋体" w:hAnsi="宋体"/>
          <w:color w:val="000000"/>
          <w:sz w:val="24"/>
          <w:highlight w:val="none"/>
        </w:rPr>
        <w:t xml:space="preserve">如需提供相应证明材料的，应在“备注”栏注明证明材料在投标文件中的页码位置；</w:t>
      </w:r>
      <w:r>
        <w:rPr>
          <w:rFonts w:ascii="宋体" w:hAnsi="宋体"/>
          <w:color w:val="000000"/>
          <w:sz w:val="24"/>
          <w:highlight w:val="none"/>
        </w:rPr>
      </w:r>
      <w:r/>
    </w:p>
    <w:p>
      <w:pPr>
        <w:pStyle w:val="771"/>
        <w:jc w:val="left"/>
        <w:spacing w:after="58" w:line="300" w:lineRule="auto"/>
        <w:rPr>
          <w:rFonts w:ascii="宋体" w:hAnsi="宋体"/>
          <w:color w:val="000000"/>
          <w:sz w:val="24"/>
          <w:highlight w:val="none"/>
        </w:rPr>
      </w:pPr>
      <w:r/>
      <w:bookmarkEnd w:id="562"/>
      <w:r>
        <w:rPr>
          <w:rFonts w:hint="eastAsia" w:ascii="宋体" w:hAnsi="宋体"/>
          <w:color w:val="000000"/>
          <w:sz w:val="24"/>
          <w:highlight w:val="none"/>
        </w:rPr>
        <w:t xml:space="preserve">2、如参与多个分包的，请各投标供应商按所投分包分别列表。</w:t>
      </w:r>
      <w:r>
        <w:rPr>
          <w:rFonts w:ascii="宋体" w:hAnsi="宋体"/>
          <w:color w:val="000000"/>
          <w:sz w:val="24"/>
          <w:highlight w:val="none"/>
        </w:rPr>
      </w:r>
      <w:r/>
    </w:p>
    <w:p>
      <w:pPr>
        <w:pStyle w:val="771"/>
        <w:rPr>
          <w:rFonts w:ascii="黑体" w:hAnsi="Arial" w:eastAsia="黑体"/>
          <w:color w:val="000000"/>
          <w:sz w:val="32"/>
          <w:highlight w:val="none"/>
        </w:rPr>
      </w:pPr>
      <w:r/>
      <w:bookmarkEnd w:id="559"/>
      <w:r/>
      <w:bookmarkEnd w:id="561"/>
      <w:r>
        <w:rPr>
          <w:rFonts w:ascii="黑体" w:hAnsi="Arial" w:eastAsia="黑体"/>
          <w:color w:val="000000"/>
          <w:sz w:val="32"/>
          <w:highlight w:val="none"/>
        </w:rPr>
      </w:r>
      <w:r/>
    </w:p>
    <w:p>
      <w:pPr>
        <w:pStyle w:val="771"/>
        <w:rPr>
          <w:color w:val="000000"/>
          <w:highlight w:val="none"/>
        </w:rPr>
      </w:pPr>
      <w:r/>
      <w:bookmarkEnd w:id="457"/>
      <w:r/>
      <w:bookmarkEnd w:id="458"/>
      <w:r/>
      <w:bookmarkEnd w:id="528"/>
      <w:r/>
      <w:bookmarkStart w:id="563" w:name="_Hlt26955054"/>
      <w:r/>
      <w:bookmarkEnd w:id="563"/>
      <w:r/>
      <w:bookmarkStart w:id="564" w:name="_格式2__法定代表人授权书"/>
      <w:r/>
      <w:bookmarkEnd w:id="564"/>
      <w:r/>
      <w:bookmarkStart w:id="565" w:name="_Toc12708995"/>
      <w:r/>
      <w:bookmarkStart w:id="566" w:name="_Toc12887286"/>
      <w:r/>
      <w:bookmarkStart w:id="567" w:name="_Toc8485135"/>
      <w:r/>
      <w:bookmarkStart w:id="568" w:name="_Toc9363449"/>
      <w:r>
        <w:rPr>
          <w:color w:val="000000"/>
          <w:highlight w:val="none"/>
        </w:rPr>
      </w:r>
      <w:r/>
    </w:p>
    <w:p>
      <w:pPr>
        <w:pStyle w:val="772"/>
        <w:jc w:val="left"/>
        <w:spacing w:before="145" w:after="145"/>
        <w:rPr>
          <w:rFonts w:ascii="宋体" w:hAnsi="宋体" w:eastAsia="宋体"/>
          <w:b/>
          <w:color w:val="000000"/>
          <w:sz w:val="32"/>
          <w:szCs w:val="32"/>
          <w:highlight w:val="none"/>
        </w:rPr>
      </w:pPr>
      <w:r>
        <w:rPr>
          <w:rFonts w:ascii="宋体" w:hAnsi="宋体" w:eastAsia="宋体"/>
          <w:b/>
          <w:color w:val="000000"/>
          <w:sz w:val="32"/>
          <w:szCs w:val="32"/>
          <w:highlight w:val="none"/>
        </w:rPr>
        <w:br w:type="page" w:clear="all"/>
      </w:r>
      <w:bookmarkStart w:id="569" w:name="_Toc21183"/>
      <w:r>
        <w:rPr>
          <w:rFonts w:hint="eastAsia" w:ascii="宋体" w:hAnsi="宋体" w:eastAsia="宋体"/>
          <w:b/>
          <w:color w:val="000000"/>
          <w:sz w:val="32"/>
          <w:szCs w:val="32"/>
          <w:highlight w:val="none"/>
        </w:rPr>
        <w:t xml:space="preserve">附件</w:t>
      </w:r>
      <w:bookmarkEnd w:id="565"/>
      <w:r/>
      <w:bookmarkEnd w:id="566"/>
      <w:r/>
      <w:bookmarkEnd w:id="567"/>
      <w:r/>
      <w:bookmarkEnd w:id="568"/>
      <w:r/>
      <w:bookmarkStart w:id="571" w:name="_Toc8485138"/>
      <w:r/>
      <w:bookmarkStart w:id="572" w:name="_Toc12887287"/>
      <w:r/>
      <w:bookmarkStart w:id="573" w:name="_Toc12708996"/>
      <w:r/>
      <w:bookmarkStart w:id="574" w:name="_Toc9363451"/>
      <w:r>
        <w:rPr>
          <w:rFonts w:hint="eastAsia" w:ascii="宋体" w:hAnsi="宋体" w:eastAsia="宋体"/>
          <w:b/>
          <w:color w:val="000000"/>
          <w:sz w:val="32"/>
          <w:szCs w:val="32"/>
          <w:highlight w:val="none"/>
        </w:rPr>
        <w:t xml:space="preserve">：</w:t>
      </w:r>
      <w:bookmarkEnd w:id="569"/>
      <w:r>
        <w:rPr>
          <w:rFonts w:ascii="宋体" w:hAnsi="宋体" w:eastAsia="宋体"/>
          <w:b/>
          <w:color w:val="000000"/>
          <w:sz w:val="32"/>
          <w:szCs w:val="32"/>
          <w:highlight w:val="none"/>
        </w:rPr>
      </w:r>
      <w:r/>
    </w:p>
    <w:p>
      <w:pPr>
        <w:pStyle w:val="1059"/>
        <w:keepLines/>
        <w:keepNext/>
        <w:spacing w:line="240" w:lineRule="auto"/>
        <w:rPr>
          <w:b/>
          <w:bCs/>
          <w:color w:val="000000"/>
          <w:sz w:val="28"/>
          <w:szCs w:val="28"/>
          <w:highlight w:val="none"/>
          <w:lang w:val="en-US" w:eastAsia="zh-CN" w:bidi="ar-SA"/>
        </w:rPr>
        <w:outlineLvl w:val="9"/>
      </w:pPr>
      <w:r>
        <w:rPr>
          <w:rFonts w:hint="eastAsia"/>
          <w:b/>
          <w:bCs/>
          <w:color w:val="000000"/>
          <w:sz w:val="28"/>
          <w:szCs w:val="28"/>
          <w:highlight w:val="none"/>
          <w:lang w:val="en-US" w:eastAsia="zh-CN" w:bidi="ar-SA"/>
        </w:rPr>
        <w:t xml:space="preserve">中小企业声明函（服务）</w:t>
      </w:r>
      <w:r>
        <w:rPr>
          <w:b/>
          <w:bCs/>
          <w:color w:val="000000"/>
          <w:sz w:val="28"/>
          <w:szCs w:val="28"/>
          <w:highlight w:val="none"/>
          <w:lang w:val="en-US" w:eastAsia="zh-CN" w:bidi="ar-SA"/>
        </w:rPr>
      </w:r>
      <w:r/>
    </w:p>
    <w:p>
      <w:pPr>
        <w:pStyle w:val="1106"/>
        <w:ind w:firstLine="640"/>
        <w:jc w:val="both"/>
        <w:spacing w:line="494" w:lineRule="exact"/>
        <w:rPr>
          <w:color w:val="000000"/>
          <w:sz w:val="21"/>
          <w:szCs w:val="21"/>
          <w:highlight w:val="none"/>
          <w:lang w:val="en-US" w:eastAsia="zh-CN" w:bidi="ar-SA"/>
        </w:rPr>
      </w:pPr>
      <w:r>
        <w:rPr>
          <w:rFonts w:hint="eastAsia"/>
          <w:color w:val="000000"/>
          <w:sz w:val="21"/>
          <w:szCs w:val="21"/>
          <w:highlight w:val="none"/>
          <w:lang w:val="en-US" w:eastAsia="zh-CN" w:bidi="ar-SA"/>
        </w:rPr>
        <w:t xml:space="preserve">本公司郑重声明，根据《政府采购促进中小企业发展管理办法》（财库〔2020）46号）的规定，本公司参加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（单位名称）的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（项目名称）的</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（标段名称）釆购活动，服务全部由符合政策要求的中小企业承接。相关企业的具体情况如下：</w:t>
      </w:r>
      <w:r>
        <w:rPr>
          <w:color w:val="000000"/>
          <w:sz w:val="21"/>
          <w:szCs w:val="21"/>
          <w:highlight w:val="none"/>
          <w:lang w:val="en-US" w:eastAsia="zh-CN" w:bidi="ar-SA"/>
        </w:rPr>
      </w:r>
      <w:r/>
    </w:p>
    <w:p>
      <w:pPr>
        <w:pStyle w:val="1106"/>
        <w:numPr>
          <w:ilvl w:val="0"/>
          <w:numId w:val="6"/>
        </w:numPr>
        <w:ind w:firstLine="420"/>
        <w:jc w:val="both"/>
        <w:spacing w:line="494" w:lineRule="exact"/>
        <w:tabs>
          <w:tab w:val="left" w:pos="1166" w:leader="none"/>
          <w:tab w:val="left" w:pos="6653" w:leader="none"/>
        </w:tabs>
        <w:rPr>
          <w:color w:val="000000"/>
          <w:sz w:val="21"/>
          <w:szCs w:val="21"/>
          <w:highlight w:val="none"/>
          <w:lang w:val="zh-CN" w:eastAsia="zh-CN" w:bidi="ar-SA"/>
        </w:rPr>
      </w:pPr>
      <w:r/>
      <w:bookmarkStart w:id="575" w:name="bookmark26"/>
      <w:r/>
      <w:bookmarkEnd w:id="575"/>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zh-CN" w:eastAsia="zh-CN" w:bidi="ar-SA"/>
        </w:rPr>
      </w:r>
      <w:r/>
    </w:p>
    <w:p>
      <w:pPr>
        <w:pStyle w:val="1106"/>
        <w:ind w:firstLine="420"/>
        <w:jc w:val="both"/>
        <w:spacing w:line="494" w:lineRule="exact"/>
        <w:tabs>
          <w:tab w:val="left" w:pos="1166" w:leader="none"/>
          <w:tab w:val="left" w:pos="6653" w:leader="none"/>
        </w:tabs>
        <w:rPr>
          <w:color w:val="000000"/>
          <w:sz w:val="21"/>
          <w:szCs w:val="21"/>
          <w:highlight w:val="none"/>
          <w:lang w:val="en-US" w:eastAsia="zh-CN" w:bidi="ar-SA"/>
        </w:rPr>
      </w:pPr>
      <w:r>
        <w:rPr>
          <w:rFonts w:hint="eastAsia"/>
          <w:color w:val="000000"/>
          <w:sz w:val="21"/>
          <w:szCs w:val="21"/>
          <w:highlight w:val="none"/>
          <w:lang w:val="en-US" w:eastAsia="zh-CN" w:bidi="ar-SA"/>
        </w:rPr>
        <w:t xml:space="preserve">2、</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en-US" w:eastAsia="zh-CN" w:bidi="ar-SA"/>
        </w:rPr>
      </w:r>
      <w:r/>
    </w:p>
    <w:p>
      <w:pPr>
        <w:pStyle w:val="1106"/>
        <w:ind w:firstLine="0"/>
        <w:jc w:val="both"/>
        <w:spacing w:line="494" w:lineRule="exact"/>
        <w:tabs>
          <w:tab w:val="left" w:pos="1166" w:leader="none"/>
          <w:tab w:val="left" w:pos="6653" w:leader="none"/>
        </w:tabs>
        <w:rPr>
          <w:color w:val="000000"/>
          <w:sz w:val="21"/>
          <w:szCs w:val="21"/>
          <w:highlight w:val="none"/>
          <w:lang w:val="en-US" w:eastAsia="zh-CN" w:bidi="ar-SA"/>
        </w:rPr>
      </w:pPr>
      <w:r>
        <w:rPr>
          <w:color w:val="000000"/>
          <w:sz w:val="21"/>
          <w:szCs w:val="21"/>
          <w:highlight w:val="none"/>
          <w:lang w:val="en-US" w:eastAsia="zh-CN" w:bidi="ar-SA"/>
        </w:rPr>
      </w:r>
      <w:r/>
    </w:p>
    <w:p>
      <w:pPr>
        <w:pStyle w:val="1106"/>
        <w:ind w:firstLine="640"/>
        <w:jc w:val="both"/>
        <w:spacing w:line="360" w:lineRule="auto"/>
        <w:rPr>
          <w:b/>
          <w:bCs/>
          <w:color w:val="000000"/>
          <w:sz w:val="21"/>
          <w:szCs w:val="21"/>
          <w:highlight w:val="none"/>
          <w:lang w:val="en-US" w:eastAsia="zh-CN" w:bidi="ar-SA"/>
        </w:rPr>
      </w:pPr>
      <w:r/>
      <w:bookmarkStart w:id="576" w:name="bookmark27"/>
      <w:r/>
      <w:bookmarkEnd w:id="576"/>
      <w:r>
        <w:rPr>
          <w:rFonts w:hint="eastAsia"/>
          <w:b/>
          <w:bCs/>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b/>
          <w:bCs/>
          <w:color w:val="000000"/>
          <w:sz w:val="21"/>
          <w:szCs w:val="21"/>
          <w:highlight w:val="none"/>
          <w:lang w:val="en-US" w:eastAsia="zh-CN" w:bidi="ar-SA"/>
        </w:rPr>
      </w:r>
      <w:r/>
    </w:p>
    <w:p>
      <w:pPr>
        <w:pStyle w:val="1106"/>
        <w:ind w:firstLine="640"/>
        <w:jc w:val="both"/>
        <w:spacing w:line="360" w:lineRule="auto"/>
        <w:rPr>
          <w:b/>
          <w:bCs/>
          <w:color w:val="000000"/>
          <w:sz w:val="21"/>
          <w:szCs w:val="21"/>
          <w:highlight w:val="none"/>
          <w:lang w:val="en-US" w:eastAsia="zh-CN" w:bidi="ar-SA"/>
        </w:rPr>
      </w:pPr>
      <w:r>
        <w:rPr>
          <w:rFonts w:hint="eastAsia"/>
          <w:b/>
          <w:bCs/>
          <w:color w:val="000000"/>
          <w:sz w:val="21"/>
          <w:szCs w:val="21"/>
          <w:highlight w:val="none"/>
          <w:lang w:val="en-US" w:eastAsia="zh-CN" w:bidi="ar-SA"/>
        </w:rPr>
        <w:t xml:space="preserve">本企业对上述声明内容的真实性负责。如有虚假，将依法承担相应责任。</w:t>
      </w:r>
      <w:r>
        <w:rPr>
          <w:b/>
          <w:bCs/>
          <w:color w:val="000000"/>
          <w:sz w:val="21"/>
          <w:szCs w:val="21"/>
          <w:highlight w:val="none"/>
          <w:lang w:val="en-US" w:eastAsia="zh-CN" w:bidi="ar-SA"/>
        </w:rPr>
      </w:r>
      <w:r/>
    </w:p>
    <w:p>
      <w:pPr>
        <w:pStyle w:val="771"/>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供应商名称：</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（盖章）</w:t>
      </w:r>
      <w:r>
        <w:rPr>
          <w:rFonts w:ascii="宋体" w:cs="宋体"/>
          <w:color w:val="000000"/>
          <w:szCs w:val="21"/>
          <w:highlight w:val="none"/>
          <w:lang w:val="zh-CN"/>
        </w:rPr>
      </w:r>
      <w:r/>
    </w:p>
    <w:p>
      <w:pPr>
        <w:pStyle w:val="771"/>
        <w:jc w:val="left"/>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    法定代表人或授权委托人签字：</w:t>
      </w:r>
      <w:r>
        <w:rPr>
          <w:rFonts w:hint="eastAsia" w:ascii="宋体" w:cs="宋体"/>
          <w:color w:val="000000"/>
          <w:szCs w:val="21"/>
          <w:highlight w:val="none"/>
          <w:u w:val="single"/>
        </w:rPr>
        <w:t xml:space="preserve">         </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                  </w:t>
      </w:r>
      <w:r>
        <w:rPr>
          <w:rFonts w:ascii="宋体" w:cs="宋体"/>
          <w:color w:val="000000"/>
          <w:szCs w:val="21"/>
          <w:highlight w:val="none"/>
          <w:lang w:val="zh-CN"/>
        </w:rPr>
      </w:r>
      <w:r/>
    </w:p>
    <w:p>
      <w:pPr>
        <w:pStyle w:val="771"/>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日    期：</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日</w:t>
      </w:r>
      <w:r>
        <w:rPr>
          <w:rFonts w:ascii="宋体" w:cs="宋体"/>
          <w:color w:val="000000"/>
          <w:szCs w:val="21"/>
          <w:highlight w:val="none"/>
          <w:lang w:val="zh-CN"/>
        </w:rPr>
      </w:r>
      <w:r/>
    </w:p>
    <w:p>
      <w:pPr>
        <w:pStyle w:val="850"/>
        <w:ind w:firstLine="300"/>
        <w:rPr>
          <w:color w:val="000000"/>
          <w:highlight w:val="none"/>
        </w:rPr>
      </w:pPr>
      <w:r>
        <w:rPr>
          <w:color w:val="000000"/>
          <w:highlight w:val="none"/>
        </w:rPr>
      </w:r>
      <w:r/>
    </w:p>
    <w:p>
      <w:pPr>
        <w:pStyle w:val="1058"/>
        <w:ind w:firstLine="420"/>
        <w:rPr>
          <w:color w:val="000000"/>
          <w:highlight w:val="none"/>
        </w:rPr>
      </w:pPr>
      <w:r>
        <w:rPr>
          <w:color w:val="000000"/>
          <w:highlight w:val="none"/>
        </w:rPr>
      </w:r>
      <w:r/>
    </w:p>
    <w:p>
      <w:pPr>
        <w:pStyle w:val="77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备注：1.从业人员、营业收入、资产总额填报上一年度数据，无上一年度数据的新成立企业可不填报。</w:t>
      </w:r>
      <w:r>
        <w:rPr>
          <w:rFonts w:ascii="宋体" w:hAnsi="宋体" w:cs="宋体"/>
          <w:b/>
          <w:bCs/>
          <w:color w:val="000000"/>
          <w:szCs w:val="21"/>
          <w:highlight w:val="none"/>
        </w:rPr>
      </w:r>
      <w:r/>
    </w:p>
    <w:p>
      <w:pPr>
        <w:pStyle w:val="771"/>
        <w:ind w:firstLine="63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2.在政府采购活动中，供应商提供的货物、工程或者服务符合下列情形的，享受本办法规定的中小企业扶持政策：</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（一）在服务采购项目中，服务由中小企业承接，即提供服务的人员为中小企业依照《中华人民共和国劳动合同法》 订立劳动合同的从业人员。</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在货物采购项目中，供应商提供的货物既有中小企业制造货物，也有大型企业制造货物的，不享受本办法规定的中小企业扶持政策。</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4.如未对（中型企业、小型企业、微型企业）进行勾选，视同非小微企业，不可享受相应扶持政策。</w:t>
      </w:r>
      <w:r>
        <w:rPr>
          <w:rFonts w:ascii="宋体" w:hAnsi="宋体" w:cs="宋体"/>
          <w:b/>
          <w:bCs/>
          <w:color w:val="000000"/>
          <w:szCs w:val="21"/>
          <w:highlight w:val="none"/>
        </w:rPr>
      </w:r>
      <w:r/>
    </w:p>
    <w:p>
      <w:pPr>
        <w:pStyle w:val="77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5.中标单位为中小企业的，《中小企业声明函》将随中标结果同时公告。</w:t>
      </w:r>
      <w:r>
        <w:rPr>
          <w:rFonts w:ascii="宋体" w:hAnsi="宋体" w:cs="宋体"/>
          <w:b/>
          <w:bCs/>
          <w:color w:val="000000"/>
          <w:szCs w:val="21"/>
          <w:highlight w:val="none"/>
        </w:rPr>
      </w:r>
      <w:r/>
    </w:p>
    <w:p>
      <w:pPr>
        <w:pStyle w:val="771"/>
        <w:spacing w:line="360" w:lineRule="auto"/>
        <w:rPr>
          <w:rFonts w:ascii="宋体" w:hAnsi="宋体" w:cs="宋体"/>
          <w:b/>
          <w:color w:val="000000"/>
          <w:highlight w:val="none"/>
        </w:rPr>
      </w:pPr>
      <w:r>
        <w:rPr>
          <w:rFonts w:ascii="宋体" w:hAnsi="宋体" w:cs="宋体"/>
          <w:b/>
          <w:color w:val="000000"/>
          <w:highlight w:val="none"/>
        </w:rPr>
      </w:r>
      <w:r/>
    </w:p>
    <w:p>
      <w:pPr>
        <w:pStyle w:val="771"/>
        <w:spacing w:line="360" w:lineRule="auto"/>
        <w:rPr>
          <w:rFonts w:ascii="宋体" w:hAnsi="宋体" w:cs="宋体"/>
          <w:b/>
          <w:color w:val="000000"/>
          <w:highlight w:val="none"/>
        </w:rPr>
      </w:pPr>
      <w:r/>
      <w:bookmarkStart w:id="577" w:name="_Toc29858"/>
      <w:r>
        <w:rPr>
          <w:rFonts w:hint="eastAsia" w:ascii="宋体" w:hAnsi="宋体" w:cs="宋体"/>
          <w:b/>
          <w:color w:val="000000"/>
          <w:highlight w:val="none"/>
        </w:rPr>
        <w:t xml:space="preserve">附：中小企业划型标准规定</w:t>
      </w:r>
      <w:bookmarkEnd w:id="577"/>
      <w:r>
        <w:rPr>
          <w:rFonts w:ascii="宋体" w:hAnsi="宋体" w:cs="宋体"/>
          <w:b/>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highlight w:val="none"/>
        </w:rPr>
      </w:r>
      <w:r/>
    </w:p>
    <w:p>
      <w:pPr>
        <w:pStyle w:val="77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774"/>
        <w:jc w:val="center"/>
        <w:spacing w:before="0" w:after="200" w:line="240" w:lineRule="auto"/>
        <w:rPr>
          <w:bCs/>
          <w:color w:val="000000"/>
          <w:highlight w:val="none"/>
        </w:rPr>
      </w:pPr>
      <w:r>
        <w:rPr>
          <w:rFonts w:hint="eastAsia" w:ascii="宋体" w:hAnsi="宋体"/>
          <w:color w:val="000000"/>
          <w:highlight w:val="none"/>
        </w:rPr>
        <w:br w:type="page" w:clear="all"/>
      </w:r>
      <w:r>
        <w:rPr>
          <w:rFonts w:hint="eastAsia"/>
          <w:color w:val="000000"/>
          <w:highlight w:val="none"/>
        </w:rPr>
        <w:t xml:space="preserve">质疑函范本</w:t>
      </w:r>
      <w:bookmarkEnd w:id="571"/>
      <w:r/>
      <w:bookmarkEnd w:id="572"/>
      <w:r/>
      <w:bookmarkEnd w:id="573"/>
      <w:r/>
      <w:bookmarkEnd w:id="574"/>
      <w:r>
        <w:rPr>
          <w:bCs/>
          <w:color w:val="000000"/>
          <w:highlight w:val="none"/>
        </w:rPr>
      </w:r>
      <w:r/>
    </w:p>
    <w:p>
      <w:pPr>
        <w:pStyle w:val="77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一、质疑供应商基本信息</w:t>
      </w:r>
      <w:r>
        <w:rPr>
          <w:rFonts w:ascii="宋体" w:hAnsi="宋体" w:cs="仿宋"/>
          <w:b/>
          <w:bCs/>
          <w:color w:val="000000"/>
          <w:sz w:val="24"/>
          <w:highlight w:val="non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二、质疑项目基本情况</w:t>
      </w:r>
      <w:r>
        <w:rPr>
          <w:rFonts w:ascii="宋体" w:hAnsi="宋体" w:cs="仿宋"/>
          <w:b/>
          <w:bCs/>
          <w:color w:val="000000"/>
          <w:sz w:val="24"/>
          <w:highlight w:val="non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三、质疑事项具体内容</w:t>
      </w:r>
      <w:r>
        <w:rPr>
          <w:rFonts w:ascii="宋体" w:hAnsi="宋体" w:cs="仿宋"/>
          <w:b/>
          <w:bCs/>
          <w:color w:val="000000"/>
          <w:sz w:val="24"/>
          <w:highlight w:val="non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77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四、与质疑事项相关的质疑请求</w:t>
      </w:r>
      <w:r>
        <w:rPr>
          <w:rFonts w:ascii="宋体" w:hAnsi="宋体" w:cs="仿宋"/>
          <w:b/>
          <w:bCs/>
          <w:color w:val="000000"/>
          <w:sz w:val="24"/>
          <w:highlight w:val="none"/>
        </w:rPr>
      </w:r>
      <w:r/>
    </w:p>
    <w:p>
      <w:pPr>
        <w:pStyle w:val="771"/>
        <w:spacing w:line="4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71"/>
        <w:spacing w:line="400" w:lineRule="exact"/>
        <w:rPr>
          <w:rFonts w:ascii="宋体" w:hAnsi="宋体"/>
          <w:color w:val="000000"/>
          <w:sz w:val="24"/>
          <w:highlight w:val="none"/>
        </w:rPr>
      </w:pPr>
      <w:r>
        <w:rPr>
          <w:rFonts w:ascii="宋体" w:hAnsi="宋体"/>
          <w:color w:val="000000"/>
          <w:sz w:val="24"/>
          <w:highlight w:val="none"/>
        </w:rPr>
      </w:r>
      <w:r/>
    </w:p>
    <w:p>
      <w:pPr>
        <w:pStyle w:val="771"/>
        <w:spacing w:line="400" w:lineRule="exact"/>
        <w:rPr>
          <w:rFonts w:ascii="宋体" w:hAnsi="宋体"/>
          <w:color w:val="000000"/>
          <w:sz w:val="24"/>
          <w:highlight w:val="none"/>
        </w:rPr>
      </w:pPr>
      <w:r>
        <w:rPr>
          <w:rFonts w:hint="eastAsia" w:ascii="宋体" w:hAnsi="宋体"/>
          <w:color w:val="000000"/>
          <w:sz w:val="24"/>
          <w:highlight w:val="none"/>
        </w:rPr>
        <w:t xml:space="preserve">单位公章： </w:t>
      </w:r>
      <w:r>
        <w:rPr>
          <w:rFonts w:ascii="宋体" w:hAnsi="宋体"/>
          <w:color w:val="000000"/>
          <w:sz w:val="24"/>
          <w:highlight w:val="none"/>
        </w:rPr>
        <w:t xml:space="preserve">                    </w:t>
      </w:r>
      <w:r>
        <w:rPr>
          <w:rFonts w:hint="eastAsia" w:ascii="宋体" w:hAnsi="宋体"/>
          <w:color w:val="000000"/>
          <w:sz w:val="24"/>
          <w:highlight w:val="none"/>
        </w:rPr>
        <w:t xml:space="preserve">签字(签章)：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r>
        <w:rPr>
          <w:rFonts w:ascii="宋体" w:hAnsi="宋体"/>
          <w:color w:val="000000"/>
          <w:sz w:val="24"/>
          <w:highlight w:val="none"/>
        </w:rPr>
      </w:r>
      <w:r/>
    </w:p>
    <w:p>
      <w:pPr>
        <w:pStyle w:val="771"/>
        <w:spacing w:line="400" w:lineRule="exact"/>
        <w:rPr>
          <w:rFonts w:ascii="宋体" w:hAnsi="宋体"/>
          <w:color w:val="000000"/>
          <w:sz w:val="24"/>
          <w:highlight w:val="none"/>
        </w:rPr>
      </w:pPr>
      <w:r>
        <w:rPr>
          <w:rFonts w:ascii="宋体" w:hAnsi="宋体"/>
          <w:color w:val="000000"/>
          <w:sz w:val="24"/>
          <w:highlight w:val="none"/>
        </w:rPr>
      </w:r>
      <w:r/>
    </w:p>
    <w:p>
      <w:pPr>
        <w:pStyle w:val="771"/>
        <w:jc w:val="left"/>
        <w:spacing w:line="320" w:lineRule="exact"/>
        <w:rPr>
          <w:rFonts w:ascii="宋体" w:hAnsi="宋体"/>
          <w:b/>
          <w:color w:val="000000"/>
          <w:highlight w:val="none"/>
        </w:rPr>
      </w:pPr>
      <w:r>
        <w:rPr>
          <w:rFonts w:hint="eastAsia" w:ascii="宋体" w:hAnsi="宋体"/>
          <w:b/>
          <w:color w:val="000000"/>
          <w:highlight w:val="none"/>
        </w:rPr>
        <w:t xml:space="preserve">质疑函制作说明：</w:t>
      </w:r>
      <w:r>
        <w:rPr>
          <w:rFonts w:ascii="宋体" w:hAnsi="宋体"/>
          <w:b/>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1.供应商提出质疑时，应提交质疑函和必要的证明材料。</w:t>
      </w:r>
      <w:r>
        <w:rPr>
          <w:rFonts w:ascii="宋体" w:hAnsi="宋体"/>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2.质疑供应商若委托代理人进行质疑的，质疑函应按要求列明“授权代表”的有关内容，并在附件中提交由质疑</w:t>
      </w:r>
      <w:r>
        <w:rPr>
          <w:rFonts w:hint="eastAsia" w:ascii="宋体" w:hAnsi="宋体" w:cs="宋体"/>
          <w:color w:val="000000"/>
          <w:highlight w:val="none"/>
        </w:rPr>
        <w:t xml:space="preserve">供应商签署的授权委托书。授权委托书应载明代理人的姓名或者名称、代理事项、具体权限、期限和相关事项。</w:t>
      </w:r>
      <w:r>
        <w:rPr>
          <w:rFonts w:ascii="宋体" w:hAnsi="宋体"/>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3.质疑供应商若对项目的某一分包进行质疑，质疑函中应列明具体分包号。</w:t>
      </w:r>
      <w:r>
        <w:rPr>
          <w:rFonts w:ascii="宋体" w:hAnsi="宋体"/>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4.质疑函的质疑事项应具体、明确，并有必要的事实依据和法律依据。</w:t>
      </w:r>
      <w:r>
        <w:rPr>
          <w:rFonts w:ascii="宋体" w:hAnsi="宋体"/>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5.质疑函的质疑请求应与质疑事项相关。</w:t>
      </w:r>
      <w:r>
        <w:rPr>
          <w:rFonts w:ascii="宋体" w:hAnsi="宋体"/>
          <w:color w:val="000000"/>
          <w:highlight w:val="none"/>
        </w:rPr>
      </w:r>
      <w:r/>
    </w:p>
    <w:p>
      <w:pPr>
        <w:pStyle w:val="771"/>
        <w:spacing w:line="320" w:lineRule="exact"/>
        <w:widowControl/>
        <w:rPr>
          <w:rFonts w:ascii="宋体" w:hAnsi="宋体"/>
          <w:color w:val="000000"/>
          <w:highlight w:val="none"/>
        </w:rPr>
      </w:pPr>
      <w:r>
        <w:rPr>
          <w:rFonts w:hint="eastAsia" w:ascii="宋体" w:hAnsi="宋体"/>
          <w:color w:val="000000"/>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highlight w:val="none"/>
        </w:rPr>
      </w:r>
      <w:r/>
    </w:p>
    <w:p>
      <w:pPr>
        <w:pStyle w:val="771"/>
        <w:spacing w:line="320" w:lineRule="exact"/>
        <w:widowControl/>
        <w:rPr>
          <w:rFonts w:hint="eastAsia" w:ascii="宋体" w:hAnsi="宋体"/>
          <w:color w:val="000000"/>
          <w:highlight w:val="none"/>
        </w:rPr>
      </w:pPr>
      <w:r>
        <w:rPr>
          <w:rFonts w:hint="eastAsia" w:ascii="宋体" w:hAnsi="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71"/>
                          </w:pPr>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71"/>
                    </w:pPr>
                    <w:r/>
                    <w:r/>
                  </w:p>
                  <w:p>
                    <w:pPr>
                      <w:pStyle w:val="7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71"/>
        <w:ind w:left="0" w:firstLine="0"/>
      </w:pPr>
      <w:rPr>
        <w:rFonts w:hint="eastAsia"/>
      </w:rPr>
    </w:lvl>
    <w:lvl w:ilvl="1">
      <w:start w:val="1"/>
      <w:numFmt w:val="decimal"/>
      <w:isLgl w:val="false"/>
      <w:suff w:val="nothing"/>
      <w:lvlText w:val="%2、"/>
      <w:lvlJc w:val="left"/>
      <w:pPr>
        <w:pStyle w:val="771"/>
        <w:ind w:left="0" w:firstLine="0"/>
      </w:pPr>
      <w:rPr>
        <w:rFonts w:hint="eastAsia"/>
      </w:rPr>
    </w:lvl>
    <w:lvl w:ilvl="2">
      <w:start w:val="1"/>
      <w:numFmt w:val="decimal"/>
      <w:isLgl w:val="false"/>
      <w:suff w:val="nothing"/>
      <w:lvlText w:val="%2.%3 "/>
      <w:lvlJc w:val="left"/>
      <w:pPr>
        <w:pStyle w:val="771"/>
        <w:ind w:left="0" w:firstLine="0"/>
      </w:pPr>
      <w:rPr>
        <w:rFonts w:hint="eastAsia"/>
      </w:rPr>
    </w:lvl>
    <w:lvl w:ilvl="3">
      <w:start w:val="1"/>
      <w:numFmt w:val="decimal"/>
      <w:isLgl w:val="false"/>
      <w:suff w:val="nothing"/>
      <w:lvlText w:val="%2.%3.%4 "/>
      <w:lvlJc w:val="left"/>
      <w:pPr>
        <w:pStyle w:val="771"/>
        <w:ind w:left="0" w:firstLine="0"/>
      </w:pPr>
      <w:rPr>
        <w:rFonts w:hint="eastAsia"/>
      </w:rPr>
    </w:lvl>
    <w:lvl w:ilvl="4">
      <w:start w:val="1"/>
      <w:numFmt w:val="decimal"/>
      <w:isLgl w:val="false"/>
      <w:suff w:val="nothing"/>
      <w:lvlText w:val="%2.%3.%4.%5 "/>
      <w:lvlJc w:val="left"/>
      <w:pPr>
        <w:pStyle w:val="771"/>
        <w:ind w:left="0" w:firstLine="0"/>
      </w:pPr>
      <w:rPr>
        <w:rFonts w:hint="eastAsia"/>
      </w:rPr>
    </w:lvl>
    <w:lvl w:ilvl="5">
      <w:start w:val="1"/>
      <w:numFmt w:val="decimal"/>
      <w:pStyle w:val="777"/>
      <w:isLgl w:val="false"/>
      <w:suff w:val="nothing"/>
      <w:lvlText w:val=""/>
      <w:lvlJc w:val="left"/>
      <w:pPr>
        <w:pStyle w:val="771"/>
        <w:ind w:left="0" w:firstLine="0"/>
      </w:pPr>
      <w:rPr>
        <w:rFonts w:hint="eastAsia"/>
      </w:rPr>
    </w:lvl>
    <w:lvl w:ilvl="6">
      <w:start w:val="1"/>
      <w:numFmt w:val="decimal"/>
      <w:pStyle w:val="778"/>
      <w:isLgl w:val="false"/>
      <w:suff w:val="nothing"/>
      <w:lvlText w:val=""/>
      <w:lvlJc w:val="left"/>
      <w:pPr>
        <w:pStyle w:val="771"/>
        <w:ind w:left="0" w:firstLine="0"/>
      </w:pPr>
      <w:rPr>
        <w:rFonts w:hint="eastAsia"/>
      </w:rPr>
    </w:lvl>
    <w:lvl w:ilvl="7">
      <w:start w:val="1"/>
      <w:numFmt w:val="decimal"/>
      <w:pStyle w:val="779"/>
      <w:isLgl w:val="false"/>
      <w:suff w:val="nothing"/>
      <w:lvlText w:val=""/>
      <w:lvlJc w:val="left"/>
      <w:pPr>
        <w:pStyle w:val="771"/>
        <w:ind w:left="0" w:firstLine="0"/>
      </w:pPr>
      <w:rPr>
        <w:rFonts w:hint="eastAsia"/>
      </w:rPr>
    </w:lvl>
    <w:lvl w:ilvl="8">
      <w:start w:val="1"/>
      <w:numFmt w:val="decimal"/>
      <w:pStyle w:val="780"/>
      <w:isLgl w:val="false"/>
      <w:suff w:val="nothing"/>
      <w:lvlText w:val=""/>
      <w:lvlJc w:val="left"/>
      <w:pPr>
        <w:pStyle w:val="771"/>
        <w:ind w:left="0" w:firstLine="0"/>
      </w:pPr>
      <w:rPr>
        <w:rFonts w:hint="eastAsia"/>
      </w:rPr>
    </w:lvl>
  </w:abstractNum>
  <w:abstractNum w:abstractNumId="2">
    <w:multiLevelType w:val="hybridMultilevel"/>
    <w:lvl w:ilvl="0">
      <w:start w:val="1"/>
      <w:numFmt w:val="upperLetter"/>
      <w:pStyle w:val="1083"/>
      <w:isLgl w:val="false"/>
      <w:suff w:val="tab"/>
      <w:lvlText w:val="附录%1."/>
      <w:lvlJc w:val="left"/>
      <w:pPr>
        <w:pStyle w:val="771"/>
        <w:ind w:left="907" w:hanging="907"/>
        <w:tabs>
          <w:tab w:val="num" w:pos="907" w:leader="none"/>
        </w:tabs>
      </w:pPr>
      <w:rPr>
        <w:rFonts w:hint="eastAsia"/>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3">
    <w:multiLevelType w:val="hybridMultilevel"/>
    <w:lvl w:ilvl="0">
      <w:start w:val="1"/>
      <w:numFmt w:val="japaneseCounting"/>
      <w:pStyle w:val="1082"/>
      <w:isLgl w:val="false"/>
      <w:suff w:val="tab"/>
      <w:lvlText w:val="第%1章"/>
      <w:lvlJc w:val="left"/>
      <w:pPr>
        <w:pStyle w:val="771"/>
        <w:ind w:left="9351" w:hanging="420"/>
      </w:pPr>
      <w:rPr>
        <w:rFonts w:hint="eastAsia" w:ascii="黑体" w:eastAsia="黑体"/>
        <w:b w:val="0"/>
        <w:sz w:val="36"/>
        <w:lang w:val="en-US"/>
      </w:rPr>
    </w:lvl>
    <w:lvl w:ilvl="1">
      <w:start w:val="1"/>
      <w:numFmt w:val="decimal"/>
      <w:pStyle w:val="1080"/>
      <w:isLgl w:val="false"/>
      <w:suff w:val="tab"/>
      <w:lvlText w:val="%1.%2"/>
      <w:lvlJc w:val="left"/>
      <w:pPr>
        <w:pStyle w:val="77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4"/>
      <w:isLgl w:val="false"/>
      <w:suff w:val="tab"/>
      <w:lvlText w:val="%1.%2.%3"/>
      <w:lvlJc w:val="left"/>
      <w:pPr>
        <w:pStyle w:val="77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2"/>
      <w:isLgl w:val="false"/>
      <w:suff w:val="tab"/>
      <w:lvlText w:val="%1.%2.%3.%4"/>
      <w:lvlJc w:val="left"/>
      <w:pPr>
        <w:pStyle w:val="771"/>
        <w:ind w:left="0" w:firstLine="0"/>
        <w:tabs>
          <w:tab w:val="num" w:pos="1134" w:leader="none"/>
        </w:tabs>
      </w:pPr>
      <w:rPr>
        <w:rFonts w:hint="eastAsia"/>
      </w:rPr>
    </w:lvl>
    <w:lvl w:ilvl="4">
      <w:start w:val="1"/>
      <w:numFmt w:val="decimal"/>
      <w:isLgl w:val="false"/>
      <w:suff w:val="tab"/>
      <w:lvlText w:val="%1.%2.%3.%4.%5"/>
      <w:lvlJc w:val="left"/>
      <w:pPr>
        <w:pStyle w:val="771"/>
        <w:ind w:left="4620" w:hanging="850"/>
        <w:tabs>
          <w:tab w:val="num" w:pos="4850" w:leader="none"/>
        </w:tabs>
      </w:pPr>
      <w:rPr>
        <w:rFonts w:hint="eastAsia"/>
      </w:rPr>
    </w:lvl>
    <w:lvl w:ilvl="5">
      <w:start w:val="1"/>
      <w:numFmt w:val="decimal"/>
      <w:isLgl w:val="false"/>
      <w:suff w:val="tab"/>
      <w:lvlText w:val="%1.%2.%3.%4.%5.%6"/>
      <w:lvlJc w:val="left"/>
      <w:pPr>
        <w:pStyle w:val="771"/>
        <w:ind w:left="5329" w:hanging="1134"/>
        <w:tabs>
          <w:tab w:val="num" w:pos="5635" w:leader="none"/>
        </w:tabs>
      </w:pPr>
      <w:rPr>
        <w:rFonts w:hint="eastAsia"/>
      </w:rPr>
    </w:lvl>
    <w:lvl w:ilvl="6">
      <w:start w:val="1"/>
      <w:numFmt w:val="decimal"/>
      <w:isLgl w:val="false"/>
      <w:suff w:val="tab"/>
      <w:lvlText w:val="%1.%2.%3.%4.%5.%6.%7"/>
      <w:lvlJc w:val="left"/>
      <w:pPr>
        <w:pStyle w:val="771"/>
        <w:ind w:left="5896" w:hanging="1276"/>
        <w:tabs>
          <w:tab w:val="num" w:pos="6420" w:leader="none"/>
        </w:tabs>
      </w:pPr>
      <w:rPr>
        <w:rFonts w:hint="eastAsia"/>
      </w:rPr>
    </w:lvl>
    <w:lvl w:ilvl="7">
      <w:start w:val="1"/>
      <w:numFmt w:val="decimal"/>
      <w:isLgl w:val="false"/>
      <w:suff w:val="tab"/>
      <w:lvlText w:val="%1.%2.%3.%4.%5.%6.%7.%8"/>
      <w:lvlJc w:val="left"/>
      <w:pPr>
        <w:pStyle w:val="771"/>
        <w:ind w:left="6463" w:hanging="1418"/>
        <w:tabs>
          <w:tab w:val="num" w:pos="6845" w:leader="none"/>
        </w:tabs>
      </w:pPr>
      <w:rPr>
        <w:rFonts w:hint="eastAsia"/>
      </w:rPr>
    </w:lvl>
    <w:lvl w:ilvl="8">
      <w:start w:val="1"/>
      <w:numFmt w:val="decimal"/>
      <w:isLgl w:val="false"/>
      <w:suff w:val="tab"/>
      <w:lvlText w:val="%1.%2.%3.%4.%5.%6.%7.%8.%9"/>
      <w:lvlJc w:val="left"/>
      <w:pPr>
        <w:pStyle w:val="771"/>
        <w:ind w:left="7171" w:hanging="1700"/>
        <w:tabs>
          <w:tab w:val="num" w:pos="7631" w:leader="none"/>
        </w:tabs>
      </w:pPr>
      <w:rPr>
        <w:rFonts w:hint="eastAsia"/>
      </w:rPr>
    </w:lvl>
  </w:abstractNum>
  <w:abstractNum w:abstractNumId="4">
    <w:multiLevelType w:val="hybridMultilevel"/>
    <w:lvl w:ilvl="0">
      <w:start w:val="1"/>
      <w:numFmt w:val="decimal"/>
      <w:isLgl w:val="false"/>
      <w:suff w:val="space"/>
      <w:lvlText w:val="%1、"/>
      <w:lvlJc w:val="left"/>
      <w:pPr>
        <w:pStyle w:val="771"/>
        <w:ind w:left="0" w:firstLine="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5">
    <w:multiLevelType w:val="hybridMultilevel"/>
    <w:lvl w:ilvl="0">
      <w:start w:val="1"/>
      <w:numFmt w:val="decimal"/>
      <w:pStyle w:val="1076"/>
      <w:isLgl w:val="false"/>
      <w:suff w:val="tab"/>
      <w:lvlText w:val="%1."/>
      <w:lvlJc w:val="left"/>
      <w:pPr>
        <w:pStyle w:val="771"/>
        <w:ind w:left="709" w:hanging="709"/>
        <w:tabs>
          <w:tab w:val="num" w:pos="709" w:leader="none"/>
        </w:tabs>
      </w:pPr>
      <w:rPr>
        <w:rFonts w:hint="eastAsia"/>
      </w:rPr>
    </w:lvl>
    <w:lvl w:ilvl="1">
      <w:start w:val="1"/>
      <w:numFmt w:val="decimal"/>
      <w:isLgl w:val="false"/>
      <w:suff w:val="tab"/>
      <w:lvlText w:val="%1.%2"/>
      <w:lvlJc w:val="left"/>
      <w:pPr>
        <w:pStyle w:val="771"/>
        <w:ind w:left="709" w:hanging="709"/>
        <w:tabs>
          <w:tab w:val="num" w:pos="709" w:leader="none"/>
        </w:tabs>
      </w:pPr>
      <w:rPr>
        <w:rFonts w:hint="eastAsia"/>
      </w:rPr>
    </w:lvl>
    <w:lvl w:ilvl="2">
      <w:start w:val="1"/>
      <w:numFmt w:val="decimal"/>
      <w:isLgl w:val="false"/>
      <w:suff w:val="tab"/>
      <w:lvlText w:val="%1.%2.%3."/>
      <w:lvlJc w:val="left"/>
      <w:pPr>
        <w:pStyle w:val="771"/>
        <w:ind w:left="425" w:hanging="425"/>
        <w:tabs>
          <w:tab w:val="num" w:pos="425" w:leader="none"/>
        </w:tabs>
      </w:pPr>
      <w:rPr>
        <w:rFonts w:hint="eastAsia"/>
      </w:rPr>
    </w:lvl>
    <w:lvl w:ilvl="3">
      <w:start w:val="1"/>
      <w:numFmt w:val="decimal"/>
      <w:isLgl w:val="false"/>
      <w:suff w:val="tab"/>
      <w:lvlText w:val="%1.%2.%3.%4."/>
      <w:lvlJc w:val="left"/>
      <w:pPr>
        <w:pStyle w:val="771"/>
        <w:ind w:left="851" w:hanging="851"/>
        <w:tabs>
          <w:tab w:val="num" w:pos="851" w:leader="none"/>
        </w:tabs>
      </w:pPr>
      <w:rPr>
        <w:rFonts w:hint="eastAsia"/>
      </w:rPr>
    </w:lvl>
    <w:lvl w:ilvl="4">
      <w:start w:val="1"/>
      <w:numFmt w:val="decimal"/>
      <w:isLgl w:val="false"/>
      <w:suff w:val="tab"/>
      <w:lvlText w:val="%1.%2.%3.%4.%5."/>
      <w:lvlJc w:val="left"/>
      <w:pPr>
        <w:pStyle w:val="771"/>
        <w:ind w:left="992" w:hanging="992"/>
        <w:tabs>
          <w:tab w:val="num" w:pos="992" w:leader="none"/>
        </w:tabs>
      </w:pPr>
      <w:rPr>
        <w:rFonts w:hint="eastAsia"/>
      </w:rPr>
    </w:lvl>
    <w:lvl w:ilvl="5">
      <w:start w:val="1"/>
      <w:numFmt w:val="decimal"/>
      <w:isLgl w:val="false"/>
      <w:suff w:val="tab"/>
      <w:lvlText w:val="%1.%2.%3.%4.%5.%6."/>
      <w:lvlJc w:val="left"/>
      <w:pPr>
        <w:pStyle w:val="771"/>
        <w:ind w:left="1134" w:hanging="1134"/>
        <w:tabs>
          <w:tab w:val="num" w:pos="1134" w:leader="none"/>
        </w:tabs>
      </w:pPr>
      <w:rPr>
        <w:rFonts w:hint="eastAsia"/>
      </w:rPr>
    </w:lvl>
    <w:lvl w:ilvl="6">
      <w:start w:val="1"/>
      <w:numFmt w:val="decimal"/>
      <w:isLgl w:val="false"/>
      <w:suff w:val="tab"/>
      <w:lvlText w:val="%1.%2.%3.%4.%5.%6.%7."/>
      <w:lvlJc w:val="left"/>
      <w:pPr>
        <w:pStyle w:val="771"/>
        <w:ind w:left="1276" w:hanging="1276"/>
        <w:tabs>
          <w:tab w:val="num" w:pos="1276" w:leader="none"/>
        </w:tabs>
      </w:pPr>
      <w:rPr>
        <w:rFonts w:hint="eastAsia"/>
      </w:rPr>
    </w:lvl>
    <w:lvl w:ilvl="7">
      <w:start w:val="1"/>
      <w:numFmt w:val="decimal"/>
      <w:isLgl w:val="false"/>
      <w:suff w:val="tab"/>
      <w:lvlText w:val="%1.%2.%3.%4.%5.%6.%7.%8."/>
      <w:lvlJc w:val="left"/>
      <w:pPr>
        <w:pStyle w:val="771"/>
        <w:ind w:left="1418" w:hanging="1418"/>
        <w:tabs>
          <w:tab w:val="num" w:pos="1418" w:leader="none"/>
        </w:tabs>
      </w:pPr>
      <w:rPr>
        <w:rFonts w:hint="eastAsia"/>
      </w:rPr>
    </w:lvl>
    <w:lvl w:ilvl="8">
      <w:start w:val="1"/>
      <w:numFmt w:val="decimal"/>
      <w:isLgl w:val="false"/>
      <w:suff w:val="tab"/>
      <w:lvlText w:val="%1.%2.%3.%4.%5.%6.%7.%8.%9."/>
      <w:lvlJc w:val="left"/>
      <w:pPr>
        <w:pStyle w:val="771"/>
        <w:ind w:left="1559" w:hanging="1559"/>
        <w:tabs>
          <w:tab w:val="num" w:pos="1559" w:leader="none"/>
        </w:tabs>
      </w:pPr>
      <w:rPr>
        <w:rFonts w:hint="eastAsia"/>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771"/>
    <w:next w:val="771"/>
    <w:link w:val="863"/>
    <w:uiPriority w:val="9"/>
    <w:qFormat/>
    <w:pPr>
      <w:keepLines/>
      <w:keepNext/>
      <w:spacing w:before="480" w:after="200"/>
      <w:outlineLvl w:val="0"/>
    </w:pPr>
    <w:rPr>
      <w:rFonts w:ascii="Arial" w:hAnsi="Arial" w:eastAsia="Arial" w:cs="Arial"/>
      <w:sz w:val="40"/>
      <w:szCs w:val="40"/>
    </w:rPr>
  </w:style>
  <w:style w:type="paragraph" w:styleId="731">
    <w:name w:val="Heading 2"/>
    <w:basedOn w:val="771"/>
    <w:next w:val="771"/>
    <w:link w:val="864"/>
    <w:uiPriority w:val="9"/>
    <w:unhideWhenUsed/>
    <w:qFormat/>
    <w:pPr>
      <w:keepLines/>
      <w:keepNext/>
      <w:spacing w:before="360" w:after="200"/>
      <w:outlineLvl w:val="1"/>
    </w:pPr>
    <w:rPr>
      <w:rFonts w:ascii="Arial" w:hAnsi="Arial" w:eastAsia="Arial" w:cs="Arial"/>
      <w:sz w:val="34"/>
    </w:rPr>
  </w:style>
  <w:style w:type="paragraph" w:styleId="732">
    <w:name w:val="Heading 3"/>
    <w:basedOn w:val="771"/>
    <w:next w:val="771"/>
    <w:link w:val="86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71"/>
    <w:next w:val="771"/>
    <w:link w:val="86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71"/>
    <w:next w:val="771"/>
    <w:link w:val="867"/>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71"/>
    <w:next w:val="771"/>
    <w:link w:val="86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71"/>
    <w:next w:val="771"/>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71"/>
    <w:next w:val="771"/>
    <w:link w:val="87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71"/>
    <w:next w:val="771"/>
    <w:link w:val="871"/>
    <w:uiPriority w:val="9"/>
    <w:unhideWhenUsed/>
    <w:qFormat/>
    <w:pPr>
      <w:keepLines/>
      <w:keepNext/>
      <w:spacing w:before="320" w:after="200"/>
      <w:outlineLvl w:val="8"/>
    </w:pPr>
    <w:rPr>
      <w:rFonts w:ascii="Arial" w:hAnsi="Arial" w:eastAsia="Arial" w:cs="Arial"/>
      <w:i/>
      <w:iCs/>
      <w:sz w:val="21"/>
      <w:szCs w:val="21"/>
    </w:rPr>
  </w:style>
  <w:style w:type="paragraph" w:styleId="739">
    <w:name w:val="List Paragraph"/>
    <w:basedOn w:val="771"/>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771"/>
    <w:next w:val="771"/>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771"/>
    <w:next w:val="771"/>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771"/>
    <w:next w:val="771"/>
    <w:link w:val="746"/>
    <w:uiPriority w:val="29"/>
    <w:qFormat/>
    <w:pPr>
      <w:ind w:left="720" w:right="720"/>
    </w:pPr>
    <w:rPr>
      <w:i/>
    </w:rPr>
  </w:style>
  <w:style w:type="character" w:styleId="746">
    <w:name w:val="Quote Char"/>
    <w:link w:val="745"/>
    <w:uiPriority w:val="29"/>
    <w:rPr>
      <w:i/>
    </w:rPr>
  </w:style>
  <w:style w:type="paragraph" w:styleId="747">
    <w:name w:val="Intense Quote"/>
    <w:basedOn w:val="771"/>
    <w:next w:val="771"/>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771"/>
    <w:link w:val="878"/>
    <w:uiPriority w:val="99"/>
    <w:unhideWhenUsed/>
    <w:pPr>
      <w:spacing w:after="0" w:line="240" w:lineRule="auto"/>
      <w:tabs>
        <w:tab w:val="center" w:pos="7143" w:leader="none"/>
        <w:tab w:val="right" w:pos="14287" w:leader="none"/>
      </w:tabs>
    </w:pPr>
  </w:style>
  <w:style w:type="paragraph" w:styleId="750">
    <w:name w:val="Footer"/>
    <w:basedOn w:val="771"/>
    <w:link w:val="880"/>
    <w:uiPriority w:val="99"/>
    <w:unhideWhenUsed/>
    <w:pPr>
      <w:spacing w:after="0" w:line="240" w:lineRule="auto"/>
      <w:tabs>
        <w:tab w:val="center" w:pos="7143" w:leader="none"/>
        <w:tab w:val="right" w:pos="14287" w:leader="none"/>
      </w:tabs>
    </w:pPr>
  </w:style>
  <w:style w:type="paragraph" w:styleId="751">
    <w:name w:val="Caption"/>
    <w:basedOn w:val="771"/>
    <w:next w:val="771"/>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Hyperlink"/>
    <w:uiPriority w:val="99"/>
    <w:unhideWhenUsed/>
    <w:rPr>
      <w:color w:val="0000ff" w:themeColor="hyperlink"/>
      <w:u w:val="single"/>
    </w:rPr>
  </w:style>
  <w:style w:type="paragraph" w:styleId="754">
    <w:name w:val="footnote text"/>
    <w:basedOn w:val="771"/>
    <w:link w:val="755"/>
    <w:uiPriority w:val="99"/>
    <w:semiHidden/>
    <w:unhideWhenUsed/>
    <w:pPr>
      <w:spacing w:after="40" w:line="240" w:lineRule="auto"/>
    </w:pPr>
    <w:rPr>
      <w:sz w:val="18"/>
    </w:rPr>
  </w:style>
  <w:style w:type="character" w:styleId="755">
    <w:name w:val="Footnote Text Char"/>
    <w:link w:val="754"/>
    <w:uiPriority w:val="99"/>
    <w:rPr>
      <w:sz w:val="18"/>
    </w:rPr>
  </w:style>
  <w:style w:type="character" w:styleId="756">
    <w:name w:val="footnote reference"/>
    <w:uiPriority w:val="99"/>
    <w:unhideWhenUsed/>
    <w:rPr>
      <w:vertAlign w:val="superscript"/>
    </w:rPr>
  </w:style>
  <w:style w:type="paragraph" w:styleId="757">
    <w:name w:val="endnote text"/>
    <w:basedOn w:val="771"/>
    <w:link w:val="758"/>
    <w:uiPriority w:val="99"/>
    <w:semiHidden/>
    <w:unhideWhenUsed/>
    <w:pPr>
      <w:spacing w:after="0" w:line="240" w:lineRule="auto"/>
    </w:pPr>
    <w:rPr>
      <w:sz w:val="20"/>
    </w:rPr>
  </w:style>
  <w:style w:type="character" w:styleId="758">
    <w:name w:val="Endnote Text Char"/>
    <w:link w:val="757"/>
    <w:uiPriority w:val="99"/>
    <w:rPr>
      <w:sz w:val="20"/>
    </w:rPr>
  </w:style>
  <w:style w:type="character" w:styleId="759">
    <w:name w:val="endnote reference"/>
    <w:uiPriority w:val="99"/>
    <w:semiHidden/>
    <w:unhideWhenUsed/>
    <w:rPr>
      <w:vertAlign w:val="superscript"/>
    </w:rPr>
  </w:style>
  <w:style w:type="paragraph" w:styleId="760">
    <w:name w:val="toc 1"/>
    <w:basedOn w:val="771"/>
    <w:next w:val="771"/>
    <w:uiPriority w:val="39"/>
    <w:unhideWhenUsed/>
    <w:pPr>
      <w:ind w:left="0" w:right="0" w:firstLine="0"/>
      <w:spacing w:after="57"/>
    </w:pPr>
  </w:style>
  <w:style w:type="paragraph" w:styleId="761">
    <w:name w:val="toc 2"/>
    <w:basedOn w:val="771"/>
    <w:next w:val="771"/>
    <w:uiPriority w:val="39"/>
    <w:unhideWhenUsed/>
    <w:pPr>
      <w:ind w:left="283" w:right="0" w:firstLine="0"/>
      <w:spacing w:after="57"/>
    </w:pPr>
  </w:style>
  <w:style w:type="paragraph" w:styleId="762">
    <w:name w:val="toc 3"/>
    <w:basedOn w:val="771"/>
    <w:next w:val="771"/>
    <w:uiPriority w:val="39"/>
    <w:unhideWhenUsed/>
    <w:pPr>
      <w:ind w:left="567" w:right="0" w:firstLine="0"/>
      <w:spacing w:after="57"/>
    </w:pPr>
  </w:style>
  <w:style w:type="paragraph" w:styleId="763">
    <w:name w:val="toc 4"/>
    <w:basedOn w:val="771"/>
    <w:next w:val="771"/>
    <w:uiPriority w:val="39"/>
    <w:unhideWhenUsed/>
    <w:pPr>
      <w:ind w:left="850" w:right="0" w:firstLine="0"/>
      <w:spacing w:after="57"/>
    </w:pPr>
  </w:style>
  <w:style w:type="paragraph" w:styleId="764">
    <w:name w:val="toc 5"/>
    <w:basedOn w:val="771"/>
    <w:next w:val="771"/>
    <w:uiPriority w:val="39"/>
    <w:unhideWhenUsed/>
    <w:pPr>
      <w:ind w:left="1134" w:right="0" w:firstLine="0"/>
      <w:spacing w:after="57"/>
    </w:pPr>
  </w:style>
  <w:style w:type="paragraph" w:styleId="765">
    <w:name w:val="toc 6"/>
    <w:basedOn w:val="771"/>
    <w:next w:val="771"/>
    <w:uiPriority w:val="39"/>
    <w:unhideWhenUsed/>
    <w:pPr>
      <w:ind w:left="1417" w:right="0" w:firstLine="0"/>
      <w:spacing w:after="57"/>
    </w:pPr>
  </w:style>
  <w:style w:type="paragraph" w:styleId="766">
    <w:name w:val="toc 7"/>
    <w:basedOn w:val="771"/>
    <w:next w:val="771"/>
    <w:uiPriority w:val="39"/>
    <w:unhideWhenUsed/>
    <w:pPr>
      <w:ind w:left="1701" w:right="0" w:firstLine="0"/>
      <w:spacing w:after="57"/>
    </w:pPr>
  </w:style>
  <w:style w:type="paragraph" w:styleId="767">
    <w:name w:val="toc 8"/>
    <w:basedOn w:val="771"/>
    <w:next w:val="771"/>
    <w:uiPriority w:val="39"/>
    <w:unhideWhenUsed/>
    <w:pPr>
      <w:ind w:left="1984" w:right="0" w:firstLine="0"/>
      <w:spacing w:after="57"/>
    </w:pPr>
  </w:style>
  <w:style w:type="paragraph" w:styleId="768">
    <w:name w:val="toc 9"/>
    <w:basedOn w:val="771"/>
    <w:next w:val="771"/>
    <w:uiPriority w:val="39"/>
    <w:unhideWhenUsed/>
    <w:pPr>
      <w:ind w:left="2268" w:right="0" w:firstLine="0"/>
      <w:spacing w:after="57"/>
    </w:pPr>
  </w:style>
  <w:style w:type="paragraph" w:styleId="769">
    <w:name w:val="TOC Heading"/>
    <w:uiPriority w:val="39"/>
    <w:unhideWhenUsed/>
  </w:style>
  <w:style w:type="paragraph" w:styleId="77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szCs w:val="24"/>
      <w:lang w:val="en-US" w:eastAsia="zh-CN" w:bidi="ar-SA"/>
    </w:rPr>
  </w:style>
  <w:style w:type="paragraph" w:styleId="772">
    <w:name w:val="标题 1"/>
    <w:basedOn w:val="771"/>
    <w:next w:val="771"/>
    <w:link w:val="783"/>
    <w:qFormat/>
    <w:pPr>
      <w:keepNext/>
      <w:outlineLvl w:val="0"/>
    </w:pPr>
    <w:rPr>
      <w:rFonts w:ascii="楷体_GB2312" w:eastAsia="楷体_GB2312"/>
      <w:sz w:val="28"/>
      <w:szCs w:val="20"/>
    </w:rPr>
  </w:style>
  <w:style w:type="paragraph" w:styleId="773">
    <w:name w:val="标题 2"/>
    <w:basedOn w:val="771"/>
    <w:next w:val="771"/>
    <w:link w:val="784"/>
    <w:qFormat/>
    <w:pPr>
      <w:jc w:val="center"/>
      <w:keepLines/>
      <w:keepNext/>
      <w:spacing w:before="260" w:after="260" w:line="416" w:lineRule="auto"/>
      <w:outlineLvl w:val="1"/>
    </w:pPr>
    <w:rPr>
      <w:rFonts w:ascii="Arial" w:hAnsi="Arial" w:eastAsia="幼圆"/>
      <w:b/>
      <w:sz w:val="44"/>
      <w:szCs w:val="20"/>
    </w:rPr>
  </w:style>
  <w:style w:type="paragraph" w:styleId="774">
    <w:name w:val="标题 3"/>
    <w:basedOn w:val="771"/>
    <w:next w:val="771"/>
    <w:link w:val="785"/>
    <w:qFormat/>
    <w:pPr>
      <w:keepLines/>
      <w:keepNext/>
      <w:spacing w:before="260" w:after="260" w:line="416" w:lineRule="auto"/>
      <w:outlineLvl w:val="2"/>
    </w:pPr>
    <w:rPr>
      <w:b/>
      <w:sz w:val="32"/>
      <w:szCs w:val="20"/>
    </w:rPr>
  </w:style>
  <w:style w:type="paragraph" w:styleId="775">
    <w:name w:val="标题 4"/>
    <w:basedOn w:val="771"/>
    <w:next w:val="771"/>
    <w:link w:val="786"/>
    <w:qFormat/>
    <w:pPr>
      <w:keepLines/>
      <w:keepNext/>
      <w:spacing w:before="280" w:after="290" w:line="376" w:lineRule="auto"/>
      <w:outlineLvl w:val="3"/>
    </w:pPr>
    <w:rPr>
      <w:rFonts w:ascii="Arial" w:hAnsi="Arial" w:eastAsia="黑体"/>
      <w:b/>
      <w:bCs/>
      <w:sz w:val="28"/>
      <w:szCs w:val="28"/>
    </w:rPr>
  </w:style>
  <w:style w:type="paragraph" w:styleId="776">
    <w:name w:val="标题 5"/>
    <w:basedOn w:val="771"/>
    <w:next w:val="771"/>
    <w:link w:val="787"/>
    <w:qFormat/>
    <w:pPr>
      <w:keepNext/>
      <w:outlineLvl w:val="4"/>
    </w:pPr>
    <w:rPr>
      <w:rFonts w:ascii="宋体" w:hAnsi="宋体"/>
      <w:b/>
      <w:bCs/>
      <w:sz w:val="20"/>
    </w:rPr>
  </w:style>
  <w:style w:type="paragraph" w:styleId="777">
    <w:name w:val="标题 6"/>
    <w:basedOn w:val="771"/>
    <w:next w:val="771"/>
    <w:link w:val="788"/>
    <w:qFormat/>
    <w:pPr>
      <w:numPr>
        <w:ilvl w:val="5"/>
        <w:numId w:val="1"/>
      </w:numPr>
      <w:keepLines/>
      <w:keepNext/>
      <w:spacing w:before="240" w:after="64" w:line="320" w:lineRule="auto"/>
      <w:outlineLvl w:val="5"/>
    </w:pPr>
    <w:rPr>
      <w:rFonts w:ascii="Arial" w:hAnsi="Arial" w:eastAsia="黑体"/>
      <w:b/>
      <w:bCs/>
      <w:sz w:val="24"/>
    </w:rPr>
  </w:style>
  <w:style w:type="paragraph" w:styleId="778">
    <w:name w:val="标题 7"/>
    <w:basedOn w:val="771"/>
    <w:next w:val="771"/>
    <w:link w:val="789"/>
    <w:qFormat/>
    <w:pPr>
      <w:numPr>
        <w:ilvl w:val="6"/>
        <w:numId w:val="1"/>
      </w:numPr>
      <w:keepLines/>
      <w:keepNext/>
      <w:spacing w:before="240" w:after="64" w:line="320" w:lineRule="auto"/>
      <w:outlineLvl w:val="6"/>
    </w:pPr>
    <w:rPr>
      <w:b/>
      <w:bCs/>
      <w:sz w:val="24"/>
    </w:rPr>
  </w:style>
  <w:style w:type="paragraph" w:styleId="779">
    <w:name w:val="标题 8"/>
    <w:basedOn w:val="771"/>
    <w:next w:val="771"/>
    <w:link w:val="790"/>
    <w:qFormat/>
    <w:pPr>
      <w:numPr>
        <w:ilvl w:val="7"/>
        <w:numId w:val="1"/>
      </w:numPr>
      <w:keepLines/>
      <w:keepNext/>
      <w:spacing w:before="240" w:after="64" w:line="320" w:lineRule="auto"/>
      <w:outlineLvl w:val="7"/>
    </w:pPr>
    <w:rPr>
      <w:rFonts w:ascii="Arial" w:hAnsi="Arial" w:eastAsia="黑体"/>
      <w:sz w:val="24"/>
    </w:rPr>
  </w:style>
  <w:style w:type="paragraph" w:styleId="780">
    <w:name w:val="标题 9"/>
    <w:basedOn w:val="771"/>
    <w:next w:val="771"/>
    <w:link w:val="791"/>
    <w:qFormat/>
    <w:pPr>
      <w:numPr>
        <w:ilvl w:val="8"/>
        <w:numId w:val="1"/>
      </w:numPr>
      <w:keepLines/>
      <w:keepNext/>
      <w:spacing w:before="240" w:after="64" w:line="320" w:lineRule="auto"/>
      <w:outlineLvl w:val="8"/>
    </w:pPr>
    <w:rPr>
      <w:rFonts w:ascii="Arial" w:hAnsi="Arial" w:eastAsia="黑体"/>
      <w:sz w:val="20"/>
      <w:szCs w:val="21"/>
    </w:rPr>
  </w:style>
  <w:style w:type="character" w:styleId="781">
    <w:name w:val="默认段落字体"/>
    <w:next w:val="781"/>
    <w:link w:val="771"/>
    <w:uiPriority w:val="1"/>
    <w:unhideWhenUsed/>
    <w:qFormat/>
  </w:style>
  <w:style w:type="table" w:styleId="782">
    <w:name w:val="普通表格"/>
    <w:next w:val="782"/>
    <w:link w:val="771"/>
    <w:uiPriority w:val="99"/>
    <w:unhideWhenUsed/>
    <w:qFormat/>
    <w:tblPr/>
  </w:style>
  <w:style w:type="character" w:styleId="783">
    <w:name w:val="标题 1 Char"/>
    <w:next w:val="783"/>
    <w:link w:val="772"/>
    <w:uiPriority w:val="9"/>
    <w:qFormat/>
    <w:rPr>
      <w:rFonts w:ascii="Calibri" w:hAnsi="Calibri" w:eastAsia="宋体" w:cs="Times New Roman"/>
      <w:b/>
      <w:bCs/>
      <w:sz w:val="44"/>
      <w:szCs w:val="44"/>
    </w:rPr>
  </w:style>
  <w:style w:type="character" w:styleId="784">
    <w:name w:val="标题 2 Char1"/>
    <w:next w:val="784"/>
    <w:link w:val="773"/>
    <w:qFormat/>
    <w:rPr>
      <w:rFonts w:ascii="Arial" w:hAnsi="Arial" w:eastAsia="幼圆" w:cs="Times New Roman"/>
      <w:b/>
      <w:sz w:val="44"/>
      <w:szCs w:val="20"/>
    </w:rPr>
  </w:style>
  <w:style w:type="character" w:styleId="785">
    <w:name w:val="标题 3 Char"/>
    <w:next w:val="785"/>
    <w:link w:val="774"/>
    <w:uiPriority w:val="9"/>
    <w:semiHidden/>
    <w:qFormat/>
    <w:rPr>
      <w:rFonts w:ascii="Calibri" w:hAnsi="Calibri" w:eastAsia="宋体" w:cs="Times New Roman"/>
      <w:b/>
      <w:bCs/>
      <w:sz w:val="32"/>
      <w:szCs w:val="32"/>
    </w:rPr>
  </w:style>
  <w:style w:type="character" w:styleId="786">
    <w:name w:val="标题 4 Char"/>
    <w:next w:val="786"/>
    <w:link w:val="775"/>
    <w:uiPriority w:val="9"/>
    <w:semiHidden/>
    <w:qFormat/>
    <w:rPr>
      <w:rFonts w:ascii="Cambria" w:hAnsi="Cambria" w:eastAsia="宋体" w:cs="Times New Roman"/>
      <w:b/>
      <w:bCs/>
      <w:sz w:val="28"/>
      <w:szCs w:val="28"/>
    </w:rPr>
  </w:style>
  <w:style w:type="character" w:styleId="787">
    <w:name w:val="标题 5 Char1"/>
    <w:next w:val="787"/>
    <w:link w:val="776"/>
    <w:qFormat/>
    <w:rPr>
      <w:rFonts w:ascii="宋体" w:hAnsi="宋体" w:eastAsia="宋体" w:cs="Times New Roman"/>
      <w:b/>
      <w:bCs/>
      <w:szCs w:val="24"/>
    </w:rPr>
  </w:style>
  <w:style w:type="character" w:styleId="788">
    <w:name w:val="标题 6 Char1"/>
    <w:next w:val="788"/>
    <w:link w:val="777"/>
    <w:qFormat/>
    <w:rPr>
      <w:rFonts w:ascii="Arial" w:hAnsi="Arial" w:eastAsia="黑体" w:cs="Times New Roman"/>
      <w:b/>
      <w:bCs/>
      <w:sz w:val="24"/>
      <w:szCs w:val="24"/>
    </w:rPr>
  </w:style>
  <w:style w:type="character" w:styleId="789">
    <w:name w:val="标题 7 Char1"/>
    <w:next w:val="789"/>
    <w:link w:val="778"/>
    <w:qFormat/>
    <w:rPr>
      <w:rFonts w:ascii="Times New Roman" w:hAnsi="Times New Roman" w:eastAsia="宋体" w:cs="Times New Roman"/>
      <w:b/>
      <w:bCs/>
      <w:sz w:val="24"/>
      <w:szCs w:val="24"/>
    </w:rPr>
  </w:style>
  <w:style w:type="character" w:styleId="790">
    <w:name w:val="标题 8 Char1"/>
    <w:next w:val="790"/>
    <w:link w:val="779"/>
    <w:qFormat/>
    <w:rPr>
      <w:rFonts w:ascii="Arial" w:hAnsi="Arial" w:eastAsia="黑体" w:cs="Times New Roman"/>
      <w:sz w:val="24"/>
      <w:szCs w:val="24"/>
    </w:rPr>
  </w:style>
  <w:style w:type="character" w:styleId="791">
    <w:name w:val="标题 9 Char"/>
    <w:next w:val="791"/>
    <w:link w:val="780"/>
    <w:uiPriority w:val="9"/>
    <w:semiHidden/>
    <w:qFormat/>
    <w:rPr>
      <w:rFonts w:ascii="Cambria" w:hAnsi="Cambria" w:eastAsia="宋体" w:cs="Times New Roman"/>
      <w:szCs w:val="21"/>
    </w:rPr>
  </w:style>
  <w:style w:type="paragraph" w:styleId="792">
    <w:name w:val="列表 3"/>
    <w:basedOn w:val="771"/>
    <w:next w:val="792"/>
    <w:link w:val="771"/>
    <w:qFormat/>
    <w:pPr>
      <w:ind w:left="100" w:hanging="200"/>
    </w:pPr>
    <w:rPr>
      <w:szCs w:val="21"/>
    </w:rPr>
  </w:style>
  <w:style w:type="paragraph" w:styleId="793">
    <w:name w:val="目录 7"/>
    <w:basedOn w:val="771"/>
    <w:next w:val="771"/>
    <w:link w:val="771"/>
    <w:uiPriority w:val="39"/>
    <w:unhideWhenUsed/>
    <w:qFormat/>
    <w:pPr>
      <w:ind w:left="1701"/>
      <w:spacing w:after="57"/>
    </w:pPr>
  </w:style>
  <w:style w:type="paragraph" w:styleId="794">
    <w:name w:val="正文缩进"/>
    <w:basedOn w:val="771"/>
    <w:next w:val="794"/>
    <w:link w:val="795"/>
    <w:qFormat/>
    <w:pPr>
      <w:ind w:firstLine="420"/>
    </w:pPr>
    <w:rPr>
      <w:sz w:val="20"/>
      <w:szCs w:val="20"/>
    </w:rPr>
  </w:style>
  <w:style w:type="character" w:styleId="795">
    <w:name w:val="正文缩进 Char1"/>
    <w:next w:val="795"/>
    <w:link w:val="794"/>
    <w:qFormat/>
    <w:rPr>
      <w:rFonts w:eastAsia="宋体"/>
    </w:rPr>
  </w:style>
  <w:style w:type="paragraph" w:styleId="796">
    <w:name w:val="题注"/>
    <w:basedOn w:val="771"/>
    <w:next w:val="771"/>
    <w:link w:val="771"/>
    <w:uiPriority w:val="35"/>
    <w:qFormat/>
    <w:pPr>
      <w:spacing w:line="276" w:lineRule="auto"/>
    </w:pPr>
    <w:rPr>
      <w:b/>
      <w:bCs/>
      <w:color w:val="4f81bd"/>
      <w:sz w:val="18"/>
      <w:szCs w:val="18"/>
    </w:rPr>
  </w:style>
  <w:style w:type="paragraph" w:styleId="797">
    <w:name w:val="文档结构图"/>
    <w:basedOn w:val="771"/>
    <w:next w:val="797"/>
    <w:link w:val="798"/>
    <w:semiHidden/>
    <w:qFormat/>
    <w:pPr>
      <w:shd w:val="clear" w:color="auto" w:fill="000080"/>
    </w:pPr>
    <w:rPr>
      <w:sz w:val="20"/>
    </w:rPr>
  </w:style>
  <w:style w:type="character" w:styleId="798">
    <w:name w:val="文档结构图 Char"/>
    <w:next w:val="798"/>
    <w:link w:val="797"/>
    <w:uiPriority w:val="99"/>
    <w:semiHidden/>
    <w:qFormat/>
    <w:rPr>
      <w:rFonts w:ascii="宋体" w:hAnsi="Calibri" w:eastAsia="宋体" w:cs="Times New Roman"/>
      <w:sz w:val="18"/>
      <w:szCs w:val="18"/>
    </w:rPr>
  </w:style>
  <w:style w:type="paragraph" w:styleId="799">
    <w:name w:val="批注文字"/>
    <w:basedOn w:val="771"/>
    <w:next w:val="799"/>
    <w:link w:val="800"/>
    <w:qFormat/>
    <w:pPr>
      <w:jc w:val="left"/>
    </w:pPr>
    <w:rPr>
      <w:sz w:val="20"/>
      <w:szCs w:val="20"/>
    </w:rPr>
  </w:style>
  <w:style w:type="character" w:styleId="800">
    <w:name w:val="批注文字 Char"/>
    <w:next w:val="800"/>
    <w:link w:val="799"/>
    <w:uiPriority w:val="99"/>
    <w:semiHidden/>
    <w:qFormat/>
    <w:rPr>
      <w:rFonts w:ascii="Calibri" w:hAnsi="Calibri" w:eastAsia="宋体" w:cs="Times New Roman"/>
      <w:szCs w:val="24"/>
    </w:rPr>
  </w:style>
  <w:style w:type="paragraph" w:styleId="801">
    <w:name w:val="正文文本 3"/>
    <w:basedOn w:val="771"/>
    <w:next w:val="801"/>
    <w:link w:val="802"/>
    <w:qFormat/>
    <w:rPr>
      <w:rFonts w:ascii="仿宋_GB2312" w:hAnsi="Arial" w:eastAsia="仿宋_GB2312"/>
      <w:sz w:val="32"/>
      <w:szCs w:val="20"/>
    </w:rPr>
  </w:style>
  <w:style w:type="character" w:styleId="802">
    <w:name w:val="正文文本 3 Char"/>
    <w:next w:val="802"/>
    <w:link w:val="801"/>
    <w:uiPriority w:val="99"/>
    <w:semiHidden/>
    <w:qFormat/>
    <w:rPr>
      <w:rFonts w:ascii="Calibri" w:hAnsi="Calibri" w:eastAsia="宋体" w:cs="Times New Roman"/>
      <w:sz w:val="16"/>
      <w:szCs w:val="16"/>
    </w:rPr>
  </w:style>
  <w:style w:type="paragraph" w:styleId="803">
    <w:name w:val="正文文本"/>
    <w:basedOn w:val="771"/>
    <w:next w:val="771"/>
    <w:link w:val="804"/>
    <w:qFormat/>
    <w:rPr>
      <w:rFonts w:ascii="楷体_GB2312" w:hAnsi="Arial" w:eastAsia="楷体_GB2312"/>
      <w:sz w:val="28"/>
      <w:szCs w:val="20"/>
    </w:rPr>
  </w:style>
  <w:style w:type="character" w:styleId="804">
    <w:name w:val="正文文本 Char"/>
    <w:next w:val="804"/>
    <w:link w:val="803"/>
    <w:uiPriority w:val="99"/>
    <w:semiHidden/>
    <w:qFormat/>
    <w:rPr>
      <w:rFonts w:ascii="Calibri" w:hAnsi="Calibri" w:eastAsia="宋体" w:cs="Times New Roman"/>
      <w:szCs w:val="24"/>
    </w:rPr>
  </w:style>
  <w:style w:type="paragraph" w:styleId="805">
    <w:name w:val="正文文本缩进"/>
    <w:basedOn w:val="771"/>
    <w:next w:val="807"/>
    <w:link w:val="806"/>
    <w:qFormat/>
    <w:pPr>
      <w:ind w:firstLine="645"/>
    </w:pPr>
    <w:rPr>
      <w:rFonts w:ascii="楷体_GB2312" w:eastAsia="楷体_GB2312"/>
      <w:sz w:val="32"/>
      <w:szCs w:val="20"/>
    </w:rPr>
  </w:style>
  <w:style w:type="character" w:styleId="806">
    <w:name w:val="正文文本缩进 Char"/>
    <w:next w:val="806"/>
    <w:link w:val="805"/>
    <w:uiPriority w:val="99"/>
    <w:semiHidden/>
    <w:qFormat/>
    <w:rPr>
      <w:rFonts w:ascii="Calibri" w:hAnsi="Calibri" w:eastAsia="宋体" w:cs="Times New Roman"/>
      <w:szCs w:val="24"/>
    </w:rPr>
  </w:style>
  <w:style w:type="paragraph" w:styleId="807">
    <w:name w:val="寄信人地址"/>
    <w:basedOn w:val="771"/>
    <w:next w:val="807"/>
    <w:link w:val="771"/>
    <w:uiPriority w:val="99"/>
    <w:qFormat/>
    <w:rPr>
      <w:rFonts w:ascii="Arial" w:hAnsi="Arial"/>
    </w:rPr>
  </w:style>
  <w:style w:type="paragraph" w:styleId="808">
    <w:name w:val="列表 2"/>
    <w:basedOn w:val="771"/>
    <w:next w:val="808"/>
    <w:link w:val="771"/>
    <w:qFormat/>
    <w:pPr>
      <w:ind w:left="100" w:hanging="200"/>
    </w:pPr>
    <w:rPr>
      <w:szCs w:val="21"/>
    </w:rPr>
  </w:style>
  <w:style w:type="paragraph" w:styleId="809">
    <w:name w:val="索引 4"/>
    <w:basedOn w:val="771"/>
    <w:next w:val="771"/>
    <w:link w:val="771"/>
    <w:semiHidden/>
    <w:qFormat/>
    <w:pPr>
      <w:ind w:left="1260"/>
    </w:pPr>
  </w:style>
  <w:style w:type="paragraph" w:styleId="810">
    <w:name w:val="目录 5"/>
    <w:basedOn w:val="771"/>
    <w:next w:val="771"/>
    <w:link w:val="771"/>
    <w:uiPriority w:val="39"/>
    <w:unhideWhenUsed/>
    <w:qFormat/>
    <w:pPr>
      <w:ind w:left="1134"/>
      <w:spacing w:after="57"/>
    </w:pPr>
  </w:style>
  <w:style w:type="paragraph" w:styleId="811">
    <w:name w:val="目录 3"/>
    <w:basedOn w:val="771"/>
    <w:next w:val="771"/>
    <w:link w:val="771"/>
    <w:uiPriority w:val="39"/>
    <w:unhideWhenUsed/>
    <w:qFormat/>
    <w:pPr>
      <w:ind w:left="567"/>
      <w:spacing w:after="57"/>
    </w:pPr>
  </w:style>
  <w:style w:type="paragraph" w:styleId="812">
    <w:name w:val="纯文本"/>
    <w:basedOn w:val="771"/>
    <w:next w:val="812"/>
    <w:link w:val="813"/>
    <w:qFormat/>
    <w:rPr>
      <w:rFonts w:ascii="宋体" w:hAnsi="Courier New"/>
      <w:sz w:val="20"/>
      <w:szCs w:val="20"/>
    </w:rPr>
  </w:style>
  <w:style w:type="character" w:styleId="813">
    <w:name w:val="纯文本 Char1"/>
    <w:next w:val="813"/>
    <w:link w:val="812"/>
    <w:uiPriority w:val="99"/>
    <w:semiHidden/>
    <w:qFormat/>
    <w:rPr>
      <w:rFonts w:ascii="宋体" w:hAnsi="Courier New" w:eastAsia="宋体" w:cs="Courier New"/>
      <w:szCs w:val="21"/>
    </w:rPr>
  </w:style>
  <w:style w:type="paragraph" w:styleId="814">
    <w:name w:val="目录 8"/>
    <w:basedOn w:val="771"/>
    <w:next w:val="771"/>
    <w:link w:val="771"/>
    <w:uiPriority w:val="39"/>
    <w:unhideWhenUsed/>
    <w:qFormat/>
    <w:pPr>
      <w:ind w:left="1984"/>
      <w:spacing w:after="57"/>
    </w:pPr>
  </w:style>
  <w:style w:type="paragraph" w:styleId="815">
    <w:name w:val="日期"/>
    <w:basedOn w:val="771"/>
    <w:next w:val="771"/>
    <w:link w:val="816"/>
    <w:qFormat/>
    <w:rPr>
      <w:sz w:val="24"/>
      <w:szCs w:val="20"/>
    </w:rPr>
  </w:style>
  <w:style w:type="character" w:styleId="816">
    <w:name w:val="日期 Char"/>
    <w:next w:val="816"/>
    <w:link w:val="815"/>
    <w:uiPriority w:val="99"/>
    <w:semiHidden/>
    <w:qFormat/>
    <w:rPr>
      <w:rFonts w:ascii="Calibri" w:hAnsi="Calibri" w:eastAsia="宋体" w:cs="Times New Roman"/>
      <w:szCs w:val="24"/>
    </w:rPr>
  </w:style>
  <w:style w:type="paragraph" w:styleId="817">
    <w:name w:val="正文文本缩进 2"/>
    <w:basedOn w:val="771"/>
    <w:next w:val="817"/>
    <w:link w:val="818"/>
    <w:qFormat/>
    <w:pPr>
      <w:ind w:firstLine="560"/>
    </w:pPr>
    <w:rPr>
      <w:rFonts w:ascii="宋体" w:hAnsi="宋体"/>
      <w:sz w:val="28"/>
    </w:rPr>
  </w:style>
  <w:style w:type="character" w:styleId="818">
    <w:name w:val="正文文本缩进 2 Char"/>
    <w:next w:val="818"/>
    <w:link w:val="817"/>
    <w:uiPriority w:val="99"/>
    <w:semiHidden/>
    <w:qFormat/>
    <w:rPr>
      <w:rFonts w:ascii="Calibri" w:hAnsi="Calibri" w:eastAsia="宋体" w:cs="Times New Roman"/>
      <w:szCs w:val="24"/>
    </w:rPr>
  </w:style>
  <w:style w:type="paragraph" w:styleId="819">
    <w:name w:val="尾注文本"/>
    <w:basedOn w:val="771"/>
    <w:next w:val="819"/>
    <w:link w:val="820"/>
    <w:uiPriority w:val="99"/>
    <w:unhideWhenUsed/>
    <w:qFormat/>
    <w:rPr>
      <w:sz w:val="20"/>
    </w:rPr>
  </w:style>
  <w:style w:type="character" w:styleId="820">
    <w:name w:val="尾注文本 Char"/>
    <w:next w:val="820"/>
    <w:link w:val="819"/>
    <w:uiPriority w:val="99"/>
    <w:qFormat/>
    <w:rPr>
      <w:sz w:val="20"/>
    </w:rPr>
  </w:style>
  <w:style w:type="paragraph" w:styleId="821">
    <w:name w:val="批注框文本"/>
    <w:basedOn w:val="771"/>
    <w:next w:val="821"/>
    <w:link w:val="822"/>
    <w:semiHidden/>
    <w:qFormat/>
    <w:rPr>
      <w:sz w:val="18"/>
      <w:szCs w:val="18"/>
    </w:rPr>
  </w:style>
  <w:style w:type="character" w:styleId="822">
    <w:name w:val="批注框文本 Char"/>
    <w:next w:val="822"/>
    <w:link w:val="821"/>
    <w:uiPriority w:val="99"/>
    <w:semiHidden/>
    <w:qFormat/>
    <w:rPr>
      <w:rFonts w:ascii="Calibri" w:hAnsi="Calibri" w:eastAsia="宋体" w:cs="Times New Roman"/>
      <w:sz w:val="18"/>
      <w:szCs w:val="18"/>
    </w:rPr>
  </w:style>
  <w:style w:type="paragraph" w:styleId="823">
    <w:name w:val="页脚"/>
    <w:basedOn w:val="771"/>
    <w:next w:val="823"/>
    <w:link w:val="824"/>
    <w:qFormat/>
    <w:pPr>
      <w:jc w:val="left"/>
      <w:tabs>
        <w:tab w:val="center" w:pos="4153" w:leader="none"/>
        <w:tab w:val="right" w:pos="8306" w:leader="none"/>
      </w:tabs>
    </w:pPr>
    <w:rPr>
      <w:sz w:val="18"/>
      <w:szCs w:val="20"/>
    </w:rPr>
  </w:style>
  <w:style w:type="character" w:styleId="824">
    <w:name w:val="页脚 Char"/>
    <w:next w:val="824"/>
    <w:link w:val="823"/>
    <w:uiPriority w:val="99"/>
    <w:semiHidden/>
    <w:qFormat/>
    <w:rPr>
      <w:rFonts w:ascii="Calibri" w:hAnsi="Calibri" w:eastAsia="宋体" w:cs="Times New Roman"/>
      <w:sz w:val="18"/>
      <w:szCs w:val="18"/>
    </w:rPr>
  </w:style>
  <w:style w:type="paragraph" w:styleId="825">
    <w:name w:val="页眉"/>
    <w:basedOn w:val="771"/>
    <w:next w:val="825"/>
    <w:link w:val="826"/>
    <w:uiPriority w:val="99"/>
    <w:qFormat/>
    <w:pPr>
      <w:jc w:val="center"/>
      <w:tabs>
        <w:tab w:val="center" w:pos="4153" w:leader="none"/>
        <w:tab w:val="right" w:pos="8306" w:leader="none"/>
      </w:tabs>
      <w:pBdr>
        <w:bottom w:val="single" w:color="000000" w:sz="6" w:space="1"/>
      </w:pBdr>
    </w:pPr>
    <w:rPr>
      <w:sz w:val="18"/>
      <w:szCs w:val="18"/>
    </w:rPr>
  </w:style>
  <w:style w:type="character" w:styleId="826">
    <w:name w:val="页眉 Char"/>
    <w:next w:val="826"/>
    <w:link w:val="825"/>
    <w:uiPriority w:val="99"/>
    <w:qFormat/>
    <w:rPr>
      <w:rFonts w:ascii="Calibri" w:hAnsi="Calibri" w:eastAsia="宋体" w:cs="Times New Roman"/>
      <w:sz w:val="18"/>
      <w:szCs w:val="18"/>
    </w:rPr>
  </w:style>
  <w:style w:type="paragraph" w:styleId="827">
    <w:name w:val="目录 1"/>
    <w:basedOn w:val="771"/>
    <w:next w:val="771"/>
    <w:link w:val="771"/>
    <w:uiPriority w:val="39"/>
    <w:unhideWhenUsed/>
    <w:qFormat/>
  </w:style>
  <w:style w:type="paragraph" w:styleId="828">
    <w:name w:val="目录 4"/>
    <w:basedOn w:val="771"/>
    <w:next w:val="771"/>
    <w:link w:val="771"/>
    <w:uiPriority w:val="39"/>
    <w:unhideWhenUsed/>
    <w:qFormat/>
    <w:pPr>
      <w:ind w:left="850"/>
      <w:spacing w:after="57"/>
    </w:pPr>
  </w:style>
  <w:style w:type="paragraph" w:styleId="829">
    <w:name w:val="副标题"/>
    <w:basedOn w:val="771"/>
    <w:next w:val="771"/>
    <w:link w:val="830"/>
    <w:uiPriority w:val="11"/>
    <w:qFormat/>
    <w:pPr>
      <w:spacing w:before="200" w:after="200"/>
    </w:pPr>
    <w:rPr>
      <w:sz w:val="24"/>
    </w:rPr>
  </w:style>
  <w:style w:type="character" w:styleId="830">
    <w:name w:val="副标题 Char"/>
    <w:next w:val="830"/>
    <w:link w:val="829"/>
    <w:uiPriority w:val="11"/>
    <w:qFormat/>
    <w:rPr>
      <w:sz w:val="24"/>
      <w:szCs w:val="24"/>
    </w:rPr>
  </w:style>
  <w:style w:type="paragraph" w:styleId="831">
    <w:name w:val="列表"/>
    <w:basedOn w:val="771"/>
    <w:next w:val="831"/>
    <w:link w:val="771"/>
    <w:qFormat/>
    <w:pPr>
      <w:ind w:left="200" w:hanging="200"/>
    </w:pPr>
    <w:rPr>
      <w:szCs w:val="21"/>
    </w:rPr>
  </w:style>
  <w:style w:type="paragraph" w:styleId="832">
    <w:name w:val="脚注文本"/>
    <w:basedOn w:val="771"/>
    <w:next w:val="832"/>
    <w:link w:val="833"/>
    <w:uiPriority w:val="99"/>
    <w:unhideWhenUsed/>
    <w:qFormat/>
    <w:pPr>
      <w:spacing w:after="40"/>
    </w:pPr>
    <w:rPr>
      <w:sz w:val="18"/>
    </w:rPr>
  </w:style>
  <w:style w:type="character" w:styleId="833">
    <w:name w:val="脚注文本 Char"/>
    <w:next w:val="833"/>
    <w:link w:val="832"/>
    <w:uiPriority w:val="99"/>
    <w:qFormat/>
    <w:rPr>
      <w:sz w:val="18"/>
    </w:rPr>
  </w:style>
  <w:style w:type="paragraph" w:styleId="834">
    <w:name w:val="目录 6"/>
    <w:basedOn w:val="771"/>
    <w:next w:val="771"/>
    <w:link w:val="771"/>
    <w:uiPriority w:val="39"/>
    <w:unhideWhenUsed/>
    <w:qFormat/>
    <w:pPr>
      <w:ind w:left="1417"/>
      <w:spacing w:after="57"/>
    </w:pPr>
  </w:style>
  <w:style w:type="paragraph" w:styleId="835">
    <w:name w:val="正文文本缩进 3"/>
    <w:basedOn w:val="771"/>
    <w:next w:val="835"/>
    <w:link w:val="836"/>
    <w:qFormat/>
    <w:pPr>
      <w:ind w:firstLine="523"/>
    </w:pPr>
    <w:rPr>
      <w:rFonts w:ascii="仿宋_GB2312" w:hAnsi="宋体" w:eastAsia="仿宋_GB2312"/>
      <w:sz w:val="24"/>
    </w:rPr>
  </w:style>
  <w:style w:type="character" w:styleId="836">
    <w:name w:val="正文文本缩进 3 Char"/>
    <w:next w:val="836"/>
    <w:link w:val="835"/>
    <w:uiPriority w:val="99"/>
    <w:semiHidden/>
    <w:qFormat/>
    <w:rPr>
      <w:rFonts w:ascii="Calibri" w:hAnsi="Calibri" w:eastAsia="宋体" w:cs="Times New Roman"/>
      <w:sz w:val="16"/>
      <w:szCs w:val="16"/>
    </w:rPr>
  </w:style>
  <w:style w:type="paragraph" w:styleId="837">
    <w:name w:val="图表目录"/>
    <w:basedOn w:val="771"/>
    <w:next w:val="771"/>
    <w:link w:val="771"/>
    <w:qFormat/>
    <w:pPr>
      <w:ind w:left="840" w:hanging="420"/>
    </w:pPr>
    <w:rPr>
      <w:szCs w:val="21"/>
    </w:rPr>
  </w:style>
  <w:style w:type="paragraph" w:styleId="838">
    <w:name w:val="目录 2"/>
    <w:basedOn w:val="771"/>
    <w:next w:val="771"/>
    <w:link w:val="771"/>
    <w:uiPriority w:val="39"/>
    <w:unhideWhenUsed/>
    <w:qFormat/>
    <w:pPr>
      <w:ind w:left="420"/>
    </w:pPr>
  </w:style>
  <w:style w:type="paragraph" w:styleId="839">
    <w:name w:val="目录 9"/>
    <w:basedOn w:val="771"/>
    <w:next w:val="771"/>
    <w:link w:val="771"/>
    <w:uiPriority w:val="39"/>
    <w:unhideWhenUsed/>
    <w:qFormat/>
    <w:pPr>
      <w:ind w:left="2268"/>
      <w:spacing w:after="57"/>
    </w:pPr>
  </w:style>
  <w:style w:type="paragraph" w:styleId="840">
    <w:name w:val="正文文本 2"/>
    <w:basedOn w:val="771"/>
    <w:next w:val="840"/>
    <w:link w:val="841"/>
    <w:qFormat/>
    <w:pPr>
      <w:jc w:val="center"/>
    </w:pPr>
    <w:rPr>
      <w:rFonts w:ascii="仿宋_GB2312" w:eastAsia="仿宋_GB2312"/>
      <w:sz w:val="44"/>
    </w:rPr>
  </w:style>
  <w:style w:type="character" w:styleId="841">
    <w:name w:val="正文文本 2 Char"/>
    <w:next w:val="841"/>
    <w:link w:val="840"/>
    <w:uiPriority w:val="99"/>
    <w:semiHidden/>
    <w:qFormat/>
    <w:rPr>
      <w:rFonts w:ascii="Calibri" w:hAnsi="Calibri" w:eastAsia="宋体" w:cs="Times New Roman"/>
      <w:szCs w:val="24"/>
    </w:rPr>
  </w:style>
  <w:style w:type="paragraph" w:styleId="842">
    <w:name w:val="HTML 预设格式"/>
    <w:basedOn w:val="771"/>
    <w:next w:val="842"/>
    <w:link w:val="8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43">
    <w:name w:val="HTML 预设格式 Char"/>
    <w:next w:val="843"/>
    <w:link w:val="842"/>
    <w:uiPriority w:val="99"/>
    <w:semiHidden/>
    <w:qFormat/>
    <w:rPr>
      <w:rFonts w:ascii="Courier New" w:hAnsi="Courier New" w:eastAsia="宋体" w:cs="Courier New"/>
      <w:sz w:val="20"/>
      <w:szCs w:val="20"/>
    </w:rPr>
  </w:style>
  <w:style w:type="paragraph" w:styleId="844">
    <w:name w:val="普通(网站)"/>
    <w:basedOn w:val="771"/>
    <w:next w:val="844"/>
    <w:link w:val="771"/>
    <w:unhideWhenUsed/>
    <w:qFormat/>
    <w:pPr>
      <w:jc w:val="left"/>
      <w:spacing w:before="100" w:beforeAutospacing="1" w:after="100" w:afterAutospacing="1"/>
      <w:widowControl/>
    </w:pPr>
    <w:rPr>
      <w:rFonts w:ascii="宋体" w:hAnsi="宋体" w:cs="宋体"/>
      <w:sz w:val="24"/>
    </w:rPr>
  </w:style>
  <w:style w:type="paragraph" w:styleId="845">
    <w:name w:val="索引 1"/>
    <w:basedOn w:val="771"/>
    <w:next w:val="771"/>
    <w:link w:val="771"/>
    <w:semiHidden/>
    <w:qFormat/>
    <w:rPr>
      <w:rFonts w:ascii="宋体" w:hAnsi="宋体"/>
      <w:szCs w:val="18"/>
    </w:rPr>
  </w:style>
  <w:style w:type="paragraph" w:styleId="846">
    <w:name w:val="标题"/>
    <w:basedOn w:val="771"/>
    <w:next w:val="771"/>
    <w:link w:val="847"/>
    <w:uiPriority w:val="10"/>
    <w:qFormat/>
    <w:pPr>
      <w:contextualSpacing/>
      <w:spacing w:before="300" w:after="200"/>
    </w:pPr>
    <w:rPr>
      <w:sz w:val="48"/>
      <w:szCs w:val="48"/>
    </w:rPr>
  </w:style>
  <w:style w:type="character" w:styleId="847">
    <w:name w:val="标题 Char"/>
    <w:next w:val="847"/>
    <w:link w:val="846"/>
    <w:uiPriority w:val="10"/>
    <w:qFormat/>
    <w:rPr>
      <w:sz w:val="48"/>
      <w:szCs w:val="48"/>
    </w:rPr>
  </w:style>
  <w:style w:type="paragraph" w:styleId="848">
    <w:name w:val="批注主题"/>
    <w:basedOn w:val="799"/>
    <w:next w:val="799"/>
    <w:link w:val="849"/>
    <w:qFormat/>
    <w:rPr>
      <w:b/>
      <w:bCs/>
    </w:rPr>
  </w:style>
  <w:style w:type="character" w:styleId="849">
    <w:name w:val="批注主题 Char"/>
    <w:next w:val="849"/>
    <w:link w:val="848"/>
    <w:uiPriority w:val="99"/>
    <w:semiHidden/>
    <w:qFormat/>
    <w:rPr>
      <w:rFonts w:ascii="Calibri" w:hAnsi="Calibri" w:eastAsia="宋体" w:cs="Times New Roman"/>
      <w:b/>
      <w:bCs/>
      <w:szCs w:val="24"/>
    </w:rPr>
  </w:style>
  <w:style w:type="paragraph" w:styleId="850">
    <w:name w:val="正文首行缩进"/>
    <w:basedOn w:val="803"/>
    <w:next w:val="850"/>
    <w:link w:val="851"/>
    <w:unhideWhenUsed/>
    <w:qFormat/>
    <w:pPr>
      <w:ind w:firstLine="420"/>
      <w:spacing w:after="120"/>
    </w:pPr>
    <w:rPr>
      <w:rFonts w:ascii="仿宋_GB2312" w:hAnsi="Times New Roman" w:eastAsia="仿宋_GB2312"/>
      <w:sz w:val="30"/>
      <w:szCs w:val="30"/>
    </w:rPr>
  </w:style>
  <w:style w:type="character" w:styleId="851">
    <w:name w:val="正文首行缩进 Char"/>
    <w:next w:val="851"/>
    <w:link w:val="850"/>
    <w:uiPriority w:val="99"/>
    <w:semiHidden/>
    <w:qFormat/>
  </w:style>
  <w:style w:type="paragraph" w:styleId="852">
    <w:name w:val="正文首行缩进 2"/>
    <w:basedOn w:val="805"/>
    <w:next w:val="852"/>
    <w:link w:val="853"/>
    <w:unhideWhenUsed/>
    <w:qFormat/>
    <w:pPr>
      <w:ind w:left="420" w:firstLine="420"/>
      <w:spacing w:after="120"/>
    </w:pPr>
    <w:rPr>
      <w:rFonts w:ascii="宋体" w:hAnsi="宋体"/>
      <w:sz w:val="21"/>
    </w:rPr>
  </w:style>
  <w:style w:type="character" w:styleId="853">
    <w:name w:val="正文首行缩进 2 Char"/>
    <w:next w:val="853"/>
    <w:link w:val="852"/>
    <w:uiPriority w:val="99"/>
    <w:semiHidden/>
    <w:qFormat/>
  </w:style>
  <w:style w:type="table" w:styleId="854">
    <w:name w:val="网格型"/>
    <w:next w:val="854"/>
    <w:link w:val="771"/>
    <w:uiPriority w:val="59"/>
    <w:qFormat/>
    <w:rPr>
      <w:lang w:val="en-US" w:eastAsia="zh-CN" w:bidi="ar-SA"/>
    </w:rPr>
    <w:tblPr/>
  </w:style>
  <w:style w:type="character" w:styleId="855">
    <w:name w:val="要点"/>
    <w:next w:val="855"/>
    <w:link w:val="771"/>
    <w:qFormat/>
    <w:rPr>
      <w:b/>
      <w:bCs/>
    </w:rPr>
  </w:style>
  <w:style w:type="character" w:styleId="856">
    <w:name w:val="尾注引用"/>
    <w:next w:val="856"/>
    <w:link w:val="771"/>
    <w:uiPriority w:val="99"/>
    <w:unhideWhenUsed/>
    <w:qFormat/>
    <w:rPr>
      <w:vertAlign w:val="superscript"/>
    </w:rPr>
  </w:style>
  <w:style w:type="character" w:styleId="857">
    <w:name w:val="页码"/>
    <w:next w:val="857"/>
    <w:link w:val="771"/>
    <w:qFormat/>
  </w:style>
  <w:style w:type="character" w:styleId="858">
    <w:name w:val="超链接"/>
    <w:next w:val="858"/>
    <w:link w:val="771"/>
    <w:uiPriority w:val="99"/>
    <w:qFormat/>
    <w:rPr>
      <w:color w:val="0000ff"/>
      <w:u w:val="single"/>
    </w:rPr>
  </w:style>
  <w:style w:type="character" w:styleId="859">
    <w:name w:val="批注引用"/>
    <w:next w:val="859"/>
    <w:link w:val="771"/>
    <w:qFormat/>
    <w:rPr>
      <w:sz w:val="21"/>
      <w:szCs w:val="21"/>
    </w:rPr>
  </w:style>
  <w:style w:type="character" w:styleId="860">
    <w:name w:val="脚注引用"/>
    <w:next w:val="860"/>
    <w:link w:val="771"/>
    <w:uiPriority w:val="99"/>
    <w:unhideWhenUsed/>
    <w:qFormat/>
    <w:rPr>
      <w:vertAlign w:val="superscript"/>
    </w:rPr>
  </w:style>
  <w:style w:type="paragraph" w:styleId="861">
    <w:name w:val="正文文本1"/>
    <w:basedOn w:val="771"/>
    <w:next w:val="861"/>
    <w:link w:val="771"/>
    <w:uiPriority w:val="1"/>
    <w:qFormat/>
    <w:pPr>
      <w:spacing w:after="120"/>
    </w:pPr>
  </w:style>
  <w:style w:type="paragraph" w:styleId="862">
    <w:name w:val="索引 41"/>
    <w:basedOn w:val="771"/>
    <w:next w:val="771"/>
    <w:link w:val="771"/>
    <w:uiPriority w:val="99"/>
    <w:unhideWhenUsed/>
    <w:qFormat/>
    <w:pPr>
      <w:ind w:left="600"/>
    </w:pPr>
  </w:style>
  <w:style w:type="character" w:styleId="863">
    <w:name w:val="Heading 1 Char"/>
    <w:next w:val="863"/>
    <w:link w:val="771"/>
    <w:uiPriority w:val="9"/>
    <w:qFormat/>
    <w:rPr>
      <w:rFonts w:ascii="Arial" w:hAnsi="Arial" w:eastAsia="Arial" w:cs="Arial"/>
      <w:sz w:val="40"/>
      <w:szCs w:val="40"/>
    </w:rPr>
  </w:style>
  <w:style w:type="character" w:styleId="864">
    <w:name w:val="Heading 2 Char"/>
    <w:next w:val="864"/>
    <w:link w:val="771"/>
    <w:uiPriority w:val="9"/>
    <w:qFormat/>
    <w:rPr>
      <w:rFonts w:ascii="Arial" w:hAnsi="Arial" w:eastAsia="Arial" w:cs="Arial"/>
      <w:sz w:val="34"/>
    </w:rPr>
  </w:style>
  <w:style w:type="character" w:styleId="865">
    <w:name w:val="Heading 3 Char"/>
    <w:next w:val="865"/>
    <w:link w:val="771"/>
    <w:uiPriority w:val="9"/>
    <w:qFormat/>
    <w:rPr>
      <w:rFonts w:ascii="Arial" w:hAnsi="Arial" w:eastAsia="Arial" w:cs="Arial"/>
      <w:sz w:val="30"/>
      <w:szCs w:val="30"/>
    </w:rPr>
  </w:style>
  <w:style w:type="character" w:styleId="866">
    <w:name w:val="Heading 4 Char"/>
    <w:next w:val="866"/>
    <w:link w:val="771"/>
    <w:uiPriority w:val="9"/>
    <w:qFormat/>
    <w:rPr>
      <w:rFonts w:ascii="Arial" w:hAnsi="Arial" w:eastAsia="Arial" w:cs="Arial"/>
      <w:b/>
      <w:bCs/>
      <w:sz w:val="26"/>
      <w:szCs w:val="26"/>
    </w:rPr>
  </w:style>
  <w:style w:type="character" w:styleId="867">
    <w:name w:val="Heading 5 Char"/>
    <w:next w:val="867"/>
    <w:link w:val="771"/>
    <w:uiPriority w:val="9"/>
    <w:qFormat/>
    <w:rPr>
      <w:rFonts w:ascii="Arial" w:hAnsi="Arial" w:eastAsia="Arial" w:cs="Arial"/>
      <w:b/>
      <w:bCs/>
      <w:sz w:val="24"/>
      <w:szCs w:val="24"/>
    </w:rPr>
  </w:style>
  <w:style w:type="character" w:styleId="868">
    <w:name w:val="Heading 6 Char"/>
    <w:next w:val="868"/>
    <w:link w:val="771"/>
    <w:uiPriority w:val="9"/>
    <w:qFormat/>
    <w:rPr>
      <w:rFonts w:ascii="Arial" w:hAnsi="Arial" w:eastAsia="Arial" w:cs="Arial"/>
      <w:b/>
      <w:bCs/>
      <w:sz w:val="22"/>
      <w:szCs w:val="22"/>
    </w:rPr>
  </w:style>
  <w:style w:type="character" w:styleId="869">
    <w:name w:val="Heading 7 Char"/>
    <w:next w:val="869"/>
    <w:link w:val="771"/>
    <w:uiPriority w:val="9"/>
    <w:qFormat/>
    <w:rPr>
      <w:rFonts w:ascii="Arial" w:hAnsi="Arial" w:eastAsia="Arial" w:cs="Arial"/>
      <w:b/>
      <w:bCs/>
      <w:i/>
      <w:iCs/>
      <w:sz w:val="22"/>
      <w:szCs w:val="22"/>
    </w:rPr>
  </w:style>
  <w:style w:type="character" w:styleId="870">
    <w:name w:val="Heading 8 Char"/>
    <w:next w:val="870"/>
    <w:link w:val="771"/>
    <w:uiPriority w:val="9"/>
    <w:qFormat/>
    <w:rPr>
      <w:rFonts w:ascii="Arial" w:hAnsi="Arial" w:eastAsia="Arial" w:cs="Arial"/>
      <w:i/>
      <w:iCs/>
      <w:sz w:val="22"/>
      <w:szCs w:val="22"/>
    </w:rPr>
  </w:style>
  <w:style w:type="character" w:styleId="871">
    <w:name w:val="Heading 9 Char"/>
    <w:next w:val="871"/>
    <w:link w:val="771"/>
    <w:uiPriority w:val="9"/>
    <w:qFormat/>
    <w:rPr>
      <w:rFonts w:ascii="Arial" w:hAnsi="Arial" w:eastAsia="Arial" w:cs="Arial"/>
      <w:i/>
      <w:iCs/>
      <w:sz w:val="21"/>
      <w:szCs w:val="21"/>
    </w:rPr>
  </w:style>
  <w:style w:type="paragraph" w:styleId="872">
    <w:name w:val="列出段落"/>
    <w:basedOn w:val="771"/>
    <w:next w:val="872"/>
    <w:link w:val="771"/>
    <w:uiPriority w:val="34"/>
    <w:qFormat/>
    <w:pPr>
      <w:ind w:firstLine="420"/>
    </w:pPr>
  </w:style>
  <w:style w:type="paragraph" w:styleId="873">
    <w:name w:val="无间隔"/>
    <w:next w:val="873"/>
    <w:link w:val="771"/>
    <w:uiPriority w:val="1"/>
    <w:qFormat/>
    <w:rPr>
      <w:lang w:val="en-US" w:eastAsia="zh-CN" w:bidi="ar-SA"/>
    </w:rPr>
  </w:style>
  <w:style w:type="paragraph" w:styleId="874">
    <w:name w:val="引用"/>
    <w:basedOn w:val="771"/>
    <w:next w:val="771"/>
    <w:link w:val="875"/>
    <w:uiPriority w:val="29"/>
    <w:qFormat/>
    <w:pPr>
      <w:ind w:left="720" w:right="720"/>
    </w:pPr>
    <w:rPr>
      <w:i/>
    </w:rPr>
  </w:style>
  <w:style w:type="character" w:styleId="875">
    <w:name w:val="引用 Char"/>
    <w:next w:val="875"/>
    <w:link w:val="874"/>
    <w:uiPriority w:val="29"/>
    <w:qFormat/>
    <w:rPr>
      <w:i/>
    </w:rPr>
  </w:style>
  <w:style w:type="paragraph" w:styleId="876">
    <w:name w:val="明显引用"/>
    <w:basedOn w:val="771"/>
    <w:next w:val="771"/>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明显引用 Char"/>
    <w:next w:val="877"/>
    <w:link w:val="876"/>
    <w:uiPriority w:val="30"/>
    <w:qFormat/>
    <w:rPr>
      <w:i/>
    </w:rPr>
  </w:style>
  <w:style w:type="character" w:styleId="878">
    <w:name w:val="Header Char"/>
    <w:next w:val="878"/>
    <w:link w:val="771"/>
    <w:uiPriority w:val="99"/>
    <w:qFormat/>
  </w:style>
  <w:style w:type="character" w:styleId="879">
    <w:name w:val="Footer Char"/>
    <w:next w:val="879"/>
    <w:link w:val="771"/>
    <w:uiPriority w:val="99"/>
    <w:qFormat/>
  </w:style>
  <w:style w:type="character" w:styleId="880">
    <w:name w:val="Caption Char"/>
    <w:next w:val="880"/>
    <w:link w:val="771"/>
    <w:uiPriority w:val="99"/>
    <w:qFormat/>
  </w:style>
  <w:style w:type="table" w:styleId="881">
    <w:name w:val="Table Grid Light"/>
    <w:next w:val="881"/>
    <w:link w:val="771"/>
    <w:uiPriority w:val="59"/>
    <w:qFormat/>
    <w:rPr>
      <w:lang w:val="en-US" w:eastAsia="zh-CN" w:bidi="ar-SA"/>
    </w:rPr>
    <w:tblPr/>
  </w:style>
  <w:style w:type="table" w:styleId="882">
    <w:name w:val="Plain Table 1"/>
    <w:next w:val="882"/>
    <w:link w:val="771"/>
    <w:uiPriority w:val="59"/>
    <w:qFormat/>
    <w:rPr>
      <w:lang w:val="en-US" w:eastAsia="zh-CN" w:bidi="ar-SA"/>
    </w:rPr>
    <w:tblPr/>
  </w:style>
  <w:style w:type="table" w:styleId="883">
    <w:name w:val="Plain Table 2"/>
    <w:next w:val="883"/>
    <w:link w:val="771"/>
    <w:uiPriority w:val="59"/>
    <w:qFormat/>
    <w:rPr>
      <w:lang w:val="en-US" w:eastAsia="zh-CN" w:bidi="ar-SA"/>
    </w:rPr>
    <w:tblPr/>
  </w:style>
  <w:style w:type="table" w:styleId="884">
    <w:name w:val="Plain Table 3"/>
    <w:next w:val="884"/>
    <w:link w:val="771"/>
    <w:uiPriority w:val="99"/>
    <w:qFormat/>
    <w:rPr>
      <w:lang w:val="en-US" w:eastAsia="zh-CN" w:bidi="ar-SA"/>
    </w:rPr>
    <w:tblPr/>
  </w:style>
  <w:style w:type="table" w:styleId="885">
    <w:name w:val="Plain Table 4"/>
    <w:next w:val="885"/>
    <w:link w:val="771"/>
    <w:uiPriority w:val="99"/>
    <w:qFormat/>
    <w:rPr>
      <w:lang w:val="en-US" w:eastAsia="zh-CN" w:bidi="ar-SA"/>
    </w:rPr>
    <w:tblPr/>
  </w:style>
  <w:style w:type="table" w:styleId="886">
    <w:name w:val="Plain Table 5"/>
    <w:next w:val="886"/>
    <w:link w:val="771"/>
    <w:uiPriority w:val="99"/>
    <w:qFormat/>
    <w:rPr>
      <w:lang w:val="en-US" w:eastAsia="zh-CN" w:bidi="ar-SA"/>
    </w:rPr>
    <w:tblPr/>
  </w:style>
  <w:style w:type="table" w:styleId="887">
    <w:name w:val="Grid Table 1 Light"/>
    <w:next w:val="887"/>
    <w:link w:val="771"/>
    <w:uiPriority w:val="99"/>
    <w:qFormat/>
    <w:rPr>
      <w:lang w:val="en-US" w:eastAsia="zh-CN" w:bidi="ar-SA"/>
    </w:rPr>
    <w:tblPr/>
  </w:style>
  <w:style w:type="table" w:styleId="888">
    <w:name w:val="Grid Table 1 Light - Accent 1"/>
    <w:next w:val="888"/>
    <w:link w:val="771"/>
    <w:uiPriority w:val="99"/>
    <w:qFormat/>
    <w:rPr>
      <w:lang w:val="en-US" w:eastAsia="zh-CN" w:bidi="ar-SA"/>
    </w:rPr>
    <w:tblPr/>
  </w:style>
  <w:style w:type="table" w:styleId="889">
    <w:name w:val="Grid Table 1 Light - Accent 2"/>
    <w:next w:val="889"/>
    <w:link w:val="771"/>
    <w:uiPriority w:val="99"/>
    <w:qFormat/>
    <w:rPr>
      <w:lang w:val="en-US" w:eastAsia="zh-CN" w:bidi="ar-SA"/>
    </w:rPr>
    <w:tblPr/>
  </w:style>
  <w:style w:type="table" w:styleId="890">
    <w:name w:val="Grid Table 1 Light - Accent 3"/>
    <w:next w:val="890"/>
    <w:link w:val="771"/>
    <w:uiPriority w:val="99"/>
    <w:qFormat/>
    <w:rPr>
      <w:lang w:val="en-US" w:eastAsia="zh-CN" w:bidi="ar-SA"/>
    </w:rPr>
    <w:tblPr/>
  </w:style>
  <w:style w:type="table" w:styleId="891">
    <w:name w:val="Grid Table 1 Light - Accent 4"/>
    <w:next w:val="891"/>
    <w:link w:val="771"/>
    <w:uiPriority w:val="99"/>
    <w:qFormat/>
    <w:rPr>
      <w:lang w:val="en-US" w:eastAsia="zh-CN" w:bidi="ar-SA"/>
    </w:rPr>
    <w:tblPr/>
  </w:style>
  <w:style w:type="table" w:styleId="892">
    <w:name w:val="Grid Table 1 Light - Accent 5"/>
    <w:next w:val="892"/>
    <w:link w:val="771"/>
    <w:uiPriority w:val="99"/>
    <w:qFormat/>
    <w:rPr>
      <w:lang w:val="en-US" w:eastAsia="zh-CN" w:bidi="ar-SA"/>
    </w:rPr>
    <w:tblPr/>
  </w:style>
  <w:style w:type="table" w:styleId="893">
    <w:name w:val="Grid Table 1 Light - Accent 6"/>
    <w:next w:val="893"/>
    <w:link w:val="771"/>
    <w:uiPriority w:val="99"/>
    <w:qFormat/>
    <w:rPr>
      <w:lang w:val="en-US" w:eastAsia="zh-CN" w:bidi="ar-SA"/>
    </w:rPr>
    <w:tblPr/>
  </w:style>
  <w:style w:type="table" w:styleId="894">
    <w:name w:val="Grid Table 2"/>
    <w:next w:val="894"/>
    <w:link w:val="771"/>
    <w:uiPriority w:val="99"/>
    <w:qFormat/>
    <w:rPr>
      <w:lang w:val="en-US" w:eastAsia="zh-CN" w:bidi="ar-SA"/>
    </w:rPr>
    <w:tblPr/>
  </w:style>
  <w:style w:type="table" w:styleId="895">
    <w:name w:val="Grid Table 2 - Accent 1"/>
    <w:next w:val="895"/>
    <w:link w:val="771"/>
    <w:uiPriority w:val="99"/>
    <w:qFormat/>
    <w:rPr>
      <w:lang w:val="en-US" w:eastAsia="zh-CN" w:bidi="ar-SA"/>
    </w:rPr>
    <w:tblPr/>
  </w:style>
  <w:style w:type="table" w:styleId="896">
    <w:name w:val="Grid Table 2 - Accent 2"/>
    <w:next w:val="896"/>
    <w:link w:val="771"/>
    <w:uiPriority w:val="99"/>
    <w:qFormat/>
    <w:rPr>
      <w:lang w:val="en-US" w:eastAsia="zh-CN" w:bidi="ar-SA"/>
    </w:rPr>
    <w:tblPr/>
  </w:style>
  <w:style w:type="table" w:styleId="897">
    <w:name w:val="Grid Table 2 - Accent 3"/>
    <w:next w:val="897"/>
    <w:link w:val="771"/>
    <w:uiPriority w:val="99"/>
    <w:qFormat/>
    <w:rPr>
      <w:lang w:val="en-US" w:eastAsia="zh-CN" w:bidi="ar-SA"/>
    </w:rPr>
    <w:tblPr/>
  </w:style>
  <w:style w:type="table" w:styleId="898">
    <w:name w:val="Grid Table 2 - Accent 4"/>
    <w:next w:val="898"/>
    <w:link w:val="771"/>
    <w:uiPriority w:val="99"/>
    <w:qFormat/>
    <w:rPr>
      <w:lang w:val="en-US" w:eastAsia="zh-CN" w:bidi="ar-SA"/>
    </w:rPr>
    <w:tblPr/>
  </w:style>
  <w:style w:type="table" w:styleId="899">
    <w:name w:val="Grid Table 2 - Accent 5"/>
    <w:next w:val="899"/>
    <w:link w:val="771"/>
    <w:uiPriority w:val="99"/>
    <w:qFormat/>
    <w:rPr>
      <w:lang w:val="en-US" w:eastAsia="zh-CN" w:bidi="ar-SA"/>
    </w:rPr>
    <w:tblPr/>
  </w:style>
  <w:style w:type="table" w:styleId="900">
    <w:name w:val="Grid Table 2 - Accent 6"/>
    <w:next w:val="900"/>
    <w:link w:val="771"/>
    <w:uiPriority w:val="99"/>
    <w:qFormat/>
    <w:rPr>
      <w:lang w:val="en-US" w:eastAsia="zh-CN" w:bidi="ar-SA"/>
    </w:rPr>
    <w:tblPr/>
  </w:style>
  <w:style w:type="table" w:styleId="901">
    <w:name w:val="Grid Table 3"/>
    <w:next w:val="901"/>
    <w:link w:val="771"/>
    <w:uiPriority w:val="99"/>
    <w:qFormat/>
    <w:rPr>
      <w:lang w:val="en-US" w:eastAsia="zh-CN" w:bidi="ar-SA"/>
    </w:rPr>
    <w:tblPr/>
  </w:style>
  <w:style w:type="table" w:styleId="902">
    <w:name w:val="Grid Table 3 - Accent 1"/>
    <w:next w:val="902"/>
    <w:link w:val="771"/>
    <w:uiPriority w:val="99"/>
    <w:qFormat/>
    <w:rPr>
      <w:lang w:val="en-US" w:eastAsia="zh-CN" w:bidi="ar-SA"/>
    </w:rPr>
    <w:tblPr/>
  </w:style>
  <w:style w:type="table" w:styleId="903">
    <w:name w:val="Grid Table 3 - Accent 2"/>
    <w:next w:val="903"/>
    <w:link w:val="771"/>
    <w:uiPriority w:val="99"/>
    <w:qFormat/>
    <w:rPr>
      <w:lang w:val="en-US" w:eastAsia="zh-CN" w:bidi="ar-SA"/>
    </w:rPr>
    <w:tblPr/>
  </w:style>
  <w:style w:type="table" w:styleId="904">
    <w:name w:val="Grid Table 3 - Accent 3"/>
    <w:next w:val="904"/>
    <w:link w:val="771"/>
    <w:uiPriority w:val="99"/>
    <w:qFormat/>
    <w:rPr>
      <w:lang w:val="en-US" w:eastAsia="zh-CN" w:bidi="ar-SA"/>
    </w:rPr>
    <w:tblPr/>
  </w:style>
  <w:style w:type="table" w:styleId="905">
    <w:name w:val="Grid Table 3 - Accent 4"/>
    <w:next w:val="905"/>
    <w:link w:val="771"/>
    <w:uiPriority w:val="99"/>
    <w:qFormat/>
    <w:rPr>
      <w:lang w:val="en-US" w:eastAsia="zh-CN" w:bidi="ar-SA"/>
    </w:rPr>
    <w:tblPr/>
  </w:style>
  <w:style w:type="table" w:styleId="906">
    <w:name w:val="Grid Table 3 - Accent 5"/>
    <w:next w:val="906"/>
    <w:link w:val="771"/>
    <w:uiPriority w:val="99"/>
    <w:qFormat/>
    <w:rPr>
      <w:lang w:val="en-US" w:eastAsia="zh-CN" w:bidi="ar-SA"/>
    </w:rPr>
    <w:tblPr/>
  </w:style>
  <w:style w:type="table" w:styleId="907">
    <w:name w:val="Grid Table 3 - Accent 6"/>
    <w:next w:val="907"/>
    <w:link w:val="771"/>
    <w:uiPriority w:val="99"/>
    <w:qFormat/>
    <w:rPr>
      <w:lang w:val="en-US" w:eastAsia="zh-CN" w:bidi="ar-SA"/>
    </w:rPr>
    <w:tblPr/>
  </w:style>
  <w:style w:type="table" w:styleId="908">
    <w:name w:val="Grid Table 4"/>
    <w:next w:val="908"/>
    <w:link w:val="771"/>
    <w:uiPriority w:val="59"/>
    <w:qFormat/>
    <w:rPr>
      <w:lang w:val="en-US" w:eastAsia="zh-CN" w:bidi="ar-SA"/>
    </w:rPr>
    <w:tblPr/>
  </w:style>
  <w:style w:type="table" w:styleId="909">
    <w:name w:val="Grid Table 4 - Accent 1"/>
    <w:next w:val="909"/>
    <w:link w:val="771"/>
    <w:uiPriority w:val="59"/>
    <w:qFormat/>
    <w:rPr>
      <w:lang w:val="en-US" w:eastAsia="zh-CN" w:bidi="ar-SA"/>
    </w:rPr>
    <w:tblPr/>
  </w:style>
  <w:style w:type="table" w:styleId="910">
    <w:name w:val="Grid Table 4 - Accent 2"/>
    <w:next w:val="910"/>
    <w:link w:val="771"/>
    <w:uiPriority w:val="59"/>
    <w:qFormat/>
    <w:rPr>
      <w:lang w:val="en-US" w:eastAsia="zh-CN" w:bidi="ar-SA"/>
    </w:rPr>
    <w:tblPr/>
  </w:style>
  <w:style w:type="table" w:styleId="911">
    <w:name w:val="Grid Table 4 - Accent 3"/>
    <w:next w:val="911"/>
    <w:link w:val="771"/>
    <w:uiPriority w:val="59"/>
    <w:qFormat/>
    <w:rPr>
      <w:lang w:val="en-US" w:eastAsia="zh-CN" w:bidi="ar-SA"/>
    </w:rPr>
    <w:tblPr/>
  </w:style>
  <w:style w:type="table" w:styleId="912">
    <w:name w:val="Grid Table 4 - Accent 4"/>
    <w:next w:val="912"/>
    <w:link w:val="771"/>
    <w:uiPriority w:val="59"/>
    <w:qFormat/>
    <w:rPr>
      <w:lang w:val="en-US" w:eastAsia="zh-CN" w:bidi="ar-SA"/>
    </w:rPr>
    <w:tblPr/>
  </w:style>
  <w:style w:type="table" w:styleId="913">
    <w:name w:val="Grid Table 4 - Accent 5"/>
    <w:next w:val="913"/>
    <w:link w:val="771"/>
    <w:uiPriority w:val="59"/>
    <w:rPr>
      <w:lang w:val="en-US" w:eastAsia="zh-CN" w:bidi="ar-SA"/>
    </w:rPr>
    <w:tblPr/>
  </w:style>
  <w:style w:type="table" w:styleId="914">
    <w:name w:val="Grid Table 4 - Accent 6"/>
    <w:next w:val="914"/>
    <w:link w:val="771"/>
    <w:uiPriority w:val="59"/>
    <w:qFormat/>
    <w:rPr>
      <w:lang w:val="en-US" w:eastAsia="zh-CN" w:bidi="ar-SA"/>
    </w:rPr>
    <w:tblPr/>
  </w:style>
  <w:style w:type="table" w:styleId="915">
    <w:name w:val="Grid Table 5 Dark"/>
    <w:next w:val="915"/>
    <w:link w:val="771"/>
    <w:uiPriority w:val="99"/>
    <w:qFormat/>
    <w:rPr>
      <w:lang w:val="en-US" w:eastAsia="zh-CN" w:bidi="ar-SA"/>
    </w:rPr>
    <w:tblPr/>
  </w:style>
  <w:style w:type="table" w:styleId="916">
    <w:name w:val="Grid Table 5 Dark- Accent 1"/>
    <w:next w:val="916"/>
    <w:link w:val="771"/>
    <w:uiPriority w:val="99"/>
    <w:qFormat/>
    <w:rPr>
      <w:lang w:val="en-US" w:eastAsia="zh-CN" w:bidi="ar-SA"/>
    </w:rPr>
    <w:tblPr/>
  </w:style>
  <w:style w:type="table" w:styleId="917">
    <w:name w:val="Grid Table 5 Dark - Accent 2"/>
    <w:next w:val="917"/>
    <w:link w:val="771"/>
    <w:uiPriority w:val="99"/>
    <w:qFormat/>
    <w:rPr>
      <w:lang w:val="en-US" w:eastAsia="zh-CN" w:bidi="ar-SA"/>
    </w:rPr>
    <w:tblPr/>
  </w:style>
  <w:style w:type="table" w:styleId="918">
    <w:name w:val="Grid Table 5 Dark - Accent 3"/>
    <w:next w:val="918"/>
    <w:link w:val="771"/>
    <w:uiPriority w:val="99"/>
    <w:qFormat/>
    <w:rPr>
      <w:lang w:val="en-US" w:eastAsia="zh-CN" w:bidi="ar-SA"/>
    </w:rPr>
    <w:tblPr/>
  </w:style>
  <w:style w:type="table" w:styleId="919">
    <w:name w:val="Grid Table 5 Dark- Accent 4"/>
    <w:next w:val="919"/>
    <w:link w:val="771"/>
    <w:uiPriority w:val="99"/>
    <w:qFormat/>
    <w:rPr>
      <w:lang w:val="en-US" w:eastAsia="zh-CN" w:bidi="ar-SA"/>
    </w:rPr>
    <w:tblPr/>
  </w:style>
  <w:style w:type="table" w:styleId="920">
    <w:name w:val="Grid Table 5 Dark - Accent 5"/>
    <w:next w:val="920"/>
    <w:link w:val="771"/>
    <w:uiPriority w:val="99"/>
    <w:qFormat/>
    <w:rPr>
      <w:lang w:val="en-US" w:eastAsia="zh-CN" w:bidi="ar-SA"/>
    </w:rPr>
    <w:tblPr/>
  </w:style>
  <w:style w:type="table" w:styleId="921">
    <w:name w:val="Grid Table 5 Dark - Accent 6"/>
    <w:next w:val="921"/>
    <w:link w:val="771"/>
    <w:uiPriority w:val="99"/>
    <w:rPr>
      <w:lang w:val="en-US" w:eastAsia="zh-CN" w:bidi="ar-SA"/>
    </w:rPr>
    <w:tblPr/>
  </w:style>
  <w:style w:type="table" w:styleId="922">
    <w:name w:val="Grid Table 6 Colorful"/>
    <w:next w:val="922"/>
    <w:link w:val="771"/>
    <w:uiPriority w:val="99"/>
    <w:qFormat/>
    <w:rPr>
      <w:lang w:val="en-US" w:eastAsia="zh-CN" w:bidi="ar-SA"/>
    </w:rPr>
    <w:tblPr/>
  </w:style>
  <w:style w:type="table" w:styleId="923">
    <w:name w:val="Grid Table 6 Colorful - Accent 1"/>
    <w:next w:val="923"/>
    <w:link w:val="771"/>
    <w:uiPriority w:val="99"/>
    <w:qFormat/>
    <w:rPr>
      <w:lang w:val="en-US" w:eastAsia="zh-CN" w:bidi="ar-SA"/>
    </w:rPr>
    <w:tblPr/>
  </w:style>
  <w:style w:type="table" w:styleId="924">
    <w:name w:val="Grid Table 6 Colorful - Accent 2"/>
    <w:next w:val="924"/>
    <w:link w:val="771"/>
    <w:uiPriority w:val="99"/>
    <w:qFormat/>
    <w:rPr>
      <w:lang w:val="en-US" w:eastAsia="zh-CN" w:bidi="ar-SA"/>
    </w:rPr>
    <w:tblPr/>
  </w:style>
  <w:style w:type="table" w:styleId="925">
    <w:name w:val="Grid Table 6 Colorful - Accent 3"/>
    <w:next w:val="925"/>
    <w:link w:val="771"/>
    <w:uiPriority w:val="99"/>
    <w:qFormat/>
    <w:rPr>
      <w:lang w:val="en-US" w:eastAsia="zh-CN" w:bidi="ar-SA"/>
    </w:rPr>
    <w:tblPr/>
  </w:style>
  <w:style w:type="table" w:styleId="926">
    <w:name w:val="Grid Table 6 Colorful - Accent 4"/>
    <w:next w:val="926"/>
    <w:link w:val="771"/>
    <w:uiPriority w:val="99"/>
    <w:qFormat/>
    <w:rPr>
      <w:lang w:val="en-US" w:eastAsia="zh-CN" w:bidi="ar-SA"/>
    </w:rPr>
    <w:tblPr/>
  </w:style>
  <w:style w:type="table" w:styleId="927">
    <w:name w:val="Grid Table 6 Colorful - Accent 5"/>
    <w:next w:val="927"/>
    <w:link w:val="771"/>
    <w:uiPriority w:val="99"/>
    <w:qFormat/>
    <w:rPr>
      <w:lang w:val="en-US" w:eastAsia="zh-CN" w:bidi="ar-SA"/>
    </w:rPr>
    <w:tblPr/>
  </w:style>
  <w:style w:type="table" w:styleId="928">
    <w:name w:val="Grid Table 6 Colorful - Accent 6"/>
    <w:next w:val="928"/>
    <w:link w:val="771"/>
    <w:uiPriority w:val="99"/>
    <w:qFormat/>
    <w:rPr>
      <w:lang w:val="en-US" w:eastAsia="zh-CN" w:bidi="ar-SA"/>
    </w:rPr>
    <w:tblPr/>
  </w:style>
  <w:style w:type="table" w:styleId="929">
    <w:name w:val="Grid Table 7 Colorful"/>
    <w:next w:val="929"/>
    <w:link w:val="771"/>
    <w:uiPriority w:val="99"/>
    <w:qFormat/>
    <w:rPr>
      <w:lang w:val="en-US" w:eastAsia="zh-CN" w:bidi="ar-SA"/>
    </w:rPr>
    <w:tblPr/>
  </w:style>
  <w:style w:type="table" w:styleId="930">
    <w:name w:val="Grid Table 7 Colorful - Accent 1"/>
    <w:next w:val="930"/>
    <w:link w:val="771"/>
    <w:uiPriority w:val="99"/>
    <w:qFormat/>
    <w:rPr>
      <w:lang w:val="en-US" w:eastAsia="zh-CN" w:bidi="ar-SA"/>
    </w:rPr>
    <w:tblPr/>
  </w:style>
  <w:style w:type="table" w:styleId="931">
    <w:name w:val="Grid Table 7 Colorful - Accent 2"/>
    <w:next w:val="931"/>
    <w:link w:val="771"/>
    <w:uiPriority w:val="99"/>
    <w:qFormat/>
    <w:rPr>
      <w:lang w:val="en-US" w:eastAsia="zh-CN" w:bidi="ar-SA"/>
    </w:rPr>
    <w:tblPr/>
  </w:style>
  <w:style w:type="table" w:styleId="932">
    <w:name w:val="Grid Table 7 Colorful - Accent 3"/>
    <w:next w:val="932"/>
    <w:link w:val="771"/>
    <w:uiPriority w:val="99"/>
    <w:qFormat/>
    <w:rPr>
      <w:lang w:val="en-US" w:eastAsia="zh-CN" w:bidi="ar-SA"/>
    </w:rPr>
    <w:tblPr/>
  </w:style>
  <w:style w:type="table" w:styleId="933">
    <w:name w:val="Grid Table 7 Colorful - Accent 4"/>
    <w:next w:val="933"/>
    <w:link w:val="771"/>
    <w:uiPriority w:val="99"/>
    <w:qFormat/>
    <w:rPr>
      <w:lang w:val="en-US" w:eastAsia="zh-CN" w:bidi="ar-SA"/>
    </w:rPr>
    <w:tblPr/>
  </w:style>
  <w:style w:type="table" w:styleId="934">
    <w:name w:val="Grid Table 7 Colorful - Accent 5"/>
    <w:next w:val="934"/>
    <w:link w:val="771"/>
    <w:uiPriority w:val="99"/>
    <w:qFormat/>
    <w:rPr>
      <w:lang w:val="en-US" w:eastAsia="zh-CN" w:bidi="ar-SA"/>
    </w:rPr>
    <w:tblPr/>
  </w:style>
  <w:style w:type="table" w:styleId="935">
    <w:name w:val="Grid Table 7 Colorful - Accent 6"/>
    <w:next w:val="935"/>
    <w:link w:val="771"/>
    <w:uiPriority w:val="99"/>
    <w:qFormat/>
    <w:rPr>
      <w:lang w:val="en-US" w:eastAsia="zh-CN" w:bidi="ar-SA"/>
    </w:rPr>
    <w:tblPr/>
  </w:style>
  <w:style w:type="table" w:styleId="936">
    <w:name w:val="List Table 1 Light"/>
    <w:next w:val="936"/>
    <w:link w:val="771"/>
    <w:uiPriority w:val="99"/>
    <w:qFormat/>
    <w:rPr>
      <w:lang w:val="en-US" w:eastAsia="zh-CN" w:bidi="ar-SA"/>
    </w:rPr>
    <w:tblPr/>
  </w:style>
  <w:style w:type="table" w:styleId="937">
    <w:name w:val="List Table 1 Light - Accent 1"/>
    <w:next w:val="937"/>
    <w:link w:val="771"/>
    <w:uiPriority w:val="99"/>
    <w:qFormat/>
    <w:rPr>
      <w:lang w:val="en-US" w:eastAsia="zh-CN" w:bidi="ar-SA"/>
    </w:rPr>
    <w:tblPr/>
  </w:style>
  <w:style w:type="table" w:styleId="938">
    <w:name w:val="List Table 1 Light - Accent 2"/>
    <w:next w:val="938"/>
    <w:link w:val="771"/>
    <w:uiPriority w:val="99"/>
    <w:qFormat/>
    <w:rPr>
      <w:lang w:val="en-US" w:eastAsia="zh-CN" w:bidi="ar-SA"/>
    </w:rPr>
    <w:tblPr/>
  </w:style>
  <w:style w:type="table" w:styleId="939">
    <w:name w:val="List Table 1 Light - Accent 3"/>
    <w:next w:val="939"/>
    <w:link w:val="771"/>
    <w:uiPriority w:val="99"/>
    <w:qFormat/>
    <w:rPr>
      <w:lang w:val="en-US" w:eastAsia="zh-CN" w:bidi="ar-SA"/>
    </w:rPr>
    <w:tblPr/>
  </w:style>
  <w:style w:type="table" w:styleId="940">
    <w:name w:val="List Table 1 Light - Accent 4"/>
    <w:next w:val="940"/>
    <w:link w:val="771"/>
    <w:uiPriority w:val="99"/>
    <w:qFormat/>
    <w:rPr>
      <w:lang w:val="en-US" w:eastAsia="zh-CN" w:bidi="ar-SA"/>
    </w:rPr>
    <w:tblPr/>
  </w:style>
  <w:style w:type="table" w:styleId="941">
    <w:name w:val="List Table 1 Light - Accent 5"/>
    <w:next w:val="941"/>
    <w:link w:val="771"/>
    <w:uiPriority w:val="99"/>
    <w:qFormat/>
    <w:rPr>
      <w:lang w:val="en-US" w:eastAsia="zh-CN" w:bidi="ar-SA"/>
    </w:rPr>
    <w:tblPr/>
  </w:style>
  <w:style w:type="table" w:styleId="942">
    <w:name w:val="List Table 1 Light - Accent 6"/>
    <w:next w:val="942"/>
    <w:link w:val="771"/>
    <w:uiPriority w:val="99"/>
    <w:qFormat/>
    <w:rPr>
      <w:lang w:val="en-US" w:eastAsia="zh-CN" w:bidi="ar-SA"/>
    </w:rPr>
    <w:tblPr/>
  </w:style>
  <w:style w:type="table" w:styleId="943">
    <w:name w:val="List Table 2"/>
    <w:next w:val="943"/>
    <w:link w:val="771"/>
    <w:uiPriority w:val="99"/>
    <w:qFormat/>
    <w:rPr>
      <w:lang w:val="en-US" w:eastAsia="zh-CN" w:bidi="ar-SA"/>
    </w:rPr>
    <w:tblPr/>
  </w:style>
  <w:style w:type="table" w:styleId="944">
    <w:name w:val="List Table 2 - Accent 1"/>
    <w:next w:val="944"/>
    <w:link w:val="771"/>
    <w:uiPriority w:val="99"/>
    <w:qFormat/>
    <w:rPr>
      <w:lang w:val="en-US" w:eastAsia="zh-CN" w:bidi="ar-SA"/>
    </w:rPr>
    <w:tblPr/>
  </w:style>
  <w:style w:type="table" w:styleId="945">
    <w:name w:val="List Table 2 - Accent 2"/>
    <w:next w:val="945"/>
    <w:link w:val="771"/>
    <w:uiPriority w:val="99"/>
    <w:qFormat/>
    <w:rPr>
      <w:lang w:val="en-US" w:eastAsia="zh-CN" w:bidi="ar-SA"/>
    </w:rPr>
    <w:tblPr/>
  </w:style>
  <w:style w:type="table" w:styleId="946">
    <w:name w:val="List Table 2 - Accent 3"/>
    <w:next w:val="946"/>
    <w:link w:val="771"/>
    <w:uiPriority w:val="99"/>
    <w:qFormat/>
    <w:rPr>
      <w:lang w:val="en-US" w:eastAsia="zh-CN" w:bidi="ar-SA"/>
    </w:rPr>
    <w:tblPr/>
  </w:style>
  <w:style w:type="table" w:styleId="947">
    <w:name w:val="List Table 2 - Accent 4"/>
    <w:next w:val="947"/>
    <w:link w:val="771"/>
    <w:uiPriority w:val="99"/>
    <w:qFormat/>
    <w:rPr>
      <w:lang w:val="en-US" w:eastAsia="zh-CN" w:bidi="ar-SA"/>
    </w:rPr>
    <w:tblPr/>
  </w:style>
  <w:style w:type="table" w:styleId="948">
    <w:name w:val="List Table 2 - Accent 5"/>
    <w:next w:val="948"/>
    <w:link w:val="771"/>
    <w:uiPriority w:val="99"/>
    <w:qFormat/>
    <w:rPr>
      <w:lang w:val="en-US" w:eastAsia="zh-CN" w:bidi="ar-SA"/>
    </w:rPr>
    <w:tblPr/>
  </w:style>
  <w:style w:type="table" w:styleId="949">
    <w:name w:val="List Table 2 - Accent 6"/>
    <w:next w:val="949"/>
    <w:link w:val="771"/>
    <w:uiPriority w:val="99"/>
    <w:qFormat/>
    <w:rPr>
      <w:lang w:val="en-US" w:eastAsia="zh-CN" w:bidi="ar-SA"/>
    </w:rPr>
    <w:tblPr/>
  </w:style>
  <w:style w:type="table" w:styleId="950">
    <w:name w:val="List Table 3"/>
    <w:next w:val="950"/>
    <w:link w:val="771"/>
    <w:uiPriority w:val="99"/>
    <w:qFormat/>
    <w:rPr>
      <w:lang w:val="en-US" w:eastAsia="zh-CN" w:bidi="ar-SA"/>
    </w:rPr>
    <w:tblPr/>
  </w:style>
  <w:style w:type="table" w:styleId="951">
    <w:name w:val="List Table 3 - Accent 1"/>
    <w:next w:val="951"/>
    <w:link w:val="771"/>
    <w:uiPriority w:val="99"/>
    <w:qFormat/>
    <w:rPr>
      <w:lang w:val="en-US" w:eastAsia="zh-CN" w:bidi="ar-SA"/>
    </w:rPr>
    <w:tblPr/>
  </w:style>
  <w:style w:type="table" w:styleId="952">
    <w:name w:val="List Table 3 - Accent 2"/>
    <w:next w:val="952"/>
    <w:link w:val="771"/>
    <w:uiPriority w:val="99"/>
    <w:qFormat/>
    <w:rPr>
      <w:lang w:val="en-US" w:eastAsia="zh-CN" w:bidi="ar-SA"/>
    </w:rPr>
    <w:tblPr/>
  </w:style>
  <w:style w:type="table" w:styleId="953">
    <w:name w:val="List Table 3 - Accent 3"/>
    <w:next w:val="953"/>
    <w:link w:val="771"/>
    <w:uiPriority w:val="99"/>
    <w:qFormat/>
    <w:rPr>
      <w:lang w:val="en-US" w:eastAsia="zh-CN" w:bidi="ar-SA"/>
    </w:rPr>
    <w:tblPr/>
  </w:style>
  <w:style w:type="table" w:styleId="954">
    <w:name w:val="List Table 3 - Accent 4"/>
    <w:next w:val="954"/>
    <w:link w:val="771"/>
    <w:uiPriority w:val="99"/>
    <w:qFormat/>
    <w:rPr>
      <w:lang w:val="en-US" w:eastAsia="zh-CN" w:bidi="ar-SA"/>
    </w:rPr>
    <w:tblPr/>
  </w:style>
  <w:style w:type="table" w:styleId="955">
    <w:name w:val="List Table 3 - Accent 5"/>
    <w:next w:val="955"/>
    <w:link w:val="771"/>
    <w:uiPriority w:val="99"/>
    <w:qFormat/>
    <w:rPr>
      <w:lang w:val="en-US" w:eastAsia="zh-CN" w:bidi="ar-SA"/>
    </w:rPr>
    <w:tblPr/>
  </w:style>
  <w:style w:type="table" w:styleId="956">
    <w:name w:val="List Table 3 - Accent 6"/>
    <w:next w:val="956"/>
    <w:link w:val="771"/>
    <w:uiPriority w:val="99"/>
    <w:qFormat/>
    <w:rPr>
      <w:lang w:val="en-US" w:eastAsia="zh-CN" w:bidi="ar-SA"/>
    </w:rPr>
    <w:tblPr/>
  </w:style>
  <w:style w:type="table" w:styleId="957">
    <w:name w:val="List Table 4"/>
    <w:next w:val="957"/>
    <w:link w:val="771"/>
    <w:uiPriority w:val="99"/>
    <w:qFormat/>
    <w:rPr>
      <w:lang w:val="en-US" w:eastAsia="zh-CN" w:bidi="ar-SA"/>
    </w:rPr>
    <w:tblPr/>
  </w:style>
  <w:style w:type="table" w:styleId="958">
    <w:name w:val="List Table 4 - Accent 1"/>
    <w:next w:val="958"/>
    <w:link w:val="771"/>
    <w:uiPriority w:val="99"/>
    <w:qFormat/>
    <w:rPr>
      <w:lang w:val="en-US" w:eastAsia="zh-CN" w:bidi="ar-SA"/>
    </w:rPr>
    <w:tblPr/>
  </w:style>
  <w:style w:type="table" w:styleId="959">
    <w:name w:val="List Table 4 - Accent 2"/>
    <w:next w:val="959"/>
    <w:link w:val="771"/>
    <w:uiPriority w:val="99"/>
    <w:qFormat/>
    <w:rPr>
      <w:lang w:val="en-US" w:eastAsia="zh-CN" w:bidi="ar-SA"/>
    </w:rPr>
    <w:tblPr/>
  </w:style>
  <w:style w:type="table" w:styleId="960">
    <w:name w:val="List Table 4 - Accent 3"/>
    <w:next w:val="960"/>
    <w:link w:val="771"/>
    <w:uiPriority w:val="99"/>
    <w:qFormat/>
    <w:rPr>
      <w:lang w:val="en-US" w:eastAsia="zh-CN" w:bidi="ar-SA"/>
    </w:rPr>
    <w:tblPr/>
  </w:style>
  <w:style w:type="table" w:styleId="961">
    <w:name w:val="List Table 4 - Accent 4"/>
    <w:next w:val="961"/>
    <w:link w:val="771"/>
    <w:uiPriority w:val="99"/>
    <w:qFormat/>
    <w:rPr>
      <w:lang w:val="en-US" w:eastAsia="zh-CN" w:bidi="ar-SA"/>
    </w:rPr>
    <w:tblPr/>
  </w:style>
  <w:style w:type="table" w:styleId="962">
    <w:name w:val="List Table 4 - Accent 5"/>
    <w:next w:val="962"/>
    <w:link w:val="771"/>
    <w:uiPriority w:val="99"/>
    <w:qFormat/>
    <w:rPr>
      <w:lang w:val="en-US" w:eastAsia="zh-CN" w:bidi="ar-SA"/>
    </w:rPr>
    <w:tblPr/>
  </w:style>
  <w:style w:type="table" w:styleId="963">
    <w:name w:val="List Table 4 - Accent 6"/>
    <w:next w:val="963"/>
    <w:link w:val="771"/>
    <w:uiPriority w:val="99"/>
    <w:qFormat/>
    <w:rPr>
      <w:lang w:val="en-US" w:eastAsia="zh-CN" w:bidi="ar-SA"/>
    </w:rPr>
    <w:tblPr/>
  </w:style>
  <w:style w:type="table" w:styleId="964">
    <w:name w:val="List Table 5 Dark"/>
    <w:next w:val="964"/>
    <w:link w:val="771"/>
    <w:uiPriority w:val="99"/>
    <w:qFormat/>
    <w:rPr>
      <w:lang w:val="en-US" w:eastAsia="zh-CN" w:bidi="ar-SA"/>
    </w:rPr>
    <w:tblPr/>
  </w:style>
  <w:style w:type="table" w:styleId="965">
    <w:name w:val="List Table 5 Dark - Accent 1"/>
    <w:next w:val="965"/>
    <w:link w:val="771"/>
    <w:uiPriority w:val="99"/>
    <w:qFormat/>
    <w:rPr>
      <w:lang w:val="en-US" w:eastAsia="zh-CN" w:bidi="ar-SA"/>
    </w:rPr>
    <w:tblPr/>
  </w:style>
  <w:style w:type="table" w:styleId="966">
    <w:name w:val="List Table 5 Dark - Accent 2"/>
    <w:next w:val="966"/>
    <w:link w:val="771"/>
    <w:uiPriority w:val="99"/>
    <w:qFormat/>
    <w:rPr>
      <w:lang w:val="en-US" w:eastAsia="zh-CN" w:bidi="ar-SA"/>
    </w:rPr>
    <w:tblPr/>
  </w:style>
  <w:style w:type="table" w:styleId="967">
    <w:name w:val="List Table 5 Dark - Accent 3"/>
    <w:next w:val="967"/>
    <w:link w:val="771"/>
    <w:uiPriority w:val="99"/>
    <w:qFormat/>
    <w:rPr>
      <w:lang w:val="en-US" w:eastAsia="zh-CN" w:bidi="ar-SA"/>
    </w:rPr>
    <w:tblPr/>
  </w:style>
  <w:style w:type="table" w:styleId="968">
    <w:name w:val="List Table 5 Dark - Accent 4"/>
    <w:next w:val="968"/>
    <w:link w:val="771"/>
    <w:uiPriority w:val="99"/>
    <w:qFormat/>
    <w:rPr>
      <w:lang w:val="en-US" w:eastAsia="zh-CN" w:bidi="ar-SA"/>
    </w:rPr>
    <w:tblPr/>
  </w:style>
  <w:style w:type="table" w:styleId="969">
    <w:name w:val="List Table 5 Dark - Accent 5"/>
    <w:next w:val="969"/>
    <w:link w:val="771"/>
    <w:uiPriority w:val="99"/>
    <w:qFormat/>
    <w:rPr>
      <w:lang w:val="en-US" w:eastAsia="zh-CN" w:bidi="ar-SA"/>
    </w:rPr>
    <w:tblPr/>
  </w:style>
  <w:style w:type="table" w:styleId="970">
    <w:name w:val="List Table 5 Dark - Accent 6"/>
    <w:next w:val="970"/>
    <w:link w:val="771"/>
    <w:uiPriority w:val="99"/>
    <w:qFormat/>
    <w:rPr>
      <w:lang w:val="en-US" w:eastAsia="zh-CN" w:bidi="ar-SA"/>
    </w:rPr>
    <w:tblPr/>
  </w:style>
  <w:style w:type="table" w:styleId="971">
    <w:name w:val="List Table 6 Colorful"/>
    <w:next w:val="971"/>
    <w:link w:val="771"/>
    <w:uiPriority w:val="99"/>
    <w:qFormat/>
    <w:rPr>
      <w:lang w:val="en-US" w:eastAsia="zh-CN" w:bidi="ar-SA"/>
    </w:rPr>
    <w:tblPr/>
  </w:style>
  <w:style w:type="table" w:styleId="972">
    <w:name w:val="List Table 6 Colorful - Accent 1"/>
    <w:next w:val="972"/>
    <w:link w:val="771"/>
    <w:uiPriority w:val="99"/>
    <w:qFormat/>
    <w:rPr>
      <w:lang w:val="en-US" w:eastAsia="zh-CN" w:bidi="ar-SA"/>
    </w:rPr>
    <w:tblPr/>
  </w:style>
  <w:style w:type="table" w:styleId="973">
    <w:name w:val="List Table 6 Colorful - Accent 2"/>
    <w:next w:val="973"/>
    <w:link w:val="771"/>
    <w:uiPriority w:val="99"/>
    <w:qFormat/>
    <w:rPr>
      <w:lang w:val="en-US" w:eastAsia="zh-CN" w:bidi="ar-SA"/>
    </w:rPr>
    <w:tblPr/>
  </w:style>
  <w:style w:type="table" w:styleId="974">
    <w:name w:val="List Table 6 Colorful - Accent 3"/>
    <w:next w:val="974"/>
    <w:link w:val="771"/>
    <w:uiPriority w:val="99"/>
    <w:qFormat/>
    <w:rPr>
      <w:lang w:val="en-US" w:eastAsia="zh-CN" w:bidi="ar-SA"/>
    </w:rPr>
    <w:tblPr/>
  </w:style>
  <w:style w:type="table" w:styleId="975">
    <w:name w:val="List Table 6 Colorful - Accent 4"/>
    <w:next w:val="975"/>
    <w:link w:val="771"/>
    <w:uiPriority w:val="99"/>
    <w:qFormat/>
    <w:rPr>
      <w:lang w:val="en-US" w:eastAsia="zh-CN" w:bidi="ar-SA"/>
    </w:rPr>
    <w:tblPr/>
  </w:style>
  <w:style w:type="table" w:styleId="976">
    <w:name w:val="List Table 6 Colorful - Accent 5"/>
    <w:next w:val="976"/>
    <w:link w:val="771"/>
    <w:uiPriority w:val="99"/>
    <w:qFormat/>
    <w:rPr>
      <w:lang w:val="en-US" w:eastAsia="zh-CN" w:bidi="ar-SA"/>
    </w:rPr>
    <w:tblPr/>
  </w:style>
  <w:style w:type="table" w:styleId="977">
    <w:name w:val="List Table 6 Colorful - Accent 6"/>
    <w:next w:val="977"/>
    <w:link w:val="771"/>
    <w:uiPriority w:val="99"/>
    <w:qFormat/>
    <w:rPr>
      <w:lang w:val="en-US" w:eastAsia="zh-CN" w:bidi="ar-SA"/>
    </w:rPr>
    <w:tblPr/>
  </w:style>
  <w:style w:type="table" w:styleId="978">
    <w:name w:val="List Table 7 Colorful"/>
    <w:next w:val="978"/>
    <w:link w:val="771"/>
    <w:uiPriority w:val="99"/>
    <w:qFormat/>
    <w:rPr>
      <w:lang w:val="en-US" w:eastAsia="zh-CN" w:bidi="ar-SA"/>
    </w:rPr>
    <w:tblPr/>
  </w:style>
  <w:style w:type="table" w:styleId="979">
    <w:name w:val="List Table 7 Colorful - Accent 1"/>
    <w:next w:val="979"/>
    <w:link w:val="771"/>
    <w:uiPriority w:val="99"/>
    <w:qFormat/>
    <w:rPr>
      <w:lang w:val="en-US" w:eastAsia="zh-CN" w:bidi="ar-SA"/>
    </w:rPr>
    <w:tblPr/>
  </w:style>
  <w:style w:type="table" w:styleId="980">
    <w:name w:val="List Table 7 Colorful - Accent 2"/>
    <w:next w:val="980"/>
    <w:link w:val="771"/>
    <w:uiPriority w:val="99"/>
    <w:qFormat/>
    <w:rPr>
      <w:lang w:val="en-US" w:eastAsia="zh-CN" w:bidi="ar-SA"/>
    </w:rPr>
    <w:tblPr/>
  </w:style>
  <w:style w:type="table" w:styleId="981">
    <w:name w:val="List Table 7 Colorful - Accent 3"/>
    <w:next w:val="981"/>
    <w:link w:val="771"/>
    <w:uiPriority w:val="99"/>
    <w:qFormat/>
    <w:rPr>
      <w:lang w:val="en-US" w:eastAsia="zh-CN" w:bidi="ar-SA"/>
    </w:rPr>
    <w:tblPr/>
  </w:style>
  <w:style w:type="table" w:styleId="982">
    <w:name w:val="List Table 7 Colorful - Accent 4"/>
    <w:next w:val="982"/>
    <w:link w:val="771"/>
    <w:uiPriority w:val="99"/>
    <w:qFormat/>
    <w:rPr>
      <w:lang w:val="en-US" w:eastAsia="zh-CN" w:bidi="ar-SA"/>
    </w:rPr>
    <w:tblPr/>
  </w:style>
  <w:style w:type="table" w:styleId="983">
    <w:name w:val="List Table 7 Colorful - Accent 5"/>
    <w:next w:val="983"/>
    <w:link w:val="771"/>
    <w:uiPriority w:val="99"/>
    <w:qFormat/>
    <w:rPr>
      <w:lang w:val="en-US" w:eastAsia="zh-CN" w:bidi="ar-SA"/>
    </w:rPr>
    <w:tblPr/>
  </w:style>
  <w:style w:type="table" w:styleId="984">
    <w:name w:val="List Table 7 Colorful - Accent 6"/>
    <w:next w:val="984"/>
    <w:link w:val="771"/>
    <w:uiPriority w:val="99"/>
    <w:qFormat/>
    <w:rPr>
      <w:lang w:val="en-US" w:eastAsia="zh-CN" w:bidi="ar-SA"/>
    </w:rPr>
    <w:tblPr/>
  </w:style>
  <w:style w:type="table" w:styleId="985">
    <w:name w:val="Lined - Accent"/>
    <w:next w:val="985"/>
    <w:link w:val="771"/>
    <w:uiPriority w:val="99"/>
    <w:qFormat/>
    <w:rPr>
      <w:color w:val="404040"/>
      <w:lang w:val="en-US" w:eastAsia="zh-CN" w:bidi="ar-SA"/>
    </w:rPr>
    <w:tblPr/>
  </w:style>
  <w:style w:type="table" w:styleId="986">
    <w:name w:val="Lined - Accent 1"/>
    <w:next w:val="986"/>
    <w:link w:val="771"/>
    <w:uiPriority w:val="99"/>
    <w:qFormat/>
    <w:rPr>
      <w:color w:val="404040"/>
      <w:lang w:val="en-US" w:eastAsia="zh-CN" w:bidi="ar-SA"/>
    </w:rPr>
    <w:tblPr/>
  </w:style>
  <w:style w:type="table" w:styleId="987">
    <w:name w:val="Lined - Accent 2"/>
    <w:next w:val="987"/>
    <w:link w:val="771"/>
    <w:uiPriority w:val="99"/>
    <w:qFormat/>
    <w:rPr>
      <w:color w:val="404040"/>
      <w:lang w:val="en-US" w:eastAsia="zh-CN" w:bidi="ar-SA"/>
    </w:rPr>
    <w:tblPr/>
  </w:style>
  <w:style w:type="table" w:styleId="988">
    <w:name w:val="Lined - Accent 3"/>
    <w:next w:val="988"/>
    <w:link w:val="771"/>
    <w:uiPriority w:val="99"/>
    <w:qFormat/>
    <w:rPr>
      <w:color w:val="404040"/>
      <w:lang w:val="en-US" w:eastAsia="zh-CN" w:bidi="ar-SA"/>
    </w:rPr>
    <w:tblPr/>
  </w:style>
  <w:style w:type="table" w:styleId="989">
    <w:name w:val="Lined - Accent 4"/>
    <w:next w:val="989"/>
    <w:link w:val="771"/>
    <w:uiPriority w:val="99"/>
    <w:qFormat/>
    <w:rPr>
      <w:color w:val="404040"/>
      <w:lang w:val="en-US" w:eastAsia="zh-CN" w:bidi="ar-SA"/>
    </w:rPr>
    <w:tblPr/>
  </w:style>
  <w:style w:type="table" w:styleId="990">
    <w:name w:val="Lined - Accent 5"/>
    <w:next w:val="990"/>
    <w:link w:val="771"/>
    <w:uiPriority w:val="99"/>
    <w:qFormat/>
    <w:rPr>
      <w:color w:val="404040"/>
      <w:lang w:val="en-US" w:eastAsia="zh-CN" w:bidi="ar-SA"/>
    </w:rPr>
    <w:tblPr/>
  </w:style>
  <w:style w:type="table" w:styleId="991">
    <w:name w:val="Lined - Accent 6"/>
    <w:next w:val="991"/>
    <w:link w:val="771"/>
    <w:uiPriority w:val="99"/>
    <w:qFormat/>
    <w:rPr>
      <w:color w:val="404040"/>
      <w:lang w:val="en-US" w:eastAsia="zh-CN" w:bidi="ar-SA"/>
    </w:rPr>
    <w:tblPr/>
  </w:style>
  <w:style w:type="table" w:styleId="992">
    <w:name w:val="Bordered &amp; Lined - Accent"/>
    <w:next w:val="992"/>
    <w:link w:val="771"/>
    <w:uiPriority w:val="99"/>
    <w:qFormat/>
    <w:rPr>
      <w:color w:val="404040"/>
      <w:lang w:val="en-US" w:eastAsia="zh-CN" w:bidi="ar-SA"/>
    </w:rPr>
    <w:tblPr/>
  </w:style>
  <w:style w:type="table" w:styleId="993">
    <w:name w:val="Bordered &amp; Lined - Accent 1"/>
    <w:next w:val="993"/>
    <w:link w:val="771"/>
    <w:uiPriority w:val="99"/>
    <w:qFormat/>
    <w:rPr>
      <w:color w:val="404040"/>
      <w:lang w:val="en-US" w:eastAsia="zh-CN" w:bidi="ar-SA"/>
    </w:rPr>
    <w:tblPr/>
  </w:style>
  <w:style w:type="table" w:styleId="994">
    <w:name w:val="Bordered &amp; Lined - Accent 2"/>
    <w:next w:val="994"/>
    <w:link w:val="771"/>
    <w:uiPriority w:val="99"/>
    <w:qFormat/>
    <w:rPr>
      <w:color w:val="404040"/>
      <w:lang w:val="en-US" w:eastAsia="zh-CN" w:bidi="ar-SA"/>
    </w:rPr>
    <w:tblPr/>
  </w:style>
  <w:style w:type="table" w:styleId="995">
    <w:name w:val="Bordered &amp; Lined - Accent 3"/>
    <w:next w:val="995"/>
    <w:link w:val="771"/>
    <w:uiPriority w:val="99"/>
    <w:qFormat/>
    <w:rPr>
      <w:color w:val="404040"/>
      <w:lang w:val="en-US" w:eastAsia="zh-CN" w:bidi="ar-SA"/>
    </w:rPr>
    <w:tblPr/>
  </w:style>
  <w:style w:type="table" w:styleId="996">
    <w:name w:val="Bordered &amp; Lined - Accent 4"/>
    <w:next w:val="996"/>
    <w:link w:val="771"/>
    <w:uiPriority w:val="99"/>
    <w:qFormat/>
    <w:rPr>
      <w:color w:val="404040"/>
      <w:lang w:val="en-US" w:eastAsia="zh-CN" w:bidi="ar-SA"/>
    </w:rPr>
    <w:tblPr/>
  </w:style>
  <w:style w:type="table" w:styleId="997">
    <w:name w:val="Bordered &amp; Lined - Accent 5"/>
    <w:next w:val="997"/>
    <w:link w:val="771"/>
    <w:uiPriority w:val="99"/>
    <w:qFormat/>
    <w:rPr>
      <w:color w:val="404040"/>
      <w:lang w:val="en-US" w:eastAsia="zh-CN" w:bidi="ar-SA"/>
    </w:rPr>
    <w:tblPr/>
  </w:style>
  <w:style w:type="table" w:styleId="998">
    <w:name w:val="Bordered &amp; Lined - Accent 6"/>
    <w:next w:val="998"/>
    <w:link w:val="771"/>
    <w:uiPriority w:val="99"/>
    <w:qFormat/>
    <w:rPr>
      <w:color w:val="404040"/>
      <w:lang w:val="en-US" w:eastAsia="zh-CN" w:bidi="ar-SA"/>
    </w:rPr>
    <w:tblPr/>
  </w:style>
  <w:style w:type="table" w:styleId="999">
    <w:name w:val="Bordered"/>
    <w:next w:val="999"/>
    <w:link w:val="771"/>
    <w:uiPriority w:val="99"/>
    <w:qFormat/>
    <w:rPr>
      <w:lang w:val="en-US" w:eastAsia="zh-CN" w:bidi="ar-SA"/>
    </w:rPr>
    <w:tblPr/>
  </w:style>
  <w:style w:type="table" w:styleId="1000">
    <w:name w:val="Bordered - Accent 1"/>
    <w:next w:val="1000"/>
    <w:link w:val="771"/>
    <w:uiPriority w:val="99"/>
    <w:qFormat/>
    <w:rPr>
      <w:lang w:val="en-US" w:eastAsia="zh-CN" w:bidi="ar-SA"/>
    </w:rPr>
    <w:tblPr/>
  </w:style>
  <w:style w:type="table" w:styleId="1001">
    <w:name w:val="Bordered - Accent 2"/>
    <w:next w:val="1001"/>
    <w:link w:val="771"/>
    <w:uiPriority w:val="99"/>
    <w:qFormat/>
    <w:rPr>
      <w:lang w:val="en-US" w:eastAsia="zh-CN" w:bidi="ar-SA"/>
    </w:rPr>
    <w:tblPr/>
  </w:style>
  <w:style w:type="table" w:styleId="1002">
    <w:name w:val="Bordered - Accent 3"/>
    <w:next w:val="1002"/>
    <w:link w:val="771"/>
    <w:uiPriority w:val="99"/>
    <w:qFormat/>
    <w:rPr>
      <w:lang w:val="en-US" w:eastAsia="zh-CN" w:bidi="ar-SA"/>
    </w:rPr>
    <w:tblPr/>
  </w:style>
  <w:style w:type="table" w:styleId="1003">
    <w:name w:val="Bordered - Accent 4"/>
    <w:next w:val="1003"/>
    <w:link w:val="771"/>
    <w:uiPriority w:val="99"/>
    <w:qFormat/>
    <w:rPr>
      <w:lang w:val="en-US" w:eastAsia="zh-CN" w:bidi="ar-SA"/>
    </w:rPr>
    <w:tblPr/>
  </w:style>
  <w:style w:type="table" w:styleId="1004">
    <w:name w:val="Bordered - Accent 5"/>
    <w:next w:val="1004"/>
    <w:link w:val="771"/>
    <w:uiPriority w:val="99"/>
    <w:qFormat/>
    <w:rPr>
      <w:lang w:val="en-US" w:eastAsia="zh-CN" w:bidi="ar-SA"/>
    </w:rPr>
    <w:tblPr/>
  </w:style>
  <w:style w:type="table" w:styleId="1005">
    <w:name w:val="Bordered - Accent 6"/>
    <w:next w:val="1005"/>
    <w:link w:val="771"/>
    <w:uiPriority w:val="99"/>
    <w:qFormat/>
    <w:rPr>
      <w:lang w:val="en-US" w:eastAsia="zh-CN" w:bidi="ar-SA"/>
    </w:rPr>
    <w:tblPr/>
  </w:style>
  <w:style w:type="paragraph" w:styleId="1006">
    <w:name w:val="TOC 标题1"/>
    <w:next w:val="1006"/>
    <w:link w:val="771"/>
    <w:uiPriority w:val="39"/>
    <w:unhideWhenUsed/>
    <w:qFormat/>
    <w:rPr>
      <w:lang w:val="en-US" w:eastAsia="zh-CN" w:bidi="ar-SA"/>
    </w:rPr>
  </w:style>
  <w:style w:type="character" w:styleId="1007">
    <w:name w:val="已访问的超链接1"/>
    <w:next w:val="1007"/>
    <w:link w:val="771"/>
    <w:unhideWhenUsed/>
    <w:qFormat/>
    <w:rPr>
      <w:color w:val="800080"/>
      <w:u w:val="single"/>
    </w:rPr>
  </w:style>
  <w:style w:type="character" w:styleId="1008">
    <w:name w:val="标题 1 Char1"/>
    <w:next w:val="1008"/>
    <w:link w:val="771"/>
    <w:qFormat/>
    <w:rPr>
      <w:rFonts w:ascii="楷体_GB2312" w:hAnsi="Calibri" w:eastAsia="楷体_GB2312" w:cs="Times New Roman"/>
      <w:sz w:val="28"/>
      <w:szCs w:val="20"/>
    </w:rPr>
  </w:style>
  <w:style w:type="character" w:styleId="1009">
    <w:name w:val="标题 2 Char"/>
    <w:next w:val="1009"/>
    <w:link w:val="771"/>
    <w:uiPriority w:val="9"/>
    <w:semiHidden/>
    <w:qFormat/>
    <w:rPr>
      <w:rFonts w:ascii="Cambria" w:hAnsi="Cambria" w:eastAsia="宋体" w:cs="Times New Roman"/>
      <w:b/>
      <w:bCs/>
      <w:sz w:val="32"/>
      <w:szCs w:val="32"/>
    </w:rPr>
  </w:style>
  <w:style w:type="character" w:styleId="1010">
    <w:name w:val="标题 3 Char1"/>
    <w:next w:val="1010"/>
    <w:link w:val="771"/>
    <w:qFormat/>
    <w:rPr>
      <w:rFonts w:ascii="Calibri" w:hAnsi="Calibri" w:eastAsia="宋体" w:cs="Times New Roman"/>
      <w:b/>
      <w:sz w:val="32"/>
      <w:szCs w:val="20"/>
    </w:rPr>
  </w:style>
  <w:style w:type="character" w:styleId="1011">
    <w:name w:val="标题 4 Char1"/>
    <w:next w:val="1011"/>
    <w:link w:val="771"/>
    <w:qFormat/>
    <w:rPr>
      <w:rFonts w:ascii="Arial" w:hAnsi="Arial" w:eastAsia="黑体" w:cs="Times New Roman"/>
      <w:b/>
      <w:bCs/>
      <w:sz w:val="28"/>
      <w:szCs w:val="28"/>
    </w:rPr>
  </w:style>
  <w:style w:type="character" w:styleId="1012">
    <w:name w:val="标题 5 Char"/>
    <w:next w:val="1012"/>
    <w:link w:val="771"/>
    <w:uiPriority w:val="9"/>
    <w:semiHidden/>
    <w:qFormat/>
    <w:rPr>
      <w:rFonts w:ascii="Calibri" w:hAnsi="Calibri" w:eastAsia="宋体" w:cs="Times New Roman"/>
      <w:b/>
      <w:bCs/>
      <w:sz w:val="28"/>
      <w:szCs w:val="28"/>
    </w:rPr>
  </w:style>
  <w:style w:type="character" w:styleId="1013">
    <w:name w:val="标题 6 Char"/>
    <w:next w:val="1013"/>
    <w:link w:val="771"/>
    <w:uiPriority w:val="9"/>
    <w:semiHidden/>
    <w:qFormat/>
    <w:rPr>
      <w:rFonts w:ascii="Cambria" w:hAnsi="Cambria" w:eastAsia="宋体" w:cs="Times New Roman"/>
      <w:b/>
      <w:bCs/>
      <w:sz w:val="24"/>
      <w:szCs w:val="24"/>
    </w:rPr>
  </w:style>
  <w:style w:type="character" w:styleId="1014">
    <w:name w:val="标题 7 Char"/>
    <w:next w:val="1014"/>
    <w:link w:val="771"/>
    <w:uiPriority w:val="9"/>
    <w:semiHidden/>
    <w:qFormat/>
    <w:rPr>
      <w:rFonts w:ascii="Calibri" w:hAnsi="Calibri" w:eastAsia="宋体" w:cs="Times New Roman"/>
      <w:b/>
      <w:bCs/>
      <w:sz w:val="24"/>
      <w:szCs w:val="24"/>
    </w:rPr>
  </w:style>
  <w:style w:type="character" w:styleId="1015">
    <w:name w:val="标题 8 Char"/>
    <w:next w:val="1015"/>
    <w:link w:val="771"/>
    <w:uiPriority w:val="9"/>
    <w:semiHidden/>
    <w:qFormat/>
    <w:rPr>
      <w:rFonts w:ascii="Cambria" w:hAnsi="Cambria" w:eastAsia="宋体" w:cs="Times New Roman"/>
      <w:sz w:val="24"/>
      <w:szCs w:val="24"/>
    </w:rPr>
  </w:style>
  <w:style w:type="character" w:styleId="1016">
    <w:name w:val="标题 9 Char1"/>
    <w:next w:val="1016"/>
    <w:link w:val="771"/>
    <w:qFormat/>
    <w:rPr>
      <w:rFonts w:ascii="Arial" w:hAnsi="Arial" w:eastAsia="黑体" w:cs="Times New Roman"/>
      <w:szCs w:val="21"/>
    </w:rPr>
  </w:style>
  <w:style w:type="character" w:styleId="1017">
    <w:name w:val="font21"/>
    <w:next w:val="1017"/>
    <w:link w:val="771"/>
    <w:qFormat/>
    <w:rPr>
      <w:rFonts w:hint="eastAsia" w:ascii="宋体" w:hAnsi="宋体" w:eastAsia="宋体" w:cs="宋体"/>
      <w:b/>
      <w:bCs/>
      <w:color w:val="000000"/>
      <w:sz w:val="22"/>
      <w:szCs w:val="22"/>
      <w:u w:val="none"/>
    </w:rPr>
  </w:style>
  <w:style w:type="character" w:styleId="1018">
    <w:name w:val="正文缩进 Char"/>
    <w:next w:val="1018"/>
    <w:link w:val="771"/>
    <w:qFormat/>
    <w:rPr>
      <w:rFonts w:eastAsia="宋体" w:cs="Times New Roman"/>
      <w:sz w:val="21"/>
      <w:lang w:val="en-US" w:eastAsia="zh-CN" w:bidi="ar-SA"/>
    </w:rPr>
  </w:style>
  <w:style w:type="character" w:styleId="1019">
    <w:name w:val="未处理的提及"/>
    <w:next w:val="1019"/>
    <w:link w:val="771"/>
    <w:uiPriority w:val="99"/>
    <w:unhideWhenUsed/>
    <w:qFormat/>
    <w:rPr>
      <w:color w:val="605e5c"/>
      <w:shd w:val="clear" w:color="auto" w:fill="e1dfdd"/>
    </w:rPr>
  </w:style>
  <w:style w:type="character" w:styleId="1020">
    <w:name w:val="页眉 字符"/>
    <w:next w:val="1020"/>
    <w:link w:val="771"/>
    <w:uiPriority w:val="99"/>
    <w:qFormat/>
    <w:rPr>
      <w:sz w:val="18"/>
      <w:szCs w:val="18"/>
    </w:rPr>
  </w:style>
  <w:style w:type="character" w:styleId="1021">
    <w:name w:val="正文文本 2 字符"/>
    <w:next w:val="1021"/>
    <w:link w:val="771"/>
    <w:qFormat/>
    <w:rPr>
      <w:rFonts w:ascii="仿宋_GB2312" w:eastAsia="仿宋_GB2312"/>
      <w:sz w:val="44"/>
      <w:szCs w:val="24"/>
    </w:rPr>
  </w:style>
  <w:style w:type="character" w:styleId="1022">
    <w:name w:val="二级目录 Char"/>
    <w:next w:val="1022"/>
    <w:link w:val="1023"/>
    <w:qFormat/>
    <w:rPr>
      <w:b/>
      <w:sz w:val="30"/>
      <w:szCs w:val="28"/>
      <w:lang w:val="en-US" w:eastAsia="zh-CN" w:bidi="ar-SA"/>
    </w:rPr>
  </w:style>
  <w:style w:type="paragraph" w:styleId="1023">
    <w:name w:val="二级目录"/>
    <w:next w:val="771"/>
    <w:link w:val="1022"/>
    <w:qFormat/>
    <w:pPr>
      <w:ind w:left="907" w:hanging="907"/>
      <w:tabs>
        <w:tab w:val="left" w:pos="907" w:leader="none"/>
        <w:tab w:val="left" w:pos="1145" w:leader="none"/>
      </w:tabs>
      <w:outlineLvl w:val="1"/>
    </w:pPr>
    <w:rPr>
      <w:b/>
      <w:sz w:val="30"/>
      <w:szCs w:val="28"/>
      <w:lang w:val="en-US" w:eastAsia="zh-CN" w:bidi="ar-SA"/>
    </w:rPr>
  </w:style>
  <w:style w:type="character" w:styleId="1024">
    <w:name w:val="正文文本 3 字符"/>
    <w:next w:val="1024"/>
    <w:link w:val="771"/>
    <w:qFormat/>
    <w:rPr>
      <w:rFonts w:ascii="仿宋_GB2312" w:hAnsi="Arial" w:eastAsia="仿宋_GB2312"/>
      <w:sz w:val="32"/>
    </w:rPr>
  </w:style>
  <w:style w:type="character" w:styleId="1025">
    <w:name w:val="正文缩进 字符1"/>
    <w:next w:val="1025"/>
    <w:link w:val="771"/>
    <w:qFormat/>
    <w:rPr>
      <w:rFonts w:eastAsia="宋体"/>
      <w:sz w:val="21"/>
      <w:lang w:val="en-US" w:eastAsia="zh-CN" w:bidi="ar-SA"/>
    </w:rPr>
  </w:style>
  <w:style w:type="character" w:styleId="1026">
    <w:name w:val="列出段落 Char"/>
    <w:next w:val="1026"/>
    <w:link w:val="1027"/>
    <w:qFormat/>
    <w:rPr>
      <w:rFonts w:ascii="Calibri" w:hAnsi="Calibri"/>
      <w:sz w:val="24"/>
      <w:szCs w:val="24"/>
      <w:lang w:eastAsia="en-US" w:bidi="en-US"/>
    </w:rPr>
  </w:style>
  <w:style w:type="paragraph" w:styleId="1027">
    <w:name w:val="列出段落1"/>
    <w:basedOn w:val="771"/>
    <w:next w:val="1027"/>
    <w:link w:val="1026"/>
    <w:qFormat/>
    <w:pPr>
      <w:contextualSpacing/>
      <w:ind w:left="720"/>
      <w:jc w:val="left"/>
      <w:widowControl/>
    </w:pPr>
    <w:rPr>
      <w:sz w:val="24"/>
      <w:lang w:eastAsia="en-US" w:bidi="en-US"/>
    </w:rPr>
  </w:style>
  <w:style w:type="character" w:styleId="1028">
    <w:name w:val="日期 字符"/>
    <w:next w:val="1028"/>
    <w:link w:val="771"/>
    <w:qFormat/>
    <w:rPr>
      <w:sz w:val="24"/>
    </w:rPr>
  </w:style>
  <w:style w:type="character" w:styleId="1029">
    <w:name w:val="纯文本 Char"/>
    <w:next w:val="1029"/>
    <w:link w:val="771"/>
    <w:qFormat/>
    <w:rPr>
      <w:rFonts w:ascii="宋体" w:hAnsi="Courier New" w:cs="Courier New"/>
      <w:sz w:val="21"/>
      <w:szCs w:val="21"/>
    </w:rPr>
  </w:style>
  <w:style w:type="character" w:styleId="1030">
    <w:name w:val="批注文字 字符"/>
    <w:next w:val="1030"/>
    <w:link w:val="771"/>
    <w:qFormat/>
    <w:rPr>
      <w:szCs w:val="24"/>
    </w:rPr>
  </w:style>
  <w:style w:type="character" w:styleId="1031">
    <w:name w:val="批注主题 字符"/>
    <w:next w:val="1031"/>
    <w:link w:val="771"/>
    <w:qFormat/>
    <w:rPr>
      <w:b/>
      <w:bCs/>
      <w:szCs w:val="24"/>
    </w:rPr>
  </w:style>
  <w:style w:type="character" w:styleId="1032">
    <w:name w:val="普通正文 Char"/>
    <w:next w:val="1032"/>
    <w:link w:val="1033"/>
    <w:qFormat/>
    <w:rPr>
      <w:rFonts w:ascii="Arial" w:hAnsi="Arial"/>
      <w:sz w:val="24"/>
      <w:szCs w:val="24"/>
    </w:rPr>
  </w:style>
  <w:style w:type="paragraph" w:styleId="1033">
    <w:name w:val="普通正文"/>
    <w:basedOn w:val="771"/>
    <w:next w:val="1033"/>
    <w:link w:val="1032"/>
    <w:qFormat/>
    <w:pPr>
      <w:ind w:firstLine="480"/>
      <w:jc w:val="left"/>
      <w:spacing w:before="120" w:after="120" w:line="360" w:lineRule="auto"/>
    </w:pPr>
    <w:rPr>
      <w:rFonts w:ascii="Arial" w:hAnsi="Arial"/>
      <w:sz w:val="24"/>
    </w:rPr>
  </w:style>
  <w:style w:type="character" w:styleId="1034">
    <w:name w:val="正文文本首行缩进 2 字符"/>
    <w:next w:val="1034"/>
    <w:link w:val="771"/>
    <w:qFormat/>
    <w:rPr>
      <w:rFonts w:ascii="宋体" w:hAnsi="宋体" w:eastAsia="楷体_GB2312"/>
      <w:sz w:val="21"/>
    </w:rPr>
  </w:style>
  <w:style w:type="character" w:styleId="1035">
    <w:name w:val="正文文本 字符1"/>
    <w:next w:val="1035"/>
    <w:link w:val="771"/>
    <w:qFormat/>
    <w:rPr>
      <w:rFonts w:ascii="楷体_GB2312" w:hAnsi="Arial" w:eastAsia="楷体_GB2312"/>
      <w:sz w:val="28"/>
    </w:rPr>
  </w:style>
  <w:style w:type="character" w:styleId="1036">
    <w:name w:val="纯文本 字符"/>
    <w:next w:val="1036"/>
    <w:link w:val="771"/>
    <w:uiPriority w:val="99"/>
    <w:qFormat/>
    <w:rPr>
      <w:rFonts w:ascii="宋体" w:hAnsi="Courier New"/>
    </w:rPr>
  </w:style>
  <w:style w:type="character" w:styleId="1037">
    <w:name w:val="font5 Char"/>
    <w:next w:val="1037"/>
    <w:link w:val="771"/>
    <w:qFormat/>
    <w:rPr>
      <w:rFonts w:ascii="宋体" w:hAnsi="宋体" w:eastAsia="宋体"/>
      <w:sz w:val="28"/>
      <w:szCs w:val="28"/>
      <w:lang w:val="en-US" w:eastAsia="zh-CN" w:bidi="ar-SA"/>
    </w:rPr>
  </w:style>
  <w:style w:type="character" w:styleId="1038">
    <w:name w:val="标题2 Char"/>
    <w:next w:val="1038"/>
    <w:link w:val="771"/>
    <w:qFormat/>
    <w:rPr>
      <w:rFonts w:ascii="方正楷体_GBK" w:hAnsi="Book Antiqua" w:eastAsia="方正楷体_GBK"/>
      <w:sz w:val="32"/>
      <w:lang w:val="en-US" w:eastAsia="zh-CN" w:bidi="ar-SA"/>
    </w:rPr>
  </w:style>
  <w:style w:type="character" w:styleId="1039">
    <w:name w:val="正文文本缩进 3 字符"/>
    <w:next w:val="1039"/>
    <w:link w:val="771"/>
    <w:qFormat/>
    <w:rPr>
      <w:rFonts w:ascii="仿宋_GB2312" w:hAnsi="宋体" w:eastAsia="仿宋_GB2312"/>
      <w:sz w:val="24"/>
      <w:szCs w:val="24"/>
    </w:rPr>
  </w:style>
  <w:style w:type="character" w:styleId="1040">
    <w:name w:val="批注框文本 字符"/>
    <w:next w:val="1040"/>
    <w:link w:val="771"/>
    <w:semiHidden/>
    <w:qFormat/>
    <w:rPr>
      <w:sz w:val="18"/>
      <w:szCs w:val="18"/>
    </w:rPr>
  </w:style>
  <w:style w:type="character" w:styleId="1041">
    <w:name w:val="正文文本首行缩进 字符"/>
    <w:next w:val="1041"/>
    <w:link w:val="771"/>
    <w:qFormat/>
    <w:rPr>
      <w:rFonts w:ascii="仿宋_GB2312" w:hAnsi="Times New Roman" w:eastAsia="仿宋_GB2312"/>
      <w:sz w:val="30"/>
      <w:szCs w:val="30"/>
    </w:rPr>
  </w:style>
  <w:style w:type="character" w:styleId="1042">
    <w:name w:val="批注引用1"/>
    <w:next w:val="1042"/>
    <w:link w:val="771"/>
    <w:semiHidden/>
    <w:qFormat/>
    <w:rPr>
      <w:rFonts w:ascii="Calibri" w:hAnsi="Calibri"/>
      <w:sz w:val="21"/>
      <w:szCs w:val="24"/>
      <w:lang w:val="en-US" w:eastAsia="zh-CN" w:bidi="ar-SA"/>
    </w:rPr>
  </w:style>
  <w:style w:type="character" w:styleId="1043">
    <w:name w:val="正文文本 字符"/>
    <w:next w:val="1043"/>
    <w:link w:val="771"/>
    <w:qFormat/>
    <w:rPr>
      <w:rFonts w:ascii="楷体_GB2312" w:hAnsi="Arial" w:eastAsia="楷体_GB2312" w:cs="Times New Roman"/>
      <w:sz w:val="28"/>
      <w:szCs w:val="28"/>
    </w:rPr>
  </w:style>
  <w:style w:type="character" w:styleId="1044">
    <w:name w:val="NormalCharacter1"/>
    <w:next w:val="1044"/>
    <w:link w:val="771"/>
    <w:semiHidden/>
    <w:qFormat/>
  </w:style>
  <w:style w:type="character" w:styleId="1045">
    <w:name w:val="font41"/>
    <w:next w:val="1045"/>
    <w:link w:val="771"/>
    <w:qFormat/>
    <w:rPr>
      <w:rFonts w:ascii="Times New Roman" w:hAnsi="Times New Roman" w:cs="Times New Roman"/>
      <w:color w:val="000000"/>
      <w:sz w:val="28"/>
      <w:szCs w:val="28"/>
      <w:u w:val="none"/>
    </w:rPr>
  </w:style>
  <w:style w:type="character" w:styleId="1046">
    <w:name w:val="jj1"/>
    <w:next w:val="1046"/>
    <w:link w:val="771"/>
    <w:qFormat/>
    <w:rPr>
      <w:sz w:val="20"/>
      <w:szCs w:val="20"/>
      <w:u w:val="none"/>
    </w:rPr>
  </w:style>
  <w:style w:type="character" w:styleId="1047">
    <w:name w:val="font31"/>
    <w:next w:val="1047"/>
    <w:link w:val="771"/>
    <w:qFormat/>
    <w:rPr>
      <w:rFonts w:ascii="仿宋_GB2312" w:eastAsia="仿宋_GB2312" w:cs="仿宋_GB2312"/>
      <w:color w:val="000000"/>
      <w:sz w:val="28"/>
      <w:szCs w:val="28"/>
      <w:u w:val="none"/>
    </w:rPr>
  </w:style>
  <w:style w:type="character" w:styleId="1048">
    <w:name w:val="文档结构图 字符"/>
    <w:next w:val="1048"/>
    <w:link w:val="771"/>
    <w:semiHidden/>
    <w:qFormat/>
    <w:rPr>
      <w:szCs w:val="24"/>
      <w:shd w:val="clear" w:color="auto" w:fill="000080"/>
    </w:rPr>
  </w:style>
  <w:style w:type="character" w:styleId="1049">
    <w:name w:val="正文文本缩进 字符1"/>
    <w:next w:val="1049"/>
    <w:link w:val="771"/>
    <w:qFormat/>
    <w:rPr>
      <w:rFonts w:ascii="楷体_GB2312" w:eastAsia="楷体_GB2312"/>
      <w:sz w:val="32"/>
    </w:rPr>
  </w:style>
  <w:style w:type="character" w:styleId="1050">
    <w:name w:val="正文文本缩进 2 字符"/>
    <w:next w:val="1050"/>
    <w:link w:val="771"/>
    <w:qFormat/>
    <w:rPr>
      <w:rFonts w:ascii="宋体" w:hAnsi="宋体"/>
      <w:sz w:val="28"/>
      <w:szCs w:val="24"/>
    </w:rPr>
  </w:style>
  <w:style w:type="character" w:styleId="1051">
    <w:name w:val="页脚 字符"/>
    <w:next w:val="1051"/>
    <w:link w:val="771"/>
    <w:qFormat/>
    <w:rPr>
      <w:sz w:val="18"/>
    </w:rPr>
  </w:style>
  <w:style w:type="character" w:styleId="1052">
    <w:name w:val="HTML 预设格式 字符"/>
    <w:next w:val="1052"/>
    <w:link w:val="771"/>
    <w:uiPriority w:val="99"/>
    <w:qFormat/>
    <w:rPr>
      <w:rFonts w:ascii="黑体" w:hAnsi="Courier New" w:eastAsia="黑体" w:cs="Times New Roman"/>
      <w:sz w:val="20"/>
      <w:szCs w:val="20"/>
    </w:rPr>
  </w:style>
  <w:style w:type="character" w:styleId="1053">
    <w:name w:val="正文文本缩进 字符"/>
    <w:next w:val="1053"/>
    <w:link w:val="771"/>
    <w:qFormat/>
    <w:rPr>
      <w:rFonts w:ascii="楷体_GB2312" w:hAnsi="Times New Roman" w:eastAsia="楷体_GB2312" w:cs="Times New Roman"/>
      <w:sz w:val="32"/>
      <w:szCs w:val="32"/>
    </w:rPr>
  </w:style>
  <w:style w:type="character" w:styleId="1054">
    <w:name w:val="纯文本 字符1"/>
    <w:next w:val="1054"/>
    <w:link w:val="771"/>
    <w:uiPriority w:val="99"/>
    <w:semiHidden/>
    <w:qFormat/>
    <w:rPr>
      <w:rFonts w:ascii="等线" w:hAnsi="Courier New" w:cs="Courier New"/>
      <w:szCs w:val="21"/>
    </w:rPr>
  </w:style>
  <w:style w:type="paragraph" w:styleId="1055">
    <w:name w:val="Char Char Char Char"/>
    <w:basedOn w:val="797"/>
    <w:next w:val="1055"/>
    <w:link w:val="771"/>
    <w:qFormat/>
    <w:pPr>
      <w:spacing w:line="360" w:lineRule="auto"/>
    </w:pPr>
    <w:rPr>
      <w:rFonts w:ascii="Tahoma" w:hAnsi="Tahoma"/>
      <w:sz w:val="24"/>
    </w:rPr>
  </w:style>
  <w:style w:type="paragraph" w:styleId="1056">
    <w:name w:val="Char"/>
    <w:basedOn w:val="771"/>
    <w:next w:val="1056"/>
    <w:link w:val="771"/>
    <w:qFormat/>
    <w:pPr>
      <w:ind w:firstLine="561"/>
      <w:jc w:val="left"/>
      <w:tabs>
        <w:tab w:val="left" w:pos="360" w:leader="none"/>
      </w:tabs>
    </w:pPr>
    <w:rPr>
      <w:sz w:val="24"/>
      <w:u w:val="single"/>
    </w:rPr>
  </w:style>
  <w:style w:type="paragraph" w:styleId="1057">
    <w:name w:val="font7"/>
    <w:basedOn w:val="771"/>
    <w:next w:val="1057"/>
    <w:link w:val="771"/>
    <w:qFormat/>
    <w:pPr>
      <w:jc w:val="left"/>
      <w:spacing w:before="100" w:beforeAutospacing="1" w:after="100" w:afterAutospacing="1"/>
      <w:widowControl/>
    </w:pPr>
    <w:rPr>
      <w:rFonts w:hint="eastAsia" w:ascii="宋体" w:hAnsi="宋体"/>
      <w:sz w:val="18"/>
      <w:szCs w:val="18"/>
    </w:rPr>
  </w:style>
  <w:style w:type="paragraph" w:styleId="1058">
    <w:name w:val="首行缩进"/>
    <w:basedOn w:val="771"/>
    <w:next w:val="1058"/>
    <w:link w:val="771"/>
    <w:uiPriority w:val="99"/>
    <w:qFormat/>
    <w:pPr>
      <w:ind w:left="420" w:firstLine="480"/>
      <w:spacing w:line="400" w:lineRule="exact"/>
    </w:pPr>
    <w:rPr>
      <w:szCs w:val="20"/>
    </w:rPr>
  </w:style>
  <w:style w:type="paragraph" w:styleId="1059">
    <w:name w:val="Heading #2|1"/>
    <w:basedOn w:val="771"/>
    <w:next w:val="1059"/>
    <w:link w:val="771"/>
    <w:qFormat/>
    <w:pPr>
      <w:jc w:val="center"/>
      <w:spacing w:after="500" w:line="571" w:lineRule="exact"/>
      <w:outlineLvl w:val="1"/>
    </w:pPr>
    <w:rPr>
      <w:rFonts w:ascii="宋体" w:hAnsi="宋体" w:cs="宋体"/>
      <w:sz w:val="34"/>
      <w:szCs w:val="34"/>
      <w:lang w:val="zh-TW" w:eastAsia="zh-TW" w:bidi="zh-TW"/>
    </w:rPr>
  </w:style>
  <w:style w:type="paragraph" w:styleId="1060">
    <w:name w:val="font5"/>
    <w:basedOn w:val="771"/>
    <w:next w:val="1060"/>
    <w:link w:val="771"/>
    <w:qFormat/>
    <w:pPr>
      <w:jc w:val="left"/>
      <w:spacing w:before="100" w:beforeAutospacing="1" w:after="100" w:afterAutospacing="1"/>
      <w:widowControl/>
    </w:pPr>
    <w:rPr>
      <w:rFonts w:hint="eastAsia" w:ascii="宋体" w:hAnsi="宋体"/>
      <w:sz w:val="28"/>
      <w:szCs w:val="28"/>
    </w:rPr>
  </w:style>
  <w:style w:type="paragraph" w:styleId="1061">
    <w:name w:val="xl26"/>
    <w:basedOn w:val="771"/>
    <w:next w:val="1061"/>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2">
    <w:name w:val="xl28"/>
    <w:basedOn w:val="771"/>
    <w:next w:val="1062"/>
    <w:link w:val="7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3">
    <w:name w:val="xl24"/>
    <w:basedOn w:val="771"/>
    <w:next w:val="1063"/>
    <w:link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4">
    <w:name w:val="正文 1.1.1"/>
    <w:basedOn w:val="771"/>
    <w:next w:val="771"/>
    <w:link w:val="771"/>
    <w:qFormat/>
    <w:pPr>
      <w:numPr>
        <w:ilvl w:val="2"/>
        <w:numId w:val="2"/>
      </w:numPr>
      <w:spacing w:line="360" w:lineRule="auto"/>
      <w:tabs>
        <w:tab w:val="left" w:pos="851" w:leader="none"/>
      </w:tabs>
      <w:outlineLvl w:val="2"/>
    </w:pPr>
    <w:rPr>
      <w:rFonts w:ascii="宋体" w:hAnsi="宋体"/>
      <w:color w:val="000000"/>
      <w:sz w:val="28"/>
      <w:szCs w:val="21"/>
    </w:rPr>
  </w:style>
  <w:style w:type="paragraph" w:styleId="1065">
    <w:name w:val="_Style 35"/>
    <w:basedOn w:val="771"/>
    <w:next w:val="872"/>
    <w:link w:val="771"/>
    <w:uiPriority w:val="1"/>
    <w:qFormat/>
    <w:pPr>
      <w:ind w:firstLine="420"/>
    </w:pPr>
    <w:rPr>
      <w:szCs w:val="22"/>
    </w:rPr>
  </w:style>
  <w:style w:type="paragraph" w:styleId="1066">
    <w:name w:val="4"/>
    <w:basedOn w:val="771"/>
    <w:next w:val="835"/>
    <w:link w:val="771"/>
    <w:qFormat/>
    <w:pPr>
      <w:ind w:firstLine="420"/>
      <w:spacing w:line="360" w:lineRule="auto"/>
    </w:pPr>
    <w:rPr>
      <w:color w:val="ff0000"/>
      <w:sz w:val="24"/>
    </w:rPr>
  </w:style>
  <w:style w:type="paragraph" w:styleId="1067">
    <w:name w:val="正文空2格  1."/>
    <w:basedOn w:val="771"/>
    <w:next w:val="1067"/>
    <w:link w:val="771"/>
    <w:qFormat/>
    <w:pPr>
      <w:ind w:firstLine="480"/>
      <w:spacing w:line="360" w:lineRule="auto"/>
    </w:pPr>
    <w:rPr>
      <w:rFonts w:ascii="宋体" w:eastAsia="仿宋" w:cs="宋体"/>
      <w:sz w:val="28"/>
      <w:szCs w:val="20"/>
    </w:rPr>
  </w:style>
  <w:style w:type="paragraph" w:styleId="1068">
    <w:name w:val="默认段落字体 Para Char Char Char Char Char Char Char Char Char1 Char Char Char Char Char Char Char"/>
    <w:basedOn w:val="797"/>
    <w:next w:val="1068"/>
    <w:link w:val="771"/>
    <w:qFormat/>
    <w:rPr>
      <w:rFonts w:ascii="Tahoma" w:hAnsi="Tahoma"/>
      <w:sz w:val="24"/>
    </w:rPr>
  </w:style>
  <w:style w:type="paragraph" w:styleId="1069">
    <w:name w:val="font6"/>
    <w:basedOn w:val="771"/>
    <w:next w:val="1069"/>
    <w:link w:val="771"/>
    <w:qFormat/>
    <w:pPr>
      <w:jc w:val="left"/>
      <w:spacing w:before="100" w:beforeAutospacing="1" w:after="100" w:afterAutospacing="1"/>
      <w:widowControl/>
    </w:pPr>
    <w:rPr>
      <w:rFonts w:hint="eastAsia" w:ascii="宋体" w:hAnsi="宋体"/>
      <w:sz w:val="28"/>
      <w:szCs w:val="28"/>
      <w:u w:val="single"/>
    </w:rPr>
  </w:style>
  <w:style w:type="paragraph" w:styleId="1070">
    <w:name w:val="Char Char Char Char Char Char Char Char"/>
    <w:basedOn w:val="771"/>
    <w:next w:val="1070"/>
    <w:link w:val="771"/>
    <w:qFormat/>
    <w:pPr>
      <w:jc w:val="left"/>
      <w:spacing w:after="160" w:line="240" w:lineRule="exact"/>
      <w:widowControl/>
    </w:pPr>
    <w:rPr>
      <w:rFonts w:ascii="Verdana" w:hAnsi="Verdana"/>
      <w:sz w:val="20"/>
      <w:szCs w:val="20"/>
      <w:lang w:eastAsia="en-US"/>
    </w:rPr>
  </w:style>
  <w:style w:type="paragraph" w:styleId="1071">
    <w:name w:val="xl25"/>
    <w:basedOn w:val="771"/>
    <w:next w:val="1071"/>
    <w:link w:val="771"/>
    <w:qFormat/>
    <w:pPr>
      <w:jc w:val="center"/>
      <w:spacing w:before="100" w:beforeAutospacing="1" w:after="100" w:afterAutospacing="1"/>
      <w:widowControl/>
    </w:pPr>
    <w:rPr>
      <w:rFonts w:ascii="Arial Unicode MS" w:hAnsi="Arial Unicode MS" w:eastAsia="Arial Unicode MS" w:cs="Arial Unicode MS"/>
      <w:sz w:val="24"/>
    </w:rPr>
  </w:style>
  <w:style w:type="paragraph" w:styleId="1072">
    <w:name w:val="第四级"/>
    <w:basedOn w:val="771"/>
    <w:next w:val="771"/>
    <w:link w:val="771"/>
    <w:qFormat/>
    <w:pPr>
      <w:numPr>
        <w:ilvl w:val="3"/>
        <w:numId w:val="2"/>
      </w:numPr>
      <w:spacing w:line="360" w:lineRule="auto"/>
      <w:tabs>
        <w:tab w:val="left" w:pos="1134" w:leader="none"/>
      </w:tabs>
    </w:pPr>
    <w:rPr>
      <w:rFonts w:ascii="宋体" w:hAnsi="宋体" w:eastAsia="仿宋"/>
      <w:sz w:val="28"/>
      <w:szCs w:val="21"/>
    </w:rPr>
  </w:style>
  <w:style w:type="paragraph" w:styleId="1073">
    <w:name w:val="普通 (Web)"/>
    <w:basedOn w:val="771"/>
    <w:next w:val="1073"/>
    <w:link w:val="771"/>
    <w:qFormat/>
    <w:pPr>
      <w:jc w:val="left"/>
      <w:spacing w:before="100" w:beforeAutospacing="1" w:after="100" w:afterAutospacing="1"/>
      <w:widowControl/>
    </w:pPr>
    <w:rPr>
      <w:rFonts w:ascii="宋体" w:hAnsi="宋体"/>
      <w:sz w:val="24"/>
    </w:rPr>
  </w:style>
  <w:style w:type="paragraph" w:styleId="1074">
    <w:name w:val="图标"/>
    <w:basedOn w:val="771"/>
    <w:next w:val="771"/>
    <w:link w:val="7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name w:val="招标"/>
    <w:basedOn w:val="771"/>
    <w:next w:val="1075"/>
    <w:link w:val="771"/>
    <w:qFormat/>
    <w:pPr>
      <w:ind w:firstLine="420"/>
      <w:jc w:val="left"/>
      <w:spacing w:line="400" w:lineRule="exact"/>
    </w:pPr>
    <w:rPr>
      <w:rFonts w:ascii="宋体" w:hAnsi="宋体"/>
    </w:rPr>
  </w:style>
  <w:style w:type="paragraph" w:styleId="1076">
    <w:name w:val="样式1"/>
    <w:basedOn w:val="771"/>
    <w:next w:val="1076"/>
    <w:link w:val="771"/>
    <w:qFormat/>
    <w:pPr>
      <w:numPr>
        <w:ilvl w:val="0"/>
        <w:numId w:val="3"/>
      </w:numPr>
      <w:tabs>
        <w:tab w:val="left" w:pos="709" w:leader="none"/>
      </w:tabs>
    </w:pPr>
    <w:rPr>
      <w:rFonts w:ascii="宋体" w:hAnsi="宋体"/>
      <w:szCs w:val="21"/>
    </w:rPr>
  </w:style>
  <w:style w:type="paragraph" w:styleId="1077">
    <w:name w:val="xl47"/>
    <w:basedOn w:val="771"/>
    <w:next w:val="1077"/>
    <w:link w:val="771"/>
    <w:qFormat/>
    <w:pPr>
      <w:jc w:val="center"/>
      <w:spacing w:before="100" w:beforeAutospacing="1" w:after="100" w:afterAutospacing="1"/>
      <w:widowControl/>
    </w:pPr>
    <w:rPr>
      <w:rFonts w:hint="eastAsia" w:ascii="方正姚体" w:hAnsi="宋体" w:eastAsia="方正姚体"/>
      <w:b/>
      <w:bCs/>
      <w:sz w:val="36"/>
      <w:szCs w:val="36"/>
    </w:rPr>
  </w:style>
  <w:style w:type="paragraph" w:styleId="1078">
    <w:name w:val="标题1"/>
    <w:basedOn w:val="771"/>
    <w:next w:val="771"/>
    <w:link w:val="771"/>
    <w:qFormat/>
    <w:pPr>
      <w:jc w:val="center"/>
      <w:spacing w:line="700" w:lineRule="atLeast"/>
      <w:tabs>
        <w:tab w:val="left" w:pos="9193" w:leader="none"/>
        <w:tab w:val="left" w:pos="9827" w:leader="none"/>
      </w:tabs>
    </w:pPr>
    <w:rPr>
      <w:rFonts w:eastAsia="方正小标宋_GBK"/>
      <w:sz w:val="44"/>
    </w:rPr>
  </w:style>
  <w:style w:type="paragraph" w:styleId="1079">
    <w:name w:val="标书正文格式"/>
    <w:next w:val="1079"/>
    <w:link w:val="771"/>
    <w:qFormat/>
    <w:pPr>
      <w:ind w:firstLine="200"/>
      <w:spacing w:line="360" w:lineRule="auto"/>
    </w:pPr>
    <w:rPr>
      <w:rFonts w:eastAsia="楷体_GB2312"/>
      <w:sz w:val="24"/>
      <w:szCs w:val="24"/>
      <w:lang w:val="en-US" w:eastAsia="zh-CN" w:bidi="ar-SA"/>
    </w:rPr>
  </w:style>
  <w:style w:type="paragraph" w:styleId="1080">
    <w:name w:val="正文 1.1"/>
    <w:basedOn w:val="771"/>
    <w:next w:val="1064"/>
    <w:link w:val="771"/>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1">
    <w:name w:val="网格表 31"/>
    <w:basedOn w:val="772"/>
    <w:next w:val="771"/>
    <w:link w:val="77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2">
    <w:name w:val="正文 第一章"/>
    <w:basedOn w:val="771"/>
    <w:next w:val="1080"/>
    <w:link w:val="771"/>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83">
    <w:name w:val="附录1"/>
    <w:next w:val="1083"/>
    <w:link w:val="771"/>
    <w:qFormat/>
    <w:pPr>
      <w:numPr>
        <w:ilvl w:val="0"/>
        <w:numId w:val="4"/>
      </w:numPr>
      <w:spacing w:before="240" w:line="600" w:lineRule="atLeast"/>
      <w:tabs>
        <w:tab w:val="left" w:pos="907" w:leader="none"/>
      </w:tabs>
    </w:pPr>
    <w:rPr>
      <w:b/>
      <w:i/>
      <w:sz w:val="28"/>
      <w:lang w:val="en-US" w:eastAsia="zh-CN" w:bidi="ar-SA"/>
    </w:rPr>
  </w:style>
  <w:style w:type="paragraph" w:styleId="1084">
    <w:name w:val="Char Char Char Char1 Char Char Char"/>
    <w:basedOn w:val="797"/>
    <w:next w:val="1084"/>
    <w:link w:val="771"/>
    <w:qFormat/>
    <w:pPr>
      <w:spacing w:line="360" w:lineRule="auto"/>
    </w:pPr>
    <w:rPr>
      <w:rFonts w:ascii="Tahoma" w:hAnsi="Tahoma"/>
      <w:sz w:val="24"/>
    </w:rPr>
  </w:style>
  <w:style w:type="paragraph" w:styleId="1085">
    <w:name w:val="Char1"/>
    <w:basedOn w:val="771"/>
    <w:next w:val="1085"/>
    <w:link w:val="771"/>
    <w:qFormat/>
    <w:rPr>
      <w:rFonts w:ascii="Tahoma" w:hAnsi="Tahoma"/>
      <w:sz w:val="24"/>
      <w:szCs w:val="20"/>
    </w:rPr>
  </w:style>
  <w:style w:type="paragraph" w:styleId="1086">
    <w:name w:val="HTML 预先格式化"/>
    <w:basedOn w:val="771"/>
    <w:next w:val="1086"/>
    <w:link w:val="7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7">
    <w:name w:val="Coms Alinea"/>
    <w:next w:val="1087"/>
    <w:link w:val="771"/>
    <w:qFormat/>
    <w:pPr>
      <w:widowControl w:val="off"/>
    </w:pPr>
    <w:rPr>
      <w:rFonts w:ascii="Arial" w:hAnsi="Arial" w:cs="Arial"/>
      <w:lang w:val="en-US" w:eastAsia="zh-CN" w:bidi="ar-SA"/>
    </w:rPr>
  </w:style>
  <w:style w:type="paragraph" w:styleId="1088">
    <w:name w:val="标题2"/>
    <w:basedOn w:val="771"/>
    <w:next w:val="771"/>
    <w:link w:val="771"/>
    <w:qFormat/>
    <w:pPr>
      <w:jc w:val="center"/>
    </w:pPr>
    <w:rPr>
      <w:rFonts w:eastAsia="方正楷体_GBK"/>
    </w:rPr>
  </w:style>
  <w:style w:type="paragraph" w:styleId="1089">
    <w:name w:val="浅色网格 - 着色 31"/>
    <w:basedOn w:val="771"/>
    <w:next w:val="1089"/>
    <w:link w:val="771"/>
    <w:uiPriority w:val="34"/>
    <w:qFormat/>
    <w:pPr>
      <w:ind w:firstLine="420"/>
    </w:pPr>
    <w:rPr>
      <w:szCs w:val="22"/>
    </w:rPr>
  </w:style>
  <w:style w:type="paragraph" w:styleId="1090">
    <w:name w:val="Table Text"/>
    <w:next w:val="1090"/>
    <w:link w:val="771"/>
    <w:qFormat/>
    <w:pPr>
      <w:jc w:val="center"/>
      <w:spacing w:before="143" w:after="80"/>
    </w:pPr>
    <w:rPr>
      <w:rFonts w:ascii="仿宋_GB2312" w:hAnsi="宋体" w:eastAsia="仿宋_GB2312"/>
      <w:sz w:val="24"/>
      <w:lang w:val="en-US" w:eastAsia="zh-CN" w:bidi="ar-SA"/>
    </w:rPr>
  </w:style>
  <w:style w:type="paragraph" w:styleId="1091">
    <w:name w:val="标题3"/>
    <w:basedOn w:val="771"/>
    <w:next w:val="771"/>
    <w:link w:val="771"/>
    <w:qFormat/>
    <w:rPr>
      <w:rFonts w:eastAsia="方正黑体_GBK"/>
    </w:rPr>
  </w:style>
  <w:style w:type="paragraph" w:styleId="1092">
    <w:name w:val="BioQuote Tekst"/>
    <w:basedOn w:val="771"/>
    <w:next w:val="1092"/>
    <w:link w:val="771"/>
    <w:qFormat/>
    <w:pPr>
      <w:ind w:right="-1"/>
    </w:pPr>
    <w:rPr>
      <w:rFonts w:ascii="Arial" w:hAnsi="Arial"/>
      <w:sz w:val="22"/>
      <w:szCs w:val="20"/>
      <w:lang w:eastAsia="en-US"/>
    </w:rPr>
  </w:style>
  <w:style w:type="paragraph" w:styleId="1093">
    <w:name w:val="Char Char Char Char1 Char Char"/>
    <w:basedOn w:val="771"/>
    <w:next w:val="1093"/>
    <w:link w:val="771"/>
    <w:qFormat/>
    <w:pPr>
      <w:tabs>
        <w:tab w:val="left" w:pos="360" w:leader="none"/>
      </w:tabs>
    </w:pPr>
    <w:rPr>
      <w:sz w:val="24"/>
    </w:rPr>
  </w:style>
  <w:style w:type="paragraph" w:styleId="1094">
    <w:name w:val="Body Text(ch)"/>
    <w:basedOn w:val="771"/>
    <w:next w:val="803"/>
    <w:link w:val="771"/>
    <w:qFormat/>
    <w:pPr>
      <w:spacing w:after="120"/>
    </w:pPr>
    <w:rPr>
      <w:rFonts w:ascii="宋体" w:hAnsi="Arial"/>
      <w:bCs/>
      <w:iCs/>
    </w:rPr>
  </w:style>
  <w:style w:type="paragraph" w:styleId="1095">
    <w:name w:val="xl27"/>
    <w:basedOn w:val="771"/>
    <w:next w:val="1095"/>
    <w:link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6">
    <w:name w:val="xl29"/>
    <w:basedOn w:val="771"/>
    <w:next w:val="1096"/>
    <w:link w:val="771"/>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7">
    <w:name w:val="xl30"/>
    <w:basedOn w:val="771"/>
    <w:next w:val="1097"/>
    <w:link w:val="771"/>
    <w:qFormat/>
    <w:pPr>
      <w:jc w:val="center"/>
      <w:spacing w:before="100" w:beforeAutospacing="1" w:after="100" w:afterAutospacing="1"/>
      <w:widowControl/>
    </w:pPr>
    <w:rPr>
      <w:rFonts w:ascii="宋体" w:hAnsi="宋体"/>
      <w:b/>
      <w:bCs/>
      <w:sz w:val="36"/>
      <w:szCs w:val="36"/>
    </w:rPr>
  </w:style>
  <w:style w:type="paragraph" w:styleId="1098">
    <w:name w:val="样式3"/>
    <w:basedOn w:val="771"/>
    <w:next w:val="1098"/>
    <w:link w:val="771"/>
    <w:qFormat/>
    <w:pPr>
      <w:spacing w:line="300" w:lineRule="auto"/>
    </w:pPr>
    <w:rPr>
      <w:rFonts w:ascii="宋体"/>
      <w:sz w:val="24"/>
    </w:rPr>
  </w:style>
  <w:style w:type="paragraph" w:styleId="1099">
    <w:name w:val="table_1stline"/>
    <w:basedOn w:val="771"/>
    <w:next w:val="1099"/>
    <w:link w:val="771"/>
    <w:qFormat/>
    <w:pPr>
      <w:jc w:val="left"/>
      <w:spacing w:before="120"/>
      <w:widowControl/>
    </w:pPr>
    <w:rPr>
      <w:bCs/>
      <w:sz w:val="20"/>
      <w:szCs w:val="20"/>
      <w:lang w:val="de-DE" w:eastAsia="de-DE"/>
    </w:rPr>
  </w:style>
  <w:style w:type="paragraph" w:styleId="1100">
    <w:name w:val="table_lines"/>
    <w:basedOn w:val="771"/>
    <w:next w:val="1100"/>
    <w:link w:val="771"/>
    <w:qFormat/>
    <w:pPr>
      <w:jc w:val="left"/>
      <w:widowControl/>
    </w:pPr>
    <w:rPr>
      <w:sz w:val="20"/>
      <w:szCs w:val="20"/>
      <w:lang w:val="de-DE" w:eastAsia="de-DE"/>
    </w:rPr>
  </w:style>
  <w:style w:type="paragraph" w:styleId="1101">
    <w:name w:val="Char Char Char Char Char Char Char Char Char Char"/>
    <w:basedOn w:val="771"/>
    <w:next w:val="1101"/>
    <w:link w:val="771"/>
    <w:qFormat/>
    <w:pPr>
      <w:spacing w:line="360" w:lineRule="auto"/>
    </w:pPr>
    <w:rPr>
      <w:sz w:val="24"/>
      <w:szCs w:val="20"/>
    </w:rPr>
  </w:style>
  <w:style w:type="paragraph" w:styleId="1102">
    <w:name w:val="_Style 89"/>
    <w:basedOn w:val="771"/>
    <w:next w:val="1089"/>
    <w:link w:val="771"/>
    <w:uiPriority w:val="34"/>
    <w:qFormat/>
    <w:pPr>
      <w:ind w:firstLine="420"/>
    </w:pPr>
  </w:style>
  <w:style w:type="paragraph" w:styleId="1103">
    <w:name w:val="修订1"/>
    <w:next w:val="1103"/>
    <w:link w:val="771"/>
    <w:uiPriority w:val="99"/>
    <w:unhideWhenUsed/>
    <w:qFormat/>
    <w:rPr>
      <w:sz w:val="21"/>
      <w:szCs w:val="24"/>
      <w:lang w:val="en-US" w:eastAsia="zh-CN" w:bidi="ar-SA"/>
    </w:rPr>
  </w:style>
  <w:style w:type="paragraph" w:styleId="1104">
    <w:name w:val="_Style 159"/>
    <w:basedOn w:val="771"/>
    <w:next w:val="771"/>
    <w:link w:val="771"/>
    <w:uiPriority w:val="39"/>
    <w:qFormat/>
    <w:pPr>
      <w:jc w:val="left"/>
      <w:spacing w:line="260" w:lineRule="exact"/>
      <w:tabs>
        <w:tab w:val="right" w:pos="9440" w:leader="dot"/>
      </w:tabs>
    </w:pPr>
    <w:rPr>
      <w:rFonts w:ascii="黑体" w:eastAsia="黑体"/>
      <w:b/>
      <w:bCs/>
      <w:smallCaps/>
      <w:sz w:val="18"/>
      <w:szCs w:val="44"/>
    </w:rPr>
  </w:style>
  <w:style w:type="paragraph" w:styleId="1105">
    <w:name w:val="0正文"/>
    <w:next w:val="1105"/>
    <w:link w:val="771"/>
    <w:qFormat/>
    <w:pPr>
      <w:ind w:firstLine="200"/>
    </w:pPr>
    <w:rPr>
      <w:sz w:val="21"/>
      <w:szCs w:val="21"/>
      <w:lang w:val="en-US" w:eastAsia="zh-CN" w:bidi="ar-SA"/>
    </w:rPr>
  </w:style>
  <w:style w:type="paragraph" w:styleId="1106">
    <w:name w:val="Body text|1"/>
    <w:basedOn w:val="771"/>
    <w:next w:val="1106"/>
    <w:link w:val="771"/>
    <w:qFormat/>
    <w:pPr>
      <w:ind w:firstLine="400"/>
      <w:jc w:val="left"/>
      <w:spacing w:line="400" w:lineRule="auto"/>
    </w:pPr>
    <w:rPr>
      <w:rFonts w:ascii="宋体" w:hAnsi="宋体" w:cs="宋体"/>
      <w:sz w:val="28"/>
      <w:szCs w:val="28"/>
      <w:lang w:val="zh-TW" w:eastAsia="zh-TW" w:bidi="zh-TW"/>
    </w:rPr>
  </w:style>
  <w:style w:type="paragraph" w:styleId="1107">
    <w:name w:val="修订"/>
    <w:next w:val="1107"/>
    <w:link w:val="771"/>
    <w:uiPriority w:val="99"/>
    <w:unhideWhenUsed/>
    <w:rPr>
      <w:sz w:val="21"/>
      <w:szCs w:val="24"/>
      <w:lang w:val="en-US" w:eastAsia="zh-CN" w:bidi="ar-SA"/>
    </w:rPr>
  </w:style>
  <w:style w:type="paragraph" w:styleId="1108">
    <w:name w:val="标题 11"/>
    <w:basedOn w:val="771"/>
    <w:next w:val="771"/>
    <w:link w:val="771"/>
    <w:qFormat/>
    <w:pPr>
      <w:ind w:left="100" w:right="100"/>
      <w:keepLines/>
      <w:keepNext/>
      <w:spacing w:before="120" w:after="120"/>
      <w:outlineLvl w:val="0"/>
    </w:pPr>
    <w:rPr>
      <w:b/>
      <w:bCs/>
      <w:szCs w:val="44"/>
    </w:rPr>
  </w:style>
  <w:style w:type="paragraph" w:styleId="1109">
    <w:name w:val="纯文本1"/>
    <w:basedOn w:val="771"/>
    <w:next w:val="1109"/>
    <w:link w:val="771"/>
    <w:qFormat/>
    <w:rPr>
      <w:rFonts w:ascii="宋体" w:hAnsi="Courier New"/>
      <w:sz w:val="20"/>
      <w:szCs w:val="21"/>
    </w:rPr>
  </w:style>
  <w:style w:type="paragraph" w:styleId="1110">
    <w:name w:val="标题 2_0"/>
    <w:basedOn w:val="771"/>
    <w:next w:val="771"/>
    <w:link w:val="771"/>
    <w:qFormat/>
    <w:pPr>
      <w:keepLines/>
      <w:keepNext/>
      <w:spacing w:before="260" w:after="260" w:line="415" w:lineRule="auto"/>
      <w:outlineLvl w:val="1"/>
    </w:pPr>
    <w:rPr>
      <w:rFonts w:ascii="Cambria" w:hAnsi="Cambria"/>
      <w:b/>
      <w:bCs/>
      <w:sz w:val="32"/>
      <w:szCs w:val="32"/>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dc:creator>
  <cp:lastModifiedBy>何仁杰</cp:lastModifiedBy>
  <cp:revision>4</cp:revision>
  <dcterms:created xsi:type="dcterms:W3CDTF">2026-08-12T09:56:00Z</dcterms:created>
  <dcterms:modified xsi:type="dcterms:W3CDTF">2026-08-13T10:25:58Z</dcterms:modified>
</cp:coreProperties>
</file>