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tab/>
      </w:r>
      <w:r/>
    </w:p>
    <w:p>
      <w:pPr>
        <w:jc w:val="left"/>
        <w:tabs>
          <w:tab w:val="left" w:pos="6919" w:leader="none"/>
        </w:tabs>
        <w:rPr>
          <w:rFonts w:ascii="宋体" w:hAnsi="宋体"/>
          <w:b/>
          <w:bCs/>
          <w:sz w:val="52"/>
          <w:szCs w:val="52"/>
        </w:rPr>
      </w:pPr>
      <w:r>
        <w:rPr>
          <w:rFonts w:hint="eastAsia" w:ascii="宋体" w:hAnsi="宋体"/>
          <w:b/>
          <w:bCs/>
          <w:sz w:val="52"/>
          <w:szCs w:val="52"/>
        </w:rPr>
        <w:tab/>
      </w:r>
      <w:r/>
    </w:p>
    <w:p>
      <w:pPr>
        <w:jc w:val="center"/>
        <w:rPr>
          <w:rFonts w:ascii="宋体" w:hAnsi="宋体"/>
          <w:b/>
          <w:bCs/>
          <w:sz w:val="52"/>
          <w:szCs w:val="52"/>
        </w:rPr>
      </w:pPr>
      <w:r>
        <w:rPr>
          <w:rFonts w:hint="eastAsia" w:ascii="宋体" w:hAnsi="宋体"/>
          <w:b/>
          <w:bCs/>
          <w:sz w:val="52"/>
          <w:szCs w:val="52"/>
        </w:rPr>
        <w:t xml:space="preserve">苏 州 市 政 府 采 购</w:t>
      </w:r>
      <w:r/>
    </w:p>
    <w:p>
      <w:pPr>
        <w:jc w:val="center"/>
        <w:rPr>
          <w:rFonts w:ascii="宋体" w:hAnsi="宋体"/>
          <w:b/>
          <w:sz w:val="52"/>
          <w:szCs w:val="52"/>
        </w:rPr>
      </w:pPr>
      <w:r>
        <w:rPr>
          <w:rFonts w:hint="eastAsia" w:ascii="宋体" w:hAnsi="宋体"/>
          <w:b/>
          <w:bCs/>
          <w:sz w:val="52"/>
          <w:szCs w:val="52"/>
        </w:rPr>
        <w:t xml:space="preserve">竞争性磋商文件</w:t>
      </w:r>
      <w:r/>
    </w:p>
    <w:p>
      <w:pPr>
        <w:jc w:val="center"/>
        <w:rPr>
          <w:rFonts w:ascii="宋体" w:hAnsi="宋体"/>
          <w:b/>
          <w:sz w:val="32"/>
          <w:szCs w:val="32"/>
        </w:rPr>
      </w:pPr>
      <w:r>
        <w:rPr>
          <w:rFonts w:ascii="宋体" w:hAnsi="宋体"/>
          <w:b/>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spacing w:line="360" w:lineRule="auto"/>
        <w:rPr>
          <w:rFonts w:ascii="宋体" w:hAnsi="宋体"/>
          <w:b/>
          <w:sz w:val="32"/>
          <w:szCs w:val="32"/>
        </w:rPr>
      </w:pPr>
      <w:r>
        <w:rPr>
          <w:rFonts w:ascii="宋体" w:hAnsi="宋体"/>
          <w:sz w:val="32"/>
          <w:szCs w:val="32"/>
        </w:rPr>
        <w:t xml:space="preserve">        </w:t>
      </w:r>
      <w:r>
        <w:rPr>
          <w:rFonts w:hint="eastAsia" w:ascii="宋体" w:hAnsi="宋体"/>
          <w:sz w:val="32"/>
          <w:szCs w:val="32"/>
        </w:rPr>
        <w:t xml:space="preserve"> </w:t>
      </w:r>
      <w:r>
        <w:rPr>
          <w:rFonts w:hint="eastAsia" w:ascii="宋体" w:hAnsi="宋体"/>
          <w:b/>
          <w:sz w:val="32"/>
          <w:szCs w:val="32"/>
        </w:rPr>
        <w:t xml:space="preserve">采购编号：JSZC-320506-XDSZ-C2026-0004</w:t>
      </w:r>
      <w:r/>
    </w:p>
    <w:p>
      <w:pPr>
        <w:ind w:left="3534" w:right="-506" w:hanging="3534"/>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采购单位：苏州市吴中区人民政府郭巷街道办事处</w:t>
      </w:r>
      <w:r/>
    </w:p>
    <w:p>
      <w:pPr>
        <w:ind w:left="2717" w:hanging="2715"/>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采购内容：2026-2027年度郭巷街道机关食堂物资采购项目</w:t>
      </w:r>
      <w:r/>
    </w:p>
    <w:p>
      <w:pPr>
        <w:ind w:right="-506"/>
        <w:spacing w:line="360" w:lineRule="auto"/>
        <w:rPr>
          <w:rFonts w:ascii="宋体" w:hAnsi="宋体"/>
          <w:b/>
          <w:sz w:val="32"/>
          <w:szCs w:val="32"/>
        </w:rPr>
      </w:pPr>
      <w:r>
        <w:rPr>
          <w:rFonts w:ascii="宋体" w:hAnsi="宋体"/>
          <w:b/>
          <w:sz w:val="32"/>
          <w:szCs w:val="32"/>
        </w:rPr>
        <w:t xml:space="preserve">      </w:t>
      </w:r>
      <w:r>
        <w:rPr>
          <w:rFonts w:hint="eastAsia" w:ascii="宋体" w:hAnsi="宋体"/>
          <w:b/>
          <w:sz w:val="32"/>
          <w:szCs w:val="32"/>
        </w:rPr>
        <w:t xml:space="preserve">   项目类别：服务类</w:t>
      </w:r>
      <w:r/>
    </w:p>
    <w:p>
      <w:pPr>
        <w:ind w:right="-506"/>
        <w:jc w:val="center"/>
        <w:spacing w:line="360" w:lineRule="auto"/>
        <w:rPr>
          <w:rFonts w:ascii="宋体" w:hAnsi="宋体" w:cs="宋体"/>
          <w:b/>
          <w:spacing w:val="-26"/>
          <w:sz w:val="24"/>
        </w:rPr>
      </w:pPr>
      <w:r>
        <w:rPr>
          <w:rFonts w:ascii="宋体" w:hAnsi="宋体"/>
          <w:b/>
          <w:sz w:val="28"/>
          <w:szCs w:val="28"/>
        </w:rPr>
        <mc:AlternateContent>
          <mc:Choice Requires="wpg">
            <w:drawing>
              <wp:inline xmlns:wp="http://schemas.openxmlformats.org/drawingml/2006/wordprocessingDrawing" distT="0" distB="0" distL="0" distR="0">
                <wp:extent cx="3025140" cy="2697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025140" cy="2697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8.2pt;height:212.4pt;mso-wrap-distance-left:0.0pt;mso-wrap-distance-top:0.0pt;mso-wrap-distance-right:0.0pt;mso-wrap-distance-bottom:0.0pt;" stroked="f">
                <v:path textboxrect="0,0,0,0"/>
                <v:imagedata r:id="rId11" o:title=""/>
              </v:shape>
            </w:pict>
          </mc:Fallback>
        </mc:AlternateContent>
      </w:r>
      <w:r/>
    </w:p>
    <w:p>
      <w:pPr>
        <w:ind w:right="-506"/>
        <w:jc w:val="center"/>
        <w:spacing w:line="360" w:lineRule="auto"/>
        <w:rPr>
          <w:rFonts w:ascii="宋体" w:hAnsi="宋体"/>
          <w:b/>
          <w:sz w:val="32"/>
          <w:szCs w:val="32"/>
        </w:rPr>
      </w:pPr>
      <w:r>
        <w:rPr>
          <w:rFonts w:hint="eastAsia" w:ascii="宋体" w:hAnsi="宋体"/>
          <w:b/>
          <w:sz w:val="32"/>
          <w:szCs w:val="32"/>
        </w:rPr>
        <w:t xml:space="preserve">信达项目咨询管理（苏州）有限公司</w:t>
      </w:r>
      <w:r/>
    </w:p>
    <w:p>
      <w:pPr>
        <w:ind w:right="-506"/>
        <w:jc w:val="center"/>
        <w:spacing w:line="360" w:lineRule="auto"/>
        <w:rPr>
          <w:rFonts w:ascii="宋体" w:hAnsi="宋体"/>
          <w:b/>
          <w:sz w:val="32"/>
          <w:szCs w:val="32"/>
        </w:rPr>
      </w:pPr>
      <w:r>
        <w:rPr>
          <w:rFonts w:hint="eastAsia" w:ascii="宋体" w:hAnsi="宋体"/>
          <w:b/>
          <w:sz w:val="32"/>
          <w:szCs w:val="32"/>
        </w:rPr>
        <w:t xml:space="preserve">二零二六年八月</w:t>
      </w:r>
      <w:r/>
    </w:p>
    <w:p>
      <w:pPr>
        <w:rPr>
          <w:rFonts w:ascii="宋体" w:hAnsi="宋体"/>
        </w:rPr>
      </w:pPr>
      <w:r>
        <w:rPr>
          <w:rFonts w:ascii="宋体" w:hAnsi="宋体"/>
        </w:rPr>
      </w:r>
      <w:r/>
    </w:p>
    <w:p>
      <w:pPr>
        <w:jc w:val="left"/>
        <w:spacing w:line="360" w:lineRule="auto"/>
        <w:rPr>
          <w:rFonts w:ascii="宋体" w:hAnsi="宋体"/>
          <w:b/>
          <w:bCs/>
          <w:sz w:val="28"/>
          <w:szCs w:val="28"/>
        </w:rPr>
      </w:pPr>
      <w:r>
        <w:rPr>
          <w:rFonts w:hint="eastAsia" w:ascii="宋体" w:hAnsi="宋体"/>
          <w:b/>
          <w:sz w:val="52"/>
          <w:szCs w:val="52"/>
        </w:rPr>
        <w:br w:type="page" w:clear="all"/>
      </w:r>
      <w:r>
        <w:rPr>
          <w:rFonts w:hint="eastAsia" w:ascii="宋体" w:hAnsi="宋体"/>
          <w:b/>
          <w:sz w:val="28"/>
          <w:szCs w:val="28"/>
        </w:rPr>
        <w:t xml:space="preserve">目 录</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一、磋商公告</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二、竞争性磋商文件</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三、评审方法及评分标准</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四、合同主要条款及格式</w:t>
      </w:r>
      <w:r/>
    </w:p>
    <w:p>
      <w:pPr>
        <w:jc w:val="left"/>
        <w:spacing w:line="360" w:lineRule="auto"/>
        <w:tabs>
          <w:tab w:val="left" w:pos="315" w:leader="none"/>
          <w:tab w:val="center" w:pos="4153" w:leader="none"/>
        </w:tabs>
        <w:rPr>
          <w:rFonts w:ascii="宋体" w:hAnsi="宋体"/>
          <w:b/>
          <w:sz w:val="28"/>
          <w:szCs w:val="28"/>
        </w:rPr>
      </w:pPr>
      <w:r>
        <w:rPr>
          <w:rFonts w:hint="eastAsia" w:ascii="宋体" w:hAnsi="宋体"/>
          <w:b/>
          <w:sz w:val="28"/>
          <w:szCs w:val="28"/>
        </w:rPr>
        <w:t xml:space="preserve">五、磋商响应文件格式（部分格式）</w:t>
      </w:r>
      <w:r/>
    </w:p>
    <w:p>
      <w:pPr>
        <w:jc w:val="center"/>
        <w:rPr>
          <w:rStyle w:val="776"/>
          <w:rFonts w:ascii="宋体" w:hAnsi="宋体" w:cs="宋体"/>
          <w:sz w:val="24"/>
          <w:szCs w:val="24"/>
        </w:rPr>
      </w:pPr>
      <w:r>
        <w:rPr>
          <w:rStyle w:val="776"/>
          <w:rFonts w:hint="eastAsia" w:ascii="宋体" w:hAnsi="宋体" w:cs="宋体"/>
          <w:sz w:val="43"/>
          <w:szCs w:val="43"/>
        </w:rPr>
        <w:br w:type="page" w:clear="all"/>
      </w:r>
      <w:r>
        <w:rPr>
          <w:rStyle w:val="776"/>
          <w:rFonts w:hint="eastAsia" w:ascii="宋体" w:hAnsi="宋体" w:cs="宋体"/>
          <w:sz w:val="24"/>
          <w:szCs w:val="24"/>
        </w:rPr>
        <w:t xml:space="preserve">第一章 磋商公告</w:t>
      </w:r>
      <w:r/>
    </w:p>
    <w:p>
      <w:pPr>
        <w:spacing w:line="360" w:lineRule="auto"/>
        <w:rPr>
          <w:rFonts w:ascii="宋体" w:hAnsi="宋体"/>
          <w:b/>
          <w:sz w:val="24"/>
          <w:szCs w:val="24"/>
          <w:lang w:val="zh-CN"/>
        </w:rPr>
      </w:pPr>
      <w:r>
        <w:rPr>
          <w:rFonts w:hint="eastAsia" w:ascii="宋体" w:hAnsi="宋体"/>
          <w:b/>
          <w:sz w:val="24"/>
          <w:szCs w:val="24"/>
          <w:lang w:val="zh-CN"/>
        </w:rPr>
        <w:t xml:space="preserve">项目概况</w:t>
      </w:r>
      <w:r/>
    </w:p>
    <w:p>
      <w:pPr>
        <w:jc w:val="left"/>
        <w:spacing w:line="360" w:lineRule="auto"/>
        <w:rPr>
          <w:rFonts w:ascii="宋体" w:hAnsi="宋体"/>
          <w:sz w:val="24"/>
          <w:szCs w:val="24"/>
          <w:lang w:val="zh-CN"/>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2026-2027年度郭巷街道机关食堂物资采购项目</w:t>
      </w:r>
      <w:r>
        <w:rPr>
          <w:rFonts w:hint="eastAsia" w:ascii="宋体" w:hAnsi="宋体"/>
          <w:sz w:val="24"/>
          <w:szCs w:val="24"/>
          <w:lang w:val="zh-CN"/>
        </w:rPr>
        <w:t xml:space="preserve">项目的潜在响应单位应在苏采云平台获取采购文件，并于</w:t>
      </w:r>
      <w:r>
        <w:rPr>
          <w:rFonts w:hint="eastAsia" w:ascii="宋体" w:hAnsi="宋体"/>
          <w:b/>
          <w:bCs/>
          <w:sz w:val="24"/>
          <w:szCs w:val="24"/>
          <w:u w:val="single"/>
          <w:lang w:val="zh-CN"/>
        </w:rPr>
        <w:t xml:space="preserve">202</w:t>
      </w:r>
      <w:r>
        <w:rPr>
          <w:rFonts w:ascii="宋体" w:hAnsi="宋体"/>
          <w:b/>
          <w:bCs/>
          <w:sz w:val="24"/>
          <w:szCs w:val="24"/>
          <w:u w:val="single"/>
          <w:lang w:val="zh-CN"/>
        </w:rPr>
        <w:t xml:space="preserve">6</w:t>
      </w:r>
      <w:r>
        <w:rPr>
          <w:rFonts w:hint="eastAsia" w:ascii="宋体" w:hAnsi="宋体"/>
          <w:b/>
          <w:bCs/>
          <w:sz w:val="24"/>
          <w:szCs w:val="24"/>
          <w:u w:val="single"/>
          <w:lang w:val="zh-CN"/>
        </w:rPr>
        <w:t xml:space="preserve">年</w:t>
      </w:r>
      <w:r>
        <w:rPr>
          <w:rFonts w:ascii="宋体" w:hAnsi="宋体"/>
          <w:b/>
          <w:bCs/>
          <w:sz w:val="24"/>
          <w:szCs w:val="24"/>
          <w:u w:val="single"/>
          <w:lang w:val="zh-CN"/>
        </w:rPr>
        <w:t xml:space="preserve">8</w:t>
      </w:r>
      <w:r>
        <w:rPr>
          <w:rFonts w:hint="eastAsia" w:ascii="宋体" w:hAnsi="宋体"/>
          <w:b/>
          <w:bCs/>
          <w:sz w:val="24"/>
          <w:szCs w:val="24"/>
          <w:u w:val="single"/>
          <w:lang w:val="zh-CN"/>
        </w:rPr>
        <w:t xml:space="preserve">月</w:t>
      </w:r>
      <w:r>
        <w:rPr>
          <w:rFonts w:ascii="宋体" w:hAnsi="宋体"/>
          <w:b/>
          <w:bCs/>
          <w:sz w:val="24"/>
          <w:szCs w:val="24"/>
          <w:u w:val="single"/>
          <w:lang w:val="zh-CN"/>
        </w:rPr>
        <w:t xml:space="preserve">28</w:t>
      </w:r>
      <w:r>
        <w:rPr>
          <w:rFonts w:hint="eastAsia" w:ascii="宋体" w:hAnsi="宋体"/>
          <w:b/>
          <w:bCs/>
          <w:sz w:val="24"/>
          <w:szCs w:val="24"/>
          <w:u w:val="single"/>
          <w:lang w:val="zh-CN"/>
        </w:rPr>
        <w:t xml:space="preserve">日</w:t>
      </w:r>
      <w:r>
        <w:rPr>
          <w:rFonts w:ascii="宋体" w:hAnsi="宋体"/>
          <w:b/>
          <w:bCs/>
          <w:sz w:val="24"/>
          <w:szCs w:val="24"/>
          <w:u w:val="single"/>
          <w:lang w:val="zh-CN"/>
        </w:rPr>
        <w:t xml:space="preserve">13</w:t>
      </w:r>
      <w:r>
        <w:rPr>
          <w:rFonts w:hint="eastAsia" w:ascii="宋体" w:hAnsi="宋体"/>
          <w:b/>
          <w:bCs/>
          <w:sz w:val="24"/>
          <w:szCs w:val="24"/>
          <w:u w:val="single"/>
          <w:lang w:val="zh-CN"/>
        </w:rPr>
        <w:t xml:space="preserve">点30分</w:t>
      </w:r>
      <w:r>
        <w:rPr>
          <w:rFonts w:hint="eastAsia" w:ascii="宋体" w:hAnsi="宋体"/>
          <w:sz w:val="24"/>
          <w:szCs w:val="24"/>
          <w:lang w:val="zh-CN"/>
        </w:rPr>
        <w:t xml:space="preserve">（北京时间）前提交响应文件。</w:t>
      </w:r>
      <w:r/>
    </w:p>
    <w:p>
      <w:pPr>
        <w:spacing w:line="360" w:lineRule="auto"/>
        <w:rPr>
          <w:rFonts w:ascii="宋体" w:hAnsi="宋体"/>
          <w:b/>
          <w:sz w:val="24"/>
          <w:szCs w:val="24"/>
          <w:lang w:val="zh-CN"/>
        </w:rPr>
      </w:pPr>
      <w:r>
        <w:rPr>
          <w:rFonts w:hint="eastAsia" w:ascii="宋体" w:hAnsi="宋体"/>
          <w:b/>
          <w:sz w:val="24"/>
          <w:szCs w:val="24"/>
          <w:lang w:val="zh-CN"/>
        </w:rPr>
        <w:t xml:space="preserve">一、项目基本情况</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项目编号：</w:t>
      </w:r>
      <w:r>
        <w:rPr>
          <w:rFonts w:hint="eastAsia" w:ascii="宋体" w:hAnsi="宋体"/>
          <w:sz w:val="24"/>
          <w:szCs w:val="24"/>
          <w:lang w:val="zh-CN"/>
        </w:rPr>
        <w:t xml:space="preserve">JSZC-320506-XDSZ-C2026-0004</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w:t>
      </w:r>
      <w:r>
        <w:rPr>
          <w:rFonts w:hint="eastAsia" w:ascii="宋体" w:hAnsi="宋体"/>
          <w:sz w:val="24"/>
          <w:szCs w:val="24"/>
          <w:lang w:val="zh-CN"/>
        </w:rPr>
        <w:t xml:space="preserve">2026-2027年度郭巷街道机关食堂物资采购项目</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采购方式：竞争性磋商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预算金额：</w:t>
      </w:r>
      <w:r>
        <w:rPr>
          <w:rFonts w:hint="eastAsia" w:ascii="宋体" w:hAnsi="宋体"/>
          <w:sz w:val="24"/>
          <w:szCs w:val="24"/>
          <w:lang w:val="zh-CN"/>
        </w:rPr>
        <w:t xml:space="preserve">人民币贰佰玖拾万元整（¥2900000.00）</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最高限价：</w:t>
      </w:r>
      <w:r>
        <w:rPr>
          <w:rFonts w:hint="eastAsia" w:ascii="宋体" w:hAnsi="宋体"/>
          <w:sz w:val="24"/>
          <w:szCs w:val="24"/>
          <w:lang w:val="zh-CN"/>
        </w:rPr>
        <w:t xml:space="preserve">人民币贰佰玖拾万元整（¥2900000.00）</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rPr>
          <w:rFonts w:hint="eastAsia" w:ascii="宋体" w:hAnsi="宋体"/>
          <w:sz w:val="24"/>
          <w:szCs w:val="24"/>
          <w:lang w:val="zh-CN"/>
        </w:rPr>
        <w:t xml:space="preserve">2026-2027年度郭巷街道机关食堂物资采购项目，详见采购文件</w:t>
      </w:r>
      <w:r>
        <w:rPr>
          <w:rFonts w:ascii="宋体" w:hAnsi="宋体" w:cs="宋体"/>
          <w:sz w:val="24"/>
        </w:rPr>
        <w:t xml:space="preserve">。</w:t>
      </w:r>
      <w:r/>
    </w:p>
    <w:p>
      <w:pPr>
        <w:ind w:firstLine="420"/>
        <w:spacing w:line="360" w:lineRule="auto"/>
        <w:rPr>
          <w:rFonts w:ascii="宋体" w:hAnsi="宋体"/>
          <w:sz w:val="24"/>
          <w:szCs w:val="24"/>
          <w:lang w:val="zh-CN"/>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合同履行期限：</w:t>
      </w:r>
      <w:bookmarkStart w:id="0" w:name="OLE_LINK45"/>
      <w:r/>
      <w:bookmarkStart w:id="1" w:name="OLE_LINK46"/>
      <w:r>
        <w:rPr>
          <w:rFonts w:hint="eastAsia" w:ascii="宋体" w:hAnsi="宋体" w:cs="宋体"/>
          <w:sz w:val="24"/>
          <w:szCs w:val="24"/>
        </w:rPr>
        <w:t xml:space="preserve">合同签订生效后一年或合同结算金额达到预算为止（具体根据采购方要求）</w:t>
      </w:r>
      <w:bookmarkEnd w:id="0"/>
      <w:r/>
      <w:bookmarkEnd w:id="1"/>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本项目（是/否）接受联合体：否</w:t>
      </w:r>
      <w:r/>
    </w:p>
    <w:p>
      <w:pPr>
        <w:spacing w:line="360" w:lineRule="auto"/>
        <w:rPr>
          <w:rFonts w:ascii="宋体" w:hAnsi="宋体"/>
          <w:b/>
          <w:sz w:val="24"/>
          <w:szCs w:val="24"/>
          <w:lang w:val="zh-CN"/>
        </w:rPr>
      </w:pPr>
      <w:r>
        <w:rPr>
          <w:rFonts w:hint="eastAsia" w:ascii="宋体" w:hAnsi="宋体"/>
          <w:b/>
          <w:sz w:val="24"/>
          <w:szCs w:val="24"/>
          <w:lang w:val="zh-CN"/>
        </w:rPr>
        <w:t xml:space="preserve">二、申请人的资格要求：</w:t>
      </w:r>
      <w:r/>
    </w:p>
    <w:p>
      <w:pPr>
        <w:ind w:firstLine="480"/>
        <w:spacing w:line="360" w:lineRule="auto"/>
        <w:rPr>
          <w:rFonts w:ascii="宋体" w:hAnsi="宋体"/>
          <w:sz w:val="24"/>
          <w:szCs w:val="24"/>
          <w:lang w:val="zh-CN"/>
        </w:rPr>
      </w:pPr>
      <w:r>
        <w:rPr>
          <w:rFonts w:hint="eastAsia" w:ascii="宋体" w:hAnsi="宋体"/>
          <w:sz w:val="24"/>
          <w:szCs w:val="24"/>
          <w:lang w:val="zh-CN"/>
        </w:rPr>
        <w:t xml:space="preserve">1、</w:t>
      </w:r>
      <w:bookmarkStart w:id="2" w:name="OLE_LINK12"/>
      <w:r>
        <w:rPr>
          <w:rFonts w:hint="eastAsia" w:ascii="宋体" w:hAnsi="宋体"/>
          <w:sz w:val="24"/>
          <w:szCs w:val="24"/>
          <w:lang w:val="zh-CN"/>
        </w:rPr>
        <w:t xml:space="preserve">满足《中华人民共和国政府采购法》第二十二条规定</w:t>
      </w:r>
      <w:bookmarkEnd w:id="2"/>
      <w:r>
        <w:rPr>
          <w:rFonts w:hint="eastAsia" w:ascii="宋体" w:hAnsi="宋体"/>
          <w:sz w:val="24"/>
          <w:szCs w:val="24"/>
          <w:lang w:val="zh-CN"/>
        </w:rPr>
        <w:t xml:space="preserve">：</w:t>
      </w:r>
      <w:r/>
    </w:p>
    <w:p>
      <w:pPr>
        <w:ind w:firstLine="480"/>
        <w:spacing w:line="360" w:lineRule="auto"/>
        <w:rPr>
          <w:rFonts w:ascii="宋体" w:hAnsi="宋体"/>
          <w:sz w:val="24"/>
          <w:szCs w:val="24"/>
          <w:lang w:val="zh-CN"/>
        </w:rPr>
      </w:pPr>
      <w:r>
        <w:rPr>
          <w:rFonts w:hint="eastAsia" w:ascii="宋体" w:hAnsi="宋体"/>
          <w:sz w:val="24"/>
          <w:szCs w:val="24"/>
          <w:lang w:val="zh-CN"/>
        </w:rPr>
        <w:t xml:space="preserve">（1）具有独立承担民事责任的能力；</w:t>
      </w:r>
      <w:r/>
    </w:p>
    <w:p>
      <w:pPr>
        <w:ind w:firstLine="480"/>
        <w:spacing w:line="360" w:lineRule="auto"/>
        <w:rPr>
          <w:rFonts w:ascii="宋体" w:hAnsi="宋体"/>
          <w:sz w:val="24"/>
          <w:szCs w:val="24"/>
          <w:lang w:val="zh-CN"/>
        </w:rPr>
      </w:pPr>
      <w:r>
        <w:rPr>
          <w:rFonts w:hint="eastAsia" w:ascii="宋体" w:hAnsi="宋体"/>
          <w:sz w:val="24"/>
          <w:szCs w:val="24"/>
          <w:lang w:val="zh-CN"/>
        </w:rPr>
        <w:t xml:space="preserve">（2）具有良好的商业信誉和健全的财务会计制度；</w:t>
      </w:r>
      <w:r/>
    </w:p>
    <w:p>
      <w:pPr>
        <w:ind w:firstLine="480"/>
        <w:spacing w:line="360" w:lineRule="auto"/>
        <w:rPr>
          <w:rFonts w:ascii="宋体" w:hAnsi="宋体"/>
          <w:sz w:val="24"/>
          <w:szCs w:val="24"/>
          <w:lang w:val="zh-CN"/>
        </w:rPr>
      </w:pPr>
      <w:r>
        <w:rPr>
          <w:rFonts w:hint="eastAsia" w:ascii="宋体" w:hAnsi="宋体"/>
          <w:sz w:val="24"/>
          <w:szCs w:val="24"/>
          <w:lang w:val="zh-CN"/>
        </w:rPr>
        <w:t xml:space="preserve">（3）具有履行合同所必须的设备和专业技术能力；</w:t>
      </w:r>
      <w:r/>
    </w:p>
    <w:p>
      <w:pPr>
        <w:ind w:firstLine="480"/>
        <w:spacing w:line="360" w:lineRule="auto"/>
        <w:rPr>
          <w:rFonts w:ascii="宋体" w:hAnsi="宋体"/>
          <w:sz w:val="24"/>
          <w:szCs w:val="24"/>
          <w:lang w:val="zh-CN"/>
        </w:rPr>
      </w:pPr>
      <w:r>
        <w:rPr>
          <w:rFonts w:hint="eastAsia" w:ascii="宋体" w:hAnsi="宋体"/>
          <w:sz w:val="24"/>
          <w:szCs w:val="24"/>
          <w:lang w:val="zh-CN"/>
        </w:rPr>
        <w:t xml:space="preserve">（4）有依法缴纳税收和社会保障资金的良好记录；</w:t>
      </w:r>
      <w:r/>
    </w:p>
    <w:p>
      <w:pPr>
        <w:ind w:firstLine="480"/>
        <w:spacing w:line="360" w:lineRule="auto"/>
        <w:rPr>
          <w:rFonts w:ascii="宋体" w:hAnsi="宋体"/>
          <w:sz w:val="24"/>
          <w:szCs w:val="24"/>
          <w:lang w:val="zh-CN"/>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ascii="宋体" w:hAnsi="宋体"/>
          <w:sz w:val="24"/>
          <w:szCs w:val="24"/>
          <w:lang w:val="zh-CN"/>
        </w:rPr>
      </w:pPr>
      <w:r>
        <w:rPr>
          <w:rFonts w:hint="eastAsia" w:ascii="宋体" w:hAnsi="宋体"/>
          <w:sz w:val="24"/>
          <w:szCs w:val="24"/>
          <w:lang w:val="zh-CN"/>
        </w:rPr>
        <w:t xml:space="preserve">（6）法律、行政法规规定的其他条件；</w:t>
      </w:r>
      <w:r/>
    </w:p>
    <w:p>
      <w:pPr>
        <w:ind w:firstLine="480"/>
        <w:spacing w:line="360" w:lineRule="auto"/>
        <w:rPr>
          <w:rFonts w:ascii="宋体" w:hAnsi="宋体"/>
          <w:b/>
          <w:sz w:val="24"/>
          <w:szCs w:val="24"/>
          <w:lang w:val="zh-CN"/>
        </w:rPr>
      </w:pPr>
      <w:r>
        <w:rPr>
          <w:rFonts w:hint="eastAsia" w:ascii="宋体" w:hAnsi="宋体"/>
          <w:b/>
          <w:sz w:val="24"/>
          <w:szCs w:val="24"/>
          <w:lang w:val="zh-CN"/>
        </w:rPr>
        <w:t xml:space="preserve">2、落实政府采购政策需满足的资格要求：</w:t>
      </w:r>
      <w:r/>
    </w:p>
    <w:p>
      <w:pPr>
        <w:ind w:firstLine="480"/>
        <w:spacing w:line="360" w:lineRule="auto"/>
        <w:rPr>
          <w:rFonts w:ascii="宋体" w:hAnsi="宋体"/>
          <w:sz w:val="24"/>
          <w:szCs w:val="24"/>
          <w:lang w:val="zh-CN"/>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r>
        <w:rPr>
          <w:rFonts w:hint="eastAsia" w:ascii="宋体" w:hAnsi="宋体"/>
          <w:b/>
          <w:sz w:val="24"/>
          <w:szCs w:val="24"/>
          <w:lang w:val="zh-CN"/>
        </w:rPr>
        <w:t xml:space="preserve">餐饮业</w:t>
      </w:r>
      <w:r>
        <w:rPr>
          <w:rFonts w:hint="eastAsia" w:ascii="宋体" w:hAnsi="宋体"/>
          <w:sz w:val="24"/>
          <w:szCs w:val="24"/>
          <w:lang w:val="zh-CN"/>
        </w:rPr>
        <w:t xml:space="preserve">。</w:t>
      </w:r>
      <w:r>
        <w:rPr>
          <w:rFonts w:ascii="宋体" w:hAnsi="宋体"/>
          <w:sz w:val="24"/>
          <w:szCs w:val="24"/>
          <w:lang w:val="zh-CN"/>
        </w:rPr>
        <w:t xml:space="preserve">供应商必须提供</w:t>
      </w:r>
      <w:bookmarkStart w:id="3"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3"/>
      <w:r/>
      <w:r/>
    </w:p>
    <w:p>
      <w:pPr>
        <w:ind w:firstLine="480"/>
        <w:spacing w:line="360" w:lineRule="auto"/>
        <w:rPr>
          <w:rFonts w:ascii="宋体" w:hAnsi="宋体"/>
          <w:b/>
          <w:sz w:val="24"/>
          <w:szCs w:val="24"/>
          <w:lang w:val="zh-CN"/>
        </w:rPr>
      </w:pPr>
      <w:r>
        <w:rPr>
          <w:rFonts w:hint="eastAsia" w:ascii="宋体" w:hAnsi="宋体"/>
          <w:b/>
          <w:sz w:val="24"/>
          <w:szCs w:val="24"/>
          <w:lang w:val="zh-CN"/>
        </w:rPr>
        <w:t xml:space="preserve">3、本项目的特定资格要求：</w:t>
      </w:r>
      <w:r/>
    </w:p>
    <w:p>
      <w:pPr>
        <w:ind w:firstLine="480"/>
        <w:spacing w:line="360" w:lineRule="auto"/>
        <w:rPr>
          <w:rFonts w:ascii="宋体" w:hAnsi="宋体"/>
          <w:sz w:val="24"/>
          <w:szCs w:val="24"/>
          <w:lang w:val="zh-CN"/>
        </w:rPr>
      </w:pPr>
      <w:r/>
      <w:bookmarkStart w:id="4" w:name="OLE_LINK17"/>
      <w:r>
        <w:rPr>
          <w:rFonts w:hint="eastAsia" w:ascii="宋体" w:hAnsi="宋体"/>
          <w:sz w:val="24"/>
          <w:szCs w:val="24"/>
          <w:lang w:val="zh-CN"/>
        </w:rPr>
        <w:t xml:space="preserve">（1）响应单位须具有有效期内的食品经营许可证；</w:t>
      </w:r>
      <w:bookmarkEnd w:id="4"/>
      <w:r/>
      <w:r/>
    </w:p>
    <w:p>
      <w:pPr>
        <w:ind w:firstLine="480"/>
        <w:spacing w:line="360" w:lineRule="auto"/>
        <w:rPr>
          <w:rFonts w:ascii="宋体" w:hAnsi="宋体" w:cs="宋体"/>
          <w:sz w:val="24"/>
          <w:szCs w:val="24"/>
          <w:lang w:val="zh-CN"/>
        </w:rPr>
      </w:pPr>
      <w:r>
        <w:rPr>
          <w:rFonts w:hint="eastAsia" w:ascii="宋体" w:hAnsi="宋体"/>
          <w:sz w:val="24"/>
          <w:szCs w:val="24"/>
          <w:lang w:val="zh-CN"/>
        </w:rPr>
        <w:t xml:space="preserve">（2）</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szCs w:val="24"/>
          <w:lang w:val="zh-CN"/>
        </w:rPr>
      </w:pPr>
      <w:r>
        <w:rPr>
          <w:rFonts w:hint="eastAsia" w:ascii="宋体" w:hAnsi="宋体" w:cs="宋体"/>
          <w:sz w:val="24"/>
          <w:szCs w:val="24"/>
          <w:lang w:val="zh-CN"/>
        </w:rPr>
        <w:t xml:space="preserve">（3）</w:t>
      </w:r>
      <w:bookmarkStart w:id="5" w:name="OLE_LINK18"/>
      <w:r/>
      <w:bookmarkStart w:id="6" w:name="OLE_LINK19"/>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5"/>
      <w:r/>
      <w:bookmarkEnd w:id="6"/>
      <w:r>
        <w:rPr>
          <w:rFonts w:hint="eastAsia" w:ascii="宋体" w:hAnsi="宋体"/>
          <w:sz w:val="24"/>
          <w:szCs w:val="24"/>
          <w:lang w:val="zh-CN"/>
        </w:rPr>
        <w:t xml:space="preserve">。</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szCs w:val="24"/>
          <w:lang w:val="zh-CN"/>
        </w:rPr>
        <w:t xml:space="preserve">三、</w:t>
      </w:r>
      <w:r>
        <w:rPr>
          <w:rFonts w:ascii="宋体" w:hAnsi="宋体" w:cs="宋体"/>
          <w:b/>
          <w:sz w:val="24"/>
        </w:rPr>
        <w:t xml:space="preserve">获取采购文件 </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时间：自磋商公告发布之日起5个工作日。</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截止时间：202</w:t>
      </w:r>
      <w:r>
        <w:rPr>
          <w:rFonts w:ascii="宋体" w:hAnsi="宋体" w:cs="宋体"/>
          <w:sz w:val="24"/>
        </w:rPr>
        <w:t xml:space="preserve">6</w:t>
      </w:r>
      <w:r>
        <w:rPr>
          <w:rFonts w:hint="eastAsia" w:ascii="宋体" w:hAnsi="宋体" w:cs="宋体"/>
          <w:sz w:val="24"/>
        </w:rPr>
        <w:t xml:space="preserve">年8月</w:t>
      </w:r>
      <w:r>
        <w:rPr>
          <w:rFonts w:ascii="宋体" w:hAnsi="宋体" w:cs="宋体"/>
          <w:sz w:val="24"/>
        </w:rPr>
        <w:t xml:space="preserve">28</w:t>
      </w:r>
      <w:r>
        <w:rPr>
          <w:rFonts w:hint="eastAsia" w:ascii="宋体" w:hAnsi="宋体" w:cs="宋体"/>
          <w:sz w:val="24"/>
        </w:rPr>
        <w:t xml:space="preserve">日</w:t>
      </w:r>
      <w:r>
        <w:rPr>
          <w:rFonts w:ascii="宋体" w:hAnsi="宋体" w:cs="宋体"/>
          <w:sz w:val="24"/>
        </w:rPr>
        <w:t xml:space="preserve">13</w:t>
      </w:r>
      <w:r>
        <w:rPr>
          <w:rFonts w:hint="eastAsia" w:ascii="宋体" w:hAnsi="宋体" w:cs="宋体"/>
          <w:sz w:val="24"/>
        </w:rPr>
        <w:t xml:space="preserve">:30（北京时间）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2025年8月</w:t>
      </w:r>
      <w:r>
        <w:rPr>
          <w:rFonts w:ascii="宋体" w:hAnsi="宋体" w:cs="宋体"/>
          <w:sz w:val="24"/>
        </w:rPr>
        <w:t xml:space="preserve">28</w:t>
      </w:r>
      <w:r>
        <w:rPr>
          <w:rFonts w:hint="eastAsia" w:ascii="宋体" w:hAnsi="宋体" w:cs="宋体"/>
          <w:sz w:val="24"/>
        </w:rPr>
        <w:t xml:space="preserve">日</w:t>
      </w:r>
      <w:r>
        <w:rPr>
          <w:rFonts w:ascii="宋体" w:hAnsi="宋体" w:cs="宋体"/>
          <w:sz w:val="24"/>
        </w:rPr>
        <w:t xml:space="preserve">13</w:t>
      </w:r>
      <w:r>
        <w:rPr>
          <w:rFonts w:hint="eastAsia" w:ascii="宋体" w:hAnsi="宋体" w:cs="宋体"/>
          <w:sz w:val="24"/>
        </w:rPr>
        <w:t xml:space="preserve">:30（北京时间）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1、CA证书办理：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“苏采云”系统目前仅支持“苏采云”系统下的政务CA证书，江苏省内各地区办理的“苏采云”系统下的政务CA证书全省通用。</w:t>
      </w:r>
      <w:r>
        <w:rPr>
          <w:rFonts w:hint="eastAsia" w:ascii="宋体" w:hAnsi="宋体" w:cs="宋体"/>
          <w:b/>
          <w:sz w:val="24"/>
          <w:szCs w:val="24"/>
        </w:rPr>
        <w:t xml:space="preserve">苏州现场办理地址：苏州市高新区邓尉路105号狮山科技馆1楼服务大厅，联系电话：0512-65737699。</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2、参与采购活动：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3、电子投标准备：</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 w:val="24"/>
          <w:szCs w:val="24"/>
        </w:rPr>
        <w:t xml:space="preserve">（具体详见《苏采云系统供应商操作手册》，网址链接https://czju.suzhou.gov.cn/zfcg/html/content/20231220161910031.shtml）</w:t>
      </w:r>
      <w:r>
        <w:rPr>
          <w:rFonts w:hint="eastAsia" w:ascii="宋体" w:hAnsi="宋体" w:cs="宋体"/>
          <w:sz w:val="24"/>
          <w:szCs w:val="24"/>
        </w:rPr>
        <w:t xml:space="preserve">。</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系统使用指导与咨询：联系电话：18261002950；</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QQ：3048755361、1315179389、895706745。</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智能客服：登录苏采云系统后，联系系统右下方智能客服图标进行咨询。</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4、售价：免费</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5、</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政府采购监管电话：</w:t>
      </w:r>
      <w:r>
        <w:rPr>
          <w:rFonts w:hint="eastAsia" w:ascii="宋体" w:hAnsi="宋体" w:cs="宋体"/>
          <w:sz w:val="24"/>
        </w:rPr>
        <w:t xml:space="preserve">0512</w:t>
      </w:r>
      <w:r>
        <w:rPr>
          <w:rFonts w:ascii="宋体" w:hAnsi="宋体" w:cs="宋体"/>
          <w:sz w:val="24"/>
        </w:rPr>
        <w:t xml:space="preserve">-</w:t>
      </w:r>
      <w:r>
        <w:rPr>
          <w:rFonts w:hint="eastAsia" w:ascii="宋体" w:hAnsi="宋体" w:cs="宋体"/>
          <w:sz w:val="24"/>
        </w:rPr>
        <w:t xml:space="preserve">66565137</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8、</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b/>
          <w:sz w:val="24"/>
          <w:szCs w:val="24"/>
          <w:lang w:val="zh-CN"/>
        </w:rPr>
      </w:pPr>
      <w:r>
        <w:rPr>
          <w:rFonts w:hint="eastAsia" w:ascii="宋体" w:hAnsi="宋体"/>
          <w:b/>
          <w:sz w:val="24"/>
          <w:szCs w:val="24"/>
          <w:lang w:val="zh-CN"/>
        </w:rPr>
        <w:t xml:space="preserve">八、对本次招标提出询问，请按以下方式联系。</w:t>
      </w:r>
      <w:r/>
    </w:p>
    <w:p>
      <w:pPr>
        <w:ind w:firstLine="480"/>
        <w:spacing w:line="360" w:lineRule="auto"/>
        <w:rPr>
          <w:rFonts w:ascii="宋体" w:hAnsi="宋体"/>
          <w:sz w:val="24"/>
          <w:szCs w:val="24"/>
          <w:lang w:val="zh-CN"/>
        </w:rPr>
      </w:pPr>
      <w:r>
        <w:rPr>
          <w:rFonts w:hint="eastAsia" w:ascii="宋体" w:hAnsi="宋体"/>
          <w:sz w:val="24"/>
          <w:szCs w:val="24"/>
          <w:lang w:val="zh-CN"/>
        </w:rPr>
        <w:t xml:space="preserve">1、采购人：苏州市吴中区人民政府郭巷街道办事处</w:t>
      </w:r>
      <w:r/>
    </w:p>
    <w:p>
      <w:pPr>
        <w:ind w:firstLine="480"/>
        <w:spacing w:line="360" w:lineRule="auto"/>
        <w:rPr>
          <w:rFonts w:ascii="宋体" w:hAnsi="宋体"/>
          <w:sz w:val="24"/>
          <w:szCs w:val="24"/>
          <w:lang w:val="zh-CN"/>
        </w:rPr>
      </w:pPr>
      <w:r>
        <w:rPr>
          <w:rFonts w:hint="eastAsia" w:ascii="宋体" w:hAnsi="宋体"/>
          <w:sz w:val="24"/>
          <w:szCs w:val="24"/>
          <w:lang w:val="zh-CN"/>
        </w:rPr>
        <w:t xml:space="preserve">地 址：</w:t>
      </w:r>
      <w:r>
        <w:rPr>
          <w:rFonts w:ascii="宋体" w:hAnsi="宋体"/>
          <w:sz w:val="24"/>
          <w:szCs w:val="24"/>
        </w:rPr>
        <w:t xml:space="preserve">江苏省苏州市吴中区郭新东路97号</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联系人：俞盛恺</w:t>
      </w:r>
      <w:r/>
    </w:p>
    <w:p>
      <w:pPr>
        <w:ind w:firstLine="480"/>
        <w:spacing w:line="360" w:lineRule="auto"/>
        <w:rPr>
          <w:rFonts w:ascii="宋体" w:hAnsi="宋体"/>
          <w:sz w:val="24"/>
          <w:szCs w:val="24"/>
        </w:rPr>
      </w:pPr>
      <w:r>
        <w:rPr>
          <w:rFonts w:hint="eastAsia" w:ascii="宋体" w:hAnsi="宋体"/>
          <w:sz w:val="24"/>
          <w:szCs w:val="24"/>
          <w:lang w:val="zh-CN"/>
        </w:rPr>
        <w:t xml:space="preserve">电 话：</w:t>
      </w:r>
      <w:r>
        <w:rPr>
          <w:rFonts w:ascii="宋体" w:hAnsi="宋体"/>
          <w:sz w:val="24"/>
          <w:szCs w:val="24"/>
          <w:lang w:val="zh-CN"/>
        </w:rPr>
        <w:t xml:space="preserve">0512-65871653</w:t>
      </w:r>
      <w:r/>
    </w:p>
    <w:p>
      <w:pPr>
        <w:ind w:firstLine="480"/>
        <w:spacing w:line="360" w:lineRule="auto"/>
        <w:rPr>
          <w:rFonts w:ascii="宋体" w:hAnsi="宋体"/>
          <w:sz w:val="24"/>
          <w:szCs w:val="24"/>
          <w:lang w:val="zh-CN"/>
        </w:rPr>
      </w:pPr>
      <w:r>
        <w:rPr>
          <w:rFonts w:hint="eastAsia" w:ascii="宋体" w:hAnsi="宋体"/>
          <w:sz w:val="24"/>
          <w:szCs w:val="24"/>
          <w:lang w:val="zh-CN"/>
        </w:rPr>
        <w:t xml:space="preserve">2、招标代理机构：信达项目咨询管理（苏州）有限公司</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联系地址：</w:t>
      </w:r>
      <w:r>
        <w:rPr>
          <w:rFonts w:ascii="宋体" w:hAnsi="宋体"/>
          <w:sz w:val="24"/>
          <w:szCs w:val="24"/>
        </w:rPr>
        <w:t xml:space="preserve">江苏省苏州市吴中区经济开发区枫津南路18号南都广场5楼555室</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联系人：向多、</w:t>
      </w:r>
      <w:r>
        <w:rPr>
          <w:rFonts w:hint="eastAsia" w:ascii="宋体" w:hAnsi="宋体"/>
          <w:sz w:val="24"/>
          <w:szCs w:val="24"/>
          <w:lang w:val="zh-CN"/>
        </w:rPr>
        <w:t xml:space="preserve">刘欣怡</w:t>
      </w:r>
      <w:r/>
    </w:p>
    <w:p>
      <w:pPr>
        <w:ind w:firstLine="480"/>
        <w:spacing w:line="360" w:lineRule="auto"/>
        <w:rPr>
          <w:rFonts w:ascii="宋体" w:hAnsi="宋体"/>
          <w:sz w:val="24"/>
          <w:szCs w:val="24"/>
          <w:lang w:val="zh-CN"/>
        </w:rPr>
      </w:pPr>
      <w:r>
        <w:rPr>
          <w:rFonts w:hint="eastAsia" w:ascii="宋体" w:hAnsi="宋体"/>
          <w:sz w:val="24"/>
          <w:szCs w:val="24"/>
          <w:lang w:val="zh-CN"/>
        </w:rPr>
        <w:t xml:space="preserve">联系电话：</w:t>
      </w:r>
      <w:r>
        <w:rPr>
          <w:rFonts w:ascii="宋体" w:hAnsi="宋体"/>
          <w:sz w:val="24"/>
          <w:szCs w:val="24"/>
          <w:lang w:val="zh-CN"/>
        </w:rPr>
        <w:t xml:space="preserve">18271439826</w:t>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pStyle w:val="775"/>
        <w:ind w:left="0" w:firstLine="0"/>
        <w:spacing w:after="0" w:line="360" w:lineRule="auto"/>
        <w:rPr>
          <w:rFonts w:ascii="宋体" w:hAnsi="宋体"/>
          <w:sz w:val="24"/>
          <w:szCs w:val="24"/>
          <w:lang w:val="zh-CN"/>
        </w:rPr>
      </w:pPr>
      <w:r>
        <w:rPr>
          <w:rFonts w:ascii="宋体" w:hAnsi="宋体"/>
          <w:sz w:val="24"/>
          <w:szCs w:val="24"/>
          <w:lang w:val="zh-CN"/>
        </w:rPr>
      </w:r>
      <w:r/>
    </w:p>
    <w:p>
      <w:pPr>
        <w:rPr>
          <w:rFonts w:ascii="宋体" w:hAnsi="宋体" w:cs="宋体"/>
          <w:b/>
          <w:sz w:val="24"/>
          <w:szCs w:val="24"/>
        </w:rPr>
      </w:pPr>
      <w:r>
        <w:rPr>
          <w:rFonts w:hint="eastAsia" w:ascii="宋体" w:hAnsi="宋体" w:cs="宋体"/>
          <w:b/>
          <w:sz w:val="24"/>
          <w:szCs w:val="24"/>
        </w:rPr>
        <w:t xml:space="preserve">附件：</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政府采购合同信用融资政策告知函</w:t>
      </w:r>
      <w:r/>
    </w:p>
    <w:p>
      <w:pPr>
        <w:jc w:val="cente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各政府采购供应商：</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欢迎贵公司参加苏州市政府采购活动！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br w:type="page" w:clear="all"/>
        <w:t xml:space="preserve">第二章 竞争性磋商文件</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采购编号：JSZC-320506-XDSZ-C2026-0004</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苏州市吴中区人民政府郭巷街道办事处</w:t>
      </w:r>
      <w:r>
        <w:rPr>
          <w:rFonts w:ascii="宋体" w:hAnsi="宋体" w:cs="宋体"/>
          <w:spacing w:val="15"/>
          <w:sz w:val="24"/>
        </w:rPr>
        <w:t xml:space="preserve">委托，对其要求采购的</w:t>
      </w:r>
      <w:r>
        <w:rPr>
          <w:rFonts w:ascii="宋体" w:hAnsi="宋体" w:cs="宋体"/>
          <w:b/>
          <w:sz w:val="24"/>
        </w:rPr>
        <w:t xml:space="preserve">2026-2027年度郭巷街道机关食堂物资采购项目</w:t>
      </w:r>
      <w:r>
        <w:rPr>
          <w:rFonts w:ascii="宋体" w:hAnsi="宋体" w:cs="宋体"/>
          <w:spacing w:val="15"/>
          <w:sz w:val="24"/>
        </w:rPr>
        <w:t xml:space="preserve">进行竞争性磋商采购，欢迎具有独立承担民事责任能力及履约能力的服务商参与竞争，以期采购到合格的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一、采购编号：JSZC-320506-XDSZ-C2026-0004</w:t>
      </w:r>
      <w:r/>
    </w:p>
    <w:p>
      <w:pPr>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二、项目名称：2026-2027年度郭巷街道机关食堂物资采购项目</w:t>
      </w:r>
      <w:r/>
    </w:p>
    <w:p>
      <w:pPr>
        <w:jc w:val="left"/>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三、预算金额：人民币贰佰玖拾万元整（¥2900000.00）</w:t>
      </w:r>
      <w:r/>
    </w:p>
    <w:p>
      <w:pPr>
        <w:numPr>
          <w:ilvl w:val="0"/>
          <w:numId w:val="5"/>
        </w:numPr>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采购需求</w:t>
      </w:r>
      <w:r>
        <w:rPr>
          <w:rFonts w:ascii="宋体" w:hAnsi="宋体" w:cs="宋体"/>
          <w:b/>
          <w:sz w:val="24"/>
          <w:szCs w:val="24"/>
        </w:rPr>
        <w:t xml:space="preserve">：</w:t>
      </w:r>
      <w:r/>
    </w:p>
    <w:p>
      <w:pPr>
        <w:spacing w:line="360" w:lineRule="auto"/>
        <w:rPr>
          <w:rFonts w:ascii="宋体" w:hAnsi="宋体"/>
          <w:b/>
          <w:bCs/>
          <w:sz w:val="24"/>
          <w:szCs w:val="24"/>
          <w:lang w:bidi="en-US"/>
        </w:rPr>
      </w:pPr>
      <w:r/>
      <w:bookmarkStart w:id="7" w:name="OLE_LINK1"/>
      <w:r/>
      <w:bookmarkStart w:id="8" w:name="OLE_LINK2"/>
      <w:r/>
      <w:bookmarkStart w:id="9" w:name="OLE_LINK10"/>
      <w:r/>
      <w:bookmarkStart w:id="10" w:name="OLE_LINK11"/>
      <w:r>
        <w:rPr>
          <w:rFonts w:hint="eastAsia" w:ascii="宋体" w:hAnsi="宋体"/>
          <w:b/>
          <w:bCs/>
          <w:sz w:val="24"/>
          <w:szCs w:val="24"/>
          <w:lang w:bidi="en-US"/>
        </w:rPr>
        <w:t xml:space="preserve">（一）项目背景与目标</w:t>
      </w:r>
      <w:r/>
    </w:p>
    <w:p>
      <w:pPr>
        <w:ind w:firstLine="420"/>
        <w:spacing w:line="360" w:lineRule="auto"/>
        <w:rPr>
          <w:rFonts w:ascii="宋体" w:hAnsi="宋体"/>
          <w:sz w:val="24"/>
          <w:szCs w:val="24"/>
          <w:lang w:bidi="en-US"/>
        </w:rPr>
      </w:pPr>
      <w:r>
        <w:rPr>
          <w:rFonts w:hint="eastAsia" w:ascii="宋体" w:hAnsi="宋体"/>
          <w:sz w:val="24"/>
          <w:szCs w:val="24"/>
          <w:lang w:bidi="en-US"/>
        </w:rPr>
        <w:t xml:space="preserve">1、项目背景：为保障郭巷街道机关食堂正常运营，提升食材质量与供应效率，现启动2</w:t>
      </w:r>
      <w:r>
        <w:rPr>
          <w:rFonts w:ascii="宋体" w:hAnsi="宋体"/>
          <w:sz w:val="24"/>
          <w:szCs w:val="24"/>
          <w:lang w:bidi="en-US"/>
        </w:rPr>
        <w:t xml:space="preserve">02</w:t>
      </w:r>
      <w:r>
        <w:rPr>
          <w:rFonts w:ascii="宋体" w:hAnsi="宋体"/>
          <w:sz w:val="24"/>
          <w:szCs w:val="24"/>
          <w:lang w:bidi="en-US"/>
        </w:rPr>
        <w:t xml:space="preserve">6</w:t>
      </w:r>
      <w:r>
        <w:rPr>
          <w:rFonts w:ascii="宋体" w:hAnsi="宋体"/>
          <w:sz w:val="24"/>
          <w:szCs w:val="24"/>
          <w:lang w:bidi="en-US"/>
        </w:rPr>
        <w:t xml:space="preserve">-202</w:t>
      </w:r>
      <w:r>
        <w:rPr>
          <w:rFonts w:ascii="宋体" w:hAnsi="宋体"/>
          <w:sz w:val="24"/>
          <w:szCs w:val="24"/>
          <w:lang w:bidi="en-US"/>
        </w:rPr>
        <w:t xml:space="preserve">7</w:t>
      </w:r>
      <w:r>
        <w:rPr>
          <w:rFonts w:hint="eastAsia" w:ascii="宋体" w:hAnsi="宋体"/>
          <w:sz w:val="24"/>
          <w:szCs w:val="24"/>
          <w:lang w:bidi="en-US"/>
        </w:rPr>
        <w:t xml:space="preserve">年度食材采购项目，预算总额290万元。</w:t>
      </w:r>
      <w:r>
        <w:rPr>
          <w:rFonts w:hint="eastAsia" w:ascii="宋体" w:hAnsi="宋体"/>
          <w:sz w:val="24"/>
          <w:szCs w:val="24"/>
          <w:lang w:bidi="en-US"/>
        </w:rPr>
        <w:t xml:space="preserve">采购范围涵盖鲜冻禽畜肉类、主副食鲜蔬类、粮油调味品以及食堂附属超市、咖啡驿站等原材料供应。需满足食品安全、质量稳定、价格合理的核心要求。</w:t>
      </w:r>
      <w:r/>
    </w:p>
    <w:p>
      <w:pPr>
        <w:ind w:firstLine="480"/>
        <w:spacing w:line="360" w:lineRule="auto"/>
        <w:rPr>
          <w:rFonts w:ascii="宋体" w:hAnsi="宋体"/>
          <w:sz w:val="24"/>
          <w:szCs w:val="24"/>
          <w:lang w:bidi="en-US"/>
        </w:rPr>
      </w:pPr>
      <w:r>
        <w:rPr>
          <w:rFonts w:hint="eastAsia" w:ascii="宋体" w:hAnsi="宋体"/>
          <w:sz w:val="24"/>
          <w:szCs w:val="24"/>
          <w:lang w:bidi="en-US"/>
        </w:rPr>
        <w:t xml:space="preserve">2、项目目标：确保全年食材供应不断档，质量符合国家食品安全标准；优化供应商管理，降低采购成本，提升资金使用效率；建立应急保障机制，应对突发需求或市场波动。</w:t>
      </w:r>
      <w:r/>
    </w:p>
    <w:p>
      <w:pPr>
        <w:spacing w:line="360" w:lineRule="auto"/>
        <w:rPr>
          <w:rFonts w:ascii="宋体" w:hAnsi="宋体"/>
          <w:b/>
          <w:sz w:val="24"/>
          <w:szCs w:val="24"/>
        </w:rPr>
      </w:pPr>
      <w:r>
        <w:rPr>
          <w:rFonts w:hint="eastAsia" w:ascii="宋体" w:hAnsi="宋体" w:cs="宋体"/>
          <w:b/>
          <w:bCs/>
          <w:sz w:val="24"/>
          <w:szCs w:val="24"/>
        </w:rPr>
        <w:t xml:space="preserve">（二）</w:t>
      </w:r>
      <w:r>
        <w:rPr>
          <w:rFonts w:hint="eastAsia" w:ascii="宋体" w:hAnsi="宋体"/>
          <w:b/>
          <w:sz w:val="24"/>
          <w:szCs w:val="24"/>
        </w:rPr>
        <w:t xml:space="preserve">主要质量标准</w:t>
      </w:r>
      <w:r/>
    </w:p>
    <w:p>
      <w:pPr>
        <w:ind w:firstLine="360"/>
        <w:spacing w:line="360" w:lineRule="auto"/>
        <w:rPr>
          <w:rFonts w:ascii="宋体" w:hAnsi="宋体"/>
          <w:sz w:val="24"/>
          <w:szCs w:val="24"/>
        </w:rPr>
      </w:pPr>
      <w:r>
        <w:rPr>
          <w:rFonts w:hint="eastAsia" w:ascii="宋体" w:hAnsi="宋体"/>
          <w:sz w:val="24"/>
          <w:szCs w:val="24"/>
        </w:rPr>
        <w:t xml:space="preserve">1、大米配送标准：一年内新大米（国标一级），必须符合GB/T 1354-2018标准，并具有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2、面粉配送标准：面粉级别为特一级，必须符合GB/T 1355-2021标准，并具有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3、食用油配送标准：非转基因食用油，每桶5升~10升左右，必须符合GB 2716-2018食品安全国家标准植物油，</w:t>
      </w:r>
      <w:bookmarkStart w:id="11" w:name="OLE_LINK36"/>
      <w:r>
        <w:rPr>
          <w:rFonts w:hint="eastAsia" w:ascii="宋体" w:hAnsi="宋体"/>
          <w:sz w:val="24"/>
          <w:szCs w:val="24"/>
        </w:rPr>
        <w:t xml:space="preserve">并具有 “SC食品生产许可证”。</w:t>
      </w:r>
      <w:bookmarkEnd w:id="11"/>
      <w:r/>
      <w:r/>
    </w:p>
    <w:p>
      <w:pPr>
        <w:ind w:firstLine="360"/>
        <w:spacing w:line="360" w:lineRule="auto"/>
        <w:rPr>
          <w:rFonts w:ascii="宋体" w:hAnsi="宋体"/>
          <w:sz w:val="24"/>
          <w:szCs w:val="24"/>
        </w:rPr>
      </w:pPr>
      <w:r>
        <w:rPr>
          <w:rFonts w:hint="eastAsia" w:ascii="宋体" w:hAnsi="宋体"/>
          <w:sz w:val="24"/>
          <w:szCs w:val="24"/>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分销合格证明》，及《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360"/>
        <w:spacing w:line="360" w:lineRule="auto"/>
        <w:rPr>
          <w:rFonts w:ascii="宋体" w:hAnsi="宋体"/>
          <w:sz w:val="24"/>
          <w:szCs w:val="24"/>
        </w:rPr>
      </w:pPr>
      <w:r>
        <w:rPr>
          <w:rFonts w:hint="eastAsia" w:ascii="宋体" w:hAnsi="宋体"/>
          <w:sz w:val="24"/>
          <w:szCs w:val="24"/>
        </w:rPr>
        <w:t xml:space="preserve">5、家禽冻品（鸡腿、鸡翅等）质量要求：配送方须提供产品合格证明文件，动物产品提供《动物或动物产品分销信息凭证》或《动物检疫合格证》。</w:t>
      </w:r>
      <w:r/>
    </w:p>
    <w:p>
      <w:pPr>
        <w:ind w:firstLine="360"/>
        <w:spacing w:line="360" w:lineRule="auto"/>
        <w:rPr>
          <w:rFonts w:ascii="宋体" w:hAnsi="宋体"/>
          <w:sz w:val="24"/>
          <w:szCs w:val="24"/>
        </w:rPr>
      </w:pPr>
      <w:r>
        <w:rPr>
          <w:rFonts w:hint="eastAsia" w:ascii="宋体" w:hAnsi="宋体"/>
          <w:sz w:val="24"/>
          <w:szCs w:val="24"/>
        </w:rPr>
        <w:t xml:space="preserve">6、豆制品质量要求：发酵性豆制品必须符合国家最新标准，非发酵豆制品必须符合国家最新标准、非发酵性豆制品及面筋卫生标准，对豆制品的有关安全健康指标符合国家规定.</w:t>
      </w:r>
      <w:r/>
    </w:p>
    <w:p>
      <w:pPr>
        <w:ind w:firstLine="360"/>
        <w:spacing w:line="360" w:lineRule="auto"/>
        <w:rPr>
          <w:rFonts w:ascii="宋体" w:hAnsi="宋体"/>
          <w:sz w:val="24"/>
          <w:szCs w:val="24"/>
        </w:rPr>
      </w:pPr>
      <w:r>
        <w:rPr>
          <w:rFonts w:hint="eastAsia" w:ascii="宋体" w:hAnsi="宋体"/>
          <w:sz w:val="24"/>
          <w:szCs w:val="24"/>
        </w:rPr>
        <w:t xml:space="preserve">7、水产品质量要求：必须符合GB 2733-2015《食品安全国家标准鲜、冻动物性水产品》、GB 10136-2015《食品安全国家标准 动物性水产制品》、GB 10133-2014 《食品安全国家标准 水产调味品》、GB 19643-2016《食品安全国家标准 藻类及其制品》等。产品的感观、安全、卫生、稳定性等指标符合相关规定。</w:t>
      </w:r>
      <w:r/>
    </w:p>
    <w:p>
      <w:pPr>
        <w:ind w:firstLine="360"/>
        <w:spacing w:line="360" w:lineRule="auto"/>
        <w:rPr>
          <w:rFonts w:ascii="宋体" w:hAnsi="宋体"/>
          <w:sz w:val="24"/>
          <w:szCs w:val="24"/>
        </w:rPr>
      </w:pPr>
      <w:r>
        <w:rPr>
          <w:rFonts w:hint="eastAsia" w:ascii="宋体" w:hAnsi="宋体"/>
          <w:sz w:val="24"/>
          <w:szCs w:val="24"/>
        </w:rPr>
        <w:t xml:space="preserve">8、无公害蔬菜质量要求：必须符合国家最新标准农产品安全质量无公害蔬菜安全要求，对蔬菜中有害物质严格控制在标准规定范围之内。</w:t>
      </w:r>
      <w:r>
        <w:rPr>
          <w:rFonts w:hint="eastAsia" w:ascii="宋体" w:hAnsi="宋体" w:cs="宋体"/>
          <w:sz w:val="24"/>
          <w:szCs w:val="24"/>
        </w:rPr>
        <w:t xml:space="preserve">新鲜嫩绿，无黄叶，无菜虫，通过农药残留成分测试，蔬菜不带根，不带泥</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9、调味品质量要求：食用盐必须符合GB/T 5461-2016标准，酱油必须符合GB 2717-2018标准，味精必须符合GB2720-2015标准，生粉（淀粉制品）必须符合GB2713-2015标准，食糖必须符合GB13104-2014卫生标准，食醋必须符合GB2719—2018标准,酿造食醋必须符合GB18187-2000标准。</w:t>
      </w:r>
      <w:r/>
    </w:p>
    <w:p>
      <w:pPr>
        <w:ind w:firstLine="360"/>
        <w:spacing w:line="360" w:lineRule="auto"/>
        <w:rPr>
          <w:rFonts w:ascii="宋体" w:hAnsi="宋体"/>
          <w:sz w:val="24"/>
          <w:szCs w:val="24"/>
        </w:rPr>
      </w:pPr>
      <w:r>
        <w:rPr>
          <w:rFonts w:hint="eastAsia" w:ascii="宋体" w:hAnsi="宋体"/>
          <w:sz w:val="24"/>
          <w:szCs w:val="24"/>
        </w:rPr>
        <w:t xml:space="preserve">10、食品添加剂质量要求：食品添加剂应符合相应的食品安全标准，添加剂的使用必须符合GB2760-2021标准，对食品的添加量严格控制在标准规定范围之内。</w:t>
      </w:r>
      <w:r/>
    </w:p>
    <w:p>
      <w:pPr>
        <w:ind w:firstLine="360"/>
        <w:spacing w:line="360" w:lineRule="auto"/>
        <w:rPr>
          <w:rFonts w:ascii="宋体" w:hAnsi="宋体"/>
          <w:sz w:val="24"/>
          <w:szCs w:val="24"/>
        </w:rPr>
      </w:pPr>
      <w:r>
        <w:rPr>
          <w:rFonts w:hint="eastAsia" w:ascii="宋体" w:hAnsi="宋体"/>
          <w:sz w:val="24"/>
          <w:szCs w:val="24"/>
        </w:rPr>
        <w:t xml:space="preserve">11、鲜蛋质量要求：鸡蛋等新鲜蛋类必须符合GB2749-2015标准。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、新鲜水果要求：纯天然无公害，个头匀称、无斑点、无破损、果实成熟、味道纯正，必须符合GB/T23351-2009标准。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、乳制品质量要求：食材包装及外观干净、整洁，生产日期、保质期、贮藏条件标识清晰，须在保质期内，必须符合 GB/1 2693-2010标准。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其他质量</w:t>
      </w:r>
      <w:r>
        <w:rPr>
          <w:rFonts w:hint="eastAsia" w:ascii="宋体" w:hAnsi="宋体"/>
          <w:sz w:val="24"/>
          <w:szCs w:val="24"/>
        </w:rPr>
        <w:t xml:space="preserve">要求：食堂附属超市、咖啡驿站全部原材料，须符</w:t>
      </w:r>
      <w:r>
        <w:rPr>
          <w:rFonts w:hint="eastAsia" w:ascii="宋体" w:hAnsi="宋体"/>
          <w:sz w:val="24"/>
          <w:szCs w:val="24"/>
        </w:rPr>
        <w:t xml:space="preserve">合国家现行食品安全相关法律法规及强制性标准要求，产品来源可追溯，严禁供应假冒伪劣、三无、过期变质产品，保障食用安全，</w:t>
      </w:r>
      <w:r>
        <w:rPr>
          <w:rFonts w:hint="eastAsia" w:ascii="宋体" w:hAnsi="宋体"/>
          <w:sz w:val="24"/>
          <w:szCs w:val="24"/>
          <w:lang w:bidi="en-US"/>
        </w:rPr>
        <w:t xml:space="preserve">具体配送清单按照采购单位要求。</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、运输要求：符合GB/T33129-2016《新鲜水果、蔬菜包装和冷链运输通用操作规程》等国家标准。</w:t>
      </w:r>
      <w:r/>
    </w:p>
    <w:p>
      <w:pPr>
        <w:ind w:firstLine="360"/>
        <w:spacing w:line="360" w:lineRule="auto"/>
        <w:rPr>
          <w:rFonts w:ascii="宋体" w:hAnsi="宋体"/>
          <w:sz w:val="24"/>
          <w:szCs w:val="24"/>
        </w:rPr>
      </w:pPr>
      <w:r>
        <w:rPr>
          <w:rFonts w:hint="eastAsia" w:ascii="宋体" w:hAnsi="宋体"/>
          <w:sz w:val="24"/>
          <w:szCs w:val="24"/>
        </w:rPr>
        <w:t xml:space="preserve">注：以上质量标准如有最新国家或行业标准出台，则按最新标准执行；其他未注明的各项原材料，须符合最新国家标准。</w:t>
      </w:r>
      <w:r/>
    </w:p>
    <w:p>
      <w:pPr>
        <w:spacing w:line="360" w:lineRule="auto"/>
        <w:rPr>
          <w:rFonts w:ascii="宋体" w:hAnsi="宋体"/>
          <w:b/>
          <w:sz w:val="24"/>
          <w:szCs w:val="24"/>
        </w:rPr>
      </w:pPr>
      <w:r>
        <w:rPr>
          <w:rFonts w:hint="eastAsia" w:ascii="宋体" w:hAnsi="宋体"/>
          <w:b/>
          <w:sz w:val="24"/>
          <w:szCs w:val="24"/>
        </w:rPr>
        <w:t xml:space="preserve">（三）品牌及检测报告要求</w:t>
      </w:r>
      <w:r/>
    </w:p>
    <w:p>
      <w:pPr>
        <w:ind w:firstLine="360"/>
        <w:spacing w:line="360" w:lineRule="auto"/>
        <w:rPr>
          <w:rFonts w:ascii="宋体" w:hAnsi="宋体"/>
          <w:sz w:val="24"/>
          <w:szCs w:val="24"/>
        </w:rPr>
      </w:pPr>
      <w:r>
        <w:rPr>
          <w:rFonts w:hint="eastAsia" w:ascii="宋体" w:hAnsi="宋体"/>
          <w:sz w:val="24"/>
          <w:szCs w:val="24"/>
        </w:rPr>
        <w:t xml:space="preserve">1、肉类（含家禽、鱼、肉、冷鲜肉等）、豆制品、调味品、食用油必须使用品牌产品，即由所处经营领域中有较高知名度与美誉度的大型企业提供，其产品可以追根溯源。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2、每次配送的食材均需提供相关的检测报告或检验合格证。</w:t>
      </w:r>
      <w:r/>
    </w:p>
    <w:p>
      <w:pPr>
        <w:ind w:firstLine="360"/>
        <w:spacing w:before="1" w:line="360" w:lineRule="auto"/>
        <w:rPr>
          <w:rFonts w:ascii="宋体" w:hAnsi="宋体"/>
          <w:sz w:val="24"/>
          <w:szCs w:val="24"/>
        </w:rPr>
      </w:pPr>
      <w:r>
        <w:rPr>
          <w:rFonts w:hint="eastAsia" w:ascii="宋体" w:hAnsi="宋体"/>
          <w:sz w:val="24"/>
          <w:szCs w:val="24"/>
        </w:rPr>
        <w:t xml:space="preserve">3、采购方可委托权威部门定期对配送方提供的食材进行检测。如检测发现质量问题，由配送方承担检测费用并承担相应责任。</w:t>
      </w:r>
      <w:r/>
    </w:p>
    <w:p>
      <w:pPr>
        <w:ind w:firstLine="360"/>
        <w:spacing w:before="1" w:line="360" w:lineRule="auto"/>
        <w:rPr>
          <w:rFonts w:ascii="宋体" w:hAnsi="宋体"/>
          <w:sz w:val="24"/>
          <w:szCs w:val="24"/>
        </w:rPr>
      </w:pPr>
      <w:r>
        <w:rPr>
          <w:rFonts w:hint="eastAsia" w:ascii="宋体" w:hAnsi="宋体"/>
          <w:sz w:val="24"/>
          <w:szCs w:val="24"/>
        </w:rPr>
        <w:t xml:space="preserve">4、配送品牌要求：</w:t>
      </w:r>
      <w:r/>
    </w:p>
    <w:tbl>
      <w:tblPr>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971"/>
        <w:gridCol w:w="5832"/>
      </w:tblGrid>
      <w:tr>
        <w:trPr>
          <w:jc w:val="center"/>
          <w:trHeight w:val="20"/>
        </w:trPr>
        <w:tc>
          <w:tcPr>
            <w:tcW w:w="2971" w:type="dxa"/>
            <w:vAlign w:val="center"/>
            <w:textDirection w:val="lrTb"/>
            <w:noWrap w:val="false"/>
          </w:tcPr>
          <w:p>
            <w:pPr>
              <w:pStyle w:val="963"/>
              <w:spacing w:before="111"/>
              <w:rPr>
                <w:rFonts w:ascii="宋体" w:hAnsi="宋体" w:eastAsia="宋体" w:cs="宋体"/>
                <w:sz w:val="24"/>
                <w:szCs w:val="24"/>
              </w:rPr>
            </w:pPr>
            <w:r>
              <w:rPr>
                <w:rFonts w:hint="eastAsia" w:ascii="宋体" w:hAnsi="宋体" w:eastAsia="宋体" w:cs="宋体"/>
                <w:sz w:val="24"/>
                <w:szCs w:val="24"/>
              </w:rPr>
              <w:t xml:space="preserve">类别</w:t>
            </w:r>
            <w:r/>
          </w:p>
        </w:tc>
        <w:tc>
          <w:tcPr>
            <w:tcW w:w="5832"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肉类</w:t>
            </w:r>
            <w:r/>
          </w:p>
        </w:tc>
        <w:tc>
          <w:tcPr>
            <w:tcW w:w="5832" w:type="dxa"/>
            <w:vAlign w:val="center"/>
            <w:textDirection w:val="lrTb"/>
            <w:noWrap w:val="false"/>
          </w:tcPr>
          <w:p>
            <w:pPr>
              <w:pStyle w:val="963"/>
              <w:jc w:val="left"/>
              <w:spacing w:before="159"/>
              <w:rPr>
                <w:rFonts w:ascii="宋体" w:hAnsi="宋体" w:eastAsia="宋体" w:cs="宋体"/>
                <w:sz w:val="24"/>
                <w:szCs w:val="24"/>
              </w:rPr>
            </w:pPr>
            <w:r>
              <w:rPr>
                <w:rFonts w:hint="eastAsia" w:ascii="宋体" w:hAnsi="宋体" w:eastAsia="宋体" w:cs="宋体"/>
                <w:sz w:val="24"/>
                <w:szCs w:val="24"/>
              </w:rPr>
              <w:t xml:space="preserve">雨润、双汇、青莲、中粮（不低于上述档次品牌）</w:t>
            </w:r>
            <w:r/>
          </w:p>
        </w:tc>
      </w:tr>
      <w:tr>
        <w:trPr>
          <w:jc w:val="center"/>
          <w:trHeight w:val="20"/>
        </w:trPr>
        <w:tc>
          <w:tcPr>
            <w:tcW w:w="2971" w:type="dxa"/>
            <w:vAlign w:val="center"/>
            <w:textDirection w:val="lrTb"/>
            <w:noWrap w:val="false"/>
          </w:tcPr>
          <w:p>
            <w:pPr>
              <w:pStyle w:val="963"/>
              <w:spacing w:before="174"/>
              <w:rPr>
                <w:rFonts w:ascii="宋体" w:hAnsi="宋体" w:eastAsia="宋体" w:cs="宋体"/>
                <w:sz w:val="24"/>
                <w:szCs w:val="24"/>
              </w:rPr>
            </w:pPr>
            <w:r>
              <w:rPr>
                <w:rFonts w:hint="eastAsia" w:ascii="宋体" w:hAnsi="宋体" w:eastAsia="宋体" w:cs="宋体"/>
                <w:sz w:val="24"/>
                <w:szCs w:val="24"/>
              </w:rPr>
              <w:t xml:space="preserve">食用油（非转基因）</w:t>
            </w:r>
            <w:r/>
          </w:p>
        </w:tc>
        <w:tc>
          <w:tcPr>
            <w:tcW w:w="5832" w:type="dxa"/>
            <w:vAlign w:val="center"/>
            <w:textDirection w:val="lrTb"/>
            <w:noWrap w:val="false"/>
          </w:tcPr>
          <w:p>
            <w:pPr>
              <w:pStyle w:val="963"/>
              <w:jc w:val="left"/>
              <w:spacing w:before="174"/>
              <w:rPr>
                <w:rFonts w:ascii="宋体" w:hAnsi="宋体" w:eastAsia="宋体" w:cs="宋体"/>
                <w:sz w:val="24"/>
                <w:szCs w:val="24"/>
              </w:rPr>
            </w:pPr>
            <w:r>
              <w:rPr>
                <w:rFonts w:hint="eastAsia" w:ascii="宋体" w:hAnsi="宋体" w:eastAsia="宋体" w:cs="宋体"/>
                <w:sz w:val="24"/>
                <w:szCs w:val="24"/>
              </w:rPr>
              <w:t xml:space="preserve">金成、福临门、金龙鱼（不低于上述档次品牌）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调味品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海天、李锦记、太太乐（不低于上述档次品牌）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冷冻品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大成、成达、六和、凯牧（不低于上述档次品牌）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豆制品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艺杏、祖名、日和（不低于上述档次品牌）</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水产</w:t>
            </w:r>
            <w:r/>
          </w:p>
        </w:tc>
        <w:tc>
          <w:tcPr>
            <w:tcBorders>
              <w:right w:val="single" w:color="000000" w:sz="8" w:space="0"/>
            </w:tcBorders>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蔬菜</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禽蛋</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45"/>
              <w:rPr>
                <w:rFonts w:ascii="宋体" w:hAnsi="宋体" w:eastAsia="宋体" w:cs="宋体"/>
                <w:sz w:val="24"/>
                <w:szCs w:val="24"/>
              </w:rPr>
            </w:pPr>
            <w:r>
              <w:rPr>
                <w:rFonts w:hint="eastAsia" w:ascii="宋体" w:hAnsi="宋体" w:eastAsia="宋体" w:cs="宋体"/>
                <w:sz w:val="24"/>
                <w:szCs w:val="24"/>
              </w:rPr>
              <w:t xml:space="preserve">南北干货</w:t>
            </w:r>
            <w:r/>
          </w:p>
        </w:tc>
        <w:tc>
          <w:tcPr>
            <w:tcW w:w="5832" w:type="dxa"/>
            <w:vAlign w:val="center"/>
            <w:textDirection w:val="lrTb"/>
            <w:noWrap w:val="false"/>
          </w:tcPr>
          <w:p>
            <w:pPr>
              <w:pStyle w:val="963"/>
              <w:jc w:val="left"/>
              <w:spacing w:before="150"/>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其他</w:t>
            </w:r>
            <w:r/>
          </w:p>
        </w:tc>
        <w:tc>
          <w:tcPr>
            <w:tcW w:w="5832" w:type="dxa"/>
            <w:vAlign w:val="center"/>
            <w:textDirection w:val="lrTb"/>
            <w:noWrap w:val="false"/>
          </w:tcPr>
          <w:p>
            <w:pPr>
              <w:pStyle w:val="963"/>
              <w:jc w:val="left"/>
              <w:spacing w:before="0"/>
              <w:rPr>
                <w:rFonts w:ascii="宋体" w:hAnsi="宋体" w:eastAsia="宋体" w:cs="宋体"/>
                <w:sz w:val="24"/>
                <w:szCs w:val="24"/>
              </w:rPr>
            </w:pPr>
            <w:r>
              <w:rPr>
                <w:rFonts w:hint="eastAsia" w:ascii="宋体" w:hAnsi="宋体" w:eastAsia="宋体" w:cs="宋体"/>
                <w:sz w:val="24"/>
                <w:szCs w:val="24"/>
              </w:rPr>
              <w:t xml:space="preserve">菜场</w:t>
            </w:r>
            <w:r/>
          </w:p>
        </w:tc>
      </w:tr>
    </w:tbl>
    <w:p>
      <w:pPr>
        <w:spacing w:before="120" w:line="360" w:lineRule="auto"/>
        <w:rPr>
          <w:rFonts w:ascii="宋体" w:hAnsi="宋体"/>
          <w:b/>
          <w:sz w:val="24"/>
          <w:szCs w:val="24"/>
        </w:rPr>
      </w:pPr>
      <w:r>
        <w:rPr>
          <w:rFonts w:hint="eastAsia" w:ascii="宋体" w:hAnsi="宋体"/>
          <w:b/>
          <w:sz w:val="24"/>
          <w:szCs w:val="24"/>
        </w:rPr>
        <w:t xml:space="preserve">（四）配送要求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配送方供应的食材必须符合《中华人民共和国食品安全法》标准，并根据协议约定和街道食堂提出的品种、规格、品牌、数量、质量要求在规定的时间内及时送到。每日的配送清单须是打印稿，如发现食材卫生质量问题或者以次充好，街道可立即无条件退货或换货，并对配送方扣除进行本次配送货物金额5-10倍的货款作为违约金。</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配送方严禁提供以下食品：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）无品名、产地、厂名、生产日期、保质期及中文标识及原料说明的定型包装食品（除蔬菜、面点、早点等非定型包装食品）；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）超过保质期限或不符合食品标签规定的定型包装食品；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）腐败变质、油脂酸败、霉变、生虫、污秽不洁、混有异物或者其他感官性状异常，含有毒、有害物质或者被有毒、有害物质污染，可能对人体健康有害的食品；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）病死、死因不明或从疫区采购的水产品、畜、禽及其制品，不合格调味品，工业用盐，非碘盐或非食品原料和滥用食品添加剂，农药残留超标的水果、蔬菜等；</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）其他不符合食品卫生标准和要求的食品。</w:t>
      </w:r>
      <w:r/>
    </w:p>
    <w:p>
      <w:pPr>
        <w:ind w:firstLine="480"/>
        <w:spacing w:line="360" w:lineRule="auto"/>
        <w:rPr>
          <w:rFonts w:ascii="宋体" w:hAnsi="宋体"/>
          <w:sz w:val="24"/>
          <w:szCs w:val="24"/>
        </w:rPr>
      </w:pPr>
      <w:r>
        <w:rPr>
          <w:rFonts w:hint="eastAsia" w:ascii="宋体" w:hAnsi="宋体"/>
          <w:sz w:val="24"/>
          <w:szCs w:val="24"/>
        </w:rPr>
        <w:t xml:space="preserve">3、如因配送方所供应食品的质量问题引起食物中毒等食源性疾病的发生或其他事故，由配送方负全部责任，并承担由此而引起的全部经济损失及相关法律责任。情节较为严重的，街道有权立即终止供货协议，并按相关法律处理。</w:t>
      </w:r>
      <w:r/>
    </w:p>
    <w:p>
      <w:pPr>
        <w:ind w:firstLine="480"/>
        <w:spacing w:line="360" w:lineRule="auto"/>
        <w:rPr>
          <w:rFonts w:ascii="宋体" w:hAnsi="宋体"/>
          <w:sz w:val="24"/>
          <w:szCs w:val="24"/>
        </w:rPr>
      </w:pPr>
      <w:r>
        <w:rPr>
          <w:rFonts w:hint="eastAsia" w:ascii="宋体" w:hAnsi="宋体"/>
          <w:sz w:val="24"/>
          <w:szCs w:val="24"/>
        </w:rPr>
        <w:t xml:space="preserve">4、每天送货一次，应急配送的在收到通知后半小时内响应，1小时内完成或提出解决方案。</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配送方必须仔细核对采购方清单，确保所需的食品原材料品种、规格、品牌、数量、质量等准确无误，并在规定时间内及时送达。配送方向采购方提供商品的品牌、规格必须与合同规定一致，严禁擅自更换商品品牌、规格。采购方有权根据市场供应情况书面指定替代品牌。</w:t>
      </w:r>
      <w:r/>
    </w:p>
    <w:p>
      <w:pPr>
        <w:ind w:firstLine="482"/>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配送方须配备一辆带冷藏或冷冻功能的厢式货车，符合国家食品运输相关规定。自有的需提供车辆的权属证明、对应行驶证扫描件及车辆照片；如车辆为租赁的，需提供租赁合同、对应行驶证扫描件及车辆照片；承诺中标后购买或租赁的，需提供承诺函。</w:t>
      </w:r>
      <w:r/>
    </w:p>
    <w:p>
      <w:pPr>
        <w:ind w:firstLine="482"/>
        <w:spacing w:line="360" w:lineRule="auto"/>
        <w:rPr>
          <w:rFonts w:ascii="宋体" w:hAnsi="宋体" w:cs="宋体"/>
          <w:bCs/>
          <w:sz w:val="24"/>
          <w:szCs w:val="24"/>
        </w:rPr>
      </w:pP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本项目需配备人员至少6名，其中包含项目负责人1名。</w:t>
      </w:r>
      <w:r>
        <w:rPr>
          <w:rFonts w:hint="eastAsia" w:ascii="宋体" w:hAnsi="宋体" w:cs="宋体"/>
          <w:sz w:val="24"/>
          <w:szCs w:val="24"/>
        </w:rPr>
        <w:t xml:space="preserve">服务人员配置由配送方根据采购方的工作内容自行设定各岗位人员配置。所有服务人员身体健康、遵纪守法，</w:t>
      </w:r>
      <w:r>
        <w:rPr>
          <w:rFonts w:hint="eastAsia" w:ascii="宋体" w:hAnsi="宋体"/>
          <w:sz w:val="24"/>
          <w:szCs w:val="24"/>
        </w:rPr>
        <w:t xml:space="preserve">用工年龄必须在55周岁以内，国家规定持证上岗的人员必须有相应的资格证书</w:t>
      </w:r>
      <w:r>
        <w:rPr>
          <w:rFonts w:hint="eastAsia" w:ascii="宋体" w:hAnsi="宋体" w:cs="宋体"/>
          <w:sz w:val="24"/>
          <w:szCs w:val="24"/>
        </w:rPr>
        <w:t xml:space="preserve">。</w:t>
      </w:r>
      <w:r/>
    </w:p>
    <w:p>
      <w:pPr>
        <w:spacing w:line="360" w:lineRule="auto"/>
        <w:rPr>
          <w:rFonts w:ascii="宋体" w:hAnsi="宋体" w:cs="宋体"/>
          <w:b/>
          <w:bCs/>
          <w:sz w:val="24"/>
          <w:szCs w:val="24"/>
        </w:rPr>
      </w:pPr>
      <w:r>
        <w:rPr>
          <w:rFonts w:hint="eastAsia" w:ascii="宋体" w:hAnsi="宋体" w:cs="宋体"/>
          <w:b/>
          <w:bCs/>
          <w:sz w:val="24"/>
          <w:szCs w:val="24"/>
        </w:rPr>
        <w:t xml:space="preserve">（五）采购流程</w:t>
      </w:r>
      <w:r/>
    </w:p>
    <w:p>
      <w:pPr>
        <w:ind w:firstLine="482"/>
        <w:spacing w:line="360" w:lineRule="auto"/>
        <w:rPr>
          <w:rFonts w:ascii="宋体" w:hAnsi="宋体" w:cs="宋体"/>
          <w:bCs/>
          <w:sz w:val="24"/>
          <w:szCs w:val="24"/>
        </w:rPr>
      </w:pPr>
      <w:r>
        <w:rPr>
          <w:rFonts w:hint="eastAsia" w:ascii="宋体" w:hAnsi="宋体" w:cs="宋体"/>
          <w:bCs/>
          <w:sz w:val="24"/>
          <w:szCs w:val="24"/>
        </w:rPr>
        <w:t xml:space="preserve"> 1、需求确认：根据食堂实际需求，按日制定采购计划，采购人提前1日通知供应商。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2、订单下达：订单明确品种、数量、交付时间及质量标准。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3、验收管理：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初验：检查数量、包装及外观，不合格品1小时内重新供货。</w:t>
      </w:r>
      <w:r/>
    </w:p>
    <w:p>
      <w:pPr>
        <w:ind w:firstLine="960"/>
        <w:spacing w:line="360" w:lineRule="auto"/>
        <w:rPr>
          <w:rFonts w:ascii="宋体" w:hAnsi="宋体" w:cs="宋体"/>
          <w:bCs/>
          <w:sz w:val="24"/>
          <w:szCs w:val="24"/>
        </w:rPr>
      </w:pPr>
      <w:r>
        <w:rPr>
          <w:rFonts w:hint="eastAsia" w:ascii="宋体" w:hAnsi="宋体" w:cs="宋体"/>
          <w:bCs/>
          <w:sz w:val="24"/>
          <w:szCs w:val="24"/>
        </w:rPr>
        <w:t xml:space="preserve">复验：随机抽检农药残留、兽药残留，合格率需达100%。</w:t>
      </w:r>
      <w:r/>
    </w:p>
    <w:p>
      <w:pPr>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80"/>
        <w:spacing w:line="360" w:lineRule="auto"/>
        <w:rPr>
          <w:rFonts w:ascii="宋体" w:hAnsi="宋体"/>
          <w:bCs/>
          <w:sz w:val="24"/>
          <w:szCs w:val="24"/>
        </w:rPr>
      </w:pPr>
      <w:r>
        <w:rPr>
          <w:rFonts w:hint="eastAsia" w:ascii="宋体" w:hAnsi="宋体"/>
          <w:bCs/>
          <w:sz w:val="24"/>
          <w:szCs w:val="24"/>
          <w:lang w:bidi="en-US"/>
        </w:rPr>
        <w:t xml:space="preserve">1、报价及结算方式</w:t>
      </w:r>
      <w:r/>
    </w:p>
    <w:p>
      <w:pPr>
        <w:ind w:firstLine="480"/>
        <w:spacing w:line="360" w:lineRule="auto"/>
        <w:rPr>
          <w:rFonts w:ascii="宋体" w:hAnsi="宋体"/>
          <w:bCs/>
          <w:sz w:val="24"/>
          <w:szCs w:val="24"/>
        </w:rPr>
      </w:pPr>
      <w:r>
        <w:rPr>
          <w:rFonts w:hint="eastAsia" w:ascii="宋体" w:hAnsi="宋体"/>
          <w:bCs/>
          <w:sz w:val="24"/>
          <w:szCs w:val="24"/>
          <w:lang w:bidi="en-US"/>
        </w:rPr>
        <w:t xml:space="preserve">（1）报价方式：根据苏州市发展和改革委员会官网公布的当日“</w:t>
      </w:r>
      <w:r>
        <w:rPr>
          <w:rFonts w:hint="eastAsia" w:ascii="宋体" w:hAnsi="宋体" w:cs="宋体"/>
          <w:sz w:val="24"/>
          <w:szCs w:val="24"/>
        </w:rPr>
        <w:t xml:space="preserve">苏州市部分农贸市场零售均价”的</w:t>
      </w:r>
      <w:r>
        <w:rPr>
          <w:rFonts w:hint="eastAsia" w:ascii="宋体" w:hAnsi="宋体"/>
          <w:bCs/>
          <w:sz w:val="24"/>
          <w:szCs w:val="24"/>
          <w:lang w:bidi="en-US"/>
        </w:rPr>
        <w:t xml:space="preserve">100%为基准下浮作优惠率报价，在项目服务期间，如需配送苏州市发展和改革委员会官网未公布价格的品类，其价格</w:t>
      </w:r>
      <w:r>
        <w:rPr>
          <w:rFonts w:hint="eastAsia" w:ascii="宋体" w:hAnsi="宋体" w:cs="宋体"/>
          <w:sz w:val="24"/>
          <w:szCs w:val="24"/>
        </w:rPr>
        <w:t xml:space="preserve">按照大型超市当日零售价×（1-成交优惠率）结算</w:t>
      </w:r>
      <w:r>
        <w:rPr>
          <w:rFonts w:hint="eastAsia" w:ascii="宋体" w:hAnsi="宋体"/>
          <w:bCs/>
          <w:sz w:val="24"/>
          <w:szCs w:val="24"/>
          <w:lang w:bidi="en-US"/>
        </w:rPr>
        <w:t xml:space="preserve">，</w:t>
      </w:r>
      <w:r>
        <w:rPr>
          <w:rFonts w:hint="eastAsia" w:ascii="宋体" w:hAnsi="宋体" w:cs="仿宋_GB2312"/>
          <w:sz w:val="24"/>
          <w:szCs w:val="24"/>
        </w:rPr>
        <w:t xml:space="preserve">合同最终价格不得超过年采购预算(</w:t>
      </w:r>
      <w:r>
        <w:rPr>
          <w:rFonts w:hint="eastAsia" w:ascii="宋体" w:hAnsi="宋体" w:cs="宋体"/>
          <w:sz w:val="24"/>
          <w:szCs w:val="24"/>
        </w:rPr>
        <w:t xml:space="preserve">¥2900000.00</w:t>
      </w:r>
      <w:r>
        <w:rPr>
          <w:rFonts w:hint="eastAsia" w:ascii="宋体" w:hAnsi="宋体" w:cs="仿宋_GB2312"/>
          <w:sz w:val="24"/>
          <w:szCs w:val="24"/>
        </w:rPr>
        <w:t xml:space="preserve">)，</w:t>
      </w:r>
      <w:r>
        <w:rPr>
          <w:rFonts w:hint="eastAsia" w:ascii="宋体" w:hAnsi="宋体" w:cs="宋体"/>
          <w:sz w:val="24"/>
          <w:szCs w:val="24"/>
        </w:rPr>
        <w:t xml:space="preserve">若服务期限内结算金额达到年采购</w:t>
      </w:r>
      <w:r>
        <w:rPr>
          <w:rFonts w:hint="eastAsia" w:ascii="宋体" w:hAnsi="宋体" w:cs="宋体"/>
          <w:sz w:val="24"/>
          <w:szCs w:val="24"/>
        </w:rPr>
        <w:t xml:space="preserve">预算后合同自动终止。</w:t>
      </w:r>
      <w:r/>
    </w:p>
    <w:p>
      <w:pPr>
        <w:pStyle w:val="952"/>
        <w:ind w:firstLine="480"/>
        <w:spacing w:line="360" w:lineRule="auto"/>
        <w:rPr>
          <w:bCs/>
          <w:sz w:val="24"/>
          <w:szCs w:val="24"/>
          <w:lang w:bidi="en-US"/>
        </w:rPr>
      </w:pPr>
      <w:r>
        <w:rPr>
          <w:rFonts w:hint="eastAsia" w:cs="宋体"/>
          <w:bCs/>
          <w:sz w:val="24"/>
          <w:szCs w:val="24"/>
        </w:rPr>
        <w:t xml:space="preserve">（2）付款方式：</w:t>
      </w:r>
      <w:r>
        <w:rPr>
          <w:rFonts w:hint="eastAsia" w:cs="宋体"/>
          <w:bCs/>
          <w:sz w:val="24"/>
          <w:szCs w:val="24"/>
        </w:rPr>
        <w:t xml:space="preserve">详见合同。</w:t>
      </w:r>
      <w:r/>
    </w:p>
    <w:p>
      <w:pPr>
        <w:ind w:firstLine="420"/>
        <w:spacing w:line="360" w:lineRule="auto"/>
        <w:rPr>
          <w:rFonts w:ascii="宋体" w:hAnsi="宋体"/>
          <w:sz w:val="24"/>
          <w:szCs w:val="24"/>
        </w:rPr>
      </w:pPr>
      <w:r>
        <w:rPr>
          <w:rFonts w:hint="eastAsia" w:ascii="宋体" w:hAnsi="宋体"/>
          <w:sz w:val="24"/>
          <w:szCs w:val="24"/>
        </w:rPr>
        <w:t xml:space="preserve">2、若采购方有特殊情况需临时要求供货，配送方须有相应的应急预案，并承诺在采购方规定的合理时间范围内能送货至采购方指定地点。</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3、经核有下列情形之一者采购方有权立即终止配送方的配送工作，并终止与之签订的食堂配送协议：</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（1）原材料问题引起的员工食物中毒等食源性疾病的发生；</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（2）月度考核连续三个月低于85分；</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（3）被政府监管部门查到故意向街道销售假冒伪劣商品；</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（4）经查实，将部分配送工作分包或转包给他人或其他单位。</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4、考核办法：详见合同。</w:t>
      </w:r>
      <w:r/>
    </w:p>
    <w:p>
      <w:pPr>
        <w:ind w:firstLine="480"/>
        <w:spacing w:line="360" w:lineRule="auto"/>
        <w:tabs>
          <w:tab w:val="left" w:pos="6521" w:leader="none"/>
        </w:tabs>
        <w:rPr>
          <w:rFonts w:ascii="宋体" w:hAnsi="宋体" w:cs="宋体"/>
          <w:bCs/>
          <w:sz w:val="24"/>
          <w:szCs w:val="24"/>
        </w:rPr>
      </w:pPr>
      <w:r>
        <w:rPr>
          <w:rFonts w:hint="eastAsia" w:ascii="宋体" w:hAnsi="宋体"/>
          <w:sz w:val="24"/>
          <w:szCs w:val="24"/>
        </w:rPr>
        <w:t xml:space="preserve">5、因重大责任事故，取消配送资格的供应商，不得继续为采购方提供所有物质的配送，已签订的合同双方协商解除。配送方要作出相应赔偿，后果严重的要追究法律责任。</w:t>
      </w:r>
      <w:bookmarkEnd w:id="7"/>
      <w:r/>
      <w:bookmarkEnd w:id="8"/>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合同履行</w:t>
      </w:r>
      <w:r>
        <w:rPr>
          <w:rFonts w:hint="eastAsia" w:ascii="宋体" w:hAnsi="宋体"/>
          <w:sz w:val="24"/>
          <w:szCs w:val="24"/>
        </w:rPr>
        <w:t xml:space="preserve">期限：合同签订生效后一年或合同结算金额达到预算为止（具体根据采购方要求）。</w:t>
      </w:r>
      <w:r>
        <w:rPr>
          <w:rFonts w:ascii="宋体" w:hAnsi="宋体"/>
          <w:sz w:val="24"/>
          <w:szCs w:val="24"/>
        </w:rPr>
        <w:t xml:space="preserve"> </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7</w:t>
      </w:r>
      <w:r>
        <w:rPr>
          <w:rFonts w:hint="eastAsia" w:ascii="宋体" w:hAnsi="宋体"/>
          <w:sz w:val="24"/>
          <w:szCs w:val="24"/>
        </w:rPr>
        <w:t xml:space="preserve">、因配送过程中出现人身等安全事故，成交单位独立承担一切刑事、民事责任，与采购单位无关。</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8</w:t>
      </w:r>
      <w:r>
        <w:rPr>
          <w:rFonts w:hint="eastAsia" w:ascii="宋体" w:hAnsi="宋体"/>
          <w:sz w:val="24"/>
          <w:szCs w:val="24"/>
        </w:rPr>
        <w:t xml:space="preserve">、采购单位有权委托权威部门不定期对成交单位提供的食材进行抽样检测。如检测发现质量问题，由成交单位承担检测费用。</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9</w:t>
      </w:r>
      <w:r>
        <w:rPr>
          <w:rFonts w:hint="eastAsia" w:ascii="宋体" w:hAnsi="宋体"/>
          <w:sz w:val="24"/>
          <w:szCs w:val="24"/>
        </w:rPr>
        <w:t xml:space="preserve">、成交单位须有良好的服务意识，做好与采购单位的日常沟通，确保在食材配送、食材价格及质量上满足采购单位要求。</w:t>
      </w:r>
      <w:r/>
    </w:p>
    <w:p>
      <w:pPr>
        <w:spacing w:line="360" w:lineRule="auto"/>
        <w:rPr>
          <w:rFonts w:ascii="宋体" w:hAnsi="宋体" w:cs="宋体"/>
          <w:b/>
          <w:sz w:val="24"/>
          <w:szCs w:val="24"/>
        </w:rPr>
      </w:pPr>
      <w:r>
        <w:rPr>
          <w:rFonts w:hint="eastAsia" w:ascii="宋体" w:hAnsi="宋体" w:cs="宋体"/>
          <w:b/>
          <w:sz w:val="24"/>
          <w:szCs w:val="24"/>
        </w:rPr>
        <w:t xml:space="preserve">（七）验收要求：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1、供应商应保证所供货物品种和数量、重量的准确性，采购单位和成交单位分别建立采购和供应台账，确定专人负责验收和送货，以采购单位的验货数量为准，供应商每次随货附一式三份的送货清单，由采购单位验货后签字确认，作为送、收货的凭证。</w:t>
      </w:r>
      <w:r/>
    </w:p>
    <w:p>
      <w:pPr>
        <w:ind w:firstLine="480"/>
        <w:spacing w:line="360" w:lineRule="auto"/>
        <w:rPr>
          <w:rFonts w:ascii="宋体" w:hAnsi="宋体" w:cs="宋体"/>
          <w:sz w:val="24"/>
          <w:szCs w:val="24"/>
        </w:rPr>
      </w:pPr>
      <w:r>
        <w:rPr>
          <w:rFonts w:hint="eastAsia" w:ascii="宋体" w:hAnsi="宋体" w:cs="宋体"/>
          <w:sz w:val="24"/>
          <w:szCs w:val="24"/>
        </w:rPr>
        <w:t xml:space="preserve">2、数量方面要求：</w:t>
      </w:r>
      <w:r>
        <w:rPr>
          <w:rFonts w:hint="eastAsia" w:ascii="宋体" w:hAnsi="宋体"/>
          <w:sz w:val="24"/>
          <w:szCs w:val="24"/>
        </w:rPr>
        <w:t xml:space="preserve">供应商应按采购单位要求的数量、规格供货，且需</w:t>
      </w:r>
      <w:r>
        <w:rPr>
          <w:rFonts w:hint="eastAsia" w:ascii="宋体" w:hAnsi="宋体" w:cs="宋体"/>
          <w:sz w:val="24"/>
          <w:szCs w:val="24"/>
        </w:rPr>
        <w:t xml:space="preserve">保证配送品种斤两的准确性，最终以采购单位的验货数量为准。</w:t>
      </w:r>
      <w:r/>
    </w:p>
    <w:p>
      <w:pPr>
        <w:ind w:firstLine="480"/>
        <w:spacing w:line="360" w:lineRule="auto"/>
      </w:pPr>
      <w:r>
        <w:rPr>
          <w:rFonts w:hint="eastAsia" w:ascii="宋体" w:hAnsi="宋体" w:cs="宋体"/>
          <w:sz w:val="24"/>
          <w:szCs w:val="24"/>
        </w:rPr>
        <w:t xml:space="preserve">3、质量方面要求：</w:t>
      </w:r>
      <w:r>
        <w:rPr>
          <w:rFonts w:hint="eastAsia" w:ascii="宋体" w:hAnsi="宋体"/>
          <w:sz w:val="24"/>
          <w:szCs w:val="24"/>
        </w:rPr>
        <w:t xml:space="preserve">响应单位的原材料送达后，食堂验收人员对原材料逐批依据协议和食品卫生标准进行验收并签字确认。如果原材料不符合要求及标准或未按规定时限送达，不予验收，并做退货处理，所造成的损失由响应单位承担。</w:t>
      </w:r>
      <w:r/>
    </w:p>
    <w:p>
      <w:pPr>
        <w:ind w:firstLine="480"/>
        <w:spacing w:line="360" w:lineRule="auto"/>
        <w:rPr>
          <w:rFonts w:ascii="宋体" w:hAnsi="宋体" w:cs="宋体"/>
          <w:sz w:val="24"/>
          <w:szCs w:val="24"/>
        </w:rPr>
      </w:pPr>
      <w:r>
        <w:rPr>
          <w:rFonts w:hint="eastAsia" w:ascii="宋体" w:hAnsi="宋体" w:cs="宋体"/>
          <w:sz w:val="24"/>
          <w:szCs w:val="24"/>
        </w:rPr>
        <w:t xml:space="preserve">4、成交单位在合同期内应切实做到：保质保量准时送货。凡所供货物的质量、品种、数量与要求不符时，采购单位有权拒收，并由成交单位承担由此造成直接经济损失。</w:t>
      </w:r>
      <w:bookmarkEnd w:id="9"/>
      <w:r/>
      <w:bookmarkEnd w:id="10"/>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w:t>
      </w:r>
      <w:r>
        <w:rPr>
          <w:rFonts w:ascii="宋体" w:hAnsi="宋体" w:cs="宋体"/>
          <w:b/>
          <w:sz w:val="24"/>
        </w:rPr>
        <w:t xml:space="preserve">、综合说明</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1、本项目以第二次报价为最终报价</w:t>
      </w:r>
      <w:r>
        <w:rPr>
          <w:rFonts w:hint="eastAsia" w:ascii="宋体" w:hAnsi="宋体" w:cs="宋体"/>
          <w:sz w:val="24"/>
        </w:rPr>
        <w:t xml:space="preserve">，</w:t>
      </w:r>
      <w:r>
        <w:rPr>
          <w:rFonts w:ascii="宋体" w:hAnsi="宋体" w:cs="宋体"/>
          <w:sz w:val="24"/>
        </w:rPr>
        <w:t xml:space="preserve">报价应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响应单位不得再要求追加任何费用。同时，除非合同条款中另有规定，否则，响应供应商所报价格在合同实施期间不因市场变化因素而变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2、响应单位应对所投项目的全部内容进行报价，只投其中部分内容者，其响应文件将被拒绝。成交单位对服务缺陷不予更正的，采购单位有权另请其他单位进行更正，所发生的费用由成交单位承担。</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w:t>
      </w:r>
      <w:r>
        <w:rPr>
          <w:rFonts w:hint="eastAsia" w:ascii="宋体" w:hAnsi="宋体"/>
          <w:sz w:val="24"/>
          <w:szCs w:val="24"/>
        </w:rPr>
        <w:t xml:space="preserve">响应单位必须按照《劳动法》最低工资调整及苏州市的有关规定配置工作人员按月支付工资、节假日加班费，交纳社会保险，不得安排工作人员超时限加班，并根据工作性质购置保险等相关劳动保障措施。</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w:t>
      </w:r>
      <w:r>
        <w:rPr>
          <w:rFonts w:hint="eastAsia" w:ascii="宋体" w:hAnsi="宋体"/>
          <w:sz w:val="24"/>
          <w:szCs w:val="24"/>
        </w:rPr>
        <w:t xml:space="preserve">采购单位与响应单位服务人员不发生任何劳动和雇佣关系，用工人员由成交单位自行管理，响应单位和用工人员应遵守安全操作规章制度，若发生人身伤害等工伤事故，由响应单位自负，与采购单位无关。</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6、</w:t>
      </w:r>
      <w:r>
        <w:rPr>
          <w:rFonts w:hint="eastAsia" w:ascii="宋体" w:hAnsi="宋体"/>
          <w:sz w:val="24"/>
          <w:szCs w:val="24"/>
        </w:rPr>
        <w:t xml:space="preserve">响应单位服务人员的薪金、福利、休假日补贴、医疗费用及其他各种商业保险等均由响应单位负责，与采购单位无关。</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7、</w:t>
      </w:r>
      <w:r>
        <w:rPr>
          <w:rFonts w:hint="eastAsia" w:ascii="宋体" w:hAnsi="宋体"/>
          <w:sz w:val="24"/>
          <w:szCs w:val="24"/>
        </w:rPr>
        <w:t xml:space="preserve">采购单位将定期、不定期对成交单位进行检查及考核，成交单位必须无条件接受考核。</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hint="eastAsia" w:ascii="宋体" w:hAnsi="宋体" w:cs="宋体"/>
          <w:b/>
          <w:bCs/>
          <w:sz w:val="24"/>
          <w:szCs w:val="24"/>
        </w:rPr>
        <w:t xml:space="preserve">政府采购政策：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szCs w:val="24"/>
        </w:rPr>
        <w:t xml:space="preserve">服务类项目中供应商若使用退休人员，将不享受相关扶持政策。</w:t>
      </w:r>
      <w:r/>
    </w:p>
    <w:p>
      <w:pPr>
        <w:ind w:firstLine="420"/>
        <w:spacing w:line="360" w:lineRule="auto"/>
        <w:tabs>
          <w:tab w:val="left" w:pos="567" w:leader="none"/>
        </w:tabs>
        <w:rPr>
          <w:rFonts w:ascii="宋体" w:hAnsi="宋体" w:cs="宋体"/>
          <w:b/>
          <w:sz w:val="24"/>
          <w:szCs w:val="24"/>
        </w:rPr>
      </w:pPr>
      <w:r>
        <w:rPr>
          <w:rFonts w:hint="eastAsia"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hint="eastAsia" w:ascii="宋体" w:hAnsi="宋体" w:cs="宋体"/>
          <w:b/>
          <w:sz w:val="24"/>
          <w:szCs w:val="24"/>
        </w:rPr>
        <w:t xml:space="preserve">餐饮业。</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价格分的折扣：本项目专门面向中小微企业、监狱企业、残疾人福利性单位采购，不再执行价格评审优惠的扶持政策。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2、残疾人福利性单位：</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价格分的折扣：本项目专门面向中小微企业、监狱企业、残疾人福利性单位采购，不再执行价格评审优惠的扶持政策。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3、监狱企业：</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价格分的折扣：本项目专门面向中小微企业、监狱企业、残疾人福利性单位采购，不再执行价格评审优惠的扶持政策。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（1）根据《关于调整优化节能产品、环境标志产品政府采购执行机制的通知》（财库〔2019〕9号）等相关文件的规定，</w:t>
      </w:r>
      <w:r>
        <w:rPr>
          <w:rFonts w:hint="eastAsia" w:ascii="宋体" w:hAnsi="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ascii="宋体" w:hAnsi="宋体" w:cs="宋体"/>
          <w:b/>
          <w:sz w:val="24"/>
          <w:szCs w:val="24"/>
          <w:u w:val="single"/>
        </w:rPr>
      </w:pPr>
      <w:r>
        <w:rPr>
          <w:rFonts w:hint="eastAsia" w:ascii="宋体" w:hAnsi="宋体" w:cs="宋体"/>
          <w:b/>
          <w:sz w:val="24"/>
          <w:szCs w:val="24"/>
        </w:rPr>
        <w:t xml:space="preserve">5、</w:t>
      </w:r>
      <w:r>
        <w:rPr>
          <w:rFonts w:hint="eastAsia" w:ascii="宋体" w:hAnsi="宋体" w:cs="宋体"/>
          <w:b/>
          <w:sz w:val="24"/>
          <w:szCs w:val="24"/>
          <w:u w:val="single"/>
        </w:rPr>
        <w:t xml:space="preserve">根据《关于推动解决政府采购异常低价问题相关工作的通知》：</w:t>
      </w:r>
      <w:r/>
    </w:p>
    <w:p>
      <w:pPr>
        <w:pStyle w:val="964"/>
        <w:ind w:firstLine="482"/>
        <w:spacing w:line="360" w:lineRule="auto"/>
        <w:rPr>
          <w:rFonts w:ascii="宋体" w:hAnsi="宋体" w:cs="宋体"/>
          <w:b/>
          <w:sz w:val="24"/>
          <w:lang w:val="en-US"/>
        </w:rPr>
      </w:pPr>
      <w:r>
        <w:rPr>
          <w:rFonts w:hint="eastAsia" w:ascii="宋体" w:hAnsi="宋体" w:cs="宋体"/>
          <w:b/>
          <w:sz w:val="24"/>
          <w:lang w:val="en-US"/>
        </w:rPr>
        <w:t xml:space="preserve">5.1评审过程中出现下列情形之一的，磋商小组应当启动异常低价投标审查程序：</w:t>
      </w:r>
      <w:r/>
    </w:p>
    <w:p>
      <w:pPr>
        <w:pStyle w:val="964"/>
        <w:spacing w:line="360" w:lineRule="auto"/>
        <w:rPr>
          <w:rFonts w:ascii="宋体" w:hAnsi="宋体" w:cs="宋体"/>
          <w:sz w:val="24"/>
          <w:lang w:val="en-US"/>
        </w:rPr>
      </w:pPr>
      <w:r>
        <w:rPr>
          <w:rFonts w:hint="eastAsia" w:ascii="宋体" w:hAnsi="宋体" w:cs="宋体"/>
          <w:sz w:val="24"/>
          <w:lang w:val="en-US"/>
        </w:rPr>
        <w:t xml:space="preserve">1）响应报价低于全部通过符合性审查供应商投标报价平均值50%的，即响应报价&lt;全部通过符合性审查供应商响应报价平均值×50%；</w:t>
      </w:r>
      <w:r/>
    </w:p>
    <w:p>
      <w:pPr>
        <w:pStyle w:val="964"/>
        <w:spacing w:line="360" w:lineRule="auto"/>
        <w:rPr>
          <w:rFonts w:ascii="宋体" w:hAnsi="宋体" w:cs="宋体"/>
          <w:sz w:val="24"/>
          <w:lang w:val="en-US"/>
        </w:rPr>
      </w:pPr>
      <w:r>
        <w:rPr>
          <w:rFonts w:hint="eastAsia" w:ascii="宋体" w:hAnsi="宋体" w:cs="宋体"/>
          <w:sz w:val="24"/>
          <w:lang w:val="en-US"/>
        </w:rPr>
        <w:t xml:space="preserve">2）响应报价低于通过符合性审查的次低报价供应商响应报价50%的，即响应报价&lt;通过符合性审查的次低报价供应商响应报价×50%；</w:t>
      </w:r>
      <w:r/>
    </w:p>
    <w:p>
      <w:pPr>
        <w:pStyle w:val="964"/>
        <w:spacing w:line="360" w:lineRule="auto"/>
        <w:rPr>
          <w:rFonts w:ascii="宋体" w:hAnsi="宋体" w:cs="宋体"/>
          <w:sz w:val="24"/>
          <w:lang w:val="en-US"/>
        </w:rPr>
      </w:pPr>
      <w:r>
        <w:rPr>
          <w:rFonts w:hint="eastAsia" w:ascii="宋体" w:hAnsi="宋体" w:cs="宋体"/>
          <w:sz w:val="24"/>
          <w:lang w:val="en-US"/>
        </w:rPr>
        <w:t xml:space="preserve">3）</w:t>
      </w:r>
      <w:r>
        <w:rPr>
          <w:rFonts w:hint="eastAsia" w:ascii="宋体" w:hAnsi="宋体" w:cs="宋体"/>
          <w:sz w:val="24"/>
          <w:lang w:val="en-US"/>
        </w:rPr>
        <w:t xml:space="preserve">响应</w:t>
      </w:r>
      <w:r>
        <w:rPr>
          <w:rFonts w:hint="eastAsia" w:ascii="宋体" w:hAnsi="宋体" w:cs="宋体"/>
          <w:sz w:val="24"/>
          <w:lang w:val="en-US"/>
        </w:rPr>
        <w:t xml:space="preserve">报价低于采购项目最高限价45%的，即</w:t>
      </w:r>
      <w:r>
        <w:rPr>
          <w:rFonts w:hint="eastAsia" w:ascii="宋体" w:hAnsi="宋体" w:cs="宋体"/>
          <w:sz w:val="24"/>
          <w:lang w:val="en-US"/>
        </w:rPr>
        <w:t xml:space="preserve">响应</w:t>
      </w:r>
      <w:r>
        <w:rPr>
          <w:rFonts w:hint="eastAsia" w:ascii="宋体" w:hAnsi="宋体" w:cs="宋体"/>
          <w:sz w:val="24"/>
          <w:lang w:val="en-US"/>
        </w:rPr>
        <w:t xml:space="preserve">报价&lt;采购项目最高限价×45%；</w:t>
      </w:r>
      <w:r/>
    </w:p>
    <w:p>
      <w:pPr>
        <w:pStyle w:val="964"/>
        <w:ind w:firstLine="420"/>
        <w:spacing w:line="360" w:lineRule="auto"/>
        <w:rPr>
          <w:rFonts w:ascii="宋体" w:hAnsi="宋体" w:cs="宋体"/>
          <w:sz w:val="24"/>
          <w:lang w:val="en-US"/>
        </w:rPr>
      </w:pPr>
      <w:r>
        <w:rPr>
          <w:rFonts w:hint="eastAsia" w:ascii="宋体" w:hAnsi="宋体" w:cs="宋体"/>
          <w:sz w:val="24"/>
          <w:lang w:val="en-US"/>
        </w:rPr>
        <w:t xml:space="preserve">4）</w:t>
      </w:r>
      <w:r>
        <w:rPr>
          <w:rFonts w:hint="eastAsia" w:ascii="宋体" w:hAnsi="宋体" w:cs="宋体"/>
          <w:sz w:val="24"/>
          <w:lang w:val="en-US"/>
        </w:rPr>
        <w:t xml:space="preserve">磋商小组</w:t>
      </w:r>
      <w:r>
        <w:rPr>
          <w:rFonts w:hint="eastAsia" w:ascii="宋体" w:hAnsi="宋体" w:cs="宋体"/>
          <w:sz w:val="24"/>
          <w:lang w:val="en-US"/>
        </w:rPr>
        <w:t xml:space="preserve">基于专业判断，认为供应商报价过低，有可能影响产品质量或者不能诚信履约的其他情形。</w:t>
      </w:r>
      <w:r/>
    </w:p>
    <w:p>
      <w:pPr>
        <w:pStyle w:val="964"/>
        <w:ind w:firstLine="420"/>
        <w:spacing w:line="360" w:lineRule="auto"/>
        <w:rPr>
          <w:rFonts w:ascii="宋体" w:hAnsi="宋体" w:cs="宋体"/>
          <w:sz w:val="24"/>
          <w:lang w:val="en-US"/>
        </w:rPr>
      </w:pPr>
      <w:r>
        <w:rPr>
          <w:rFonts w:hint="eastAsia" w:ascii="宋体" w:hAnsi="宋体" w:cs="宋体"/>
          <w:sz w:val="24"/>
          <w:lang w:val="en-US"/>
        </w:rPr>
        <w:t xml:space="preserve">5.2启动异常低价投标审查后，</w:t>
      </w:r>
      <w:r>
        <w:rPr>
          <w:rFonts w:hint="eastAsia" w:ascii="宋体" w:hAnsi="宋体" w:cs="宋体"/>
          <w:sz w:val="24"/>
          <w:lang w:val="en-US"/>
        </w:rPr>
        <w:t xml:space="preserve">磋商小组</w:t>
      </w:r>
      <w:r>
        <w:rPr>
          <w:rFonts w:hint="eastAsia" w:ascii="宋体" w:hAnsi="宋体" w:cs="宋体"/>
          <w:sz w:val="24"/>
          <w:lang w:val="en-US"/>
        </w:rPr>
        <w:t xml:space="preserve">应当要求相关供应商在合理的时间内对投标价格作出解释，提供项目具体成本测算等与报价合理性相关的书面说明及相关证明材料，包括但不限于原材料成本、人工成本、制造费用等，给予相关供应商的合理时间一般不少于30分钟。</w:t>
      </w:r>
      <w:r/>
    </w:p>
    <w:p>
      <w:pPr>
        <w:pStyle w:val="964"/>
        <w:ind w:firstLine="420"/>
        <w:spacing w:line="360" w:lineRule="auto"/>
        <w:rPr>
          <w:rFonts w:ascii="宋体" w:hAnsi="宋体" w:cs="宋体"/>
          <w:sz w:val="24"/>
          <w:lang w:val="en-US"/>
        </w:rPr>
      </w:pPr>
      <w:r>
        <w:rPr>
          <w:rFonts w:hint="eastAsia" w:ascii="宋体" w:hAnsi="宋体" w:cs="宋体"/>
          <w:sz w:val="24"/>
          <w:lang w:val="en-US"/>
        </w:rPr>
        <w:t xml:space="preserve">5.3</w:t>
      </w:r>
      <w:r>
        <w:rPr>
          <w:rFonts w:hint="eastAsia" w:ascii="宋体" w:hAnsi="宋体" w:cs="宋体"/>
          <w:sz w:val="24"/>
          <w:lang w:val="en-US"/>
        </w:rPr>
        <w:t xml:space="preserve">磋商小组</w:t>
      </w:r>
      <w:r>
        <w:rPr>
          <w:rFonts w:hint="eastAsia" w:ascii="宋体" w:hAnsi="宋体" w:cs="宋体"/>
          <w:sz w:val="24"/>
          <w:lang w:val="en-US"/>
        </w:rPr>
        <w:t xml:space="preserve">依据专业经验，参考同类项目中标价格、类似产品市场价格水平、行业人工费用标准、国家有关部门指导行业协会发布的行业平均成本等情况，对报价合理性进行判断。</w:t>
      </w:r>
      <w:r>
        <w:rPr>
          <w:rFonts w:hint="eastAsia" w:ascii="宋体" w:hAnsi="宋体" w:cs="宋体"/>
          <w:sz w:val="24"/>
          <w:lang w:val="en-US"/>
        </w:rPr>
        <w:t xml:space="preserve">响应</w:t>
      </w:r>
      <w:r>
        <w:rPr>
          <w:rFonts w:hint="eastAsia" w:ascii="宋体" w:hAnsi="宋体" w:cs="宋体"/>
          <w:sz w:val="24"/>
          <w:lang w:val="en-US"/>
        </w:rPr>
        <w:t xml:space="preserve">供应商不能提供书面说明、证明材料，或者提供的书面说明、证明材料不能证明其报价合理性的，</w:t>
      </w:r>
      <w:r>
        <w:rPr>
          <w:rFonts w:hint="eastAsia" w:ascii="宋体" w:hAnsi="宋体" w:cs="宋体"/>
          <w:sz w:val="24"/>
          <w:lang w:val="en-US"/>
        </w:rPr>
        <w:t xml:space="preserve">磋商小组</w:t>
      </w:r>
      <w:r>
        <w:rPr>
          <w:rFonts w:hint="eastAsia" w:ascii="宋体" w:hAnsi="宋体" w:cs="宋体"/>
          <w:sz w:val="24"/>
          <w:lang w:val="en-US"/>
        </w:rPr>
        <w:t xml:space="preserve">应当将其作为无效投标处理。</w:t>
      </w:r>
      <w:r/>
    </w:p>
    <w:p>
      <w:pPr>
        <w:pStyle w:val="964"/>
        <w:ind w:firstLine="420"/>
        <w:spacing w:line="360" w:lineRule="auto"/>
        <w:rPr>
          <w:rFonts w:ascii="宋体" w:hAnsi="宋体" w:cs="宋体"/>
          <w:sz w:val="24"/>
          <w:lang w:val="en-US"/>
        </w:rPr>
      </w:pPr>
      <w:r>
        <w:rPr>
          <w:rFonts w:hint="eastAsia" w:ascii="宋体" w:hAnsi="宋体" w:cs="宋体"/>
          <w:sz w:val="24"/>
          <w:lang w:val="en-US"/>
        </w:rPr>
        <w:t xml:space="preserve">5.4采购人、采购代理机构应当为</w:t>
      </w:r>
      <w:r>
        <w:rPr>
          <w:rFonts w:hint="eastAsia" w:ascii="宋体" w:hAnsi="宋体" w:cs="宋体"/>
          <w:sz w:val="24"/>
          <w:lang w:val="en-US"/>
        </w:rPr>
        <w:t xml:space="preserve">磋商小组</w:t>
      </w:r>
      <w:r>
        <w:rPr>
          <w:rFonts w:hint="eastAsia" w:ascii="宋体" w:hAnsi="宋体" w:cs="宋体"/>
          <w:sz w:val="24"/>
          <w:lang w:val="en-US"/>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cs="宋体"/>
          <w:sz w:val="24"/>
          <w:lang w:val="en-US"/>
        </w:rPr>
        <w:t xml:space="preserve">磋商小组</w:t>
      </w:r>
      <w:r>
        <w:rPr>
          <w:rFonts w:hint="eastAsia" w:ascii="宋体" w:hAnsi="宋体" w:cs="宋体"/>
          <w:sz w:val="24"/>
          <w:lang w:val="en-US"/>
        </w:rPr>
        <w:t xml:space="preserve">借助互联网等渠道查询相关信息的，应当严格遵守评审工作纪律，不得实施影响评审公正的行为。</w:t>
      </w:r>
      <w:r/>
    </w:p>
    <w:p>
      <w:pPr>
        <w:pStyle w:val="964"/>
        <w:ind w:firstLine="420"/>
        <w:spacing w:line="360" w:lineRule="auto"/>
        <w:rPr>
          <w:rFonts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w:t>
      </w:r>
      <w:r>
        <w:rPr>
          <w:rFonts w:hint="eastAsia" w:ascii="宋体" w:hAnsi="宋体" w:cs="宋体"/>
          <w:sz w:val="24"/>
          <w:lang w:val="en-US"/>
        </w:rPr>
        <w:t xml:space="preserve">磋商小组</w:t>
      </w:r>
      <w:r>
        <w:rPr>
          <w:rFonts w:hint="eastAsia" w:ascii="宋体" w:hAnsi="宋体" w:cs="宋体"/>
          <w:sz w:val="24"/>
          <w:lang w:val="en-US"/>
        </w:rPr>
        <w:t xml:space="preserve">有关互联网浏览、查询历史一并归档。</w:t>
      </w:r>
      <w:r/>
    </w:p>
    <w:p>
      <w:pPr>
        <w:ind w:firstLine="422"/>
        <w:spacing w:line="360" w:lineRule="auto"/>
        <w:tabs>
          <w:tab w:val="left" w:pos="567" w:leader="none"/>
        </w:tabs>
        <w:rPr>
          <w:rFonts w:ascii="宋体" w:hAnsi="宋体" w:cs="宋体"/>
          <w:b/>
          <w:bCs/>
          <w:sz w:val="24"/>
          <w:szCs w:val="24"/>
        </w:rPr>
      </w:pPr>
      <w:r>
        <w:rPr>
          <w:rFonts w:hint="eastAsia" w:ascii="宋体" w:hAnsi="宋体" w:cs="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4"/>
        <w:ind w:firstLine="420"/>
        <w:spacing w:line="360" w:lineRule="auto"/>
        <w:rPr>
          <w:rFonts w:ascii="宋体" w:hAnsi="宋体" w:cs="宋体"/>
          <w:sz w:val="24"/>
          <w:lang w:val="en-US"/>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、磋商须知：</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2、开标一览表</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3、资格审查响应文件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.1关于资格文件的声明函；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.2响应单位法定代表人身份证扫描件；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.3响应单位法定代表人授权委托书及响应单位授权代理人身份证扫描件（如有授权）；</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.4合格供应商的基本条件：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.4.1具有独立承担民事责任的能力证明。包括法人或者其他组织的营业执照等证明文件，自然人的身份证明；</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.4.2具有良好的商业信誉和健全的财务会计制度证明</w:t>
      </w:r>
      <w:r>
        <w:rPr>
          <w:rFonts w:hint="eastAsia" w:ascii="宋体" w:hAnsi="宋体" w:cs="宋体"/>
          <w:b/>
          <w:sz w:val="24"/>
          <w:szCs w:val="24"/>
        </w:rPr>
        <w:t xml:space="preserve">（法人应提供最近一期财务审计报告或最近一期财务报表，其他组织、自然人及成立未满一年的法人应提供银行出具的资信证明）</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.4.3履行合同所必需的设备和专业技术能力的证明材料或承诺；</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.4.4有依法缴纳税收和社会保障资金的良好记录</w:t>
      </w:r>
      <w:r>
        <w:rPr>
          <w:rFonts w:hint="eastAsia" w:ascii="宋体" w:hAnsi="宋体" w:cs="宋体"/>
          <w:b/>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.4.5参加政府采购活动前三年内在经营活动中没有重大违法记录的书面声明函；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.5《中小企业声明函》或《残疾人福利性单位声明函》或由省级以上监狱管理局、戒毒管理局（含新疆生产建设兵团）出具的属于监狱企业的证明文件（上传至“企业报价折扣证明”模块）；</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.6供应商与其他单位存在控股、管理关系情况表；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7</w:t>
      </w:r>
      <w:r>
        <w:rPr>
          <w:rFonts w:ascii="宋体" w:hAnsi="宋体" w:cs="宋体"/>
          <w:sz w:val="24"/>
        </w:rPr>
        <w:t xml:space="preserve">响应单位有效期内的食品经营许可证；</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cs="宋体"/>
          <w:sz w:val="24"/>
        </w:rPr>
        <w:t xml:space="preserve">8</w:t>
      </w:r>
      <w:r>
        <w:rPr>
          <w:rFonts w:ascii="宋体" w:hAnsi="宋体" w:cs="宋体"/>
          <w:sz w:val="24"/>
        </w:rPr>
        <w:t xml:space="preserve">其它有关资格证明的文件。</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4、符合性审查响应文件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4.1磋商响应函；</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4.2偏离表；</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4.3</w:t>
      </w:r>
      <w:r>
        <w:rPr>
          <w:rFonts w:hint="eastAsia" w:ascii="宋体" w:hAnsi="宋体" w:cs="宋体"/>
          <w:sz w:val="24"/>
        </w:rPr>
        <w:t xml:space="preserve">车辆配备相关证明材料或承诺函</w:t>
      </w:r>
      <w:r>
        <w:rPr>
          <w:rFonts w:ascii="宋体" w:hAnsi="宋体" w:cs="宋体"/>
          <w:sz w:val="24"/>
        </w:rPr>
        <w:t xml:space="preserve">；</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.4</w:t>
      </w:r>
      <w:r>
        <w:rPr>
          <w:rFonts w:hint="eastAsia" w:ascii="宋体" w:hAnsi="宋体" w:cs="宋体"/>
          <w:sz w:val="24"/>
        </w:rPr>
        <w:t xml:space="preserve">诚信承诺函；</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cs="宋体"/>
          <w:sz w:val="24"/>
        </w:rPr>
        <w:t xml:space="preserve">5</w:t>
      </w:r>
      <w:r>
        <w:rPr>
          <w:rFonts w:ascii="宋体" w:hAnsi="宋体" w:cs="宋体"/>
          <w:sz w:val="24"/>
        </w:rPr>
        <w:t xml:space="preserve">其他有关符合性证明的文件；</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5、综合评审响应文件</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w:t>
      </w:r>
      <w:r>
        <w:rPr>
          <w:rFonts w:hint="eastAsia" w:ascii="宋体" w:hAnsi="宋体" w:cs="宋体"/>
          <w:sz w:val="24"/>
        </w:rPr>
        <w:t xml:space="preserve">针对本项目的服务方案</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5.2</w:t>
      </w:r>
      <w:r>
        <w:rPr>
          <w:rFonts w:ascii="宋体" w:hAnsi="宋体" w:cs="宋体"/>
          <w:sz w:val="24"/>
          <w:szCs w:val="24"/>
        </w:rPr>
        <w:t xml:space="preserve">评分标准中所涉及到的各项内容</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5.3与本次</w:t>
      </w:r>
      <w:r>
        <w:rPr>
          <w:rFonts w:hint="eastAsia" w:ascii="宋体" w:hAnsi="宋体" w:cs="宋体"/>
          <w:sz w:val="24"/>
        </w:rPr>
        <w:t xml:space="preserve">磋商有</w:t>
      </w:r>
      <w:r>
        <w:rPr>
          <w:rFonts w:ascii="宋体" w:hAnsi="宋体" w:cs="宋体"/>
          <w:sz w:val="24"/>
        </w:rPr>
        <w:t xml:space="preserve">关的其他材料；</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6、对属于《节能产品政府采购品目清单》政府强制采购产品的，需提供该产品有效期内的认证等相关证明材料（如有）。</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（1）以上3.1-3.8资格审查要求提供的材料，是作为对供应商资格审查、质疑身份认定的依据，响应供应商必须提供并加盖电子公章。否则，响应文件将被认定为不符合资格审查要求。</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（2）以上4.1-4.</w:t>
      </w:r>
      <w:r>
        <w:rPr>
          <w:rFonts w:ascii="宋体" w:hAnsi="宋体" w:cs="宋体"/>
          <w:b/>
          <w:sz w:val="24"/>
        </w:rPr>
        <w:t xml:space="preserve">4</w:t>
      </w:r>
      <w:r>
        <w:rPr>
          <w:rFonts w:ascii="宋体" w:hAnsi="宋体" w:cs="宋体"/>
          <w:b/>
          <w:sz w:val="24"/>
        </w:rPr>
        <w:t xml:space="preserve">为符合性审查须提供的资料，响应供应商必须提供并加盖电子公章。否则，磋商响应文件将被认定为未实质性响应。</w:t>
      </w:r>
      <w:r/>
    </w:p>
    <w:p>
      <w:pPr>
        <w:spacing w:line="360" w:lineRule="auto"/>
        <w:tabs>
          <w:tab w:val="left" w:pos="993"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成交单位在领取成交通知书时向招标代理机构一次性付清。按照预算金额的如下比例进行计算：即100万元以内1.5%、100～500万元以1.1%、500~1000万元以0.8%，差额定率累进法计算并支付成交服务费。本项目代理服务费：35900元。</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服务费账号：</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帐户名：信达项目管理咨询（苏州）有限公司</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开户行：中国民生银行股份有限公司苏州吴中支行</w:t>
      </w:r>
      <w:r/>
    </w:p>
    <w:p>
      <w:pPr>
        <w:ind w:firstLine="480"/>
        <w:spacing w:line="360" w:lineRule="auto"/>
        <w:tabs>
          <w:tab w:val="left" w:pos="993"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帐号：651242014</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由成交供应商支付代理费的原因如下:</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p>
    <w:p>
      <w:pPr>
        <w:ind w:firstLine="480"/>
        <w:spacing w:line="360" w:lineRule="auto"/>
        <w:tabs>
          <w:tab w:val="left" w:pos="993"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制作电子响应文件时与投标文件制作软件目录一一对应，将相关资料上传至相应模块。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4、由磋商小组审查供应商解密的响应文件。</w:t>
      </w:r>
      <w:r/>
    </w:p>
    <w:p>
      <w:pP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 5、由磋商小组对各响应单位的资格进行审查。资格审查内容包括：</w:t>
      </w:r>
      <w:r/>
    </w:p>
    <w:p>
      <w:pPr>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w:t>
      </w:r>
      <w:r>
        <w:rPr>
          <w:rFonts w:ascii="宋体" w:hAnsi="宋体" w:cs="宋体"/>
          <w:b/>
          <w:sz w:val="24"/>
        </w:rPr>
        <w:t xml:space="preserve">1</w:t>
      </w:r>
      <w:r>
        <w:rPr>
          <w:rFonts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*进入项目评审流程后，建议各供应商法定代表人或授权委托人始终保持通讯顺畅，时刻关注不见面开标大厅，不离开不见面开标大厅。</w:t>
      </w:r>
      <w:r/>
    </w:p>
    <w:p>
      <w:pPr>
        <w:ind w:firstLine="480"/>
        <w:spacing w:line="360" w:lineRule="auto"/>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3</w:t>
      </w:r>
      <w:r>
        <w:rPr>
          <w:rFonts w:ascii="宋体" w:hAnsi="宋体" w:cs="宋体"/>
          <w:sz w:val="24"/>
        </w:rPr>
        <w:t xml:space="preserve">、磋商小组根据磋商成交原则确定成交供应商，并将结果通知所有参加磋商的供应商。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1、供应商对本次采购有疑问的，可通过联系电话或苏州市政府采购网“网上报名”系统向代理机构进行询问。</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3、本次采购文件要求供应商在法定质疑期内一次性提出针对同一采购程序环节的质疑，否则不予受理。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5、接收质疑函的方式：书面形式（当场送达或邮寄方式）</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质疑联系人：向多；</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联系电话：18271439826；</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现场/邮寄地址：江苏省苏州市吴中区经济开发区枫津南路18号南都广场5楼555室</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出现下列情形之一的，将终止竞争性磋商采购活动：</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八</w:t>
      </w:r>
      <w:r>
        <w:rPr>
          <w:rFonts w:ascii="宋体" w:hAnsi="宋体" w:cs="宋体"/>
          <w:b/>
          <w:sz w:val="24"/>
        </w:rPr>
        <w:t xml:space="preserve">、综合说明及其它要求：</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1、不符合供应商资格要求的响应文件将被认定为无效响应；</w:t>
      </w:r>
      <w:r/>
    </w:p>
    <w:p>
      <w:pPr>
        <w:ind w:firstLine="482"/>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4、最终报价超过采购预算或最高限价的不能成交</w:t>
      </w:r>
      <w:r>
        <w:rPr>
          <w:rFonts w:hint="eastAsia" w:ascii="宋体" w:hAnsi="宋体" w:cs="宋体"/>
          <w:sz w:val="24"/>
        </w:rPr>
        <w:t xml:space="preserve">，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rPr>
          <w:rFonts w:ascii="宋体" w:hAnsi="宋体" w:cs="宋体"/>
          <w:sz w:val="24"/>
        </w:rPr>
        <w:t xml:space="preserve">；</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5、不实质性响应采购文件的不能成交。</w:t>
      </w:r>
      <w:r/>
    </w:p>
    <w:p>
      <w:pPr>
        <w:spacing w:line="360" w:lineRule="auto"/>
        <w:tabs>
          <w:tab w:val="left" w:pos="420" w:leader="none"/>
        </w:tabs>
        <w:rPr>
          <w:rStyle w:val="776"/>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九</w:t>
      </w:r>
      <w:r>
        <w:rPr>
          <w:rFonts w:ascii="宋体" w:hAnsi="宋体" w:cs="宋体"/>
          <w:b/>
          <w:sz w:val="24"/>
        </w:rPr>
        <w:t xml:space="preserve">、凡涉及采购文件的补充说明和修改，均以网上发布的通知为准。</w:t>
      </w:r>
      <w:r/>
    </w:p>
    <w:p>
      <w:pPr>
        <w:pStyle w:val="771"/>
        <w:jc w:val="center"/>
        <w:spacing w:beforeAutospacing="0" w:afterAutospacing="0" w:line="360" w:lineRule="auto"/>
        <w:widowControl/>
        <w:rPr>
          <w:rStyle w:val="776"/>
          <w:rFonts w:ascii="宋体" w:hAnsi="宋体" w:cs="sans-serif"/>
          <w:b w:val="0"/>
        </w:rPr>
      </w:pPr>
      <w:r>
        <w:rPr>
          <w:rStyle w:val="776"/>
          <w:rFonts w:ascii="宋体" w:hAnsi="宋体" w:cs="宋体"/>
        </w:rPr>
        <w:br w:type="page" w:clear="all"/>
      </w:r>
      <w:r>
        <w:rPr>
          <w:rStyle w:val="776"/>
          <w:rFonts w:hint="eastAsia" w:ascii="宋体" w:hAnsi="宋体" w:cs="宋体"/>
        </w:rPr>
        <w:t xml:space="preserve">第三章 评审方法及评分标准</w:t>
      </w:r>
      <w:r/>
    </w:p>
    <w:p>
      <w:pPr>
        <w:spacing w:line="360" w:lineRule="auto"/>
        <w:rPr>
          <w:rFonts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4、如出现评审总得分最高的磋商供应商有两个或两个以上的，以磋商报价（优惠率）较高者优先作为成交候选人，如果磋商报价（优惠率）也相同的，则由采购单位组织以抽签方式确定成交候选人。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价格基准分</w:t>
      </w:r>
      <w:r>
        <w:rPr>
          <w:rFonts w:hint="eastAsia" w:ascii="宋体" w:hAnsi="宋体"/>
          <w:b/>
          <w:sz w:val="24"/>
          <w:szCs w:val="24"/>
        </w:rPr>
        <w:t xml:space="preserve">  10分</w:t>
      </w:r>
      <w:r/>
    </w:p>
    <w:p>
      <w:pPr>
        <w:ind w:firstLine="480"/>
        <w:spacing w:line="360" w:lineRule="auto"/>
        <w:rPr>
          <w:rFonts w:ascii="宋体" w:hAnsi="宋体"/>
          <w:bCs/>
          <w:sz w:val="24"/>
          <w:szCs w:val="24"/>
        </w:rPr>
      </w:pPr>
      <w:r>
        <w:rPr>
          <w:rFonts w:ascii="宋体" w:hAnsi="宋体"/>
          <w:bCs/>
          <w:sz w:val="24"/>
          <w:szCs w:val="24"/>
        </w:rPr>
        <w:t xml:space="preserve">第一步：</w:t>
      </w:r>
      <w:r>
        <w:rPr>
          <w:rFonts w:hint="eastAsia" w:ascii="宋体" w:hAnsi="宋体"/>
          <w:bCs/>
          <w:sz w:val="24"/>
          <w:szCs w:val="24"/>
        </w:rPr>
        <w:t xml:space="preserve">本项目采用优惠率报价，报价优惠率不超过1</w:t>
      </w:r>
      <w:r>
        <w:rPr>
          <w:rFonts w:ascii="宋体" w:hAnsi="宋体"/>
          <w:bCs/>
          <w:sz w:val="24"/>
          <w:szCs w:val="24"/>
        </w:rPr>
        <w:t xml:space="preserve">00%</w:t>
      </w:r>
      <w:r>
        <w:rPr>
          <w:rFonts w:hint="eastAsia" w:ascii="宋体" w:hAnsi="宋体"/>
          <w:bCs/>
          <w:sz w:val="24"/>
          <w:szCs w:val="24"/>
        </w:rPr>
        <w:t xml:space="preserve">且不为负的</w:t>
      </w:r>
      <w:r>
        <w:rPr>
          <w:rFonts w:ascii="宋体" w:hAnsi="宋体"/>
          <w:bCs/>
          <w:sz w:val="24"/>
          <w:szCs w:val="24"/>
        </w:rPr>
        <w:t xml:space="preserve">为有效磋商报价</w:t>
      </w:r>
      <w:r>
        <w:rPr>
          <w:rFonts w:hint="eastAsia" w:ascii="宋体" w:hAnsi="宋体"/>
          <w:bCs/>
          <w:sz w:val="24"/>
          <w:szCs w:val="24"/>
        </w:rPr>
        <w:t xml:space="preserve">，除此以外</w:t>
      </w:r>
      <w:r>
        <w:rPr>
          <w:rFonts w:ascii="宋体" w:hAnsi="宋体"/>
          <w:bCs/>
          <w:sz w:val="24"/>
          <w:szCs w:val="24"/>
        </w:rPr>
        <w:t xml:space="preserve">的磋商报价为无效磋商报价。无效磋商报价的磋商响应文件不进行评审，也不得成交。</w:t>
      </w:r>
      <w:r/>
    </w:p>
    <w:p>
      <w:pPr>
        <w:ind w:firstLine="480"/>
        <w:spacing w:line="360" w:lineRule="auto"/>
        <w:rPr>
          <w:rFonts w:ascii="宋体" w:hAnsi="宋体"/>
          <w:bCs/>
          <w:sz w:val="24"/>
          <w:szCs w:val="24"/>
        </w:rPr>
      </w:pPr>
      <w:r>
        <w:rPr>
          <w:rFonts w:ascii="宋体" w:hAnsi="宋体"/>
          <w:bCs/>
          <w:sz w:val="24"/>
          <w:szCs w:val="24"/>
        </w:rPr>
        <w:t xml:space="preserve">第二步：在所有有效磋商报价中满足采购文件要求，且经磋商后最终</w:t>
      </w:r>
      <w:r>
        <w:rPr>
          <w:rFonts w:hint="eastAsia" w:ascii="宋体" w:hAnsi="宋体"/>
          <w:bCs/>
          <w:sz w:val="24"/>
          <w:szCs w:val="24"/>
        </w:rPr>
        <w:t xml:space="preserve">总</w:t>
      </w:r>
      <w:r>
        <w:rPr>
          <w:rFonts w:ascii="宋体" w:hAnsi="宋体"/>
          <w:bCs/>
          <w:sz w:val="24"/>
          <w:szCs w:val="24"/>
        </w:rPr>
        <w:t xml:space="preserve">评审</w:t>
      </w:r>
      <w:r>
        <w:rPr>
          <w:rFonts w:hint="eastAsia" w:ascii="宋体" w:hAnsi="宋体"/>
          <w:bCs/>
          <w:sz w:val="24"/>
          <w:szCs w:val="24"/>
        </w:rPr>
        <w:t xml:space="preserve">优惠率</w:t>
      </w:r>
      <w:r>
        <w:rPr>
          <w:rFonts w:ascii="宋体" w:hAnsi="宋体"/>
          <w:bCs/>
          <w:sz w:val="24"/>
          <w:szCs w:val="24"/>
        </w:rPr>
        <w:t xml:space="preserve">最</w:t>
      </w:r>
      <w:r>
        <w:rPr>
          <w:rFonts w:hint="eastAsia" w:ascii="宋体" w:hAnsi="宋体"/>
          <w:bCs/>
          <w:sz w:val="24"/>
          <w:szCs w:val="24"/>
        </w:rPr>
        <w:t xml:space="preserve">高</w:t>
      </w:r>
      <w:r>
        <w:rPr>
          <w:rFonts w:ascii="宋体" w:hAnsi="宋体"/>
          <w:bCs/>
          <w:sz w:val="24"/>
          <w:szCs w:val="24"/>
        </w:rPr>
        <w:t xml:space="preserve">的磋商报价为评标基准价，其价格分为</w:t>
      </w:r>
      <w:r>
        <w:rPr>
          <w:rFonts w:hint="eastAsia" w:ascii="宋体" w:hAnsi="宋体"/>
          <w:bCs/>
          <w:sz w:val="24"/>
          <w:szCs w:val="24"/>
        </w:rPr>
        <w:t xml:space="preserve">10</w:t>
      </w:r>
      <w:r>
        <w:rPr>
          <w:rFonts w:ascii="宋体" w:hAnsi="宋体"/>
          <w:bCs/>
          <w:sz w:val="24"/>
          <w:szCs w:val="24"/>
        </w:rPr>
        <w:t xml:space="preserve">分，其他磋商供应商的价格分按照下列公式计算（计算结果四舍五入保留两位小数）</w:t>
      </w:r>
      <w:r/>
    </w:p>
    <w:p>
      <w:pPr>
        <w:ind w:firstLine="480"/>
        <w:spacing w:line="360" w:lineRule="auto"/>
        <w:rPr>
          <w:rFonts w:ascii="宋体" w:hAnsi="宋体"/>
          <w:bCs/>
          <w:sz w:val="24"/>
          <w:szCs w:val="24"/>
        </w:rPr>
      </w:pPr>
      <w:r>
        <w:rPr>
          <w:rFonts w:ascii="宋体" w:hAnsi="宋体"/>
          <w:bCs/>
          <w:sz w:val="24"/>
          <w:szCs w:val="24"/>
        </w:rPr>
        <w:t xml:space="preserve">磋商报价得分＝</w:t>
      </w:r>
      <w:r>
        <w:rPr>
          <w:rFonts w:hint="eastAsia" w:ascii="宋体" w:hAnsi="宋体"/>
          <w:bCs/>
          <w:sz w:val="24"/>
          <w:szCs w:val="24"/>
        </w:rPr>
        <w:t xml:space="preserve">（1-评标基准价)/(1-最终报价优惠率）*价格权值*100（价格权值为10%）。</w:t>
      </w:r>
      <w:r/>
    </w:p>
    <w:p>
      <w:pPr>
        <w:spacing w:line="360" w:lineRule="auto"/>
        <w:rPr>
          <w:rFonts w:ascii="宋体" w:hAnsi="宋体"/>
          <w:b/>
          <w:sz w:val="24"/>
          <w:szCs w:val="24"/>
        </w:rPr>
      </w:pPr>
      <w:r>
        <w:rPr>
          <w:rFonts w:hint="eastAsia" w:ascii="宋体" w:hAnsi="宋体"/>
          <w:b/>
          <w:sz w:val="24"/>
          <w:szCs w:val="24"/>
        </w:rPr>
        <w:t xml:space="preserve">二、针对本项目的服务方案比较  70分</w:t>
      </w:r>
      <w:r/>
    </w:p>
    <w:p>
      <w:pPr>
        <w:ind w:firstLine="480"/>
        <w:spacing w:line="360" w:lineRule="auto"/>
        <w:rPr>
          <w:rFonts w:ascii="宋体" w:hAnsi="宋体"/>
          <w:bCs/>
          <w:sz w:val="24"/>
          <w:szCs w:val="24"/>
        </w:rPr>
      </w:pPr>
      <w:r>
        <w:rPr>
          <w:rFonts w:hint="eastAsia" w:ascii="宋体" w:hAnsi="宋体"/>
          <w:b/>
          <w:sz w:val="24"/>
          <w:szCs w:val="24"/>
        </w:rPr>
        <w:t xml:space="preserve">1、</w:t>
      </w:r>
      <w:r>
        <w:rPr>
          <w:rFonts w:hint="eastAsia" w:ascii="宋体" w:hAnsi="宋体" w:cs="宋体"/>
          <w:b/>
          <w:sz w:val="24"/>
          <w:lang w:val="zh-TW"/>
        </w:rPr>
        <w:t xml:space="preserve">食材卫生安全保障制度比较  10分  </w:t>
      </w:r>
      <w:bookmarkStart w:id="12" w:name="OLE_LINK20"/>
      <w:r/>
      <w:bookmarkStart w:id="13" w:name="OLE_LINK21"/>
      <w:r>
        <w:rPr>
          <w:rFonts w:hint="eastAsia" w:ascii="宋体" w:hAnsi="宋体" w:cs="宋体"/>
          <w:sz w:val="24"/>
          <w:lang w:val="zh-TW"/>
        </w:rPr>
        <w:t xml:space="preserve">评委根据响应单位提供的食材卫生安全保障制度进行综合比较打分。</w:t>
      </w:r>
      <w:r>
        <w:rPr>
          <w:rFonts w:hint="eastAsia" w:ascii="宋体" w:hAnsi="宋体" w:cs="宋体"/>
          <w:sz w:val="24"/>
          <w:szCs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szCs w:val="24"/>
        </w:rPr>
        <w:t xml:space="preserve">制度</w:t>
      </w:r>
      <w:r>
        <w:rPr>
          <w:rFonts w:hint="eastAsia" w:ascii="宋体" w:hAnsi="宋体" w:cs="宋体"/>
          <w:sz w:val="24"/>
          <w:szCs w:val="24"/>
          <w:lang w:val="zh-TW" w:eastAsia="zh-TW"/>
        </w:rPr>
        <w:t xml:space="preserve">较全面、</w:t>
      </w:r>
      <w:r>
        <w:rPr>
          <w:rFonts w:ascii="宋体" w:hAnsi="宋体" w:cs="宋体"/>
          <w:sz w:val="24"/>
          <w:szCs w:val="24"/>
          <w:lang w:eastAsia="zh-TW"/>
        </w:rPr>
        <w:t xml:space="preserve">较完善</w:t>
      </w:r>
      <w:r>
        <w:rPr>
          <w:rFonts w:hint="eastAsia" w:ascii="宋体" w:hAnsi="宋体" w:cs="宋体"/>
          <w:sz w:val="24"/>
          <w:szCs w:val="24"/>
          <w:lang w:val="zh-TW" w:eastAsia="zh-TW"/>
        </w:rPr>
        <w:t xml:space="preserve">可行</w:t>
      </w:r>
      <w:r>
        <w:rPr>
          <w:rFonts w:ascii="宋体" w:hAnsi="宋体" w:cs="宋体"/>
          <w:sz w:val="24"/>
          <w:szCs w:val="24"/>
          <w:lang w:eastAsia="zh-TW"/>
        </w:rPr>
        <w:t xml:space="preserve">、针对性</w:t>
      </w:r>
      <w:r>
        <w:rPr>
          <w:rFonts w:hint="eastAsia" w:ascii="宋体" w:hAnsi="宋体" w:cs="宋体"/>
          <w:sz w:val="24"/>
          <w:szCs w:val="24"/>
        </w:rPr>
        <w:t xml:space="preserve">较强</w:t>
      </w:r>
      <w:r>
        <w:rPr>
          <w:rFonts w:hint="eastAsia" w:ascii="宋体" w:hAnsi="宋体" w:cs="宋体"/>
          <w:sz w:val="24"/>
          <w:szCs w:val="24"/>
          <w:lang w:val="zh-TW" w:eastAsia="zh-TW"/>
        </w:rPr>
        <w:t xml:space="preserve">得</w:t>
      </w:r>
      <w:r>
        <w:rPr>
          <w:rFonts w:ascii="宋体" w:hAnsi="宋体" w:eastAsia="MingLiU" w:cs="宋体"/>
          <w:sz w:val="24"/>
          <w:szCs w:val="24"/>
          <w:lang w:val="zh-TW" w:eastAsia="zh-TW"/>
        </w:rPr>
        <w:t xml:space="preserve">7</w:t>
      </w:r>
      <w:r>
        <w:rPr>
          <w:rFonts w:hint="eastAsia" w:ascii="宋体" w:hAnsi="宋体" w:cs="宋体"/>
          <w:sz w:val="24"/>
          <w:szCs w:val="24"/>
          <w:lang w:val="zh-TW" w:eastAsia="zh-TW"/>
        </w:rPr>
        <w:t xml:space="preserve">分</w:t>
      </w:r>
      <w:r>
        <w:rPr>
          <w:rFonts w:hint="eastAsia" w:ascii="宋体" w:hAnsi="宋体" w:cs="宋体"/>
          <w:sz w:val="24"/>
          <w:szCs w:val="24"/>
          <w:lang w:val="zh-TW"/>
        </w:rPr>
        <w:t xml:space="preserve">；</w:t>
      </w:r>
      <w:r>
        <w:rPr>
          <w:rFonts w:hint="eastAsia" w:ascii="宋体" w:hAnsi="宋体" w:cs="宋体"/>
          <w:sz w:val="24"/>
          <w:szCs w:val="24"/>
        </w:rPr>
        <w:t xml:space="preserve">制度全面性一般、可行性一般、针对性一般的</w:t>
      </w:r>
      <w:r>
        <w:rPr>
          <w:rFonts w:hint="eastAsia" w:ascii="宋体" w:hAnsi="宋体" w:cs="宋体"/>
          <w:sz w:val="24"/>
          <w:szCs w:val="24"/>
          <w:lang w:val="zh-TW"/>
        </w:rPr>
        <w:t xml:space="preserve">得</w:t>
      </w:r>
      <w:r>
        <w:rPr>
          <w:rFonts w:ascii="宋体" w:hAnsi="宋体" w:eastAsia="MingLiU" w:cs="宋体"/>
          <w:sz w:val="24"/>
          <w:szCs w:val="24"/>
          <w:lang w:val="zh-TW" w:eastAsia="zh-TW"/>
        </w:rPr>
        <w:t xml:space="preserve">4</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bookmarkEnd w:id="12"/>
      <w:r/>
      <w:bookmarkEnd w:id="13"/>
      <w:r/>
      <w:r/>
    </w:p>
    <w:p>
      <w:pPr>
        <w:ind w:firstLine="480"/>
        <w:spacing w:line="360" w:lineRule="auto"/>
        <w:rPr>
          <w:rFonts w:ascii="宋体" w:hAnsi="宋体"/>
          <w:bCs/>
          <w:sz w:val="24"/>
          <w:szCs w:val="24"/>
        </w:rPr>
      </w:pPr>
      <w:r>
        <w:rPr>
          <w:rFonts w:hint="eastAsia" w:ascii="宋体" w:hAnsi="宋体"/>
          <w:b/>
          <w:sz w:val="24"/>
          <w:szCs w:val="24"/>
        </w:rPr>
        <w:t xml:space="preserve">2、</w:t>
      </w:r>
      <w:r>
        <w:rPr>
          <w:rFonts w:hint="eastAsia" w:ascii="宋体" w:hAnsi="宋体" w:cs="宋体"/>
          <w:b/>
          <w:sz w:val="24"/>
          <w:lang w:val="zh-TW"/>
        </w:rPr>
        <w:t xml:space="preserve">食材货源及时令蔬菜供应保障方案比较  10分  </w:t>
      </w:r>
      <w:bookmarkStart w:id="14" w:name="OLE_LINK22"/>
      <w:r/>
      <w:bookmarkStart w:id="15" w:name="OLE_LINK23"/>
      <w:r>
        <w:rPr>
          <w:rFonts w:hint="eastAsia" w:ascii="宋体" w:hAnsi="宋体" w:cs="宋体"/>
          <w:sz w:val="24"/>
          <w:lang w:val="zh-TW"/>
        </w:rPr>
        <w:t xml:space="preserve">评委根据响应单位提供的食材货源及时令蔬菜供应保障方案进行综合比较打分。</w:t>
      </w:r>
      <w:bookmarkEnd w:id="14"/>
      <w:r/>
      <w:bookmarkEnd w:id="15"/>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lang w:val="zh-TW"/>
        </w:rPr>
        <w:t xml:space="preserve">方案较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MingLiU" w:cs="宋体"/>
          <w:sz w:val="24"/>
          <w:szCs w:val="24"/>
          <w:lang w:val="zh-TW" w:eastAsia="zh-TW"/>
        </w:rPr>
        <w:t xml:space="preserve">7</w:t>
      </w:r>
      <w:r>
        <w:rPr>
          <w:rFonts w:hint="eastAsia" w:ascii="宋体" w:hAnsi="宋体" w:cs="宋体"/>
          <w:sz w:val="24"/>
          <w:szCs w:val="24"/>
          <w:lang w:val="zh-TW"/>
        </w:rPr>
        <w:t xml:space="preserve">分；</w:t>
      </w:r>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MingLiU" w:cs="宋体"/>
          <w:sz w:val="24"/>
          <w:szCs w:val="24"/>
          <w:lang w:val="zh-TW" w:eastAsia="zh-TW"/>
        </w:rPr>
        <w:t xml:space="preserve">4</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Cs/>
          <w:sz w:val="24"/>
          <w:szCs w:val="24"/>
        </w:rPr>
      </w:pPr>
      <w:r>
        <w:rPr>
          <w:rFonts w:hint="eastAsia" w:ascii="宋体" w:hAnsi="宋体"/>
          <w:b/>
          <w:sz w:val="24"/>
          <w:szCs w:val="24"/>
        </w:rPr>
        <w:t xml:space="preserve">3、</w:t>
      </w:r>
      <w:bookmarkStart w:id="16" w:name="OLE_LINK24"/>
      <w:r/>
      <w:bookmarkStart w:id="17" w:name="OLE_LINK25"/>
      <w:r>
        <w:rPr>
          <w:rFonts w:hint="eastAsia" w:ascii="宋体" w:hAnsi="宋体" w:cs="宋体"/>
          <w:b/>
          <w:sz w:val="24"/>
          <w:lang w:val="zh-TW"/>
        </w:rPr>
        <w:t xml:space="preserve">肉类水产蔬菜新鲜度及质保期保障方案比较</w:t>
      </w:r>
      <w:bookmarkEnd w:id="16"/>
      <w:r/>
      <w:bookmarkEnd w:id="17"/>
      <w:r>
        <w:rPr>
          <w:rFonts w:hint="eastAsia" w:ascii="宋体" w:hAnsi="宋体" w:cs="宋体"/>
          <w:b/>
          <w:sz w:val="24"/>
          <w:lang w:val="zh-TW"/>
        </w:rPr>
        <w:t xml:space="preserve">  10分  </w:t>
      </w:r>
      <w:bookmarkStart w:id="18" w:name="OLE_LINK26"/>
      <w:r/>
      <w:bookmarkStart w:id="19" w:name="OLE_LINK27"/>
      <w:r>
        <w:rPr>
          <w:rFonts w:hint="eastAsia" w:ascii="宋体" w:hAnsi="宋体" w:cs="宋体"/>
          <w:sz w:val="24"/>
          <w:lang w:val="zh-TW"/>
        </w:rPr>
        <w:t xml:space="preserve">评委根据响应单位提供的肉类水产蔬菜新鲜度及质保期保障方案进行综合比较打分。</w:t>
      </w:r>
      <w:bookmarkEnd w:id="18"/>
      <w:r/>
      <w:bookmarkEnd w:id="19"/>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hint="eastAsia" w:ascii="宋体" w:hAnsi="宋体" w:cs="宋体"/>
          <w:sz w:val="24"/>
          <w:szCs w:val="24"/>
          <w:lang w:val="zh-TW"/>
        </w:rPr>
        <w:t xml:space="preserve">10分；</w:t>
      </w:r>
      <w:r>
        <w:rPr>
          <w:rFonts w:hint="eastAsia" w:ascii="宋体" w:hAnsi="宋体" w:cs="宋体"/>
          <w:sz w:val="24"/>
          <w:lang w:val="zh-TW"/>
        </w:rPr>
        <w:t xml:space="preserve">方案较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MingLiU" w:cs="宋体"/>
          <w:sz w:val="24"/>
          <w:szCs w:val="24"/>
          <w:lang w:val="zh-TW" w:eastAsia="zh-TW"/>
        </w:rPr>
        <w:t xml:space="preserve">7</w:t>
      </w:r>
      <w:r>
        <w:rPr>
          <w:rFonts w:hint="eastAsia" w:ascii="宋体" w:hAnsi="宋体" w:cs="宋体"/>
          <w:sz w:val="24"/>
          <w:szCs w:val="24"/>
          <w:lang w:val="zh-TW"/>
        </w:rPr>
        <w:t xml:space="preserve">分；</w:t>
      </w:r>
      <w:r>
        <w:rPr>
          <w:rFonts w:hint="eastAsia" w:ascii="宋体" w:hAnsi="宋体" w:cs="宋体"/>
          <w:sz w:val="24"/>
          <w:lang w:val="zh-TW"/>
        </w:rPr>
        <w:t xml:space="preserve">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MingLiU" w:cs="宋体"/>
          <w:sz w:val="24"/>
          <w:szCs w:val="24"/>
          <w:lang w:val="zh-TW" w:eastAsia="zh-TW"/>
        </w:rPr>
        <w:t xml:space="preserve">4</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Cs/>
          <w:sz w:val="24"/>
          <w:szCs w:val="24"/>
        </w:rPr>
      </w:pPr>
      <w:r/>
      <w:bookmarkStart w:id="20" w:name="_Hlk72768038"/>
      <w:r/>
      <w:bookmarkEnd w:id="20"/>
      <w:r>
        <w:rPr>
          <w:rFonts w:hint="eastAsia" w:ascii="宋体" w:hAnsi="宋体"/>
          <w:b/>
          <w:sz w:val="24"/>
          <w:szCs w:val="24"/>
        </w:rPr>
        <w:t xml:space="preserve">4、</w:t>
      </w:r>
      <w:r>
        <w:rPr>
          <w:rFonts w:hint="eastAsia" w:ascii="宋体" w:hAnsi="宋体" w:cs="宋体"/>
          <w:b/>
          <w:sz w:val="24"/>
        </w:rPr>
        <w:t xml:space="preserve">配送业务操作流程规范制度比较  8</w:t>
      </w:r>
      <w:r>
        <w:rPr>
          <w:rFonts w:hint="eastAsia" w:ascii="宋体" w:hAnsi="宋体" w:cs="宋体"/>
          <w:b/>
          <w:sz w:val="24"/>
          <w:lang w:val="zh-TW"/>
        </w:rPr>
        <w:t xml:space="preserve">分  </w:t>
      </w:r>
      <w:r>
        <w:rPr>
          <w:rFonts w:hint="eastAsia" w:ascii="宋体" w:hAnsi="宋体" w:cs="宋体"/>
          <w:sz w:val="24"/>
          <w:lang w:val="zh-TW"/>
        </w:rPr>
        <w:t xml:space="preserve">评委根据响应单位提供的配送业务操作流程规范制度进行综合比较打分。制度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b/>
          <w:sz w:val="24"/>
          <w:szCs w:val="24"/>
        </w:rPr>
      </w:pPr>
      <w:r>
        <w:rPr>
          <w:rFonts w:hint="eastAsia" w:ascii="宋体" w:hAnsi="宋体"/>
          <w:b/>
          <w:sz w:val="24"/>
          <w:szCs w:val="24"/>
        </w:rPr>
        <w:t xml:space="preserve">5、应急方案比较  </w:t>
      </w:r>
      <w:r>
        <w:rPr>
          <w:rFonts w:ascii="宋体" w:hAnsi="宋体"/>
          <w:b/>
          <w:sz w:val="24"/>
          <w:szCs w:val="24"/>
        </w:rPr>
        <w:t xml:space="preserve">8</w:t>
      </w:r>
      <w:r>
        <w:rPr>
          <w:rFonts w:hint="eastAsia" w:ascii="宋体" w:hAnsi="宋体"/>
          <w:b/>
          <w:sz w:val="24"/>
          <w:szCs w:val="24"/>
        </w:rPr>
        <w:t xml:space="preserve">分  </w:t>
      </w:r>
      <w:r>
        <w:rPr>
          <w:rFonts w:hint="eastAsia" w:ascii="宋体" w:hAnsi="宋体"/>
          <w:sz w:val="24"/>
          <w:szCs w:val="24"/>
        </w:rPr>
        <w:t xml:space="preserve">评委根据响应单位提供的应急方案（包括发生紧急情况如食物中毒等应急预备方案、针对食品流通环节过程可能会出现的问题（如仓储、储运、货柜达不到标准致使食品变得不合格）作出的应急处理方案等）进行综合比较打分。考虑全面、措施有力、可操作性强，完全满足本项目需求的得8分 ；考虑较全面、措施较有力、可操作性较强，能够满足本项目需求的得</w:t>
      </w:r>
      <w:r>
        <w:rPr>
          <w:rFonts w:ascii="宋体" w:hAnsi="宋体"/>
          <w:sz w:val="24"/>
          <w:szCs w:val="24"/>
        </w:rPr>
        <w:t xml:space="preserve">5</w:t>
      </w:r>
      <w:r>
        <w:rPr>
          <w:rFonts w:hint="eastAsia" w:ascii="宋体" w:hAnsi="宋体"/>
          <w:sz w:val="24"/>
          <w:szCs w:val="24"/>
        </w:rPr>
        <w:t xml:space="preserve">分 ；考虑全面性一般、可操作性一般，仅能满足本项目需求的得</w:t>
      </w:r>
      <w:r>
        <w:rPr>
          <w:rFonts w:ascii="宋体" w:hAnsi="宋体"/>
          <w:sz w:val="24"/>
          <w:szCs w:val="24"/>
        </w:rPr>
        <w:t xml:space="preserve">2</w:t>
      </w:r>
      <w:r>
        <w:rPr>
          <w:rFonts w:hint="eastAsia" w:ascii="宋体" w:hAnsi="宋体"/>
          <w:sz w:val="24"/>
          <w:szCs w:val="24"/>
        </w:rPr>
        <w:t xml:space="preserve">分 ；方案差或未提供相应内容的不得分。</w:t>
      </w:r>
      <w:r/>
    </w:p>
    <w:p>
      <w:pPr>
        <w:ind w:firstLine="480"/>
        <w:spacing w:line="360" w:lineRule="auto"/>
        <w:rPr>
          <w:rFonts w:ascii="宋体" w:hAnsi="宋体"/>
          <w:sz w:val="24"/>
          <w:szCs w:val="24"/>
        </w:rPr>
      </w:pPr>
      <w:r>
        <w:rPr>
          <w:rFonts w:hint="eastAsia" w:ascii="宋体" w:hAnsi="宋体"/>
          <w:b/>
          <w:sz w:val="24"/>
          <w:szCs w:val="24"/>
        </w:rPr>
        <w:t xml:space="preserve">6、</w:t>
      </w:r>
      <w:bookmarkStart w:id="21" w:name="OLE_LINK28"/>
      <w:r/>
      <w:bookmarkStart w:id="22" w:name="OLE_LINK29"/>
      <w:r>
        <w:rPr>
          <w:rFonts w:hint="eastAsia" w:ascii="宋体" w:hAnsi="宋体" w:cs="宋体"/>
          <w:b/>
          <w:sz w:val="24"/>
        </w:rPr>
        <w:t xml:space="preserve">服务质量监督及保障制度比较</w:t>
      </w:r>
      <w:bookmarkEnd w:id="21"/>
      <w:r/>
      <w:bookmarkEnd w:id="22"/>
      <w:r>
        <w:rPr>
          <w:rFonts w:hint="eastAsia" w:ascii="宋体" w:hAnsi="宋体" w:cs="宋体"/>
          <w:b/>
          <w:sz w:val="24"/>
        </w:rPr>
        <w:t xml:space="preserve">  </w:t>
      </w:r>
      <w:r>
        <w:rPr>
          <w:rFonts w:ascii="宋体" w:hAnsi="宋体" w:cs="宋体"/>
          <w:b/>
          <w:sz w:val="24"/>
        </w:rPr>
        <w:t xml:space="preserve">8</w:t>
      </w:r>
      <w:r>
        <w:rPr>
          <w:rFonts w:hint="eastAsia" w:ascii="宋体" w:hAnsi="宋体" w:cs="宋体"/>
          <w:b/>
          <w:sz w:val="24"/>
          <w:lang w:val="zh-TW"/>
        </w:rPr>
        <w:t xml:space="preserve">分  </w:t>
      </w:r>
      <w:bookmarkStart w:id="23" w:name="OLE_LINK30"/>
      <w:r>
        <w:rPr>
          <w:rFonts w:hint="eastAsia" w:ascii="宋体" w:hAnsi="宋体" w:cs="宋体"/>
          <w:sz w:val="24"/>
          <w:lang w:val="zh-TW"/>
        </w:rPr>
        <w:t xml:space="preserve">评委根据响应单位提供的服务质量监督及保障制度进行综合比较打分。</w:t>
      </w:r>
      <w:bookmarkEnd w:id="23"/>
      <w:r>
        <w:rPr>
          <w:rFonts w:hint="eastAsia" w:ascii="宋体" w:hAnsi="宋体" w:cs="宋体"/>
          <w:sz w:val="24"/>
          <w:lang w:val="zh-TW"/>
        </w:rPr>
        <w:t xml:space="preserve">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sz w:val="24"/>
          <w:szCs w:val="24"/>
        </w:rPr>
      </w:pPr>
      <w:r>
        <w:rPr>
          <w:rFonts w:hint="eastAsia" w:ascii="宋体" w:hAnsi="宋体"/>
          <w:b/>
          <w:sz w:val="24"/>
          <w:szCs w:val="24"/>
        </w:rPr>
        <w:t xml:space="preserve">7、</w:t>
      </w:r>
      <w:r>
        <w:rPr>
          <w:rFonts w:hint="eastAsia" w:ascii="宋体" w:hAnsi="宋体" w:cs="宋体"/>
          <w:b/>
          <w:sz w:val="24"/>
        </w:rPr>
        <w:t xml:space="preserve">内部考核制度比较  </w:t>
      </w:r>
      <w:r>
        <w:rPr>
          <w:rFonts w:ascii="宋体" w:hAnsi="宋体" w:cs="宋体"/>
          <w:b/>
          <w:sz w:val="24"/>
        </w:rPr>
        <w:t xml:space="preserve">8</w:t>
      </w:r>
      <w:r>
        <w:rPr>
          <w:rFonts w:hint="eastAsia" w:ascii="宋体" w:hAnsi="宋体" w:cs="宋体"/>
          <w:b/>
          <w:sz w:val="24"/>
          <w:lang w:val="zh-TW"/>
        </w:rPr>
        <w:t xml:space="preserve">分  </w:t>
      </w:r>
      <w:r>
        <w:rPr>
          <w:rFonts w:hint="eastAsia" w:ascii="宋体" w:hAnsi="宋体" w:cs="宋体"/>
          <w:sz w:val="24"/>
          <w:lang w:val="zh-TW"/>
        </w:rPr>
        <w:t xml:space="preserve">评委根据响应单位提供的内部考核制度进行综合比较打分。制度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强，完全满足本项目需求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8</w:t>
      </w:r>
      <w:r>
        <w:rPr>
          <w:rFonts w:hint="eastAsia" w:ascii="宋体" w:hAnsi="宋体" w:cs="宋体"/>
          <w:sz w:val="24"/>
          <w:szCs w:val="24"/>
          <w:lang w:val="zh-TW"/>
        </w:rPr>
        <w:t xml:space="preserve">分；制度</w:t>
      </w:r>
      <w:r>
        <w:rPr>
          <w:rFonts w:hint="eastAsia" w:ascii="宋体" w:hAnsi="宋体" w:cs="宋体"/>
          <w:sz w:val="24"/>
          <w:lang w:val="zh-TW"/>
        </w:rPr>
        <w:t xml:space="preserve">较</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、较</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较强，能够满足本项目需求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5</w:t>
      </w:r>
      <w:r>
        <w:rPr>
          <w:rFonts w:hint="eastAsia" w:ascii="宋体" w:hAnsi="宋体" w:cs="宋体"/>
          <w:sz w:val="24"/>
          <w:szCs w:val="24"/>
          <w:lang w:val="zh-TW"/>
        </w:rPr>
        <w:t xml:space="preserve">分；制度</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可行</w:t>
      </w:r>
      <w:r>
        <w:rPr>
          <w:rFonts w:hint="eastAsia" w:ascii="宋体" w:hAnsi="宋体" w:cs="宋体"/>
          <w:sz w:val="24"/>
          <w:szCs w:val="24"/>
          <w:lang w:val="zh-TW"/>
        </w:rPr>
        <w:t xml:space="preserve">性一般、</w:t>
      </w:r>
      <w:r>
        <w:rPr>
          <w:rFonts w:hint="eastAsia" w:ascii="宋体" w:hAnsi="宋体" w:cs="宋体"/>
          <w:sz w:val="24"/>
          <w:szCs w:val="24"/>
          <w:lang w:val="zh-TW" w:eastAsia="zh-TW"/>
        </w:rPr>
        <w:t xml:space="preserve">针对性</w:t>
      </w:r>
      <w:r>
        <w:rPr>
          <w:rFonts w:hint="eastAsia" w:ascii="宋体" w:hAnsi="宋体" w:cs="宋体"/>
          <w:sz w:val="24"/>
          <w:szCs w:val="24"/>
          <w:lang w:val="zh-TW"/>
        </w:rPr>
        <w:t xml:space="preserve">一般，仅能基本满足本项目需求</w:t>
      </w:r>
      <w:r>
        <w:rPr>
          <w:rFonts w:hint="eastAsia" w:ascii="宋体" w:hAnsi="宋体" w:cs="宋体"/>
          <w:sz w:val="24"/>
          <w:szCs w:val="24"/>
          <w:lang w:val="zh-TW" w:eastAsia="zh-TW"/>
        </w:rPr>
        <w:t xml:space="preserve">的得</w:t>
      </w:r>
      <w:r>
        <w:rPr>
          <w:rFonts w:ascii="宋体" w:hAnsi="宋体" w:eastAsia="PMingLiU" w:cs="宋体"/>
          <w:sz w:val="24"/>
          <w:szCs w:val="24"/>
          <w:lang w:val="zh-TW" w:eastAsia="zh-TW"/>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ind w:firstLine="480"/>
        <w:spacing w:line="360" w:lineRule="auto"/>
        <w:rPr>
          <w:rFonts w:ascii="宋体" w:hAnsi="宋体"/>
          <w:sz w:val="24"/>
          <w:szCs w:val="24"/>
        </w:rPr>
      </w:pPr>
      <w:r>
        <w:rPr>
          <w:rFonts w:hint="eastAsia" w:ascii="宋体"/>
          <w:b/>
          <w:sz w:val="24"/>
          <w:szCs w:val="24"/>
        </w:rPr>
        <w:t xml:space="preserve">8、</w:t>
      </w:r>
      <w:bookmarkStart w:id="24" w:name="OLE_LINK38"/>
      <w:r/>
      <w:bookmarkStart w:id="25" w:name="OLE_LINK39"/>
      <w:r>
        <w:rPr>
          <w:rFonts w:hint="eastAsia" w:ascii="宋体" w:hAnsi="宋体"/>
          <w:b/>
          <w:sz w:val="24"/>
          <w:szCs w:val="24"/>
        </w:rPr>
        <w:t xml:space="preserve">与采购</w:t>
      </w:r>
      <w:r>
        <w:rPr>
          <w:rFonts w:hint="eastAsia" w:ascii="宋体"/>
          <w:b/>
          <w:sz w:val="24"/>
          <w:szCs w:val="24"/>
        </w:rPr>
        <w:t xml:space="preserve">人</w:t>
      </w:r>
      <w:r>
        <w:rPr>
          <w:rFonts w:hint="eastAsia" w:ascii="宋体" w:hAnsi="宋体"/>
          <w:b/>
          <w:sz w:val="24"/>
          <w:szCs w:val="24"/>
        </w:rPr>
        <w:t xml:space="preserve">及各主管部门的日常沟通、配合方案</w:t>
      </w:r>
      <w:bookmarkEnd w:id="24"/>
      <w:r/>
      <w:bookmarkEnd w:id="25"/>
      <w:r>
        <w:rPr>
          <w:rFonts w:hint="eastAsia" w:ascii="宋体"/>
          <w:b/>
          <w:sz w:val="24"/>
          <w:szCs w:val="24"/>
        </w:rPr>
        <w:t xml:space="preserve">比较 </w:t>
      </w:r>
      <w:r>
        <w:rPr>
          <w:rFonts w:ascii="宋体"/>
          <w:b/>
          <w:sz w:val="24"/>
          <w:szCs w:val="24"/>
        </w:rPr>
        <w:t xml:space="preserve"> 8</w:t>
      </w:r>
      <w:r>
        <w:rPr>
          <w:rFonts w:hint="eastAsia" w:ascii="宋体"/>
          <w:b/>
          <w:sz w:val="24"/>
          <w:szCs w:val="24"/>
        </w:rPr>
        <w:t xml:space="preserve">分 </w:t>
      </w:r>
      <w:r>
        <w:rPr>
          <w:rFonts w:ascii="宋体"/>
          <w:b/>
          <w:sz w:val="24"/>
          <w:szCs w:val="24"/>
        </w:rPr>
        <w:t xml:space="preserve"> </w:t>
      </w:r>
      <w:r>
        <w:rPr>
          <w:rFonts w:hint="eastAsia" w:ascii="宋体" w:hAnsi="宋体" w:cs="宋体"/>
          <w:sz w:val="24"/>
          <w:lang w:val="zh-TW"/>
        </w:rPr>
        <w:t xml:space="preserve">评委根据响应单位提供的</w:t>
      </w:r>
      <w:r>
        <w:rPr>
          <w:rFonts w:hint="eastAsia" w:ascii="宋体" w:hAnsi="宋体" w:cs="宋体"/>
          <w:sz w:val="24"/>
        </w:rPr>
        <w:t xml:space="preserve">与采购人及各主管部门的日常沟通、配合方案</w:t>
      </w:r>
      <w:r>
        <w:rPr>
          <w:rFonts w:hint="eastAsia" w:ascii="宋体" w:hAnsi="宋体" w:cs="宋体"/>
          <w:sz w:val="24"/>
          <w:lang w:val="zh-TW"/>
        </w:rPr>
        <w:t xml:space="preserve">进行综合比较打分。方案</w:t>
      </w:r>
      <w:r>
        <w:rPr>
          <w:rFonts w:hint="eastAsia" w:ascii="宋体" w:hAnsi="宋体" w:cs="宋体"/>
          <w:sz w:val="24"/>
          <w:szCs w:val="24"/>
          <w:lang w:val="zh-TW" w:eastAsia="zh-TW"/>
        </w:rPr>
        <w:t xml:space="preserve">全面</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完善可行</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有针对性</w:t>
      </w:r>
      <w:r>
        <w:rPr>
          <w:rFonts w:hint="eastAsia" w:ascii="宋体" w:hAnsi="宋体" w:cs="宋体"/>
          <w:sz w:val="24"/>
          <w:szCs w:val="24"/>
          <w:lang w:val="zh-TW"/>
        </w:rPr>
        <w:t xml:space="preserve">的</w:t>
      </w:r>
      <w:r>
        <w:rPr>
          <w:rFonts w:hint="eastAsia" w:ascii="宋体" w:hAnsi="宋体" w:cs="宋体"/>
          <w:sz w:val="24"/>
          <w:szCs w:val="24"/>
          <w:lang w:val="zh-TW" w:eastAsia="zh-TW"/>
        </w:rPr>
        <w:t xml:space="preserve">得</w:t>
      </w:r>
      <w:r>
        <w:rPr>
          <w:rFonts w:ascii="宋体" w:hAnsi="宋体" w:cs="宋体"/>
          <w:sz w:val="24"/>
          <w:szCs w:val="24"/>
        </w:rPr>
        <w:t xml:space="preserve">8</w:t>
      </w:r>
      <w:r>
        <w:rPr>
          <w:rFonts w:hint="eastAsia" w:ascii="宋体" w:hAnsi="宋体" w:cs="宋体"/>
          <w:sz w:val="24"/>
          <w:szCs w:val="24"/>
          <w:lang w:val="zh-TW"/>
        </w:rPr>
        <w:t xml:space="preserve">分；方案</w:t>
      </w:r>
      <w:r>
        <w:rPr>
          <w:rFonts w:hint="eastAsia" w:ascii="宋体" w:hAnsi="宋体" w:cs="宋体"/>
          <w:sz w:val="24"/>
          <w:szCs w:val="24"/>
          <w:lang w:val="zh-TW" w:eastAsia="zh-TW"/>
        </w:rPr>
        <w:t xml:space="preserve">较全面、</w:t>
      </w:r>
      <w:r>
        <w:rPr>
          <w:rFonts w:ascii="宋体" w:hAnsi="宋体" w:cs="宋体"/>
          <w:sz w:val="24"/>
          <w:szCs w:val="24"/>
          <w:lang w:eastAsia="zh-TW"/>
        </w:rPr>
        <w:t xml:space="preserve">较完善</w:t>
      </w:r>
      <w:r>
        <w:rPr>
          <w:rFonts w:hint="eastAsia" w:ascii="宋体" w:hAnsi="宋体" w:cs="宋体"/>
          <w:sz w:val="24"/>
          <w:szCs w:val="24"/>
          <w:lang w:val="zh-TW" w:eastAsia="zh-TW"/>
        </w:rPr>
        <w:t xml:space="preserve">可行</w:t>
      </w:r>
      <w:r>
        <w:rPr>
          <w:rFonts w:ascii="宋体" w:hAnsi="宋体" w:cs="宋体"/>
          <w:sz w:val="24"/>
          <w:szCs w:val="24"/>
          <w:lang w:eastAsia="zh-TW"/>
        </w:rPr>
        <w:t xml:space="preserve">、较有针对性</w:t>
      </w:r>
      <w:r>
        <w:rPr>
          <w:rFonts w:hint="eastAsia" w:ascii="宋体" w:hAnsi="宋体" w:cs="宋体"/>
          <w:sz w:val="24"/>
          <w:szCs w:val="24"/>
        </w:rPr>
        <w:t xml:space="preserve">的</w:t>
      </w:r>
      <w:r>
        <w:rPr>
          <w:rFonts w:hint="eastAsia" w:ascii="宋体" w:hAnsi="宋体" w:cs="宋体"/>
          <w:sz w:val="24"/>
          <w:szCs w:val="24"/>
          <w:lang w:val="zh-TW" w:eastAsia="zh-TW"/>
        </w:rPr>
        <w:t xml:space="preserve">得</w:t>
      </w:r>
      <w:r>
        <w:rPr>
          <w:rFonts w:ascii="宋体" w:hAnsi="宋体" w:cs="宋体"/>
          <w:sz w:val="24"/>
          <w:szCs w:val="24"/>
        </w:rPr>
        <w:t xml:space="preserve">5</w:t>
      </w:r>
      <w:r>
        <w:rPr>
          <w:rFonts w:hint="eastAsia" w:ascii="宋体" w:hAnsi="宋体" w:cs="宋体"/>
          <w:sz w:val="24"/>
          <w:szCs w:val="24"/>
          <w:lang w:val="zh-TW" w:eastAsia="zh-TW"/>
        </w:rPr>
        <w:t xml:space="preserve">分</w:t>
      </w:r>
      <w:r>
        <w:rPr>
          <w:rFonts w:hint="eastAsia" w:ascii="宋体" w:hAnsi="宋体" w:cs="宋体"/>
          <w:sz w:val="24"/>
          <w:szCs w:val="24"/>
          <w:lang w:val="zh-TW"/>
        </w:rPr>
        <w:t xml:space="preserve">；方案全面性一般、可行性一般</w:t>
      </w:r>
      <w:r>
        <w:rPr>
          <w:rFonts w:ascii="宋体" w:hAnsi="宋体" w:cs="宋体"/>
          <w:sz w:val="24"/>
          <w:szCs w:val="24"/>
        </w:rPr>
        <w:t xml:space="preserve">、针对性</w:t>
      </w:r>
      <w:r>
        <w:rPr>
          <w:rFonts w:hint="eastAsia" w:ascii="宋体" w:hAnsi="宋体" w:cs="宋体"/>
          <w:sz w:val="24"/>
          <w:szCs w:val="24"/>
        </w:rPr>
        <w:t xml:space="preserve">一般的</w:t>
      </w:r>
      <w:r>
        <w:rPr>
          <w:rFonts w:hint="eastAsia" w:ascii="宋体" w:hAnsi="宋体" w:cs="宋体"/>
          <w:sz w:val="24"/>
          <w:szCs w:val="24"/>
          <w:lang w:val="zh-TW"/>
        </w:rPr>
        <w:t xml:space="preserve">得</w:t>
      </w:r>
      <w:r>
        <w:rPr>
          <w:rFonts w:ascii="宋体" w:hAnsi="宋体" w:cs="宋体"/>
          <w:sz w:val="24"/>
          <w:szCs w:val="24"/>
        </w:rPr>
        <w:t xml:space="preserve">2</w:t>
      </w:r>
      <w:r>
        <w:rPr>
          <w:rFonts w:hint="eastAsia" w:ascii="宋体" w:hAnsi="宋体" w:cs="宋体"/>
          <w:sz w:val="24"/>
          <w:szCs w:val="24"/>
          <w:lang w:val="zh-TW"/>
        </w:rPr>
        <w:t xml:space="preserve">分；</w:t>
      </w:r>
      <w:r>
        <w:rPr>
          <w:rFonts w:hint="eastAsia" w:ascii="宋体" w:hAnsi="宋体"/>
          <w:sz w:val="24"/>
          <w:szCs w:val="24"/>
        </w:rPr>
        <w:t xml:space="preserve">方案差或未提供相应内容的不得分。</w:t>
      </w:r>
      <w:r/>
    </w:p>
    <w:p>
      <w:pPr>
        <w:spacing w:line="360" w:lineRule="auto"/>
        <w:rPr>
          <w:rFonts w:ascii="宋体" w:hAnsi="宋体"/>
          <w:b/>
          <w:sz w:val="24"/>
          <w:szCs w:val="24"/>
        </w:rPr>
      </w:pPr>
      <w:r>
        <w:rPr>
          <w:rFonts w:hint="eastAsia" w:ascii="宋体" w:hAnsi="宋体"/>
          <w:b/>
          <w:sz w:val="24"/>
          <w:szCs w:val="24"/>
        </w:rPr>
        <w:t xml:space="preserve">三、人员配置比较  </w:t>
      </w:r>
      <w:r>
        <w:rPr>
          <w:rFonts w:ascii="宋体" w:hAnsi="宋体"/>
          <w:b/>
          <w:sz w:val="24"/>
          <w:szCs w:val="24"/>
        </w:rPr>
        <w:t xml:space="preserve">5</w:t>
      </w:r>
      <w:r>
        <w:rPr>
          <w:rFonts w:hint="eastAsia" w:ascii="宋体" w:hAnsi="宋体"/>
          <w:b/>
          <w:sz w:val="24"/>
          <w:szCs w:val="24"/>
        </w:rPr>
        <w:t xml:space="preserve">分</w:t>
      </w:r>
      <w:r/>
    </w:p>
    <w:p>
      <w:pPr>
        <w:ind w:firstLine="420"/>
        <w:spacing w:line="360" w:lineRule="auto"/>
        <w:tabs>
          <w:tab w:val="left" w:pos="0" w:leader="none"/>
        </w:tabs>
        <w:rPr>
          <w:rFonts w:ascii="宋体" w:hAnsi="宋体" w:cs="宋体"/>
          <w:sz w:val="24"/>
          <w:szCs w:val="24"/>
        </w:rPr>
      </w:pPr>
      <w:r>
        <w:rPr>
          <w:rFonts w:hint="eastAsia" w:ascii="宋体" w:hAnsi="宋体"/>
          <w:b/>
          <w:sz w:val="24"/>
          <w:szCs w:val="24"/>
        </w:rPr>
        <w:t xml:space="preserve">1、项目负责人比较  </w:t>
      </w:r>
      <w:r>
        <w:rPr>
          <w:rFonts w:ascii="宋体" w:hAnsi="宋体"/>
          <w:b/>
          <w:sz w:val="24"/>
          <w:szCs w:val="24"/>
        </w:rPr>
        <w:t xml:space="preserve">2</w:t>
      </w:r>
      <w:r>
        <w:rPr>
          <w:rFonts w:hint="eastAsia" w:ascii="宋体" w:hAnsi="宋体"/>
          <w:b/>
          <w:sz w:val="24"/>
          <w:szCs w:val="24"/>
        </w:rPr>
        <w:t xml:space="preserve">分  </w:t>
      </w:r>
      <w:r>
        <w:rPr>
          <w:rFonts w:hint="eastAsia" w:ascii="宋体" w:hAnsi="宋体"/>
          <w:sz w:val="24"/>
          <w:szCs w:val="24"/>
        </w:rPr>
        <w:t xml:space="preserve">响应单位针对本项目拟投入的</w:t>
      </w:r>
      <w:r>
        <w:rPr>
          <w:rFonts w:ascii="宋体" w:hAnsi="宋体" w:cs="宋体"/>
          <w:sz w:val="24"/>
          <w:szCs w:val="24"/>
        </w:rPr>
        <w:t xml:space="preserve">项目</w:t>
      </w:r>
      <w:r>
        <w:rPr>
          <w:rFonts w:hint="eastAsia" w:ascii="宋体" w:hAnsi="宋体" w:cs="宋体"/>
          <w:sz w:val="24"/>
          <w:szCs w:val="24"/>
        </w:rPr>
        <w:t xml:space="preserve">负责人具有食品安全总监证书的得</w:t>
      </w:r>
      <w:r>
        <w:rPr>
          <w:rFonts w:ascii="宋体" w:hAnsi="宋体" w:cs="宋体"/>
          <w:sz w:val="24"/>
          <w:szCs w:val="24"/>
        </w:rPr>
        <w:t xml:space="preserve">1</w:t>
      </w:r>
      <w:r>
        <w:rPr>
          <w:rFonts w:hint="eastAsia" w:ascii="宋体" w:hAnsi="宋体" w:cs="宋体"/>
          <w:sz w:val="24"/>
          <w:szCs w:val="24"/>
        </w:rPr>
        <w:t xml:space="preserve">分、具有高级营养师证书的得</w:t>
      </w:r>
      <w:r>
        <w:rPr>
          <w:rFonts w:ascii="宋体" w:hAnsi="宋体" w:cs="宋体"/>
          <w:sz w:val="24"/>
          <w:szCs w:val="24"/>
        </w:rPr>
        <w:t xml:space="preserve">1</w:t>
      </w:r>
      <w:r>
        <w:rPr>
          <w:rFonts w:hint="eastAsia" w:ascii="宋体" w:hAnsi="宋体" w:cs="宋体"/>
          <w:sz w:val="24"/>
          <w:szCs w:val="24"/>
        </w:rPr>
        <w:t xml:space="preserve">分，本项最高得</w:t>
      </w:r>
      <w:r>
        <w:rPr>
          <w:rFonts w:ascii="宋体" w:hAnsi="宋体" w:cs="宋体"/>
          <w:sz w:val="24"/>
          <w:szCs w:val="24"/>
        </w:rPr>
        <w:t xml:space="preserve">2</w:t>
      </w:r>
      <w:r>
        <w:rPr>
          <w:rFonts w:hint="eastAsia" w:ascii="宋体" w:hAnsi="宋体" w:cs="宋体"/>
          <w:sz w:val="24"/>
          <w:szCs w:val="24"/>
        </w:rPr>
        <w:t xml:space="preserve">分。响应文件中提供响应单位为其缴纳的最近一期的社保证明及相关证书复印件，</w:t>
      </w:r>
      <w:bookmarkStart w:id="26" w:name="OLE_LINK5"/>
      <w:r/>
      <w:bookmarkStart w:id="27" w:name="OLE_LINK6"/>
      <w:r>
        <w:rPr>
          <w:rFonts w:hint="eastAsia" w:ascii="宋体" w:hAnsi="宋体" w:cs="宋体"/>
          <w:sz w:val="24"/>
          <w:szCs w:val="24"/>
        </w:rPr>
        <w:t xml:space="preserve">缺失、不符或未提供相关内容的不得分</w:t>
      </w:r>
      <w:r>
        <w:rPr>
          <w:rFonts w:ascii="宋体" w:hAnsi="宋体" w:cs="宋体"/>
          <w:sz w:val="24"/>
          <w:szCs w:val="24"/>
        </w:rPr>
        <w:t xml:space="preserve">。</w:t>
      </w:r>
      <w:bookmarkEnd w:id="26"/>
      <w:r/>
      <w:bookmarkEnd w:id="27"/>
      <w:r/>
      <w:r/>
    </w:p>
    <w:p>
      <w:pPr>
        <w:ind w:firstLine="420"/>
        <w:spacing w:line="360" w:lineRule="auto"/>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、项目团队人员比较  </w:t>
      </w:r>
      <w:r>
        <w:rPr>
          <w:rFonts w:ascii="宋体" w:hAnsi="宋体"/>
          <w:b/>
          <w:sz w:val="24"/>
          <w:szCs w:val="24"/>
        </w:rPr>
        <w:t xml:space="preserve">3</w:t>
      </w:r>
      <w:r>
        <w:rPr>
          <w:rFonts w:hint="eastAsia" w:ascii="宋体" w:hAnsi="宋体"/>
          <w:b/>
          <w:sz w:val="24"/>
          <w:szCs w:val="24"/>
        </w:rPr>
        <w:t xml:space="preserve">分  </w:t>
      </w:r>
      <w:r>
        <w:rPr>
          <w:rFonts w:hint="eastAsia" w:ascii="宋体" w:hAnsi="宋体"/>
          <w:sz w:val="24"/>
          <w:szCs w:val="24"/>
        </w:rPr>
        <w:t xml:space="preserve">响应单位针对本项目拟投入的项目团队人员（</w:t>
      </w:r>
      <w:r>
        <w:rPr>
          <w:rFonts w:ascii="宋体" w:hAnsi="宋体" w:cs="宋体"/>
          <w:sz w:val="24"/>
          <w:szCs w:val="24"/>
        </w:rPr>
        <w:t xml:space="preserve">项目</w:t>
      </w:r>
      <w:r>
        <w:rPr>
          <w:rFonts w:hint="eastAsia" w:ascii="宋体" w:hAnsi="宋体" w:cs="宋体"/>
          <w:sz w:val="24"/>
          <w:szCs w:val="24"/>
        </w:rPr>
        <w:t xml:space="preserve">负责人</w:t>
      </w:r>
      <w:r>
        <w:rPr>
          <w:rFonts w:hint="eastAsia" w:ascii="宋体" w:hAnsi="宋体" w:cs="宋体"/>
          <w:sz w:val="24"/>
          <w:szCs w:val="24"/>
        </w:rPr>
        <w:t xml:space="preserve">除外</w:t>
      </w:r>
      <w:r>
        <w:rPr>
          <w:rFonts w:hint="eastAsia" w:ascii="宋体" w:hAnsi="宋体" w:cs="宋体"/>
          <w:sz w:val="24"/>
          <w:szCs w:val="24"/>
        </w:rPr>
        <w:t xml:space="preserve">）具有食品安全管理员证书或食品安全管理员考试合格证明、高级营养师证书、</w:t>
      </w:r>
      <w:r>
        <w:rPr>
          <w:rFonts w:hint="eastAsia" w:ascii="宋体" w:hAnsi="宋体"/>
          <w:sz w:val="24"/>
          <w:szCs w:val="24"/>
        </w:rPr>
        <w:t xml:space="preserve">有效期内食品检测师证书</w:t>
      </w:r>
      <w:r>
        <w:rPr>
          <w:rFonts w:hint="eastAsia" w:ascii="宋体" w:hAnsi="宋体" w:cs="宋体"/>
          <w:sz w:val="24"/>
          <w:szCs w:val="24"/>
        </w:rPr>
        <w:t xml:space="preserve">的，每提供</w:t>
      </w:r>
      <w:r>
        <w:rPr>
          <w:rFonts w:hint="eastAsia" w:ascii="宋体" w:hAnsi="宋体" w:cs="宋体"/>
          <w:sz w:val="24"/>
          <w:szCs w:val="24"/>
        </w:rPr>
        <w:t xml:space="preserve">一</w:t>
      </w:r>
      <w:r>
        <w:rPr>
          <w:rFonts w:hint="eastAsia" w:ascii="宋体" w:hAnsi="宋体" w:cs="宋体"/>
          <w:sz w:val="24"/>
          <w:szCs w:val="24"/>
        </w:rPr>
        <w:t xml:space="preserve">类证书得1分，本项最高得</w:t>
      </w:r>
      <w:r>
        <w:rPr>
          <w:rFonts w:ascii="宋体" w:hAnsi="宋体" w:cs="宋体"/>
          <w:sz w:val="24"/>
          <w:szCs w:val="24"/>
        </w:rPr>
        <w:t xml:space="preserve">3</w:t>
      </w:r>
      <w:r>
        <w:rPr>
          <w:rFonts w:hint="eastAsia" w:ascii="宋体" w:hAnsi="宋体" w:cs="宋体"/>
          <w:sz w:val="24"/>
          <w:szCs w:val="24"/>
        </w:rPr>
        <w:t xml:space="preserve">分。响应文件中提供响应单位为其缴纳的最近一期的社保证明及相关证书复印件，缺失、不符或未提供相关内容的不得分</w:t>
      </w:r>
      <w:r>
        <w:rPr>
          <w:rFonts w:ascii="宋体" w:hAnsi="宋体" w:cs="宋体"/>
          <w:sz w:val="24"/>
          <w:szCs w:val="24"/>
        </w:rPr>
        <w:t xml:space="preserve">。</w:t>
      </w:r>
      <w:r/>
    </w:p>
    <w:p>
      <w:pPr>
        <w:spacing w:line="360" w:lineRule="auto"/>
        <w:rPr>
          <w:rFonts w:ascii="宋体" w:hAnsi="宋体"/>
          <w:b/>
          <w:sz w:val="24"/>
          <w:szCs w:val="24"/>
        </w:rPr>
      </w:pPr>
      <w:r>
        <w:rPr>
          <w:rFonts w:hint="eastAsia" w:ascii="宋体" w:hAnsi="宋体"/>
          <w:b/>
          <w:sz w:val="24"/>
          <w:szCs w:val="24"/>
        </w:rPr>
        <w:t xml:space="preserve">四、响应单位综合实力比较  1</w:t>
      </w:r>
      <w:r>
        <w:rPr>
          <w:rFonts w:ascii="宋体" w:hAnsi="宋体"/>
          <w:b/>
          <w:sz w:val="24"/>
          <w:szCs w:val="24"/>
        </w:rPr>
        <w:t xml:space="preserve">5</w:t>
      </w:r>
      <w:r>
        <w:rPr>
          <w:rFonts w:hint="eastAsia" w:ascii="宋体" w:hAnsi="宋体"/>
          <w:b/>
          <w:sz w:val="24"/>
          <w:szCs w:val="24"/>
        </w:rPr>
        <w:t xml:space="preserve">分</w:t>
      </w:r>
      <w:r/>
    </w:p>
    <w:p>
      <w:pPr>
        <w:ind w:firstLine="480"/>
        <w:spacing w:line="360" w:lineRule="auto"/>
        <w:rPr>
          <w:rFonts w:ascii="宋体" w:hAnsi="宋体"/>
          <w:bCs/>
          <w:sz w:val="24"/>
          <w:szCs w:val="24"/>
        </w:rPr>
      </w:pPr>
      <w:r>
        <w:rPr>
          <w:rFonts w:hint="eastAsia" w:ascii="宋体" w:hAnsi="宋体"/>
          <w:b/>
          <w:sz w:val="24"/>
          <w:szCs w:val="24"/>
        </w:rPr>
        <w:t xml:space="preserve">1、类似业绩情况  </w:t>
      </w:r>
      <w:r>
        <w:rPr>
          <w:rFonts w:ascii="宋体" w:hAnsi="宋体"/>
          <w:b/>
          <w:sz w:val="24"/>
          <w:szCs w:val="24"/>
        </w:rPr>
        <w:t xml:space="preserve">5</w:t>
      </w:r>
      <w:r>
        <w:rPr>
          <w:rFonts w:hint="eastAsia" w:ascii="宋体" w:hAnsi="宋体"/>
          <w:b/>
          <w:sz w:val="24"/>
          <w:szCs w:val="24"/>
        </w:rPr>
        <w:t xml:space="preserve">分 </w:t>
      </w:r>
      <w:r>
        <w:rPr>
          <w:rFonts w:hint="eastAsia" w:ascii="宋体" w:hAnsi="宋体"/>
          <w:bCs/>
          <w:sz w:val="24"/>
          <w:szCs w:val="24"/>
        </w:rPr>
        <w:t xml:space="preserve"> 响应单位提供自202</w:t>
      </w:r>
      <w:r>
        <w:rPr>
          <w:rFonts w:ascii="宋体" w:hAnsi="宋体"/>
          <w:bCs/>
          <w:sz w:val="24"/>
          <w:szCs w:val="24"/>
        </w:rPr>
        <w:t xml:space="preserve">3</w:t>
      </w:r>
      <w:r>
        <w:rPr>
          <w:rFonts w:hint="eastAsia" w:ascii="宋体" w:hAnsi="宋体"/>
          <w:bCs/>
          <w:sz w:val="24"/>
          <w:szCs w:val="24"/>
        </w:rPr>
        <w:t xml:space="preserve">年1月1日（以合同签订日期为准）起至今承担过的类似项目业绩的，每提供一份得</w:t>
      </w:r>
      <w:r>
        <w:rPr>
          <w:rFonts w:ascii="宋体" w:hAnsi="宋体"/>
          <w:bCs/>
          <w:sz w:val="24"/>
          <w:szCs w:val="24"/>
        </w:rPr>
        <w:t xml:space="preserve">1</w:t>
      </w:r>
      <w:r>
        <w:rPr>
          <w:rFonts w:hint="eastAsia" w:ascii="宋体" w:hAnsi="宋体"/>
          <w:bCs/>
          <w:sz w:val="24"/>
          <w:szCs w:val="24"/>
        </w:rPr>
        <w:t xml:space="preserve">分，最高</w:t>
      </w:r>
      <w:r>
        <w:rPr>
          <w:rFonts w:ascii="宋体" w:hAnsi="宋体"/>
          <w:bCs/>
          <w:sz w:val="24"/>
          <w:szCs w:val="24"/>
        </w:rPr>
        <w:t xml:space="preserve">5</w:t>
      </w:r>
      <w:r>
        <w:rPr>
          <w:rFonts w:hint="eastAsia" w:ascii="宋体" w:hAnsi="宋体"/>
          <w:bCs/>
          <w:sz w:val="24"/>
          <w:szCs w:val="24"/>
        </w:rPr>
        <w:t xml:space="preserve">分。响应文件中提供业绩合同扫描件</w:t>
      </w:r>
      <w:r>
        <w:rPr>
          <w:rFonts w:hint="eastAsia" w:ascii="宋体" w:hAnsi="宋体"/>
          <w:sz w:val="24"/>
          <w:szCs w:val="24"/>
        </w:rPr>
        <w:t xml:space="preserve">及服务期内任意一期的发票扫描件</w:t>
      </w:r>
      <w:r>
        <w:rPr>
          <w:rFonts w:hint="eastAsia" w:ascii="宋体" w:hAnsi="宋体"/>
          <w:bCs/>
          <w:sz w:val="24"/>
          <w:szCs w:val="24"/>
        </w:rPr>
        <w:t xml:space="preserve">，否则不得分。</w:t>
      </w:r>
      <w:r/>
    </w:p>
    <w:p>
      <w:pPr>
        <w:ind w:firstLine="480"/>
        <w:spacing w:line="360" w:lineRule="auto"/>
        <w:rPr>
          <w:rFonts w:ascii="宋体" w:hAnsi="宋体"/>
          <w:bCs/>
          <w:sz w:val="24"/>
          <w:szCs w:val="24"/>
          <w:lang w:bidi="ar"/>
        </w:rPr>
      </w:pPr>
      <w:r>
        <w:rPr>
          <w:rFonts w:hint="eastAsia" w:ascii="宋体" w:hAnsi="宋体"/>
          <w:b/>
          <w:sz w:val="24"/>
          <w:szCs w:val="24"/>
        </w:rPr>
        <w:t xml:space="preserve">2、</w:t>
      </w:r>
      <w:r>
        <w:rPr>
          <w:rFonts w:hint="eastAsia" w:ascii="宋体" w:hAnsi="宋体"/>
          <w:b/>
          <w:bCs/>
          <w:sz w:val="24"/>
          <w:szCs w:val="24"/>
        </w:rPr>
        <w:t xml:space="preserve">体系认证比较  </w:t>
      </w:r>
      <w:r>
        <w:rPr>
          <w:rFonts w:ascii="宋体" w:hAnsi="宋体"/>
          <w:b/>
          <w:bCs/>
          <w:sz w:val="24"/>
          <w:szCs w:val="24"/>
        </w:rPr>
        <w:t xml:space="preserve">5</w:t>
      </w:r>
      <w:r>
        <w:rPr>
          <w:rFonts w:hint="eastAsia" w:ascii="宋体" w:hAnsi="宋体"/>
          <w:b/>
          <w:bCs/>
          <w:sz w:val="24"/>
          <w:szCs w:val="24"/>
        </w:rPr>
        <w:t xml:space="preserve">分  </w:t>
      </w:r>
      <w:r>
        <w:rPr>
          <w:rFonts w:hint="eastAsia" w:ascii="宋体" w:hAnsi="宋体"/>
          <w:bCs/>
          <w:sz w:val="24"/>
          <w:szCs w:val="20"/>
          <w:lang w:bidi="ar"/>
        </w:rPr>
        <w:t xml:space="preserve">响应单位具有有效期内的食品安全管理体系认证、食品可追溯管理体系认证、应急预案管理能力体系认证、供应链安全管理体系认证、售后服务体系认证</w:t>
      </w:r>
      <w:r>
        <w:rPr>
          <w:rFonts w:hint="eastAsia" w:ascii="宋体" w:hAnsi="宋体"/>
          <w:bCs/>
          <w:sz w:val="24"/>
          <w:szCs w:val="24"/>
          <w:lang w:bidi="ar"/>
        </w:rPr>
        <w:t xml:space="preserve">的，每提供一份得1分，最高</w:t>
      </w:r>
      <w:r>
        <w:rPr>
          <w:rFonts w:ascii="宋体" w:hAnsi="宋体"/>
          <w:bCs/>
          <w:sz w:val="24"/>
          <w:szCs w:val="24"/>
          <w:lang w:bidi="ar"/>
        </w:rPr>
        <w:t xml:space="preserve">5</w:t>
      </w:r>
      <w:r>
        <w:rPr>
          <w:rFonts w:hint="eastAsia" w:ascii="宋体" w:hAnsi="宋体"/>
          <w:bCs/>
          <w:sz w:val="24"/>
          <w:szCs w:val="24"/>
          <w:lang w:bidi="ar"/>
        </w:rPr>
        <w:t xml:space="preserve">分。响应文件中提供证书扫描件以及在中国国家认证认可监督管理委员会官网查询证书在有效期的截图证明，否则不得分。</w:t>
      </w:r>
      <w:r/>
    </w:p>
    <w:p>
      <w:pPr>
        <w:ind w:firstLine="480"/>
        <w:spacing w:line="360" w:lineRule="auto"/>
        <w:rPr>
          <w:rFonts w:ascii="宋体" w:hAnsi="宋体"/>
          <w:sz w:val="24"/>
          <w:szCs w:val="24"/>
          <w:lang w:bidi="ar"/>
        </w:rPr>
      </w:pPr>
      <w:r>
        <w:rPr>
          <w:rFonts w:hint="eastAsia" w:ascii="宋体" w:hAnsi="宋体"/>
          <w:b/>
          <w:sz w:val="24"/>
          <w:szCs w:val="24"/>
          <w:lang w:bidi="ar"/>
        </w:rPr>
        <w:t xml:space="preserve">3、化验检测室情况比较  </w:t>
      </w:r>
      <w:r>
        <w:rPr>
          <w:rFonts w:ascii="宋体" w:hAnsi="宋体"/>
          <w:b/>
          <w:sz w:val="24"/>
          <w:szCs w:val="24"/>
          <w:lang w:bidi="ar"/>
        </w:rPr>
        <w:t xml:space="preserve">1</w:t>
      </w:r>
      <w:r>
        <w:rPr>
          <w:rFonts w:hint="eastAsia" w:ascii="宋体" w:hAnsi="宋体"/>
          <w:b/>
          <w:sz w:val="24"/>
          <w:szCs w:val="24"/>
          <w:lang w:bidi="ar"/>
        </w:rPr>
        <w:t xml:space="preserve">分  </w:t>
      </w:r>
      <w:r>
        <w:rPr>
          <w:rFonts w:hint="eastAsia" w:ascii="宋体" w:hAnsi="宋体"/>
          <w:bCs/>
          <w:sz w:val="24"/>
          <w:szCs w:val="20"/>
          <w:lang w:bidi="ar"/>
        </w:rPr>
        <w:t xml:space="preserve">响应单位具备专业的化验检测室且</w:t>
      </w:r>
      <w:r>
        <w:rPr>
          <w:rFonts w:hint="eastAsia" w:ascii="宋体" w:hAnsi="宋体"/>
          <w:bCs/>
          <w:sz w:val="24"/>
          <w:szCs w:val="24"/>
          <w:lang w:val="zh-CN"/>
        </w:rPr>
        <w:t xml:space="preserve">检测仪器设备配置齐全的得</w:t>
      </w:r>
      <w:r>
        <w:rPr>
          <w:rFonts w:ascii="宋体" w:hAnsi="宋体"/>
          <w:bCs/>
          <w:sz w:val="24"/>
          <w:szCs w:val="24"/>
          <w:lang w:val="zh-CN"/>
        </w:rPr>
        <w:t xml:space="preserve">1</w:t>
      </w:r>
      <w:r>
        <w:rPr>
          <w:rFonts w:hint="eastAsia" w:ascii="宋体" w:hAnsi="宋体"/>
          <w:bCs/>
          <w:sz w:val="24"/>
          <w:szCs w:val="24"/>
          <w:lang w:val="zh-CN"/>
        </w:rPr>
        <w:t xml:space="preserve">分，</w:t>
      </w:r>
      <w:r>
        <w:rPr>
          <w:rFonts w:hint="eastAsia" w:ascii="宋体" w:hAnsi="宋体"/>
          <w:bCs/>
          <w:sz w:val="24"/>
          <w:szCs w:val="24"/>
        </w:rPr>
        <w:t xml:space="preserve">需</w:t>
      </w:r>
      <w:r>
        <w:rPr>
          <w:rFonts w:hint="eastAsia" w:ascii="宋体" w:hAnsi="宋体"/>
          <w:bCs/>
          <w:sz w:val="24"/>
          <w:szCs w:val="24"/>
          <w:lang w:val="zh-CN"/>
        </w:rPr>
        <w:t xml:space="preserve">提供化验室图片、检测设备图片、检测设备购买发票等相关证明材料</w:t>
      </w:r>
      <w:r>
        <w:rPr>
          <w:rFonts w:hint="eastAsia" w:ascii="宋体" w:hAnsi="宋体" w:cs="宋体"/>
          <w:sz w:val="24"/>
          <w:szCs w:val="24"/>
        </w:rPr>
        <w:t xml:space="preserve">，缺失、不符或不提供者不得分</w:t>
      </w:r>
      <w:r>
        <w:rPr>
          <w:rFonts w:hint="eastAsia" w:ascii="宋体" w:hAnsi="宋体"/>
          <w:sz w:val="24"/>
          <w:szCs w:val="24"/>
          <w:lang w:bidi="ar"/>
        </w:rPr>
        <w:t xml:space="preserve">。</w:t>
      </w:r>
      <w:r/>
    </w:p>
    <w:p>
      <w:pPr>
        <w:ind w:firstLine="480"/>
        <w:spacing w:line="360" w:lineRule="auto"/>
        <w:rPr>
          <w:rFonts w:ascii="宋体" w:hAnsi="宋体"/>
          <w:sz w:val="24"/>
          <w:lang w:bidi="ar"/>
        </w:rPr>
      </w:pPr>
      <w:r>
        <w:rPr>
          <w:rFonts w:hint="eastAsia" w:ascii="宋体" w:hAnsi="宋体"/>
          <w:b/>
          <w:sz w:val="24"/>
          <w:lang w:bidi="ar"/>
        </w:rPr>
        <w:t xml:space="preserve">4、保险情况比较  </w:t>
      </w:r>
      <w:r>
        <w:rPr>
          <w:rFonts w:ascii="宋体" w:hAnsi="宋体"/>
          <w:b/>
          <w:sz w:val="24"/>
          <w:lang w:bidi="ar"/>
        </w:rPr>
        <w:t xml:space="preserve">1</w:t>
      </w:r>
      <w:r>
        <w:rPr>
          <w:rFonts w:hint="eastAsia" w:ascii="宋体" w:hAnsi="宋体"/>
          <w:b/>
          <w:sz w:val="24"/>
          <w:lang w:bidi="ar"/>
        </w:rPr>
        <w:t xml:space="preserve">分 </w:t>
      </w:r>
      <w:r>
        <w:rPr>
          <w:rFonts w:hint="eastAsia" w:ascii="宋体" w:hAnsi="宋体"/>
          <w:sz w:val="24"/>
          <w:lang w:bidi="ar"/>
        </w:rPr>
        <w:t xml:space="preserve"> 响应单位具有由保险公司承保的食品安全责任保险（</w:t>
      </w:r>
      <w:r>
        <w:rPr>
          <w:rFonts w:hint="eastAsia" w:ascii="宋体" w:hAnsi="宋体" w:cs="宋体"/>
          <w:sz w:val="24"/>
          <w:szCs w:val="24"/>
        </w:rPr>
        <w:t xml:space="preserve">单次事故赔偿限额500万及以上）</w:t>
      </w:r>
      <w:r>
        <w:rPr>
          <w:rFonts w:hint="eastAsia" w:ascii="宋体" w:hAnsi="宋体"/>
          <w:sz w:val="24"/>
          <w:lang w:bidi="ar"/>
        </w:rPr>
        <w:t xml:space="preserve">的得</w:t>
      </w:r>
      <w:r>
        <w:rPr>
          <w:rFonts w:ascii="宋体" w:hAnsi="宋体"/>
          <w:sz w:val="24"/>
          <w:lang w:bidi="ar"/>
        </w:rPr>
        <w:t xml:space="preserve">1</w:t>
      </w:r>
      <w:r>
        <w:rPr>
          <w:rFonts w:hint="eastAsia" w:ascii="宋体" w:hAnsi="宋体"/>
          <w:sz w:val="24"/>
          <w:lang w:bidi="ar"/>
        </w:rPr>
        <w:t xml:space="preserve">分。响应文件中提供有效期内得保险单据扫描件，否则不得分。</w:t>
      </w:r>
      <w:r/>
    </w:p>
    <w:p>
      <w:pPr>
        <w:ind w:firstLine="480"/>
        <w:spacing w:line="360" w:lineRule="auto"/>
        <w:rPr>
          <w:rFonts w:ascii="宋体" w:hAnsi="宋体"/>
          <w:b/>
          <w:sz w:val="24"/>
          <w:lang w:bidi="ar"/>
        </w:rPr>
      </w:pPr>
      <w:r>
        <w:rPr>
          <w:rFonts w:hint="eastAsia" w:ascii="宋体" w:hAnsi="宋体"/>
          <w:b/>
          <w:sz w:val="24"/>
          <w:lang w:bidi="ar"/>
        </w:rPr>
        <w:t xml:space="preserve">5、获得荣誉情况比较 </w:t>
      </w:r>
      <w:r>
        <w:rPr>
          <w:rFonts w:ascii="宋体" w:hAnsi="宋体"/>
          <w:b/>
          <w:sz w:val="24"/>
          <w:lang w:bidi="ar"/>
        </w:rPr>
        <w:t xml:space="preserve"> 3</w:t>
      </w:r>
      <w:r>
        <w:rPr>
          <w:rFonts w:hint="eastAsia" w:ascii="宋体" w:hAnsi="宋体"/>
          <w:b/>
          <w:sz w:val="24"/>
          <w:lang w:bidi="ar"/>
        </w:rPr>
        <w:t xml:space="preserve">分 </w:t>
      </w:r>
      <w:r>
        <w:rPr>
          <w:rFonts w:ascii="宋体" w:hAnsi="宋体"/>
          <w:b/>
          <w:sz w:val="24"/>
          <w:lang w:bidi="ar"/>
        </w:rPr>
        <w:t xml:space="preserve"> </w:t>
      </w:r>
      <w:r>
        <w:rPr>
          <w:rFonts w:hint="eastAsia" w:ascii="宋体" w:hAnsi="宋体"/>
          <w:sz w:val="24"/>
          <w:lang w:bidi="ar"/>
        </w:rPr>
        <w:t xml:space="preserve">响应单位获得过政府部门颁发的</w:t>
      </w:r>
      <w:r>
        <w:rPr>
          <w:rFonts w:hint="eastAsia" w:ascii="宋体" w:hAnsi="宋体"/>
          <w:sz w:val="24"/>
          <w:lang w:bidi="ar"/>
        </w:rPr>
        <w:t xml:space="preserve">荣誉的，每提供1份得</w:t>
      </w:r>
      <w:r>
        <w:rPr>
          <w:rFonts w:ascii="宋体" w:hAnsi="宋体"/>
          <w:sz w:val="24"/>
          <w:lang w:bidi="ar"/>
        </w:rPr>
        <w:t xml:space="preserve">1</w:t>
      </w:r>
      <w:r>
        <w:rPr>
          <w:rFonts w:hint="eastAsia" w:ascii="宋体" w:hAnsi="宋体"/>
          <w:sz w:val="24"/>
          <w:lang w:bidi="ar"/>
        </w:rPr>
        <w:t xml:space="preserve">分，最高得</w:t>
      </w:r>
      <w:r>
        <w:rPr>
          <w:rFonts w:ascii="宋体" w:hAnsi="宋体"/>
          <w:sz w:val="24"/>
          <w:lang w:bidi="ar"/>
        </w:rPr>
        <w:t xml:space="preserve">3</w:t>
      </w:r>
      <w:r>
        <w:rPr>
          <w:rFonts w:hint="eastAsia" w:ascii="宋体" w:hAnsi="宋体"/>
          <w:sz w:val="24"/>
          <w:lang w:bidi="ar"/>
        </w:rPr>
        <w:t xml:space="preserve">分。响应文件中提供荣誉证书扫描件，否则不得分。</w:t>
      </w:r>
      <w:r/>
    </w:p>
    <w:p>
      <w:pPr>
        <w:ind w:firstLine="482"/>
        <w:spacing w:line="360" w:lineRule="auto"/>
        <w:rPr>
          <w:rFonts w:ascii="宋体" w:hAnsi="宋体"/>
          <w:b/>
          <w:bCs/>
          <w:sz w:val="24"/>
          <w:szCs w:val="24"/>
        </w:rPr>
      </w:pPr>
      <w:r>
        <w:rPr>
          <w:rFonts w:ascii="宋体" w:hAnsi="宋体"/>
          <w:b/>
          <w:bCs/>
          <w:sz w:val="24"/>
          <w:szCs w:val="24"/>
        </w:rPr>
      </w:r>
      <w:r/>
    </w:p>
    <w:p>
      <w:pPr>
        <w:ind w:firstLine="482"/>
        <w:spacing w:line="360" w:lineRule="auto"/>
        <w:rPr>
          <w:rFonts w:ascii="宋体" w:hAnsi="宋体"/>
          <w:b/>
          <w:bCs/>
          <w:sz w:val="24"/>
          <w:szCs w:val="24"/>
        </w:rPr>
      </w:pPr>
      <w:r>
        <w:rPr>
          <w:rFonts w:ascii="宋体" w:hAnsi="宋体"/>
          <w:b/>
          <w:bCs/>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注：</w:t>
      </w:r>
      <w:r/>
    </w:p>
    <w:p>
      <w:pPr>
        <w:ind w:firstLine="480"/>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sz w:val="24"/>
          <w:szCs w:val="24"/>
        </w:rPr>
      </w:pPr>
      <w:r>
        <w:rPr>
          <w:rFonts w:hint="eastAsia" w:ascii="宋体" w:hAnsi="宋体"/>
          <w:bCs/>
          <w:sz w:val="24"/>
          <w:szCs w:val="24"/>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pStyle w:val="771"/>
        <w:jc w:val="center"/>
        <w:spacing w:beforeAutospacing="0" w:afterAutospacing="0" w:line="360" w:lineRule="auto"/>
        <w:widowControl/>
        <w:rPr>
          <w:rStyle w:val="776"/>
          <w:rFonts w:ascii="宋体" w:hAnsi="宋体" w:cs="宋体"/>
        </w:rPr>
      </w:pPr>
      <w:r>
        <w:rPr>
          <w:rStyle w:val="776"/>
          <w:rFonts w:ascii="宋体" w:hAnsi="宋体" w:cs="宋体"/>
        </w:rPr>
        <w:br w:type="page" w:clear="all"/>
      </w:r>
      <w:r>
        <w:rPr>
          <w:rStyle w:val="776"/>
          <w:rFonts w:hint="eastAsia" w:ascii="宋体" w:hAnsi="宋体" w:cs="宋体"/>
        </w:rPr>
        <w:t xml:space="preserve">第四章  合同主要条款及格式</w:t>
      </w:r>
      <w:r/>
    </w:p>
    <w:p>
      <w:pPr>
        <w:spacing w:line="360" w:lineRule="auto"/>
        <w:rPr>
          <w:rFonts w:ascii="宋体" w:hAnsi="宋体"/>
          <w:b/>
          <w:sz w:val="24"/>
          <w:szCs w:val="24"/>
        </w:rPr>
      </w:pPr>
      <w:r>
        <w:rPr>
          <w:rFonts w:hint="eastAsia" w:ascii="宋体" w:hAnsi="宋体"/>
          <w:b/>
          <w:sz w:val="24"/>
          <w:szCs w:val="24"/>
        </w:rPr>
        <w:t xml:space="preserve">甲方</w:t>
      </w:r>
      <w:r>
        <w:rPr>
          <w:rFonts w:ascii="宋体" w:hAnsi="宋体"/>
          <w:b/>
          <w:sz w:val="24"/>
          <w:szCs w:val="24"/>
        </w:rPr>
        <w:t xml:space="preserve">（以下简称甲方）：</w:t>
      </w:r>
      <w:r/>
    </w:p>
    <w:p>
      <w:pPr>
        <w:spacing w:line="360" w:lineRule="auto"/>
        <w:rPr>
          <w:rFonts w:ascii="宋体" w:hAnsi="宋体"/>
          <w:b/>
          <w:sz w:val="24"/>
          <w:szCs w:val="24"/>
        </w:rPr>
      </w:pPr>
      <w:r>
        <w:rPr>
          <w:rFonts w:hint="eastAsia" w:ascii="宋体" w:hAnsi="宋体"/>
          <w:b/>
          <w:sz w:val="24"/>
          <w:szCs w:val="24"/>
        </w:rPr>
        <w:t xml:space="preserve">联系人：</w:t>
      </w:r>
      <w:r/>
    </w:p>
    <w:p>
      <w:pPr>
        <w:spacing w:line="360" w:lineRule="auto"/>
        <w:rPr>
          <w:rFonts w:ascii="宋体" w:hAnsi="宋体"/>
          <w:b/>
          <w:sz w:val="24"/>
          <w:szCs w:val="24"/>
        </w:rPr>
      </w:pPr>
      <w:r>
        <w:rPr>
          <w:rFonts w:hint="eastAsia" w:ascii="宋体" w:hAnsi="宋体"/>
          <w:b/>
          <w:sz w:val="24"/>
          <w:szCs w:val="24"/>
        </w:rPr>
        <w:t xml:space="preserve">电话：</w:t>
      </w:r>
      <w:r/>
    </w:p>
    <w:p>
      <w:pPr>
        <w:spacing w:line="360" w:lineRule="auto"/>
        <w:rPr>
          <w:rFonts w:ascii="宋体" w:hAnsi="宋体"/>
          <w:b/>
          <w:sz w:val="24"/>
          <w:szCs w:val="24"/>
        </w:rPr>
      </w:pPr>
      <w:r>
        <w:rPr>
          <w:rFonts w:ascii="宋体" w:hAnsi="宋体"/>
          <w:b/>
          <w:sz w:val="24"/>
          <w:szCs w:val="24"/>
        </w:rPr>
      </w:r>
      <w:r/>
    </w:p>
    <w:p>
      <w:pPr>
        <w:spacing w:line="360" w:lineRule="auto"/>
        <w:rPr>
          <w:rFonts w:ascii="宋体" w:hAnsi="宋体"/>
          <w:b/>
          <w:sz w:val="24"/>
          <w:szCs w:val="24"/>
        </w:rPr>
      </w:pPr>
      <w:r>
        <w:rPr>
          <w:rFonts w:hint="eastAsia" w:ascii="宋体" w:hAnsi="宋体"/>
          <w:b/>
          <w:sz w:val="24"/>
          <w:szCs w:val="24"/>
        </w:rPr>
        <w:t xml:space="preserve">乙方</w:t>
      </w:r>
      <w:r>
        <w:rPr>
          <w:rFonts w:ascii="宋体" w:hAnsi="宋体"/>
          <w:b/>
          <w:sz w:val="24"/>
          <w:szCs w:val="24"/>
        </w:rPr>
        <w:t xml:space="preserve">（以下简称乙方）：</w:t>
      </w:r>
      <w:r/>
    </w:p>
    <w:p>
      <w:pPr>
        <w:spacing w:line="360" w:lineRule="auto"/>
        <w:rPr>
          <w:rFonts w:ascii="宋体" w:hAnsi="宋体"/>
          <w:b/>
          <w:sz w:val="24"/>
          <w:szCs w:val="24"/>
        </w:rPr>
      </w:pPr>
      <w:r>
        <w:rPr>
          <w:rFonts w:hint="eastAsia" w:ascii="宋体" w:hAnsi="宋体"/>
          <w:b/>
          <w:sz w:val="24"/>
          <w:szCs w:val="24"/>
        </w:rPr>
        <w:t xml:space="preserve">联系人：</w:t>
      </w:r>
      <w:r/>
    </w:p>
    <w:p>
      <w:pPr>
        <w:spacing w:line="360" w:lineRule="auto"/>
        <w:rPr>
          <w:rFonts w:ascii="宋体" w:hAnsi="宋体"/>
          <w:b/>
          <w:sz w:val="24"/>
          <w:szCs w:val="24"/>
        </w:rPr>
      </w:pPr>
      <w:r>
        <w:rPr>
          <w:rFonts w:hint="eastAsia" w:ascii="宋体" w:hAnsi="宋体"/>
          <w:b/>
          <w:sz w:val="24"/>
          <w:szCs w:val="24"/>
        </w:rPr>
        <w:t xml:space="preserve">电话：</w:t>
      </w:r>
      <w:r/>
    </w:p>
    <w:p>
      <w:pPr>
        <w:pStyle w:val="951"/>
        <w:ind w:firstLine="480"/>
        <w:jc w:val="left"/>
        <w:spacing w:line="360" w:lineRule="auto"/>
        <w:rPr>
          <w:rFonts w:hAnsi="宋体" w:eastAsia="宋体" w:cs="宋体"/>
          <w:sz w:val="24"/>
          <w:szCs w:val="24"/>
        </w:rPr>
      </w:pPr>
      <w:r>
        <w:rPr>
          <w:rFonts w:hAnsi="宋体" w:eastAsia="宋体"/>
          <w:sz w:val="24"/>
          <w:szCs w:val="24"/>
          <w:lang w:eastAsia="zh-CN"/>
        </w:rPr>
        <w:t xml:space="preserve">根据苏州市政府采购编号</w:t>
      </w:r>
      <w:r>
        <w:rPr>
          <w:rFonts w:hint="eastAsia" w:hAnsi="宋体" w:eastAsia="宋体"/>
          <w:b/>
          <w:bCs/>
          <w:sz w:val="24"/>
          <w:szCs w:val="24"/>
          <w:lang w:eastAsia="zh-CN"/>
        </w:rPr>
        <w:t xml:space="preserve">JSZC-320506-XDSZ-C2026-0004</w:t>
      </w:r>
      <w:r>
        <w:rPr>
          <w:rFonts w:hint="eastAsia" w:hAnsi="宋体" w:eastAsia="宋体"/>
          <w:sz w:val="24"/>
          <w:szCs w:val="24"/>
          <w:lang w:eastAsia="zh-CN"/>
        </w:rPr>
        <w:t xml:space="preserve">采购</w:t>
      </w:r>
      <w:r>
        <w:rPr>
          <w:rFonts w:hAnsi="宋体" w:eastAsia="宋体"/>
          <w:sz w:val="24"/>
          <w:szCs w:val="24"/>
          <w:lang w:eastAsia="zh-CN"/>
        </w:rPr>
        <w:t xml:space="preserve">文件、</w:t>
      </w:r>
      <w:r>
        <w:rPr>
          <w:rFonts w:hint="eastAsia" w:hAnsi="宋体" w:eastAsia="宋体"/>
          <w:sz w:val="24"/>
          <w:szCs w:val="24"/>
          <w:lang w:eastAsia="zh-CN"/>
        </w:rPr>
        <w:t xml:space="preserve">乙方</w:t>
      </w:r>
      <w:r>
        <w:rPr>
          <w:rFonts w:hAnsi="宋体" w:eastAsia="宋体"/>
          <w:sz w:val="24"/>
          <w:szCs w:val="24"/>
          <w:lang w:eastAsia="zh-CN"/>
        </w:rPr>
        <w:t xml:space="preserve">的响应文件和成交通知，</w:t>
      </w:r>
      <w:r>
        <w:rPr>
          <w:rFonts w:hint="eastAsia" w:hAnsi="宋体" w:eastAsia="宋体"/>
          <w:sz w:val="24"/>
          <w:szCs w:val="24"/>
          <w:lang w:eastAsia="zh-CN"/>
        </w:rPr>
        <w:t xml:space="preserve">甲乙</w:t>
      </w:r>
      <w:r>
        <w:rPr>
          <w:rFonts w:hAnsi="宋体" w:eastAsia="宋体"/>
          <w:sz w:val="24"/>
          <w:szCs w:val="24"/>
          <w:lang w:eastAsia="zh-CN"/>
        </w:rPr>
        <w:t xml:space="preserve">双方就此次成交的“</w:t>
      </w:r>
      <w:r>
        <w:rPr>
          <w:rFonts w:hint="eastAsia" w:hAnsi="宋体" w:eastAsia="宋体" w:cs="宋体"/>
          <w:sz w:val="24"/>
          <w:szCs w:val="24"/>
          <w:lang w:eastAsia="zh-CN"/>
        </w:rPr>
        <w:t xml:space="preserve">2026-2027年度郭巷街道机关食堂物资采购项目</w:t>
      </w:r>
      <w:r>
        <w:rPr>
          <w:rFonts w:hAnsi="宋体" w:eastAsia="宋体"/>
          <w:sz w:val="24"/>
          <w:szCs w:val="24"/>
          <w:lang w:eastAsia="zh-CN"/>
        </w:rPr>
        <w:t xml:space="preserve">”项目的购销事宜，签订本合同书。</w:t>
      </w:r>
      <w:r>
        <w:rPr>
          <w:rFonts w:hint="eastAsia" w:hAnsi="宋体" w:eastAsia="宋体" w:cs="宋体"/>
          <w:sz w:val="24"/>
          <w:szCs w:val="24"/>
        </w:rPr>
        <w:t xml:space="preserve">下列文件为本合同不可分割部分：</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1、</w:t>
      </w:r>
      <w:r>
        <w:rPr>
          <w:rFonts w:hint="eastAsia" w:hAnsi="宋体" w:eastAsia="宋体" w:cs="宋体"/>
          <w:sz w:val="24"/>
          <w:szCs w:val="24"/>
        </w:rPr>
        <w:t xml:space="preserve">成交通知书；</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2、</w:t>
      </w:r>
      <w:r>
        <w:rPr>
          <w:rFonts w:hint="eastAsia" w:hAnsi="宋体" w:eastAsia="宋体" w:cs="宋体"/>
          <w:sz w:val="24"/>
          <w:szCs w:val="24"/>
        </w:rPr>
        <w:t xml:space="preserve">乙方的响应文件；</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3、</w:t>
      </w:r>
      <w:r>
        <w:rPr>
          <w:rFonts w:hint="eastAsia" w:hAnsi="宋体" w:eastAsia="宋体" w:cs="宋体"/>
          <w:sz w:val="24"/>
          <w:szCs w:val="24"/>
        </w:rPr>
        <w:t xml:space="preserve">乙方在响应过程中所作的其它承诺、声明、书面澄清等；</w:t>
      </w:r>
      <w:r/>
    </w:p>
    <w:p>
      <w:pPr>
        <w:pStyle w:val="951"/>
        <w:ind w:firstLine="480"/>
        <w:jc w:val="left"/>
        <w:spacing w:line="360" w:lineRule="auto"/>
        <w:rPr>
          <w:rFonts w:hAnsi="宋体" w:eastAsia="宋体" w:cs="宋体"/>
          <w:sz w:val="24"/>
          <w:szCs w:val="24"/>
        </w:rPr>
      </w:pPr>
      <w:r>
        <w:rPr>
          <w:rFonts w:hint="eastAsia" w:hAnsi="宋体" w:eastAsia="宋体" w:cs="宋体"/>
          <w:sz w:val="24"/>
          <w:szCs w:val="24"/>
          <w:lang w:eastAsia="zh-CN"/>
        </w:rPr>
        <w:t xml:space="preserve">4、采购</w:t>
      </w:r>
      <w:r>
        <w:rPr>
          <w:rFonts w:hint="eastAsia" w:hAnsi="宋体" w:eastAsia="宋体" w:cs="宋体"/>
          <w:sz w:val="24"/>
          <w:szCs w:val="24"/>
        </w:rPr>
        <w:t xml:space="preserve">文件及其附件；</w:t>
      </w:r>
      <w:r/>
    </w:p>
    <w:p>
      <w:pPr>
        <w:pStyle w:val="951"/>
        <w:ind w:firstLine="480"/>
        <w:jc w:val="left"/>
        <w:spacing w:line="360" w:lineRule="auto"/>
        <w:rPr>
          <w:rFonts w:hAnsi="宋体" w:eastAsia="宋体"/>
          <w:sz w:val="24"/>
          <w:szCs w:val="24"/>
          <w:lang w:eastAsia="zh-CN"/>
        </w:rPr>
      </w:pPr>
      <w:r>
        <w:rPr>
          <w:rFonts w:hint="eastAsia" w:hAnsi="宋体" w:eastAsia="宋体" w:cs="宋体"/>
          <w:sz w:val="24"/>
          <w:szCs w:val="24"/>
          <w:lang w:eastAsia="zh-CN"/>
        </w:rPr>
        <w:t xml:space="preserve">5、</w:t>
      </w:r>
      <w:r>
        <w:rPr>
          <w:rFonts w:hint="eastAsia" w:hAnsi="宋体" w:eastAsia="宋体" w:cs="宋体"/>
          <w:sz w:val="24"/>
          <w:szCs w:val="24"/>
        </w:rPr>
        <w:t xml:space="preserve">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与本合同具有同等法律效力。</w:t>
      </w:r>
      <w:r/>
    </w:p>
    <w:p>
      <w:pPr>
        <w:numPr>
          <w:ilvl w:val="0"/>
          <w:numId w:val="10"/>
        </w:numPr>
        <w:spacing w:line="360" w:lineRule="auto"/>
        <w:rPr>
          <w:rFonts w:ascii="宋体" w:hAnsi="宋体" w:cs="宋体"/>
          <w:b/>
          <w:sz w:val="24"/>
          <w:szCs w:val="24"/>
        </w:rPr>
      </w:pPr>
      <w:r>
        <w:rPr>
          <w:rFonts w:hint="eastAsia" w:ascii="宋体" w:hAnsi="宋体" w:cs="宋体"/>
          <w:b/>
          <w:sz w:val="24"/>
          <w:szCs w:val="24"/>
        </w:rPr>
        <w:t xml:space="preserve">采购内容：2026-2027年度郭巷街道机关食堂物资采购项目</w:t>
      </w:r>
      <w:r/>
    </w:p>
    <w:p>
      <w:pPr>
        <w:spacing w:line="360" w:lineRule="auto"/>
        <w:rPr>
          <w:rFonts w:ascii="宋体" w:hAnsi="宋体"/>
          <w:b/>
          <w:bCs/>
          <w:sz w:val="24"/>
          <w:szCs w:val="24"/>
          <w:lang w:bidi="en-US"/>
        </w:rPr>
      </w:pPr>
      <w:r>
        <w:rPr>
          <w:rFonts w:hint="eastAsia" w:ascii="宋体" w:hAnsi="宋体"/>
          <w:b/>
          <w:bCs/>
          <w:sz w:val="24"/>
          <w:szCs w:val="24"/>
          <w:lang w:bidi="en-US"/>
        </w:rPr>
        <w:t xml:space="preserve">（一）项目背景与目标</w:t>
      </w:r>
      <w:r/>
    </w:p>
    <w:p>
      <w:pPr>
        <w:ind w:firstLine="420"/>
        <w:spacing w:line="360" w:lineRule="auto"/>
        <w:rPr>
          <w:rFonts w:ascii="宋体" w:hAnsi="宋体"/>
          <w:sz w:val="24"/>
          <w:szCs w:val="24"/>
          <w:lang w:bidi="en-US"/>
        </w:rPr>
      </w:pPr>
      <w:r>
        <w:rPr>
          <w:rFonts w:hint="eastAsia" w:ascii="宋体" w:hAnsi="宋体"/>
          <w:sz w:val="24"/>
          <w:szCs w:val="24"/>
          <w:lang w:bidi="en-US"/>
        </w:rPr>
        <w:t xml:space="preserve">1、项目背景：</w:t>
      </w:r>
      <w:r>
        <w:rPr>
          <w:rFonts w:hint="eastAsia" w:ascii="宋体" w:hAnsi="宋体"/>
          <w:sz w:val="24"/>
          <w:szCs w:val="24"/>
          <w:lang w:bidi="en-US"/>
        </w:rPr>
        <w:t xml:space="preserve">为保障郭巷街道机关食堂正常运营，提升食材质量与供应效率，现启动2026-2027年度食材采购项目，预算总额290万元。采购范围涵盖鲜冻禽畜肉类、主副食鲜蔬类、粮油调味品以及食堂附属超市、咖啡驿站等原材料供应。需满足食品安全、质量稳定、价格合理的核心要求。</w:t>
      </w:r>
      <w:r/>
    </w:p>
    <w:p>
      <w:pPr>
        <w:spacing w:line="360" w:lineRule="auto"/>
        <w:rPr>
          <w:rFonts w:ascii="宋体" w:hAnsi="宋体"/>
          <w:sz w:val="24"/>
          <w:szCs w:val="24"/>
          <w:lang w:bidi="en-US"/>
        </w:rPr>
      </w:pPr>
      <w:r>
        <w:rPr>
          <w:rFonts w:hint="eastAsia" w:ascii="宋体" w:hAnsi="宋体"/>
          <w:sz w:val="24"/>
          <w:szCs w:val="24"/>
          <w:lang w:bidi="en-US"/>
        </w:rPr>
        <w:t xml:space="preserve"> </w:t>
      </w:r>
      <w:r>
        <w:rPr>
          <w:rFonts w:hint="eastAsia" w:ascii="宋体" w:hAnsi="宋体"/>
          <w:sz w:val="24"/>
          <w:szCs w:val="24"/>
          <w:lang w:bidi="en-US"/>
        </w:rPr>
        <w:tab/>
        <w:t xml:space="preserve">2、项目目标：确保全年食材供应不断档，质量符合国家食品安全标准；优化供应商管理，降低采购成本，提升资金使用效率；建立应急保障机制，应对突发需求或市场波动。</w:t>
      </w:r>
      <w:r/>
    </w:p>
    <w:p>
      <w:pPr>
        <w:spacing w:line="360" w:lineRule="auto"/>
        <w:rPr>
          <w:rFonts w:ascii="宋体" w:hAnsi="宋体"/>
          <w:b/>
          <w:sz w:val="24"/>
          <w:szCs w:val="24"/>
        </w:rPr>
      </w:pPr>
      <w:r>
        <w:rPr>
          <w:rFonts w:hint="eastAsia" w:ascii="宋体" w:hAnsi="宋体" w:cs="宋体"/>
          <w:b/>
          <w:bCs/>
          <w:sz w:val="24"/>
          <w:szCs w:val="24"/>
        </w:rPr>
        <w:t xml:space="preserve">（二）</w:t>
      </w:r>
      <w:r>
        <w:rPr>
          <w:rFonts w:hint="eastAsia" w:ascii="宋体" w:hAnsi="宋体"/>
          <w:b/>
          <w:sz w:val="24"/>
          <w:szCs w:val="24"/>
        </w:rPr>
        <w:t xml:space="preserve">主要质量标准</w:t>
      </w:r>
      <w:r/>
    </w:p>
    <w:p>
      <w:pPr>
        <w:ind w:firstLine="360"/>
        <w:spacing w:line="360" w:lineRule="auto"/>
        <w:rPr>
          <w:rFonts w:ascii="宋体" w:hAnsi="宋体"/>
          <w:sz w:val="24"/>
          <w:szCs w:val="24"/>
        </w:rPr>
      </w:pPr>
      <w:r>
        <w:rPr>
          <w:rFonts w:hint="eastAsia" w:ascii="宋体" w:hAnsi="宋体"/>
          <w:sz w:val="24"/>
          <w:szCs w:val="24"/>
        </w:rPr>
        <w:t xml:space="preserve">1、大米配送标准：一年内新大米（国标一级），必须符合GB/T 1354-2018标准，并具有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2、面粉配送标准：面粉级别为特一级，必须符合GB/T 1355-2021标准，并具有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3、食用油配送标准：非转基因食用油，每桶5升~10升左右，必须符合GB 2716-2018食品安全国家标准植物油，并具有 “SC食品生产许可证”。</w:t>
      </w:r>
      <w:r/>
    </w:p>
    <w:p>
      <w:pPr>
        <w:ind w:firstLine="360"/>
        <w:spacing w:line="360" w:lineRule="auto"/>
        <w:rPr>
          <w:rFonts w:ascii="宋体" w:hAnsi="宋体"/>
          <w:sz w:val="24"/>
          <w:szCs w:val="24"/>
        </w:rPr>
      </w:pPr>
      <w:r>
        <w:rPr>
          <w:rFonts w:hint="eastAsia" w:ascii="宋体" w:hAnsi="宋体"/>
          <w:sz w:val="24"/>
          <w:szCs w:val="24"/>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分销合格证明》，及《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360"/>
        <w:spacing w:line="360" w:lineRule="auto"/>
        <w:rPr>
          <w:rFonts w:ascii="宋体" w:hAnsi="宋体"/>
          <w:sz w:val="24"/>
          <w:szCs w:val="24"/>
        </w:rPr>
      </w:pPr>
      <w:r>
        <w:rPr>
          <w:rFonts w:hint="eastAsia" w:ascii="宋体" w:hAnsi="宋体"/>
          <w:sz w:val="24"/>
          <w:szCs w:val="24"/>
        </w:rPr>
        <w:t xml:space="preserve">5、家禽冻品（鸡腿、鸡翅等）质量要求：乙方须提供产品合格证明文件，动物产品提供《动物或动物产品分销信息凭证》或《动物检疫合格证》。</w:t>
      </w:r>
      <w:r/>
    </w:p>
    <w:p>
      <w:pPr>
        <w:ind w:firstLine="360"/>
        <w:spacing w:line="360" w:lineRule="auto"/>
        <w:rPr>
          <w:rFonts w:ascii="宋体" w:hAnsi="宋体"/>
          <w:sz w:val="24"/>
          <w:szCs w:val="24"/>
        </w:rPr>
      </w:pPr>
      <w:r>
        <w:rPr>
          <w:rFonts w:hint="eastAsia" w:ascii="宋体" w:hAnsi="宋体"/>
          <w:sz w:val="24"/>
          <w:szCs w:val="24"/>
        </w:rPr>
        <w:t xml:space="preserve">6、豆制品质量要求：发酵性豆制品必须符合国家最新标准，非发酵豆制品必须符合国家最新标准、非发酵性豆制品及面筋卫生标准，对豆制品的有关安全健康指标符合国家规定.</w:t>
      </w:r>
      <w:r/>
    </w:p>
    <w:p>
      <w:pPr>
        <w:ind w:firstLine="360"/>
        <w:spacing w:line="360" w:lineRule="auto"/>
        <w:rPr>
          <w:rFonts w:ascii="宋体" w:hAnsi="宋体"/>
          <w:sz w:val="24"/>
          <w:szCs w:val="24"/>
        </w:rPr>
      </w:pPr>
      <w:r>
        <w:rPr>
          <w:rFonts w:hint="eastAsia" w:ascii="宋体" w:hAnsi="宋体"/>
          <w:sz w:val="24"/>
          <w:szCs w:val="24"/>
        </w:rPr>
        <w:t xml:space="preserve">7、水产品质量要求：必须符合GB 2733-2015《食品安全国家标准鲜、冻动物性水产品》、GB 10136-2015《食品安全国家标准 动物性水产制品》、GB 10133-2014 《食品安全国家标准 水产调味品》、GB 19643-2016《食品安全国家标准 藻类及其制品》等。产品的感观、安全、卫生、稳定性等指标符合相关规定。</w:t>
      </w:r>
      <w:r/>
    </w:p>
    <w:p>
      <w:pPr>
        <w:ind w:firstLine="360"/>
        <w:spacing w:line="360" w:lineRule="auto"/>
        <w:rPr>
          <w:rFonts w:ascii="宋体" w:hAnsi="宋体"/>
          <w:sz w:val="24"/>
          <w:szCs w:val="24"/>
        </w:rPr>
      </w:pPr>
      <w:r>
        <w:rPr>
          <w:rFonts w:hint="eastAsia" w:ascii="宋体" w:hAnsi="宋体"/>
          <w:sz w:val="24"/>
          <w:szCs w:val="24"/>
        </w:rPr>
        <w:t xml:space="preserve">8、无公害蔬菜质量要求：必须符合国家最新标准农产品安全质量无公害蔬菜安全要求，对蔬菜中有害物质严格控制在标准规定范围之内。</w:t>
      </w:r>
      <w:r>
        <w:rPr>
          <w:rFonts w:hint="eastAsia" w:ascii="宋体" w:hAnsi="宋体" w:cs="宋体"/>
          <w:sz w:val="24"/>
          <w:szCs w:val="24"/>
        </w:rPr>
        <w:t xml:space="preserve">新鲜嫩绿，无黄叶，无菜虫，通过农药残留成分测试，蔬菜不带根，不带泥</w:t>
      </w: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9、调味品质量要求：食用盐必须符合GB/T 5461-2016标准，酱油必须符合GB 2717-2018标准，味精必须符合GB2720-2015标准，生粉（淀粉制品）必须符合GB2713-2015标准，食糖必须符合GB13104-2014卫生标准，食醋必须符合GB2719—2018标准,酿造食醋必须符合GB18187-2000标准。</w:t>
      </w:r>
      <w:r/>
    </w:p>
    <w:p>
      <w:pPr>
        <w:ind w:firstLine="360"/>
        <w:spacing w:line="360" w:lineRule="auto"/>
        <w:rPr>
          <w:rFonts w:ascii="宋体" w:hAnsi="宋体"/>
          <w:sz w:val="24"/>
          <w:szCs w:val="24"/>
        </w:rPr>
      </w:pPr>
      <w:r>
        <w:rPr>
          <w:rFonts w:hint="eastAsia" w:ascii="宋体" w:hAnsi="宋体"/>
          <w:sz w:val="24"/>
          <w:szCs w:val="24"/>
        </w:rPr>
        <w:t xml:space="preserve">10、食品添加剂质量要求：食品添加剂应符合相应的食品安全标准，添加剂的使用必须符合GB2760-2021标准，对食品的添加量严格控制在标准规定范围之内。</w:t>
      </w:r>
      <w:r/>
    </w:p>
    <w:p>
      <w:pPr>
        <w:ind w:firstLine="360"/>
        <w:spacing w:line="360" w:lineRule="auto"/>
        <w:rPr>
          <w:rFonts w:ascii="宋体" w:hAnsi="宋体"/>
          <w:sz w:val="24"/>
          <w:szCs w:val="24"/>
        </w:rPr>
      </w:pPr>
      <w:r>
        <w:rPr>
          <w:rFonts w:hint="eastAsia" w:ascii="宋体" w:hAnsi="宋体"/>
          <w:sz w:val="24"/>
          <w:szCs w:val="24"/>
        </w:rPr>
        <w:t xml:space="preserve">11、鲜蛋质量要求：鸡蛋等新鲜蛋类必须符合GB2749-2015标准。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、新鲜水果要求：纯天然无公害，个头匀称、无斑点、无破损、果实成熟、味道纯正，必须符合GB/T23351-2009标准。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、乳制品质量要求：食材包装及外观干净、整洁，生产日期、保质期、贮藏条件标识清晰，须在保质期内，必须符合 GB/1 2693-2010标准。</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、其他质量要求：食堂附属超市、咖啡驿站全部原材料，须符合国家现行食品安全相关法律法规及强制性标准要求，产品来源可追溯，严禁供应假冒伪劣、三无、过期变质产品，保障食用安全，</w:t>
      </w:r>
      <w:r>
        <w:rPr>
          <w:rFonts w:hint="eastAsia" w:ascii="宋体" w:hAnsi="宋体"/>
          <w:sz w:val="24"/>
          <w:szCs w:val="24"/>
          <w:lang w:bidi="en-US"/>
        </w:rPr>
        <w:t xml:space="preserve">具体配送清单按照</w:t>
      </w:r>
      <w:r>
        <w:rPr>
          <w:rFonts w:hint="eastAsia" w:ascii="宋体" w:hAnsi="宋体"/>
          <w:sz w:val="24"/>
          <w:szCs w:val="24"/>
          <w:lang w:bidi="en-US"/>
        </w:rPr>
        <w:t xml:space="preserve">甲方</w:t>
      </w:r>
      <w:r>
        <w:rPr>
          <w:rFonts w:hint="eastAsia" w:ascii="宋体" w:hAnsi="宋体"/>
          <w:sz w:val="24"/>
          <w:szCs w:val="24"/>
          <w:lang w:bidi="en-US"/>
        </w:rPr>
        <w:t xml:space="preserve">要求。</w:t>
      </w:r>
      <w:r/>
    </w:p>
    <w:p>
      <w:pPr>
        <w:ind w:firstLine="36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、运输要求：符合GB/T33129-2016《新鲜水果、蔬菜包装和冷链运输通用操作规程》等国家标准。</w:t>
      </w:r>
      <w:r/>
    </w:p>
    <w:p>
      <w:pPr>
        <w:ind w:firstLine="360"/>
        <w:spacing w:line="360" w:lineRule="auto"/>
        <w:rPr>
          <w:rFonts w:ascii="宋体" w:hAnsi="宋体"/>
          <w:sz w:val="24"/>
          <w:szCs w:val="24"/>
        </w:rPr>
      </w:pPr>
      <w:r>
        <w:rPr>
          <w:rFonts w:hint="eastAsia" w:ascii="宋体" w:hAnsi="宋体"/>
          <w:sz w:val="24"/>
          <w:szCs w:val="24"/>
        </w:rPr>
        <w:t xml:space="preserve">注：以上质量标准如有最新国家或行业标准出台，则按最新标准执行；其他未注明的各项原材料，须符合最新国家标准。</w:t>
      </w:r>
      <w:r/>
    </w:p>
    <w:p>
      <w:pPr>
        <w:spacing w:line="360" w:lineRule="auto"/>
        <w:rPr>
          <w:rFonts w:ascii="宋体" w:hAnsi="宋体"/>
          <w:b/>
          <w:sz w:val="24"/>
          <w:szCs w:val="24"/>
        </w:rPr>
      </w:pPr>
      <w:r>
        <w:rPr>
          <w:rFonts w:hint="eastAsia" w:ascii="宋体" w:hAnsi="宋体"/>
          <w:b/>
          <w:sz w:val="24"/>
          <w:szCs w:val="24"/>
        </w:rPr>
        <w:t xml:space="preserve">（三）品牌及检测报告要求</w:t>
      </w:r>
      <w:r/>
    </w:p>
    <w:p>
      <w:pPr>
        <w:ind w:firstLine="36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、肉类（含家禽、鱼、肉、冷鲜肉等）、豆制品、调味品</w:t>
      </w:r>
      <w:r>
        <w:rPr>
          <w:rFonts w:hint="eastAsia" w:ascii="宋体" w:hAnsi="宋体"/>
          <w:sz w:val="24"/>
          <w:szCs w:val="24"/>
        </w:rPr>
        <w:t xml:space="preserve">必须使用品牌产品，即由所处经营领域中有较高知名度与美誉度的大型企业提供，其产品可以追根溯源。</w:t>
      </w:r>
      <w:r/>
    </w:p>
    <w:p>
      <w:pPr>
        <w:ind w:firstLine="360"/>
        <w:spacing w:line="360" w:lineRule="auto"/>
        <w:rPr>
          <w:rFonts w:ascii="宋体" w:hAnsi="宋体"/>
          <w:sz w:val="24"/>
          <w:szCs w:val="24"/>
        </w:rPr>
      </w:pPr>
      <w:r>
        <w:rPr>
          <w:rFonts w:hint="eastAsia" w:ascii="宋体" w:hAnsi="宋体"/>
          <w:sz w:val="24"/>
          <w:szCs w:val="24"/>
        </w:rPr>
        <w:t xml:space="preserve">2、每次配送的食材均需提供相关的检测报告或检验合格证。</w:t>
      </w:r>
      <w:r/>
    </w:p>
    <w:p>
      <w:pPr>
        <w:ind w:firstLine="360"/>
        <w:spacing w:before="1" w:line="360" w:lineRule="auto"/>
        <w:rPr>
          <w:rFonts w:ascii="宋体" w:hAnsi="宋体"/>
          <w:sz w:val="24"/>
          <w:szCs w:val="24"/>
        </w:rPr>
      </w:pPr>
      <w:r>
        <w:rPr>
          <w:rFonts w:hint="eastAsia" w:ascii="宋体" w:hAnsi="宋体"/>
          <w:sz w:val="24"/>
          <w:szCs w:val="24"/>
        </w:rPr>
        <w:t xml:space="preserve">3、甲方可委托权威部门定期对乙方提供的食材进行检测。如检测发现质量问题，由乙方承担检测费用并承担相应责任。</w:t>
      </w:r>
      <w:r/>
    </w:p>
    <w:p>
      <w:pPr>
        <w:ind w:firstLine="360"/>
        <w:spacing w:before="1" w:line="360" w:lineRule="auto"/>
        <w:rPr>
          <w:rFonts w:ascii="宋体" w:hAnsi="宋体"/>
          <w:sz w:val="24"/>
          <w:szCs w:val="24"/>
        </w:rPr>
      </w:pPr>
      <w:r>
        <w:rPr>
          <w:rFonts w:hint="eastAsia" w:ascii="宋体" w:hAnsi="宋体"/>
          <w:sz w:val="24"/>
          <w:szCs w:val="24"/>
        </w:rPr>
        <w:t xml:space="preserve">4、配送品牌要求：</w:t>
      </w:r>
      <w:r/>
    </w:p>
    <w:tbl>
      <w:tblPr>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971"/>
        <w:gridCol w:w="5832"/>
      </w:tblGrid>
      <w:tr>
        <w:trPr>
          <w:jc w:val="center"/>
          <w:trHeight w:val="20"/>
        </w:trPr>
        <w:tc>
          <w:tcPr>
            <w:tcW w:w="2971" w:type="dxa"/>
            <w:vAlign w:val="center"/>
            <w:textDirection w:val="lrTb"/>
            <w:noWrap w:val="false"/>
          </w:tcPr>
          <w:p>
            <w:pPr>
              <w:pStyle w:val="963"/>
              <w:spacing w:before="111"/>
              <w:rPr>
                <w:rFonts w:ascii="宋体" w:hAnsi="宋体" w:eastAsia="宋体" w:cs="宋体"/>
                <w:sz w:val="24"/>
                <w:szCs w:val="24"/>
              </w:rPr>
            </w:pPr>
            <w:r>
              <w:rPr>
                <w:rFonts w:hint="eastAsia" w:ascii="宋体" w:hAnsi="宋体" w:eastAsia="宋体" w:cs="宋体"/>
                <w:sz w:val="24"/>
                <w:szCs w:val="24"/>
              </w:rPr>
              <w:t xml:space="preserve">食材类别</w:t>
            </w:r>
            <w:r/>
          </w:p>
        </w:tc>
        <w:tc>
          <w:tcPr>
            <w:tcW w:w="5832"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食材品牌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肉类</w:t>
            </w:r>
            <w:r/>
          </w:p>
        </w:tc>
        <w:tc>
          <w:tcPr>
            <w:tcW w:w="5832" w:type="dxa"/>
            <w:vAlign w:val="center"/>
            <w:textDirection w:val="lrTb"/>
            <w:noWrap w:val="false"/>
          </w:tcPr>
          <w:p>
            <w:pPr>
              <w:pStyle w:val="963"/>
              <w:jc w:val="left"/>
              <w:spacing w:before="159"/>
              <w:rPr>
                <w:rFonts w:ascii="宋体" w:hAnsi="宋体" w:eastAsia="宋体" w:cs="宋体"/>
                <w:sz w:val="24"/>
                <w:szCs w:val="24"/>
              </w:rPr>
            </w:pPr>
            <w:r>
              <w:rPr>
                <w:rFonts w:hint="eastAsia" w:ascii="宋体" w:hAnsi="宋体" w:eastAsia="宋体" w:cs="宋体"/>
                <w:sz w:val="24"/>
                <w:szCs w:val="24"/>
              </w:rPr>
              <w:t xml:space="preserve">雨润、双汇、青莲、中粮（不低于上述档次品牌）</w:t>
            </w:r>
            <w:r/>
          </w:p>
        </w:tc>
      </w:tr>
      <w:tr>
        <w:trPr>
          <w:jc w:val="center"/>
          <w:trHeight w:val="20"/>
        </w:trPr>
        <w:tc>
          <w:tcPr>
            <w:tcW w:w="2971" w:type="dxa"/>
            <w:vAlign w:val="center"/>
            <w:textDirection w:val="lrTb"/>
            <w:noWrap w:val="false"/>
          </w:tcPr>
          <w:p>
            <w:pPr>
              <w:pStyle w:val="963"/>
              <w:spacing w:before="174"/>
              <w:rPr>
                <w:rFonts w:ascii="宋体" w:hAnsi="宋体" w:eastAsia="宋体" w:cs="宋体"/>
                <w:sz w:val="24"/>
                <w:szCs w:val="24"/>
              </w:rPr>
            </w:pPr>
            <w:r>
              <w:rPr>
                <w:rFonts w:hint="eastAsia" w:ascii="宋体" w:hAnsi="宋体" w:eastAsia="宋体" w:cs="宋体"/>
                <w:sz w:val="24"/>
                <w:szCs w:val="24"/>
              </w:rPr>
              <w:t xml:space="preserve">食用油（非转基因）</w:t>
            </w:r>
            <w:r/>
          </w:p>
        </w:tc>
        <w:tc>
          <w:tcPr>
            <w:tcW w:w="5832" w:type="dxa"/>
            <w:vAlign w:val="center"/>
            <w:textDirection w:val="lrTb"/>
            <w:noWrap w:val="false"/>
          </w:tcPr>
          <w:p>
            <w:pPr>
              <w:pStyle w:val="963"/>
              <w:jc w:val="left"/>
              <w:spacing w:before="174"/>
              <w:rPr>
                <w:rFonts w:ascii="宋体" w:hAnsi="宋体" w:eastAsia="宋体" w:cs="宋体"/>
                <w:sz w:val="24"/>
                <w:szCs w:val="24"/>
              </w:rPr>
            </w:pPr>
            <w:r>
              <w:rPr>
                <w:rFonts w:hint="eastAsia" w:ascii="宋体" w:hAnsi="宋体" w:eastAsia="宋体" w:cs="宋体"/>
                <w:sz w:val="24"/>
                <w:szCs w:val="24"/>
              </w:rPr>
              <w:t xml:space="preserve">金成、福临门、金龙鱼（不低于上述档次品牌）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调味品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海天、李锦记、太太乐（不低于上述档次品牌）</w:t>
            </w:r>
            <w:r/>
          </w:p>
        </w:tc>
      </w:tr>
      <w:tr>
        <w:trPr>
          <w:jc w:val="center"/>
          <w:trHeight w:val="20"/>
        </w:trPr>
        <w:tc>
          <w:tcPr>
            <w:tcW w:w="2971" w:type="dxa"/>
            <w:vAlign w:val="center"/>
            <w:textDirection w:val="lrTb"/>
            <w:noWrap w:val="false"/>
          </w:tcPr>
          <w:p>
            <w:pPr>
              <w:pStyle w:val="963"/>
              <w:spacing w:before="164"/>
              <w:rPr>
                <w:rFonts w:ascii="宋体" w:hAnsi="宋体" w:eastAsia="宋体" w:cs="宋体"/>
                <w:sz w:val="24"/>
                <w:szCs w:val="24"/>
              </w:rPr>
            </w:pPr>
            <w:r>
              <w:rPr>
                <w:rFonts w:hint="eastAsia" w:ascii="宋体" w:hAnsi="宋体" w:eastAsia="宋体" w:cs="宋体"/>
                <w:sz w:val="24"/>
                <w:szCs w:val="24"/>
              </w:rPr>
              <w:t xml:space="preserve">冷冻品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大成、成达、六和、凯牧（不低于上述档次品牌）</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豆制品</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艺杏、祖名、日和（不低于上述档次品牌）</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水产</w:t>
            </w:r>
            <w:r/>
          </w:p>
        </w:tc>
        <w:tc>
          <w:tcPr>
            <w:tcBorders>
              <w:right w:val="single" w:color="000000" w:sz="8" w:space="0"/>
            </w:tcBorders>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4"/>
              <w:rPr>
                <w:rFonts w:ascii="宋体" w:hAnsi="宋体" w:eastAsia="宋体" w:cs="宋体"/>
                <w:sz w:val="24"/>
                <w:szCs w:val="24"/>
              </w:rPr>
            </w:pPr>
            <w:r>
              <w:rPr>
                <w:rFonts w:hint="eastAsia" w:ascii="宋体" w:hAnsi="宋体" w:eastAsia="宋体" w:cs="宋体"/>
                <w:sz w:val="24"/>
                <w:szCs w:val="24"/>
              </w:rPr>
              <w:t xml:space="preserve">蔬菜</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本地基地（优选）</w:t>
            </w:r>
            <w:r/>
          </w:p>
        </w:tc>
      </w:tr>
      <w:tr>
        <w:trPr>
          <w:jc w:val="center"/>
          <w:trHeight w:val="20"/>
        </w:trPr>
        <w:tc>
          <w:tcPr>
            <w:tcW w:w="2971" w:type="dxa"/>
            <w:vAlign w:val="center"/>
            <w:textDirection w:val="lrTb"/>
            <w:noWrap w:val="false"/>
          </w:tcPr>
          <w:p>
            <w:pPr>
              <w:pStyle w:val="963"/>
              <w:spacing w:before="159"/>
              <w:rPr>
                <w:rFonts w:ascii="宋体" w:hAnsi="宋体" w:eastAsia="宋体" w:cs="宋体"/>
                <w:sz w:val="24"/>
                <w:szCs w:val="24"/>
              </w:rPr>
            </w:pPr>
            <w:r>
              <w:rPr>
                <w:rFonts w:hint="eastAsia" w:ascii="宋体" w:hAnsi="宋体" w:eastAsia="宋体" w:cs="宋体"/>
                <w:sz w:val="24"/>
                <w:szCs w:val="24"/>
              </w:rPr>
              <w:t xml:space="preserve">禽蛋</w:t>
            </w:r>
            <w:r/>
          </w:p>
        </w:tc>
        <w:tc>
          <w:tcPr>
            <w:tcW w:w="5832" w:type="dxa"/>
            <w:vAlign w:val="center"/>
            <w:textDirection w:val="lrTb"/>
            <w:noWrap w:val="false"/>
          </w:tcPr>
          <w:p>
            <w:pPr>
              <w:pStyle w:val="963"/>
              <w:jc w:val="left"/>
              <w:spacing w:before="164"/>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45"/>
              <w:rPr>
                <w:rFonts w:ascii="宋体" w:hAnsi="宋体" w:eastAsia="宋体" w:cs="宋体"/>
                <w:sz w:val="24"/>
                <w:szCs w:val="24"/>
              </w:rPr>
            </w:pPr>
            <w:r>
              <w:rPr>
                <w:rFonts w:hint="eastAsia" w:ascii="宋体" w:hAnsi="宋体" w:eastAsia="宋体" w:cs="宋体"/>
                <w:sz w:val="24"/>
                <w:szCs w:val="24"/>
              </w:rPr>
              <w:t xml:space="preserve">南北干货</w:t>
            </w:r>
            <w:r/>
          </w:p>
        </w:tc>
        <w:tc>
          <w:tcPr>
            <w:tcW w:w="5832" w:type="dxa"/>
            <w:vAlign w:val="center"/>
            <w:textDirection w:val="lrTb"/>
            <w:noWrap w:val="false"/>
          </w:tcPr>
          <w:p>
            <w:pPr>
              <w:pStyle w:val="963"/>
              <w:jc w:val="left"/>
              <w:spacing w:before="150"/>
              <w:rPr>
                <w:rFonts w:ascii="宋体" w:hAnsi="宋体" w:eastAsia="宋体" w:cs="宋体"/>
                <w:sz w:val="24"/>
                <w:szCs w:val="24"/>
              </w:rPr>
            </w:pPr>
            <w:r>
              <w:rPr>
                <w:rFonts w:hint="eastAsia" w:ascii="宋体" w:hAnsi="宋体" w:eastAsia="宋体" w:cs="宋体"/>
                <w:sz w:val="24"/>
                <w:szCs w:val="24"/>
              </w:rPr>
              <w:t xml:space="preserve">菜场</w:t>
            </w:r>
            <w:r/>
          </w:p>
        </w:tc>
      </w:tr>
      <w:tr>
        <w:trPr>
          <w:jc w:val="center"/>
          <w:trHeight w:val="20"/>
        </w:trPr>
        <w:tc>
          <w:tcPr>
            <w:tcW w:w="2971" w:type="dxa"/>
            <w:vAlign w:val="center"/>
            <w:textDirection w:val="lrTb"/>
            <w:noWrap w:val="false"/>
          </w:tcPr>
          <w:p>
            <w:pPr>
              <w:pStyle w:val="963"/>
              <w:spacing w:before="116"/>
              <w:rPr>
                <w:rFonts w:ascii="宋体" w:hAnsi="宋体" w:eastAsia="宋体" w:cs="宋体"/>
                <w:sz w:val="24"/>
                <w:szCs w:val="24"/>
              </w:rPr>
            </w:pPr>
            <w:r>
              <w:rPr>
                <w:rFonts w:hint="eastAsia" w:ascii="宋体" w:hAnsi="宋体" w:eastAsia="宋体" w:cs="宋体"/>
                <w:sz w:val="24"/>
                <w:szCs w:val="24"/>
              </w:rPr>
              <w:t xml:space="preserve">其他</w:t>
            </w:r>
            <w:r/>
          </w:p>
        </w:tc>
        <w:tc>
          <w:tcPr>
            <w:tcW w:w="5832" w:type="dxa"/>
            <w:vAlign w:val="center"/>
            <w:textDirection w:val="lrTb"/>
            <w:noWrap w:val="false"/>
          </w:tcPr>
          <w:p>
            <w:pPr>
              <w:pStyle w:val="963"/>
              <w:jc w:val="left"/>
              <w:spacing w:before="0"/>
              <w:rPr>
                <w:rFonts w:ascii="宋体" w:hAnsi="宋体" w:eastAsia="宋体" w:cs="宋体"/>
                <w:sz w:val="24"/>
                <w:szCs w:val="24"/>
              </w:rPr>
            </w:pPr>
            <w:r>
              <w:rPr>
                <w:rFonts w:hint="eastAsia" w:ascii="宋体" w:hAnsi="宋体" w:eastAsia="宋体" w:cs="宋体"/>
                <w:sz w:val="24"/>
                <w:szCs w:val="24"/>
              </w:rPr>
              <w:t xml:space="preserve">菜场</w:t>
            </w:r>
            <w:r/>
          </w:p>
        </w:tc>
      </w:tr>
    </w:tbl>
    <w:p>
      <w:pPr>
        <w:spacing w:before="120" w:line="360" w:lineRule="auto"/>
        <w:rPr>
          <w:rFonts w:ascii="宋体" w:hAnsi="宋体"/>
          <w:b/>
          <w:sz w:val="24"/>
          <w:szCs w:val="24"/>
        </w:rPr>
      </w:pPr>
      <w:r>
        <w:rPr>
          <w:rFonts w:hint="eastAsia" w:ascii="宋体" w:hAnsi="宋体"/>
          <w:b/>
          <w:sz w:val="24"/>
          <w:szCs w:val="24"/>
        </w:rPr>
        <w:t xml:space="preserve">（四）配送要求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供应的食材必须符合《中华人民共和国食品安全法》标准，并根据协议约定和街道食堂提出的品种、规格、品牌、数量、质量要求在规定的时间内及时送到。每日的配送清单须是打印稿，如发现食材卫生质量问题或者以次充好，街道可立即无条件退货或换货，并对乙方扣除进行本次配送货物金额5-10倍的货款作为违约金。</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乙方严禁提供以下食品：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）无品名、产地、厂名、生产日期、保质期及中文标识及原料说明的定型包装食品（除蔬菜、面点、早点等非定型包装食品）；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）超过保质期限或不符合食品标签规定的定型包装食品；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）腐败变质、油脂酸败、霉变、生虫、污秽不洁、混有异物或者其他感官性状异常，含有毒、有害物质或者被有毒、有害物质污染，可能对人体健康有害的食品；</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）病死、死因不明或从疫区采购的水产品、畜、禽及其制品，不合格调味品，工业用盐，非碘盐或非食品原料和滥用食品添加剂，农药残留超标的水果、蔬菜等；</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）其他不符合食品卫生标准和要求的食品。</w:t>
      </w:r>
      <w:r/>
    </w:p>
    <w:p>
      <w:pPr>
        <w:ind w:firstLine="480"/>
        <w:spacing w:line="360" w:lineRule="auto"/>
        <w:rPr>
          <w:rFonts w:ascii="宋体" w:hAnsi="宋体"/>
          <w:sz w:val="24"/>
          <w:szCs w:val="24"/>
        </w:rPr>
      </w:pPr>
      <w:r>
        <w:rPr>
          <w:rFonts w:hint="eastAsia" w:ascii="宋体" w:hAnsi="宋体"/>
          <w:sz w:val="24"/>
          <w:szCs w:val="24"/>
        </w:rPr>
        <w:t xml:space="preserve">3、如因乙方所供应食品的质量问题引起食物中毒等食源性疾病的发生或其他事故，由乙方负全部责任，并承担由此而引起的全部经济损失及相关法律责任。情节较为严重的，甲方有权立即终止供货协议，并按相关法律处理。</w:t>
      </w:r>
      <w:r/>
    </w:p>
    <w:p>
      <w:pPr>
        <w:ind w:firstLine="480"/>
        <w:spacing w:line="360" w:lineRule="auto"/>
        <w:rPr>
          <w:rFonts w:ascii="宋体" w:hAnsi="宋体"/>
          <w:sz w:val="24"/>
          <w:szCs w:val="24"/>
        </w:rPr>
      </w:pPr>
      <w:r>
        <w:rPr>
          <w:rFonts w:hint="eastAsia" w:ascii="宋体" w:hAnsi="宋体"/>
          <w:sz w:val="24"/>
          <w:szCs w:val="24"/>
        </w:rPr>
        <w:t xml:space="preserve">4、每天送货一次，应急配送的在收到通知后半小时内响应，1小时内完成或提出解决方案。</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乙方必须仔细核对采购方清单，确保所需的食品原材料品种、规格、品牌、数量、质量等准确无误，并在规定时间内及时送达。乙方向甲方提供商品的品牌、规格必须与合同规定一致，严禁擅自更换商品品牌、规格。甲方有权根据市场供应情况书面指定替代品牌。</w:t>
      </w:r>
      <w:r/>
    </w:p>
    <w:p>
      <w:pPr>
        <w:ind w:firstLine="482"/>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乙方须配备一辆带冷藏或冷冻功能的厢式货车，符合国家食品运输相关规定。自有的需提供车辆的权属证明、对应行驶证扫描件及车辆照片；如车辆为租赁的，需提供租赁合同、对应行驶证扫描件及车辆照片；承诺中标后购买或租赁的，需提供承诺函。</w:t>
      </w:r>
      <w:r/>
    </w:p>
    <w:p>
      <w:pPr>
        <w:ind w:firstLine="482"/>
        <w:spacing w:line="360" w:lineRule="auto"/>
        <w:rPr>
          <w:rFonts w:ascii="宋体" w:hAnsi="宋体" w:cs="宋体"/>
          <w:bCs/>
          <w:sz w:val="24"/>
          <w:szCs w:val="24"/>
        </w:rPr>
      </w:pP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本项目需配备人员至少6名，其中包含项目负责人1名。</w:t>
      </w:r>
      <w:r>
        <w:rPr>
          <w:rFonts w:hint="eastAsia" w:ascii="宋体" w:hAnsi="宋体" w:cs="宋体"/>
          <w:sz w:val="24"/>
          <w:szCs w:val="24"/>
        </w:rPr>
        <w:t xml:space="preserve">服务人员配置由</w:t>
      </w:r>
      <w:r>
        <w:rPr>
          <w:rFonts w:hint="eastAsia" w:ascii="宋体" w:hAnsi="宋体"/>
          <w:sz w:val="24"/>
          <w:szCs w:val="24"/>
        </w:rPr>
        <w:t xml:space="preserve">乙</w:t>
      </w:r>
      <w:r>
        <w:rPr>
          <w:rFonts w:hint="eastAsia" w:ascii="宋体" w:hAnsi="宋体" w:cs="宋体"/>
          <w:sz w:val="24"/>
          <w:szCs w:val="24"/>
        </w:rPr>
        <w:t xml:space="preserve">方根据甲方的工作内容自行设定各岗位人员配置。所有服务人员身体健康、遵纪守法，</w:t>
      </w:r>
      <w:r>
        <w:rPr>
          <w:rFonts w:hint="eastAsia" w:ascii="宋体" w:hAnsi="宋体"/>
          <w:sz w:val="24"/>
          <w:szCs w:val="24"/>
        </w:rPr>
        <w:t xml:space="preserve">用工年龄必须在55周岁以内，国家规定持证上岗的人员必须有相应的资格证书</w:t>
      </w: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
          <w:bCs/>
          <w:sz w:val="24"/>
          <w:szCs w:val="24"/>
        </w:rPr>
        <w:t xml:space="preserve">（五）采购流程</w:t>
      </w:r>
      <w:r/>
    </w:p>
    <w:p>
      <w:pPr>
        <w:ind w:firstLine="482"/>
        <w:spacing w:line="360" w:lineRule="auto"/>
        <w:rPr>
          <w:rFonts w:ascii="宋体" w:hAnsi="宋体" w:cs="宋体"/>
          <w:bCs/>
          <w:sz w:val="24"/>
          <w:szCs w:val="24"/>
        </w:rPr>
      </w:pPr>
      <w:r>
        <w:rPr>
          <w:rFonts w:hint="eastAsia" w:ascii="宋体" w:hAnsi="宋体" w:cs="宋体"/>
          <w:bCs/>
          <w:sz w:val="24"/>
          <w:szCs w:val="24"/>
        </w:rPr>
        <w:t xml:space="preserve"> 1、需求确认：根据食堂实际需求，按日制定采购计划，甲方提前1日通知乙方。</w:t>
      </w:r>
      <w:r/>
    </w:p>
    <w:p>
      <w:pPr>
        <w:ind w:firstLine="482"/>
        <w:spacing w:line="360" w:lineRule="auto"/>
        <w:rPr>
          <w:rFonts w:ascii="宋体" w:hAnsi="宋体" w:cs="宋体"/>
          <w:bCs/>
          <w:sz w:val="24"/>
          <w:szCs w:val="24"/>
        </w:rPr>
      </w:pPr>
      <w:r>
        <w:rPr>
          <w:rFonts w:hint="eastAsia" w:ascii="宋体" w:hAnsi="宋体" w:cs="宋体"/>
          <w:bCs/>
          <w:sz w:val="24"/>
          <w:szCs w:val="24"/>
        </w:rPr>
        <w:t xml:space="preserve"> 2、订单下达：订单明确品种、数量、交付时间及质量标准。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3、验收管理：</w:t>
      </w:r>
      <w:r/>
    </w:p>
    <w:p>
      <w:pPr>
        <w:ind w:firstLine="482"/>
        <w:spacing w:line="360" w:lineRule="auto"/>
        <w:rPr>
          <w:rFonts w:ascii="宋体" w:hAnsi="宋体" w:cs="宋体"/>
          <w:bCs/>
          <w:sz w:val="24"/>
          <w:szCs w:val="24"/>
        </w:rPr>
      </w:pPr>
      <w:r>
        <w:rPr>
          <w:rFonts w:hint="eastAsia" w:ascii="宋体" w:hAnsi="宋体" w:cs="宋体"/>
          <w:bCs/>
          <w:sz w:val="24"/>
          <w:szCs w:val="24"/>
        </w:rPr>
        <w:t xml:space="preserve">    初验：检查数量、包装及外观，不合格品1小时内重新供货。</w:t>
      </w:r>
      <w:r/>
    </w:p>
    <w:p>
      <w:pPr>
        <w:ind w:firstLine="960"/>
        <w:spacing w:line="360" w:lineRule="auto"/>
        <w:rPr>
          <w:rFonts w:ascii="宋体" w:hAnsi="宋体" w:cs="宋体"/>
          <w:bCs/>
          <w:sz w:val="24"/>
          <w:szCs w:val="24"/>
        </w:rPr>
      </w:pPr>
      <w:r>
        <w:rPr>
          <w:rFonts w:hint="eastAsia" w:ascii="宋体" w:hAnsi="宋体" w:cs="宋体"/>
          <w:bCs/>
          <w:sz w:val="24"/>
          <w:szCs w:val="24"/>
        </w:rPr>
        <w:t xml:space="preserve">复验：随机抽检农药残留、兽药残留，合格率需达100%。</w:t>
      </w:r>
      <w:r/>
    </w:p>
    <w:p>
      <w:pPr>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、若甲方有特殊情况需临时要求供货，乙方须有相应的应急预案，并承诺在甲方规定的合理时间范围内能送货至甲方指定地点。</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、经核有下列情形之一者甲方有权立即终止乙方的配送工作，并终止与之签订的食堂配送协议：</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（1）原材料问题引起的员工食物中毒等食源性疾病的发生；</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（2）月度满意度考核连续三个月低于85分；</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（3）被政府监管部门查到故意向街道销售假冒伪劣商品；</w:t>
      </w:r>
      <w:r/>
    </w:p>
    <w:p>
      <w:pPr>
        <w:ind w:firstLine="480"/>
        <w:spacing w:line="360" w:lineRule="auto"/>
        <w:tabs>
          <w:tab w:val="left" w:pos="6521" w:leader="none"/>
        </w:tabs>
        <w:rPr>
          <w:rFonts w:ascii="宋体" w:hAnsi="宋体"/>
          <w:sz w:val="24"/>
          <w:szCs w:val="24"/>
        </w:rPr>
      </w:pPr>
      <w:r>
        <w:rPr>
          <w:rFonts w:hint="eastAsia" w:ascii="宋体" w:hAnsi="宋体"/>
          <w:sz w:val="24"/>
          <w:szCs w:val="24"/>
        </w:rPr>
        <w:t xml:space="preserve">（4）经查实，将部分配送工作分包或转包给他人或其他单位。</w:t>
      </w:r>
      <w:r/>
    </w:p>
    <w:p>
      <w:pPr>
        <w:ind w:firstLine="480"/>
        <w:spacing w:line="360" w:lineRule="auto"/>
        <w:tabs>
          <w:tab w:val="left" w:pos="6521" w:leader="none"/>
        </w:tabs>
        <w:rPr>
          <w:rFonts w:ascii="宋体" w:hAnsi="宋体" w:cs="宋体"/>
          <w:bCs/>
          <w:sz w:val="24"/>
          <w:szCs w:val="24"/>
        </w:rPr>
      </w:pPr>
      <w:r>
        <w:rPr>
          <w:rFonts w:ascii="宋体" w:hAnsi="宋体"/>
          <w:sz w:val="24"/>
          <w:szCs w:val="24"/>
        </w:rPr>
        <w:t xml:space="preserve">3</w:t>
      </w:r>
      <w:r>
        <w:rPr>
          <w:rFonts w:hint="eastAsia" w:ascii="宋体" w:hAnsi="宋体"/>
          <w:sz w:val="24"/>
          <w:szCs w:val="24"/>
        </w:rPr>
        <w:t xml:space="preserve">、因重大责任事故，取消配送资格的乙方，不得继续为甲方提供所有物质的配送，已签订的合同双方协商解除。乙方要作出相应赔偿，后果严重的要追究法律责任。</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4</w:t>
      </w:r>
      <w:r>
        <w:rPr>
          <w:rFonts w:hint="eastAsia" w:ascii="宋体" w:hAnsi="宋体"/>
          <w:sz w:val="24"/>
          <w:szCs w:val="24"/>
        </w:rPr>
        <w:t xml:space="preserve">、因配送过程中出现人身等安全事故，乙方独立承担一切刑事、民事责任，与甲方无关。</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5</w:t>
      </w:r>
      <w:r>
        <w:rPr>
          <w:rFonts w:hint="eastAsia" w:ascii="宋体" w:hAnsi="宋体"/>
          <w:sz w:val="24"/>
          <w:szCs w:val="24"/>
        </w:rPr>
        <w:t xml:space="preserve">、甲方有权委托权威部门不定期对乙方提供的食材进行抽样检测。如检测发现质量问题，由乙方承担检测费用。</w:t>
      </w:r>
      <w:r/>
    </w:p>
    <w:p>
      <w:pPr>
        <w:ind w:firstLine="480"/>
        <w:spacing w:line="360" w:lineRule="auto"/>
        <w:tabs>
          <w:tab w:val="left" w:pos="6521"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、乙方须有良好的服务意识，做好与甲方的日常沟通，确保在食材配送、食材价格及质量上满足甲方要求。</w:t>
      </w:r>
      <w:r/>
    </w:p>
    <w:p>
      <w:pPr>
        <w:spacing w:line="360" w:lineRule="auto"/>
        <w:rPr>
          <w:rFonts w:ascii="宋体" w:hAnsi="宋体" w:cs="宋体"/>
          <w:b/>
          <w:sz w:val="24"/>
          <w:szCs w:val="24"/>
        </w:rPr>
      </w:pPr>
      <w:r>
        <w:rPr>
          <w:rFonts w:hint="eastAsia" w:ascii="宋体" w:hAnsi="宋体" w:cs="宋体"/>
          <w:b/>
          <w:sz w:val="24"/>
          <w:szCs w:val="24"/>
        </w:rPr>
        <w:t xml:space="preserve">（七）考核办法：</w:t>
      </w:r>
      <w:r>
        <w:rPr>
          <w:rFonts w:hint="eastAsia" w:ascii="宋体" w:hAnsi="宋体" w:cs="宋体"/>
          <w:b/>
          <w:sz w:val="24"/>
          <w:szCs w:val="24"/>
        </w:rPr>
        <w:t xml:space="preserve">详见合同附件《</w:t>
      </w:r>
      <w:r>
        <w:rPr>
          <w:rFonts w:hint="eastAsia" w:ascii="宋体" w:hAnsi="宋体"/>
          <w:b/>
          <w:bCs/>
          <w:sz w:val="24"/>
          <w:szCs w:val="24"/>
        </w:rPr>
        <w:t xml:space="preserve">月度考核表》</w:t>
      </w:r>
      <w:r/>
    </w:p>
    <w:p>
      <w:pPr>
        <w:spacing w:line="360" w:lineRule="auto"/>
        <w:rPr>
          <w:rFonts w:ascii="宋体" w:hAnsi="宋体" w:cs="宋体"/>
          <w:b/>
          <w:sz w:val="24"/>
          <w:szCs w:val="24"/>
        </w:rPr>
      </w:pPr>
      <w:r>
        <w:rPr>
          <w:rFonts w:hint="eastAsia" w:ascii="宋体" w:hAnsi="宋体" w:cs="宋体"/>
          <w:b/>
          <w:sz w:val="24"/>
          <w:szCs w:val="24"/>
        </w:rPr>
        <w:t xml:space="preserve">（八）验收要求：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1、乙方应保证所供货物品种和数量、重量的准确性，甲方和乙方分别建立采购和供应台账，确定专人负责验收和送货，以甲方的验货数量为准，乙方每次随货附一式三份的送货清单，由甲方验货后签字确认，作为送、收货的凭证。</w:t>
      </w:r>
      <w:r/>
    </w:p>
    <w:p>
      <w:pPr>
        <w:ind w:firstLine="480"/>
        <w:spacing w:line="360" w:lineRule="auto"/>
        <w:rPr>
          <w:rFonts w:ascii="宋体" w:hAnsi="宋体" w:cs="宋体"/>
          <w:sz w:val="24"/>
          <w:szCs w:val="24"/>
        </w:rPr>
      </w:pPr>
      <w:r>
        <w:rPr>
          <w:rFonts w:hint="eastAsia" w:ascii="宋体" w:hAnsi="宋体" w:cs="宋体"/>
          <w:sz w:val="24"/>
          <w:szCs w:val="24"/>
        </w:rPr>
        <w:t xml:space="preserve">2、数量方面要求：乙方</w:t>
      </w:r>
      <w:r>
        <w:rPr>
          <w:rFonts w:hint="eastAsia" w:ascii="宋体" w:hAnsi="宋体"/>
          <w:sz w:val="24"/>
          <w:szCs w:val="24"/>
        </w:rPr>
        <w:t xml:space="preserve">应按甲方要求的数量、规格供货，且需</w:t>
      </w:r>
      <w:r>
        <w:rPr>
          <w:rFonts w:hint="eastAsia" w:ascii="宋体" w:hAnsi="宋体" w:cs="宋体"/>
          <w:sz w:val="24"/>
          <w:szCs w:val="24"/>
        </w:rPr>
        <w:t xml:space="preserve">保证配送品种斤两的准确性，最终以甲方的验货数量为准。</w:t>
      </w:r>
      <w:r/>
    </w:p>
    <w:p>
      <w:pPr>
        <w:ind w:firstLine="480"/>
        <w:spacing w:line="360" w:lineRule="auto"/>
      </w:pPr>
      <w:r>
        <w:rPr>
          <w:rFonts w:hint="eastAsia" w:ascii="宋体" w:hAnsi="宋体" w:cs="宋体"/>
          <w:sz w:val="24"/>
          <w:szCs w:val="24"/>
        </w:rPr>
        <w:t xml:space="preserve">3、质量方面要求：乙方</w:t>
      </w:r>
      <w:r>
        <w:rPr>
          <w:rFonts w:hint="eastAsia" w:ascii="宋体" w:hAnsi="宋体"/>
          <w:sz w:val="24"/>
          <w:szCs w:val="24"/>
        </w:rPr>
        <w:t xml:space="preserve">的原材料送达后，食堂验收人员对原材料逐批依据协议和食品卫生标准进行验收并签字确认。如果原材料不符合要求及标准或未按规定时限送达，不予验收，并做退货处理，所造成的损失由乙方承担。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4、乙方在合同期内应切实做到：保质保量准时送货。凡所供货物的质量、品种、数量与要求不符时，甲方有权拒收，并由乙方承担由此造成直接经济损失。</w:t>
      </w:r>
      <w:r/>
    </w:p>
    <w:p>
      <w:pPr>
        <w:spacing w:line="360" w:lineRule="auto"/>
        <w:rPr>
          <w:rFonts w:ascii="宋体" w:hAnsi="宋体" w:cs="宋体"/>
          <w:b/>
          <w:sz w:val="24"/>
          <w:szCs w:val="24"/>
        </w:rPr>
      </w:pPr>
      <w:r>
        <w:rPr>
          <w:rFonts w:hint="eastAsia" w:ascii="宋体" w:hAnsi="宋体" w:cs="宋体"/>
          <w:b/>
          <w:sz w:val="24"/>
          <w:szCs w:val="24"/>
        </w:rPr>
        <w:t xml:space="preserve">二、合同价格及结算：</w:t>
      </w:r>
      <w:r/>
    </w:p>
    <w:p>
      <w:pPr>
        <w:ind w:firstLine="482"/>
        <w:spacing w:line="360" w:lineRule="auto"/>
        <w:rPr>
          <w:rFonts w:ascii="宋体" w:hAnsi="宋体" w:cs="宋体"/>
          <w:sz w:val="24"/>
          <w:szCs w:val="24"/>
        </w:rPr>
      </w:pPr>
      <w:r>
        <w:rPr>
          <w:rFonts w:hint="eastAsia" w:ascii="宋体" w:hAnsi="宋体" w:cs="宋体"/>
          <w:bCs/>
          <w:sz w:val="24"/>
          <w:szCs w:val="24"/>
          <w:lang w:bidi="en-US"/>
        </w:rPr>
        <w:t xml:space="preserve">1、本项目</w:t>
      </w:r>
      <w:r>
        <w:rPr>
          <w:rFonts w:hint="eastAsia" w:ascii="宋体" w:hAnsi="宋体" w:cs="宋体"/>
          <w:bCs/>
          <w:sz w:val="24"/>
          <w:szCs w:val="24"/>
        </w:rPr>
        <w:t xml:space="preserve">合同总金额（预算总金额）为</w:t>
      </w:r>
      <w:r>
        <w:rPr>
          <w:rFonts w:hint="eastAsia" w:ascii="宋体" w:hAnsi="宋体" w:cs="宋体"/>
          <w:b/>
          <w:sz w:val="24"/>
          <w:szCs w:val="24"/>
          <w:u w:val="single"/>
        </w:rPr>
        <w:t xml:space="preserve">人民币贰佰玖拾万元整</w:t>
      </w:r>
      <w:r>
        <w:rPr>
          <w:rFonts w:hint="eastAsia" w:ascii="宋体" w:hAnsi="宋体" w:cs="宋体"/>
          <w:b/>
          <w:bCs/>
          <w:sz w:val="24"/>
          <w:szCs w:val="24"/>
          <w:u w:val="single"/>
        </w:rPr>
        <w:t xml:space="preserve">（</w:t>
      </w:r>
      <w:r>
        <w:rPr>
          <w:rFonts w:ascii="宋体" w:hAnsi="宋体" w:cs="宋体"/>
          <w:b/>
          <w:bCs/>
          <w:sz w:val="24"/>
          <w:szCs w:val="24"/>
          <w:u w:val="single"/>
        </w:rPr>
        <w:t xml:space="preserve">¥2900000.00</w:t>
      </w:r>
      <w:r>
        <w:rPr>
          <w:rFonts w:hint="eastAsia" w:ascii="宋体" w:hAnsi="宋体" w:cs="宋体"/>
          <w:b/>
          <w:bCs/>
          <w:sz w:val="24"/>
          <w:szCs w:val="24"/>
          <w:u w:val="single"/>
        </w:rPr>
        <w:t xml:space="preserve"> ）</w:t>
      </w:r>
      <w:r>
        <w:rPr>
          <w:rFonts w:hint="eastAsia" w:ascii="宋体" w:hAnsi="宋体" w:cs="宋体"/>
          <w:sz w:val="24"/>
          <w:szCs w:val="24"/>
        </w:rPr>
        <w:t xml:space="preserve">，合同成交优惠率为</w:t>
      </w:r>
      <w:r>
        <w:rPr>
          <w:rFonts w:hint="eastAsia" w:ascii="宋体" w:hAnsi="宋体" w:cs="宋体"/>
          <w:sz w:val="24"/>
          <w:szCs w:val="24"/>
          <w:u w:val="single"/>
        </w:rPr>
        <w:t xml:space="preserve">    </w:t>
      </w:r>
      <w:r>
        <w:rPr>
          <w:rFonts w:ascii="宋体" w:hAnsi="宋体" w:cs="宋体"/>
          <w:b/>
          <w:sz w:val="24"/>
          <w:szCs w:val="24"/>
          <w:u w:val="single"/>
        </w:rPr>
        <w:t xml:space="preserve">%</w:t>
      </w:r>
      <w:r>
        <w:rPr>
          <w:rFonts w:hint="eastAsia" w:ascii="宋体" w:hAnsi="宋体" w:cs="宋体"/>
          <w:sz w:val="24"/>
          <w:szCs w:val="24"/>
        </w:rPr>
        <w:t xml:space="preserve">。费用</w:t>
      </w:r>
      <w:r>
        <w:rPr>
          <w:rFonts w:ascii="宋体" w:hAnsi="宋体" w:cs="宋体"/>
          <w:sz w:val="24"/>
        </w:rPr>
        <w:t xml:space="preserve">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w:t>
      </w:r>
      <w:r>
        <w:rPr>
          <w:rFonts w:hint="eastAsia" w:ascii="宋体" w:hAnsi="宋体" w:cs="宋体"/>
          <w:sz w:val="24"/>
        </w:rPr>
        <w:t xml:space="preserve">乙方</w:t>
      </w:r>
      <w:r>
        <w:rPr>
          <w:rFonts w:ascii="宋体" w:hAnsi="宋体" w:cs="宋体"/>
          <w:sz w:val="24"/>
        </w:rPr>
        <w:t xml:space="preserve">不得再要求追加任何费用。同时，除非合同条款中另有规定，否则，</w:t>
      </w:r>
      <w:r>
        <w:rPr>
          <w:rFonts w:hint="eastAsia" w:ascii="宋体" w:hAnsi="宋体" w:cs="宋体"/>
          <w:sz w:val="24"/>
        </w:rPr>
        <w:t xml:space="preserve">乙方</w:t>
      </w:r>
      <w:r>
        <w:rPr>
          <w:rFonts w:ascii="宋体" w:hAnsi="宋体" w:cs="宋体"/>
          <w:sz w:val="24"/>
        </w:rPr>
        <w:t xml:space="preserve">所报价格在合同实施期间不因市场变化因素而变动。</w:t>
      </w:r>
      <w:r/>
    </w:p>
    <w:p>
      <w:pPr>
        <w:ind w:firstLine="480"/>
        <w:spacing w:line="360" w:lineRule="auto"/>
        <w:rPr>
          <w:rFonts w:ascii="宋体" w:hAnsi="宋体"/>
          <w:bCs/>
          <w:sz w:val="24"/>
          <w:szCs w:val="24"/>
        </w:rPr>
      </w:pPr>
      <w:r>
        <w:rPr>
          <w:rFonts w:hint="eastAsia" w:ascii="宋体" w:hAnsi="宋体"/>
          <w:bCs/>
          <w:sz w:val="24"/>
          <w:szCs w:val="24"/>
          <w:lang w:bidi="en-US"/>
        </w:rPr>
        <w:t xml:space="preserve">2、价格结算：结算价=苏州发展和改革委员会官网上公布的当日“苏州市部分农贸市场零售均价”×（1-成交优惠率），在项目服务期间，如需配送苏州市发展和改革委员会官网未公布价格的品类，其价格</w:t>
      </w:r>
      <w:r>
        <w:rPr>
          <w:rFonts w:hint="eastAsia" w:ascii="宋体" w:hAnsi="宋体" w:cs="宋体"/>
          <w:sz w:val="24"/>
          <w:szCs w:val="24"/>
        </w:rPr>
        <w:t xml:space="preserve">按照大型超市当日零售价×（1-成交优惠率）结算。</w:t>
      </w:r>
      <w:r/>
    </w:p>
    <w:p>
      <w:pPr>
        <w:pStyle w:val="952"/>
        <w:ind w:firstLine="480"/>
        <w:spacing w:line="360" w:lineRule="auto"/>
        <w:rPr>
          <w:rFonts w:cs="宋体"/>
          <w:sz w:val="24"/>
          <w:szCs w:val="24"/>
        </w:rPr>
      </w:pPr>
      <w:r>
        <w:rPr>
          <w:rFonts w:hint="eastAsia" w:cs="宋体"/>
          <w:bCs/>
          <w:sz w:val="24"/>
          <w:szCs w:val="24"/>
        </w:rPr>
        <w:t xml:space="preserve">3、付款方式：</w:t>
      </w:r>
      <w:r>
        <w:rPr>
          <w:rFonts w:hint="eastAsia" w:cs="宋体"/>
          <w:bCs/>
          <w:sz w:val="24"/>
          <w:szCs w:val="24"/>
        </w:rPr>
        <w:t xml:space="preserve">根据考核情况</w:t>
      </w:r>
      <w:r>
        <w:rPr>
          <w:rFonts w:hint="eastAsia"/>
          <w:sz w:val="24"/>
          <w:szCs w:val="24"/>
        </w:rPr>
        <w:t xml:space="preserve">，</w:t>
      </w:r>
      <w:r>
        <w:rPr>
          <w:rFonts w:hint="eastAsia"/>
          <w:sz w:val="24"/>
          <w:szCs w:val="24"/>
        </w:rPr>
        <w:t xml:space="preserve">甲方</w:t>
      </w:r>
      <w:r>
        <w:rPr>
          <w:rFonts w:hint="eastAsia" w:cs="宋体"/>
          <w:bCs/>
          <w:sz w:val="24"/>
          <w:szCs w:val="24"/>
        </w:rPr>
        <w:t xml:space="preserve">每次</w:t>
      </w:r>
      <w:r>
        <w:rPr>
          <w:rFonts w:cs="宋体"/>
          <w:bCs/>
          <w:sz w:val="24"/>
          <w:szCs w:val="24"/>
        </w:rPr>
        <w:t xml:space="preserve">在下月向乙方付清上月发生的货款</w:t>
      </w:r>
      <w:r>
        <w:rPr>
          <w:rFonts w:hint="eastAsia" w:cs="宋体"/>
          <w:bCs/>
          <w:sz w:val="24"/>
          <w:szCs w:val="24"/>
        </w:rPr>
        <w:t xml:space="preserve">。合同签订后5个工作日内，甲方向乙方支付合同金额的10%作为项目预付款，</w:t>
      </w:r>
      <w:r>
        <w:rPr>
          <w:rFonts w:hint="eastAsia" w:cs="宋体"/>
          <w:sz w:val="24"/>
          <w:szCs w:val="24"/>
        </w:rPr>
        <w:t xml:space="preserve">前期的供货费用从预付款扣除，甲方不另行支付，预付款价格供清后供货价格每月结算一次，按合同约定，所有货物均按实结算，</w:t>
      </w:r>
      <w:r>
        <w:rPr>
          <w:rFonts w:cs="宋体"/>
          <w:sz w:val="24"/>
          <w:szCs w:val="24"/>
        </w:rPr>
        <w:t xml:space="preserve">凭合法有效票据通过银行转账支付</w:t>
      </w:r>
      <w:r>
        <w:rPr>
          <w:rFonts w:hint="eastAsia" w:cs="宋体"/>
          <w:sz w:val="24"/>
          <w:szCs w:val="24"/>
        </w:rPr>
        <w:t xml:space="preserve">。当采购结算费用达到采购预算总价</w:t>
      </w:r>
      <w:r>
        <w:rPr>
          <w:rFonts w:hint="eastAsia" w:cs="仿宋_GB2312"/>
          <w:sz w:val="24"/>
          <w:szCs w:val="24"/>
        </w:rPr>
        <w:t xml:space="preserve">(</w:t>
      </w:r>
      <w:r>
        <w:rPr>
          <w:rFonts w:hint="eastAsia" w:cs="宋体"/>
          <w:sz w:val="24"/>
          <w:szCs w:val="24"/>
        </w:rPr>
        <w:t xml:space="preserve">¥2900000.00</w:t>
      </w:r>
      <w:r>
        <w:rPr>
          <w:rFonts w:hint="eastAsia" w:cs="仿宋_GB2312"/>
          <w:sz w:val="24"/>
          <w:szCs w:val="24"/>
        </w:rPr>
        <w:t xml:space="preserve">)时，此项目服务终止</w:t>
      </w:r>
      <w:r>
        <w:rPr>
          <w:rFonts w:cs="宋体"/>
          <w:sz w:val="24"/>
          <w:szCs w:val="24"/>
        </w:rPr>
        <w:t xml:space="preserve">。</w:t>
      </w:r>
      <w:r/>
    </w:p>
    <w:p>
      <w:pPr>
        <w:pStyle w:val="952"/>
        <w:ind w:firstLine="480"/>
        <w:spacing w:line="360" w:lineRule="auto"/>
        <w:rPr>
          <w:rFonts w:cs="宋体"/>
          <w:bCs/>
          <w:sz w:val="24"/>
          <w:szCs w:val="24"/>
        </w:rPr>
      </w:pPr>
      <w:r>
        <w:rPr>
          <w:rFonts w:hint="eastAsia" w:cs="宋体"/>
          <w:bCs/>
          <w:sz w:val="24"/>
          <w:szCs w:val="24"/>
        </w:rPr>
        <w:t xml:space="preserve">在签订合同时，乙方明确表示无需预付款或者主动要求降低预付款比例的，甲方可不适用上述关于预付款的规定。</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、乙方要求付款时应提供以下资料：（1）合格的发票；（2）其他（若有）。</w:t>
      </w:r>
      <w:r/>
    </w:p>
    <w:p>
      <w:pPr>
        <w:ind w:firstLine="480"/>
        <w:spacing w:line="360" w:lineRule="auto"/>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、支付方式：银行转帐。</w:t>
      </w:r>
      <w:r/>
    </w:p>
    <w:p>
      <w:pPr>
        <w:ind w:firstLine="480"/>
        <w:spacing w:line="360" w:lineRule="auto"/>
        <w:rPr>
          <w:rFonts w:ascii="宋体" w:hAnsi="宋体" w:cs="宋体"/>
          <w:bCs/>
          <w:sz w:val="24"/>
          <w:szCs w:val="24"/>
        </w:rPr>
      </w:pPr>
      <w:r/>
      <w:bookmarkStart w:id="28" w:name="auto_fouce_5"/>
      <w:r>
        <w:rPr>
          <w:rFonts w:ascii="宋体" w:hAnsi="宋体" w:cs="宋体"/>
          <w:bCs/>
          <w:sz w:val="24"/>
          <w:szCs w:val="24"/>
        </w:rPr>
        <w:t xml:space="preserve">6</w:t>
      </w:r>
      <w:r>
        <w:rPr>
          <w:rFonts w:hint="eastAsia" w:ascii="宋体" w:hAnsi="宋体" w:cs="宋体"/>
          <w:bCs/>
          <w:sz w:val="24"/>
          <w:szCs w:val="24"/>
        </w:rPr>
        <w:t xml:space="preserve">、乙方银行开户信息：</w:t>
      </w:r>
      <w:r/>
    </w:p>
    <w:p>
      <w:pPr>
        <w:ind w:firstLine="480"/>
        <w:spacing w:line="360" w:lineRule="auto"/>
        <w:rPr>
          <w:rFonts w:ascii="宋体" w:hAnsi="宋体" w:cs="宋体"/>
          <w:bCs/>
          <w:sz w:val="24"/>
          <w:szCs w:val="24"/>
        </w:rPr>
      </w:pPr>
      <w:r>
        <w:rPr>
          <w:rFonts w:hint="eastAsia" w:ascii="宋体" w:hAnsi="宋体" w:cs="宋体"/>
          <w:bCs/>
          <w:sz w:val="24"/>
          <w:szCs w:val="24"/>
        </w:rPr>
        <w:t xml:space="preserve">乙方账号名称：</w:t>
      </w:r>
      <w:r/>
    </w:p>
    <w:p>
      <w:pPr>
        <w:ind w:firstLine="480"/>
        <w:spacing w:line="360" w:lineRule="auto"/>
        <w:rPr>
          <w:rFonts w:ascii="宋体" w:hAnsi="宋体" w:cs="宋体"/>
          <w:bCs/>
          <w:sz w:val="24"/>
          <w:szCs w:val="24"/>
        </w:rPr>
      </w:pPr>
      <w:r>
        <w:rPr>
          <w:rFonts w:hint="eastAsia" w:ascii="宋体" w:hAnsi="宋体" w:cs="宋体"/>
          <w:bCs/>
          <w:sz w:val="24"/>
          <w:szCs w:val="24"/>
        </w:rPr>
        <w:t xml:space="preserve">银行账号：</w:t>
      </w:r>
      <w:r/>
    </w:p>
    <w:p>
      <w:pPr>
        <w:ind w:firstLine="480"/>
        <w:spacing w:line="360" w:lineRule="auto"/>
        <w:rPr>
          <w:rFonts w:ascii="宋体" w:hAnsi="宋体" w:cs="宋体"/>
          <w:bCs/>
          <w:sz w:val="24"/>
          <w:szCs w:val="24"/>
        </w:rPr>
      </w:pPr>
      <w:r>
        <w:rPr>
          <w:rFonts w:hint="eastAsia" w:ascii="宋体" w:hAnsi="宋体" w:cs="宋体"/>
          <w:bCs/>
          <w:sz w:val="24"/>
          <w:szCs w:val="24"/>
        </w:rPr>
        <w:t xml:space="preserve">银行开户行：</w:t>
      </w:r>
      <w:r/>
    </w:p>
    <w:p>
      <w:pPr>
        <w:ind w:firstLine="480"/>
        <w:spacing w:line="360" w:lineRule="auto"/>
        <w:rPr>
          <w:rFonts w:ascii="宋体" w:hAnsi="宋体" w:cs="宋体"/>
          <w:bCs/>
          <w:sz w:val="24"/>
          <w:szCs w:val="24"/>
        </w:rPr>
      </w:pPr>
      <w:r>
        <w:rPr>
          <w:rFonts w:hint="eastAsia" w:ascii="宋体" w:hAnsi="宋体" w:cs="宋体"/>
          <w:bCs/>
          <w:sz w:val="24"/>
          <w:szCs w:val="24"/>
        </w:rPr>
        <w:t xml:space="preserve">乙方承诺上述银行信息真实有效。如有变更，乙方应至少提前</w:t>
      </w:r>
      <w:r>
        <w:rPr>
          <w:rFonts w:ascii="宋体" w:hAnsi="宋体" w:cs="宋体"/>
          <w:bCs/>
          <w:sz w:val="24"/>
          <w:szCs w:val="24"/>
        </w:rPr>
        <w:t xml:space="preserve">5个工作日以书面形式通知甲方，否则因此造成的一切损失由乙方承担。</w:t>
      </w:r>
      <w:bookmarkEnd w:id="28"/>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sz w:val="24"/>
          <w:szCs w:val="24"/>
        </w:rPr>
      </w:pPr>
      <w:r>
        <w:rPr>
          <w:rFonts w:hint="eastAsia" w:ascii="宋体" w:hAnsi="宋体" w:cs="宋体"/>
          <w:b/>
          <w:sz w:val="24"/>
          <w:szCs w:val="24"/>
        </w:rPr>
        <w:t xml:space="preserve">三、服务地点：甲方指定地点。</w:t>
      </w:r>
      <w:r/>
    </w:p>
    <w:p>
      <w:pPr>
        <w:spacing w:line="360" w:lineRule="auto"/>
        <w:rPr>
          <w:rFonts w:ascii="宋体" w:hAnsi="宋体" w:cs="宋体"/>
          <w:b/>
          <w:sz w:val="24"/>
          <w:szCs w:val="24"/>
        </w:rPr>
      </w:pPr>
      <w:r>
        <w:rPr>
          <w:rFonts w:hint="eastAsia" w:ascii="宋体" w:hAnsi="宋体" w:cs="宋体"/>
          <w:b/>
          <w:sz w:val="24"/>
          <w:szCs w:val="24"/>
        </w:rPr>
        <w:t xml:space="preserve">四、</w:t>
      </w:r>
      <w:r>
        <w:rPr>
          <w:rFonts w:hint="eastAsia" w:ascii="宋体" w:hAnsi="宋体" w:cs="宋体"/>
          <w:b/>
          <w:sz w:val="24"/>
          <w:szCs w:val="24"/>
        </w:rPr>
        <w:t xml:space="preserve">合同履行</w:t>
      </w:r>
      <w:r>
        <w:rPr>
          <w:rFonts w:hint="eastAsia" w:ascii="宋体" w:hAnsi="宋体" w:cs="宋体"/>
          <w:b/>
          <w:sz w:val="24"/>
          <w:szCs w:val="24"/>
        </w:rPr>
        <w:t xml:space="preserve">期限：合同签订生效后一年或合同结算金额达到预算为止（具体根据甲方要求）</w:t>
      </w:r>
      <w:r/>
    </w:p>
    <w:p>
      <w:pPr>
        <w:pStyle w:val="961"/>
        <w:spacing w:line="360" w:lineRule="auto"/>
        <w:rPr>
          <w:rFonts w:hAnsi="宋体" w:eastAsia="宋体"/>
          <w:b/>
          <w:sz w:val="24"/>
          <w:szCs w:val="24"/>
        </w:rPr>
      </w:pPr>
      <w:r>
        <w:rPr>
          <w:rFonts w:hint="eastAsia" w:hAnsi="宋体" w:eastAsia="宋体" w:cs="宋体"/>
          <w:b/>
          <w:bCs/>
          <w:sz w:val="24"/>
          <w:szCs w:val="24"/>
        </w:rPr>
        <w:t xml:space="preserve">六、</w:t>
      </w:r>
      <w:r>
        <w:rPr>
          <w:rFonts w:hint="eastAsia" w:hAnsi="宋体" w:eastAsia="宋体"/>
          <w:b/>
          <w:sz w:val="24"/>
          <w:szCs w:val="24"/>
        </w:rPr>
        <w:t xml:space="preserve">甲乙双方权利、义务：</w:t>
      </w:r>
      <w:r/>
    </w:p>
    <w:p>
      <w:pPr>
        <w:pStyle w:val="961"/>
        <w:ind w:firstLine="480"/>
        <w:spacing w:line="360" w:lineRule="auto"/>
        <w:rPr>
          <w:rFonts w:hAnsi="宋体" w:eastAsia="宋体"/>
          <w:sz w:val="24"/>
          <w:szCs w:val="24"/>
        </w:rPr>
      </w:pPr>
      <w:r>
        <w:rPr>
          <w:rFonts w:hint="eastAsia" w:hAnsi="宋体" w:eastAsia="宋体"/>
          <w:sz w:val="24"/>
          <w:szCs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退货或换货金额的两倍。</w:t>
      </w:r>
      <w:r/>
    </w:p>
    <w:p>
      <w:pPr>
        <w:pStyle w:val="961"/>
        <w:ind w:firstLine="480"/>
        <w:spacing w:line="360" w:lineRule="auto"/>
        <w:rPr>
          <w:rFonts w:hAnsi="宋体" w:eastAsia="宋体"/>
          <w:sz w:val="24"/>
          <w:szCs w:val="24"/>
        </w:rPr>
      </w:pPr>
      <w:r>
        <w:rPr>
          <w:rFonts w:hint="eastAsia" w:hAnsi="宋体" w:eastAsia="宋体"/>
          <w:sz w:val="24"/>
          <w:szCs w:val="24"/>
        </w:rPr>
        <w:t xml:space="preserve">2、乙方必须持有食品经营许可证、工商营业执照以及其他相关证照，且经营状况良好。</w:t>
      </w:r>
      <w:r/>
    </w:p>
    <w:p>
      <w:pPr>
        <w:pStyle w:val="961"/>
        <w:ind w:firstLine="480"/>
        <w:spacing w:line="360" w:lineRule="auto"/>
        <w:rPr>
          <w:rFonts w:hAnsi="宋体" w:eastAsia="宋体"/>
          <w:sz w:val="24"/>
          <w:szCs w:val="24"/>
        </w:rPr>
      </w:pPr>
      <w:r>
        <w:rPr>
          <w:rFonts w:hint="eastAsia" w:hAnsi="宋体" w:eastAsia="宋体"/>
          <w:sz w:val="24"/>
          <w:szCs w:val="24"/>
        </w:rPr>
        <w:t xml:space="preserve">3、乙方在供货时不得提供以下食品：</w:t>
      </w:r>
      <w:r/>
    </w:p>
    <w:p>
      <w:pPr>
        <w:pStyle w:val="961"/>
        <w:ind w:firstLine="480"/>
        <w:spacing w:line="360" w:lineRule="auto"/>
        <w:rPr>
          <w:rFonts w:hAnsi="宋体" w:eastAsia="宋体"/>
          <w:sz w:val="24"/>
          <w:szCs w:val="24"/>
        </w:rPr>
      </w:pPr>
      <w:r>
        <w:rPr>
          <w:rFonts w:hint="eastAsia" w:hAnsi="宋体" w:eastAsia="宋体"/>
          <w:sz w:val="24"/>
          <w:szCs w:val="24"/>
        </w:rPr>
        <w:t xml:space="preserve">(1)无品名、产地、厂名、生产日期、保质期与中文标识及原料说明的定型包装食品。由甲方负责质量把关。</w:t>
      </w:r>
      <w:r/>
    </w:p>
    <w:p>
      <w:pPr>
        <w:pStyle w:val="961"/>
        <w:ind w:firstLine="480"/>
        <w:spacing w:line="360" w:lineRule="auto"/>
        <w:rPr>
          <w:rFonts w:hAnsi="宋体" w:eastAsia="宋体"/>
          <w:sz w:val="24"/>
          <w:szCs w:val="24"/>
        </w:rPr>
      </w:pPr>
      <w:r>
        <w:rPr>
          <w:rFonts w:hint="eastAsia" w:hAnsi="宋体" w:eastAsia="宋体"/>
          <w:sz w:val="24"/>
          <w:szCs w:val="24"/>
        </w:rPr>
        <w:t xml:space="preserve">(2)超过保质期限或不符合食品标签规定的定型包装食品。</w:t>
      </w:r>
      <w:r/>
    </w:p>
    <w:p>
      <w:pPr>
        <w:pStyle w:val="961"/>
        <w:ind w:firstLine="480"/>
        <w:spacing w:line="360" w:lineRule="auto"/>
        <w:rPr>
          <w:rFonts w:hAnsi="宋体" w:eastAsia="宋体"/>
          <w:sz w:val="24"/>
          <w:szCs w:val="24"/>
        </w:rPr>
      </w:pPr>
      <w:r>
        <w:rPr>
          <w:rFonts w:hint="eastAsia" w:hAnsi="宋体" w:eastAsia="宋体"/>
          <w:sz w:val="24"/>
          <w:szCs w:val="24"/>
        </w:rPr>
        <w:t xml:space="preserve">(3)腐败变质、油脂酸败、霉变、生虫、污秽不洁、混有异物或者其他感官性状异常，含毒、有害物质污染，可能对人体健康有害的食品。</w:t>
      </w:r>
      <w:r/>
    </w:p>
    <w:p>
      <w:pPr>
        <w:pStyle w:val="961"/>
        <w:ind w:firstLine="480"/>
        <w:spacing w:line="360" w:lineRule="auto"/>
        <w:rPr>
          <w:rFonts w:hAnsi="宋体" w:eastAsia="宋体"/>
          <w:sz w:val="24"/>
          <w:szCs w:val="24"/>
        </w:rPr>
      </w:pPr>
      <w:r>
        <w:rPr>
          <w:rFonts w:hint="eastAsia" w:hAnsi="宋体" w:eastAsia="宋体"/>
          <w:sz w:val="24"/>
          <w:szCs w:val="24"/>
        </w:rPr>
        <w:t xml:space="preserve">(4)滥用食品添加剂、农药残留超标的水果等。</w:t>
      </w:r>
      <w:r/>
    </w:p>
    <w:p>
      <w:pPr>
        <w:pStyle w:val="961"/>
        <w:ind w:firstLine="480"/>
        <w:spacing w:line="360" w:lineRule="auto"/>
        <w:rPr>
          <w:rFonts w:hAnsi="宋体" w:eastAsia="宋体"/>
          <w:sz w:val="24"/>
          <w:szCs w:val="24"/>
        </w:rPr>
      </w:pPr>
      <w:r>
        <w:rPr>
          <w:rFonts w:hint="eastAsia" w:hAnsi="宋体" w:eastAsia="宋体"/>
          <w:sz w:val="24"/>
          <w:szCs w:val="24"/>
        </w:rPr>
        <w:t xml:space="preserve">5、乙方必须根据甲方提出的食品、品牌、规格、数量和质量要求送货，并在甲方规定的时间内及时送达甲方指定地点。不按规定时间及地点送达的，将罚款并承担违约责任。</w:t>
      </w:r>
      <w:r/>
    </w:p>
    <w:p>
      <w:pPr>
        <w:pStyle w:val="961"/>
        <w:ind w:firstLine="480"/>
        <w:spacing w:line="360" w:lineRule="auto"/>
        <w:rPr>
          <w:rFonts w:hAnsi="宋体" w:eastAsia="宋体"/>
          <w:sz w:val="24"/>
          <w:szCs w:val="24"/>
        </w:rPr>
      </w:pPr>
      <w:r>
        <w:rPr>
          <w:rFonts w:hint="eastAsia" w:hAnsi="宋体" w:eastAsia="宋体"/>
          <w:sz w:val="24"/>
          <w:szCs w:val="24"/>
        </w:rPr>
        <w:t xml:space="preserve">6、如乙方不按规定结算，擅自涨价，乙方应向甲方退回涨价部分金额。</w:t>
      </w:r>
      <w:r/>
    </w:p>
    <w:p>
      <w:pPr>
        <w:pStyle w:val="961"/>
        <w:ind w:firstLine="480"/>
        <w:spacing w:line="360" w:lineRule="auto"/>
        <w:rPr>
          <w:rFonts w:hAnsi="宋体" w:eastAsia="宋体"/>
          <w:sz w:val="24"/>
          <w:szCs w:val="24"/>
        </w:rPr>
      </w:pPr>
      <w:r>
        <w:rPr>
          <w:rFonts w:hint="eastAsia" w:hAnsi="宋体" w:eastAsia="宋体"/>
          <w:sz w:val="24"/>
          <w:szCs w:val="24"/>
        </w:rPr>
        <w:t xml:space="preserve">7、因乙方所供应食品的质量问题引起甲方员工食物中毒等食源性疾病的发生或其他事故由乙方负全部责任，并承担由此引起的全部经济损失及相应的法律责任。</w:t>
      </w:r>
      <w:r/>
    </w:p>
    <w:p>
      <w:pPr>
        <w:pStyle w:val="961"/>
        <w:ind w:firstLine="480"/>
        <w:spacing w:line="360" w:lineRule="auto"/>
        <w:rPr>
          <w:rFonts w:hAnsi="宋体" w:eastAsia="宋体"/>
          <w:sz w:val="24"/>
          <w:szCs w:val="24"/>
        </w:rPr>
      </w:pPr>
      <w:r/>
      <w:bookmarkStart w:id="29" w:name="OLE_LINK8"/>
      <w:r/>
      <w:bookmarkStart w:id="30" w:name="OLE_LINK9"/>
      <w:r>
        <w:rPr>
          <w:rFonts w:hint="eastAsia" w:hAnsi="宋体" w:eastAsia="宋体"/>
          <w:sz w:val="24"/>
          <w:szCs w:val="24"/>
        </w:rPr>
        <w:t xml:space="preserve">8、</w:t>
      </w:r>
      <w:r>
        <w:rPr>
          <w:rFonts w:hint="eastAsia" w:hAnsi="宋体" w:eastAsia="宋体" w:cs="宋体"/>
          <w:sz w:val="24"/>
        </w:rPr>
        <w:t xml:space="preserve">如因供货问题造成食堂无法正常运行的，</w:t>
      </w:r>
      <w:r>
        <w:rPr>
          <w:rFonts w:hint="eastAsia" w:hAnsi="宋体" w:eastAsia="宋体"/>
          <w:sz w:val="24"/>
          <w:szCs w:val="24"/>
        </w:rPr>
        <w:t xml:space="preserve">乙方</w:t>
      </w:r>
      <w:r>
        <w:rPr>
          <w:rFonts w:hint="eastAsia" w:hAnsi="宋体" w:eastAsia="宋体" w:cs="宋体"/>
          <w:sz w:val="24"/>
        </w:rPr>
        <w:t xml:space="preserve">应根据合同承担相应赔偿责任；经核实如</w:t>
      </w:r>
      <w:r>
        <w:rPr>
          <w:rFonts w:hint="eastAsia" w:hAnsi="宋体" w:eastAsia="宋体"/>
          <w:sz w:val="24"/>
          <w:szCs w:val="24"/>
        </w:rPr>
        <w:t xml:space="preserve">乙方</w:t>
      </w:r>
      <w:r>
        <w:rPr>
          <w:rFonts w:hint="eastAsia" w:hAnsi="宋体" w:eastAsia="宋体" w:cs="宋体"/>
          <w:sz w:val="24"/>
        </w:rPr>
        <w:t xml:space="preserve">提供非法渠道的食品，视为欺诈，</w:t>
      </w:r>
      <w:r>
        <w:rPr>
          <w:rFonts w:hint="eastAsia" w:hAnsi="宋体" w:eastAsia="宋体"/>
          <w:sz w:val="24"/>
          <w:szCs w:val="24"/>
        </w:rPr>
        <w:t xml:space="preserve">乙方</w:t>
      </w:r>
      <w:r>
        <w:rPr>
          <w:rFonts w:hint="eastAsia" w:hAnsi="宋体" w:eastAsia="宋体" w:cs="宋体"/>
          <w:sz w:val="24"/>
        </w:rPr>
        <w:t xml:space="preserve">要承担商品价值双倍的赔偿，并依据现行的国家法律法规追究其他责任，并连带追究所投产品生产企业的责任。</w:t>
      </w:r>
      <w:bookmarkEnd w:id="29"/>
      <w:r/>
      <w:bookmarkEnd w:id="30"/>
      <w:r/>
      <w:r/>
    </w:p>
    <w:p>
      <w:pPr>
        <w:pStyle w:val="961"/>
        <w:ind w:firstLine="480"/>
        <w:spacing w:line="360" w:lineRule="auto"/>
        <w:rPr>
          <w:rFonts w:hAnsi="宋体" w:eastAsia="宋体"/>
          <w:sz w:val="24"/>
          <w:szCs w:val="24"/>
        </w:rPr>
      </w:pPr>
      <w:r>
        <w:rPr>
          <w:rFonts w:hint="eastAsia" w:hAnsi="宋体" w:eastAsia="宋体"/>
          <w:sz w:val="24"/>
          <w:szCs w:val="24"/>
        </w:rPr>
        <w:t xml:space="preserve">9、甲方食堂所用食品按采购文件采购范围全部由乙方供应，甲方在协议期内一般不得另行采购。(特殊情况除外)</w:t>
      </w:r>
      <w:r/>
    </w:p>
    <w:p>
      <w:pPr>
        <w:pStyle w:val="961"/>
        <w:ind w:firstLine="480"/>
        <w:spacing w:line="360" w:lineRule="auto"/>
        <w:rPr>
          <w:rFonts w:hAnsi="宋体" w:eastAsia="宋体"/>
          <w:sz w:val="24"/>
          <w:szCs w:val="24"/>
        </w:rPr>
      </w:pPr>
      <w:r>
        <w:rPr>
          <w:rFonts w:hint="eastAsia" w:hAnsi="宋体" w:eastAsia="宋体"/>
          <w:sz w:val="24"/>
          <w:szCs w:val="24"/>
        </w:rPr>
        <w:t xml:space="preserve">10、甲方在隔月向乙方付清前一个月发生的货款，不得拖欠。</w:t>
      </w:r>
      <w:r/>
    </w:p>
    <w:p>
      <w:pPr>
        <w:pStyle w:val="961"/>
        <w:ind w:firstLine="480"/>
        <w:spacing w:line="360" w:lineRule="auto"/>
        <w:rPr>
          <w:rFonts w:hAnsi="宋体" w:eastAsia="宋体"/>
          <w:sz w:val="24"/>
          <w:szCs w:val="24"/>
        </w:rPr>
      </w:pPr>
      <w:r>
        <w:rPr>
          <w:rFonts w:hint="eastAsia" w:hAnsi="宋体" w:eastAsia="宋体"/>
          <w:sz w:val="24"/>
          <w:szCs w:val="24"/>
        </w:rPr>
        <w:t xml:space="preserve">11、甲方建立食品索证制度及食品验收制度，向乙方索取食品的检验合格证或者检验报告，并进行验收。做好索证登记工作，加强食品库房管理。</w:t>
      </w:r>
      <w:r/>
    </w:p>
    <w:p>
      <w:pPr>
        <w:pStyle w:val="961"/>
        <w:ind w:firstLine="480"/>
        <w:spacing w:line="360" w:lineRule="auto"/>
        <w:rPr>
          <w:rFonts w:hAnsi="宋体" w:eastAsia="宋体"/>
          <w:sz w:val="24"/>
          <w:szCs w:val="24"/>
        </w:rPr>
      </w:pPr>
      <w:r>
        <w:rPr>
          <w:rFonts w:hint="eastAsia" w:hAnsi="宋体" w:eastAsia="宋体"/>
          <w:sz w:val="24"/>
          <w:szCs w:val="24"/>
        </w:rPr>
        <w:t xml:space="preserve">12、若甲方有特殊情况需临时要求供货，乙方须按照投标文件中承诺的应急预案执行，并在甲方规定的合理时间内能送货至甲方指定地点。</w:t>
      </w:r>
      <w:r/>
    </w:p>
    <w:p>
      <w:pPr>
        <w:pStyle w:val="961"/>
        <w:ind w:firstLine="480"/>
        <w:spacing w:line="360" w:lineRule="auto"/>
        <w:rPr>
          <w:rFonts w:hAnsi="宋体" w:eastAsia="宋体"/>
          <w:sz w:val="24"/>
          <w:szCs w:val="24"/>
        </w:rPr>
      </w:pPr>
      <w:r>
        <w:rPr>
          <w:rFonts w:hint="eastAsia" w:hAnsi="宋体" w:eastAsia="宋体"/>
          <w:sz w:val="24"/>
          <w:szCs w:val="24"/>
        </w:rPr>
        <w:t xml:space="preserve">13、因重大责任事故，取消配送资格的供应商，不得继续为甲方提供所有物质的配送，已签订的合同双方协商解除。为避免甲方用餐情况发生中断，则由预成交排名第二顺位的供应商继续提供食堂物质配送，以保证甲方正常用餐情况。</w:t>
      </w:r>
      <w:r/>
    </w:p>
    <w:p>
      <w:pPr>
        <w:pStyle w:val="961"/>
        <w:ind w:firstLine="480"/>
        <w:spacing w:line="360" w:lineRule="auto"/>
        <w:rPr>
          <w:rFonts w:hAnsi="宋体" w:eastAsia="宋体"/>
          <w:sz w:val="24"/>
          <w:szCs w:val="24"/>
        </w:rPr>
      </w:pPr>
      <w:r>
        <w:rPr>
          <w:rFonts w:hint="eastAsia" w:hAnsi="宋体" w:eastAsia="宋体"/>
          <w:sz w:val="24"/>
          <w:szCs w:val="24"/>
        </w:rPr>
        <w:t xml:space="preserve">14、甲、乙双方均自觉遵守国家有关法律、法规。</w:t>
      </w:r>
      <w:r/>
    </w:p>
    <w:p>
      <w:pPr>
        <w:pStyle w:val="961"/>
        <w:ind w:firstLine="480"/>
        <w:spacing w:line="360" w:lineRule="auto"/>
        <w:rPr>
          <w:rFonts w:hAnsi="宋体" w:eastAsia="宋体" w:cs="宋体"/>
          <w:bCs/>
          <w:sz w:val="24"/>
          <w:szCs w:val="24"/>
        </w:rPr>
      </w:pPr>
      <w:r>
        <w:rPr>
          <w:rFonts w:hint="eastAsia" w:hAnsi="宋体" w:eastAsia="宋体"/>
          <w:sz w:val="24"/>
          <w:szCs w:val="24"/>
        </w:rPr>
        <w:t xml:space="preserve">15、如有未尽事宜，则由甲方、乙方另行协商决定。</w:t>
      </w:r>
      <w:r/>
    </w:p>
    <w:p>
      <w:pPr>
        <w:spacing w:line="360" w:lineRule="auto"/>
        <w:rPr>
          <w:rFonts w:ascii="宋体" w:hAnsi="宋体" w:cs="宋体"/>
          <w:b/>
          <w:sz w:val="24"/>
          <w:szCs w:val="24"/>
        </w:rPr>
      </w:pPr>
      <w:r>
        <w:rPr>
          <w:rFonts w:hint="eastAsia" w:ascii="宋体" w:hAnsi="宋体" w:cs="宋体"/>
          <w:b/>
          <w:sz w:val="24"/>
          <w:szCs w:val="24"/>
        </w:rPr>
        <w:t xml:space="preserve">七、违约责任：</w:t>
      </w:r>
      <w:r/>
    </w:p>
    <w:p>
      <w:pPr>
        <w:pStyle w:val="961"/>
        <w:ind w:firstLine="480"/>
        <w:spacing w:line="360" w:lineRule="auto"/>
        <w:rPr>
          <w:rFonts w:hAnsi="宋体" w:eastAsia="宋体"/>
          <w:sz w:val="24"/>
          <w:szCs w:val="24"/>
        </w:rPr>
      </w:pPr>
      <w:r>
        <w:rPr>
          <w:rFonts w:hint="eastAsia" w:hAnsi="宋体" w:eastAsia="宋体"/>
          <w:sz w:val="24"/>
          <w:szCs w:val="24"/>
        </w:rPr>
        <w:t xml:space="preserve">1、乙方违反以上协议或有以下情况发生，甲方有权中止乙方的供货商资格。</w:t>
      </w:r>
      <w:r/>
    </w:p>
    <w:p>
      <w:pPr>
        <w:pStyle w:val="961"/>
        <w:ind w:firstLine="480"/>
        <w:spacing w:line="360" w:lineRule="auto"/>
        <w:rPr>
          <w:rFonts w:hAnsi="宋体" w:eastAsia="宋体"/>
          <w:sz w:val="24"/>
          <w:szCs w:val="24"/>
        </w:rPr>
      </w:pPr>
      <w:r>
        <w:rPr>
          <w:rFonts w:hint="eastAsia" w:hAnsi="宋体" w:eastAsia="宋体"/>
          <w:sz w:val="24"/>
          <w:szCs w:val="24"/>
        </w:rPr>
        <w:t xml:space="preserve">（1）商品短斤缺两、以次充好、擅自提价等失误，经整改后仍累计发生三次及以上；</w:t>
      </w:r>
      <w:r/>
    </w:p>
    <w:p>
      <w:pPr>
        <w:pStyle w:val="961"/>
        <w:ind w:firstLine="480"/>
        <w:spacing w:line="360" w:lineRule="auto"/>
        <w:rPr>
          <w:rFonts w:hAnsi="宋体" w:eastAsia="宋体"/>
          <w:sz w:val="24"/>
          <w:szCs w:val="24"/>
        </w:rPr>
      </w:pPr>
      <w:r>
        <w:rPr>
          <w:rFonts w:hint="eastAsia" w:hAnsi="宋体" w:eastAsia="宋体"/>
          <w:sz w:val="24"/>
          <w:szCs w:val="24"/>
        </w:rPr>
        <w:t xml:space="preserve">（2）因商品质量问题退换三次或供货迟到三次及其以上；</w:t>
      </w:r>
      <w:r/>
    </w:p>
    <w:p>
      <w:pPr>
        <w:pStyle w:val="961"/>
        <w:ind w:firstLine="480"/>
        <w:spacing w:line="360" w:lineRule="auto"/>
        <w:rPr>
          <w:rFonts w:hAnsi="宋体" w:eastAsia="宋体"/>
          <w:sz w:val="24"/>
          <w:szCs w:val="24"/>
        </w:rPr>
      </w:pPr>
      <w:r>
        <w:rPr>
          <w:rFonts w:hint="eastAsia" w:hAnsi="宋体" w:eastAsia="宋体"/>
          <w:sz w:val="24"/>
          <w:szCs w:val="24"/>
        </w:rPr>
        <w:t xml:space="preserve">（3）食物中毒等食源性疾病的发生或其他事故。</w:t>
      </w:r>
      <w:r/>
    </w:p>
    <w:p>
      <w:pPr>
        <w:pStyle w:val="961"/>
        <w:ind w:firstLine="480"/>
        <w:spacing w:line="360" w:lineRule="auto"/>
        <w:rPr>
          <w:rFonts w:hAnsi="宋体" w:eastAsia="宋体"/>
          <w:sz w:val="24"/>
          <w:szCs w:val="24"/>
        </w:rPr>
      </w:pPr>
      <w:r>
        <w:rPr>
          <w:rFonts w:hint="eastAsia" w:hAnsi="宋体" w:eastAsia="宋体"/>
          <w:sz w:val="24"/>
          <w:szCs w:val="24"/>
        </w:rPr>
        <w:t xml:space="preserve">（4）在招投标中乙方存在借资质进行招投标行为的。</w:t>
      </w:r>
      <w:r/>
    </w:p>
    <w:p>
      <w:pPr>
        <w:pStyle w:val="961"/>
        <w:ind w:firstLine="480"/>
        <w:spacing w:line="360" w:lineRule="auto"/>
        <w:rPr>
          <w:rFonts w:hAnsi="宋体" w:eastAsia="宋体"/>
          <w:sz w:val="24"/>
          <w:szCs w:val="24"/>
        </w:rPr>
      </w:pPr>
      <w:r>
        <w:rPr>
          <w:rFonts w:hint="eastAsia" w:hAnsi="宋体" w:eastAsia="宋体"/>
          <w:sz w:val="24"/>
          <w:szCs w:val="24"/>
        </w:rPr>
        <w:t xml:space="preserve">2、甲方权利：</w:t>
      </w:r>
      <w:r/>
    </w:p>
    <w:p>
      <w:pPr>
        <w:pStyle w:val="961"/>
        <w:ind w:firstLine="480"/>
        <w:spacing w:line="360" w:lineRule="auto"/>
        <w:rPr>
          <w:rFonts w:hAnsi="宋体" w:eastAsia="宋体"/>
          <w:sz w:val="24"/>
          <w:szCs w:val="24"/>
        </w:rPr>
      </w:pPr>
      <w:r>
        <w:rPr>
          <w:rFonts w:hint="eastAsia" w:hAnsi="宋体" w:eastAsia="宋体"/>
          <w:sz w:val="24"/>
          <w:szCs w:val="24"/>
        </w:rPr>
        <w:t xml:space="preserve">（1）甲乙双方签订合同以后，乙方提出放弃或被取消配送资格的，乙方不得参与下一轮甲方组织的食堂材料供货及配送服务商采购活动；</w:t>
      </w:r>
      <w:r/>
    </w:p>
    <w:p>
      <w:pPr>
        <w:pStyle w:val="961"/>
        <w:ind w:firstLine="480"/>
        <w:spacing w:line="360" w:lineRule="auto"/>
        <w:rPr>
          <w:rFonts w:hAnsi="宋体" w:eastAsia="宋体"/>
          <w:sz w:val="24"/>
          <w:szCs w:val="24"/>
        </w:rPr>
      </w:pPr>
      <w:r>
        <w:rPr>
          <w:rFonts w:hint="eastAsia" w:hAnsi="宋体" w:eastAsia="宋体"/>
          <w:sz w:val="24"/>
          <w:szCs w:val="24"/>
        </w:rPr>
        <w:t xml:space="preserve">（2）取消配送资格的供应商，不得继续为甲方提供所有物质的配送，已签订的合同无效。为避免甲方用餐情况发生中断，则由预成交排名第二顺位的供应商继续提供食堂物质配送，以保证甲方正常用餐情况。</w:t>
      </w:r>
      <w:r/>
    </w:p>
    <w:p>
      <w:pPr>
        <w:pStyle w:val="961"/>
        <w:spacing w:line="360" w:lineRule="auto"/>
        <w:rPr>
          <w:rFonts w:hAnsi="宋体" w:eastAsia="宋体"/>
          <w:b/>
          <w:sz w:val="24"/>
          <w:szCs w:val="24"/>
        </w:rPr>
      </w:pPr>
      <w:r>
        <w:rPr>
          <w:rFonts w:hint="eastAsia" w:hAnsi="宋体" w:eastAsia="宋体" w:cs="宋体"/>
          <w:b/>
          <w:sz w:val="24"/>
          <w:szCs w:val="24"/>
        </w:rPr>
        <w:t xml:space="preserve">八、</w:t>
      </w:r>
      <w:r>
        <w:rPr>
          <w:rFonts w:hint="eastAsia" w:hAnsi="宋体" w:eastAsia="宋体"/>
          <w:b/>
          <w:sz w:val="24"/>
          <w:szCs w:val="24"/>
        </w:rPr>
        <w:t xml:space="preserve">合同的生效：</w:t>
      </w:r>
      <w:r/>
    </w:p>
    <w:p>
      <w:pPr>
        <w:ind w:firstLine="499"/>
        <w:spacing w:line="360" w:lineRule="auto"/>
        <w:rPr>
          <w:rFonts w:ascii="宋体" w:hAnsi="宋体"/>
          <w:sz w:val="24"/>
          <w:szCs w:val="24"/>
        </w:rPr>
      </w:pPr>
      <w:r/>
      <w:bookmarkStart w:id="31" w:name="_Hlk160809803"/>
      <w:r>
        <w:rPr>
          <w:rFonts w:hint="eastAsia" w:ascii="宋体" w:hAnsi="宋体"/>
          <w:sz w:val="24"/>
          <w:szCs w:val="24"/>
        </w:rPr>
        <w:t xml:space="preserve">如甲乙双方通过“苏采云”系统线上签订电子合同的，则本合同自双方在“苏采云”系统中加盖电子印章之日起生效。如甲乙双方签订纸质合同的，则本合同自甲乙双方签章之日起生效。</w:t>
      </w:r>
      <w:bookmarkEnd w:id="31"/>
      <w:r>
        <w:rPr>
          <w:rFonts w:hint="eastAsia" w:ascii="宋体" w:hAnsi="宋体"/>
          <w:sz w:val="24"/>
          <w:szCs w:val="24"/>
        </w:rPr>
        <w:t xml:space="preserve">签订后2个工作日内须在苏州政府采购网上公示。</w:t>
      </w:r>
      <w:r/>
    </w:p>
    <w:p>
      <w:pPr>
        <w:pStyle w:val="961"/>
        <w:spacing w:line="360" w:lineRule="auto"/>
        <w:rPr>
          <w:rFonts w:hAnsi="宋体" w:eastAsia="宋体"/>
          <w:b/>
          <w:sz w:val="24"/>
          <w:szCs w:val="24"/>
        </w:rPr>
      </w:pPr>
      <w:r>
        <w:rPr>
          <w:rFonts w:hint="eastAsia" w:hAnsi="宋体" w:eastAsia="宋体"/>
          <w:b/>
          <w:sz w:val="24"/>
          <w:szCs w:val="24"/>
        </w:rPr>
        <w:t xml:space="preserve">九、争议的解决：</w:t>
      </w:r>
      <w:r/>
    </w:p>
    <w:p>
      <w:pPr>
        <w:pStyle w:val="961"/>
        <w:ind w:firstLine="480"/>
        <w:spacing w:line="360" w:lineRule="auto"/>
        <w:rPr>
          <w:rFonts w:hAnsi="宋体" w:eastAsia="宋体"/>
          <w:sz w:val="24"/>
          <w:szCs w:val="24"/>
        </w:rPr>
      </w:pPr>
      <w:r>
        <w:rPr>
          <w:rFonts w:hint="eastAsia" w:hAnsi="宋体" w:eastAsia="宋体"/>
          <w:sz w:val="24"/>
          <w:szCs w:val="24"/>
        </w:rPr>
        <w:t xml:space="preserve">甲乙双方因合同发生争议，应在招标机构的主持下进行调解，协商不成，任何一方可以向甲方所在地人民法院起诉。</w:t>
      </w:r>
      <w:r/>
    </w:p>
    <w:p>
      <w:pPr>
        <w:pStyle w:val="961"/>
        <w:spacing w:line="360" w:lineRule="auto"/>
        <w:rPr>
          <w:rFonts w:hAnsi="宋体" w:eastAsia="宋体" w:cs="宋体"/>
          <w:b/>
          <w:sz w:val="24"/>
          <w:szCs w:val="24"/>
        </w:rPr>
      </w:pPr>
      <w:r>
        <w:rPr>
          <w:rFonts w:hint="eastAsia" w:hAnsi="宋体" w:eastAsia="宋体"/>
          <w:sz w:val="24"/>
          <w:szCs w:val="24"/>
        </w:rPr>
        <w:t xml:space="preserve">十、附则：</w:t>
      </w:r>
      <w:r/>
    </w:p>
    <w:p>
      <w:pPr>
        <w:ind w:firstLine="480"/>
        <w:spacing w:line="360" w:lineRule="auto"/>
        <w:rPr>
          <w:rFonts w:ascii="宋体" w:hAnsi="宋体" w:cs="宋体"/>
          <w:sz w:val="24"/>
          <w:szCs w:val="24"/>
        </w:rPr>
      </w:pPr>
      <w:r/>
      <w:bookmarkStart w:id="32" w:name="auto_fouce_11"/>
      <w:r>
        <w:rPr>
          <w:rFonts w:hint="eastAsia" w:ascii="宋体" w:hAnsi="宋体" w:cs="宋体"/>
          <w:sz w:val="24"/>
          <w:szCs w:val="24"/>
        </w:rPr>
        <w:t xml:space="preserve">1、合同变更：本合同的任何变更或补充均应以书面形式进行，并经双方授权代表签字盖章后生效。未经双方书面同意，任何一方不得擅自变更合同内容。</w:t>
      </w:r>
      <w:bookmarkEnd w:id="32"/>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、本合同一式伍份，甲乙双方各执贰份、招标代理公司执壹份，各份具有同等法律效力。</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sz w:val="24"/>
          <w:szCs w:val="24"/>
        </w:rPr>
        <w:t xml:space="preserve">本合同文件使用中文书写、解释和说明。</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sz w:val="24"/>
          <w:szCs w:val="24"/>
        </w:rPr>
        <w:t xml:space="preserve">本合同履行过程中产生的纪要、协议以及成交通知书、采购响应文件和采购文件为本合同的附件，与合同具有同等效力。</w:t>
      </w:r>
      <w:r/>
    </w:p>
    <w:p>
      <w:pPr>
        <w:pStyle w:val="961"/>
        <w:ind w:firstLine="480"/>
        <w:spacing w:line="360" w:lineRule="auto"/>
        <w:rPr>
          <w:rFonts w:hAnsi="宋体" w:eastAsia="宋体"/>
          <w:sz w:val="24"/>
          <w:szCs w:val="24"/>
        </w:rPr>
      </w:pPr>
      <w:r>
        <w:rPr>
          <w:rFonts w:hAnsi="宋体" w:eastAsia="宋体" w:cs="宋体"/>
          <w:sz w:val="24"/>
          <w:szCs w:val="24"/>
        </w:rPr>
        <w:t xml:space="preserve">5</w:t>
      </w:r>
      <w:r>
        <w:rPr>
          <w:rFonts w:hint="eastAsia" w:hAnsi="宋体" w:eastAsia="宋体" w:cs="宋体"/>
          <w:sz w:val="24"/>
          <w:szCs w:val="24"/>
        </w:rPr>
        <w:t xml:space="preserve">、</w:t>
      </w:r>
      <w:r>
        <w:rPr>
          <w:rFonts w:hint="eastAsia" w:hAnsi="宋体" w:eastAsia="宋体"/>
          <w:sz w:val="24"/>
          <w:szCs w:val="24"/>
        </w:rPr>
        <w:t xml:space="preserve">未尽事宜：本合同未尽事宜应按照《中华人民共和国民法典》《中华人民共和国产品质量法》《中华人民共和国政府采购法》之规定解释。</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rPr>
      </w:pPr>
      <w:r>
        <w:rPr>
          <w:rFonts w:hint="eastAsia" w:ascii="宋体" w:hAnsi="宋体" w:cs="宋体"/>
          <w:b/>
          <w:sz w:val="24"/>
        </w:rPr>
        <w:t xml:space="preserve">甲方签章：</w:t>
      </w:r>
      <w:r/>
    </w:p>
    <w:p>
      <w:pPr>
        <w:spacing w:line="360" w:lineRule="auto"/>
        <w:rPr>
          <w:rFonts w:ascii="宋体" w:hAnsi="宋体" w:cs="宋体"/>
          <w:b/>
          <w:sz w:val="24"/>
        </w:rPr>
      </w:pPr>
      <w:r>
        <w:rPr>
          <w:rFonts w:hint="eastAsia" w:ascii="宋体" w:hAnsi="宋体" w:cs="宋体"/>
          <w:b/>
          <w:sz w:val="24"/>
        </w:rPr>
        <w:t xml:space="preserve">法人/授权代表：</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hint="eastAsia" w:ascii="宋体" w:hAnsi="宋体" w:cs="宋体"/>
          <w:b/>
          <w:sz w:val="24"/>
        </w:rPr>
        <w:t xml:space="preserve">乙方签章：</w:t>
      </w:r>
      <w:r/>
    </w:p>
    <w:p>
      <w:pPr>
        <w:jc w:val="left"/>
        <w:spacing w:line="360" w:lineRule="auto"/>
        <w:widowControl/>
        <w:rPr>
          <w:rFonts w:ascii="宋体" w:hAnsi="宋体" w:cs="宋体"/>
          <w:b/>
          <w:sz w:val="24"/>
        </w:rPr>
      </w:pPr>
      <w:r>
        <w:rPr>
          <w:rFonts w:hint="eastAsia" w:ascii="宋体" w:hAnsi="宋体" w:cs="宋体"/>
          <w:b/>
          <w:sz w:val="24"/>
        </w:rPr>
        <w:t xml:space="preserve">法人/授权代表：</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hint="eastAsia" w:ascii="宋体" w:hAnsi="宋体" w:cs="宋体"/>
          <w:b/>
          <w:sz w:val="24"/>
        </w:rPr>
        <w:t xml:space="preserve">签订日期：      年     月    日</w:t>
      </w:r>
      <w:r/>
    </w:p>
    <w:p>
      <w:pPr>
        <w:jc w:val="left"/>
        <w:spacing w:line="360" w:lineRule="auto"/>
        <w:widowControl/>
        <w:rPr>
          <w:rFonts w:ascii="宋体" w:hAnsi="宋体" w:cs="宋体"/>
          <w:b/>
          <w:sz w:val="24"/>
        </w:rPr>
      </w:pPr>
      <w:r/>
      <w:bookmarkStart w:id="33" w:name="_GoBack"/>
      <w:r/>
      <w:bookmarkEnd w:id="33"/>
      <w:r>
        <w:rPr>
          <w:rFonts w:ascii="宋体" w:hAnsi="宋体" w:cs="宋体"/>
          <w:b/>
          <w:sz w:val="24"/>
        </w:rPr>
        <w:br w:type="page" w:clear="all"/>
      </w:r>
      <w:r>
        <w:rPr>
          <w:rFonts w:hint="eastAsia" w:ascii="宋体" w:hAnsi="宋体" w:cs="宋体"/>
          <w:b/>
          <w:sz w:val="24"/>
        </w:rPr>
        <w:t xml:space="preserve">合同附件1</w:t>
      </w:r>
      <w:r>
        <w:rPr>
          <w:rFonts w:hint="eastAsia" w:ascii="宋体" w:hAnsi="宋体" w:cs="宋体"/>
          <w:b/>
          <w:bCs/>
          <w:sz w:val="24"/>
        </w:rPr>
        <w:t xml:space="preserve">《月度考核表》</w:t>
      </w:r>
      <w:r/>
    </w:p>
    <w:tbl>
      <w:tblPr>
        <w:tblW w:w="9782" w:type="dxa"/>
        <w:jc w:val="center"/>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                 </w:t>
            </w:r>
            <w:bookmarkStart w:id="34" w:name="OLE_LINK13"/>
            <w:r/>
            <w:bookmarkStart w:id="35" w:name="OLE_LINK14"/>
            <w:r>
              <w:rPr>
                <w:rFonts w:hint="eastAsia" w:ascii="宋体" w:hAnsi="宋体"/>
                <w:b/>
                <w:bCs/>
                <w:sz w:val="24"/>
                <w:szCs w:val="24"/>
              </w:rPr>
              <w:t xml:space="preserve">月度考核表</w:t>
            </w:r>
            <w:bookmarkEnd w:id="34"/>
            <w:r/>
            <w:bookmarkEnd w:id="35"/>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jc w:val="center"/>
              <w:spacing w:line="360" w:lineRule="auto"/>
              <w:rPr>
                <w:rFonts w:ascii="宋体" w:hAnsi="宋体"/>
                <w:b/>
                <w:bCs/>
                <w:szCs w:val="21"/>
              </w:rPr>
            </w:pPr>
            <w:r>
              <w:rPr>
                <w:rFonts w:ascii="宋体" w:hAnsi="宋体"/>
                <w:b/>
                <w:bCs/>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jc w:val="center"/>
              <w:spacing w:line="360" w:lineRule="auto"/>
              <w:rPr>
                <w:rFonts w:ascii="宋体" w:hAnsi="宋体"/>
                <w:b/>
                <w:bCs/>
                <w:szCs w:val="21"/>
              </w:rPr>
            </w:pPr>
            <w:r>
              <w:rPr>
                <w:rFonts w:ascii="宋体" w:hAnsi="宋体"/>
                <w:b/>
                <w:bCs/>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jc w:val="center"/>
              <w:spacing w:line="360" w:lineRule="auto"/>
              <w:rPr>
                <w:rFonts w:ascii="宋体" w:hAnsi="宋体"/>
                <w:b/>
                <w:bCs/>
                <w:szCs w:val="21"/>
              </w:rPr>
            </w:pPr>
            <w:r>
              <w:rPr>
                <w:rFonts w:ascii="宋体" w:hAnsi="宋体"/>
                <w:b/>
                <w:bCs/>
                <w:szCs w:val="21"/>
              </w:rPr>
            </w:r>
            <w:r/>
          </w:p>
        </w:tc>
      </w:tr>
      <w:tr>
        <w:trPr>
          <w:jc w:val="center"/>
          <w:trHeight w:val="540"/>
        </w:trPr>
        <w:tc>
          <w:tcPr>
            <w:gridSpan w:val="3"/>
            <w:tcBorders>
              <w:top w:val="none" w:color="000000" w:sz="4" w:space="0"/>
              <w:left w:val="none" w:color="000000" w:sz="4" w:space="0"/>
              <w:bottom w:val="single" w:color="000000" w:sz="4" w:space="0"/>
              <w:right w:val="none" w:color="000000" w:sz="4" w:space="0"/>
            </w:tcBorders>
            <w:tcW w:w="6096"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考核时间：    年      月</w:t>
            </w:r>
            <w:r/>
          </w:p>
        </w:tc>
        <w:tc>
          <w:tcPr>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gridSpan w:val="2"/>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spacing w:line="360" w:lineRule="auto"/>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none" w:color="000000" w:sz="4" w:space="0"/>
            </w:tcBorders>
            <w:tcW w:w="567" w:type="dxa"/>
            <w:textDirection w:val="lrTb"/>
            <w:noWrap w:val="false"/>
          </w:tcPr>
          <w:p>
            <w:pPr>
              <w:spacing w:line="360" w:lineRule="auto"/>
              <w:rPr>
                <w:rFonts w:ascii="宋体" w:hAnsi="宋体"/>
                <w:szCs w:val="21"/>
              </w:rPr>
            </w:pPr>
            <w:r>
              <w:rPr>
                <w:rFonts w:ascii="宋体" w:hAnsi="宋体"/>
                <w:szCs w:val="21"/>
              </w:rPr>
            </w:r>
            <w:r/>
          </w:p>
        </w:tc>
        <w:tc>
          <w:tcPr>
            <w:gridSpan w:val="2"/>
            <w:tcBorders>
              <w:top w:val="none" w:color="000000" w:sz="4" w:space="0"/>
              <w:left w:val="none" w:color="000000" w:sz="4" w:space="0"/>
              <w:bottom w:val="single" w:color="000000" w:sz="4" w:space="0"/>
              <w:right w:val="none" w:color="000000" w:sz="4" w:space="0"/>
            </w:tcBorders>
            <w:tcW w:w="1418" w:type="dxa"/>
            <w:textDirection w:val="lrTb"/>
            <w:noWrap w:val="false"/>
          </w:tcPr>
          <w:p>
            <w:pPr>
              <w:spacing w:line="360" w:lineRule="auto"/>
              <w:rPr>
                <w:rFonts w:ascii="宋体" w:hAnsi="宋体"/>
                <w:szCs w:val="21"/>
              </w:rPr>
            </w:pPr>
            <w:r>
              <w:rPr>
                <w:rFonts w:ascii="宋体" w:hAnsi="宋体"/>
                <w:szCs w:val="21"/>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考核项目</w:t>
            </w:r>
            <w:r/>
          </w:p>
        </w:tc>
        <w:tc>
          <w:tcPr>
            <w:gridSpan w:val="9"/>
            <w:tcBorders>
              <w:top w:val="single" w:color="000000" w:sz="4" w:space="0"/>
              <w:left w:val="single" w:color="000000" w:sz="4" w:space="0"/>
              <w:right w:val="single" w:color="000000" w:sz="4" w:space="0"/>
            </w:tcBorders>
            <w:tcW w:w="3686"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月度考核得分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食材新鲜度、无腐败变质食品（蔬菜、肉类、水产、冷冻、豆制品等）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配送准时度(</w:t>
            </w:r>
            <w:r>
              <w:rPr>
                <w:rFonts w:hint="eastAsia" w:ascii="宋体" w:hAnsi="宋体" w:cs="宋体"/>
                <w:sz w:val="24"/>
                <w:szCs w:val="24"/>
              </w:rPr>
              <w:t xml:space="preserve">(按照规定时间，将货物送达</w:t>
            </w:r>
            <w:r>
              <w:rPr>
                <w:rFonts w:hint="eastAsia"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服务态度（售后服务）</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原料进货单据齐全，单货相符，货物出入库手续完备</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配送货物单据是否齐全（检测报告、送货单等）</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原料厂商索证资料是否齐全</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708"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spacing w:line="360" w:lineRule="auto"/>
              <w:rPr>
                <w:rFonts w:ascii="宋体" w:hAnsi="宋体"/>
                <w:szCs w:val="21"/>
              </w:rPr>
            </w:pPr>
            <w:r>
              <w:rPr>
                <w:rFonts w:ascii="宋体" w:hAnsi="宋体"/>
                <w:szCs w:val="21"/>
              </w:rPr>
            </w:r>
            <w:r/>
          </w:p>
        </w:tc>
      </w:tr>
      <w:tr>
        <w:trPr>
          <w:jc w:val="center"/>
          <w:trHeight w:val="1665"/>
        </w:trPr>
        <w:tc>
          <w:tcPr>
            <w:gridSpan w:val="12"/>
            <w:tcBorders>
              <w:top w:val="single" w:color="000000" w:sz="4" w:space="0"/>
              <w:left w:val="single" w:color="000000" w:sz="4" w:space="0"/>
              <w:bottom w:val="single" w:color="000000" w:sz="4" w:space="0"/>
              <w:right w:val="single" w:color="000000" w:sz="4" w:space="0"/>
            </w:tcBorders>
            <w:tcW w:w="9782" w:type="dxa"/>
            <w:textDirection w:val="lrTb"/>
            <w:noWrap w:val="false"/>
          </w:tcPr>
          <w:p>
            <w:pPr>
              <w:spacing w:line="360" w:lineRule="auto"/>
              <w:rPr>
                <w:rFonts w:ascii="宋体" w:hAnsi="宋体"/>
                <w:sz w:val="24"/>
                <w:szCs w:val="24"/>
              </w:rPr>
            </w:pPr>
            <w:r>
              <w:rPr>
                <w:rFonts w:hint="eastAsia" w:ascii="宋体" w:hAnsi="宋体"/>
                <w:sz w:val="24"/>
                <w:szCs w:val="24"/>
              </w:rPr>
              <w:t xml:space="preserve">考核结果：</w:t>
            </w:r>
            <w:r/>
          </w:p>
          <w:p>
            <w:pPr>
              <w:spacing w:line="360" w:lineRule="auto"/>
              <w:rPr>
                <w:rFonts w:ascii="宋体" w:hAnsi="宋体"/>
                <w:sz w:val="24"/>
                <w:szCs w:val="24"/>
              </w:rPr>
            </w:pPr>
            <w:r>
              <w:rPr>
                <w:rFonts w:hint="eastAsia" w:ascii="宋体" w:hAnsi="宋体"/>
                <w:sz w:val="24"/>
                <w:szCs w:val="24"/>
              </w:rPr>
              <w:t xml:space="preserve">1、按月考核，将6个项目的评分相加，总分=</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分(按优:20分、良:15分、中:12分、可:10分、差:8分进行打分，总分上限为120分)</w:t>
            </w:r>
            <w:r/>
          </w:p>
          <w:p>
            <w:pPr>
              <w:spacing w:line="360" w:lineRule="auto"/>
              <w:rPr>
                <w:rFonts w:ascii="宋体" w:hAnsi="宋体"/>
                <w:sz w:val="24"/>
                <w:szCs w:val="24"/>
              </w:rPr>
            </w:pPr>
            <w:r>
              <w:rPr>
                <w:rFonts w:hint="eastAsia" w:ascii="宋体" w:hAnsi="宋体"/>
                <w:sz w:val="24"/>
                <w:szCs w:val="24"/>
              </w:rPr>
              <w:t xml:space="preserve">2、该单位得分应处于的等级：</w:t>
            </w:r>
            <w:r/>
          </w:p>
          <w:p>
            <w:pPr>
              <w:spacing w:line="360" w:lineRule="auto"/>
              <w:rPr>
                <w:rFonts w:ascii="宋体" w:hAnsi="宋体"/>
                <w:sz w:val="24"/>
                <w:szCs w:val="24"/>
              </w:rPr>
            </w:pPr>
            <w:r>
              <w:rPr>
                <w:rFonts w:hint="eastAsia" w:ascii="宋体" w:hAnsi="宋体"/>
                <w:sz w:val="24"/>
                <w:szCs w:val="24"/>
              </w:rPr>
              <w:t xml:space="preserve">A(优秀):100-120分(含100分、120分)，足额支付当月费用，无扣除；</w:t>
            </w:r>
            <w:r/>
          </w:p>
          <w:p>
            <w:pPr>
              <w:spacing w:line="360" w:lineRule="auto"/>
              <w:rPr>
                <w:rFonts w:ascii="宋体" w:hAnsi="宋体"/>
                <w:sz w:val="24"/>
                <w:szCs w:val="24"/>
              </w:rPr>
            </w:pPr>
            <w:r>
              <w:rPr>
                <w:rFonts w:hint="eastAsia" w:ascii="宋体" w:hAnsi="宋体"/>
                <w:sz w:val="24"/>
                <w:szCs w:val="24"/>
              </w:rPr>
              <w:t xml:space="preserve">B(合格):90-99分(含90分、99分)，扣除当月费用的5%；</w:t>
            </w:r>
            <w:r/>
          </w:p>
          <w:p>
            <w:pPr>
              <w:spacing w:line="360" w:lineRule="auto"/>
              <w:rPr>
                <w:rFonts w:ascii="宋体" w:hAnsi="宋体"/>
                <w:sz w:val="24"/>
                <w:szCs w:val="24"/>
              </w:rPr>
            </w:pPr>
            <w:r>
              <w:rPr>
                <w:rFonts w:hint="eastAsia" w:ascii="宋体" w:hAnsi="宋体"/>
                <w:sz w:val="24"/>
                <w:szCs w:val="24"/>
              </w:rPr>
              <w:t xml:space="preserve">C(待改进):80-89分(含80分、89分)，扣除当月费用的10%;需提交书面服务提升计划；</w:t>
            </w:r>
            <w:r/>
          </w:p>
          <w:p>
            <w:pPr>
              <w:spacing w:line="360" w:lineRule="auto"/>
              <w:rPr>
                <w:rFonts w:ascii="宋体" w:hAnsi="宋体"/>
                <w:sz w:val="24"/>
                <w:szCs w:val="24"/>
              </w:rPr>
            </w:pPr>
            <w:r>
              <w:rPr>
                <w:rFonts w:hint="eastAsia" w:ascii="宋体" w:hAnsi="宋体"/>
                <w:sz w:val="24"/>
                <w:szCs w:val="24"/>
              </w:rPr>
              <w:t xml:space="preserve">D(整改):60-79分(含60分、79分)，扣除当月费用的15%，责令限期7日内整改，提交书面整改报告；</w:t>
            </w:r>
            <w:r/>
          </w:p>
          <w:p>
            <w:pPr>
              <w:spacing w:line="360" w:lineRule="auto"/>
              <w:rPr>
                <w:rFonts w:ascii="宋体" w:hAnsi="宋体"/>
                <w:sz w:val="24"/>
                <w:szCs w:val="24"/>
              </w:rPr>
            </w:pPr>
            <w:r>
              <w:rPr>
                <w:rFonts w:hint="eastAsia" w:ascii="宋体" w:hAnsi="宋体"/>
                <w:sz w:val="24"/>
                <w:szCs w:val="24"/>
              </w:rPr>
              <w:t xml:space="preserve">E(不合格):60分以下(不含60分)，扣除当月费用的20%;立即整改，甲方有权解除本合同。</w:t>
            </w:r>
            <w:r/>
          </w:p>
        </w:tc>
      </w:tr>
      <w:tr>
        <w:trPr>
          <w:jc w:val="center"/>
          <w:trHeight w:val="540"/>
        </w:trPr>
        <w:tc>
          <w:tcPr>
            <w:gridSpan w:val="2"/>
            <w:tcBorders>
              <w:top w:val="single" w:color="000000" w:sz="4" w:space="0"/>
              <w:left w:val="none" w:color="000000" w:sz="4" w:space="0"/>
              <w:bottom w:val="none" w:color="000000" w:sz="4" w:space="0"/>
              <w:right w:val="none" w:color="000000" w:sz="4" w:space="0"/>
            </w:tcBorders>
            <w:tcW w:w="5387"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考核部门签字：</w:t>
            </w:r>
            <w:r/>
          </w:p>
        </w:tc>
        <w:tc>
          <w:tcPr>
            <w:gridSpan w:val="4"/>
            <w:tcBorders>
              <w:top w:val="single" w:color="000000" w:sz="4" w:space="0"/>
              <w:left w:val="none" w:color="000000" w:sz="4" w:space="0"/>
              <w:bottom w:val="none" w:color="000000" w:sz="4" w:space="0"/>
              <w:right w:val="none" w:color="000000" w:sz="4" w:space="0"/>
            </w:tcBorders>
            <w:tcW w:w="1843" w:type="dxa"/>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供应商签字</w:t>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spacing w:line="360" w:lineRule="auto"/>
              <w:rPr>
                <w:rFonts w:ascii="宋体" w:hAnsi="宋体"/>
                <w:b/>
                <w:bCs/>
                <w:szCs w:val="21"/>
              </w:rPr>
            </w:pPr>
            <w:r>
              <w:rPr>
                <w:rFonts w:ascii="宋体" w:hAnsi="宋体"/>
                <w:b/>
                <w:bCs/>
                <w:szCs w:val="21"/>
              </w:rPr>
            </w:r>
            <w:r/>
          </w:p>
        </w:tc>
        <w:tc>
          <w:tcPr>
            <w:gridSpan w:val="2"/>
            <w:tcBorders>
              <w:top w:val="single" w:color="000000" w:sz="4" w:space="0"/>
              <w:left w:val="none" w:color="000000" w:sz="4" w:space="0"/>
              <w:bottom w:val="none" w:color="000000" w:sz="4" w:space="0"/>
              <w:right w:val="none" w:color="000000" w:sz="4" w:space="0"/>
            </w:tcBorders>
            <w:tcW w:w="567" w:type="dxa"/>
            <w:textDirection w:val="lrTb"/>
            <w:noWrap w:val="false"/>
          </w:tcPr>
          <w:p>
            <w:pPr>
              <w:spacing w:line="360" w:lineRule="auto"/>
              <w:rPr>
                <w:rFonts w:ascii="宋体" w:hAnsi="宋体"/>
                <w:b/>
                <w:bCs/>
                <w:szCs w:val="21"/>
              </w:rPr>
            </w:pPr>
            <w:r>
              <w:rPr>
                <w:rFonts w:ascii="宋体" w:hAnsi="宋体"/>
                <w:b/>
                <w:bCs/>
                <w:szCs w:val="21"/>
              </w:rPr>
            </w:r>
            <w:r/>
          </w:p>
        </w:tc>
        <w:tc>
          <w:tcPr>
            <w:gridSpan w:val="2"/>
            <w:tcBorders>
              <w:top w:val="single" w:color="000000" w:sz="4" w:space="0"/>
              <w:left w:val="none" w:color="000000" w:sz="4" w:space="0"/>
              <w:bottom w:val="none" w:color="000000" w:sz="4" w:space="0"/>
              <w:right w:val="none" w:color="000000" w:sz="4" w:space="0"/>
            </w:tcBorders>
            <w:tcW w:w="1418" w:type="dxa"/>
            <w:textDirection w:val="lrTb"/>
            <w:noWrap w:val="false"/>
          </w:tcPr>
          <w:p>
            <w:pPr>
              <w:spacing w:line="360" w:lineRule="auto"/>
              <w:rPr>
                <w:rFonts w:ascii="宋体" w:hAnsi="宋体"/>
                <w:b/>
                <w:bCs/>
                <w:szCs w:val="21"/>
              </w:rPr>
            </w:pPr>
            <w:r>
              <w:rPr>
                <w:rFonts w:ascii="宋体" w:hAnsi="宋体"/>
                <w:b/>
                <w:bCs/>
                <w:szCs w:val="21"/>
              </w:rPr>
            </w:r>
            <w:r/>
          </w:p>
        </w:tc>
      </w:tr>
    </w:tbl>
    <w:p>
      <w:pPr>
        <w:jc w:val="left"/>
        <w:spacing w:line="360" w:lineRule="auto"/>
        <w:widowControl/>
        <w:rPr>
          <w:rFonts w:ascii="宋体" w:hAnsi="宋体"/>
        </w:rPr>
      </w:pPr>
      <w:r>
        <w:rPr>
          <w:rFonts w:ascii="宋体" w:hAnsi="宋体"/>
        </w:rPr>
      </w:r>
      <w:r/>
    </w:p>
    <w:p>
      <w:pPr>
        <w:jc w:val="center"/>
        <w:spacing w:line="360" w:lineRule="auto"/>
        <w:rPr>
          <w:rStyle w:val="776"/>
          <w:rFonts w:ascii="宋体" w:hAnsi="宋体" w:cs="宋体"/>
          <w:sz w:val="24"/>
          <w:szCs w:val="24"/>
        </w:rPr>
      </w:pPr>
      <w:r>
        <w:rPr>
          <w:rStyle w:val="776"/>
          <w:rFonts w:ascii="宋体" w:hAnsi="宋体" w:cs="宋体"/>
          <w:sz w:val="24"/>
          <w:szCs w:val="24"/>
        </w:rPr>
        <w:br w:type="page" w:clear="all"/>
      </w:r>
      <w:r>
        <w:rPr>
          <w:rStyle w:val="776"/>
          <w:rFonts w:hint="eastAsia" w:ascii="宋体" w:hAnsi="宋体" w:cs="宋体"/>
          <w:sz w:val="24"/>
          <w:szCs w:val="24"/>
        </w:rPr>
        <w:t xml:space="preserve">第五章 响应文件格式（部分）</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76"/>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磋商响应函</w:t>
      </w:r>
      <w:r/>
    </w:p>
    <w:p>
      <w:pPr>
        <w:spacing w:line="360" w:lineRule="auto"/>
        <w:rPr>
          <w:rFonts w:ascii="宋体" w:hAnsi="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致：</w:t>
      </w:r>
      <w:r>
        <w:rPr>
          <w:rFonts w:ascii="宋体" w:hAnsi="宋体" w:cs="宋体"/>
          <w:b/>
          <w:sz w:val="24"/>
          <w:u w:val="single"/>
        </w:rPr>
        <w:t xml:space="preserve">信达项目咨询管理（苏州）有限公司</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9、与本磋商响应有关的通讯地址：</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  位：            联 系 人：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  址：            邮政编码：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联系电话：            电子邮箱：</w:t>
      </w:r>
      <w:r/>
    </w:p>
    <w:p>
      <w:pP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响应单位名称（公章）：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年  月  日</w:t>
      </w:r>
      <w:r/>
    </w:p>
    <w:p>
      <w:pPr>
        <w:pStyle w:val="775"/>
        <w:rPr>
          <w:rFonts w:ascii="宋体" w:hAnsi="宋体"/>
        </w:rPr>
      </w:pPr>
      <w:r>
        <w:rPr>
          <w:rFonts w:ascii="宋体" w:hAnsi="宋体"/>
        </w:rPr>
      </w:r>
      <w:r/>
    </w:p>
    <w:p>
      <w:pPr>
        <w:spacing w:line="360" w:lineRule="auto"/>
        <w:rPr>
          <w:rFonts w:ascii="宋体" w:hAnsi="宋体" w:cs="宋体"/>
          <w:b/>
          <w:sz w:val="24"/>
          <w:szCs w:val="24"/>
        </w:rPr>
      </w:pPr>
      <w:r>
        <w:rPr>
          <w:rFonts w:ascii="宋体" w:hAnsi="宋体"/>
          <w:szCs w:val="20"/>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（姓名）为我公司代理人，以本公司的名义参加信达项目咨询管理（苏州）有限公司组织实施的编号为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号的招标活动。代理人在开标、评标、合同谈判过程中所签署的一切文件和处理与这有关的一切事务，我均予以承认。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p>
    <w:tbl>
      <w:tblPr>
        <w:tblW w:w="9089"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4978"/>
      </w:tblGrid>
      <w:tr>
        <w:trPr>
          <w:trHeight w:val="20"/>
        </w:trPr>
        <w:tc>
          <w:tcPr>
            <w:tcW w:w="4111"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项目名称</w:t>
            </w:r>
            <w:r/>
          </w:p>
        </w:tc>
        <w:tc>
          <w:tcPr>
            <w:tcW w:w="497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响应优惠率</w:t>
            </w:r>
            <w:r/>
          </w:p>
        </w:tc>
      </w:tr>
      <w:tr>
        <w:trPr>
          <w:trHeight w:val="20"/>
        </w:trPr>
        <w:tc>
          <w:tcPr>
            <w:tcW w:w="4111" w:type="dxa"/>
            <w:vAlign w:val="center"/>
            <w:textDirection w:val="lrTb"/>
            <w:noWrap w:val="false"/>
          </w:tcPr>
          <w:p>
            <w:pPr>
              <w:jc w:val="center"/>
              <w:rPr>
                <w:rFonts w:ascii="宋体" w:hAnsi="宋体" w:cs="宋体"/>
                <w:sz w:val="24"/>
                <w:szCs w:val="24"/>
              </w:rPr>
            </w:pPr>
            <w:r/>
            <w:bookmarkStart w:id="36" w:name="_Hlk197432451"/>
            <w:r>
              <w:rPr>
                <w:rFonts w:hint="eastAsia" w:ascii="宋体" w:hAnsi="宋体"/>
                <w:sz w:val="24"/>
                <w:szCs w:val="24"/>
              </w:rPr>
              <w:t xml:space="preserve">2026-2027年度郭巷街道机关食堂物资采购项目服务</w:t>
            </w:r>
            <w:r/>
          </w:p>
        </w:tc>
        <w:tc>
          <w:tcPr>
            <w:tcW w:w="4978" w:type="dxa"/>
            <w:vAlign w:val="center"/>
            <w:textDirection w:val="lrTb"/>
            <w:noWrap w:val="false"/>
          </w:tcPr>
          <w:p>
            <w:pPr>
              <w:jc w:val="center"/>
              <w:widowControl/>
              <w:rPr>
                <w:rFonts w:ascii="宋体" w:hAnsi="宋体" w:cs="宋体"/>
                <w:sz w:val="24"/>
                <w:szCs w:val="24"/>
              </w:rPr>
            </w:pPr>
            <w:r>
              <w:rPr>
                <w:rFonts w:ascii="宋体" w:hAnsi="宋体" w:cs="宋体"/>
                <w:sz w:val="24"/>
                <w:szCs w:val="24"/>
                <w:lang w:val="zh-CN"/>
              </w:rPr>
              <w:t xml:space="preserve">%</w:t>
            </w:r>
            <w:bookmarkEnd w:id="36"/>
            <w:r/>
            <w:r/>
          </w:p>
        </w:tc>
      </w:tr>
    </w:tbl>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1、根据苏州市发展和改革委员会官网公布的当日“苏州市部分农贸市场零售均价”的100%为基准下浮作优惠率报价，优惠率即为下浮率。在项目服务期间，如需配送苏州市发展和改革委员会官网未公布价格的品类，其价格按照大型超市当日零售价×（1-成交优惠率）结算，合同最终价格不得超过年采购预算(¥2900000.00)，</w:t>
      </w:r>
      <w:r>
        <w:rPr>
          <w:rFonts w:hint="eastAsia" w:ascii="宋体" w:hAnsi="宋体" w:cs="宋体"/>
          <w:sz w:val="24"/>
          <w:szCs w:val="24"/>
        </w:rPr>
        <w:t xml:space="preserve">若服务期限内结算金额达到年采购</w:t>
      </w:r>
      <w:r>
        <w:rPr>
          <w:rFonts w:hint="eastAsia" w:ascii="宋体" w:hAnsi="宋体" w:cs="宋体"/>
          <w:sz w:val="24"/>
          <w:szCs w:val="24"/>
        </w:rPr>
        <w:t xml:space="preserve">预算后合同自动终止。</w:t>
      </w:r>
      <w:r/>
    </w:p>
    <w:p>
      <w:pPr>
        <w:ind w:firstLine="480"/>
        <w:spacing w:line="360" w:lineRule="auto"/>
        <w:rPr>
          <w:rFonts w:ascii="宋体" w:hAnsi="宋体" w:cs="宋体"/>
          <w:sz w:val="24"/>
          <w:szCs w:val="24"/>
        </w:rPr>
      </w:pPr>
      <w:r>
        <w:rPr>
          <w:rFonts w:hint="eastAsia" w:ascii="宋体" w:hAnsi="宋体" w:cs="宋体"/>
          <w:sz w:val="24"/>
          <w:szCs w:val="24"/>
        </w:rPr>
        <w:t xml:space="preserve">2、响应报价（优惠率）不得超过苏州市发展和改革委员会官网公布的当日“</w:t>
      </w:r>
      <w:r>
        <w:rPr>
          <w:rFonts w:ascii="宋体" w:hAnsi="宋体" w:cs="宋体"/>
          <w:sz w:val="24"/>
          <w:szCs w:val="24"/>
        </w:rPr>
        <w:t xml:space="preserve">苏州市部分农贸市场零售均价</w:t>
      </w:r>
      <w:r>
        <w:rPr>
          <w:rFonts w:hint="eastAsia" w:ascii="宋体" w:hAnsi="宋体" w:cs="宋体"/>
          <w:sz w:val="24"/>
          <w:szCs w:val="24"/>
        </w:rPr>
        <w:t xml:space="preserve">”的1</w:t>
      </w:r>
      <w:r>
        <w:rPr>
          <w:rFonts w:ascii="宋体" w:hAnsi="宋体" w:cs="宋体"/>
          <w:sz w:val="24"/>
          <w:szCs w:val="24"/>
        </w:rPr>
        <w:t xml:space="preserve">00</w:t>
      </w:r>
      <w:r>
        <w:rPr>
          <w:rFonts w:hint="eastAsia" w:ascii="宋体" w:hAnsi="宋体" w:cs="宋体"/>
          <w:sz w:val="24"/>
          <w:szCs w:val="24"/>
        </w:rPr>
        <w:t xml:space="preserve">%（优惠率）且不得为负，否则按无效标处理。</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p>
    <w:p>
      <w:pPr>
        <w:ind w:firstLine="480"/>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4、关于资格文件声明函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号的招标活动进行投标。本公司所提交的响应文件中所有关于响应资格的文件、证明和陈述均是真实的、准确的。若与真实情况不符，本公司愿意承担由此而产生的一切后果。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spacing w:line="360" w:lineRule="auto"/>
        <w:rPr>
          <w:rFonts w:ascii="宋体" w:hAnsi="宋体"/>
          <w:b/>
          <w:sz w:val="24"/>
          <w:szCs w:val="24"/>
        </w:rPr>
      </w:pPr>
      <w:r>
        <w:rPr>
          <w:rFonts w:hint="eastAsia" w:ascii="宋体" w:hAnsi="宋体" w:cs="宋体"/>
          <w:sz w:val="24"/>
          <w:szCs w:val="24"/>
          <w:lang w:val="zh-CN"/>
        </w:rPr>
        <w:br w:type="page" w:clear="all"/>
      </w:r>
      <w:r>
        <w:rPr>
          <w:rFonts w:ascii="宋体" w:hAnsi="宋体" w:cs="宋体"/>
          <w:b/>
          <w:sz w:val="24"/>
          <w:szCs w:val="24"/>
          <w:lang w:val="zh-CN"/>
        </w:rPr>
        <w:t xml:space="preserve">5</w:t>
      </w:r>
      <w:r>
        <w:rPr>
          <w:rFonts w:hint="eastAsia" w:ascii="宋体" w:hAnsi="宋体" w:cs="宋体"/>
          <w:b/>
          <w:sz w:val="24"/>
          <w:szCs w:val="24"/>
          <w:lang w:val="zh-CN"/>
        </w:rPr>
        <w:t xml:space="preserve">、诚信</w:t>
      </w:r>
      <w:r>
        <w:rPr>
          <w:rFonts w:hint="eastAsia" w:ascii="宋体" w:hAnsi="宋体"/>
          <w:b/>
          <w:sz w:val="24"/>
          <w:szCs w:val="24"/>
        </w:rPr>
        <w:t xml:space="preserve">承诺函</w:t>
      </w:r>
      <w:r/>
    </w:p>
    <w:p>
      <w:pPr>
        <w:jc w:val="left"/>
        <w:spacing w:line="360" w:lineRule="auto"/>
        <w:rPr>
          <w:rFonts w:ascii="宋体" w:hAnsi="宋体"/>
          <w:sz w:val="24"/>
          <w:szCs w:val="24"/>
        </w:rPr>
      </w:pPr>
      <w:r>
        <w:rPr>
          <w:rFonts w:hint="eastAsia" w:ascii="宋体" w:hAnsi="宋体"/>
          <w:sz w:val="24"/>
          <w:szCs w:val="24"/>
          <w:u w:val="single"/>
        </w:rPr>
        <w:t xml:space="preserve">信达项目管理咨询（苏州）有限公司</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本公司在参加由贵公司组织实施的编号为</w:t>
      </w:r>
      <w:r>
        <w:rPr>
          <w:rFonts w:ascii="宋体" w:hAnsi="宋体"/>
          <w:sz w:val="24"/>
          <w:szCs w:val="24"/>
          <w:u w:val="single"/>
        </w:rPr>
        <w:t xml:space="preserve">           </w:t>
      </w:r>
      <w:r>
        <w:rPr>
          <w:rFonts w:hint="eastAsia" w:ascii="宋体" w:hAnsi="宋体"/>
          <w:sz w:val="24"/>
          <w:szCs w:val="24"/>
        </w:rPr>
        <w:t xml:space="preserve">号的磋商活动中郑重承诺：</w:t>
      </w:r>
      <w:r/>
    </w:p>
    <w:p>
      <w:pPr>
        <w:ind w:firstLine="480"/>
        <w:spacing w:line="360" w:lineRule="auto"/>
        <w:rPr>
          <w:rFonts w:ascii="宋体" w:hAnsi="宋体"/>
          <w:b/>
          <w:sz w:val="24"/>
          <w:szCs w:val="24"/>
        </w:rPr>
      </w:pPr>
      <w:r>
        <w:rPr>
          <w:rFonts w:ascii="宋体" w:hAnsi="宋体" w:cs="宋体"/>
          <w:sz w:val="24"/>
        </w:rPr>
        <w:t xml:space="preserve">保证全部响应资料的真实性，如有虚假或对</w:t>
      </w:r>
      <w:r>
        <w:rPr>
          <w:rFonts w:hint="eastAsia" w:ascii="宋体" w:hAnsi="宋体" w:cs="宋体"/>
          <w:sz w:val="24"/>
        </w:rPr>
        <w:t xml:space="preserve">采购</w:t>
      </w:r>
      <w:r>
        <w:rPr>
          <w:rFonts w:ascii="宋体" w:hAnsi="宋体" w:cs="宋体"/>
          <w:sz w:val="24"/>
        </w:rPr>
        <w:t xml:space="preserve">文件所要求说明的情况故意隐瞒或虚报，视为不实质性</w:t>
      </w:r>
      <w:r>
        <w:rPr>
          <w:rFonts w:hint="eastAsia" w:ascii="宋体" w:hAnsi="宋体" w:cs="宋体"/>
          <w:sz w:val="24"/>
        </w:rPr>
        <w:t xml:space="preserve">响应采购</w:t>
      </w:r>
      <w:r>
        <w:rPr>
          <w:rFonts w:ascii="宋体" w:hAnsi="宋体" w:cs="宋体"/>
          <w:sz w:val="24"/>
        </w:rPr>
        <w:t xml:space="preserve">文件，为无效投标，已成交的将取消</w:t>
      </w:r>
      <w:r>
        <w:rPr>
          <w:rFonts w:hint="eastAsia" w:ascii="宋体" w:hAnsi="宋体" w:cs="宋体"/>
          <w:sz w:val="24"/>
        </w:rPr>
        <w:t xml:space="preserve">成交</w:t>
      </w:r>
      <w:r>
        <w:rPr>
          <w:rFonts w:ascii="宋体" w:hAnsi="宋体" w:cs="宋体"/>
          <w:sz w:val="24"/>
        </w:rPr>
        <w:t xml:space="preserve">资格，按“提供虚假材料谋取中标、成交”相关处理办法处理</w:t>
      </w:r>
      <w:r>
        <w:rPr>
          <w:rFonts w:hint="eastAsia" w:ascii="宋体" w:hAnsi="宋体" w:cs="宋体"/>
          <w:sz w:val="24"/>
        </w:rPr>
        <w:t xml:space="preserve">，由此造成的一切后果与损失均由我方承担。</w:t>
      </w:r>
      <w:r/>
    </w:p>
    <w:p>
      <w:pPr>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ind w:right="480" w:firstLine="420"/>
        <w:jc w:val="left"/>
        <w:spacing w:line="360" w:lineRule="auto"/>
        <w:rPr>
          <w:rFonts w:ascii="宋体" w:hAnsi="宋体"/>
          <w:sz w:val="24"/>
          <w:szCs w:val="24"/>
        </w:rPr>
      </w:pPr>
      <w:r>
        <w:rPr>
          <w:rFonts w:ascii="宋体" w:hAnsi="宋体"/>
          <w:sz w:val="24"/>
          <w:szCs w:val="24"/>
        </w:rPr>
        <w:tab/>
        <w:t xml:space="preserve">       </w:t>
      </w:r>
      <w:r>
        <w:rPr>
          <w:rFonts w:hint="eastAsia" w:ascii="宋体" w:hAnsi="宋体"/>
          <w:sz w:val="24"/>
          <w:szCs w:val="24"/>
        </w:rPr>
        <w:t xml:space="preserve">    </w:t>
      </w:r>
      <w:r/>
    </w:p>
    <w:p>
      <w:pPr>
        <w:jc w:val="left"/>
        <w:spacing w:line="360" w:lineRule="auto"/>
        <w:rPr>
          <w:rFonts w:ascii="宋体" w:hAnsi="宋体" w:cs="宋体"/>
          <w:sz w:val="24"/>
          <w:szCs w:val="24"/>
          <w:lang w:val="zh-CN"/>
        </w:rPr>
      </w:pPr>
      <w:r>
        <w:rPr>
          <w:rFonts w:ascii="宋体" w:hAnsi="宋体" w:cs="宋体"/>
          <w:sz w:val="24"/>
          <w:szCs w:val="24"/>
          <w:lang w:val="zh-CN"/>
        </w:rPr>
      </w:r>
      <w:r/>
    </w:p>
    <w:p>
      <w:pPr>
        <w:jc w:val="left"/>
        <w:spacing w:line="360" w:lineRule="auto"/>
        <w:rPr>
          <w:rFonts w:ascii="宋体" w:hAnsi="宋体" w:cs="宋体"/>
          <w:b/>
          <w:sz w:val="24"/>
          <w:szCs w:val="24"/>
        </w:rPr>
      </w:pPr>
      <w:r>
        <w:rPr>
          <w:rFonts w:ascii="宋体" w:hAnsi="宋体" w:cs="宋体"/>
          <w:sz w:val="24"/>
          <w:szCs w:val="24"/>
          <w:lang w:val="zh-CN"/>
        </w:rPr>
        <w:br w:type="page" w:clear="all"/>
      </w:r>
      <w:r>
        <w:rPr>
          <w:rFonts w:ascii="宋体" w:hAnsi="宋体" w:cs="宋体"/>
          <w:b/>
          <w:sz w:val="24"/>
          <w:szCs w:val="24"/>
        </w:rPr>
        <w:t xml:space="preserve">6</w:t>
      </w:r>
      <w:r>
        <w:rPr>
          <w:rFonts w:hint="eastAsia" w:ascii="宋体" w:hAnsi="宋体" w:cs="宋体"/>
          <w:b/>
          <w:sz w:val="24"/>
          <w:szCs w:val="24"/>
        </w:rPr>
        <w:t xml:space="preserve">、响应单位情况表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126"/>
        <w:gridCol w:w="1701"/>
        <w:gridCol w:w="241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2160"/>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420"/>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2025年</w:t>
            </w:r>
            <w:r>
              <w:rPr>
                <w:rFonts w:hint="eastAsia" w:ascii="宋体" w:hAnsi="宋体" w:cs="宋体"/>
                <w:sz w:val="24"/>
              </w:rPr>
              <w:t xml:space="preserve"> </w:t>
            </w:r>
            <w:r>
              <w:rPr>
                <w:rFonts w:ascii="宋体" w:hAnsi="宋体" w:cs="宋体"/>
                <w:sz w:val="24"/>
              </w:rPr>
              <w:t xml:space="preserve">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775"/>
        <w:ind w:left="0" w:firstLine="0"/>
        <w:spacing w:after="0" w:line="360" w:lineRule="auto"/>
        <w:rPr>
          <w:rFonts w:ascii="宋体" w:hAnsi="宋体"/>
          <w:sz w:val="24"/>
          <w:szCs w:val="24"/>
        </w:rPr>
      </w:pPr>
      <w:r>
        <w:rPr>
          <w:rFonts w:ascii="宋体" w:hAnsi="宋体"/>
          <w:sz w:val="24"/>
          <w:szCs w:val="24"/>
        </w:rPr>
      </w:r>
      <w:r/>
    </w:p>
    <w:p>
      <w:pPr>
        <w:pStyle w:val="775"/>
        <w:ind w:left="0" w:firstLine="0"/>
        <w:spacing w:after="0" w:line="360" w:lineRule="auto"/>
        <w:rPr>
          <w:rFonts w:ascii="宋体" w:hAnsi="宋体"/>
          <w:b/>
          <w:sz w:val="24"/>
          <w:szCs w:val="24"/>
        </w:rPr>
      </w:pPr>
      <w:r>
        <w:rPr>
          <w:rFonts w:ascii="宋体" w:hAnsi="宋体"/>
          <w:b/>
          <w:sz w:val="24"/>
          <w:szCs w:val="24"/>
        </w:rPr>
        <w:br w:type="page" w:clear="all"/>
        <w:t xml:space="preserve">7</w:t>
      </w:r>
      <w:r>
        <w:rPr>
          <w:rFonts w:hint="eastAsia" w:ascii="宋体" w:hAnsi="宋体"/>
          <w:b/>
          <w:sz w:val="24"/>
          <w:szCs w:val="24"/>
        </w:rPr>
        <w:t xml:space="preserve">、偏离表</w:t>
      </w:r>
      <w:r/>
    </w:p>
    <w:p>
      <w:pPr>
        <w:jc w:val="center"/>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ind w:left="400" w:firstLine="420"/>
        <w:spacing w:after="12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证明材料</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    期：     年     月    日</w:t>
      </w:r>
      <w:r/>
    </w:p>
    <w:p>
      <w:pPr>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8</w:t>
      </w:r>
      <w:r>
        <w:rPr>
          <w:rFonts w:hint="eastAsia" w:ascii="宋体" w:hAnsi="宋体" w:cs="宋体"/>
          <w:b/>
          <w:sz w:val="24"/>
          <w:szCs w:val="24"/>
        </w:rPr>
        <w:t xml:space="preserve">、项目负责人情况介绍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健康状况</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从事工作时间</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联系电话</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有何特长</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职称</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、投入本项目人员配备方案表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项目组服务人员一览表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b/>
          <w:sz w:val="24"/>
          <w:szCs w:val="24"/>
        </w:rPr>
        <w:outlineLvl w:val="1"/>
      </w:pPr>
      <w:r>
        <w:rPr>
          <w:rFonts w:ascii="宋体" w:hAnsi="宋体"/>
          <w:b/>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r>
      <w:r>
        <w:rPr>
          <w:rFonts w:ascii="宋体" w:hAnsi="宋体" w:cs="宋体"/>
          <w:b/>
          <w:sz w:val="24"/>
          <w:szCs w:val="24"/>
        </w:rPr>
        <w:t xml:space="preserve">10</w:t>
      </w:r>
      <w:r>
        <w:rPr>
          <w:rFonts w:hint="eastAsia" w:ascii="宋体" w:hAnsi="宋体" w:cs="宋体"/>
          <w:b/>
          <w:sz w:val="24"/>
          <w:szCs w:val="24"/>
        </w:rPr>
        <w:t xml:space="preserve">、服务方案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1</w:t>
      </w:r>
      <w:r>
        <w:rPr>
          <w:rFonts w:hint="eastAsia" w:ascii="宋体" w:hAnsi="宋体" w:cs="宋体"/>
          <w:b/>
          <w:bCs/>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信达项目咨询管理（苏州）有限公司：</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ascii="宋体" w:hAnsi="宋体" w:cs="宋体"/>
          <w:sz w:val="24"/>
          <w:u w:val="single"/>
        </w:rPr>
        <w:t xml:space="preserve">（采购文件中明确的所属行业）行业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供应商名称：（公章）</w:t>
      </w:r>
      <w:r/>
    </w:p>
    <w:p>
      <w:pPr>
        <w:ind w:firstLine="480"/>
        <w:spacing w:line="360" w:lineRule="auto"/>
        <w:rPr>
          <w:rFonts w:ascii="宋体" w:hAnsi="宋体" w:cs="TimesNewRomanPSMT"/>
          <w:sz w:val="24"/>
          <w:szCs w:val="24"/>
        </w:rPr>
      </w:pPr>
      <w:r>
        <w:rPr>
          <w:rFonts w:ascii="宋体" w:hAnsi="宋体" w:cs="宋体"/>
          <w:sz w:val="24"/>
        </w:rPr>
        <w:t xml:space="preserve">日期：     年     月    日</w:t>
      </w:r>
      <w:r/>
    </w:p>
    <w:p>
      <w:pPr>
        <w:spacing w:line="360" w:lineRule="auto"/>
        <w:rPr>
          <w:rFonts w:ascii="宋体" w:hAnsi="宋体" w:cs="宋体"/>
          <w:sz w:val="24"/>
          <w:szCs w:val="24"/>
        </w:rPr>
      </w:pPr>
      <w:r>
        <w:rPr>
          <w:rFonts w:ascii="宋体" w:hAnsi="宋体" w:cs="宋体"/>
          <w:sz w:val="24"/>
          <w:szCs w:val="24"/>
        </w:rPr>
      </w:r>
      <w:r/>
    </w:p>
    <w:p>
      <w:pPr>
        <w:pStyle w:val="775"/>
        <w:rPr>
          <w:rFonts w:ascii="宋体" w:hAnsi="宋体"/>
        </w:rPr>
      </w:pPr>
      <w:r>
        <w:rPr>
          <w:rFonts w:ascii="宋体" w:hAnsi="宋体"/>
        </w:rPr>
      </w:r>
      <w:r/>
    </w:p>
    <w:p>
      <w:pPr>
        <w:pStyle w:val="775"/>
        <w:rPr>
          <w:rFonts w:ascii="宋体" w:hAnsi="宋体"/>
        </w:rPr>
      </w:pPr>
      <w:r>
        <w:rPr>
          <w:rFonts w:ascii="宋体" w:hAnsi="宋体"/>
        </w:rPr>
      </w:r>
      <w:r/>
    </w:p>
    <w:p>
      <w:pPr>
        <w:pStyle w:val="755"/>
        <w:ind w:firstLine="480"/>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pStyle w:val="755"/>
        <w:spacing w:line="360" w:lineRule="auto"/>
        <w:rPr>
          <w:rFonts w:ascii="宋体" w:hAnsi="宋体"/>
          <w:sz w:val="24"/>
          <w:szCs w:val="24"/>
          <w:lang w:eastAsia="zh-CN"/>
        </w:rPr>
      </w:pPr>
      <w:r>
        <w:rPr>
          <w:rFonts w:ascii="宋体" w:hAnsi="宋体"/>
          <w:sz w:val="24"/>
          <w:szCs w:val="24"/>
          <w:lang w:eastAsia="zh-CN"/>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b/>
          <w:sz w:val="24"/>
          <w:szCs w:val="24"/>
        </w:rPr>
        <w:t xml:space="preserve">1</w:t>
      </w:r>
      <w:r>
        <w:rPr>
          <w:rFonts w:ascii="宋体" w:hAnsi="宋体"/>
          <w:b/>
          <w:sz w:val="24"/>
          <w:szCs w:val="24"/>
        </w:rPr>
        <w:t xml:space="preserve">2</w:t>
      </w:r>
      <w:r>
        <w:rPr>
          <w:rFonts w:hint="eastAsia" w:ascii="宋体" w:hAnsi="宋体"/>
          <w:b/>
          <w:sz w:val="24"/>
          <w:szCs w:val="24"/>
        </w:rPr>
        <w:t xml:space="preserve">、</w:t>
      </w:r>
      <w:r>
        <w:rPr>
          <w:rFonts w:ascii="宋体" w:hAnsi="宋体" w:cs="宋体"/>
          <w:b/>
          <w:sz w:val="24"/>
          <w:szCs w:val="24"/>
        </w:rPr>
        <w:t xml:space="preserve">残疾人福利性单位声明函</w:t>
      </w:r>
      <w:r/>
    </w:p>
    <w:p>
      <w:pPr>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信达项目咨询管理（苏州）有限公司</w:t>
      </w:r>
      <w:r>
        <w:rPr>
          <w:rFonts w:ascii="宋体" w:hAnsi="宋体" w:cs="宋体"/>
          <w:sz w:val="24"/>
          <w:szCs w:val="24"/>
        </w:rPr>
        <w:t xml:space="preserve">：</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ind w:firstLine="4608"/>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spacing w:line="360" w:lineRule="auto"/>
        <w:rPr>
          <w:rFonts w:ascii="宋体" w:hAnsi="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3.供应商提供的《残疾人福利性单位声明函》与事实不符的，依照《政府采购法》第七十七条第一款的规定追究法律责任。</w:t>
      </w:r>
      <w:r/>
    </w:p>
    <w:p>
      <w:pPr>
        <w:pStyle w:val="762"/>
        <w:spacing w:line="360" w:lineRule="auto"/>
        <w:rPr>
          <w:rFonts w:hAnsi="宋体"/>
          <w:b/>
          <w:sz w:val="24"/>
        </w:rPr>
      </w:pPr>
      <w:r>
        <w:rPr>
          <w:rFonts w:hint="eastAsia" w:hAnsi="宋体"/>
          <w:b/>
          <w:sz w:val="24"/>
        </w:rPr>
        <w:t xml:space="preserve">附件：</w:t>
      </w:r>
      <w:r/>
    </w:p>
    <w:p>
      <w:pPr>
        <w:pStyle w:val="771"/>
        <w:ind w:firstLine="360"/>
        <w:spacing w:beforeAutospacing="0" w:afterAutospacing="0" w:line="360" w:lineRule="auto"/>
        <w:rPr>
          <w:rFonts w:ascii="宋体" w:hAnsi="宋体"/>
        </w:rPr>
      </w:pPr>
      <w:r>
        <w:rPr>
          <w:rFonts w:hint="eastAsia" w:ascii="宋体" w:hAnsi="宋体"/>
        </w:rPr>
        <w:t xml:space="preserve">代理服务收费标准</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000000" w:sz="8" w:space="0"/>
            </w:tcBorders>
            <w:tcW w:w="2598"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公布预算金额的采购项目</w:t>
            </w:r>
            <w:r/>
          </w:p>
          <w:p>
            <w:pPr>
              <w:jc w:val="center"/>
              <w:spacing w:line="360" w:lineRule="auto"/>
              <w:rPr>
                <w:rFonts w:ascii="宋体" w:hAnsi="宋体"/>
                <w:sz w:val="24"/>
                <w:szCs w:val="24"/>
              </w:rPr>
            </w:pPr>
            <w:r>
              <w:rPr>
                <w:rFonts w:hint="eastAsia" w:ascii="宋体" w:hAnsi="宋体"/>
                <w:sz w:val="24"/>
                <w:szCs w:val="24"/>
              </w:rPr>
              <w:t xml:space="preserve">收费基数（万元）</w:t>
            </w:r>
            <w:r/>
          </w:p>
        </w:tc>
        <w:tc>
          <w:tcPr>
            <w:tcBorders>
              <w:top w:val="single" w:color="000000" w:sz="8" w:space="0"/>
            </w:tcBorders>
            <w:tcW w:w="742"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基数依据</w:t>
            </w:r>
            <w:r/>
          </w:p>
        </w:tc>
        <w:tc>
          <w:tcPr>
            <w:tcBorders>
              <w:top w:val="single" w:color="000000" w:sz="8" w:space="0"/>
            </w:tcBorders>
            <w:tcW w:w="133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收费比例</w:t>
            </w:r>
            <w:r/>
          </w:p>
          <w:p>
            <w:pPr>
              <w:jc w:val="center"/>
              <w:spacing w:line="360" w:lineRule="auto"/>
              <w:rPr>
                <w:rFonts w:ascii="宋体" w:hAnsi="宋体"/>
                <w:sz w:val="24"/>
                <w:szCs w:val="24"/>
              </w:rPr>
            </w:pPr>
            <w:r>
              <w:rPr>
                <w:rFonts w:hint="eastAsia" w:ascii="宋体" w:hAnsi="宋体"/>
                <w:sz w:val="24"/>
                <w:szCs w:val="24"/>
              </w:rPr>
              <w:t xml:space="preserve">上限（</w:t>
            </w:r>
            <w:r>
              <w:rPr>
                <w:rFonts w:ascii="宋体" w:hAnsi="宋体"/>
                <w:sz w:val="24"/>
                <w:szCs w:val="24"/>
              </w:rPr>
              <w:t xml:space="preserve">%</w:t>
            </w:r>
            <w:r>
              <w:rPr>
                <w:rFonts w:hint="eastAsia" w:ascii="宋体" w:hAnsi="宋体"/>
                <w:sz w:val="24"/>
                <w:szCs w:val="24"/>
              </w:rPr>
              <w:t xml:space="preserve">）</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p>
        </w:tc>
        <w:tc>
          <w:tcPr>
            <w:tcW w:w="2598" w:type="pct"/>
            <w:vAlign w:val="center"/>
            <w:textDirection w:val="lrTb"/>
            <w:noWrap w:val="false"/>
          </w:tcPr>
          <w:p>
            <w:pPr>
              <w:pStyle w:val="719"/>
              <w:ind w:firstLine="0"/>
              <w:jc w:val="center"/>
              <w:spacing w:line="360" w:lineRule="auto"/>
              <w:rPr>
                <w:spacing w:val="-4"/>
              </w:rPr>
            </w:pPr>
            <w:r>
              <w:rPr>
                <w:spacing w:val="-4"/>
              </w:rPr>
              <w:t xml:space="preserve">100</w:t>
            </w:r>
            <w:r>
              <w:rPr>
                <w:rFonts w:hint="eastAsia"/>
                <w:spacing w:val="-4"/>
              </w:rPr>
              <w:t xml:space="preserve">万元</w:t>
            </w:r>
            <w:r>
              <w:rPr>
                <w:rFonts w:hint="eastAsia"/>
              </w:rPr>
              <w:t xml:space="preserve">（含）</w:t>
            </w:r>
            <w:r>
              <w:rPr>
                <w:rFonts w:hint="eastAsia"/>
                <w:spacing w:val="-4"/>
              </w:rPr>
              <w:t xml:space="preserve">以下部分</w:t>
            </w:r>
            <w:r/>
          </w:p>
        </w:tc>
        <w:tc>
          <w:tcPr>
            <w:tcW w:w="742" w:type="pct"/>
            <w:vAlign w:val="center"/>
            <w:vMerge w:val="restart"/>
            <w:textDirection w:val="lrTb"/>
            <w:noWrap w:val="false"/>
          </w:tcPr>
          <w:p>
            <w:pPr>
              <w:jc w:val="center"/>
              <w:spacing w:line="360" w:lineRule="auto"/>
              <w:rPr>
                <w:rFonts w:ascii="宋体" w:hAnsi="宋体"/>
                <w:sz w:val="24"/>
                <w:szCs w:val="24"/>
              </w:rPr>
            </w:pPr>
            <w:r>
              <w:rPr>
                <w:rFonts w:hint="eastAsia" w:ascii="MS Gothic" w:hAnsi="MS Gothic" w:eastAsia="MS Gothic" w:cs="MS Gothic"/>
                <w:sz w:val="24"/>
                <w:szCs w:val="24"/>
                <w:shd w:val="clear" w:color="auto" w:fill="ffffff"/>
              </w:rPr>
              <w:t xml:space="preserve">☑</w:t>
            </w:r>
            <w:r>
              <w:rPr>
                <w:rFonts w:hint="eastAsia" w:ascii="宋体" w:hAnsi="宋体" w:cs="宋体"/>
                <w:sz w:val="24"/>
                <w:szCs w:val="24"/>
              </w:rPr>
              <w:t xml:space="preserve">预算金额</w:t>
            </w:r>
            <w:r/>
          </w:p>
        </w:tc>
        <w:tc>
          <w:tcPr>
            <w:tcW w:w="1334" w:type="pct"/>
            <w:textDirection w:val="lrTb"/>
            <w:noWrap w:val="false"/>
          </w:tcPr>
          <w:p>
            <w:pPr>
              <w:pStyle w:val="719"/>
              <w:ind w:firstLine="0"/>
              <w:jc w:val="center"/>
              <w:spacing w:line="360" w:lineRule="auto"/>
              <w:rPr>
                <w:spacing w:val="-4"/>
              </w:rPr>
            </w:pPr>
            <w:r>
              <w:rPr>
                <w:spacing w:val="-4"/>
              </w:rPr>
              <w:t xml:space="preserve">1.5%</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2</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100</w:t>
            </w:r>
            <w:r>
              <w:rPr>
                <w:rFonts w:hint="eastAsia" w:ascii="宋体" w:hAnsi="宋体" w:cs="宋体"/>
                <w:sz w:val="24"/>
                <w:szCs w:val="24"/>
              </w:rPr>
              <w:t xml:space="preserve">万元</w:t>
            </w:r>
            <w:r>
              <w:rPr>
                <w:rFonts w:ascii="宋体" w:hAnsi="宋体"/>
                <w:sz w:val="24"/>
                <w:szCs w:val="24"/>
              </w:rPr>
              <w:t xml:space="preserve">~ 500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1.1%</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3</w:t>
            </w:r>
            <w:r/>
          </w:p>
        </w:tc>
        <w:tc>
          <w:tcPr>
            <w:tcW w:w="2598" w:type="pct"/>
            <w:vAlign w:val="center"/>
            <w:textDirection w:val="lrTb"/>
            <w:noWrap w:val="false"/>
          </w:tcPr>
          <w:p>
            <w:pPr>
              <w:pStyle w:val="719"/>
              <w:ind w:firstLine="0"/>
              <w:jc w:val="center"/>
              <w:spacing w:line="360" w:lineRule="auto"/>
              <w:rPr>
                <w:spacing w:val="-4"/>
              </w:rPr>
            </w:pPr>
            <w:r>
              <w:rPr>
                <w:spacing w:val="-4"/>
              </w:rPr>
              <w:t xml:space="preserve">500</w:t>
            </w:r>
            <w:r>
              <w:rPr>
                <w:rFonts w:hint="eastAsia"/>
                <w:spacing w:val="-4"/>
              </w:rPr>
              <w:t xml:space="preserve">万元</w:t>
            </w:r>
            <w:r>
              <w:rPr>
                <w:spacing w:val="-4"/>
              </w:rPr>
              <w:t xml:space="preserve">~1000</w:t>
            </w:r>
            <w:r>
              <w:rPr>
                <w:rFonts w:hint="eastAsia"/>
                <w:spacing w:val="-4"/>
              </w:rPr>
              <w:t xml:space="preserve">万元</w:t>
            </w:r>
            <w:r>
              <w:rPr>
                <w:rFonts w:hint="eastAsia"/>
              </w:rPr>
              <w:t xml:space="preserve">（含）</w:t>
            </w:r>
            <w:r>
              <w:rPr>
                <w:rFonts w:hint="eastAsia"/>
                <w:spacing w:val="-4"/>
              </w:rPr>
              <w:t xml:space="preserve">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0.8%</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4</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1000</w:t>
            </w:r>
            <w:r>
              <w:rPr>
                <w:rFonts w:hint="eastAsia" w:ascii="宋体" w:hAnsi="宋体" w:cs="宋体"/>
                <w:sz w:val="24"/>
                <w:szCs w:val="24"/>
              </w:rPr>
              <w:t xml:space="preserve">万元</w:t>
            </w:r>
            <w:r>
              <w:rPr>
                <w:rFonts w:ascii="宋体" w:hAnsi="宋体"/>
                <w:sz w:val="24"/>
                <w:szCs w:val="24"/>
              </w:rPr>
              <w:t xml:space="preserve">~5000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0.5%</w:t>
            </w:r>
            <w:r/>
          </w:p>
        </w:tc>
      </w:tr>
      <w:tr>
        <w:trPr>
          <w:cantSplit/>
          <w:trHeight w:val="317"/>
        </w:trPr>
        <w:tc>
          <w:tcPr>
            <w:tcW w:w="327"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5</w:t>
            </w:r>
            <w:r/>
          </w:p>
        </w:tc>
        <w:tc>
          <w:tcPr>
            <w:tcW w:w="2598" w:type="pct"/>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5000</w:t>
            </w:r>
            <w:r>
              <w:rPr>
                <w:rFonts w:hint="eastAsia" w:ascii="宋体" w:hAnsi="宋体" w:cs="宋体"/>
                <w:sz w:val="24"/>
                <w:szCs w:val="24"/>
              </w:rPr>
              <w:t xml:space="preserve">万元以上部分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19"/>
              <w:ind w:firstLine="0"/>
              <w:jc w:val="center"/>
              <w:spacing w:line="360" w:lineRule="auto"/>
              <w:rPr>
                <w:spacing w:val="-4"/>
              </w:rPr>
            </w:pPr>
            <w:r>
              <w:rPr>
                <w:spacing w:val="-4"/>
              </w:rPr>
              <w:t xml:space="preserve">0.25%</w:t>
            </w:r>
            <w:r/>
          </w:p>
        </w:tc>
      </w:tr>
      <w:tr>
        <w:trPr>
          <w:trHeight w:val="317"/>
        </w:trPr>
        <w:tc>
          <w:tcPr>
            <w:gridSpan w:val="4"/>
            <w:tcW w:w="5000" w:type="pct"/>
            <w:vAlign w:val="center"/>
            <w:textDirection w:val="lrTb"/>
            <w:noWrap w:val="false"/>
          </w:tcPr>
          <w:p>
            <w:pPr>
              <w:pStyle w:val="719"/>
              <w:ind w:firstLine="0"/>
              <w:spacing w:line="360" w:lineRule="auto"/>
              <w:rPr>
                <w:spacing w:val="-4"/>
              </w:rPr>
            </w:pPr>
            <w:r>
              <w:rPr>
                <w:rFonts w:hint="eastAsia"/>
                <w:spacing w:val="-4"/>
              </w:rPr>
              <w:t xml:space="preserve">备注：</w:t>
            </w:r>
            <w:r/>
          </w:p>
          <w:p>
            <w:pPr>
              <w:pStyle w:val="719"/>
              <w:ind w:firstLine="464"/>
              <w:spacing w:line="360" w:lineRule="auto"/>
              <w:rPr>
                <w:spacing w:val="-4"/>
              </w:rPr>
            </w:pPr>
            <w:r>
              <w:rPr>
                <w:spacing w:val="-4"/>
              </w:rPr>
              <w:t xml:space="preserve">1</w:t>
            </w:r>
            <w:r>
              <w:rPr>
                <w:rFonts w:hint="eastAsia"/>
                <w:spacing w:val="-4"/>
              </w:rPr>
              <w:t xml:space="preserve">、代理服务收费以“收费基数”为标准，按收费比例差额定率累进法计算；</w:t>
            </w:r>
            <w:r/>
          </w:p>
          <w:p>
            <w:pPr>
              <w:pStyle w:val="719"/>
              <w:ind w:firstLine="464"/>
              <w:spacing w:line="360" w:lineRule="auto"/>
              <w:rPr>
                <w:spacing w:val="-4"/>
              </w:rPr>
            </w:pPr>
            <w:r>
              <w:rPr>
                <w:spacing w:val="-4"/>
              </w:rPr>
              <w:t xml:space="preserve">2</w:t>
            </w:r>
            <w:r>
              <w:rPr>
                <w:rFonts w:hint="eastAsia"/>
                <w:spacing w:val="-4"/>
              </w:rPr>
              <w:t xml:space="preserve">、单个项目收费不低于</w:t>
            </w:r>
            <w:r>
              <w:rPr>
                <w:spacing w:val="-4"/>
              </w:rPr>
              <w:t xml:space="preserve">3000</w:t>
            </w:r>
            <w:r>
              <w:rPr>
                <w:rFonts w:hint="eastAsia"/>
                <w:spacing w:val="-4"/>
              </w:rPr>
              <w:t xml:space="preserve">元；</w:t>
            </w:r>
            <w:r/>
          </w:p>
          <w:p>
            <w:pPr>
              <w:pStyle w:val="719"/>
              <w:ind w:firstLine="464"/>
              <w:spacing w:line="360" w:lineRule="auto"/>
              <w:rPr>
                <w:spacing w:val="-4"/>
              </w:rPr>
            </w:pPr>
            <w:r>
              <w:rPr>
                <w:spacing w:val="-4"/>
              </w:rPr>
              <w:t xml:space="preserve">3</w:t>
            </w:r>
            <w:r>
              <w:rPr>
                <w:rFonts w:hint="eastAsia"/>
                <w:spacing w:val="-4"/>
              </w:rPr>
              <w:t xml:space="preserve">、</w:t>
            </w:r>
            <w:r>
              <w:rPr>
                <w:spacing w:val="-4"/>
              </w:rPr>
              <w:t xml:space="preserve">“</w:t>
            </w:r>
            <w:r>
              <w:rPr>
                <w:rFonts w:hint="eastAsia"/>
                <w:spacing w:val="-4"/>
              </w:rPr>
              <w:t xml:space="preserve">单价采购项目”、“定点供应商采购”有预算的以预算为准，以“收费基数”标准，按收费比例差额定率累进法计算服务费总收取额。</w:t>
            </w:r>
            <w:r/>
          </w:p>
        </w:tc>
      </w:tr>
    </w:tbl>
    <w:p>
      <w:pPr>
        <w:pStyle w:val="771"/>
        <w:ind w:firstLine="7200"/>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rPr>
      </w:pPr>
      <w:r>
        <w:rPr>
          <w:rFonts w:hint="eastAsia" w:ascii="宋体" w:hAnsi="宋体" w:cs="宋体"/>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PMingLiU">
    <w:panose1 w:val="02020500000000000000"/>
  </w:font>
  <w:font w:name="MS Gothic">
    <w:panose1 w:val="020B0609070205080204"/>
  </w:font>
  <w:font w:name="MingLiU">
    <w:panose1 w:val="02020500000000000000"/>
  </w:font>
  <w:font w:name="sans-serif">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0"/>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4" w:hanging="50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japaneseCounting"/>
      <w:isLgl w:val="false"/>
      <w:suff w:val="tab"/>
      <w:lvlText w:val="%1、"/>
      <w:lvlJc w:val="left"/>
      <w:pPr>
        <w:ind w:left="720" w:hanging="720"/>
      </w:pPr>
      <w:rPr>
        <w:rFonts w:hint="default"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none"/>
      <w:isLgl w:val="false"/>
      <w:suff w:val="tab"/>
      <w:lvlText w:val="四、"/>
      <w:lvlJc w:val="left"/>
      <w:pPr>
        <w:ind w:left="504" w:hanging="504"/>
      </w:pPr>
      <w:rPr>
        <w:rFonts w:hint="default" w:cs="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2"/>
      <w:numFmt w:val="decimal"/>
      <w:pStyle w:val="745"/>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7"/>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2"/>
  </w:num>
  <w:num w:numId="6">
    <w:abstractNumId w:val="9"/>
  </w:num>
  <w:num w:numId="7">
    <w:abstractNumId w:val="7"/>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qFormat/>
    <w:pPr>
      <w:jc w:val="both"/>
      <w:widowControl w:val="off"/>
    </w:pPr>
    <w:rPr>
      <w:sz w:val="21"/>
      <w:szCs w:val="22"/>
    </w:rPr>
  </w:style>
  <w:style w:type="paragraph" w:styleId="688">
    <w:name w:val="Heading 1"/>
    <w:basedOn w:val="687"/>
    <w:next w:val="687"/>
    <w:link w:val="746"/>
    <w:uiPriority w:val="9"/>
    <w:qFormat/>
    <w:pPr>
      <w:keepLines/>
      <w:keepNext/>
      <w:spacing w:before="480" w:after="200"/>
      <w:outlineLvl w:val="0"/>
    </w:pPr>
    <w:rPr>
      <w:rFonts w:ascii="Arial" w:hAnsi="Arial" w:eastAsia="Arial"/>
      <w:sz w:val="40"/>
      <w:szCs w:val="40"/>
      <w:lang w:eastAsia="en-US"/>
    </w:rPr>
  </w:style>
  <w:style w:type="paragraph" w:styleId="689">
    <w:name w:val="Heading 2"/>
    <w:basedOn w:val="687"/>
    <w:next w:val="687"/>
    <w:link w:val="747"/>
    <w:uiPriority w:val="9"/>
    <w:qFormat/>
    <w:pPr>
      <w:keepLines/>
      <w:keepNext/>
      <w:spacing w:before="360" w:after="200"/>
      <w:outlineLvl w:val="1"/>
    </w:pPr>
    <w:rPr>
      <w:rFonts w:ascii="Arial" w:hAnsi="Arial" w:eastAsia="Arial"/>
      <w:sz w:val="34"/>
      <w:szCs w:val="20"/>
      <w:lang w:eastAsia="en-US"/>
    </w:rPr>
  </w:style>
  <w:style w:type="paragraph" w:styleId="690">
    <w:name w:val="Heading 3"/>
    <w:basedOn w:val="687"/>
    <w:next w:val="687"/>
    <w:link w:val="748"/>
    <w:uiPriority w:val="9"/>
    <w:qFormat/>
    <w:pPr>
      <w:keepLines/>
      <w:keepNext/>
      <w:spacing w:before="320" w:after="200"/>
      <w:outlineLvl w:val="2"/>
    </w:pPr>
    <w:rPr>
      <w:rFonts w:ascii="Arial" w:hAnsi="Arial" w:eastAsia="Arial"/>
      <w:sz w:val="30"/>
      <w:szCs w:val="30"/>
      <w:lang w:eastAsia="en-US"/>
    </w:rPr>
  </w:style>
  <w:style w:type="paragraph" w:styleId="691">
    <w:name w:val="Heading 4"/>
    <w:basedOn w:val="687"/>
    <w:next w:val="687"/>
    <w:link w:val="749"/>
    <w:uiPriority w:val="9"/>
    <w:qFormat/>
    <w:pPr>
      <w:keepLines/>
      <w:keepNext/>
      <w:spacing w:before="320" w:after="200"/>
      <w:outlineLvl w:val="3"/>
    </w:pPr>
    <w:rPr>
      <w:rFonts w:ascii="Arial" w:hAnsi="Arial" w:eastAsia="Arial"/>
      <w:b/>
      <w:bCs/>
      <w:sz w:val="26"/>
      <w:szCs w:val="26"/>
      <w:lang w:eastAsia="en-US"/>
    </w:rPr>
  </w:style>
  <w:style w:type="paragraph" w:styleId="692">
    <w:name w:val="Heading 5"/>
    <w:basedOn w:val="687"/>
    <w:next w:val="687"/>
    <w:link w:val="750"/>
    <w:uiPriority w:val="9"/>
    <w:qFormat/>
    <w:pPr>
      <w:keepLines/>
      <w:keepNext/>
      <w:spacing w:before="320" w:after="200"/>
      <w:outlineLvl w:val="4"/>
    </w:pPr>
    <w:rPr>
      <w:rFonts w:ascii="Arial" w:hAnsi="Arial" w:eastAsia="Arial"/>
      <w:b/>
      <w:bCs/>
      <w:sz w:val="24"/>
      <w:szCs w:val="24"/>
      <w:lang w:eastAsia="en-US"/>
    </w:rPr>
  </w:style>
  <w:style w:type="paragraph" w:styleId="693">
    <w:name w:val="Heading 6"/>
    <w:basedOn w:val="687"/>
    <w:next w:val="687"/>
    <w:link w:val="751"/>
    <w:uiPriority w:val="9"/>
    <w:qFormat/>
    <w:pPr>
      <w:keepLines/>
      <w:keepNext/>
      <w:spacing w:before="320" w:after="200"/>
      <w:outlineLvl w:val="5"/>
    </w:pPr>
    <w:rPr>
      <w:rFonts w:ascii="Arial" w:hAnsi="Arial" w:eastAsia="Arial"/>
      <w:b/>
      <w:bCs/>
      <w:sz w:val="22"/>
      <w:lang w:eastAsia="en-US"/>
    </w:rPr>
  </w:style>
  <w:style w:type="paragraph" w:styleId="694">
    <w:name w:val="Heading 7"/>
    <w:basedOn w:val="687"/>
    <w:next w:val="687"/>
    <w:link w:val="752"/>
    <w:uiPriority w:val="9"/>
    <w:qFormat/>
    <w:pPr>
      <w:keepLines/>
      <w:keepNext/>
      <w:spacing w:before="320" w:after="200"/>
      <w:outlineLvl w:val="6"/>
    </w:pPr>
    <w:rPr>
      <w:rFonts w:ascii="Arial" w:hAnsi="Arial" w:eastAsia="Arial"/>
      <w:b/>
      <w:bCs/>
      <w:i/>
      <w:iCs/>
      <w:sz w:val="22"/>
      <w:lang w:eastAsia="en-US"/>
    </w:rPr>
  </w:style>
  <w:style w:type="paragraph" w:styleId="695">
    <w:name w:val="Heading 8"/>
    <w:basedOn w:val="687"/>
    <w:next w:val="687"/>
    <w:link w:val="753"/>
    <w:uiPriority w:val="9"/>
    <w:qFormat/>
    <w:pPr>
      <w:keepLines/>
      <w:keepNext/>
      <w:spacing w:before="320" w:after="200"/>
      <w:outlineLvl w:val="7"/>
    </w:pPr>
    <w:rPr>
      <w:rFonts w:ascii="Arial" w:hAnsi="Arial" w:eastAsia="Arial"/>
      <w:i/>
      <w:iCs/>
      <w:sz w:val="22"/>
      <w:lang w:eastAsia="en-US"/>
    </w:rPr>
  </w:style>
  <w:style w:type="paragraph" w:styleId="696">
    <w:name w:val="Heading 9"/>
    <w:basedOn w:val="687"/>
    <w:next w:val="687"/>
    <w:link w:val="754"/>
    <w:uiPriority w:val="9"/>
    <w:qFormat/>
    <w:pPr>
      <w:keepLines/>
      <w:keepNext/>
      <w:spacing w:before="320" w:after="200"/>
      <w:outlineLvl w:val="8"/>
    </w:pPr>
    <w:rPr>
      <w:rFonts w:ascii="Arial" w:hAnsi="Arial" w:eastAsia="Arial"/>
      <w:i/>
      <w:iCs/>
      <w:szCs w:val="21"/>
      <w:lang w:eastAsia="en-US"/>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table" w:styleId="700">
    <w:name w:val="Plain Table 1"/>
    <w:basedOn w:val="698"/>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698"/>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69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69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69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name w:val="Grid Table 1 Light"/>
    <w:basedOn w:val="698"/>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06">
    <w:name w:val="Grid Table 2"/>
    <w:basedOn w:val="69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07">
    <w:name w:val="Grid Table 3"/>
    <w:basedOn w:val="69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698"/>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09">
    <w:name w:val="Grid Table 5 Dark"/>
    <w:basedOn w:val="698"/>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10">
    <w:name w:val="Grid Table 6 Colorful"/>
    <w:basedOn w:val="698"/>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11">
    <w:name w:val="Grid Table 7 Colorful"/>
    <w:basedOn w:val="698"/>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12">
    <w:name w:val="List Table 1 Light"/>
    <w:basedOn w:val="698"/>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13">
    <w:name w:val="List Table 2"/>
    <w:basedOn w:val="698"/>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14">
    <w:name w:val="List Table 3"/>
    <w:basedOn w:val="698"/>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15">
    <w:name w:val="List Table 4"/>
    <w:basedOn w:val="698"/>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16">
    <w:name w:val="List Table 5 Dark"/>
    <w:basedOn w:val="698"/>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17">
    <w:name w:val="List Table 6 Colorful"/>
    <w:basedOn w:val="698"/>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18">
    <w:name w:val="List Table 7 Colorful"/>
    <w:basedOn w:val="698"/>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19">
    <w:name w:val="List Paragraph"/>
    <w:basedOn w:val="687"/>
    <w:uiPriority w:val="34"/>
    <w:qFormat/>
    <w:pPr>
      <w:ind w:firstLine="420"/>
      <w:jc w:val="left"/>
      <w:widowControl/>
    </w:pPr>
    <w:rPr>
      <w:rFonts w:ascii="宋体" w:hAnsi="宋体"/>
      <w:sz w:val="24"/>
      <w:szCs w:val="24"/>
    </w:rPr>
  </w:style>
  <w:style w:type="paragraph" w:styleId="720">
    <w:name w:val="No Spacing"/>
    <w:uiPriority w:val="1"/>
    <w:qFormat/>
  </w:style>
  <w:style w:type="paragraph" w:styleId="721">
    <w:name w:val="Title"/>
    <w:basedOn w:val="687"/>
    <w:next w:val="687"/>
    <w:link w:val="772"/>
    <w:uiPriority w:val="10"/>
    <w:qFormat/>
    <w:pPr>
      <w:contextualSpacing/>
      <w:spacing w:before="300" w:after="200"/>
    </w:pPr>
    <w:rPr>
      <w:sz w:val="48"/>
      <w:szCs w:val="48"/>
      <w:lang w:eastAsia="en-US"/>
    </w:rPr>
  </w:style>
  <w:style w:type="paragraph" w:styleId="722">
    <w:name w:val="Subtitle"/>
    <w:basedOn w:val="687"/>
    <w:next w:val="687"/>
    <w:link w:val="769"/>
    <w:uiPriority w:val="11"/>
    <w:qFormat/>
    <w:pPr>
      <w:spacing w:before="200" w:after="200"/>
    </w:pPr>
    <w:rPr>
      <w:sz w:val="24"/>
      <w:szCs w:val="24"/>
      <w:lang w:eastAsia="en-US"/>
    </w:rPr>
  </w:style>
  <w:style w:type="paragraph" w:styleId="723">
    <w:name w:val="Quote"/>
    <w:basedOn w:val="687"/>
    <w:next w:val="687"/>
    <w:link w:val="780"/>
    <w:uiPriority w:val="29"/>
    <w:qFormat/>
    <w:pPr>
      <w:ind w:left="720" w:right="720"/>
    </w:pPr>
    <w:rPr>
      <w:i/>
      <w:sz w:val="20"/>
      <w:szCs w:val="20"/>
      <w:lang w:eastAsia="en-US"/>
    </w:rPr>
  </w:style>
  <w:style w:type="paragraph" w:styleId="724">
    <w:name w:val="Intense Quote"/>
    <w:basedOn w:val="687"/>
    <w:next w:val="687"/>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25">
    <w:name w:val="Header"/>
    <w:basedOn w:val="687"/>
    <w:link w:val="768"/>
    <w:uiPriority w:val="99"/>
    <w:unhideWhenUsed/>
    <w:qFormat/>
    <w:pPr>
      <w:jc w:val="center"/>
      <w:tabs>
        <w:tab w:val="center" w:pos="4153" w:leader="none"/>
        <w:tab w:val="right" w:pos="8306" w:leader="none"/>
      </w:tabs>
    </w:pPr>
    <w:rPr>
      <w:sz w:val="18"/>
      <w:szCs w:val="18"/>
      <w:lang w:eastAsia="en-US"/>
    </w:rPr>
  </w:style>
  <w:style w:type="paragraph" w:styleId="726">
    <w:name w:val="Footer"/>
    <w:basedOn w:val="687"/>
    <w:link w:val="767"/>
    <w:uiPriority w:val="99"/>
    <w:qFormat/>
    <w:pPr>
      <w:jc w:val="left"/>
      <w:tabs>
        <w:tab w:val="center" w:pos="4153" w:leader="none"/>
        <w:tab w:val="right" w:pos="8306" w:leader="none"/>
      </w:tabs>
    </w:pPr>
    <w:rPr>
      <w:sz w:val="18"/>
      <w:szCs w:val="18"/>
      <w:lang w:eastAsia="en-US"/>
    </w:rPr>
  </w:style>
  <w:style w:type="paragraph" w:styleId="727">
    <w:name w:val="Caption"/>
    <w:basedOn w:val="687"/>
    <w:next w:val="687"/>
    <w:uiPriority w:val="35"/>
    <w:qFormat/>
    <w:pPr>
      <w:spacing w:line="276" w:lineRule="auto"/>
    </w:pPr>
    <w:rPr>
      <w:b/>
      <w:bCs/>
      <w:color w:val="4f81bd"/>
      <w:sz w:val="18"/>
      <w:szCs w:val="18"/>
    </w:rPr>
  </w:style>
  <w:style w:type="table" w:styleId="728">
    <w:name w:val="Table Grid"/>
    <w:uiPriority w:val="59"/>
    <w:qFormat/>
    <w:tblPr>
      <w:tblCellMar>
        <w:left w:w="0" w:type="dxa"/>
        <w:top w:w="0" w:type="dxa"/>
        <w:right w:w="0" w:type="dxa"/>
        <w:bottom w:w="0" w:type="dxa"/>
      </w:tblCellMar>
    </w:tblPr>
  </w:style>
  <w:style w:type="character" w:styleId="729">
    <w:name w:val="Hyperlink"/>
    <w:uiPriority w:val="99"/>
    <w:unhideWhenUsed/>
    <w:qFormat/>
    <w:rPr>
      <w:color w:val="0000ff"/>
      <w:u w:val="single"/>
    </w:rPr>
  </w:style>
  <w:style w:type="paragraph" w:styleId="730">
    <w:name w:val="footnote text"/>
    <w:basedOn w:val="687"/>
    <w:link w:val="770"/>
    <w:uiPriority w:val="99"/>
    <w:unhideWhenUsed/>
    <w:qFormat/>
    <w:pPr>
      <w:spacing w:after="40"/>
    </w:pPr>
    <w:rPr>
      <w:sz w:val="18"/>
      <w:szCs w:val="20"/>
      <w:lang w:eastAsia="en-US"/>
    </w:rPr>
  </w:style>
  <w:style w:type="character" w:styleId="731">
    <w:name w:val="footnote reference"/>
    <w:uiPriority w:val="99"/>
    <w:unhideWhenUsed/>
    <w:qFormat/>
    <w:rPr>
      <w:vertAlign w:val="superscript"/>
    </w:rPr>
  </w:style>
  <w:style w:type="paragraph" w:styleId="732">
    <w:name w:val="endnote text"/>
    <w:basedOn w:val="687"/>
    <w:link w:val="764"/>
    <w:uiPriority w:val="99"/>
    <w:unhideWhenUsed/>
    <w:qFormat/>
    <w:rPr>
      <w:sz w:val="20"/>
      <w:szCs w:val="20"/>
      <w:lang w:eastAsia="en-US"/>
    </w:rPr>
  </w:style>
  <w:style w:type="character" w:styleId="733">
    <w:name w:val="endnote reference"/>
    <w:uiPriority w:val="99"/>
    <w:unhideWhenUsed/>
    <w:qFormat/>
    <w:rPr>
      <w:vertAlign w:val="superscript"/>
    </w:rPr>
  </w:style>
  <w:style w:type="paragraph" w:styleId="734">
    <w:name w:val="toc 1"/>
    <w:basedOn w:val="687"/>
    <w:next w:val="687"/>
    <w:qFormat/>
    <w:pPr>
      <w:jc w:val="left"/>
    </w:pPr>
    <w:rPr>
      <w:rFonts w:ascii="宋体" w:hAnsi="宋体" w:eastAsia="楷体_GB2312"/>
      <w:sz w:val="24"/>
      <w:szCs w:val="21"/>
    </w:rPr>
  </w:style>
  <w:style w:type="paragraph" w:styleId="735">
    <w:name w:val="toc 2"/>
    <w:basedOn w:val="687"/>
    <w:next w:val="687"/>
    <w:uiPriority w:val="39"/>
    <w:unhideWhenUsed/>
    <w:qFormat/>
    <w:pPr>
      <w:ind w:left="283"/>
      <w:spacing w:after="57"/>
    </w:pPr>
  </w:style>
  <w:style w:type="paragraph" w:styleId="736">
    <w:name w:val="toc 3"/>
    <w:basedOn w:val="687"/>
    <w:next w:val="687"/>
    <w:uiPriority w:val="39"/>
    <w:unhideWhenUsed/>
    <w:qFormat/>
    <w:pPr>
      <w:ind w:left="567"/>
      <w:spacing w:after="57"/>
    </w:pPr>
  </w:style>
  <w:style w:type="paragraph" w:styleId="737">
    <w:name w:val="toc 4"/>
    <w:basedOn w:val="687"/>
    <w:next w:val="687"/>
    <w:uiPriority w:val="39"/>
    <w:unhideWhenUsed/>
    <w:qFormat/>
    <w:pPr>
      <w:ind w:left="850"/>
      <w:spacing w:after="57"/>
    </w:pPr>
  </w:style>
  <w:style w:type="paragraph" w:styleId="738">
    <w:name w:val="toc 5"/>
    <w:basedOn w:val="687"/>
    <w:next w:val="687"/>
    <w:uiPriority w:val="39"/>
    <w:unhideWhenUsed/>
    <w:qFormat/>
    <w:pPr>
      <w:ind w:left="1134"/>
      <w:spacing w:after="57"/>
    </w:pPr>
  </w:style>
  <w:style w:type="paragraph" w:styleId="739">
    <w:name w:val="toc 6"/>
    <w:basedOn w:val="687"/>
    <w:next w:val="687"/>
    <w:uiPriority w:val="39"/>
    <w:unhideWhenUsed/>
    <w:qFormat/>
    <w:pPr>
      <w:ind w:left="1417"/>
      <w:spacing w:after="57"/>
    </w:pPr>
  </w:style>
  <w:style w:type="paragraph" w:styleId="740">
    <w:name w:val="toc 7"/>
    <w:basedOn w:val="687"/>
    <w:next w:val="687"/>
    <w:uiPriority w:val="39"/>
    <w:unhideWhenUsed/>
    <w:qFormat/>
    <w:pPr>
      <w:ind w:left="1701"/>
      <w:spacing w:after="57"/>
    </w:pPr>
  </w:style>
  <w:style w:type="paragraph" w:styleId="741">
    <w:name w:val="toc 8"/>
    <w:basedOn w:val="687"/>
    <w:next w:val="687"/>
    <w:uiPriority w:val="39"/>
    <w:unhideWhenUsed/>
    <w:qFormat/>
    <w:pPr>
      <w:ind w:left="1984"/>
      <w:spacing w:after="57"/>
    </w:pPr>
  </w:style>
  <w:style w:type="paragraph" w:styleId="742">
    <w:name w:val="toc 9"/>
    <w:basedOn w:val="687"/>
    <w:next w:val="687"/>
    <w:uiPriority w:val="39"/>
    <w:unhideWhenUsed/>
    <w:qFormat/>
    <w:pPr>
      <w:ind w:left="2268"/>
      <w:spacing w:after="57"/>
    </w:pPr>
  </w:style>
  <w:style w:type="paragraph" w:styleId="743">
    <w:name w:val="TOC Heading"/>
    <w:uiPriority w:val="39"/>
    <w:qFormat/>
  </w:style>
  <w:style w:type="paragraph" w:styleId="744">
    <w:name w:val="table of figures"/>
    <w:basedOn w:val="687"/>
    <w:next w:val="687"/>
    <w:uiPriority w:val="99"/>
    <w:unhideWhenUsed/>
    <w:qFormat/>
  </w:style>
  <w:style w:type="paragraph" w:styleId="745" w:customStyle="1">
    <w:name w:val="正文1"/>
    <w:basedOn w:val="687"/>
    <w:next w:val="687"/>
    <w:qFormat/>
    <w:pPr>
      <w:numPr>
        <w:numId w:val="1"/>
      </w:numPr>
      <w:spacing w:line="500" w:lineRule="exact"/>
      <w:tabs>
        <w:tab w:val="left" w:pos="360" w:leader="none"/>
      </w:tabs>
    </w:pPr>
    <w:rPr>
      <w:rFonts w:ascii="黑体" w:hAnsi="宋体"/>
    </w:rPr>
  </w:style>
  <w:style w:type="character" w:styleId="746" w:customStyle="1">
    <w:name w:val="标题 1 字符"/>
    <w:link w:val="688"/>
    <w:uiPriority w:val="9"/>
    <w:qFormat/>
    <w:rPr>
      <w:rFonts w:ascii="Arial" w:hAnsi="Arial" w:eastAsia="Arial" w:cs="Arial"/>
      <w:sz w:val="40"/>
      <w:szCs w:val="40"/>
    </w:rPr>
  </w:style>
  <w:style w:type="character" w:styleId="747" w:customStyle="1">
    <w:name w:val="标题 2 字符"/>
    <w:link w:val="689"/>
    <w:uiPriority w:val="9"/>
    <w:qFormat/>
    <w:rPr>
      <w:rFonts w:ascii="Arial" w:hAnsi="Arial" w:eastAsia="Arial" w:cs="Arial"/>
      <w:sz w:val="34"/>
    </w:rPr>
  </w:style>
  <w:style w:type="character" w:styleId="748" w:customStyle="1">
    <w:name w:val="标题 3 字符"/>
    <w:link w:val="690"/>
    <w:uiPriority w:val="9"/>
    <w:qFormat/>
    <w:rPr>
      <w:rFonts w:ascii="Arial" w:hAnsi="Arial" w:eastAsia="Arial" w:cs="Arial"/>
      <w:sz w:val="30"/>
      <w:szCs w:val="30"/>
    </w:rPr>
  </w:style>
  <w:style w:type="character" w:styleId="749" w:customStyle="1">
    <w:name w:val="标题 4 字符"/>
    <w:link w:val="691"/>
    <w:uiPriority w:val="9"/>
    <w:qFormat/>
    <w:rPr>
      <w:rFonts w:ascii="Arial" w:hAnsi="Arial" w:eastAsia="Arial" w:cs="Arial"/>
      <w:b/>
      <w:bCs/>
      <w:sz w:val="26"/>
      <w:szCs w:val="26"/>
    </w:rPr>
  </w:style>
  <w:style w:type="character" w:styleId="750" w:customStyle="1">
    <w:name w:val="标题 5 字符"/>
    <w:link w:val="692"/>
    <w:uiPriority w:val="9"/>
    <w:qFormat/>
    <w:rPr>
      <w:rFonts w:ascii="Arial" w:hAnsi="Arial" w:eastAsia="Arial" w:cs="Arial"/>
      <w:b/>
      <w:bCs/>
      <w:sz w:val="24"/>
      <w:szCs w:val="24"/>
    </w:rPr>
  </w:style>
  <w:style w:type="character" w:styleId="751" w:customStyle="1">
    <w:name w:val="标题 6 字符"/>
    <w:link w:val="693"/>
    <w:uiPriority w:val="9"/>
    <w:qFormat/>
    <w:rPr>
      <w:rFonts w:ascii="Arial" w:hAnsi="Arial" w:eastAsia="Arial" w:cs="Arial"/>
      <w:b/>
      <w:bCs/>
      <w:sz w:val="22"/>
      <w:szCs w:val="22"/>
    </w:rPr>
  </w:style>
  <w:style w:type="character" w:styleId="752" w:customStyle="1">
    <w:name w:val="标题 7 字符"/>
    <w:link w:val="694"/>
    <w:uiPriority w:val="9"/>
    <w:qFormat/>
    <w:rPr>
      <w:rFonts w:ascii="Arial" w:hAnsi="Arial" w:eastAsia="Arial" w:cs="Arial"/>
      <w:b/>
      <w:bCs/>
      <w:i/>
      <w:iCs/>
      <w:sz w:val="22"/>
      <w:szCs w:val="22"/>
    </w:rPr>
  </w:style>
  <w:style w:type="character" w:styleId="753" w:customStyle="1">
    <w:name w:val="标题 8 字符"/>
    <w:link w:val="695"/>
    <w:uiPriority w:val="9"/>
    <w:qFormat/>
    <w:rPr>
      <w:rFonts w:ascii="Arial" w:hAnsi="Arial" w:eastAsia="Arial" w:cs="Arial"/>
      <w:i/>
      <w:iCs/>
      <w:sz w:val="22"/>
      <w:szCs w:val="22"/>
    </w:rPr>
  </w:style>
  <w:style w:type="character" w:styleId="754" w:customStyle="1">
    <w:name w:val="标题 9 字符"/>
    <w:link w:val="696"/>
    <w:uiPriority w:val="9"/>
    <w:qFormat/>
    <w:rPr>
      <w:rFonts w:ascii="Arial" w:hAnsi="Arial" w:eastAsia="Arial" w:cs="Arial"/>
      <w:i/>
      <w:iCs/>
      <w:sz w:val="21"/>
      <w:szCs w:val="21"/>
    </w:rPr>
  </w:style>
  <w:style w:type="paragraph" w:styleId="755">
    <w:name w:val="Normal Indent"/>
    <w:basedOn w:val="687"/>
    <w:link w:val="756"/>
    <w:unhideWhenUsed/>
    <w:qFormat/>
    <w:pPr>
      <w:ind w:firstLine="420"/>
    </w:pPr>
    <w:rPr>
      <w:lang w:eastAsia="en-US"/>
    </w:rPr>
  </w:style>
  <w:style w:type="character" w:styleId="756" w:customStyle="1">
    <w:name w:val="正文缩进 字符"/>
    <w:link w:val="755"/>
    <w:qFormat/>
    <w:rPr>
      <w:sz w:val="21"/>
      <w:szCs w:val="22"/>
    </w:rPr>
  </w:style>
  <w:style w:type="paragraph" w:styleId="757">
    <w:name w:val="annotation text"/>
    <w:basedOn w:val="687"/>
    <w:link w:val="758"/>
    <w:uiPriority w:val="99"/>
    <w:unhideWhenUsed/>
    <w:qFormat/>
    <w:pPr>
      <w:jc w:val="left"/>
    </w:pPr>
    <w:rPr>
      <w:lang w:eastAsia="en-US"/>
    </w:rPr>
  </w:style>
  <w:style w:type="character" w:styleId="758" w:customStyle="1">
    <w:name w:val="批注文字 字符"/>
    <w:link w:val="757"/>
    <w:uiPriority w:val="99"/>
    <w:semiHidden/>
    <w:qFormat/>
    <w:rPr>
      <w:sz w:val="21"/>
      <w:szCs w:val="22"/>
    </w:rPr>
  </w:style>
  <w:style w:type="paragraph" w:styleId="759">
    <w:name w:val="Body Text"/>
    <w:basedOn w:val="687"/>
    <w:next w:val="755"/>
    <w:link w:val="760"/>
    <w:unhideWhenUsed/>
    <w:qFormat/>
    <w:pPr>
      <w:spacing w:after="120"/>
    </w:pPr>
    <w:rPr>
      <w:rFonts w:ascii="Times New Roman" w:hAnsi="Times New Roman"/>
      <w:szCs w:val="24"/>
      <w:lang w:eastAsia="en-US"/>
    </w:rPr>
  </w:style>
  <w:style w:type="character" w:styleId="760" w:customStyle="1">
    <w:name w:val="正文文本 字符"/>
    <w:link w:val="759"/>
    <w:qFormat/>
    <w:rPr>
      <w:rFonts w:ascii="Times New Roman" w:hAnsi="Times New Roman"/>
      <w:sz w:val="21"/>
      <w:szCs w:val="24"/>
    </w:rPr>
  </w:style>
  <w:style w:type="paragraph" w:styleId="761">
    <w:name w:val="Block Text"/>
    <w:basedOn w:val="687"/>
    <w:qFormat/>
    <w:pPr>
      <w:ind w:left="630" w:right="-609" w:firstLine="420"/>
      <w:spacing w:line="360" w:lineRule="auto"/>
    </w:pPr>
    <w:rPr>
      <w:rFonts w:hint="eastAsia" w:ascii="仿宋_GB2312" w:hAnsi="Times New Roman" w:eastAsia="仿宋_GB2312"/>
      <w:szCs w:val="20"/>
    </w:rPr>
  </w:style>
  <w:style w:type="paragraph" w:styleId="762">
    <w:name w:val="Plain Text"/>
    <w:basedOn w:val="687"/>
    <w:link w:val="763"/>
    <w:qFormat/>
    <w:rPr>
      <w:rFonts w:ascii="宋体" w:hAnsi="Courier New"/>
      <w:szCs w:val="24"/>
    </w:rPr>
  </w:style>
  <w:style w:type="character" w:styleId="763" w:customStyle="1">
    <w:name w:val="纯文本 字符1"/>
    <w:link w:val="762"/>
    <w:qFormat/>
    <w:rPr>
      <w:rFonts w:ascii="宋体" w:hAnsi="Courier New" w:eastAsia="楷体_GB2312"/>
      <w:sz w:val="26"/>
      <w:szCs w:val="24"/>
    </w:rPr>
  </w:style>
  <w:style w:type="character" w:styleId="764" w:customStyle="1">
    <w:name w:val="尾注文本 字符"/>
    <w:link w:val="732"/>
    <w:uiPriority w:val="99"/>
    <w:qFormat/>
    <w:rPr>
      <w:sz w:val="20"/>
    </w:rPr>
  </w:style>
  <w:style w:type="paragraph" w:styleId="765">
    <w:name w:val="Balloon Text"/>
    <w:basedOn w:val="687"/>
    <w:link w:val="766"/>
    <w:uiPriority w:val="99"/>
    <w:unhideWhenUsed/>
    <w:qFormat/>
    <w:rPr>
      <w:sz w:val="18"/>
      <w:szCs w:val="18"/>
      <w:lang w:eastAsia="en-US"/>
    </w:rPr>
  </w:style>
  <w:style w:type="character" w:styleId="766" w:customStyle="1">
    <w:name w:val="批注框文本 字符1"/>
    <w:link w:val="765"/>
    <w:uiPriority w:val="99"/>
    <w:semiHidden/>
    <w:qFormat/>
    <w:rPr>
      <w:sz w:val="18"/>
      <w:szCs w:val="18"/>
    </w:rPr>
  </w:style>
  <w:style w:type="character" w:styleId="767" w:customStyle="1">
    <w:name w:val="页脚 字符1"/>
    <w:link w:val="726"/>
    <w:uiPriority w:val="99"/>
    <w:qFormat/>
    <w:rPr>
      <w:rFonts w:ascii="Calibri" w:hAnsi="Calibri" w:eastAsia="宋体" w:cs="Times New Roman"/>
      <w:sz w:val="18"/>
      <w:szCs w:val="18"/>
    </w:rPr>
  </w:style>
  <w:style w:type="character" w:styleId="768" w:customStyle="1">
    <w:name w:val="页眉 字符1"/>
    <w:link w:val="725"/>
    <w:uiPriority w:val="99"/>
    <w:qFormat/>
    <w:rPr>
      <w:sz w:val="18"/>
      <w:szCs w:val="18"/>
    </w:rPr>
  </w:style>
  <w:style w:type="character" w:styleId="769" w:customStyle="1">
    <w:name w:val="副标题 字符"/>
    <w:link w:val="722"/>
    <w:uiPriority w:val="11"/>
    <w:qFormat/>
    <w:rPr>
      <w:sz w:val="24"/>
      <w:szCs w:val="24"/>
    </w:rPr>
  </w:style>
  <w:style w:type="character" w:styleId="770" w:customStyle="1">
    <w:name w:val="脚注文本 字符"/>
    <w:link w:val="730"/>
    <w:uiPriority w:val="99"/>
    <w:qFormat/>
    <w:rPr>
      <w:sz w:val="18"/>
    </w:rPr>
  </w:style>
  <w:style w:type="paragraph" w:styleId="771">
    <w:name w:val="Normal (Web)"/>
    <w:basedOn w:val="687"/>
    <w:uiPriority w:val="99"/>
    <w:qFormat/>
    <w:pPr>
      <w:jc w:val="left"/>
      <w:spacing w:beforeAutospacing="1" w:afterAutospacing="1"/>
    </w:pPr>
    <w:rPr>
      <w:sz w:val="24"/>
      <w:szCs w:val="24"/>
    </w:rPr>
  </w:style>
  <w:style w:type="character" w:styleId="772" w:customStyle="1">
    <w:name w:val="标题 字符"/>
    <w:link w:val="721"/>
    <w:uiPriority w:val="10"/>
    <w:qFormat/>
    <w:rPr>
      <w:sz w:val="48"/>
      <w:szCs w:val="48"/>
    </w:rPr>
  </w:style>
  <w:style w:type="paragraph" w:styleId="773">
    <w:name w:val="annotation subject"/>
    <w:basedOn w:val="757"/>
    <w:next w:val="757"/>
    <w:link w:val="774"/>
    <w:uiPriority w:val="99"/>
    <w:unhideWhenUsed/>
    <w:qFormat/>
    <w:rPr>
      <w:b/>
      <w:bCs/>
    </w:rPr>
  </w:style>
  <w:style w:type="character" w:styleId="774" w:customStyle="1">
    <w:name w:val="批注主题 字符"/>
    <w:link w:val="773"/>
    <w:uiPriority w:val="99"/>
    <w:semiHidden/>
    <w:qFormat/>
    <w:rPr>
      <w:b/>
      <w:bCs/>
      <w:sz w:val="21"/>
      <w:szCs w:val="22"/>
    </w:rPr>
  </w:style>
  <w:style w:type="paragraph" w:styleId="775">
    <w:name w:val="Body Text First Indent 2"/>
    <w:uiPriority w:val="99"/>
    <w:unhideWhenUsed/>
    <w:qFormat/>
    <w:pPr>
      <w:ind w:left="420" w:firstLine="420"/>
      <w:jc w:val="both"/>
      <w:spacing w:after="120"/>
      <w:widowControl w:val="off"/>
    </w:pPr>
    <w:rPr>
      <w:sz w:val="21"/>
    </w:rPr>
  </w:style>
  <w:style w:type="character" w:styleId="776">
    <w:name w:val="Strong"/>
    <w:qFormat/>
    <w:rPr>
      <w:b/>
    </w:rPr>
  </w:style>
  <w:style w:type="character" w:styleId="777">
    <w:name w:val="page number"/>
    <w:uiPriority w:val="99"/>
    <w:unhideWhenUsed/>
    <w:qFormat/>
  </w:style>
  <w:style w:type="character" w:styleId="778">
    <w:name w:val="Emphasis"/>
    <w:uiPriority w:val="20"/>
    <w:qFormat/>
    <w:rPr>
      <w:i/>
      <w:iCs/>
    </w:rPr>
  </w:style>
  <w:style w:type="character" w:styleId="779">
    <w:name w:val="annotation reference"/>
    <w:uiPriority w:val="99"/>
    <w:unhideWhenUsed/>
    <w:qFormat/>
    <w:rPr>
      <w:sz w:val="21"/>
      <w:szCs w:val="21"/>
    </w:rPr>
  </w:style>
  <w:style w:type="character" w:styleId="780" w:customStyle="1">
    <w:name w:val="引用 字符"/>
    <w:link w:val="723"/>
    <w:uiPriority w:val="29"/>
    <w:qFormat/>
    <w:rPr>
      <w:i/>
    </w:rPr>
  </w:style>
  <w:style w:type="character" w:styleId="781" w:customStyle="1">
    <w:name w:val="明显引用 字符"/>
    <w:link w:val="724"/>
    <w:uiPriority w:val="30"/>
    <w:qFormat/>
    <w:rPr>
      <w:i/>
    </w:rPr>
  </w:style>
  <w:style w:type="character" w:styleId="782" w:customStyle="1">
    <w:name w:val="Heading 1 Char"/>
    <w:uiPriority w:val="9"/>
    <w:rPr>
      <w:rFonts w:ascii="Arial" w:hAnsi="Arial" w:eastAsia="Arial" w:cs="Arial"/>
      <w:sz w:val="40"/>
      <w:szCs w:val="40"/>
    </w:rPr>
  </w:style>
  <w:style w:type="character" w:styleId="783" w:customStyle="1">
    <w:name w:val="Heading 2 Char"/>
    <w:uiPriority w:val="9"/>
    <w:rPr>
      <w:rFonts w:ascii="Arial" w:hAnsi="Arial" w:eastAsia="Arial" w:cs="Arial"/>
      <w:sz w:val="34"/>
    </w:rPr>
  </w:style>
  <w:style w:type="character" w:styleId="784" w:customStyle="1">
    <w:name w:val="Heading 3 Char"/>
    <w:uiPriority w:val="9"/>
    <w:rPr>
      <w:rFonts w:ascii="Arial" w:hAnsi="Arial" w:eastAsia="Arial" w:cs="Arial"/>
      <w:sz w:val="30"/>
      <w:szCs w:val="30"/>
    </w:rPr>
  </w:style>
  <w:style w:type="character" w:styleId="785" w:customStyle="1">
    <w:name w:val="Heading 4 Char"/>
    <w:uiPriority w:val="9"/>
    <w:rPr>
      <w:rFonts w:ascii="Arial" w:hAnsi="Arial" w:eastAsia="Arial" w:cs="Arial"/>
      <w:b/>
      <w:bCs/>
      <w:sz w:val="26"/>
      <w:szCs w:val="26"/>
    </w:rPr>
  </w:style>
  <w:style w:type="character" w:styleId="786" w:customStyle="1">
    <w:name w:val="Heading 5 Char"/>
    <w:uiPriority w:val="9"/>
    <w:rPr>
      <w:rFonts w:ascii="Arial" w:hAnsi="Arial" w:eastAsia="Arial" w:cs="Arial"/>
      <w:b/>
      <w:bCs/>
      <w:sz w:val="24"/>
      <w:szCs w:val="24"/>
    </w:rPr>
  </w:style>
  <w:style w:type="character" w:styleId="787" w:customStyle="1">
    <w:name w:val="Heading 6 Char"/>
    <w:uiPriority w:val="9"/>
    <w:rPr>
      <w:rFonts w:ascii="Arial" w:hAnsi="Arial" w:eastAsia="Arial" w:cs="Arial"/>
      <w:b/>
      <w:bCs/>
      <w:sz w:val="22"/>
      <w:szCs w:val="22"/>
    </w:rPr>
  </w:style>
  <w:style w:type="character" w:styleId="788" w:customStyle="1">
    <w:name w:val="Heading 7 Char"/>
    <w:uiPriority w:val="9"/>
    <w:rPr>
      <w:rFonts w:ascii="Arial" w:hAnsi="Arial" w:eastAsia="Arial" w:cs="Arial"/>
      <w:b/>
      <w:bCs/>
      <w:i/>
      <w:iCs/>
      <w:sz w:val="22"/>
      <w:szCs w:val="22"/>
    </w:rPr>
  </w:style>
  <w:style w:type="character" w:styleId="789" w:customStyle="1">
    <w:name w:val="Heading 8 Char"/>
    <w:uiPriority w:val="9"/>
    <w:rPr>
      <w:rFonts w:ascii="Arial" w:hAnsi="Arial" w:eastAsia="Arial" w:cs="Arial"/>
      <w:i/>
      <w:iCs/>
      <w:sz w:val="22"/>
      <w:szCs w:val="22"/>
    </w:rPr>
  </w:style>
  <w:style w:type="character" w:styleId="790" w:customStyle="1">
    <w:name w:val="Heading 9 Char"/>
    <w:uiPriority w:val="9"/>
    <w:rPr>
      <w:rFonts w:ascii="Arial" w:hAnsi="Arial" w:eastAsia="Arial" w:cs="Arial"/>
      <w:i/>
      <w:iCs/>
      <w:sz w:val="21"/>
      <w:szCs w:val="21"/>
    </w:rPr>
  </w:style>
  <w:style w:type="character" w:styleId="791" w:customStyle="1">
    <w:name w:val="Title Char"/>
    <w:uiPriority w:val="10"/>
    <w:rPr>
      <w:sz w:val="48"/>
      <w:szCs w:val="48"/>
    </w:rPr>
  </w:style>
  <w:style w:type="character" w:styleId="792" w:customStyle="1">
    <w:name w:val="Subtitle Char"/>
    <w:uiPriority w:val="11"/>
    <w:rPr>
      <w:sz w:val="24"/>
      <w:szCs w:val="24"/>
    </w:rPr>
  </w:style>
  <w:style w:type="character" w:styleId="793" w:customStyle="1">
    <w:name w:val="Quote Char"/>
    <w:uiPriority w:val="29"/>
    <w:rPr>
      <w:i/>
    </w:rPr>
  </w:style>
  <w:style w:type="character" w:styleId="794" w:customStyle="1">
    <w:name w:val="Intense Quote Char"/>
    <w:uiPriority w:val="30"/>
    <w:rPr>
      <w:i/>
    </w:rPr>
  </w:style>
  <w:style w:type="table" w:styleId="795" w:customStyle="1">
    <w:name w:val="无格式表格 11"/>
    <w:basedOn w:val="698"/>
    <w:uiPriority w:val="59"/>
    <w:tblPr/>
  </w:style>
  <w:style w:type="table" w:styleId="796" w:customStyle="1">
    <w:name w:val="无格式表格 21"/>
    <w:basedOn w:val="698"/>
    <w:uiPriority w:val="59"/>
    <w:tblPr/>
  </w:style>
  <w:style w:type="table" w:styleId="797" w:customStyle="1">
    <w:name w:val="无格式表格 31"/>
    <w:basedOn w:val="698"/>
    <w:uiPriority w:val="99"/>
    <w:tblPr/>
  </w:style>
  <w:style w:type="table" w:styleId="798" w:customStyle="1">
    <w:name w:val="无格式表格 41"/>
    <w:basedOn w:val="698"/>
    <w:uiPriority w:val="99"/>
    <w:tblPr/>
  </w:style>
  <w:style w:type="table" w:styleId="799" w:customStyle="1">
    <w:name w:val="无格式表格 51"/>
    <w:basedOn w:val="698"/>
    <w:uiPriority w:val="99"/>
    <w:tblPr/>
  </w:style>
  <w:style w:type="table" w:styleId="800" w:customStyle="1">
    <w:name w:val="网格表 1 浅色1"/>
    <w:basedOn w:val="698"/>
    <w:uiPriority w:val="99"/>
    <w:tblPr/>
  </w:style>
  <w:style w:type="table" w:styleId="801" w:customStyle="1">
    <w:name w:val="网格表 21"/>
    <w:basedOn w:val="698"/>
    <w:uiPriority w:val="99"/>
    <w:tblPr/>
  </w:style>
  <w:style w:type="table" w:styleId="802" w:customStyle="1">
    <w:name w:val="网格表 31"/>
    <w:basedOn w:val="698"/>
    <w:uiPriority w:val="99"/>
    <w:tblPr/>
  </w:style>
  <w:style w:type="table" w:styleId="803" w:customStyle="1">
    <w:name w:val="网格表 41"/>
    <w:basedOn w:val="698"/>
    <w:uiPriority w:val="59"/>
    <w:tblPr/>
  </w:style>
  <w:style w:type="table" w:styleId="804" w:customStyle="1">
    <w:name w:val="网格表 5 深色1"/>
    <w:basedOn w:val="698"/>
    <w:uiPriority w:val="99"/>
    <w:tblPr/>
  </w:style>
  <w:style w:type="table" w:styleId="805" w:customStyle="1">
    <w:name w:val="网格表 6 彩色1"/>
    <w:basedOn w:val="698"/>
    <w:uiPriority w:val="99"/>
    <w:tblPr/>
  </w:style>
  <w:style w:type="table" w:styleId="806" w:customStyle="1">
    <w:name w:val="网格表 7 彩色1"/>
    <w:basedOn w:val="698"/>
    <w:uiPriority w:val="99"/>
    <w:tblPr/>
  </w:style>
  <w:style w:type="table" w:styleId="807" w:customStyle="1">
    <w:name w:val="清单表 1 浅色1"/>
    <w:basedOn w:val="698"/>
    <w:uiPriority w:val="99"/>
    <w:tblPr/>
  </w:style>
  <w:style w:type="table" w:styleId="808" w:customStyle="1">
    <w:name w:val="清单表 21"/>
    <w:basedOn w:val="698"/>
    <w:uiPriority w:val="99"/>
    <w:tblPr/>
  </w:style>
  <w:style w:type="table" w:styleId="809" w:customStyle="1">
    <w:name w:val="清单表 31"/>
    <w:basedOn w:val="698"/>
    <w:uiPriority w:val="99"/>
    <w:tblPr/>
  </w:style>
  <w:style w:type="table" w:styleId="810" w:customStyle="1">
    <w:name w:val="清单表 41"/>
    <w:basedOn w:val="698"/>
    <w:uiPriority w:val="99"/>
    <w:tblPr/>
  </w:style>
  <w:style w:type="table" w:styleId="811" w:customStyle="1">
    <w:name w:val="清单表 5 深色1"/>
    <w:basedOn w:val="698"/>
    <w:uiPriority w:val="99"/>
    <w:tblPr/>
  </w:style>
  <w:style w:type="table" w:styleId="812" w:customStyle="1">
    <w:name w:val="清单表 6 彩色1"/>
    <w:basedOn w:val="698"/>
    <w:uiPriority w:val="99"/>
    <w:tblPr/>
  </w:style>
  <w:style w:type="table" w:styleId="813" w:customStyle="1">
    <w:name w:val="清单表 7 彩色1"/>
    <w:basedOn w:val="698"/>
    <w:uiPriority w:val="99"/>
    <w:tblPr/>
  </w:style>
  <w:style w:type="character" w:styleId="814" w:customStyle="1">
    <w:name w:val="Footnote Text Char"/>
    <w:uiPriority w:val="99"/>
    <w:rPr>
      <w:sz w:val="18"/>
    </w:rPr>
  </w:style>
  <w:style w:type="character" w:styleId="815" w:customStyle="1">
    <w:name w:val="Endnote Text Char"/>
    <w:uiPriority w:val="99"/>
    <w:rPr>
      <w:sz w:val="20"/>
    </w:rPr>
  </w:style>
  <w:style w:type="character" w:styleId="816" w:customStyle="1">
    <w:name w:val="Header Char"/>
    <w:uiPriority w:val="99"/>
    <w:qFormat/>
  </w:style>
  <w:style w:type="character" w:styleId="817" w:customStyle="1">
    <w:name w:val="Footer Char"/>
    <w:uiPriority w:val="99"/>
    <w:qFormat/>
  </w:style>
  <w:style w:type="character" w:styleId="818" w:customStyle="1">
    <w:name w:val="Caption Char"/>
    <w:uiPriority w:val="99"/>
    <w:qFormat/>
  </w:style>
  <w:style w:type="table" w:styleId="819" w:customStyle="1">
    <w:name w:val="Table Grid Light"/>
    <w:uiPriority w:val="59"/>
    <w:qFormat/>
    <w:tblPr>
      <w:tblCellMar>
        <w:left w:w="0" w:type="dxa"/>
        <w:top w:w="0" w:type="dxa"/>
        <w:right w:w="0" w:type="dxa"/>
        <w:bottom w:w="0" w:type="dxa"/>
      </w:tblCellMar>
    </w:tblPr>
  </w:style>
  <w:style w:type="table" w:styleId="820" w:customStyle="1">
    <w:name w:val="无格式表格 11"/>
    <w:uiPriority w:val="59"/>
    <w:qFormat/>
    <w:tblPr>
      <w:tblCellMar>
        <w:left w:w="0" w:type="dxa"/>
        <w:top w:w="0" w:type="dxa"/>
        <w:right w:w="0" w:type="dxa"/>
        <w:bottom w:w="0" w:type="dxa"/>
      </w:tblCellMar>
    </w:tblPr>
  </w:style>
  <w:style w:type="table" w:styleId="821" w:customStyle="1">
    <w:name w:val="无格式表格 21"/>
    <w:uiPriority w:val="59"/>
    <w:qFormat/>
    <w:tblPr>
      <w:tblCellMar>
        <w:left w:w="0" w:type="dxa"/>
        <w:top w:w="0" w:type="dxa"/>
        <w:right w:w="0"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CellMar>
        <w:left w:w="0" w:type="dxa"/>
        <w:top w:w="0" w:type="dxa"/>
        <w:right w:w="0" w:type="dxa"/>
        <w:bottom w:w="0" w:type="dxa"/>
      </w:tblCellMar>
    </w:tblPr>
  </w:style>
  <w:style w:type="table" w:styleId="826" w:customStyle="1">
    <w:name w:val="Grid Table 1 Light - Accent 1"/>
    <w:uiPriority w:val="99"/>
    <w:qFormat/>
    <w:tblPr>
      <w:tblCellMar>
        <w:left w:w="0" w:type="dxa"/>
        <w:top w:w="0" w:type="dxa"/>
        <w:right w:w="0" w:type="dxa"/>
        <w:bottom w:w="0" w:type="dxa"/>
      </w:tblCellMar>
    </w:tblPr>
  </w:style>
  <w:style w:type="table" w:styleId="827" w:customStyle="1">
    <w:name w:val="Grid Table 1 Light - Accent 2"/>
    <w:uiPriority w:val="99"/>
    <w:qFormat/>
    <w:tblPr>
      <w:tblCellMar>
        <w:left w:w="0" w:type="dxa"/>
        <w:top w:w="0" w:type="dxa"/>
        <w:right w:w="0" w:type="dxa"/>
        <w:bottom w:w="0" w:type="dxa"/>
      </w:tblCellMar>
    </w:tblPr>
  </w:style>
  <w:style w:type="table" w:styleId="828" w:customStyle="1">
    <w:name w:val="Grid Table 1 Light - Accent 3"/>
    <w:uiPriority w:val="99"/>
    <w:qFormat/>
    <w:tblPr>
      <w:tblCellMar>
        <w:left w:w="0" w:type="dxa"/>
        <w:top w:w="0" w:type="dxa"/>
        <w:right w:w="0" w:type="dxa"/>
        <w:bottom w:w="0" w:type="dxa"/>
      </w:tblCellMar>
    </w:tblPr>
  </w:style>
  <w:style w:type="table" w:styleId="829" w:customStyle="1">
    <w:name w:val="Grid Table 1 Light - Accent 4"/>
    <w:uiPriority w:val="99"/>
    <w:qFormat/>
    <w:tblPr>
      <w:tblCellMar>
        <w:left w:w="0" w:type="dxa"/>
        <w:top w:w="0" w:type="dxa"/>
        <w:right w:w="0" w:type="dxa"/>
        <w:bottom w:w="0" w:type="dxa"/>
      </w:tblCellMar>
    </w:tblPr>
  </w:style>
  <w:style w:type="table" w:styleId="830" w:customStyle="1">
    <w:name w:val="Grid Table 1 Light - Accent 5"/>
    <w:uiPriority w:val="99"/>
    <w:qFormat/>
    <w:tblPr>
      <w:tblCellMar>
        <w:left w:w="0" w:type="dxa"/>
        <w:top w:w="0" w:type="dxa"/>
        <w:right w:w="0" w:type="dxa"/>
        <w:bottom w:w="0" w:type="dxa"/>
      </w:tblCellMar>
    </w:tblPr>
  </w:style>
  <w:style w:type="table" w:styleId="831" w:customStyle="1">
    <w:name w:val="Grid Table 1 Light - Accent 6"/>
    <w:uiPriority w:val="99"/>
    <w:qFormat/>
    <w:tblPr>
      <w:tblCellMar>
        <w:left w:w="0" w:type="dxa"/>
        <w:top w:w="0" w:type="dxa"/>
        <w:right w:w="0" w:type="dxa"/>
        <w:bottom w:w="0" w:type="dxa"/>
      </w:tblCellMar>
    </w:tblPr>
  </w:style>
  <w:style w:type="table" w:styleId="832" w:customStyle="1">
    <w:name w:val="网格表 21"/>
    <w:uiPriority w:val="99"/>
    <w:qFormat/>
    <w:tblPr>
      <w:tblCellMar>
        <w:left w:w="0" w:type="dxa"/>
        <w:top w:w="0" w:type="dxa"/>
        <w:right w:w="0" w:type="dxa"/>
        <w:bottom w:w="0" w:type="dxa"/>
      </w:tblCellMar>
    </w:tblPr>
  </w:style>
  <w:style w:type="table" w:styleId="833" w:customStyle="1">
    <w:name w:val="Grid Table 2 - Accent 1"/>
    <w:uiPriority w:val="99"/>
    <w:qFormat/>
    <w:tblPr>
      <w:tblCellMar>
        <w:left w:w="0" w:type="dxa"/>
        <w:top w:w="0" w:type="dxa"/>
        <w:right w:w="0" w:type="dxa"/>
        <w:bottom w:w="0" w:type="dxa"/>
      </w:tblCellMar>
    </w:tblPr>
  </w:style>
  <w:style w:type="table" w:styleId="834" w:customStyle="1">
    <w:name w:val="Grid Table 2 - Accent 2"/>
    <w:uiPriority w:val="99"/>
    <w:qFormat/>
    <w:tblPr>
      <w:tblCellMar>
        <w:left w:w="0" w:type="dxa"/>
        <w:top w:w="0" w:type="dxa"/>
        <w:right w:w="0" w:type="dxa"/>
        <w:bottom w:w="0" w:type="dxa"/>
      </w:tblCellMar>
    </w:tblPr>
  </w:style>
  <w:style w:type="table" w:styleId="835" w:customStyle="1">
    <w:name w:val="Grid Table 2 - Accent 3"/>
    <w:uiPriority w:val="99"/>
    <w:qFormat/>
    <w:tblPr>
      <w:tblCellMar>
        <w:left w:w="0" w:type="dxa"/>
        <w:top w:w="0" w:type="dxa"/>
        <w:right w:w="0" w:type="dxa"/>
        <w:bottom w:w="0" w:type="dxa"/>
      </w:tblCellMar>
    </w:tblPr>
  </w:style>
  <w:style w:type="table" w:styleId="836" w:customStyle="1">
    <w:name w:val="Grid Table 2 - Accent 4"/>
    <w:uiPriority w:val="99"/>
    <w:qFormat/>
    <w:tblPr>
      <w:tblCellMar>
        <w:left w:w="0" w:type="dxa"/>
        <w:top w:w="0" w:type="dxa"/>
        <w:right w:w="0" w:type="dxa"/>
        <w:bottom w:w="0" w:type="dxa"/>
      </w:tblCellMar>
    </w:tblPr>
  </w:style>
  <w:style w:type="table" w:styleId="837" w:customStyle="1">
    <w:name w:val="Grid Table 2 - Accent 5"/>
    <w:uiPriority w:val="99"/>
    <w:qFormat/>
    <w:tblPr>
      <w:tblCellMar>
        <w:left w:w="0" w:type="dxa"/>
        <w:top w:w="0" w:type="dxa"/>
        <w:right w:w="0" w:type="dxa"/>
        <w:bottom w:w="0" w:type="dxa"/>
      </w:tblCellMar>
    </w:tblPr>
  </w:style>
  <w:style w:type="table" w:styleId="838" w:customStyle="1">
    <w:name w:val="Grid Table 2 - Accent 6"/>
    <w:uiPriority w:val="99"/>
    <w:qFormat/>
    <w:tblPr>
      <w:tblCellMar>
        <w:left w:w="0" w:type="dxa"/>
        <w:top w:w="0" w:type="dxa"/>
        <w:right w:w="0" w:type="dxa"/>
        <w:bottom w:w="0" w:type="dxa"/>
      </w:tblCellMar>
    </w:tblPr>
  </w:style>
  <w:style w:type="table" w:styleId="839" w:customStyle="1">
    <w:name w:val="网格表 31"/>
    <w:uiPriority w:val="99"/>
    <w:qFormat/>
    <w:tblPr>
      <w:tblCellMar>
        <w:left w:w="0" w:type="dxa"/>
        <w:top w:w="0" w:type="dxa"/>
        <w:right w:w="0" w:type="dxa"/>
        <w:bottom w:w="0" w:type="dxa"/>
      </w:tblCellMar>
    </w:tblPr>
  </w:style>
  <w:style w:type="table" w:styleId="840" w:customStyle="1">
    <w:name w:val="Grid Table 3 - Accent 1"/>
    <w:uiPriority w:val="99"/>
    <w:qFormat/>
    <w:tblPr>
      <w:tblCellMar>
        <w:left w:w="0" w:type="dxa"/>
        <w:top w:w="0" w:type="dxa"/>
        <w:right w:w="0" w:type="dxa"/>
        <w:bottom w:w="0" w:type="dxa"/>
      </w:tblCellMar>
    </w:tblPr>
  </w:style>
  <w:style w:type="table" w:styleId="841" w:customStyle="1">
    <w:name w:val="Grid Table 3 - Accent 2"/>
    <w:uiPriority w:val="99"/>
    <w:qFormat/>
    <w:tblPr>
      <w:tblCellMar>
        <w:left w:w="0" w:type="dxa"/>
        <w:top w:w="0" w:type="dxa"/>
        <w:right w:w="0" w:type="dxa"/>
        <w:bottom w:w="0" w:type="dxa"/>
      </w:tblCellMar>
    </w:tblPr>
  </w:style>
  <w:style w:type="table" w:styleId="842" w:customStyle="1">
    <w:name w:val="Grid Table 3 - Accent 3"/>
    <w:uiPriority w:val="99"/>
    <w:qFormat/>
    <w:tblPr>
      <w:tblCellMar>
        <w:left w:w="0" w:type="dxa"/>
        <w:top w:w="0" w:type="dxa"/>
        <w:right w:w="0" w:type="dxa"/>
        <w:bottom w:w="0" w:type="dxa"/>
      </w:tblCellMar>
    </w:tblPr>
  </w:style>
  <w:style w:type="table" w:styleId="843" w:customStyle="1">
    <w:name w:val="Grid Table 3 - Accent 4"/>
    <w:uiPriority w:val="99"/>
    <w:qFormat/>
    <w:tblPr>
      <w:tblCellMar>
        <w:left w:w="0" w:type="dxa"/>
        <w:top w:w="0" w:type="dxa"/>
        <w:right w:w="0" w:type="dxa"/>
        <w:bottom w:w="0" w:type="dxa"/>
      </w:tblCellMar>
    </w:tblPr>
  </w:style>
  <w:style w:type="table" w:styleId="844" w:customStyle="1">
    <w:name w:val="Grid Table 3 - Accent 5"/>
    <w:uiPriority w:val="99"/>
    <w:qFormat/>
    <w:tblPr>
      <w:tblCellMar>
        <w:left w:w="0" w:type="dxa"/>
        <w:top w:w="0" w:type="dxa"/>
        <w:right w:w="0" w:type="dxa"/>
        <w:bottom w:w="0" w:type="dxa"/>
      </w:tblCellMar>
    </w:tblPr>
  </w:style>
  <w:style w:type="table" w:styleId="845" w:customStyle="1">
    <w:name w:val="Grid Table 3 - Accent 6"/>
    <w:uiPriority w:val="99"/>
    <w:qFormat/>
    <w:tblPr>
      <w:tblCellMar>
        <w:left w:w="0" w:type="dxa"/>
        <w:top w:w="0" w:type="dxa"/>
        <w:right w:w="0" w:type="dxa"/>
        <w:bottom w:w="0" w:type="dxa"/>
      </w:tblCellMar>
    </w:tblPr>
  </w:style>
  <w:style w:type="table" w:styleId="846" w:customStyle="1">
    <w:name w:val="网格表 41"/>
    <w:uiPriority w:val="59"/>
    <w:qFormat/>
    <w:tblPr>
      <w:tblCellMar>
        <w:left w:w="0" w:type="dxa"/>
        <w:top w:w="0" w:type="dxa"/>
        <w:right w:w="0" w:type="dxa"/>
        <w:bottom w:w="0" w:type="dxa"/>
      </w:tblCellMar>
    </w:tblPr>
  </w:style>
  <w:style w:type="table" w:styleId="847" w:customStyle="1">
    <w:name w:val="Grid Table 4 - Accent 1"/>
    <w:uiPriority w:val="59"/>
    <w:qFormat/>
    <w:tblPr>
      <w:tblCellMar>
        <w:left w:w="0" w:type="dxa"/>
        <w:top w:w="0" w:type="dxa"/>
        <w:right w:w="0" w:type="dxa"/>
        <w:bottom w:w="0" w:type="dxa"/>
      </w:tblCellMar>
    </w:tblPr>
  </w:style>
  <w:style w:type="table" w:styleId="848" w:customStyle="1">
    <w:name w:val="Grid Table 4 - Accent 2"/>
    <w:uiPriority w:val="59"/>
    <w:qFormat/>
    <w:tblPr>
      <w:tblCellMar>
        <w:left w:w="0" w:type="dxa"/>
        <w:top w:w="0" w:type="dxa"/>
        <w:right w:w="0" w:type="dxa"/>
        <w:bottom w:w="0" w:type="dxa"/>
      </w:tblCellMar>
    </w:tblPr>
  </w:style>
  <w:style w:type="table" w:styleId="849" w:customStyle="1">
    <w:name w:val="Grid Table 4 - Accent 3"/>
    <w:uiPriority w:val="59"/>
    <w:qFormat/>
    <w:tblPr>
      <w:tblCellMar>
        <w:left w:w="0" w:type="dxa"/>
        <w:top w:w="0" w:type="dxa"/>
        <w:right w:w="0" w:type="dxa"/>
        <w:bottom w:w="0" w:type="dxa"/>
      </w:tblCellMar>
    </w:tblPr>
  </w:style>
  <w:style w:type="table" w:styleId="850" w:customStyle="1">
    <w:name w:val="Grid Table 4 - Accent 4"/>
    <w:uiPriority w:val="59"/>
    <w:qFormat/>
    <w:tblPr>
      <w:tblCellMar>
        <w:left w:w="0" w:type="dxa"/>
        <w:top w:w="0" w:type="dxa"/>
        <w:right w:w="0" w:type="dxa"/>
        <w:bottom w:w="0" w:type="dxa"/>
      </w:tblCellMar>
    </w:tblPr>
  </w:style>
  <w:style w:type="table" w:styleId="851" w:customStyle="1">
    <w:name w:val="Grid Table 4 - Accent 5"/>
    <w:uiPriority w:val="59"/>
    <w:qFormat/>
    <w:tblPr>
      <w:tblCellMar>
        <w:left w:w="0" w:type="dxa"/>
        <w:top w:w="0" w:type="dxa"/>
        <w:right w:w="0" w:type="dxa"/>
        <w:bottom w:w="0" w:type="dxa"/>
      </w:tblCellMar>
    </w:tblPr>
  </w:style>
  <w:style w:type="table" w:styleId="852" w:customStyle="1">
    <w:name w:val="Grid Table 4 - Accent 6"/>
    <w:uiPriority w:val="59"/>
    <w:qFormat/>
    <w:tblPr>
      <w:tblCellMar>
        <w:left w:w="0" w:type="dxa"/>
        <w:top w:w="0" w:type="dxa"/>
        <w:right w:w="0" w:type="dxa"/>
        <w:bottom w:w="0" w:type="dxa"/>
      </w:tblCellMar>
    </w:tblPr>
  </w:style>
  <w:style w:type="table" w:styleId="853" w:customStyle="1">
    <w:name w:val="网格表 5 深色1"/>
    <w:uiPriority w:val="99"/>
    <w:qFormat/>
    <w:tblPr>
      <w:tblCellMar>
        <w:left w:w="0" w:type="dxa"/>
        <w:top w:w="0" w:type="dxa"/>
        <w:right w:w="0" w:type="dxa"/>
        <w:bottom w:w="0" w:type="dxa"/>
      </w:tblCellMar>
    </w:tblPr>
  </w:style>
  <w:style w:type="table" w:styleId="854" w:customStyle="1">
    <w:name w:val="Grid Table 5 Dark- Accent 1"/>
    <w:uiPriority w:val="99"/>
    <w:qFormat/>
    <w:tblPr>
      <w:tblCellMar>
        <w:left w:w="0" w:type="dxa"/>
        <w:top w:w="0" w:type="dxa"/>
        <w:right w:w="0" w:type="dxa"/>
        <w:bottom w:w="0" w:type="dxa"/>
      </w:tblCellMar>
    </w:tblPr>
  </w:style>
  <w:style w:type="table" w:styleId="855" w:customStyle="1">
    <w:name w:val="Grid Table 5 Dark - Accent 2"/>
    <w:uiPriority w:val="99"/>
    <w:qFormat/>
    <w:tblPr>
      <w:tblCellMar>
        <w:left w:w="0" w:type="dxa"/>
        <w:top w:w="0" w:type="dxa"/>
        <w:right w:w="0" w:type="dxa"/>
        <w:bottom w:w="0" w:type="dxa"/>
      </w:tblCellMar>
    </w:tblPr>
  </w:style>
  <w:style w:type="table" w:styleId="856" w:customStyle="1">
    <w:name w:val="Grid Table 5 Dark - Accent 3"/>
    <w:uiPriority w:val="99"/>
    <w:qFormat/>
    <w:tblPr>
      <w:tblCellMar>
        <w:left w:w="0" w:type="dxa"/>
        <w:top w:w="0" w:type="dxa"/>
        <w:right w:w="0" w:type="dxa"/>
        <w:bottom w:w="0" w:type="dxa"/>
      </w:tblCellMar>
    </w:tblPr>
  </w:style>
  <w:style w:type="table" w:styleId="857" w:customStyle="1">
    <w:name w:val="Grid Table 5 Dark- Accent 4"/>
    <w:uiPriority w:val="99"/>
    <w:qFormat/>
    <w:tblPr>
      <w:tblCellMar>
        <w:left w:w="0" w:type="dxa"/>
        <w:top w:w="0" w:type="dxa"/>
        <w:right w:w="0" w:type="dxa"/>
        <w:bottom w:w="0" w:type="dxa"/>
      </w:tblCellMar>
    </w:tblPr>
  </w:style>
  <w:style w:type="table" w:styleId="858" w:customStyle="1">
    <w:name w:val="Grid Table 5 Dark - Accent 5"/>
    <w:uiPriority w:val="99"/>
    <w:qFormat/>
    <w:tblPr>
      <w:tblCellMar>
        <w:left w:w="0" w:type="dxa"/>
        <w:top w:w="0" w:type="dxa"/>
        <w:right w:w="0" w:type="dxa"/>
        <w:bottom w:w="0" w:type="dxa"/>
      </w:tblCellMar>
    </w:tblPr>
  </w:style>
  <w:style w:type="table" w:styleId="859" w:customStyle="1">
    <w:name w:val="Grid Table 5 Dark - Accent 6"/>
    <w:uiPriority w:val="99"/>
    <w:qFormat/>
    <w:tblPr>
      <w:tblCellMar>
        <w:left w:w="0" w:type="dxa"/>
        <w:top w:w="0" w:type="dxa"/>
        <w:right w:w="0" w:type="dxa"/>
        <w:bottom w:w="0" w:type="dxa"/>
      </w:tblCellMar>
    </w:tblPr>
  </w:style>
  <w:style w:type="table" w:styleId="860" w:customStyle="1">
    <w:name w:val="网格表 6 彩色1"/>
    <w:uiPriority w:val="99"/>
    <w:qFormat/>
    <w:tblPr>
      <w:tblCellMar>
        <w:left w:w="0" w:type="dxa"/>
        <w:top w:w="0" w:type="dxa"/>
        <w:right w:w="0" w:type="dxa"/>
        <w:bottom w:w="0" w:type="dxa"/>
      </w:tblCellMar>
    </w:tblPr>
  </w:style>
  <w:style w:type="table" w:styleId="861" w:customStyle="1">
    <w:name w:val="Grid Table 6 Colorful - Accent 1"/>
    <w:uiPriority w:val="99"/>
    <w:qFormat/>
    <w:tblPr>
      <w:tblCellMar>
        <w:left w:w="0" w:type="dxa"/>
        <w:top w:w="0" w:type="dxa"/>
        <w:right w:w="0" w:type="dxa"/>
        <w:bottom w:w="0" w:type="dxa"/>
      </w:tblCellMar>
    </w:tblPr>
  </w:style>
  <w:style w:type="table" w:styleId="862" w:customStyle="1">
    <w:name w:val="Grid Table 6 Colorful - Accent 2"/>
    <w:uiPriority w:val="99"/>
    <w:qFormat/>
    <w:tblPr>
      <w:tblCellMar>
        <w:left w:w="0" w:type="dxa"/>
        <w:top w:w="0" w:type="dxa"/>
        <w:right w:w="0" w:type="dxa"/>
        <w:bottom w:w="0" w:type="dxa"/>
      </w:tblCellMar>
    </w:tblPr>
  </w:style>
  <w:style w:type="table" w:styleId="863" w:customStyle="1">
    <w:name w:val="Grid Table 6 Colorful - Accent 3"/>
    <w:uiPriority w:val="99"/>
    <w:qFormat/>
    <w:tblPr>
      <w:tblCellMar>
        <w:left w:w="0" w:type="dxa"/>
        <w:top w:w="0" w:type="dxa"/>
        <w:right w:w="0" w:type="dxa"/>
        <w:bottom w:w="0" w:type="dxa"/>
      </w:tblCellMar>
    </w:tblPr>
  </w:style>
  <w:style w:type="table" w:styleId="864" w:customStyle="1">
    <w:name w:val="Grid Table 6 Colorful - Accent 4"/>
    <w:uiPriority w:val="99"/>
    <w:qFormat/>
    <w:tblPr>
      <w:tblCellMar>
        <w:left w:w="0" w:type="dxa"/>
        <w:top w:w="0" w:type="dxa"/>
        <w:right w:w="0" w:type="dxa"/>
        <w:bottom w:w="0" w:type="dxa"/>
      </w:tblCellMar>
    </w:tblPr>
  </w:style>
  <w:style w:type="table" w:styleId="865" w:customStyle="1">
    <w:name w:val="Grid Table 6 Colorful - Accent 5"/>
    <w:uiPriority w:val="99"/>
    <w:qFormat/>
    <w:tblPr>
      <w:tblCellMar>
        <w:left w:w="0" w:type="dxa"/>
        <w:top w:w="0" w:type="dxa"/>
        <w:right w:w="0" w:type="dxa"/>
        <w:bottom w:w="0" w:type="dxa"/>
      </w:tblCellMar>
    </w:tblPr>
  </w:style>
  <w:style w:type="table" w:styleId="866" w:customStyle="1">
    <w:name w:val="Grid Table 6 Colorful - Accent 6"/>
    <w:uiPriority w:val="99"/>
    <w:qFormat/>
    <w:tblPr>
      <w:tblCellMar>
        <w:left w:w="0" w:type="dxa"/>
        <w:top w:w="0" w:type="dxa"/>
        <w:right w:w="0" w:type="dxa"/>
        <w:bottom w:w="0" w:type="dxa"/>
      </w:tblCellMar>
    </w:tblPr>
  </w:style>
  <w:style w:type="table" w:styleId="867" w:customStyle="1">
    <w:name w:val="网格表 7 彩色1"/>
    <w:uiPriority w:val="99"/>
    <w:qFormat/>
    <w:tblPr>
      <w:tblCellMar>
        <w:left w:w="0" w:type="dxa"/>
        <w:top w:w="0" w:type="dxa"/>
        <w:right w:w="0" w:type="dxa"/>
        <w:bottom w:w="0" w:type="dxa"/>
      </w:tblCellMar>
    </w:tblPr>
  </w:style>
  <w:style w:type="table" w:styleId="868" w:customStyle="1">
    <w:name w:val="Grid Table 7 Colorful - Accent 1"/>
    <w:uiPriority w:val="99"/>
    <w:qFormat/>
    <w:tblPr>
      <w:tblCellMar>
        <w:left w:w="0" w:type="dxa"/>
        <w:top w:w="0" w:type="dxa"/>
        <w:right w:w="0" w:type="dxa"/>
        <w:bottom w:w="0" w:type="dxa"/>
      </w:tblCellMar>
    </w:tblPr>
  </w:style>
  <w:style w:type="table" w:styleId="869" w:customStyle="1">
    <w:name w:val="Grid Table 7 Colorful - Accent 2"/>
    <w:uiPriority w:val="99"/>
    <w:qFormat/>
    <w:tblPr>
      <w:tblCellMar>
        <w:left w:w="0" w:type="dxa"/>
        <w:top w:w="0" w:type="dxa"/>
        <w:right w:w="0" w:type="dxa"/>
        <w:bottom w:w="0" w:type="dxa"/>
      </w:tblCellMar>
    </w:tblPr>
  </w:style>
  <w:style w:type="table" w:styleId="870" w:customStyle="1">
    <w:name w:val="Grid Table 7 Colorful - Accent 3"/>
    <w:uiPriority w:val="99"/>
    <w:qFormat/>
    <w:tblPr>
      <w:tblCellMar>
        <w:left w:w="0" w:type="dxa"/>
        <w:top w:w="0" w:type="dxa"/>
        <w:right w:w="0" w:type="dxa"/>
        <w:bottom w:w="0" w:type="dxa"/>
      </w:tblCellMar>
    </w:tblPr>
  </w:style>
  <w:style w:type="table" w:styleId="871" w:customStyle="1">
    <w:name w:val="Grid Table 7 Colorful - Accent 4"/>
    <w:uiPriority w:val="99"/>
    <w:qFormat/>
    <w:tblPr>
      <w:tblCellMar>
        <w:left w:w="0" w:type="dxa"/>
        <w:top w:w="0" w:type="dxa"/>
        <w:right w:w="0" w:type="dxa"/>
        <w:bottom w:w="0" w:type="dxa"/>
      </w:tblCellMar>
    </w:tblPr>
  </w:style>
  <w:style w:type="table" w:styleId="872" w:customStyle="1">
    <w:name w:val="Grid Table 7 Colorful - Accent 5"/>
    <w:uiPriority w:val="99"/>
    <w:qFormat/>
    <w:tblPr>
      <w:tblCellMar>
        <w:left w:w="0" w:type="dxa"/>
        <w:top w:w="0" w:type="dxa"/>
        <w:right w:w="0" w:type="dxa"/>
        <w:bottom w:w="0" w:type="dxa"/>
      </w:tblCellMar>
    </w:tblPr>
  </w:style>
  <w:style w:type="table" w:styleId="873" w:customStyle="1">
    <w:name w:val="Grid Table 7 Colorful - Accent 6"/>
    <w:uiPriority w:val="99"/>
    <w:qFormat/>
    <w:tblPr>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CellMar>
        <w:left w:w="0" w:type="dxa"/>
        <w:top w:w="0" w:type="dxa"/>
        <w:right w:w="0" w:type="dxa"/>
        <w:bottom w:w="0" w:type="dxa"/>
      </w:tblCellMar>
    </w:tblPr>
  </w:style>
  <w:style w:type="table" w:styleId="882" w:customStyle="1">
    <w:name w:val="List Table 2 - Accent 1"/>
    <w:uiPriority w:val="99"/>
    <w:qFormat/>
    <w:tblPr>
      <w:tblCellMar>
        <w:left w:w="0" w:type="dxa"/>
        <w:top w:w="0" w:type="dxa"/>
        <w:right w:w="0" w:type="dxa"/>
        <w:bottom w:w="0" w:type="dxa"/>
      </w:tblCellMar>
    </w:tblPr>
  </w:style>
  <w:style w:type="table" w:styleId="883" w:customStyle="1">
    <w:name w:val="List Table 2 - Accent 2"/>
    <w:uiPriority w:val="99"/>
    <w:qFormat/>
    <w:tblPr>
      <w:tblCellMar>
        <w:left w:w="0" w:type="dxa"/>
        <w:top w:w="0" w:type="dxa"/>
        <w:right w:w="0" w:type="dxa"/>
        <w:bottom w:w="0" w:type="dxa"/>
      </w:tblCellMar>
    </w:tblPr>
  </w:style>
  <w:style w:type="table" w:styleId="884" w:customStyle="1">
    <w:name w:val="List Table 2 - Accent 3"/>
    <w:uiPriority w:val="99"/>
    <w:qFormat/>
    <w:tblPr>
      <w:tblCellMar>
        <w:left w:w="0" w:type="dxa"/>
        <w:top w:w="0" w:type="dxa"/>
        <w:right w:w="0" w:type="dxa"/>
        <w:bottom w:w="0" w:type="dxa"/>
      </w:tblCellMar>
    </w:tblPr>
  </w:style>
  <w:style w:type="table" w:styleId="885" w:customStyle="1">
    <w:name w:val="List Table 2 - Accent 4"/>
    <w:uiPriority w:val="99"/>
    <w:qFormat/>
    <w:tblPr>
      <w:tblCellMar>
        <w:left w:w="0" w:type="dxa"/>
        <w:top w:w="0" w:type="dxa"/>
        <w:right w:w="0" w:type="dxa"/>
        <w:bottom w:w="0" w:type="dxa"/>
      </w:tblCellMar>
    </w:tblPr>
  </w:style>
  <w:style w:type="table" w:styleId="886" w:customStyle="1">
    <w:name w:val="List Table 2 - Accent 5"/>
    <w:uiPriority w:val="99"/>
    <w:qFormat/>
    <w:tblPr>
      <w:tblCellMar>
        <w:left w:w="0" w:type="dxa"/>
        <w:top w:w="0" w:type="dxa"/>
        <w:right w:w="0" w:type="dxa"/>
        <w:bottom w:w="0" w:type="dxa"/>
      </w:tblCellMar>
    </w:tblPr>
  </w:style>
  <w:style w:type="table" w:styleId="887" w:customStyle="1">
    <w:name w:val="List Table 2 - Accent 6"/>
    <w:uiPriority w:val="99"/>
    <w:qFormat/>
    <w:tblPr>
      <w:tblCellMar>
        <w:left w:w="0" w:type="dxa"/>
        <w:top w:w="0" w:type="dxa"/>
        <w:right w:w="0" w:type="dxa"/>
        <w:bottom w:w="0" w:type="dxa"/>
      </w:tblCellMar>
    </w:tblPr>
  </w:style>
  <w:style w:type="table" w:styleId="888" w:customStyle="1">
    <w:name w:val="清单表 31"/>
    <w:uiPriority w:val="99"/>
    <w:qFormat/>
    <w:tblPr>
      <w:tblCellMar>
        <w:left w:w="0" w:type="dxa"/>
        <w:top w:w="0" w:type="dxa"/>
        <w:right w:w="0" w:type="dxa"/>
        <w:bottom w:w="0" w:type="dxa"/>
      </w:tblCellMar>
    </w:tblPr>
  </w:style>
  <w:style w:type="table" w:styleId="889" w:customStyle="1">
    <w:name w:val="List Table 3 - Accent 1"/>
    <w:uiPriority w:val="99"/>
    <w:qFormat/>
    <w:tblPr>
      <w:tblCellMar>
        <w:left w:w="0" w:type="dxa"/>
        <w:top w:w="0" w:type="dxa"/>
        <w:right w:w="0" w:type="dxa"/>
        <w:bottom w:w="0" w:type="dxa"/>
      </w:tblCellMar>
    </w:tblPr>
  </w:style>
  <w:style w:type="table" w:styleId="890" w:customStyle="1">
    <w:name w:val="List Table 3 - Accent 2"/>
    <w:uiPriority w:val="99"/>
    <w:qFormat/>
    <w:tblPr>
      <w:tblCellMar>
        <w:left w:w="0" w:type="dxa"/>
        <w:top w:w="0" w:type="dxa"/>
        <w:right w:w="0" w:type="dxa"/>
        <w:bottom w:w="0" w:type="dxa"/>
      </w:tblCellMar>
    </w:tblPr>
  </w:style>
  <w:style w:type="table" w:styleId="891" w:customStyle="1">
    <w:name w:val="List Table 3 - Accent 3"/>
    <w:uiPriority w:val="99"/>
    <w:qFormat/>
    <w:tblPr>
      <w:tblCellMar>
        <w:left w:w="0" w:type="dxa"/>
        <w:top w:w="0" w:type="dxa"/>
        <w:right w:w="0" w:type="dxa"/>
        <w:bottom w:w="0" w:type="dxa"/>
      </w:tblCellMar>
    </w:tblPr>
  </w:style>
  <w:style w:type="table" w:styleId="892" w:customStyle="1">
    <w:name w:val="List Table 3 - Accent 4"/>
    <w:uiPriority w:val="99"/>
    <w:qFormat/>
    <w:tblPr>
      <w:tblCellMar>
        <w:left w:w="0" w:type="dxa"/>
        <w:top w:w="0" w:type="dxa"/>
        <w:right w:w="0" w:type="dxa"/>
        <w:bottom w:w="0" w:type="dxa"/>
      </w:tblCellMar>
    </w:tblPr>
  </w:style>
  <w:style w:type="table" w:styleId="893" w:customStyle="1">
    <w:name w:val="List Table 3 - Accent 5"/>
    <w:uiPriority w:val="99"/>
    <w:qFormat/>
    <w:tblPr>
      <w:tblCellMar>
        <w:left w:w="0" w:type="dxa"/>
        <w:top w:w="0" w:type="dxa"/>
        <w:right w:w="0" w:type="dxa"/>
        <w:bottom w:w="0" w:type="dxa"/>
      </w:tblCellMar>
    </w:tblPr>
  </w:style>
  <w:style w:type="table" w:styleId="894" w:customStyle="1">
    <w:name w:val="List Table 3 - Accent 6"/>
    <w:uiPriority w:val="99"/>
    <w:qFormat/>
    <w:tblPr>
      <w:tblCellMar>
        <w:left w:w="0" w:type="dxa"/>
        <w:top w:w="0" w:type="dxa"/>
        <w:right w:w="0" w:type="dxa"/>
        <w:bottom w:w="0" w:type="dxa"/>
      </w:tblCellMar>
    </w:tblPr>
  </w:style>
  <w:style w:type="table" w:styleId="895" w:customStyle="1">
    <w:name w:val="清单表 41"/>
    <w:uiPriority w:val="99"/>
    <w:qFormat/>
    <w:tblPr>
      <w:tblCellMar>
        <w:left w:w="0" w:type="dxa"/>
        <w:top w:w="0" w:type="dxa"/>
        <w:right w:w="0" w:type="dxa"/>
        <w:bottom w:w="0" w:type="dxa"/>
      </w:tblCellMar>
    </w:tblPr>
  </w:style>
  <w:style w:type="table" w:styleId="896" w:customStyle="1">
    <w:name w:val="List Table 4 - Accent 1"/>
    <w:uiPriority w:val="99"/>
    <w:qFormat/>
    <w:tblPr>
      <w:tblCellMar>
        <w:left w:w="0" w:type="dxa"/>
        <w:top w:w="0" w:type="dxa"/>
        <w:right w:w="0" w:type="dxa"/>
        <w:bottom w:w="0" w:type="dxa"/>
      </w:tblCellMar>
    </w:tblPr>
  </w:style>
  <w:style w:type="table" w:styleId="897" w:customStyle="1">
    <w:name w:val="List Table 4 - Accent 2"/>
    <w:uiPriority w:val="99"/>
    <w:qFormat/>
    <w:tblPr>
      <w:tblCellMar>
        <w:left w:w="0" w:type="dxa"/>
        <w:top w:w="0" w:type="dxa"/>
        <w:right w:w="0" w:type="dxa"/>
        <w:bottom w:w="0" w:type="dxa"/>
      </w:tblCellMar>
    </w:tblPr>
  </w:style>
  <w:style w:type="table" w:styleId="898" w:customStyle="1">
    <w:name w:val="List Table 4 - Accent 3"/>
    <w:uiPriority w:val="99"/>
    <w:qFormat/>
    <w:tblPr>
      <w:tblCellMar>
        <w:left w:w="0" w:type="dxa"/>
        <w:top w:w="0" w:type="dxa"/>
        <w:right w:w="0" w:type="dxa"/>
        <w:bottom w:w="0" w:type="dxa"/>
      </w:tblCellMar>
    </w:tblPr>
  </w:style>
  <w:style w:type="table" w:styleId="899" w:customStyle="1">
    <w:name w:val="List Table 4 - Accent 4"/>
    <w:uiPriority w:val="99"/>
    <w:qFormat/>
    <w:tblPr>
      <w:tblCellMar>
        <w:left w:w="0" w:type="dxa"/>
        <w:top w:w="0" w:type="dxa"/>
        <w:right w:w="0" w:type="dxa"/>
        <w:bottom w:w="0" w:type="dxa"/>
      </w:tblCellMar>
    </w:tblPr>
  </w:style>
  <w:style w:type="table" w:styleId="900" w:customStyle="1">
    <w:name w:val="List Table 4 - Accent 5"/>
    <w:uiPriority w:val="99"/>
    <w:qFormat/>
    <w:tblPr>
      <w:tblCellMar>
        <w:left w:w="0" w:type="dxa"/>
        <w:top w:w="0" w:type="dxa"/>
        <w:right w:w="0" w:type="dxa"/>
        <w:bottom w:w="0" w:type="dxa"/>
      </w:tblCellMar>
    </w:tblPr>
  </w:style>
  <w:style w:type="table" w:styleId="901" w:customStyle="1">
    <w:name w:val="List Table 4 - Accent 6"/>
    <w:uiPriority w:val="99"/>
    <w:qFormat/>
    <w:tblPr>
      <w:tblCellMar>
        <w:left w:w="0" w:type="dxa"/>
        <w:top w:w="0" w:type="dxa"/>
        <w:right w:w="0" w:type="dxa"/>
        <w:bottom w:w="0" w:type="dxa"/>
      </w:tblCellMar>
    </w:tblPr>
  </w:style>
  <w:style w:type="table" w:styleId="902" w:customStyle="1">
    <w:name w:val="清单表 5 深色1"/>
    <w:uiPriority w:val="99"/>
    <w:qFormat/>
    <w:tblPr>
      <w:tblCellMar>
        <w:left w:w="0" w:type="dxa"/>
        <w:top w:w="0" w:type="dxa"/>
        <w:right w:w="0" w:type="dxa"/>
        <w:bottom w:w="0" w:type="dxa"/>
      </w:tblCellMar>
    </w:tblPr>
  </w:style>
  <w:style w:type="table" w:styleId="903" w:customStyle="1">
    <w:name w:val="List Table 5 Dark - Accent 1"/>
    <w:uiPriority w:val="99"/>
    <w:qFormat/>
    <w:tblPr>
      <w:tblCellMar>
        <w:left w:w="0" w:type="dxa"/>
        <w:top w:w="0" w:type="dxa"/>
        <w:right w:w="0" w:type="dxa"/>
        <w:bottom w:w="0" w:type="dxa"/>
      </w:tblCellMar>
    </w:tblPr>
  </w:style>
  <w:style w:type="table" w:styleId="904" w:customStyle="1">
    <w:name w:val="List Table 5 Dark - Accent 2"/>
    <w:uiPriority w:val="99"/>
    <w:qFormat/>
    <w:tblPr>
      <w:tblCellMar>
        <w:left w:w="0" w:type="dxa"/>
        <w:top w:w="0" w:type="dxa"/>
        <w:right w:w="0" w:type="dxa"/>
        <w:bottom w:w="0" w:type="dxa"/>
      </w:tblCellMar>
    </w:tblPr>
  </w:style>
  <w:style w:type="table" w:styleId="905" w:customStyle="1">
    <w:name w:val="List Table 5 Dark - Accent 3"/>
    <w:uiPriority w:val="99"/>
    <w:qFormat/>
    <w:tblPr>
      <w:tblCellMar>
        <w:left w:w="0" w:type="dxa"/>
        <w:top w:w="0" w:type="dxa"/>
        <w:right w:w="0" w:type="dxa"/>
        <w:bottom w:w="0" w:type="dxa"/>
      </w:tblCellMar>
    </w:tblPr>
  </w:style>
  <w:style w:type="table" w:styleId="906" w:customStyle="1">
    <w:name w:val="List Table 5 Dark - Accent 4"/>
    <w:uiPriority w:val="99"/>
    <w:qFormat/>
    <w:tblPr>
      <w:tblCellMar>
        <w:left w:w="0" w:type="dxa"/>
        <w:top w:w="0" w:type="dxa"/>
        <w:right w:w="0" w:type="dxa"/>
        <w:bottom w:w="0" w:type="dxa"/>
      </w:tblCellMar>
    </w:tblPr>
  </w:style>
  <w:style w:type="table" w:styleId="907" w:customStyle="1">
    <w:name w:val="List Table 5 Dark - Accent 5"/>
    <w:uiPriority w:val="99"/>
    <w:qFormat/>
    <w:tblPr>
      <w:tblCellMar>
        <w:left w:w="0" w:type="dxa"/>
        <w:top w:w="0" w:type="dxa"/>
        <w:right w:w="0" w:type="dxa"/>
        <w:bottom w:w="0" w:type="dxa"/>
      </w:tblCellMar>
    </w:tblPr>
  </w:style>
  <w:style w:type="table" w:styleId="908" w:customStyle="1">
    <w:name w:val="List Table 5 Dark - Accent 6"/>
    <w:uiPriority w:val="99"/>
    <w:qFormat/>
    <w:tblPr>
      <w:tblCellMar>
        <w:left w:w="0" w:type="dxa"/>
        <w:top w:w="0" w:type="dxa"/>
        <w:right w:w="0" w:type="dxa"/>
        <w:bottom w:w="0" w:type="dxa"/>
      </w:tblCellMar>
    </w:tblPr>
  </w:style>
  <w:style w:type="table" w:styleId="909" w:customStyle="1">
    <w:name w:val="清单表 6 彩色1"/>
    <w:uiPriority w:val="99"/>
    <w:qFormat/>
    <w:tblPr>
      <w:tblCellMar>
        <w:left w:w="0" w:type="dxa"/>
        <w:top w:w="0" w:type="dxa"/>
        <w:right w:w="0" w:type="dxa"/>
        <w:bottom w:w="0" w:type="dxa"/>
      </w:tblCellMar>
    </w:tblPr>
  </w:style>
  <w:style w:type="table" w:styleId="910" w:customStyle="1">
    <w:name w:val="List Table 6 Colorful - Accent 1"/>
    <w:uiPriority w:val="99"/>
    <w:qFormat/>
    <w:tblPr>
      <w:tblCellMar>
        <w:left w:w="0" w:type="dxa"/>
        <w:top w:w="0" w:type="dxa"/>
        <w:right w:w="0" w:type="dxa"/>
        <w:bottom w:w="0" w:type="dxa"/>
      </w:tblCellMar>
    </w:tblPr>
  </w:style>
  <w:style w:type="table" w:styleId="911" w:customStyle="1">
    <w:name w:val="List Table 6 Colorful - Accent 2"/>
    <w:uiPriority w:val="99"/>
    <w:qFormat/>
    <w:tblPr>
      <w:tblCellMar>
        <w:left w:w="0" w:type="dxa"/>
        <w:top w:w="0" w:type="dxa"/>
        <w:right w:w="0" w:type="dxa"/>
        <w:bottom w:w="0" w:type="dxa"/>
      </w:tblCellMar>
    </w:tblPr>
  </w:style>
  <w:style w:type="table" w:styleId="912" w:customStyle="1">
    <w:name w:val="List Table 6 Colorful - Accent 3"/>
    <w:uiPriority w:val="99"/>
    <w:qFormat/>
    <w:tblPr>
      <w:tblCellMar>
        <w:left w:w="0" w:type="dxa"/>
        <w:top w:w="0" w:type="dxa"/>
        <w:right w:w="0" w:type="dxa"/>
        <w:bottom w:w="0" w:type="dxa"/>
      </w:tblCellMar>
    </w:tblPr>
  </w:style>
  <w:style w:type="table" w:styleId="913" w:customStyle="1">
    <w:name w:val="List Table 6 Colorful - Accent 4"/>
    <w:uiPriority w:val="99"/>
    <w:qFormat/>
    <w:tblPr>
      <w:tblCellMar>
        <w:left w:w="0" w:type="dxa"/>
        <w:top w:w="0" w:type="dxa"/>
        <w:right w:w="0" w:type="dxa"/>
        <w:bottom w:w="0" w:type="dxa"/>
      </w:tblCellMar>
    </w:tblPr>
  </w:style>
  <w:style w:type="table" w:styleId="914" w:customStyle="1">
    <w:name w:val="List Table 6 Colorful - Accent 5"/>
    <w:uiPriority w:val="99"/>
    <w:qFormat/>
    <w:tblPr>
      <w:tblCellMar>
        <w:left w:w="0" w:type="dxa"/>
        <w:top w:w="0" w:type="dxa"/>
        <w:right w:w="0" w:type="dxa"/>
        <w:bottom w:w="0" w:type="dxa"/>
      </w:tblCellMar>
    </w:tblPr>
  </w:style>
  <w:style w:type="table" w:styleId="915" w:customStyle="1">
    <w:name w:val="List Table 6 Colorful - Accent 6"/>
    <w:uiPriority w:val="99"/>
    <w:qFormat/>
    <w:tblPr>
      <w:tblCellMar>
        <w:left w:w="0" w:type="dxa"/>
        <w:top w:w="0" w:type="dxa"/>
        <w:right w:w="0" w:type="dxa"/>
        <w:bottom w:w="0" w:type="dxa"/>
      </w:tblCellMar>
    </w:tblPr>
  </w:style>
  <w:style w:type="table" w:styleId="916" w:customStyle="1">
    <w:name w:val="清单表 7 彩色1"/>
    <w:uiPriority w:val="99"/>
    <w:qFormat/>
    <w:tblPr>
      <w:tblCellMar>
        <w:left w:w="0" w:type="dxa"/>
        <w:top w:w="0" w:type="dxa"/>
        <w:right w:w="0" w:type="dxa"/>
        <w:bottom w:w="0" w:type="dxa"/>
      </w:tblCellMar>
    </w:tblPr>
  </w:style>
  <w:style w:type="table" w:styleId="917" w:customStyle="1">
    <w:name w:val="List Table 7 Colorful - Accent 1"/>
    <w:uiPriority w:val="99"/>
    <w:qFormat/>
    <w:tblPr>
      <w:tblCellMar>
        <w:left w:w="0" w:type="dxa"/>
        <w:top w:w="0" w:type="dxa"/>
        <w:right w:w="0" w:type="dxa"/>
        <w:bottom w:w="0" w:type="dxa"/>
      </w:tblCellMar>
    </w:tblPr>
  </w:style>
  <w:style w:type="table" w:styleId="918" w:customStyle="1">
    <w:name w:val="List Table 7 Colorful - Accent 2"/>
    <w:uiPriority w:val="99"/>
    <w:qFormat/>
    <w:tblPr>
      <w:tblCellMar>
        <w:left w:w="0" w:type="dxa"/>
        <w:top w:w="0" w:type="dxa"/>
        <w:right w:w="0" w:type="dxa"/>
        <w:bottom w:w="0" w:type="dxa"/>
      </w:tblCellMar>
    </w:tblPr>
  </w:style>
  <w:style w:type="table" w:styleId="919" w:customStyle="1">
    <w:name w:val="List Table 7 Colorful - Accent 3"/>
    <w:uiPriority w:val="99"/>
    <w:qFormat/>
    <w:tblPr>
      <w:tblCellMar>
        <w:left w:w="0" w:type="dxa"/>
        <w:top w:w="0" w:type="dxa"/>
        <w:right w:w="0" w:type="dxa"/>
        <w:bottom w:w="0" w:type="dxa"/>
      </w:tblCellMar>
    </w:tblPr>
  </w:style>
  <w:style w:type="table" w:styleId="920" w:customStyle="1">
    <w:name w:val="List Table 7 Colorful - Accent 4"/>
    <w:uiPriority w:val="99"/>
    <w:qFormat/>
    <w:tblPr>
      <w:tblCellMar>
        <w:left w:w="0" w:type="dxa"/>
        <w:top w:w="0" w:type="dxa"/>
        <w:right w:w="0" w:type="dxa"/>
        <w:bottom w:w="0" w:type="dxa"/>
      </w:tblCellMar>
    </w:tblPr>
  </w:style>
  <w:style w:type="table" w:styleId="921" w:customStyle="1">
    <w:name w:val="List Table 7 Colorful - Accent 5"/>
    <w:uiPriority w:val="99"/>
    <w:qFormat/>
    <w:tblPr>
      <w:tblCellMar>
        <w:left w:w="0" w:type="dxa"/>
        <w:top w:w="0" w:type="dxa"/>
        <w:right w:w="0" w:type="dxa"/>
        <w:bottom w:w="0" w:type="dxa"/>
      </w:tblCellMar>
    </w:tblPr>
  </w:style>
  <w:style w:type="table" w:styleId="922" w:customStyle="1">
    <w:name w:val="List Table 7 Colorful - Accent 6"/>
    <w:uiPriority w:val="99"/>
    <w:qFormat/>
    <w:tblPr>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CellMar>
        <w:left w:w="0" w:type="dxa"/>
        <w:top w:w="0" w:type="dxa"/>
        <w:right w:w="0" w:type="dxa"/>
        <w:bottom w:w="0" w:type="dxa"/>
      </w:tblCellMar>
    </w:tblPr>
  </w:style>
  <w:style w:type="table" w:styleId="931" w:customStyle="1">
    <w:name w:val="Bordered &amp; Lined - Accent 1"/>
    <w:uiPriority w:val="99"/>
    <w:qFormat/>
    <w:rPr>
      <w:color w:val="404040"/>
    </w:rPr>
    <w:tblPr>
      <w:tblCellMar>
        <w:left w:w="0" w:type="dxa"/>
        <w:top w:w="0" w:type="dxa"/>
        <w:right w:w="0" w:type="dxa"/>
        <w:bottom w:w="0" w:type="dxa"/>
      </w:tblCellMar>
    </w:tblPr>
  </w:style>
  <w:style w:type="table" w:styleId="932" w:customStyle="1">
    <w:name w:val="Bordered &amp; Lined - Accent 2"/>
    <w:uiPriority w:val="99"/>
    <w:qFormat/>
    <w:rPr>
      <w:color w:val="404040"/>
    </w:rPr>
    <w:tblPr>
      <w:tblCellMar>
        <w:left w:w="0" w:type="dxa"/>
        <w:top w:w="0" w:type="dxa"/>
        <w:right w:w="0" w:type="dxa"/>
        <w:bottom w:w="0" w:type="dxa"/>
      </w:tblCellMar>
    </w:tblPr>
  </w:style>
  <w:style w:type="table" w:styleId="933" w:customStyle="1">
    <w:name w:val="Bordered &amp; Lined - Accent 3"/>
    <w:uiPriority w:val="99"/>
    <w:qFormat/>
    <w:rPr>
      <w:color w:val="404040"/>
    </w:rPr>
    <w:tblPr>
      <w:tblCellMar>
        <w:left w:w="0" w:type="dxa"/>
        <w:top w:w="0" w:type="dxa"/>
        <w:right w:w="0" w:type="dxa"/>
        <w:bottom w:w="0" w:type="dxa"/>
      </w:tblCellMar>
    </w:tblPr>
  </w:style>
  <w:style w:type="table" w:styleId="934" w:customStyle="1">
    <w:name w:val="Bordered &amp; Lined - Accent 4"/>
    <w:uiPriority w:val="99"/>
    <w:qFormat/>
    <w:rPr>
      <w:color w:val="404040"/>
    </w:rPr>
    <w:tblPr>
      <w:tblCellMar>
        <w:left w:w="0" w:type="dxa"/>
        <w:top w:w="0" w:type="dxa"/>
        <w:right w:w="0" w:type="dxa"/>
        <w:bottom w:w="0" w:type="dxa"/>
      </w:tblCellMar>
    </w:tblPr>
  </w:style>
  <w:style w:type="table" w:styleId="935" w:customStyle="1">
    <w:name w:val="Bordered &amp; Lined - Accent 5"/>
    <w:uiPriority w:val="99"/>
    <w:qFormat/>
    <w:rPr>
      <w:color w:val="404040"/>
    </w:rPr>
    <w:tblPr>
      <w:tblCellMar>
        <w:left w:w="0" w:type="dxa"/>
        <w:top w:w="0" w:type="dxa"/>
        <w:right w:w="0" w:type="dxa"/>
        <w:bottom w:w="0" w:type="dxa"/>
      </w:tblCellMar>
    </w:tblPr>
  </w:style>
  <w:style w:type="table" w:styleId="936" w:customStyle="1">
    <w:name w:val="Bordered &amp; Lined - Accent 6"/>
    <w:uiPriority w:val="99"/>
    <w:qFormat/>
    <w:rPr>
      <w:color w:val="404040"/>
    </w:rPr>
    <w:tblPr>
      <w:tblCellMar>
        <w:left w:w="0" w:type="dxa"/>
        <w:top w:w="0" w:type="dxa"/>
        <w:right w:w="0" w:type="dxa"/>
        <w:bottom w:w="0" w:type="dxa"/>
      </w:tblCellMar>
    </w:tblPr>
  </w:style>
  <w:style w:type="table" w:styleId="937" w:customStyle="1">
    <w:name w:val="Bordered"/>
    <w:uiPriority w:val="99"/>
    <w:qFormat/>
    <w:tblPr>
      <w:tblCellMar>
        <w:left w:w="0" w:type="dxa"/>
        <w:top w:w="0" w:type="dxa"/>
        <w:right w:w="0" w:type="dxa"/>
        <w:bottom w:w="0" w:type="dxa"/>
      </w:tblCellMar>
    </w:tblPr>
  </w:style>
  <w:style w:type="table" w:styleId="938" w:customStyle="1">
    <w:name w:val="Bordered - Accent 1"/>
    <w:uiPriority w:val="99"/>
    <w:qFormat/>
    <w:tblPr>
      <w:tblCellMar>
        <w:left w:w="0" w:type="dxa"/>
        <w:top w:w="0" w:type="dxa"/>
        <w:right w:w="0" w:type="dxa"/>
        <w:bottom w:w="0" w:type="dxa"/>
      </w:tblCellMar>
    </w:tblPr>
  </w:style>
  <w:style w:type="table" w:styleId="939" w:customStyle="1">
    <w:name w:val="Bordered - Accent 2"/>
    <w:uiPriority w:val="99"/>
    <w:qFormat/>
    <w:tblPr>
      <w:tblCellMar>
        <w:left w:w="0" w:type="dxa"/>
        <w:top w:w="0" w:type="dxa"/>
        <w:right w:w="0" w:type="dxa"/>
        <w:bottom w:w="0" w:type="dxa"/>
      </w:tblCellMar>
    </w:tblPr>
  </w:style>
  <w:style w:type="table" w:styleId="940" w:customStyle="1">
    <w:name w:val="Bordered - Accent 3"/>
    <w:uiPriority w:val="99"/>
    <w:qFormat/>
    <w:tblPr>
      <w:tblCellMar>
        <w:left w:w="0" w:type="dxa"/>
        <w:top w:w="0" w:type="dxa"/>
        <w:right w:w="0" w:type="dxa"/>
        <w:bottom w:w="0" w:type="dxa"/>
      </w:tblCellMar>
    </w:tblPr>
  </w:style>
  <w:style w:type="table" w:styleId="941" w:customStyle="1">
    <w:name w:val="Bordered - Accent 4"/>
    <w:uiPriority w:val="99"/>
    <w:qFormat/>
    <w:tblPr>
      <w:tblCellMar>
        <w:left w:w="0" w:type="dxa"/>
        <w:top w:w="0" w:type="dxa"/>
        <w:right w:w="0" w:type="dxa"/>
        <w:bottom w:w="0" w:type="dxa"/>
      </w:tblCellMar>
    </w:tblPr>
  </w:style>
  <w:style w:type="table" w:styleId="942" w:customStyle="1">
    <w:name w:val="Bordered - Accent 5"/>
    <w:uiPriority w:val="99"/>
    <w:qFormat/>
    <w:tblPr>
      <w:tblCellMar>
        <w:left w:w="0" w:type="dxa"/>
        <w:top w:w="0" w:type="dxa"/>
        <w:right w:w="0" w:type="dxa"/>
        <w:bottom w:w="0" w:type="dxa"/>
      </w:tblCellMar>
    </w:tblPr>
  </w:style>
  <w:style w:type="table" w:styleId="943" w:customStyle="1">
    <w:name w:val="Bordered - Accent 6"/>
    <w:uiPriority w:val="99"/>
    <w:qFormat/>
    <w:tblPr>
      <w:tblCellMar>
        <w:left w:w="0" w:type="dxa"/>
        <w:top w:w="0" w:type="dxa"/>
        <w:right w:w="0" w:type="dxa"/>
        <w:bottom w:w="0" w:type="dxa"/>
      </w:tblCellMar>
    </w:tblPr>
  </w:style>
  <w:style w:type="paragraph" w:styleId="944" w:customStyle="1">
    <w:name w:val="TOC 标题1"/>
    <w:uiPriority w:val="39"/>
    <w:unhideWhenUsed/>
    <w:qFormat/>
  </w:style>
  <w:style w:type="paragraph" w:styleId="945" w:customStyle="1">
    <w:name w:val="修订1"/>
    <w:uiPriority w:val="99"/>
    <w:semiHidden/>
    <w:qFormat/>
    <w:rPr>
      <w:sz w:val="21"/>
      <w:szCs w:val="22"/>
    </w:rPr>
  </w:style>
  <w:style w:type="paragraph" w:styleId="946" w:customStyle="1">
    <w:name w:val="_正文段落"/>
    <w:basedOn w:val="687"/>
    <w:qFormat/>
    <w:pPr>
      <w:ind w:firstLine="200"/>
      <w:jc w:val="left"/>
      <w:spacing w:line="360" w:lineRule="auto"/>
    </w:pPr>
    <w:rPr>
      <w:rFonts w:ascii="宋体" w:hAnsi="宋体"/>
      <w:sz w:val="24"/>
      <w:szCs w:val="24"/>
    </w:rPr>
  </w:style>
  <w:style w:type="paragraph" w:styleId="947" w:customStyle="1">
    <w:name w:val="纯文本11"/>
    <w:basedOn w:val="687"/>
    <w:uiPriority w:val="99"/>
    <w:qFormat/>
    <w:rPr>
      <w:rFonts w:ascii="宋体" w:hAnsi="Courier New" w:eastAsia="楷体_GB2312"/>
      <w:sz w:val="26"/>
      <w:szCs w:val="24"/>
    </w:rPr>
  </w:style>
  <w:style w:type="character" w:styleId="948" w:customStyle="1">
    <w:name w:val="页脚 字符"/>
    <w:qFormat/>
    <w:rPr>
      <w:rFonts w:ascii="Calibri" w:hAnsi="Calibri" w:eastAsia="宋体"/>
      <w:sz w:val="18"/>
      <w:szCs w:val="18"/>
    </w:rPr>
  </w:style>
  <w:style w:type="character" w:styleId="949" w:customStyle="1">
    <w:name w:val="纯文本 字符"/>
    <w:uiPriority w:val="99"/>
    <w:semiHidden/>
    <w:qFormat/>
    <w:rPr>
      <w:rFonts w:ascii="宋体" w:hAnsi="Courier New" w:eastAsia="宋体" w:cs="Courier New"/>
      <w:sz w:val="21"/>
      <w:szCs w:val="21"/>
    </w:rPr>
  </w:style>
  <w:style w:type="character" w:styleId="950" w:customStyle="1">
    <w:name w:val="Plain Text Char Char"/>
    <w:link w:val="951"/>
    <w:qFormat/>
    <w:rPr>
      <w:rFonts w:ascii="宋体" w:hAnsi="Courier New" w:eastAsia="楷体_GB2312"/>
      <w:sz w:val="28"/>
    </w:rPr>
  </w:style>
  <w:style w:type="paragraph" w:styleId="951" w:customStyle="1">
    <w:name w:val="纯文本1"/>
    <w:basedOn w:val="687"/>
    <w:link w:val="950"/>
    <w:qFormat/>
    <w:rPr>
      <w:rFonts w:ascii="宋体" w:hAnsi="Courier New" w:eastAsia="楷体_GB2312"/>
      <w:sz w:val="28"/>
      <w:szCs w:val="20"/>
      <w:lang w:eastAsia="en-US"/>
    </w:rPr>
  </w:style>
  <w:style w:type="paragraph" w:styleId="952" w:customStyle="1">
    <w:name w:val="段"/>
    <w:next w:val="687"/>
    <w:qFormat/>
    <w:pPr>
      <w:ind w:firstLine="200"/>
      <w:jc w:val="both"/>
    </w:pPr>
    <w:rPr>
      <w:rFonts w:ascii="宋体" w:hAnsi="宋体"/>
      <w:sz w:val="21"/>
      <w:szCs w:val="21"/>
    </w:rPr>
  </w:style>
  <w:style w:type="character" w:styleId="953" w:customStyle="1">
    <w:name w:val="页眉 字符"/>
    <w:uiPriority w:val="99"/>
    <w:qFormat/>
    <w:rPr>
      <w:sz w:val="18"/>
      <w:szCs w:val="18"/>
    </w:rPr>
  </w:style>
  <w:style w:type="character" w:styleId="954" w:customStyle="1">
    <w:name w:val="批注框文本 字符"/>
    <w:uiPriority w:val="99"/>
    <w:semiHidden/>
    <w:qFormat/>
    <w:rPr>
      <w:sz w:val="18"/>
      <w:szCs w:val="18"/>
    </w:rPr>
  </w:style>
  <w:style w:type="paragraph" w:styleId="955" w:customStyle="1">
    <w:name w:val="彩色列表 - 强调文字颜色 11"/>
    <w:basedOn w:val="687"/>
    <w:qFormat/>
    <w:pPr>
      <w:ind w:firstLine="420"/>
    </w:pPr>
    <w:rPr>
      <w:rFonts w:ascii="Times New Roman" w:hAnsi="Times New Roman"/>
      <w:sz w:val="26"/>
      <w:szCs w:val="24"/>
    </w:rPr>
  </w:style>
  <w:style w:type="paragraph" w:styleId="956" w:customStyle="1">
    <w:name w:val="正文文本1"/>
    <w:basedOn w:val="687"/>
    <w:unhideWhenUsed/>
    <w:qFormat/>
    <w:rPr>
      <w:rFonts w:ascii="楷体_GB2312" w:hAnsi="Times New Roman" w:eastAsia="楷体_GB2312"/>
      <w:b/>
      <w:bCs/>
      <w:sz w:val="28"/>
      <w:szCs w:val="20"/>
    </w:rPr>
  </w:style>
  <w:style w:type="character" w:styleId="957" w:customStyle="1">
    <w:name w:val="Plain Text Char1"/>
    <w:qFormat/>
    <w:rPr>
      <w:rFonts w:ascii="宋体" w:hAnsi="Courier New" w:eastAsia="楷体_GB2312"/>
      <w:sz w:val="28"/>
    </w:rPr>
  </w:style>
  <w:style w:type="paragraph" w:styleId="958" w:customStyle="1">
    <w:name w:val="纯文本2"/>
    <w:basedOn w:val="687"/>
    <w:qFormat/>
    <w:rPr>
      <w:rFonts w:ascii="宋体" w:hAnsi="Courier New" w:eastAsia="楷体_GB2312"/>
      <w:sz w:val="26"/>
      <w:szCs w:val="20"/>
    </w:rPr>
  </w:style>
  <w:style w:type="paragraph" w:styleId="959" w:customStyle="1">
    <w:name w:val="普通(网站)1"/>
    <w:basedOn w:val="687"/>
    <w:pPr>
      <w:jc w:val="left"/>
      <w:spacing w:before="100" w:beforeAutospacing="1" w:after="100" w:afterAutospacing="1"/>
      <w:widowControl/>
    </w:pPr>
    <w:rPr>
      <w:rFonts w:ascii="宋体" w:hAnsi="宋体" w:eastAsia="等线"/>
      <w:sz w:val="24"/>
      <w:szCs w:val="20"/>
    </w:rPr>
  </w:style>
  <w:style w:type="paragraph" w:styleId="960" w:customStyle="1">
    <w:name w:val="纯文本3"/>
    <w:basedOn w:val="687"/>
    <w:rPr>
      <w:rFonts w:ascii="宋体" w:hAnsi="Courier New" w:eastAsia="楷体_GB2312"/>
      <w:sz w:val="28"/>
      <w:szCs w:val="20"/>
    </w:rPr>
  </w:style>
  <w:style w:type="paragraph" w:styleId="961" w:customStyle="1">
    <w:name w:val="纯文本8"/>
    <w:basedOn w:val="687"/>
    <w:qFormat/>
    <w:rPr>
      <w:rFonts w:ascii="宋体" w:hAnsi="Courier New" w:eastAsia="楷体_GB2312"/>
      <w:sz w:val="26"/>
      <w:szCs w:val="20"/>
    </w:rPr>
  </w:style>
  <w:style w:type="paragraph" w:styleId="962" w:customStyle="1">
    <w:name w:val="_paragraph_1h3l3_2"/>
    <w:basedOn w:val="687"/>
    <w:pPr>
      <w:jc w:val="left"/>
      <w:spacing w:before="100" w:beforeAutospacing="1" w:after="100" w:afterAutospacing="1"/>
      <w:widowControl/>
    </w:pPr>
    <w:rPr>
      <w:rFonts w:ascii="宋体" w:hAnsi="宋体" w:cs="宋体"/>
      <w:sz w:val="24"/>
      <w:szCs w:val="24"/>
    </w:rPr>
  </w:style>
  <w:style w:type="paragraph" w:styleId="963" w:customStyle="1">
    <w:name w:val="Table Paragraph"/>
    <w:basedOn w:val="687"/>
    <w:uiPriority w:val="1"/>
    <w:qFormat/>
    <w:pPr>
      <w:jc w:val="center"/>
      <w:spacing w:before="39"/>
    </w:pPr>
    <w:rPr>
      <w:rFonts w:ascii="Times New Roman" w:hAnsi="Times New Roman" w:eastAsia="Times New Roman"/>
    </w:rPr>
  </w:style>
  <w:style w:type="paragraph" w:styleId="964" w:customStyle="1">
    <w:name w:val="首行缩进"/>
    <w:basedOn w:val="687"/>
    <w:qFormat/>
    <w:pPr>
      <w:ind w:firstLine="480"/>
    </w:pPr>
    <w:rPr>
      <w:rFonts w:ascii="Times New Roman" w:hAnsi="Times New Roman"/>
      <w:szCs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B0AA991-E7D1-4D97-8683-046474A41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YantyHu</dc:creator>
  <cp:lastModifiedBy>向多</cp:lastModifiedBy>
  <cp:revision>82</cp:revision>
  <dcterms:created xsi:type="dcterms:W3CDTF">2025-04-16T06:17:00Z</dcterms:created>
  <dcterms:modified xsi:type="dcterms:W3CDTF">2026-08-17T08:31:02Z</dcterms:modified>
  <cp:version>917504</cp:version>
</cp:coreProperties>
</file>