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eastAsia="黑体"/>
          <w:b/>
          <w:bCs/>
          <w:sz w:val="84"/>
          <w:highlight w:val="none"/>
        </w:rPr>
      </w:pPr>
      <w:r>
        <w:rPr>
          <w:rFonts w:eastAsia="黑体"/>
          <w:b/>
          <w:bCs/>
          <w:sz w:val="84"/>
          <w:highlight w:val="none"/>
        </w:rPr>
      </w:r>
      <w:r>
        <w:rPr>
          <w:highlight w:val="none"/>
        </w:rPr>
      </w:r>
      <w:r/>
    </w:p>
    <w:p>
      <w:pPr>
        <w:pStyle w:val="1028"/>
        <w:ind w:firstLine="0"/>
        <w:jc w:val="center"/>
        <w:rPr>
          <w:rFonts w:eastAsia="黑体"/>
          <w:b/>
          <w:bCs/>
          <w:sz w:val="84"/>
          <w:highlight w:val="none"/>
        </w:rPr>
      </w:pPr>
      <w:r>
        <w:rPr>
          <w:rFonts w:hint="eastAsia" w:eastAsia="黑体"/>
          <w:b/>
          <w:bCs/>
          <w:sz w:val="84"/>
          <w:highlight w:val="none"/>
        </w:rPr>
        <w:t xml:space="preserve">招　标　文　件</w:t>
      </w:r>
      <w:r>
        <w:rPr>
          <w:highlight w:val="none"/>
        </w:rPr>
      </w:r>
      <w:r/>
    </w:p>
    <w:p>
      <w:pPr>
        <w:ind w:left="1106" w:hanging="371"/>
        <w:spacing w:line="360" w:lineRule="auto"/>
        <w:tabs>
          <w:tab w:val="left" w:pos="3240" w:leader="none"/>
          <w:tab w:val="left" w:pos="3420" w:leader="none"/>
        </w:tabs>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r>
      <w:r>
        <w:rPr>
          <w:highlight w:val="none"/>
        </w:rPr>
      </w:r>
      <w:r/>
    </w:p>
    <w:p>
      <w:pPr>
        <w:ind w:left="1106" w:hanging="371"/>
        <w:spacing w:line="360" w:lineRule="auto"/>
        <w:tabs>
          <w:tab w:val="left" w:pos="3240" w:leader="none"/>
          <w:tab w:val="left" w:pos="3420" w:leader="none"/>
        </w:tabs>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r>
      <w:r>
        <w:rPr>
          <w:highlight w:val="none"/>
        </w:rPr>
      </w:r>
      <w:r/>
    </w:p>
    <w:p>
      <w:pPr>
        <w:ind w:left="1106" w:hanging="371"/>
        <w:spacing w:line="360" w:lineRule="auto"/>
        <w:tabs>
          <w:tab w:val="left" w:pos="3240" w:leader="none"/>
          <w:tab w:val="left" w:pos="3420" w:leader="none"/>
        </w:tabs>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r>
      <w:r>
        <w:rPr>
          <w:highlight w:val="none"/>
        </w:rPr>
      </w:r>
      <w:r/>
    </w:p>
    <w:p>
      <w:pPr>
        <w:ind w:left="1106" w:hanging="371"/>
        <w:spacing w:line="360" w:lineRule="auto"/>
        <w:tabs>
          <w:tab w:val="left" w:pos="3240" w:leader="none"/>
          <w:tab w:val="left" w:pos="3420" w:leader="none"/>
        </w:tabs>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r>
      <w:r>
        <w:rPr>
          <w:highlight w:val="none"/>
        </w:rPr>
      </w:r>
      <w:r/>
    </w:p>
    <w:p>
      <w:pPr>
        <w:ind w:left="1736" w:hanging="371"/>
        <w:spacing w:line="360" w:lineRule="auto"/>
        <w:tabs>
          <w:tab w:val="left" w:pos="3240" w:leader="none"/>
          <w:tab w:val="left" w:pos="3420" w:leader="none"/>
        </w:tabs>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t xml:space="preserve">项目名称：</w:t>
      </w:r>
      <w:r>
        <w:rPr>
          <w:rFonts w:hint="eastAsia" w:ascii="等线" w:hAnsi="等线" w:eastAsia="等线" w:cs="等线"/>
          <w:bCs/>
          <w:sz w:val="32"/>
          <w:szCs w:val="32"/>
          <w:highlight w:val="none"/>
          <w:u w:val="single"/>
          <w:lang w:bidi="ar"/>
        </w:rPr>
        <w:t xml:space="preserve">常州市教育局局属单位第二批物业服务集中带量采购项目</w:t>
      </w:r>
      <w:r>
        <w:rPr>
          <w:highlight w:val="none"/>
        </w:rPr>
      </w:r>
      <w:r/>
    </w:p>
    <w:p>
      <w:pPr>
        <w:ind w:left="1736" w:hanging="371"/>
        <w:spacing w:line="360" w:lineRule="auto"/>
        <w:tabs>
          <w:tab w:val="left" w:pos="3240" w:leader="none"/>
          <w:tab w:val="left" w:pos="3420" w:leader="none"/>
        </w:tabs>
        <w:rPr>
          <w:rFonts w:hint="eastAsia" w:ascii="宋体" w:hAnsi="宋体"/>
          <w:sz w:val="32"/>
          <w:szCs w:val="32"/>
          <w:highlight w:val="none"/>
        </w:rPr>
      </w:pPr>
      <w:r>
        <w:rPr>
          <w:rFonts w:hint="eastAsia" w:ascii="等线" w:hAnsi="等线" w:eastAsia="等线" w:cs="等线"/>
          <w:bCs/>
          <w:sz w:val="36"/>
          <w:szCs w:val="36"/>
          <w:highlight w:val="none"/>
          <w:lang w:bidi="ar"/>
        </w:rPr>
        <w:t xml:space="preserve">项目编号：</w:t>
      </w:r>
      <w:r>
        <w:rPr>
          <w:rFonts w:hint="eastAsia" w:ascii="等线" w:hAnsi="等线" w:eastAsia="等线" w:cs="等线"/>
          <w:bCs/>
          <w:sz w:val="32"/>
          <w:szCs w:val="32"/>
          <w:highlight w:val="none"/>
          <w:u w:val="single"/>
          <w:lang w:bidi="ar"/>
        </w:rPr>
        <w:t xml:space="preserve">JSZC-320400-JZCG-G2026-0197</w:t>
      </w:r>
      <w:r>
        <w:rPr>
          <w:rFonts w:ascii="等线" w:hAnsi="等线" w:eastAsia="等线" w:cs="等线"/>
          <w:bCs/>
          <w:sz w:val="32"/>
          <w:szCs w:val="32"/>
          <w:highlight w:val="none"/>
          <w:u w:val="single"/>
          <w:lang w:bidi="ar"/>
        </w:rPr>
        <w:t xml:space="preserve"> </w:t>
      </w:r>
      <w:r>
        <w:rPr>
          <w:highlight w:val="none"/>
        </w:rPr>
      </w:r>
      <w:r/>
    </w:p>
    <w:p>
      <w:pPr>
        <w:pStyle w:val="1028"/>
        <w:ind w:firstLine="0"/>
        <w:spacing w:before="0" w:after="0"/>
        <w:rPr>
          <w:rFonts w:hint="eastAsia" w:ascii="宋体" w:hAnsi="宋体"/>
          <w:highlight w:val="none"/>
        </w:rPr>
      </w:pPr>
      <w:r>
        <w:rPr>
          <w:rFonts w:hint="eastAsia" w:ascii="宋体" w:hAnsi="宋体"/>
          <w:highlight w:val="none"/>
        </w:rPr>
      </w:r>
      <w:r>
        <w:rPr>
          <w:highlight w:val="none"/>
        </w:rPr>
      </w:r>
      <w:r/>
    </w:p>
    <w:p>
      <w:pPr>
        <w:pStyle w:val="1028"/>
        <w:ind w:firstLine="0"/>
        <w:spacing w:before="0" w:after="0"/>
        <w:rPr>
          <w:rFonts w:hint="eastAsia" w:ascii="宋体" w:hAnsi="宋体"/>
          <w:highlight w:val="none"/>
        </w:rPr>
      </w:pPr>
      <w:r>
        <w:rPr>
          <w:rFonts w:hint="eastAsia" w:ascii="宋体" w:hAnsi="宋体"/>
          <w:highlight w:val="none"/>
        </w:rPr>
      </w:r>
      <w:r>
        <w:rPr>
          <w:highlight w:val="none"/>
        </w:rPr>
      </w:r>
      <w:r/>
    </w:p>
    <w:p>
      <w:pPr>
        <w:pStyle w:val="1028"/>
        <w:ind w:firstLine="0"/>
        <w:spacing w:before="0" w:after="0"/>
        <w:rPr>
          <w:rFonts w:hint="eastAsia" w:ascii="宋体" w:hAnsi="宋体"/>
          <w:highlight w:val="none"/>
        </w:rPr>
      </w:pPr>
      <w:r>
        <w:rPr>
          <w:rFonts w:hint="eastAsia" w:ascii="宋体" w:hAnsi="宋体"/>
          <w:highlight w:val="none"/>
        </w:rPr>
      </w:r>
      <w:r>
        <w:rPr>
          <w:highlight w:val="none"/>
        </w:rPr>
      </w:r>
      <w:r/>
    </w:p>
    <w:p>
      <w:pPr>
        <w:pStyle w:val="1028"/>
        <w:ind w:firstLine="0"/>
        <w:spacing w:before="0" w:after="0"/>
        <w:rPr>
          <w:rFonts w:hint="eastAsia" w:ascii="宋体" w:hAnsi="宋体"/>
          <w:highlight w:val="none"/>
        </w:rPr>
      </w:pPr>
      <w:r>
        <w:rPr>
          <w:rFonts w:hint="eastAsia" w:ascii="宋体" w:hAnsi="宋体"/>
          <w:highlight w:val="none"/>
        </w:rPr>
      </w:r>
      <w:r>
        <w:rPr>
          <w:highlight w:val="none"/>
        </w:rPr>
      </w:r>
      <w:r/>
    </w:p>
    <w:p>
      <w:pPr>
        <w:pStyle w:val="1028"/>
        <w:ind w:firstLine="0"/>
        <w:spacing w:before="0" w:after="0"/>
        <w:rPr>
          <w:rFonts w:hint="eastAsia" w:ascii="宋体" w:hAnsi="宋体"/>
          <w:highlight w:val="none"/>
        </w:rPr>
      </w:pPr>
      <w:r>
        <w:rPr>
          <w:rFonts w:hint="eastAsia" w:ascii="宋体" w:hAnsi="宋体"/>
          <w:highlight w:val="none"/>
        </w:rPr>
      </w:r>
      <w:r>
        <w:rPr>
          <w:highlight w:val="none"/>
        </w:rPr>
      </w:r>
      <w:r/>
    </w:p>
    <w:p>
      <w:pPr>
        <w:pStyle w:val="828"/>
        <w:spacing w:before="0" w:beforeAutospacing="0" w:after="0" w:afterAutospacing="0" w:line="360" w:lineRule="auto"/>
        <w:widowControl w:val="off"/>
        <w:rPr>
          <w:rFonts w:hint="eastAsia"/>
          <w:highlight w:val="none"/>
        </w:rPr>
      </w:pPr>
      <w:r>
        <w:rPr>
          <w:rFonts w:hint="eastAsia"/>
          <w:highlight w:val="none"/>
        </w:rPr>
      </w:r>
      <w:r>
        <w:rPr>
          <w:highlight w:val="none"/>
        </w:rPr>
      </w:r>
      <w:r/>
    </w:p>
    <w:p>
      <w:pPr>
        <w:pStyle w:val="828"/>
        <w:jc w:val="center"/>
        <w:spacing w:before="120" w:beforeAutospacing="0" w:after="120" w:afterAutospacing="0" w:line="360" w:lineRule="auto"/>
        <w:widowControl w:val="off"/>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t xml:space="preserve">常州市政府采购中心</w:t>
      </w:r>
      <w:r>
        <w:rPr>
          <w:highlight w:val="none"/>
        </w:rPr>
      </w:r>
      <w:r/>
    </w:p>
    <w:p>
      <w:pPr>
        <w:pStyle w:val="828"/>
        <w:jc w:val="center"/>
        <w:spacing w:before="120" w:beforeAutospacing="0" w:after="120" w:afterAutospacing="0" w:line="360" w:lineRule="auto"/>
        <w:widowControl w:val="off"/>
        <w:rPr>
          <w:rFonts w:hint="eastAsia" w:ascii="等线" w:hAnsi="等线" w:eastAsia="等线" w:cs="等线"/>
          <w:bCs/>
          <w:sz w:val="36"/>
          <w:szCs w:val="36"/>
          <w:highlight w:val="none"/>
        </w:rPr>
      </w:pPr>
      <w:r>
        <w:rPr>
          <w:rFonts w:hint="eastAsia" w:ascii="等线" w:hAnsi="等线" w:eastAsia="等线" w:cs="等线"/>
          <w:bCs/>
          <w:sz w:val="36"/>
          <w:szCs w:val="36"/>
          <w:highlight w:val="none"/>
          <w:lang w:bidi="ar"/>
        </w:rPr>
        <w:t xml:space="preserve">2026年7月6日</w:t>
      </w:r>
      <w:r>
        <w:rPr>
          <w:highlight w:val="none"/>
        </w:rPr>
      </w:r>
      <w:r/>
    </w:p>
    <w:p>
      <w:pPr>
        <w:pStyle w:val="1028"/>
        <w:ind w:firstLine="0"/>
        <w:rPr>
          <w:rFonts w:ascii="黑体" w:eastAsia="黑体"/>
          <w:b/>
          <w:sz w:val="44"/>
          <w:highlight w:val="none"/>
        </w:rPr>
      </w:pPr>
      <w:r>
        <w:rPr>
          <w:rFonts w:hint="eastAsia"/>
          <w:highlight w:val="none"/>
        </w:rPr>
        <w:t xml:space="preserve">                       </w:t>
      </w:r>
      <w:bookmarkStart w:id="0" w:name="_Toc120614210"/>
      <w:r>
        <w:rPr>
          <w:highlight w:val="none"/>
        </w:rPr>
      </w:r>
      <w:bookmarkStart w:id="1" w:name="_Toc479757206"/>
      <w:r>
        <w:rPr>
          <w:highlight w:val="none"/>
        </w:rPr>
      </w:r>
      <w:bookmarkStart w:id="2" w:name="_Toc16938516"/>
      <w:r>
        <w:rPr>
          <w:highlight w:val="none"/>
        </w:rPr>
      </w:r>
      <w:bookmarkStart w:id="3" w:name="_Toc513029200"/>
      <w:r>
        <w:rPr>
          <w:highlight w:val="none"/>
        </w:rPr>
      </w:r>
      <w:bookmarkStart w:id="4" w:name="_Toc20823272"/>
      <w:r>
        <w:rPr>
          <w:highlight w:val="none"/>
        </w:rPr>
      </w:r>
      <w:bookmarkStart w:id="5" w:name="_Toc523127445"/>
      <w:r>
        <w:rPr>
          <w:rFonts w:hint="eastAsia"/>
          <w:highlight w:val="none"/>
        </w:rPr>
        <w:t xml:space="preserve"> </w:t>
      </w:r>
      <w:r>
        <w:rPr>
          <w:rFonts w:hint="eastAsia" w:ascii="黑体" w:eastAsia="黑体"/>
          <w:b/>
          <w:sz w:val="44"/>
          <w:highlight w:val="none"/>
        </w:rPr>
        <w:t xml:space="preserve">总  目  录</w:t>
      </w:r>
      <w:r>
        <w:rPr>
          <w:highlight w:val="none"/>
        </w:rPr>
      </w:r>
      <w:r/>
    </w:p>
    <w:p>
      <w:pPr>
        <w:pStyle w:val="817"/>
        <w:tabs>
          <w:tab w:val="right" w:pos="8306" w:leader="dot"/>
          <w:tab w:val="clear" w:pos="8720" w:leader="none"/>
        </w:tabs>
        <w:rPr>
          <w:rFonts w:hint="eastAsia"/>
          <w:highlight w:val="none"/>
        </w:rPr>
      </w:pPr>
      <w:r>
        <w:rPr>
          <w:rFonts w:ascii="仿宋_GB2312" w:hAnsi="Arial" w:eastAsia="仿宋_GB2312"/>
          <w:b/>
          <w:sz w:val="28"/>
          <w:highlight w:val="none"/>
        </w:rPr>
        <w:fldChar w:fldCharType="begin"/>
      </w:r>
      <w:r>
        <w:rPr>
          <w:rFonts w:ascii="仿宋_GB2312" w:hAnsi="Arial" w:eastAsia="仿宋_GB2312"/>
          <w:b/>
          <w:sz w:val="28"/>
          <w:highlight w:val="none"/>
        </w:rPr>
        <w:instrText xml:space="preserve"> </w:instrText>
      </w:r>
      <w:r>
        <w:rPr>
          <w:rFonts w:hint="eastAsia" w:ascii="仿宋_GB2312" w:hAnsi="Arial" w:eastAsia="仿宋_GB2312"/>
          <w:b/>
          <w:sz w:val="28"/>
          <w:highlight w:val="none"/>
        </w:rPr>
        <w:instrText xml:space="preserve">TOC \o "1-1" \h \z \u</w:instrText>
      </w:r>
      <w:r>
        <w:rPr>
          <w:rFonts w:ascii="仿宋_GB2312" w:hAnsi="Arial" w:eastAsia="仿宋_GB2312"/>
          <w:b/>
          <w:sz w:val="28"/>
          <w:highlight w:val="none"/>
        </w:rPr>
        <w:instrText xml:space="preserve"> </w:instrText>
      </w:r>
      <w:r>
        <w:rPr>
          <w:rFonts w:ascii="仿宋_GB2312" w:hAnsi="Arial" w:eastAsia="仿宋_GB2312"/>
          <w:b/>
          <w:sz w:val="28"/>
          <w:highlight w:val="none"/>
        </w:rPr>
        <w:fldChar w:fldCharType="separate"/>
      </w:r>
      <w:r>
        <w:rPr>
          <w:highlight w:val="none"/>
        </w:rPr>
        <w:fldChar w:fldCharType="begin"/>
      </w:r>
      <w:r>
        <w:rPr>
          <w:highlight w:val="none"/>
        </w:rPr>
        <w:instrText xml:space="preserve"> HYPERLINK \l "_Toc22477" \o "#_Toc22477" </w:instrText>
      </w:r>
      <w:r>
        <w:rPr>
          <w:highlight w:val="none"/>
        </w:rPr>
        <w:fldChar w:fldCharType="separate"/>
      </w:r>
      <w:r>
        <w:rPr>
          <w:rFonts w:hint="eastAsia" w:ascii="黑体" w:eastAsia="黑体"/>
          <w:szCs w:val="44"/>
          <w:highlight w:val="none"/>
        </w:rPr>
        <w:t xml:space="preserve">第一章  投标邀请</w:t>
      </w:r>
      <w:r>
        <w:rPr>
          <w:highlight w:val="none"/>
        </w:rPr>
        <w:tab/>
      </w:r>
      <w:r>
        <w:rPr>
          <w:highlight w:val="none"/>
        </w:rPr>
        <w:fldChar w:fldCharType="begin"/>
      </w:r>
      <w:r>
        <w:rPr>
          <w:highlight w:val="none"/>
        </w:rPr>
        <w:instrText xml:space="preserve"> PAGEREF _Toc22477 \h </w:instrText>
      </w:r>
      <w:r>
        <w:rPr>
          <w:highlight w:val="none"/>
        </w:rPr>
        <w:fldChar w:fldCharType="separate"/>
      </w:r>
      <w:r>
        <w:rPr>
          <w:rFonts w:hint="eastAsia"/>
          <w:highlight w:val="none"/>
        </w:rPr>
        <w:t xml:space="preserve">1</w:t>
      </w:r>
      <w:r>
        <w:rPr>
          <w:highlight w:val="none"/>
        </w:rPr>
        <w:fldChar w:fldCharType="end"/>
      </w:r>
      <w:r>
        <w:rPr>
          <w:highlight w:val="none"/>
        </w:rPr>
        <w:fldChar w:fldCharType="end"/>
      </w:r>
      <w:r>
        <w:rPr>
          <w:highlight w:val="none"/>
        </w:rPr>
      </w:r>
      <w:r/>
    </w:p>
    <w:p>
      <w:pPr>
        <w:pStyle w:val="817"/>
        <w:tabs>
          <w:tab w:val="right" w:pos="8306" w:leader="dot"/>
          <w:tab w:val="clear" w:pos="8720" w:leader="none"/>
        </w:tabs>
        <w:rPr>
          <w:rFonts w:hint="eastAsia"/>
          <w:highlight w:val="none"/>
        </w:rPr>
      </w:pPr>
      <w:r>
        <w:rPr>
          <w:highlight w:val="none"/>
        </w:rPr>
        <w:fldChar w:fldCharType="begin"/>
      </w:r>
      <w:r>
        <w:rPr>
          <w:highlight w:val="none"/>
        </w:rPr>
        <w:instrText xml:space="preserve"> HYPERLINK \l "_Toc1363" \o "#_Toc1363" </w:instrText>
      </w:r>
      <w:r>
        <w:rPr>
          <w:highlight w:val="none"/>
        </w:rPr>
        <w:fldChar w:fldCharType="separate"/>
      </w:r>
      <w:r>
        <w:rPr>
          <w:rFonts w:hint="eastAsia" w:ascii="黑体" w:eastAsia="黑体"/>
          <w:szCs w:val="44"/>
          <w:highlight w:val="none"/>
        </w:rPr>
        <w:t xml:space="preserve">第二章  投标人须知</w:t>
      </w:r>
      <w:r>
        <w:rPr>
          <w:highlight w:val="none"/>
        </w:rPr>
        <w:tab/>
      </w:r>
      <w:r>
        <w:rPr>
          <w:highlight w:val="none"/>
        </w:rPr>
        <w:fldChar w:fldCharType="begin"/>
      </w:r>
      <w:r>
        <w:rPr>
          <w:highlight w:val="none"/>
        </w:rPr>
        <w:instrText xml:space="preserve"> PAGEREF _Toc1363 \h </w:instrText>
      </w:r>
      <w:r>
        <w:rPr>
          <w:highlight w:val="none"/>
        </w:rPr>
        <w:fldChar w:fldCharType="separate"/>
      </w:r>
      <w:r>
        <w:rPr>
          <w:rFonts w:hint="eastAsia"/>
          <w:highlight w:val="none"/>
        </w:rPr>
        <w:t xml:space="preserve">6</w:t>
      </w:r>
      <w:r>
        <w:rPr>
          <w:highlight w:val="none"/>
        </w:rPr>
        <w:fldChar w:fldCharType="end"/>
      </w:r>
      <w:r>
        <w:rPr>
          <w:highlight w:val="none"/>
        </w:rPr>
        <w:fldChar w:fldCharType="end"/>
      </w:r>
      <w:r>
        <w:rPr>
          <w:highlight w:val="none"/>
        </w:rPr>
      </w:r>
      <w:r/>
    </w:p>
    <w:p>
      <w:pPr>
        <w:pStyle w:val="817"/>
        <w:tabs>
          <w:tab w:val="right" w:pos="8306" w:leader="dot"/>
          <w:tab w:val="clear" w:pos="8720" w:leader="none"/>
        </w:tabs>
        <w:rPr>
          <w:rFonts w:hint="eastAsia"/>
          <w:highlight w:val="none"/>
        </w:rPr>
      </w:pPr>
      <w:r>
        <w:rPr>
          <w:highlight w:val="none"/>
        </w:rPr>
        <w:fldChar w:fldCharType="begin"/>
      </w:r>
      <w:r>
        <w:rPr>
          <w:highlight w:val="none"/>
        </w:rPr>
        <w:instrText xml:space="preserve"> HYPERLINK \l "_Toc17962" \o "#_Toc17962" </w:instrText>
      </w:r>
      <w:r>
        <w:rPr>
          <w:highlight w:val="none"/>
        </w:rPr>
        <w:fldChar w:fldCharType="separate"/>
      </w:r>
      <w:r>
        <w:rPr>
          <w:rFonts w:hint="eastAsia" w:ascii="黑体" w:eastAsia="黑体"/>
          <w:bCs/>
          <w:highlight w:val="none"/>
        </w:rPr>
        <w:t xml:space="preserve">第三章  合同文本</w:t>
      </w:r>
      <w:r>
        <w:rPr>
          <w:highlight w:val="none"/>
        </w:rPr>
        <w:tab/>
      </w:r>
      <w:r>
        <w:rPr>
          <w:highlight w:val="none"/>
        </w:rPr>
        <w:fldChar w:fldCharType="begin"/>
      </w:r>
      <w:r>
        <w:rPr>
          <w:highlight w:val="none"/>
        </w:rPr>
        <w:instrText xml:space="preserve"> PAGEREF _Toc17962 \h </w:instrText>
      </w:r>
      <w:r>
        <w:rPr>
          <w:highlight w:val="none"/>
        </w:rPr>
        <w:fldChar w:fldCharType="separate"/>
      </w:r>
      <w:r>
        <w:rPr>
          <w:rFonts w:hint="eastAsia"/>
          <w:highlight w:val="none"/>
        </w:rPr>
        <w:t xml:space="preserve">21</w:t>
      </w:r>
      <w:r>
        <w:rPr>
          <w:highlight w:val="none"/>
        </w:rPr>
        <w:fldChar w:fldCharType="end"/>
      </w:r>
      <w:r>
        <w:rPr>
          <w:highlight w:val="none"/>
        </w:rPr>
        <w:fldChar w:fldCharType="end"/>
      </w:r>
      <w:r>
        <w:rPr>
          <w:highlight w:val="none"/>
        </w:rPr>
      </w:r>
      <w:r/>
    </w:p>
    <w:p>
      <w:pPr>
        <w:pStyle w:val="817"/>
        <w:tabs>
          <w:tab w:val="right" w:pos="8306" w:leader="dot"/>
          <w:tab w:val="clear" w:pos="8720" w:leader="none"/>
        </w:tabs>
        <w:rPr>
          <w:rFonts w:hint="eastAsia"/>
          <w:highlight w:val="none"/>
        </w:rPr>
      </w:pPr>
      <w:r>
        <w:rPr>
          <w:highlight w:val="none"/>
        </w:rPr>
        <w:fldChar w:fldCharType="begin"/>
      </w:r>
      <w:r>
        <w:rPr>
          <w:highlight w:val="none"/>
        </w:rPr>
        <w:instrText xml:space="preserve"> HYPERLINK \l "_Toc23644" \o "#_Toc23644" </w:instrText>
      </w:r>
      <w:r>
        <w:rPr>
          <w:highlight w:val="none"/>
        </w:rPr>
        <w:fldChar w:fldCharType="separate"/>
      </w:r>
      <w:r>
        <w:rPr>
          <w:rFonts w:hint="eastAsia" w:ascii="黑体" w:eastAsia="黑体"/>
          <w:bCs/>
          <w:highlight w:val="none"/>
        </w:rPr>
        <w:t xml:space="preserve">第四章  采购需求</w:t>
      </w:r>
      <w:r>
        <w:rPr>
          <w:highlight w:val="none"/>
        </w:rPr>
        <w:tab/>
      </w:r>
      <w:r>
        <w:rPr>
          <w:highlight w:val="none"/>
        </w:rPr>
        <w:fldChar w:fldCharType="begin"/>
      </w:r>
      <w:r>
        <w:rPr>
          <w:highlight w:val="none"/>
        </w:rPr>
        <w:instrText xml:space="preserve"> PAGEREF _Toc23644 \h </w:instrText>
      </w:r>
      <w:r>
        <w:rPr>
          <w:highlight w:val="none"/>
        </w:rPr>
        <w:fldChar w:fldCharType="separate"/>
      </w:r>
      <w:r>
        <w:rPr>
          <w:rFonts w:hint="eastAsia"/>
          <w:highlight w:val="none"/>
        </w:rPr>
        <w:t xml:space="preserve">24</w:t>
      </w:r>
      <w:r>
        <w:rPr>
          <w:highlight w:val="none"/>
        </w:rPr>
        <w:fldChar w:fldCharType="end"/>
      </w:r>
      <w:r>
        <w:rPr>
          <w:highlight w:val="none"/>
        </w:rPr>
        <w:fldChar w:fldCharType="end"/>
      </w:r>
      <w:r>
        <w:rPr>
          <w:highlight w:val="none"/>
        </w:rPr>
      </w:r>
      <w:r/>
    </w:p>
    <w:p>
      <w:pPr>
        <w:pStyle w:val="817"/>
        <w:tabs>
          <w:tab w:val="right" w:pos="8306" w:leader="dot"/>
          <w:tab w:val="clear" w:pos="8720" w:leader="none"/>
        </w:tabs>
        <w:rPr>
          <w:rFonts w:hint="eastAsia"/>
          <w:highlight w:val="none"/>
        </w:rPr>
      </w:pPr>
      <w:r>
        <w:rPr>
          <w:highlight w:val="none"/>
        </w:rPr>
        <w:fldChar w:fldCharType="begin"/>
      </w:r>
      <w:r>
        <w:rPr>
          <w:highlight w:val="none"/>
        </w:rPr>
        <w:instrText xml:space="preserve"> HYPERLINK \l "_Toc12498" \o "#_Toc12498" </w:instrText>
      </w:r>
      <w:r>
        <w:rPr>
          <w:highlight w:val="none"/>
        </w:rPr>
        <w:fldChar w:fldCharType="separate"/>
      </w:r>
      <w:r>
        <w:rPr>
          <w:rFonts w:hint="eastAsia" w:ascii="黑体" w:eastAsia="黑体"/>
          <w:bCs/>
          <w:highlight w:val="none"/>
        </w:rPr>
        <w:t xml:space="preserve">第五章  评标方法与评标标准</w:t>
      </w:r>
      <w:r>
        <w:rPr>
          <w:highlight w:val="none"/>
        </w:rPr>
        <w:tab/>
      </w:r>
      <w:r>
        <w:rPr>
          <w:highlight w:val="none"/>
        </w:rPr>
        <w:fldChar w:fldCharType="begin"/>
      </w:r>
      <w:r>
        <w:rPr>
          <w:highlight w:val="none"/>
        </w:rPr>
        <w:instrText xml:space="preserve"> PAGEREF _Toc12498 \h </w:instrText>
      </w:r>
      <w:r>
        <w:rPr>
          <w:highlight w:val="none"/>
        </w:rPr>
        <w:fldChar w:fldCharType="separate"/>
      </w:r>
      <w:r>
        <w:rPr>
          <w:rFonts w:hint="eastAsia"/>
          <w:highlight w:val="none"/>
        </w:rPr>
        <w:t xml:space="preserve">38</w:t>
      </w:r>
      <w:r>
        <w:rPr>
          <w:highlight w:val="none"/>
        </w:rPr>
        <w:fldChar w:fldCharType="end"/>
      </w:r>
      <w:r>
        <w:rPr>
          <w:highlight w:val="none"/>
        </w:rPr>
        <w:fldChar w:fldCharType="end"/>
      </w:r>
      <w:r>
        <w:rPr>
          <w:highlight w:val="none"/>
        </w:rPr>
      </w:r>
      <w:r/>
    </w:p>
    <w:p>
      <w:pPr>
        <w:pStyle w:val="817"/>
        <w:tabs>
          <w:tab w:val="right" w:pos="8306" w:leader="dot"/>
          <w:tab w:val="clear" w:pos="8720" w:leader="none"/>
        </w:tabs>
        <w:rPr>
          <w:rFonts w:hint="eastAsia"/>
          <w:highlight w:val="none"/>
        </w:rPr>
      </w:pPr>
      <w:r>
        <w:rPr>
          <w:highlight w:val="none"/>
        </w:rPr>
        <w:fldChar w:fldCharType="begin"/>
      </w:r>
      <w:r>
        <w:rPr>
          <w:highlight w:val="none"/>
        </w:rPr>
        <w:instrText xml:space="preserve"> HYPERLINK \l "_Toc19132" \o "#_Toc19132" </w:instrText>
      </w:r>
      <w:r>
        <w:rPr>
          <w:highlight w:val="none"/>
        </w:rPr>
        <w:fldChar w:fldCharType="separate"/>
      </w:r>
      <w:r>
        <w:rPr>
          <w:rFonts w:hint="eastAsia" w:ascii="黑体" w:eastAsia="黑体"/>
          <w:bCs/>
          <w:highlight w:val="none"/>
        </w:rPr>
        <w:t xml:space="preserve">第六章  投标文件格式</w:t>
      </w:r>
      <w:r>
        <w:rPr>
          <w:highlight w:val="none"/>
        </w:rPr>
        <w:tab/>
      </w:r>
      <w:r>
        <w:rPr>
          <w:highlight w:val="none"/>
        </w:rPr>
        <w:fldChar w:fldCharType="begin"/>
      </w:r>
      <w:r>
        <w:rPr>
          <w:highlight w:val="none"/>
        </w:rPr>
        <w:instrText xml:space="preserve"> PAGEREF _Toc19132 \h </w:instrText>
      </w:r>
      <w:r>
        <w:rPr>
          <w:highlight w:val="none"/>
        </w:rPr>
        <w:fldChar w:fldCharType="separate"/>
      </w:r>
      <w:r>
        <w:rPr>
          <w:rFonts w:hint="eastAsia"/>
          <w:highlight w:val="none"/>
        </w:rPr>
        <w:t xml:space="preserve">57</w:t>
      </w:r>
      <w:r>
        <w:rPr>
          <w:highlight w:val="none"/>
        </w:rPr>
        <w:fldChar w:fldCharType="end"/>
      </w:r>
      <w:r>
        <w:rPr>
          <w:highlight w:val="none"/>
        </w:rPr>
        <w:fldChar w:fldCharType="end"/>
      </w:r>
      <w:r>
        <w:rPr>
          <w:highlight w:val="none"/>
        </w:rPr>
      </w:r>
      <w:r/>
    </w:p>
    <w:p>
      <w:pPr>
        <w:spacing w:line="480" w:lineRule="auto"/>
        <w:rPr>
          <w:highlight w:val="none"/>
        </w:rPr>
      </w:pPr>
      <w:r>
        <w:rPr>
          <w:rFonts w:ascii="仿宋_GB2312" w:hAnsi="Arial" w:eastAsia="仿宋_GB2312"/>
          <w:highlight w:val="none"/>
        </w:rPr>
        <w:fldChar w:fldCharType="end"/>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783"/>
        <w:rPr>
          <w:rFonts w:ascii="黑体" w:eastAsia="黑体"/>
          <w:sz w:val="44"/>
          <w:szCs w:val="44"/>
          <w:highlight w:val="none"/>
        </w:rPr>
        <w:sectPr>
          <w:footerReference w:type="first" r:id="rId10"/>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sz w:val="44"/>
          <w:szCs w:val="44"/>
          <w:highlight w:val="none"/>
        </w:rPr>
      </w:r>
      <w:r>
        <w:rPr>
          <w:highlight w:val="none"/>
        </w:rPr>
      </w:r>
      <w:r/>
    </w:p>
    <w:p>
      <w:pPr>
        <w:pStyle w:val="783"/>
        <w:rPr>
          <w:rFonts w:ascii="黑体" w:eastAsia="黑体"/>
          <w:bCs/>
          <w:sz w:val="44"/>
          <w:szCs w:val="44"/>
          <w:highlight w:val="none"/>
        </w:rPr>
      </w:pPr>
      <w:r>
        <w:rPr>
          <w:highlight w:val="none"/>
        </w:rPr>
      </w:r>
      <w:bookmarkStart w:id="6" w:name="_Toc22477"/>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bookmarkEnd w:id="6"/>
      <w:r>
        <w:rPr>
          <w:highlight w:val="none"/>
        </w:rPr>
      </w:r>
      <w:r/>
    </w:p>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受</w:t>
      </w:r>
      <w:r>
        <w:rPr>
          <w:rFonts w:hint="eastAsia" w:ascii="等线" w:hAnsi="等线" w:eastAsia="等线"/>
          <w:sz w:val="24"/>
          <w:szCs w:val="24"/>
          <w:highlight w:val="none"/>
          <w:u w:val="single"/>
        </w:rPr>
        <w:t xml:space="preserve">常州市市北实验初级中学等2家市教育局局属单位</w:t>
      </w:r>
      <w:r>
        <w:rPr>
          <w:rFonts w:hint="eastAsia" w:ascii="等线" w:hAnsi="等线" w:eastAsia="等线"/>
          <w:sz w:val="24"/>
          <w:szCs w:val="24"/>
          <w:highlight w:val="none"/>
        </w:rPr>
        <w:t xml:space="preserve">的委托，常州市政府采购中心就</w:t>
      </w:r>
      <w:r>
        <w:rPr>
          <w:rFonts w:hint="eastAsia" w:ascii="等线" w:hAnsi="等线" w:eastAsia="等线"/>
          <w:sz w:val="24"/>
          <w:szCs w:val="24"/>
          <w:highlight w:val="none"/>
          <w:u w:val="single"/>
        </w:rPr>
        <w:t xml:space="preserve">项目名称：常州市教育局局属单位第二批物业服务集中带量采购项目</w:t>
      </w:r>
      <w:r>
        <w:rPr>
          <w:rFonts w:hint="eastAsia" w:ascii="等线" w:hAnsi="等线" w:eastAsia="等线"/>
          <w:sz w:val="24"/>
          <w:szCs w:val="24"/>
          <w:highlight w:val="none"/>
        </w:rPr>
        <w:t xml:space="preserve"> (项目编号：</w:t>
      </w:r>
      <w:r>
        <w:rPr>
          <w:rFonts w:hint="eastAsia" w:ascii="等线" w:hAnsi="等线" w:eastAsia="等线"/>
          <w:sz w:val="24"/>
          <w:szCs w:val="24"/>
          <w:highlight w:val="none"/>
          <w:u w:val="single"/>
        </w:rPr>
        <w:t xml:space="preserve">JSZC-320400-JZCG-G2026-0197</w:t>
      </w:r>
      <w:r>
        <w:rPr>
          <w:rFonts w:hint="eastAsia" w:ascii="等线" w:hAnsi="等线" w:eastAsia="等线"/>
          <w:sz w:val="24"/>
          <w:szCs w:val="24"/>
          <w:highlight w:val="none"/>
        </w:rPr>
        <w:t xml:space="preserve">)</w:t>
      </w:r>
      <w:r>
        <w:rPr>
          <w:rFonts w:hint="eastAsia" w:ascii="等线" w:hAnsi="等线" w:eastAsia="等线"/>
          <w:sz w:val="24"/>
          <w:szCs w:val="24"/>
          <w:highlight w:val="none"/>
        </w:rPr>
        <w:t xml:space="preserve">项目进行公开招标采购，欢迎符合条件的供应商投标。</w:t>
      </w:r>
      <w:r>
        <w:rPr>
          <w:highlight w:val="none"/>
        </w:rPr>
      </w:r>
      <w:r/>
    </w:p>
    <w:p>
      <w:pPr>
        <w:pStyle w:val="785"/>
        <w:ind w:firstLine="498"/>
        <w:spacing w:before="156" w:after="156" w:line="360" w:lineRule="auto"/>
        <w:rPr>
          <w:highlight w:val="none"/>
        </w:rPr>
      </w:pPr>
      <w:r>
        <w:rPr>
          <w:highlight w:val="none"/>
        </w:rPr>
      </w:r>
      <w:bookmarkStart w:id="7" w:name="_Toc28359079"/>
      <w:r>
        <w:rPr>
          <w:highlight w:val="none"/>
        </w:rPr>
      </w:r>
      <w:bookmarkStart w:id="8" w:name="_Toc28359002"/>
      <w:r>
        <w:rPr>
          <w:highlight w:val="none"/>
        </w:rPr>
      </w:r>
      <w:bookmarkStart w:id="9" w:name="_Toc35393790"/>
      <w:r>
        <w:rPr>
          <w:highlight w:val="none"/>
        </w:rPr>
      </w:r>
      <w:bookmarkStart w:id="10" w:name="_Toc35393621"/>
      <w:r>
        <w:rPr>
          <w:highlight w:val="none"/>
        </w:rPr>
      </w:r>
      <w:bookmarkStart w:id="11" w:name="_Toc38985263"/>
      <w:r>
        <w:rPr>
          <w:highlight w:val="none"/>
        </w:rPr>
      </w:r>
      <w:bookmarkStart w:id="12" w:name="_Hlk24379207"/>
      <w:r>
        <w:rPr>
          <w:rFonts w:hint="eastAsia"/>
          <w:highlight w:val="none"/>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1.项目编号：</w:t>
      </w:r>
      <w:r>
        <w:rPr>
          <w:rFonts w:hint="eastAsia" w:ascii="等线" w:hAnsi="等线" w:eastAsia="等线"/>
          <w:sz w:val="24"/>
          <w:szCs w:val="24"/>
          <w:highlight w:val="none"/>
        </w:rPr>
        <w:t xml:space="preserve">JSZC-320400-JZCG-G2026-0197</w:t>
      </w:r>
      <w:r>
        <w:rPr>
          <w:highlight w:val="none"/>
        </w:rPr>
      </w:r>
      <w:r/>
    </w:p>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2.项目名称：常州市教育局局属单位第二批物业服务集中带量采购项目</w:t>
      </w:r>
      <w:bookmarkEnd w:id="12"/>
      <w:r>
        <w:rPr>
          <w:highlight w:val="none"/>
        </w:rPr>
      </w:r>
      <w:r/>
    </w:p>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3.预算金额：见下表</w:t>
      </w:r>
      <w:r>
        <w:rPr>
          <w:highlight w:val="none"/>
        </w:rPr>
      </w:r>
      <w:r/>
    </w:p>
    <w:tbl>
      <w:tblPr>
        <w:tblStyle w:val="793"/>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5644"/>
        <w:gridCol w:w="1489"/>
        <w:gridCol w:w="1469"/>
      </w:tblGrid>
      <w:tr>
        <w:trPr>
          <w:trHeight w:val="420"/>
        </w:trPr>
        <w:tc>
          <w:tcPr>
            <w:tcW w:w="63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序号</w:t>
            </w:r>
            <w:r>
              <w:rPr>
                <w:highlight w:val="none"/>
              </w:rPr>
            </w:r>
            <w:r/>
          </w:p>
        </w:tc>
        <w:tc>
          <w:tcPr>
            <w:tcW w:w="564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学校名称</w:t>
            </w:r>
            <w:r>
              <w:rPr>
                <w:highlight w:val="none"/>
              </w:rPr>
            </w:r>
            <w:r/>
          </w:p>
        </w:tc>
        <w:tc>
          <w:tcPr>
            <w:tcW w:w="148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服务时长（月）</w:t>
            </w:r>
            <w:r>
              <w:rPr>
                <w:highlight w:val="none"/>
              </w:rPr>
            </w:r>
            <w:r/>
          </w:p>
        </w:tc>
        <w:tc>
          <w:tcPr>
            <w:tcW w:w="146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预算金额（元/）</w:t>
            </w:r>
            <w:r>
              <w:rPr>
                <w:highlight w:val="none"/>
              </w:rPr>
            </w:r>
            <w:r/>
          </w:p>
        </w:tc>
      </w:tr>
      <w:tr>
        <w:trPr>
          <w:trHeight w:val="420"/>
        </w:trPr>
        <w:tc>
          <w:tcPr>
            <w:tcW w:w="63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w:t>
            </w:r>
            <w:r>
              <w:rPr>
                <w:highlight w:val="none"/>
              </w:rPr>
            </w:r>
            <w:r/>
          </w:p>
        </w:tc>
        <w:tc>
          <w:tcPr>
            <w:tcW w:w="564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常州市明德实验中学</w:t>
            </w:r>
            <w:r>
              <w:rPr>
                <w:highlight w:val="none"/>
              </w:rPr>
            </w:r>
            <w:r/>
          </w:p>
        </w:tc>
        <w:tc>
          <w:tcPr>
            <w:tcW w:w="148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24</w:t>
            </w:r>
            <w:r>
              <w:rPr>
                <w:highlight w:val="none"/>
              </w:rPr>
            </w:r>
            <w:r/>
          </w:p>
        </w:tc>
        <w:tc>
          <w:tcPr>
            <w:tcW w:w="146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eastAsia="zh"/>
              </w:rPr>
              <w:t xml:space="preserve">10008</w:t>
            </w:r>
            <w:r>
              <w:rPr>
                <w:rFonts w:hint="eastAsia" w:ascii="仿宋" w:hAnsi="仿宋" w:eastAsia="仿宋" w:cs="仿宋"/>
                <w:highlight w:val="none"/>
              </w:rPr>
              <w:t xml:space="preserve">00</w:t>
            </w:r>
            <w:r>
              <w:rPr>
                <w:highlight w:val="none"/>
              </w:rPr>
            </w:r>
            <w:r/>
          </w:p>
        </w:tc>
      </w:tr>
      <w:tr>
        <w:trPr>
          <w:trHeight w:val="420"/>
        </w:trPr>
        <w:tc>
          <w:tcPr>
            <w:tcW w:w="63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w:t>
            </w:r>
            <w:r>
              <w:rPr>
                <w:highlight w:val="none"/>
              </w:rPr>
            </w:r>
            <w:r/>
          </w:p>
        </w:tc>
        <w:tc>
          <w:tcPr>
            <w:tcW w:w="564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常州市市北实验初级中学</w:t>
            </w:r>
            <w:r>
              <w:rPr>
                <w:highlight w:val="none"/>
              </w:rPr>
            </w:r>
            <w:r/>
          </w:p>
        </w:tc>
        <w:tc>
          <w:tcPr>
            <w:tcW w:w="148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23</w:t>
            </w:r>
            <w:r>
              <w:rPr>
                <w:highlight w:val="none"/>
              </w:rPr>
            </w:r>
            <w:r/>
          </w:p>
        </w:tc>
        <w:tc>
          <w:tcPr>
            <w:tcW w:w="146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763600</w:t>
            </w:r>
            <w:r>
              <w:rPr>
                <w:highlight w:val="none"/>
              </w:rPr>
            </w:r>
            <w:r/>
          </w:p>
        </w:tc>
      </w:tr>
    </w:tbl>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4.最高限价：</w:t>
      </w:r>
      <w:r>
        <w:rPr>
          <w:rFonts w:hint="eastAsia" w:ascii="等线" w:hAnsi="等线" w:eastAsia="等线"/>
          <w:sz w:val="24"/>
          <w:szCs w:val="22"/>
          <w:highlight w:val="none"/>
        </w:rPr>
        <w:t xml:space="preserve">各校投标总价不得超过最高限价，每月报</w:t>
      </w:r>
      <w:r>
        <w:rPr>
          <w:rFonts w:hint="eastAsia" w:ascii="等线" w:hAnsi="等线" w:eastAsia="等线"/>
          <w:sz w:val="24"/>
          <w:szCs w:val="24"/>
          <w:highlight w:val="none"/>
        </w:rPr>
        <w:t xml:space="preserve">价不得超过该校每月最高限价（见下表）。</w:t>
      </w:r>
      <w:r>
        <w:rPr>
          <w:highlight w:val="none"/>
        </w:rPr>
      </w:r>
      <w:r/>
    </w:p>
    <w:tbl>
      <w:tblPr>
        <w:tblStyle w:val="793"/>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4336"/>
        <w:gridCol w:w="1235"/>
        <w:gridCol w:w="1527"/>
        <w:gridCol w:w="1639"/>
      </w:tblGrid>
      <w:tr>
        <w:trPr>
          <w:trHeight w:val="420"/>
        </w:trPr>
        <w:tc>
          <w:tcPr>
            <w:tcW w:w="49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序号</w:t>
            </w:r>
            <w:r>
              <w:rPr>
                <w:highlight w:val="none"/>
              </w:rPr>
            </w:r>
            <w:r/>
          </w:p>
        </w:tc>
        <w:tc>
          <w:tcPr>
            <w:tcW w:w="43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学校名称</w:t>
            </w:r>
            <w:r>
              <w:rPr>
                <w:highlight w:val="none"/>
              </w:rPr>
            </w:r>
            <w:r/>
          </w:p>
        </w:tc>
        <w:tc>
          <w:tcPr>
            <w:tcW w:w="123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服务时长（月）</w:t>
            </w:r>
            <w:r>
              <w:rPr>
                <w:highlight w:val="none"/>
              </w:rPr>
            </w:r>
            <w:r/>
          </w:p>
        </w:tc>
        <w:tc>
          <w:tcPr>
            <w:tcW w:w="152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每月最高限价（元/月）</w:t>
            </w:r>
            <w:r>
              <w:rPr>
                <w:highlight w:val="none"/>
              </w:rPr>
            </w:r>
            <w:r/>
          </w:p>
        </w:tc>
        <w:tc>
          <w:tcPr>
            <w:tcW w:w="163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最高限价</w:t>
            </w:r>
            <w:r>
              <w:rPr>
                <w:highlight w:val="none"/>
              </w:rPr>
            </w:r>
            <w:r/>
          </w:p>
          <w:p>
            <w:pPr>
              <w:jc w:val="center"/>
              <w:rPr>
                <w:rFonts w:hint="eastAsia" w:ascii="仿宋" w:hAnsi="仿宋" w:eastAsia="仿宋" w:cs="仿宋"/>
                <w:highlight w:val="none"/>
              </w:rPr>
            </w:pPr>
            <w:r>
              <w:rPr>
                <w:rFonts w:hint="eastAsia" w:ascii="仿宋" w:hAnsi="仿宋" w:eastAsia="仿宋" w:cs="仿宋"/>
                <w:highlight w:val="none"/>
              </w:rPr>
              <w:t xml:space="preserve">（元）</w:t>
            </w:r>
            <w:r>
              <w:rPr>
                <w:highlight w:val="none"/>
              </w:rPr>
            </w:r>
            <w:r/>
          </w:p>
        </w:tc>
      </w:tr>
      <w:tr>
        <w:trPr>
          <w:trHeight w:val="420"/>
        </w:trPr>
        <w:tc>
          <w:tcPr>
            <w:tcW w:w="49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w:t>
            </w:r>
            <w:r>
              <w:rPr>
                <w:highlight w:val="none"/>
              </w:rPr>
            </w:r>
            <w:r/>
          </w:p>
        </w:tc>
        <w:tc>
          <w:tcPr>
            <w:tcW w:w="43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常州市明德实验中学</w:t>
            </w:r>
            <w:r>
              <w:rPr>
                <w:highlight w:val="none"/>
              </w:rPr>
            </w:r>
            <w:r/>
          </w:p>
        </w:tc>
        <w:tc>
          <w:tcPr>
            <w:tcW w:w="123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24</w:t>
            </w:r>
            <w:r>
              <w:rPr>
                <w:highlight w:val="none"/>
              </w:rPr>
            </w:r>
            <w:r/>
          </w:p>
        </w:tc>
        <w:tc>
          <w:tcPr>
            <w:tcW w:w="152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41700</w:t>
            </w:r>
            <w:r>
              <w:rPr>
                <w:highlight w:val="none"/>
              </w:rPr>
            </w:r>
            <w:r/>
          </w:p>
        </w:tc>
        <w:tc>
          <w:tcPr>
            <w:tcW w:w="163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eastAsia="zh"/>
              </w:rPr>
              <w:t xml:space="preserve">10008</w:t>
            </w:r>
            <w:r>
              <w:rPr>
                <w:rFonts w:hint="eastAsia" w:ascii="仿宋" w:hAnsi="仿宋" w:eastAsia="仿宋" w:cs="仿宋"/>
                <w:highlight w:val="none"/>
              </w:rPr>
              <w:t xml:space="preserve">00</w:t>
            </w:r>
            <w:r>
              <w:rPr>
                <w:highlight w:val="none"/>
              </w:rPr>
            </w:r>
            <w:r/>
          </w:p>
        </w:tc>
      </w:tr>
      <w:tr>
        <w:trPr>
          <w:trHeight w:val="420"/>
        </w:trPr>
        <w:tc>
          <w:tcPr>
            <w:tcW w:w="49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w:t>
            </w:r>
            <w:r>
              <w:rPr>
                <w:highlight w:val="none"/>
              </w:rPr>
            </w:r>
            <w:r/>
          </w:p>
        </w:tc>
        <w:tc>
          <w:tcPr>
            <w:tcW w:w="43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常州市市北实验初级中学</w:t>
            </w:r>
            <w:r>
              <w:rPr>
                <w:highlight w:val="none"/>
              </w:rPr>
            </w:r>
            <w:r/>
          </w:p>
        </w:tc>
        <w:tc>
          <w:tcPr>
            <w:tcW w:w="123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23</w:t>
            </w:r>
            <w:r>
              <w:rPr>
                <w:highlight w:val="none"/>
              </w:rPr>
            </w:r>
            <w:r/>
          </w:p>
        </w:tc>
        <w:tc>
          <w:tcPr>
            <w:tcW w:w="152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33200</w:t>
            </w:r>
            <w:r>
              <w:rPr>
                <w:highlight w:val="none"/>
              </w:rPr>
            </w:r>
            <w:r/>
          </w:p>
        </w:tc>
        <w:tc>
          <w:tcPr>
            <w:tcW w:w="163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763600</w:t>
            </w:r>
            <w:r>
              <w:rPr>
                <w:highlight w:val="none"/>
              </w:rPr>
            </w:r>
            <w:r/>
          </w:p>
        </w:tc>
      </w:tr>
    </w:tbl>
    <w:p>
      <w:pPr>
        <w:ind w:firstLine="480"/>
        <w:rPr>
          <w:rFonts w:hint="eastAsia" w:ascii="等线" w:hAnsi="等线" w:eastAsia="等线"/>
          <w:sz w:val="24"/>
          <w:szCs w:val="24"/>
          <w:highlight w:val="none"/>
          <w:u w:val="single"/>
        </w:rPr>
      </w:pPr>
      <w:r>
        <w:rPr>
          <w:rFonts w:hint="eastAsia" w:ascii="等线" w:hAnsi="等线" w:eastAsia="等线"/>
          <w:sz w:val="24"/>
          <w:szCs w:val="24"/>
          <w:highlight w:val="none"/>
        </w:rPr>
        <w:t xml:space="preserve">5.采购需求（简介）：本项目为常州市教育局局属单位第二批物业服务集中带量采购，服务范围包括（但不限于）保洁、保安、水电零星维修及常规绿化养护等。</w:t>
      </w:r>
      <w:r>
        <w:rPr>
          <w:highlight w:val="none"/>
        </w:rPr>
      </w:r>
      <w:r/>
    </w:p>
    <w:p>
      <w:pPr>
        <w:ind w:firstLine="480"/>
        <w:rPr>
          <w:rFonts w:hint="eastAsia" w:ascii="等线" w:hAnsi="等线" w:eastAsia="等线"/>
          <w:sz w:val="24"/>
          <w:szCs w:val="24"/>
          <w:highlight w:val="none"/>
          <w:u w:val="single"/>
        </w:rPr>
      </w:pPr>
      <w:r>
        <w:rPr>
          <w:rFonts w:hint="eastAsia" w:ascii="等线" w:hAnsi="等线" w:eastAsia="等线"/>
          <w:sz w:val="24"/>
          <w:szCs w:val="24"/>
          <w:highlight w:val="none"/>
        </w:rPr>
        <w:t xml:space="preserve">6.合同履行期限：自合同签订之日起至2028年7月31日。</w:t>
      </w:r>
      <w:r>
        <w:rPr>
          <w:highlight w:val="none"/>
        </w:rPr>
      </w:r>
      <w:r/>
    </w:p>
    <w:p>
      <w:pPr>
        <w:pStyle w:val="785"/>
        <w:ind w:firstLine="498"/>
        <w:spacing w:before="156" w:after="156" w:line="360" w:lineRule="auto"/>
        <w:rPr>
          <w:highlight w:val="none"/>
        </w:rPr>
      </w:pPr>
      <w:r>
        <w:rPr>
          <w:highlight w:val="none"/>
        </w:rPr>
      </w:r>
      <w:bookmarkStart w:id="13" w:name="_Toc38985264"/>
      <w:r>
        <w:rPr>
          <w:highlight w:val="none"/>
        </w:rPr>
      </w:r>
      <w:bookmarkStart w:id="14" w:name="_Toc28359003"/>
      <w:r>
        <w:rPr>
          <w:highlight w:val="none"/>
        </w:rPr>
      </w:r>
      <w:bookmarkStart w:id="15" w:name="_Toc35393791"/>
      <w:r>
        <w:rPr>
          <w:highlight w:val="none"/>
        </w:rPr>
      </w:r>
      <w:bookmarkStart w:id="16" w:name="_Toc35393622"/>
      <w:r>
        <w:rPr>
          <w:highlight w:val="none"/>
        </w:rPr>
      </w:r>
      <w:bookmarkStart w:id="17" w:name="_Toc28359080"/>
      <w:r>
        <w:rPr>
          <w:rFonts w:hint="eastAsia"/>
          <w:highlight w:val="none"/>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p>
    <w:p>
      <w:pPr>
        <w:ind w:firstLine="480"/>
        <w:rPr>
          <w:rFonts w:hint="eastAsia" w:ascii="等线" w:hAnsi="等线" w:eastAsia="等线"/>
          <w:sz w:val="24"/>
          <w:szCs w:val="24"/>
          <w:highlight w:val="none"/>
        </w:rPr>
      </w:pPr>
      <w:r>
        <w:rPr>
          <w:highlight w:val="none"/>
        </w:rPr>
      </w:r>
      <w:bookmarkStart w:id="18" w:name="_Toc28359004"/>
      <w:r>
        <w:rPr>
          <w:highlight w:val="none"/>
        </w:rPr>
      </w:r>
      <w:bookmarkStart w:id="19" w:name="_Toc35393792"/>
      <w:r>
        <w:rPr>
          <w:highlight w:val="none"/>
        </w:rPr>
      </w:r>
      <w:bookmarkStart w:id="20" w:name="_Toc35393623"/>
      <w:r>
        <w:rPr>
          <w:highlight w:val="none"/>
        </w:rPr>
      </w:r>
      <w:bookmarkStart w:id="21" w:name="_Toc38985265"/>
      <w:r>
        <w:rPr>
          <w:highlight w:val="none"/>
        </w:rPr>
      </w:r>
      <w:bookmarkStart w:id="22" w:name="_Toc28359081"/>
      <w:r>
        <w:rPr>
          <w:rFonts w:hint="eastAsia" w:ascii="等线" w:hAnsi="等线" w:eastAsia="等线"/>
          <w:sz w:val="24"/>
          <w:szCs w:val="24"/>
          <w:highlight w:val="none"/>
        </w:rPr>
        <w:t xml:space="preserve">（一</w:t>
      </w:r>
      <w:r>
        <w:rPr>
          <w:rFonts w:ascii="等线" w:hAnsi="等线" w:eastAsia="等线"/>
          <w:sz w:val="24"/>
          <w:szCs w:val="24"/>
          <w:highlight w:val="none"/>
        </w:rPr>
        <w:t xml:space="preserve">）</w:t>
      </w:r>
      <w:r>
        <w:rPr>
          <w:rFonts w:hint="eastAsia" w:ascii="等线" w:hAnsi="等线" w:eastAsia="等线"/>
          <w:sz w:val="24"/>
          <w:szCs w:val="24"/>
          <w:highlight w:val="none"/>
        </w:rPr>
        <w:t xml:space="preserve">通用</w:t>
      </w:r>
      <w:r>
        <w:rPr>
          <w:rFonts w:ascii="等线" w:hAnsi="等线" w:eastAsia="等线"/>
          <w:sz w:val="24"/>
          <w:szCs w:val="24"/>
          <w:highlight w:val="none"/>
        </w:rPr>
        <w:t xml:space="preserve">资格要求</w:t>
      </w:r>
      <w:r>
        <w:rPr>
          <w:highlight w:val="none"/>
        </w:rPr>
      </w:r>
      <w:r/>
    </w:p>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1.满足《中华人民共和国政府采购法》第二十二条规定，并提供投标人资格声明函。</w:t>
      </w:r>
      <w:r>
        <w:rPr>
          <w:highlight w:val="none"/>
        </w:rPr>
      </w:r>
      <w:r/>
    </w:p>
    <w:p>
      <w:pPr>
        <w:ind w:firstLine="480"/>
        <w:rPr>
          <w:rFonts w:hint="eastAsia" w:ascii="等线" w:hAnsi="等线" w:eastAsia="等线"/>
          <w:sz w:val="36"/>
          <w:szCs w:val="36"/>
          <w:highlight w:val="none"/>
        </w:rPr>
      </w:pPr>
      <w:r>
        <w:rPr>
          <w:rFonts w:hint="eastAsia" w:ascii="等线" w:hAnsi="等线" w:eastAsia="等线"/>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r/>
    </w:p>
    <w:p>
      <w:pPr>
        <w:ind w:firstLine="480"/>
        <w:rPr>
          <w:rFonts w:hint="eastAsia" w:ascii="等线" w:hAnsi="等线" w:eastAsia="等线" w:cs="宋体"/>
          <w:sz w:val="24"/>
          <w:szCs w:val="24"/>
          <w:highlight w:val="none"/>
        </w:rPr>
      </w:pPr>
      <w:r>
        <w:rPr>
          <w:rFonts w:hint="eastAsia" w:ascii="等线" w:hAnsi="等线" w:eastAsia="等线"/>
          <w:sz w:val="24"/>
          <w:szCs w:val="24"/>
          <w:highlight w:val="none"/>
        </w:rPr>
        <w:t xml:space="preserve">3.落实政府采购政策需满足的资格要求：</w:t>
      </w:r>
      <w:r>
        <w:rPr>
          <w:rFonts w:hint="eastAsia" w:ascii="等线" w:hAnsi="等线" w:eastAsia="等线"/>
          <w:b/>
          <w:sz w:val="24"/>
          <w:szCs w:val="24"/>
          <w:highlight w:val="none"/>
          <w:u w:val="single"/>
        </w:rPr>
        <w:t xml:space="preserve">专门面向中小企业采购</w:t>
      </w:r>
      <w:r>
        <w:rPr>
          <w:rFonts w:hint="eastAsia" w:ascii="等线" w:hAnsi="等线" w:eastAsia="等线"/>
          <w:b/>
          <w:sz w:val="24"/>
          <w:szCs w:val="24"/>
          <w:highlight w:val="none"/>
        </w:rPr>
        <w:t xml:space="preserve">。</w:t>
      </w:r>
      <w:r>
        <w:rPr>
          <w:rFonts w:hint="eastAsia" w:ascii="等线" w:hAnsi="等线" w:eastAsia="等线"/>
          <w:sz w:val="24"/>
          <w:szCs w:val="24"/>
          <w:highlight w:val="none"/>
        </w:rPr>
        <w:t xml:space="preserve">即：提供的服务全部由符合政策要求的中小企业承接。说明：中小企业包含中型、小型、微型企业，残疾人福利性单位和监狱企业视同小微企业。</w:t>
      </w:r>
      <w:r>
        <w:rPr>
          <w:highlight w:val="none"/>
        </w:rPr>
      </w:r>
      <w:r/>
    </w:p>
    <w:p>
      <w:pPr>
        <w:ind w:firstLine="480"/>
        <w:spacing w:line="360" w:lineRule="auto"/>
        <w:rPr>
          <w:rFonts w:hint="eastAsia" w:ascii="等线" w:hAnsi="等线" w:eastAsia="等线" w:cs="宋体"/>
          <w:sz w:val="24"/>
          <w:szCs w:val="24"/>
          <w:highlight w:val="none"/>
        </w:rPr>
      </w:pPr>
      <w:r>
        <w:rPr>
          <w:rFonts w:hint="eastAsia" w:ascii="等线" w:hAnsi="等线" w:eastAsia="等线"/>
          <w:sz w:val="24"/>
          <w:szCs w:val="24"/>
          <w:highlight w:val="none"/>
        </w:rPr>
        <w:t xml:space="preserve">4.本项目</w:t>
      </w:r>
      <w:r>
        <w:rPr>
          <w:rFonts w:hint="eastAsia" w:ascii="等线" w:hAnsi="等线" w:eastAsia="等线"/>
          <w:sz w:val="24"/>
          <w:szCs w:val="24"/>
          <w:highlight w:val="none"/>
          <w:u w:val="single"/>
        </w:rPr>
        <w:t xml:space="preserve">不接受</w:t>
      </w:r>
      <w:r>
        <w:rPr>
          <w:rFonts w:hint="eastAsia" w:ascii="等线" w:hAnsi="等线" w:eastAsia="等线"/>
          <w:sz w:val="24"/>
          <w:szCs w:val="24"/>
          <w:highlight w:val="none"/>
        </w:rPr>
        <w:t xml:space="preserve">联合体投标。</w:t>
      </w:r>
      <w:r>
        <w:rPr>
          <w:highlight w:val="none"/>
        </w:rPr>
      </w:r>
      <w:r/>
    </w:p>
    <w:p>
      <w:pPr>
        <w:ind w:firstLine="480"/>
        <w:rPr>
          <w:rFonts w:hint="eastAsia" w:ascii="等线" w:hAnsi="等线" w:eastAsia="等线"/>
          <w:sz w:val="24"/>
          <w:szCs w:val="24"/>
          <w:highlight w:val="none"/>
        </w:rPr>
      </w:pPr>
      <w:r>
        <w:rPr>
          <w:rFonts w:hint="eastAsia" w:ascii="等线" w:hAnsi="等线" w:eastAsia="等线"/>
          <w:sz w:val="24"/>
          <w:szCs w:val="24"/>
          <w:highlight w:val="none"/>
        </w:rPr>
        <w:t xml:space="preserve">（二）本项目的特定资格要求</w:t>
      </w:r>
      <w:r>
        <w:rPr>
          <w:highlight w:val="none"/>
        </w:rPr>
      </w:r>
      <w:r/>
    </w:p>
    <w:p>
      <w:pPr>
        <w:ind w:firstLine="480"/>
        <w:rPr>
          <w:rFonts w:hint="eastAsia" w:ascii="等线" w:hAnsi="等线" w:eastAsia="等线" w:cs="宋体"/>
          <w:sz w:val="24"/>
          <w:szCs w:val="24"/>
          <w:highlight w:val="none"/>
        </w:rPr>
      </w:pPr>
      <w:r>
        <w:rPr>
          <w:rFonts w:hint="eastAsia" w:ascii="等线" w:hAnsi="等线" w:eastAsia="等线"/>
          <w:sz w:val="24"/>
          <w:szCs w:val="24"/>
          <w:highlight w:val="none"/>
        </w:rPr>
        <w:t xml:space="preserve">无</w:t>
      </w:r>
      <w:r>
        <w:rPr>
          <w:highlight w:val="none"/>
        </w:rPr>
      </w:r>
      <w:r/>
    </w:p>
    <w:p>
      <w:pPr>
        <w:pStyle w:val="785"/>
        <w:ind w:firstLine="498"/>
        <w:spacing w:before="156" w:after="156" w:line="360" w:lineRule="auto"/>
        <w:rPr>
          <w:highlight w:val="none"/>
        </w:rPr>
      </w:pPr>
      <w:r>
        <w:rPr>
          <w:rFonts w:hint="eastAsia"/>
          <w:highlight w:val="none"/>
        </w:rPr>
        <w:t xml:space="preserve">三、获取招标文件</w:t>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r/>
    </w:p>
    <w:p>
      <w:pPr>
        <w:ind w:firstLine="540"/>
        <w:spacing w:line="360" w:lineRule="auto"/>
        <w:rPr>
          <w:rFonts w:hint="eastAsia" w:ascii="等线" w:hAnsi="等线" w:eastAsia="等线" w:cs="宋体"/>
          <w:sz w:val="24"/>
          <w:szCs w:val="24"/>
          <w:highlight w:val="none"/>
        </w:rPr>
      </w:pPr>
      <w:r>
        <w:rPr>
          <w:highlight w:val="none"/>
        </w:rPr>
      </w:r>
      <w:bookmarkStart w:id="23" w:name="_Toc28359005"/>
      <w:r>
        <w:rPr>
          <w:highlight w:val="none"/>
        </w:rPr>
      </w:r>
      <w:bookmarkStart w:id="24" w:name="_Toc38985266"/>
      <w:r>
        <w:rPr>
          <w:highlight w:val="none"/>
        </w:rPr>
      </w:r>
      <w:bookmarkStart w:id="25" w:name="_Toc35393624"/>
      <w:r>
        <w:rPr>
          <w:highlight w:val="none"/>
        </w:rPr>
      </w:r>
      <w:bookmarkStart w:id="26" w:name="_Toc35393793"/>
      <w:r>
        <w:rPr>
          <w:highlight w:val="none"/>
        </w:rPr>
      </w:r>
      <w:bookmarkStart w:id="27" w:name="_Toc28359082"/>
      <w:r>
        <w:rPr>
          <w:rFonts w:hint="eastAsia" w:ascii="等线" w:hAnsi="等线" w:eastAsia="等线" w:cs="宋体"/>
          <w:sz w:val="24"/>
          <w:szCs w:val="24"/>
          <w:highlight w:val="none"/>
        </w:rPr>
        <w:t xml:space="preserve">1.时间：详见招标文件公告。</w:t>
      </w:r>
      <w:r>
        <w:rPr>
          <w:highlight w:val="none"/>
        </w:rPr>
      </w:r>
      <w:r/>
    </w:p>
    <w:p>
      <w:pPr>
        <w:ind w:firstLine="540"/>
        <w:spacing w:line="360" w:lineRule="auto"/>
        <w:rPr>
          <w:rFonts w:hint="eastAsia" w:ascii="等线" w:hAnsi="等线" w:eastAsia="等线" w:cs="宋体"/>
          <w:sz w:val="24"/>
          <w:szCs w:val="24"/>
          <w:highlight w:val="none"/>
          <w:u w:val="single"/>
        </w:rPr>
      </w:pPr>
      <w:r>
        <w:rPr>
          <w:rFonts w:hint="eastAsia" w:ascii="等线" w:hAnsi="等线" w:eastAsia="等线" w:cs="宋体"/>
          <w:sz w:val="24"/>
          <w:szCs w:val="24"/>
          <w:highlight w:val="none"/>
        </w:rPr>
        <w:t xml:space="preserve">2.方式：在“江苏政府采购网”、</w:t>
      </w:r>
      <w:r>
        <w:rPr>
          <w:rFonts w:hint="eastAsia" w:ascii="等线" w:hAnsi="等线" w:eastAsia="等线"/>
          <w:sz w:val="24"/>
          <w:szCs w:val="24"/>
          <w:highlight w:val="none"/>
        </w:rPr>
        <w:t xml:space="preserve">“常州市政府采购网”</w:t>
      </w:r>
      <w:r>
        <w:rPr>
          <w:rFonts w:hint="eastAsia" w:ascii="等线" w:hAnsi="等线" w:eastAsia="等线" w:cs="宋体"/>
          <w:sz w:val="24"/>
          <w:szCs w:val="24"/>
          <w:highlight w:val="none"/>
        </w:rPr>
        <w:t xml:space="preserve">自行免费下载招标文件。</w:t>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p>
    <w:p>
      <w:pPr>
        <w:pStyle w:val="785"/>
        <w:ind w:firstLine="498"/>
        <w:spacing w:before="156" w:after="156" w:line="360" w:lineRule="auto"/>
        <w:rPr>
          <w:highlight w:val="none"/>
        </w:rPr>
      </w:pPr>
      <w:r>
        <w:rPr>
          <w:highlight w:val="none"/>
        </w:rPr>
      </w:r>
      <w:bookmarkStart w:id="28" w:name="_Toc35393625"/>
      <w:r>
        <w:rPr>
          <w:highlight w:val="none"/>
        </w:rPr>
      </w:r>
      <w:bookmarkStart w:id="29" w:name="_Toc28359007"/>
      <w:r>
        <w:rPr>
          <w:highlight w:val="none"/>
        </w:rPr>
      </w:r>
      <w:bookmarkStart w:id="30" w:name="_Toc35393794"/>
      <w:r>
        <w:rPr>
          <w:highlight w:val="none"/>
        </w:rPr>
      </w:r>
      <w:bookmarkStart w:id="31" w:name="_Toc28359084"/>
      <w:r>
        <w:rPr>
          <w:highlight w:val="none"/>
        </w:rPr>
      </w:r>
      <w:bookmarkStart w:id="32" w:name="_Toc38985267"/>
      <w:r>
        <w:rPr>
          <w:rFonts w:hint="eastAsia"/>
          <w:highlight w:val="none"/>
        </w:rPr>
        <w:t xml:space="preserve">四、投标文件提交</w:t>
      </w:r>
      <w:r>
        <w:rPr>
          <w:highlight w:val="none"/>
        </w:rPr>
      </w:r>
      <w:r/>
    </w:p>
    <w:p>
      <w:pPr>
        <w:ind w:firstLine="54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1.时间：</w:t>
      </w:r>
      <w:r>
        <w:rPr>
          <w:rFonts w:hint="eastAsia" w:ascii="等线" w:hAnsi="等线" w:eastAsia="等线" w:cs="宋体"/>
          <w:color w:val="000000"/>
          <w:sz w:val="24"/>
          <w:szCs w:val="24"/>
          <w:highlight w:val="none"/>
        </w:rPr>
        <w:t xml:space="preserve">详见招标公告</w:t>
      </w:r>
      <w:r>
        <w:rPr>
          <w:rFonts w:hint="eastAsia" w:ascii="等线" w:hAnsi="等线" w:eastAsia="等线" w:cs="宋体"/>
          <w:sz w:val="24"/>
          <w:szCs w:val="24"/>
          <w:highlight w:val="none"/>
        </w:rPr>
        <w:t xml:space="preserve">。</w:t>
      </w:r>
      <w:r>
        <w:rPr>
          <w:highlight w:val="none"/>
        </w:rPr>
      </w:r>
      <w:r/>
    </w:p>
    <w:p>
      <w:pPr>
        <w:ind w:firstLine="54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2.地点：苏采云政府采购一体化平台</w:t>
      </w:r>
      <w:r>
        <w:rPr>
          <w:highlight w:val="none"/>
        </w:rPr>
      </w:r>
      <w:r/>
    </w:p>
    <w:p>
      <w:pPr>
        <w:pStyle w:val="785"/>
        <w:ind w:firstLine="498"/>
        <w:spacing w:before="156" w:after="156" w:line="360" w:lineRule="auto"/>
        <w:rPr>
          <w:highlight w:val="none"/>
        </w:rPr>
      </w:pPr>
      <w:r>
        <w:rPr>
          <w:rFonts w:hint="eastAsia"/>
          <w:highlight w:val="none"/>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firstLine="480"/>
        <w:rPr>
          <w:rFonts w:hint="eastAsia" w:ascii="等线" w:hAnsi="等线" w:eastAsia="等线" w:cs="宋体"/>
          <w:sz w:val="24"/>
          <w:szCs w:val="24"/>
          <w:highlight w:val="none"/>
        </w:rPr>
      </w:pPr>
      <w:r>
        <w:rPr>
          <w:highlight w:val="none"/>
        </w:rPr>
      </w:r>
      <w:bookmarkStart w:id="33" w:name="_Toc35393795"/>
      <w:r>
        <w:rPr>
          <w:highlight w:val="none"/>
        </w:rPr>
      </w:r>
      <w:bookmarkStart w:id="34" w:name="_Toc38985268"/>
      <w:r>
        <w:rPr>
          <w:highlight w:val="none"/>
        </w:rPr>
      </w:r>
      <w:bookmarkStart w:id="35" w:name="_Toc35393626"/>
      <w:r>
        <w:rPr>
          <w:rFonts w:hint="eastAsia" w:ascii="等线" w:hAnsi="等线" w:eastAsia="等线" w:cs="宋体"/>
          <w:sz w:val="24"/>
          <w:szCs w:val="24"/>
          <w:highlight w:val="none"/>
        </w:rPr>
        <w:t xml:space="preserve">招标公告及招标文件公告期限为自本公告发布之日起5个工作日。</w:t>
      </w:r>
      <w:r>
        <w:rPr>
          <w:highlight w:val="none"/>
        </w:rPr>
      </w:r>
      <w:r/>
    </w:p>
    <w:p>
      <w:pPr>
        <w:pStyle w:val="785"/>
        <w:ind w:firstLine="498"/>
        <w:spacing w:before="156" w:after="156" w:line="360" w:lineRule="auto"/>
        <w:rPr>
          <w:highlight w:val="none"/>
        </w:rPr>
      </w:pPr>
      <w:r>
        <w:rPr>
          <w:rFonts w:hint="eastAsia"/>
          <w:highlight w:val="none"/>
        </w:rPr>
        <w:t xml:space="preserve">六、其他补充事宜</w:t>
      </w:r>
      <w:bookmarkEnd w:id="33"/>
      <w:r>
        <w:rPr>
          <w:highlight w:val="none"/>
        </w:rPr>
      </w:r>
      <w:bookmarkEnd w:id="34"/>
      <w:r>
        <w:rPr>
          <w:highlight w:val="none"/>
        </w:rPr>
      </w:r>
      <w:bookmarkEnd w:id="35"/>
      <w:r>
        <w:rPr>
          <w:highlight w:val="none"/>
        </w:rPr>
      </w:r>
      <w:r/>
    </w:p>
    <w:p>
      <w:pPr>
        <w:ind w:firstLine="480"/>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无</w:t>
      </w:r>
      <w:r>
        <w:rPr>
          <w:highlight w:val="none"/>
        </w:rPr>
      </w:r>
      <w:r/>
    </w:p>
    <w:p>
      <w:pPr>
        <w:pStyle w:val="785"/>
        <w:ind w:firstLine="498"/>
        <w:spacing w:before="156" w:after="156" w:line="360" w:lineRule="auto"/>
        <w:rPr>
          <w:highlight w:val="none"/>
        </w:rPr>
      </w:pPr>
      <w:r>
        <w:rPr>
          <w:highlight w:val="none"/>
        </w:rPr>
      </w:r>
      <w:bookmarkStart w:id="36" w:name="_Toc38985269"/>
      <w:r>
        <w:rPr>
          <w:highlight w:val="none"/>
        </w:rPr>
      </w:r>
      <w:bookmarkStart w:id="37" w:name="_Toc28359085"/>
      <w:r>
        <w:rPr>
          <w:highlight w:val="none"/>
        </w:rPr>
      </w:r>
      <w:bookmarkStart w:id="38" w:name="_Toc35393796"/>
      <w:r>
        <w:rPr>
          <w:highlight w:val="none"/>
        </w:rPr>
      </w:r>
      <w:bookmarkStart w:id="39" w:name="_Toc35393627"/>
      <w:r>
        <w:rPr>
          <w:highlight w:val="none"/>
        </w:rPr>
      </w:r>
      <w:bookmarkStart w:id="40" w:name="_Toc28359008"/>
      <w:r>
        <w:rPr>
          <w:rFonts w:hint="eastAsia"/>
          <w:highlight w:val="none"/>
        </w:rPr>
        <w:t xml:space="preserve">七、本次招标联系方式</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1.采购人信息</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名 称：常州市明德实验中学，常州市市北实验初级中学</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联系地址：常州市钟楼区关河西路280号</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联系人：费老师</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联系方式：</w:t>
      </w:r>
      <w:bookmarkStart w:id="41" w:name="_Toc28359086"/>
      <w:r>
        <w:rPr>
          <w:highlight w:val="none"/>
        </w:rPr>
      </w:r>
      <w:bookmarkStart w:id="42" w:name="_Toc28359009"/>
      <w:r>
        <w:rPr>
          <w:rFonts w:hint="eastAsia" w:ascii="等线" w:hAnsi="等线" w:eastAsia="等线" w:cs="宋体"/>
          <w:sz w:val="24"/>
          <w:szCs w:val="24"/>
          <w:highlight w:val="none"/>
        </w:rPr>
        <w:t xml:space="preserve">13861231773</w:t>
      </w:r>
      <w:r>
        <w:rPr>
          <w:highlight w:val="none"/>
        </w:rPr>
      </w:r>
      <w:r/>
    </w:p>
    <w:p>
      <w:pPr>
        <w:ind w:firstLine="720"/>
        <w:spacing w:line="360" w:lineRule="auto"/>
        <w:rPr>
          <w:rFonts w:hint="eastAsia" w:ascii="等线" w:hAnsi="等线" w:eastAsia="等线" w:cs="宋体"/>
          <w:sz w:val="24"/>
          <w:szCs w:val="24"/>
          <w:highlight w:val="none"/>
        </w:rPr>
      </w:pPr>
      <w:r>
        <w:rPr>
          <w:highlight w:val="none"/>
        </w:rPr>
      </w:r>
      <w:bookmarkStart w:id="43" w:name="_Toc28359010"/>
      <w:r>
        <w:rPr>
          <w:highlight w:val="none"/>
        </w:rPr>
      </w:r>
      <w:bookmarkStart w:id="44" w:name="_Toc28359087"/>
      <w:r>
        <w:rPr>
          <w:rFonts w:hint="eastAsia" w:ascii="等线" w:hAnsi="等线" w:eastAsia="等线" w:cs="宋体"/>
          <w:sz w:val="24"/>
          <w:szCs w:val="24"/>
          <w:highlight w:val="none"/>
        </w:rPr>
        <w:t xml:space="preserve">2.常州市政府采购中心信息</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地　址：常州市锦绣路2号常州市政务服务中心1-1号楼6楼</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采购文件相关联系人：卢先生 </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电  　话：0519-85588157</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开标评审相关联系人：马女士</w:t>
      </w:r>
      <w:r>
        <w:rPr>
          <w:highlight w:val="none"/>
        </w:rPr>
      </w:r>
      <w:r/>
    </w:p>
    <w:p>
      <w:pPr>
        <w:ind w:firstLine="720"/>
        <w:spacing w:line="360" w:lineRule="auto"/>
        <w:rPr>
          <w:rFonts w:hint="eastAsia" w:ascii="等线" w:hAnsi="等线" w:eastAsia="等线" w:cs="宋体"/>
          <w:sz w:val="24"/>
          <w:szCs w:val="24"/>
          <w:highlight w:val="none"/>
        </w:rPr>
      </w:pPr>
      <w:r>
        <w:rPr>
          <w:rFonts w:hint="eastAsia" w:ascii="等线" w:hAnsi="等线" w:eastAsia="等线" w:cs="宋体"/>
          <w:sz w:val="24"/>
          <w:szCs w:val="24"/>
          <w:highlight w:val="none"/>
        </w:rPr>
        <w:t xml:space="preserve">电  　话：0519-85588166</w:t>
      </w:r>
      <w:r>
        <w:rPr>
          <w:highlight w:val="none"/>
        </w:rPr>
      </w:r>
      <w:r/>
    </w:p>
    <w:p>
      <w:pPr>
        <w:ind w:firstLine="720"/>
        <w:spacing w:line="360" w:lineRule="auto"/>
        <w:rPr>
          <w:rFonts w:hint="eastAsia" w:ascii="等线" w:hAnsi="等线" w:eastAsia="等线"/>
          <w:sz w:val="24"/>
          <w:szCs w:val="24"/>
          <w:highlight w:val="none"/>
        </w:rPr>
      </w:pPr>
      <w:r>
        <w:rPr>
          <w:rFonts w:hint="eastAsia" w:ascii="等线" w:hAnsi="等线" w:eastAsia="等线" w:cs="宋体"/>
          <w:sz w:val="24"/>
          <w:szCs w:val="24"/>
          <w:highlight w:val="none"/>
        </w:rPr>
        <w:t xml:space="preserve">电子化招投标技术支持电话：0519-85588210</w:t>
      </w:r>
      <w:bookmarkEnd w:id="41"/>
      <w:r>
        <w:rPr>
          <w:highlight w:val="none"/>
        </w:rPr>
      </w:r>
      <w:bookmarkEnd w:id="42"/>
      <w:r>
        <w:rPr>
          <w:highlight w:val="none"/>
        </w:rPr>
      </w:r>
      <w:bookmarkEnd w:id="43"/>
      <w:r>
        <w:rPr>
          <w:highlight w:val="none"/>
        </w:rPr>
      </w:r>
      <w:bookmarkEnd w:id="44"/>
      <w:r>
        <w:rPr>
          <w:highlight w:val="none"/>
        </w:rPr>
      </w:r>
      <w:r/>
    </w:p>
    <w:p>
      <w:pPr>
        <w:pStyle w:val="785"/>
        <w:ind w:firstLine="498"/>
        <w:spacing w:before="156" w:after="156" w:line="360" w:lineRule="auto"/>
        <w:rPr>
          <w:highlight w:val="none"/>
        </w:rPr>
      </w:pPr>
      <w:r>
        <w:rPr>
          <w:rFonts w:hint="eastAsia"/>
          <w:highlight w:val="none"/>
        </w:rPr>
        <w:t xml:space="preserve">八、其他</w:t>
      </w:r>
      <w:r>
        <w:rPr>
          <w:highlight w:val="none"/>
        </w:rPr>
      </w:r>
      <w:r/>
    </w:p>
    <w:p>
      <w:pPr>
        <w:ind w:firstLine="480"/>
        <w:jc w:val="left"/>
        <w:spacing w:line="560" w:lineRule="exact"/>
        <w:tabs>
          <w:tab w:val="left" w:pos="900" w:leader="none"/>
        </w:tabs>
        <w:rPr>
          <w:rFonts w:hint="eastAsia" w:ascii="宋体" w:hAnsi="宋体"/>
          <w:bCs/>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 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参与政府采购项目，需要更换CA数字证书和电子签章。具体办理指南和操作手册见链接：http://www.ccgp-jiangsu.gov.cn/jiangsu/zlxz/ee/ee3a4bc5a3454aa2b0d9312230633ce9.html。</w:t>
      </w:r>
      <w:r>
        <w:rPr>
          <w:highlight w:val="none"/>
        </w:rPr>
      </w:r>
      <w:r/>
    </w:p>
    <w:p>
      <w:pPr>
        <w:ind w:firstLine="480"/>
        <w:spacing w:line="560" w:lineRule="exact"/>
        <w:tabs>
          <w:tab w:val="left" w:pos="900" w:leader="none"/>
        </w:tabs>
        <w:rPr>
          <w:rFonts w:hint="eastAsia" w:ascii="宋体" w:hAnsi="宋体"/>
          <w:sz w:val="24"/>
          <w:szCs w:val="24"/>
          <w:highlight w:val="none"/>
        </w:rPr>
      </w:pPr>
      <w:r>
        <w:rPr>
          <w:rFonts w:hint="eastAsia" w:ascii="宋体" w:hAnsi="宋体"/>
          <w:bCs/>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highlight w:val="none"/>
        </w:rPr>
      </w:r>
      <w:r/>
    </w:p>
    <w:p>
      <w:pPr>
        <w:ind w:firstLine="480"/>
        <w:spacing w:line="5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 有关本次招标的事项若存在变动或修改，敬请及时关注常州市政府采购中心在“江苏政府采购网”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bCs/>
          <w:sz w:val="24"/>
          <w:szCs w:val="24"/>
          <w:highlight w:val="none"/>
        </w:rPr>
        <w:t xml:space="preserve">发布的更正公告。</w:t>
      </w:r>
      <w:r>
        <w:rPr>
          <w:highlight w:val="none"/>
        </w:rPr>
      </w:r>
      <w:r/>
    </w:p>
    <w:p>
      <w:pPr>
        <w:ind w:firstLine="480"/>
        <w:spacing w:line="5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 本次招标不收取投标保证金。</w:t>
      </w:r>
      <w:r>
        <w:rPr>
          <w:highlight w:val="none"/>
        </w:rPr>
      </w:r>
      <w:r/>
    </w:p>
    <w:p>
      <w:pPr>
        <w:ind w:firstLine="480"/>
        <w:spacing w:line="560" w:lineRule="exact"/>
        <w:rPr>
          <w:rFonts w:hint="eastAsia" w:ascii="宋体" w:hAnsi="宋体"/>
          <w:sz w:val="24"/>
          <w:highlight w:val="none"/>
        </w:rPr>
      </w:pPr>
      <w:r>
        <w:rPr>
          <w:rFonts w:hint="eastAsia" w:ascii="宋体" w:hAnsi="宋体"/>
          <w:sz w:val="24"/>
          <w:highlight w:val="none"/>
        </w:rPr>
      </w:r>
      <w:r>
        <w:rPr>
          <w:highlight w:val="none"/>
        </w:rPr>
      </w:r>
      <w:r/>
    </w:p>
    <w:p>
      <w:pPr>
        <w:ind w:right="840"/>
        <w:rPr>
          <w:rFonts w:hint="eastAsia" w:ascii="宋体" w:hAnsi="宋体"/>
          <w:sz w:val="24"/>
          <w:szCs w:val="24"/>
          <w:highlight w:val="none"/>
        </w:rPr>
      </w:pPr>
      <w:r>
        <w:rPr>
          <w:rFonts w:ascii="宋体" w:hAnsi="宋体"/>
          <w:sz w:val="24"/>
          <w:szCs w:val="24"/>
          <w:highlight w:val="none"/>
        </w:rPr>
        <w:br w:type="page" w:clear="all"/>
      </w:r>
      <w:r>
        <w:rPr>
          <w:highlight w:val="none"/>
        </w:rPr>
      </w:r>
      <w:r/>
    </w:p>
    <w:p>
      <w:pPr>
        <w:pStyle w:val="783"/>
        <w:rPr>
          <w:rFonts w:ascii="黑体" w:eastAsia="黑体"/>
          <w:sz w:val="44"/>
          <w:szCs w:val="44"/>
          <w:highlight w:val="none"/>
        </w:rPr>
      </w:pPr>
      <w:r>
        <w:rPr>
          <w:highlight w:val="none"/>
        </w:rPr>
      </w:r>
      <w:bookmarkStart w:id="45" w:name="_Toc120614211"/>
      <w:r>
        <w:rPr>
          <w:highlight w:val="none"/>
        </w:rPr>
      </w:r>
      <w:bookmarkStart w:id="46" w:name="_Toc1363"/>
      <w:r>
        <w:rPr>
          <w:rFonts w:hint="eastAsia" w:ascii="黑体" w:eastAsia="黑体"/>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5"/>
      <w:r>
        <w:rPr>
          <w:highlight w:val="none"/>
        </w:rPr>
      </w:r>
      <w:bookmarkStart w:id="47" w:name="_Toc513029202"/>
      <w:r>
        <w:rPr>
          <w:highlight w:val="none"/>
        </w:rPr>
      </w:r>
      <w:bookmarkStart w:id="48" w:name="_Toc16938518"/>
      <w:r>
        <w:rPr>
          <w:highlight w:val="none"/>
        </w:rPr>
      </w:r>
      <w:bookmarkStart w:id="49" w:name="_Toc120614213"/>
      <w:r>
        <w:rPr>
          <w:highlight w:val="none"/>
        </w:rPr>
      </w:r>
      <w:bookmarkStart w:id="50" w:name="_Toc20823274"/>
      <w:r>
        <w:rPr>
          <w:rFonts w:hint="eastAsia" w:ascii="黑体" w:eastAsia="黑体"/>
          <w:sz w:val="44"/>
          <w:szCs w:val="44"/>
          <w:highlight w:val="none"/>
        </w:rPr>
        <w:t xml:space="preserve">投标人须知</w:t>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r/>
    </w:p>
    <w:p>
      <w:pPr>
        <w:pStyle w:val="785"/>
        <w:ind w:firstLine="498"/>
        <w:spacing w:before="156" w:after="156" w:line="360" w:lineRule="auto"/>
        <w:rPr>
          <w:highlight w:val="none"/>
        </w:rPr>
      </w:pPr>
      <w:r>
        <w:rPr>
          <w:highlight w:val="none"/>
        </w:rPr>
      </w:r>
      <w:bookmarkStart w:id="51" w:name="_Toc120614214"/>
      <w:r>
        <w:rPr>
          <w:highlight w:val="none"/>
        </w:rPr>
      </w:r>
      <w:bookmarkStart w:id="52" w:name="_Toc513029203"/>
      <w:r>
        <w:rPr>
          <w:highlight w:val="none"/>
        </w:rPr>
      </w:r>
      <w:bookmarkStart w:id="53" w:name="_Toc16938519"/>
      <w:r>
        <w:rPr>
          <w:highlight w:val="none"/>
        </w:rPr>
      </w:r>
      <w:bookmarkStart w:id="54" w:name="_Toc20823275"/>
      <w:r>
        <w:rPr>
          <w:rFonts w:hint="eastAsia"/>
          <w:highlight w:val="none"/>
        </w:rPr>
        <w:t xml:space="preserve">一、总则</w:t>
      </w:r>
      <w:bookmarkEnd w:id="51"/>
      <w:r>
        <w:rPr>
          <w:highlight w:val="none"/>
        </w:rPr>
      </w:r>
      <w:bookmarkEnd w:id="52"/>
      <w:r>
        <w:rPr>
          <w:highlight w:val="none"/>
        </w:rPr>
      </w:r>
      <w:bookmarkEnd w:id="53"/>
      <w:r>
        <w:rPr>
          <w:highlight w:val="none"/>
        </w:rPr>
      </w:r>
      <w:bookmarkEnd w:id="54"/>
      <w:r>
        <w:rPr>
          <w:highlight w:val="none"/>
        </w:rPr>
      </w:r>
      <w:r/>
    </w:p>
    <w:p>
      <w:pPr>
        <w:pStyle w:val="786"/>
        <w:ind w:firstLine="420"/>
        <w:spacing w:before="0" w:after="0" w:line="240" w:lineRule="auto"/>
        <w:rPr>
          <w:b w:val="0"/>
          <w:bCs w:val="0"/>
          <w:highlight w:val="none"/>
        </w:rPr>
      </w:pPr>
      <w:r>
        <w:rPr>
          <w:highlight w:val="none"/>
        </w:rPr>
      </w:r>
      <w:bookmarkStart w:id="55" w:name="_Hlt16619475"/>
      <w:r>
        <w:rPr>
          <w:highlight w:val="none"/>
        </w:rPr>
      </w:r>
      <w:bookmarkEnd w:id="55"/>
      <w:r>
        <w:rPr>
          <w:highlight w:val="none"/>
        </w:rPr>
      </w:r>
      <w:bookmarkStart w:id="56" w:name="_Toc458694821"/>
      <w:r>
        <w:rPr>
          <w:highlight w:val="none"/>
        </w:rPr>
      </w:r>
      <w:bookmarkStart w:id="57" w:name="_Toc513029204"/>
      <w:r>
        <w:rPr>
          <w:highlight w:val="none"/>
        </w:rPr>
      </w:r>
      <w:bookmarkStart w:id="58" w:name="_Toc20823276"/>
      <w:r>
        <w:rPr>
          <w:highlight w:val="none"/>
        </w:rPr>
      </w:r>
      <w:bookmarkStart w:id="59" w:name="_Toc16938520"/>
      <w:r>
        <w:rPr>
          <w:rFonts w:hint="eastAsia"/>
          <w:b w:val="0"/>
          <w:bCs w:val="0"/>
          <w:highlight w:val="none"/>
        </w:rPr>
        <w:t xml:space="preserve">1</w:t>
      </w:r>
      <w:bookmarkEnd w:id="56"/>
      <w:r>
        <w:rPr>
          <w:rFonts w:hint="eastAsia"/>
          <w:b w:val="0"/>
          <w:bCs w:val="0"/>
          <w:highlight w:val="none"/>
        </w:rPr>
        <w:t xml:space="preserve">、招标方式</w:t>
      </w:r>
      <w:bookmarkEnd w:id="57"/>
      <w:r>
        <w:rPr>
          <w:highlight w:val="none"/>
        </w:rPr>
      </w:r>
      <w:bookmarkEnd w:id="58"/>
      <w:r>
        <w:rPr>
          <w:highlight w:val="none"/>
        </w:rPr>
      </w:r>
      <w:bookmarkEnd w:id="59"/>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highlight w:val="none"/>
        </w:rPr>
      </w:r>
      <w:r/>
    </w:p>
    <w:p>
      <w:pPr>
        <w:pStyle w:val="786"/>
        <w:ind w:firstLine="420"/>
        <w:spacing w:before="0" w:after="0" w:line="240" w:lineRule="auto"/>
        <w:rPr>
          <w:b w:val="0"/>
          <w:bCs w:val="0"/>
          <w:highlight w:val="none"/>
        </w:rPr>
      </w:pPr>
      <w:r>
        <w:rPr>
          <w:highlight w:val="none"/>
        </w:rPr>
      </w:r>
      <w:bookmarkStart w:id="60" w:name="_Toc20823277"/>
      <w:r>
        <w:rPr>
          <w:highlight w:val="none"/>
        </w:rPr>
      </w:r>
      <w:bookmarkStart w:id="61" w:name="_Toc513029205"/>
      <w:r>
        <w:rPr>
          <w:highlight w:val="none"/>
        </w:rPr>
      </w:r>
      <w:bookmarkStart w:id="62" w:name="_Toc16938521"/>
      <w:r>
        <w:rPr>
          <w:rFonts w:hint="eastAsia"/>
          <w:b w:val="0"/>
          <w:bCs w:val="0"/>
          <w:highlight w:val="none"/>
        </w:rPr>
        <w:t xml:space="preserve">2、合格的投标人</w:t>
      </w:r>
      <w:bookmarkEnd w:id="60"/>
      <w:r>
        <w:rPr>
          <w:highlight w:val="none"/>
        </w:rPr>
      </w:r>
      <w:bookmarkEnd w:id="61"/>
      <w:r>
        <w:rPr>
          <w:highlight w:val="none"/>
        </w:rPr>
      </w:r>
      <w:bookmarkEnd w:id="62"/>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highlight w:val="none"/>
        </w:rPr>
      </w:r>
      <w:r/>
    </w:p>
    <w:p>
      <w:pPr>
        <w:pStyle w:val="786"/>
        <w:ind w:firstLine="420"/>
        <w:spacing w:before="0" w:after="0" w:line="240" w:lineRule="auto"/>
        <w:rPr>
          <w:b w:val="0"/>
          <w:bCs w:val="0"/>
          <w:highlight w:val="none"/>
        </w:rPr>
      </w:pPr>
      <w:r>
        <w:rPr>
          <w:highlight w:val="none"/>
        </w:rPr>
      </w:r>
      <w:bookmarkStart w:id="63" w:name="_Toc16938522"/>
      <w:r>
        <w:rPr>
          <w:highlight w:val="none"/>
        </w:rPr>
      </w:r>
      <w:bookmarkStart w:id="64" w:name="_Toc20823278"/>
      <w:r>
        <w:rPr>
          <w:highlight w:val="none"/>
        </w:rPr>
      </w:r>
      <w:bookmarkStart w:id="65" w:name="_Toc513029206"/>
      <w:r>
        <w:rPr>
          <w:rFonts w:hint="eastAsia"/>
          <w:b w:val="0"/>
          <w:bCs w:val="0"/>
          <w:highlight w:val="none"/>
        </w:rPr>
        <w:t xml:space="preserve">3、适用法律</w:t>
      </w:r>
      <w:bookmarkEnd w:id="63"/>
      <w:r>
        <w:rPr>
          <w:highlight w:val="none"/>
        </w:rPr>
      </w:r>
      <w:bookmarkEnd w:id="64"/>
      <w:r>
        <w:rPr>
          <w:highlight w:val="none"/>
        </w:rPr>
      </w:r>
      <w:bookmarkEnd w:id="65"/>
      <w:r>
        <w:rPr>
          <w:highlight w:val="none"/>
        </w:rPr>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highlight w:val="none"/>
        </w:rPr>
      </w:r>
      <w:r/>
    </w:p>
    <w:p>
      <w:pPr>
        <w:pStyle w:val="786"/>
        <w:ind w:firstLine="420"/>
        <w:spacing w:before="0" w:after="0" w:line="240" w:lineRule="auto"/>
        <w:rPr>
          <w:b w:val="0"/>
          <w:bCs w:val="0"/>
          <w:highlight w:val="none"/>
        </w:rPr>
      </w:pPr>
      <w:r>
        <w:rPr>
          <w:highlight w:val="none"/>
        </w:rPr>
      </w:r>
      <w:bookmarkStart w:id="66" w:name="_Toc16938523"/>
      <w:r>
        <w:rPr>
          <w:highlight w:val="none"/>
        </w:rPr>
      </w:r>
      <w:bookmarkStart w:id="67" w:name="_Toc20823279"/>
      <w:r>
        <w:rPr>
          <w:highlight w:val="none"/>
        </w:rPr>
      </w:r>
      <w:bookmarkStart w:id="68" w:name="_Toc462564067"/>
      <w:r>
        <w:rPr>
          <w:highlight w:val="none"/>
        </w:rPr>
      </w:r>
      <w:bookmarkStart w:id="69" w:name="_Toc513029207"/>
      <w:r>
        <w:rPr>
          <w:rFonts w:hint="eastAsia"/>
          <w:b w:val="0"/>
          <w:bCs w:val="0"/>
          <w:highlight w:val="none"/>
        </w:rPr>
        <w:t xml:space="preserve">4、投标费用</w:t>
      </w:r>
      <w:bookmarkEnd w:id="66"/>
      <w:r>
        <w:rPr>
          <w:highlight w:val="none"/>
        </w:rPr>
      </w:r>
      <w:bookmarkEnd w:id="67"/>
      <w:r>
        <w:rPr>
          <w:highlight w:val="none"/>
        </w:rPr>
      </w:r>
      <w:bookmarkEnd w:id="68"/>
      <w:r>
        <w:rPr>
          <w:highlight w:val="none"/>
        </w:rPr>
      </w:r>
      <w:bookmarkEnd w:id="69"/>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投标人应自行承担所有与参加投标有关的费用，无论投标过程中的做法和结果如何，常州市政府采购中心（以下简称采购中心）在任何情况下均无义务和责任承担这些费用。</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highlight w:val="none"/>
        </w:rPr>
      </w:r>
      <w:r/>
    </w:p>
    <w:p>
      <w:pPr>
        <w:pStyle w:val="786"/>
        <w:ind w:firstLine="602"/>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highlight w:val="none"/>
        </w:rPr>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highlight w:val="none"/>
        </w:rPr>
      </w:r>
      <w:r/>
    </w:p>
    <w:p>
      <w:pPr>
        <w:pStyle w:val="785"/>
        <w:ind w:firstLine="321"/>
        <w:spacing w:before="156" w:after="156" w:line="360" w:lineRule="auto"/>
        <w:rPr>
          <w:highlight w:val="none"/>
        </w:rPr>
      </w:pPr>
      <w:r>
        <w:rPr>
          <w:highlight w:val="none"/>
        </w:rPr>
      </w:r>
      <w:bookmarkStart w:id="70" w:name="_Toc20823281"/>
      <w:r>
        <w:rPr>
          <w:highlight w:val="none"/>
        </w:rPr>
      </w:r>
      <w:bookmarkStart w:id="71" w:name="_Toc513029209"/>
      <w:r>
        <w:rPr>
          <w:highlight w:val="none"/>
        </w:rPr>
      </w:r>
      <w:bookmarkStart w:id="72" w:name="_Toc120614215"/>
      <w:r>
        <w:rPr>
          <w:highlight w:val="none"/>
        </w:rPr>
      </w:r>
      <w:bookmarkStart w:id="73" w:name="_Toc16938525"/>
      <w:r>
        <w:rPr>
          <w:rFonts w:hint="eastAsia"/>
          <w:highlight w:val="none"/>
        </w:rPr>
        <w:t xml:space="preserve">二、招标文件</w:t>
      </w:r>
      <w:bookmarkEnd w:id="70"/>
      <w:r>
        <w:rPr>
          <w:highlight w:val="none"/>
        </w:rPr>
      </w:r>
      <w:bookmarkEnd w:id="71"/>
      <w:r>
        <w:rPr>
          <w:highlight w:val="none"/>
        </w:rPr>
      </w:r>
      <w:bookmarkEnd w:id="72"/>
      <w:r>
        <w:rPr>
          <w:highlight w:val="none"/>
        </w:rPr>
      </w:r>
      <w:bookmarkEnd w:id="73"/>
      <w:r>
        <w:rPr>
          <w:highlight w:val="none"/>
        </w:rPr>
      </w:r>
      <w:r/>
    </w:p>
    <w:p>
      <w:pPr>
        <w:pStyle w:val="786"/>
        <w:ind w:firstLine="420"/>
        <w:spacing w:before="0" w:after="0" w:line="240" w:lineRule="auto"/>
        <w:rPr>
          <w:b w:val="0"/>
          <w:bCs w:val="0"/>
          <w:highlight w:val="none"/>
        </w:rPr>
      </w:pPr>
      <w:r>
        <w:rPr>
          <w:highlight w:val="none"/>
        </w:rPr>
      </w:r>
      <w:bookmarkStart w:id="74" w:name="_Toc20823282"/>
      <w:r>
        <w:rPr>
          <w:highlight w:val="none"/>
        </w:rPr>
      </w:r>
      <w:bookmarkStart w:id="75" w:name="_Toc16938526"/>
      <w:r>
        <w:rPr>
          <w:highlight w:val="none"/>
        </w:rPr>
      </w:r>
      <w:bookmarkStart w:id="76" w:name="_Toc513029210"/>
      <w:r>
        <w:rPr>
          <w:rFonts w:hint="eastAsia"/>
          <w:b w:val="0"/>
          <w:bCs w:val="0"/>
          <w:highlight w:val="none"/>
        </w:rPr>
        <w:t xml:space="preserve">6、招标文件构成</w:t>
      </w:r>
      <w:bookmarkEnd w:id="74"/>
      <w:r>
        <w:rPr>
          <w:highlight w:val="none"/>
        </w:rPr>
      </w:r>
      <w:bookmarkEnd w:id="75"/>
      <w:r>
        <w:rPr>
          <w:highlight w:val="none"/>
        </w:rPr>
      </w:r>
      <w:bookmarkEnd w:id="76"/>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highlight w:val="none"/>
        </w:rPr>
      </w:r>
      <w:r/>
    </w:p>
    <w:p>
      <w:pPr>
        <w:ind w:firstLine="360"/>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highlight w:val="none"/>
        </w:rPr>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786"/>
        <w:ind w:firstLine="560"/>
        <w:spacing w:before="0" w:after="0" w:line="240" w:lineRule="auto"/>
        <w:rPr>
          <w:b w:val="0"/>
          <w:bCs w:val="0"/>
          <w:highlight w:val="none"/>
        </w:rPr>
      </w:pPr>
      <w:r>
        <w:rPr>
          <w:highlight w:val="none"/>
        </w:rPr>
      </w:r>
      <w:bookmarkStart w:id="77" w:name="_Toc513029211"/>
      <w:r>
        <w:rPr>
          <w:highlight w:val="none"/>
        </w:rPr>
      </w:r>
      <w:bookmarkStart w:id="78" w:name="_Toc462564070"/>
      <w:r>
        <w:rPr>
          <w:highlight w:val="none"/>
        </w:rPr>
      </w:r>
      <w:bookmarkStart w:id="79" w:name="_Toc20823283"/>
      <w:r>
        <w:rPr>
          <w:highlight w:val="none"/>
        </w:rPr>
      </w:r>
      <w:bookmarkStart w:id="80" w:name="_Toc16938527"/>
      <w:r>
        <w:rPr>
          <w:rFonts w:hint="eastAsia"/>
          <w:b w:val="0"/>
          <w:bCs w:val="0"/>
          <w:highlight w:val="none"/>
        </w:rPr>
        <w:t xml:space="preserve">7、招标文件的澄清</w:t>
      </w:r>
      <w:bookmarkEnd w:id="77"/>
      <w:r>
        <w:rPr>
          <w:highlight w:val="none"/>
        </w:rPr>
      </w:r>
      <w:bookmarkEnd w:id="78"/>
      <w:r>
        <w:rPr>
          <w:highlight w:val="none"/>
        </w:rPr>
      </w:r>
      <w:bookmarkEnd w:id="79"/>
      <w:r>
        <w:rPr>
          <w:highlight w:val="none"/>
        </w:rPr>
      </w:r>
      <w:bookmarkEnd w:id="80"/>
      <w:r>
        <w:rPr>
          <w:highlight w:val="none"/>
        </w:rPr>
      </w:r>
      <w:r/>
    </w:p>
    <w:p>
      <w:pPr>
        <w:ind w:firstLine="480"/>
        <w:spacing w:line="480" w:lineRule="exact"/>
        <w:rPr>
          <w:rFonts w:hint="eastAsia"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highlight w:val="none"/>
        </w:rPr>
        <w:t xml:space="preserve">按招标公告中的通讯地址，以书面形式通知采购中心。</w:t>
      </w:r>
      <w:r>
        <w:rPr>
          <w:highlight w:val="none"/>
        </w:rPr>
      </w:r>
      <w:r/>
    </w:p>
    <w:p>
      <w:pPr>
        <w:pStyle w:val="786"/>
        <w:ind w:firstLine="560"/>
        <w:spacing w:before="0" w:after="0" w:line="240" w:lineRule="auto"/>
        <w:rPr>
          <w:b w:val="0"/>
          <w:bCs w:val="0"/>
          <w:highlight w:val="none"/>
        </w:rPr>
      </w:pPr>
      <w:r>
        <w:rPr>
          <w:highlight w:val="none"/>
        </w:rPr>
      </w:r>
      <w:bookmarkStart w:id="81" w:name="_Toc462564071"/>
      <w:r>
        <w:rPr>
          <w:highlight w:val="none"/>
        </w:rPr>
      </w:r>
      <w:bookmarkStart w:id="82" w:name="_Toc20823284"/>
      <w:r>
        <w:rPr>
          <w:highlight w:val="none"/>
        </w:rPr>
      </w:r>
      <w:bookmarkStart w:id="83" w:name="_Toc513029212"/>
      <w:r>
        <w:rPr>
          <w:highlight w:val="none"/>
        </w:rPr>
      </w:r>
      <w:bookmarkStart w:id="84" w:name="_Toc16938528"/>
      <w:r>
        <w:rPr>
          <w:rFonts w:hint="eastAsia"/>
          <w:b w:val="0"/>
          <w:bCs w:val="0"/>
          <w:highlight w:val="none"/>
        </w:rPr>
        <w:t xml:space="preserve">8、招标文件的修改</w:t>
      </w:r>
      <w:bookmarkEnd w:id="81"/>
      <w:r>
        <w:rPr>
          <w:highlight w:val="none"/>
        </w:rPr>
      </w:r>
      <w:bookmarkEnd w:id="82"/>
      <w:r>
        <w:rPr>
          <w:highlight w:val="none"/>
        </w:rPr>
      </w:r>
      <w:bookmarkEnd w:id="83"/>
      <w:r>
        <w:rPr>
          <w:highlight w:val="none"/>
        </w:rPr>
      </w:r>
      <w:bookmarkEnd w:id="84"/>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highlight w:val="none"/>
        </w:rPr>
      </w:r>
      <w:r/>
    </w:p>
    <w:p>
      <w:pPr>
        <w:ind w:firstLine="480"/>
        <w:spacing w:line="500" w:lineRule="exact"/>
        <w:rPr>
          <w:rFonts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招标文件的修改将在江苏政府采购网、常州市政府采购网公布，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highlight w:val="none"/>
        </w:rPr>
      </w:r>
      <w:r/>
    </w:p>
    <w:p>
      <w:pPr>
        <w:pStyle w:val="785"/>
        <w:ind w:firstLine="482"/>
        <w:spacing w:before="156" w:after="156" w:line="360" w:lineRule="auto"/>
        <w:rPr>
          <w:highlight w:val="none"/>
        </w:rPr>
      </w:pPr>
      <w:r>
        <w:rPr>
          <w:highlight w:val="none"/>
        </w:rPr>
      </w:r>
      <w:bookmarkStart w:id="85" w:name="_Toc120614216"/>
      <w:r>
        <w:rPr>
          <w:highlight w:val="none"/>
        </w:rPr>
      </w:r>
      <w:bookmarkStart w:id="86" w:name="_Toc16938529"/>
      <w:r>
        <w:rPr>
          <w:highlight w:val="none"/>
        </w:rPr>
      </w:r>
      <w:bookmarkStart w:id="87" w:name="_Toc462564072"/>
      <w:r>
        <w:rPr>
          <w:highlight w:val="none"/>
        </w:rPr>
      </w:r>
      <w:bookmarkStart w:id="88" w:name="_Toc513029213"/>
      <w:r>
        <w:rPr>
          <w:highlight w:val="none"/>
        </w:rPr>
      </w:r>
      <w:bookmarkStart w:id="89" w:name="_Toc20823285"/>
      <w:r>
        <w:rPr>
          <w:rFonts w:hint="eastAsia"/>
          <w:highlight w:val="none"/>
        </w:rPr>
        <w:t xml:space="preserve">三、投标文件的编制</w:t>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p>
    <w:p>
      <w:pPr>
        <w:pStyle w:val="786"/>
        <w:ind w:firstLine="560"/>
        <w:spacing w:before="0" w:after="0" w:line="240" w:lineRule="auto"/>
        <w:rPr>
          <w:bCs w:val="0"/>
          <w:highlight w:val="none"/>
        </w:rPr>
      </w:pPr>
      <w:r>
        <w:rPr>
          <w:highlight w:val="none"/>
        </w:rPr>
      </w:r>
      <w:bookmarkStart w:id="90" w:name="_Toc513029214"/>
      <w:r>
        <w:rPr>
          <w:highlight w:val="none"/>
        </w:rPr>
      </w:r>
      <w:bookmarkStart w:id="91" w:name="_Toc462564073"/>
      <w:r>
        <w:rPr>
          <w:highlight w:val="none"/>
        </w:rPr>
      </w:r>
      <w:bookmarkStart w:id="92" w:name="_Toc16938530"/>
      <w:r>
        <w:rPr>
          <w:highlight w:val="none"/>
        </w:rPr>
      </w:r>
      <w:bookmarkStart w:id="93" w:name="_Toc20823286"/>
      <w:r>
        <w:rPr>
          <w:rFonts w:hint="eastAsia"/>
          <w:b w:val="0"/>
          <w:bCs w:val="0"/>
          <w:highlight w:val="none"/>
        </w:rPr>
        <w:t xml:space="preserve">9、投标文件的语言及度量衡单位</w:t>
      </w:r>
      <w:bookmarkEnd w:id="90"/>
      <w:r>
        <w:rPr>
          <w:highlight w:val="none"/>
        </w:rPr>
      </w:r>
      <w:bookmarkEnd w:id="91"/>
      <w:r>
        <w:rPr>
          <w:highlight w:val="none"/>
        </w:rPr>
      </w:r>
      <w:bookmarkEnd w:id="92"/>
      <w:r>
        <w:rPr>
          <w:highlight w:val="none"/>
        </w:rPr>
      </w:r>
      <w:bookmarkEnd w:id="93"/>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rPr>
          <w:highlight w:val="none"/>
        </w:rPr>
      </w:r>
      <w:r/>
    </w:p>
    <w:p>
      <w:pPr>
        <w:pStyle w:val="786"/>
        <w:ind w:firstLine="420"/>
        <w:spacing w:before="0" w:after="0" w:line="240" w:lineRule="auto"/>
        <w:rPr>
          <w:b w:val="0"/>
          <w:bCs w:val="0"/>
          <w:highlight w:val="none"/>
        </w:rPr>
      </w:pPr>
      <w:r>
        <w:rPr>
          <w:highlight w:val="none"/>
        </w:rPr>
      </w:r>
      <w:bookmarkStart w:id="94" w:name="_Toc16938531"/>
      <w:r>
        <w:rPr>
          <w:highlight w:val="none"/>
        </w:rPr>
      </w:r>
      <w:bookmarkStart w:id="95" w:name="_Toc462564074"/>
      <w:r>
        <w:rPr>
          <w:highlight w:val="none"/>
        </w:rPr>
      </w:r>
      <w:bookmarkStart w:id="96" w:name="_Toc513029215"/>
      <w:r>
        <w:rPr>
          <w:highlight w:val="none"/>
        </w:rPr>
      </w:r>
      <w:bookmarkStart w:id="97" w:name="_Toc20823287"/>
      <w:r>
        <w:rPr>
          <w:rFonts w:hint="eastAsia"/>
          <w:b w:val="0"/>
          <w:bCs w:val="0"/>
          <w:highlight w:val="none"/>
        </w:rPr>
        <w:t xml:space="preserve">10、投标文件构成</w:t>
      </w:r>
      <w:bookmarkEnd w:id="94"/>
      <w:r>
        <w:rPr>
          <w:highlight w:val="none"/>
        </w:rPr>
      </w:r>
      <w:bookmarkEnd w:id="95"/>
      <w:r>
        <w:rPr>
          <w:highlight w:val="none"/>
        </w:rPr>
      </w:r>
      <w:bookmarkEnd w:id="96"/>
      <w:r>
        <w:rPr>
          <w:highlight w:val="none"/>
        </w:rPr>
      </w:r>
      <w:bookmarkEnd w:id="97"/>
      <w:r>
        <w:rPr>
          <w:highlight w:val="none"/>
        </w:rPr>
      </w:r>
      <w:r/>
    </w:p>
    <w:p>
      <w:pPr>
        <w:ind w:firstLine="480"/>
        <w:spacing w:line="360" w:lineRule="auto"/>
        <w:tabs>
          <w:tab w:val="left" w:pos="1080" w:leader="none"/>
          <w:tab w:val="left" w:pos="1589" w:leader="none"/>
          <w:tab w:val="left" w:pos="2014" w:leader="none"/>
        </w:tabs>
        <w:rPr>
          <w:rFonts w:hint="eastAsia" w:ascii="宋体" w:hAnsi="宋体"/>
          <w:sz w:val="24"/>
          <w:highlight w:val="none"/>
        </w:rPr>
      </w:pPr>
      <w:r>
        <w:rPr>
          <w:highlight w:val="none"/>
        </w:rPr>
      </w:r>
      <w:bookmarkStart w:id="98" w:name="_Hlt26954838"/>
      <w:r>
        <w:rPr>
          <w:highlight w:val="none"/>
        </w:rPr>
      </w:r>
      <w:bookmarkEnd w:id="98"/>
      <w:r>
        <w:rPr>
          <w:highlight w:val="none"/>
        </w:rPr>
      </w:r>
      <w:bookmarkStart w:id="99" w:name="_Hlt26670360"/>
      <w:r>
        <w:rPr>
          <w:highlight w:val="none"/>
        </w:rPr>
      </w:r>
      <w:bookmarkEnd w:id="99"/>
      <w:r>
        <w:rPr>
          <w:highlight w:val="none"/>
        </w:rPr>
      </w:r>
      <w:bookmarkStart w:id="100" w:name="_Hlt26668975"/>
      <w:r>
        <w:rPr>
          <w:highlight w:val="none"/>
        </w:rPr>
      </w:r>
      <w:bookmarkEnd w:id="100"/>
      <w:r>
        <w:rPr>
          <w:highlight w:val="none"/>
        </w:rPr>
      </w:r>
      <w:bookmarkStart w:id="101" w:name="_Toc14577354"/>
      <w:r>
        <w:rPr>
          <w:highlight w:val="none"/>
        </w:rPr>
      </w:r>
      <w:bookmarkStart w:id="102" w:name="_Toc14577357"/>
      <w:r>
        <w:rPr>
          <w:highlight w:val="none"/>
        </w:rPr>
      </w:r>
      <w:bookmarkStart w:id="103" w:name="_Toc513029219"/>
      <w:r>
        <w:rPr>
          <w:highlight w:val="none"/>
        </w:rPr>
      </w:r>
      <w:bookmarkStart w:id="104" w:name="_Toc513029216"/>
      <w:r>
        <w:rPr>
          <w:highlight w:val="none"/>
        </w:rPr>
      </w:r>
      <w:bookmarkStart w:id="105" w:name="_Toc49090509"/>
      <w:r>
        <w:rPr>
          <w:highlight w:val="none"/>
        </w:rPr>
      </w:r>
      <w:bookmarkStart w:id="106" w:name="_Toc49090507"/>
      <w:r>
        <w:rPr>
          <w:rFonts w:hint="eastAsia" w:ascii="宋体" w:hAnsi="宋体"/>
          <w:sz w:val="24"/>
          <w:highlight w:val="none"/>
        </w:rPr>
        <w:t xml:space="preserve">10.1</w:t>
      </w:r>
      <w:r>
        <w:rPr>
          <w:rFonts w:ascii="宋体" w:hAnsi="宋体"/>
          <w:sz w:val="24"/>
          <w:highlight w:val="none"/>
        </w:rPr>
        <w:t xml:space="preserve">本项目如划分采购包，投标人可以对本项目的其中一个采购包进行投标，也可同时对多个采购包进行投标。</w:t>
      </w:r>
      <w:r>
        <w:rPr>
          <w:rFonts w:ascii="宋体" w:hAnsi="宋体"/>
          <w:i/>
          <w:sz w:val="24"/>
          <w:highlight w:val="none"/>
          <w:u w:val="single"/>
        </w:rPr>
        <w:t xml:space="preserve">投标人应当对所投采购包对应《采购需求》所列的全部内容进行投标，不得将一个采购包中的内容拆开投标，否则其对该采购包的投标将被认定为无效投标。</w:t>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10.2投标人编写的投标文件应包括资格证明文件、符合性证明文件、投标分项报价表、技术要求响应及偏离表、商务要求响应及偏离表、其他证明文件、投标函、开标一览表等部分。</w:t>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10.3如标书制作工具中格式和内容与“江苏政府采购网”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sz w:val="24"/>
          <w:highlight w:val="none"/>
        </w:rPr>
        <w:t xml:space="preserve">发布的招标文件不一致，请以“江苏政府采购网”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sz w:val="24"/>
          <w:highlight w:val="none"/>
        </w:rPr>
        <w:t xml:space="preserve">发布的招标文件为准。</w:t>
      </w:r>
      <w:r>
        <w:rPr>
          <w:highlight w:val="none"/>
        </w:rPr>
      </w:r>
      <w:r/>
    </w:p>
    <w:p>
      <w:pPr>
        <w:pStyle w:val="786"/>
        <w:ind w:firstLine="420"/>
        <w:spacing w:before="0" w:after="0" w:line="240" w:lineRule="auto"/>
        <w:rPr>
          <w:b w:val="0"/>
          <w:bCs w:val="0"/>
          <w:highlight w:val="none"/>
        </w:rPr>
      </w:pPr>
      <w:r>
        <w:rPr>
          <w:rFonts w:hint="eastAsia"/>
          <w:b w:val="0"/>
          <w:bCs w:val="0"/>
          <w:highlight w:val="none"/>
        </w:rPr>
        <w:t xml:space="preserve">11、证明投标人及投标标的符合招标文件规定的文件</w:t>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r/>
    </w:p>
    <w:p>
      <w:pPr>
        <w:spacing w:line="480" w:lineRule="exact"/>
        <w:rPr>
          <w:rFonts w:hint="eastAsia" w:ascii="宋体" w:hAnsi="宋体"/>
          <w:sz w:val="24"/>
          <w:szCs w:val="24"/>
          <w:highlight w:val="none"/>
        </w:rPr>
      </w:pPr>
      <w:r>
        <w:rPr>
          <w:highlight w:val="none"/>
        </w:rPr>
      </w:r>
      <w:bookmarkStart w:id="107" w:name="_Toc14577355"/>
      <w:r>
        <w:rPr>
          <w:highlight w:val="none"/>
        </w:rPr>
      </w:r>
      <w:bookmarkStart w:id="108"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highlight w:val="none"/>
        </w:rPr>
      </w:r>
      <w:r/>
    </w:p>
    <w:p>
      <w:pPr>
        <w:pStyle w:val="786"/>
        <w:ind w:firstLine="420"/>
        <w:spacing w:before="0" w:after="0" w:line="240" w:lineRule="auto"/>
        <w:rPr>
          <w:b w:val="0"/>
          <w:bCs w:val="0"/>
          <w:highlight w:val="none"/>
        </w:rPr>
      </w:pPr>
      <w:r>
        <w:rPr>
          <w:rFonts w:hint="eastAsia"/>
          <w:b w:val="0"/>
          <w:bCs w:val="0"/>
          <w:highlight w:val="none"/>
        </w:rPr>
        <w:t xml:space="preserve">12、投标分项报价</w:t>
      </w:r>
      <w:bookmarkEnd w:id="107"/>
      <w:r>
        <w:rPr>
          <w:highlight w:val="none"/>
        </w:rPr>
      </w:r>
      <w:bookmarkStart w:id="109" w:name="_Hlt26670373"/>
      <w:r>
        <w:rPr>
          <w:highlight w:val="none"/>
        </w:rPr>
      </w:r>
      <w:bookmarkEnd w:id="109"/>
      <w:r>
        <w:rPr>
          <w:rFonts w:hint="eastAsia"/>
          <w:b w:val="0"/>
          <w:bCs w:val="0"/>
          <w:highlight w:val="none"/>
        </w:rPr>
        <w:t xml:space="preserve">表</w:t>
      </w:r>
      <w:bookmarkEnd w:id="108"/>
      <w:r>
        <w:rPr>
          <w:highlight w:val="none"/>
        </w:rPr>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w:t>
      </w:r>
      <w:bookmarkStart w:id="110" w:name="_Hlt26954840"/>
      <w:r>
        <w:rPr>
          <w:highlight w:val="none"/>
        </w:rPr>
      </w:r>
      <w:bookmarkEnd w:id="110"/>
      <w:r>
        <w:rPr>
          <w:rFonts w:hint="eastAsia" w:ascii="宋体" w:hAnsi="宋体"/>
          <w:sz w:val="24"/>
          <w:highlight w:val="none"/>
        </w:rPr>
        <w:t xml:space="preserve">标人应按照招标文件规定格式填报投标分项报价表</w:t>
      </w:r>
      <w:bookmarkStart w:id="111" w:name="_Hlt26670399"/>
      <w:r>
        <w:rPr>
          <w:highlight w:val="none"/>
        </w:rPr>
      </w:r>
      <w:bookmarkEnd w:id="111"/>
      <w:r>
        <w:rPr>
          <w:rFonts w:hint="eastAsia" w:ascii="宋体" w:hAnsi="宋体"/>
          <w:sz w:val="24"/>
          <w:highlight w:val="none"/>
        </w:rPr>
        <w:t xml:space="preserve">。</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highlight w:val="none"/>
        </w:rPr>
      </w:r>
      <w:r/>
    </w:p>
    <w:p>
      <w:pPr>
        <w:pStyle w:val="786"/>
        <w:ind w:firstLine="420"/>
        <w:spacing w:before="0" w:after="0" w:line="240" w:lineRule="auto"/>
        <w:rPr>
          <w:b w:val="0"/>
          <w:bCs w:val="0"/>
          <w:highlight w:val="none"/>
        </w:rPr>
      </w:pPr>
      <w:r>
        <w:rPr>
          <w:highlight w:val="none"/>
        </w:rPr>
      </w:r>
      <w:bookmarkStart w:id="112" w:name="_Hlt26954844"/>
      <w:r>
        <w:rPr>
          <w:highlight w:val="none"/>
        </w:rPr>
      </w:r>
      <w:bookmarkEnd w:id="112"/>
      <w:r>
        <w:rPr>
          <w:highlight w:val="none"/>
        </w:rPr>
      </w:r>
      <w:bookmarkStart w:id="113" w:name="_Hlt26954846"/>
      <w:r>
        <w:rPr>
          <w:highlight w:val="none"/>
        </w:rPr>
      </w:r>
      <w:bookmarkEnd w:id="113"/>
      <w:r>
        <w:rPr>
          <w:highlight w:val="none"/>
        </w:rPr>
      </w:r>
      <w:bookmarkStart w:id="114" w:name="_Hlt26670482"/>
      <w:r>
        <w:rPr>
          <w:highlight w:val="none"/>
        </w:rPr>
      </w:r>
      <w:bookmarkEnd w:id="114"/>
      <w:r>
        <w:rPr>
          <w:highlight w:val="none"/>
        </w:rPr>
      </w:r>
      <w:bookmarkStart w:id="115" w:name="_Hlt26954731"/>
      <w:r>
        <w:rPr>
          <w:highlight w:val="none"/>
        </w:rPr>
      </w:r>
      <w:bookmarkEnd w:id="115"/>
      <w:r>
        <w:rPr>
          <w:highlight w:val="none"/>
        </w:rPr>
      </w:r>
      <w:bookmarkStart w:id="116" w:name="_Hlt26670425"/>
      <w:r>
        <w:rPr>
          <w:highlight w:val="none"/>
        </w:rPr>
      </w:r>
      <w:bookmarkEnd w:id="116"/>
      <w:r>
        <w:rPr>
          <w:highlight w:val="none"/>
        </w:rPr>
      </w:r>
      <w:bookmarkStart w:id="117" w:name="_Hlt26668983"/>
      <w:r>
        <w:rPr>
          <w:highlight w:val="none"/>
        </w:rPr>
      </w:r>
      <w:bookmarkEnd w:id="117"/>
      <w:r>
        <w:rPr>
          <w:highlight w:val="none"/>
        </w:rPr>
      </w:r>
      <w:bookmarkStart w:id="118" w:name="_Hlt26954848"/>
      <w:r>
        <w:rPr>
          <w:highlight w:val="none"/>
        </w:rPr>
      </w:r>
      <w:bookmarkEnd w:id="118"/>
      <w:r>
        <w:rPr>
          <w:highlight w:val="none"/>
        </w:rPr>
      </w:r>
      <w:bookmarkStart w:id="119" w:name="_Hlt26670486"/>
      <w:r>
        <w:rPr>
          <w:highlight w:val="none"/>
        </w:rPr>
      </w:r>
      <w:bookmarkEnd w:id="119"/>
      <w:r>
        <w:rPr>
          <w:highlight w:val="none"/>
        </w:rPr>
      </w:r>
      <w:bookmarkStart w:id="120" w:name="_Hlt26670403"/>
      <w:r>
        <w:rPr>
          <w:highlight w:val="none"/>
        </w:rPr>
      </w:r>
      <w:bookmarkEnd w:id="120"/>
      <w:r>
        <w:rPr>
          <w:highlight w:val="none"/>
        </w:rPr>
      </w:r>
      <w:bookmarkStart w:id="121" w:name="_Hlt26954842"/>
      <w:r>
        <w:rPr>
          <w:highlight w:val="none"/>
        </w:rPr>
      </w:r>
      <w:bookmarkEnd w:id="121"/>
      <w:r>
        <w:rPr>
          <w:rFonts w:hint="eastAsia"/>
          <w:b w:val="0"/>
          <w:bCs w:val="0"/>
          <w:highlight w:val="none"/>
        </w:rPr>
        <w:t xml:space="preserve">13、技术要求响应及偏离表、商务要求响应及偏离表</w:t>
      </w:r>
      <w:r>
        <w:rPr>
          <w:highlight w:val="none"/>
        </w:rPr>
      </w:r>
      <w:r/>
    </w:p>
    <w:p>
      <w:pPr>
        <w:ind w:firstLine="480"/>
        <w:spacing w:line="500" w:lineRule="exact"/>
        <w:rPr>
          <w:rFonts w:ascii="宋体" w:hAnsi="Arial" w:cs="宋体"/>
          <w:sz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highlight w:val="none"/>
        </w:rPr>
      </w:r>
      <w:r/>
    </w:p>
    <w:p>
      <w:pPr>
        <w:ind w:firstLine="480"/>
        <w:spacing w:line="500" w:lineRule="exact"/>
        <w:tabs>
          <w:tab w:val="left" w:pos="1035" w:leader="none"/>
        </w:tabs>
        <w:rPr>
          <w:rFonts w:ascii="宋体" w:hAnsi="Arial" w:cs="宋体"/>
          <w:sz w:val="24"/>
          <w:highlight w:val="none"/>
        </w:rPr>
      </w:pPr>
      <w:r>
        <w:rPr>
          <w:rFonts w:hint="eastAsia" w:ascii="宋体" w:hAnsi="Arial" w:cs="宋体"/>
          <w:sz w:val="24"/>
          <w:highlight w:val="none"/>
          <w:lang w:val="zh-CN"/>
        </w:rPr>
        <w:t xml:space="preserve">13.2 投标人可在投标文件中提供认为需要的其他技术文件或说明。</w:t>
      </w:r>
      <w:r>
        <w:rPr>
          <w:highlight w:val="none"/>
        </w:rPr>
      </w:r>
      <w:r/>
    </w:p>
    <w:p>
      <w:pPr>
        <w:pStyle w:val="786"/>
        <w:ind w:firstLine="420"/>
        <w:spacing w:before="0" w:after="0" w:line="240" w:lineRule="auto"/>
        <w:rPr>
          <w:b w:val="0"/>
          <w:bCs w:val="0"/>
          <w:highlight w:val="none"/>
        </w:rPr>
      </w:pPr>
      <w:r>
        <w:rPr>
          <w:highlight w:val="none"/>
        </w:rPr>
      </w:r>
      <w:bookmarkStart w:id="122" w:name="_Toc49090510"/>
      <w:r>
        <w:rPr>
          <w:highlight w:val="none"/>
        </w:rPr>
      </w:r>
      <w:bookmarkStart w:id="123" w:name="_Toc14577359"/>
      <w:r>
        <w:rPr>
          <w:rFonts w:hint="eastAsia"/>
          <w:b w:val="0"/>
          <w:bCs w:val="0"/>
          <w:highlight w:val="none"/>
        </w:rPr>
        <w:t xml:space="preserve">14、投标函和开标一览表</w:t>
      </w:r>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rPr>
          <w:highlight w:val="none"/>
        </w:rPr>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bookmarkEnd w:id="122"/>
      <w:r>
        <w:rPr>
          <w:highlight w:val="none"/>
        </w:rPr>
      </w:r>
      <w:bookmarkEnd w:id="123"/>
      <w:r>
        <w:rPr>
          <w:highlight w:val="none"/>
        </w:rPr>
      </w:r>
      <w:r/>
    </w:p>
    <w:p>
      <w:pPr>
        <w:pStyle w:val="786"/>
        <w:ind w:firstLine="420"/>
        <w:spacing w:before="0" w:after="0" w:line="240" w:lineRule="auto"/>
        <w:rPr>
          <w:b w:val="0"/>
          <w:bCs w:val="0"/>
          <w:highlight w:val="none"/>
        </w:rPr>
      </w:pPr>
      <w:r>
        <w:rPr>
          <w:highlight w:val="none"/>
        </w:rPr>
      </w:r>
      <w:bookmarkStart w:id="124" w:name="_Hlt26954734"/>
      <w:r>
        <w:rPr>
          <w:highlight w:val="none"/>
        </w:rPr>
      </w:r>
      <w:bookmarkEnd w:id="124"/>
      <w:r>
        <w:rPr>
          <w:highlight w:val="none"/>
        </w:rPr>
      </w:r>
      <w:bookmarkStart w:id="125" w:name="_Hlt26954850"/>
      <w:r>
        <w:rPr>
          <w:highlight w:val="none"/>
        </w:rPr>
      </w:r>
      <w:bookmarkEnd w:id="125"/>
      <w:r>
        <w:rPr>
          <w:highlight w:val="none"/>
        </w:rPr>
      </w:r>
      <w:bookmarkStart w:id="126" w:name="_Hlt26670489"/>
      <w:r>
        <w:rPr>
          <w:highlight w:val="none"/>
        </w:rPr>
      </w:r>
      <w:bookmarkEnd w:id="126"/>
      <w:r>
        <w:rPr>
          <w:highlight w:val="none"/>
        </w:rPr>
      </w:r>
      <w:bookmarkStart w:id="127" w:name="_Toc49090511"/>
      <w:r>
        <w:rPr>
          <w:highlight w:val="none"/>
        </w:rPr>
      </w:r>
      <w:bookmarkStart w:id="128" w:name="_Toc14577360"/>
      <w:r>
        <w:rPr>
          <w:rFonts w:hint="eastAsia"/>
          <w:b w:val="0"/>
          <w:bCs w:val="0"/>
          <w:highlight w:val="none"/>
        </w:rPr>
        <w:t xml:space="preserve">15、投标有效期</w:t>
      </w:r>
      <w:bookmarkEnd w:id="127"/>
      <w:r>
        <w:rPr>
          <w:highlight w:val="none"/>
        </w:rPr>
      </w:r>
      <w:bookmarkEnd w:id="128"/>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highlight w:val="none"/>
        </w:rPr>
      </w:r>
      <w:r/>
    </w:p>
    <w:p>
      <w:pPr>
        <w:pStyle w:val="786"/>
        <w:ind w:firstLine="420"/>
        <w:spacing w:before="0" w:after="0" w:line="240" w:lineRule="auto"/>
        <w:rPr>
          <w:b w:val="0"/>
          <w:bCs w:val="0"/>
          <w:highlight w:val="none"/>
        </w:rPr>
      </w:pPr>
      <w:r>
        <w:rPr>
          <w:rFonts w:hint="eastAsia"/>
          <w:b w:val="0"/>
          <w:bCs w:val="0"/>
          <w:highlight w:val="none"/>
        </w:rPr>
        <w:t xml:space="preserve">16、投标有效期的延长</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highlight w:val="none"/>
        </w:rPr>
      </w:r>
      <w:r/>
    </w:p>
    <w:p>
      <w:pPr>
        <w:pStyle w:val="785"/>
        <w:ind w:firstLine="482"/>
        <w:spacing w:before="156" w:after="156" w:line="360" w:lineRule="auto"/>
        <w:rPr>
          <w:highlight w:val="none"/>
        </w:rPr>
      </w:pPr>
      <w:r>
        <w:rPr>
          <w:highlight w:val="none"/>
        </w:rPr>
      </w:r>
      <w:bookmarkStart w:id="129" w:name="_Hlt26954739"/>
      <w:r>
        <w:rPr>
          <w:highlight w:val="none"/>
        </w:rPr>
      </w:r>
      <w:bookmarkEnd w:id="129"/>
      <w:r>
        <w:rPr>
          <w:highlight w:val="none"/>
        </w:rPr>
      </w:r>
      <w:bookmarkStart w:id="130" w:name="_Hlt26954852"/>
      <w:r>
        <w:rPr>
          <w:highlight w:val="none"/>
        </w:rPr>
      </w:r>
      <w:bookmarkEnd w:id="130"/>
      <w:r>
        <w:rPr>
          <w:highlight w:val="none"/>
        </w:rPr>
      </w:r>
      <w:bookmarkStart w:id="131" w:name="_Toc513029224"/>
      <w:r>
        <w:rPr>
          <w:highlight w:val="none"/>
        </w:rPr>
      </w:r>
      <w:bookmarkStart w:id="132" w:name="_Toc20823296"/>
      <w:r>
        <w:rPr>
          <w:highlight w:val="none"/>
        </w:rPr>
      </w:r>
      <w:bookmarkStart w:id="133" w:name="_Toc16938540"/>
      <w:r>
        <w:rPr>
          <w:highlight w:val="none"/>
        </w:rPr>
      </w:r>
      <w:bookmarkStart w:id="134" w:name="_Toc120614217"/>
      <w:r>
        <w:rPr>
          <w:rFonts w:hint="eastAsia"/>
          <w:highlight w:val="none"/>
        </w:rPr>
        <w:t xml:space="preserve">四、投标文件的递交</w:t>
      </w:r>
      <w:bookmarkEnd w:id="131"/>
      <w:r>
        <w:rPr>
          <w:highlight w:val="none"/>
        </w:rPr>
      </w:r>
      <w:bookmarkEnd w:id="132"/>
      <w:r>
        <w:rPr>
          <w:highlight w:val="none"/>
        </w:rPr>
      </w:r>
      <w:bookmarkEnd w:id="133"/>
      <w:r>
        <w:rPr>
          <w:highlight w:val="none"/>
        </w:rPr>
      </w:r>
      <w:bookmarkEnd w:id="134"/>
      <w:r>
        <w:rPr>
          <w:highlight w:val="none"/>
        </w:rPr>
      </w:r>
      <w:r/>
    </w:p>
    <w:p>
      <w:pPr>
        <w:pStyle w:val="786"/>
        <w:ind w:firstLine="560"/>
        <w:spacing w:before="0" w:after="0" w:line="240" w:lineRule="auto"/>
        <w:rPr>
          <w:rFonts w:ascii="黑体"/>
          <w:b w:val="0"/>
          <w:bCs w:val="0"/>
          <w:highlight w:val="none"/>
        </w:rPr>
      </w:pPr>
      <w:r>
        <w:rPr>
          <w:highlight w:val="none"/>
        </w:rPr>
      </w:r>
      <w:bookmarkStart w:id="135" w:name="_Toc20823297"/>
      <w:r>
        <w:rPr>
          <w:highlight w:val="none"/>
        </w:rPr>
      </w:r>
      <w:bookmarkStart w:id="136" w:name="_Toc513029225"/>
      <w:r>
        <w:rPr>
          <w:highlight w:val="none"/>
        </w:rPr>
      </w:r>
      <w:bookmarkStart w:id="137" w:name="_Toc16938541"/>
      <w:r>
        <w:rPr>
          <w:highlight w:val="none"/>
        </w:rPr>
      </w:r>
      <w:bookmarkStart w:id="138" w:name="_Toc462564084"/>
      <w:r>
        <w:rPr>
          <w:rFonts w:hint="eastAsia"/>
          <w:b w:val="0"/>
          <w:bCs w:val="0"/>
          <w:highlight w:val="none"/>
        </w:rPr>
        <w:t xml:space="preserve">17、</w:t>
      </w:r>
      <w:r>
        <w:rPr>
          <w:rFonts w:hint="eastAsia" w:ascii="黑体"/>
          <w:b w:val="0"/>
          <w:bCs w:val="0"/>
          <w:highlight w:val="none"/>
        </w:rPr>
        <w:t xml:space="preserve">投标文件</w:t>
      </w:r>
      <w:bookmarkEnd w:id="135"/>
      <w:r>
        <w:rPr>
          <w:highlight w:val="none"/>
        </w:rPr>
      </w:r>
      <w:bookmarkEnd w:id="136"/>
      <w:r>
        <w:rPr>
          <w:highlight w:val="none"/>
        </w:rPr>
      </w:r>
      <w:bookmarkEnd w:id="137"/>
      <w:r>
        <w:rPr>
          <w:highlight w:val="none"/>
        </w:rPr>
      </w:r>
      <w:bookmarkEnd w:id="138"/>
      <w:r>
        <w:rPr>
          <w:rFonts w:hint="eastAsia" w:ascii="黑体"/>
          <w:b w:val="0"/>
          <w:bCs w:val="0"/>
          <w:highlight w:val="none"/>
        </w:rPr>
        <w:t xml:space="preserve">的递交</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电子投标文件的递交</w:t>
      </w:r>
      <w:r>
        <w:rPr>
          <w:highlight w:val="none"/>
        </w:rPr>
      </w:r>
      <w:r/>
    </w:p>
    <w:p>
      <w:pPr>
        <w:pStyle w:val="1054"/>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9" w:name="_Toc20823298"/>
      <w:r>
        <w:rPr>
          <w:highlight w:val="none"/>
        </w:rPr>
      </w:r>
      <w:bookmarkStart w:id="140" w:name="_Toc16938542"/>
      <w:r>
        <w:rPr>
          <w:highlight w:val="none"/>
        </w:rPr>
      </w:r>
      <w:bookmarkStart w:id="141" w:name="_Toc513029226"/>
      <w:r>
        <w:rPr>
          <w:highlight w:val="none"/>
        </w:rPr>
      </w:r>
      <w:r/>
    </w:p>
    <w:p>
      <w:pPr>
        <w:pStyle w:val="786"/>
        <w:ind w:firstLine="420"/>
        <w:spacing w:after="100" w:afterAutospacing="1" w:line="377" w:lineRule="auto"/>
        <w:rPr>
          <w:b w:val="0"/>
          <w:highlight w:val="none"/>
        </w:rPr>
      </w:pPr>
      <w:r>
        <w:rPr>
          <w:rFonts w:hint="eastAsia"/>
          <w:b w:val="0"/>
          <w:highlight w:val="none"/>
        </w:rPr>
        <w:t xml:space="preserve">18、投标截止</w:t>
      </w:r>
      <w:bookmarkEnd w:id="139"/>
      <w:r>
        <w:rPr>
          <w:highlight w:val="none"/>
        </w:rPr>
      </w:r>
      <w:bookmarkEnd w:id="140"/>
      <w:r>
        <w:rPr>
          <w:highlight w:val="none"/>
        </w:rPr>
      </w:r>
      <w:bookmarkEnd w:id="141"/>
      <w:r>
        <w:rPr>
          <w:rFonts w:hint="eastAsia"/>
          <w:b w:val="0"/>
          <w:highlight w:val="none"/>
        </w:rPr>
        <w:t xml:space="preserve">时间</w:t>
      </w:r>
      <w:r>
        <w:rPr>
          <w:highlight w:val="none"/>
        </w:rPr>
      </w:r>
      <w:r/>
    </w:p>
    <w:p>
      <w:pPr>
        <w:ind w:firstLine="480"/>
        <w:spacing w:line="500" w:lineRule="exact"/>
        <w:rPr>
          <w:rFonts w:hint="eastAsia" w:ascii="宋体" w:hAnsi="宋体"/>
          <w:bCs/>
          <w:i/>
          <w:sz w:val="24"/>
          <w:highlight w:val="none"/>
          <w:u w:val="single"/>
        </w:rPr>
      </w:pPr>
      <w:r>
        <w:rPr>
          <w:rFonts w:hint="eastAsia" w:ascii="宋体" w:hAnsi="宋体"/>
          <w:i/>
          <w:sz w:val="24"/>
          <w:highlight w:val="none"/>
          <w:u w:val="single"/>
        </w:rPr>
        <w:t xml:space="preserve">18.1</w:t>
      </w:r>
      <w:r>
        <w:rPr>
          <w:rFonts w:hint="eastAsia" w:ascii="宋体" w:hAnsi="宋体"/>
          <w:bCs/>
          <w:i/>
          <w:sz w:val="24"/>
          <w:highlight w:val="none"/>
          <w:u w:val="single"/>
        </w:rPr>
        <w:t xml:space="preserve"> 投标人上传电子投标文件的时间不得迟于招标公告中规定的投标截止时间。</w:t>
      </w:r>
      <w:r>
        <w:rPr>
          <w:highlight w:val="none"/>
        </w:rPr>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highlight w:val="none"/>
        </w:rPr>
      </w:r>
      <w:r/>
    </w:p>
    <w:p>
      <w:pPr>
        <w:pStyle w:val="786"/>
        <w:ind w:firstLine="420"/>
        <w:spacing w:before="0" w:after="0" w:line="240" w:lineRule="auto"/>
        <w:rPr>
          <w:b w:val="0"/>
          <w:bCs w:val="0"/>
          <w:highlight w:val="none"/>
        </w:rPr>
      </w:pPr>
      <w:r>
        <w:rPr>
          <w:highlight w:val="none"/>
        </w:rPr>
      </w:r>
      <w:bookmarkStart w:id="142" w:name="_Toc16938543"/>
      <w:r>
        <w:rPr>
          <w:highlight w:val="none"/>
        </w:rPr>
      </w:r>
      <w:bookmarkStart w:id="143" w:name="_Toc20823299"/>
      <w:r>
        <w:rPr>
          <w:highlight w:val="none"/>
        </w:rPr>
      </w:r>
      <w:bookmarkStart w:id="144" w:name="_Toc513029227"/>
      <w:r>
        <w:rPr>
          <w:rFonts w:hint="eastAsia"/>
          <w:b w:val="0"/>
          <w:bCs w:val="0"/>
          <w:highlight w:val="none"/>
        </w:rPr>
        <w:t xml:space="preserve">19、投标文件</w:t>
      </w:r>
      <w:bookmarkEnd w:id="142"/>
      <w:r>
        <w:rPr>
          <w:highlight w:val="none"/>
        </w:rPr>
      </w:r>
      <w:bookmarkEnd w:id="143"/>
      <w:r>
        <w:rPr>
          <w:highlight w:val="none"/>
        </w:rPr>
      </w:r>
      <w:bookmarkEnd w:id="144"/>
      <w:r>
        <w:rPr>
          <w:rFonts w:hint="eastAsia"/>
          <w:b w:val="0"/>
          <w:bCs w:val="0"/>
          <w:highlight w:val="none"/>
        </w:rPr>
        <w:t xml:space="preserve">的拒收</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采购中心拒绝接收在其规定的投标截止时间后上传的任何投标文件。</w:t>
      </w:r>
      <w:r>
        <w:rPr>
          <w:highlight w:val="none"/>
        </w:rPr>
      </w:r>
      <w:r/>
    </w:p>
    <w:p>
      <w:pPr>
        <w:pStyle w:val="786"/>
        <w:ind w:firstLine="420"/>
        <w:spacing w:before="0" w:after="0" w:line="240" w:lineRule="auto"/>
        <w:rPr>
          <w:b w:val="0"/>
          <w:bCs w:val="0"/>
          <w:highlight w:val="none"/>
        </w:rPr>
      </w:pPr>
      <w:r>
        <w:rPr>
          <w:highlight w:val="none"/>
        </w:rPr>
      </w:r>
      <w:bookmarkStart w:id="145" w:name="_Toc513029228"/>
      <w:r>
        <w:rPr>
          <w:highlight w:val="none"/>
        </w:rPr>
      </w:r>
      <w:bookmarkStart w:id="146" w:name="_Toc20823300"/>
      <w:r>
        <w:rPr>
          <w:highlight w:val="none"/>
        </w:rPr>
      </w:r>
      <w:bookmarkStart w:id="147" w:name="_Toc16938544"/>
      <w:r>
        <w:rPr>
          <w:rFonts w:hint="eastAsia"/>
          <w:b w:val="0"/>
          <w:bCs w:val="0"/>
          <w:highlight w:val="none"/>
        </w:rPr>
        <w:t xml:space="preserve">20、投标文件的撤回和修改</w:t>
      </w:r>
      <w:bookmarkEnd w:id="145"/>
      <w:r>
        <w:rPr>
          <w:highlight w:val="none"/>
        </w:rPr>
      </w:r>
      <w:bookmarkEnd w:id="146"/>
      <w:r>
        <w:rPr>
          <w:highlight w:val="none"/>
        </w:rPr>
      </w:r>
      <w:bookmarkEnd w:id="147"/>
      <w:r>
        <w:rPr>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20.1 投标文件的撤回</w:t>
      </w:r>
      <w:r>
        <w:rPr>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20.1.1 电子投标文件的撤回</w:t>
      </w:r>
      <w:r>
        <w:rPr>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 投标文件的修改</w:t>
      </w:r>
      <w:r>
        <w:rPr>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 在投标截止时间至招标文件中规定的投标有效期满之间的这段时间内，投标人不得撤回其投标。</w:t>
      </w:r>
      <w:r>
        <w:rPr>
          <w:highlight w:val="none"/>
        </w:rPr>
      </w:r>
      <w:r/>
    </w:p>
    <w:p>
      <w:pPr>
        <w:pStyle w:val="785"/>
        <w:ind w:firstLine="482"/>
        <w:spacing w:before="156" w:after="156" w:line="360" w:lineRule="auto"/>
        <w:rPr>
          <w:highlight w:val="none"/>
        </w:rPr>
      </w:pPr>
      <w:r>
        <w:rPr>
          <w:highlight w:val="none"/>
        </w:rPr>
      </w:r>
      <w:bookmarkStart w:id="148" w:name="_Toc120614218"/>
      <w:r>
        <w:rPr>
          <w:highlight w:val="none"/>
        </w:rPr>
      </w:r>
      <w:bookmarkStart w:id="149" w:name="_Toc16938545"/>
      <w:r>
        <w:rPr>
          <w:highlight w:val="none"/>
        </w:rPr>
      </w:r>
      <w:bookmarkStart w:id="150" w:name="_Toc513029229"/>
      <w:r>
        <w:rPr>
          <w:highlight w:val="none"/>
        </w:rPr>
      </w:r>
      <w:bookmarkStart w:id="151" w:name="_Toc20823301"/>
      <w:r>
        <w:rPr>
          <w:rFonts w:hint="eastAsia"/>
          <w:highlight w:val="none"/>
        </w:rPr>
        <w:t xml:space="preserve">五、开标与评标</w:t>
      </w:r>
      <w:bookmarkEnd w:id="148"/>
      <w:r>
        <w:rPr>
          <w:highlight w:val="none"/>
        </w:rPr>
      </w:r>
      <w:bookmarkEnd w:id="149"/>
      <w:r>
        <w:rPr>
          <w:highlight w:val="none"/>
        </w:rPr>
      </w:r>
      <w:bookmarkEnd w:id="150"/>
      <w:r>
        <w:rPr>
          <w:highlight w:val="none"/>
        </w:rPr>
      </w:r>
      <w:bookmarkEnd w:id="151"/>
      <w:r>
        <w:rPr>
          <w:highlight w:val="none"/>
        </w:rPr>
      </w:r>
      <w:r/>
    </w:p>
    <w:p>
      <w:pPr>
        <w:pStyle w:val="786"/>
        <w:ind w:firstLine="420"/>
        <w:spacing w:before="0" w:after="0" w:line="240" w:lineRule="auto"/>
        <w:rPr>
          <w:b w:val="0"/>
          <w:bCs w:val="0"/>
          <w:highlight w:val="none"/>
        </w:rPr>
      </w:pPr>
      <w:r>
        <w:rPr>
          <w:highlight w:val="none"/>
        </w:rPr>
      </w:r>
      <w:bookmarkStart w:id="152" w:name="_Toc16938546"/>
      <w:r>
        <w:rPr>
          <w:highlight w:val="none"/>
        </w:rPr>
      </w:r>
      <w:bookmarkStart w:id="153" w:name="_Toc513029230"/>
      <w:r>
        <w:rPr>
          <w:highlight w:val="none"/>
        </w:rPr>
      </w:r>
      <w:bookmarkStart w:id="154" w:name="_Toc20823302"/>
      <w:r>
        <w:rPr>
          <w:rFonts w:hint="eastAsia"/>
          <w:b w:val="0"/>
          <w:bCs w:val="0"/>
          <w:highlight w:val="none"/>
        </w:rPr>
        <w:t xml:space="preserve">21、开标</w:t>
      </w:r>
      <w:bookmarkEnd w:id="152"/>
      <w:r>
        <w:rPr>
          <w:highlight w:val="none"/>
        </w:rPr>
      </w:r>
      <w:bookmarkEnd w:id="153"/>
      <w:r>
        <w:rPr>
          <w:highlight w:val="none"/>
        </w:rPr>
      </w:r>
      <w:bookmarkEnd w:id="154"/>
      <w:r>
        <w:rPr>
          <w:highlight w:val="none"/>
        </w:rPr>
      </w:r>
      <w:r/>
    </w:p>
    <w:p>
      <w:pPr>
        <w:ind w:firstLine="360"/>
        <w:rPr>
          <w:highlight w:val="none"/>
        </w:rPr>
      </w:pPr>
      <w:r>
        <w:rPr>
          <w:rFonts w:hint="eastAsia" w:ascii="宋体" w:hAnsi="宋体"/>
          <w:sz w:val="24"/>
          <w:highlight w:val="none"/>
        </w:rPr>
        <w:t xml:space="preserve">21.1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highlight w:val="none"/>
        </w:rPr>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21.2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highlight w:val="none"/>
        </w:rPr>
      </w:r>
      <w:r/>
    </w:p>
    <w:p>
      <w:pPr>
        <w:ind w:firstLine="480"/>
        <w:spacing w:line="500" w:lineRule="exact"/>
        <w:rPr>
          <w:rFonts w:hint="eastAsia" w:ascii="宋体" w:hAnsi="宋体"/>
          <w:sz w:val="24"/>
          <w:szCs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rPr>
          <w:highlight w:val="none"/>
        </w:rPr>
      </w:r>
      <w:r/>
    </w:p>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 苏采云系统中《开标记录表》宣布后5分钟内未提出的，视同认可开标结果。</w:t>
      </w:r>
      <w:r>
        <w:rPr>
          <w:highlight w:val="none"/>
        </w:rPr>
      </w:r>
      <w:r/>
    </w:p>
    <w:p>
      <w:pPr>
        <w:pStyle w:val="786"/>
        <w:ind w:firstLine="420"/>
        <w:spacing w:before="0" w:after="0" w:line="240" w:lineRule="auto"/>
        <w:rPr>
          <w:b w:val="0"/>
          <w:bCs w:val="0"/>
          <w:highlight w:val="none"/>
        </w:rPr>
      </w:pPr>
      <w:r>
        <w:rPr>
          <w:highlight w:val="none"/>
        </w:rPr>
      </w:r>
      <w:bookmarkStart w:id="155" w:name="_Toc16938547"/>
      <w:r>
        <w:rPr>
          <w:highlight w:val="none"/>
        </w:rPr>
      </w:r>
      <w:bookmarkStart w:id="156" w:name="_Toc513029231"/>
      <w:r>
        <w:rPr>
          <w:highlight w:val="none"/>
        </w:rPr>
      </w:r>
      <w:bookmarkStart w:id="157" w:name="_Toc20823303"/>
      <w:r>
        <w:rPr>
          <w:rFonts w:hint="eastAsia"/>
          <w:b w:val="0"/>
          <w:bCs w:val="0"/>
          <w:highlight w:val="none"/>
        </w:rPr>
        <w:t xml:space="preserve">22、评标委员会</w:t>
      </w:r>
      <w:r>
        <w:rPr>
          <w:highlight w:val="none"/>
        </w:rPr>
      </w:r>
      <w:r/>
    </w:p>
    <w:p>
      <w:pPr>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highlight w:val="none"/>
        </w:rPr>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rPr>
          <w:highlight w:val="none"/>
        </w:rPr>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22.3评委会独立工作，负责评审所有投标文件并确定中标候选人。</w:t>
      </w:r>
      <w:r>
        <w:rPr>
          <w:highlight w:val="none"/>
        </w:rPr>
      </w:r>
      <w:r/>
    </w:p>
    <w:p>
      <w:pPr>
        <w:pStyle w:val="786"/>
        <w:ind w:firstLine="420"/>
        <w:spacing w:before="0" w:after="0" w:line="240" w:lineRule="auto"/>
        <w:rPr>
          <w:rFonts w:ascii="黑体"/>
          <w:b w:val="0"/>
          <w:bCs w:val="0"/>
          <w:highlight w:val="none"/>
        </w:rPr>
      </w:pPr>
      <w:r>
        <w:rPr>
          <w:rFonts w:hint="eastAsia" w:ascii="黑体"/>
          <w:b w:val="0"/>
          <w:bCs w:val="0"/>
          <w:highlight w:val="none"/>
        </w:rPr>
        <w:t xml:space="preserve">23、评标过程的保密与公正</w:t>
      </w:r>
      <w:bookmarkEnd w:id="155"/>
      <w:r>
        <w:rPr>
          <w:highlight w:val="none"/>
        </w:rPr>
      </w:r>
      <w:bookmarkEnd w:id="156"/>
      <w:r>
        <w:rPr>
          <w:highlight w:val="none"/>
        </w:rPr>
      </w:r>
      <w:bookmarkEnd w:id="157"/>
      <w:r>
        <w:rPr>
          <w:highlight w:val="none"/>
        </w:rPr>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采用综合评分法的项目，未中标的投标人可于中标结果公告期限届满之日起通过苏采云系统查看自己的评审得分及排序情况。</w:t>
      </w:r>
      <w:r>
        <w:rPr>
          <w:highlight w:val="none"/>
        </w:rPr>
      </w:r>
      <w:r/>
    </w:p>
    <w:p>
      <w:pPr>
        <w:pStyle w:val="786"/>
        <w:ind w:firstLine="420"/>
        <w:spacing w:before="0" w:after="0" w:line="240" w:lineRule="auto"/>
        <w:rPr>
          <w:b w:val="0"/>
          <w:bCs w:val="0"/>
          <w:highlight w:val="none"/>
        </w:rPr>
      </w:pPr>
      <w:r>
        <w:rPr>
          <w:highlight w:val="none"/>
        </w:rPr>
      </w:r>
      <w:bookmarkStart w:id="158" w:name="_Toc16938548"/>
      <w:r>
        <w:rPr>
          <w:highlight w:val="none"/>
        </w:rPr>
      </w:r>
      <w:bookmarkStart w:id="159" w:name="_Toc20823304"/>
      <w:r>
        <w:rPr>
          <w:highlight w:val="none"/>
        </w:rPr>
      </w:r>
      <w:bookmarkStart w:id="160" w:name="_Toc513029232"/>
      <w:r>
        <w:rPr>
          <w:rFonts w:hint="eastAsia"/>
          <w:b w:val="0"/>
          <w:bCs w:val="0"/>
          <w:highlight w:val="none"/>
        </w:rPr>
        <w:t xml:space="preserve">24、投标文件的澄清</w:t>
      </w:r>
      <w:bookmarkEnd w:id="158"/>
      <w:r>
        <w:rPr>
          <w:highlight w:val="none"/>
        </w:rPr>
      </w:r>
      <w:bookmarkEnd w:id="159"/>
      <w:r>
        <w:rPr>
          <w:highlight w:val="none"/>
        </w:rPr>
      </w:r>
      <w:bookmarkEnd w:id="160"/>
      <w:r>
        <w:rPr>
          <w:highlight w:val="none"/>
        </w:rPr>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rPr>
          <w:highlight w:val="none"/>
        </w:rPr>
      </w:r>
      <w:r/>
    </w:p>
    <w:p>
      <w:pPr>
        <w:pStyle w:val="786"/>
        <w:ind w:firstLine="420"/>
        <w:spacing w:before="0" w:after="0" w:line="240" w:lineRule="auto"/>
        <w:rPr>
          <w:b w:val="0"/>
          <w:bCs w:val="0"/>
          <w:highlight w:val="none"/>
        </w:rPr>
      </w:pPr>
      <w:r>
        <w:rPr>
          <w:highlight w:val="none"/>
        </w:rPr>
      </w:r>
      <w:bookmarkStart w:id="161" w:name="_Toc513029233"/>
      <w:r>
        <w:rPr>
          <w:highlight w:val="none"/>
        </w:rPr>
      </w:r>
      <w:bookmarkStart w:id="162" w:name="_Toc16938549"/>
      <w:r>
        <w:rPr>
          <w:highlight w:val="none"/>
        </w:rPr>
      </w:r>
      <w:bookmarkStart w:id="163" w:name="_Toc20823305"/>
      <w:r>
        <w:rPr>
          <w:rFonts w:hint="eastAsia"/>
          <w:b w:val="0"/>
          <w:bCs w:val="0"/>
          <w:highlight w:val="none"/>
        </w:rPr>
        <w:t xml:space="preserve">25、对投标文件的初审</w:t>
      </w:r>
      <w:bookmarkEnd w:id="161"/>
      <w:r>
        <w:rPr>
          <w:highlight w:val="none"/>
        </w:rPr>
      </w:r>
      <w:bookmarkEnd w:id="162"/>
      <w:r>
        <w:rPr>
          <w:highlight w:val="none"/>
        </w:rPr>
      </w:r>
      <w:bookmarkEnd w:id="163"/>
      <w:r>
        <w:rPr>
          <w:highlight w:val="none"/>
        </w:rPr>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highlight w:val="none"/>
        </w:rPr>
      </w:r>
      <w:r/>
    </w:p>
    <w:p>
      <w:pPr>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highlight w:val="none"/>
        </w:rPr>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highlight w:val="none"/>
        </w:rPr>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highlight w:val="none"/>
        </w:rPr>
      </w:r>
      <w:r/>
    </w:p>
    <w:p>
      <w:pPr>
        <w:ind w:firstLine="420"/>
        <w:spacing w:line="460" w:lineRule="exact"/>
        <w:rPr>
          <w:rFonts w:hint="eastAsia" w:ascii="宋体" w:hAnsi="宋体"/>
          <w:sz w:val="24"/>
          <w:highlight w:val="none"/>
        </w:rPr>
      </w:pPr>
      <w:r>
        <w:rPr>
          <w:highlight w:val="none"/>
        </w:rPr>
      </w:r>
      <w:bookmarkStart w:id="164" w:name="_Toc513029234"/>
      <w:r>
        <w:rPr>
          <w:highlight w:val="none"/>
        </w:rPr>
      </w:r>
      <w:bookmarkStart w:id="165" w:name="_Toc16938550"/>
      <w:r>
        <w:rPr>
          <w:highlight w:val="none"/>
        </w:rPr>
      </w:r>
      <w:bookmarkStart w:id="166" w:name="_Toc20823306"/>
      <w:r>
        <w:rPr>
          <w:rFonts w:hint="eastAsia" w:ascii="宋体" w:hAnsi="宋体"/>
          <w:sz w:val="24"/>
          <w:highlight w:val="none"/>
        </w:rPr>
        <w:t xml:space="preserve">25.6投标人在开、评标全过程中应保持通讯畅通，及时登录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786"/>
        <w:ind w:firstLine="420"/>
        <w:spacing w:before="0" w:after="0" w:line="240" w:lineRule="auto"/>
        <w:rPr>
          <w:b w:val="0"/>
          <w:bCs w:val="0"/>
          <w:highlight w:val="none"/>
        </w:rPr>
      </w:pPr>
      <w:r>
        <w:rPr>
          <w:rFonts w:hint="eastAsia"/>
          <w:b w:val="0"/>
          <w:bCs w:val="0"/>
          <w:highlight w:val="none"/>
        </w:rPr>
        <w:t xml:space="preserve">26、</w:t>
      </w:r>
      <w:bookmarkEnd w:id="164"/>
      <w:r>
        <w:rPr>
          <w:highlight w:val="none"/>
        </w:rPr>
      </w:r>
      <w:bookmarkEnd w:id="165"/>
      <w:r>
        <w:rPr>
          <w:highlight w:val="none"/>
        </w:rPr>
      </w:r>
      <w:bookmarkEnd w:id="166"/>
      <w:r>
        <w:rPr>
          <w:rFonts w:hint="eastAsia"/>
          <w:b w:val="0"/>
          <w:bCs w:val="0"/>
          <w:highlight w:val="none"/>
        </w:rPr>
        <w:t xml:space="preserve">无效投标条款和废标条款</w:t>
      </w:r>
      <w:r>
        <w:rPr>
          <w:highlight w:val="none"/>
        </w:rPr>
      </w:r>
      <w:r/>
    </w:p>
    <w:p>
      <w:pPr>
        <w:ind w:left="479"/>
        <w:spacing w:line="440" w:lineRule="exact"/>
        <w:rPr>
          <w:rFonts w:hint="eastAsia" w:ascii="宋体" w:hAnsi="宋体"/>
          <w:bCs/>
          <w:sz w:val="24"/>
          <w:highlight w:val="none"/>
        </w:rPr>
      </w:pPr>
      <w:r>
        <w:rPr>
          <w:highlight w:val="none"/>
        </w:rPr>
      </w:r>
      <w:bookmarkStart w:id="167" w:name="_Toc20823307"/>
      <w:r>
        <w:rPr>
          <w:highlight w:val="none"/>
        </w:rPr>
      </w:r>
      <w:bookmarkStart w:id="168" w:name="_Toc16938551"/>
      <w:r>
        <w:rPr>
          <w:highlight w:val="none"/>
        </w:rPr>
      </w:r>
      <w:bookmarkStart w:id="169" w:name="_Toc513029235"/>
      <w:r>
        <w:rPr>
          <w:rFonts w:hint="eastAsia" w:ascii="宋体" w:hAnsi="宋体"/>
          <w:bCs/>
          <w:sz w:val="24"/>
          <w:highlight w:val="none"/>
        </w:rPr>
        <w:t xml:space="preserve">26.1无效投标条款</w:t>
      </w:r>
      <w:r>
        <w:rPr>
          <w:highlight w:val="none"/>
        </w:rPr>
      </w:r>
      <w:r/>
    </w:p>
    <w:p>
      <w:pPr>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26.1.2 投标人未按照招标文件要求上传电子投标文件的。</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26.1.3同一投标人提交两个（含两个）以上不同的投标报价的。</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26.1.4投标人不具备招标文件中规定资格要求的。</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26.1.5投标人的报价超过了采购预算或最高限价的。</w:t>
      </w:r>
      <w:r>
        <w:rPr>
          <w:highlight w:val="none"/>
        </w:rPr>
      </w:r>
      <w:r/>
    </w:p>
    <w:p>
      <w:pPr>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26.1.6未通过符合性审查的。</w:t>
      </w:r>
      <w:r>
        <w:rPr>
          <w:highlight w:val="none"/>
        </w:rPr>
      </w:r>
      <w:r/>
    </w:p>
    <w:p>
      <w:pPr>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rPr>
          <w:rFonts w:hint="eastAsia" w:ascii="宋体" w:hAnsi="宋体"/>
          <w:b/>
          <w:bCs/>
          <w:sz w:val="24"/>
          <w:highlight w:val="none"/>
        </w:rPr>
        <w:t xml:space="preserve">（</w:t>
      </w:r>
      <w:r>
        <w:rPr>
          <w:rFonts w:hint="eastAsia" w:ascii="宋体" w:hAnsi="宋体"/>
          <w:b/>
          <w:bCs/>
          <w:i/>
          <w:sz w:val="24"/>
          <w:highlight w:val="none"/>
          <w:u w:val="single"/>
        </w:rPr>
        <w:t xml:space="preserve">本招标文件中斜体且有下划线部分的、或者加“★”号的、或者以文字说明属于实质性要求的内容均为实质性要求和条件）。</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26.1.9 投标文件含有采购人不能接受的附加条件的。</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26.1.12其他法律、法规及本招标文件规定的属无效投标的情形。</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26.2废标条款</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highlight w:val="none"/>
        </w:rPr>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highlight w:val="none"/>
        </w:rPr>
      </w:r>
      <w:r/>
    </w:p>
    <w:p>
      <w:pPr>
        <w:pStyle w:val="785"/>
        <w:ind w:firstLine="482"/>
        <w:spacing w:before="156" w:after="156" w:line="360" w:lineRule="auto"/>
        <w:rPr>
          <w:highlight w:val="none"/>
        </w:rPr>
      </w:pPr>
      <w:r>
        <w:rPr>
          <w:highlight w:val="none"/>
        </w:rPr>
      </w:r>
      <w:bookmarkStart w:id="170" w:name="_Toc120614219"/>
      <w:r>
        <w:rPr>
          <w:rFonts w:hint="eastAsia"/>
          <w:highlight w:val="none"/>
        </w:rPr>
        <w:t xml:space="preserve">六、</w:t>
      </w:r>
      <w:bookmarkEnd w:id="167"/>
      <w:r>
        <w:rPr>
          <w:highlight w:val="none"/>
        </w:rPr>
      </w:r>
      <w:bookmarkEnd w:id="168"/>
      <w:r>
        <w:rPr>
          <w:highlight w:val="none"/>
        </w:rPr>
      </w:r>
      <w:bookmarkEnd w:id="169"/>
      <w:r>
        <w:rPr>
          <w:rFonts w:hint="eastAsia"/>
          <w:highlight w:val="none"/>
        </w:rPr>
        <w:t xml:space="preserve">定标</w:t>
      </w:r>
      <w:bookmarkEnd w:id="170"/>
      <w:r>
        <w:rPr>
          <w:highlight w:val="none"/>
        </w:rPr>
      </w:r>
      <w:r/>
    </w:p>
    <w:p>
      <w:pPr>
        <w:pStyle w:val="786"/>
        <w:ind w:firstLine="600"/>
        <w:spacing w:before="0" w:after="0" w:line="240" w:lineRule="auto"/>
        <w:rPr>
          <w:rFonts w:hint="eastAsia" w:ascii="黑体" w:hAnsi="宋体" w:cs="Times New Roman"/>
          <w:b w:val="0"/>
          <w:sz w:val="30"/>
          <w:szCs w:val="30"/>
          <w:highlight w:val="none"/>
        </w:rPr>
      </w:pPr>
      <w:r>
        <w:rPr>
          <w:highlight w:val="none"/>
        </w:rPr>
      </w:r>
      <w:bookmarkStart w:id="171" w:name="_Toc513029238"/>
      <w:r>
        <w:rPr>
          <w:highlight w:val="none"/>
        </w:rPr>
      </w:r>
      <w:bookmarkStart w:id="172" w:name="_Toc16938554"/>
      <w:r>
        <w:rPr>
          <w:highlight w:val="none"/>
        </w:rPr>
      </w:r>
      <w:bookmarkStart w:id="173" w:name="_Toc20823310"/>
      <w:r>
        <w:rPr>
          <w:rFonts w:hint="eastAsia" w:ascii="黑体" w:hAnsi="宋体" w:cs="Times New Roman"/>
          <w:b w:val="0"/>
          <w:sz w:val="30"/>
          <w:szCs w:val="30"/>
          <w:highlight w:val="none"/>
        </w:rPr>
        <w:t xml:space="preserve">27、</w:t>
      </w:r>
      <w:bookmarkEnd w:id="171"/>
      <w:r>
        <w:rPr>
          <w:rFonts w:hint="eastAsia" w:ascii="黑体" w:hAnsi="宋体" w:cs="Times New Roman"/>
          <w:b w:val="0"/>
          <w:sz w:val="30"/>
          <w:szCs w:val="30"/>
          <w:highlight w:val="none"/>
        </w:rPr>
        <w:t xml:space="preserve">确定</w:t>
      </w:r>
      <w:bookmarkEnd w:id="172"/>
      <w:r>
        <w:rPr>
          <w:highlight w:val="none"/>
        </w:rPr>
      </w:r>
      <w:bookmarkEnd w:id="173"/>
      <w:r>
        <w:rPr>
          <w:rFonts w:hint="eastAsia" w:ascii="黑体" w:hAnsi="宋体" w:cs="Times New Roman"/>
          <w:b w:val="0"/>
          <w:sz w:val="30"/>
          <w:szCs w:val="30"/>
          <w:highlight w:val="none"/>
        </w:rPr>
        <w:t xml:space="preserve">中标单位</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r>
        <w:rPr>
          <w:highlight w:val="none"/>
        </w:rPr>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采购人应根据评委会推荐的中标候选人按顺序确定中标人，中标候选人并列的，由采购人依法确定。</w:t>
      </w:r>
      <w:r>
        <w:rPr>
          <w:highlight w:val="none"/>
        </w:rPr>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采购中心将在“江苏政府采购网、常州市政府采购网”发布中标公告，公告期限为1个工作日。</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27.4.2向采购人、采购中心行贿或者提供其他不正当利益的。</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highlight w:val="none"/>
        </w:rPr>
      </w:r>
      <w:r/>
    </w:p>
    <w:p>
      <w:pPr>
        <w:ind w:firstLine="480"/>
        <w:spacing w:line="480" w:lineRule="exact"/>
        <w:rPr>
          <w:rFonts w:hint="eastAsia" w:ascii="宋体" w:hAnsi="宋体"/>
          <w:sz w:val="24"/>
          <w:szCs w:val="24"/>
          <w:highlight w:val="none"/>
        </w:rPr>
      </w:pPr>
      <w:r>
        <w:rPr>
          <w:highlight w:val="none"/>
        </w:rPr>
      </w:r>
      <w:bookmarkStart w:id="174"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rPr>
          <w:highlight w:val="none"/>
        </w:rPr>
      </w:r>
      <w:r/>
    </w:p>
    <w:p>
      <w:pPr>
        <w:pStyle w:val="786"/>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28、质疑处理</w:t>
      </w:r>
      <w:bookmarkEnd w:id="174"/>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highlight w:val="none"/>
        </w:rPr>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rPr>
          <w:highlight w:val="none"/>
        </w:rPr>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rPr>
          <w:highlight w:val="none"/>
        </w:rPr>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rPr>
          <w:highlight w:val="none"/>
        </w:rPr>
      </w:r>
      <w:r/>
    </w:p>
    <w:p>
      <w:pPr>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480" w:lineRule="exact"/>
        <w:rPr>
          <w:rFonts w:hint="eastAsia" w:ascii="宋体" w:hAnsi="宋体"/>
          <w:b/>
          <w:sz w:val="24"/>
          <w:szCs w:val="24"/>
          <w:highlight w:val="none"/>
        </w:rPr>
      </w:pPr>
      <w:r>
        <w:rPr>
          <w:rFonts w:hint="eastAsia" w:ascii="宋体" w:hAnsi="宋体"/>
          <w:sz w:val="24"/>
          <w:szCs w:val="24"/>
          <w:highlight w:val="none"/>
        </w:rPr>
        <w:t xml:space="preserve">28.4供应商（含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采购中心及采购人只接收以纸质原件形式送达的质疑,建议外地供应商尽量通过邮寄方式提交质疑</w:t>
      </w:r>
      <w:r>
        <w:rPr>
          <w:rFonts w:hint="eastAsia" w:ascii="宋体" w:hAnsi="宋体"/>
          <w:color w:val="ff0000"/>
          <w:sz w:val="24"/>
          <w:szCs w:val="24"/>
          <w:highlight w:val="none"/>
        </w:rPr>
        <w:t xml:space="preserve">（采购人和采购中心不接受未填写快递运单的快件）。</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采购人和采购中心质疑接收联系方式见第一章投标邀请。</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未参加投标活动的供应商或在投标活动中自身权益未受到损害的供应商所提出的质疑。</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highlight w:val="none"/>
        </w:rPr>
      </w:r>
      <w:r/>
    </w:p>
    <w:p>
      <w:pPr>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786"/>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29、中标通知书</w:t>
      </w:r>
      <w:r>
        <w:rPr>
          <w:highlight w:val="none"/>
        </w:rPr>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highlight w:val="none"/>
        </w:rPr>
      </w:r>
      <w:r/>
    </w:p>
    <w:p>
      <w:pPr>
        <w:pStyle w:val="785"/>
        <w:spacing w:before="156" w:after="156" w:line="360" w:lineRule="auto"/>
        <w:rPr>
          <w:highlight w:val="none"/>
        </w:rPr>
      </w:pPr>
      <w:r>
        <w:rPr>
          <w:highlight w:val="none"/>
        </w:rPr>
      </w:r>
      <w:bookmarkStart w:id="175" w:name="_Toc120614220"/>
      <w:r>
        <w:rPr>
          <w:highlight w:val="none"/>
        </w:rPr>
      </w:r>
      <w:bookmarkStart w:id="176" w:name="_Toc513029236"/>
      <w:r>
        <w:rPr>
          <w:highlight w:val="none"/>
        </w:rPr>
      </w:r>
      <w:bookmarkStart w:id="177" w:name="_Toc16938552"/>
      <w:r>
        <w:rPr>
          <w:highlight w:val="none"/>
        </w:rPr>
      </w:r>
      <w:bookmarkStart w:id="178" w:name="_Toc20823308"/>
      <w:r>
        <w:rPr>
          <w:rFonts w:hint="eastAsia"/>
          <w:highlight w:val="none"/>
        </w:rPr>
        <w:t xml:space="preserve">七、授予合同</w:t>
      </w:r>
      <w:bookmarkEnd w:id="175"/>
      <w:r>
        <w:rPr>
          <w:highlight w:val="none"/>
        </w:rPr>
      </w:r>
      <w:bookmarkEnd w:id="176"/>
      <w:r>
        <w:rPr>
          <w:highlight w:val="none"/>
        </w:rPr>
      </w:r>
      <w:bookmarkEnd w:id="177"/>
      <w:r>
        <w:rPr>
          <w:highlight w:val="none"/>
        </w:rPr>
      </w:r>
      <w:bookmarkEnd w:id="178"/>
      <w:r>
        <w:rPr>
          <w:highlight w:val="none"/>
        </w:rPr>
      </w:r>
      <w:r/>
    </w:p>
    <w:p>
      <w:pPr>
        <w:pStyle w:val="786"/>
        <w:ind w:firstLine="600"/>
        <w:spacing w:before="0" w:after="0" w:line="240" w:lineRule="auto"/>
        <w:rPr>
          <w:rFonts w:hint="eastAsia" w:ascii="黑体" w:hAnsi="宋体" w:cs="Times New Roman"/>
          <w:b w:val="0"/>
          <w:sz w:val="30"/>
          <w:szCs w:val="30"/>
          <w:highlight w:val="none"/>
        </w:rPr>
      </w:pPr>
      <w:r>
        <w:rPr>
          <w:highlight w:val="none"/>
        </w:rPr>
      </w:r>
      <w:bookmarkStart w:id="179" w:name="_Toc20823309"/>
      <w:r>
        <w:rPr>
          <w:highlight w:val="none"/>
        </w:rPr>
      </w:r>
      <w:bookmarkStart w:id="180" w:name="_Toc513029237"/>
      <w:r>
        <w:rPr>
          <w:highlight w:val="none"/>
        </w:rPr>
      </w:r>
      <w:bookmarkStart w:id="181" w:name="_Toc16938553"/>
      <w:r>
        <w:rPr>
          <w:rFonts w:hint="eastAsia" w:ascii="黑体" w:hAnsi="宋体" w:cs="Times New Roman"/>
          <w:b w:val="0"/>
          <w:sz w:val="30"/>
          <w:szCs w:val="30"/>
          <w:highlight w:val="none"/>
        </w:rPr>
        <w:t xml:space="preserve">30. 签订合同</w:t>
      </w:r>
      <w:r>
        <w:rPr>
          <w:highlight w:val="none"/>
        </w:rPr>
      </w:r>
      <w:r/>
    </w:p>
    <w:p>
      <w:pPr>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30</w:t>
      </w:r>
      <w:r>
        <w:rPr>
          <w:rFonts w:hint="eastAsia" w:ascii="宋体" w:hAnsi="宋体"/>
          <w:sz w:val="24"/>
          <w:szCs w:val="24"/>
          <w:highlight w:val="none"/>
        </w:rPr>
        <w:t xml:space="preserve">.l中标人应当在中标通知书发出之日起三十日内，按照招标文件确定的事项与采购人签订政府采购合同。</w:t>
      </w:r>
      <w:r>
        <w:rPr>
          <w:highlight w:val="none"/>
        </w:rPr>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30.2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highlight w:val="none"/>
        </w:rPr>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30.3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pStyle w:val="786"/>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31、服务（包含与服务相关的货物）的追加</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9"/>
      <w:r>
        <w:rPr>
          <w:highlight w:val="none"/>
        </w:rPr>
      </w:r>
      <w:bookmarkEnd w:id="180"/>
      <w:r>
        <w:rPr>
          <w:highlight w:val="none"/>
        </w:rPr>
      </w:r>
      <w:bookmarkEnd w:id="181"/>
      <w:r>
        <w:rPr>
          <w:highlight w:val="none"/>
        </w:rPr>
      </w:r>
      <w:r/>
    </w:p>
    <w:p>
      <w:pPr>
        <w:pStyle w:val="786"/>
        <w:ind w:firstLine="600"/>
        <w:spacing w:before="0" w:after="0" w:line="240" w:lineRule="auto"/>
        <w:rPr>
          <w:rFonts w:hint="eastAsia" w:ascii="黑体" w:hAnsi="宋体" w:cs="Times New Roman"/>
          <w:b w:val="0"/>
          <w:sz w:val="30"/>
          <w:szCs w:val="30"/>
          <w:highlight w:val="none"/>
        </w:rPr>
      </w:pPr>
      <w:r>
        <w:rPr>
          <w:highlight w:val="none"/>
        </w:rPr>
      </w:r>
      <w:bookmarkStart w:id="182" w:name="_Toc479757207"/>
      <w:r>
        <w:rPr>
          <w:highlight w:val="none"/>
        </w:rPr>
      </w:r>
      <w:bookmarkStart w:id="183" w:name="_Toc513029242"/>
      <w:r>
        <w:rPr>
          <w:highlight w:val="none"/>
        </w:rPr>
      </w:r>
      <w:bookmarkStart w:id="184" w:name="_Toc20823314"/>
      <w:r>
        <w:rPr>
          <w:highlight w:val="none"/>
        </w:rPr>
      </w:r>
      <w:bookmarkStart w:id="185" w:name="_Toc120614221"/>
      <w:r>
        <w:rPr>
          <w:highlight w:val="none"/>
        </w:rPr>
      </w:r>
      <w:bookmarkStart w:id="186" w:name="_Toc16938558"/>
      <w:r>
        <w:rPr>
          <w:rFonts w:hint="eastAsia" w:ascii="黑体" w:hAnsi="宋体" w:cs="Times New Roman"/>
          <w:b w:val="0"/>
          <w:sz w:val="30"/>
          <w:szCs w:val="30"/>
          <w:highlight w:val="none"/>
        </w:rPr>
        <w:t xml:space="preserve">32、需要执行的政府采购政策（包括但不限于）</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32.1履约资金扶持政策</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中标人可凭政府采购合同办理融资贷款，详情请见江苏政府采购网“政采贷”专栏。</w:t>
      </w:r>
      <w:r>
        <w:rPr>
          <w:highlight w:val="none"/>
        </w:rPr>
      </w:r>
      <w:r/>
    </w:p>
    <w:p>
      <w:pPr>
        <w:ind w:firstLine="482"/>
        <w:spacing w:line="480" w:lineRule="exact"/>
        <w:tabs>
          <w:tab w:val="left" w:pos="1381" w:leader="none"/>
        </w:tabs>
        <w:rPr>
          <w:rFonts w:hint="eastAsia" w:ascii="宋体" w:hAnsi="宋体"/>
          <w:b/>
          <w:sz w:val="24"/>
          <w:szCs w:val="24"/>
          <w:highlight w:val="none"/>
        </w:rPr>
      </w:pPr>
      <w:r>
        <w:rPr>
          <w:rFonts w:hint="eastAsia" w:ascii="宋体" w:hAnsi="宋体"/>
          <w:b/>
          <w:sz w:val="24"/>
          <w:szCs w:val="24"/>
          <w:highlight w:val="none"/>
        </w:rPr>
        <w:t xml:space="preserve">32.2</w:t>
      </w:r>
      <w:r>
        <w:rPr>
          <w:rFonts w:ascii="宋体" w:hAnsi="宋体"/>
          <w:b/>
          <w:sz w:val="24"/>
          <w:szCs w:val="24"/>
          <w:highlight w:val="none"/>
        </w:rPr>
        <w:t xml:space="preserve">进口产品</w:t>
      </w:r>
      <w:r>
        <w:rPr>
          <w:highlight w:val="none"/>
        </w:rPr>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32.3</w:t>
      </w:r>
      <w:r>
        <w:rPr>
          <w:rFonts w:ascii="宋体" w:hAnsi="宋体"/>
          <w:b/>
          <w:sz w:val="24"/>
          <w:szCs w:val="24"/>
          <w:highlight w:val="none"/>
        </w:rPr>
        <w:t xml:space="preserve">中小企业、监狱企业及残疾人福利性单位</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32.3.1</w:t>
      </w:r>
      <w:r>
        <w:rPr>
          <w:rFonts w:ascii="宋体" w:hAnsi="宋体"/>
          <w:sz w:val="24"/>
          <w:szCs w:val="24"/>
          <w:highlight w:val="none"/>
        </w:rPr>
        <w:t xml:space="preserve">中小企业定义：</w:t>
      </w:r>
      <w:r>
        <w:rPr>
          <w:highlight w:val="none"/>
        </w:rPr>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中小企业是</w:t>
      </w:r>
      <w:r>
        <w:rPr>
          <w:rFonts w:ascii="宋体" w:hAnsi="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32.3.2</w:t>
      </w:r>
      <w:r>
        <w:rPr>
          <w:rFonts w:ascii="宋体" w:hAnsi="宋体"/>
          <w:sz w:val="24"/>
          <w:szCs w:val="24"/>
          <w:highlight w:val="none"/>
        </w:rPr>
        <w:t xml:space="preserve">供应商提供的货物、工程或者服务符合下列情形的，享受中小企业扶持政策：</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32.3.2.1</w:t>
      </w:r>
      <w:r>
        <w:rPr>
          <w:rFonts w:ascii="宋体" w:hAnsi="宋体"/>
          <w:sz w:val="24"/>
          <w:szCs w:val="24"/>
          <w:highlight w:val="none"/>
        </w:rPr>
        <w:t xml:space="preserve">在货物采购项目中，货物由中小企业制造，即货物由中小企业生产且使用该中小企业商号或者注册商标；</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32.3.2.2</w:t>
      </w:r>
      <w:r>
        <w:rPr>
          <w:rFonts w:ascii="宋体" w:hAnsi="宋体"/>
          <w:sz w:val="24"/>
          <w:szCs w:val="24"/>
          <w:highlight w:val="none"/>
        </w:rPr>
        <w:t xml:space="preserve">在工程采购项目中，工程由中小企业承建，即工程施工单位为中小企业；</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32.3.2.3</w:t>
      </w:r>
      <w:r>
        <w:rPr>
          <w:rFonts w:ascii="宋体" w:hAnsi="宋体"/>
          <w:sz w:val="24"/>
          <w:szCs w:val="24"/>
          <w:highlight w:val="none"/>
        </w:rPr>
        <w:t xml:space="preserve">在服务采购项目中，服务由中小企业承接，即提供服务的人员为中小企业依照《中华人民共和国劳动</w:t>
      </w:r>
      <w:r>
        <w:rPr>
          <w:rFonts w:hint="eastAsia" w:ascii="宋体" w:hAnsi="宋体"/>
          <w:sz w:val="24"/>
          <w:szCs w:val="24"/>
          <w:highlight w:val="none"/>
        </w:rPr>
        <w:t xml:space="preserve">合同法</w:t>
      </w:r>
      <w:r>
        <w:rPr>
          <w:rFonts w:ascii="宋体" w:hAnsi="宋体"/>
          <w:sz w:val="24"/>
          <w:szCs w:val="24"/>
          <w:highlight w:val="none"/>
        </w:rPr>
        <w:t xml:space="preserve">》订立劳动合同的从业人员。</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32.3.3</w:t>
      </w:r>
      <w:r>
        <w:rPr>
          <w:rFonts w:ascii="宋体" w:hAnsi="宋体"/>
          <w:sz w:val="24"/>
          <w:szCs w:val="24"/>
          <w:highlight w:val="none"/>
        </w:rPr>
        <w:t xml:space="preserve">在货物采购项目中，供应商提供的货物既有中小企业制造货物，也有大型企业制造货物的，不享受中小企业扶持政策。</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32.3.4</w:t>
      </w: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32.3.5</w:t>
      </w:r>
      <w:r>
        <w:rPr>
          <w:rFonts w:ascii="宋体" w:hAnsi="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w:t>
      </w:r>
      <w:r>
        <w:rPr>
          <w:rFonts w:ascii="宋体" w:hAnsi="宋体"/>
          <w:sz w:val="24"/>
          <w:szCs w:val="24"/>
          <w:highlight w:val="none"/>
        </w:rPr>
        <w:t xml:space="preserve">残疾人福利单位定义：享受政府采购支持政策的残疾人福利性单位应当同时满足以下条件：</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32.3.6.1</w:t>
      </w:r>
      <w:r>
        <w:rPr>
          <w:rFonts w:ascii="宋体" w:hAnsi="宋体"/>
          <w:sz w:val="24"/>
          <w:szCs w:val="24"/>
          <w:highlight w:val="none"/>
        </w:rPr>
        <w:t xml:space="preserve">安置的残疾人占本单位在职职工人数的比例不低于25%（含25%），并且安置的残疾人人数不少于10 人（含10 人）；</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32.3.6.2</w:t>
      </w:r>
      <w:r>
        <w:rPr>
          <w:rFonts w:ascii="宋体" w:hAnsi="宋体"/>
          <w:sz w:val="24"/>
          <w:szCs w:val="24"/>
          <w:highlight w:val="none"/>
        </w:rPr>
        <w:t xml:space="preserve">依法与安置的每位残疾人签订了一年以上（含一年）的劳动合同或服务协议；</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32.3.6.3</w:t>
      </w:r>
      <w:r>
        <w:rPr>
          <w:rFonts w:ascii="宋体" w:hAnsi="宋体"/>
          <w:sz w:val="24"/>
          <w:szCs w:val="24"/>
          <w:highlight w:val="none"/>
        </w:rPr>
        <w:t xml:space="preserve">为安置的每位残疾人按月足额缴纳了基本养老保险、基本医疗保险、失业保险、工伤保险和生育保险等社会保险费；</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32.3.6.4</w:t>
      </w:r>
      <w:r>
        <w:rPr>
          <w:rFonts w:ascii="宋体" w:hAnsi="宋体"/>
          <w:sz w:val="24"/>
          <w:szCs w:val="24"/>
          <w:highlight w:val="none"/>
        </w:rPr>
        <w:t xml:space="preserve">通过银行等金融机构向安置的每位残疾人，按月支付了不低于单位所在区县适用的经省级人民政府批准的月最低工资标准的工资；</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32.3.6.5</w:t>
      </w:r>
      <w:r>
        <w:rPr>
          <w:rFonts w:ascii="宋体" w:hAnsi="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32.3.6.6</w:t>
      </w:r>
      <w:r>
        <w:rPr>
          <w:rFonts w:ascii="宋体" w:hAnsi="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32.3.7</w:t>
      </w:r>
      <w:r>
        <w:rPr>
          <w:rFonts w:ascii="宋体" w:hAnsi="宋体"/>
          <w:sz w:val="24"/>
          <w:szCs w:val="24"/>
          <w:highlight w:val="none"/>
        </w:rPr>
        <w:t xml:space="preserve">本项目是否专门面向中小企业预留采购份额见第一章《投标邀请》。</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32.3.8</w:t>
      </w:r>
      <w:r>
        <w:rPr>
          <w:rFonts w:ascii="宋体" w:hAnsi="宋体"/>
          <w:sz w:val="24"/>
          <w:szCs w:val="24"/>
          <w:highlight w:val="none"/>
        </w:rPr>
        <w:t xml:space="preserve">采购标的对应的中小企业划分标准所属行业见第四章《</w:t>
      </w:r>
      <w:r>
        <w:rPr>
          <w:rFonts w:hint="eastAsia" w:ascii="宋体" w:hAnsi="宋体"/>
          <w:sz w:val="24"/>
          <w:szCs w:val="24"/>
          <w:highlight w:val="none"/>
        </w:rPr>
        <w:t xml:space="preserve">采购需求</w:t>
      </w:r>
      <w:r>
        <w:rPr>
          <w:rFonts w:ascii="宋体" w:hAnsi="宋体"/>
          <w:sz w:val="24"/>
          <w:szCs w:val="24"/>
          <w:highlight w:val="none"/>
        </w:rPr>
        <w:t xml:space="preserve">》。</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32.3.9</w:t>
      </w:r>
      <w:r>
        <w:rPr>
          <w:rFonts w:ascii="宋体" w:hAnsi="宋体"/>
          <w:sz w:val="24"/>
          <w:szCs w:val="24"/>
          <w:highlight w:val="none"/>
        </w:rPr>
        <w:t xml:space="preserve">小微企业价格评审优惠的政策调整：见第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32.4</w:t>
      </w:r>
      <w:r>
        <w:rPr>
          <w:rFonts w:ascii="宋体" w:hAnsi="宋体"/>
          <w:b/>
          <w:sz w:val="24"/>
          <w:szCs w:val="24"/>
          <w:highlight w:val="none"/>
        </w:rPr>
        <w:t xml:space="preserve">政府采购节能产品、环境标志产品</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32.4.1</w:t>
      </w:r>
      <w:r>
        <w:rPr>
          <w:rFonts w:ascii="宋体" w:hAnsi="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32.4.2</w:t>
      </w:r>
      <w:r>
        <w:rPr>
          <w:rFonts w:ascii="宋体" w:hAnsi="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32.4.2</w:t>
      </w:r>
      <w:r>
        <w:rPr>
          <w:rFonts w:ascii="宋体" w:hAnsi="宋体"/>
          <w:b/>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32.4.2</w:t>
      </w:r>
      <w:r>
        <w:rPr>
          <w:rFonts w:ascii="宋体" w:hAnsi="宋体"/>
          <w:sz w:val="24"/>
          <w:szCs w:val="24"/>
          <w:highlight w:val="none"/>
        </w:rPr>
        <w:t xml:space="preserve">非政府强制采购的节能产品或环境标志产品，依据品目清单和认证证书实施政府优先采购。优先采购的具体规定见第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章《评标方法和评标标准》（如涉及）。</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32.5绿色包装</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w:t>
      </w:r>
      <w:r>
        <w:rPr>
          <w:rFonts w:ascii="宋体" w:hAnsi="宋体"/>
          <w:sz w:val="24"/>
          <w:szCs w:val="24"/>
          <w:highlight w:val="none"/>
        </w:rPr>
        <w:t xml:space="preserve">《关于印发〈商品包装政府采购需求标准（试行）〉、〈快递包装政府采购需求标准（试行）〉的通知》（财办库〔2020〕123号）</w:t>
      </w:r>
      <w:r>
        <w:rPr>
          <w:rFonts w:hint="eastAsia" w:ascii="宋体" w:hAnsi="宋体"/>
          <w:sz w:val="24"/>
          <w:szCs w:val="24"/>
          <w:highlight w:val="none"/>
        </w:rPr>
        <w:t xml:space="preserve">文件</w:t>
      </w:r>
      <w:r>
        <w:rPr>
          <w:rFonts w:ascii="宋体" w:hAnsi="宋体"/>
          <w:sz w:val="24"/>
          <w:szCs w:val="24"/>
          <w:highlight w:val="none"/>
        </w:rPr>
        <w:t xml:space="preserve">精神</w:t>
      </w:r>
      <w:r>
        <w:rPr>
          <w:rFonts w:hint="eastAsia" w:ascii="宋体" w:hAnsi="宋体"/>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32.6</w:t>
      </w:r>
      <w:r>
        <w:rPr>
          <w:rFonts w:ascii="宋体" w:hAnsi="宋体"/>
          <w:b/>
          <w:sz w:val="24"/>
          <w:szCs w:val="24"/>
          <w:highlight w:val="none"/>
        </w:rPr>
        <w:t xml:space="preserve">支持乡村产业振兴管理</w:t>
      </w:r>
      <w:r>
        <w:rPr>
          <w:highlight w:val="none"/>
        </w:rPr>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32.7</w:t>
      </w:r>
      <w:r>
        <w:rPr>
          <w:rFonts w:ascii="宋体" w:hAnsi="宋体"/>
          <w:b/>
          <w:sz w:val="24"/>
          <w:szCs w:val="24"/>
          <w:highlight w:val="none"/>
        </w:rPr>
        <w:t xml:space="preserve">正版软件</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32.7.1</w:t>
      </w:r>
      <w:r>
        <w:rPr>
          <w:rFonts w:ascii="宋体" w:hAnsi="宋体"/>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highlight w:val="none"/>
        </w:rPr>
        <w:t xml:space="preserve">其中，国家有特殊信息安全要求的项目必须采购认证产品，否则投标无效。</w:t>
      </w:r>
      <w:r>
        <w:rPr>
          <w:rFonts w:ascii="宋体" w:hAnsi="宋体"/>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32.7.2</w:t>
      </w:r>
      <w:r>
        <w:rPr>
          <w:rFonts w:ascii="宋体" w:hAnsi="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32.8政府采购创新产品政策</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highlight w:val="none"/>
        </w:rPr>
      </w:r>
      <w:r/>
    </w:p>
    <w:p>
      <w:pPr>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32.9绿色数据中心政策 </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依据《绿色数据中心政府采购需求标准（试行）》（财办库〔2023〕7号）文件精神，采购</w:t>
      </w:r>
      <w:r>
        <w:rPr>
          <w:rFonts w:hint="eastAsia" w:ascii="宋体" w:hAnsi="宋体"/>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r/>
    </w:p>
    <w:p>
      <w:pPr>
        <w:ind w:firstLine="482"/>
        <w:spacing w:line="479" w:lineRule="atLeast"/>
        <w:rPr>
          <w:rFonts w:hint="eastAsia" w:ascii="宋体" w:hAnsi="宋体" w:cs="宋体"/>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32.10履约保证金相关政策</w:t>
      </w:r>
      <w:r>
        <w:rPr>
          <w:highlight w:val="none"/>
        </w:rPr>
      </w:r>
      <w:r/>
    </w:p>
    <w:p>
      <w:pPr>
        <w:ind w:firstLine="480"/>
        <w:spacing w:line="479"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highlight w:val="none"/>
        </w:rPr>
      </w:r>
      <w:r/>
    </w:p>
    <w:p>
      <w:pPr>
        <w:ind w:firstLine="480"/>
        <w:spacing w:line="479"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highlight w:val="none"/>
        </w:rPr>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pStyle w:val="794"/>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783"/>
        <w:rPr>
          <w:rFonts w:ascii="黑体" w:eastAsia="黑体"/>
          <w:bCs/>
          <w:sz w:val="44"/>
          <w:highlight w:val="none"/>
        </w:rPr>
      </w:pPr>
      <w:r>
        <w:rPr>
          <w:highlight w:val="none"/>
        </w:rPr>
      </w:r>
      <w:bookmarkStart w:id="187" w:name="_Toc17962"/>
      <w:r>
        <w:rPr>
          <w:rFonts w:hint="eastAsia" w:ascii="黑体" w:eastAsia="黑体"/>
          <w:bCs/>
          <w:sz w:val="44"/>
          <w:highlight w:val="none"/>
        </w:rPr>
        <w:t xml:space="preserve">第三章  合同</w:t>
      </w:r>
      <w:bookmarkEnd w:id="182"/>
      <w:r>
        <w:rPr>
          <w:highlight w:val="none"/>
        </w:rPr>
      </w:r>
      <w:bookmarkEnd w:id="183"/>
      <w:r>
        <w:rPr>
          <w:highlight w:val="none"/>
        </w:rPr>
      </w:r>
      <w:bookmarkEnd w:id="184"/>
      <w:r>
        <w:rPr>
          <w:highlight w:val="none"/>
        </w:rPr>
      </w:r>
      <w:bookmarkEnd w:id="185"/>
      <w:r>
        <w:rPr>
          <w:highlight w:val="none"/>
        </w:rPr>
      </w:r>
      <w:bookmarkEnd w:id="186"/>
      <w:r>
        <w:rPr>
          <w:rFonts w:hint="eastAsia" w:ascii="黑体" w:eastAsia="黑体"/>
          <w:bCs/>
          <w:sz w:val="44"/>
          <w:highlight w:val="none"/>
        </w:rPr>
        <w:t xml:space="preserve">文本</w:t>
      </w:r>
      <w:bookmarkEnd w:id="187"/>
      <w:r>
        <w:rPr>
          <w:highlight w:val="none"/>
        </w:rPr>
      </w:r>
      <w:r/>
    </w:p>
    <w:p>
      <w:pPr>
        <w:ind w:firstLine="480"/>
        <w:spacing w:line="500" w:lineRule="exact"/>
        <w:rPr>
          <w:rFonts w:hint="eastAsia" w:ascii="宋体" w:hAnsi="宋体"/>
          <w:bCs/>
          <w:sz w:val="24"/>
          <w:highlight w:val="none"/>
        </w:rPr>
      </w:pPr>
      <w:r>
        <w:rPr>
          <w:highlight w:val="none"/>
        </w:rPr>
      </w:r>
      <w:bookmarkStart w:id="188" w:name="_Toc513029243"/>
      <w:r>
        <w:rPr>
          <w:highlight w:val="none"/>
        </w:rPr>
      </w:r>
      <w:bookmarkStart w:id="189" w:name="_Toc16938559"/>
      <w:r>
        <w:rPr>
          <w:highlight w:val="none"/>
        </w:rPr>
      </w:r>
      <w:bookmarkStart w:id="190" w:name="_Toc20823315"/>
      <w:r>
        <w:rPr>
          <w:rFonts w:hint="eastAsia" w:ascii="宋体" w:hAnsi="宋体"/>
          <w:bCs/>
          <w:sz w:val="24"/>
          <w:highlight w:val="none"/>
        </w:rPr>
        <w:t xml:space="preserve">以下为中标后签定本项目合同的通用条款，中标人不得提出实质性的修改。</w:t>
      </w:r>
      <w:r>
        <w:rPr>
          <w:highlight w:val="none"/>
        </w:rPr>
      </w:r>
      <w:r/>
    </w:p>
    <w:p>
      <w:pPr>
        <w:jc w:val="center"/>
        <w:rPr>
          <w:rFonts w:hint="eastAsia" w:ascii="宋体" w:hAnsi="宋体"/>
          <w:b/>
          <w:bCs/>
          <w:sz w:val="30"/>
          <w:szCs w:val="20"/>
          <w:highlight w:val="none"/>
        </w:rPr>
      </w:pPr>
      <w:r>
        <w:rPr>
          <w:rFonts w:hint="eastAsia" w:ascii="宋体" w:hAnsi="宋体"/>
          <w:b/>
          <w:sz w:val="30"/>
          <w:highlight w:val="none"/>
        </w:rPr>
        <w:t xml:space="preserve">常州市政府采购合同（服务）（合同编号）</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项目名称：                                       项目编号：</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甲方：（买方）_________</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乙方：（卖方）_________</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   </w:t>
      </w:r>
      <w:r>
        <w:rPr>
          <w:rFonts w:hAnsi="宋体"/>
          <w:sz w:val="24"/>
          <w:szCs w:val="24"/>
          <w:highlight w:val="none"/>
        </w:rPr>
        <w:t xml:space="preserve">甲、乙双方根据</w:t>
      </w:r>
      <w:r>
        <w:rPr>
          <w:rFonts w:hint="eastAsia" w:hAnsi="宋体"/>
          <w:sz w:val="24"/>
          <w:szCs w:val="24"/>
          <w:highlight w:val="none"/>
        </w:rPr>
        <w:t xml:space="preserve">常州市政府采购中心</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rPr>
          <w:highlight w:val="none"/>
        </w:rPr>
      </w:r>
      <w:r/>
    </w:p>
    <w:p>
      <w:pPr>
        <w:pStyle w:val="808"/>
        <w:spacing w:before="120" w:after="120"/>
        <w:rPr>
          <w:rFonts w:hint="eastAsia" w:hAnsi="宋体"/>
          <w:sz w:val="24"/>
          <w:szCs w:val="24"/>
          <w:highlight w:val="none"/>
        </w:rPr>
      </w:pPr>
      <w:r>
        <w:rPr>
          <w:rFonts w:hint="eastAsia" w:hAnsi="宋体"/>
          <w:sz w:val="24"/>
          <w:szCs w:val="24"/>
          <w:highlight w:val="none"/>
        </w:rPr>
        <w:t xml:space="preserve">1.3 标的数量（规模）：</w:t>
      </w:r>
      <w:r>
        <w:rPr>
          <w:highlight w:val="none"/>
        </w:rPr>
      </w:r>
      <w:r/>
    </w:p>
    <w:p>
      <w:pPr>
        <w:pStyle w:val="808"/>
        <w:spacing w:before="120" w:after="120"/>
        <w:rPr>
          <w:rFonts w:hint="eastAsia" w:hAnsi="宋体"/>
          <w:sz w:val="24"/>
          <w:szCs w:val="24"/>
          <w:highlight w:val="none"/>
        </w:rPr>
      </w:pPr>
      <w:r>
        <w:rPr>
          <w:rFonts w:hint="eastAsia" w:hAnsi="宋体"/>
          <w:sz w:val="24"/>
          <w:szCs w:val="24"/>
          <w:highlight w:val="none"/>
        </w:rPr>
        <w:t xml:space="preserve">1.4 履行时间（期限）：</w:t>
      </w:r>
      <w:r>
        <w:rPr>
          <w:highlight w:val="none"/>
        </w:rPr>
      </w:r>
      <w:r/>
    </w:p>
    <w:p>
      <w:pPr>
        <w:pStyle w:val="808"/>
        <w:spacing w:before="120" w:after="120"/>
        <w:rPr>
          <w:rFonts w:hint="eastAsia" w:hAnsi="宋体"/>
          <w:sz w:val="24"/>
          <w:szCs w:val="24"/>
          <w:highlight w:val="none"/>
        </w:rPr>
      </w:pPr>
      <w:r>
        <w:rPr>
          <w:rFonts w:hint="eastAsia" w:hAnsi="宋体"/>
          <w:sz w:val="24"/>
          <w:szCs w:val="24"/>
          <w:highlight w:val="none"/>
        </w:rPr>
        <w:t xml:space="preserve">1.5 履行地点：</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二、合同金额</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2.1 本合同金额为（大写）：____________________________________</w:t>
      </w:r>
      <w:r>
        <w:rPr>
          <w:rFonts w:hint="eastAsia" w:hAnsi="宋体"/>
          <w:sz w:val="24"/>
          <w:szCs w:val="24"/>
          <w:highlight w:val="none"/>
        </w:rPr>
        <w:t xml:space="preserve">圆</w:t>
      </w:r>
      <w:r>
        <w:rPr>
          <w:rFonts w:hAnsi="宋体"/>
          <w:sz w:val="24"/>
          <w:szCs w:val="24"/>
          <w:highlight w:val="none"/>
        </w:rPr>
        <w:t xml:space="preserve">（_______________元）人民币</w:t>
      </w:r>
      <w:r>
        <w:rPr>
          <w:rFonts w:hint="eastAsia" w:hAnsi="宋体"/>
          <w:sz w:val="24"/>
          <w:szCs w:val="24"/>
          <w:highlight w:val="none"/>
        </w:rPr>
        <w:t xml:space="preserve">或其他币种</w:t>
      </w:r>
      <w:r>
        <w:rPr>
          <w:rFonts w:hAnsi="宋体"/>
          <w:sz w:val="24"/>
          <w:szCs w:val="24"/>
          <w:highlight w:val="none"/>
        </w:rPr>
        <w:t xml:space="preserve">。</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三、技术资料</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808"/>
        <w:ind w:left="412" w:hanging="412"/>
        <w:spacing w:before="120" w:after="120"/>
        <w:rPr>
          <w:rFonts w:hint="eastAsia" w:hAnsi="宋体"/>
          <w:b/>
          <w:sz w:val="24"/>
          <w:szCs w:val="24"/>
          <w:highlight w:val="none"/>
        </w:rPr>
      </w:pPr>
      <w:r>
        <w:rPr>
          <w:rFonts w:hAnsi="宋体"/>
          <w:b/>
          <w:sz w:val="24"/>
          <w:szCs w:val="24"/>
          <w:highlight w:val="none"/>
        </w:rPr>
        <w:t xml:space="preserve">四、知识产权</w:t>
      </w:r>
      <w:r>
        <w:rPr>
          <w:highlight w:val="none"/>
        </w:rPr>
      </w:r>
      <w:r/>
    </w:p>
    <w:p>
      <w:pPr>
        <w:pStyle w:val="808"/>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highlight w:val="none"/>
        </w:rPr>
      </w:r>
      <w:r/>
    </w:p>
    <w:p>
      <w:pPr>
        <w:pStyle w:val="808"/>
        <w:spacing w:before="120" w:after="120"/>
        <w:rPr>
          <w:rFonts w:hint="eastAsia" w:hAnsi="宋体"/>
          <w:sz w:val="24"/>
          <w:szCs w:val="24"/>
          <w:highlight w:val="none"/>
          <w:u w:val="single"/>
        </w:rPr>
      </w:pPr>
      <w:r>
        <w:rPr>
          <w:rFonts w:hAnsi="宋体"/>
          <w:b/>
          <w:sz w:val="24"/>
          <w:szCs w:val="24"/>
          <w:highlight w:val="none"/>
        </w:rPr>
        <w:t xml:space="preserve">五、产权担保</w:t>
      </w:r>
      <w:r>
        <w:rPr>
          <w:highlight w:val="none"/>
        </w:rPr>
      </w:r>
      <w:r/>
    </w:p>
    <w:p>
      <w:pPr>
        <w:pStyle w:val="808"/>
        <w:ind w:left="408" w:hanging="408"/>
        <w:spacing w:before="120" w:after="120"/>
        <w:rPr>
          <w:rFonts w:hint="eastAsia"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rPr>
          <w:highlight w:val="none"/>
        </w:rPr>
      </w:r>
      <w:r/>
    </w:p>
    <w:p>
      <w:pPr>
        <w:pStyle w:val="808"/>
        <w:ind w:left="410" w:hanging="410"/>
        <w:spacing w:before="120" w:after="120"/>
        <w:rPr>
          <w:rFonts w:hint="eastAsia" w:hAnsi="宋体"/>
          <w:b/>
          <w:sz w:val="24"/>
          <w:szCs w:val="24"/>
          <w:highlight w:val="none"/>
        </w:rPr>
      </w:pPr>
      <w:r>
        <w:rPr>
          <w:rFonts w:hAnsi="宋体"/>
          <w:b/>
          <w:sz w:val="24"/>
          <w:szCs w:val="24"/>
          <w:highlight w:val="none"/>
        </w:rPr>
        <w:t xml:space="preserve">六、履约保证金</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本项目</w:t>
      </w:r>
      <w:r>
        <w:rPr>
          <w:rFonts w:hint="eastAsia" w:hAnsi="宋体"/>
          <w:sz w:val="24"/>
          <w:szCs w:val="24"/>
          <w:highlight w:val="none"/>
          <w:u w:val="single"/>
        </w:rPr>
        <w:t xml:space="preserve">不收取</w:t>
      </w:r>
      <w:r>
        <w:rPr>
          <w:rFonts w:hint="eastAsia" w:hAnsi="宋体"/>
          <w:sz w:val="24"/>
          <w:szCs w:val="24"/>
          <w:highlight w:val="none"/>
        </w:rPr>
        <w:t xml:space="preserve">履约保证金。</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6.1 </w:t>
      </w:r>
      <w:r>
        <w:rPr>
          <w:rFonts w:hAnsi="宋体"/>
          <w:sz w:val="24"/>
          <w:szCs w:val="24"/>
          <w:highlight w:val="none"/>
        </w:rPr>
        <w:t xml:space="preserve">乙方交纳人民币</w:t>
      </w:r>
      <w:r>
        <w:rPr>
          <w:rFonts w:hAnsi="宋体"/>
          <w:sz w:val="24"/>
          <w:szCs w:val="24"/>
          <w:highlight w:val="none"/>
          <w:u w:val="single"/>
        </w:rPr>
        <w:t xml:space="preserve">_</w:t>
      </w:r>
      <w:r>
        <w:rPr>
          <w:rFonts w:hint="eastAsia" w:hAnsi="宋体"/>
          <w:sz w:val="24"/>
          <w:szCs w:val="24"/>
          <w:highlight w:val="none"/>
          <w:u w:val="single"/>
        </w:rPr>
        <w:t xml:space="preserve">/</w:t>
      </w:r>
      <w:r>
        <w:rPr>
          <w:rFonts w:hAnsi="宋体"/>
          <w:sz w:val="24"/>
          <w:szCs w:val="24"/>
          <w:highlight w:val="none"/>
          <w:u w:val="single"/>
        </w:rPr>
        <w:t xml:space="preserve">_</w:t>
      </w:r>
      <w:r>
        <w:rPr>
          <w:rFonts w:hAnsi="宋体"/>
          <w:sz w:val="24"/>
          <w:szCs w:val="24"/>
          <w:highlight w:val="none"/>
        </w:rPr>
        <w:t xml:space="preserve">元作为本合同的履约保证金。（不得超过合同金额的5%）。供应商可以自主选择以支票、汇票、本票、保函（保险）等非现金形式</w:t>
      </w:r>
      <w:r>
        <w:rPr>
          <w:rFonts w:hint="eastAsia" w:hAnsi="宋体"/>
          <w:sz w:val="24"/>
          <w:szCs w:val="24"/>
          <w:highlight w:val="none"/>
        </w:rPr>
        <w:t xml:space="preserve">交纳</w:t>
      </w:r>
      <w:r>
        <w:rPr>
          <w:rFonts w:hAnsi="宋体"/>
          <w:sz w:val="24"/>
          <w:szCs w:val="24"/>
          <w:highlight w:val="none"/>
        </w:rPr>
        <w:t xml:space="preserve">或提交，按照省市有关文件精神，鼓励优先采用电子履约保函（保险）形式。</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highlight w:val="none"/>
        </w:rPr>
      </w:r>
      <w:r/>
    </w:p>
    <w:p>
      <w:pPr>
        <w:pStyle w:val="808"/>
        <w:ind w:left="408" w:hanging="408"/>
        <w:spacing w:before="120" w:after="120"/>
        <w:rPr>
          <w:rFonts w:hint="eastAsia" w:hAnsi="宋体"/>
          <w:sz w:val="24"/>
          <w:szCs w:val="24"/>
          <w:highlight w:val="none"/>
        </w:rPr>
      </w:pPr>
      <w:r>
        <w:rPr>
          <w:rFonts w:hint="eastAsia" w:hAnsi="宋体"/>
          <w:sz w:val="24"/>
          <w:szCs w:val="24"/>
          <w:highlight w:val="none"/>
        </w:rPr>
        <w:t xml:space="preserve">6.2.4履约保证金不予退还的情形：/</w:t>
      </w:r>
      <w:r>
        <w:rPr>
          <w:highlight w:val="none"/>
        </w:rPr>
      </w:r>
      <w:r/>
    </w:p>
    <w:p>
      <w:pPr>
        <w:spacing w:before="156" w:after="156"/>
        <w:rPr>
          <w:rFonts w:hint="eastAsia" w:ascii="宋体" w:hAnsi="宋体" w:eastAsia="仿宋_GB2312"/>
          <w:b/>
          <w:sz w:val="24"/>
          <w:szCs w:val="24"/>
          <w:highlight w:val="none"/>
        </w:rPr>
      </w:pPr>
      <w:r>
        <w:rPr>
          <w:rFonts w:hint="eastAsia" w:ascii="宋体" w:hAnsi="宋体"/>
          <w:b/>
          <w:sz w:val="24"/>
          <w:szCs w:val="24"/>
          <w:highlight w:val="none"/>
        </w:rPr>
        <w:t xml:space="preserve">七、合同转包或分包</w:t>
      </w:r>
      <w:r>
        <w:rPr>
          <w:highlight w:val="none"/>
        </w:rPr>
      </w:r>
      <w:r/>
    </w:p>
    <w:p>
      <w:pPr>
        <w:spacing w:before="156" w:after="156"/>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highlight w:val="none"/>
        </w:rPr>
      </w:r>
      <w:r/>
    </w:p>
    <w:p>
      <w:pPr>
        <w:spacing w:before="156" w:after="156"/>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rPr>
          <w:highlight w:val="none"/>
        </w:rPr>
      </w:r>
      <w:r/>
    </w:p>
    <w:p>
      <w:pPr>
        <w:spacing w:before="156" w:after="156"/>
        <w:rPr>
          <w:rFonts w:hint="eastAsia"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rPr>
          <w:highlight w:val="none"/>
        </w:rPr>
      </w:r>
      <w:r/>
    </w:p>
    <w:p>
      <w:pPr>
        <w:pStyle w:val="808"/>
        <w:spacing w:before="120" w:after="120"/>
        <w:rPr>
          <w:rFonts w:hint="eastAsia"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rPr>
          <w:highlight w:val="none"/>
        </w:rPr>
      </w:r>
      <w:r/>
    </w:p>
    <w:p>
      <w:pPr>
        <w:spacing w:before="156" w:after="156"/>
        <w:rPr>
          <w:rFonts w:hint="eastAsia" w:ascii="宋体" w:hAnsi="宋体"/>
          <w:sz w:val="24"/>
          <w:highlight w:val="none"/>
          <w:u w:val="single"/>
        </w:rPr>
      </w:pPr>
      <w:r>
        <w:rPr>
          <w:rFonts w:hint="eastAsia" w:ascii="宋体" w:hAnsi="宋体"/>
          <w:sz w:val="24"/>
          <w:highlight w:val="none"/>
        </w:rPr>
        <w:t xml:space="preserve">8.1分期付款：</w:t>
      </w:r>
      <w:r>
        <w:rPr>
          <w:rFonts w:hint="eastAsia" w:ascii="宋体" w:hAnsi="宋体"/>
          <w:sz w:val="24"/>
          <w:highlight w:val="none"/>
          <w:u w:val="single"/>
        </w:rPr>
        <w:t xml:space="preserve">（1）甲方每月根据考核细则对乙方服务质量进行考核，根据考核情况每3个月结算一次服务费，考核扣款在服务费结算时扣除。</w:t>
      </w:r>
      <w:r>
        <w:rPr>
          <w:highlight w:val="none"/>
        </w:rPr>
      </w:r>
      <w:r/>
    </w:p>
    <w:p>
      <w:pPr>
        <w:spacing w:before="156" w:after="156"/>
        <w:rPr>
          <w:rFonts w:hint="eastAsia" w:ascii="宋体" w:hAnsi="宋体"/>
          <w:sz w:val="24"/>
          <w:highlight w:val="none"/>
          <w:u w:val="single"/>
        </w:rPr>
      </w:pPr>
      <w:r>
        <w:rPr>
          <w:rFonts w:hint="eastAsia" w:ascii="宋体" w:hAnsi="宋体"/>
          <w:sz w:val="24"/>
          <w:highlight w:val="none"/>
          <w:u w:val="single"/>
        </w:rPr>
        <w:t xml:space="preserve">（2）本合同执行期间如遇特殊情况需要增加或减少物业服务人员的，由甲方根据实际调整的岗位和人数，按照物业公司本次投标报价中的各岗位单价按实结算物业管理费。</w:t>
      </w:r>
      <w:r>
        <w:rPr>
          <w:highlight w:val="none"/>
        </w:rPr>
      </w:r>
      <w:r/>
    </w:p>
    <w:p>
      <w:pPr>
        <w:spacing w:before="156" w:after="156"/>
        <w:rPr>
          <w:rFonts w:hint="eastAsia" w:ascii="宋体" w:hAnsi="宋体"/>
          <w:sz w:val="24"/>
          <w:highlight w:val="none"/>
          <w:u w:val="single"/>
        </w:rPr>
      </w:pPr>
      <w:r>
        <w:rPr>
          <w:rFonts w:hint="eastAsia" w:ascii="宋体" w:hAnsi="宋体"/>
          <w:sz w:val="24"/>
          <w:highlight w:val="none"/>
          <w:u w:val="single"/>
        </w:rPr>
        <w:t xml:space="preserve">（3）双方确认乙方派出的人员系乙方履约合同行为，人员与甲方不存在劳动关系，甲方除按本合同约定支付乙方服务费用,对乙方均不再承担其他责任及费用。</w:t>
      </w:r>
      <w:r>
        <w:rPr>
          <w:highlight w:val="none"/>
        </w:rPr>
      </w:r>
      <w:r/>
    </w:p>
    <w:p>
      <w:pPr>
        <w:spacing w:before="156" w:after="156"/>
        <w:rPr>
          <w:rFonts w:hint="eastAsia" w:ascii="宋体" w:hAnsi="宋体"/>
          <w:sz w:val="24"/>
          <w:highlight w:val="none"/>
        </w:rPr>
      </w:pPr>
      <w:r>
        <w:rPr>
          <w:rFonts w:hint="eastAsia" w:ascii="宋体" w:hAnsi="宋体"/>
          <w:sz w:val="24"/>
          <w:highlight w:val="none"/>
        </w:rPr>
        <w:t xml:space="preserve">（4）满足合同约定支付条件的，自收到发票后10个工作日内支付。</w:t>
      </w:r>
      <w:r>
        <w:rPr>
          <w:highlight w:val="none"/>
        </w:rPr>
      </w:r>
      <w:r/>
    </w:p>
    <w:p>
      <w:pPr>
        <w:spacing w:before="156" w:after="156"/>
        <w:rPr>
          <w:rFonts w:hint="eastAsia" w:ascii="宋体" w:hAnsi="宋体" w:eastAsia="仿宋_GB2312"/>
          <w:b/>
          <w:sz w:val="24"/>
          <w:szCs w:val="24"/>
          <w:highlight w:val="none"/>
        </w:rPr>
      </w:pPr>
      <w:r>
        <w:rPr>
          <w:rFonts w:hint="eastAsia" w:ascii="宋体" w:hAnsi="宋体"/>
          <w:b/>
          <w:sz w:val="24"/>
          <w:szCs w:val="24"/>
          <w:highlight w:val="none"/>
        </w:rPr>
        <w:t xml:space="preserve">九、税费</w:t>
      </w:r>
      <w:r>
        <w:rPr>
          <w:highlight w:val="none"/>
        </w:rPr>
      </w:r>
      <w:r/>
    </w:p>
    <w:p>
      <w:pPr>
        <w:spacing w:before="156" w:after="156"/>
        <w:rPr>
          <w:rFonts w:hint="eastAsia"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本合同执行中相关的一切税费均由乙方负担。</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rPr>
          <w:highlight w:val="none"/>
        </w:rPr>
      </w:r>
      <w:r/>
    </w:p>
    <w:p>
      <w:pPr>
        <w:pStyle w:val="808"/>
        <w:ind w:left="480" w:hanging="480"/>
        <w:spacing w:before="120" w:after="120"/>
        <w:rPr>
          <w:rFonts w:hint="eastAsia" w:hAnsi="宋体"/>
          <w:sz w:val="24"/>
          <w:szCs w:val="24"/>
          <w:highlight w:val="none"/>
        </w:rPr>
      </w:pPr>
      <w:r>
        <w:rPr>
          <w:rFonts w:hint="eastAsia" w:hAnsi="宋体"/>
          <w:sz w:val="24"/>
          <w:szCs w:val="24"/>
          <w:highlight w:val="none"/>
        </w:rPr>
        <w:t xml:space="preserve">10.1 甲方依法组织履约验收工作。</w:t>
      </w:r>
      <w:r>
        <w:rPr>
          <w:highlight w:val="none"/>
        </w:rPr>
      </w:r>
      <w:r/>
    </w:p>
    <w:p>
      <w:pPr>
        <w:pStyle w:val="808"/>
        <w:ind w:left="480" w:hanging="480"/>
        <w:spacing w:before="120" w:after="120"/>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808"/>
        <w:ind w:left="480" w:hanging="480"/>
        <w:spacing w:before="120" w:after="120"/>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rPr>
          <w:highlight w:val="none"/>
        </w:rPr>
      </w:r>
      <w:r/>
    </w:p>
    <w:p>
      <w:pPr>
        <w:pStyle w:val="808"/>
        <w:ind w:left="480" w:hanging="480"/>
        <w:spacing w:before="120" w:after="120"/>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808"/>
        <w:ind w:left="480" w:hanging="480"/>
        <w:spacing w:before="120" w:after="120"/>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r/>
    </w:p>
    <w:p>
      <w:pPr>
        <w:pStyle w:val="808"/>
        <w:ind w:left="480" w:hanging="480"/>
        <w:spacing w:before="120" w:after="120"/>
        <w:rPr>
          <w:rFonts w:hint="eastAsia" w:hAnsi="宋体"/>
          <w:sz w:val="24"/>
          <w:szCs w:val="24"/>
          <w:highlight w:val="none"/>
        </w:rPr>
      </w:pPr>
      <w:r>
        <w:rPr>
          <w:rFonts w:hint="eastAsia" w:hAnsi="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rPr>
          <w:highlight w:val="none"/>
        </w:rPr>
      </w:r>
      <w:r/>
    </w:p>
    <w:p>
      <w:pPr>
        <w:pStyle w:val="808"/>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rPr>
          <w:highlight w:val="none"/>
        </w:rPr>
      </w:r>
      <w:r/>
    </w:p>
    <w:p>
      <w:pPr>
        <w:pStyle w:val="808"/>
        <w:ind w:left="480" w:hanging="48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rPr>
          <w:highlight w:val="none"/>
        </w:rPr>
      </w:r>
      <w:r/>
    </w:p>
    <w:p>
      <w:pPr>
        <w:pStyle w:val="808"/>
        <w:spacing w:before="120" w:after="120"/>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rPr>
          <w:highlight w:val="none"/>
        </w:rPr>
      </w:r>
      <w:r/>
    </w:p>
    <w:p>
      <w:pPr>
        <w:pStyle w:val="808"/>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、合同生效及其它</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rPr>
          <w:highlight w:val="none"/>
        </w:rPr>
      </w:r>
      <w:r/>
    </w:p>
    <w:p>
      <w:pPr>
        <w:pStyle w:val="808"/>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《民法典》、《政府采购法》</w:t>
      </w:r>
      <w:r>
        <w:rPr>
          <w:rFonts w:hAnsi="宋体"/>
          <w:sz w:val="24"/>
          <w:szCs w:val="24"/>
          <w:highlight w:val="none"/>
        </w:rPr>
        <w:t xml:space="preserve">有关条文执行。</w:t>
      </w:r>
      <w:r>
        <w:rPr>
          <w:highlight w:val="none"/>
        </w:rPr>
      </w:r>
      <w:r/>
    </w:p>
    <w:p>
      <w:pPr>
        <w:pStyle w:val="808"/>
        <w:ind w:left="480" w:hanging="48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rPr>
          <w:highlight w:val="none"/>
        </w:rPr>
      </w:r>
      <w:r/>
    </w:p>
    <w:p>
      <w:pPr>
        <w:pStyle w:val="808"/>
        <w:ind w:left="480" w:hanging="480"/>
        <w:spacing w:before="120" w:after="120" w:line="0" w:lineRule="atLeast"/>
        <w:rPr>
          <w:rFonts w:hint="eastAsia" w:hAnsi="宋体"/>
          <w:sz w:val="24"/>
          <w:szCs w:val="24"/>
          <w:highlight w:val="none"/>
        </w:rPr>
      </w:pPr>
      <w:r>
        <w:rPr>
          <w:rFonts w:hAnsi="宋体"/>
          <w:sz w:val="24"/>
          <w:szCs w:val="24"/>
          <w:highlight w:val="none"/>
        </w:rPr>
        <w:t xml:space="preserve">  甲方：                        乙方： </w:t>
      </w:r>
      <w:r>
        <w:rPr>
          <w:highlight w:val="none"/>
        </w:rPr>
      </w:r>
      <w:r/>
    </w:p>
    <w:p>
      <w:pPr>
        <w:pStyle w:val="808"/>
        <w:spacing w:before="120" w:after="120" w:line="0" w:lineRule="atLeast"/>
        <w:rPr>
          <w:rFonts w:hint="eastAsia"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rPr>
          <w:highlight w:val="none"/>
        </w:rPr>
      </w:r>
      <w:r/>
    </w:p>
    <w:p>
      <w:pPr>
        <w:pStyle w:val="808"/>
        <w:spacing w:before="120" w:after="120" w:line="0" w:lineRule="atLeast"/>
        <w:rPr>
          <w:rFonts w:hint="eastAsia"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highlight w:val="none"/>
        </w:rPr>
      </w:r>
      <w:r/>
    </w:p>
    <w:p>
      <w:pPr>
        <w:pStyle w:val="808"/>
        <w:ind w:firstLine="240"/>
        <w:spacing w:before="120" w:after="120" w:line="0" w:lineRule="atLeast"/>
        <w:rPr>
          <w:highlight w:val="none"/>
        </w:rPr>
      </w:pPr>
      <w:r>
        <w:rPr>
          <w:rFonts w:hint="eastAsia" w:hAnsi="宋体"/>
          <w:sz w:val="24"/>
          <w:szCs w:val="24"/>
          <w:highlight w:val="none"/>
        </w:rPr>
        <w:t xml:space="preserve">联系电话：                    联系电话：          </w:t>
      </w:r>
      <w:r>
        <w:rPr>
          <w:highlight w:val="none"/>
        </w:rPr>
      </w:r>
      <w:r/>
    </w:p>
    <w:p>
      <w:pPr>
        <w:pStyle w:val="808"/>
        <w:jc w:val="center"/>
        <w:spacing w:before="120" w:after="120" w:line="0" w:lineRule="atLeast"/>
        <w:rPr>
          <w:highlight w:val="none"/>
        </w:rPr>
      </w:pPr>
      <w:r>
        <w:rPr>
          <w:rFonts w:hint="eastAsia"/>
          <w:highlight w:val="none"/>
        </w:rPr>
        <w:t xml:space="preserve">                                          </w:t>
      </w:r>
      <w:r>
        <w:rPr>
          <w:highlight w:val="none"/>
        </w:rPr>
        <w:t xml:space="preserve">签订日期：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bookmarkEnd w:id="188"/>
      <w:r>
        <w:rPr>
          <w:highlight w:val="none"/>
        </w:rPr>
      </w:r>
      <w:bookmarkEnd w:id="189"/>
      <w:r>
        <w:rPr>
          <w:highlight w:val="none"/>
        </w:rPr>
      </w:r>
      <w:bookmarkEnd w:id="190"/>
      <w:r>
        <w:rPr>
          <w:highlight w:val="none"/>
        </w:rPr>
      </w:r>
      <w:bookmarkStart w:id="191" w:name="_Toc16938590"/>
      <w:r>
        <w:rPr>
          <w:highlight w:val="none"/>
        </w:rPr>
      </w:r>
      <w:bookmarkEnd w:id="191"/>
      <w:r>
        <w:rPr>
          <w:highlight w:val="none"/>
        </w:rPr>
      </w:r>
      <w:bookmarkStart w:id="192" w:name="_Toc120614244"/>
      <w:r>
        <w:rPr>
          <w:highlight w:val="none"/>
        </w:rPr>
      </w:r>
      <w:bookmarkEnd w:id="192"/>
      <w:r>
        <w:rPr>
          <w:highlight w:val="none"/>
        </w:rPr>
      </w:r>
      <w:bookmarkStart w:id="193" w:name="_Hlt16619350"/>
      <w:r>
        <w:rPr>
          <w:highlight w:val="none"/>
        </w:rPr>
      </w:r>
      <w:bookmarkEnd w:id="193"/>
      <w:r>
        <w:rPr>
          <w:highlight w:val="none"/>
        </w:rPr>
      </w:r>
      <w:bookmarkStart w:id="194" w:name="_Toc20823346"/>
      <w:r>
        <w:rPr>
          <w:highlight w:val="none"/>
        </w:rPr>
      </w:r>
      <w:bookmarkEnd w:id="194"/>
      <w:r>
        <w:rPr>
          <w:highlight w:val="none"/>
        </w:rPr>
      </w:r>
      <w:bookmarkStart w:id="195" w:name="_Hlt16619369"/>
      <w:r>
        <w:rPr>
          <w:highlight w:val="none"/>
        </w:rPr>
      </w:r>
      <w:bookmarkEnd w:id="195"/>
      <w:r>
        <w:rPr>
          <w:highlight w:val="none"/>
        </w:rPr>
      </w:r>
      <w:bookmarkStart w:id="196" w:name="_Toc479757211"/>
      <w:r>
        <w:rPr>
          <w:highlight w:val="none"/>
        </w:rPr>
      </w:r>
      <w:bookmarkStart w:id="197" w:name="_Toc462564139"/>
      <w:r>
        <w:rPr>
          <w:highlight w:val="none"/>
        </w:rPr>
      </w:r>
      <w:r/>
    </w:p>
    <w:p>
      <w:pPr>
        <w:pStyle w:val="808"/>
        <w:jc w:val="center"/>
        <w:spacing w:before="120" w:after="120" w:line="0" w:lineRule="atLeast"/>
        <w:rPr>
          <w:rFonts w:hint="eastAsia" w:hAnsi="宋体"/>
          <w:sz w:val="24"/>
          <w:szCs w:val="24"/>
          <w:highlight w:val="none"/>
        </w:rPr>
      </w:pPr>
      <w:r>
        <w:rPr>
          <w:highlight w:val="none"/>
        </w:rPr>
      </w:r>
      <w:bookmarkStart w:id="198" w:name="_Toc49090575"/>
      <w:r>
        <w:rPr>
          <w:highlight w:val="none"/>
        </w:rPr>
      </w:r>
      <w:bookmarkStart w:id="199" w:name="_Toc26554093"/>
      <w:r>
        <w:rPr>
          <w:highlight w:val="none"/>
        </w:rPr>
      </w:r>
      <w:r/>
    </w:p>
    <w:p>
      <w:pPr>
        <w:pStyle w:val="808"/>
        <w:jc w:val="center"/>
        <w:spacing w:before="120" w:after="120" w:line="0" w:lineRule="atLeast"/>
        <w:rPr>
          <w:rFonts w:hint="eastAsia" w:hAnsi="宋体"/>
          <w:sz w:val="24"/>
          <w:szCs w:val="24"/>
          <w:highlight w:val="none"/>
        </w:rPr>
      </w:pPr>
      <w:r>
        <w:rPr>
          <w:rFonts w:hint="eastAsia" w:hAnsi="宋体"/>
          <w:sz w:val="24"/>
          <w:szCs w:val="24"/>
          <w:highlight w:val="none"/>
        </w:rPr>
      </w:r>
      <w:r>
        <w:rPr>
          <w:highlight w:val="none"/>
        </w:rPr>
      </w:r>
      <w:r/>
    </w:p>
    <w:p>
      <w:pPr>
        <w:pStyle w:val="808"/>
        <w:jc w:val="center"/>
        <w:spacing w:before="120" w:after="120" w:line="0" w:lineRule="atLeast"/>
        <w:rPr>
          <w:rFonts w:hint="eastAsia" w:hAnsi="宋体"/>
          <w:sz w:val="24"/>
          <w:szCs w:val="24"/>
          <w:highlight w:val="none"/>
        </w:rPr>
      </w:pPr>
      <w:r>
        <w:rPr>
          <w:rFonts w:hint="eastAsia" w:hAnsi="宋体"/>
          <w:sz w:val="24"/>
          <w:szCs w:val="24"/>
          <w:highlight w:val="none"/>
        </w:rPr>
      </w:r>
      <w:r>
        <w:rPr>
          <w:highlight w:val="none"/>
        </w:rPr>
      </w:r>
      <w:r/>
    </w:p>
    <w:p>
      <w:pPr>
        <w:pStyle w:val="783"/>
        <w:rPr>
          <w:rFonts w:ascii="黑体" w:eastAsia="黑体"/>
          <w:bCs/>
          <w:sz w:val="44"/>
          <w:highlight w:val="none"/>
        </w:rPr>
      </w:pPr>
      <w:r>
        <w:rPr>
          <w:highlight w:val="none"/>
        </w:rPr>
      </w:r>
      <w:bookmarkStart w:id="200" w:name="_Toc23644"/>
      <w:r>
        <w:rPr>
          <w:rFonts w:hint="eastAsia" w:ascii="黑体" w:eastAsia="黑体"/>
          <w:bCs/>
          <w:sz w:val="44"/>
          <w:highlight w:val="none"/>
        </w:rPr>
        <w:t xml:space="preserve">第四章  采购需求</w:t>
      </w:r>
      <w:bookmarkEnd w:id="200"/>
      <w:r>
        <w:rPr>
          <w:highlight w:val="none"/>
        </w:rPr>
      </w:r>
      <w:r/>
    </w:p>
    <w:p>
      <w:pPr>
        <w:pStyle w:val="1033"/>
        <w:numPr>
          <w:ilvl w:val="0"/>
          <w:numId w:val="4"/>
        </w:numPr>
        <w:jc w:val="both"/>
        <w:widowControl w:val="off"/>
        <w:rPr>
          <w:rFonts w:ascii="Times New Roman" w:hAnsi="Times New Roman"/>
          <w:b/>
          <w:highlight w:val="none"/>
        </w:rPr>
      </w:pPr>
      <w:r>
        <w:rPr>
          <w:rFonts w:ascii="Times New Roman" w:hAnsi="Times New Roman"/>
          <w:b/>
          <w:highlight w:val="none"/>
        </w:rPr>
        <w:t xml:space="preserve">采购标的</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hint="eastAsia" w:ascii="宋体" w:hAnsi="宋体" w:cs="宋体"/>
          <w:sz w:val="24"/>
          <w:highlight w:val="none"/>
        </w:rPr>
        <w:t xml:space="preserve">项目名称：常州市教育局局属单位第二批物业服务集中带量采购项目</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2.预算金额：见下表</w:t>
      </w:r>
      <w:r>
        <w:rPr>
          <w:highlight w:val="none"/>
        </w:rPr>
      </w:r>
      <w:r/>
    </w:p>
    <w:tbl>
      <w:tblPr>
        <w:tblStyle w:val="793"/>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5644"/>
        <w:gridCol w:w="1489"/>
        <w:gridCol w:w="1469"/>
      </w:tblGrid>
      <w:tr>
        <w:trPr>
          <w:trHeight w:val="420"/>
        </w:trPr>
        <w:tc>
          <w:tcPr>
            <w:tcW w:w="63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序号</w:t>
            </w:r>
            <w:r>
              <w:rPr>
                <w:highlight w:val="none"/>
              </w:rPr>
            </w:r>
            <w:r/>
          </w:p>
        </w:tc>
        <w:tc>
          <w:tcPr>
            <w:tcW w:w="564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学校名称</w:t>
            </w:r>
            <w:r>
              <w:rPr>
                <w:highlight w:val="none"/>
              </w:rPr>
            </w:r>
            <w:r/>
          </w:p>
        </w:tc>
        <w:tc>
          <w:tcPr>
            <w:tcW w:w="148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服务时长（月）</w:t>
            </w:r>
            <w:r>
              <w:rPr>
                <w:highlight w:val="none"/>
              </w:rPr>
            </w:r>
            <w:r/>
          </w:p>
        </w:tc>
        <w:tc>
          <w:tcPr>
            <w:tcW w:w="146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预算金额（元/）</w:t>
            </w:r>
            <w:r>
              <w:rPr>
                <w:highlight w:val="none"/>
              </w:rPr>
            </w:r>
            <w:r/>
          </w:p>
        </w:tc>
      </w:tr>
      <w:tr>
        <w:trPr>
          <w:trHeight w:val="420"/>
        </w:trPr>
        <w:tc>
          <w:tcPr>
            <w:tcW w:w="63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w:t>
            </w:r>
            <w:r>
              <w:rPr>
                <w:highlight w:val="none"/>
              </w:rPr>
            </w:r>
            <w:r/>
          </w:p>
        </w:tc>
        <w:tc>
          <w:tcPr>
            <w:tcW w:w="564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常州市明德实验中学</w:t>
            </w:r>
            <w:r>
              <w:rPr>
                <w:highlight w:val="none"/>
              </w:rPr>
            </w:r>
            <w:r/>
          </w:p>
        </w:tc>
        <w:tc>
          <w:tcPr>
            <w:tcW w:w="148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24</w:t>
            </w:r>
            <w:r>
              <w:rPr>
                <w:highlight w:val="none"/>
              </w:rPr>
            </w:r>
            <w:r/>
          </w:p>
        </w:tc>
        <w:tc>
          <w:tcPr>
            <w:tcW w:w="146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eastAsia="zh"/>
              </w:rPr>
              <w:t xml:space="preserve">10008</w:t>
            </w:r>
            <w:r>
              <w:rPr>
                <w:rFonts w:hint="eastAsia" w:ascii="仿宋" w:hAnsi="仿宋" w:eastAsia="仿宋" w:cs="仿宋"/>
                <w:highlight w:val="none"/>
              </w:rPr>
              <w:t xml:space="preserve">00</w:t>
            </w:r>
            <w:r>
              <w:rPr>
                <w:highlight w:val="none"/>
              </w:rPr>
            </w:r>
            <w:r/>
          </w:p>
        </w:tc>
      </w:tr>
      <w:tr>
        <w:trPr>
          <w:trHeight w:val="420"/>
        </w:trPr>
        <w:tc>
          <w:tcPr>
            <w:tcW w:w="633"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w:t>
            </w:r>
            <w:r>
              <w:rPr>
                <w:highlight w:val="none"/>
              </w:rPr>
            </w:r>
            <w:r/>
          </w:p>
        </w:tc>
        <w:tc>
          <w:tcPr>
            <w:tcW w:w="564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常州市市北实验初级中学</w:t>
            </w:r>
            <w:r>
              <w:rPr>
                <w:highlight w:val="none"/>
              </w:rPr>
            </w:r>
            <w:r/>
          </w:p>
        </w:tc>
        <w:tc>
          <w:tcPr>
            <w:tcW w:w="148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23</w:t>
            </w:r>
            <w:r>
              <w:rPr>
                <w:highlight w:val="none"/>
              </w:rPr>
            </w:r>
            <w:r/>
          </w:p>
        </w:tc>
        <w:tc>
          <w:tcPr>
            <w:tcW w:w="146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763600</w:t>
            </w:r>
            <w:r>
              <w:rPr>
                <w:highlight w:val="none"/>
              </w:rPr>
            </w:r>
            <w:r/>
          </w:p>
        </w:tc>
      </w:tr>
    </w:tbl>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3.最高限价：各校投标总价不得超过最高限价，每月报价不得超过该校每月最高限价（见下表）。</w:t>
      </w:r>
      <w:r>
        <w:rPr>
          <w:highlight w:val="none"/>
        </w:rPr>
      </w:r>
      <w:r/>
    </w:p>
    <w:tbl>
      <w:tblPr>
        <w:tblStyle w:val="793"/>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
        <w:gridCol w:w="4336"/>
        <w:gridCol w:w="1235"/>
        <w:gridCol w:w="1527"/>
        <w:gridCol w:w="1639"/>
      </w:tblGrid>
      <w:tr>
        <w:trPr>
          <w:trHeight w:val="420"/>
        </w:trPr>
        <w:tc>
          <w:tcPr>
            <w:tcW w:w="49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序号</w:t>
            </w:r>
            <w:r>
              <w:rPr>
                <w:highlight w:val="none"/>
              </w:rPr>
            </w:r>
            <w:r/>
          </w:p>
        </w:tc>
        <w:tc>
          <w:tcPr>
            <w:tcW w:w="43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学校名称</w:t>
            </w:r>
            <w:r>
              <w:rPr>
                <w:highlight w:val="none"/>
              </w:rPr>
            </w:r>
            <w:r/>
          </w:p>
        </w:tc>
        <w:tc>
          <w:tcPr>
            <w:tcW w:w="123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服务时长（月）</w:t>
            </w:r>
            <w:r>
              <w:rPr>
                <w:highlight w:val="none"/>
              </w:rPr>
            </w:r>
            <w:r/>
          </w:p>
        </w:tc>
        <w:tc>
          <w:tcPr>
            <w:tcW w:w="152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每月最高限价（元/月）</w:t>
            </w:r>
            <w:r>
              <w:rPr>
                <w:highlight w:val="none"/>
              </w:rPr>
            </w:r>
            <w:r/>
          </w:p>
        </w:tc>
        <w:tc>
          <w:tcPr>
            <w:tcW w:w="163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最高限价</w:t>
            </w:r>
            <w:r>
              <w:rPr>
                <w:highlight w:val="none"/>
              </w:rPr>
            </w:r>
            <w:r/>
          </w:p>
          <w:p>
            <w:pPr>
              <w:jc w:val="center"/>
              <w:rPr>
                <w:rFonts w:hint="eastAsia" w:ascii="仿宋" w:hAnsi="仿宋" w:eastAsia="仿宋" w:cs="仿宋"/>
                <w:highlight w:val="none"/>
              </w:rPr>
            </w:pPr>
            <w:r>
              <w:rPr>
                <w:rFonts w:hint="eastAsia" w:ascii="仿宋" w:hAnsi="仿宋" w:eastAsia="仿宋" w:cs="仿宋"/>
                <w:highlight w:val="none"/>
              </w:rPr>
              <w:t xml:space="preserve">（元）</w:t>
            </w:r>
            <w:r>
              <w:rPr>
                <w:highlight w:val="none"/>
              </w:rPr>
            </w:r>
            <w:r/>
          </w:p>
        </w:tc>
      </w:tr>
      <w:tr>
        <w:trPr>
          <w:trHeight w:val="420"/>
        </w:trPr>
        <w:tc>
          <w:tcPr>
            <w:tcW w:w="49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1</w:t>
            </w:r>
            <w:r>
              <w:rPr>
                <w:highlight w:val="none"/>
              </w:rPr>
            </w:r>
            <w:r/>
          </w:p>
        </w:tc>
        <w:tc>
          <w:tcPr>
            <w:tcW w:w="43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常州市明德实验中学</w:t>
            </w:r>
            <w:r>
              <w:rPr>
                <w:highlight w:val="none"/>
              </w:rPr>
            </w:r>
            <w:r/>
          </w:p>
        </w:tc>
        <w:tc>
          <w:tcPr>
            <w:tcW w:w="123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24</w:t>
            </w:r>
            <w:r>
              <w:rPr>
                <w:highlight w:val="none"/>
              </w:rPr>
            </w:r>
            <w:r/>
          </w:p>
        </w:tc>
        <w:tc>
          <w:tcPr>
            <w:tcW w:w="152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41700</w:t>
            </w:r>
            <w:r>
              <w:rPr>
                <w:highlight w:val="none"/>
              </w:rPr>
            </w:r>
            <w:r/>
          </w:p>
        </w:tc>
        <w:tc>
          <w:tcPr>
            <w:tcW w:w="163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lang w:eastAsia="zh"/>
              </w:rPr>
              <w:t xml:space="preserve">10008</w:t>
            </w:r>
            <w:r>
              <w:rPr>
                <w:rFonts w:hint="eastAsia" w:ascii="仿宋" w:hAnsi="仿宋" w:eastAsia="仿宋" w:cs="仿宋"/>
                <w:highlight w:val="none"/>
              </w:rPr>
              <w:t xml:space="preserve">00</w:t>
            </w:r>
            <w:r>
              <w:rPr>
                <w:highlight w:val="none"/>
              </w:rPr>
            </w:r>
            <w:r/>
          </w:p>
        </w:tc>
      </w:tr>
      <w:tr>
        <w:trPr>
          <w:trHeight w:val="420"/>
        </w:trPr>
        <w:tc>
          <w:tcPr>
            <w:tcW w:w="498"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w:t>
            </w:r>
            <w:r>
              <w:rPr>
                <w:highlight w:val="none"/>
              </w:rPr>
            </w:r>
            <w:r/>
          </w:p>
        </w:tc>
        <w:tc>
          <w:tcPr>
            <w:tcW w:w="4336"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常州市市北实验初级中学</w:t>
            </w:r>
            <w:r>
              <w:rPr>
                <w:highlight w:val="none"/>
              </w:rPr>
            </w:r>
            <w:r/>
          </w:p>
        </w:tc>
        <w:tc>
          <w:tcPr>
            <w:tcW w:w="1235"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23</w:t>
            </w:r>
            <w:r>
              <w:rPr>
                <w:highlight w:val="none"/>
              </w:rPr>
            </w:r>
            <w:r/>
          </w:p>
        </w:tc>
        <w:tc>
          <w:tcPr>
            <w:tcW w:w="152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33200</w:t>
            </w:r>
            <w:r>
              <w:rPr>
                <w:highlight w:val="none"/>
              </w:rPr>
            </w:r>
            <w:r/>
          </w:p>
        </w:tc>
        <w:tc>
          <w:tcPr>
            <w:tcW w:w="1639"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763600</w:t>
            </w:r>
            <w:r>
              <w:rPr>
                <w:highlight w:val="none"/>
              </w:rPr>
            </w:r>
            <w:r/>
          </w:p>
        </w:tc>
      </w:tr>
    </w:tbl>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ascii="宋体" w:hAnsi="宋体" w:cs="宋体"/>
          <w:sz w:val="24"/>
          <w:highlight w:val="none"/>
        </w:rPr>
        <w:t xml:space="preserve">.</w:t>
      </w:r>
      <w:r>
        <w:rPr>
          <w:rFonts w:hint="eastAsia" w:ascii="宋体" w:hAnsi="宋体" w:cs="宋体"/>
          <w:sz w:val="24"/>
          <w:highlight w:val="none"/>
        </w:rPr>
        <w:t xml:space="preserve">采购项目概况：本项目为常州市教育局局属单位第二批物业服务集中带量采购，服务范围包括（但不限于）保洁、保安、水电零星维修及常规绿化养护等。</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w:t>
      </w:r>
      <w:r>
        <w:rPr>
          <w:rFonts w:ascii="宋体" w:hAnsi="宋体" w:cs="宋体"/>
          <w:sz w:val="24"/>
          <w:highlight w:val="none"/>
        </w:rPr>
        <w:t xml:space="preserve">.合同履行期限</w:t>
      </w:r>
      <w:r>
        <w:rPr>
          <w:rFonts w:hint="eastAsia" w:ascii="宋体" w:hAnsi="宋体" w:cs="宋体"/>
          <w:sz w:val="24"/>
          <w:highlight w:val="none"/>
        </w:rPr>
        <w:t xml:space="preserve">：</w:t>
      </w:r>
      <w:r>
        <w:rPr>
          <w:rFonts w:ascii="宋体" w:hAnsi="宋体" w:cs="宋体"/>
          <w:sz w:val="24"/>
          <w:highlight w:val="none"/>
        </w:rPr>
        <w:t xml:space="preserve">自合同签订之日起</w:t>
      </w:r>
      <w:r>
        <w:rPr>
          <w:rFonts w:hint="eastAsia" w:ascii="宋体" w:hAnsi="宋体" w:cs="宋体"/>
          <w:sz w:val="24"/>
          <w:highlight w:val="none"/>
        </w:rPr>
        <w:t xml:space="preserve">至2028年7月31日。</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w:t>
      </w:r>
      <w:r>
        <w:rPr>
          <w:rFonts w:ascii="宋体" w:hAnsi="宋体" w:cs="宋体"/>
          <w:sz w:val="24"/>
          <w:highlight w:val="none"/>
        </w:rPr>
        <w:t xml:space="preserve">本项目是否接受联合体投标:否</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w:t>
      </w:r>
      <w:r>
        <w:rPr>
          <w:rFonts w:ascii="宋体" w:hAnsi="宋体" w:cs="宋体"/>
          <w:sz w:val="24"/>
          <w:highlight w:val="none"/>
        </w:rPr>
        <w:t xml:space="preserve">.本项目是否接受分支机构参与响应:否</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rPr>
          <w:rFonts w:ascii="宋体" w:hAnsi="宋体" w:cs="宋体"/>
          <w:sz w:val="24"/>
          <w:highlight w:val="none"/>
        </w:rPr>
        <w:t xml:space="preserve">.是否属于政府购买服务:</w:t>
      </w:r>
      <w:r>
        <w:rPr>
          <w:rFonts w:hint="eastAsia" w:ascii="宋体" w:hAnsi="宋体" w:cs="宋体"/>
          <w:sz w:val="24"/>
          <w:highlight w:val="none"/>
        </w:rPr>
        <w:t xml:space="preserve">否</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rPr>
          <w:rFonts w:ascii="宋体" w:hAnsi="宋体" w:cs="宋体"/>
          <w:sz w:val="24"/>
          <w:highlight w:val="none"/>
        </w:rPr>
        <w:t xml:space="preserve">.本项目是否接受进口产品投标:否</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w:t>
      </w:r>
      <w:r>
        <w:rPr>
          <w:rFonts w:ascii="宋体" w:hAnsi="宋体" w:cs="宋体"/>
          <w:sz w:val="24"/>
          <w:highlight w:val="none"/>
        </w:rPr>
        <w:t xml:space="preserve">.是否专门面向中小企业预留采购份额:是</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11.本项目的特定资格要求：无</w:t>
      </w:r>
      <w:r>
        <w:rPr>
          <w:highlight w:val="none"/>
        </w:rPr>
      </w:r>
      <w:r/>
    </w:p>
    <w:p>
      <w:pPr>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 项目类别：服务类</w:t>
      </w:r>
      <w:r>
        <w:rPr>
          <w:highlight w:val="none"/>
        </w:rPr>
      </w:r>
      <w:r/>
    </w:p>
    <w:p>
      <w:pPr>
        <w:rPr>
          <w:rFonts w:hint="eastAsia" w:ascii="宋体" w:hAnsi="宋体" w:cs="宋体"/>
          <w:sz w:val="24"/>
          <w:highlight w:val="none"/>
        </w:rPr>
      </w:pPr>
      <w:r>
        <w:rPr>
          <w:rFonts w:hint="eastAsia" w:ascii="宋体" w:hAnsi="宋体"/>
          <w:bCs/>
          <w:sz w:val="24"/>
          <w:highlight w:val="none"/>
        </w:rPr>
        <w:t xml:space="preserve">13.</w:t>
      </w:r>
      <w:r>
        <w:rPr>
          <w:rFonts w:ascii="宋体" w:hAnsi="宋体"/>
          <w:sz w:val="24"/>
          <w:highlight w:val="none"/>
        </w:rPr>
        <w:t xml:space="preserve"> 是</w:t>
      </w:r>
      <w:r>
        <w:rPr>
          <w:rFonts w:hint="eastAsia" w:ascii="宋体" w:hAnsi="宋体"/>
          <w:sz w:val="24"/>
          <w:highlight w:val="none"/>
        </w:rPr>
        <w:t xml:space="preserve">/</w:t>
      </w:r>
      <w:r>
        <w:rPr>
          <w:rFonts w:ascii="宋体" w:hAnsi="宋体"/>
          <w:sz w:val="24"/>
          <w:highlight w:val="none"/>
        </w:rPr>
        <w:t xml:space="preserve">否</w:t>
      </w:r>
      <w:r>
        <w:rPr>
          <w:rFonts w:hint="eastAsia"/>
          <w:sz w:val="24"/>
          <w:highlight w:val="none"/>
        </w:rPr>
        <w:t xml:space="preserve">包含产品采购</w:t>
      </w:r>
      <w:r>
        <w:rPr>
          <w:sz w:val="24"/>
          <w:highlight w:val="none"/>
        </w:rPr>
        <w:t xml:space="preserve">：</w:t>
      </w:r>
      <w:r>
        <w:rPr>
          <w:rFonts w:hint="eastAsia"/>
          <w:sz w:val="24"/>
          <w:highlight w:val="none"/>
        </w:rPr>
        <w:t xml:space="preserve">否</w:t>
      </w:r>
      <w:r>
        <w:rPr>
          <w:highlight w:val="none"/>
        </w:rPr>
      </w:r>
      <w:r/>
    </w:p>
    <w:p>
      <w:pPr>
        <w:rPr>
          <w:rFonts w:hint="eastAsia" w:ascii="宋体" w:hAnsi="宋体"/>
          <w:sz w:val="24"/>
          <w:highlight w:val="none"/>
        </w:rPr>
      </w:pPr>
      <w:r>
        <w:rPr>
          <w:rFonts w:hint="eastAsia" w:ascii="宋体" w:hAnsi="宋体"/>
          <w:sz w:val="24"/>
          <w:highlight w:val="none"/>
        </w:rPr>
      </w:r>
      <w:r>
        <w:rPr>
          <w:highlight w:val="none"/>
        </w:rPr>
      </w:r>
      <w:r/>
    </w:p>
    <w:p>
      <w:pPr>
        <w:pStyle w:val="1033"/>
        <w:numPr>
          <w:ilvl w:val="0"/>
          <w:numId w:val="4"/>
        </w:numPr>
        <w:jc w:val="both"/>
        <w:widowControl w:val="off"/>
        <w:rPr>
          <w:rFonts w:ascii="Times New Roman" w:hAnsi="Times New Roman"/>
          <w:b/>
          <w:highlight w:val="none"/>
        </w:rPr>
      </w:pPr>
      <w:r>
        <w:rPr>
          <w:rFonts w:ascii="Times New Roman" w:hAnsi="Times New Roman"/>
          <w:b/>
          <w:highlight w:val="none"/>
          <w:lang w:eastAsia="zh-CN"/>
        </w:rPr>
        <w:t xml:space="preserve">商务要求</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1.实施的时间和地点</w:t>
      </w:r>
      <w:r>
        <w:rPr>
          <w:highlight w:val="none"/>
        </w:rPr>
      </w:r>
      <w:r/>
    </w:p>
    <w:p>
      <w:pPr>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（1）实施的时间</w:t>
      </w:r>
      <w:r>
        <w:rPr>
          <w:rFonts w:hint="eastAsia" w:ascii="宋体" w:hAnsi="宋体" w:cs="宋体"/>
          <w:color w:val="000000"/>
          <w:sz w:val="24"/>
          <w:highlight w:val="none"/>
        </w:rPr>
        <w:t xml:space="preserve">：</w:t>
      </w:r>
      <w:r>
        <w:rPr>
          <w:rFonts w:ascii="宋体" w:hAnsi="宋体" w:cs="宋体"/>
          <w:color w:val="000000"/>
          <w:sz w:val="24"/>
          <w:highlight w:val="none"/>
        </w:rPr>
        <w:t xml:space="preserve">自合同签订之日起</w:t>
      </w:r>
      <w:r>
        <w:rPr>
          <w:rFonts w:hint="eastAsia" w:ascii="宋体" w:hAnsi="宋体" w:cs="宋体"/>
          <w:color w:val="000000"/>
          <w:sz w:val="24"/>
          <w:highlight w:val="none"/>
        </w:rPr>
        <w:t xml:space="preserve">至2028年7月31日。</w:t>
      </w:r>
      <w:r>
        <w:rPr>
          <w:highlight w:val="none"/>
        </w:rPr>
      </w:r>
      <w:r/>
    </w:p>
    <w:p>
      <w:pPr>
        <w:spacing w:line="400" w:lineRule="exact"/>
        <w:rPr>
          <w:rFonts w:hint="eastAsia"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w:t>
      </w:r>
      <w:r>
        <w:rPr>
          <w:rFonts w:hint="eastAsia" w:ascii="宋体" w:hAnsi="宋体"/>
          <w:sz w:val="24"/>
          <w:highlight w:val="none"/>
        </w:rPr>
        <w:t xml:space="preserve"> 各采购单位。</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2.合同款项支付</w:t>
      </w:r>
      <w:r>
        <w:rPr>
          <w:highlight w:val="none"/>
        </w:rPr>
      </w:r>
      <w:r/>
    </w:p>
    <w:p>
      <w:pPr>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（1）甲方每月根据考核细则对乙方服务质量进行考核，根据考核情况每3个月结算一次服务费，考核扣款在服务费结算时扣除。</w:t>
      </w:r>
      <w:r>
        <w:rPr>
          <w:highlight w:val="none"/>
        </w:rPr>
      </w:r>
      <w:r/>
    </w:p>
    <w:p>
      <w:pPr>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本合同执行期间，如确需增加或减少物业服务人员（不包含30天内临时增加），由甲方根据实际将调整方案报上级主管部门审批同意后实施，并按照物业公司本次投标报价中的各岗位单价按实结算物业管理费。</w:t>
      </w:r>
      <w:r>
        <w:rPr>
          <w:highlight w:val="none"/>
        </w:rPr>
      </w:r>
      <w:r/>
    </w:p>
    <w:p>
      <w:pPr>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（3）双方确认乙方派出的人员系乙方履约合同行为，人员与甲方不存在劳动关系，甲方除按本合同约定支付乙方服务费用,对乙方均不再承担其他责任及费用。</w:t>
      </w:r>
      <w:r>
        <w:rPr>
          <w:highlight w:val="none"/>
        </w:rPr>
      </w:r>
      <w:r/>
    </w:p>
    <w:p>
      <w:pPr>
        <w:spacing w:before="156" w:after="156"/>
        <w:rPr>
          <w:rFonts w:hint="eastAsia" w:ascii="宋体" w:hAnsi="宋体"/>
          <w:sz w:val="24"/>
          <w:highlight w:val="none"/>
        </w:rPr>
      </w:pPr>
      <w:r>
        <w:rPr>
          <w:rFonts w:hint="eastAsia" w:ascii="宋体" w:hAnsi="宋体"/>
          <w:sz w:val="24"/>
          <w:highlight w:val="none"/>
        </w:rPr>
        <w:t xml:space="preserve">（4）满足合同约定支付条件的，自收到发票后10个工作日内支付。</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三、人员配置及要求</w:t>
      </w:r>
      <w:r>
        <w:rPr>
          <w:highlight w:val="none"/>
        </w:rPr>
      </w:r>
      <w:r/>
    </w:p>
    <w:p>
      <w:pPr>
        <w:spacing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1.人员配置</w:t>
      </w:r>
      <w:r>
        <w:rPr>
          <w:rFonts w:hint="eastAsia" w:ascii="宋体" w:hAnsi="宋体" w:cs="宋体"/>
          <w:b/>
          <w:color w:val="000000"/>
          <w:sz w:val="24"/>
          <w:highlight w:val="none"/>
        </w:rPr>
        <w:t xml:space="preserve">及数量</w:t>
      </w:r>
      <w:r>
        <w:rPr>
          <w:highlight w:val="none"/>
        </w:rPr>
      </w:r>
      <w:r/>
    </w:p>
    <w:p>
      <w:pPr>
        <w:spacing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人员配置</w:t>
      </w:r>
      <w:r>
        <w:rPr>
          <w:rFonts w:hint="eastAsia" w:ascii="宋体" w:hAnsi="宋体" w:cs="宋体"/>
          <w:b/>
          <w:color w:val="000000"/>
          <w:sz w:val="24"/>
          <w:highlight w:val="none"/>
        </w:rPr>
        <w:t xml:space="preserve">、数量及进场时间</w:t>
      </w:r>
      <w:r>
        <w:rPr>
          <w:highlight w:val="none"/>
        </w:rPr>
      </w:r>
      <w:r/>
    </w:p>
    <w:tbl>
      <w:tblPr>
        <w:tblStyle w:val="793"/>
        <w:tblW w:w="9236" w:type="dxa"/>
        <w:tblInd w:w="0" w:type="dxa"/>
        <w:tblLayout w:type="fixed"/>
        <w:tblCellMar>
          <w:left w:w="108" w:type="dxa"/>
          <w:top w:w="0" w:type="dxa"/>
          <w:right w:w="108" w:type="dxa"/>
          <w:bottom w:w="0" w:type="dxa"/>
        </w:tblCellMar>
        <w:tblLook w:val="04A0" w:firstRow="1" w:lastRow="0" w:firstColumn="1" w:lastColumn="0" w:noHBand="0" w:noVBand="1"/>
      </w:tblPr>
      <w:tblGrid>
        <w:gridCol w:w="1023"/>
        <w:gridCol w:w="3281"/>
        <w:gridCol w:w="2466"/>
        <w:gridCol w:w="2466"/>
      </w:tblGrid>
      <w:tr>
        <w:trPr>
          <w:trHeight w:val="64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项目</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市北</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明德</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保洁人员（含简单绿化养护）</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5</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水电及零星维修工</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保安主管（队长）</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保安员</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3</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本次招标进场时间</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2026年9月1日</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2026年8月1日</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合同履行期限</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2028年7月31日</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2028年7月31日</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服务时间（月）</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23</w:t>
            </w:r>
            <w:r>
              <w:rPr>
                <w:highlight w:val="none"/>
              </w:rPr>
            </w:r>
            <w:r/>
          </w:p>
        </w:tc>
        <w:tc>
          <w:tcPr>
            <w:tcBorders>
              <w:top w:val="single" w:color="000000" w:sz="4" w:space="0"/>
              <w:left w:val="single" w:color="000000" w:sz="4" w:space="0"/>
              <w:bottom w:val="single" w:color="000000" w:sz="4" w:space="0"/>
              <w:right w:val="single" w:color="000000" w:sz="4" w:space="0"/>
            </w:tcBorders>
            <w:tcW w:w="246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24</w:t>
            </w:r>
            <w:r>
              <w:rPr>
                <w:highlight w:val="none"/>
              </w:rPr>
            </w:r>
            <w:r/>
          </w:p>
        </w:tc>
      </w:tr>
    </w:tbl>
    <w:p>
      <w:pPr>
        <w:spacing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Cs/>
          <w:i/>
          <w:iCs/>
          <w:sz w:val="24"/>
          <w:highlight w:val="none"/>
        </w:rPr>
        <w:t xml:space="preserve">★</w:t>
      </w:r>
      <w:r>
        <w:rPr>
          <w:rStyle w:val="836"/>
          <w:rFonts w:hint="eastAsia" w:ascii="宋体" w:hAnsi="宋体" w:cs="宋体"/>
          <w:b/>
          <w:i/>
          <w:iCs/>
          <w:color w:val="000000"/>
          <w:sz w:val="24"/>
          <w:highlight w:val="none"/>
        </w:rPr>
        <w:t xml:space="preserve">（2）投标供应商须提供承诺函（格式自拟），承诺按“人员配置及数量”的要求提供对应岗位服务人员，并按规定的时间进场服务，进场前配合采购人做好与前任服务企业的交接工作。服务期满，配合采购人做好与下任服务企业的交接工作。</w:t>
      </w:r>
      <w:r>
        <w:rPr>
          <w:highlight w:val="none"/>
        </w:rPr>
      </w:r>
      <w:r/>
    </w:p>
    <w:p>
      <w:pPr>
        <w:spacing w:before="156" w:after="156"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ascii="宋体" w:hAnsi="宋体" w:cs="宋体"/>
          <w:bCs/>
          <w:sz w:val="24"/>
          <w:highlight w:val="none"/>
        </w:rPr>
        <w:t xml:space="preserve">2.人员要求</w:t>
      </w:r>
      <w:r>
        <w:rPr>
          <w:highlight w:val="none"/>
        </w:rPr>
      </w:r>
      <w:r/>
    </w:p>
    <w:tbl>
      <w:tblPr>
        <w:tblStyle w:val="793"/>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
        <w:gridCol w:w="952"/>
        <w:gridCol w:w="466"/>
        <w:gridCol w:w="469"/>
        <w:gridCol w:w="5466"/>
        <w:gridCol w:w="1408"/>
      </w:tblGrid>
      <w:tr>
        <w:trPr/>
        <w:tc>
          <w:tcPr>
            <w:tcW w:w="474" w:type="dxa"/>
            <w:vAlign w:val="center"/>
            <w:vMerge w:val="restart"/>
            <w:textDirection w:val="lrTb"/>
            <w:noWrap w:val="false"/>
          </w:tcPr>
          <w:p>
            <w:pPr>
              <w:jc w:val="center"/>
              <w:rPr>
                <w:highlight w:val="none"/>
              </w:rPr>
            </w:pPr>
            <w:r>
              <w:rPr>
                <w:rFonts w:hint="eastAsia"/>
                <w:highlight w:val="none"/>
              </w:rPr>
              <w:t xml:space="preserve">序号</w:t>
            </w:r>
            <w:r>
              <w:rPr>
                <w:highlight w:val="none"/>
              </w:rPr>
            </w:r>
            <w:r/>
          </w:p>
        </w:tc>
        <w:tc>
          <w:tcPr>
            <w:tcW w:w="952" w:type="dxa"/>
            <w:vAlign w:val="center"/>
            <w:vMerge w:val="restart"/>
            <w:textDirection w:val="lrTb"/>
            <w:noWrap w:val="false"/>
          </w:tcPr>
          <w:p>
            <w:pPr>
              <w:jc w:val="center"/>
              <w:rPr>
                <w:highlight w:val="none"/>
              </w:rPr>
            </w:pPr>
            <w:r>
              <w:rPr>
                <w:rFonts w:hint="eastAsia"/>
                <w:highlight w:val="none"/>
              </w:rPr>
              <w:t xml:space="preserve">岗位</w:t>
            </w:r>
            <w:r>
              <w:rPr>
                <w:highlight w:val="none"/>
              </w:rPr>
            </w:r>
            <w:r/>
          </w:p>
        </w:tc>
        <w:tc>
          <w:tcPr>
            <w:gridSpan w:val="2"/>
            <w:tcW w:w="935" w:type="dxa"/>
            <w:vAlign w:val="center"/>
            <w:textDirection w:val="lrTb"/>
            <w:noWrap w:val="false"/>
          </w:tcPr>
          <w:p>
            <w:pPr>
              <w:jc w:val="center"/>
              <w:rPr>
                <w:highlight w:val="none"/>
              </w:rPr>
            </w:pPr>
            <w:r>
              <w:rPr>
                <w:rFonts w:hint="eastAsia"/>
                <w:highlight w:val="none"/>
              </w:rPr>
              <w:t xml:space="preserve">年龄（</w:t>
            </w:r>
            <w:r>
              <w:rPr>
                <w:rFonts w:hint="eastAsia" w:ascii="宋体" w:hAnsi="宋体" w:cs="宋体"/>
                <w:highlight w:val="none"/>
              </w:rPr>
              <w:t xml:space="preserve">≦</w:t>
            </w:r>
            <w:r>
              <w:rPr>
                <w:rFonts w:hint="eastAsia"/>
                <w:highlight w:val="none"/>
              </w:rPr>
              <w:t xml:space="preserve">）</w:t>
            </w:r>
            <w:r>
              <w:rPr>
                <w:highlight w:val="none"/>
              </w:rPr>
            </w:r>
            <w:r/>
          </w:p>
        </w:tc>
        <w:tc>
          <w:tcPr>
            <w:tcW w:w="5466" w:type="dxa"/>
            <w:vAlign w:val="center"/>
            <w:vMerge w:val="restart"/>
            <w:textDirection w:val="lrTb"/>
            <w:noWrap w:val="false"/>
          </w:tcPr>
          <w:p>
            <w:pPr>
              <w:jc w:val="center"/>
              <w:rPr>
                <w:highlight w:val="none"/>
              </w:rPr>
            </w:pPr>
            <w:r>
              <w:rPr>
                <w:rFonts w:hint="eastAsia"/>
                <w:highlight w:val="none"/>
              </w:rPr>
              <w:t xml:space="preserve">资质要求</w:t>
            </w:r>
            <w:r>
              <w:rPr>
                <w:highlight w:val="none"/>
              </w:rPr>
            </w:r>
            <w:r/>
          </w:p>
        </w:tc>
        <w:tc>
          <w:tcPr>
            <w:tcW w:w="1408" w:type="dxa"/>
            <w:vAlign w:val="center"/>
            <w:vMerge w:val="restart"/>
            <w:textDirection w:val="lrTb"/>
            <w:noWrap w:val="false"/>
          </w:tcPr>
          <w:p>
            <w:pPr>
              <w:jc w:val="center"/>
              <w:rPr>
                <w:highlight w:val="none"/>
              </w:rPr>
            </w:pPr>
            <w:r>
              <w:rPr>
                <w:rFonts w:hint="eastAsia"/>
                <w:highlight w:val="none"/>
              </w:rPr>
              <w:t xml:space="preserve">备注</w:t>
            </w:r>
            <w:r>
              <w:rPr>
                <w:highlight w:val="none"/>
              </w:rPr>
            </w:r>
            <w:r/>
          </w:p>
        </w:tc>
      </w:tr>
      <w:tr>
        <w:trPr/>
        <w:tc>
          <w:tcPr>
            <w:tcW w:w="474" w:type="dxa"/>
            <w:vMerge w:val="continue"/>
            <w:textDirection w:val="lrTb"/>
            <w:noWrap w:val="false"/>
          </w:tcPr>
          <w:p>
            <w:r/>
            <w:r/>
          </w:p>
        </w:tc>
        <w:tc>
          <w:tcPr>
            <w:tcW w:w="952" w:type="dxa"/>
            <w:vMerge w:val="continue"/>
            <w:textDirection w:val="lrTb"/>
            <w:noWrap w:val="false"/>
          </w:tcPr>
          <w:p>
            <w:r/>
            <w:r/>
          </w:p>
        </w:tc>
        <w:tc>
          <w:tcPr>
            <w:tcW w:w="466" w:type="dxa"/>
            <w:textDirection w:val="lrTb"/>
            <w:noWrap w:val="false"/>
          </w:tcPr>
          <w:p>
            <w:pPr>
              <w:jc w:val="center"/>
              <w:rPr>
                <w:highlight w:val="none"/>
              </w:rPr>
            </w:pPr>
            <w:r>
              <w:rPr>
                <w:rFonts w:hint="eastAsia"/>
                <w:highlight w:val="none"/>
              </w:rPr>
              <w:t xml:space="preserve">男</w:t>
            </w:r>
            <w:r>
              <w:rPr>
                <w:highlight w:val="none"/>
              </w:rPr>
            </w:r>
            <w:r/>
          </w:p>
        </w:tc>
        <w:tc>
          <w:tcPr>
            <w:tcW w:w="469" w:type="dxa"/>
            <w:textDirection w:val="lrTb"/>
            <w:noWrap w:val="false"/>
          </w:tcPr>
          <w:p>
            <w:pPr>
              <w:jc w:val="center"/>
              <w:rPr>
                <w:highlight w:val="none"/>
              </w:rPr>
            </w:pPr>
            <w:r>
              <w:rPr>
                <w:rFonts w:hint="eastAsia"/>
                <w:highlight w:val="none"/>
              </w:rPr>
              <w:t xml:space="preserve">女</w:t>
            </w:r>
            <w:r>
              <w:rPr>
                <w:highlight w:val="none"/>
              </w:rPr>
            </w:r>
            <w:r/>
          </w:p>
        </w:tc>
        <w:tc>
          <w:tcPr>
            <w:tcW w:w="5466" w:type="dxa"/>
            <w:vMerge w:val="continue"/>
            <w:textDirection w:val="lrTb"/>
            <w:noWrap w:val="false"/>
          </w:tcPr>
          <w:p>
            <w:r/>
            <w:r/>
          </w:p>
        </w:tc>
        <w:tc>
          <w:tcPr>
            <w:tcW w:w="1408" w:type="dxa"/>
            <w:vMerge w:val="continue"/>
            <w:textDirection w:val="lrTb"/>
            <w:noWrap w:val="false"/>
          </w:tcPr>
          <w:p>
            <w:r/>
            <w:r/>
          </w:p>
        </w:tc>
      </w:tr>
      <w:tr>
        <w:trPr/>
        <w:tc>
          <w:tcPr>
            <w:tcW w:w="474" w:type="dxa"/>
            <w:vAlign w:val="center"/>
            <w:textDirection w:val="lrTb"/>
            <w:noWrap w:val="false"/>
          </w:tcPr>
          <w:p>
            <w:pPr>
              <w:jc w:val="center"/>
              <w:rPr>
                <w:highlight w:val="none"/>
              </w:rPr>
            </w:pPr>
            <w:r>
              <w:rPr>
                <w:rFonts w:hint="eastAsia"/>
                <w:highlight w:val="none"/>
              </w:rPr>
              <w:t xml:space="preserve">1</w:t>
            </w:r>
            <w:r>
              <w:rPr>
                <w:highlight w:val="none"/>
              </w:rPr>
            </w:r>
            <w:r/>
          </w:p>
        </w:tc>
        <w:tc>
          <w:tcPr>
            <w:tcW w:w="952" w:type="dxa"/>
            <w:vAlign w:val="center"/>
            <w:textDirection w:val="lrTb"/>
            <w:noWrap w:val="false"/>
          </w:tcPr>
          <w:p>
            <w:pPr>
              <w:jc w:val="center"/>
              <w:rPr>
                <w:highlight w:val="none"/>
              </w:rPr>
            </w:pPr>
            <w:r>
              <w:rPr>
                <w:rFonts w:hint="eastAsia"/>
                <w:highlight w:val="none"/>
              </w:rPr>
              <w:t xml:space="preserve">保洁</w:t>
            </w:r>
            <w:r>
              <w:rPr>
                <w:highlight w:val="none"/>
              </w:rPr>
            </w:r>
            <w:r/>
          </w:p>
        </w:tc>
        <w:tc>
          <w:tcPr>
            <w:tcW w:w="466" w:type="dxa"/>
            <w:vAlign w:val="center"/>
            <w:textDirection w:val="lrTb"/>
            <w:noWrap w:val="false"/>
          </w:tcPr>
          <w:p>
            <w:pPr>
              <w:jc w:val="center"/>
              <w:rPr>
                <w:highlight w:val="none"/>
              </w:rPr>
            </w:pPr>
            <w:r>
              <w:rPr>
                <w:rFonts w:hint="eastAsia"/>
                <w:highlight w:val="none"/>
              </w:rPr>
              <w:t xml:space="preserve">60</w:t>
            </w:r>
            <w:r>
              <w:rPr>
                <w:highlight w:val="none"/>
              </w:rPr>
            </w:r>
            <w:r/>
          </w:p>
        </w:tc>
        <w:tc>
          <w:tcPr>
            <w:tcW w:w="469" w:type="dxa"/>
            <w:vAlign w:val="center"/>
            <w:textDirection w:val="lrTb"/>
            <w:noWrap w:val="false"/>
          </w:tcPr>
          <w:p>
            <w:pPr>
              <w:jc w:val="center"/>
              <w:rPr>
                <w:highlight w:val="none"/>
              </w:rPr>
            </w:pPr>
            <w:r>
              <w:rPr>
                <w:rFonts w:hint="eastAsia"/>
                <w:highlight w:val="none"/>
              </w:rPr>
              <w:t xml:space="preserve">50</w:t>
            </w:r>
            <w:r>
              <w:rPr>
                <w:highlight w:val="none"/>
              </w:rPr>
            </w:r>
            <w:r/>
          </w:p>
        </w:tc>
        <w:tc>
          <w:tcPr>
            <w:tcW w:w="5466" w:type="dxa"/>
            <w:textDirection w:val="lrTb"/>
            <w:noWrap w:val="false"/>
          </w:tcPr>
          <w:p>
            <w:pPr>
              <w:rPr>
                <w:highlight w:val="none"/>
              </w:rPr>
            </w:pPr>
            <w:r>
              <w:rPr>
                <w:highlight w:val="none"/>
              </w:rPr>
              <w:t xml:space="preserve">提供公安机关出具的无违法犯罪记录证明</w:t>
            </w:r>
            <w:r>
              <w:rPr>
                <w:rFonts w:hint="eastAsia"/>
                <w:highlight w:val="none"/>
              </w:rPr>
              <w:t xml:space="preserve">，</w:t>
            </w:r>
            <w:r>
              <w:rPr>
                <w:highlight w:val="none"/>
              </w:rPr>
              <w:t xml:space="preserve">提供</w:t>
            </w:r>
            <w:r>
              <w:rPr>
                <w:rFonts w:hint="eastAsia"/>
                <w:highlight w:val="none"/>
              </w:rPr>
              <w:t xml:space="preserve">有效期内的</w:t>
            </w:r>
            <w:r>
              <w:rPr>
                <w:highlight w:val="none"/>
              </w:rPr>
              <w:t xml:space="preserve">健康证明。</w:t>
            </w:r>
            <w:r>
              <w:rPr>
                <w:highlight w:val="none"/>
              </w:rPr>
            </w:r>
            <w:r/>
          </w:p>
        </w:tc>
        <w:tc>
          <w:tcPr>
            <w:tcW w:w="1408" w:type="dxa"/>
            <w:textDirection w:val="lrTb"/>
            <w:noWrap w:val="false"/>
          </w:tcPr>
          <w:p>
            <w:pPr>
              <w:rPr>
                <w:highlight w:val="none"/>
              </w:rPr>
            </w:pPr>
            <w:r>
              <w:rPr>
                <w:highlight w:val="none"/>
              </w:rPr>
            </w:r>
            <w:r>
              <w:rPr>
                <w:highlight w:val="none"/>
              </w:rPr>
            </w:r>
            <w:r/>
          </w:p>
        </w:tc>
      </w:tr>
      <w:tr>
        <w:trPr/>
        <w:tc>
          <w:tcPr>
            <w:tcW w:w="474" w:type="dxa"/>
            <w:vAlign w:val="center"/>
            <w:textDirection w:val="lrTb"/>
            <w:noWrap w:val="false"/>
          </w:tcPr>
          <w:p>
            <w:pPr>
              <w:jc w:val="center"/>
              <w:rPr>
                <w:highlight w:val="none"/>
              </w:rPr>
            </w:pPr>
            <w:r>
              <w:rPr>
                <w:rFonts w:hint="eastAsia"/>
                <w:highlight w:val="none"/>
              </w:rPr>
              <w:t xml:space="preserve">2</w:t>
            </w:r>
            <w:r>
              <w:rPr>
                <w:highlight w:val="none"/>
              </w:rPr>
            </w:r>
            <w:r/>
          </w:p>
        </w:tc>
        <w:tc>
          <w:tcPr>
            <w:tcW w:w="952" w:type="dxa"/>
            <w:vAlign w:val="center"/>
            <w:textDirection w:val="lrTb"/>
            <w:noWrap w:val="false"/>
          </w:tcPr>
          <w:p>
            <w:pPr>
              <w:jc w:val="center"/>
              <w:rPr>
                <w:highlight w:val="none"/>
              </w:rPr>
            </w:pPr>
            <w:r>
              <w:rPr>
                <w:rFonts w:hint="eastAsia"/>
                <w:highlight w:val="none"/>
              </w:rPr>
              <w:t xml:space="preserve">水电及零星维修</w:t>
            </w:r>
            <w:r>
              <w:rPr>
                <w:highlight w:val="none"/>
              </w:rPr>
            </w:r>
            <w:r/>
          </w:p>
        </w:tc>
        <w:tc>
          <w:tcPr>
            <w:tcW w:w="466" w:type="dxa"/>
            <w:vAlign w:val="center"/>
            <w:textDirection w:val="lrTb"/>
            <w:noWrap w:val="false"/>
          </w:tcPr>
          <w:p>
            <w:pPr>
              <w:jc w:val="center"/>
              <w:rPr>
                <w:highlight w:val="none"/>
              </w:rPr>
            </w:pPr>
            <w:r>
              <w:rPr>
                <w:rFonts w:hint="eastAsia"/>
                <w:highlight w:val="none"/>
              </w:rPr>
              <w:t xml:space="preserve">50</w:t>
            </w:r>
            <w:r>
              <w:rPr>
                <w:highlight w:val="none"/>
              </w:rPr>
            </w:r>
            <w:r/>
          </w:p>
        </w:tc>
        <w:tc>
          <w:tcPr>
            <w:tcW w:w="469" w:type="dxa"/>
            <w:vAlign w:val="center"/>
            <w:textDirection w:val="lrTb"/>
            <w:noWrap w:val="false"/>
          </w:tcPr>
          <w:p>
            <w:pPr>
              <w:jc w:val="center"/>
              <w:rPr>
                <w:highlight w:val="none"/>
              </w:rPr>
            </w:pPr>
            <w:r>
              <w:rPr>
                <w:rFonts w:hint="eastAsia"/>
                <w:highlight w:val="none"/>
              </w:rPr>
              <w:t xml:space="preserve">45</w:t>
            </w:r>
            <w:r>
              <w:rPr>
                <w:highlight w:val="none"/>
              </w:rPr>
            </w:r>
            <w:r/>
          </w:p>
        </w:tc>
        <w:tc>
          <w:tcPr>
            <w:tcW w:w="5466" w:type="dxa"/>
            <w:textDirection w:val="lrTb"/>
            <w:noWrap w:val="false"/>
          </w:tcPr>
          <w:p>
            <w:pPr>
              <w:rPr>
                <w:highlight w:val="none"/>
              </w:rPr>
            </w:pPr>
            <w:r>
              <w:rPr>
                <w:rFonts w:hint="eastAsia"/>
                <w:highlight w:val="none"/>
              </w:rPr>
              <w:t xml:space="preserve">具有应急管理部门颁发的低压及高压操作证，提供公安机关出具的无违法犯罪记录证明。提供有效期内的健康证明。</w:t>
            </w:r>
            <w:r>
              <w:rPr>
                <w:highlight w:val="none"/>
              </w:rPr>
            </w:r>
            <w:r/>
          </w:p>
        </w:tc>
        <w:tc>
          <w:tcPr>
            <w:tcW w:w="1408" w:type="dxa"/>
            <w:textDirection w:val="lrTb"/>
            <w:noWrap w:val="false"/>
          </w:tcPr>
          <w:p>
            <w:pPr>
              <w:rPr>
                <w:highlight w:val="none"/>
              </w:rPr>
            </w:pPr>
            <w:r>
              <w:rPr>
                <w:highlight w:val="none"/>
              </w:rPr>
            </w:r>
            <w:r>
              <w:rPr>
                <w:highlight w:val="none"/>
              </w:rPr>
            </w:r>
            <w:r/>
          </w:p>
        </w:tc>
      </w:tr>
      <w:tr>
        <w:trPr/>
        <w:tc>
          <w:tcPr>
            <w:tcW w:w="474" w:type="dxa"/>
            <w:vAlign w:val="center"/>
            <w:textDirection w:val="lrTb"/>
            <w:noWrap w:val="false"/>
          </w:tcPr>
          <w:p>
            <w:pPr>
              <w:jc w:val="center"/>
              <w:rPr>
                <w:highlight w:val="none"/>
              </w:rPr>
            </w:pPr>
            <w:r>
              <w:rPr>
                <w:rFonts w:hint="eastAsia"/>
                <w:highlight w:val="none"/>
              </w:rPr>
              <w:t xml:space="preserve">3</w:t>
            </w:r>
            <w:r>
              <w:rPr>
                <w:highlight w:val="none"/>
              </w:rPr>
            </w:r>
            <w:r/>
          </w:p>
        </w:tc>
        <w:tc>
          <w:tcPr>
            <w:tcW w:w="952" w:type="dxa"/>
            <w:vAlign w:val="center"/>
            <w:textDirection w:val="lrTb"/>
            <w:noWrap w:val="false"/>
          </w:tcPr>
          <w:p>
            <w:pPr>
              <w:jc w:val="center"/>
              <w:rPr>
                <w:highlight w:val="none"/>
              </w:rPr>
            </w:pPr>
            <w:r>
              <w:rPr>
                <w:rFonts w:hint="eastAsia"/>
                <w:highlight w:val="none"/>
              </w:rPr>
              <w:t xml:space="preserve">保安主管（队长）</w:t>
            </w:r>
            <w:r>
              <w:rPr>
                <w:highlight w:val="none"/>
              </w:rPr>
            </w:r>
            <w:r/>
          </w:p>
        </w:tc>
        <w:tc>
          <w:tcPr>
            <w:tcW w:w="466" w:type="dxa"/>
            <w:vAlign w:val="center"/>
            <w:textDirection w:val="lrTb"/>
            <w:noWrap w:val="false"/>
          </w:tcPr>
          <w:p>
            <w:pPr>
              <w:jc w:val="center"/>
              <w:rPr>
                <w:highlight w:val="none"/>
              </w:rPr>
            </w:pPr>
            <w:r>
              <w:rPr>
                <w:rFonts w:hint="eastAsia"/>
                <w:highlight w:val="none"/>
              </w:rPr>
              <w:t xml:space="preserve">60</w:t>
            </w:r>
            <w:r>
              <w:rPr>
                <w:highlight w:val="none"/>
              </w:rPr>
            </w:r>
            <w:r/>
          </w:p>
        </w:tc>
        <w:tc>
          <w:tcPr>
            <w:tcW w:w="469" w:type="dxa"/>
            <w:vAlign w:val="center"/>
            <w:textDirection w:val="lrTb"/>
            <w:noWrap w:val="false"/>
          </w:tcPr>
          <w:p>
            <w:pPr>
              <w:jc w:val="center"/>
              <w:rPr>
                <w:highlight w:val="none"/>
              </w:rPr>
            </w:pPr>
            <w:r>
              <w:rPr>
                <w:rFonts w:hint="eastAsia"/>
                <w:highlight w:val="none"/>
              </w:rPr>
              <w:t xml:space="preserve">---</w:t>
            </w:r>
            <w:r>
              <w:rPr>
                <w:highlight w:val="none"/>
              </w:rPr>
            </w:r>
            <w:r/>
          </w:p>
        </w:tc>
        <w:tc>
          <w:tcPr>
            <w:tcW w:w="5466" w:type="dxa"/>
            <w:textDirection w:val="lrTb"/>
            <w:noWrap w:val="false"/>
          </w:tcPr>
          <w:p>
            <w:pPr>
              <w:rPr>
                <w:highlight w:val="none"/>
              </w:rPr>
            </w:pPr>
            <w:r>
              <w:rPr>
                <w:rFonts w:hint="eastAsia"/>
                <w:highlight w:val="none"/>
              </w:rPr>
              <w:t xml:space="preserve">具备保安员上岗证，首聘年龄不超过50岁，具有建（构）筑物消防员或消防设施操作员四级（中级）以上证书。提供公安机关出具的无违法犯罪记录证明。提供有效期内的健康证明。</w:t>
            </w:r>
            <w:r>
              <w:rPr>
                <w:highlight w:val="none"/>
              </w:rPr>
            </w:r>
            <w:r/>
          </w:p>
        </w:tc>
        <w:tc>
          <w:tcPr>
            <w:tcW w:w="1408" w:type="dxa"/>
            <w:textDirection w:val="lrTb"/>
            <w:noWrap w:val="false"/>
          </w:tcPr>
          <w:p>
            <w:pPr>
              <w:rPr>
                <w:highlight w:val="none"/>
              </w:rPr>
            </w:pPr>
            <w:r>
              <w:rPr>
                <w:highlight w:val="none"/>
              </w:rPr>
            </w:r>
            <w:r>
              <w:rPr>
                <w:highlight w:val="none"/>
              </w:rPr>
            </w:r>
            <w:r/>
          </w:p>
        </w:tc>
      </w:tr>
      <w:tr>
        <w:trPr/>
        <w:tc>
          <w:tcPr>
            <w:tcW w:w="474" w:type="dxa"/>
            <w:vAlign w:val="center"/>
            <w:textDirection w:val="lrTb"/>
            <w:noWrap w:val="false"/>
          </w:tcPr>
          <w:p>
            <w:pPr>
              <w:jc w:val="center"/>
              <w:rPr>
                <w:highlight w:val="none"/>
              </w:rPr>
            </w:pPr>
            <w:r>
              <w:rPr>
                <w:rFonts w:hint="eastAsia"/>
                <w:highlight w:val="none"/>
              </w:rPr>
              <w:t xml:space="preserve">4</w:t>
            </w:r>
            <w:r>
              <w:rPr>
                <w:highlight w:val="none"/>
              </w:rPr>
            </w:r>
            <w:r/>
          </w:p>
        </w:tc>
        <w:tc>
          <w:tcPr>
            <w:tcW w:w="952" w:type="dxa"/>
            <w:vAlign w:val="center"/>
            <w:textDirection w:val="lrTb"/>
            <w:noWrap w:val="false"/>
          </w:tcPr>
          <w:p>
            <w:pPr>
              <w:jc w:val="center"/>
              <w:rPr>
                <w:highlight w:val="none"/>
              </w:rPr>
            </w:pPr>
            <w:r>
              <w:rPr>
                <w:rFonts w:hint="eastAsia"/>
                <w:highlight w:val="none"/>
              </w:rPr>
              <w:t xml:space="preserve">保安员</w:t>
            </w:r>
            <w:r>
              <w:rPr>
                <w:highlight w:val="none"/>
              </w:rPr>
            </w:r>
            <w:r/>
          </w:p>
        </w:tc>
        <w:tc>
          <w:tcPr>
            <w:tcW w:w="466" w:type="dxa"/>
            <w:vAlign w:val="center"/>
            <w:textDirection w:val="lrTb"/>
            <w:noWrap w:val="false"/>
          </w:tcPr>
          <w:p>
            <w:pPr>
              <w:jc w:val="center"/>
              <w:rPr>
                <w:highlight w:val="none"/>
              </w:rPr>
            </w:pPr>
            <w:r>
              <w:rPr>
                <w:rFonts w:hint="eastAsia"/>
                <w:highlight w:val="none"/>
              </w:rPr>
              <w:t xml:space="preserve">60</w:t>
            </w:r>
            <w:r>
              <w:rPr>
                <w:highlight w:val="none"/>
              </w:rPr>
            </w:r>
            <w:r/>
          </w:p>
        </w:tc>
        <w:tc>
          <w:tcPr>
            <w:tcW w:w="469" w:type="dxa"/>
            <w:vAlign w:val="center"/>
            <w:textDirection w:val="lrTb"/>
            <w:noWrap w:val="false"/>
          </w:tcPr>
          <w:p>
            <w:pPr>
              <w:jc w:val="center"/>
              <w:rPr>
                <w:highlight w:val="none"/>
              </w:rPr>
            </w:pPr>
            <w:r>
              <w:rPr>
                <w:rFonts w:hint="eastAsia"/>
                <w:highlight w:val="none"/>
              </w:rPr>
              <w:t xml:space="preserve">---</w:t>
            </w:r>
            <w:r>
              <w:rPr>
                <w:highlight w:val="none"/>
              </w:rPr>
            </w:r>
            <w:r/>
          </w:p>
        </w:tc>
        <w:tc>
          <w:tcPr>
            <w:tcW w:w="5466" w:type="dxa"/>
            <w:textDirection w:val="lrTb"/>
            <w:noWrap w:val="false"/>
          </w:tcPr>
          <w:p>
            <w:pPr>
              <w:rPr>
                <w:highlight w:val="none"/>
              </w:rPr>
            </w:pPr>
            <w:r>
              <w:rPr>
                <w:rFonts w:hint="eastAsia"/>
                <w:highlight w:val="none"/>
              </w:rPr>
              <w:t xml:space="preserve">具备保安员上岗证，首聘年龄不超过50岁，其中兼任消控岗的须具有建（构）筑物消防员或消防设施操作员四级（中级）以上证书。55周岁以下的保安必须占比全体保安人数的50%。</w:t>
            </w:r>
            <w:r>
              <w:rPr>
                <w:highlight w:val="none"/>
              </w:rPr>
            </w:r>
            <w:r/>
          </w:p>
        </w:tc>
        <w:tc>
          <w:tcPr>
            <w:tcW w:w="1408" w:type="dxa"/>
            <w:textDirection w:val="lrTb"/>
            <w:noWrap w:val="false"/>
          </w:tcPr>
          <w:p>
            <w:pPr>
              <w:rPr>
                <w:highlight w:val="none"/>
              </w:rPr>
            </w:pPr>
            <w:r>
              <w:rPr>
                <w:highlight w:val="none"/>
              </w:rPr>
            </w:r>
            <w:r>
              <w:rPr>
                <w:highlight w:val="none"/>
              </w:rPr>
            </w:r>
            <w:r/>
          </w:p>
        </w:tc>
      </w:tr>
    </w:tbl>
    <w:p>
      <w:pPr>
        <w:spacing w:after="156"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rPr>
          <w:rFonts w:hint="eastAsia" w:ascii="宋体" w:hAnsi="宋体" w:cs="宋体"/>
          <w:color w:val="000000"/>
          <w:sz w:val="24"/>
          <w:highlight w:val="none"/>
        </w:rPr>
        <w:br/>
      </w:r>
      <w:r>
        <w:rPr>
          <w:rFonts w:hint="eastAsia" w:ascii="宋体" w:hAnsi="宋体" w:cs="宋体"/>
          <w:color w:val="000000"/>
          <w:sz w:val="24"/>
          <w:highlight w:val="none"/>
        </w:rPr>
        <w:t xml:space="preserve">1. 年龄为“---”的表示不接受此性别。</w:t>
      </w:r>
      <w:r>
        <w:rPr>
          <w:highlight w:val="none"/>
        </w:rPr>
      </w:r>
      <w:r/>
    </w:p>
    <w:p>
      <w:pPr>
        <w:spacing w:after="156" w:line="400" w:lineRule="exact"/>
        <w:rPr>
          <w:rFonts w:hint="eastAsia" w:ascii="宋体" w:hAnsi="宋体" w:cs="宋体"/>
          <w:i/>
          <w:iCs/>
          <w:color w:val="000000"/>
          <w:sz w:val="24"/>
          <w:highlight w:val="none"/>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highlight w:val="none"/>
        </w:rPr>
        <w:t xml:space="preserve">★</w:t>
      </w:r>
      <w:r>
        <w:rPr>
          <w:rFonts w:hint="eastAsia" w:ascii="宋体" w:hAnsi="宋体" w:cs="宋体"/>
          <w:i/>
          <w:iCs/>
          <w:color w:val="000000"/>
          <w:sz w:val="24"/>
          <w:highlight w:val="none"/>
        </w:rPr>
        <w:t xml:space="preserve">2. 提供参与本项目人员资质实质性响应承诺函（格式自拟），要求承诺签订合同前按</w:t>
      </w:r>
      <w:r>
        <w:rPr>
          <w:rFonts w:hint="eastAsia" w:ascii="宋体" w:hAnsi="宋体" w:cs="宋体"/>
          <w:i/>
          <w:iCs/>
          <w:color w:val="ff0000"/>
          <w:sz w:val="24"/>
          <w:highlight w:val="none"/>
        </w:rPr>
        <w:t xml:space="preserve">“人员要求”</w:t>
      </w:r>
      <w:r>
        <w:rPr>
          <w:rFonts w:hint="eastAsia" w:ascii="宋体" w:hAnsi="宋体" w:cs="宋体"/>
          <w:i/>
          <w:iCs/>
          <w:color w:val="000000"/>
          <w:sz w:val="24"/>
          <w:highlight w:val="none"/>
        </w:rPr>
        <w:t xml:space="preserve">中“资质要求”的内容，提供各岗位人员证明材料。</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四、服务要求</w:t>
      </w:r>
      <w:r>
        <w:rPr>
          <w:highlight w:val="none"/>
        </w:rPr>
      </w:r>
      <w:r/>
    </w:p>
    <w:p>
      <w:pPr>
        <w:spacing w:before="156" w:after="156" w:line="400" w:lineRule="exact"/>
        <w:rPr>
          <w:rFonts w:hint="eastAsia" w:ascii="宋体" w:hAnsi="宋体" w:cs="宋体"/>
          <w:b/>
          <w:i/>
          <w:iCs/>
          <w:color w:val="000000"/>
          <w:sz w:val="24"/>
          <w:highlight w:val="none"/>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highlight w:val="none"/>
        </w:rPr>
        <w:t xml:space="preserve">★</w:t>
      </w:r>
      <w:r>
        <w:rPr>
          <w:rFonts w:hint="eastAsia" w:ascii="宋体" w:hAnsi="宋体" w:cs="宋体"/>
          <w:b/>
          <w:i/>
          <w:iCs/>
          <w:color w:val="000000"/>
          <w:sz w:val="24"/>
          <w:highlight w:val="none"/>
        </w:rPr>
        <w:t xml:space="preserve">采购文件中的服务要求和考核办法均为通用要求，各采购人有权根据自身实际情况，在通用要求的基础上分配服务岗位、拟定岗位职责、调整考核要求和设定考核分值。投标人应承诺无条件接受以上内容（提供承诺函，格式自拟）。</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（一）项目基本要求</w:t>
      </w:r>
      <w:r>
        <w:rPr>
          <w:highlight w:val="none"/>
        </w:rPr>
      </w:r>
      <w:r/>
    </w:p>
    <w:p>
      <w:pPr>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1、建立健全物业管理制度</w:t>
      </w:r>
      <w:r>
        <w:rPr>
          <w:highlight w:val="none"/>
        </w:rPr>
      </w:r>
      <w:r/>
    </w:p>
    <w:p>
      <w:pPr>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学校的具体情况，成交供应商应制定有关制度，如学校内部管理制度，日常服务的运作管理制度等。主要包括以下内容：物业管理员工行为规范、环境保洁部职责、管理人员岗位考核细则（百分考核）、操作人员岗位考核细则（百分考核）、考核奖惩制度、见义勇为奖励制度、维修制度、消防制度、环境卫生管理制度、绿化养护制度、</w:t>
      </w:r>
      <w:r>
        <w:rPr>
          <w:rFonts w:hint="eastAsia" w:ascii="宋体" w:hAnsi="宋体" w:cs="宋体"/>
          <w:sz w:val="24"/>
          <w:szCs w:val="24"/>
          <w:highlight w:val="none"/>
        </w:rPr>
        <w:t xml:space="preserve">宿舍管理制度、</w:t>
      </w:r>
      <w:r>
        <w:rPr>
          <w:rFonts w:ascii="宋体" w:hAnsi="宋体" w:cs="宋体"/>
          <w:color w:val="000000"/>
          <w:sz w:val="24"/>
          <w:highlight w:val="none"/>
        </w:rPr>
        <w:t xml:space="preserve">24小时值班制度、进退场交接制度、应急预案制度（包括紧急应对停电、大型活动、水管损坏堵塞应急预案以及其他专门的紧急预案等）及对各项制度的监督落实制度等，采用现代化、智能化管理系统进行管理。</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2、档案、资料管理</w:t>
      </w:r>
      <w:r>
        <w:rPr>
          <w:highlight w:val="none"/>
        </w:rPr>
      </w:r>
      <w:r/>
    </w:p>
    <w:p>
      <w:pPr>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加强有关物业档案和资料的管理，档案和资料管理包括：设备使用档案、突发性事件处理档案、学生联系档案、师生投诉和意见档案、物品领用及消耗档案、安全管理记录档案、清洁卫生管理档案、环境、绿化管理档案、人事管理及人员培训档案等。要求档案（资料）做到保存完整、管理完善、交接手续完备、检索方便准确。</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3、明确物业管理目标</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总体风格定位：学校物业具有明显的校园特色，对此成交供应商要有针对性，具有相关政策水平，树立良好服务形象，延续并提升服务层次，明确管理质量目标和长效管理方式，具有一整套清晰的，并与学校服务特色相吻合的管理方案。</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（2）根据学校物业的管理要求，具有物业管理内容的整体设想和规程策划，分别对环境保洁工作、秩序维护工作、消防工作等内容，制订物业管理服务质量目标及服务响应时间等，并承诺保证目标的实现程度。</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（3）与学校系统作息制度相匹配，合理安排长效管理与突击性任务的关系，做到保障有力。</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（4）具体分项指标： </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①有效投诉办结率98%（含）以上，回访率100%；</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②委托方意见反馈满意率85%（含）以上；</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③纠错率100%；</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④不得有任何违章建筑；</w:t>
      </w:r>
      <w:r>
        <w:rPr>
          <w:highlight w:val="none"/>
        </w:rPr>
      </w:r>
      <w:r/>
    </w:p>
    <w:p>
      <w:pPr>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⑤</w:t>
      </w:r>
      <w:r>
        <w:rPr>
          <w:rFonts w:ascii="宋体" w:hAnsi="宋体" w:cs="宋体"/>
          <w:color w:val="000000"/>
          <w:sz w:val="24"/>
          <w:highlight w:val="none"/>
        </w:rPr>
        <w:t xml:space="preserve">各种指示牌、标识完好、清洁。</w:t>
      </w:r>
      <w:r>
        <w:rPr>
          <w:highlight w:val="none"/>
        </w:rPr>
      </w:r>
      <w:r/>
    </w:p>
    <w:p>
      <w:pPr>
        <w:numPr>
          <w:ilvl w:val="0"/>
          <w:numId w:val="5"/>
        </w:numPr>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校园安全风险、安全隐患进行辨识、排查，及时提供风险及安全隐患预警。</w:t>
      </w:r>
      <w:r>
        <w:rPr>
          <w:highlight w:val="none"/>
        </w:rPr>
      </w:r>
      <w:r/>
    </w:p>
    <w:p>
      <w:pPr>
        <w:numPr>
          <w:ilvl w:val="0"/>
          <w:numId w:val="5"/>
        </w:numPr>
        <w:ind w:firstLine="48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完成学校临时布置的搬运、秩序维护等任务，配合学校做好各项重大活动的筹备及现场保障工作。</w:t>
      </w:r>
      <w:r>
        <w:rPr>
          <w:highlight w:val="none"/>
        </w:rPr>
      </w:r>
      <w:r/>
    </w:p>
    <w:p>
      <w:pPr>
        <w:ind w:firstLine="422"/>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）保洁服务内容</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清洁范围包括门厅、过道、楼道、会议室、卫生间、各类办公室周边等场所以及室外道路、广场、运动场、地下停车场、绿化带等公共区域。如有重大活动安排，配合学校相关部门做好活动场所卫生保洁工作。</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执行清洁制度，每天在规定时间前搞好公共场所室内外等清洁工作，清洁设施合理、完备，满足学校系统办公和人流量大等特点下的清洁要求，全天侯、全方位地保持清洁；电梯内无任何手印痕迹；玻璃门窗透亮无浮尘；墙壁无蛛网积灰；地面无积尘、痰迹、污渍、脚印及抛弃物，确保整个院落环境优美、卫生清洁。整体管理达到管理要求。 </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教学楼立面、公共楼道及物业区域内道路整洁，无堆放杂物现象，并承担“门前三包”责任，特别注意教学区楼梯间环境卫生和劳动工具摆放整齐。</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灭四害、消杀服务内容及要求：</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指定具有资质的专业人员为学校全域进行消杀，控制对象包括老鼠、蟑螂、蚊子、苍蝇、蜜蜂马蜂等有害生物。建立完备的消杀工作管理制度，全年进行24次整体治理服务，其中5月至10月每月3次，其余月份每月1次。紧急情况需在8小时内到场处理。具体安排可根据季节与采购人需求适当调整。</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服务质量标准为学校全域无明显有害生物活动痕迹，符合《全国爱卫会除害标准》。</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消杀单位应包工包料，包括设备、药剂、人员等全部所需物资与服务。</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（2）消杀服务人员应持证上岗，穿工作服，具备三年以上专业工作经验。消杀单位应承担其员工在服务过程中产生的全部责任。</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消杀单位应按省市相关规定做好备案，使用的药剂应符合国家环保及卫生标准，确保对人体无害，且不污染环境、水源及食物。服务设备应专业、安全、有效，消杀单位应负责所有消杀设备的维护与更新，包括但不限于：太阳能灭蚊灯、外围双锁鼠饵站、插地式捕蝇笼、粘鼠板等，数量及位置根据学校要求布置。</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雨水井、化粪池定期清掏，井池不得有淤积、堵塞、漫溢等现象。</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垃圾实行分类管理，日产日清，垃圾桶、箱表面无污渍。</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 协助、配合做好学生包干区卫生工作，并指导学生如何进行规定区域保洁工作。</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做好学校绿化简单养护工作。</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各区域保洁频次。</w:t>
      </w:r>
      <w:r>
        <w:rPr>
          <w:highlight w:val="none"/>
        </w:rPr>
      </w:r>
      <w:r/>
    </w:p>
    <w:tbl>
      <w:tblPr>
        <w:tblStyle w:val="793"/>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584"/>
        <w:gridCol w:w="6108"/>
        <w:gridCol w:w="1275"/>
        <w:gridCol w:w="1275"/>
      </w:tblGrid>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项目</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市北</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明德</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露天硬化地面清扫</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露天硬化地面冲洗</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１次／周</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１次／周</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主次干道清扫</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室外标识、宣传栏、信报箱、雕塑小品、公共部位室内玻璃擦拭</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１次／半月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１次／周</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水池、沟、渠、沙井清理</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楼内通道、楼梯拖扫</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电梯厅（白天）拖扫</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１次／3小时</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１次／3小时</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消防通道拖擦</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１次／半月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１次／半月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共用活动场所清扫</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10</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楼道玻璃窗擦拭</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１次／半月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１次／半月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11</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石料地面全面拖洗</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12</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地砖地面全面拖洗</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２次／天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13</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地砖地面清洗</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１次／３月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１次／３月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地毯地面全面吸尘</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地毯地面清洗</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1次/6个月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1次/6个月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16</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室内信报箱、消防栓、过道门、扶手等公共设施擦拭</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17</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公共卫生间清洁</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6次／天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6次／天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18</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电梯内清洁</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19</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厕所蹲坑保证至少每天更换1个垃圾袋。</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20</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及时清扫积水、积雪，清洁区域无垃圾、杂物、异味，并进行保洁巡查。</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4次/天</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4次/天</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21</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消防栓、灭火器箱清洁</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22</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校区内公共雨、污水管道清理</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１次／年</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１次／年</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23</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雨、污水井检查，并视情况进行及时清掏</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１次／２月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１次／２月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24</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widowControl/>
              <w:rPr>
                <w:rFonts w:hint="eastAsia" w:ascii="宋体" w:hAnsi="宋体" w:cs="宋体"/>
                <w:color w:val="000000"/>
                <w:highlight w:val="none"/>
              </w:rPr>
            </w:pPr>
            <w:r>
              <w:rPr>
                <w:rFonts w:hint="eastAsia" w:ascii="宋体" w:hAnsi="宋体" w:cs="宋体"/>
                <w:color w:val="000000"/>
                <w:highlight w:val="none"/>
                <w:lang w:bidi="ar"/>
              </w:rPr>
              <w:t xml:space="preserve">化粪池检查</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１次／6月</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１次／6月</w:t>
            </w:r>
            <w:r>
              <w:rPr>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25</w:t>
            </w:r>
            <w:r>
              <w:rPr>
                <w:highlight w:val="none"/>
              </w:rPr>
            </w:r>
            <w:r/>
          </w:p>
        </w:tc>
        <w:tc>
          <w:tcPr>
            <w:tcBorders>
              <w:top w:val="single" w:color="000000" w:sz="4" w:space="0"/>
              <w:left w:val="single" w:color="000000" w:sz="4" w:space="0"/>
              <w:bottom w:val="single" w:color="000000" w:sz="4" w:space="0"/>
              <w:right w:val="single" w:color="000000" w:sz="4" w:space="0"/>
            </w:tcBorders>
            <w:tcW w:w="6108" w:type="dxa"/>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化粪池清掏</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１次／年</w:t>
            </w:r>
            <w:r>
              <w:rPr>
                <w:highlight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１次／年</w:t>
            </w:r>
            <w:r>
              <w:rPr>
                <w:highlight w:val="none"/>
              </w:rPr>
            </w:r>
            <w:r/>
          </w:p>
        </w:tc>
      </w:tr>
    </w:tbl>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 </w:t>
      </w:r>
      <w:r>
        <w:rPr>
          <w:rFonts w:ascii="宋体" w:hAnsi="宋体" w:cs="宋体"/>
          <w:color w:val="000000"/>
          <w:sz w:val="24"/>
          <w:highlight w:val="none"/>
        </w:rPr>
        <w:t xml:space="preserve">垃圾的处理与收集：</w:t>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（1）根据校区实际情况合理布设垃圾桶、果壳箱；</w:t>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（2）垃圾每日收集至少2次，作到日产日清，无垃圾桶、果壳箱满溢现象；</w:t>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（3）垃圾桶每日进行冲洗，冲洗后无异味，根据实际需要进行消杀，有效控制蚊、蝇等害虫滋生；</w:t>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（4）垃圾桶、果壳箱、卫生间便纸篓每日清理，更换垃圾袋，定期清洗，保持洁净；</w:t>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（5）垃圾桶、果壳箱周边无污渍，定期清洗，保持整洁；</w:t>
      </w:r>
      <w:r>
        <w:rPr>
          <w:highlight w:val="none"/>
        </w:rPr>
      </w:r>
      <w:r/>
    </w:p>
    <w:p>
      <w:pPr>
        <w:ind w:firstLine="42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（6）垃圾清运人员除完成本职工作以外，兼顾学校零星搬运杂物工作。</w:t>
      </w:r>
      <w:r>
        <w:rPr>
          <w:highlight w:val="none"/>
        </w:rPr>
      </w:r>
      <w:r/>
    </w:p>
    <w:p>
      <w:pPr>
        <w:ind w:firstLine="420"/>
        <w:spacing w:before="156" w:after="156" w:line="400" w:lineRule="exact"/>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w:t>
      </w:r>
      <w:r>
        <w:rPr>
          <w:rFonts w:hint="eastAsia" w:ascii="宋体" w:hAnsi="宋体" w:cs="宋体"/>
          <w:b/>
          <w:sz w:val="24"/>
          <w:highlight w:val="none"/>
        </w:rPr>
        <w:t xml:space="preserve">三</w:t>
      </w:r>
      <w:r>
        <w:rPr>
          <w:rFonts w:ascii="宋体" w:hAnsi="宋体" w:cs="宋体"/>
          <w:b/>
          <w:sz w:val="24"/>
          <w:highlight w:val="none"/>
        </w:rPr>
        <w:t xml:space="preserve">）水电及零星维修服务内容</w:t>
      </w:r>
      <w:r>
        <w:rPr>
          <w:highlight w:val="none"/>
        </w:rPr>
      </w:r>
      <w:r/>
    </w:p>
    <w:p>
      <w:pPr>
        <w:numPr>
          <w:ilvl w:val="0"/>
          <w:numId w:val="6"/>
        </w:numPr>
        <w:ind w:hanging="5"/>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从业电工上岗人员具有应急管理部门颁发的</w:t>
      </w:r>
      <w:r>
        <w:rPr>
          <w:rFonts w:hint="eastAsia" w:ascii="宋体" w:hAnsi="宋体" w:cs="宋体"/>
          <w:sz w:val="24"/>
          <w:highlight w:val="none"/>
        </w:rPr>
        <w:t xml:space="preserve">高、</w:t>
      </w:r>
      <w:r>
        <w:rPr>
          <w:rFonts w:ascii="宋体" w:hAnsi="宋体" w:cs="宋体"/>
          <w:sz w:val="24"/>
          <w:highlight w:val="none"/>
        </w:rPr>
        <w:t xml:space="preserve">低压操作证。</w:t>
      </w:r>
      <w:r>
        <w:rPr>
          <w:rFonts w:ascii="宋体" w:hAnsi="宋体" w:cs="宋体"/>
          <w:color w:val="000000"/>
          <w:sz w:val="24"/>
          <w:highlight w:val="none"/>
        </w:rPr>
        <w:t xml:space="preserve">做好学校高处吊灯、吊扇日常维护、</w:t>
      </w:r>
      <w:r>
        <w:rPr>
          <w:rFonts w:hint="eastAsia" w:ascii="宋体" w:hAnsi="宋体" w:cs="宋体"/>
          <w:color w:val="000000"/>
          <w:sz w:val="24"/>
          <w:highlight w:val="none"/>
        </w:rPr>
        <w:t xml:space="preserve">设备巡查、</w:t>
      </w:r>
      <w:r>
        <w:rPr>
          <w:rFonts w:ascii="宋体" w:hAnsi="宋体" w:cs="宋体"/>
          <w:color w:val="000000"/>
          <w:sz w:val="24"/>
          <w:highlight w:val="none"/>
        </w:rPr>
        <w:t xml:space="preserve">门窗修理、应急管理工作，及时处置突发事件的发生，做好重大活动的供电保障。</w:t>
      </w:r>
      <w:r>
        <w:rPr>
          <w:highlight w:val="none"/>
        </w:rPr>
      </w:r>
      <w:r/>
    </w:p>
    <w:p>
      <w:pPr>
        <w:numPr>
          <w:ilvl w:val="0"/>
          <w:numId w:val="6"/>
        </w:numPr>
        <w:ind w:hanging="5"/>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负责学校高配电房的巡查、管理和维护。</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负责校区内教学、办公、生活</w:t>
      </w:r>
      <w:r>
        <w:rPr>
          <w:rFonts w:hint="eastAsia" w:ascii="宋体" w:hAnsi="宋体" w:cs="宋体"/>
          <w:color w:val="000000"/>
          <w:sz w:val="24"/>
          <w:highlight w:val="none"/>
        </w:rPr>
        <w:t xml:space="preserve">、食堂</w:t>
      </w:r>
      <w:r>
        <w:rPr>
          <w:rFonts w:ascii="宋体" w:hAnsi="宋体" w:cs="宋体"/>
          <w:color w:val="000000"/>
          <w:sz w:val="24"/>
          <w:highlight w:val="none"/>
        </w:rPr>
        <w:t xml:space="preserve">等场所照明</w:t>
      </w:r>
      <w:r>
        <w:rPr>
          <w:rFonts w:hint="eastAsia" w:ascii="宋体" w:hAnsi="宋体" w:cs="宋体"/>
          <w:color w:val="000000"/>
          <w:sz w:val="24"/>
          <w:highlight w:val="none"/>
        </w:rPr>
        <w:t xml:space="preserve">、电器</w:t>
      </w:r>
      <w:r>
        <w:rPr>
          <w:rFonts w:ascii="宋体" w:hAnsi="宋体" w:cs="宋体"/>
          <w:color w:val="000000"/>
          <w:sz w:val="24"/>
          <w:highlight w:val="none"/>
        </w:rPr>
        <w:t xml:space="preserve">及其它用电设施的安装、维修</w:t>
      </w:r>
      <w:r>
        <w:rPr>
          <w:rFonts w:hint="eastAsia" w:ascii="宋体" w:hAnsi="宋体" w:cs="宋体"/>
          <w:color w:val="000000"/>
          <w:sz w:val="24"/>
          <w:highlight w:val="none"/>
        </w:rPr>
        <w:t xml:space="preserve">和</w:t>
      </w:r>
      <w:r>
        <w:rPr>
          <w:rFonts w:ascii="宋体" w:hAnsi="宋体" w:cs="宋体"/>
          <w:color w:val="000000"/>
          <w:sz w:val="24"/>
          <w:highlight w:val="none"/>
        </w:rPr>
        <w:t xml:space="preserve">夜间突发性抢修等工作，保证各种照明及其它用电设备经常完好。</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负责校区内的日常检查维修工作，经常检查设备设施，如有异常情况，应及时上报更换、维修，杜绝事故的发生。</w:t>
      </w:r>
      <w:r>
        <w:rPr>
          <w:highlight w:val="none"/>
        </w:rPr>
      </w:r>
      <w:r/>
    </w:p>
    <w:p>
      <w:pPr>
        <w:numPr>
          <w:ilvl w:val="0"/>
          <w:numId w:val="6"/>
        </w:numPr>
        <w:ind w:hanging="5"/>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负责对全校各处自来水管、水龙头、厕所、水箱、水池的保养和维修工作。</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负责对食堂内电器(电水壶</w:t>
      </w:r>
      <w:r>
        <w:rPr>
          <w:rFonts w:ascii="宋体" w:hAnsi="宋体" w:cs="宋体"/>
          <w:color w:val="000000"/>
          <w:sz w:val="24"/>
          <w:highlight w:val="none"/>
        </w:rPr>
        <w:t xml:space="preserve">、</w:t>
      </w:r>
      <w:r>
        <w:rPr>
          <w:rFonts w:hint="eastAsia" w:ascii="宋体" w:hAnsi="宋体" w:cs="宋体"/>
          <w:color w:val="000000"/>
          <w:sz w:val="24"/>
          <w:highlight w:val="none"/>
        </w:rPr>
        <w:t xml:space="preserve">蒸箱</w:t>
      </w:r>
      <w:r>
        <w:rPr>
          <w:rFonts w:ascii="宋体" w:hAnsi="宋体" w:cs="宋体"/>
          <w:color w:val="000000"/>
          <w:sz w:val="24"/>
          <w:highlight w:val="none"/>
        </w:rPr>
        <w:t xml:space="preserve">、</w:t>
      </w:r>
      <w:r>
        <w:rPr>
          <w:rFonts w:hint="eastAsia" w:ascii="宋体" w:hAnsi="宋体" w:cs="宋体"/>
          <w:color w:val="000000"/>
          <w:sz w:val="24"/>
          <w:highlight w:val="none"/>
        </w:rPr>
        <w:t xml:space="preserve">微波炉等电器)维修工作</w:t>
      </w:r>
      <w:r>
        <w:rPr>
          <w:rFonts w:ascii="宋体" w:hAnsi="宋体" w:cs="宋体"/>
          <w:color w:val="000000"/>
          <w:sz w:val="24"/>
          <w:highlight w:val="none"/>
        </w:rPr>
        <w:t xml:space="preserve">。</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水电工具和维修材料的领用要登记并负责保养，如有损坏应交回及时调换。</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水电工每天全面巡查供水，供电管线一次，发现故障，立即修复，各办公室、教室等公共场所上</w:t>
      </w:r>
      <w:r>
        <w:rPr>
          <w:rFonts w:ascii="宋体" w:hAnsi="宋体" w:cs="宋体"/>
          <w:sz w:val="24"/>
          <w:highlight w:val="none"/>
        </w:rPr>
        <w:t xml:space="preserve">报的维修项目，原则上下班2小时内修复，如有实际困难不能按时完成任务的，要做出合理的解释。</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校区内如有活动，水电工不得离开现场。</w:t>
      </w:r>
      <w:r>
        <w:rPr>
          <w:highlight w:val="none"/>
        </w:rPr>
      </w:r>
      <w:r/>
    </w:p>
    <w:p>
      <w:pPr>
        <w:numPr>
          <w:ilvl w:val="0"/>
          <w:numId w:val="6"/>
        </w:numPr>
        <w:ind w:hanging="5"/>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负责校区院落路灯管理、维护，保证其设施的完好。</w:t>
      </w:r>
      <w:r>
        <w:rPr>
          <w:highlight w:val="none"/>
        </w:rPr>
      </w:r>
      <w:r/>
    </w:p>
    <w:p>
      <w:pPr>
        <w:numPr>
          <w:ilvl w:val="0"/>
          <w:numId w:val="6"/>
        </w:numPr>
        <w:ind w:hanging="5"/>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负责做好学校零星维修项目包括门窗、床具、家具、学生课桌椅等。</w:t>
      </w:r>
      <w:r>
        <w:rPr>
          <w:highlight w:val="none"/>
        </w:rPr>
      </w:r>
      <w:r/>
    </w:p>
    <w:p>
      <w:pPr>
        <w:numPr>
          <w:ilvl w:val="0"/>
          <w:numId w:val="6"/>
        </w:numPr>
        <w:ind w:hanging="5"/>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休息时间校内如发生水电维修相关问题，随叫随到。</w:t>
      </w:r>
      <w:r>
        <w:rPr>
          <w:highlight w:val="none"/>
        </w:rPr>
      </w:r>
      <w:r/>
    </w:p>
    <w:p>
      <w:pPr>
        <w:numPr>
          <w:ilvl w:val="0"/>
          <w:numId w:val="6"/>
        </w:numPr>
        <w:ind w:hanging="5"/>
        <w:jc w:val="left"/>
        <w:spacing w:line="40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学校交予的其他后勤保障服务工作。</w:t>
      </w:r>
      <w:r>
        <w:rPr>
          <w:highlight w:val="none"/>
        </w:rPr>
      </w:r>
      <w:r/>
    </w:p>
    <w:p>
      <w:pPr>
        <w:numPr>
          <w:ilvl w:val="0"/>
          <w:numId w:val="6"/>
        </w:numPr>
        <w:ind w:hanging="5"/>
        <w:spacing w:line="400" w:lineRule="exac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做好全校的水电气和设施设备的安全隐患排查和应急管理管理工作，熟练掌握常见的突发事件处理、掌握避难、逃生的方法、有基本的救护技能及救援设备的使用。</w:t>
      </w:r>
      <w:r>
        <w:rPr>
          <w:highlight w:val="none"/>
        </w:rPr>
      </w:r>
      <w:r/>
    </w:p>
    <w:p>
      <w:pPr>
        <w:ind w:firstLine="42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rFonts w:hint="eastAsia" w:ascii="宋体" w:hAnsi="宋体" w:cs="宋体"/>
          <w:sz w:val="24"/>
          <w:highlight w:val="none"/>
        </w:rPr>
        <w:t xml:space="preserve">四</w:t>
      </w:r>
      <w:r>
        <w:rPr>
          <w:rFonts w:ascii="宋体" w:hAnsi="宋体" w:cs="宋体"/>
          <w:sz w:val="24"/>
          <w:highlight w:val="none"/>
        </w:rPr>
        <w:t xml:space="preserve">）绿化养护内容</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1、负责做好</w:t>
      </w:r>
      <w:r>
        <w:rPr>
          <w:rFonts w:hint="eastAsia" w:ascii="宋体" w:hAnsi="宋体" w:cs="宋体"/>
          <w:color w:val="000000"/>
          <w:sz w:val="24"/>
          <w:highlight w:val="none"/>
        </w:rPr>
        <w:t xml:space="preserve">所有</w:t>
      </w:r>
      <w:r>
        <w:rPr>
          <w:rFonts w:ascii="宋体" w:hAnsi="宋体" w:cs="宋体"/>
          <w:color w:val="000000"/>
          <w:sz w:val="24"/>
          <w:highlight w:val="none"/>
        </w:rPr>
        <w:t xml:space="preserve">品种绿化的日常管理和养护工作。</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2、定期对室内外绿植进行</w:t>
      </w:r>
      <w:r>
        <w:rPr>
          <w:rFonts w:hint="eastAsia" w:ascii="宋体" w:hAnsi="宋体" w:cs="宋体"/>
          <w:color w:val="000000"/>
          <w:sz w:val="24"/>
          <w:highlight w:val="none"/>
        </w:rPr>
        <w:t xml:space="preserve">浇水、除草等日常</w:t>
      </w:r>
      <w:r>
        <w:rPr>
          <w:rFonts w:ascii="宋体" w:hAnsi="宋体" w:cs="宋体"/>
          <w:color w:val="000000"/>
          <w:sz w:val="24"/>
          <w:highlight w:val="none"/>
        </w:rPr>
        <w:t xml:space="preserve">养护，绿化垃圾须按学校后勤要求清扫收集，放置指定区域。</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3、重要节假日、学校重大活动（如开学、重要会议等）时，免费为学校提供绿植、花木摆放服务。</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4、完成学校布置的其他绿化维护等应急工作。</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（五）保安服务内容</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1、总体要求</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（1）校园门卫值班、固定岗值守、消控监控中心值守、校园进出访客系统使用、车辆停放秩序、校园24小时治安巡逻、防盗、门前三包等服务实施管理。</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熟悉周边的环境，能处理和应对公共秩序维护工作，能正确使用各类消防、物防、技防器械和设备，负责消防、闭路监控、电子围栏异常情况处理，并负责晚间任务接受及下达；能够熟悉、掌握各类刑事、治安案件和各类灾害事故的应急预案；来人来访的通报、证件检验、登记、报刊信件收发等；协助学校发放各类课本、书籍等；门卫、守护和巡逻，维护公共秩序；处理治安及公共突发事件；负责道路交通管理、机动车和非机动车停放管理；负责防盗、防火报警监控设备运</w:t>
      </w:r>
      <w:r>
        <w:rPr>
          <w:rFonts w:hint="eastAsia" w:ascii="宋体" w:hAnsi="宋体" w:cs="宋体"/>
          <w:color w:val="000000"/>
          <w:sz w:val="24"/>
          <w:highlight w:val="none"/>
        </w:rPr>
        <w:t xml:space="preserve">行管理。积极主动的配合、服从安全保卫科的临时应急调度。建立完善的消防制度和消防工作计划，物管人员应定期接受消防培训并掌握现有消防设施设备的使用方法，并能及时处理各种火灾事故。严格执行消防操作规程，定期进行消防演习，保证消防通道畅通，消防器材可随时启用。明确防火责任人，按照突发火灾的应急方案，设立消防疏散示意图，照明设施及引路标志完好，紧急疏散通道畅通。成立义务消防队，对全校范围内的微型消防站、消防喷淋灭火系统、气体灭火系统、火灾报警系统、电器火灾报警系统、消防排烟机组等消空设备按相关条例进行监管和操作使用。</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2、服务质量标准</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门卫值班：上岗时佩戴统一标志，穿戴统一制服，装备佩戴规范，仪容仪表规范整齐，当值时坐姿挺直，站岗时不倚不靠。文明执勤，训练有素，言语规范，认真负责；配备对讲装置和其他必备的安全护卫器械。严格验证、登记制度，杜绝闲杂人员进入，维护师生安全、正常的工作、学习环境。对物品进出实施分类管理，实行物品进出审验制度，杜绝危险物品进入校区和学校资产流失。</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①实行24小时全天候安全保卫、监控、消防工作制度。维护学校正常的教育教学秩序，确保师生安全；</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②出入口24小时值班看守，主入口确保双人执勤，按规定时间执行立岗，时间为学校上下班（学）前一个小时，树立学校形象；次入口单人值岗，控制车辆进出管理；</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外来人员：门岗秩序维护员按委托方要求对外来人员做好访客询问登记事宜，有问必答，热情、耐心解答进出人员的询问，并对老弱病残者及有困难者提供帮助。建立询问登记制度，要求记录完整，有回执，并通过访客系统、对讲、电话系统联系相关人员，决定是否放行并做好来访人员指引工作，确保无上门推销现象；</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④外来车辆：对外来车辆和进出的时间严格执行学校相应规定，确需进入的履行正常的来访车辆登记换证手续，引导车辆有序通行并指定地方停放；</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⑤物品出门：所有物品出门，特别是大型物件搬出，必须实行确认制度、并进行记录，废品出门进行出门证确认；</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⑥做好报刊信函、快递物资物品的接收和分发工作，并做好当班记录，严肃收发纪律和程序，对来往信函、快递物品做好保密工作，不得有任何失误；</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⑦熟记楼层分布及其电话号码，熟悉教师及上班人员，做好服务工作。</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巡查：划红线范围以内安排24小时巡查。明确巡查工作职责，规范巡视工作流程，制定相对固定的巡视路线，对重要区域、部位、设备机房进行重点巡视并记录巡视情况，及时发现和处理各种安全和事故隐患并上报安全保卫科。巡视时必须使用巡更设备，填写完整的巡更记录。在接到监控室发出的指令后，巡视人员应及时到达事发现场，采取相应措施妥善处理;如巡视时发现异常情况，应立即通知有关部门并在现场采取必要措施，随时准备启动并执行相应的应急预案。</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消控、监控室值班：消控、监控设施应保持24小时开通，实行昼夜专人值班，并保持完整的监控记录，保证对各出入口、内部重点区域的安全监控、录像及协助布警。监控室收到火情、险情及其他异常情况报警信号后，应及时报警，并派专人赶到现场进行前期处理。监控资料应至少保持30天，有特殊要求的参照相关规定或行业标准执行。同时，确保治安电话畅通，接听及时(在铃响三声内应接听)。消控人员必须持证上岗。</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停车管理：在管辖区域设置行车指示标志，规定车辆行驶路线，指定车辆停放区域，非机动车应实行定点停放。对进出管辖区域的各类车辆进行管理，维护交通秩序，保证车辆有序通行、有序停放。对出入车辆进行指挥，防止通道堵塞。做好停放车辆的安全监控，指挥来校车辆在规定地方停放，对未按规定停放和车头朝向不对的车辆及时纠正，始终保持校园道路畅通和有序。</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（5）突发事件处理：学习学校制定的各类突发事件应急预</w:t>
      </w:r>
      <w:r>
        <w:rPr>
          <w:rFonts w:hint="eastAsia" w:ascii="宋体" w:hAnsi="宋体" w:cs="宋体"/>
          <w:color w:val="000000"/>
          <w:sz w:val="24"/>
          <w:highlight w:val="none"/>
        </w:rPr>
        <w:t xml:space="preserve">案，并将预案内容在物业办公室、监控室等处张榜悬挂。每年组织不少于1次的突发事件应急演习。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有应急处理计划和措施，如有事故发生，在有关部门到达现场前，保护现场，确保人身安全，减少财产损失，并全力协助处理相关事宜，防止事态进一步恶化，处理及时率100%。对待上访人员做到耐心说服，及时报告有关部门予以妥善处置。</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（6）对校安全风险、安全隐患进行辨识、排查，及时提供风险及安全隐患预警。</w:t>
      </w:r>
      <w:r>
        <w:rPr>
          <w:highlight w:val="none"/>
        </w:rPr>
      </w:r>
      <w:r/>
    </w:p>
    <w:p>
      <w:pPr>
        <w:ind w:firstLine="420"/>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（7）秩序维护管理的具体要求：根据专业服务的要求，服务人员要统一着装尽职尽责，岗位职责公开公布。</w:t>
      </w:r>
      <w:r>
        <w:rPr>
          <w:highlight w:val="none"/>
        </w:rPr>
      </w:r>
      <w:r/>
    </w:p>
    <w:p>
      <w:pPr>
        <w:ind w:firstLine="420"/>
        <w:spacing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五、</w:t>
      </w:r>
      <w:r>
        <w:rPr>
          <w:rFonts w:ascii="宋体" w:hAnsi="宋体" w:cs="宋体"/>
          <w:b/>
          <w:color w:val="000000"/>
          <w:sz w:val="24"/>
          <w:highlight w:val="none"/>
        </w:rPr>
        <w:t xml:space="preserve">考核办法</w:t>
      </w:r>
      <w:r>
        <w:rPr>
          <w:highlight w:val="none"/>
        </w:rPr>
      </w:r>
      <w:r/>
    </w:p>
    <w:tbl>
      <w:tblPr>
        <w:tblStyle w:val="793"/>
        <w:tblW w:w="92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6417"/>
        <w:gridCol w:w="490"/>
        <w:gridCol w:w="589"/>
        <w:gridCol w:w="515"/>
        <w:gridCol w:w="477"/>
      </w:tblGrid>
      <w:tr>
        <w:trPr>
          <w:jc w:val="center"/>
          <w:trHeight w:val="283"/>
        </w:trPr>
        <w:tc>
          <w:tcPr>
            <w:tcBorders>
              <w:top w:val="single" w:color="auto" w:sz="4" w:space="0"/>
              <w:left w:val="single" w:color="auto" w:sz="4" w:space="0"/>
              <w:right w:val="single" w:color="auto" w:sz="4" w:space="0"/>
            </w:tcBorders>
            <w:tcW w:w="748" w:type="dxa"/>
            <w:vAlign w:val="center"/>
            <w:vMerge w:val="restart"/>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序号</w:t>
            </w:r>
            <w:r>
              <w:rPr>
                <w:highlight w:val="none"/>
              </w:rPr>
            </w:r>
            <w:r/>
          </w:p>
        </w:tc>
        <w:tc>
          <w:tcPr>
            <w:tcBorders>
              <w:top w:val="single" w:color="auto" w:sz="4" w:space="0"/>
              <w:left w:val="single" w:color="auto" w:sz="4" w:space="0"/>
              <w:right w:val="single" w:color="auto" w:sz="4" w:space="0"/>
            </w:tcBorders>
            <w:tcW w:w="6417" w:type="dxa"/>
            <w:vAlign w:val="center"/>
            <w:vMerge w:val="restart"/>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人员考核细则</w:t>
            </w:r>
            <w:r>
              <w:rPr>
                <w:highlight w:val="none"/>
              </w:rPr>
            </w:r>
            <w:r/>
          </w:p>
        </w:tc>
        <w:tc>
          <w:tcPr>
            <w:gridSpan w:val="3"/>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考核得分（分）</w:t>
            </w:r>
            <w:r>
              <w:rPr>
                <w:highlight w:val="none"/>
              </w:rPr>
            </w:r>
            <w:r/>
          </w:p>
        </w:tc>
        <w:tc>
          <w:tcPr>
            <w:tcBorders>
              <w:top w:val="single" w:color="auto" w:sz="4" w:space="0"/>
              <w:left w:val="single" w:color="auto" w:sz="4" w:space="0"/>
              <w:right w:val="single" w:color="auto" w:sz="4" w:space="0"/>
            </w:tcBorders>
            <w:tcW w:w="477" w:type="dxa"/>
            <w:vAlign w:val="center"/>
            <w:vMerge w:val="restart"/>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备  注</w:t>
            </w:r>
            <w:r>
              <w:rPr>
                <w:highlight w:val="none"/>
              </w:rPr>
            </w:r>
            <w:r/>
          </w:p>
        </w:tc>
      </w:tr>
      <w:tr>
        <w:trPr>
          <w:jc w:val="center"/>
          <w:trHeight w:val="283"/>
        </w:trPr>
        <w:tc>
          <w:tcPr>
            <w:tcBorders>
              <w:left w:val="single" w:color="auto" w:sz="4" w:space="0"/>
              <w:bottom w:val="single" w:color="auto" w:sz="4" w:space="0"/>
              <w:right w:val="single" w:color="auto" w:sz="4" w:space="0"/>
            </w:tcBorders>
            <w:tcW w:w="748" w:type="dxa"/>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c>
          <w:tcPr>
            <w:tcBorders>
              <w:left w:val="single" w:color="auto" w:sz="4" w:space="0"/>
              <w:bottom w:val="single" w:color="auto" w:sz="4" w:space="0"/>
              <w:right w:val="single" w:color="auto" w:sz="4" w:space="0"/>
            </w:tcBorders>
            <w:tcW w:w="6417" w:type="dxa"/>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月</w:t>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月</w:t>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b/>
                <w:highlight w:val="none"/>
              </w:rPr>
            </w:pPr>
            <w:r>
              <w:rPr>
                <w:rFonts w:ascii="仿宋_GB2312" w:hAnsi="宋体" w:eastAsia="仿宋_GB2312"/>
                <w:b/>
                <w:highlight w:val="none"/>
              </w:rPr>
              <w:t xml:space="preserve">月</w:t>
            </w:r>
            <w:r>
              <w:rPr>
                <w:highlight w:val="none"/>
              </w:rPr>
            </w:r>
            <w:r/>
          </w:p>
        </w:tc>
        <w:tc>
          <w:tcPr>
            <w:tcBorders>
              <w:left w:val="single" w:color="auto" w:sz="4" w:space="0"/>
              <w:bottom w:val="single" w:color="auto" w:sz="4" w:space="0"/>
              <w:right w:val="single" w:color="auto" w:sz="4" w:space="0"/>
            </w:tcBorders>
            <w:tcW w:w="477" w:type="dxa"/>
            <w:vAlign w:val="center"/>
            <w:vMerge w:val="continue"/>
            <w:textDirection w:val="lrTb"/>
            <w:noWrap w:val="false"/>
          </w:tcPr>
          <w:p>
            <w:pPr>
              <w:jc w:val="center"/>
              <w:spacing w:line="360" w:lineRule="exact"/>
              <w:rPr>
                <w:rFonts w:ascii="仿宋_GB2312" w:eastAsia="仿宋_GB2312"/>
                <w:b/>
              </w:rPr>
            </w:pPr>
            <w:r>
              <w:rPr>
                <w:rFonts w:ascii="仿宋_GB2312" w:eastAsia="仿宋_GB2312"/>
                <w:b/>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着装统一，保持良好的精神面貌。</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2</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cs="宋体"/>
                <w:color w:val="000000"/>
                <w:highlight w:val="none"/>
              </w:rPr>
              <w:t xml:space="preserve">制度公示上墙，持证上岗并公示上墙。</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上班时间段内，当班人员按要求规范上岗，正确使用文明用语。</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保持值班室的卫生，物品装备摆放整齐。</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保洁台账、交接班台账、巡查台账、绿化台账、维修台账等规范填写。</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学校整体环境良好，无保洁死角；道路整洁无垃圾、落叶，室外构筑物走道、栏杆、顶棚整洁卫生，地下车库整洁无垃圾。</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按甲方要求做好常态化工作。</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垃圾每日收集1次，作到日产日清，无垃圾桶、果壳箱满溢现象，定期对垃圾桶进行冲洗，冲洗后无异味。</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9</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cs="宋体"/>
                <w:highlight w:val="none"/>
              </w:rPr>
              <w:t xml:space="preserve">保证在环境卫生品质不降低的前提下，严格合理的控制物料消耗，对物料及机械管理，及时规范详实的做好盘点、发放登记、日常维护及使用情况。</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10</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cs="宋体"/>
                <w:highlight w:val="none"/>
              </w:rPr>
              <w:t xml:space="preserve">宿管督促学生按时作息，抓好晚睡纪律。与值日领导一起带领值寝学生进行查晚寝，按时熄灯、锁门，并做好记录；有特殊情况应妥善处理，并及时向当天值日领导反映。</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11</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cs="宋体"/>
                <w:highlight w:val="none"/>
              </w:rPr>
              <w:t xml:space="preserve">每天做好值班室及公共区域的卫生，督促学生做好宿舍内卫生的清理，负责检查学生宿舍内卫生，督促学生保持宿舍内整洁和宿舍区干净，并及时记录各宿舍卫生情况，出现公共卫生没清理应及时向学校反映。</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12</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cs="宋体"/>
                <w:highlight w:val="none"/>
              </w:rPr>
              <w:t xml:space="preserve">负责维护宿舍区的安全:① 经常对本宿舍区域进行巡查，对违犯《学生宿舍管理条例》的人和事进行阻止、处理，正确行使管理职能。② 做好学生亲属来访出入等登记工作。③ 按规定时间执行关锁宿舍区大门、熄灯等工作，每晚检查学生住宿情况,对学生夜不归宿等违纪行为进行查处并做好检查登记记录。</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13</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维修及时高效，</w:t>
            </w:r>
            <w:r>
              <w:rPr>
                <w:rFonts w:hint="eastAsia" w:ascii="仿宋" w:hAnsi="仿宋" w:eastAsia="仿宋" w:cs="宋体"/>
                <w:highlight w:val="none"/>
              </w:rPr>
              <w:t xml:space="preserve">发生突发事件（如停电、停水等）要及时赶到现场处理，并及时向有关领导报告</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14</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highlight w:val="none"/>
              </w:rPr>
              <w:t xml:space="preserve">人员要认真学习消防、防恐防暴知识，熟知使用消防、防暴器材的方法。发现消防隐患，及时上报，提出整改意见，避免事故。</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 w:hAnsi="仿宋" w:eastAsia="仿宋"/>
                <w:highlight w:val="none"/>
              </w:rPr>
            </w:pPr>
            <w:r>
              <w:rPr>
                <w:rFonts w:hint="eastAsia" w:ascii="仿宋" w:hAnsi="仿宋" w:eastAsia="仿宋"/>
                <w:highlight w:val="none"/>
              </w:rPr>
              <w:t xml:space="preserve">15</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 w:hAnsi="仿宋" w:eastAsia="仿宋"/>
                <w:highlight w:val="none"/>
              </w:rPr>
            </w:pPr>
            <w:r>
              <w:rPr>
                <w:rFonts w:hint="eastAsia" w:ascii="仿宋" w:hAnsi="仿宋" w:eastAsia="仿宋" w:cs="宋体"/>
                <w:highlight w:val="none"/>
              </w:rPr>
              <w:t xml:space="preserve">发生突发事件（如停电、停水等）要及时赶到现场处理，并及时向有关领导报告。</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_GB2312" w:hAnsi="宋体" w:eastAsia="仿宋_GB2312"/>
                <w:highlight w:val="none"/>
              </w:rPr>
            </w:pPr>
            <w:r>
              <w:rPr>
                <w:rFonts w:ascii="仿宋_GB2312" w:hAnsi="宋体" w:eastAsia="仿宋_GB2312"/>
                <w:highlight w:val="none"/>
              </w:rPr>
              <w:t xml:space="preserve">16</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_GB2312" w:hAnsi="宋体" w:eastAsia="仿宋_GB2312"/>
                <w:highlight w:val="none"/>
              </w:rPr>
            </w:pPr>
            <w:r>
              <w:rPr>
                <w:rFonts w:ascii="仿宋_GB2312" w:hAnsi="宋体" w:eastAsia="仿宋_GB2312"/>
                <w:highlight w:val="none"/>
              </w:rPr>
              <w:t xml:space="preserve">确保项目内的治安安全，按上级要求，及时纠正和处理治安安全事件。</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exact"/>
              <w:rPr>
                <w:rFonts w:hint="eastAsia" w:ascii="仿宋_GB2312" w:hAnsi="宋体" w:eastAsia="仿宋_GB2312"/>
                <w:highlight w:val="none"/>
              </w:rPr>
            </w:pPr>
            <w:r>
              <w:rPr>
                <w:rFonts w:ascii="仿宋_GB2312" w:hAnsi="宋体" w:eastAsia="仿宋_GB2312"/>
                <w:highlight w:val="none"/>
              </w:rPr>
              <w:t xml:space="preserve">17</w:t>
            </w:r>
            <w:r>
              <w:rPr>
                <w:highlight w:val="none"/>
              </w:rPr>
            </w:r>
            <w:r/>
          </w:p>
        </w:tc>
        <w:tc>
          <w:tcPr>
            <w:tcBorders>
              <w:top w:val="single" w:color="auto" w:sz="4" w:space="0"/>
              <w:left w:val="single" w:color="auto" w:sz="4" w:space="0"/>
              <w:bottom w:val="single" w:color="auto" w:sz="4" w:space="0"/>
              <w:right w:val="single" w:color="auto" w:sz="4" w:space="0"/>
            </w:tcBorders>
            <w:tcW w:w="6417" w:type="dxa"/>
            <w:vAlign w:val="center"/>
            <w:textDirection w:val="lrTb"/>
            <w:noWrap w:val="false"/>
          </w:tcPr>
          <w:p>
            <w:pPr>
              <w:spacing w:line="360" w:lineRule="exact"/>
              <w:rPr>
                <w:rFonts w:hint="eastAsia" w:ascii="仿宋_GB2312" w:hAnsi="宋体" w:eastAsia="仿宋_GB2312"/>
                <w:highlight w:val="none"/>
              </w:rPr>
            </w:pPr>
            <w:r>
              <w:rPr>
                <w:rFonts w:ascii="仿宋_GB2312" w:hAnsi="宋体" w:eastAsia="仿宋_GB2312"/>
                <w:highlight w:val="none"/>
              </w:rPr>
              <w:t xml:space="preserve">上下团结，齐心协力，为整体物业工作出力献策。</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r>
        <w:trPr>
          <w:jc w:val="center"/>
          <w:trHeight w:val="283"/>
        </w:trPr>
        <w:tc>
          <w:tcPr>
            <w:gridSpan w:val="2"/>
            <w:tcBorders>
              <w:top w:val="single" w:color="auto" w:sz="4" w:space="0"/>
              <w:left w:val="single" w:color="auto" w:sz="4" w:space="0"/>
              <w:bottom w:val="single" w:color="auto" w:sz="4" w:space="0"/>
              <w:right w:val="single" w:color="auto" w:sz="4" w:space="0"/>
            </w:tcBorders>
            <w:tcW w:w="7165" w:type="dxa"/>
            <w:vAlign w:val="center"/>
            <w:textDirection w:val="lrTb"/>
            <w:noWrap w:val="false"/>
          </w:tcPr>
          <w:p>
            <w:pPr>
              <w:jc w:val="center"/>
              <w:spacing w:line="360" w:lineRule="exact"/>
              <w:rPr>
                <w:rFonts w:hint="eastAsia" w:ascii="仿宋_GB2312" w:hAnsi="宋体" w:eastAsia="仿宋_GB2312"/>
                <w:highlight w:val="none"/>
              </w:rPr>
            </w:pPr>
            <w:r>
              <w:rPr>
                <w:rFonts w:ascii="仿宋_GB2312" w:hAnsi="宋体" w:eastAsia="仿宋_GB2312"/>
                <w:b/>
                <w:highlight w:val="none"/>
              </w:rPr>
              <w:t xml:space="preserve">小  计</w:t>
            </w:r>
            <w:r>
              <w:rPr>
                <w:highlight w:val="none"/>
              </w:rPr>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89"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60" w:lineRule="exact"/>
              <w:rPr>
                <w:rFonts w:hint="eastAsia" w:ascii="仿宋_GB2312" w:hAnsi="宋体" w:eastAsia="仿宋_GB2312"/>
                <w:highlight w:val="none"/>
              </w:rPr>
            </w:pPr>
            <w:r>
              <w:rPr>
                <w:rFonts w:hint="eastAsia" w:ascii="仿宋_GB2312" w:hAnsi="宋体" w:eastAsia="仿宋_GB2312"/>
                <w:highlight w:val="none"/>
              </w:rPr>
            </w:r>
            <w:r>
              <w:rPr>
                <w:highlight w:val="none"/>
              </w:rPr>
            </w:r>
            <w:r/>
          </w:p>
        </w:tc>
      </w:tr>
    </w:tbl>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六、其他要求</w:t>
      </w:r>
      <w:r>
        <w:rPr>
          <w:highlight w:val="none"/>
        </w:rPr>
      </w:r>
      <w:r/>
    </w:p>
    <w:p>
      <w:pPr>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 </w:t>
      </w:r>
      <w:r>
        <w:rPr>
          <w:rFonts w:ascii="宋体" w:hAnsi="宋体" w:cs="宋体"/>
          <w:color w:val="000000"/>
          <w:sz w:val="24"/>
          <w:highlight w:val="none"/>
        </w:rPr>
        <w:t xml:space="preserve">根据采购人各部门工作需要，供应商应安排好双休日及节假日各岗位人员且不得脱岗，由供应商自行编制值班报表报采购人有关部门审批后执行。所涉及的费用，由供应商计入此次报价中。</w:t>
      </w:r>
      <w:r>
        <w:rPr>
          <w:highlight w:val="none"/>
        </w:rPr>
      </w:r>
      <w:r/>
    </w:p>
    <w:p>
      <w:pPr>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中标供应商应按相关规定为本项目人员足额缴纳社保，人员工资不得低于常州市当年最低工资水平。</w:t>
      </w:r>
      <w:r>
        <w:rPr>
          <w:highlight w:val="none"/>
        </w:rPr>
      </w:r>
      <w:r/>
    </w:p>
    <w:p>
      <w:pPr>
        <w:ind w:firstLine="482"/>
        <w:spacing w:line="400" w:lineRule="exact"/>
        <w:rPr>
          <w:rFonts w:hint="eastAsia" w:ascii="宋体" w:hAnsi="宋体" w:cs="宋体"/>
          <w:i/>
          <w:iCs/>
          <w:color w:val="000000"/>
          <w:sz w:val="24"/>
          <w:highlight w:val="none"/>
        </w:rPr>
        <w:pBdr>
          <w:top w:val="none" w:color="000000" w:sz="0" w:space="0"/>
          <w:left w:val="none" w:color="000000" w:sz="0" w:space="0"/>
          <w:bottom w:val="none" w:color="000000" w:sz="0" w:space="0"/>
          <w:right w:val="none" w:color="000000" w:sz="0" w:space="0"/>
        </w:pBdr>
      </w:pPr>
      <w:r>
        <w:rPr>
          <w:rFonts w:hint="eastAsia" w:ascii="PingFang SC" w:hAnsi="PingFang SC" w:eastAsia="PingFang SC" w:cs="PingFang SC"/>
          <w:b/>
          <w:i/>
          <w:iCs/>
          <w:sz w:val="24"/>
          <w:highlight w:val="none"/>
        </w:rPr>
        <w:t xml:space="preserve">★</w:t>
      </w:r>
      <w:r>
        <w:rPr>
          <w:rFonts w:hint="eastAsia" w:ascii="宋体" w:hAnsi="宋体" w:cs="宋体"/>
          <w:i/>
          <w:iCs/>
          <w:color w:val="000000"/>
          <w:sz w:val="24"/>
          <w:highlight w:val="none"/>
        </w:rPr>
        <w:t xml:space="preserve">3. 服务费按中标（成交）价格执行，服务费在项目实施期间不因薪资政策调整、市场变化等任何因素而变动,出具承诺函。</w:t>
      </w:r>
      <w:r>
        <w:rPr>
          <w:highlight w:val="none"/>
        </w:rPr>
      </w:r>
      <w:r/>
    </w:p>
    <w:p>
      <w:pPr>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w:t>
      </w:r>
      <w:r>
        <w:rPr>
          <w:rFonts w:ascii="宋体" w:hAnsi="宋体" w:cs="宋体"/>
          <w:color w:val="000000"/>
          <w:sz w:val="24"/>
          <w:highlight w:val="none"/>
        </w:rPr>
        <w:t xml:space="preserve">供应商必须根据采购文件提供各项管理标准，岗位职责及工作程序，自查考核和服务承诺；必须遵守采购人各项制度和管理规定，并服从采购人的管理。</w:t>
      </w:r>
      <w:r>
        <w:rPr>
          <w:highlight w:val="none"/>
        </w:rPr>
      </w:r>
      <w:r/>
    </w:p>
    <w:p>
      <w:pPr>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w:t>
      </w:r>
      <w:r>
        <w:rPr>
          <w:rFonts w:ascii="宋体" w:hAnsi="宋体" w:cs="宋体"/>
          <w:color w:val="000000"/>
          <w:sz w:val="24"/>
          <w:highlight w:val="none"/>
        </w:rPr>
        <w:t xml:space="preserve">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rPr>
          <w:highlight w:val="none"/>
        </w:rPr>
      </w:r>
      <w:r/>
    </w:p>
    <w:p>
      <w:pPr>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w:t>
      </w:r>
      <w:r>
        <w:rPr>
          <w:rFonts w:ascii="宋体" w:hAnsi="宋体" w:cs="宋体"/>
          <w:color w:val="000000"/>
          <w:sz w:val="24"/>
          <w:highlight w:val="none"/>
        </w:rPr>
        <w:t xml:space="preserve">成交供应商擅自将服务合同转包、分包给第三人的或委托其他单位的，以及成交供应商违反法律法规、规章或其他相关规范性文件的规定，影响合同履行的，采购人有权无条件终止本项目合同而无须向成交供应商支付任何费用或承担其他任何责任，由此产生的经济损失和法律责任均由成交供应商承担。</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七、报价要求 </w:t>
      </w:r>
      <w:r>
        <w:rPr>
          <w:highlight w:val="none"/>
        </w:rPr>
      </w:r>
      <w:r/>
    </w:p>
    <w:p>
      <w:pPr>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highlight w:val="none"/>
        </w:rPr>
        <w:t xml:space="preserve">（包括垃圾袋、保洁用品、绿化耗材、垃圾清运等）</w:t>
      </w:r>
      <w:r>
        <w:rPr>
          <w:rFonts w:ascii="宋体" w:hAnsi="宋体" w:cs="宋体"/>
          <w:color w:val="000000"/>
          <w:sz w:val="24"/>
          <w:highlight w:val="none"/>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rPr>
          <w:highlight w:val="none"/>
        </w:rPr>
      </w:r>
      <w:r/>
    </w:p>
    <w:p>
      <w:pP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八、实质性要求汇总表</w:t>
      </w:r>
      <w:r>
        <w:rPr>
          <w:highlight w:val="none"/>
        </w:rPr>
      </w:r>
      <w:r/>
    </w:p>
    <w:tbl>
      <w:tblPr>
        <w:tblStyle w:val="793"/>
        <w:tblW w:w="926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150"/>
        <w:gridCol w:w="6907"/>
        <w:gridCol w:w="1209"/>
      </w:tblGrid>
      <w:tr>
        <w:trPr>
          <w:jc w:val="center"/>
          <w:tblHeader/>
        </w:trPr>
        <w:tc>
          <w:tcPr>
            <w:tcW w:w="115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序号</w:t>
            </w:r>
            <w:r>
              <w:rPr>
                <w:highlight w:val="none"/>
              </w:rPr>
            </w:r>
            <w:r/>
          </w:p>
        </w:tc>
        <w:tc>
          <w:tcPr>
            <w:tcMar>
              <w:left w:w="120" w:type="dxa"/>
              <w:top w:w="120" w:type="dxa"/>
              <w:right w:w="120" w:type="dxa"/>
              <w:bottom w:w="120" w:type="dxa"/>
            </w:tcMar>
            <w:tcW w:w="6907"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响应要求</w:t>
            </w:r>
            <w:r>
              <w:rPr>
                <w:highlight w:val="none"/>
              </w:rPr>
            </w:r>
            <w:r/>
          </w:p>
        </w:tc>
        <w:tc>
          <w:tcPr>
            <w:tcMar>
              <w:left w:w="120" w:type="dxa"/>
              <w:top w:w="120" w:type="dxa"/>
              <w:right w:w="120" w:type="dxa"/>
              <w:bottom w:w="120" w:type="dxa"/>
            </w:tcMar>
            <w:tcW w:w="120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证明材料</w:t>
            </w:r>
            <w:r>
              <w:rPr>
                <w:highlight w:val="none"/>
              </w:rPr>
            </w:r>
            <w:r/>
          </w:p>
        </w:tc>
      </w:tr>
      <w:tr>
        <w:trPr>
          <w:jc w:val="center"/>
        </w:trPr>
        <w:tc>
          <w:tcPr>
            <w:tcW w:w="115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Mar>
              <w:left w:w="120" w:type="dxa"/>
              <w:top w:w="120" w:type="dxa"/>
              <w:right w:w="120" w:type="dxa"/>
              <w:bottom w:w="120" w:type="dxa"/>
            </w:tcMar>
            <w:tcW w:w="6907" w:type="dxa"/>
            <w:vAlign w:val="center"/>
            <w:textDirection w:val="lrTb"/>
            <w:noWrap w:val="false"/>
          </w:tcPr>
          <w:p>
            <w:pPr>
              <w:rPr>
                <w:rStyle w:val="836"/>
                <w:rFonts w:hint="eastAsia" w:ascii="宋体" w:hAnsi="宋体" w:cs="宋体"/>
                <w:color w:val="000000"/>
                <w:highlight w:val="none"/>
              </w:rPr>
            </w:pPr>
            <w:r>
              <w:rPr>
                <w:rFonts w:hint="eastAsia" w:ascii="宋体" w:hAnsi="宋体" w:cs="宋体"/>
                <w:highlight w:val="none"/>
              </w:rPr>
              <w:t xml:space="preserve">★</w:t>
            </w:r>
            <w:r>
              <w:rPr>
                <w:rStyle w:val="836"/>
                <w:rFonts w:hint="eastAsia" w:ascii="宋体" w:hAnsi="宋体" w:cs="宋体"/>
                <w:color w:val="000000"/>
                <w:highlight w:val="none"/>
              </w:rPr>
              <w:t xml:space="preserve">投标供应商须提供承诺函（格式自拟），承诺按</w:t>
            </w:r>
            <w:r>
              <w:rPr>
                <w:rStyle w:val="836"/>
                <w:rFonts w:hint="eastAsia"/>
                <w:color w:val="ff0000"/>
                <w:highlight w:val="none"/>
              </w:rPr>
              <w:t xml:space="preserve">“人员配置及数量”</w:t>
            </w:r>
            <w:r>
              <w:rPr>
                <w:rStyle w:val="836"/>
                <w:rFonts w:hint="eastAsia" w:ascii="宋体" w:hAnsi="宋体" w:cs="宋体"/>
                <w:color w:val="000000"/>
                <w:highlight w:val="none"/>
              </w:rPr>
              <w:t xml:space="preserve">的要求提供对应岗位服务人员，并按规定的时间进场服务，进场前配合采购人做好与前任服务企业的交接工作。服务期满，配合采购人做好与下任服务企业的交接工作。</w:t>
            </w:r>
            <w:r>
              <w:rPr>
                <w:highlight w:val="none"/>
              </w:rPr>
            </w:r>
            <w:r/>
          </w:p>
        </w:tc>
        <w:tc>
          <w:tcPr>
            <w:tcMar>
              <w:left w:w="120" w:type="dxa"/>
              <w:top w:w="120" w:type="dxa"/>
              <w:right w:w="120" w:type="dxa"/>
              <w:bottom w:w="120" w:type="dxa"/>
            </w:tcMar>
            <w:tcW w:w="120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承诺函</w:t>
            </w:r>
            <w:r>
              <w:rPr>
                <w:highlight w:val="none"/>
              </w:rPr>
            </w:r>
            <w:r/>
          </w:p>
        </w:tc>
      </w:tr>
      <w:tr>
        <w:trPr>
          <w:jc w:val="center"/>
        </w:trPr>
        <w:tc>
          <w:tcPr>
            <w:tcW w:w="1150"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Mar>
              <w:left w:w="120" w:type="dxa"/>
              <w:top w:w="120" w:type="dxa"/>
              <w:right w:w="120" w:type="dxa"/>
              <w:bottom w:w="120" w:type="dxa"/>
            </w:tcMar>
            <w:tcW w:w="6907" w:type="dxa"/>
            <w:vAlign w:val="center"/>
            <w:textDirection w:val="lrTb"/>
            <w:noWrap w:val="false"/>
          </w:tcPr>
          <w:p>
            <w:pPr>
              <w:rPr>
                <w:rFonts w:hint="eastAsia" w:ascii="宋体" w:hAnsi="宋体" w:cs="宋体"/>
                <w:color w:val="000000"/>
                <w:highlight w:val="none"/>
              </w:rPr>
            </w:pPr>
            <w:r>
              <w:rPr>
                <w:rFonts w:hint="eastAsia" w:ascii="宋体" w:hAnsi="宋体" w:cs="宋体"/>
                <w:highlight w:val="none"/>
              </w:rPr>
              <w:t xml:space="preserve">★</w:t>
            </w:r>
            <w:r>
              <w:rPr>
                <w:rFonts w:hint="eastAsia" w:ascii="宋体" w:hAnsi="宋体" w:cs="宋体"/>
                <w:color w:val="000000"/>
                <w:highlight w:val="none"/>
              </w:rPr>
              <w:t xml:space="preserve">提供参与本项目人员资质实质性响应承诺函（格式自拟），要求承诺签订合同前按</w:t>
            </w:r>
            <w:r>
              <w:rPr>
                <w:rFonts w:hint="eastAsia" w:ascii="宋体" w:hAnsi="宋体" w:cs="宋体"/>
                <w:color w:val="ff0000"/>
                <w:highlight w:val="none"/>
              </w:rPr>
              <w:t xml:space="preserve">“人员要求”</w:t>
            </w:r>
            <w:r>
              <w:rPr>
                <w:rFonts w:hint="eastAsia" w:ascii="宋体" w:hAnsi="宋体" w:cs="宋体"/>
                <w:color w:val="000000"/>
                <w:highlight w:val="none"/>
              </w:rPr>
              <w:t xml:space="preserve">中“资质要求”的内容，提供各岗位人员证明材料。</w:t>
            </w:r>
            <w:r>
              <w:rPr>
                <w:highlight w:val="none"/>
              </w:rPr>
            </w:r>
            <w:r/>
          </w:p>
        </w:tc>
        <w:tc>
          <w:tcPr>
            <w:tcMar>
              <w:left w:w="120" w:type="dxa"/>
              <w:top w:w="120" w:type="dxa"/>
              <w:right w:w="120" w:type="dxa"/>
              <w:bottom w:w="120" w:type="dxa"/>
            </w:tcMar>
            <w:tcW w:w="120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承诺函</w:t>
            </w:r>
            <w:r>
              <w:rPr>
                <w:highlight w:val="none"/>
              </w:rPr>
            </w:r>
            <w:r/>
          </w:p>
        </w:tc>
      </w:tr>
      <w:tr>
        <w:trPr>
          <w:jc w:val="center"/>
        </w:trPr>
        <w:tc>
          <w:tcPr>
            <w:tcW w:w="115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Mar>
              <w:left w:w="120" w:type="dxa"/>
              <w:top w:w="120" w:type="dxa"/>
              <w:right w:w="120" w:type="dxa"/>
              <w:bottom w:w="120" w:type="dxa"/>
            </w:tcMar>
            <w:tcW w:w="6907" w:type="dxa"/>
            <w:vAlign w:val="center"/>
            <w:textDirection w:val="lrTb"/>
            <w:noWrap w:val="false"/>
          </w:tcPr>
          <w:p>
            <w:pPr>
              <w:jc w:val="left"/>
              <w:widowControl/>
              <w:rPr>
                <w:rFonts w:hint="eastAsia" w:ascii="宋体" w:hAnsi="宋体" w:cs="宋体"/>
                <w:color w:val="000000"/>
                <w:highlight w:val="none"/>
              </w:rPr>
            </w:pPr>
            <w:r>
              <w:rPr>
                <w:rFonts w:hint="eastAsia" w:ascii="宋体" w:hAnsi="宋体" w:cs="宋体"/>
                <w:highlight w:val="none"/>
              </w:rPr>
              <w:t xml:space="preserve">★</w:t>
            </w:r>
            <w:r>
              <w:rPr>
                <w:rFonts w:hint="eastAsia" w:ascii="宋体" w:hAnsi="宋体" w:cs="宋体"/>
                <w:color w:val="000000"/>
                <w:highlight w:val="none"/>
              </w:rPr>
              <w:t xml:space="preserve">采购文件中的服务要求和考核办法均为通用要求，各采购人有权根据自身实际情况，在通用要求的基础上分配服务岗位、拟定岗位职责、调整考核要求和设定考核分值。投标人应承诺无条件接受以上内容（提供承诺函，格式自拟）。</w:t>
            </w:r>
            <w:r>
              <w:rPr>
                <w:highlight w:val="none"/>
              </w:rPr>
            </w:r>
            <w:r/>
          </w:p>
        </w:tc>
        <w:tc>
          <w:tcPr>
            <w:tcMar>
              <w:left w:w="120" w:type="dxa"/>
              <w:top w:w="120" w:type="dxa"/>
              <w:right w:w="120" w:type="dxa"/>
              <w:bottom w:w="120" w:type="dxa"/>
            </w:tcMar>
            <w:tcW w:w="120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承诺函</w:t>
            </w:r>
            <w:r>
              <w:rPr>
                <w:highlight w:val="none"/>
              </w:rPr>
            </w:r>
            <w:r/>
          </w:p>
        </w:tc>
      </w:tr>
      <w:tr>
        <w:trPr>
          <w:jc w:val="center"/>
        </w:trPr>
        <w:tc>
          <w:tcPr>
            <w:tcW w:w="1150"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Mar>
              <w:left w:w="120" w:type="dxa"/>
              <w:top w:w="120" w:type="dxa"/>
              <w:right w:w="120" w:type="dxa"/>
              <w:bottom w:w="120" w:type="dxa"/>
            </w:tcMar>
            <w:tcW w:w="6907" w:type="dxa"/>
            <w:vAlign w:val="center"/>
            <w:textDirection w:val="lrTb"/>
            <w:noWrap w:val="false"/>
          </w:tcPr>
          <w:p>
            <w:pPr>
              <w:pStyle w:val="803"/>
              <w:jc w:val="lef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服务费按中标（成交）价格执行，服务费在项目实施期间不因薪资政策调整、市场变化等任何因素而变动,出具承诺函。</w:t>
            </w:r>
            <w:r>
              <w:rPr>
                <w:highlight w:val="none"/>
              </w:rPr>
            </w:r>
            <w:r/>
          </w:p>
        </w:tc>
        <w:tc>
          <w:tcPr>
            <w:tcMar>
              <w:left w:w="120" w:type="dxa"/>
              <w:top w:w="120" w:type="dxa"/>
              <w:right w:w="120" w:type="dxa"/>
              <w:bottom w:w="120" w:type="dxa"/>
            </w:tcMar>
            <w:tcW w:w="120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承诺函</w:t>
            </w:r>
            <w:r>
              <w:rPr>
                <w:highlight w:val="none"/>
              </w:rPr>
            </w:r>
            <w:r/>
          </w:p>
        </w:tc>
      </w:tr>
    </w:tbl>
    <w:p>
      <w:pPr>
        <w:ind w:firstLine="482"/>
        <w:spacing w:line="40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jc w:val="center"/>
        <w:spacing w:before="156" w:after="156" w:line="40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w:t>
      </w:r>
      <w:r>
        <w:rPr>
          <w:rFonts w:ascii="宋体" w:hAnsi="宋体" w:cs="宋体"/>
          <w:b/>
          <w:color w:val="000000"/>
          <w:sz w:val="24"/>
          <w:highlight w:val="none"/>
        </w:rPr>
        <w:t xml:space="preserve">采购标的对应的中小企业划分标准所属行业一览表</w:t>
      </w:r>
      <w:r>
        <w:rPr>
          <w:highlight w:val="none"/>
        </w:rPr>
      </w:r>
      <w:r/>
    </w:p>
    <w:tbl>
      <w:tblPr>
        <w:tblStyle w:val="793"/>
        <w:tblW w:w="9242" w:type="dxa"/>
        <w:tblInd w:w="1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00"/>
        <w:gridCol w:w="4375"/>
        <w:gridCol w:w="3967"/>
      </w:tblGrid>
      <w:tr>
        <w:trPr>
          <w:trHeight w:val="397"/>
        </w:trPr>
        <w:tc>
          <w:tcPr>
            <w:tcMar>
              <w:left w:w="108" w:type="dxa"/>
              <w:top w:w="0" w:type="dxa"/>
              <w:right w:w="108" w:type="dxa"/>
              <w:bottom w:w="0" w:type="dxa"/>
            </w:tcMar>
            <w:tcW w:w="900" w:type="dxa"/>
            <w:vAlign w:val="center"/>
            <w:textDirection w:val="lrTb"/>
            <w:noWrap w:val="false"/>
          </w:tcPr>
          <w:p>
            <w:pPr>
              <w:jc w:val="center"/>
              <w:spacing w:line="36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4375" w:type="dxa"/>
            <w:vAlign w:val="center"/>
            <w:textDirection w:val="lrTb"/>
            <w:noWrap w:val="false"/>
          </w:tcPr>
          <w:p>
            <w:pPr>
              <w:jc w:val="center"/>
              <w:spacing w:line="36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采购标的</w:t>
            </w:r>
            <w:r>
              <w:rPr>
                <w:highlight w:val="none"/>
              </w:rPr>
            </w:r>
            <w:r/>
          </w:p>
        </w:tc>
        <w:tc>
          <w:tcPr>
            <w:tcMar>
              <w:left w:w="108" w:type="dxa"/>
              <w:top w:w="0" w:type="dxa"/>
              <w:right w:w="108" w:type="dxa"/>
              <w:bottom w:w="0" w:type="dxa"/>
            </w:tcMar>
            <w:tcW w:w="3967" w:type="dxa"/>
            <w:vAlign w:val="center"/>
            <w:textDirection w:val="lrTb"/>
            <w:noWrap w:val="false"/>
          </w:tcPr>
          <w:p>
            <w:pPr>
              <w:jc w:val="center"/>
              <w:spacing w:line="36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对应中小企业划分标准所属行业</w:t>
            </w:r>
            <w:r>
              <w:rPr>
                <w:highlight w:val="none"/>
              </w:rPr>
            </w:r>
            <w:r/>
          </w:p>
        </w:tc>
      </w:tr>
      <w:tr>
        <w:trPr>
          <w:trHeight w:val="397"/>
        </w:trPr>
        <w:tc>
          <w:tcPr>
            <w:tcMar>
              <w:left w:w="108" w:type="dxa"/>
              <w:top w:w="0" w:type="dxa"/>
              <w:right w:w="108" w:type="dxa"/>
              <w:bottom w:w="0" w:type="dxa"/>
            </w:tcMar>
            <w:tcW w:w="900"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highlight w:val="none"/>
              </w:rPr>
            </w:r>
            <w:r/>
          </w:p>
        </w:tc>
        <w:tc>
          <w:tcPr>
            <w:tcMar>
              <w:left w:w="108" w:type="dxa"/>
              <w:top w:w="0" w:type="dxa"/>
              <w:right w:w="108" w:type="dxa"/>
              <w:bottom w:w="0" w:type="dxa"/>
            </w:tcMar>
            <w:tcW w:w="43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常州市教育局局属单位第二批物业服务</w:t>
            </w:r>
            <w:r>
              <w:rPr>
                <w:highlight w:val="none"/>
              </w:rPr>
            </w:r>
            <w:r/>
          </w:p>
        </w:tc>
        <w:tc>
          <w:tcPr>
            <w:tcMar>
              <w:left w:w="108" w:type="dxa"/>
              <w:top w:w="0" w:type="dxa"/>
              <w:right w:w="108" w:type="dxa"/>
              <w:bottom w:w="0" w:type="dxa"/>
            </w:tcMar>
            <w:tcW w:w="3967"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物业管理行业</w:t>
            </w:r>
            <w:r>
              <w:rPr>
                <w:highlight w:val="none"/>
              </w:rPr>
            </w:r>
            <w:r/>
          </w:p>
        </w:tc>
      </w:tr>
    </w:tbl>
    <w:p>
      <w:pPr>
        <w:rPr>
          <w:sz w:val="24"/>
          <w:highlight w:val="none"/>
        </w:rPr>
      </w:pPr>
      <w:r>
        <w:rPr>
          <w:sz w:val="24"/>
          <w:highlight w:val="none"/>
        </w:rPr>
      </w:r>
      <w:r>
        <w:rPr>
          <w:highlight w:val="none"/>
        </w:rPr>
      </w:r>
      <w:r/>
    </w:p>
    <w:p>
      <w:pPr>
        <w:rPr>
          <w:sz w:val="24"/>
          <w:highlight w:val="none"/>
        </w:rPr>
      </w:pPr>
      <w:r>
        <w:rPr>
          <w:sz w:val="24"/>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pStyle w:val="783"/>
        <w:rPr>
          <w:rFonts w:ascii="黑体" w:eastAsia="黑体"/>
          <w:bCs/>
          <w:sz w:val="44"/>
          <w:highlight w:val="none"/>
        </w:rPr>
      </w:pPr>
      <w:r>
        <w:rPr>
          <w:highlight w:val="none"/>
        </w:rPr>
      </w:r>
      <w:bookmarkStart w:id="201" w:name="_Toc12498"/>
      <w:r>
        <w:rPr>
          <w:highlight w:val="none"/>
        </w:rPr>
      </w:r>
      <w:bookmarkStart w:id="202" w:name="_Toc120614281"/>
      <w:r>
        <w:rPr>
          <w:rFonts w:hint="eastAsia" w:ascii="黑体" w:eastAsia="黑体"/>
          <w:bCs/>
          <w:sz w:val="44"/>
          <w:highlight w:val="none"/>
        </w:rPr>
        <w:t xml:space="preserve">第五章  评标方法与评标标准</w:t>
      </w:r>
      <w:bookmarkEnd w:id="201"/>
      <w:r>
        <w:rPr>
          <w:highlight w:val="none"/>
        </w:rPr>
      </w:r>
      <w:r/>
    </w:p>
    <w:p>
      <w:pPr>
        <w:rPr>
          <w:highlight w:val="none"/>
        </w:rPr>
      </w:pPr>
      <w:r>
        <w:rPr>
          <w:highlight w:val="none"/>
        </w:rPr>
      </w:r>
      <w:r>
        <w:rPr>
          <w:highlight w:val="none"/>
        </w:rPr>
      </w:r>
      <w:r/>
    </w:p>
    <w:p>
      <w:pPr>
        <w:pStyle w:val="1028"/>
        <w:ind w:firstLine="361"/>
        <w:spacing w:line="0" w:lineRule="atLeast"/>
        <w:rPr>
          <w:rFonts w:hint="eastAsia" w:ascii="宋体" w:hAnsi="宋体"/>
          <w:b/>
          <w:highlight w:val="none"/>
        </w:rPr>
      </w:pPr>
      <w:r>
        <w:rPr>
          <w:rFonts w:hint="eastAsia" w:ascii="宋体" w:hAnsi="宋体"/>
          <w:b/>
          <w:highlight w:val="none"/>
        </w:rPr>
        <w:t xml:space="preserve">一、定标规则与定标顺序</w:t>
      </w:r>
      <w:r>
        <w:rPr>
          <w:highlight w:val="none"/>
        </w:rPr>
      </w:r>
      <w:r/>
    </w:p>
    <w:p>
      <w:pPr>
        <w:pStyle w:val="1028"/>
        <w:ind w:firstLine="439"/>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hint="eastAsia" w:cs="Arial"/>
          <w:highlight w:val="none"/>
        </w:rPr>
        <w:t xml:space="preserve">投标文件满足招标文件全部实质性要求，且按照评审因素的量化指标评审得分最高的投标人为中标候选人。本项目分包选取一名中标候选人。</w:t>
      </w:r>
      <w:r>
        <w:rPr>
          <w:highlight w:val="none"/>
        </w:rPr>
      </w:r>
      <w:r/>
    </w:p>
    <w:p>
      <w:pPr>
        <w:pStyle w:val="1028"/>
        <w:ind w:firstLine="441"/>
        <w:rPr>
          <w:rFonts w:hint="eastAsia" w:ascii="宋体" w:hAnsi="宋体"/>
          <w:b/>
          <w:highlight w:val="none"/>
        </w:rPr>
      </w:pPr>
      <w:r>
        <w:rPr>
          <w:rFonts w:hint="eastAsia" w:ascii="宋体" w:hAnsi="宋体"/>
          <w:b/>
          <w:highlight w:val="none"/>
        </w:rPr>
        <w:t xml:space="preserve">二、政府采购政策功能落实</w:t>
      </w:r>
      <w:r>
        <w:rPr>
          <w:highlight w:val="none"/>
        </w:rPr>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本项目属于专门面向中小企业预留份额采购项目，按规定不再执行小微型企业价格扣除政策。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本项目属于服务类项目且不包含产品采购，不享受本国产品扣除。</w:t>
      </w:r>
      <w:r/>
    </w:p>
    <w:p>
      <w:pPr>
        <w:pStyle w:val="1028"/>
        <w:ind w:firstLine="482"/>
        <w:spacing w:line="0" w:lineRule="atLeast"/>
        <w:rPr>
          <w:rFonts w:hint="eastAsia" w:ascii="宋体" w:hAnsi="宋体"/>
          <w:b/>
          <w:highlight w:val="none"/>
        </w:rPr>
      </w:pPr>
      <w:r>
        <w:rPr>
          <w:rFonts w:hint="eastAsia" w:ascii="宋体" w:hAnsi="宋体"/>
          <w:b/>
          <w:highlight w:val="none"/>
        </w:rPr>
        <w:t xml:space="preserve">三、评标方法与评标标准</w:t>
      </w:r>
      <w:r>
        <w:rPr>
          <w:highlight w:val="none"/>
        </w:rPr>
      </w:r>
      <w:r/>
    </w:p>
    <w:tbl>
      <w:tblPr>
        <w:tblStyle w:val="793"/>
        <w:tblW w:w="9131"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817"/>
        <w:gridCol w:w="1383"/>
        <w:gridCol w:w="4146"/>
        <w:gridCol w:w="771"/>
        <w:gridCol w:w="592"/>
        <w:gridCol w:w="711"/>
        <w:gridCol w:w="711"/>
      </w:tblGrid>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b/>
                <w:bCs/>
                <w:sz w:val="20"/>
                <w:szCs w:val="20"/>
                <w:highlight w:val="none"/>
              </w:rPr>
              <w:t xml:space="preserve">评分因素</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center"/>
              <w:widowControl/>
              <w:rPr>
                <w:rFonts w:hint="eastAsia" w:ascii="宋体" w:hAnsi="宋体" w:cs="宋体"/>
                <w:sz w:val="24"/>
                <w:highlight w:val="none"/>
              </w:rPr>
            </w:pPr>
            <w:r>
              <w:rPr>
                <w:rFonts w:hint="eastAsia" w:ascii="宋体" w:hAnsi="宋体"/>
                <w:b/>
                <w:highlight w:val="none"/>
              </w:rPr>
              <w:t xml:space="preserve">评分标准和评审材料</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最低分值</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最高分值</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是否暗标评审</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是否客观分</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价格分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Cs/>
                <w:sz w:val="18"/>
                <w:szCs w:val="18"/>
                <w:highlight w:val="none"/>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10</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技术分</w:t>
            </w:r>
            <w:r>
              <w:rPr>
                <w:highlight w:val="none"/>
              </w:rPr>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（主观分）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18"/>
                <w:szCs w:val="18"/>
                <w:highlight w:val="none"/>
              </w:rPr>
              <w:t xml:space="preserve">下列（2.1-2</w:t>
            </w:r>
            <w:r>
              <w:rPr>
                <w:rFonts w:ascii="宋体" w:hAnsi="宋体" w:cs="宋体"/>
                <w:b/>
                <w:bCs/>
                <w:sz w:val="18"/>
                <w:szCs w:val="18"/>
                <w:highlight w:val="none"/>
              </w:rPr>
              <w:t xml:space="preserve">.</w:t>
            </w:r>
            <w:r>
              <w:rPr>
                <w:rFonts w:hint="eastAsia" w:ascii="宋体" w:hAnsi="宋体" w:cs="宋体"/>
                <w:b/>
                <w:bCs/>
                <w:sz w:val="18"/>
                <w:szCs w:val="18"/>
                <w:highlight w:val="none"/>
              </w:rPr>
              <w:t xml:space="preserve">8）评分项属于暗标评审项，各投标人（供应商）提供评审材料（含样品）中不能出现投标人（供应商）的名称、标志、标记以及其它能够体现投标人（供应商）的信息，否则所有暗标评审项目均不得分。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40</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2.1</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组织框架，制定规章制度、岗位职责、岗位分工、工作流程</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针对组织框架，制定规章制度、岗位职责、岗位分工、工作流程等，评委进行综合评分，本项最高得5分。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1.内容完整全面、方案科学合理、针对性强，符合采购人要求的，得5分；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2.内容较为完整、方案基本合理、针对性一般，与采购人要求有所出入的，得3分；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3.内容不太完整、方案针对性较弱的，得1分；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2.2</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人员培训计划、培训要点、培训周期、培训内容</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针对人员培训计划、培训要点、培训周期、培训内容等，评委进行综合评分，本项最高得5分。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1.内容完整、方案合理、针对性强，符合采购人要求的，得5分；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2.内容较为完整、方案基本合理、针对性一般，与采购人要求有所出入的，得3分；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3.内容不太完整、方案针对性较弱的，得1分；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2.3</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保洁服务方案</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针对保洁服务方案（包括但不限于:日常日常保洁服务方案、专项保洁方案等），评委进行综合评分，本项最高得5分。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1.方案详尽、精细，科学性强，操作性强、规范合理的，得5分；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2.方案较为全面，科学性较强、操作性较强，较规范合理的，得3分；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3.方案简单，科学性操作性欠缺，规范性合理性欠佳的，得1分；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2.4</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灭四害工作方案</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针对灭四害工作方案（包括但不限于人员配置、工作流程、药剂使用和管理等），评委进行综合评分，本项最高得5分。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1.方案详尽、精细，科学性强，操作性强、规范合理的得5分；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2.方案基本全面，只具有基本科学性、操作性、规范性的得3分；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3.方案简单，操作性欠缺，规范欠缺的得1分；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2.5</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水电及零星维修服务方案</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水电及零星维修服务方案（包括但不限于日常综合维修，高配间值班方案）等，评委进行综合评分，本项最高得5分。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1.方案详尽、精细，科学性强，操作性强、规范合理的得5分；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2.方案基本全面，只具有基本科学性、操作性、规范性的得3分；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3.方案简单，操作性欠缺，规范欠缺的得1分；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2.6</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应急预案</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针对应急预案,包括但不限于:包括紧急应对停电、大型活动、反恐防暴、灾害性天气及其他危害公共突发事件紧急预案等，评委进行综合评分，本项最高得5分。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1.应急预案详细合理，可行性高的，得5分；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2.应急预案较为详细合理，基本可行的，得3分；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3.应急预案较为简单片面，可行性欠缺的，得1分；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2.7</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文明作业及安全作业措施</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针对文明作业及安全作业措施，评委进行综合评分，本项最高得5分。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1.安全保证措施能充分保障本项目任务的要求的，得5分；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2.安全保证措施能基本保障本项目任务的要求的，得3分；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3.安全保证措施不能满足本项目任务的要求的，得1分。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4.未提供方案的本项不得分。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2.8</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lang w:eastAsia="en-US"/>
              </w:rPr>
              <w:t xml:space="preserve">服务质量保证措施</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服务质量保证措施：包括对服务质量保证措施、投诉处理机制等。</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 措施详细、可行性高的得5；</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 措施合理性和可行性一般的得3分；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 措施合理性和可行性差的得1分；未提供措施不得分。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商务分</w:t>
            </w:r>
            <w:r>
              <w:rPr>
                <w:highlight w:val="none"/>
              </w:rPr>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（客观分）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50</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3.1</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业绩1</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供应商提供2022年1月1日（以合同签订时间为准）以来，具有非住宅类物业服务项目业绩，每提供一个完整业绩得2分，本项最高得10分。响应文件中需提供完整业绩合同（需有甲乙双方盖章）扫描件并加盖公章， 同一项目不同时期的有效合同仅按一个计算，未提供或提供不全的不得分。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10</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3.2</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业绩2</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供应商2022年1月1日（以合同签订时间为准）以来，具有在管的党政机关或事业单位物业服务项目业绩，服务内容须包含保洁服务、会务服务、维修服务和保安中任意三个内容，每提供一个完整业绩得3分，本项最高得15分。响应文件中需提供完整业绩合同（需有甲乙双方盖章）扫描件</w:t>
            </w:r>
            <w:r>
              <w:rPr>
                <w:rFonts w:ascii="宋体" w:hAnsi="宋体" w:cs="宋体"/>
                <w:sz w:val="20"/>
                <w:szCs w:val="20"/>
                <w:highlight w:val="none"/>
              </w:rPr>
              <w:t xml:space="preserve"> </w:t>
            </w:r>
            <w:r>
              <w:rPr>
                <w:rFonts w:hint="eastAsia" w:ascii="宋体" w:hAnsi="宋体" w:cs="宋体"/>
                <w:sz w:val="20"/>
                <w:szCs w:val="20"/>
                <w:highlight w:val="none"/>
              </w:rPr>
              <w:t xml:space="preserve">，同一项目不同时期的有效合同仅按一个计算，未提供或提供不全的不得分。3.1和3.2项业绩不得重复计分。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15</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3.3</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认证证书</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供应商具有有效的质量管理体系认证、环境管理体系认证、职业健康安全管理体系认证，每有一项得2分；本项最高得6分。响应文件中需提供有效证书扫描件并加盖公章。</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6</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3.4</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sz w:val="20"/>
                <w:szCs w:val="20"/>
                <w:highlight w:val="none"/>
              </w:rPr>
              <w:t xml:space="preserve">保安</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拟派本项目保安，本项最高</w:t>
            </w:r>
            <w:r>
              <w:rPr>
                <w:rFonts w:hint="eastAsia" w:ascii="宋体" w:hAnsi="宋体" w:cs="宋体"/>
                <w:color w:val="ff0000"/>
                <w:sz w:val="20"/>
                <w:szCs w:val="20"/>
                <w:highlight w:val="none"/>
              </w:rPr>
              <w:t xml:space="preserve">12</w:t>
            </w:r>
            <w:r>
              <w:rPr>
                <w:rFonts w:hint="eastAsia" w:ascii="宋体" w:hAnsi="宋体" w:cs="宋体"/>
                <w:sz w:val="20"/>
                <w:szCs w:val="20"/>
                <w:highlight w:val="none"/>
              </w:rPr>
              <w:t xml:space="preserve">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年龄低于45周岁（不含）的，每有一个人得2分，最多得12分。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响应文件中需提供保安素质承诺函（见格式十）。</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12</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3.5</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水电及零星维修工</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拟派本项目水电及零星维修工,本项最高得3分。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1. 具有大专及以上学历的得1分；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2. 具有应急管理部门颁发的应急救援员证书的得1分。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3. 具有高空作业证及相应保险</w:t>
            </w:r>
            <w:r>
              <w:rPr>
                <w:rFonts w:hint="eastAsia" w:ascii="宋体" w:hAnsi="宋体" w:cs="宋体"/>
                <w:color w:val="ff0000"/>
                <w:sz w:val="20"/>
                <w:szCs w:val="20"/>
                <w:highlight w:val="none"/>
              </w:rPr>
              <w:t xml:space="preserve">（商业保险）</w:t>
            </w:r>
            <w:bookmarkStart w:id="228" w:name="_GoBack"/>
            <w:r>
              <w:rPr>
                <w:highlight w:val="none"/>
              </w:rPr>
            </w:r>
            <w:bookmarkEnd w:id="228"/>
            <w:r>
              <w:rPr>
                <w:rFonts w:hint="eastAsia" w:ascii="宋体" w:hAnsi="宋体" w:cs="宋体"/>
                <w:sz w:val="20"/>
                <w:szCs w:val="20"/>
                <w:highlight w:val="none"/>
              </w:rPr>
              <w:t xml:space="preserve">的得1分。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响应文件中需提供相关证书及投标截止日前投标人为其缴纳的近三个月任意一个月的社保缴纳证明材料扫描件加盖公章。未提供或提供不全的不得分。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3.6</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保洁</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拟派本项目保洁人员中，至少1人具备《有害生物防制员》证书，得2分。</w:t>
            </w:r>
            <w:r>
              <w:rPr>
                <w:highlight w:val="none"/>
              </w:rPr>
            </w:r>
            <w:r/>
          </w:p>
          <w:p>
            <w:pPr>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响应文件中需提供相关证书及投标截止日前投标人为其缴纳的近三个月任意一个月的社保缴纳证明材料扫描件加盖公章。未提供或提供不全的不得分。</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r>
        <w:trPr>
          <w:jc w:val="center"/>
          <w:trHeight w:val="420"/>
        </w:trPr>
        <w:tc>
          <w:tcPr>
            <w:tcBorders>
              <w:top w:val="single" w:color="auto" w:sz="8" w:space="0"/>
              <w:left w:val="single" w:color="auto" w:sz="8" w:space="0"/>
              <w:bottom w:val="single" w:color="auto" w:sz="8" w:space="0"/>
              <w:right w:val="single" w:color="auto" w:sz="8" w:space="0"/>
            </w:tcBorders>
            <w:tcW w:w="817"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3.7</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383"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cs="宋体"/>
                <w:sz w:val="20"/>
                <w:szCs w:val="20"/>
                <w:highlight w:val="none"/>
              </w:rPr>
              <w:t xml:space="preserve">管理软件</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146" w:type="dxa"/>
            <w:vAlign w:val="center"/>
            <w:textDirection w:val="lrTb"/>
            <w:noWrap w:val="false"/>
          </w:tcPr>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投标人在项目中投入物业服务管理软件系统（投标人自主开发和向第三方购买均可），系统须具备保洁服务管理功能和物业维修管理功能，每具备一项功能得1分，最高得2分；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注：未按要求提供证明的不得分。</w:t>
            </w:r>
            <w:r>
              <w:rPr>
                <w:highlight w:val="none"/>
              </w:rPr>
            </w:r>
            <w:r/>
          </w:p>
          <w:p>
            <w:pPr>
              <w:jc w:val="left"/>
              <w:widowControl/>
              <w:rPr>
                <w:rFonts w:hint="eastAsia" w:ascii="宋体" w:hAnsi="宋体" w:cs="宋体"/>
                <w:sz w:val="20"/>
                <w:szCs w:val="20"/>
                <w:highlight w:val="none"/>
              </w:rPr>
            </w:pPr>
            <w:r>
              <w:rPr>
                <w:rFonts w:hint="eastAsia" w:ascii="宋体" w:hAnsi="宋体" w:cs="宋体"/>
                <w:sz w:val="20"/>
                <w:szCs w:val="20"/>
                <w:highlight w:val="none"/>
              </w:rPr>
              <w:t xml:space="preserve">供软件著作权证书或购买发票扫描件，提供功能截图加盖公章</w:t>
            </w:r>
            <w:r>
              <w:rPr>
                <w:highlight w:val="none"/>
              </w:rPr>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7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highlight w:val="none"/>
              </w:rPr>
            </w:r>
            <w:r/>
          </w:p>
        </w:tc>
        <w:tc>
          <w:tcPr>
            <w:tcBorders>
              <w:top w:val="single" w:color="auto" w:sz="8" w:space="0"/>
              <w:left w:val="single" w:color="auto" w:sz="8" w:space="0"/>
              <w:bottom w:val="single" w:color="auto" w:sz="8" w:space="0"/>
              <w:right w:val="single" w:color="auto" w:sz="8" w:space="0"/>
            </w:tcBorders>
            <w:tcW w:w="59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highlight w:val="none"/>
              </w:rPr>
            </w:r>
            <w:r/>
          </w:p>
        </w:tc>
        <w:tc>
          <w:tcPr>
            <w:tcBorders>
              <w:top w:val="single" w:color="auto" w:sz="8" w:space="0"/>
              <w:left w:val="single" w:color="auto" w:sz="8" w:space="0"/>
              <w:bottom w:val="single" w:color="auto" w:sz="8" w:space="0"/>
              <w:right w:val="single" w:color="auto" w:sz="8" w:space="0"/>
            </w:tcBorders>
            <w:tcW w:w="711"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highlight w:val="none"/>
              </w:rPr>
            </w:r>
            <w:r/>
          </w:p>
        </w:tc>
      </w:tr>
    </w:tbl>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1028"/>
        <w:ind w:firstLine="482"/>
        <w:spacing w:line="0" w:lineRule="atLeast"/>
        <w:rPr>
          <w:rFonts w:hint="eastAsia" w:ascii="宋体" w:hAnsi="宋体"/>
          <w:b/>
          <w:highlight w:val="none"/>
        </w:rPr>
      </w:pPr>
      <w:r>
        <w:rPr>
          <w:rFonts w:hint="eastAsia" w:ascii="宋体" w:hAnsi="宋体"/>
          <w:b/>
          <w:highlight w:val="none"/>
        </w:rPr>
      </w:r>
      <w:r>
        <w:rPr>
          <w:highlight w:val="none"/>
        </w:rPr>
      </w:r>
      <w:r/>
    </w:p>
    <w:p>
      <w:pPr>
        <w:pStyle w:val="783"/>
        <w:rPr>
          <w:rFonts w:ascii="黑体" w:eastAsia="黑体"/>
          <w:bCs/>
          <w:sz w:val="44"/>
          <w:highlight w:val="none"/>
        </w:rPr>
      </w:pPr>
      <w:r>
        <w:rPr>
          <w:highlight w:val="none"/>
        </w:rPr>
      </w:r>
      <w:bookmarkStart w:id="203" w:name="_Toc19132"/>
      <w:r>
        <w:rPr>
          <w:rFonts w:hint="eastAsia" w:ascii="黑体" w:eastAsia="黑体"/>
          <w:bCs/>
          <w:sz w:val="44"/>
          <w:highlight w:val="none"/>
        </w:rPr>
        <w:t xml:space="preserve">第六章  投标</w:t>
      </w:r>
      <w:bookmarkEnd w:id="198"/>
      <w:r>
        <w:rPr>
          <w:highlight w:val="none"/>
        </w:rPr>
      </w:r>
      <w:bookmarkEnd w:id="199"/>
      <w:r>
        <w:rPr>
          <w:highlight w:val="none"/>
        </w:rPr>
      </w:r>
      <w:bookmarkEnd w:id="202"/>
      <w:r>
        <w:rPr>
          <w:rFonts w:hint="eastAsia" w:ascii="黑体" w:eastAsia="黑体"/>
          <w:bCs/>
          <w:sz w:val="44"/>
          <w:highlight w:val="none"/>
        </w:rPr>
        <w:t xml:space="preserve">文件格式</w:t>
      </w:r>
      <w:bookmarkEnd w:id="203"/>
      <w:r>
        <w:rPr>
          <w:rFonts w:hint="eastAsia" w:ascii="黑体" w:eastAsia="黑体"/>
          <w:bCs/>
          <w:sz w:val="44"/>
          <w:highlight w:val="none"/>
        </w:rPr>
        <w:t xml:space="preserve"> </w:t>
      </w:r>
      <w:r>
        <w:rPr>
          <w:highlight w:val="none"/>
        </w:rPr>
      </w:r>
      <w:r/>
    </w:p>
    <w:p>
      <w:pPr>
        <w:jc w:val="center"/>
        <w:rPr>
          <w:rFonts w:hint="eastAsia" w:ascii="宋体" w:hAnsi="宋体"/>
          <w:b/>
          <w:sz w:val="72"/>
          <w:highlight w:val="none"/>
        </w:rPr>
      </w:pPr>
      <w:r>
        <w:rPr>
          <w:highlight w:val="none"/>
        </w:rPr>
      </w:r>
      <w:bookmarkStart w:id="204" w:name="_Hlt26955039"/>
      <w:r>
        <w:rPr>
          <w:highlight w:val="none"/>
        </w:rPr>
      </w:r>
      <w:bookmarkEnd w:id="204"/>
      <w:r>
        <w:rPr>
          <w:highlight w:val="none"/>
        </w:rPr>
      </w:r>
      <w:bookmarkStart w:id="205" w:name="_Hlt26671244"/>
      <w:r>
        <w:rPr>
          <w:highlight w:val="none"/>
        </w:rPr>
      </w:r>
      <w:bookmarkEnd w:id="205"/>
      <w:r>
        <w:rPr>
          <w:highlight w:val="none"/>
        </w:rPr>
      </w:r>
      <w:bookmarkStart w:id="206" w:name="_Toc120614282"/>
      <w:r>
        <w:rPr>
          <w:highlight w:val="none"/>
        </w:rPr>
      </w:r>
      <w:bookmarkStart w:id="207" w:name="_Toc26554094"/>
      <w:r>
        <w:rPr>
          <w:highlight w:val="none"/>
        </w:rPr>
      </w:r>
      <w:bookmarkStart w:id="208" w:name="_Toc49090576"/>
      <w:r>
        <w:rPr>
          <w:highlight w:val="none"/>
        </w:rPr>
      </w:r>
      <w:r/>
    </w:p>
    <w:p>
      <w:pPr>
        <w:jc w:val="center"/>
        <w:rPr>
          <w:rFonts w:hint="eastAsia" w:ascii="宋体" w:hAnsi="宋体"/>
          <w:b/>
          <w:sz w:val="72"/>
          <w:highlight w:val="none"/>
        </w:rPr>
      </w:pPr>
      <w:r>
        <w:rPr>
          <w:rFonts w:hint="eastAsia" w:ascii="宋体" w:hAnsi="宋体"/>
          <w:b/>
          <w:sz w:val="72"/>
          <w:highlight w:val="none"/>
        </w:rPr>
        <w:t xml:space="preserve">投  标  文  件</w:t>
      </w:r>
      <w:r>
        <w:rPr>
          <w:highlight w:val="none"/>
        </w:rPr>
      </w:r>
      <w:r/>
    </w:p>
    <w:p>
      <w:pPr>
        <w:jc w:val="center"/>
        <w:rPr>
          <w:rFonts w:hint="eastAsia" w:ascii="宋体" w:hAnsi="宋体"/>
          <w:b/>
          <w:sz w:val="72"/>
          <w:highlight w:val="none"/>
        </w:rPr>
      </w:pPr>
      <w:r>
        <w:rPr>
          <w:rFonts w:hint="eastAsia" w:ascii="宋体" w:hAnsi="宋体"/>
          <w:b/>
          <w:sz w:val="72"/>
          <w:highlight w:val="none"/>
        </w:rPr>
      </w:r>
      <w:r>
        <w:rPr>
          <w:highlight w:val="none"/>
        </w:rPr>
      </w:r>
      <w:r/>
    </w:p>
    <w:p>
      <w:pPr>
        <w:jc w:val="center"/>
        <w:rPr>
          <w:rFonts w:hint="eastAsia" w:ascii="宋体" w:hAnsi="宋体"/>
          <w:b/>
          <w:sz w:val="72"/>
          <w:highlight w:val="none"/>
        </w:rPr>
      </w:pPr>
      <w:r>
        <w:rPr>
          <w:rFonts w:hint="eastAsia" w:ascii="宋体" w:hAnsi="宋体"/>
          <w:b/>
          <w:sz w:val="72"/>
          <w:highlight w:val="none"/>
        </w:rPr>
      </w:r>
      <w:r>
        <w:rPr>
          <w:highlight w:val="none"/>
        </w:rPr>
      </w:r>
      <w:r/>
    </w:p>
    <w:p>
      <w:pPr>
        <w:jc w:val="center"/>
        <w:rPr>
          <w:rFonts w:hint="eastAsia" w:ascii="宋体" w:hAnsi="宋体"/>
          <w:b/>
          <w:sz w:val="36"/>
          <w:highlight w:val="none"/>
        </w:rPr>
      </w:pPr>
      <w:r>
        <w:rPr>
          <w:rFonts w:hint="eastAsia" w:ascii="宋体" w:hAnsi="宋体"/>
          <w:b/>
          <w:sz w:val="36"/>
          <w:highlight w:val="none"/>
        </w:rPr>
      </w:r>
      <w:r>
        <w:rPr>
          <w:highlight w:val="none"/>
        </w:rPr>
      </w:r>
      <w:r/>
    </w:p>
    <w:p>
      <w:pPr>
        <w:jc w:val="center"/>
        <w:rPr>
          <w:rFonts w:hint="eastAsia" w:ascii="宋体" w:hAnsi="宋体"/>
          <w:b/>
          <w:sz w:val="36"/>
          <w:highlight w:val="none"/>
        </w:rPr>
      </w:pPr>
      <w:r>
        <w:rPr>
          <w:rFonts w:hint="eastAsia" w:ascii="宋体" w:hAnsi="宋体"/>
          <w:b/>
          <w:sz w:val="36"/>
          <w:highlight w:val="none"/>
        </w:rPr>
      </w:r>
      <w:r>
        <w:rPr>
          <w:highlight w:val="none"/>
        </w:rPr>
      </w:r>
      <w:r/>
    </w:p>
    <w:p>
      <w:pPr>
        <w:jc w:val="center"/>
        <w:rPr>
          <w:rFonts w:hint="eastAsia" w:ascii="宋体" w:hAnsi="宋体"/>
          <w:b/>
          <w:sz w:val="36"/>
          <w:highlight w:val="none"/>
        </w:rPr>
      </w:pPr>
      <w:r>
        <w:rPr>
          <w:rFonts w:hint="eastAsia" w:ascii="宋体" w:hAnsi="宋体"/>
          <w:b/>
          <w:sz w:val="36"/>
          <w:highlight w:val="none"/>
        </w:rPr>
      </w:r>
      <w:r>
        <w:rPr>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highlight w:val="none"/>
        </w:rPr>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highlight w:val="none"/>
        </w:rPr>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highlight w:val="none"/>
        </w:rPr>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spacing w:line="440" w:lineRule="exact"/>
        <w:rPr>
          <w:rFonts w:hint="eastAsia" w:ascii="宋体" w:hAnsi="宋体"/>
          <w:highlight w:val="none"/>
        </w:rPr>
      </w:pPr>
      <w:r>
        <w:rPr>
          <w:rFonts w:hint="eastAsia" w:ascii="宋体" w:hAnsi="宋体"/>
          <w:highlight w:val="none"/>
        </w:rPr>
      </w:r>
      <w:r>
        <w:rPr>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rPr>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投标文件主要格式目录</w:t>
      </w:r>
      <w:r>
        <w:rPr>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ind w:firstLine="480"/>
        <w:spacing w:line="440" w:lineRule="exact"/>
        <w:rPr>
          <w:rFonts w:hint="eastAsia" w:ascii="宋体" w:hAnsi="宋体"/>
          <w:i/>
          <w:sz w:val="24"/>
          <w:highlight w:val="none"/>
          <w:u w:val="single"/>
        </w:rPr>
      </w:pPr>
      <w:r>
        <w:rPr>
          <w:highlight w:val="none"/>
        </w:rPr>
      </w:r>
      <w:bookmarkStart w:id="209" w:name="_Hlk169597907"/>
      <w:r>
        <w:rPr>
          <w:rFonts w:hint="eastAsia" w:ascii="宋体" w:hAnsi="宋体"/>
          <w:i/>
          <w:sz w:val="24"/>
          <w:highlight w:val="none"/>
          <w:u w:val="single"/>
        </w:rPr>
        <w:t xml:space="preserve">一、投标人资格声明函</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二、法人授权书</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三、投标函</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四、中小企业声明函</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五、残疾人福利性单位声明函或监狱企业证明</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六、投标分项报价表</w:t>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七、技术要求响应及偏离表</w:t>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八、商务要求响应及偏离表</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九、开标一览表</w:t>
      </w:r>
      <w:bookmarkEnd w:id="209"/>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十、保安素质承诺函</w:t>
      </w:r>
      <w:r>
        <w:rPr>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bookmarkEnd w:id="206"/>
      <w:r/>
      <w:bookmarkEnd w:id="207"/>
      <w:r/>
      <w:bookmarkEnd w:id="208"/>
      <w:r>
        <w:rPr>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rPr>
          <w:highlight w:val="none"/>
        </w:rPr>
      </w:r>
      <w:r/>
    </w:p>
    <w:p>
      <w:pPr>
        <w:rPr>
          <w:rFonts w:hint="eastAsia" w:ascii="黑体" w:hAnsi="黑体" w:eastAsia="黑体"/>
          <w:i/>
          <w:sz w:val="32"/>
          <w:szCs w:val="32"/>
          <w:highlight w:val="none"/>
          <w:u w:val="single"/>
        </w:rPr>
      </w:pPr>
      <w:r>
        <w:rPr>
          <w:highlight w:val="none"/>
        </w:rPr>
      </w:r>
      <w:bookmarkStart w:id="210" w:name="_Toc120614284"/>
      <w:r>
        <w:rPr>
          <w:rFonts w:hint="eastAsia" w:ascii="黑体" w:hAnsi="黑体" w:eastAsia="黑体"/>
          <w:i/>
          <w:sz w:val="32"/>
          <w:szCs w:val="32"/>
          <w:highlight w:val="none"/>
          <w:u w:val="single"/>
        </w:rPr>
        <w:t xml:space="preserve">一、投标人</w:t>
      </w:r>
      <w:r>
        <w:rPr>
          <w:rFonts w:ascii="黑体" w:hAnsi="黑体" w:eastAsia="黑体"/>
          <w:i/>
          <w:sz w:val="32"/>
          <w:szCs w:val="32"/>
          <w:highlight w:val="none"/>
          <w:u w:val="single"/>
        </w:rPr>
        <w:t xml:space="preserve">资格声明</w:t>
      </w:r>
      <w:r>
        <w:rPr>
          <w:rFonts w:hint="eastAsia" w:ascii="黑体" w:hAnsi="黑体" w:eastAsia="黑体"/>
          <w:i/>
          <w:sz w:val="32"/>
          <w:szCs w:val="32"/>
          <w:highlight w:val="none"/>
          <w:u w:val="single"/>
        </w:rPr>
        <w:t xml:space="preserve">函</w:t>
      </w:r>
      <w:r>
        <w:rPr>
          <w:highlight w:val="none"/>
        </w:rPr>
      </w:r>
      <w:r/>
    </w:p>
    <w:p>
      <w:pPr>
        <w:jc w:val="center"/>
        <w:spacing w:before="156" w:line="360" w:lineRule="auto"/>
        <w:widowControl/>
        <w:rPr>
          <w:rFonts w:hint="eastAsia" w:ascii="宋体" w:hAnsi="宋体" w:cs="宋体"/>
          <w:highlight w:val="none"/>
        </w:rPr>
      </w:pPr>
      <w:r>
        <w:rPr>
          <w:rFonts w:hint="eastAsia" w:ascii="宋体" w:hAnsi="宋体" w:cs="宋体"/>
          <w:b/>
          <w:sz w:val="28"/>
          <w:szCs w:val="28"/>
          <w:highlight w:val="none"/>
        </w:rPr>
        <w:t xml:space="preserve">投标人资格声明函</w:t>
      </w:r>
      <w:r>
        <w:rPr>
          <w:highlight w:val="none"/>
        </w:rPr>
      </w:r>
      <w:r/>
    </w:p>
    <w:p>
      <w:pPr>
        <w:pStyle w:val="794"/>
        <w:ind w:firstLine="480"/>
        <w:spacing w:line="460" w:lineRule="exact"/>
        <w:rPr>
          <w:highlight w:val="none"/>
        </w:rPr>
      </w:pPr>
      <w:r>
        <w:rPr>
          <w:rFonts w:hint="eastAsia"/>
          <w:highlight w:val="none"/>
        </w:rPr>
        <w:t xml:space="preserve">致：常州市政府采购中心</w:t>
      </w:r>
      <w:r>
        <w:rPr>
          <w:highlight w:val="none"/>
        </w:rPr>
      </w:r>
      <w:r/>
    </w:p>
    <w:p>
      <w:pPr>
        <w:pStyle w:val="794"/>
        <w:ind w:firstLine="840"/>
        <w:spacing w:line="460" w:lineRule="exact"/>
        <w:rPr>
          <w:highlight w:val="none"/>
          <w:u w:val="single"/>
        </w:rPr>
      </w:pPr>
      <w:r>
        <w:rPr>
          <w:rFonts w:hint="eastAsia"/>
          <w:highlight w:val="none"/>
          <w:u w:val="single"/>
        </w:rPr>
        <w:t xml:space="preserve">（采购人名称）</w:t>
      </w:r>
      <w:r>
        <w:rPr>
          <w:highlight w:val="none"/>
        </w:rPr>
      </w:r>
      <w:r/>
    </w:p>
    <w:p>
      <w:pPr>
        <w:pStyle w:val="794"/>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794"/>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i/>
          <w:highlight w:val="none"/>
          <w:u w:val="singl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794"/>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794"/>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794"/>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794"/>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794"/>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794"/>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794"/>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794"/>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794"/>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794"/>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794"/>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794"/>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794"/>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794"/>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794"/>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794"/>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794"/>
        <w:ind w:firstLine="480"/>
        <w:spacing w:line="460" w:lineRule="exact"/>
        <w:rPr>
          <w:highlight w:val="none"/>
        </w:rPr>
      </w:pPr>
      <w:r>
        <w:rPr>
          <w:highlight w:val="none"/>
        </w:rPr>
      </w:r>
      <w:r>
        <w:rPr>
          <w:highlight w:val="none"/>
        </w:rPr>
      </w:r>
      <w:r/>
    </w:p>
    <w:p>
      <w:pPr>
        <w:pStyle w:val="794"/>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794"/>
        <w:ind w:firstLine="480"/>
        <w:spacing w:line="460" w:lineRule="exact"/>
        <w:rPr>
          <w:highlight w:val="none"/>
        </w:rPr>
      </w:pPr>
      <w:r>
        <w:rPr>
          <w:highlight w:val="none"/>
        </w:rPr>
      </w:r>
      <w:r>
        <w:rPr>
          <w:highlight w:val="none"/>
        </w:rPr>
      </w:r>
      <w:r/>
    </w:p>
    <w:p>
      <w:pPr>
        <w:pStyle w:val="794"/>
        <w:ind w:firstLine="480"/>
        <w:spacing w:line="460" w:lineRule="exact"/>
        <w:rPr>
          <w:highlight w:val="none"/>
        </w:rPr>
      </w:pPr>
      <w:r>
        <w:rPr>
          <w:highlight w:val="none"/>
        </w:rPr>
      </w:r>
      <w:r>
        <w:rPr>
          <w:highlight w:val="none"/>
        </w:rPr>
      </w:r>
      <w:r/>
    </w:p>
    <w:p>
      <w:pPr>
        <w:pStyle w:val="794"/>
        <w:ind w:firstLine="480"/>
        <w:spacing w:line="460" w:lineRule="exact"/>
        <w:rPr>
          <w:highlight w:val="none"/>
        </w:rPr>
      </w:pPr>
      <w:r>
        <w:rPr>
          <w:rFonts w:hint="eastAsia"/>
          <w:highlight w:val="none"/>
        </w:rPr>
        <w:t xml:space="preserve">                                            投标人：（加盖公章）</w:t>
      </w:r>
      <w:r>
        <w:rPr>
          <w:highlight w:val="none"/>
        </w:rPr>
      </w:r>
      <w:r/>
    </w:p>
    <w:p>
      <w:pPr>
        <w:pStyle w:val="794"/>
        <w:ind w:firstLine="480"/>
        <w:spacing w:line="460" w:lineRule="exact"/>
        <w:rPr>
          <w:highlight w:val="none"/>
        </w:rPr>
      </w:pPr>
      <w:r>
        <w:rPr>
          <w:rFonts w:hint="eastAsia"/>
          <w:highlight w:val="none"/>
        </w:rPr>
        <w:t xml:space="preserve">                                           法定代表人（或单位负责人）签字或盖章：</w:t>
      </w:r>
      <w:r>
        <w:rPr>
          <w:highlight w:val="none"/>
        </w:rPr>
      </w:r>
      <w:r/>
    </w:p>
    <w:p>
      <w:pPr>
        <w:pStyle w:val="794"/>
        <w:ind w:firstLine="4305"/>
        <w:spacing w:line="460" w:lineRule="exact"/>
        <w:rPr>
          <w:highlight w:val="none"/>
        </w:rPr>
      </w:pPr>
      <w:r>
        <w:rPr>
          <w:rFonts w:hint="eastAsia"/>
          <w:highlight w:val="none"/>
        </w:rPr>
        <w:t xml:space="preserve">日期：    年    月    日</w:t>
      </w:r>
      <w:r>
        <w:rPr>
          <w:highlight w:val="none"/>
        </w:rPr>
      </w:r>
      <w:r/>
    </w:p>
    <w:p>
      <w:pPr>
        <w:spacing w:line="360" w:lineRule="auto"/>
        <w:rPr>
          <w:sz w:val="24"/>
          <w:highlight w:val="none"/>
        </w:rPr>
      </w:pPr>
      <w:r>
        <w:rPr>
          <w:sz w:val="24"/>
          <w:highlight w:val="none"/>
        </w:rPr>
      </w:r>
      <w:r>
        <w:rPr>
          <w:highlight w:val="none"/>
        </w:rPr>
      </w:r>
      <w:r/>
    </w:p>
    <w:p>
      <w:pPr>
        <w:spacing w:line="360" w:lineRule="auto"/>
        <w:rPr>
          <w:sz w:val="24"/>
          <w:highlight w:val="none"/>
        </w:rPr>
      </w:pPr>
      <w:r>
        <w:rPr>
          <w:sz w:val="24"/>
          <w:highlight w:val="none"/>
        </w:rPr>
      </w:r>
      <w:r>
        <w:rPr>
          <w:highlight w:val="none"/>
        </w:rPr>
      </w:r>
      <w:r/>
    </w:p>
    <w:p>
      <w:pPr>
        <w:spacing w:line="360" w:lineRule="auto"/>
        <w:rPr>
          <w:sz w:val="24"/>
          <w:highlight w:val="none"/>
        </w:rPr>
      </w:pPr>
      <w:r>
        <w:rPr>
          <w:sz w:val="24"/>
          <w:highlight w:val="none"/>
        </w:rPr>
      </w:r>
      <w:r>
        <w:rPr>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投标人承诺不实的，依据《政府采购法》第七十七条“提供虚假材料谋取中标、成交的”有关规定予以处理</w:t>
      </w:r>
      <w:r>
        <w:rPr>
          <w:sz w:val="24"/>
          <w:highlight w:val="none"/>
        </w:rPr>
        <w:t xml:space="preserve">。</w:t>
      </w:r>
      <w:r>
        <w:rPr>
          <w:highlight w:val="none"/>
        </w:rPr>
      </w:r>
      <w:r/>
    </w:p>
    <w:p>
      <w:pPr>
        <w:spacing w:line="360" w:lineRule="auto"/>
        <w:tabs>
          <w:tab w:val="left" w:pos="5580" w:leader="none"/>
        </w:tabs>
        <w:rPr>
          <w:sz w:val="24"/>
          <w:highlight w:val="none"/>
        </w:rPr>
        <w:sectPr>
          <w:footerReference w:type="default" r:id="rId11"/>
          <w:footnotePr/>
          <w:endnotePr/>
          <w:type w:val="nextPage"/>
          <w:pgSz w:w="11906" w:h="16838" w:orient="portrait"/>
          <w:pgMar w:top="1440" w:right="1440" w:bottom="1440" w:left="1440" w:header="851" w:footer="992" w:gutter="0"/>
          <w:pgNumType w:start="1"/>
          <w:cols w:num="1" w:sep="0" w:space="720" w:equalWidth="1"/>
          <w:docGrid w:linePitch="360"/>
        </w:sectPr>
      </w:pPr>
      <w:r>
        <w:rPr>
          <w:sz w:val="24"/>
          <w:highlight w:val="none"/>
        </w:rPr>
      </w:r>
      <w:r>
        <w:rPr>
          <w:highlight w:val="non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二、法人授权书</w:t>
      </w:r>
      <w:r>
        <w:rPr>
          <w:highlight w:val="none"/>
        </w:rPr>
      </w:r>
      <w:r/>
    </w:p>
    <w:p>
      <w:pPr>
        <w:pStyle w:val="1026"/>
        <w:ind w:firstLine="480"/>
        <w:rPr>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highlight w:val="none"/>
        </w:rPr>
      </w:r>
      <w:r/>
    </w:p>
    <w:p>
      <w:pPr>
        <w:pStyle w:val="1026"/>
        <w:ind w:firstLine="480"/>
        <w:rPr>
          <w:sz w:val="24"/>
          <w:szCs w:val="24"/>
          <w:highlight w:val="none"/>
        </w:rPr>
      </w:pPr>
      <w:r>
        <w:rPr>
          <w:rFonts w:hint="eastAsia"/>
          <w:sz w:val="24"/>
          <w:szCs w:val="24"/>
          <w:highlight w:val="none"/>
        </w:rPr>
        <w:t xml:space="preserve">本授权书于______年____月____日起生效，特此声明。</w:t>
      </w:r>
      <w:r>
        <w:rPr>
          <w:highlight w:val="none"/>
        </w:rPr>
      </w:r>
      <w:r/>
    </w:p>
    <w:p>
      <w:pPr>
        <w:pStyle w:val="1026"/>
        <w:ind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highlight w:val="none"/>
        </w:rPr>
      </w:r>
      <w:r/>
    </w:p>
    <w:p>
      <w:pPr>
        <w:pStyle w:val="1026"/>
        <w:ind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highlight w:val="none"/>
        </w:rPr>
      </w:r>
      <w:r/>
    </w:p>
    <w:p>
      <w:pPr>
        <w:pStyle w:val="1026"/>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highlight w:val="none"/>
        </w:rPr>
      </w:r>
      <w:r/>
    </w:p>
    <w:p>
      <w:pPr>
        <w:pStyle w:val="1026"/>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highlight w:val="none"/>
        </w:rPr>
      </w:r>
      <w:r/>
    </w:p>
    <w:p>
      <w:pPr>
        <w:pStyle w:val="1026"/>
        <w:ind w:firstLine="480"/>
        <w:rPr>
          <w:sz w:val="24"/>
          <w:szCs w:val="24"/>
          <w:highlight w:val="none"/>
        </w:rPr>
      </w:pPr>
      <w:r>
        <w:rPr>
          <w:rFonts w:hint="eastAsia"/>
          <w:sz w:val="24"/>
          <w:szCs w:val="24"/>
          <w:highlight w:val="none"/>
        </w:rPr>
        <w:t xml:space="preserve">      日期：</w:t>
      </w:r>
      <w:bookmarkStart w:id="211" w:name="_Hlt26671380"/>
      <w:r>
        <w:rPr>
          <w:highlight w:val="none"/>
        </w:rPr>
      </w:r>
      <w:bookmarkEnd w:id="211"/>
      <w:r>
        <w:rPr>
          <w:highlight w:val="none"/>
        </w:rPr>
      </w:r>
      <w:bookmarkStart w:id="212" w:name="_Hlt26955070"/>
      <w:r>
        <w:rPr>
          <w:highlight w:val="none"/>
        </w:rPr>
      </w:r>
      <w:bookmarkEnd w:id="212"/>
      <w:r>
        <w:rPr>
          <w:highlight w:val="none"/>
        </w:rPr>
      </w:r>
      <w:bookmarkStart w:id="213" w:name="_格式3__银行出具的资信证明"/>
      <w:r>
        <w:rPr>
          <w:highlight w:val="none"/>
        </w:rPr>
      </w:r>
      <w:bookmarkEnd w:id="213"/>
      <w:r>
        <w:rPr>
          <w:rFonts w:hint="eastAsia"/>
          <w:sz w:val="24"/>
          <w:szCs w:val="24"/>
          <w:highlight w:val="none"/>
          <w:u w:val="single"/>
        </w:rPr>
        <w:t xml:space="preserve">                                         </w:t>
      </w:r>
      <w:r>
        <w:rPr>
          <w:highlight w:val="none"/>
        </w:rPr>
      </w:r>
      <w:r/>
    </w:p>
    <w:p>
      <w:pPr>
        <w:pStyle w:val="794"/>
        <w:rPr>
          <w:i/>
          <w:sz w:val="24"/>
          <w:szCs w:val="24"/>
          <w:highlight w:val="none"/>
          <w:u w:val="single"/>
        </w:rPr>
      </w:pPr>
      <w:r>
        <w:rPr>
          <w:i/>
          <w:sz w:val="24"/>
          <w:szCs w:val="24"/>
          <w:highlight w:val="none"/>
          <w:u w:val="single"/>
        </w:rPr>
      </w:r>
      <w:r>
        <w:rPr>
          <w:highlight w:val="none"/>
        </w:rPr>
      </w:r>
      <w:r/>
    </w:p>
    <w:p>
      <w:pPr>
        <w:pStyle w:val="794"/>
        <w:ind w:firstLine="0"/>
        <w:rPr>
          <w:highlight w:val="none"/>
        </w:rPr>
      </w:pPr>
      <w:r>
        <w:rPr>
          <w:highlight w:val="none"/>
        </w:rPr>
      </w:r>
      <w:r>
        <w:rPr>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jc w:val="center"/>
        <w:rPr>
          <w:rFonts w:hint="eastAsia" w:ascii="黑体" w:hAnsi="黑体" w:eastAsia="黑体"/>
          <w:bCs/>
          <w:i/>
          <w:sz w:val="32"/>
          <w:szCs w:val="32"/>
          <w:highlight w:val="none"/>
          <w:u w:val="single"/>
        </w:rPr>
      </w:pPr>
      <w:r>
        <w:rPr>
          <w:rFonts w:ascii="宋体" w:hAnsi="宋体"/>
          <w:bCs/>
          <w:sz w:val="24"/>
          <w:highlight w:val="none"/>
        </w:rPr>
        <w:br w:type="page" w:clear="all"/>
      </w:r>
      <w:r>
        <w:rPr>
          <w:rFonts w:hint="eastAsia" w:ascii="黑体" w:hAnsi="黑体" w:eastAsia="黑体"/>
          <w:bCs/>
          <w:i/>
          <w:sz w:val="32"/>
          <w:szCs w:val="32"/>
          <w:highlight w:val="none"/>
          <w:u w:val="single"/>
        </w:rPr>
        <w:t xml:space="preserve">三、投标函</w:t>
      </w:r>
      <w:r>
        <w:rPr>
          <w:highlight w:val="none"/>
        </w:rPr>
      </w:r>
      <w:r/>
    </w:p>
    <w:p>
      <w:pPr>
        <w:pStyle w:val="1028"/>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致：常州市政府采购中心</w:t>
      </w:r>
      <w:r>
        <w:rPr>
          <w:highlight w:val="none"/>
        </w:rPr>
      </w:r>
      <w:r/>
    </w:p>
    <w:p>
      <w:pPr>
        <w:pStyle w:val="1028"/>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w:t>
      </w:r>
      <w:r>
        <w:rPr>
          <w:rFonts w:hint="eastAsia" w:ascii="宋体" w:hAnsi="宋体"/>
          <w:szCs w:val="21"/>
          <w:highlight w:val="none"/>
        </w:rPr>
        <w:t xml:space="preserve">号招标文件，正式授权下述被授权人______(姓名)代表我方______________（投标人的名称），全权处理本次项目投标的有关事宜。</w:t>
      </w:r>
      <w:r>
        <w:rPr>
          <w:highlight w:val="none"/>
        </w:rPr>
      </w:r>
      <w:r/>
    </w:p>
    <w:p>
      <w:pPr>
        <w:pStyle w:val="1028"/>
        <w:spacing w:before="0" w:after="0" w:line="420" w:lineRule="exact"/>
        <w:rPr>
          <w:rFonts w:hint="eastAsia" w:ascii="宋体" w:hAnsi="宋体"/>
          <w:szCs w:val="21"/>
          <w:highlight w:val="none"/>
        </w:rPr>
      </w:pPr>
      <w:r>
        <w:rPr>
          <w:rFonts w:hint="eastAsia" w:ascii="宋体" w:hAnsi="宋体"/>
          <w:szCs w:val="21"/>
          <w:highlight w:val="none"/>
        </w:rPr>
        <w:t xml:space="preserve">据此函，__________被授权人兹宣布同意如下：</w:t>
      </w:r>
      <w:r>
        <w:rPr>
          <w:highlight w:val="none"/>
        </w:rPr>
      </w:r>
      <w:r/>
    </w:p>
    <w:p>
      <w:pPr>
        <w:pStyle w:val="102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highlight w:val="none"/>
        </w:rPr>
      </w:r>
      <w:r/>
    </w:p>
    <w:p>
      <w:pPr>
        <w:pStyle w:val="102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highlight w:val="none"/>
        </w:rPr>
      </w:r>
      <w:r/>
    </w:p>
    <w:p>
      <w:pPr>
        <w:pStyle w:val="102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highlight w:val="none"/>
        </w:rPr>
      </w:r>
      <w:r/>
    </w:p>
    <w:p>
      <w:pPr>
        <w:pStyle w:val="102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highlight w:val="none"/>
        </w:rPr>
      </w:r>
      <w:r/>
    </w:p>
    <w:p>
      <w:pPr>
        <w:pStyle w:val="102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highlight w:val="none"/>
        </w:rPr>
      </w:r>
      <w:r/>
    </w:p>
    <w:p>
      <w:pPr>
        <w:pStyle w:val="1028"/>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highlight w:val="none"/>
        </w:rPr>
      </w:r>
      <w:r/>
    </w:p>
    <w:p>
      <w:pPr>
        <w:pStyle w:val="1028"/>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highlight w:val="none"/>
        </w:rPr>
      </w:r>
      <w:r/>
    </w:p>
    <w:p>
      <w:pPr>
        <w:pStyle w:val="1028"/>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rPr>
          <w:highlight w:val="none"/>
        </w:rPr>
      </w:r>
      <w:r/>
    </w:p>
    <w:p>
      <w:pPr>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t xml:space="preserve">四、中小企业声明函（服务）（分包号：**）</w:t>
      </w:r>
      <w:r>
        <w:rPr>
          <w:highlight w:val="none"/>
        </w:rPr>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highlight w:val="none"/>
          <w:u w:val="single"/>
        </w:rPr>
        <w:t xml:space="preserve">（采购单位名称）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highlight w:val="none"/>
        </w:rPr>
      </w:r>
      <w:r/>
    </w:p>
    <w:p>
      <w:pPr>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物业管理</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highlight w:val="none"/>
        </w:rPr>
      </w:r>
      <w:r/>
    </w:p>
    <w:p>
      <w:pPr>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物业管理</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highlight w:val="none"/>
        </w:rPr>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w:t>
      </w:r>
      <w:r>
        <w:rPr>
          <w:highlight w:val="none"/>
        </w:rPr>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r/>
    </w:p>
    <w:p>
      <w:pPr>
        <w:ind w:right="72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r/>
    </w:p>
    <w:p>
      <w:pPr>
        <w:ind w:right="480" w:firstLine="54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rPr>
          <w:highlight w:val="none"/>
        </w:rPr>
      </w:r>
      <w:r/>
    </w:p>
    <w:p>
      <w:pPr>
        <w:ind w:firstLine="24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备注2：供应商未提供此声明函的，资格审查不予通过，作为无效投标。</w:t>
      </w:r>
      <w:r>
        <w:rPr>
          <w:rFonts w:hint="eastAsia" w:ascii="宋体" w:hAnsi="宋体"/>
          <w:sz w:val="24"/>
          <w:highlight w:val="none"/>
        </w:rPr>
        <w:t xml:space="preserve">此声明函将随中标结果同时公告，接受社会监督。</w:t>
      </w:r>
      <w:r>
        <w:rPr>
          <w:highlight w:val="none"/>
        </w:rPr>
      </w:r>
      <w:r/>
    </w:p>
    <w:p>
      <w:pPr>
        <w:jc w:val="center"/>
        <w:rPr>
          <w:rFonts w:hint="eastAsia" w:ascii="黑体" w:hAnsi="黑体" w:eastAsia="黑体"/>
          <w:bCs/>
          <w:i/>
          <w:sz w:val="32"/>
          <w:szCs w:val="32"/>
          <w:highlight w:val="none"/>
          <w:u w:val="single"/>
        </w:rPr>
      </w:pPr>
      <w:r>
        <w:rPr>
          <w:rFonts w:ascii="黑体" w:hAnsi="黑体" w:eastAsia="黑体"/>
          <w:b/>
          <w:sz w:val="32"/>
          <w:szCs w:val="32"/>
          <w:highlight w:val="none"/>
        </w:rPr>
        <w:br w:type="page" w:clear="all"/>
      </w:r>
      <w:r>
        <w:rPr>
          <w:rFonts w:hint="eastAsia" w:ascii="黑体" w:hAnsi="黑体" w:eastAsia="黑体"/>
          <w:bCs/>
          <w:i/>
          <w:sz w:val="32"/>
          <w:szCs w:val="32"/>
          <w:highlight w:val="none"/>
          <w:u w:val="single"/>
        </w:rPr>
        <w:t xml:space="preserve">五、残疾人福利性单位声明函（分包号：**）</w:t>
      </w:r>
      <w:r>
        <w:rPr>
          <w:highlight w:val="none"/>
        </w:rPr>
      </w:r>
      <w:r/>
    </w:p>
    <w:p>
      <w:pPr>
        <w:ind w:firstLine="480"/>
        <w:spacing w:line="588"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highlight w:val="none"/>
          <w:u w:val="single"/>
        </w:rPr>
        <w:t xml:space="preserve">       </w:t>
      </w:r>
      <w:r>
        <w:rPr>
          <w:rFonts w:hint="eastAsia" w:ascii="宋体" w:hAnsi="宋体"/>
          <w:sz w:val="24"/>
          <w:highlight w:val="none"/>
        </w:rPr>
        <w:t xml:space="preserve">项目（分包号：**）采购活动由本单位提供服务。</w:t>
      </w:r>
      <w:r>
        <w:rPr>
          <w:highlight w:val="none"/>
        </w:rPr>
      </w:r>
      <w:r/>
    </w:p>
    <w:p>
      <w:pPr>
        <w:ind w:firstLine="480"/>
        <w:spacing w:line="588" w:lineRule="exac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r/>
    </w:p>
    <w:p>
      <w:pPr>
        <w:ind w:firstLine="480"/>
        <w:spacing w:line="588" w:lineRule="exact"/>
        <w:rPr>
          <w:rFonts w:hint="eastAsia" w:ascii="宋体" w:hAnsi="宋体"/>
          <w:sz w:val="24"/>
          <w:highlight w:val="none"/>
        </w:rPr>
      </w:pPr>
      <w:r>
        <w:rPr>
          <w:rFonts w:hint="eastAsia" w:ascii="宋体" w:hAnsi="宋体"/>
          <w:sz w:val="24"/>
          <w:highlight w:val="none"/>
        </w:rPr>
      </w:r>
      <w:r>
        <w:rPr>
          <w:highlight w:val="none"/>
        </w:rPr>
      </w:r>
      <w:r/>
    </w:p>
    <w:p>
      <w:pPr>
        <w:ind w:firstLine="480"/>
        <w:spacing w:line="588" w:lineRule="exact"/>
        <w:rPr>
          <w:rFonts w:hint="eastAsia" w:ascii="宋体" w:hAnsi="宋体"/>
          <w:sz w:val="24"/>
          <w:highlight w:val="none"/>
        </w:rPr>
      </w:pPr>
      <w:r>
        <w:rPr>
          <w:rFonts w:hint="eastAsia" w:ascii="宋体" w:hAnsi="宋体"/>
          <w:sz w:val="24"/>
          <w:highlight w:val="none"/>
        </w:rPr>
        <w:t xml:space="preserve">（备注：如是残疾人福利单位的应提供，否则</w:t>
      </w:r>
      <w:r>
        <w:rPr>
          <w:rFonts w:hint="eastAsia" w:ascii="宋体" w:hAnsi="宋体"/>
          <w:sz w:val="24"/>
          <w:szCs w:val="24"/>
          <w:highlight w:val="none"/>
        </w:rPr>
        <w:t xml:space="preserve">资格审查不予通过，作为无效投标。</w:t>
      </w:r>
      <w:r>
        <w:rPr>
          <w:rFonts w:hint="eastAsia" w:ascii="宋体" w:hAnsi="宋体"/>
          <w:sz w:val="24"/>
          <w:highlight w:val="none"/>
        </w:rPr>
        <w:t xml:space="preserve">此声明函将随中标结果同时公告，接受社会监督）</w:t>
      </w:r>
      <w:r>
        <w:rPr>
          <w:highlight w:val="none"/>
        </w:rPr>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rPr>
          <w:highlight w:val="none"/>
        </w:rPr>
      </w:r>
      <w:r/>
    </w:p>
    <w:p>
      <w:pPr>
        <w:ind w:right="1560" w:firstLine="624"/>
        <w:jc w:val="center"/>
        <w:spacing w:line="588" w:lineRule="exact"/>
        <w:tabs>
          <w:tab w:val="left" w:pos="4860" w:leader="none"/>
        </w:tabs>
        <w:rPr>
          <w:rFonts w:hint="eastAsia"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w:t>
      </w:r>
      <w:r>
        <w:rPr>
          <w:highlight w:val="none"/>
        </w:rPr>
      </w:r>
      <w:r/>
    </w:p>
    <w:p>
      <w:pPr>
        <w:ind w:right="1560" w:firstLine="624"/>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t xml:space="preserve">                  供应商全称（加盖CA电子公章）：</w:t>
      </w:r>
      <w:r>
        <w:rPr>
          <w:highlight w:val="none"/>
        </w:rPr>
      </w:r>
      <w:r/>
    </w:p>
    <w:p>
      <w:pPr>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t xml:space="preserve">        日  期：</w:t>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ind w:firstLine="643"/>
        <w:spacing w:line="588" w:lineRule="exact"/>
        <w:rPr>
          <w:rFonts w:hint="eastAsia" w:ascii="宋体" w:hAnsi="宋体"/>
          <w:sz w:val="24"/>
          <w:highlight w:val="none"/>
        </w:rPr>
      </w:pPr>
      <w:r>
        <w:rPr>
          <w:rFonts w:hint="eastAsia" w:ascii="黑体" w:hAnsi="黑体" w:eastAsia="黑体" w:cs="Arial"/>
          <w:b/>
          <w:i/>
          <w:sz w:val="32"/>
          <w:szCs w:val="32"/>
          <w:highlight w:val="none"/>
          <w:u w:val="single"/>
        </w:rPr>
        <w:t xml:space="preserve">监狱企业证明文件</w:t>
      </w:r>
      <w:r>
        <w:rPr>
          <w:rFonts w:hint="eastAsia" w:ascii="黑体" w:hAnsi="黑体" w:eastAsia="黑体"/>
          <w:b/>
          <w:sz w:val="32"/>
          <w:szCs w:val="32"/>
          <w:highlight w:val="none"/>
        </w:rPr>
        <w:t xml:space="preserve">。</w:t>
      </w:r>
      <w:r>
        <w:rPr>
          <w:rFonts w:hint="eastAsia" w:ascii="宋体" w:hAnsi="宋体"/>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highlight w:val="none"/>
        </w:rPr>
        <w:t xml:space="preserve">资格审查不予通过，作为无效投标。</w:t>
      </w:r>
      <w:r>
        <w:rPr>
          <w:rFonts w:hint="eastAsia" w:ascii="宋体" w:hAnsi="宋体"/>
          <w:sz w:val="24"/>
          <w:highlight w:val="none"/>
        </w:rPr>
        <w:t xml:space="preserve">）</w:t>
      </w:r>
      <w:r>
        <w:rPr>
          <w:highlight w:val="none"/>
        </w:rPr>
      </w:r>
      <w:r/>
    </w:p>
    <w:p>
      <w:pPr>
        <w:ind w:firstLine="630"/>
        <w:jc w:val="left"/>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t xml:space="preserve">六、投标分项报价表（分包号：**）</w:t>
      </w:r>
      <w:r>
        <w:rPr>
          <w:highlight w:val="none"/>
        </w:rPr>
      </w:r>
      <w:r/>
    </w:p>
    <w:p>
      <w:pPr>
        <w:jc w:val="cente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rPr>
          <w:highlight w:val="none"/>
        </w:rPr>
      </w:r>
      <w:r/>
    </w:p>
    <w:p>
      <w:pPr>
        <w:jc w:val="center"/>
        <w:rPr>
          <w:rFonts w:hint="eastAsia" w:ascii="宋体" w:hAnsi="宋体" w:cs="宋体"/>
          <w:color w:val="000000"/>
          <w:sz w:val="24"/>
          <w:highlight w:val="none"/>
        </w:rPr>
      </w:pPr>
      <w:r>
        <w:rPr>
          <w:rFonts w:hint="eastAsia" w:ascii="黑体" w:hAnsi="黑体" w:eastAsia="黑体"/>
          <w:b/>
          <w:i/>
          <w:sz w:val="32"/>
          <w:szCs w:val="32"/>
          <w:highlight w:val="none"/>
          <w:u w:val="single"/>
        </w:rPr>
        <w:t xml:space="preserve">各校投标分项报价表</w:t>
      </w:r>
      <w:r>
        <w:rPr>
          <w:highlight w:val="none"/>
        </w:rPr>
      </w:r>
      <w:r/>
    </w:p>
    <w:p>
      <w:pPr>
        <w:rPr>
          <w:rFonts w:eastAsia="Calibri"/>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rFonts w:eastAsia="Calibri"/>
          <w:color w:val="000000"/>
          <w:sz w:val="24"/>
          <w:highlight w:val="none"/>
        </w:rPr>
        <w:t xml:space="preserve">/</w:t>
      </w:r>
      <w:r>
        <w:rPr>
          <w:rFonts w:ascii="宋体" w:hAnsi="宋体" w:cs="宋体"/>
          <w:color w:val="000000"/>
          <w:sz w:val="24"/>
          <w:highlight w:val="none"/>
        </w:rPr>
        <w:t xml:space="preserve">包号：</w:t>
      </w:r>
      <w:r>
        <w:rPr>
          <w:rFonts w:eastAsia="Calibri"/>
          <w:color w:val="000000"/>
          <w:sz w:val="24"/>
          <w:highlight w:val="none"/>
        </w:rPr>
        <w:t xml:space="preserve">______</w:t>
      </w:r>
      <w:r>
        <w:rPr>
          <w:rFonts w:ascii="宋体" w:hAnsi="宋体" w:cs="宋体"/>
          <w:color w:val="000000"/>
          <w:sz w:val="24"/>
          <w:highlight w:val="none"/>
        </w:rPr>
        <w:t xml:space="preserve"> 项目名称：</w:t>
      </w:r>
      <w:r>
        <w:rPr>
          <w:rFonts w:eastAsia="Calibri"/>
          <w:color w:val="000000"/>
          <w:sz w:val="24"/>
          <w:highlight w:val="none"/>
        </w:rPr>
        <w:t xml:space="preserve">_______</w:t>
      </w:r>
      <w:r>
        <w:rPr>
          <w:rFonts w:ascii="宋体" w:hAnsi="宋体" w:cs="宋体"/>
          <w:color w:val="000000"/>
          <w:sz w:val="24"/>
          <w:highlight w:val="none"/>
        </w:rPr>
        <w:t xml:space="preserve"> </w:t>
      </w:r>
      <w:r>
        <w:rPr>
          <w:rFonts w:hint="eastAsia" w:ascii="宋体" w:hAnsi="宋体" w:cs="宋体"/>
          <w:color w:val="000000"/>
          <w:sz w:val="24"/>
          <w:highlight w:val="none"/>
        </w:rPr>
        <w:t xml:space="preserve">采购人（学校名称）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报价单位：人民币元</w:t>
      </w:r>
      <w:r>
        <w:rPr>
          <w:highlight w:val="none"/>
        </w:rPr>
      </w:r>
      <w:r/>
    </w:p>
    <w:tbl>
      <w:tblPr>
        <w:tblStyle w:val="79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1036"/>
        <w:gridCol w:w="708"/>
        <w:gridCol w:w="790"/>
        <w:gridCol w:w="712"/>
        <w:gridCol w:w="735"/>
        <w:gridCol w:w="875"/>
        <w:gridCol w:w="3825"/>
      </w:tblGrid>
      <w:tr>
        <w:trPr>
          <w:trHeight w:val="712"/>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序号</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名称</w:t>
            </w:r>
            <w:r>
              <w:rPr>
                <w:highlight w:val="none"/>
              </w:rPr>
            </w:r>
            <w:r/>
          </w:p>
        </w:tc>
        <w:tc>
          <w:tcPr>
            <w:tcMar>
              <w:left w:w="108" w:type="dxa"/>
              <w:top w:w="0" w:type="dxa"/>
              <w:right w:w="108" w:type="dxa"/>
              <w:bottom w:w="0" w:type="dxa"/>
            </w:tcMar>
            <w:tcW w:w="70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服务范围</w:t>
            </w:r>
            <w:r>
              <w:rPr>
                <w:highlight w:val="none"/>
              </w:rPr>
            </w:r>
            <w:r/>
          </w:p>
        </w:tc>
        <w:tc>
          <w:tcPr>
            <w:tcMar>
              <w:left w:w="108" w:type="dxa"/>
              <w:top w:w="0" w:type="dxa"/>
              <w:right w:w="108" w:type="dxa"/>
              <w:bottom w:w="0" w:type="dxa"/>
            </w:tcMar>
            <w:tcW w:w="790"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服务要求</w:t>
            </w:r>
            <w:r>
              <w:rPr>
                <w:highlight w:val="none"/>
              </w:rPr>
            </w:r>
            <w:r/>
          </w:p>
        </w:tc>
        <w:tc>
          <w:tcPr>
            <w:tcMar>
              <w:left w:w="108" w:type="dxa"/>
              <w:top w:w="0" w:type="dxa"/>
              <w:right w:w="108" w:type="dxa"/>
              <w:bottom w:w="0" w:type="dxa"/>
            </w:tcMar>
            <w:tcW w:w="712"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服务时间</w:t>
            </w:r>
            <w:r>
              <w:rPr>
                <w:highlight w:val="none"/>
              </w:rPr>
            </w:r>
            <w:r/>
          </w:p>
        </w:tc>
        <w:tc>
          <w:tcPr>
            <w:tcMar>
              <w:left w:w="108" w:type="dxa"/>
              <w:top w:w="0" w:type="dxa"/>
              <w:right w:w="108" w:type="dxa"/>
              <w:bottom w:w="0" w:type="dxa"/>
            </w:tcMar>
            <w:tcW w:w="73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服务标准</w:t>
            </w:r>
            <w:r>
              <w:rPr>
                <w:highlight w:val="none"/>
              </w:r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服务人数</w:t>
            </w:r>
            <w:r>
              <w:rPr>
                <w:highlight w:val="none"/>
              </w:rPr>
            </w:r>
            <w:r/>
          </w:p>
        </w:tc>
        <w:tc>
          <w:tcPr>
            <w:tcMar>
              <w:left w:w="108" w:type="dxa"/>
              <w:top w:w="0" w:type="dxa"/>
              <w:right w:w="108" w:type="dxa"/>
              <w:bottom w:w="0" w:type="dxa"/>
            </w:tcMar>
            <w:tcW w:w="382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备注（如果有）</w:t>
            </w:r>
            <w:r>
              <w:rPr>
                <w:highlight w:val="none"/>
              </w:rPr>
            </w:r>
            <w:r/>
          </w:p>
        </w:tc>
      </w:tr>
      <w:tr>
        <w:trPr>
          <w:cantSplit/>
          <w:trHeight w:val="586"/>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1</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物业经理</w:t>
            </w:r>
            <w:r>
              <w:rPr>
                <w:highlight w:val="none"/>
              </w:rPr>
            </w:r>
            <w:r/>
          </w:p>
        </w:tc>
        <w:tc>
          <w:tcPr>
            <w:tcMar>
              <w:left w:w="108" w:type="dxa"/>
              <w:top w:w="0" w:type="dxa"/>
              <w:right w:w="108" w:type="dxa"/>
              <w:bottom w:w="0" w:type="dxa"/>
            </w:tcMar>
            <w:tcW w:w="708" w:type="dxa"/>
            <w:vAlign w:val="center"/>
            <w:vMerge w:val="restart"/>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t xml:space="preserve">详见采购文件</w:t>
            </w:r>
            <w:r>
              <w:rPr>
                <w:highlight w:val="none"/>
              </w:rPr>
            </w:r>
            <w:r/>
          </w:p>
        </w:tc>
        <w:tc>
          <w:tcPr>
            <w:tcMar>
              <w:left w:w="108" w:type="dxa"/>
              <w:top w:w="0" w:type="dxa"/>
              <w:right w:w="108" w:type="dxa"/>
              <w:bottom w:w="0" w:type="dxa"/>
            </w:tcMar>
            <w:tcW w:w="790" w:type="dxa"/>
            <w:vAlign w:val="center"/>
            <w:vMerge w:val="restart"/>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详见采购文</w:t>
            </w:r>
            <w:r>
              <w:rPr>
                <w:highlight w:val="none"/>
              </w:rPr>
            </w:r>
            <w:r/>
          </w:p>
        </w:tc>
        <w:tc>
          <w:tcPr>
            <w:tcMar>
              <w:left w:w="108" w:type="dxa"/>
              <w:top w:w="0" w:type="dxa"/>
              <w:right w:w="108" w:type="dxa"/>
              <w:bottom w:w="0" w:type="dxa"/>
            </w:tcMar>
            <w:tcW w:w="712" w:type="dxa"/>
            <w:vAlign w:val="center"/>
            <w:vMerge w:val="restart"/>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详见采购文件</w:t>
            </w:r>
            <w:r>
              <w:rPr>
                <w:highlight w:val="none"/>
              </w:rPr>
            </w:r>
            <w:r/>
          </w:p>
        </w:tc>
        <w:tc>
          <w:tcPr>
            <w:tcMar>
              <w:left w:w="108" w:type="dxa"/>
              <w:top w:w="0" w:type="dxa"/>
              <w:right w:w="108" w:type="dxa"/>
              <w:bottom w:w="0" w:type="dxa"/>
            </w:tcMar>
            <w:tcW w:w="735" w:type="dxa"/>
            <w:vAlign w:val="center"/>
            <w:vMerge w:val="restart"/>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详见采购文件 </w:t>
            </w:r>
            <w:r>
              <w:rPr>
                <w:highlight w:val="none"/>
              </w:r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Mar>
              <w:left w:w="108" w:type="dxa"/>
              <w:top w:w="0" w:type="dxa"/>
              <w:right w:w="108" w:type="dxa"/>
              <w:bottom w:w="0" w:type="dxa"/>
            </w:tcMar>
            <w:tcW w:w="3825" w:type="dxa"/>
            <w:vAlign w:val="center"/>
            <w:vMerge w:val="restart"/>
            <w:textDirection w:val="lrTb"/>
            <w:noWrap w:val="false"/>
          </w:tcPr>
          <w:p>
            <w:pP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报价应包含员工费用和管理人员费用、离职补偿金、保险、管理费、培训费、各类加班费（法定节假日等）、值班费、岗位补贴、员工福利、利润、设备、工具、消耗品</w:t>
            </w:r>
            <w:r>
              <w:rPr>
                <w:rFonts w:hint="eastAsia" w:ascii="宋体" w:hAnsi="宋体" w:cs="宋体"/>
                <w:color w:val="000000"/>
                <w:sz w:val="24"/>
                <w:highlight w:val="none"/>
              </w:rPr>
              <w:t xml:space="preserve">（包括垃圾袋、保洁用品、绿化耗材、垃圾清运等）</w:t>
            </w:r>
            <w:r>
              <w:rPr>
                <w:rFonts w:ascii="宋体" w:hAnsi="宋体" w:cs="宋体"/>
                <w:color w:val="000000"/>
                <w:sz w:val="24"/>
                <w:highlight w:val="none"/>
              </w:rPr>
              <w:t xml:space="preserve">、工会费、维护修理、折旧、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w:t>
            </w:r>
            <w:r>
              <w:rPr>
                <w:rFonts w:hint="eastAsia" w:ascii="宋体" w:hAnsi="宋体" w:cs="宋体"/>
                <w:color w:val="000000"/>
                <w:sz w:val="24"/>
                <w:highlight w:val="none"/>
              </w:rPr>
              <w:t xml:space="preserve">中标</w:t>
            </w:r>
            <w:r>
              <w:rPr>
                <w:rFonts w:ascii="宋体" w:hAnsi="宋体" w:cs="宋体"/>
                <w:color w:val="000000"/>
                <w:sz w:val="24"/>
                <w:highlight w:val="none"/>
              </w:rPr>
              <w:t xml:space="preserve">供应商承担。</w:t>
            </w:r>
            <w:r>
              <w:rPr>
                <w:rFonts w:hint="eastAsia" w:ascii="宋体" w:hAnsi="宋体" w:cs="宋体"/>
                <w:color w:val="000000"/>
                <w:sz w:val="24"/>
                <w:highlight w:val="none"/>
              </w:rPr>
              <w:t xml:space="preserve">采购单位不再支付合同价格以外的任何费用。</w:t>
            </w:r>
            <w:r>
              <w:rPr>
                <w:highlight w:val="none"/>
              </w:rPr>
            </w:r>
            <w:r/>
          </w:p>
        </w:tc>
      </w:tr>
      <w:tr>
        <w:trPr>
          <w:cantSplit/>
          <w:trHeight w:val="542"/>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2</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会务</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jc w:val="left"/>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before="100" w:after="100"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550"/>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保洁人员</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1065"/>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4</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水电及零星维修工</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5</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宿舍主管</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918"/>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6</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宿舍管理员</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7</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保安队长</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636"/>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8</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保安员</w:t>
            </w:r>
            <w:r>
              <w:rPr>
                <w:highlight w:val="none"/>
              </w:rPr>
            </w:r>
            <w:r/>
          </w:p>
        </w:tc>
        <w:tc>
          <w:tcPr>
            <w:tcMar>
              <w:left w:w="108" w:type="dxa"/>
              <w:top w:w="0" w:type="dxa"/>
              <w:right w:w="108" w:type="dxa"/>
              <w:bottom w:w="0" w:type="dxa"/>
            </w:tcMar>
            <w:tcW w:w="708" w:type="dxa"/>
            <w:vMerge w:val="continue"/>
            <w:textDirection w:val="lrTb"/>
            <w:noWrap w:val="false"/>
          </w:tcPr>
          <w:p>
            <w:pPr>
              <w:spacing w:line="360" w:lineRule="exact"/>
            </w:p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12" w:type="dxa"/>
            <w:vMerge w:val="continue"/>
            <w:textDirection w:val="lrTb"/>
            <w:noWrap w:val="false"/>
          </w:tcPr>
          <w:p>
            <w:pPr>
              <w:spacing w:line="360" w:lineRule="exact"/>
            </w:p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75"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tc>
        <w:tc>
          <w:tcPr>
            <w:tcW w:w="3825" w:type="dxa"/>
            <w:vMerge w:val="continue"/>
            <w:textDirection w:val="lrTb"/>
            <w:noWrap w:val="false"/>
          </w:tcPr>
          <w:p>
            <w:pPr>
              <w:spacing w:line="360" w:lineRule="exact"/>
            </w:pPr>
            <w:r/>
            <w:r/>
          </w:p>
        </w:tc>
      </w:tr>
      <w:tr>
        <w:trPr>
          <w:cantSplit/>
          <w:trHeight w:val="90"/>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9</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高配间管理员</w:t>
            </w:r>
            <w:r>
              <w:rPr>
                <w:highlight w:val="none"/>
              </w:rPr>
            </w:r>
            <w:r/>
          </w:p>
        </w:tc>
        <w:tc>
          <w:tcPr>
            <w:tcMar>
              <w:left w:w="108" w:type="dxa"/>
              <w:top w:w="0" w:type="dxa"/>
              <w:right w:w="108" w:type="dxa"/>
              <w:bottom w:w="0" w:type="dxa"/>
            </w:tcMar>
            <w:tcW w:w="708" w:type="dxa"/>
            <w:vMerge w:val="continue"/>
            <w:textDirection w:val="lrTb"/>
            <w:noWrap w:val="false"/>
          </w:tcPr>
          <w:p>
            <w:pPr>
              <w:jc w:val="center"/>
              <w:spacing w:line="360" w:lineRule="exact"/>
              <w:rPr>
                <w:rFonts w:hint="eastAsia" w:ascii="宋体" w:hAnsi="宋体"/>
                <w:sz w:val="24"/>
              </w:rPr>
            </w:pPr>
            <w:r>
              <w:rPr>
                <w:rFonts w:hint="eastAsia" w:ascii="宋体" w:hAnsi="宋体"/>
                <w:sz w:val="24"/>
              </w:rPr>
            </w:r>
            <w:r/>
          </w:p>
        </w:tc>
        <w:tc>
          <w:tcPr>
            <w:tcMar>
              <w:left w:w="108" w:type="dxa"/>
              <w:top w:w="0" w:type="dxa"/>
              <w:right w:w="108" w:type="dxa"/>
              <w:bottom w:w="0" w:type="dxa"/>
            </w:tcMar>
            <w:tcW w:w="790" w:type="dxa"/>
            <w:vAlign w:val="center"/>
            <w:vMerge w:val="continue"/>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tc>
        <w:tc>
          <w:tcPr>
            <w:tcMar>
              <w:left w:w="108" w:type="dxa"/>
              <w:top w:w="0" w:type="dxa"/>
              <w:right w:w="108" w:type="dxa"/>
              <w:bottom w:w="0" w:type="dxa"/>
            </w:tcMar>
            <w:tcW w:w="712" w:type="dxa"/>
            <w:vMerge w:val="continue"/>
            <w:textDirection w:val="lrTb"/>
            <w:noWrap w:val="false"/>
          </w:tcPr>
          <w:p>
            <w:pPr>
              <w:jc w:val="center"/>
              <w:spacing w:line="360" w:lineRule="exact"/>
              <w:rPr>
                <w:rFonts w:hint="eastAsia" w:ascii="宋体" w:hAnsi="宋体" w:cs="宋体"/>
                <w:color w:val="000000"/>
                <w:sz w:val="22"/>
              </w:rPr>
            </w:pPr>
            <w:r>
              <w:rPr>
                <w:rFonts w:hint="eastAsia" w:ascii="宋体" w:hAnsi="宋体" w:cs="宋体"/>
                <w:color w:val="000000"/>
                <w:sz w:val="22"/>
              </w:rPr>
            </w:r>
            <w:r/>
          </w:p>
        </w:tc>
        <w:tc>
          <w:tcPr>
            <w:tcMar>
              <w:left w:w="108" w:type="dxa"/>
              <w:top w:w="0" w:type="dxa"/>
              <w:right w:w="108" w:type="dxa"/>
              <w:bottom w:w="0" w:type="dxa"/>
            </w:tcMar>
            <w:tcW w:w="735" w:type="dxa"/>
            <w:vAlign w:val="center"/>
            <w:vMerge w:val="continue"/>
            <w:textDirection w:val="lrTb"/>
            <w:noWrap w:val="false"/>
          </w:tcPr>
          <w:p>
            <w:pPr>
              <w:jc w:val="center"/>
              <w:spacing w:line="360" w:lineRule="exac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tc>
        <w:tc>
          <w:tcPr>
            <w:tcMar>
              <w:left w:w="108" w:type="dxa"/>
              <w:top w:w="0" w:type="dxa"/>
              <w:right w:w="108" w:type="dxa"/>
              <w:bottom w:w="0" w:type="dxa"/>
            </w:tcMar>
            <w:tcW w:w="875" w:type="dxa"/>
            <w:vAlign w:val="center"/>
            <w:textDirection w:val="lrTb"/>
            <w:noWrap w:val="false"/>
          </w:tcPr>
          <w:p>
            <w:pPr>
              <w:jc w:val="center"/>
              <w:spacing w:line="36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rPr>
                <w:highlight w:val="none"/>
              </w:rPr>
            </w:r>
            <w:r/>
          </w:p>
        </w:tc>
        <w:tc>
          <w:tcPr>
            <w:tcW w:w="3825" w:type="dxa"/>
            <w:vMerge w:val="continue"/>
            <w:textDirection w:val="lrTb"/>
            <w:noWrap w:val="false"/>
          </w:tcPr>
          <w:p>
            <w:pPr>
              <w:jc w:val="center"/>
              <w:spacing w:line="360" w:lineRule="exact"/>
            </w:pPr>
            <w:r/>
            <w:r/>
          </w:p>
        </w:tc>
      </w:tr>
      <w:tr>
        <w:trPr>
          <w:cantSplit/>
          <w:trHeight w:val="90"/>
        </w:trPr>
        <w:tc>
          <w:tcPr>
            <w:tcMar>
              <w:left w:w="108" w:type="dxa"/>
              <w:top w:w="0" w:type="dxa"/>
              <w:right w:w="108" w:type="dxa"/>
              <w:bottom w:w="0" w:type="dxa"/>
            </w:tcMar>
            <w:tcW w:w="48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10</w:t>
            </w:r>
            <w:r>
              <w:rPr>
                <w:highlight w:val="none"/>
              </w:rPr>
            </w:r>
            <w:r/>
          </w:p>
        </w:tc>
        <w:tc>
          <w:tcPr>
            <w:tcMar>
              <w:left w:w="108" w:type="dxa"/>
              <w:top w:w="0" w:type="dxa"/>
              <w:right w:w="108" w:type="dxa"/>
              <w:bottom w:w="0" w:type="dxa"/>
            </w:tcMar>
            <w:tcW w:w="1036" w:type="dxa"/>
            <w:vAlign w:val="center"/>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勤杂工</w:t>
            </w:r>
            <w:r>
              <w:rPr>
                <w:highlight w:val="none"/>
              </w:rPr>
            </w:r>
            <w:r/>
          </w:p>
        </w:tc>
        <w:tc>
          <w:tcPr>
            <w:tcMar>
              <w:left w:w="108" w:type="dxa"/>
              <w:top w:w="0" w:type="dxa"/>
              <w:right w:w="108" w:type="dxa"/>
              <w:bottom w:w="0" w:type="dxa"/>
            </w:tcMar>
            <w:tcW w:w="708" w:type="dxa"/>
            <w:textDirection w:val="lrTb"/>
            <w:noWrap w:val="false"/>
          </w:tcPr>
          <w:p>
            <w:pPr>
              <w:jc w:val="center"/>
              <w:spacing w:line="360" w:lineRule="exact"/>
              <w:rPr>
                <w:rFonts w:hint="eastAsia" w:ascii="宋体" w:hAnsi="宋体"/>
                <w:sz w:val="24"/>
                <w:highlight w:val="none"/>
              </w:rPr>
            </w:pPr>
            <w:r>
              <w:rPr>
                <w:rFonts w:hint="eastAsia" w:ascii="宋体" w:hAnsi="宋体"/>
                <w:sz w:val="24"/>
                <w:highlight w:val="none"/>
              </w:rPr>
            </w:r>
            <w:r>
              <w:rPr>
                <w:highlight w:val="none"/>
              </w:rPr>
            </w:r>
            <w:r/>
          </w:p>
        </w:tc>
        <w:tc>
          <w:tcPr>
            <w:tcMar>
              <w:left w:w="108" w:type="dxa"/>
              <w:top w:w="0" w:type="dxa"/>
              <w:right w:w="108" w:type="dxa"/>
              <w:bottom w:w="0" w:type="dxa"/>
            </w:tcMar>
            <w:tcW w:w="790" w:type="dxa"/>
            <w:vAlign w:val="center"/>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rPr>
                <w:highlight w:val="none"/>
              </w:rPr>
            </w:r>
            <w:r/>
          </w:p>
        </w:tc>
        <w:tc>
          <w:tcPr>
            <w:tcMar>
              <w:left w:w="108" w:type="dxa"/>
              <w:top w:w="0" w:type="dxa"/>
              <w:right w:w="108" w:type="dxa"/>
              <w:bottom w:w="0" w:type="dxa"/>
            </w:tcMar>
            <w:tcW w:w="712" w:type="dxa"/>
            <w:textDirection w:val="lrTb"/>
            <w:noWrap w:val="false"/>
          </w:tcPr>
          <w:p>
            <w:pPr>
              <w:jc w:val="center"/>
              <w:spacing w:line="360" w:lineRule="exact"/>
              <w:rPr>
                <w:rFonts w:hint="eastAsia" w:ascii="宋体" w:hAnsi="宋体" w:cs="宋体"/>
                <w:color w:val="000000"/>
                <w:sz w:val="22"/>
                <w:highlight w:val="none"/>
              </w:rPr>
            </w:pPr>
            <w:r>
              <w:rPr>
                <w:rFonts w:hint="eastAsia" w:ascii="宋体" w:hAnsi="宋体" w:cs="宋体"/>
                <w:color w:val="000000"/>
                <w:sz w:val="22"/>
                <w:highlight w:val="none"/>
              </w:rPr>
            </w:r>
            <w:r>
              <w:rPr>
                <w:highlight w:val="none"/>
              </w:rPr>
            </w:r>
            <w:r/>
          </w:p>
        </w:tc>
        <w:tc>
          <w:tcPr>
            <w:tcMar>
              <w:left w:w="108" w:type="dxa"/>
              <w:top w:w="0" w:type="dxa"/>
              <w:right w:w="108" w:type="dxa"/>
              <w:bottom w:w="0" w:type="dxa"/>
            </w:tcMar>
            <w:tcW w:w="735" w:type="dxa"/>
            <w:vAlign w:val="center"/>
            <w:textDirection w:val="lrTb"/>
            <w:noWrap w:val="false"/>
          </w:tcPr>
          <w:p>
            <w:pPr>
              <w:jc w:val="cente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rPr>
                <w:highlight w:val="none"/>
              </w:rPr>
            </w:r>
            <w:r/>
          </w:p>
        </w:tc>
        <w:tc>
          <w:tcPr>
            <w:tcMar>
              <w:left w:w="108" w:type="dxa"/>
              <w:top w:w="0" w:type="dxa"/>
              <w:right w:w="108" w:type="dxa"/>
              <w:bottom w:w="0" w:type="dxa"/>
            </w:tcMar>
            <w:tcW w:w="875" w:type="dxa"/>
            <w:vAlign w:val="center"/>
            <w:textDirection w:val="lrTb"/>
            <w:noWrap w:val="false"/>
          </w:tcPr>
          <w:p>
            <w:pPr>
              <w:jc w:val="center"/>
              <w:spacing w:line="36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rPr>
                <w:highlight w:val="none"/>
              </w:rPr>
            </w:r>
            <w:r/>
          </w:p>
        </w:tc>
        <w:tc>
          <w:tcPr>
            <w:tcW w:w="3825" w:type="dxa"/>
            <w:textDirection w:val="lrTb"/>
            <w:noWrap w:val="false"/>
          </w:tcPr>
          <w:p>
            <w:pPr>
              <w:jc w:val="center"/>
              <w:spacing w:line="360" w:lineRule="exact"/>
              <w:rPr>
                <w:highlight w:val="none"/>
              </w:rPr>
            </w:pPr>
            <w:r>
              <w:rPr>
                <w:highlight w:val="none"/>
              </w:rPr>
            </w:r>
            <w:r>
              <w:rPr>
                <w:highlight w:val="none"/>
              </w:rPr>
            </w:r>
            <w:r/>
          </w:p>
        </w:tc>
      </w:tr>
      <w:tr>
        <w:trPr>
          <w:cantSplit/>
          <w:trHeight w:val="463"/>
        </w:trPr>
        <w:tc>
          <w:tcPr>
            <w:gridSpan w:val="2"/>
            <w:tcMar>
              <w:left w:w="108" w:type="dxa"/>
              <w:top w:w="0" w:type="dxa"/>
              <w:right w:w="108" w:type="dxa"/>
              <w:bottom w:w="0" w:type="dxa"/>
            </w:tcMar>
            <w:tcW w:w="1524" w:type="dxa"/>
            <w:vAlign w:val="center"/>
            <w:vMerge w:val="restart"/>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每月投标单价（元）</w:t>
            </w:r>
            <w:r>
              <w:rPr>
                <w:highlight w:val="none"/>
              </w:rPr>
            </w:r>
            <w:r/>
          </w:p>
        </w:tc>
        <w:tc>
          <w:tcPr>
            <w:tcMar>
              <w:left w:w="108" w:type="dxa"/>
              <w:top w:w="0" w:type="dxa"/>
              <w:right w:w="108" w:type="dxa"/>
              <w:bottom w:w="0" w:type="dxa"/>
            </w:tcMar>
            <w:tcW w:w="70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金额大写</w:t>
            </w:r>
            <w:r>
              <w:rPr>
                <w:highlight w:val="none"/>
              </w:rPr>
            </w:r>
            <w:r/>
          </w:p>
        </w:tc>
        <w:tc>
          <w:tcPr>
            <w:gridSpan w:val="5"/>
            <w:tcMar>
              <w:left w:w="108" w:type="dxa"/>
              <w:top w:w="0" w:type="dxa"/>
              <w:right w:w="108" w:type="dxa"/>
              <w:bottom w:w="0" w:type="dxa"/>
            </w:tcMar>
            <w:tcW w:w="6937" w:type="dxa"/>
            <w:vAlign w:val="center"/>
            <w:textDirection w:val="lrTb"/>
            <w:noWrap w:val="false"/>
          </w:tcPr>
          <w:p>
            <w:pP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物业：</w:t>
            </w:r>
            <w:r>
              <w:rPr>
                <w:highlight w:val="none"/>
              </w:rPr>
            </w:r>
            <w:r/>
          </w:p>
          <w:p>
            <w:pP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保安：</w:t>
            </w:r>
            <w:r>
              <w:rPr>
                <w:highlight w:val="none"/>
              </w:rPr>
            </w:r>
            <w:r/>
          </w:p>
        </w:tc>
      </w:tr>
      <w:tr>
        <w:trPr>
          <w:cantSplit/>
          <w:trHeight w:val="463"/>
        </w:trPr>
        <w:tc>
          <w:tcPr>
            <w:gridSpan w:val="2"/>
            <w:tcW w:w="1524"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金额小写</w:t>
            </w:r>
            <w:r>
              <w:rPr>
                <w:highlight w:val="none"/>
              </w:rPr>
            </w:r>
            <w:r/>
          </w:p>
        </w:tc>
        <w:tc>
          <w:tcPr>
            <w:gridSpan w:val="5"/>
            <w:tcMar>
              <w:left w:w="108" w:type="dxa"/>
              <w:top w:w="0" w:type="dxa"/>
              <w:right w:w="108" w:type="dxa"/>
              <w:bottom w:w="0" w:type="dxa"/>
            </w:tcMar>
            <w:tcW w:w="6937" w:type="dxa"/>
            <w:vAlign w:val="center"/>
            <w:textDirection w:val="lrTb"/>
            <w:noWrap w:val="false"/>
          </w:tcPr>
          <w:p>
            <w:pPr>
              <w:spacing w:line="360" w:lineRule="exact"/>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物业：</w:t>
            </w:r>
            <w:r>
              <w:rPr>
                <w:highlight w:val="none"/>
              </w:rPr>
            </w:r>
            <w:r/>
          </w:p>
          <w:p>
            <w:pPr>
              <w:spacing w:line="36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保安：</w:t>
            </w:r>
            <w:r>
              <w:rPr>
                <w:highlight w:val="none"/>
              </w:rPr>
            </w:r>
            <w:r/>
          </w:p>
        </w:tc>
      </w:tr>
      <w:tr>
        <w:trPr>
          <w:cantSplit/>
          <w:trHeight w:val="463"/>
        </w:trPr>
        <w:tc>
          <w:tcPr>
            <w:gridSpan w:val="2"/>
            <w:tcMar>
              <w:left w:w="108" w:type="dxa"/>
              <w:top w:w="0" w:type="dxa"/>
              <w:right w:w="108" w:type="dxa"/>
              <w:bottom w:w="0" w:type="dxa"/>
            </w:tcMar>
            <w:tcW w:w="1524" w:type="dxa"/>
            <w:vAlign w:val="center"/>
            <w:vMerge w:val="restart"/>
            <w:textDirection w:val="lrTb"/>
            <w:noWrap w:val="false"/>
          </w:tcPr>
          <w:p>
            <w:pPr>
              <w:jc w:val="center"/>
              <w:spacing w:line="360" w:lineRule="exact"/>
              <w:rPr>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highlight w:val="none"/>
              </w:rPr>
              <w:t xml:space="preserve">各校</w:t>
            </w:r>
            <w:r>
              <w:rPr>
                <w:rFonts w:ascii="宋体" w:hAnsi="宋体" w:cs="宋体"/>
                <w:b/>
                <w:color w:val="000000"/>
                <w:sz w:val="22"/>
                <w:highlight w:val="none"/>
              </w:rPr>
              <w:t xml:space="preserve">投标价</w:t>
            </w:r>
            <w:r>
              <w:rPr>
                <w:highlight w:val="none"/>
              </w:rPr>
            </w:r>
            <w:r/>
          </w:p>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（元）</w:t>
            </w:r>
            <w:r>
              <w:rPr>
                <w:highlight w:val="none"/>
              </w:rPr>
            </w:r>
            <w:r/>
          </w:p>
        </w:tc>
        <w:tc>
          <w:tcPr>
            <w:tcMar>
              <w:left w:w="108" w:type="dxa"/>
              <w:top w:w="0" w:type="dxa"/>
              <w:right w:w="108" w:type="dxa"/>
              <w:bottom w:w="0" w:type="dxa"/>
            </w:tcMar>
            <w:tcW w:w="70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金额大写</w:t>
            </w:r>
            <w:r>
              <w:rPr>
                <w:highlight w:val="none"/>
              </w:rPr>
            </w:r>
            <w:r/>
          </w:p>
        </w:tc>
        <w:tc>
          <w:tcPr>
            <w:gridSpan w:val="5"/>
            <w:tcMar>
              <w:left w:w="108" w:type="dxa"/>
              <w:top w:w="0" w:type="dxa"/>
              <w:right w:w="108" w:type="dxa"/>
              <w:bottom w:w="0" w:type="dxa"/>
            </w:tcMar>
            <w:tcW w:w="6937" w:type="dxa"/>
            <w:vAlign w:val="center"/>
            <w:textDirection w:val="lrTb"/>
            <w:noWrap w:val="false"/>
          </w:tcPr>
          <w:p>
            <w:pP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tc>
      </w:tr>
      <w:tr>
        <w:trPr>
          <w:cantSplit/>
          <w:trHeight w:val="463"/>
        </w:trPr>
        <w:tc>
          <w:tcPr>
            <w:gridSpan w:val="2"/>
            <w:tcW w:w="1524" w:type="dxa"/>
            <w:vMerge w:val="continue"/>
            <w:textDirection w:val="lrTb"/>
            <w:noWrap w:val="false"/>
          </w:tcPr>
          <w:p>
            <w:pPr>
              <w:spacing w:line="360" w:lineRule="exact"/>
            </w:pPr>
            <w:r/>
            <w:r/>
          </w:p>
        </w:tc>
        <w:tc>
          <w:tcPr>
            <w:tcMar>
              <w:left w:w="108" w:type="dxa"/>
              <w:top w:w="0" w:type="dxa"/>
              <w:right w:w="108" w:type="dxa"/>
              <w:bottom w:w="0" w:type="dxa"/>
            </w:tcMar>
            <w:tcW w:w="708" w:type="dxa"/>
            <w:vAlign w:val="center"/>
            <w:textDirection w:val="lrTb"/>
            <w:noWrap w:val="false"/>
          </w:tcPr>
          <w:p>
            <w:pPr>
              <w:jc w:val="cente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金额小写</w:t>
            </w:r>
            <w:r>
              <w:rPr>
                <w:highlight w:val="none"/>
              </w:rPr>
            </w:r>
            <w:r/>
          </w:p>
        </w:tc>
        <w:tc>
          <w:tcPr>
            <w:gridSpan w:val="5"/>
            <w:tcMar>
              <w:left w:w="108" w:type="dxa"/>
              <w:top w:w="0" w:type="dxa"/>
              <w:right w:w="108" w:type="dxa"/>
              <w:bottom w:w="0" w:type="dxa"/>
            </w:tcMar>
            <w:tcW w:w="6937" w:type="dxa"/>
            <w:vAlign w:val="center"/>
            <w:textDirection w:val="lrTb"/>
            <w:noWrap w:val="false"/>
          </w:tcPr>
          <w:p>
            <w:pPr>
              <w:spacing w:line="36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tc>
      </w:tr>
    </w:tbl>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b/>
          <w:color w:val="000000"/>
          <w:sz w:val="22"/>
          <w:highlight w:val="none"/>
        </w:rPr>
        <w:t xml:space="preserve">注:  </w:t>
      </w:r>
      <w:r>
        <w:rPr>
          <w:rFonts w:ascii="宋体" w:hAnsi="宋体" w:cs="宋体"/>
          <w:color w:val="000000"/>
          <w:sz w:val="24"/>
          <w:highlight w:val="none"/>
        </w:rPr>
        <w:t xml:space="preserve">1.如果不提供</w:t>
      </w:r>
      <w:r>
        <w:rPr>
          <w:rFonts w:hint="eastAsia" w:ascii="宋体" w:hAnsi="宋体" w:cs="宋体"/>
          <w:color w:val="000000"/>
          <w:sz w:val="24"/>
          <w:highlight w:val="none"/>
        </w:rPr>
        <w:t xml:space="preserve">此表</w:t>
      </w:r>
      <w:r>
        <w:rPr>
          <w:rFonts w:ascii="宋体" w:hAnsi="宋体" w:cs="宋体"/>
          <w:color w:val="000000"/>
          <w:sz w:val="24"/>
          <w:highlight w:val="none"/>
        </w:rPr>
        <w:t xml:space="preserve">将视为没有实质性响应</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文件</w:t>
      </w:r>
      <w:r>
        <w:rPr>
          <w:rFonts w:hint="eastAsia" w:ascii="宋体" w:hAnsi="宋体" w:cs="宋体"/>
          <w:color w:val="000000"/>
          <w:sz w:val="24"/>
          <w:highlight w:val="none"/>
        </w:rPr>
        <w:t xml:space="preserve">。</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2.本表应按采购人分别填写，即每个采购人填写一份分项报价表。</w:t>
      </w:r>
      <w:r>
        <w:rPr>
          <w:highlight w:val="none"/>
        </w:rPr>
      </w:r>
      <w:r/>
    </w:p>
    <w:p>
      <w:pPr>
        <w:ind w:firstLine="84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.投标人（供应商）的投标总价应包括为完成本项目所发生的一切相关费用和税费等，采购人将不再支付投标总价以外的任何费用。</w:t>
      </w:r>
      <w:r>
        <w:rPr>
          <w:highlight w:val="none"/>
        </w:rPr>
      </w:r>
      <w:r/>
    </w:p>
    <w:p>
      <w:pPr>
        <w:ind w:firstLine="840"/>
        <w:rPr>
          <w:rFonts w:hint="eastAsia" w:ascii="宋体" w:hAnsi="宋体" w:cs="宋体"/>
          <w:b/>
          <w:b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hint="eastAsia" w:ascii="宋体" w:hAnsi="宋体" w:cs="宋体"/>
          <w:b/>
          <w:bCs/>
          <w:color w:val="000000"/>
          <w:sz w:val="24"/>
          <w:highlight w:val="none"/>
          <w:u w:val="single"/>
        </w:rPr>
        <w:t xml:space="preserve">服务人数请按照“人员配置及数量”填报，未按要求填报的视为没有实质性响应采购文件。</w:t>
      </w:r>
      <w:r>
        <w:rPr>
          <w:highlight w:val="none"/>
        </w:rPr>
      </w:r>
      <w:r/>
    </w:p>
    <w:p>
      <w:pPr>
        <w:ind w:firstLine="3362"/>
        <w:jc w:val="right"/>
        <w:spacing w:line="5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供应商名称（加盖公章）：</w:t>
      </w:r>
      <w:r>
        <w:rPr>
          <w:rFonts w:eastAsia="Calibri"/>
          <w:color w:val="000000"/>
          <w:sz w:val="24"/>
          <w:highlight w:val="none"/>
        </w:rPr>
        <w:t xml:space="preserve">____________</w:t>
      </w:r>
      <w:r>
        <w:rPr>
          <w:highlight w:val="none"/>
        </w:rPr>
      </w:r>
      <w:r/>
    </w:p>
    <w:p>
      <w:pPr>
        <w:ind w:firstLine="3362"/>
        <w:jc w:val="right"/>
        <w:spacing w:line="500" w:lineRule="atLeast"/>
        <w:rPr>
          <w:rFonts w:eastAsiaTheme="minorEastAsia"/>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eastAsia="Calibri"/>
          <w:color w:val="000000"/>
          <w:sz w:val="24"/>
          <w:highlight w:val="none"/>
        </w:rPr>
        <w:t xml:space="preserve">____________</w:t>
      </w:r>
      <w:r>
        <w:rPr>
          <w:rFonts w:ascii="宋体" w:hAnsi="宋体" w:cs="宋体"/>
          <w:color w:val="000000"/>
          <w:sz w:val="24"/>
          <w:highlight w:val="none"/>
        </w:rPr>
        <w:t xml:space="preserve">年</w:t>
      </w:r>
      <w:r>
        <w:rPr>
          <w:rFonts w:eastAsia="Calibri"/>
          <w:color w:val="000000"/>
          <w:sz w:val="24"/>
          <w:highlight w:val="none"/>
        </w:rPr>
        <w:t xml:space="preserve">______</w:t>
      </w:r>
      <w:r>
        <w:rPr>
          <w:rFonts w:ascii="宋体" w:hAnsi="宋体" w:cs="宋体"/>
          <w:color w:val="000000"/>
          <w:sz w:val="24"/>
          <w:highlight w:val="none"/>
        </w:rPr>
        <w:t xml:space="preserve">月</w:t>
      </w:r>
      <w:r>
        <w:rPr>
          <w:rFonts w:eastAsia="Calibri"/>
          <w:color w:val="000000"/>
          <w:sz w:val="24"/>
          <w:highlight w:val="none"/>
        </w:rPr>
        <w:t xml:space="preserve">______</w:t>
      </w:r>
      <w:r>
        <w:rPr>
          <w:rFonts w:ascii="宋体" w:hAnsi="宋体" w:cs="宋体"/>
          <w:color w:val="000000"/>
          <w:sz w:val="24"/>
          <w:highlight w:val="none"/>
        </w:rPr>
        <w:t xml:space="preserve">日</w:t>
      </w:r>
      <w:r>
        <w:rPr>
          <w:highlight w:val="none"/>
        </w:rPr>
      </w:r>
      <w:r/>
    </w:p>
    <w:p>
      <w:pPr>
        <w:ind w:firstLine="3362"/>
        <w:jc w:val="right"/>
        <w:spacing w:line="500" w:lineRule="atLeast"/>
        <w:rPr>
          <w:rFonts w:ascii="黑体" w:eastAsiaTheme="minorEastAsia"/>
          <w:b/>
          <w:bCs/>
          <w:sz w:val="44"/>
          <w:szCs w:val="44"/>
          <w:highlight w:val="none"/>
        </w:rPr>
        <w:pBdr>
          <w:top w:val="none" w:color="000000" w:sz="0" w:space="0"/>
          <w:left w:val="none" w:color="000000" w:sz="0" w:space="0"/>
          <w:bottom w:val="none" w:color="000000" w:sz="0" w:space="0"/>
          <w:right w:val="none" w:color="000000" w:sz="0" w:space="0"/>
        </w:pBdr>
      </w:pPr>
      <w:r>
        <w:rPr>
          <w:rFonts w:ascii="黑体" w:eastAsiaTheme="minorEastAsia"/>
          <w:b/>
          <w:bCs/>
          <w:sz w:val="44"/>
          <w:szCs w:val="44"/>
          <w:highlight w:val="none"/>
        </w:rPr>
      </w:r>
      <w:r>
        <w:rPr>
          <w:highlight w:val="none"/>
        </w:rPr>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br w:type="page" w:clear="all"/>
      </w:r>
      <w:r>
        <w:rPr>
          <w:highlight w:val="none"/>
        </w:rPr>
      </w:r>
      <w:r/>
    </w:p>
    <w:p>
      <w:pPr>
        <w:jc w:val="cente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t xml:space="preserve">投标分项报价汇总表</w:t>
      </w:r>
      <w:r>
        <w:rPr>
          <w:highlight w:val="none"/>
        </w:rPr>
      </w:r>
      <w:r/>
    </w:p>
    <w:p>
      <w:pPr>
        <w:rPr>
          <w:rFonts w:hint="eastAsia" w:ascii="黑体" w:hAnsi="黑体" w:eastAsia="黑体"/>
          <w:b/>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rFonts w:eastAsia="Calibri"/>
          <w:color w:val="000000"/>
          <w:sz w:val="24"/>
          <w:highlight w:val="none"/>
        </w:rPr>
        <w:t xml:space="preserve">/</w:t>
      </w:r>
      <w:r>
        <w:rPr>
          <w:rFonts w:ascii="宋体" w:hAnsi="宋体" w:cs="宋体"/>
          <w:color w:val="000000"/>
          <w:sz w:val="24"/>
          <w:highlight w:val="none"/>
        </w:rPr>
        <w:t xml:space="preserve">包号：</w:t>
      </w:r>
      <w:r>
        <w:rPr>
          <w:rFonts w:eastAsia="Calibri"/>
          <w:color w:val="000000"/>
          <w:sz w:val="24"/>
          <w:highlight w:val="none"/>
        </w:rPr>
        <w:t xml:space="preserve">______</w:t>
      </w:r>
      <w:r>
        <w:rPr>
          <w:rFonts w:ascii="宋体" w:hAnsi="宋体" w:cs="宋体"/>
          <w:color w:val="000000"/>
          <w:sz w:val="24"/>
          <w:highlight w:val="none"/>
        </w:rPr>
        <w:t xml:space="preserve"> 项目名称：</w:t>
      </w:r>
      <w:r>
        <w:rPr>
          <w:rFonts w:eastAsia="Calibri"/>
          <w:color w:val="000000"/>
          <w:sz w:val="24"/>
          <w:highlight w:val="none"/>
        </w:rPr>
        <w:t xml:space="preserve">_______</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报价单位：人民币元</w:t>
      </w:r>
      <w:r>
        <w:rPr>
          <w:highlight w:val="none"/>
        </w:rPr>
      </w:r>
      <w:r/>
    </w:p>
    <w:tbl>
      <w:tblPr>
        <w:tblStyle w:val="793"/>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6422"/>
        <w:gridCol w:w="1964"/>
      </w:tblGrid>
      <w:tr>
        <w:trPr>
          <w:trHeight w:val="420"/>
        </w:trPr>
        <w:tc>
          <w:tcPr>
            <w:tcW w:w="779" w:type="dxa"/>
            <w:vAlign w:val="center"/>
            <w:textDirection w:val="lrTb"/>
            <w:noWrap w:val="false"/>
          </w:tcPr>
          <w:p>
            <w:pPr>
              <w:jc w:val="center"/>
              <w:spacing w:line="360" w:lineRule="exact"/>
              <w:rPr>
                <w:rFonts w:hint="eastAsia" w:ascii="宋体" w:hAnsi="宋体" w:cs="宋体"/>
                <w:b/>
                <w:color w:val="000000"/>
                <w:sz w:val="22"/>
                <w:highlight w:val="none"/>
              </w:rPr>
            </w:pPr>
            <w:r>
              <w:rPr>
                <w:rFonts w:hint="eastAsia" w:ascii="宋体" w:hAnsi="宋体" w:cs="宋体"/>
                <w:b/>
                <w:color w:val="000000"/>
                <w:sz w:val="22"/>
                <w:highlight w:val="none"/>
              </w:rPr>
              <w:t xml:space="preserve">序号</w:t>
            </w:r>
            <w:r>
              <w:rPr>
                <w:highlight w:val="none"/>
              </w:rPr>
            </w:r>
            <w:r/>
          </w:p>
        </w:tc>
        <w:tc>
          <w:tcPr>
            <w:tcW w:w="6422" w:type="dxa"/>
            <w:vAlign w:val="center"/>
            <w:textDirection w:val="lrTb"/>
            <w:noWrap w:val="false"/>
          </w:tcPr>
          <w:p>
            <w:pPr>
              <w:jc w:val="center"/>
              <w:spacing w:line="360" w:lineRule="exact"/>
              <w:rPr>
                <w:rFonts w:hint="eastAsia" w:ascii="宋体" w:hAnsi="宋体" w:cs="宋体"/>
                <w:b/>
                <w:color w:val="000000"/>
                <w:sz w:val="22"/>
                <w:highlight w:val="none"/>
              </w:rPr>
            </w:pPr>
            <w:r>
              <w:rPr>
                <w:rFonts w:hint="eastAsia" w:ascii="宋体" w:hAnsi="宋体" w:cs="宋体"/>
                <w:b/>
                <w:color w:val="000000"/>
                <w:sz w:val="22"/>
                <w:highlight w:val="none"/>
              </w:rPr>
              <w:t xml:space="preserve">学校名称</w:t>
            </w:r>
            <w:r>
              <w:rPr>
                <w:highlight w:val="none"/>
              </w:rPr>
            </w:r>
            <w:r/>
          </w:p>
        </w:tc>
        <w:tc>
          <w:tcPr>
            <w:tcW w:w="1964" w:type="dxa"/>
            <w:vAlign w:val="center"/>
            <w:textDirection w:val="lrTb"/>
            <w:noWrap w:val="false"/>
          </w:tcPr>
          <w:p>
            <w:pPr>
              <w:jc w:val="center"/>
              <w:spacing w:line="360" w:lineRule="exact"/>
              <w:rPr>
                <w:rFonts w:hint="eastAsia" w:ascii="宋体" w:hAnsi="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highlight w:val="none"/>
              </w:rPr>
              <w:t xml:space="preserve">各校</w:t>
            </w:r>
            <w:r>
              <w:rPr>
                <w:rFonts w:ascii="宋体" w:hAnsi="宋体" w:cs="宋体"/>
                <w:b/>
                <w:color w:val="000000"/>
                <w:sz w:val="22"/>
                <w:highlight w:val="none"/>
              </w:rPr>
              <w:t xml:space="preserve">投标价（元）</w:t>
            </w:r>
            <w:r>
              <w:rPr>
                <w:highlight w:val="none"/>
              </w:rPr>
            </w:r>
            <w:r/>
          </w:p>
        </w:tc>
      </w:tr>
      <w:tr>
        <w:trPr>
          <w:trHeight w:val="420"/>
        </w:trPr>
        <w:tc>
          <w:tcPr>
            <w:tcW w:w="7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highlight w:val="none"/>
              </w:rPr>
            </w:r>
            <w:r/>
          </w:p>
        </w:tc>
        <w:tc>
          <w:tcPr>
            <w:tcW w:w="642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常州市明德实验中学</w:t>
            </w:r>
            <w:r>
              <w:rPr>
                <w:highlight w:val="none"/>
              </w:rPr>
            </w:r>
            <w:r/>
          </w:p>
        </w:tc>
        <w:tc>
          <w:tcPr>
            <w:tcW w:w="196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420"/>
        </w:trPr>
        <w:tc>
          <w:tcPr>
            <w:tcW w:w="7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highlight w:val="none"/>
              </w:rPr>
            </w:r>
            <w:r/>
          </w:p>
        </w:tc>
        <w:tc>
          <w:tcPr>
            <w:tcW w:w="642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常州市市北实验初级中学</w:t>
            </w:r>
            <w:r>
              <w:rPr>
                <w:highlight w:val="none"/>
              </w:rPr>
            </w:r>
            <w:r/>
          </w:p>
        </w:tc>
        <w:tc>
          <w:tcPr>
            <w:tcW w:w="196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420"/>
        </w:trPr>
        <w:tc>
          <w:tcPr>
            <w:tcW w:w="7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highlight w:val="none"/>
              </w:rPr>
            </w:r>
            <w:r/>
          </w:p>
        </w:tc>
        <w:tc>
          <w:tcPr>
            <w:tcW w:w="642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96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420"/>
        </w:trPr>
        <w:tc>
          <w:tcPr>
            <w:tcW w:w="7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highlight w:val="none"/>
              </w:rPr>
            </w:r>
            <w:r/>
          </w:p>
        </w:tc>
        <w:tc>
          <w:tcPr>
            <w:tcW w:w="642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96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r>
        <w:trPr>
          <w:trHeight w:val="420"/>
        </w:trPr>
        <w:tc>
          <w:tcPr>
            <w:tcW w:w="779"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6422"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c>
          <w:tcPr>
            <w:tcW w:w="196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tc>
      </w:tr>
    </w:tbl>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 1.如果不提供此表将视为没有实质性响应采购文件</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本表“各分包投标总价”应与开标一览表“投标总报价”一致。</w:t>
      </w:r>
      <w:r>
        <w:rPr>
          <w:highlight w:val="none"/>
        </w:rPr>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3.投标人（供应商）的投标总价应包括为完成本项目所发生的一切相关费用和税费等，采购人将不再支付投标总价以外的任何费用。</w:t>
      </w:r>
      <w:r>
        <w:rPr>
          <w:highlight w:val="none"/>
        </w:rPr>
      </w:r>
      <w:r/>
    </w:p>
    <w:p>
      <w:pPr>
        <w:jc w:val="righ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供应商名称（加盖公章）：____________</w:t>
      </w:r>
      <w:r>
        <w:rPr>
          <w:highlight w:val="none"/>
        </w:rPr>
      </w:r>
      <w:r/>
    </w:p>
    <w:p>
      <w:pPr>
        <w:jc w:val="righ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日期：____________年______月______日</w:t>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七、技术要求响应及偏离表（分包号：**）</w:t>
      </w:r>
      <w:r>
        <w:rPr>
          <w:highlight w:val="none"/>
        </w:rPr>
      </w:r>
      <w:r/>
    </w:p>
    <w:tbl>
      <w:tblPr>
        <w:tblStyle w:val="79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对本项目技术要求条款的偏离情况（请进行勾选）：</w:t>
            </w:r>
            <w:r>
              <w:rPr>
                <w:highlight w:val="none"/>
              </w:rPr>
            </w:r>
            <w:r/>
          </w:p>
          <w:p>
            <w:pPr>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highlight w:val="none"/>
              </w:rPr>
            </w:r>
            <w:r/>
          </w:p>
          <w:p>
            <w:pPr>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highlight w:val="none"/>
              </w:rPr>
            </w:r>
            <w:r/>
          </w:p>
        </w:tc>
      </w:tr>
      <w:tr>
        <w:trPr>
          <w:cantSplit/>
        </w:trPr>
        <w:tc>
          <w:tcPr>
            <w:tcW w:w="54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29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highlight w:val="none"/>
              </w:rPr>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W w:w="130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w:t>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t xml:space="preserve">或偏离</w:t>
            </w:r>
            <w:r>
              <w:rPr>
                <w:highlight w:val="none"/>
              </w:rPr>
            </w:r>
            <w:r/>
          </w:p>
        </w:tc>
        <w:tc>
          <w:tcPr>
            <w:tcW w:w="117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w:t>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注： 行数不够，可自行添加。</w:t>
      </w:r>
      <w:r>
        <w:rPr>
          <w:highlight w:val="none"/>
        </w:rPr>
      </w:r>
      <w:r/>
    </w:p>
    <w:p>
      <w:pPr>
        <w:jc w:val="center"/>
        <w:rPr>
          <w:rFonts w:ascii="黑体" w:hAnsi="Arial" w:eastAsia="黑体"/>
          <w:b/>
          <w:sz w:val="36"/>
          <w:highlight w:val="none"/>
        </w:rPr>
      </w:pPr>
      <w:r>
        <w:rPr>
          <w:rFonts w:ascii="黑体" w:hAnsi="Arial" w:eastAsia="黑体"/>
          <w:b/>
          <w:sz w:val="36"/>
          <w:highlight w:val="none"/>
        </w:rPr>
      </w:r>
      <w:r>
        <w:rPr>
          <w:highlight w:val="none"/>
        </w:rPr>
      </w:r>
      <w:r/>
    </w:p>
    <w:p>
      <w:pPr>
        <w:jc w:val="center"/>
        <w:rPr>
          <w:rFonts w:ascii="黑体" w:hAnsi="Arial" w:eastAsia="黑体"/>
          <w:b/>
          <w:sz w:val="36"/>
          <w:highlight w:val="none"/>
        </w:rPr>
      </w:pPr>
      <w:r>
        <w:rPr>
          <w:rFonts w:ascii="黑体" w:hAnsi="Arial" w:eastAsia="黑体"/>
          <w:b/>
          <w:sz w:val="36"/>
          <w:highlight w:val="none"/>
        </w:rPr>
      </w:r>
      <w:r>
        <w:rPr>
          <w:highlight w:val="none"/>
        </w:rPr>
      </w:r>
      <w:r/>
    </w:p>
    <w:p>
      <w:pPr>
        <w:jc w:val="center"/>
        <w:rPr>
          <w:rFonts w:ascii="黑体" w:hAnsi="Arial" w:eastAsia="黑体"/>
          <w:b/>
          <w:sz w:val="36"/>
          <w:highlight w:val="none"/>
        </w:rPr>
      </w:pPr>
      <w:r>
        <w:rPr>
          <w:rFonts w:ascii="黑体" w:hAnsi="Arial" w:eastAsia="黑体"/>
          <w:b/>
          <w:sz w:val="36"/>
          <w:highlight w:val="none"/>
        </w:rPr>
      </w:r>
      <w:r>
        <w:rPr>
          <w:highlight w:val="none"/>
        </w:rPr>
      </w:r>
      <w:r/>
    </w:p>
    <w:p>
      <w:pPr>
        <w:jc w:val="center"/>
        <w:rPr>
          <w:rFonts w:ascii="黑体" w:hAnsi="Arial" w:eastAsia="黑体"/>
          <w:b/>
          <w:sz w:val="36"/>
          <w:highlight w:val="none"/>
        </w:rPr>
      </w:pPr>
      <w:r>
        <w:rPr>
          <w:rFonts w:ascii="黑体" w:hAnsi="Arial" w:eastAsia="黑体"/>
          <w:b/>
          <w:sz w:val="36"/>
          <w:highlight w:val="none"/>
        </w:rPr>
      </w:r>
      <w:r>
        <w:rPr>
          <w:highlight w:val="none"/>
        </w:rPr>
      </w:r>
      <w:r/>
    </w:p>
    <w:p>
      <w:pPr>
        <w:jc w:val="center"/>
        <w:rPr>
          <w:rFonts w:ascii="黑体" w:hAnsi="Arial" w:eastAsia="黑体"/>
          <w:b/>
          <w:sz w:val="36"/>
          <w:highlight w:val="none"/>
        </w:rPr>
      </w:pPr>
      <w:r>
        <w:rPr>
          <w:rFonts w:ascii="黑体" w:hAnsi="Arial" w:eastAsia="黑体"/>
          <w:b/>
          <w:sz w:val="36"/>
          <w:highlight w:val="none"/>
        </w:rPr>
      </w:r>
      <w:r>
        <w:rPr>
          <w:highlight w:val="none"/>
        </w:rPr>
      </w:r>
      <w:r/>
    </w:p>
    <w:p>
      <w:pPr>
        <w:rPr>
          <w:rFonts w:ascii="黑体" w:hAnsi="Arial" w:eastAsia="黑体"/>
          <w:sz w:val="32"/>
          <w:highlight w:val="none"/>
        </w:rPr>
      </w:pPr>
      <w:r>
        <w:rPr>
          <w:rFonts w:ascii="黑体" w:hAnsi="Arial" w:eastAsia="黑体"/>
          <w:sz w:val="32"/>
          <w:highlight w:val="none"/>
        </w:rPr>
      </w:r>
      <w:r>
        <w:rPr>
          <w:highlight w:val="none"/>
        </w:rPr>
      </w:r>
      <w:r/>
    </w:p>
    <w:p>
      <w:pPr>
        <w:rPr>
          <w:rFonts w:ascii="黑体" w:hAnsi="Arial" w:eastAsia="黑体"/>
          <w:sz w:val="32"/>
          <w:highlight w:val="none"/>
        </w:rPr>
      </w:pPr>
      <w:r>
        <w:rPr>
          <w:rFonts w:ascii="黑体" w:hAnsi="Arial" w:eastAsia="黑体"/>
          <w:sz w:val="32"/>
          <w:highlight w:val="none"/>
        </w:rPr>
      </w:r>
      <w:r>
        <w:rPr>
          <w:highlight w:val="none"/>
        </w:rPr>
      </w:r>
      <w:r/>
    </w:p>
    <w:p>
      <w:pPr>
        <w:rPr>
          <w:rFonts w:ascii="黑体" w:hAnsi="Arial" w:eastAsia="黑体"/>
          <w:sz w:val="32"/>
          <w:highlight w:val="none"/>
        </w:rPr>
      </w:pPr>
      <w:r>
        <w:rPr>
          <w:rFonts w:ascii="黑体" w:hAnsi="Arial" w:eastAsia="黑体"/>
          <w:sz w:val="32"/>
          <w:highlight w:val="none"/>
        </w:rPr>
      </w:r>
      <w:bookmarkEnd w:id="210"/>
      <w:r>
        <w:rPr>
          <w:highlight w:val="none"/>
        </w:rPr>
      </w:r>
      <w:r/>
    </w:p>
    <w:p>
      <w:pPr>
        <w:rPr>
          <w:rFonts w:ascii="黑体" w:hAnsi="Arial" w:eastAsia="黑体"/>
          <w:sz w:val="32"/>
          <w:highlight w:val="none"/>
        </w:rPr>
      </w:pPr>
      <w:r>
        <w:rPr>
          <w:rFonts w:ascii="黑体" w:hAnsi="Arial" w:eastAsia="黑体"/>
          <w:sz w:val="32"/>
          <w:highlight w:val="none"/>
        </w:rPr>
      </w:r>
      <w:r>
        <w:rPr>
          <w:highlight w:val="none"/>
        </w:rPr>
      </w:r>
      <w:r/>
    </w:p>
    <w:p>
      <w:pPr>
        <w:rPr>
          <w:rFonts w:hint="eastAsia" w:ascii="黑体" w:hAnsi="黑体" w:eastAsia="黑体"/>
          <w:b/>
          <w:sz w:val="32"/>
          <w:szCs w:val="32"/>
          <w:highlight w:val="none"/>
        </w:rPr>
      </w:pPr>
      <w:r>
        <w:rPr>
          <w:highlight w:val="none"/>
        </w:rPr>
      </w:r>
      <w:bookmarkStart w:id="214" w:name="_Hlt26955054"/>
      <w:r>
        <w:rPr>
          <w:highlight w:val="none"/>
        </w:rPr>
      </w:r>
      <w:bookmarkEnd w:id="214"/>
      <w:r>
        <w:rPr>
          <w:rFonts w:hint="eastAsia" w:ascii="黑体" w:hAnsi="黑体" w:eastAsia="黑体"/>
          <w:b/>
          <w:sz w:val="32"/>
          <w:szCs w:val="32"/>
          <w:highlight w:val="none"/>
        </w:rPr>
        <w:br w:type="page" w:clear="all"/>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八、商务要求响应及偏离表（分包号：**）</w:t>
      </w:r>
      <w:r>
        <w:rPr>
          <w:highlight w:val="none"/>
        </w:rPr>
      </w:r>
      <w:r/>
    </w:p>
    <w:tbl>
      <w:tblPr>
        <w:tblStyle w:val="79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highlight w:val="none"/>
              </w:rPr>
            </w:pPr>
            <w:r>
              <w:rPr>
                <w:highlight w:val="none"/>
              </w:rPr>
            </w:r>
            <w:bookmarkStart w:id="215" w:name="_Hlt26609391"/>
            <w:r>
              <w:rPr>
                <w:highlight w:val="none"/>
              </w:rPr>
            </w:r>
            <w:bookmarkEnd w:id="215"/>
            <w:r>
              <w:rPr>
                <w:highlight w:val="none"/>
              </w:rPr>
            </w:r>
            <w:bookmarkStart w:id="216" w:name="_Hlt26955056"/>
            <w:r>
              <w:rPr>
                <w:highlight w:val="none"/>
              </w:rPr>
            </w:r>
            <w:bookmarkEnd w:id="216"/>
            <w:r>
              <w:rPr>
                <w:highlight w:val="none"/>
              </w:rPr>
            </w:r>
            <w:bookmarkStart w:id="217" w:name="_Hlt26671372"/>
            <w:r>
              <w:rPr>
                <w:highlight w:val="none"/>
              </w:rPr>
            </w:r>
            <w:bookmarkEnd w:id="217"/>
            <w:r>
              <w:rPr>
                <w:highlight w:val="none"/>
              </w:rPr>
            </w:r>
            <w:bookmarkStart w:id="218" w:name="_Hlt24879081"/>
            <w:r>
              <w:rPr>
                <w:highlight w:val="none"/>
              </w:rPr>
            </w:r>
            <w:bookmarkEnd w:id="218"/>
            <w:r>
              <w:rPr>
                <w:highlight w:val="none"/>
              </w:rPr>
            </w:r>
            <w:bookmarkStart w:id="219" w:name="_Hlt26955064"/>
            <w:r>
              <w:rPr>
                <w:highlight w:val="none"/>
              </w:rPr>
            </w:r>
            <w:bookmarkEnd w:id="219"/>
            <w:r>
              <w:rPr>
                <w:highlight w:val="none"/>
              </w:rPr>
            </w:r>
            <w:bookmarkStart w:id="220" w:name="_Hlt26671343"/>
            <w:r>
              <w:rPr>
                <w:highlight w:val="none"/>
              </w:rPr>
            </w:r>
            <w:bookmarkEnd w:id="220"/>
            <w:r>
              <w:rPr>
                <w:highlight w:val="none"/>
              </w:rPr>
            </w:r>
            <w:bookmarkStart w:id="221" w:name="_Hlt26782999"/>
            <w:r>
              <w:rPr>
                <w:highlight w:val="none"/>
              </w:rPr>
            </w:r>
            <w:bookmarkEnd w:id="221"/>
            <w:r>
              <w:rPr>
                <w:highlight w:val="none"/>
              </w:rPr>
            </w:r>
            <w:bookmarkStart w:id="222" w:name="_Hlt26580838"/>
            <w:r>
              <w:rPr>
                <w:highlight w:val="none"/>
              </w:rPr>
            </w:r>
            <w:bookmarkEnd w:id="222"/>
            <w:r>
              <w:rPr>
                <w:rFonts w:hint="eastAsia"/>
                <w:b/>
                <w:color w:val="000000"/>
                <w:sz w:val="24"/>
                <w:highlight w:val="none"/>
              </w:rPr>
              <w:t xml:space="preserve">对本项目商务要求条款的偏离情况（请进行勾选）：</w:t>
            </w:r>
            <w:r>
              <w:rPr>
                <w:highlight w:val="none"/>
              </w:rPr>
            </w:r>
            <w:r/>
          </w:p>
          <w:p>
            <w:pPr>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highlight w:val="none"/>
              </w:rPr>
            </w:r>
            <w:r/>
          </w:p>
          <w:p>
            <w:pPr>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highlight w:val="none"/>
              </w:rPr>
            </w:r>
            <w:r/>
          </w:p>
        </w:tc>
      </w:tr>
      <w:tr>
        <w:trPr>
          <w:cantSplit/>
        </w:trPr>
        <w:tc>
          <w:tcPr>
            <w:tcW w:w="54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rPr>
                <w:highlight w:val="none"/>
              </w:rPr>
            </w:r>
            <w:r/>
          </w:p>
        </w:tc>
        <w:tc>
          <w:tcPr>
            <w:tcW w:w="329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highlight w:val="none"/>
              </w:rPr>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highlight w:val="none"/>
              </w:rPr>
            </w:r>
            <w:r/>
          </w:p>
        </w:tc>
        <w:tc>
          <w:tcPr>
            <w:tcW w:w="130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w:t>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t xml:space="preserve">或偏离</w:t>
            </w:r>
            <w:r>
              <w:rPr>
                <w:highlight w:val="none"/>
              </w:rPr>
            </w:r>
            <w:r/>
          </w:p>
        </w:tc>
        <w:tc>
          <w:tcPr>
            <w:tcW w:w="117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rPr>
                <w:highlight w:val="none"/>
              </w:rPr>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r>
        <w:trPr>
          <w:cantSplit/>
          <w:trHeight w:val="640"/>
        </w:trPr>
        <w:tc>
          <w:tcPr>
            <w:tcW w:w="545"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3291" w:type="dxa"/>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w:t>
            </w:r>
            <w:r>
              <w:rPr>
                <w:highlight w:val="none"/>
              </w:rPr>
            </w:r>
            <w:r/>
          </w:p>
        </w:tc>
        <w:tc>
          <w:tcPr>
            <w:tcW w:w="285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30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c>
          <w:tcPr>
            <w:tcW w:w="117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rPr>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注： 行数不够，可自行添加。</w:t>
      </w:r>
      <w:r>
        <w:rPr>
          <w:highlight w:val="none"/>
        </w:rPr>
      </w:r>
      <w:r/>
    </w:p>
    <w:p>
      <w:pPr>
        <w:spacing w:line="480" w:lineRule="auto"/>
        <w:rPr>
          <w:rFonts w:hint="eastAsia" w:ascii="宋体" w:hAnsi="宋体"/>
          <w:sz w:val="24"/>
          <w:highlight w:val="none"/>
        </w:rPr>
      </w:pPr>
      <w:r>
        <w:rPr>
          <w:rFonts w:hint="eastAsia" w:ascii="宋体" w:hAnsi="宋体"/>
          <w:sz w:val="24"/>
          <w:highlight w:val="none"/>
        </w:rPr>
      </w:r>
      <w:r>
        <w:rPr>
          <w:highlight w:val="none"/>
        </w:rPr>
      </w:r>
      <w:r/>
    </w:p>
    <w:p>
      <w:pPr>
        <w:spacing w:line="480" w:lineRule="auto"/>
        <w:rPr>
          <w:rFonts w:ascii="仿宋_GB2312" w:hAnsi="Arial"/>
          <w:sz w:val="30"/>
          <w:highlight w:val="none"/>
        </w:rPr>
      </w:pPr>
      <w:r>
        <w:rPr>
          <w:rFonts w:ascii="仿宋_GB2312" w:hAnsi="Arial"/>
          <w:sz w:val="30"/>
          <w:highlight w:val="none"/>
        </w:rPr>
      </w:r>
      <w:r>
        <w:rPr>
          <w:highlight w:val="none"/>
        </w:rPr>
      </w:r>
      <w:r/>
    </w:p>
    <w:p>
      <w:pPr>
        <w:pStyle w:val="794"/>
        <w:ind w:firstLine="0"/>
        <w:rPr>
          <w:rFonts w:hint="eastAsia" w:ascii="宋体" w:hAnsi="宋体"/>
          <w:sz w:val="24"/>
          <w:highlight w:val="none"/>
        </w:rPr>
      </w:pPr>
      <w:r>
        <w:rPr>
          <w:highlight w:val="none"/>
        </w:rPr>
      </w:r>
      <w:bookmarkStart w:id="223" w:name="_Hlt26955066"/>
      <w:r>
        <w:rPr>
          <w:highlight w:val="none"/>
        </w:rPr>
      </w:r>
      <w:bookmarkEnd w:id="223"/>
      <w:r>
        <w:rPr>
          <w:highlight w:val="none"/>
        </w:rPr>
      </w:r>
      <w:bookmarkStart w:id="224" w:name="_Hlt26609389"/>
      <w:r>
        <w:rPr>
          <w:highlight w:val="none"/>
        </w:rPr>
      </w:r>
      <w:bookmarkEnd w:id="224"/>
      <w:r>
        <w:rPr>
          <w:highlight w:val="none"/>
        </w:rPr>
      </w:r>
      <w:bookmarkStart w:id="225" w:name="_Hlt26671374"/>
      <w:r>
        <w:rPr>
          <w:highlight w:val="none"/>
        </w:rPr>
      </w:r>
      <w:bookmarkEnd w:id="225"/>
      <w:r>
        <w:rPr>
          <w:highlight w:val="none"/>
        </w:rPr>
      </w:r>
      <w:bookmarkStart w:id="226" w:name="_Toc462564146"/>
      <w:r>
        <w:rPr>
          <w:highlight w:val="none"/>
        </w:rPr>
      </w:r>
      <w:bookmarkEnd w:id="196"/>
      <w:r/>
      <w:bookmarkEnd w:id="197"/>
      <w:r/>
      <w:bookmarkEnd w:id="226"/>
      <w:r>
        <w:rPr>
          <w:highlight w:val="none"/>
        </w:rPr>
      </w:r>
      <w:r/>
    </w:p>
    <w:p>
      <w:pPr>
        <w:pStyle w:val="794"/>
        <w:ind w:firstLine="0"/>
        <w:rPr>
          <w:rFonts w:hint="eastAsia" w:ascii="宋体" w:hAnsi="宋体"/>
          <w:sz w:val="24"/>
          <w:highlight w:val="none"/>
        </w:rPr>
      </w:pPr>
      <w:r>
        <w:rPr>
          <w:rFonts w:hint="eastAsia" w:ascii="宋体" w:hAnsi="宋体"/>
          <w:sz w:val="24"/>
          <w:highlight w:val="none"/>
        </w:rPr>
      </w:r>
      <w:r>
        <w:rPr>
          <w:highlight w:val="none"/>
        </w:rPr>
      </w:r>
      <w:r/>
    </w:p>
    <w:p>
      <w:pPr>
        <w:jc w:val="center"/>
        <w:rPr>
          <w:rFonts w:hint="eastAsia" w:ascii="黑体" w:hAnsi="黑体" w:eastAsia="黑体"/>
          <w:b/>
          <w:sz w:val="32"/>
          <w:szCs w:val="32"/>
          <w:highlight w:val="none"/>
        </w:rPr>
      </w:pPr>
      <w:r>
        <w:rPr>
          <w:highlight w:val="none"/>
        </w:rPr>
      </w:r>
      <w:bookmarkStart w:id="227" w:name="_格式2__法定代表人授权书"/>
      <w:r>
        <w:rPr>
          <w:highlight w:val="none"/>
        </w:rPr>
      </w:r>
      <w:bookmarkEnd w:id="227"/>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r/>
    </w:p>
    <w:p>
      <w:pPr>
        <w:rPr>
          <w:rFonts w:eastAsia="仿宋_GB2312"/>
          <w:sz w:val="24"/>
          <w:szCs w:val="20"/>
          <w:highlight w:val="none"/>
        </w:rPr>
      </w:pPr>
      <w:r>
        <w:rPr>
          <w:rFonts w:hint="eastAsia" w:ascii="黑体" w:hAnsi="黑体" w:eastAsia="黑体"/>
          <w:b/>
          <w:i/>
          <w:sz w:val="32"/>
          <w:szCs w:val="32"/>
          <w:highlight w:val="none"/>
          <w:u w:val="single"/>
        </w:rPr>
        <w:t xml:space="preserve">九、开标一览表</w:t>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highlight w:val="none"/>
        </w:rPr>
      </w:r>
      <w:r/>
    </w:p>
    <w:p>
      <w:pPr>
        <w:ind w:firstLine="480"/>
        <w:rPr>
          <w:sz w:val="24"/>
          <w:szCs w:val="24"/>
          <w:highlight w:val="none"/>
        </w:rPr>
      </w:pPr>
      <w:r>
        <w:rPr>
          <w:rFonts w:hint="eastAsia" w:ascii="宋体" w:hAnsi="宋体"/>
          <w:sz w:val="24"/>
          <w:szCs w:val="24"/>
          <w:highlight w:val="none"/>
        </w:rPr>
        <w:t xml:space="preserve">项目名称：</w:t>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招标编号：                                   分包号：</w:t>
      </w:r>
      <w:r>
        <w:rPr>
          <w:highlight w:val="none"/>
        </w:rPr>
      </w:r>
      <w:r/>
    </w:p>
    <w:tbl>
      <w:tblPr>
        <w:tblStyle w:val="793"/>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9"/>
      </w:tblGrid>
      <w:tr>
        <w:trPr>
          <w:cantSplit/>
          <w:trHeight w:val="725"/>
        </w:trPr>
        <w:tc>
          <w:tcPr>
            <w:tcW w:w="9169" w:type="dxa"/>
            <w:vAlign w:val="center"/>
            <w:textDirection w:val="lrTb"/>
            <w:noWrap w:val="false"/>
          </w:tcPr>
          <w:p>
            <w:pPr>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highlight w:val="none"/>
              </w:rPr>
            </w:r>
            <w:r/>
          </w:p>
        </w:tc>
      </w:tr>
      <w:tr>
        <w:trPr>
          <w:cantSplit/>
          <w:trHeight w:val="612"/>
        </w:trPr>
        <w:tc>
          <w:tcPr>
            <w:tcW w:w="9169" w:type="dxa"/>
            <w:vAlign w:val="center"/>
            <w:textDirection w:val="lrTb"/>
            <w:noWrap w:val="false"/>
          </w:tcPr>
          <w:p>
            <w:pPr>
              <w:pStyle w:val="1028"/>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highlight w:val="none"/>
              </w:rPr>
            </w:r>
            <w:r/>
          </w:p>
        </w:tc>
      </w:tr>
    </w:tbl>
    <w:p>
      <w:pPr>
        <w:rPr>
          <w:rFonts w:hint="eastAsia" w:ascii="宋体" w:hAnsi="宋体"/>
          <w:sz w:val="24"/>
          <w:szCs w:val="24"/>
          <w:highlight w:val="none"/>
        </w:rPr>
      </w:pPr>
      <w:r>
        <w:rPr>
          <w:rFonts w:hint="eastAsia" w:ascii="宋体" w:hAnsi="宋体"/>
          <w:sz w:val="24"/>
          <w:szCs w:val="24"/>
          <w:highlight w:val="none"/>
        </w:rPr>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highlight w:val="none"/>
        </w:rPr>
      </w:r>
      <w:r/>
    </w:p>
    <w:p>
      <w:pPr>
        <w:ind w:firstLine="480"/>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br w:type="page" w:clear="all"/>
      </w:r>
      <w:r>
        <w:rPr>
          <w:highlight w:val="none"/>
        </w:rPr>
      </w:r>
      <w:r/>
    </w:p>
    <w:p>
      <w:pP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十、保安素质承诺函</w:t>
      </w:r>
      <w:r>
        <w:rPr>
          <w:highlight w:val="none"/>
        </w:rPr>
      </w:r>
      <w:r/>
    </w:p>
    <w:p>
      <w:pPr>
        <w:jc w:val="center"/>
        <w:rPr>
          <w:sz w:val="44"/>
          <w:szCs w:val="44"/>
          <w:highlight w:val="none"/>
        </w:rPr>
      </w:pPr>
      <w:r>
        <w:rPr>
          <w:sz w:val="44"/>
          <w:szCs w:val="44"/>
          <w:highlight w:val="none"/>
        </w:rPr>
      </w:r>
      <w:r>
        <w:rPr>
          <w:highlight w:val="none"/>
        </w:rPr>
      </w:r>
      <w:r/>
    </w:p>
    <w:p>
      <w:pPr>
        <w:jc w:val="center"/>
        <w:rPr>
          <w:sz w:val="44"/>
          <w:szCs w:val="44"/>
          <w:highlight w:val="none"/>
        </w:rPr>
      </w:pPr>
      <w:r>
        <w:rPr>
          <w:rFonts w:hint="eastAsia"/>
          <w:sz w:val="44"/>
          <w:szCs w:val="44"/>
          <w:highlight w:val="none"/>
        </w:rPr>
        <w:t xml:space="preserve">承  诺  函</w:t>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rFonts w:hint="eastAsia"/>
          <w:highlight w:val="none"/>
        </w:rPr>
        <w:t xml:space="preserve">项目编号/包号：_____________________     项目名称：_____________________</w:t>
      </w:r>
      <w:r>
        <w:rPr>
          <w:highlight w:val="none"/>
        </w:rPr>
      </w:r>
      <w:r/>
    </w:p>
    <w:p>
      <w:pPr>
        <w:rPr>
          <w:highlight w:val="none"/>
        </w:rPr>
      </w:pPr>
      <w:r>
        <w:rPr>
          <w:highlight w:val="none"/>
        </w:rPr>
      </w:r>
      <w:r>
        <w:rPr>
          <w:highlight w:val="none"/>
        </w:rPr>
      </w:r>
      <w:r/>
    </w:p>
    <w:p>
      <w:pPr>
        <w:ind w:firstLine="420"/>
        <w:rPr>
          <w:rFonts w:hint="eastAsia" w:ascii="宋体" w:hAnsi="宋体" w:cs="宋体"/>
          <w:highlight w:val="none"/>
        </w:rPr>
      </w:pPr>
      <w:r>
        <w:rPr>
          <w:rFonts w:hint="eastAsia" w:ascii="宋体" w:hAnsi="宋体" w:cs="宋体"/>
          <w:highlight w:val="none"/>
        </w:rPr>
        <w:t xml:space="preserve">本公司承诺，中标后为服务单位提供的保安人员中，配置符合下表数量的人员</w:t>
      </w:r>
      <w:r>
        <w:rPr>
          <w:highlight w:val="none"/>
        </w:rPr>
      </w:r>
      <w:r/>
    </w:p>
    <w:tbl>
      <w:tblPr>
        <w:tblStyle w:val="838"/>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4092"/>
        <w:gridCol w:w="4177"/>
      </w:tblGrid>
      <w:tr>
        <w:trPr>
          <w:trHeight w:val="363"/>
        </w:trPr>
        <w:tc>
          <w:tcPr>
            <w:tcW w:w="761"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序号</w:t>
            </w:r>
            <w:r>
              <w:rPr>
                <w:highlight w:val="none"/>
              </w:rPr>
            </w:r>
            <w:r/>
          </w:p>
        </w:tc>
        <w:tc>
          <w:tcPr>
            <w:tcW w:w="409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学      校</w:t>
            </w:r>
            <w:r>
              <w:rPr>
                <w:highlight w:val="none"/>
              </w:rPr>
            </w:r>
            <w:r/>
          </w:p>
        </w:tc>
        <w:tc>
          <w:tcPr>
            <w:tcW w:w="417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拟派45周岁（不含）以下保安数量</w:t>
            </w:r>
            <w:r>
              <w:rPr>
                <w:highlight w:val="none"/>
              </w:rPr>
            </w:r>
            <w:r/>
          </w:p>
        </w:tc>
      </w:tr>
      <w:tr>
        <w:trPr>
          <w:trHeight w:val="363"/>
        </w:trPr>
        <w:tc>
          <w:tcPr>
            <w:tcW w:w="761"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1</w:t>
            </w:r>
            <w:r>
              <w:rPr>
                <w:highlight w:val="none"/>
              </w:rPr>
            </w:r>
            <w:r/>
          </w:p>
        </w:tc>
        <w:tc>
          <w:tcPr>
            <w:tcW w:w="409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常州市明德实验中学</w:t>
            </w:r>
            <w:r>
              <w:rPr>
                <w:highlight w:val="none"/>
              </w:rPr>
            </w:r>
            <w:r/>
          </w:p>
        </w:tc>
        <w:tc>
          <w:tcPr>
            <w:tcW w:w="417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r>
      <w:tr>
        <w:trPr>
          <w:trHeight w:val="363"/>
        </w:trPr>
        <w:tc>
          <w:tcPr>
            <w:tcW w:w="761"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2</w:t>
            </w:r>
            <w:r>
              <w:rPr>
                <w:highlight w:val="none"/>
              </w:rPr>
            </w:r>
            <w:r/>
          </w:p>
        </w:tc>
        <w:tc>
          <w:tcPr>
            <w:tcW w:w="409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常州市市北实验初级中学</w:t>
            </w:r>
            <w:r>
              <w:rPr>
                <w:highlight w:val="none"/>
              </w:rPr>
            </w:r>
            <w:r/>
          </w:p>
        </w:tc>
        <w:tc>
          <w:tcPr>
            <w:tcW w:w="417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r>
      <w:tr>
        <w:trPr>
          <w:trHeight w:val="363"/>
        </w:trPr>
        <w:tc>
          <w:tcPr>
            <w:tcW w:w="761"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c>
          <w:tcPr>
            <w:tcW w:w="409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c>
          <w:tcPr>
            <w:tcW w:w="417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r>
      <w:tr>
        <w:trPr>
          <w:trHeight w:val="363"/>
        </w:trPr>
        <w:tc>
          <w:tcPr>
            <w:tcW w:w="761"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c>
          <w:tcPr>
            <w:tcW w:w="4092"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c>
          <w:tcPr>
            <w:tcW w:w="4177"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rPr>
                <w:highlight w:val="none"/>
              </w:rPr>
            </w:r>
            <w:r/>
          </w:p>
        </w:tc>
      </w:tr>
    </w:tbl>
    <w:p>
      <w:pPr>
        <w:ind w:firstLine="420"/>
        <w:rPr>
          <w:rFonts w:hint="eastAsia" w:ascii="宋体" w:hAnsi="宋体" w:cs="宋体"/>
          <w:highlight w:val="none"/>
        </w:rPr>
      </w:pPr>
      <w:r>
        <w:rPr>
          <w:rFonts w:hint="eastAsia" w:ascii="宋体" w:hAnsi="宋体" w:cs="宋体"/>
          <w:highlight w:val="none"/>
        </w:rPr>
      </w:r>
      <w:r>
        <w:rPr>
          <w:highlight w:val="none"/>
        </w:rPr>
      </w:r>
      <w:r/>
    </w:p>
    <w:p>
      <w:pPr>
        <w:ind w:firstLine="420"/>
        <w:rPr>
          <w:rFonts w:hint="eastAsia" w:ascii="宋体" w:hAnsi="宋体" w:cs="宋体"/>
          <w:highlight w:val="none"/>
        </w:rPr>
      </w:pPr>
      <w:r>
        <w:rPr>
          <w:rFonts w:hint="eastAsia" w:ascii="宋体" w:hAnsi="宋体" w:cs="宋体"/>
          <w:highlight w:val="none"/>
        </w:rPr>
      </w:r>
      <w:r>
        <w:rPr>
          <w:highlight w:val="none"/>
        </w:rPr>
      </w:r>
      <w:r/>
    </w:p>
    <w:p>
      <w:pPr>
        <w:ind w:firstLine="3600"/>
        <w:spacing w:before="25" w:after="25" w:line="360" w:lineRule="auto"/>
        <w:rPr>
          <w:sz w:val="24"/>
          <w:highlight w:val="none"/>
        </w:rPr>
      </w:pPr>
      <w:r>
        <w:rPr>
          <w:rFonts w:hint="eastAsia"/>
          <w:sz w:val="24"/>
          <w:highlight w:val="none"/>
        </w:rPr>
        <w:t xml:space="preserve">投标</w:t>
      </w:r>
      <w:r>
        <w:rPr>
          <w:sz w:val="24"/>
          <w:highlight w:val="none"/>
        </w:rPr>
        <w:t xml:space="preserve">供应商名称（加盖公章）</w:t>
      </w:r>
      <w:r>
        <w:rPr>
          <w:sz w:val="24"/>
          <w:highlight w:val="none"/>
          <w:lang w:val="zh-CN"/>
        </w:rPr>
        <w:t xml:space="preserve">：____________</w:t>
      </w:r>
      <w:r>
        <w:rPr>
          <w:highlight w:val="none"/>
        </w:rPr>
      </w:r>
      <w:r/>
    </w:p>
    <w:p>
      <w:pPr>
        <w:ind w:firstLine="4320"/>
        <w:rPr>
          <w:rFonts w:hint="eastAsia" w:ascii="宋体" w:hAnsi="宋体" w:cs="宋体"/>
          <w:highlight w:val="none"/>
        </w:rPr>
      </w:pPr>
      <w:r>
        <w:rPr>
          <w:sz w:val="24"/>
          <w:szCs w:val="20"/>
          <w:highlight w:val="none"/>
        </w:rPr>
        <w:t xml:space="preserve">日期：_____年______月______日</w:t>
      </w:r>
      <w:r>
        <w:rPr>
          <w:rFonts w:hint="eastAsia" w:ascii="黑体" w:hAnsi="黑体" w:eastAsia="黑体"/>
          <w:b/>
          <w:sz w:val="32"/>
          <w:szCs w:val="32"/>
          <w:highlight w:val="none"/>
        </w:rPr>
        <w:br w:type="page" w:clear="all"/>
      </w:r>
      <w:r>
        <w:rPr>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投标（响应）文件通用模板编制和评审要求</w:t>
      </w:r>
      <w:r>
        <w:rPr>
          <w:highlight w:val="none"/>
        </w:rPr>
      </w:r>
      <w:r/>
    </w:p>
    <w:tbl>
      <w:tblPr>
        <w:tblStyle w:val="793"/>
        <w:tblW w:w="93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类型</w:t>
            </w:r>
            <w:r>
              <w:rPr>
                <w:highlight w:val="none"/>
              </w:rPr>
            </w:r>
            <w:r/>
          </w:p>
        </w:tc>
        <w:tc>
          <w:tcPr>
            <w:tcW w:w="2946"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栏目名称</w:t>
            </w:r>
            <w:r>
              <w:rPr>
                <w:highlight w:val="none"/>
              </w:rPr>
            </w:r>
            <w:r/>
          </w:p>
        </w:tc>
        <w:tc>
          <w:tcPr>
            <w:tcW w:w="5321" w:type="dxa"/>
            <w:vAlign w:val="center"/>
            <w:textDirection w:val="lrTb"/>
            <w:noWrap w:val="false"/>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编制和评审要求</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投标（响应）文件封面</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
                <w:bCs/>
                <w:color w:val="000000"/>
                <w:highlight w:val="none"/>
              </w:rPr>
              <w:t xml:space="preserve">《投标（响应）文件格式》</w:t>
            </w:r>
            <w:r>
              <w:rPr>
                <w:rFonts w:hint="eastAsia" w:ascii="宋体" w:hAnsi="宋体" w:cs="宋体"/>
                <w:color w:val="000000"/>
                <w:highlight w:val="none"/>
              </w:rPr>
              <w:t xml:space="preserve">)</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开标一览表（响应一览表）</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技术要求响应及偏离表</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商务要求响应及偏离表</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highlight w:val="none"/>
              </w:rPr>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基本目录</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项目完整技术和实施方案</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highlight w:val="none"/>
              </w:rPr>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投标人（供应商）资格声明函</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highlight w:val="none"/>
              </w:rPr>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highlight w:val="none"/>
              </w:rPr>
            </w:r>
            <w:r/>
          </w:p>
        </w:tc>
      </w:tr>
      <w:tr>
        <w:trPr>
          <w:jc w:val="cente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fff00"/>
            <w:tcW w:w="2946"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color w:val="000000"/>
                <w:highlight w:val="none"/>
              </w:rPr>
              <w:t xml:space="preserve">中小企业声明函等</w:t>
            </w:r>
            <w:r>
              <w:rPr>
                <w:highlight w:val="none"/>
              </w:rPr>
            </w:r>
            <w:r/>
          </w:p>
        </w:tc>
        <w:tc>
          <w:tcPr>
            <w:shd w:val="clear" w:color="000000" w:fill="ffff00"/>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highlight w:val="none"/>
              </w:rPr>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其他落实政府采购政策的资格要求</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highlight w:val="none"/>
              </w:rPr>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是否接受联合体投标（响应）</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highlight w:val="none"/>
              </w:rPr>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资格审查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本项目的特定资格要求</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highlight w:val="none"/>
              </w:rPr>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法人授权书、投标（响应）函</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highlight w:val="none"/>
              </w:rPr>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投标（响应）报价</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rPr>
                <w:highlight w:val="none"/>
              </w:rPr>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报价唯一性</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highlight w:val="none"/>
              </w:rPr>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highlight w:val="none"/>
              </w:rPr>
            </w:pPr>
            <w:r>
              <w:rPr>
                <w:rFonts w:hint="eastAsia" w:ascii="宋体" w:hAnsi="宋体" w:cs="宋体"/>
                <w:color w:val="ff0000"/>
                <w:highlight w:val="none"/>
              </w:rPr>
              <w:t xml:space="preserve">符合性审查</w:t>
            </w:r>
            <w:r>
              <w:rPr>
                <w:highlight w:val="none"/>
              </w:rPr>
            </w:r>
            <w:r/>
          </w:p>
        </w:tc>
        <w:tc>
          <w:tcPr>
            <w:tcW w:w="2946" w:type="dxa"/>
            <w:vAlign w:val="center"/>
            <w:textDirection w:val="lrTb"/>
            <w:noWrap w:val="false"/>
          </w:tcPr>
          <w:p>
            <w:pPr>
              <w:jc w:val="center"/>
              <w:widowControl/>
              <w:rPr>
                <w:rFonts w:hint="eastAsia" w:ascii="宋体" w:hAnsi="宋体" w:cs="宋体"/>
                <w:color w:val="ff0000"/>
                <w:highlight w:val="none"/>
              </w:rPr>
            </w:pPr>
            <w:r>
              <w:rPr>
                <w:rFonts w:hint="eastAsia" w:ascii="宋体" w:hAnsi="宋体" w:cs="宋体"/>
                <w:color w:val="ff0000"/>
                <w:highlight w:val="none"/>
              </w:rPr>
              <w:t xml:space="preserve">报价符合性审查</w:t>
            </w:r>
            <w:r>
              <w:rPr>
                <w:highlight w:val="none"/>
              </w:rPr>
            </w:r>
            <w:r/>
          </w:p>
        </w:tc>
        <w:tc>
          <w:tcPr>
            <w:tcW w:w="5321" w:type="dxa"/>
            <w:vAlign w:val="center"/>
            <w:textDirection w:val="lrTb"/>
            <w:noWrap w:val="false"/>
          </w:tcPr>
          <w:p>
            <w:pPr>
              <w:jc w:val="center"/>
              <w:widowControl/>
              <w:rPr>
                <w:rFonts w:hint="eastAsia" w:ascii="宋体" w:hAnsi="宋体" w:cs="宋体"/>
                <w:color w:val="ff0000"/>
                <w:highlight w:val="none"/>
              </w:rPr>
            </w:pPr>
            <w:r>
              <w:rPr>
                <w:rFonts w:hint="eastAsia" w:ascii="宋体" w:hAnsi="宋体" w:cs="宋体"/>
                <w:color w:val="ff0000"/>
                <w:highlight w:val="none"/>
              </w:rPr>
              <w:t xml:space="preserve">属于投标（响应）报价低于采购项目最高限价招标文件规定比例的，即</w:t>
            </w:r>
            <w:r>
              <w:rPr>
                <w:rFonts w:ascii="宋体" w:hAnsi="宋体" w:cs="宋体"/>
                <w:color w:val="ff0000"/>
                <w:highlight w:val="none"/>
              </w:rPr>
              <w:t xml:space="preserve">投标（响应）报价＜采购项目最高限价 × 招标文件预设比例，供应商可随投标（响应）文件一并提交相关书面说明及必要的证明材料</w:t>
            </w:r>
            <w:r>
              <w:rPr>
                <w:rFonts w:hint="eastAsia" w:ascii="宋体" w:hAnsi="宋体" w:cs="宋体"/>
                <w:color w:val="ff0000"/>
                <w:highlight w:val="none"/>
              </w:rPr>
              <w:t xml:space="preserve">。</w:t>
            </w:r>
            <w:r>
              <w:rPr>
                <w:highlight w:val="none"/>
              </w:rPr>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报价的修正（如有）</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rPr>
                <w:highlight w:val="none"/>
              </w:rPr>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签署、加盖公章</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rPr>
                <w:highlight w:val="none"/>
              </w:rPr>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进口产品（如有）</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投标完整性</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rPr>
                <w:highlight w:val="none"/>
              </w:rPr>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公平竞争</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highlight w:val="none"/>
              </w:rPr>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highlight w:val="none"/>
              </w:rPr>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附加条件</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rPr>
                <w:highlight w:val="none"/>
              </w:rPr>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shd w:val="clear" w:color="000000" w:fill="fafafa"/>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其他无效情形</w:t>
            </w:r>
            <w:r>
              <w:rPr>
                <w:highlight w:val="none"/>
              </w:rPr>
            </w:r>
            <w:r/>
          </w:p>
        </w:tc>
        <w:tc>
          <w:tcPr>
            <w:shd w:val="clear" w:color="000000" w:fill="fafafa"/>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rPr>
                <w:highlight w:val="none"/>
              </w:rPr>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实质性条款响应</w:t>
            </w:r>
            <w:r>
              <w:rPr>
                <w:highlight w:val="none"/>
              </w:rPr>
            </w:r>
            <w:r/>
          </w:p>
        </w:tc>
        <w:tc>
          <w:tcPr>
            <w:tcW w:w="532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highlight w:val="none"/>
              </w:rPr>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符合性审查</w:t>
            </w:r>
            <w:r>
              <w:rPr>
                <w:highlight w:val="none"/>
              </w:rPr>
            </w:r>
            <w:r/>
          </w:p>
        </w:tc>
        <w:tc>
          <w:tcPr>
            <w:shd w:val="clear" w:color="000000" w:fill="ffff00"/>
            <w:tcW w:w="2946"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实质性条款响应1</w:t>
            </w:r>
            <w:r>
              <w:rPr>
                <w:highlight w:val="none"/>
              </w:rPr>
            </w:r>
            <w:r/>
          </w:p>
        </w:tc>
        <w:tc>
          <w:tcPr>
            <w:shd w:val="clear" w:color="000000" w:fill="ffff00"/>
            <w:tcW w:w="532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逐项提供相关证明材料</w:t>
            </w:r>
            <w:r>
              <w:rPr>
                <w:highlight w:val="none"/>
              </w:rPr>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符合性审查</w:t>
            </w:r>
            <w:r>
              <w:rPr>
                <w:highlight w:val="none"/>
              </w:rPr>
            </w:r>
            <w:r/>
          </w:p>
        </w:tc>
        <w:tc>
          <w:tcPr>
            <w:shd w:val="clear" w:color="000000" w:fill="ffff00"/>
            <w:tcW w:w="2946"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实质性条款响应2</w:t>
            </w:r>
            <w:r>
              <w:rPr>
                <w:highlight w:val="none"/>
              </w:rPr>
            </w:r>
            <w:r/>
          </w:p>
        </w:tc>
        <w:tc>
          <w:tcPr>
            <w:shd w:val="clear" w:color="000000" w:fill="ffff00"/>
            <w:tcW w:w="532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逐项提供相关证明材料</w:t>
            </w:r>
            <w:r>
              <w:rPr>
                <w:highlight w:val="none"/>
              </w:rPr>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符合性审查</w:t>
            </w:r>
            <w:r>
              <w:rPr>
                <w:highlight w:val="none"/>
              </w:rPr>
            </w:r>
            <w:r/>
          </w:p>
        </w:tc>
        <w:tc>
          <w:tcPr>
            <w:shd w:val="clear" w:color="000000" w:fill="ffff00"/>
            <w:tcW w:w="2946"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w:t>
            </w:r>
            <w:r>
              <w:rPr>
                <w:highlight w:val="none"/>
              </w:rPr>
            </w:r>
            <w:r/>
          </w:p>
        </w:tc>
        <w:tc>
          <w:tcPr>
            <w:shd w:val="clear" w:color="000000" w:fill="ffff00"/>
            <w:tcW w:w="532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逐项提供相关证明材料</w:t>
            </w:r>
            <w:r>
              <w:rPr>
                <w:highlight w:val="none"/>
              </w:rPr>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highlight w:val="none"/>
              </w:rPr>
            </w:pPr>
            <w:r>
              <w:rPr>
                <w:rFonts w:hint="eastAsia" w:ascii="宋体" w:hAnsi="宋体" w:cs="宋体"/>
                <w:color w:val="ff0000"/>
                <w:highlight w:val="none"/>
              </w:rPr>
              <w:t xml:space="preserve">报价</w:t>
            </w:r>
            <w:r>
              <w:rPr>
                <w:highlight w:val="none"/>
              </w:rPr>
            </w:r>
            <w:r/>
          </w:p>
          <w:p>
            <w:pPr>
              <w:jc w:val="center"/>
              <w:widowControl/>
              <w:rPr>
                <w:rFonts w:hint="eastAsia" w:ascii="宋体" w:hAnsi="宋体" w:cs="宋体"/>
                <w:color w:val="ff0000"/>
                <w:highlight w:val="none"/>
              </w:rPr>
            </w:pPr>
            <w:r>
              <w:rPr>
                <w:rFonts w:hint="eastAsia" w:ascii="宋体" w:hAnsi="宋体" w:cs="宋体"/>
                <w:color w:val="ff0000"/>
                <w:highlight w:val="none"/>
              </w:rPr>
              <w:t xml:space="preserve">审查　</w:t>
            </w:r>
            <w:r>
              <w:rPr>
                <w:highlight w:val="none"/>
              </w:rPr>
            </w:r>
            <w:r/>
          </w:p>
        </w:tc>
        <w:tc>
          <w:tcPr>
            <w:tcW w:w="2946" w:type="dxa"/>
            <w:vAlign w:val="center"/>
            <w:textDirection w:val="lrTb"/>
            <w:noWrap w:val="false"/>
          </w:tcPr>
          <w:p>
            <w:pPr>
              <w:jc w:val="center"/>
              <w:widowControl/>
              <w:rPr>
                <w:rFonts w:hint="eastAsia" w:ascii="宋体" w:hAnsi="宋体" w:cs="宋体"/>
                <w:color w:val="ff0000"/>
                <w:highlight w:val="none"/>
              </w:rPr>
            </w:pPr>
            <w:r>
              <w:rPr>
                <w:rFonts w:hint="eastAsia" w:ascii="宋体" w:hAnsi="宋体" w:cs="宋体"/>
                <w:color w:val="ff0000"/>
                <w:highlight w:val="none"/>
              </w:rPr>
              <w:t xml:space="preserve">报价审查　</w:t>
            </w:r>
            <w:r>
              <w:rPr>
                <w:highlight w:val="none"/>
              </w:rPr>
            </w:r>
            <w:r/>
          </w:p>
        </w:tc>
        <w:tc>
          <w:tcPr>
            <w:tcW w:w="5321" w:type="dxa"/>
            <w:vAlign w:val="center"/>
            <w:textDirection w:val="lrTb"/>
            <w:noWrap w:val="false"/>
          </w:tcPr>
          <w:p>
            <w:pPr>
              <w:ind w:firstLine="640"/>
              <w:shd w:val="clear" w:color="auto" w:fill="ffffff"/>
              <w:rPr>
                <w:rFonts w:cs="宋体"/>
                <w:color w:val="ff0000"/>
                <w:highlight w:val="none"/>
              </w:rPr>
            </w:pPr>
            <w:r>
              <w:rPr>
                <w:rFonts w:hint="eastAsia" w:cs="宋体"/>
                <w:color w:val="ff0000"/>
                <w:highlight w:val="none"/>
              </w:rPr>
              <w:t xml:space="preserve">由评委审查，报价合理的予以通过。</w:t>
            </w:r>
            <w:r>
              <w:rPr>
                <w:highlight w:val="none"/>
              </w:rPr>
            </w:r>
            <w:r/>
          </w:p>
          <w:p>
            <w:pPr>
              <w:ind w:firstLine="640"/>
              <w:shd w:val="clear" w:color="auto" w:fill="ffffff"/>
              <w:rPr>
                <w:rFonts w:cs="宋体"/>
                <w:color w:val="ff0000"/>
                <w:highlight w:val="none"/>
              </w:rPr>
            </w:pPr>
            <w:r>
              <w:rPr>
                <w:rFonts w:hint="eastAsia" w:cs="宋体"/>
                <w:color w:val="ff0000"/>
                <w:highlight w:val="none"/>
              </w:rPr>
              <w:t xml:space="preserve">根据</w:t>
            </w:r>
            <w:r>
              <w:rPr>
                <w:rFonts w:cs="宋体"/>
                <w:color w:val="ff0000"/>
                <w:highlight w:val="none"/>
              </w:rPr>
              <w:t xml:space="preserve">财库〔2026〕2号</w:t>
            </w:r>
            <w:r>
              <w:rPr>
                <w:rFonts w:hint="eastAsia" w:cs="宋体"/>
                <w:color w:val="ff0000"/>
                <w:highlight w:val="none"/>
              </w:rPr>
              <w:t xml:space="preserve">文件规定，政府采购评审中出现下列情形之一的，评审委员会应当启动异常低价投标（响应）审查程序：1）投标（响应）报价低于全部通过符</w:t>
            </w:r>
            <w:r>
              <w:rPr>
                <w:rFonts w:hint="eastAsia" w:cs="宋体"/>
                <w:color w:val="ff0000"/>
                <w:highlight w: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highlight w:val="none"/>
              </w:rPr>
            </w:r>
            <w:r/>
          </w:p>
          <w:p>
            <w:pPr>
              <w:ind w:firstLine="420"/>
              <w:rPr>
                <w:rFonts w:cs="宋体"/>
                <w:color w:val="ff0000"/>
                <w:highlight w:val="none"/>
              </w:rPr>
            </w:pPr>
            <w:r>
              <w:rPr>
                <w:rFonts w:hint="eastAsia" w:cs="宋体"/>
                <w:color w:val="ff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highlight w:val="none"/>
              </w:rPr>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综合评审评分项</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逐项提供相关证明材料</w:t>
            </w:r>
            <w:r>
              <w:rPr>
                <w:highlight w:val="none"/>
              </w:rPr>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w:t>
            </w:r>
            <w:r>
              <w:rPr>
                <w:highlight w:val="none"/>
              </w:rPr>
            </w:r>
            <w:r/>
          </w:p>
        </w:tc>
        <w:tc>
          <w:tcPr>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532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逐项提供相关证明材料</w:t>
            </w:r>
            <w:r>
              <w:rPr>
                <w:highlight w:val="none"/>
              </w:rPr>
            </w:r>
            <w:r/>
          </w:p>
        </w:tc>
      </w:tr>
    </w:tbl>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t xml:space="preserve">质疑函范本</w:t>
      </w:r>
      <w:r>
        <w:rPr>
          <w:highlight w:val="none"/>
        </w:rPr>
      </w:r>
      <w:r/>
    </w:p>
    <w:p>
      <w:pPr>
        <w:spacing w:before="290"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二、质疑项目基本情况</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三、质疑事项具体内容</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u w:val="single"/>
        </w:rPr>
        <w:t xml:space="preserve">                                                                           </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质疑事项2</w:t>
      </w:r>
      <w:r>
        <w:rPr>
          <w:highlight w:val="none"/>
        </w:rPr>
      </w:r>
      <w:r/>
    </w:p>
    <w:p>
      <w:pP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w:t>
      </w:r>
      <w:r>
        <w:rPr>
          <w:highlight w:val="none"/>
        </w:rPr>
      </w:r>
      <w:r/>
    </w:p>
    <w:p>
      <w:pPr>
        <w:spacing w:line="360" w:lineRule="auto"/>
        <w:rPr>
          <w:rFonts w:hint="eastAsia"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highlight w:val="none"/>
        </w:rPr>
      </w:r>
      <w:r/>
    </w:p>
    <w:p>
      <w:pPr>
        <w:spacing w:line="360" w:lineRule="auto"/>
        <w:rPr>
          <w:rFonts w:hint="eastAsia"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highlight w:val="none"/>
        </w:rPr>
      </w:r>
      <w:r/>
    </w:p>
    <w:p>
      <w:pPr>
        <w:rPr>
          <w:rFonts w:hint="eastAsia" w:ascii="宋体" w:hAnsi="宋体"/>
          <w:sz w:val="24"/>
          <w:szCs w:val="24"/>
          <w:highlight w:val="none"/>
        </w:rPr>
      </w:pPr>
      <w:r>
        <w:rPr>
          <w:rFonts w:hint="eastAsia" w:ascii="宋体" w:hAnsi="宋体"/>
          <w:sz w:val="24"/>
          <w:szCs w:val="24"/>
          <w:highlight w:val="none"/>
        </w:rPr>
        <w:t xml:space="preserve">签字(签章)：                   公章：                      </w:t>
      </w:r>
      <w:r>
        <w:rPr>
          <w:highlight w:val="none"/>
        </w:rPr>
      </w:r>
      <w:r/>
    </w:p>
    <w:p>
      <w:pPr>
        <w:rPr>
          <w:rFonts w:hint="eastAsia" w:ascii="宋体" w:hAnsi="宋体"/>
          <w:sz w:val="24"/>
          <w:szCs w:val="24"/>
          <w:highlight w:val="none"/>
        </w:rPr>
      </w:pPr>
      <w:r>
        <w:rPr>
          <w:rFonts w:hint="eastAsia" w:ascii="宋体" w:hAnsi="宋体"/>
          <w:sz w:val="24"/>
          <w:szCs w:val="24"/>
          <w:highlight w:val="none"/>
        </w:rPr>
        <w:t xml:space="preserve">日期：    </w:t>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rPr>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t xml:space="preserve">质疑函制作说明：</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5.质疑函的质疑请求应与质疑事项相关。</w:t>
      </w:r>
      <w:r>
        <w:rPr>
          <w:highlight w:val="none"/>
        </w:rPr>
      </w:r>
      <w:r/>
    </w:p>
    <w:p>
      <w:pPr>
        <w:ind w:firstLine="480"/>
        <w:jc w:val="left"/>
        <w:spacing w:line="400" w:lineRule="exact"/>
        <w:widowControl/>
        <w:rPr>
          <w:rFonts w:hint="eastAsia"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794"/>
        <w:rPr>
          <w:sz w:val="24"/>
          <w:szCs w:val="24"/>
          <w:highlight w:val="none"/>
        </w:rPr>
      </w:pPr>
      <w:r>
        <w:rPr>
          <w:sz w:val="24"/>
          <w:szCs w:val="24"/>
          <w:highlight w:val="none"/>
        </w:rPr>
      </w:r>
      <w:r>
        <w:rPr>
          <w:highlight w:val="none"/>
        </w:rPr>
      </w:r>
      <w:r/>
    </w:p>
    <w:p>
      <w:pPr>
        <w:pStyle w:val="794"/>
        <w:rPr>
          <w:sz w:val="24"/>
          <w:szCs w:val="24"/>
          <w:highlight w:val="none"/>
        </w:rPr>
      </w:pPr>
      <w:r>
        <w:rPr>
          <w:sz w:val="24"/>
          <w:szCs w:val="24"/>
          <w:highlight w:val="none"/>
        </w:rPr>
      </w:r>
      <w:r>
        <w:rPr>
          <w:highlight w:val="none"/>
        </w:rPr>
      </w:r>
      <w:r/>
    </w:p>
    <w:p>
      <w:pPr>
        <w:rPr>
          <w:highlight w:val="none"/>
        </w:rPr>
      </w:pPr>
      <w:r>
        <w:rPr>
          <w:highlight w:val="none"/>
        </w:rPr>
      </w:r>
      <w:r>
        <w:rPr>
          <w:highlight w:val="none"/>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8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94665" cy="38862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94665" cy="38862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- 3 -</w:t>
                          </w:r>
                          <w:r>
                            <w:fldChar w:fldCharType="end"/>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8.9pt;height:30.6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- 3 -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4"/>
                            <w:jc w:val="right"/>
                          </w:pPr>
                          <w:r>
                            <w:fldChar w:fldCharType="begin"/>
                          </w:r>
                          <w:r>
                            <w:instrText xml:space="preserve">PAGE   \* MERGEFORMAT</w:instrText>
                          </w:r>
                          <w:r>
                            <w:fldChar w:fldCharType="separate"/>
                          </w:r>
                          <w:r>
                            <w:rPr>
                              <w:lang w:val="zh-CN"/>
                            </w:rPr>
                            <w:t xml:space="preserve">-</w:t>
                          </w:r>
                          <w:r>
                            <w:t xml:space="preserve"> 43 -</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jc w:val="right"/>
                    </w:pPr>
                    <w:r>
                      <w:fldChar w:fldCharType="begin"/>
                    </w:r>
                    <w:r>
                      <w:instrText xml:space="preserve">PAGE   \* MERGEFORMAT</w:instrText>
                    </w:r>
                    <w:r>
                      <w:fldChar w:fldCharType="separate"/>
                    </w:r>
                    <w:r>
                      <w:rPr>
                        <w:lang w:val="zh-CN"/>
                      </w:rPr>
                      <w:t xml:space="preserve">-</w:t>
                    </w:r>
                    <w:r>
                      <w:t xml:space="preserve"> 43 -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33"/>
      </w:rPr>
      <w:framePr w:wrap="around" w:vAnchor="text" w:hAnchor="margin" w:xAlign="center" w:y="1"/>
    </w:pPr>
    <w:r>
      <w:fldChar w:fldCharType="begin"/>
    </w:r>
    <w:r>
      <w:rPr>
        <w:rStyle w:val="833"/>
      </w:rPr>
      <w:instrText xml:space="preserve">PAGE  </w:instrText>
    </w:r>
    <w:r>
      <w:fldChar w:fldCharType="separate"/>
    </w:r>
    <w:r>
      <w:rPr>
        <w:rStyle w:val="833"/>
      </w:rPr>
      <w:t xml:space="preserve">1</w:t>
    </w:r>
    <w:r>
      <w:fldChar w:fldCharType="end"/>
    </w:r>
    <w:r/>
  </w:p>
  <w:p>
    <w:pPr>
      <w:pStyle w:val="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88"/>
      <w:isLgl w:val="false"/>
      <w:suff w:val="nothing"/>
      <w:lvlText w:val=""/>
      <w:lvlJc w:val="left"/>
      <w:pPr>
        <w:ind w:left="0" w:firstLine="0"/>
      </w:pPr>
      <w:rPr>
        <w:rFonts w:hint="eastAsia"/>
      </w:rPr>
    </w:lvl>
    <w:lvl w:ilvl="6">
      <w:start w:val="1"/>
      <w:numFmt w:val="none"/>
      <w:pStyle w:val="789"/>
      <w:isLgl w:val="false"/>
      <w:suff w:val="nothing"/>
      <w:lvlText w:val=""/>
      <w:lvlJc w:val="left"/>
      <w:pPr>
        <w:ind w:left="0" w:firstLine="0"/>
      </w:pPr>
      <w:rPr>
        <w:rFonts w:hint="eastAsia"/>
      </w:rPr>
    </w:lvl>
    <w:lvl w:ilvl="7">
      <w:start w:val="1"/>
      <w:numFmt w:val="none"/>
      <w:pStyle w:val="790"/>
      <w:isLgl w:val="false"/>
      <w:suff w:val="nothing"/>
      <w:lvlText w:val=""/>
      <w:lvlJc w:val="left"/>
      <w:pPr>
        <w:ind w:left="0" w:firstLine="0"/>
      </w:pPr>
      <w:rPr>
        <w:rFonts w:hint="eastAsia"/>
      </w:rPr>
    </w:lvl>
    <w:lvl w:ilvl="8">
      <w:start w:val="1"/>
      <w:numFmt w:val="none"/>
      <w:pStyle w:val="79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2">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1">
    <w:name w:val="TOC Heading"/>
    <w:uiPriority w:val="39"/>
    <w:unhideWhenUsed/>
  </w:style>
  <w:style w:type="paragraph" w:styleId="782" w:default="1">
    <w:name w:val="Normal"/>
    <w:uiPriority w:val="0"/>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783">
    <w:name w:val="Heading 1"/>
    <w:basedOn w:val="782"/>
    <w:next w:val="782"/>
    <w:link w:val="992"/>
    <w:uiPriority w:val="0"/>
    <w:qFormat/>
    <w:pPr>
      <w:jc w:val="center"/>
      <w:keepNext/>
      <w:outlineLvl w:val="0"/>
    </w:pPr>
    <w:rPr>
      <w:rFonts w:ascii="楷体_GB2312" w:eastAsia="楷体_GB2312"/>
      <w:sz w:val="28"/>
      <w:szCs w:val="28"/>
    </w:rPr>
  </w:style>
  <w:style w:type="paragraph" w:styleId="784">
    <w:name w:val="Heading 2"/>
    <w:basedOn w:val="782"/>
    <w:next w:val="794"/>
    <w:link w:val="9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5">
    <w:name w:val="Heading 3"/>
    <w:basedOn w:val="782"/>
    <w:next w:val="794"/>
    <w:link w:val="995"/>
    <w:uiPriority w:val="0"/>
    <w:qFormat/>
    <w:pPr>
      <w:keepLines/>
      <w:keepNext/>
      <w:spacing w:before="260" w:after="260" w:line="416" w:lineRule="auto"/>
      <w:outlineLvl w:val="2"/>
    </w:pPr>
    <w:rPr>
      <w:b/>
      <w:bCs/>
      <w:sz w:val="32"/>
      <w:szCs w:val="32"/>
    </w:rPr>
  </w:style>
  <w:style w:type="paragraph" w:styleId="786">
    <w:name w:val="Heading 4"/>
    <w:basedOn w:val="782"/>
    <w:next w:val="794"/>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787">
    <w:name w:val="Heading 5"/>
    <w:basedOn w:val="782"/>
    <w:next w:val="794"/>
    <w:link w:val="997"/>
    <w:uiPriority w:val="0"/>
    <w:qFormat/>
    <w:pPr>
      <w:keepNext/>
      <w:outlineLvl w:val="4"/>
    </w:pPr>
    <w:rPr>
      <w:rFonts w:ascii="宋体"/>
      <w:color w:val="000000"/>
      <w:sz w:val="28"/>
      <w:szCs w:val="28"/>
    </w:rPr>
  </w:style>
  <w:style w:type="paragraph" w:styleId="788">
    <w:name w:val="Heading 6"/>
    <w:basedOn w:val="782"/>
    <w:next w:val="782"/>
    <w:link w:val="9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9">
    <w:name w:val="Heading 7"/>
    <w:basedOn w:val="782"/>
    <w:next w:val="782"/>
    <w:link w:val="999"/>
    <w:uiPriority w:val="0"/>
    <w:qFormat/>
    <w:pPr>
      <w:numPr>
        <w:ilvl w:val="6"/>
        <w:numId w:val="1"/>
      </w:numPr>
      <w:keepLines/>
      <w:keepNext/>
      <w:spacing w:before="240" w:after="64" w:line="320" w:lineRule="auto"/>
      <w:outlineLvl w:val="6"/>
    </w:pPr>
    <w:rPr>
      <w:b/>
      <w:bCs/>
      <w:sz w:val="24"/>
      <w:szCs w:val="24"/>
    </w:rPr>
  </w:style>
  <w:style w:type="paragraph" w:styleId="790">
    <w:name w:val="Heading 8"/>
    <w:basedOn w:val="782"/>
    <w:next w:val="782"/>
    <w:link w:val="10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1">
    <w:name w:val="Heading 9"/>
    <w:basedOn w:val="782"/>
    <w:next w:val="782"/>
    <w:link w:val="1001"/>
    <w:uiPriority w:val="0"/>
    <w:qFormat/>
    <w:pPr>
      <w:numPr>
        <w:ilvl w:val="8"/>
        <w:numId w:val="1"/>
      </w:numPr>
      <w:keepLines/>
      <w:keepNext/>
      <w:spacing w:before="240" w:after="64" w:line="320" w:lineRule="auto"/>
      <w:outlineLvl w:val="8"/>
    </w:pPr>
    <w:rPr>
      <w:rFonts w:ascii="Arial" w:hAnsi="Arial" w:eastAsia="黑体"/>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Layout w:type="fixed"/>
      <w:tblCellMar>
        <w:left w:w="108" w:type="dxa"/>
        <w:top w:w="0" w:type="dxa"/>
        <w:right w:w="108" w:type="dxa"/>
        <w:bottom w:w="0" w:type="dxa"/>
      </w:tblCellMar>
    </w:tblPr>
  </w:style>
  <w:style w:type="paragraph" w:styleId="794">
    <w:name w:val="Normal Indent"/>
    <w:basedOn w:val="782"/>
    <w:link w:val="994"/>
    <w:uiPriority w:val="99"/>
    <w:qFormat/>
    <w:pPr>
      <w:ind w:firstLine="420"/>
    </w:pPr>
  </w:style>
  <w:style w:type="paragraph" w:styleId="795">
    <w:name w:val="List 3"/>
    <w:basedOn w:val="782"/>
    <w:uiPriority w:val="0"/>
    <w:qFormat/>
    <w:pPr>
      <w:ind w:left="100" w:hanging="200"/>
    </w:pPr>
  </w:style>
  <w:style w:type="paragraph" w:styleId="796">
    <w:name w:val="annotation subject"/>
    <w:basedOn w:val="797"/>
    <w:next w:val="797"/>
    <w:link w:val="1015"/>
    <w:uiPriority w:val="0"/>
    <w:semiHidden/>
    <w:qFormat/>
    <w:rPr>
      <w:b/>
      <w:bCs/>
    </w:rPr>
  </w:style>
  <w:style w:type="paragraph" w:styleId="797">
    <w:name w:val="annotation text"/>
    <w:basedOn w:val="782"/>
    <w:link w:val="1003"/>
    <w:uiPriority w:val="0"/>
    <w:qFormat/>
    <w:pPr>
      <w:jc w:val="left"/>
    </w:pPr>
  </w:style>
  <w:style w:type="paragraph" w:styleId="798">
    <w:name w:val="toc 7"/>
    <w:basedOn w:val="782"/>
    <w:next w:val="782"/>
    <w:uiPriority w:val="0"/>
    <w:semiHidden/>
    <w:qFormat/>
    <w:pPr>
      <w:ind w:left="1260"/>
      <w:jc w:val="left"/>
    </w:pPr>
  </w:style>
  <w:style w:type="paragraph" w:styleId="799">
    <w:name w:val="Body Text First Indent"/>
    <w:basedOn w:val="782"/>
    <w:link w:val="1016"/>
    <w:uiPriority w:val="0"/>
    <w:qFormat/>
    <w:pPr>
      <w:ind w:firstLine="200"/>
      <w:spacing w:line="360" w:lineRule="auto"/>
    </w:pPr>
    <w:rPr>
      <w:rFonts w:ascii="仿宋_GB2312" w:eastAsia="仿宋_GB2312"/>
      <w:sz w:val="30"/>
      <w:szCs w:val="30"/>
    </w:rPr>
  </w:style>
  <w:style w:type="paragraph" w:styleId="800">
    <w:name w:val="Caption"/>
    <w:basedOn w:val="782"/>
    <w:next w:val="78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01">
    <w:name w:val="Document Map"/>
    <w:basedOn w:val="782"/>
    <w:link w:val="1002"/>
    <w:uiPriority w:val="0"/>
    <w:semiHidden/>
    <w:qFormat/>
    <w:pPr>
      <w:shd w:val="clear" w:color="auto" w:fill="000080"/>
    </w:pPr>
  </w:style>
  <w:style w:type="paragraph" w:styleId="802">
    <w:name w:val="Body Text 3"/>
    <w:basedOn w:val="782"/>
    <w:link w:val="1004"/>
    <w:uiPriority w:val="0"/>
    <w:qFormat/>
    <w:rPr>
      <w:rFonts w:ascii="仿宋_GB2312" w:hAnsi="Arial" w:eastAsia="仿宋_GB2312"/>
      <w:sz w:val="32"/>
      <w:szCs w:val="32"/>
    </w:rPr>
  </w:style>
  <w:style w:type="paragraph" w:styleId="803">
    <w:name w:val="Body Text"/>
    <w:basedOn w:val="782"/>
    <w:link w:val="1005"/>
    <w:uiPriority w:val="0"/>
    <w:qFormat/>
    <w:rPr>
      <w:rFonts w:ascii="楷体_GB2312" w:hAnsi="Arial" w:eastAsia="楷体_GB2312"/>
      <w:sz w:val="28"/>
      <w:szCs w:val="28"/>
    </w:rPr>
  </w:style>
  <w:style w:type="paragraph" w:styleId="804">
    <w:name w:val="Body Text Indent"/>
    <w:basedOn w:val="782"/>
    <w:link w:val="1006"/>
    <w:uiPriority w:val="0"/>
    <w:qFormat/>
    <w:pPr>
      <w:ind w:firstLine="645"/>
    </w:pPr>
    <w:rPr>
      <w:rFonts w:ascii="楷体_GB2312" w:eastAsia="楷体_GB2312"/>
      <w:sz w:val="32"/>
      <w:szCs w:val="32"/>
    </w:rPr>
  </w:style>
  <w:style w:type="paragraph" w:styleId="805">
    <w:name w:val="List 2"/>
    <w:basedOn w:val="782"/>
    <w:uiPriority w:val="0"/>
    <w:qFormat/>
    <w:pPr>
      <w:ind w:left="100" w:hanging="200"/>
    </w:pPr>
  </w:style>
  <w:style w:type="paragraph" w:styleId="806">
    <w:name w:val="toc 5"/>
    <w:basedOn w:val="782"/>
    <w:next w:val="782"/>
    <w:uiPriority w:val="0"/>
    <w:semiHidden/>
    <w:qFormat/>
    <w:pPr>
      <w:ind w:left="840"/>
      <w:jc w:val="left"/>
    </w:pPr>
  </w:style>
  <w:style w:type="paragraph" w:styleId="807">
    <w:name w:val="toc 3"/>
    <w:basedOn w:val="782"/>
    <w:next w:val="782"/>
    <w:uiPriority w:val="0"/>
    <w:semiHidden/>
    <w:qFormat/>
    <w:pPr>
      <w:ind w:left="420"/>
      <w:jc w:val="left"/>
    </w:pPr>
    <w:rPr>
      <w:i/>
      <w:iCs/>
      <w:szCs w:val="24"/>
    </w:rPr>
  </w:style>
  <w:style w:type="paragraph" w:styleId="808">
    <w:name w:val="Plain Text"/>
    <w:basedOn w:val="782"/>
    <w:link w:val="1007"/>
    <w:uiPriority w:val="0"/>
    <w:qFormat/>
    <w:rPr>
      <w:rFonts w:ascii="宋体" w:hAnsi="Courier New" w:cs="Courier New"/>
    </w:rPr>
  </w:style>
  <w:style w:type="paragraph" w:styleId="809">
    <w:name w:val="toc 8"/>
    <w:basedOn w:val="782"/>
    <w:next w:val="782"/>
    <w:uiPriority w:val="0"/>
    <w:semiHidden/>
    <w:qFormat/>
    <w:pPr>
      <w:ind w:left="1470"/>
      <w:jc w:val="left"/>
    </w:pPr>
  </w:style>
  <w:style w:type="paragraph" w:styleId="810">
    <w:name w:val="Date"/>
    <w:basedOn w:val="782"/>
    <w:next w:val="782"/>
    <w:link w:val="1008"/>
    <w:uiPriority w:val="0"/>
    <w:qFormat/>
    <w:rPr>
      <w:sz w:val="24"/>
      <w:szCs w:val="24"/>
    </w:rPr>
  </w:style>
  <w:style w:type="paragraph" w:styleId="811">
    <w:name w:val="Body Text Indent 2"/>
    <w:basedOn w:val="782"/>
    <w:link w:val="1009"/>
    <w:uiPriority w:val="0"/>
    <w:qFormat/>
    <w:pPr>
      <w:ind w:left="630" w:firstLine="645"/>
    </w:pPr>
    <w:rPr>
      <w:rFonts w:ascii="Arial" w:hAnsi="Arial" w:eastAsia="仿宋_GB2312" w:cs="Arial"/>
      <w:sz w:val="32"/>
      <w:szCs w:val="32"/>
    </w:rPr>
  </w:style>
  <w:style w:type="paragraph" w:styleId="812">
    <w:name w:val="endnote text"/>
    <w:basedOn w:val="782"/>
    <w:link w:val="990"/>
    <w:uiPriority w:val="99"/>
    <w:semiHidden/>
    <w:unhideWhenUsed/>
    <w:qFormat/>
    <w:rPr>
      <w:sz w:val="20"/>
    </w:rPr>
  </w:style>
  <w:style w:type="paragraph" w:styleId="813">
    <w:name w:val="Balloon Text"/>
    <w:basedOn w:val="782"/>
    <w:link w:val="1010"/>
    <w:uiPriority w:val="0"/>
    <w:semiHidden/>
    <w:qFormat/>
    <w:rPr>
      <w:sz w:val="18"/>
      <w:szCs w:val="18"/>
    </w:rPr>
  </w:style>
  <w:style w:type="paragraph" w:styleId="814">
    <w:name w:val="Footer"/>
    <w:basedOn w:val="782"/>
    <w:link w:val="1011"/>
    <w:uiPriority w:val="99"/>
    <w:qFormat/>
    <w:pPr>
      <w:jc w:val="left"/>
      <w:tabs>
        <w:tab w:val="center" w:pos="4153" w:leader="none"/>
        <w:tab w:val="right" w:pos="8306" w:leader="none"/>
      </w:tabs>
    </w:pPr>
    <w:rPr>
      <w:sz w:val="18"/>
      <w:szCs w:val="18"/>
    </w:rPr>
  </w:style>
  <w:style w:type="paragraph" w:styleId="815">
    <w:name w:val="Body Text First Indent 2"/>
    <w:basedOn w:val="804"/>
    <w:link w:val="1017"/>
    <w:uiPriority w:val="0"/>
    <w:qFormat/>
    <w:pPr>
      <w:ind w:firstLine="420"/>
      <w:spacing w:line="360" w:lineRule="auto"/>
    </w:pPr>
    <w:rPr>
      <w:rFonts w:ascii="宋体" w:hAnsi="宋体" w:eastAsia="宋体"/>
      <w:sz w:val="21"/>
      <w:szCs w:val="20"/>
    </w:rPr>
  </w:style>
  <w:style w:type="paragraph" w:styleId="816">
    <w:name w:val="Header"/>
    <w:basedOn w:val="782"/>
    <w:link w:val="1012"/>
    <w:uiPriority w:val="0"/>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2"/>
    <w:next w:val="782"/>
    <w:uiPriority w:val="39"/>
    <w:qFormat/>
    <w:pPr>
      <w:jc w:val="left"/>
      <w:spacing w:before="120" w:after="120" w:line="400" w:lineRule="exact"/>
      <w:tabs>
        <w:tab w:val="right" w:pos="8720" w:leader="dot"/>
      </w:tabs>
    </w:pPr>
    <w:rPr>
      <w:rFonts w:ascii="宋体" w:hAnsi="宋体"/>
      <w:caps/>
      <w:sz w:val="24"/>
      <w:szCs w:val="24"/>
    </w:rPr>
  </w:style>
  <w:style w:type="paragraph" w:styleId="818">
    <w:name w:val="toc 4"/>
    <w:basedOn w:val="782"/>
    <w:next w:val="782"/>
    <w:uiPriority w:val="0"/>
    <w:semiHidden/>
    <w:qFormat/>
    <w:pPr>
      <w:ind w:left="630"/>
      <w:jc w:val="left"/>
    </w:pPr>
  </w:style>
  <w:style w:type="paragraph" w:styleId="819">
    <w:name w:val="Subtitle"/>
    <w:basedOn w:val="782"/>
    <w:next w:val="782"/>
    <w:link w:val="875"/>
    <w:uiPriority w:val="11"/>
    <w:qFormat/>
    <w:pPr>
      <w:spacing w:before="200" w:after="200"/>
    </w:pPr>
    <w:rPr>
      <w:sz w:val="24"/>
      <w:szCs w:val="24"/>
    </w:rPr>
  </w:style>
  <w:style w:type="paragraph" w:styleId="820">
    <w:name w:val="List"/>
    <w:basedOn w:val="782"/>
    <w:uiPriority w:val="0"/>
    <w:qFormat/>
    <w:pPr>
      <w:ind w:left="200" w:hanging="200"/>
    </w:pPr>
  </w:style>
  <w:style w:type="paragraph" w:styleId="821">
    <w:name w:val="footnote text"/>
    <w:basedOn w:val="782"/>
    <w:link w:val="989"/>
    <w:uiPriority w:val="99"/>
    <w:semiHidden/>
    <w:unhideWhenUsed/>
    <w:qFormat/>
    <w:pPr>
      <w:spacing w:after="40"/>
    </w:pPr>
    <w:rPr>
      <w:sz w:val="18"/>
    </w:rPr>
  </w:style>
  <w:style w:type="paragraph" w:styleId="822">
    <w:name w:val="toc 6"/>
    <w:basedOn w:val="782"/>
    <w:next w:val="782"/>
    <w:uiPriority w:val="0"/>
    <w:semiHidden/>
    <w:qFormat/>
    <w:pPr>
      <w:ind w:left="1050"/>
      <w:jc w:val="left"/>
    </w:pPr>
  </w:style>
  <w:style w:type="paragraph" w:styleId="823">
    <w:name w:val="Body Text Indent 3"/>
    <w:basedOn w:val="782"/>
    <w:link w:val="1013"/>
    <w:uiPriority w:val="0"/>
    <w:qFormat/>
    <w:pPr>
      <w:ind w:left="645" w:firstLine="645"/>
    </w:pPr>
    <w:rPr>
      <w:rFonts w:ascii="Arial" w:hAnsi="Arial" w:eastAsia="仿宋_GB2312" w:cs="Arial"/>
      <w:color w:val="ffff00"/>
      <w:sz w:val="32"/>
      <w:szCs w:val="32"/>
    </w:rPr>
  </w:style>
  <w:style w:type="paragraph" w:styleId="824">
    <w:name w:val="table of figures"/>
    <w:basedOn w:val="782"/>
    <w:next w:val="782"/>
    <w:uiPriority w:val="0"/>
    <w:semiHidden/>
    <w:qFormat/>
    <w:pPr>
      <w:ind w:left="840" w:hanging="420"/>
    </w:pPr>
  </w:style>
  <w:style w:type="paragraph" w:styleId="825">
    <w:name w:val="toc 2"/>
    <w:basedOn w:val="782"/>
    <w:next w:val="782"/>
    <w:uiPriority w:val="0"/>
    <w:semiHidden/>
    <w:qFormat/>
    <w:pPr>
      <w:ind w:left="210"/>
      <w:jc w:val="left"/>
    </w:pPr>
    <w:rPr>
      <w:smallCaps/>
      <w:szCs w:val="24"/>
    </w:rPr>
  </w:style>
  <w:style w:type="paragraph" w:styleId="826">
    <w:name w:val="toc 9"/>
    <w:basedOn w:val="782"/>
    <w:next w:val="782"/>
    <w:uiPriority w:val="0"/>
    <w:semiHidden/>
    <w:qFormat/>
    <w:pPr>
      <w:ind w:left="1680"/>
      <w:jc w:val="left"/>
    </w:pPr>
  </w:style>
  <w:style w:type="paragraph" w:styleId="827">
    <w:name w:val="Body Text 2"/>
    <w:basedOn w:val="782"/>
    <w:link w:val="1014"/>
    <w:uiPriority w:val="0"/>
    <w:qFormat/>
    <w:pPr>
      <w:jc w:val="center"/>
      <w:widowControl/>
    </w:pPr>
    <w:rPr>
      <w:rFonts w:ascii="楷体_GB2312" w:eastAsia="楷体_GB2312"/>
      <w:sz w:val="28"/>
      <w:szCs w:val="28"/>
    </w:rPr>
  </w:style>
  <w:style w:type="paragraph" w:styleId="828">
    <w:name w:val="Normal (Web)"/>
    <w:basedOn w:val="782"/>
    <w:uiPriority w:val="99"/>
    <w:qFormat/>
    <w:pPr>
      <w:jc w:val="left"/>
      <w:spacing w:before="100" w:beforeAutospacing="1" w:after="100" w:afterAutospacing="1"/>
      <w:widowControl/>
    </w:pPr>
    <w:rPr>
      <w:rFonts w:ascii="宋体" w:hAnsi="宋体" w:cs="宋体"/>
      <w:sz w:val="24"/>
      <w:szCs w:val="24"/>
    </w:rPr>
  </w:style>
  <w:style w:type="paragraph" w:styleId="829">
    <w:name w:val="index 1"/>
    <w:basedOn w:val="782"/>
    <w:next w:val="782"/>
    <w:uiPriority w:val="0"/>
    <w:semiHidden/>
    <w:qFormat/>
    <w:pPr>
      <w:spacing w:line="240" w:lineRule="atLeast"/>
    </w:pPr>
    <w:rPr>
      <w:b/>
      <w:bCs/>
    </w:rPr>
  </w:style>
  <w:style w:type="paragraph" w:styleId="830">
    <w:name w:val="Title"/>
    <w:basedOn w:val="782"/>
    <w:next w:val="782"/>
    <w:link w:val="874"/>
    <w:uiPriority w:val="10"/>
    <w:qFormat/>
    <w:pPr>
      <w:contextualSpacing/>
      <w:spacing w:before="300" w:after="200"/>
    </w:pPr>
    <w:rPr>
      <w:sz w:val="48"/>
      <w:szCs w:val="48"/>
    </w:rPr>
  </w:style>
  <w:style w:type="character" w:styleId="831">
    <w:name w:val="Strong"/>
    <w:uiPriority w:val="0"/>
    <w:qFormat/>
    <w:rPr>
      <w:b/>
      <w:bCs/>
    </w:rPr>
  </w:style>
  <w:style w:type="character" w:styleId="832">
    <w:name w:val="endnote reference"/>
    <w:basedOn w:val="792"/>
    <w:uiPriority w:val="99"/>
    <w:semiHidden/>
    <w:unhideWhenUsed/>
    <w:qFormat/>
    <w:rPr>
      <w:vertAlign w:val="superscript"/>
    </w:rPr>
  </w:style>
  <w:style w:type="character" w:styleId="833">
    <w:name w:val="page number"/>
    <w:uiPriority w:val="0"/>
    <w:qFormat/>
  </w:style>
  <w:style w:type="character" w:styleId="834">
    <w:name w:val="FollowedHyperlink"/>
    <w:uiPriority w:val="0"/>
    <w:qFormat/>
    <w:rPr>
      <w:color w:val="800080"/>
      <w:u w:val="single"/>
    </w:rPr>
  </w:style>
  <w:style w:type="character" w:styleId="835">
    <w:name w:val="Hyperlink"/>
    <w:uiPriority w:val="99"/>
    <w:qFormat/>
    <w:rPr>
      <w:color w:val="0000ff"/>
      <w:u w:val="single"/>
    </w:rPr>
  </w:style>
  <w:style w:type="character" w:styleId="836">
    <w:name w:val="annotation reference"/>
    <w:uiPriority w:val="0"/>
    <w:qFormat/>
    <w:rPr>
      <w:sz w:val="21"/>
      <w:szCs w:val="21"/>
    </w:rPr>
  </w:style>
  <w:style w:type="character" w:styleId="837">
    <w:name w:val="footnote reference"/>
    <w:basedOn w:val="792"/>
    <w:uiPriority w:val="99"/>
    <w:unhideWhenUsed/>
    <w:qFormat/>
    <w:rPr>
      <w:vertAlign w:val="superscript"/>
    </w:rPr>
  </w:style>
  <w:style w:type="table" w:styleId="838">
    <w:name w:val="Table Grid"/>
    <w:basedOn w:val="793"/>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39" w:customStyle="1">
    <w:name w:val="Title Char"/>
    <w:basedOn w:val="792"/>
    <w:uiPriority w:val="10"/>
    <w:qFormat/>
    <w:rPr>
      <w:sz w:val="48"/>
      <w:szCs w:val="48"/>
    </w:rPr>
  </w:style>
  <w:style w:type="character" w:styleId="840" w:customStyle="1">
    <w:name w:val="Subtitle Char"/>
    <w:basedOn w:val="792"/>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table" w:styleId="843"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793"/>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清单表 7 彩色1"/>
    <w:basedOn w:val="793"/>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2" w:customStyle="1">
    <w:name w:val="Footnote Text Char"/>
    <w:uiPriority w:val="99"/>
    <w:qFormat/>
    <w:rPr>
      <w:sz w:val="18"/>
    </w:rPr>
  </w:style>
  <w:style w:type="character" w:styleId="863" w:customStyle="1">
    <w:name w:val="Endnote Text Char"/>
    <w:uiPriority w:val="99"/>
    <w:qFormat/>
    <w:rPr>
      <w:sz w:val="20"/>
    </w:rPr>
  </w:style>
  <w:style w:type="paragraph" w:styleId="86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character" w:styleId="865" w:customStyle="1">
    <w:name w:val="Heading 1 Char"/>
    <w:basedOn w:val="792"/>
    <w:uiPriority w:val="9"/>
    <w:qFormat/>
    <w:rPr>
      <w:rFonts w:ascii="Arial" w:hAnsi="Arial" w:eastAsia="Arial" w:cs="Arial"/>
      <w:sz w:val="40"/>
      <w:szCs w:val="40"/>
    </w:rPr>
  </w:style>
  <w:style w:type="character" w:styleId="866" w:customStyle="1">
    <w:name w:val="Heading 2 Char"/>
    <w:basedOn w:val="792"/>
    <w:uiPriority w:val="9"/>
    <w:qFormat/>
    <w:rPr>
      <w:rFonts w:ascii="Arial" w:hAnsi="Arial" w:eastAsia="Arial" w:cs="Arial"/>
      <w:sz w:val="34"/>
    </w:rPr>
  </w:style>
  <w:style w:type="character" w:styleId="867" w:customStyle="1">
    <w:name w:val="Heading 3 Char"/>
    <w:basedOn w:val="792"/>
    <w:uiPriority w:val="9"/>
    <w:qFormat/>
    <w:rPr>
      <w:rFonts w:ascii="Arial" w:hAnsi="Arial" w:eastAsia="Arial" w:cs="Arial"/>
      <w:sz w:val="30"/>
      <w:szCs w:val="30"/>
    </w:rPr>
  </w:style>
  <w:style w:type="character" w:styleId="868" w:customStyle="1">
    <w:name w:val="Heading 4 Char"/>
    <w:basedOn w:val="792"/>
    <w:uiPriority w:val="9"/>
    <w:qFormat/>
    <w:rPr>
      <w:rFonts w:ascii="Arial" w:hAnsi="Arial" w:eastAsia="Arial" w:cs="Arial"/>
      <w:b/>
      <w:bCs/>
      <w:sz w:val="26"/>
      <w:szCs w:val="26"/>
    </w:rPr>
  </w:style>
  <w:style w:type="character" w:styleId="869" w:customStyle="1">
    <w:name w:val="Heading 5 Char"/>
    <w:basedOn w:val="792"/>
    <w:uiPriority w:val="9"/>
    <w:qFormat/>
    <w:rPr>
      <w:rFonts w:ascii="Arial" w:hAnsi="Arial" w:eastAsia="Arial" w:cs="Arial"/>
      <w:b/>
      <w:bCs/>
      <w:sz w:val="24"/>
      <w:szCs w:val="24"/>
    </w:rPr>
  </w:style>
  <w:style w:type="character" w:styleId="870" w:customStyle="1">
    <w:name w:val="Heading 6 Char"/>
    <w:basedOn w:val="792"/>
    <w:uiPriority w:val="9"/>
    <w:qFormat/>
    <w:rPr>
      <w:rFonts w:ascii="Arial" w:hAnsi="Arial" w:eastAsia="Arial" w:cs="Arial"/>
      <w:b/>
      <w:bCs/>
      <w:sz w:val="22"/>
      <w:szCs w:val="22"/>
    </w:rPr>
  </w:style>
  <w:style w:type="character" w:styleId="871" w:customStyle="1">
    <w:name w:val="Heading 7 Char"/>
    <w:basedOn w:val="792"/>
    <w:uiPriority w:val="9"/>
    <w:qFormat/>
    <w:rPr>
      <w:rFonts w:ascii="Arial" w:hAnsi="Arial" w:eastAsia="Arial" w:cs="Arial"/>
      <w:b/>
      <w:bCs/>
      <w:i/>
      <w:iCs/>
      <w:sz w:val="22"/>
      <w:szCs w:val="22"/>
    </w:rPr>
  </w:style>
  <w:style w:type="character" w:styleId="872" w:customStyle="1">
    <w:name w:val="Heading 8 Char"/>
    <w:basedOn w:val="792"/>
    <w:uiPriority w:val="9"/>
    <w:qFormat/>
    <w:rPr>
      <w:rFonts w:ascii="Arial" w:hAnsi="Arial" w:eastAsia="Arial" w:cs="Arial"/>
      <w:i/>
      <w:iCs/>
      <w:sz w:val="22"/>
      <w:szCs w:val="22"/>
    </w:rPr>
  </w:style>
  <w:style w:type="character" w:styleId="873" w:customStyle="1">
    <w:name w:val="Heading 9 Char"/>
    <w:basedOn w:val="792"/>
    <w:uiPriority w:val="9"/>
    <w:qFormat/>
    <w:rPr>
      <w:rFonts w:ascii="Arial" w:hAnsi="Arial" w:eastAsia="Arial" w:cs="Arial"/>
      <w:i/>
      <w:iCs/>
      <w:sz w:val="21"/>
      <w:szCs w:val="21"/>
    </w:rPr>
  </w:style>
  <w:style w:type="character" w:styleId="874" w:customStyle="1">
    <w:name w:val="标题 字符"/>
    <w:basedOn w:val="792"/>
    <w:link w:val="830"/>
    <w:uiPriority w:val="10"/>
    <w:qFormat/>
    <w:rPr>
      <w:sz w:val="48"/>
      <w:szCs w:val="48"/>
    </w:rPr>
  </w:style>
  <w:style w:type="character" w:styleId="875" w:customStyle="1">
    <w:name w:val="副标题 字符"/>
    <w:basedOn w:val="792"/>
    <w:link w:val="819"/>
    <w:uiPriority w:val="11"/>
    <w:qFormat/>
    <w:rPr>
      <w:sz w:val="24"/>
      <w:szCs w:val="24"/>
    </w:rPr>
  </w:style>
  <w:style w:type="paragraph" w:styleId="876">
    <w:name w:val="Quote"/>
    <w:basedOn w:val="782"/>
    <w:next w:val="782"/>
    <w:link w:val="877"/>
    <w:uiPriority w:val="29"/>
    <w:qFormat/>
    <w:pPr>
      <w:ind w:left="720" w:right="720"/>
    </w:pPr>
    <w:rPr>
      <w:i/>
    </w:rPr>
  </w:style>
  <w:style w:type="character" w:styleId="877" w:customStyle="1">
    <w:name w:val="引用 字符"/>
    <w:link w:val="876"/>
    <w:uiPriority w:val="29"/>
    <w:qFormat/>
    <w:rPr>
      <w:i/>
    </w:rPr>
  </w:style>
  <w:style w:type="paragraph" w:styleId="878">
    <w:name w:val="Intense Quote"/>
    <w:basedOn w:val="782"/>
    <w:next w:val="782"/>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字符"/>
    <w:link w:val="878"/>
    <w:uiPriority w:val="30"/>
    <w:qFormat/>
    <w:rPr>
      <w:i/>
    </w:rPr>
  </w:style>
  <w:style w:type="character" w:styleId="880" w:customStyle="1">
    <w:name w:val="Header Char"/>
    <w:basedOn w:val="792"/>
    <w:uiPriority w:val="99"/>
    <w:qFormat/>
  </w:style>
  <w:style w:type="character" w:styleId="881" w:customStyle="1">
    <w:name w:val="Footer Char"/>
    <w:basedOn w:val="792"/>
    <w:uiPriority w:val="99"/>
    <w:qFormat/>
  </w:style>
  <w:style w:type="character" w:styleId="882" w:customStyle="1">
    <w:name w:val="Caption Char"/>
    <w:uiPriority w:val="99"/>
    <w:qFormat/>
  </w:style>
  <w:style w:type="table" w:styleId="883"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884" w:customStyle="1">
    <w:name w:val="Grid Table 1 Light - Accent 1"/>
    <w:basedOn w:val="7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Layout w:type="fixed"/>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Layout w:type="fixed"/>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 Accent 1"/>
    <w:basedOn w:val="7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Layout w:type="fixed"/>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1" w:customStyle="1">
    <w:name w:val="Grid Table 2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2" w:customStyle="1">
    <w:name w:val="Grid Table 2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3" w:customStyle="1">
    <w:name w:val="Grid Table 2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4" w:customStyle="1">
    <w:name w:val="Grid Table 2 - Accent 5"/>
    <w:basedOn w:val="793"/>
    <w:uiPriority w:val="99"/>
    <w:qFormat/>
    <w:tblPr>
      <w:tblBorders>
        <w:bottom w:val="single" w:color="5B9BD5" w:themeColor="accent5" w:sz="4" w:space="0"/>
        <w:insideH w:val="single" w:color="5B9BD5" w:themeColor="accent5" w:sz="4" w:space="0"/>
        <w:insideV w:val="single" w:color="5B9BD5" w:themeColor="accent5" w:sz="4" w:space="0"/>
      </w:tblBorders>
      <w:tblLayout w:type="fixed"/>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5" w:customStyle="1">
    <w:name w:val="Grid Table 2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Grid Table 3 - Accent 1"/>
    <w:basedOn w:val="79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Layout w:type="fixed"/>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79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79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79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793"/>
    <w:uiPriority w:val="99"/>
    <w:qFormat/>
    <w:tblPr>
      <w:tblBorders>
        <w:bottom w:val="single" w:color="5B9BD5" w:themeColor="accent5" w:sz="4" w:space="0"/>
        <w:insideH w:val="single" w:color="5B9BD5" w:themeColor="accent5" w:sz="4" w:space="0"/>
        <w:insideV w:val="single" w:color="5B9BD5" w:themeColor="accent5" w:sz="4" w:space="0"/>
      </w:tblBorders>
      <w:tblLayout w:type="fixed"/>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793"/>
    <w:uiPriority w:val="99"/>
    <w:qFormat/>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 Accent 1"/>
    <w:basedOn w:val="79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Layout w:type="fixed"/>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3" w:customStyle="1">
    <w:name w:val="Grid Table 4 - Accent 2"/>
    <w:basedOn w:val="79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4" w:customStyle="1">
    <w:name w:val="Grid Table 4 - Accent 3"/>
    <w:basedOn w:val="79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5" w:customStyle="1">
    <w:name w:val="Grid Table 4 - Accent 4"/>
    <w:basedOn w:val="79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6" w:customStyle="1">
    <w:name w:val="Grid Table 4 - Accent 5"/>
    <w:basedOn w:val="79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Layout w:type="fixed"/>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7" w:customStyle="1">
    <w:name w:val="Grid Table 4 - Accent 6"/>
    <w:basedOn w:val="79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8"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9"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0"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1"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2"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3"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4" w:customStyle="1">
    <w:name w:val="Grid Table 6 Colorful - Accent 1"/>
    <w:basedOn w:val="79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Layout w:type="fixed"/>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b/>
        <w:color w:val="a1b9e2" w:themeColor="accent1" w:themeTint="80"/>
        <w14:textFill>
          <w14:solidFill>
            <w14:schemeClr w14:val="accent1">
              <w14:lumMod w14:val="50000"/>
              <w14:lumOff w14:val="50000"/>
            </w14:schemeClr>
          </w14:solidFill>
        </w14:textFill>
      </w:rPr>
    </w:tblStylePr>
    <w:tblStylePr w:type="firstRow">
      <w:rPr>
        <w:b/>
        <w:color w:val="a1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1b9e2" w:themeColor="accent1" w:themeTint="80"/>
        <w14:textFill>
          <w14:solidFill>
            <w14:schemeClr w14:val="accent1">
              <w14:lumMod w14:val="50000"/>
              <w14:lumOff w14:val="50000"/>
            </w14:schemeClr>
          </w14:solidFill>
        </w14:textFill>
      </w:rPr>
    </w:tblStylePr>
    <w:tblStylePr w:type="lastRow">
      <w:rPr>
        <w:b/>
        <w:color w:val="a1b9e2"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79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7" w:customStyle="1">
    <w:name w:val="Grid Table 6 Colorful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79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Layout w:type="fixed"/>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9" w:customStyle="1">
    <w:name w:val="Grid Table 6 Colorful - Accent 6"/>
    <w:basedOn w:val="79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0" w:customStyle="1">
    <w:name w:val="Grid Table 7 Colorful - Accent 1"/>
    <w:basedOn w:val="79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Layout w:type="fixed"/>
    </w:tblPr>
    <w:tblStylePr w:type="band1Horz">
      <w:rPr>
        <w:rFonts w:ascii="Arial" w:hAnsi="Arial"/>
        <w:color w:val="a1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9e2" w:themeColor="accent1" w:themeTint="80"/>
        <w:sz w:val="22"/>
        <w14:textFill>
          <w14:solidFill>
            <w14:schemeClr w14:val="accent1">
              <w14:lumMod w14:val="50000"/>
              <w14:lumOff w14:val="50000"/>
            </w14:schemeClr>
          </w14:solidFill>
        </w14:textFill>
      </w:rPr>
    </w:tblStylePr>
    <w:tblStylePr w:type="firstCol">
      <w:rPr>
        <w:rFonts w:ascii="Arial" w:hAnsi="Arial"/>
        <w:i/>
        <w:color w:val="a1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9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9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9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9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Layout w:type="fixed"/>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9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 Accent 1"/>
    <w:basedOn w:val="79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9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9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9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9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9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List Table 2 - Accent 1"/>
    <w:basedOn w:val="79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Layout w:type="fixed"/>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3" w:customStyle="1">
    <w:name w:val="List Table 2 - Accent 2"/>
    <w:basedOn w:val="79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4" w:customStyle="1">
    <w:name w:val="List Table 2 - Accent 3"/>
    <w:basedOn w:val="79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5" w:customStyle="1">
    <w:name w:val="List Table 2 - Accent 4"/>
    <w:basedOn w:val="79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6" w:customStyle="1">
    <w:name w:val="List Table 2 - Accent 5"/>
    <w:basedOn w:val="79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Layout w:type="fixed"/>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7" w:customStyle="1">
    <w:name w:val="List Table 2 - Accent 6"/>
    <w:basedOn w:val="79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8" w:customStyle="1">
    <w:name w:val="List Table 3 - Accent 1"/>
    <w:basedOn w:val="79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Layout w:type="fixed"/>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9" w:customStyle="1">
    <w:name w:val="List Table 3 - Accent 2"/>
    <w:basedOn w:val="79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9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9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9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Layout w:type="fixed"/>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9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4" w:customStyle="1">
    <w:name w:val="List Table 4 - Accent 1"/>
    <w:basedOn w:val="79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Layout w:type="fixed"/>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5" w:customStyle="1">
    <w:name w:val="List Table 4 - Accent 2"/>
    <w:basedOn w:val="79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6" w:customStyle="1">
    <w:name w:val="List Table 4 - Accent 3"/>
    <w:basedOn w:val="79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7" w:customStyle="1">
    <w:name w:val="List Table 4 - Accent 4"/>
    <w:basedOn w:val="79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8" w:customStyle="1">
    <w:name w:val="List Table 4 - Accent 5"/>
    <w:basedOn w:val="79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Layout w:type="fixed"/>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9" w:customStyle="1">
    <w:name w:val="List Table 4 - Accent 6"/>
    <w:basedOn w:val="79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0" w:customStyle="1">
    <w:name w:val="List Table 5 Dark - Accent 1"/>
    <w:basedOn w:val="79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Layout w:type="fixed"/>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79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79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79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79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Layout w:type="fixed"/>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79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 Accent 1"/>
    <w:basedOn w:val="793"/>
    <w:uiPriority w:val="99"/>
    <w:qFormat/>
    <w:tblPr>
      <w:tblBorders>
        <w:top w:val="single" w:color="4472C4" w:themeColor="accent1" w:sz="4" w:space="0"/>
        <w:bottom w:val="single" w:color="4472C4" w:themeColor="accent1" w:sz="4" w:space="0"/>
      </w:tblBorders>
      <w:tblLayout w:type="fixed"/>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7" w:customStyle="1">
    <w:name w:val="List Table 6 Colorful - Accent 2"/>
    <w:basedOn w:val="793"/>
    <w:uiPriority w:val="99"/>
    <w:qFormat/>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8" w:customStyle="1">
    <w:name w:val="List Table 6 Colorful - Accent 3"/>
    <w:basedOn w:val="793"/>
    <w:uiPriority w:val="99"/>
    <w:qFormat/>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9" w:customStyle="1">
    <w:name w:val="List Table 6 Colorful - Accent 4"/>
    <w:basedOn w:val="793"/>
    <w:uiPriority w:val="99"/>
    <w:qFormat/>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0" w:customStyle="1">
    <w:name w:val="List Table 6 Colorful - Accent 5"/>
    <w:basedOn w:val="793"/>
    <w:uiPriority w:val="99"/>
    <w:qFormat/>
    <w:tblPr>
      <w:tblBorders>
        <w:top w:val="single" w:color="9BC2E5" w:themeColor="accent5" w:themeTint="9A" w:sz="4" w:space="0"/>
        <w:bottom w:val="single" w:color="9BC2E5" w:themeColor="accent5" w:themeTint="9A" w:sz="4" w:space="0"/>
      </w:tblBorders>
      <w:tblLayout w:type="fixed"/>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1" w:customStyle="1">
    <w:name w:val="List Table 6 Colorful - Accent 6"/>
    <w:basedOn w:val="793"/>
    <w:uiPriority w:val="99"/>
    <w:qFormat/>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2" w:customStyle="1">
    <w:name w:val="List Table 7 Colorful - Accent 1"/>
    <w:basedOn w:val="793"/>
    <w:uiPriority w:val="99"/>
    <w:qFormat/>
    <w:tblPr>
      <w:tblBorders>
        <w:right w:val="single" w:color="4472C4" w:themeColor="accent1" w:sz="4" w:space="0"/>
      </w:tblBorders>
      <w:tblLayout w:type="fixed"/>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793"/>
    <w:uiPriority w:val="99"/>
    <w:qFormat/>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793"/>
    <w:uiPriority w:val="99"/>
    <w:qFormat/>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793"/>
    <w:uiPriority w:val="99"/>
    <w:qFormat/>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793"/>
    <w:uiPriority w:val="99"/>
    <w:qFormat/>
    <w:tblPr>
      <w:tblBorders>
        <w:right w:val="single" w:color="9BC2E5" w:themeColor="accent5" w:themeTint="9A" w:sz="4" w:space="0"/>
      </w:tblBorders>
      <w:tblLayout w:type="fixed"/>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793"/>
    <w:uiPriority w:val="99"/>
    <w:qFormat/>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0"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4"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79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7" w:customStyle="1">
    <w:name w:val="Bordered &amp; Lined - Accent 2"/>
    <w:basedOn w:val="79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Bordered &amp; Lined - Accent 3"/>
    <w:basedOn w:val="79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Bordered &amp; Lined - Accent 4"/>
    <w:basedOn w:val="79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Bordered &amp; Lined - Accent 5"/>
    <w:basedOn w:val="79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1" w:customStyle="1">
    <w:name w:val="Bordered &amp; Lined - Accent 6"/>
    <w:basedOn w:val="79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79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Layout w:type="fixed"/>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4" w:customStyle="1">
    <w:name w:val="Bordered - Accent 2"/>
    <w:basedOn w:val="79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5" w:customStyle="1">
    <w:name w:val="Bordered - Accent 3"/>
    <w:basedOn w:val="79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6" w:customStyle="1">
    <w:name w:val="Bordered - Accent 4"/>
    <w:basedOn w:val="79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7" w:customStyle="1">
    <w:name w:val="Bordered - Accent 5"/>
    <w:basedOn w:val="79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Layout w:type="fixed"/>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8" w:customStyle="1">
    <w:name w:val="Bordered - Accent 6"/>
    <w:basedOn w:val="79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9" w:customStyle="1">
    <w:name w:val="脚注文本 字符"/>
    <w:link w:val="821"/>
    <w:uiPriority w:val="99"/>
    <w:qFormat/>
    <w:rPr>
      <w:sz w:val="18"/>
    </w:rPr>
  </w:style>
  <w:style w:type="character" w:styleId="990" w:customStyle="1">
    <w:name w:val="尾注文本 字符"/>
    <w:link w:val="812"/>
    <w:uiPriority w:val="99"/>
    <w:qFormat/>
    <w:rPr>
      <w:sz w:val="20"/>
    </w:rPr>
  </w:style>
  <w:style w:type="paragraph" w:styleId="991" w:customStyle="1">
    <w:name w:val="TOC 标题11"/>
    <w:uiPriority w:val="39"/>
    <w:unhideWhenUsed/>
    <w:qFormat/>
    <w:pPr>
      <w:spacing w:after="160" w:line="278" w:lineRule="auto"/>
    </w:pPr>
    <w:rPr>
      <w:rFonts w:ascii="Calibri" w:hAnsi="Calibri" w:eastAsia="宋体" w:cs="Times New Roman"/>
      <w:lang w:val="en-US" w:eastAsia="zh-CN" w:bidi="ar-SA"/>
    </w:rPr>
  </w:style>
  <w:style w:type="character" w:styleId="992" w:customStyle="1">
    <w:name w:val="标题 1 字符"/>
    <w:link w:val="783"/>
    <w:uiPriority w:val="0"/>
    <w:qFormat/>
    <w:rPr>
      <w:rFonts w:ascii="楷体_GB2312" w:hAnsi="Times New Roman" w:eastAsia="楷体_GB2312" w:cs="Times New Roman"/>
      <w:sz w:val="28"/>
      <w:szCs w:val="28"/>
    </w:rPr>
  </w:style>
  <w:style w:type="character" w:styleId="993" w:customStyle="1">
    <w:name w:val="标题 2 字符"/>
    <w:link w:val="784"/>
    <w:uiPriority w:val="0"/>
    <w:qFormat/>
    <w:rPr>
      <w:rFonts w:ascii="Arial" w:hAnsi="Arial" w:eastAsia="幼圆" w:cs="Arial"/>
      <w:b/>
      <w:bCs/>
      <w:sz w:val="44"/>
      <w:szCs w:val="44"/>
    </w:rPr>
  </w:style>
  <w:style w:type="character" w:styleId="994" w:customStyle="1">
    <w:name w:val="正文缩进 字符"/>
    <w:link w:val="794"/>
    <w:uiPriority w:val="0"/>
    <w:qFormat/>
    <w:rPr>
      <w:rFonts w:ascii="Times New Roman" w:hAnsi="Times New Roman" w:eastAsia="宋体" w:cs="Times New Roman"/>
      <w:szCs w:val="21"/>
    </w:rPr>
  </w:style>
  <w:style w:type="character" w:styleId="995" w:customStyle="1">
    <w:name w:val="标题 3 字符"/>
    <w:link w:val="785"/>
    <w:uiPriority w:val="0"/>
    <w:qFormat/>
    <w:rPr>
      <w:rFonts w:ascii="Times New Roman" w:hAnsi="Times New Roman" w:eastAsia="宋体" w:cs="Times New Roman"/>
      <w:b/>
      <w:bCs/>
      <w:sz w:val="32"/>
      <w:szCs w:val="32"/>
    </w:rPr>
  </w:style>
  <w:style w:type="character" w:styleId="996" w:customStyle="1">
    <w:name w:val="标题 4 字符"/>
    <w:link w:val="786"/>
    <w:uiPriority w:val="0"/>
    <w:qFormat/>
    <w:rPr>
      <w:rFonts w:ascii="Arial" w:hAnsi="Arial" w:eastAsia="黑体" w:cs="Arial"/>
      <w:b/>
      <w:bCs/>
      <w:sz w:val="28"/>
      <w:szCs w:val="28"/>
    </w:rPr>
  </w:style>
  <w:style w:type="character" w:styleId="997" w:customStyle="1">
    <w:name w:val="标题 5 字符"/>
    <w:link w:val="787"/>
    <w:uiPriority w:val="0"/>
    <w:qFormat/>
    <w:rPr>
      <w:rFonts w:ascii="宋体" w:hAnsi="Times New Roman" w:eastAsia="宋体" w:cs="Times New Roman"/>
      <w:color w:val="000000"/>
      <w:sz w:val="28"/>
      <w:szCs w:val="28"/>
    </w:rPr>
  </w:style>
  <w:style w:type="character" w:styleId="998" w:customStyle="1">
    <w:name w:val="标题 6 字符"/>
    <w:link w:val="788"/>
    <w:uiPriority w:val="0"/>
    <w:qFormat/>
    <w:rPr>
      <w:rFonts w:ascii="Arial" w:hAnsi="Arial" w:eastAsia="黑体" w:cs="Times New Roman"/>
      <w:b/>
      <w:bCs/>
      <w:sz w:val="24"/>
      <w:szCs w:val="24"/>
    </w:rPr>
  </w:style>
  <w:style w:type="character" w:styleId="999" w:customStyle="1">
    <w:name w:val="标题 7 字符"/>
    <w:link w:val="789"/>
    <w:uiPriority w:val="0"/>
    <w:qFormat/>
    <w:rPr>
      <w:rFonts w:ascii="Times New Roman" w:hAnsi="Times New Roman" w:eastAsia="宋体" w:cs="Times New Roman"/>
      <w:b/>
      <w:bCs/>
      <w:sz w:val="24"/>
      <w:szCs w:val="24"/>
    </w:rPr>
  </w:style>
  <w:style w:type="character" w:styleId="1000" w:customStyle="1">
    <w:name w:val="标题 8 字符"/>
    <w:link w:val="790"/>
    <w:uiPriority w:val="0"/>
    <w:qFormat/>
    <w:rPr>
      <w:rFonts w:ascii="Arial" w:hAnsi="Arial" w:eastAsia="黑体" w:cs="Times New Roman"/>
      <w:sz w:val="24"/>
      <w:szCs w:val="24"/>
    </w:rPr>
  </w:style>
  <w:style w:type="character" w:styleId="1001" w:customStyle="1">
    <w:name w:val="标题 9 字符"/>
    <w:link w:val="791"/>
    <w:uiPriority w:val="0"/>
    <w:qFormat/>
    <w:rPr>
      <w:rFonts w:ascii="Arial" w:hAnsi="Arial" w:eastAsia="黑体" w:cs="Times New Roman"/>
      <w:szCs w:val="21"/>
    </w:rPr>
  </w:style>
  <w:style w:type="character" w:styleId="1002" w:customStyle="1">
    <w:name w:val="文档结构图 字符"/>
    <w:link w:val="801"/>
    <w:uiPriority w:val="0"/>
    <w:semiHidden/>
    <w:qFormat/>
    <w:rPr>
      <w:rFonts w:ascii="Times New Roman" w:hAnsi="Times New Roman" w:eastAsia="宋体" w:cs="Times New Roman"/>
      <w:szCs w:val="21"/>
      <w:shd w:val="clear" w:color="auto" w:fill="000080"/>
    </w:rPr>
  </w:style>
  <w:style w:type="character" w:styleId="1003" w:customStyle="1">
    <w:name w:val="批注文字 字符"/>
    <w:link w:val="797"/>
    <w:uiPriority w:val="0"/>
    <w:qFormat/>
    <w:rPr>
      <w:rFonts w:ascii="Times New Roman" w:hAnsi="Times New Roman" w:eastAsia="宋体" w:cs="Times New Roman"/>
      <w:szCs w:val="21"/>
    </w:rPr>
  </w:style>
  <w:style w:type="character" w:styleId="1004" w:customStyle="1">
    <w:name w:val="正文文本 3 字符"/>
    <w:link w:val="802"/>
    <w:uiPriority w:val="0"/>
    <w:qFormat/>
    <w:rPr>
      <w:rFonts w:ascii="仿宋_GB2312" w:hAnsi="Arial" w:eastAsia="仿宋_GB2312" w:cs="Times New Roman"/>
      <w:sz w:val="32"/>
      <w:szCs w:val="32"/>
    </w:rPr>
  </w:style>
  <w:style w:type="character" w:styleId="1005" w:customStyle="1">
    <w:name w:val="正文文本 字符"/>
    <w:link w:val="803"/>
    <w:uiPriority w:val="0"/>
    <w:qFormat/>
    <w:rPr>
      <w:rFonts w:ascii="楷体_GB2312" w:hAnsi="Arial" w:eastAsia="楷体_GB2312" w:cs="Times New Roman"/>
      <w:sz w:val="28"/>
      <w:szCs w:val="28"/>
    </w:rPr>
  </w:style>
  <w:style w:type="character" w:styleId="1006" w:customStyle="1">
    <w:name w:val="正文文本缩进 字符"/>
    <w:link w:val="804"/>
    <w:uiPriority w:val="0"/>
    <w:qFormat/>
    <w:rPr>
      <w:rFonts w:ascii="楷体_GB2312" w:hAnsi="Times New Roman" w:eastAsia="楷体_GB2312" w:cs="Times New Roman"/>
      <w:sz w:val="32"/>
      <w:szCs w:val="32"/>
    </w:rPr>
  </w:style>
  <w:style w:type="character" w:styleId="1007" w:customStyle="1">
    <w:name w:val="纯文本 字符"/>
    <w:link w:val="808"/>
    <w:uiPriority w:val="0"/>
    <w:qFormat/>
    <w:rPr>
      <w:rFonts w:ascii="宋体" w:hAnsi="Courier New" w:eastAsia="宋体" w:cs="Courier New"/>
      <w:szCs w:val="21"/>
    </w:rPr>
  </w:style>
  <w:style w:type="character" w:styleId="1008" w:customStyle="1">
    <w:name w:val="日期 字符"/>
    <w:link w:val="810"/>
    <w:uiPriority w:val="0"/>
    <w:qFormat/>
    <w:rPr>
      <w:rFonts w:ascii="Times New Roman" w:hAnsi="Times New Roman" w:eastAsia="宋体" w:cs="Times New Roman"/>
      <w:sz w:val="24"/>
      <w:szCs w:val="24"/>
    </w:rPr>
  </w:style>
  <w:style w:type="character" w:styleId="1009" w:customStyle="1">
    <w:name w:val="正文文本缩进 2 字符"/>
    <w:link w:val="811"/>
    <w:uiPriority w:val="0"/>
    <w:qFormat/>
    <w:rPr>
      <w:rFonts w:ascii="Arial" w:hAnsi="Arial" w:eastAsia="仿宋_GB2312" w:cs="Arial"/>
      <w:sz w:val="32"/>
      <w:szCs w:val="32"/>
    </w:rPr>
  </w:style>
  <w:style w:type="character" w:styleId="1010" w:customStyle="1">
    <w:name w:val="批注框文本 字符"/>
    <w:link w:val="813"/>
    <w:uiPriority w:val="0"/>
    <w:semiHidden/>
    <w:qFormat/>
    <w:rPr>
      <w:rFonts w:ascii="Times New Roman" w:hAnsi="Times New Roman" w:eastAsia="宋体" w:cs="Times New Roman"/>
      <w:sz w:val="18"/>
      <w:szCs w:val="18"/>
    </w:rPr>
  </w:style>
  <w:style w:type="character" w:styleId="1011" w:customStyle="1">
    <w:name w:val="页脚 字符"/>
    <w:link w:val="814"/>
    <w:uiPriority w:val="99"/>
    <w:qFormat/>
    <w:rPr>
      <w:rFonts w:ascii="Times New Roman" w:hAnsi="Times New Roman" w:eastAsia="宋体" w:cs="Times New Roman"/>
      <w:sz w:val="18"/>
      <w:szCs w:val="18"/>
    </w:rPr>
  </w:style>
  <w:style w:type="character" w:styleId="1012" w:customStyle="1">
    <w:name w:val="页眉 字符"/>
    <w:link w:val="816"/>
    <w:uiPriority w:val="0"/>
    <w:qFormat/>
    <w:rPr>
      <w:rFonts w:ascii="Times New Roman" w:hAnsi="Times New Roman" w:eastAsia="宋体" w:cs="Times New Roman"/>
      <w:sz w:val="18"/>
      <w:szCs w:val="18"/>
    </w:rPr>
  </w:style>
  <w:style w:type="character" w:styleId="1013" w:customStyle="1">
    <w:name w:val="正文文本缩进 3 字符"/>
    <w:link w:val="823"/>
    <w:uiPriority w:val="0"/>
    <w:qFormat/>
    <w:rPr>
      <w:rFonts w:ascii="Arial" w:hAnsi="Arial" w:eastAsia="仿宋_GB2312" w:cs="Arial"/>
      <w:color w:val="ffff00"/>
      <w:sz w:val="32"/>
      <w:szCs w:val="32"/>
    </w:rPr>
  </w:style>
  <w:style w:type="character" w:styleId="1014" w:customStyle="1">
    <w:name w:val="正文文本 2 字符"/>
    <w:link w:val="827"/>
    <w:uiPriority w:val="0"/>
    <w:qFormat/>
    <w:rPr>
      <w:rFonts w:ascii="楷体_GB2312" w:hAnsi="Times New Roman" w:eastAsia="楷体_GB2312" w:cs="Times New Roman"/>
      <w:sz w:val="28"/>
      <w:szCs w:val="28"/>
    </w:rPr>
  </w:style>
  <w:style w:type="character" w:styleId="1015" w:customStyle="1">
    <w:name w:val="批注主题 字符"/>
    <w:link w:val="796"/>
    <w:uiPriority w:val="0"/>
    <w:semiHidden/>
    <w:qFormat/>
    <w:rPr>
      <w:rFonts w:ascii="Times New Roman" w:hAnsi="Times New Roman" w:eastAsia="宋体" w:cs="Times New Roman"/>
      <w:b/>
      <w:bCs/>
      <w:szCs w:val="21"/>
    </w:rPr>
  </w:style>
  <w:style w:type="character" w:styleId="1016" w:customStyle="1">
    <w:name w:val="正文文本首行缩进 字符"/>
    <w:link w:val="799"/>
    <w:uiPriority w:val="0"/>
    <w:qFormat/>
    <w:rPr>
      <w:rFonts w:ascii="仿宋_GB2312" w:hAnsi="Times New Roman" w:eastAsia="仿宋_GB2312" w:cs="Times New Roman"/>
      <w:sz w:val="30"/>
      <w:szCs w:val="30"/>
    </w:rPr>
  </w:style>
  <w:style w:type="character" w:styleId="1017" w:customStyle="1">
    <w:name w:val="正文文本首行缩进 2 字符"/>
    <w:link w:val="815"/>
    <w:uiPriority w:val="0"/>
    <w:qFormat/>
    <w:rPr>
      <w:rFonts w:ascii="宋体" w:hAnsi="宋体" w:eastAsia="宋体" w:cs="Times New Roman"/>
      <w:sz w:val="32"/>
      <w:szCs w:val="20"/>
    </w:rPr>
  </w:style>
  <w:style w:type="character" w:styleId="1018" w:customStyle="1">
    <w:name w:val="font5 Char"/>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rPr>
  </w:style>
  <w:style w:type="paragraph" w:styleId="1020" w:customStyle="1">
    <w:name w:val="二级目录"/>
    <w:next w:val="782"/>
    <w:link w:val="1019"/>
    <w:uiPriority w:val="0"/>
    <w:qFormat/>
    <w:pPr>
      <w:numPr>
        <w:ilvl w:val="0"/>
        <w:numId w:val="2"/>
      </w:numPr>
      <w:spacing w:after="160" w:line="278" w:lineRule="auto"/>
      <w:tabs>
        <w:tab w:val="left" w:pos="1145" w:leader="none"/>
      </w:tabs>
      <w:outlineLvl w:val="1"/>
    </w:pPr>
    <w:rPr>
      <w:rFonts w:ascii="Calibri" w:hAnsi="Calibri"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82"/>
    <w:link w:val="1021"/>
    <w:uiPriority w:val="0"/>
    <w:qFormat/>
    <w:pPr>
      <w:contextualSpacing/>
      <w:ind w:left="720"/>
      <w:jc w:val="left"/>
      <w:widowControl/>
    </w:pPr>
    <w:rPr>
      <w:rFonts w:ascii="Calibri" w:hAnsi="Calibri"/>
      <w:sz w:val="24"/>
      <w:szCs w:val="24"/>
      <w:lang w:eastAsia="en-US" w:bidi="en-US"/>
    </w:rPr>
  </w:style>
  <w:style w:type="paragraph" w:styleId="1023" w:customStyle="1">
    <w:name w:val="Body Text(ch)"/>
    <w:basedOn w:val="782"/>
    <w:next w:val="803"/>
    <w:uiPriority w:val="0"/>
    <w:qFormat/>
    <w:pPr>
      <w:spacing w:after="120"/>
    </w:pPr>
    <w:rPr>
      <w:rFonts w:ascii="宋体" w:hAnsi="Arial"/>
      <w:bCs/>
      <w:iCs/>
      <w:szCs w:val="24"/>
    </w:rPr>
  </w:style>
  <w:style w:type="paragraph" w:styleId="1024" w:customStyle="1">
    <w:name w:val="xl27"/>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5" w:customStyle="1">
    <w:name w:val="xl2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6" w:customStyle="1">
    <w:name w:val="Char"/>
    <w:basedOn w:val="782"/>
    <w:uiPriority w:val="0"/>
    <w:qFormat/>
    <w:pPr>
      <w:ind w:firstLine="200"/>
      <w:tabs>
        <w:tab w:val="left" w:pos="360" w:leader="none"/>
      </w:tabs>
    </w:pPr>
    <w:rPr>
      <w:sz w:val="28"/>
      <w:szCs w:val="30"/>
    </w:rPr>
  </w:style>
  <w:style w:type="paragraph" w:styleId="1027" w:customStyle="1">
    <w:name w:val="Char1"/>
    <w:basedOn w:val="801"/>
    <w:uiPriority w:val="0"/>
    <w:qFormat/>
    <w:rPr>
      <w:rFonts w:ascii="Tahoma" w:hAnsi="Tahoma"/>
      <w:sz w:val="24"/>
      <w:szCs w:val="24"/>
    </w:rPr>
  </w:style>
  <w:style w:type="paragraph" w:styleId="1028"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82"/>
    <w:uiPriority w:val="0"/>
    <w:qFormat/>
    <w:pPr>
      <w:jc w:val="left"/>
      <w:widowControl/>
    </w:pPr>
    <w:rPr>
      <w:sz w:val="20"/>
      <w:szCs w:val="20"/>
      <w:lang w:val="de-DE" w:eastAsia="de-DE"/>
    </w:rPr>
  </w:style>
  <w:style w:type="paragraph" w:styleId="1030"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031"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Char Char Char Char"/>
    <w:basedOn w:val="801"/>
    <w:uiPriority w:val="0"/>
    <w:qFormat/>
    <w:pPr>
      <w:spacing w:line="360" w:lineRule="auto"/>
    </w:pPr>
    <w:rPr>
      <w:rFonts w:ascii="Tahoma" w:hAnsi="Tahoma"/>
      <w:sz w:val="24"/>
      <w:szCs w:val="24"/>
    </w:rPr>
  </w:style>
  <w:style w:type="paragraph" w:styleId="1033">
    <w:name w:val="List Paragraph"/>
    <w:basedOn w:val="782"/>
    <w:link w:val="1034"/>
    <w:uiPriority w:val="34"/>
    <w:qFormat/>
    <w:pPr>
      <w:contextualSpacing/>
      <w:ind w:left="720"/>
      <w:jc w:val="left"/>
      <w:widowControl/>
    </w:pPr>
    <w:rPr>
      <w:rFonts w:ascii="Calibri" w:hAnsi="Calibri"/>
      <w:sz w:val="24"/>
      <w:szCs w:val="24"/>
      <w:lang w:eastAsia="en-US" w:bidi="en-US"/>
    </w:rPr>
  </w:style>
  <w:style w:type="character" w:styleId="1034" w:customStyle="1">
    <w:name w:val="列表段落 字符"/>
    <w:link w:val="1033"/>
    <w:uiPriority w:val="34"/>
    <w:qFormat/>
    <w:rPr>
      <w:sz w:val="24"/>
      <w:szCs w:val="24"/>
      <w:lang w:eastAsia="en-US" w:bidi="en-US"/>
    </w:rPr>
  </w:style>
  <w:style w:type="paragraph" w:styleId="1035" w:customStyle="1">
    <w:name w:val="4"/>
    <w:basedOn w:val="782"/>
    <w:next w:val="823"/>
    <w:uiPriority w:val="0"/>
    <w:qFormat/>
    <w:pPr>
      <w:ind w:firstLine="420"/>
      <w:spacing w:line="360" w:lineRule="auto"/>
    </w:pPr>
    <w:rPr>
      <w:color w:val="ff0000"/>
      <w:sz w:val="24"/>
      <w:szCs w:val="24"/>
    </w:rPr>
  </w:style>
  <w:style w:type="paragraph" w:styleId="1036"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037" w:customStyle="1">
    <w:name w:val="Char Char Char Char Char Char Char Char Char Char"/>
    <w:basedOn w:val="782"/>
    <w:uiPriority w:val="0"/>
    <w:qFormat/>
    <w:pPr>
      <w:spacing w:line="360" w:lineRule="auto"/>
    </w:pPr>
    <w:rPr>
      <w:sz w:val="24"/>
      <w:szCs w:val="20"/>
    </w:rPr>
  </w:style>
  <w:style w:type="paragraph" w:styleId="1038" w:customStyle="1">
    <w:name w:val="样式1"/>
    <w:basedOn w:val="782"/>
    <w:uiPriority w:val="0"/>
    <w:qFormat/>
    <w:pPr>
      <w:numPr>
        <w:ilvl w:val="0"/>
        <w:numId w:val="3"/>
      </w:numPr>
    </w:pPr>
    <w:rPr>
      <w:rFonts w:ascii="宋体" w:hAnsi="宋体"/>
    </w:rPr>
  </w:style>
  <w:style w:type="paragraph" w:styleId="1039"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040"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标题3"/>
    <w:basedOn w:val="782"/>
    <w:next w:val="782"/>
    <w:uiPriority w:val="0"/>
    <w:qFormat/>
    <w:pPr>
      <w:ind w:firstLine="624"/>
      <w:spacing w:line="590" w:lineRule="atLeast"/>
    </w:pPr>
    <w:rPr>
      <w:rFonts w:ascii="方正黑体_GBK" w:eastAsia="方正黑体_GBK"/>
      <w:sz w:val="32"/>
      <w:szCs w:val="32"/>
    </w:rPr>
  </w:style>
  <w:style w:type="paragraph" w:styleId="1043" w:customStyle="1">
    <w:name w:val="xl24"/>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4" w:customStyle="1">
    <w:name w:val="xl29"/>
    <w:basedOn w:val="78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5" w:customStyle="1">
    <w:name w:val="Char Char Char Char Char Char Char Char"/>
    <w:basedOn w:val="782"/>
    <w:uiPriority w:val="0"/>
    <w:qFormat/>
    <w:pPr>
      <w:jc w:val="left"/>
      <w:spacing w:line="240" w:lineRule="exact"/>
      <w:widowControl/>
    </w:pPr>
    <w:rPr>
      <w:rFonts w:ascii="Verdana" w:hAnsi="Verdana"/>
      <w:sz w:val="20"/>
      <w:szCs w:val="20"/>
      <w:lang w:eastAsia="en-US"/>
    </w:rPr>
  </w:style>
  <w:style w:type="paragraph" w:styleId="1046" w:customStyle="1">
    <w:name w:val="xl28"/>
    <w:basedOn w:val="7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47" w:customStyle="1">
    <w:name w:val="Char Char Char Char Char Char Char Char1"/>
    <w:basedOn w:val="782"/>
    <w:uiPriority w:val="0"/>
    <w:qFormat/>
    <w:pPr>
      <w:jc w:val="left"/>
      <w:spacing w:line="240" w:lineRule="exact"/>
      <w:widowControl/>
    </w:pPr>
    <w:rPr>
      <w:rFonts w:ascii="Verdana" w:hAnsi="Verdana"/>
      <w:sz w:val="20"/>
      <w:szCs w:val="20"/>
      <w:lang w:eastAsia="en-US"/>
    </w:rPr>
  </w:style>
  <w:style w:type="paragraph" w:styleId="1048"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049" w:customStyle="1">
    <w:name w:val="Char Char Char Char1"/>
    <w:basedOn w:val="801"/>
    <w:uiPriority w:val="0"/>
    <w:qFormat/>
    <w:pPr>
      <w:spacing w:line="360" w:lineRule="auto"/>
    </w:pPr>
    <w:rPr>
      <w:rFonts w:ascii="Tahoma" w:hAnsi="Tahoma"/>
      <w:sz w:val="24"/>
      <w:szCs w:val="24"/>
    </w:rPr>
  </w:style>
  <w:style w:type="paragraph" w:styleId="1050" w:customStyle="1">
    <w:name w:val="table_1stline"/>
    <w:basedOn w:val="782"/>
    <w:uiPriority w:val="0"/>
    <w:qFormat/>
    <w:pPr>
      <w:jc w:val="left"/>
      <w:spacing w:before="120"/>
      <w:widowControl/>
    </w:pPr>
    <w:rPr>
      <w:bCs/>
      <w:sz w:val="20"/>
      <w:szCs w:val="20"/>
      <w:lang w:val="de-DE" w:eastAsia="de-DE"/>
    </w:rPr>
  </w:style>
  <w:style w:type="paragraph" w:styleId="1051"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052" w:customStyle="1">
    <w:name w:val="标题1"/>
    <w:basedOn w:val="782"/>
    <w:next w:val="7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054">
    <w:name w:val="No Spacing"/>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常州市政府采购中心</Company>
  <DocSecurity>0</DocSecurity>
  <LinksUpToDate>false</LinksUpToDate>
  <Manager>姚仲宇</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卢先生</cp:lastModifiedBy>
  <cp:revision>10</cp:revision>
  <dcterms:created xsi:type="dcterms:W3CDTF">2026-06-01T01:37:00Z</dcterms:created>
  <dcterms:modified xsi:type="dcterms:W3CDTF">2026-07-06T02:17:21Z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y fmtid="{D5CDD505-2E9C-101B-9397-08002B2CF9AE}" pid="3" name="ICV">
    <vt:lpwstr>28C1C5CA6E014F29B6324CAC4AEF22BF_13</vt:lpwstr>
  </property>
  <property fmtid="{D5CDD505-2E9C-101B-9397-08002B2CF9AE}" pid="4" name="KSOTemplateDocerSaveRecord">
    <vt:lpwstr>eyJoZGlkIjoiMjIyMGYzYzZhZjMxNGQzMzU1ZGQxYWQzMzEwMGFkMTAiLCJ1c2VySWQiOiIzODYzMTE0NTkifQ==</vt:lpwstr>
  </property>
</Properties>
</file>