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3"/>
        <w:jc w:val="center"/>
        <w:rPr>
          <w:rFonts w:hint="eastAsia" w:ascii="宋体" w:hAnsi="宋体"/>
          <w:b/>
          <w:bCs/>
          <w:color w:val="auto"/>
          <w:sz w:val="52"/>
          <w:szCs w:val="52"/>
        </w:rPr>
      </w:pPr>
      <w:r>
        <w:rPr>
          <w:rFonts w:hint="eastAsia" w:ascii="宋体" w:hAnsi="宋体"/>
          <w:b/>
          <w:bCs/>
          <w:color w:val="auto"/>
          <w:sz w:val="52"/>
          <w:szCs w:val="52"/>
        </w:rPr>
      </w:r>
      <w:r/>
    </w:p>
    <w:p>
      <w:pPr>
        <w:jc w:val="center"/>
        <w:rPr>
          <w:rFonts w:hint="eastAsia" w:ascii="宋体" w:hAnsi="宋体"/>
          <w:b/>
          <w:bCs/>
          <w:color w:val="auto"/>
          <w:sz w:val="52"/>
          <w:szCs w:val="52"/>
        </w:rPr>
      </w:pPr>
      <w:r>
        <w:rPr>
          <w:rFonts w:hint="eastAsia" w:ascii="宋体" w:hAnsi="宋体"/>
          <w:b/>
          <w:bCs/>
          <w:color w:val="auto"/>
          <w:sz w:val="52"/>
          <w:szCs w:val="52"/>
        </w:rPr>
      </w:r>
      <w:r/>
    </w:p>
    <w:p>
      <w:pPr>
        <w:jc w:val="center"/>
        <w:rPr>
          <w:rFonts w:ascii="宋体" w:hAnsi="宋体"/>
          <w:b/>
          <w:bCs/>
          <w:color w:val="auto"/>
          <w:sz w:val="52"/>
          <w:szCs w:val="52"/>
        </w:rPr>
      </w:pPr>
      <w:r>
        <w:rPr>
          <w:rFonts w:hint="eastAsia" w:ascii="宋体" w:hAnsi="宋体"/>
          <w:b/>
          <w:bCs/>
          <w:color w:val="auto"/>
          <w:sz w:val="52"/>
          <w:szCs w:val="52"/>
        </w:rPr>
        <w:t xml:space="preserve">昆山市政府采购</w:t>
      </w:r>
      <w:r/>
    </w:p>
    <w:p>
      <w:pPr>
        <w:ind w:firstLine="423"/>
        <w:jc w:val="center"/>
        <w:rPr>
          <w:rFonts w:ascii="宋体" w:hAnsi="宋体"/>
          <w:b/>
          <w:bCs/>
          <w:color w:val="auto"/>
          <w:sz w:val="52"/>
          <w:szCs w:val="52"/>
        </w:rPr>
      </w:pPr>
      <w:r>
        <w:rPr>
          <w:rFonts w:ascii="宋体" w:hAnsi="宋体"/>
          <w:b/>
          <w:bCs/>
          <w:color w:val="auto"/>
          <w:sz w:val="52"/>
          <w:szCs w:val="52"/>
        </w:rPr>
      </w:r>
      <w:r/>
    </w:p>
    <w:p>
      <w:pPr>
        <w:jc w:val="center"/>
        <w:rPr>
          <w:rFonts w:ascii="宋体" w:hAnsi="宋体"/>
          <w:b/>
          <w:bCs/>
          <w:color w:val="auto"/>
          <w:sz w:val="52"/>
          <w:szCs w:val="52"/>
        </w:rPr>
      </w:pPr>
      <w:r>
        <w:rPr>
          <w:rFonts w:hint="eastAsia" w:ascii="宋体" w:hAnsi="宋体"/>
          <w:b/>
          <w:bCs/>
          <w:color w:val="auto"/>
          <w:sz w:val="52"/>
          <w:szCs w:val="52"/>
        </w:rPr>
        <w:t xml:space="preserve">竞争性谈判采购文件</w:t>
      </w:r>
      <w:r/>
    </w:p>
    <w:p>
      <w:pPr>
        <w:ind w:firstLine="170"/>
        <w:rPr>
          <w:rFonts w:ascii="宋体" w:hAnsi="宋体"/>
          <w:color w:val="auto"/>
        </w:rPr>
      </w:pPr>
      <w:r>
        <w:rPr>
          <w:rFonts w:ascii="宋体" w:hAnsi="宋体"/>
          <w:color w:val="auto"/>
        </w:rPr>
      </w:r>
      <w:r/>
    </w:p>
    <w:p>
      <w:pPr>
        <w:ind w:firstLine="170"/>
        <w:rPr>
          <w:rFonts w:ascii="宋体" w:hAnsi="宋体"/>
          <w:color w:val="auto"/>
        </w:rPr>
      </w:pPr>
      <w:r>
        <w:rPr>
          <w:rFonts w:ascii="宋体" w:hAnsi="宋体"/>
          <w:color w:val="auto"/>
        </w:rPr>
      </w:r>
      <w:r/>
    </w:p>
    <w:p>
      <w:pPr>
        <w:ind w:firstLine="170"/>
        <w:rPr>
          <w:rFonts w:ascii="宋体" w:hAnsi="宋体"/>
          <w:color w:val="auto"/>
        </w:rPr>
      </w:pPr>
      <w:r>
        <w:rPr>
          <w:rFonts w:ascii="宋体" w:hAnsi="宋体"/>
          <w:color w:val="auto"/>
        </w:rPr>
      </w:r>
      <w:r/>
    </w:p>
    <w:p>
      <w:pPr>
        <w:pStyle w:val="1115"/>
        <w:rPr>
          <w:rFonts w:ascii="宋体" w:hAnsi="宋体"/>
          <w:color w:val="auto"/>
        </w:rPr>
      </w:pPr>
      <w:r>
        <w:rPr>
          <w:rFonts w:ascii="宋体" w:hAnsi="宋体"/>
          <w:color w:val="auto"/>
        </w:rPr>
      </w:r>
      <w:r/>
    </w:p>
    <w:p>
      <w:pPr>
        <w:pStyle w:val="1115"/>
        <w:rPr>
          <w:rFonts w:ascii="宋体" w:hAnsi="宋体"/>
          <w:color w:val="auto"/>
        </w:rPr>
      </w:pPr>
      <w:r>
        <w:rPr>
          <w:rFonts w:ascii="宋体" w:hAnsi="宋体"/>
          <w:color w:val="auto"/>
        </w:rPr>
      </w:r>
      <w:r/>
    </w:p>
    <w:p>
      <w:pPr>
        <w:pStyle w:val="1115"/>
        <w:rPr>
          <w:rFonts w:ascii="宋体" w:hAnsi="宋体"/>
          <w:color w:val="auto"/>
        </w:rPr>
      </w:pPr>
      <w:r>
        <w:rPr>
          <w:rFonts w:ascii="宋体" w:hAnsi="宋体"/>
          <w:color w:val="auto"/>
        </w:rPr>
      </w:r>
      <w:r/>
    </w:p>
    <w:p>
      <w:pPr>
        <w:ind w:firstLine="170"/>
        <w:rPr>
          <w:rFonts w:ascii="宋体" w:hAnsi="宋体"/>
          <w:color w:val="auto"/>
        </w:rPr>
      </w:pPr>
      <w:r>
        <w:rPr>
          <w:rFonts w:ascii="宋体" w:hAnsi="宋体"/>
          <w:color w:val="auto"/>
        </w:rPr>
      </w:r>
      <w:r/>
    </w:p>
    <w:p>
      <w:pPr>
        <w:ind w:firstLine="170"/>
        <w:rPr>
          <w:rFonts w:ascii="宋体" w:hAnsi="宋体"/>
          <w:color w:val="auto"/>
        </w:rPr>
      </w:pPr>
      <w:r>
        <w:rPr>
          <w:rFonts w:ascii="宋体" w:hAnsi="宋体"/>
          <w:color w:val="auto"/>
        </w:rPr>
      </w:r>
      <w:r/>
    </w:p>
    <w:p>
      <w:pPr>
        <w:ind w:firstLine="170"/>
        <w:rPr>
          <w:rFonts w:hint="eastAsia" w:ascii="宋体" w:hAnsi="宋体"/>
          <w:color w:val="auto"/>
        </w:rPr>
      </w:pPr>
      <w:r>
        <w:rPr>
          <w:rFonts w:hint="eastAsia" w:ascii="宋体" w:hAnsi="宋体"/>
          <w:color w:val="auto"/>
        </w:rPr>
      </w:r>
      <w:r/>
    </w:p>
    <w:p>
      <w:pPr>
        <w:pStyle w:val="1115"/>
        <w:rPr>
          <w:rFonts w:hint="eastAsia"/>
          <w:color w:val="auto"/>
        </w:rPr>
      </w:pPr>
      <w:r>
        <w:rPr>
          <w:rFonts w:hint="eastAsia"/>
          <w:color w:val="auto"/>
        </w:rPr>
      </w:r>
      <w:r/>
    </w:p>
    <w:p>
      <w:pPr>
        <w:ind w:firstLine="170"/>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r>
      <w:r/>
    </w:p>
    <w:p>
      <w:pPr>
        <w:ind w:left="1401" w:firstLine="828"/>
        <w:spacing w:line="360" w:lineRule="auto"/>
        <w:rPr>
          <w:rFonts w:hint="eastAsia" w:ascii="宋体" w:hAnsi="宋体"/>
          <w:color w:val="auto"/>
          <w:sz w:val="32"/>
          <w:szCs w:val="32"/>
        </w:rPr>
      </w:pPr>
      <w:r>
        <w:rPr>
          <w:rFonts w:hint="eastAsia" w:ascii="宋体" w:hAnsi="宋体"/>
          <w:color w:val="auto"/>
          <w:sz w:val="32"/>
          <w:szCs w:val="32"/>
        </w:rPr>
        <w:t xml:space="preserve">谈</w:t>
      </w:r>
      <w:r>
        <w:rPr>
          <w:rFonts w:hint="eastAsia" w:ascii="宋体" w:hAnsi="宋体"/>
          <w:color w:val="auto"/>
          <w:sz w:val="32"/>
          <w:szCs w:val="32"/>
          <w:lang w:eastAsia="zh-CN"/>
        </w:rPr>
        <w:t xml:space="preserve">判编号：JSZC-320583-SZLC-T2026-0001</w:t>
      </w:r>
      <w:r/>
    </w:p>
    <w:p>
      <w:pPr>
        <w:ind w:left="1401" w:firstLine="828"/>
        <w:spacing w:line="360" w:lineRule="auto"/>
        <w:rPr>
          <w:rFonts w:hint="eastAsia" w:ascii="宋体" w:hAnsi="宋体" w:eastAsia="宋体"/>
          <w:color w:val="auto"/>
          <w:sz w:val="32"/>
          <w:szCs w:val="32"/>
          <w:lang w:eastAsia="zh-CN"/>
        </w:rPr>
      </w:pPr>
      <w:r>
        <w:rPr>
          <w:rFonts w:hint="eastAsia" w:ascii="宋体" w:hAnsi="宋体"/>
          <w:color w:val="auto"/>
          <w:sz w:val="32"/>
          <w:szCs w:val="32"/>
        </w:rPr>
        <w:t xml:space="preserve">采购项目：</w:t>
      </w:r>
      <w:r>
        <w:rPr>
          <w:rFonts w:hint="eastAsia" w:ascii="宋体" w:hAnsi="宋体"/>
          <w:color w:val="auto"/>
          <w:sz w:val="32"/>
          <w:szCs w:val="32"/>
          <w:lang w:eastAsia="zh-CN"/>
        </w:rPr>
        <w:t xml:space="preserve">周市镇骨灰堂存放架采购项目</w:t>
      </w:r>
      <w:r/>
    </w:p>
    <w:p>
      <w:pPr>
        <w:ind w:left="1401" w:firstLine="828"/>
        <w:spacing w:line="360" w:lineRule="auto"/>
        <w:rPr>
          <w:rFonts w:hint="eastAsia" w:ascii="宋体" w:hAnsi="宋体" w:eastAsia="宋体"/>
          <w:color w:val="auto"/>
          <w:sz w:val="32"/>
          <w:szCs w:val="32"/>
          <w:lang w:eastAsia="zh-CN"/>
        </w:rPr>
      </w:pPr>
      <w:r>
        <w:rPr>
          <w:rFonts w:hint="eastAsia" w:ascii="宋体" w:hAnsi="宋体"/>
          <w:color w:val="auto"/>
          <w:sz w:val="32"/>
          <w:szCs w:val="32"/>
        </w:rPr>
        <w:t xml:space="preserve">采购单位：</w:t>
      </w:r>
      <w:r>
        <w:rPr>
          <w:rFonts w:hint="eastAsia" w:ascii="宋体" w:hAnsi="宋体"/>
          <w:color w:val="auto"/>
          <w:sz w:val="32"/>
          <w:szCs w:val="32"/>
          <w:lang w:eastAsia="zh-CN"/>
        </w:rPr>
        <w:t xml:space="preserve">昆山市周市镇人民政府</w:t>
      </w:r>
      <w:r/>
    </w:p>
    <w:p>
      <w:pPr>
        <w:ind w:left="1438" w:firstLine="170"/>
        <w:rPr>
          <w:rFonts w:ascii="宋体" w:hAnsi="宋体"/>
          <w:color w:val="auto"/>
        </w:rPr>
      </w:pPr>
      <w:r>
        <w:rPr>
          <w:rFonts w:ascii="宋体" w:hAnsi="宋体"/>
          <w:color w:val="auto"/>
        </w:rPr>
      </w:r>
      <w:r/>
    </w:p>
    <w:p>
      <w:pPr>
        <w:ind w:firstLine="170"/>
        <w:rPr>
          <w:rFonts w:ascii="宋体" w:hAnsi="宋体"/>
          <w:color w:val="auto"/>
        </w:rPr>
      </w:pPr>
      <w:r>
        <w:rPr>
          <w:rFonts w:ascii="宋体" w:hAnsi="宋体"/>
          <w:color w:val="auto"/>
        </w:rPr>
      </w:r>
      <w:r/>
    </w:p>
    <w:p>
      <w:pPr>
        <w:ind w:firstLine="170"/>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ind w:firstLine="170"/>
        <w:rPr>
          <w:rFonts w:ascii="宋体" w:hAnsi="宋体"/>
          <w:color w:val="auto"/>
        </w:rPr>
      </w:pPr>
      <w:r>
        <w:rPr>
          <w:rFonts w:ascii="宋体" w:hAnsi="宋体"/>
          <w:color w:val="auto"/>
        </w:rPr>
      </w:r>
      <w:r/>
    </w:p>
    <w:p>
      <w:pPr>
        <w:pStyle w:val="1115"/>
        <w:rPr>
          <w:rFonts w:ascii="宋体" w:hAnsi="宋体"/>
          <w:color w:val="auto"/>
        </w:rPr>
      </w:pPr>
      <w:r>
        <w:rPr>
          <w:rFonts w:ascii="宋体" w:hAnsi="宋体"/>
          <w:color w:val="auto"/>
        </w:rPr>
      </w:r>
      <w:r/>
    </w:p>
    <w:p>
      <w:pPr>
        <w:pStyle w:val="1115"/>
        <w:rPr>
          <w:rFonts w:ascii="宋体" w:hAnsi="宋体"/>
          <w:color w:val="auto"/>
        </w:rPr>
      </w:pPr>
      <w:r>
        <w:rPr>
          <w:rFonts w:ascii="宋体" w:hAnsi="宋体"/>
          <w:color w:val="auto"/>
        </w:rPr>
      </w:r>
      <w:r/>
    </w:p>
    <w:p>
      <w:pPr>
        <w:pStyle w:val="1115"/>
        <w:rPr>
          <w:rFonts w:ascii="宋体" w:hAnsi="宋体"/>
          <w:color w:val="auto"/>
        </w:rPr>
      </w:pPr>
      <w:r>
        <w:rPr>
          <w:rFonts w:ascii="宋体" w:hAnsi="宋体"/>
          <w:color w:val="auto"/>
        </w:rPr>
      </w:r>
      <w:r/>
    </w:p>
    <w:p>
      <w:pPr>
        <w:pStyle w:val="1115"/>
        <w:rPr>
          <w:rFonts w:ascii="宋体" w:hAnsi="宋体"/>
          <w:color w:val="auto"/>
        </w:rPr>
      </w:pPr>
      <w:r>
        <w:rPr>
          <w:rFonts w:ascii="宋体" w:hAnsi="宋体"/>
          <w:color w:val="auto"/>
        </w:rPr>
      </w:r>
      <w:r/>
    </w:p>
    <w:p>
      <w:pPr>
        <w:pStyle w:val="1115"/>
        <w:rPr>
          <w:rFonts w:ascii="宋体" w:hAnsi="宋体"/>
          <w:color w:val="auto"/>
        </w:rPr>
      </w:pPr>
      <w:r>
        <w:rPr>
          <w:rFonts w:ascii="宋体" w:hAnsi="宋体"/>
          <w:color w:val="auto"/>
        </w:rPr>
      </w:r>
      <w:r/>
    </w:p>
    <w:p>
      <w:pPr>
        <w:ind w:firstLine="170"/>
        <w:rPr>
          <w:rFonts w:hint="eastAsia" w:ascii="宋体" w:hAnsi="宋体"/>
          <w:color w:val="auto"/>
        </w:rPr>
      </w:pPr>
      <w:r>
        <w:rPr>
          <w:rFonts w:hint="eastAsia" w:ascii="宋体" w:hAnsi="宋体"/>
          <w:color w:val="auto"/>
        </w:rPr>
      </w:r>
      <w:r/>
    </w:p>
    <w:p>
      <w:pPr>
        <w:ind w:firstLine="170"/>
        <w:rPr>
          <w:rFonts w:hint="eastAsia" w:ascii="宋体" w:hAnsi="宋体"/>
          <w:color w:val="auto"/>
        </w:rPr>
      </w:pPr>
      <w:r>
        <w:rPr>
          <w:rFonts w:hint="eastAsia" w:ascii="宋体" w:hAnsi="宋体"/>
          <w:color w:val="auto"/>
        </w:rPr>
      </w:r>
      <w:r/>
    </w:p>
    <w:p>
      <w:pPr>
        <w:ind w:firstLine="170"/>
        <w:rPr>
          <w:rFonts w:hint="eastAsia" w:ascii="宋体" w:hAnsi="宋体"/>
          <w:color w:val="auto"/>
        </w:rPr>
      </w:pPr>
      <w:r>
        <w:rPr>
          <w:rFonts w:hint="eastAsia" w:ascii="宋体" w:hAnsi="宋体"/>
          <w:color w:val="auto"/>
        </w:rPr>
      </w:r>
      <w:r/>
    </w:p>
    <w:p>
      <w:pPr>
        <w:ind w:firstLine="170"/>
        <w:rPr>
          <w:rFonts w:hint="eastAsia" w:ascii="宋体" w:hAnsi="宋体"/>
          <w:color w:val="auto"/>
        </w:rPr>
      </w:pPr>
      <w:r>
        <w:rPr>
          <w:rFonts w:hint="eastAsia" w:ascii="宋体" w:hAnsi="宋体"/>
          <w:color w:val="auto"/>
        </w:rPr>
      </w:r>
      <w:r/>
    </w:p>
    <w:p>
      <w:pPr>
        <w:ind w:firstLine="170"/>
        <w:rPr>
          <w:rFonts w:hint="eastAsia" w:ascii="宋体" w:hAnsi="宋体"/>
          <w:color w:val="auto"/>
        </w:rPr>
      </w:pPr>
      <w:r>
        <w:rPr>
          <w:rFonts w:hint="eastAsia" w:ascii="宋体" w:hAnsi="宋体"/>
          <w:color w:val="auto"/>
        </w:rPr>
      </w:r>
      <w:r/>
    </w:p>
    <w:p>
      <w:pPr>
        <w:ind w:firstLine="226"/>
        <w:jc w:val="center"/>
        <w:spacing w:line="360" w:lineRule="auto"/>
        <w:rPr>
          <w:rFonts w:hint="eastAsia" w:ascii="宋体" w:hAnsi="宋体" w:eastAsia="宋体"/>
          <w:color w:val="auto"/>
          <w:sz w:val="28"/>
          <w:lang w:eastAsia="zh-CN"/>
        </w:rPr>
      </w:pPr>
      <w:r>
        <w:rPr>
          <w:rFonts w:hint="eastAsia" w:ascii="宋体" w:hAnsi="宋体"/>
          <w:color w:val="auto"/>
          <w:sz w:val="28"/>
          <w:lang w:eastAsia="zh-CN"/>
        </w:rPr>
        <w:t xml:space="preserve">苏州立诚建设管理咨询有限公司</w:t>
      </w:r>
      <w:r/>
    </w:p>
    <w:p>
      <w:pPr>
        <w:ind w:firstLine="226"/>
        <w:jc w:val="center"/>
        <w:spacing w:line="360" w:lineRule="auto"/>
        <w:rPr>
          <w:rFonts w:ascii="宋体" w:hAnsi="宋体"/>
          <w:color w:val="auto"/>
          <w:sz w:val="28"/>
        </w:rPr>
      </w:pPr>
      <w:r>
        <w:rPr>
          <w:rFonts w:hint="eastAsia" w:ascii="宋体" w:hAnsi="宋体"/>
          <w:color w:val="auto"/>
          <w:sz w:val="28"/>
        </w:rPr>
        <w:t xml:space="preserve">二O二六年</w:t>
      </w:r>
      <w:r>
        <w:rPr>
          <w:rFonts w:hint="eastAsia" w:ascii="宋体" w:hAnsi="宋体"/>
          <w:color w:val="auto"/>
          <w:sz w:val="28"/>
          <w:lang w:val="en-US" w:eastAsia="zh-CN"/>
        </w:rPr>
        <w:t xml:space="preserve">七</w:t>
      </w:r>
      <w:r>
        <w:rPr>
          <w:rFonts w:hint="eastAsia" w:ascii="宋体" w:hAnsi="宋体"/>
          <w:color w:val="auto"/>
          <w:sz w:val="28"/>
        </w:rPr>
        <w:t xml:space="preserve">月</w:t>
      </w:r>
      <w:r/>
    </w:p>
    <w:p>
      <w:pPr>
        <w:ind w:firstLine="260"/>
        <w:jc w:val="left"/>
        <w:tabs>
          <w:tab w:val="left" w:pos="1590" w:leader="none"/>
          <w:tab w:val="center" w:pos="4686" w:leader="none"/>
        </w:tabs>
        <w:rPr>
          <w:rFonts w:ascii="宋体" w:hAnsi="宋体"/>
          <w:b/>
          <w:bCs/>
          <w:color w:val="auto"/>
          <w:sz w:val="32"/>
          <w:szCs w:val="32"/>
        </w:rPr>
      </w:pPr>
      <w:r>
        <w:rPr>
          <w:rFonts w:ascii="宋体" w:hAnsi="宋体"/>
          <w:b/>
          <w:bCs/>
          <w:color w:val="auto"/>
          <w:sz w:val="32"/>
          <w:szCs w:val="32"/>
        </w:rPr>
        <w:tab/>
      </w:r>
      <w:r>
        <w:rPr>
          <w:rFonts w:ascii="宋体" w:hAnsi="宋体"/>
          <w:b/>
          <w:bCs/>
          <w:color w:val="auto"/>
          <w:sz w:val="32"/>
          <w:szCs w:val="32"/>
        </w:rPr>
        <w:tab/>
      </w:r>
      <w:r/>
    </w:p>
    <w:p>
      <w:pPr>
        <w:ind w:firstLine="358"/>
        <w:jc w:val="center"/>
        <w:tabs>
          <w:tab w:val="left" w:pos="1590" w:leader="none"/>
          <w:tab w:val="center" w:pos="4686" w:leader="none"/>
        </w:tabs>
        <w:rPr>
          <w:rFonts w:ascii="宋体" w:hAnsi="宋体"/>
          <w:b/>
          <w:bCs/>
          <w:color w:val="auto"/>
          <w:sz w:val="44"/>
          <w:szCs w:val="44"/>
        </w:rPr>
      </w:pPr>
      <w:r>
        <w:rPr>
          <w:rFonts w:hint="eastAsia" w:ascii="宋体" w:hAnsi="宋体"/>
          <w:b/>
          <w:bCs/>
          <w:color w:val="auto"/>
          <w:sz w:val="44"/>
          <w:szCs w:val="44"/>
        </w:rPr>
        <w:t xml:space="preserve">目  录</w:t>
      </w:r>
      <w:r/>
    </w:p>
    <w:p>
      <w:pPr>
        <w:ind w:firstLine="425"/>
        <w:spacing w:line="360" w:lineRule="auto"/>
        <w:rPr>
          <w:rFonts w:hint="eastAsia" w:ascii="宋体" w:hAnsi="宋体"/>
          <w:color w:val="auto"/>
          <w:sz w:val="28"/>
          <w:szCs w:val="28"/>
        </w:rPr>
      </w:pPr>
      <w:r>
        <w:rPr>
          <w:rFonts w:hint="eastAsia" w:ascii="宋体" w:hAnsi="宋体"/>
          <w:color w:val="auto"/>
          <w:sz w:val="28"/>
          <w:szCs w:val="28"/>
        </w:rPr>
      </w:r>
      <w:r/>
    </w:p>
    <w:p>
      <w:pPr>
        <w:ind w:firstLine="425"/>
        <w:keepLines w:val="0"/>
        <w:keepNext w:val="0"/>
        <w:pageBreakBefore w:val="0"/>
        <w:spacing w:line="600" w:lineRule="auto"/>
        <w:widowControl w:val="off"/>
        <w:rPr>
          <w:rFonts w:ascii="宋体" w:hAnsi="宋体"/>
          <w:color w:val="auto"/>
          <w:sz w:val="28"/>
          <w:szCs w:val="28"/>
        </w:rPr>
        <w:outlineLvl w:val="9"/>
      </w:pPr>
      <w:r>
        <w:rPr>
          <w:rFonts w:hint="eastAsia" w:ascii="宋体" w:hAnsi="宋体"/>
          <w:color w:val="auto"/>
          <w:sz w:val="28"/>
          <w:szCs w:val="28"/>
        </w:rPr>
        <w:t xml:space="preserve">第一章、竞争性谈判邀请函</w:t>
      </w:r>
      <w:r/>
    </w:p>
    <w:p>
      <w:pPr>
        <w:ind w:firstLine="425"/>
        <w:keepLines w:val="0"/>
        <w:keepNext w:val="0"/>
        <w:pageBreakBefore w:val="0"/>
        <w:spacing w:line="600" w:lineRule="auto"/>
        <w:widowControl w:val="off"/>
        <w:rPr>
          <w:rFonts w:ascii="宋体" w:hAnsi="宋体"/>
          <w:color w:val="auto"/>
          <w:sz w:val="28"/>
          <w:szCs w:val="28"/>
        </w:rPr>
        <w:outlineLvl w:val="9"/>
      </w:pPr>
      <w:r>
        <w:rPr>
          <w:rFonts w:hint="eastAsia" w:ascii="宋体" w:hAnsi="宋体"/>
          <w:color w:val="auto"/>
          <w:sz w:val="28"/>
          <w:szCs w:val="28"/>
        </w:rPr>
        <w:t xml:space="preserve">第二章、竞争性谈判文件要求</w:t>
      </w:r>
      <w:r/>
    </w:p>
    <w:p>
      <w:pPr>
        <w:ind w:firstLine="425"/>
        <w:keepLines w:val="0"/>
        <w:keepNext w:val="0"/>
        <w:pageBreakBefore w:val="0"/>
        <w:spacing w:line="600" w:lineRule="auto"/>
        <w:widowControl w:val="off"/>
        <w:rPr>
          <w:rFonts w:ascii="宋体" w:hAnsi="宋体"/>
          <w:color w:val="auto"/>
          <w:sz w:val="28"/>
          <w:szCs w:val="28"/>
        </w:rPr>
        <w:outlineLvl w:val="9"/>
      </w:pPr>
      <w:r>
        <w:rPr>
          <w:rFonts w:hint="eastAsia" w:ascii="宋体" w:hAnsi="宋体"/>
          <w:color w:val="auto"/>
          <w:sz w:val="28"/>
          <w:szCs w:val="28"/>
        </w:rPr>
        <w:t xml:space="preserve">第三章、竞争性谈判文件附件</w:t>
      </w:r>
      <w:r/>
    </w:p>
    <w:p>
      <w:pPr>
        <w:ind w:firstLine="425"/>
        <w:keepLines w:val="0"/>
        <w:keepNext w:val="0"/>
        <w:pageBreakBefore w:val="0"/>
        <w:spacing w:line="600" w:lineRule="auto"/>
        <w:widowControl w:val="off"/>
        <w:rPr>
          <w:rFonts w:ascii="宋体" w:hAnsi="宋体"/>
          <w:color w:val="auto"/>
          <w:sz w:val="28"/>
          <w:szCs w:val="28"/>
        </w:rPr>
        <w:outlineLvl w:val="9"/>
      </w:pPr>
      <w:r>
        <w:rPr>
          <w:rFonts w:hint="eastAsia" w:ascii="宋体" w:hAnsi="宋体"/>
          <w:color w:val="auto"/>
          <w:sz w:val="28"/>
          <w:szCs w:val="28"/>
        </w:rPr>
        <w:t xml:space="preserve">第四章、竞争性谈判采购内容</w:t>
      </w:r>
      <w:r/>
    </w:p>
    <w:p>
      <w:pPr>
        <w:ind w:firstLine="425"/>
        <w:keepLines w:val="0"/>
        <w:keepNext w:val="0"/>
        <w:pageBreakBefore w:val="0"/>
        <w:spacing w:line="600" w:lineRule="auto"/>
        <w:widowControl w:val="off"/>
        <w:rPr>
          <w:rFonts w:ascii="宋体" w:hAnsi="宋体"/>
          <w:color w:val="auto"/>
          <w:sz w:val="28"/>
          <w:szCs w:val="28"/>
        </w:rPr>
        <w:outlineLvl w:val="9"/>
      </w:pPr>
      <w:r>
        <w:rPr>
          <w:rFonts w:hint="eastAsia" w:ascii="宋体" w:hAnsi="宋体"/>
          <w:color w:val="auto"/>
          <w:sz w:val="28"/>
          <w:szCs w:val="28"/>
        </w:rPr>
        <w:t xml:space="preserve">第五章、合同条款</w:t>
      </w:r>
      <w:r/>
    </w:p>
    <w:p>
      <w:pPr>
        <w:ind w:firstLine="425"/>
        <w:keepLines w:val="0"/>
        <w:keepNext w:val="0"/>
        <w:pageBreakBefore w:val="0"/>
        <w:spacing w:line="600" w:lineRule="auto"/>
        <w:widowControl w:val="off"/>
        <w:rPr>
          <w:rFonts w:ascii="宋体" w:hAnsi="宋体"/>
          <w:color w:val="auto"/>
          <w:sz w:val="28"/>
          <w:szCs w:val="28"/>
        </w:rPr>
        <w:outlineLvl w:val="9"/>
      </w:pPr>
      <w:r>
        <w:rPr>
          <w:rFonts w:hint="eastAsia" w:ascii="宋体" w:hAnsi="宋体"/>
          <w:color w:val="auto"/>
          <w:sz w:val="28"/>
          <w:szCs w:val="28"/>
        </w:rPr>
        <w:t xml:space="preserve">第六章、评审程序</w:t>
      </w:r>
      <w:r/>
    </w:p>
    <w:p>
      <w:pPr>
        <w:ind w:firstLine="425"/>
        <w:keepLines w:val="0"/>
        <w:keepNext w:val="0"/>
        <w:pageBreakBefore w:val="0"/>
        <w:spacing w:line="600" w:lineRule="auto"/>
        <w:widowControl w:val="off"/>
        <w:rPr>
          <w:rFonts w:ascii="宋体" w:hAnsi="宋体"/>
          <w:color w:val="auto"/>
          <w:sz w:val="28"/>
          <w:szCs w:val="28"/>
        </w:rPr>
        <w:outlineLvl w:val="9"/>
      </w:pPr>
      <w:r>
        <w:rPr>
          <w:rFonts w:hint="eastAsia" w:ascii="宋体" w:hAnsi="宋体"/>
          <w:color w:val="auto"/>
          <w:sz w:val="28"/>
          <w:szCs w:val="28"/>
        </w:rPr>
        <w:t xml:space="preserve">第七章、评审方法    </w:t>
      </w:r>
      <w:r/>
    </w:p>
    <w:p>
      <w:pPr>
        <w:ind w:firstLine="170"/>
        <w:rPr>
          <w:rFonts w:ascii="宋体" w:hAnsi="宋体"/>
          <w:color w:val="auto"/>
          <w:szCs w:val="21"/>
        </w:rPr>
      </w:pPr>
      <w:r>
        <w:rPr>
          <w:rFonts w:ascii="宋体" w:hAnsi="宋体"/>
          <w:color w:val="auto"/>
          <w:szCs w:val="21"/>
        </w:rPr>
      </w:r>
      <w:r/>
    </w:p>
    <w:p>
      <w:pPr>
        <w:ind w:firstLine="170"/>
        <w:rPr>
          <w:rFonts w:ascii="宋体" w:hAnsi="宋体"/>
          <w:color w:val="auto"/>
          <w:szCs w:val="21"/>
        </w:rPr>
      </w:pPr>
      <w:r>
        <w:rPr>
          <w:rFonts w:ascii="宋体" w:hAnsi="宋体"/>
          <w:color w:val="auto"/>
          <w:szCs w:val="21"/>
        </w:rPr>
      </w:r>
      <w:r/>
    </w:p>
    <w:p>
      <w:pPr>
        <w:ind w:firstLine="170"/>
        <w:rPr>
          <w:rFonts w:ascii="宋体" w:hAnsi="宋体"/>
          <w:color w:val="auto"/>
          <w:szCs w:val="21"/>
        </w:rPr>
      </w:pPr>
      <w:r>
        <w:rPr>
          <w:rFonts w:ascii="宋体" w:hAnsi="宋体"/>
          <w:color w:val="auto"/>
          <w:szCs w:val="21"/>
        </w:rPr>
      </w:r>
      <w:r/>
    </w:p>
    <w:p>
      <w:pPr>
        <w:ind w:firstLine="170"/>
        <w:rPr>
          <w:rFonts w:ascii="宋体" w:hAnsi="宋体"/>
          <w:color w:val="auto"/>
          <w:szCs w:val="21"/>
        </w:rPr>
      </w:pPr>
      <w:r>
        <w:rPr>
          <w:rFonts w:ascii="宋体" w:hAnsi="宋体"/>
          <w:color w:val="auto"/>
          <w:szCs w:val="21"/>
        </w:rPr>
      </w:r>
      <w:r/>
    </w:p>
    <w:p>
      <w:pPr>
        <w:ind w:firstLine="170"/>
        <w:rPr>
          <w:rFonts w:ascii="宋体" w:hAnsi="宋体"/>
          <w:color w:val="auto"/>
          <w:szCs w:val="21"/>
        </w:rPr>
      </w:pPr>
      <w:r>
        <w:rPr>
          <w:rFonts w:ascii="宋体" w:hAnsi="宋体"/>
          <w:color w:val="auto"/>
          <w:szCs w:val="21"/>
        </w:rPr>
      </w:r>
      <w:r/>
    </w:p>
    <w:p>
      <w:pPr>
        <w:ind w:firstLine="170"/>
        <w:rPr>
          <w:rFonts w:ascii="宋体" w:hAnsi="宋体"/>
          <w:color w:val="auto"/>
          <w:szCs w:val="21"/>
        </w:rPr>
      </w:pPr>
      <w:r>
        <w:rPr>
          <w:rFonts w:ascii="宋体" w:hAnsi="宋体"/>
          <w:color w:val="auto"/>
          <w:szCs w:val="21"/>
        </w:rPr>
      </w:r>
      <w:r/>
    </w:p>
    <w:p>
      <w:pPr>
        <w:ind w:firstLine="170"/>
        <w:rPr>
          <w:rFonts w:hint="eastAsia" w:ascii="宋体" w:hAnsi="宋体"/>
          <w:color w:val="auto"/>
          <w:szCs w:val="21"/>
        </w:rPr>
      </w:pPr>
      <w:r>
        <w:rPr>
          <w:rFonts w:hint="eastAsia" w:ascii="宋体" w:hAnsi="宋体"/>
          <w:color w:val="auto"/>
          <w:szCs w:val="21"/>
        </w:rPr>
      </w:r>
      <w:r/>
    </w:p>
    <w:p>
      <w:pPr>
        <w:pStyle w:val="1084"/>
        <w:ind w:firstLine="171"/>
        <w:spacing w:line="240" w:lineRule="auto"/>
        <w:rPr>
          <w:rFonts w:hint="eastAsia" w:ascii="宋体" w:hAnsi="宋体" w:eastAsia="宋体"/>
          <w:b/>
          <w:bCs w:val="0"/>
          <w:color w:val="auto"/>
          <w:sz w:val="21"/>
          <w:szCs w:val="21"/>
        </w:rPr>
      </w:pPr>
      <w:r>
        <w:rPr>
          <w:rFonts w:hint="eastAsia" w:ascii="宋体" w:hAnsi="宋体" w:eastAsia="宋体"/>
          <w:b/>
          <w:bCs w:val="0"/>
          <w:color w:val="auto"/>
          <w:sz w:val="21"/>
          <w:szCs w:val="21"/>
        </w:rPr>
      </w:r>
      <w:r/>
    </w:p>
    <w:p>
      <w:pPr>
        <w:pStyle w:val="1084"/>
        <w:ind w:firstLine="171"/>
        <w:spacing w:line="240" w:lineRule="auto"/>
        <w:rPr>
          <w:rFonts w:hint="eastAsia" w:ascii="宋体" w:hAnsi="宋体" w:eastAsia="宋体"/>
          <w:b/>
          <w:bCs w:val="0"/>
          <w:color w:val="auto"/>
          <w:sz w:val="21"/>
          <w:szCs w:val="21"/>
        </w:rPr>
      </w:pPr>
      <w:r>
        <w:rPr>
          <w:rFonts w:hint="eastAsia" w:ascii="宋体" w:hAnsi="宋体" w:eastAsia="宋体"/>
          <w:b/>
          <w:bCs w:val="0"/>
          <w:color w:val="auto"/>
          <w:sz w:val="21"/>
          <w:szCs w:val="21"/>
        </w:rPr>
      </w:r>
      <w:r/>
    </w:p>
    <w:p>
      <w:pPr>
        <w:pStyle w:val="1084"/>
        <w:ind w:firstLine="171"/>
        <w:spacing w:line="240" w:lineRule="auto"/>
        <w:rPr>
          <w:rFonts w:hint="eastAsia" w:ascii="宋体" w:hAnsi="宋体" w:eastAsia="宋体"/>
          <w:b/>
          <w:bCs w:val="0"/>
          <w:color w:val="auto"/>
          <w:sz w:val="21"/>
          <w:szCs w:val="21"/>
        </w:rPr>
      </w:pPr>
      <w:r>
        <w:rPr>
          <w:rFonts w:hint="eastAsia" w:ascii="宋体" w:hAnsi="宋体" w:eastAsia="宋体"/>
          <w:b/>
          <w:bCs w:val="0"/>
          <w:color w:val="auto"/>
          <w:sz w:val="21"/>
          <w:szCs w:val="21"/>
        </w:rPr>
      </w:r>
      <w:r/>
    </w:p>
    <w:p>
      <w:pPr>
        <w:pStyle w:val="1084"/>
        <w:ind w:firstLine="171"/>
        <w:spacing w:line="240" w:lineRule="auto"/>
        <w:rPr>
          <w:rFonts w:ascii="宋体" w:hAnsi="宋体" w:eastAsia="宋体"/>
          <w:b/>
          <w:bCs w:val="0"/>
          <w:color w:val="auto"/>
          <w:sz w:val="21"/>
          <w:szCs w:val="21"/>
        </w:rPr>
      </w:pPr>
      <w:r>
        <w:rPr>
          <w:rFonts w:ascii="宋体" w:hAnsi="宋体" w:eastAsia="宋体"/>
          <w:b/>
          <w:bCs w:val="0"/>
          <w:color w:val="auto"/>
          <w:sz w:val="21"/>
          <w:szCs w:val="21"/>
        </w:rPr>
      </w:r>
      <w:r/>
    </w:p>
    <w:p>
      <w:pPr>
        <w:pStyle w:val="1084"/>
        <w:ind w:firstLine="0"/>
        <w:spacing w:line="240" w:lineRule="auto"/>
        <w:rPr>
          <w:rFonts w:hint="eastAsia" w:ascii="宋体" w:hAnsi="宋体" w:eastAsia="宋体"/>
          <w:b/>
          <w:bCs w:val="0"/>
          <w:color w:val="auto"/>
          <w:sz w:val="21"/>
          <w:szCs w:val="21"/>
        </w:rPr>
      </w:pPr>
      <w:r>
        <w:rPr>
          <w:rFonts w:hint="eastAsia" w:ascii="宋体" w:hAnsi="宋体" w:eastAsia="宋体"/>
          <w:b/>
          <w:bCs w:val="0"/>
          <w:color w:val="auto"/>
          <w:sz w:val="21"/>
          <w:szCs w:val="21"/>
        </w:rPr>
      </w:r>
      <w:r/>
    </w:p>
    <w:p>
      <w:pPr>
        <w:pStyle w:val="1042"/>
        <w:ind w:firstLine="244"/>
        <w:keepNext w:val="0"/>
        <w:spacing w:line="360" w:lineRule="auto"/>
        <w:rPr>
          <w:rFonts w:ascii="宋体" w:hAnsi="宋体"/>
          <w:b/>
          <w:color w:val="auto"/>
          <w:sz w:val="30"/>
          <w:szCs w:val="30"/>
        </w:rPr>
      </w:pPr>
      <w:r>
        <w:rPr>
          <w:rFonts w:ascii="宋体" w:hAnsi="宋体"/>
          <w:b/>
          <w:color w:val="auto"/>
          <w:sz w:val="30"/>
          <w:szCs w:val="30"/>
        </w:rPr>
      </w:r>
      <w:r/>
    </w:p>
    <w:p>
      <w:pPr>
        <w:rPr>
          <w:rFonts w:ascii="宋体" w:hAnsi="宋体"/>
          <w:b/>
          <w:color w:val="auto"/>
          <w:sz w:val="30"/>
          <w:szCs w:val="30"/>
        </w:rPr>
      </w:pPr>
      <w:r>
        <w:rPr>
          <w:rFonts w:ascii="宋体" w:hAnsi="宋体"/>
          <w:b/>
          <w:color w:val="auto"/>
          <w:sz w:val="30"/>
          <w:szCs w:val="30"/>
        </w:rPr>
      </w:r>
      <w:r/>
    </w:p>
    <w:p>
      <w:pPr>
        <w:rPr>
          <w:rFonts w:ascii="宋体" w:hAnsi="宋体"/>
          <w:b/>
          <w:color w:val="auto"/>
          <w:sz w:val="30"/>
          <w:szCs w:val="30"/>
        </w:rPr>
      </w:pPr>
      <w:r>
        <w:rPr>
          <w:rFonts w:ascii="宋体" w:hAnsi="宋体"/>
          <w:b/>
          <w:color w:val="auto"/>
          <w:sz w:val="30"/>
          <w:szCs w:val="30"/>
        </w:rPr>
      </w:r>
      <w:r/>
    </w:p>
    <w:p>
      <w:pPr>
        <w:rPr>
          <w:rFonts w:ascii="宋体" w:hAnsi="宋体"/>
          <w:b/>
          <w:color w:val="auto"/>
          <w:sz w:val="30"/>
          <w:szCs w:val="30"/>
        </w:rPr>
      </w:pPr>
      <w:r>
        <w:rPr>
          <w:rFonts w:ascii="宋体" w:hAnsi="宋体"/>
          <w:b/>
          <w:color w:val="auto"/>
          <w:sz w:val="30"/>
          <w:szCs w:val="30"/>
        </w:rPr>
      </w:r>
      <w:r/>
    </w:p>
    <w:p>
      <w:pPr>
        <w:rPr>
          <w:rFonts w:ascii="宋体" w:hAnsi="宋体"/>
          <w:b/>
          <w:color w:val="auto"/>
          <w:sz w:val="30"/>
          <w:szCs w:val="30"/>
        </w:rPr>
      </w:pPr>
      <w:r>
        <w:rPr>
          <w:rFonts w:ascii="宋体" w:hAnsi="宋体"/>
          <w:b/>
          <w:color w:val="auto"/>
          <w:sz w:val="30"/>
          <w:szCs w:val="30"/>
        </w:rPr>
      </w:r>
      <w:r/>
    </w:p>
    <w:p>
      <w:pPr>
        <w:rPr>
          <w:rFonts w:ascii="宋体" w:hAnsi="宋体"/>
          <w:b/>
          <w:color w:val="auto"/>
          <w:sz w:val="30"/>
          <w:szCs w:val="30"/>
        </w:rPr>
      </w:pPr>
      <w:r>
        <w:rPr>
          <w:rFonts w:ascii="宋体" w:hAnsi="宋体"/>
          <w:b/>
          <w:color w:val="auto"/>
          <w:sz w:val="30"/>
          <w:szCs w:val="30"/>
        </w:rPr>
      </w:r>
      <w:r/>
    </w:p>
    <w:p>
      <w:pPr>
        <w:rPr>
          <w:rFonts w:ascii="宋体" w:hAnsi="宋体"/>
          <w:b/>
          <w:color w:val="auto"/>
          <w:sz w:val="30"/>
          <w:szCs w:val="30"/>
        </w:rPr>
      </w:pPr>
      <w:r>
        <w:rPr>
          <w:rFonts w:ascii="宋体" w:hAnsi="宋体"/>
          <w:b/>
          <w:color w:val="auto"/>
          <w:sz w:val="30"/>
          <w:szCs w:val="30"/>
        </w:rPr>
      </w:r>
      <w:r/>
    </w:p>
    <w:p>
      <w:pPr>
        <w:jc w:val="center"/>
        <w:rPr>
          <w:rFonts w:ascii="宋体" w:hAnsi="宋体"/>
          <w:b/>
          <w:color w:val="auto"/>
          <w:sz w:val="30"/>
          <w:szCs w:val="30"/>
        </w:rPr>
      </w:pPr>
      <w:r>
        <w:rPr>
          <w:rFonts w:ascii="宋体" w:hAnsi="宋体"/>
          <w:b/>
          <w:color w:val="auto"/>
          <w:sz w:val="30"/>
          <w:szCs w:val="30"/>
        </w:rPr>
        <w:br w:type="page" w:clear="all"/>
      </w:r>
      <w:r>
        <w:rPr>
          <w:rFonts w:hint="eastAsia" w:ascii="宋体" w:hAnsi="宋体"/>
          <w:b/>
          <w:color w:val="auto"/>
          <w:sz w:val="30"/>
          <w:szCs w:val="30"/>
        </w:rPr>
        <w:t xml:space="preserve">第一章、竞争性谈判邀请函</w:t>
      </w:r>
      <w:r/>
    </w:p>
    <w:p>
      <w:pPr>
        <w:pStyle w:val="1063"/>
        <w:ind w:firstLine="170"/>
        <w:spacing w:line="360" w:lineRule="auto"/>
        <w:rPr>
          <w:rFonts w:ascii="宋体" w:hAnsi="宋体" w:eastAsia="宋体"/>
          <w:color w:val="auto"/>
          <w:sz w:val="21"/>
          <w:szCs w:val="21"/>
        </w:rPr>
      </w:pPr>
      <w:r>
        <w:rPr>
          <w:rFonts w:hint="eastAsia" w:ascii="宋体" w:hAnsi="宋体" w:eastAsia="宋体"/>
          <w:color w:val="auto"/>
          <w:sz w:val="21"/>
          <w:szCs w:val="21"/>
        </w:rPr>
        <w:t xml:space="preserve">   ______________________：</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受</w:t>
      </w:r>
      <w:r>
        <w:rPr>
          <w:rFonts w:hint="eastAsia" w:ascii="宋体" w:hAnsi="宋体" w:cs="宋体"/>
          <w:color w:val="auto"/>
          <w:szCs w:val="21"/>
          <w:lang w:eastAsia="zh-CN"/>
        </w:rPr>
        <w:t xml:space="preserve">昆山市周市镇人民政府</w:t>
      </w:r>
      <w:r>
        <w:rPr>
          <w:rFonts w:hint="eastAsia" w:ascii="宋体" w:hAnsi="宋体" w:cs="宋体"/>
          <w:color w:val="auto"/>
          <w:szCs w:val="21"/>
        </w:rPr>
        <w:t xml:space="preserve">委托，</w:t>
      </w:r>
      <w:r>
        <w:rPr>
          <w:rFonts w:hint="eastAsia" w:ascii="宋体" w:hAnsi="宋体" w:cs="宋体"/>
          <w:color w:val="auto"/>
          <w:szCs w:val="21"/>
          <w:lang w:eastAsia="zh-CN"/>
        </w:rPr>
        <w:t xml:space="preserve">苏州立诚建设管理咨询有限公司</w:t>
      </w:r>
      <w:r>
        <w:rPr>
          <w:rFonts w:hint="eastAsia" w:ascii="宋体" w:hAnsi="宋体" w:cs="宋体"/>
          <w:color w:val="auto"/>
          <w:szCs w:val="21"/>
        </w:rPr>
        <w:t xml:space="preserve">为其所需的</w:t>
      </w:r>
      <w:r>
        <w:rPr>
          <w:rFonts w:hint="eastAsia" w:ascii="宋体" w:hAnsi="宋体" w:cs="宋体"/>
          <w:color w:val="auto"/>
          <w:szCs w:val="21"/>
          <w:lang w:eastAsia="zh-CN"/>
        </w:rPr>
        <w:t xml:space="preserve">周市镇骨灰堂存放架采购项目</w:t>
      </w:r>
      <w:r>
        <w:rPr>
          <w:rFonts w:hint="eastAsia" w:ascii="宋体" w:hAnsi="宋体" w:cs="宋体"/>
          <w:color w:val="auto"/>
          <w:szCs w:val="21"/>
        </w:rPr>
        <w:t xml:space="preserve">进行竞争性谈判采购。欢迎具备相应资格的单位前来参加投标。</w:t>
      </w:r>
      <w:r/>
    </w:p>
    <w:p>
      <w:pPr>
        <w:ind w:firstLine="422"/>
        <w:keepLines w:val="0"/>
        <w:keepNext w:val="0"/>
        <w:pageBreakBefore w:val="0"/>
        <w:spacing w:line="360" w:lineRule="auto"/>
        <w:rPr>
          <w:rFonts w:hint="eastAsia" w:ascii="宋体" w:hAnsi="宋体" w:cs="宋体"/>
          <w:b/>
          <w:bCs/>
          <w:color w:val="auto"/>
          <w:szCs w:val="21"/>
        </w:rPr>
        <w:outlineLvl w:val="9"/>
      </w:pPr>
      <w:r>
        <w:rPr>
          <w:rFonts w:hint="eastAsia" w:ascii="宋体" w:hAnsi="宋体" w:cs="宋体"/>
          <w:b/>
          <w:bCs/>
          <w:color w:val="auto"/>
          <w:szCs w:val="21"/>
        </w:rPr>
        <w:t xml:space="preserve">一、项目基本情况</w:t>
      </w:r>
      <w:r/>
    </w:p>
    <w:p>
      <w:pPr>
        <w:ind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1.项目编号</w:t>
      </w:r>
      <w:r>
        <w:rPr>
          <w:rFonts w:hint="eastAsia" w:ascii="宋体" w:hAnsi="宋体" w:cs="宋体"/>
          <w:color w:val="auto"/>
          <w:szCs w:val="21"/>
          <w:shd w:val="clear" w:color="auto" w:fill="ffffff"/>
          <w:lang w:eastAsia="zh-CN"/>
        </w:rPr>
        <w:t xml:space="preserve">：JSZC-320583-SZLC-T2026-0001；</w:t>
      </w:r>
      <w:r/>
    </w:p>
    <w:p>
      <w:pPr>
        <w:ind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2.项目名称：</w:t>
      </w:r>
      <w:r>
        <w:rPr>
          <w:rFonts w:hint="eastAsia" w:ascii="宋体" w:hAnsi="宋体" w:cs="宋体"/>
          <w:color w:val="auto"/>
          <w:szCs w:val="21"/>
          <w:shd w:val="clear" w:color="auto" w:fill="ffffff"/>
          <w:lang w:eastAsia="zh-CN"/>
        </w:rPr>
        <w:t xml:space="preserve">周市镇骨灰堂存放架采购项目</w:t>
      </w:r>
      <w:r>
        <w:rPr>
          <w:rFonts w:hint="eastAsia" w:ascii="宋体" w:hAnsi="宋体" w:cs="宋体"/>
          <w:color w:val="auto"/>
          <w:szCs w:val="21"/>
          <w:shd w:val="clear" w:color="auto" w:fill="ffffff"/>
        </w:rPr>
        <w:t xml:space="preserve">；</w:t>
      </w:r>
      <w:r/>
    </w:p>
    <w:p>
      <w:pPr>
        <w:ind w:firstLine="420"/>
        <w:keepLines w:val="0"/>
        <w:keepNext w:val="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3.项目类型：货物类；</w:t>
      </w:r>
      <w:r/>
    </w:p>
    <w:p>
      <w:pPr>
        <w:ind w:firstLine="420"/>
        <w:keepLines w:val="0"/>
        <w:keepNext w:val="0"/>
        <w:pageBreakBefore w:val="0"/>
        <w:spacing w:line="360" w:lineRule="auto"/>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rPr>
        <w:t xml:space="preserve">4.合同履行期限：</w:t>
      </w:r>
      <w:r>
        <w:rPr>
          <w:rFonts w:hint="eastAsia" w:ascii="宋体" w:hAnsi="宋体" w:eastAsia="宋体" w:cs="宋体"/>
          <w:color w:val="auto"/>
          <w:szCs w:val="21"/>
          <w:highlight w:val="none"/>
          <w:shd w:val="clear" w:color="auto" w:fill="auto"/>
        </w:rPr>
        <w:t xml:space="preserve">合同签订后</w:t>
      </w:r>
      <w:r>
        <w:rPr>
          <w:rFonts w:hint="eastAsia" w:ascii="宋体" w:hAnsi="宋体" w:cs="宋体"/>
          <w:color w:val="auto"/>
          <w:szCs w:val="21"/>
          <w:highlight w:val="none"/>
          <w:shd w:val="clear" w:color="auto" w:fill="auto"/>
          <w:lang w:val="en-US" w:eastAsia="zh-CN"/>
        </w:rPr>
        <w:t xml:space="preserve">30</w:t>
      </w:r>
      <w:r>
        <w:rPr>
          <w:rFonts w:hint="eastAsia" w:ascii="宋体" w:hAnsi="宋体" w:eastAsia="宋体" w:cs="宋体"/>
          <w:color w:val="auto"/>
          <w:szCs w:val="21"/>
          <w:highlight w:val="none"/>
          <w:shd w:val="clear" w:color="auto" w:fill="auto"/>
        </w:rPr>
        <w:t xml:space="preserve">天内完成所有货物的供货、安装及调试等工作</w:t>
      </w:r>
      <w:r>
        <w:rPr>
          <w:rFonts w:hint="eastAsia" w:ascii="宋体" w:hAnsi="宋体" w:cs="宋体"/>
          <w:color w:val="auto"/>
          <w:szCs w:val="21"/>
          <w:highlight w:val="none"/>
          <w:shd w:val="clear" w:color="auto" w:fill="auto"/>
        </w:rPr>
        <w:t xml:space="preserve">。</w:t>
      </w:r>
      <w:r/>
    </w:p>
    <w:p>
      <w:pPr>
        <w:ind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5.</w:t>
      </w:r>
      <w:bookmarkStart w:id="0" w:name="OLE_LINK3"/>
      <w:r>
        <w:rPr>
          <w:rFonts w:hint="eastAsia" w:ascii="宋体" w:hAnsi="宋体" w:cs="宋体"/>
          <w:color w:val="auto"/>
          <w:szCs w:val="21"/>
        </w:rPr>
        <w:t xml:space="preserve">预算金额：</w:t>
      </w:r>
      <w:bookmarkEnd w:id="0"/>
      <w:r>
        <w:rPr>
          <w:rFonts w:hint="eastAsia" w:ascii="宋体" w:hAnsi="宋体" w:cs="宋体"/>
          <w:color w:val="auto"/>
          <w:szCs w:val="21"/>
        </w:rPr>
        <w:t xml:space="preserve">人民币</w:t>
      </w:r>
      <w:r>
        <w:rPr>
          <w:rFonts w:hint="eastAsia" w:ascii="宋体" w:hAnsi="宋体" w:cs="宋体"/>
          <w:color w:val="auto"/>
          <w:szCs w:val="21"/>
          <w:lang w:val="en-US" w:eastAsia="zh-CN"/>
        </w:rPr>
        <w:t xml:space="preserve">贰佰零肆万陆仟柒佰贰拾</w:t>
      </w:r>
      <w:r>
        <w:rPr>
          <w:rFonts w:hint="eastAsia" w:ascii="宋体" w:hAnsi="宋体" w:cs="宋体"/>
          <w:color w:val="auto"/>
          <w:szCs w:val="21"/>
        </w:rPr>
        <w:t xml:space="preserve">元整（¥</w:t>
      </w:r>
      <w:r>
        <w:rPr>
          <w:rFonts w:hint="eastAsia" w:ascii="宋体" w:hAnsi="宋体" w:cs="宋体"/>
          <w:color w:val="auto"/>
          <w:szCs w:val="21"/>
          <w:lang w:eastAsia="zh-CN"/>
        </w:rPr>
        <w:t xml:space="preserve">2046720</w:t>
      </w:r>
      <w:r>
        <w:rPr>
          <w:rFonts w:hint="eastAsia" w:ascii="宋体" w:hAnsi="宋体" w:cs="宋体"/>
          <w:color w:val="auto"/>
          <w:szCs w:val="21"/>
        </w:rPr>
        <w:t xml:space="preserve">.00元）；</w:t>
      </w:r>
      <w:r/>
    </w:p>
    <w:p>
      <w:pPr>
        <w:pStyle w:val="1063"/>
        <w:keepLines w:val="0"/>
        <w:keepNext w:val="0"/>
        <w:pageBreakBefore w:val="0"/>
        <w:spacing w:line="360" w:lineRule="auto"/>
        <w:rPr>
          <w:rFonts w:hint="eastAsia" w:ascii="宋体" w:hAnsi="宋体" w:eastAsia="宋体" w:cs="宋体"/>
          <w:color w:val="auto"/>
          <w:sz w:val="21"/>
          <w:szCs w:val="21"/>
          <w:shd w:val="clear" w:color="auto" w:fill="ffffff"/>
        </w:rPr>
        <w:outlineLvl w:val="9"/>
      </w:pPr>
      <w:r>
        <w:rPr>
          <w:rFonts w:hint="eastAsia" w:ascii="宋体" w:hAnsi="宋体" w:eastAsia="宋体" w:cs="宋体"/>
          <w:color w:val="auto"/>
          <w:sz w:val="21"/>
          <w:szCs w:val="21"/>
          <w:shd w:val="clear" w:color="auto" w:fill="ffffff"/>
        </w:rPr>
        <w:t xml:space="preserve">6.采购需求：</w:t>
      </w:r>
      <w:bookmarkStart w:id="1" w:name="OLE_LINK21"/>
      <w:r>
        <w:rPr>
          <w:rFonts w:hint="eastAsia" w:ascii="宋体" w:hAnsi="宋体" w:eastAsia="宋体" w:cs="宋体"/>
          <w:color w:val="auto"/>
          <w:sz w:val="21"/>
          <w:szCs w:val="21"/>
          <w:shd w:val="clear" w:color="auto" w:fill="ffffff"/>
          <w:lang w:eastAsia="zh-CN"/>
        </w:rPr>
        <w:t xml:space="preserve">周市镇骨灰堂存放架采购项目</w:t>
      </w:r>
      <w:r>
        <w:rPr>
          <w:rFonts w:hint="eastAsia" w:ascii="宋体" w:hAnsi="宋体" w:eastAsia="宋体" w:cs="宋体"/>
          <w:color w:val="auto"/>
          <w:sz w:val="21"/>
          <w:szCs w:val="21"/>
          <w:shd w:val="clear" w:color="auto" w:fill="ffffff"/>
        </w:rPr>
        <w:t xml:space="preserve">，详见第四章；</w:t>
      </w:r>
      <w:bookmarkEnd w:id="1"/>
      <w:r/>
      <w:r/>
    </w:p>
    <w:p>
      <w:pPr>
        <w:pStyle w:val="1063"/>
        <w:keepLines w:val="0"/>
        <w:keepNext w:val="0"/>
        <w:pageBreakBefore w:val="0"/>
        <w:spacing w:line="360" w:lineRule="auto"/>
        <w:rPr>
          <w:rFonts w:hint="eastAsia" w:ascii="宋体" w:hAnsi="宋体" w:eastAsia="宋体" w:cs="宋体"/>
          <w:color w:val="auto"/>
          <w:sz w:val="21"/>
          <w:szCs w:val="21"/>
          <w:shd w:val="clear" w:color="auto" w:fill="ffffff"/>
        </w:rPr>
        <w:outlineLvl w:val="9"/>
      </w:pPr>
      <w:r>
        <w:rPr>
          <w:rFonts w:hint="eastAsia" w:ascii="宋体" w:hAnsi="宋体" w:eastAsia="宋体" w:cs="宋体"/>
          <w:color w:val="auto"/>
          <w:sz w:val="21"/>
          <w:szCs w:val="21"/>
          <w:shd w:val="clear" w:color="auto" w:fill="ffffff"/>
        </w:rPr>
        <w:t xml:space="preserve">7.本项目不接受联合体响应。</w:t>
      </w:r>
      <w:r/>
    </w:p>
    <w:p>
      <w:pPr>
        <w:ind w:firstLine="422"/>
        <w:keepLines w:val="0"/>
        <w:keepNext w:val="0"/>
        <w:pageBreakBefore w:val="0"/>
        <w:spacing w:line="360" w:lineRule="auto"/>
        <w:rPr>
          <w:rFonts w:hint="eastAsia" w:ascii="宋体" w:hAnsi="宋体" w:cs="宋体"/>
          <w:b/>
          <w:bCs/>
          <w:color w:val="auto"/>
          <w:szCs w:val="21"/>
        </w:rPr>
        <w:outlineLvl w:val="9"/>
      </w:pPr>
      <w:r>
        <w:rPr>
          <w:rFonts w:hint="eastAsia" w:ascii="宋体" w:hAnsi="宋体" w:cs="宋体"/>
          <w:b/>
          <w:bCs/>
          <w:color w:val="auto"/>
          <w:szCs w:val="21"/>
        </w:rPr>
        <w:t xml:space="preserve">二、申请人的资格要求</w:t>
      </w:r>
      <w:r/>
    </w:p>
    <w:p>
      <w:pPr>
        <w:ind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1.满足《中华人民共和国政府采购法》第二十二条规定；</w:t>
      </w:r>
      <w:r/>
    </w:p>
    <w:p>
      <w:pPr>
        <w:ind w:firstLine="420"/>
        <w:keepLines w:val="0"/>
        <w:keepNext w:val="0"/>
        <w:pageBreakBefore w:val="0"/>
        <w:spacing w:line="360" w:lineRule="auto"/>
        <w:rPr>
          <w:rFonts w:hint="eastAsia" w:ascii="宋体" w:hAnsi="宋体" w:cs="宋体"/>
          <w:bCs/>
          <w:color w:val="auto"/>
          <w:szCs w:val="21"/>
        </w:rPr>
        <w:outlineLvl w:val="9"/>
      </w:pPr>
      <w:r>
        <w:rPr>
          <w:rFonts w:hint="eastAsia" w:ascii="宋体" w:hAnsi="宋体" w:cs="宋体"/>
          <w:color w:val="auto"/>
          <w:szCs w:val="21"/>
        </w:rPr>
        <w:t xml:space="preserve">2.落实政府采购政策需满足的资格要求：</w:t>
      </w:r>
      <w:bookmarkStart w:id="2" w:name="OLE_LINK18"/>
      <w:r>
        <w:rPr>
          <w:rFonts w:hint="eastAsia" w:ascii="宋体" w:hAnsi="宋体" w:cs="宋体"/>
          <w:bCs/>
          <w:color w:val="auto"/>
          <w:szCs w:val="21"/>
        </w:rPr>
        <w:t xml:space="preserve">本项目专门面向中小企业采购（整体预留），</w:t>
      </w:r>
      <w:bookmarkEnd w:id="2"/>
      <w:r>
        <w:rPr>
          <w:rFonts w:ascii="宋体" w:hAnsi="宋体" w:cs="宋体"/>
          <w:bCs/>
          <w:color w:val="auto"/>
          <w:szCs w:val="21"/>
        </w:rPr>
        <w:t xml:space="preserve">所属行业为</w:t>
      </w:r>
      <w:r>
        <w:rPr>
          <w:rFonts w:hint="eastAsia" w:ascii="宋体" w:hAnsi="宋体" w:cs="宋体"/>
          <w:b/>
          <w:bCs/>
          <w:color w:val="auto"/>
          <w:szCs w:val="21"/>
          <w:u w:val="single"/>
        </w:rPr>
        <w:t xml:space="preserve">工业</w:t>
      </w:r>
      <w:r>
        <w:rPr>
          <w:rFonts w:ascii="宋体" w:hAnsi="宋体" w:cs="宋体"/>
          <w:bCs/>
          <w:color w:val="auto"/>
          <w:szCs w:val="21"/>
        </w:rPr>
        <w:t xml:space="preserve">，供应商</w:t>
      </w:r>
      <w:r>
        <w:rPr>
          <w:rFonts w:hint="eastAsia" w:ascii="宋体" w:hAnsi="宋体" w:cs="宋体"/>
          <w:bCs/>
          <w:color w:val="auto"/>
          <w:szCs w:val="21"/>
        </w:rPr>
        <w:t xml:space="preserve">所提供货物的制造商</w:t>
      </w:r>
      <w:r>
        <w:rPr>
          <w:rFonts w:ascii="宋体" w:hAnsi="宋体" w:cs="宋体"/>
          <w:bCs/>
          <w:color w:val="auto"/>
          <w:szCs w:val="21"/>
        </w:rPr>
        <w:t xml:space="preserve">应为中小微企业、监狱企业、残疾人福利性单位</w:t>
      </w:r>
      <w:r>
        <w:rPr>
          <w:rFonts w:hint="eastAsia" w:ascii="宋体" w:hAnsi="宋体" w:cs="宋体"/>
          <w:bCs/>
          <w:color w:val="auto"/>
          <w:szCs w:val="21"/>
        </w:rPr>
        <w:t xml:space="preserve">；</w:t>
      </w:r>
      <w:r/>
    </w:p>
    <w:p>
      <w:pPr>
        <w:pStyle w:val="1108"/>
        <w:ind w:firstLine="420"/>
        <w:keepLines w:val="0"/>
        <w:keepNext w:val="0"/>
        <w:pageBreakBefore w:val="0"/>
        <w:spacing w:line="360" w:lineRule="auto"/>
        <w:shd w:val="clear" w:color="auto" w:fill="ffffff"/>
        <w:widowControl/>
        <w:rPr>
          <w:rFonts w:hint="eastAsia" w:ascii="宋体" w:hAnsi="宋体" w:cs="宋体"/>
          <w:color w:val="auto"/>
          <w:sz w:val="21"/>
          <w:szCs w:val="21"/>
        </w:rPr>
        <w:outlineLvl w:val="9"/>
      </w:pPr>
      <w:r>
        <w:rPr>
          <w:rFonts w:hint="eastAsia" w:ascii="宋体" w:hAnsi="宋体" w:cs="宋体"/>
          <w:color w:val="auto"/>
          <w:sz w:val="21"/>
          <w:szCs w:val="21"/>
        </w:rPr>
        <w:t xml:space="preserve">3.本项目的特定资格条件：无</w:t>
      </w:r>
      <w:r/>
    </w:p>
    <w:p>
      <w:pPr>
        <w:ind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以评标现场查询结果为准；</w:t>
      </w:r>
      <w:r/>
    </w:p>
    <w:p>
      <w:pPr>
        <w:ind w:firstLine="422"/>
        <w:keepLines w:val="0"/>
        <w:keepNext w:val="0"/>
        <w:pageBreakBefore w:val="0"/>
        <w:spacing w:line="360" w:lineRule="auto"/>
        <w:shd w:val="clear" w:color="auto" w:fill="ffffff"/>
        <w:widowControl/>
        <w:rPr>
          <w:rFonts w:hint="eastAsia" w:ascii="宋体" w:hAnsi="宋体" w:cs="宋体"/>
          <w:b/>
          <w:bCs/>
          <w:color w:val="auto"/>
          <w:szCs w:val="21"/>
        </w:rPr>
        <w:outlineLvl w:val="9"/>
      </w:pPr>
      <w:r>
        <w:rPr>
          <w:rFonts w:hint="eastAsia" w:ascii="宋体" w:hAnsi="宋体" w:cs="宋体"/>
          <w:b/>
          <w:bCs/>
          <w:color w:val="auto"/>
          <w:szCs w:val="21"/>
        </w:rPr>
        <w:t xml:space="preserve">三、获取谈判文件</w:t>
      </w:r>
      <w:r/>
    </w:p>
    <w:p>
      <w:pPr>
        <w:ind w:firstLine="420"/>
        <w:keepLines w:val="0"/>
        <w:keepNext w:val="0"/>
        <w:pageBreakBefore w:val="0"/>
        <w:spacing w:line="360" w:lineRule="auto"/>
        <w:shd w:val="clear" w:color="auto" w:fill="ffffff"/>
        <w:widowControl/>
        <w:rPr>
          <w:rFonts w:hint="eastAsia" w:ascii="宋体" w:hAnsi="宋体" w:cs="宋体"/>
          <w:color w:val="auto"/>
          <w:szCs w:val="21"/>
        </w:rPr>
        <w:outlineLvl w:val="9"/>
      </w:pPr>
      <w:r>
        <w:rPr>
          <w:rFonts w:hint="eastAsia" w:ascii="宋体" w:hAnsi="宋体" w:cs="宋体"/>
          <w:color w:val="auto"/>
          <w:szCs w:val="21"/>
        </w:rPr>
        <w:t xml:space="preserve">1.时间：自谈判文件公告发布</w:t>
      </w:r>
      <w:bookmarkStart w:id="97" w:name="_GoBack"/>
      <w:r>
        <w:rPr>
          <w:rFonts w:hint="eastAsia" w:ascii="宋体" w:hAnsi="宋体" w:cs="宋体"/>
          <w:color w:val="auto"/>
          <w:szCs w:val="21"/>
        </w:rPr>
        <w:t xml:space="preserve">之日起3个工作日</w:t>
      </w:r>
      <w:r>
        <w:rPr>
          <w:rFonts w:hint="eastAsia" w:ascii="宋体" w:hAnsi="宋体" w:cs="宋体"/>
          <w:bCs/>
          <w:color w:val="auto"/>
          <w:szCs w:val="21"/>
        </w:rPr>
        <w:t xml:space="preserve">；</w:t>
      </w:r>
      <w:bookmarkEnd w:id="97"/>
      <w:r/>
      <w:r/>
    </w:p>
    <w:p>
      <w:pPr>
        <w:ind w:firstLine="420"/>
        <w:keepLines w:val="0"/>
        <w:keepNext w:val="0"/>
        <w:pageBreakBefore w:val="0"/>
        <w:spacing w:line="360" w:lineRule="auto"/>
        <w:shd w:val="clear" w:color="auto" w:fill="ffffff"/>
        <w:widowControl/>
        <w:rPr>
          <w:rFonts w:hint="eastAsia" w:ascii="宋体" w:hAnsi="宋体" w:cs="宋体"/>
          <w:color w:val="auto"/>
          <w:szCs w:val="21"/>
        </w:rPr>
        <w:outlineLvl w:val="9"/>
      </w:pPr>
      <w:r>
        <w:rPr>
          <w:rFonts w:hint="eastAsia" w:ascii="宋体" w:hAnsi="宋体" w:cs="宋体"/>
          <w:color w:val="auto"/>
          <w:szCs w:val="21"/>
        </w:rPr>
        <w:t xml:space="preserve">2.地点：</w:t>
      </w:r>
      <w:bookmarkStart w:id="3" w:name="OLE_LINK19"/>
      <w:r>
        <w:rPr>
          <w:rFonts w:hint="eastAsia" w:ascii="宋体" w:hAnsi="宋体" w:cs="宋体"/>
          <w:color w:val="auto"/>
          <w:szCs w:val="21"/>
        </w:rPr>
        <w:t xml:space="preserve">“苏采云”系统；</w:t>
      </w:r>
      <w:bookmarkEnd w:id="3"/>
      <w:r/>
      <w:r/>
    </w:p>
    <w:p>
      <w:pPr>
        <w:ind w:firstLine="420"/>
        <w:keepLines w:val="0"/>
        <w:keepNext w:val="0"/>
        <w:pageBreakBefore w:val="0"/>
        <w:spacing w:line="360" w:lineRule="auto"/>
        <w:shd w:val="clear" w:color="auto" w:fill="ffffff"/>
        <w:widowControl/>
        <w:rPr>
          <w:rFonts w:hint="eastAsia" w:ascii="宋体" w:hAnsi="宋体" w:cs="宋体"/>
          <w:color w:val="auto"/>
          <w:szCs w:val="21"/>
        </w:rPr>
        <w:outlineLvl w:val="9"/>
      </w:pPr>
      <w:r>
        <w:rPr>
          <w:rFonts w:hint="eastAsia" w:ascii="宋体" w:hAnsi="宋体" w:cs="宋体"/>
          <w:color w:val="auto"/>
          <w:szCs w:val="21"/>
        </w:rPr>
        <w:t xml:space="preserve">3.方式：“苏采云”系统自行下载；</w:t>
      </w:r>
      <w:r/>
    </w:p>
    <w:p>
      <w:pPr>
        <w:ind w:firstLine="420"/>
        <w:keepLines w:val="0"/>
        <w:keepNext w:val="0"/>
        <w:pageBreakBefore w:val="0"/>
        <w:spacing w:line="360" w:lineRule="auto"/>
        <w:shd w:val="clear" w:color="auto" w:fill="ffffff"/>
        <w:widowControl/>
        <w:rPr>
          <w:rFonts w:hint="eastAsia" w:ascii="宋体" w:hAnsi="宋体" w:cs="宋体"/>
          <w:color w:val="auto"/>
          <w:szCs w:val="21"/>
        </w:rPr>
        <w:outlineLvl w:val="9"/>
      </w:pPr>
      <w:r>
        <w:rPr>
          <w:rFonts w:hint="eastAsia" w:ascii="宋体" w:hAnsi="宋体" w:cs="宋体"/>
          <w:color w:val="auto"/>
          <w:szCs w:val="21"/>
        </w:rPr>
        <w:t xml:space="preserve">4.售价：0元。</w:t>
      </w:r>
      <w:r/>
    </w:p>
    <w:p>
      <w:pPr>
        <w:ind w:firstLine="422"/>
        <w:keepLines w:val="0"/>
        <w:keepNext w:val="0"/>
        <w:pageBreakBefore w:val="0"/>
        <w:spacing w:line="360" w:lineRule="auto"/>
        <w:shd w:val="clear" w:color="auto" w:fill="ffffff"/>
        <w:widowControl/>
        <w:rPr>
          <w:rFonts w:hint="eastAsia" w:ascii="宋体" w:hAnsi="宋体" w:cs="宋体"/>
          <w:b/>
          <w:bCs/>
          <w:color w:val="auto"/>
          <w:szCs w:val="21"/>
        </w:rPr>
        <w:outlineLvl w:val="9"/>
      </w:pPr>
      <w:r>
        <w:rPr>
          <w:rFonts w:hint="eastAsia" w:ascii="宋体" w:hAnsi="宋体" w:cs="宋体"/>
          <w:b/>
          <w:bCs/>
          <w:color w:val="auto"/>
          <w:szCs w:val="21"/>
        </w:rPr>
        <w:t xml:space="preserve">四、提交响应文件截止时间、开标时间和地点</w:t>
      </w:r>
      <w:r/>
    </w:p>
    <w:p>
      <w:pPr>
        <w:ind w:firstLine="420"/>
        <w:jc w:val="left"/>
        <w:keepLines w:val="0"/>
        <w:keepNext w:val="0"/>
        <w:pageBreakBefore w:val="0"/>
        <w:spacing w:line="360" w:lineRule="auto"/>
        <w:rPr>
          <w:rFonts w:hint="eastAsia" w:ascii="宋体" w:hAnsi="宋体" w:cs="宋体"/>
          <w:bCs/>
          <w:color w:val="auto"/>
          <w:szCs w:val="21"/>
        </w:rPr>
        <w:outlineLvl w:val="9"/>
      </w:pPr>
      <w:r>
        <w:rPr>
          <w:rFonts w:hint="eastAsia" w:ascii="宋体" w:hAnsi="宋体" w:cs="宋体"/>
          <w:bCs/>
          <w:color w:val="auto"/>
          <w:szCs w:val="21"/>
        </w:rPr>
        <w:t xml:space="preserve">本项目采用电子化采购模式，供应商须线上提交响应文件，并可通过远程开标方式完成开标。</w:t>
      </w:r>
      <w:r/>
    </w:p>
    <w:p>
      <w:pPr>
        <w:ind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1.提交响应文件截止时间：</w:t>
      </w:r>
      <w:r>
        <w:rPr>
          <w:rFonts w:hint="eastAsia" w:ascii="宋体" w:hAnsi="宋体" w:cs="宋体"/>
          <w:bCs/>
          <w:color w:val="auto"/>
          <w:szCs w:val="21"/>
        </w:rPr>
        <w:t xml:space="preserve">2026年</w:t>
      </w:r>
      <w:r>
        <w:rPr>
          <w:rFonts w:hint="eastAsia" w:ascii="宋体" w:hAnsi="宋体" w:cs="宋体"/>
          <w:bCs/>
          <w:color w:val="auto"/>
          <w:szCs w:val="21"/>
          <w:lang w:val="en-US" w:eastAsia="zh-CN"/>
        </w:rPr>
        <w:t xml:space="preserve">8</w:t>
      </w:r>
      <w:r>
        <w:rPr>
          <w:rFonts w:hint="eastAsia" w:ascii="宋体" w:hAnsi="宋体" w:cs="宋体"/>
          <w:bCs/>
          <w:color w:val="auto"/>
          <w:szCs w:val="21"/>
        </w:rPr>
        <w:t xml:space="preserve">月</w:t>
      </w:r>
      <w:r>
        <w:rPr>
          <w:rFonts w:hint="eastAsia" w:ascii="宋体" w:hAnsi="宋体" w:cs="宋体"/>
          <w:bCs/>
          <w:color w:val="auto"/>
          <w:szCs w:val="21"/>
          <w:lang w:val="en-US" w:eastAsia="zh-CN"/>
        </w:rPr>
        <w:t xml:space="preserve">10</w:t>
      </w:r>
      <w:r>
        <w:rPr>
          <w:rFonts w:hint="eastAsia" w:ascii="宋体" w:hAnsi="宋体" w:cs="宋体"/>
          <w:color w:val="auto"/>
          <w:szCs w:val="21"/>
        </w:rPr>
        <w:t xml:space="preserve">日</w:t>
      </w:r>
      <w:r>
        <w:rPr>
          <w:rFonts w:hint="eastAsia" w:ascii="宋体" w:hAnsi="宋体" w:cs="宋体"/>
          <w:color w:val="auto"/>
          <w:szCs w:val="21"/>
          <w:lang w:val="en-US" w:eastAsia="zh-CN"/>
        </w:rPr>
        <w:t xml:space="preserve">14</w:t>
      </w:r>
      <w:r>
        <w:rPr>
          <w:rFonts w:hint="eastAsia" w:ascii="宋体" w:hAnsi="宋体" w:cs="宋体"/>
          <w:color w:val="auto"/>
          <w:szCs w:val="21"/>
        </w:rPr>
        <w:t xml:space="preserve">:30（北京时间）；</w:t>
      </w:r>
      <w:r/>
    </w:p>
    <w:p>
      <w:pPr>
        <w:ind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2.远程开标时间：</w:t>
      </w:r>
      <w:r>
        <w:rPr>
          <w:rFonts w:hint="eastAsia" w:ascii="宋体" w:hAnsi="宋体" w:cs="宋体"/>
          <w:bCs/>
          <w:color w:val="auto"/>
          <w:szCs w:val="21"/>
        </w:rPr>
        <w:t xml:space="preserve">2026年</w:t>
      </w:r>
      <w:r>
        <w:rPr>
          <w:rFonts w:hint="eastAsia" w:ascii="宋体" w:hAnsi="宋体" w:cs="宋体"/>
          <w:bCs/>
          <w:color w:val="auto"/>
          <w:szCs w:val="21"/>
          <w:lang w:val="en-US" w:eastAsia="zh-CN"/>
        </w:rPr>
        <w:t xml:space="preserve">8</w:t>
      </w:r>
      <w:r>
        <w:rPr>
          <w:rFonts w:hint="eastAsia" w:ascii="宋体" w:hAnsi="宋体" w:cs="宋体"/>
          <w:bCs/>
          <w:color w:val="auto"/>
          <w:szCs w:val="21"/>
        </w:rPr>
        <w:t xml:space="preserve">月</w:t>
      </w:r>
      <w:r>
        <w:rPr>
          <w:rFonts w:hint="eastAsia" w:ascii="宋体" w:hAnsi="宋体" w:cs="宋体"/>
          <w:bCs/>
          <w:color w:val="auto"/>
          <w:szCs w:val="21"/>
          <w:lang w:val="en-US" w:eastAsia="zh-CN"/>
        </w:rPr>
        <w:t xml:space="preserve">10</w:t>
      </w:r>
      <w:r>
        <w:rPr>
          <w:rFonts w:hint="eastAsia" w:ascii="宋体" w:hAnsi="宋体" w:cs="宋体"/>
          <w:color w:val="auto"/>
          <w:szCs w:val="21"/>
        </w:rPr>
        <w:t xml:space="preserve">日</w:t>
      </w:r>
      <w:r>
        <w:rPr>
          <w:rFonts w:hint="eastAsia" w:ascii="宋体" w:hAnsi="宋体" w:cs="宋体"/>
          <w:color w:val="auto"/>
          <w:szCs w:val="21"/>
          <w:lang w:val="en-US" w:eastAsia="zh-CN"/>
        </w:rPr>
        <w:t xml:space="preserve">14</w:t>
      </w:r>
      <w:r>
        <w:rPr>
          <w:rFonts w:hint="eastAsia" w:ascii="宋体" w:hAnsi="宋体" w:cs="宋体"/>
          <w:color w:val="auto"/>
          <w:szCs w:val="21"/>
        </w:rPr>
        <w:t xml:space="preserve">:30（北京时间）；</w:t>
      </w:r>
      <w:r/>
    </w:p>
    <w:p>
      <w:pPr>
        <w:ind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3.远程CA解密时间：以开标时“苏采云”系统为准； </w:t>
      </w:r>
      <w:r/>
    </w:p>
    <w:p>
      <w:pPr>
        <w:ind w:firstLine="420"/>
        <w:keepLines w:val="0"/>
        <w:keepNext w:val="0"/>
        <w:pageBreakBefore w:val="0"/>
        <w:spacing w:line="360" w:lineRule="auto"/>
        <w:rPr>
          <w:rFonts w:hint="eastAsia" w:ascii="宋体" w:hAnsi="宋体" w:cs="宋体"/>
          <w:bCs/>
          <w:color w:val="auto"/>
          <w:szCs w:val="21"/>
        </w:rPr>
        <w:outlineLvl w:val="9"/>
      </w:pPr>
      <w:r>
        <w:rPr>
          <w:rFonts w:hint="eastAsia" w:ascii="宋体" w:hAnsi="宋体" w:cs="宋体"/>
          <w:bCs/>
          <w:color w:val="auto"/>
          <w:szCs w:val="21"/>
        </w:rPr>
        <w:t xml:space="preserve">4.开标地点：“苏采云”系统（网址：http://jszfcg.jsczt.cn/）。</w:t>
      </w:r>
      <w:r/>
    </w:p>
    <w:p>
      <w:pPr>
        <w:ind w:firstLine="422"/>
        <w:keepLines w:val="0"/>
        <w:keepNext w:val="0"/>
        <w:pageBreakBefore w:val="0"/>
        <w:spacing w:line="360" w:lineRule="auto"/>
        <w:rPr>
          <w:rFonts w:hint="eastAsia" w:ascii="宋体" w:hAnsi="宋体" w:cs="宋体"/>
          <w:b/>
          <w:bCs/>
          <w:color w:val="auto"/>
          <w:szCs w:val="21"/>
        </w:rPr>
        <w:outlineLvl w:val="9"/>
      </w:pPr>
      <w:r>
        <w:rPr>
          <w:rFonts w:hint="eastAsia" w:ascii="宋体" w:hAnsi="宋体" w:cs="宋体"/>
          <w:b/>
          <w:bCs/>
          <w:color w:val="auto"/>
          <w:szCs w:val="21"/>
        </w:rPr>
        <w:t xml:space="preserve">五、其它补充事宜</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1.CA证书办理</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2. 依法获取采购文件</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3.电子投标准备</w:t>
      </w:r>
      <w:r/>
    </w:p>
    <w:p>
      <w:pPr>
        <w:ind w:firstLine="420"/>
        <w:keepLines w:val="0"/>
        <w:keepNext w:val="0"/>
        <w:pageBreakBefore w:val="0"/>
        <w:spacing w:line="360" w:lineRule="auto"/>
        <w:widowControl w:val="off"/>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在系统操作过程中如有疑问，请按以下方式联系：</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注册咨询：18261002950；</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CA技术咨询电话：400-608-6099；</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签章使用问题：025-83633811、025-83633812、15380932027、15371015030；</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系统使用指导与咨询：联系电话：18261002950；QQ：3048755361、1315179389、895706745。</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4.远程开标支持计算机端，投标人可根据“《苏采云系统供应商操作手册》（网址链接https://czju.suzhou.gov.cn/zfcg/html/content/20231220161910031.shtml）进行操作。</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6.本项目以电子响应文件的内容为准，不再收取纸质响应文件及相关原件等纸质材料。</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7.响应人在参加政府采购活动时须遵守《昆山市政府采购供应商诚信管理办法》的相关规定。</w:t>
      </w:r>
      <w:r/>
    </w:p>
    <w:p>
      <w:pPr>
        <w:ind w:firstLine="420"/>
        <w:keepLines w:val="0"/>
        <w:keepNext w:val="0"/>
        <w:pageBreakBefore w:val="0"/>
        <w:spacing w:line="360" w:lineRule="auto"/>
        <w:rPr>
          <w:rFonts w:hint="eastAsia" w:ascii="宋体" w:hAnsi="宋体" w:cs="宋体"/>
          <w:color w:val="auto"/>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8.昆山市财政局监督电话：0512-57310854。</w:t>
      </w:r>
      <w:r/>
    </w:p>
    <w:p>
      <w:pPr>
        <w:ind w:firstLine="420"/>
        <w:keepLines w:val="0"/>
        <w:keepNext w:val="0"/>
        <w:pageBreakBefore w:val="0"/>
        <w:spacing w:line="360" w:lineRule="auto"/>
        <w:rPr>
          <w:color w:val="auto"/>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rPr>
        <w:t xml:space="preserve">9.中标服务费：</w:t>
      </w:r>
      <w:r>
        <w:rPr>
          <w:rFonts w:hint="eastAsia" w:ascii="宋体" w:hAnsi="宋体" w:cs="宋体"/>
          <w:color w:val="auto"/>
          <w:lang w:val="en-US" w:eastAsia="zh-CN"/>
        </w:rPr>
        <w:t xml:space="preserve">此项目中标服务费由成交单位支付，</w:t>
      </w:r>
      <w:r>
        <w:rPr>
          <w:rFonts w:hint="eastAsia" w:ascii="宋体" w:hAnsi="宋体" w:cs="宋体"/>
          <w:color w:val="auto"/>
        </w:rPr>
        <w:t xml:space="preserve">以差额累计法收费（按预算金额100万元以下，收取1.5%；100-500万元，收取1.1%；500-1000万元，收取0.8%；1000-5000万元，收取0.5%；5000-10000万元，收取0.25%）。</w:t>
      </w:r>
      <w:r/>
    </w:p>
    <w:p>
      <w:pPr>
        <w:ind w:firstLine="422"/>
        <w:keepLines w:val="0"/>
        <w:keepNext w:val="0"/>
        <w:pageBreakBefore w:val="0"/>
        <w:spacing w:line="360" w:lineRule="auto"/>
        <w:rPr>
          <w:rFonts w:hint="eastAsia" w:ascii="宋体" w:hAnsi="宋体" w:cs="宋体"/>
          <w:b/>
          <w:bCs/>
          <w:color w:val="auto"/>
          <w:szCs w:val="21"/>
        </w:rPr>
        <w:outlineLvl w:val="9"/>
      </w:pPr>
      <w:r>
        <w:rPr>
          <w:rFonts w:hint="eastAsia" w:ascii="宋体" w:hAnsi="宋体" w:cs="宋体"/>
          <w:b/>
          <w:bCs/>
          <w:color w:val="auto"/>
          <w:szCs w:val="21"/>
        </w:rPr>
        <w:t xml:space="preserve">七、联系事项</w:t>
      </w:r>
      <w:r/>
    </w:p>
    <w:p>
      <w:pPr>
        <w:ind w:right="-359" w:firstLine="420"/>
        <w:keepLines w:val="0"/>
        <w:keepNext w:val="0"/>
        <w:pageBreakBefore w:val="0"/>
        <w:spacing w:line="360" w:lineRule="auto"/>
        <w:rPr>
          <w:rFonts w:hint="eastAsia" w:ascii="宋体" w:hAnsi="宋体" w:eastAsia="宋体" w:cs="宋体"/>
          <w:color w:val="auto"/>
          <w:szCs w:val="21"/>
          <w:shd w:val="clear" w:color="auto" w:fill="ffffff"/>
          <w:lang w:eastAsia="zh-CN"/>
        </w:rPr>
        <w:outlineLvl w:val="9"/>
      </w:pPr>
      <w:r>
        <w:rPr>
          <w:rFonts w:hint="eastAsia" w:ascii="宋体" w:hAnsi="宋体" w:cs="宋体"/>
          <w:color w:val="auto"/>
          <w:szCs w:val="21"/>
        </w:rPr>
        <w:t xml:space="preserve">1.采购人：</w:t>
      </w:r>
      <w:r>
        <w:rPr>
          <w:rFonts w:hint="eastAsia" w:ascii="宋体" w:hAnsi="宋体" w:cs="宋体"/>
          <w:color w:val="auto"/>
          <w:szCs w:val="21"/>
          <w:shd w:val="clear" w:color="auto" w:fill="ffffff"/>
          <w:lang w:eastAsia="zh-CN"/>
        </w:rPr>
        <w:t xml:space="preserve">昆山市周市镇人民政府</w:t>
      </w:r>
      <w:r/>
    </w:p>
    <w:p>
      <w:pPr>
        <w:ind w:right="-359"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2.联系人：</w:t>
      </w:r>
      <w:r>
        <w:rPr>
          <w:rFonts w:hint="eastAsia" w:ascii="宋体" w:hAnsi="宋体" w:cs="宋体"/>
          <w:color w:val="auto"/>
          <w:szCs w:val="21"/>
          <w:lang w:val="en-US" w:eastAsia="zh-CN"/>
        </w:rPr>
        <w:t xml:space="preserve">胡勇</w:t>
      </w:r>
      <w:r>
        <w:rPr>
          <w:rFonts w:hint="eastAsia" w:ascii="宋体" w:hAnsi="宋体" w:cs="宋体"/>
          <w:color w:val="auto"/>
          <w:szCs w:val="21"/>
        </w:rPr>
        <w:t xml:space="preserve">           联系电话：</w:t>
      </w:r>
      <w:r>
        <w:rPr>
          <w:rFonts w:hint="eastAsia" w:ascii="宋体" w:hAnsi="宋体" w:cs="宋体"/>
          <w:color w:val="auto"/>
          <w:szCs w:val="21"/>
          <w:lang w:val="en-US" w:eastAsia="zh-CN"/>
        </w:rPr>
        <w:t xml:space="preserve">0512-55179056</w:t>
      </w:r>
      <w:r>
        <w:rPr>
          <w:rFonts w:hint="eastAsia" w:ascii="宋体" w:hAnsi="宋体" w:cs="宋体"/>
          <w:color w:val="auto"/>
          <w:szCs w:val="21"/>
        </w:rPr>
        <w:t xml:space="preserve">   </w:t>
      </w:r>
      <w:r/>
    </w:p>
    <w:p>
      <w:pPr>
        <w:ind w:right="-359"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3.招标代理机构名称：</w:t>
      </w:r>
      <w:r>
        <w:rPr>
          <w:rFonts w:hint="eastAsia" w:ascii="宋体" w:hAnsi="宋体" w:cs="宋体"/>
          <w:color w:val="auto"/>
          <w:szCs w:val="21"/>
          <w:lang w:eastAsia="zh-CN"/>
        </w:rPr>
        <w:t xml:space="preserve">苏州立诚建设管理咨询有限公司</w:t>
      </w:r>
      <w:r>
        <w:rPr>
          <w:rFonts w:hint="eastAsia" w:ascii="宋体" w:hAnsi="宋体" w:cs="宋体"/>
          <w:color w:val="auto"/>
          <w:szCs w:val="21"/>
        </w:rPr>
        <w:t xml:space="preserve"> </w:t>
      </w:r>
      <w:r/>
    </w:p>
    <w:p>
      <w:pPr>
        <w:ind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地址：</w:t>
      </w:r>
      <w:r>
        <w:rPr>
          <w:rFonts w:hint="eastAsia" w:ascii="宋体" w:hAnsi="宋体" w:cs="宋体"/>
          <w:color w:val="auto"/>
          <w:szCs w:val="21"/>
          <w:lang w:eastAsia="zh-CN"/>
        </w:rPr>
        <w:t xml:space="preserve">昆山市震川西路111号名仕大厦6楼602室</w:t>
      </w:r>
      <w:r/>
    </w:p>
    <w:p>
      <w:pPr>
        <w:ind w:right="-252" w:firstLine="420"/>
        <w:keepLines w:val="0"/>
        <w:keepNext w:val="0"/>
        <w:pageBreakBefore w:val="0"/>
        <w:spacing w:line="360" w:lineRule="auto"/>
        <w:rPr>
          <w:rFonts w:hint="eastAsia" w:ascii="宋体" w:hAnsi="宋体" w:eastAsia="宋体" w:cs="宋体"/>
          <w:color w:val="auto"/>
          <w:szCs w:val="21"/>
          <w:lang w:eastAsia="zh-CN"/>
        </w:rPr>
        <w:outlineLvl w:val="9"/>
      </w:pPr>
      <w:r>
        <w:rPr>
          <w:rFonts w:hint="eastAsia" w:ascii="宋体" w:hAnsi="宋体" w:cs="宋体"/>
          <w:color w:val="auto"/>
          <w:szCs w:val="21"/>
        </w:rPr>
        <w:t xml:space="preserve">联系电话：</w:t>
      </w:r>
      <w:r>
        <w:rPr>
          <w:rFonts w:hint="eastAsia" w:ascii="宋体" w:hAnsi="宋体" w:cs="宋体"/>
          <w:color w:val="auto"/>
          <w:szCs w:val="21"/>
          <w:lang w:eastAsia="zh-CN"/>
        </w:rPr>
        <w:t xml:space="preserve">0512-57965910</w:t>
      </w:r>
      <w:r/>
    </w:p>
    <w:p>
      <w:pPr>
        <w:ind w:right="-252" w:firstLine="420"/>
        <w:keepLines w:val="0"/>
        <w:keepNext w:val="0"/>
        <w:pageBreakBefore w:val="0"/>
        <w:spacing w:line="360" w:lineRule="auto"/>
        <w:rPr>
          <w:rFonts w:hint="default" w:ascii="宋体" w:hAnsi="宋体" w:eastAsia="宋体" w:cs="宋体"/>
          <w:color w:val="auto"/>
          <w:szCs w:val="21"/>
          <w:lang w:val="en-US" w:eastAsia="zh-CN"/>
        </w:rPr>
        <w:outlineLvl w:val="9"/>
      </w:pPr>
      <w:r>
        <w:rPr>
          <w:rFonts w:hint="eastAsia" w:ascii="宋体" w:hAnsi="宋体" w:cs="宋体"/>
          <w:color w:val="auto"/>
          <w:szCs w:val="21"/>
        </w:rPr>
        <w:t xml:space="preserve">联系人：</w:t>
      </w:r>
      <w:r>
        <w:rPr>
          <w:rFonts w:hint="eastAsia" w:ascii="宋体" w:hAnsi="宋体" w:cs="宋体"/>
          <w:color w:val="auto"/>
          <w:szCs w:val="21"/>
          <w:lang w:val="en-US" w:eastAsia="zh-CN"/>
        </w:rPr>
        <w:t xml:space="preserve">赵捷、张瑞玲</w:t>
      </w:r>
      <w:r/>
    </w:p>
    <w:p>
      <w:pPr>
        <w:ind w:firstLine="422"/>
        <w:keepLines w:val="0"/>
        <w:keepNext w:val="0"/>
        <w:pageBreakBefore w:val="0"/>
        <w:spacing w:line="360" w:lineRule="auto"/>
        <w:rPr>
          <w:rFonts w:hint="eastAsia" w:ascii="宋体" w:hAnsi="宋体" w:cs="宋体"/>
          <w:b/>
          <w:bCs/>
          <w:color w:val="auto"/>
          <w:szCs w:val="21"/>
        </w:rPr>
        <w:outlineLvl w:val="9"/>
      </w:pPr>
      <w:r>
        <w:rPr>
          <w:rFonts w:hint="eastAsia" w:ascii="宋体" w:hAnsi="宋体" w:cs="宋体"/>
          <w:b/>
          <w:color w:val="auto"/>
          <w:szCs w:val="21"/>
        </w:rPr>
        <w:t xml:space="preserve">八、投标人中标后注意事项</w:t>
      </w:r>
      <w:r/>
    </w:p>
    <w:p>
      <w:pPr>
        <w:ind w:firstLine="420"/>
        <w:keepLines w:val="0"/>
        <w:keepNext w:val="0"/>
        <w:pageBreakBefore w:val="0"/>
        <w:spacing w:line="360" w:lineRule="auto"/>
        <w:rPr>
          <w:rFonts w:hint="eastAsia" w:ascii="宋体" w:hAnsi="宋体" w:cs="宋体"/>
          <w:bCs/>
          <w:color w:val="auto"/>
          <w:szCs w:val="21"/>
        </w:rPr>
        <w:outlineLvl w:val="9"/>
      </w:pPr>
      <w:r>
        <w:rPr>
          <w:rFonts w:hint="eastAsia" w:ascii="宋体" w:hAnsi="宋体" w:cs="宋体"/>
          <w:bCs/>
          <w:color w:val="auto"/>
          <w:szCs w:val="21"/>
        </w:rPr>
        <w:t xml:space="preserve">1.</w:t>
      </w:r>
      <w:r>
        <w:rPr>
          <w:rFonts w:hint="eastAsia" w:ascii="宋体" w:hAnsi="宋体" w:cs="宋体"/>
          <w:color w:val="auto"/>
          <w:szCs w:val="21"/>
        </w:rPr>
        <w:t xml:space="preserve">请将《成交信息》（word档）与《报价分析表》（word档）务必于一个工作日内</w:t>
      </w:r>
      <w:r>
        <w:rPr>
          <w:rFonts w:hint="eastAsia" w:ascii="宋体" w:hAnsi="宋体" w:cs="宋体"/>
          <w:bCs/>
          <w:color w:val="auto"/>
          <w:szCs w:val="21"/>
        </w:rPr>
        <w:t xml:space="preserve">发至</w:t>
      </w:r>
      <w:r>
        <w:rPr>
          <w:rFonts w:hint="eastAsia" w:ascii="宋体" w:hAnsi="宋体" w:cs="宋体"/>
          <w:color w:val="auto"/>
          <w:szCs w:val="21"/>
          <w:lang w:val="en-US" w:eastAsia="zh-CN"/>
        </w:rPr>
        <w:t xml:space="preserve">497457569</w:t>
      </w:r>
      <w:r>
        <w:rPr>
          <w:rFonts w:hint="eastAsia" w:ascii="宋体" w:hAnsi="宋体" w:cs="宋体"/>
          <w:color w:val="auto"/>
          <w:szCs w:val="21"/>
        </w:rPr>
        <w:t xml:space="preserve">@qq.com邮箱，联系电话：</w:t>
      </w:r>
      <w:r>
        <w:rPr>
          <w:rFonts w:hint="eastAsia" w:ascii="宋体" w:hAnsi="宋体" w:cs="宋体"/>
          <w:color w:val="auto"/>
          <w:szCs w:val="21"/>
          <w:lang w:eastAsia="zh-CN"/>
        </w:rPr>
        <w:t xml:space="preserve">0512-57965910</w:t>
      </w:r>
      <w:r>
        <w:rPr>
          <w:rFonts w:hint="eastAsia" w:ascii="宋体" w:hAnsi="宋体" w:cs="宋体"/>
          <w:bCs/>
          <w:color w:val="auto"/>
          <w:szCs w:val="21"/>
        </w:rPr>
        <w:t xml:space="preserve">。</w:t>
      </w:r>
      <w:r/>
    </w:p>
    <w:p>
      <w:pPr>
        <w:ind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2.成交公告公示期满7个工作日后，成交供应商可在苏采云系统内完成合同下载和签订，具体操作详见《苏采云系统供应商操作手册》；</w:t>
      </w:r>
      <w:r/>
    </w:p>
    <w:p>
      <w:pPr>
        <w:ind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t xml:space="preserve">3.采购人与成交供应商应当在成交通知书发出之日起30日内，按照采购文件和响应文件的要求签订合同。</w:t>
      </w:r>
      <w:r/>
    </w:p>
    <w:p>
      <w:pPr>
        <w:ind w:firstLine="420"/>
        <w:keepLines w:val="0"/>
        <w:keepNext w:val="0"/>
        <w:pageBreakBefore w:val="0"/>
        <w:spacing w:line="360" w:lineRule="auto"/>
        <w:rPr>
          <w:rFonts w:hint="eastAsia" w:ascii="宋体" w:hAnsi="宋体" w:cs="宋体"/>
          <w:color w:val="auto"/>
          <w:szCs w:val="21"/>
        </w:rPr>
        <w:outlineLvl w:val="9"/>
      </w:pPr>
      <w:r>
        <w:rPr>
          <w:rFonts w:hint="eastAsia" w:ascii="宋体" w:hAnsi="宋体" w:cs="宋体"/>
          <w:color w:val="auto"/>
          <w:szCs w:val="21"/>
        </w:rPr>
      </w:r>
      <w:r/>
    </w:p>
    <w:p>
      <w:pPr>
        <w:pStyle w:val="1042"/>
        <w:ind w:firstLine="228"/>
        <w:keepNext w:val="0"/>
        <w:rPr>
          <w:rFonts w:ascii="宋体" w:hAnsi="宋体"/>
          <w:b/>
          <w:color w:val="auto"/>
          <w:sz w:val="30"/>
          <w:szCs w:val="30"/>
        </w:rPr>
      </w:pPr>
      <w:r>
        <w:rPr>
          <w:b/>
          <w:bCs/>
          <w:color w:val="auto"/>
        </w:rPr>
        <w:br w:type="page" w:clear="all"/>
      </w:r>
      <w:r>
        <w:rPr>
          <w:rFonts w:hint="eastAsia" w:ascii="宋体" w:hAnsi="宋体"/>
          <w:b/>
          <w:color w:val="auto"/>
          <w:sz w:val="30"/>
          <w:szCs w:val="30"/>
        </w:rPr>
        <w:t xml:space="preserve">第二章、竞争性谈判文件要求</w:t>
      </w:r>
      <w:r/>
    </w:p>
    <w:p>
      <w:pPr>
        <w:pStyle w:val="1063"/>
        <w:ind w:firstLine="422"/>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一、采购说明</w:t>
      </w:r>
      <w:r/>
    </w:p>
    <w:p>
      <w:pPr>
        <w:pStyle w:val="1063"/>
        <w:ind w:firstLine="422"/>
        <w:spacing w:line="360" w:lineRule="auto"/>
        <w:rPr>
          <w:rFonts w:ascii="宋体" w:hAnsi="宋体" w:eastAsia="宋体"/>
          <w:color w:val="auto"/>
          <w:sz w:val="21"/>
          <w:szCs w:val="21"/>
        </w:rPr>
      </w:pPr>
      <w:r>
        <w:rPr>
          <w:rFonts w:ascii="宋体" w:hAnsi="宋体" w:eastAsia="宋体"/>
          <w:color w:val="auto"/>
          <w:sz w:val="21"/>
          <w:szCs w:val="21"/>
        </w:rPr>
        <w:t xml:space="preserve">1.</w:t>
      </w:r>
      <w:r>
        <w:rPr>
          <w:rFonts w:hint="eastAsia" w:ascii="宋体" w:hAnsi="宋体" w:eastAsia="宋体"/>
          <w:color w:val="auto"/>
          <w:sz w:val="21"/>
          <w:szCs w:val="21"/>
        </w:rPr>
        <w:t xml:space="preserve">本谈判文件仅适用于</w:t>
      </w:r>
      <w:r>
        <w:rPr>
          <w:rFonts w:hint="eastAsia" w:ascii="宋体" w:hAnsi="宋体" w:eastAsia="宋体"/>
          <w:color w:val="auto"/>
          <w:sz w:val="21"/>
          <w:szCs w:val="21"/>
          <w:lang w:eastAsia="zh-CN"/>
        </w:rPr>
        <w:t xml:space="preserve">苏州立诚建设管理咨询有限公司</w:t>
      </w:r>
      <w:r>
        <w:rPr>
          <w:rFonts w:hint="eastAsia" w:ascii="宋体" w:hAnsi="宋体" w:eastAsia="宋体"/>
          <w:color w:val="auto"/>
          <w:sz w:val="21"/>
          <w:szCs w:val="21"/>
        </w:rPr>
        <w:t xml:space="preserve">组织的采购活动。</w:t>
      </w:r>
      <w:r/>
    </w:p>
    <w:p>
      <w:pPr>
        <w:pStyle w:val="1063"/>
        <w:ind w:firstLine="422"/>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本次采购活动及因本次采购活动产生的合同受中国法律制约和保护。</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3</w:t>
      </w:r>
      <w:r>
        <w:rPr>
          <w:rFonts w:ascii="宋体" w:hAnsi="宋体" w:eastAsia="宋体"/>
          <w:color w:val="auto"/>
          <w:sz w:val="21"/>
          <w:szCs w:val="21"/>
        </w:rPr>
        <w:t xml:space="preserve">.</w:t>
      </w:r>
      <w:r>
        <w:rPr>
          <w:rFonts w:hint="eastAsia" w:ascii="宋体" w:hAnsi="宋体" w:eastAsia="宋体"/>
          <w:color w:val="auto"/>
          <w:sz w:val="21"/>
          <w:szCs w:val="21"/>
        </w:rPr>
        <w:t xml:space="preserve">本谈判文件的解释权属于</w:t>
      </w:r>
      <w:r>
        <w:rPr>
          <w:rFonts w:hint="eastAsia" w:ascii="宋体" w:hAnsi="宋体" w:eastAsia="宋体"/>
          <w:color w:val="auto"/>
          <w:sz w:val="21"/>
          <w:szCs w:val="21"/>
          <w:lang w:eastAsia="zh-CN"/>
        </w:rPr>
        <w:t xml:space="preserve">苏州立诚建设管理咨询有限公司</w:t>
      </w:r>
      <w:r>
        <w:rPr>
          <w:rFonts w:hint="eastAsia" w:ascii="宋体" w:hAnsi="宋体" w:eastAsia="宋体"/>
          <w:color w:val="auto"/>
          <w:sz w:val="21"/>
          <w:szCs w:val="21"/>
        </w:rPr>
        <w:t xml:space="preserve">。</w:t>
      </w:r>
      <w:r/>
    </w:p>
    <w:p>
      <w:pPr>
        <w:ind w:firstLine="422"/>
        <w:spacing w:line="360" w:lineRule="auto"/>
        <w:rPr>
          <w:rFonts w:ascii="宋体" w:hAnsi="宋体"/>
          <w:b/>
          <w:color w:val="auto"/>
          <w:szCs w:val="21"/>
        </w:rPr>
      </w:pPr>
      <w:r>
        <w:rPr>
          <w:rFonts w:hint="eastAsia" w:ascii="宋体" w:hAnsi="宋体"/>
          <w:b/>
          <w:color w:val="auto"/>
          <w:szCs w:val="21"/>
        </w:rPr>
        <w:t xml:space="preserve">二、响应文件说明</w:t>
      </w:r>
      <w:r/>
    </w:p>
    <w:p>
      <w:pPr>
        <w:ind w:firstLine="422"/>
        <w:spacing w:line="360" w:lineRule="auto"/>
        <w:rPr>
          <w:rFonts w:ascii="宋体" w:hAnsi="宋体"/>
          <w:b/>
          <w:color w:val="auto"/>
          <w:szCs w:val="21"/>
        </w:rPr>
      </w:pPr>
      <w:r>
        <w:rPr>
          <w:rFonts w:hint="eastAsia" w:ascii="宋体" w:hAnsi="宋体"/>
          <w:b/>
          <w:color w:val="auto"/>
          <w:szCs w:val="21"/>
        </w:rPr>
        <w:t xml:space="preserve">（一）响应文件计量单位和使用文字</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1.响应文件中所使用的计量单位，除谈判文件中有特殊要求外，应采用国家法定计量单位。</w:t>
      </w:r>
      <w:r/>
    </w:p>
    <w:p>
      <w:pPr>
        <w:ind w:firstLine="422"/>
        <w:spacing w:line="360" w:lineRule="auto"/>
        <w:rPr>
          <w:rFonts w:ascii="宋体" w:hAnsi="宋体"/>
          <w:color w:val="auto"/>
          <w:szCs w:val="21"/>
        </w:rPr>
      </w:pPr>
      <w:r>
        <w:rPr>
          <w:rFonts w:hint="eastAsia" w:ascii="宋体" w:hAnsi="宋体"/>
          <w:color w:val="auto"/>
          <w:szCs w:val="21"/>
        </w:rPr>
        <w:t xml:space="preserve">2.响应文件应使用中文编制，响应文件中必须使用其他文字的，必须附有中文译本，</w:t>
      </w:r>
      <w:r>
        <w:rPr>
          <w:rFonts w:hint="eastAsia" w:ascii="宋体" w:hAnsi="宋体"/>
          <w:color w:val="auto"/>
          <w:szCs w:val="21"/>
          <w:lang w:val="zh-CN"/>
        </w:rPr>
        <w:t xml:space="preserve">对不同文本响应文件的解释发生异议的，以中文文本为准。</w:t>
      </w:r>
      <w:r>
        <w:rPr>
          <w:rFonts w:hint="eastAsia" w:ascii="宋体" w:hAnsi="宋体"/>
          <w:color w:val="auto"/>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auto"/>
          <w:szCs w:val="21"/>
        </w:rPr>
      </w:pPr>
      <w:r>
        <w:rPr>
          <w:rFonts w:hint="eastAsia" w:ascii="宋体" w:hAnsi="宋体"/>
          <w:b/>
          <w:color w:val="auto"/>
          <w:szCs w:val="21"/>
        </w:rPr>
        <w:t xml:space="preserve">（二）响应文件编制说明</w:t>
      </w:r>
      <w:r/>
    </w:p>
    <w:p>
      <w:pPr>
        <w:ind w:firstLine="422"/>
        <w:spacing w:line="360" w:lineRule="auto"/>
        <w:rPr>
          <w:rFonts w:ascii="宋体" w:hAnsi="宋体"/>
          <w:color w:val="auto"/>
          <w:szCs w:val="21"/>
        </w:rPr>
      </w:pPr>
      <w:r>
        <w:rPr>
          <w:rFonts w:hint="eastAsia" w:ascii="宋体" w:hAnsi="宋体"/>
          <w:color w:val="auto"/>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（三）响应文件的有效期</w:t>
      </w:r>
      <w:r/>
    </w:p>
    <w:p>
      <w:pPr>
        <w:ind w:firstLine="422"/>
        <w:spacing w:line="360" w:lineRule="auto"/>
        <w:rPr>
          <w:rFonts w:ascii="宋体" w:hAnsi="宋体"/>
          <w:color w:val="auto"/>
          <w:szCs w:val="21"/>
        </w:rPr>
      </w:pPr>
      <w:r>
        <w:rPr>
          <w:rFonts w:hint="eastAsia" w:ascii="宋体" w:hAnsi="宋体"/>
          <w:color w:val="auto"/>
          <w:szCs w:val="21"/>
        </w:rPr>
        <w:t xml:space="preserve">自开标日起三个月内，响应文件应保持有效。有效期短于这个规定期限的响应，将被认定为未实质性响应谈判文件要求。</w:t>
      </w:r>
      <w:r/>
    </w:p>
    <w:p>
      <w:pPr>
        <w:numPr>
          <w:ilvl w:val="0"/>
          <w:numId w:val="2"/>
        </w:numPr>
        <w:ind w:left="0" w:firstLine="422"/>
        <w:spacing w:line="360" w:lineRule="auto"/>
        <w:rPr>
          <w:rFonts w:hint="eastAsia" w:ascii="宋体" w:hAnsi="宋体"/>
          <w:b/>
          <w:color w:val="auto"/>
          <w:szCs w:val="21"/>
        </w:rPr>
      </w:pPr>
      <w:r>
        <w:rPr>
          <w:rFonts w:hint="eastAsia" w:ascii="宋体" w:hAnsi="宋体"/>
          <w:b/>
          <w:color w:val="auto"/>
          <w:szCs w:val="21"/>
        </w:rPr>
        <w:t xml:space="preserve">响应报价</w:t>
      </w:r>
      <w:r/>
    </w:p>
    <w:p>
      <w:pPr>
        <w:pStyle w:val="1257"/>
        <w:ind w:firstLine="422"/>
        <w:spacing w:line="360" w:lineRule="auto"/>
        <w:tabs>
          <w:tab w:val="left" w:pos="0" w:leader="none"/>
        </w:tabs>
        <w:rPr>
          <w:rFonts w:ascii="宋体" w:hAnsi="宋体"/>
          <w:color w:val="auto"/>
          <w:szCs w:val="21"/>
        </w:rPr>
      </w:pPr>
      <w:r>
        <w:rPr>
          <w:rFonts w:hint="eastAsia" w:ascii="宋体" w:hAnsi="宋体"/>
          <w:color w:val="auto"/>
          <w:szCs w:val="21"/>
        </w:rPr>
        <w:t xml:space="preserve">1.响应</w:t>
      </w:r>
      <w:r>
        <w:rPr>
          <w:rFonts w:ascii="宋体" w:hAnsi="宋体"/>
          <w:color w:val="auto"/>
          <w:szCs w:val="21"/>
        </w:rPr>
        <w:t xml:space="preserve">报价应包括为提供本合同约定的</w:t>
      </w:r>
      <w:r>
        <w:rPr>
          <w:rFonts w:hint="eastAsia" w:ascii="宋体" w:hAnsi="宋体"/>
          <w:color w:val="auto"/>
          <w:szCs w:val="21"/>
        </w:rPr>
        <w:t xml:space="preserve">采购</w:t>
      </w:r>
      <w:r>
        <w:rPr>
          <w:rFonts w:ascii="宋体" w:hAnsi="宋体"/>
          <w:color w:val="auto"/>
          <w:szCs w:val="21"/>
        </w:rPr>
        <w:t xml:space="preserve">货物及</w:t>
      </w:r>
      <w:r>
        <w:rPr>
          <w:rFonts w:hint="eastAsia" w:ascii="宋体" w:hAnsi="宋体"/>
          <w:color w:val="auto"/>
          <w:szCs w:val="21"/>
        </w:rPr>
        <w:t xml:space="preserve">与</w:t>
      </w:r>
      <w:r>
        <w:rPr>
          <w:rFonts w:ascii="宋体" w:hAnsi="宋体"/>
          <w:color w:val="auto"/>
          <w:szCs w:val="21"/>
        </w:rPr>
        <w:t xml:space="preserve">其相关的</w:t>
      </w:r>
      <w:r>
        <w:rPr>
          <w:rFonts w:hint="eastAsia" w:ascii="宋体" w:hAnsi="宋体"/>
          <w:color w:val="auto"/>
          <w:szCs w:val="21"/>
        </w:rPr>
        <w:t xml:space="preserve">所</w:t>
      </w:r>
      <w:r>
        <w:rPr>
          <w:rFonts w:ascii="宋体" w:hAnsi="宋体"/>
          <w:color w:val="auto"/>
          <w:szCs w:val="21"/>
        </w:rPr>
        <w:t xml:space="preserve">有</w:t>
      </w:r>
      <w:r>
        <w:rPr>
          <w:rFonts w:hint="eastAsia" w:ascii="宋体" w:hAnsi="宋体"/>
          <w:color w:val="auto"/>
          <w:szCs w:val="21"/>
        </w:rPr>
        <w:t xml:space="preserve">服务</w:t>
      </w:r>
      <w:r>
        <w:rPr>
          <w:rFonts w:ascii="宋体" w:hAnsi="宋体"/>
          <w:color w:val="auto"/>
          <w:szCs w:val="21"/>
        </w:rPr>
        <w:t xml:space="preserve">而发生的一切成本</w:t>
      </w:r>
      <w:r>
        <w:rPr>
          <w:rFonts w:hint="eastAsia" w:ascii="宋体" w:hAnsi="宋体"/>
          <w:color w:val="auto"/>
          <w:szCs w:val="21"/>
        </w:rPr>
        <w:t xml:space="preserve">、</w:t>
      </w:r>
      <w:r>
        <w:rPr>
          <w:rFonts w:ascii="宋体" w:hAnsi="宋体"/>
          <w:color w:val="auto"/>
          <w:szCs w:val="21"/>
        </w:rPr>
        <w:t xml:space="preserve">费用</w:t>
      </w:r>
      <w:r>
        <w:rPr>
          <w:rFonts w:hint="eastAsia" w:ascii="宋体" w:hAnsi="宋体"/>
          <w:color w:val="auto"/>
          <w:szCs w:val="21"/>
        </w:rPr>
        <w:t xml:space="preserve">、</w:t>
      </w:r>
      <w:r>
        <w:rPr>
          <w:rFonts w:ascii="宋体" w:hAnsi="宋体"/>
          <w:color w:val="auto"/>
          <w:szCs w:val="21"/>
        </w:rPr>
        <w:t xml:space="preserve">支出及合</w:t>
      </w:r>
      <w:r>
        <w:rPr>
          <w:rFonts w:hint="eastAsia" w:ascii="宋体" w:hAnsi="宋体"/>
          <w:color w:val="auto"/>
          <w:szCs w:val="21"/>
        </w:rPr>
        <w:t xml:space="preserve">理</w:t>
      </w:r>
      <w:r>
        <w:rPr>
          <w:rFonts w:ascii="宋体" w:hAnsi="宋体"/>
          <w:color w:val="auto"/>
          <w:szCs w:val="21"/>
        </w:rPr>
        <w:t xml:space="preserve">利润。除非合同条款中另有规定，</w:t>
      </w:r>
      <w:r>
        <w:rPr>
          <w:rFonts w:hint="eastAsia" w:ascii="宋体" w:hAnsi="宋体"/>
          <w:color w:val="auto"/>
          <w:szCs w:val="21"/>
        </w:rPr>
        <w:t xml:space="preserve">供应商</w:t>
      </w:r>
      <w:r>
        <w:rPr>
          <w:rFonts w:ascii="宋体" w:hAnsi="宋体"/>
          <w:color w:val="auto"/>
          <w:szCs w:val="21"/>
        </w:rPr>
        <w:t xml:space="preserve">所报价格在合同实施期间不因市场变化因素而变动。</w:t>
      </w:r>
      <w:r/>
    </w:p>
    <w:p>
      <w:pPr>
        <w:pStyle w:val="1257"/>
        <w:ind w:firstLine="422"/>
        <w:spacing w:line="360" w:lineRule="auto"/>
        <w:tabs>
          <w:tab w:val="left" w:pos="0" w:leader="none"/>
        </w:tabs>
        <w:rPr>
          <w:rFonts w:ascii="宋体" w:hAnsi="宋体"/>
          <w:color w:val="auto"/>
          <w:szCs w:val="21"/>
        </w:rPr>
      </w:pPr>
      <w:r>
        <w:rPr>
          <w:rFonts w:hint="eastAsia" w:ascii="宋体" w:hAnsi="宋体"/>
          <w:color w:val="auto"/>
          <w:szCs w:val="21"/>
        </w:rPr>
        <w:t xml:space="preserve">2.如果谈判文件要求分标段投标的，则</w:t>
      </w:r>
      <w:r>
        <w:rPr>
          <w:rFonts w:ascii="宋体" w:hAnsi="宋体"/>
          <w:color w:val="auto"/>
          <w:szCs w:val="21"/>
        </w:rPr>
        <w:t xml:space="preserve">供应商</w:t>
      </w:r>
      <w:r>
        <w:rPr>
          <w:rFonts w:hint="eastAsia" w:ascii="宋体" w:hAnsi="宋体"/>
          <w:color w:val="auto"/>
          <w:szCs w:val="21"/>
        </w:rPr>
        <w:t xml:space="preserve">可以根据自身经营许可范围，选择</w:t>
      </w:r>
      <w:r>
        <w:rPr>
          <w:rFonts w:ascii="宋体" w:hAnsi="宋体"/>
          <w:color w:val="auto"/>
          <w:szCs w:val="21"/>
        </w:rPr>
        <w:t xml:space="preserve">响应</w:t>
      </w:r>
      <w:r>
        <w:rPr>
          <w:rFonts w:hint="eastAsia" w:ascii="宋体" w:hAnsi="宋体"/>
          <w:color w:val="auto"/>
          <w:szCs w:val="21"/>
        </w:rPr>
        <w:t xml:space="preserve">其中部分或者全部标段，但各标段应分别计算填写单价和总价。</w:t>
      </w:r>
      <w:r/>
    </w:p>
    <w:p>
      <w:pPr>
        <w:pStyle w:val="1257"/>
        <w:ind w:firstLine="422"/>
        <w:spacing w:line="360" w:lineRule="auto"/>
        <w:tabs>
          <w:tab w:val="left" w:pos="0" w:leader="none"/>
        </w:tabs>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供应商应对</w:t>
      </w:r>
      <w:r>
        <w:rPr>
          <w:rFonts w:hint="eastAsia" w:ascii="宋体" w:hAnsi="宋体"/>
          <w:color w:val="auto"/>
          <w:szCs w:val="21"/>
        </w:rPr>
        <w:t xml:space="preserve">谈判文件内所要采购的</w:t>
      </w:r>
      <w:r>
        <w:rPr>
          <w:rFonts w:ascii="宋体" w:hAnsi="宋体"/>
          <w:color w:val="auto"/>
          <w:szCs w:val="21"/>
        </w:rPr>
        <w:t xml:space="preserve">的全部内容进行报价，只对其中部分内容报价的，响应无效。</w:t>
      </w:r>
      <w:r/>
    </w:p>
    <w:p>
      <w:pPr>
        <w:pStyle w:val="1257"/>
        <w:ind w:firstLine="422"/>
        <w:spacing w:line="360" w:lineRule="auto"/>
        <w:tabs>
          <w:tab w:val="left" w:pos="0"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一项采购内容只允许一个报价，任何有选择性</w:t>
      </w:r>
      <w:r>
        <w:rPr>
          <w:rFonts w:hint="eastAsia" w:ascii="宋体" w:hAnsi="宋体"/>
          <w:color w:val="auto"/>
          <w:szCs w:val="21"/>
        </w:rPr>
        <w:t xml:space="preserve">响应</w:t>
      </w:r>
      <w:r>
        <w:rPr>
          <w:rFonts w:ascii="宋体" w:hAnsi="宋体"/>
          <w:color w:val="auto"/>
          <w:szCs w:val="21"/>
        </w:rPr>
        <w:t xml:space="preserve">报价</w:t>
      </w:r>
      <w:r>
        <w:rPr>
          <w:rFonts w:hint="eastAsia" w:ascii="宋体" w:hAnsi="宋体"/>
          <w:color w:val="auto"/>
          <w:szCs w:val="21"/>
        </w:rPr>
        <w:t xml:space="preserve">的</w:t>
      </w:r>
      <w:r>
        <w:rPr>
          <w:rFonts w:ascii="宋体" w:hAnsi="宋体"/>
          <w:color w:val="auto"/>
          <w:szCs w:val="21"/>
        </w:rPr>
        <w:t xml:space="preserve">，</w:t>
      </w:r>
      <w:r>
        <w:rPr>
          <w:rFonts w:hint="eastAsia" w:ascii="宋体" w:hAnsi="宋体"/>
          <w:color w:val="auto"/>
          <w:szCs w:val="21"/>
        </w:rPr>
        <w:t xml:space="preserve">其</w:t>
      </w:r>
      <w:r>
        <w:rPr>
          <w:rFonts w:ascii="宋体" w:hAnsi="宋体"/>
          <w:color w:val="auto"/>
          <w:szCs w:val="21"/>
        </w:rPr>
        <w:t xml:space="preserve">响应无效。</w:t>
      </w:r>
      <w:r/>
    </w:p>
    <w:p>
      <w:pPr>
        <w:pStyle w:val="1257"/>
        <w:ind w:firstLine="422"/>
        <w:spacing w:line="360" w:lineRule="auto"/>
        <w:tabs>
          <w:tab w:val="left" w:pos="0" w:leader="none"/>
        </w:tabs>
        <w:rPr>
          <w:rFonts w:ascii="宋体" w:hAnsi="宋体"/>
          <w:color w:val="auto"/>
          <w:szCs w:val="21"/>
        </w:rPr>
      </w:pPr>
      <w:r>
        <w:rPr>
          <w:rFonts w:hint="eastAsia" w:ascii="宋体" w:hAnsi="宋体"/>
          <w:color w:val="auto"/>
          <w:szCs w:val="21"/>
        </w:rPr>
        <w:t xml:space="preserve">5.任意一次报价（包括首次报价、多轮报价）超过谈判文件中规定的预算金额或者最高限价的，包括报的各标的物的单价超过预算单价的（针对采购文件标明预算单价的项目），</w:t>
      </w:r>
      <w:r>
        <w:rPr>
          <w:rFonts w:ascii="宋体" w:hAnsi="宋体"/>
          <w:color w:val="auto"/>
          <w:szCs w:val="21"/>
        </w:rPr>
        <w:t xml:space="preserve">其响应文件按无效文件处理。</w:t>
      </w:r>
      <w:r/>
    </w:p>
    <w:p>
      <w:pPr>
        <w:pStyle w:val="1257"/>
        <w:ind w:firstLine="422"/>
        <w:spacing w:line="360" w:lineRule="auto"/>
        <w:tabs>
          <w:tab w:val="left" w:pos="0" w:leader="none"/>
        </w:tabs>
        <w:rPr>
          <w:rFonts w:ascii="宋体" w:hAnsi="宋体"/>
          <w:color w:val="auto"/>
          <w:szCs w:val="21"/>
        </w:rPr>
      </w:pPr>
      <w:r>
        <w:rPr>
          <w:rFonts w:hint="eastAsia" w:ascii="宋体" w:hAnsi="宋体"/>
          <w:color w:val="auto"/>
          <w:szCs w:val="21"/>
        </w:rPr>
        <w:t xml:space="preserve">6.</w:t>
      </w:r>
      <w:r>
        <w:rPr>
          <w:rFonts w:ascii="宋体" w:hAnsi="宋体"/>
          <w:color w:val="auto"/>
          <w:szCs w:val="21"/>
        </w:rPr>
        <w:t xml:space="preserve">除因谈判文件修改导致成本增加外，供应商二次报价超过第一次报价的</w:t>
      </w:r>
      <w:r>
        <w:rPr>
          <w:rFonts w:hint="eastAsia" w:ascii="宋体" w:hAnsi="宋体"/>
          <w:color w:val="auto"/>
          <w:szCs w:val="21"/>
        </w:rPr>
        <w:t xml:space="preserve">，</w:t>
      </w:r>
      <w:r>
        <w:rPr>
          <w:rFonts w:ascii="宋体" w:hAnsi="宋体"/>
          <w:color w:val="auto"/>
          <w:szCs w:val="21"/>
        </w:rPr>
        <w:t xml:space="preserve">其响应文件按无效处理</w:t>
      </w:r>
      <w:r>
        <w:rPr>
          <w:rFonts w:hint="eastAsia" w:ascii="宋体" w:hAnsi="宋体"/>
          <w:color w:val="auto"/>
          <w:szCs w:val="21"/>
        </w:rPr>
        <w:t xml:space="preserve">。</w:t>
      </w:r>
      <w:r/>
    </w:p>
    <w:p>
      <w:pPr>
        <w:pStyle w:val="1257"/>
        <w:ind w:firstLine="422"/>
        <w:spacing w:line="360" w:lineRule="auto"/>
        <w:tabs>
          <w:tab w:val="left" w:pos="0" w:leader="none"/>
        </w:tabs>
        <w:rPr>
          <w:rFonts w:ascii="宋体" w:hAnsi="宋体"/>
          <w:color w:val="auto"/>
          <w:szCs w:val="21"/>
        </w:rPr>
      </w:pPr>
      <w:r>
        <w:rPr>
          <w:rFonts w:hint="eastAsia" w:ascii="宋体" w:hAnsi="宋体"/>
          <w:color w:val="auto"/>
          <w:szCs w:val="21"/>
        </w:rPr>
        <w:t xml:space="preserve">7.供应商应按《报价分析表》中的谈判项目计算单价和总价。《报价分析表》中的每一单项均应计算并填写单价和总价，并由法定代表人或被授权人签署（签字），否则</w:t>
      </w:r>
      <w:r>
        <w:rPr>
          <w:rFonts w:ascii="宋体" w:hAnsi="宋体"/>
          <w:color w:val="auto"/>
          <w:szCs w:val="21"/>
        </w:rPr>
        <w:t xml:space="preserve">其响应文件按无效处理</w:t>
      </w:r>
      <w:r>
        <w:rPr>
          <w:rFonts w:hint="eastAsia" w:ascii="宋体" w:hAnsi="宋体"/>
          <w:color w:val="auto"/>
          <w:szCs w:val="21"/>
        </w:rPr>
        <w:t xml:space="preserve">。。</w:t>
      </w:r>
      <w:r/>
    </w:p>
    <w:p>
      <w:pPr>
        <w:pStyle w:val="1257"/>
        <w:ind w:firstLine="422"/>
        <w:spacing w:line="360" w:lineRule="auto"/>
        <w:tabs>
          <w:tab w:val="left" w:pos="0" w:leader="none"/>
        </w:tabs>
        <w:rPr>
          <w:rFonts w:ascii="宋体" w:hAnsi="宋体"/>
          <w:color w:val="auto"/>
          <w:szCs w:val="21"/>
        </w:rPr>
      </w:pPr>
      <w:r>
        <w:rPr>
          <w:rFonts w:hint="eastAsia" w:ascii="宋体" w:hAnsi="宋体"/>
          <w:color w:val="auto"/>
          <w:szCs w:val="21"/>
        </w:rPr>
        <w:t xml:space="preserve">8.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1257"/>
        <w:ind w:firstLine="422"/>
        <w:spacing w:line="360" w:lineRule="auto"/>
        <w:tabs>
          <w:tab w:val="left" w:pos="0" w:leader="none"/>
        </w:tabs>
        <w:rPr>
          <w:rFonts w:ascii="宋体" w:hAnsi="宋体"/>
          <w:color w:val="auto"/>
          <w:szCs w:val="21"/>
        </w:rPr>
      </w:pPr>
      <w:r>
        <w:rPr>
          <w:rFonts w:hint="eastAsia" w:ascii="宋体" w:hAnsi="宋体"/>
          <w:color w:val="auto"/>
          <w:szCs w:val="21"/>
        </w:rPr>
        <w:t xml:space="preserve">9.响应文件报价中的单价和总价全部采用人民币表示，除非另有规定。</w:t>
      </w:r>
      <w:r/>
    </w:p>
    <w:p>
      <w:pPr>
        <w:pStyle w:val="1257"/>
        <w:ind w:firstLine="422"/>
        <w:spacing w:line="360" w:lineRule="auto"/>
        <w:tabs>
          <w:tab w:val="left" w:pos="0" w:leader="none"/>
        </w:tabs>
        <w:rPr>
          <w:rFonts w:ascii="宋体" w:hAnsi="宋体"/>
          <w:color w:val="auto"/>
          <w:szCs w:val="21"/>
        </w:rPr>
      </w:pPr>
      <w:r>
        <w:rPr>
          <w:rFonts w:hint="eastAsia" w:ascii="宋体" w:hAnsi="宋体"/>
          <w:color w:val="auto"/>
          <w:szCs w:val="21"/>
        </w:rPr>
        <w:t xml:space="preserve">10.竞争性谈判采取二次报价的方式，即提交响应文件中的报价为首次报价，谈判结束后，所有继续参加谈判的供应商在规定时间内提交最后报价。</w:t>
      </w:r>
      <w:r/>
    </w:p>
    <w:p>
      <w:pPr>
        <w:pStyle w:val="1257"/>
        <w:ind w:firstLine="422"/>
        <w:spacing w:line="360" w:lineRule="auto"/>
        <w:tabs>
          <w:tab w:val="left" w:pos="0" w:leader="none"/>
        </w:tabs>
        <w:rPr>
          <w:rFonts w:hint="eastAsia" w:ascii="宋体" w:hAnsi="宋体"/>
          <w:color w:val="auto"/>
          <w:szCs w:val="21"/>
        </w:rPr>
      </w:pPr>
      <w:r>
        <w:rPr>
          <w:rFonts w:hint="eastAsia" w:ascii="宋体" w:hAnsi="宋体"/>
          <w:color w:val="auto"/>
          <w:szCs w:val="21"/>
        </w:rPr>
        <w:t xml:space="preserve">11.竞争性谈判采取最低评标价法，即根据质量和服务均能满足采购文件实质性响应要求且最后报价最低的原则确定成交供应商。</w:t>
      </w:r>
      <w:r/>
    </w:p>
    <w:p>
      <w:pPr>
        <w:numPr>
          <w:ilvl w:val="0"/>
          <w:numId w:val="2"/>
        </w:numPr>
        <w:ind w:left="0" w:firstLine="422"/>
        <w:spacing w:line="360" w:lineRule="auto"/>
        <w:rPr>
          <w:rFonts w:ascii="宋体" w:hAnsi="宋体"/>
          <w:b/>
          <w:color w:val="auto"/>
          <w:szCs w:val="21"/>
        </w:rPr>
      </w:pPr>
      <w:r>
        <w:rPr>
          <w:rFonts w:hint="eastAsia" w:ascii="宋体" w:hAnsi="宋体"/>
          <w:b/>
          <w:color w:val="auto"/>
          <w:szCs w:val="21"/>
        </w:rPr>
        <w:t xml:space="preserve">最后报价（二次报价）</w:t>
      </w:r>
      <w:r/>
    </w:p>
    <w:p>
      <w:pPr>
        <w:pStyle w:val="1257"/>
        <w:ind w:firstLine="422"/>
        <w:spacing w:line="360" w:lineRule="auto"/>
        <w:tabs>
          <w:tab w:val="left" w:pos="142" w:leader="none"/>
          <w:tab w:val="left" w:pos="600" w:leader="none"/>
        </w:tabs>
        <w:rPr>
          <w:rFonts w:ascii="宋体" w:hAnsi="宋体"/>
          <w:color w:val="auto"/>
          <w:szCs w:val="21"/>
          <w:lang w:val="zh-CN"/>
        </w:rPr>
      </w:pPr>
      <w:r>
        <w:rPr>
          <w:rFonts w:hint="eastAsia" w:ascii="宋体" w:hAnsi="宋体"/>
          <w:color w:val="auto"/>
          <w:szCs w:val="21"/>
        </w:rPr>
        <w:t xml:space="preserve">1.</w:t>
      </w:r>
      <w:r>
        <w:rPr>
          <w:rFonts w:ascii="宋体" w:hAnsi="宋体"/>
          <w:color w:val="auto"/>
          <w:szCs w:val="21"/>
          <w:lang w:val="zh-CN"/>
        </w:rPr>
        <w:t xml:space="preserve">谈判结束后，谈判小组应当要求所有继续参加谈判的供应商在规定时间内提交最后报价（</w:t>
      </w:r>
      <w:r>
        <w:rPr>
          <w:rFonts w:ascii="宋体" w:hAnsi="宋体"/>
          <w:b/>
          <w:bCs/>
          <w:color w:val="auto"/>
          <w:szCs w:val="21"/>
          <w:lang w:val="zh-CN"/>
        </w:rPr>
        <w:t xml:space="preserve">除因谈判文件修改导致成本增加</w:t>
      </w:r>
      <w:r>
        <w:rPr>
          <w:rFonts w:hint="eastAsia" w:ascii="宋体" w:hAnsi="宋体"/>
          <w:b/>
          <w:bCs/>
          <w:color w:val="auto"/>
          <w:szCs w:val="21"/>
          <w:lang w:val="zh-CN"/>
        </w:rPr>
        <w:t xml:space="preserve">外</w:t>
      </w:r>
      <w:r>
        <w:rPr>
          <w:rFonts w:ascii="宋体" w:hAnsi="宋体"/>
          <w:b/>
          <w:bCs/>
          <w:color w:val="auto"/>
          <w:szCs w:val="21"/>
          <w:lang w:val="zh-CN"/>
        </w:rPr>
        <w:t xml:space="preserve">，二次报价不得超过第一次报价，否则为无效响应报价</w:t>
      </w:r>
      <w:r>
        <w:rPr>
          <w:rFonts w:ascii="宋体" w:hAnsi="宋体"/>
          <w:color w:val="auto"/>
          <w:szCs w:val="21"/>
          <w:lang w:val="zh-CN"/>
        </w:rPr>
        <w:t xml:space="preserve">），最后报价作为评审价格（各谈判供应商可提供最后报价总价或最后报价总价的明细报价；若未提供明细报价的则合同单价按最终报价与第一次报价总价的下浮比例同比例下浮）</w:t>
      </w:r>
      <w:r>
        <w:rPr>
          <w:rFonts w:hint="eastAsia" w:ascii="宋体" w:hAnsi="宋体"/>
          <w:color w:val="auto"/>
          <w:szCs w:val="21"/>
          <w:lang w:val="zh-CN"/>
        </w:rPr>
        <w:t xml:space="preserve">。</w:t>
      </w:r>
      <w:r>
        <w:rPr>
          <w:rFonts w:ascii="宋体" w:hAnsi="宋体"/>
          <w:color w:val="auto"/>
          <w:szCs w:val="21"/>
          <w:lang w:val="zh-CN"/>
        </w:rPr>
        <w:t xml:space="preserve">最后报价是供应商响应文件的有效组成部分</w:t>
      </w:r>
      <w:r>
        <w:rPr>
          <w:rFonts w:hint="eastAsia" w:ascii="宋体" w:hAnsi="宋体"/>
          <w:color w:val="auto"/>
          <w:szCs w:val="21"/>
          <w:lang w:val="zh-CN"/>
        </w:rPr>
        <w:t xml:space="preserve">。</w:t>
      </w:r>
      <w:r/>
    </w:p>
    <w:p>
      <w:pPr>
        <w:pStyle w:val="1257"/>
        <w:ind w:firstLine="422"/>
        <w:spacing w:line="360" w:lineRule="auto"/>
        <w:tabs>
          <w:tab w:val="left" w:pos="142" w:leader="none"/>
          <w:tab w:val="left" w:pos="600" w:leader="none"/>
        </w:tabs>
        <w:rPr>
          <w:rFonts w:ascii="宋体" w:hAnsi="宋体"/>
          <w:color w:val="auto"/>
          <w:szCs w:val="21"/>
          <w:lang w:val="zh-CN"/>
        </w:rPr>
      </w:pPr>
      <w:r>
        <w:rPr>
          <w:rFonts w:hint="eastAsia" w:ascii="宋体" w:hAnsi="宋体"/>
          <w:b/>
          <w:bCs/>
          <w:color w:val="auto"/>
          <w:szCs w:val="21"/>
        </w:rPr>
        <w:t xml:space="preserve">2.本项目采用线上最后报价：</w:t>
      </w:r>
      <w:bookmarkStart w:id="4" w:name="_Hlk158220653"/>
      <w:r>
        <w:rPr>
          <w:rFonts w:hint="eastAsia" w:ascii="宋体" w:hAnsi="宋体"/>
          <w:bCs/>
          <w:color w:val="auto"/>
          <w:szCs w:val="21"/>
        </w:rPr>
        <w:t xml:space="preserve">谈判小组将在“苏采云”系统中向符合条件的供应商发布“最后报价要求函”及分项报价表（如有），要求其在规定时间内提交最后报价。因供应商自身原因导致线上报价失败的后果由供应商自行承担。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b/>
          <w:bCs/>
          <w:color w:val="auto"/>
          <w:szCs w:val="21"/>
        </w:rPr>
        <w:t xml:space="preserve">供应商未在谈判小组规定的时间内在“苏采云”系统中提交最后报价的视为放弃谈判，其响应文件按无效响应处理，提交最后报价须加盖CA电子签章,否则视为未提交最后报价。</w:t>
      </w:r>
      <w:r>
        <w:rPr>
          <w:rFonts w:hint="eastAsia" w:ascii="宋体" w:hAnsi="宋体"/>
          <w:bCs/>
          <w:color w:val="auto"/>
          <w:szCs w:val="21"/>
        </w:rPr>
        <w:t xml:space="preserve">在提交最后报价之前，可以根据谈判情况退出谈判，并在“苏采云”系统中提交“退出谈判函”并加盖CA电子公章。</w:t>
      </w:r>
      <w:bookmarkEnd w:id="4"/>
      <w:r/>
      <w:r/>
    </w:p>
    <w:p>
      <w:pPr>
        <w:pStyle w:val="1257"/>
        <w:ind w:firstLine="422"/>
        <w:spacing w:line="360" w:lineRule="auto"/>
        <w:tabs>
          <w:tab w:val="left" w:pos="142" w:leader="none"/>
          <w:tab w:val="left" w:pos="600" w:leader="none"/>
        </w:tabs>
        <w:rPr>
          <w:rFonts w:ascii="宋体" w:hAnsi="宋体"/>
          <w:color w:val="auto"/>
          <w:szCs w:val="21"/>
          <w:lang w:val="zh-CN"/>
        </w:rPr>
      </w:pPr>
      <w:r>
        <w:rPr>
          <w:rFonts w:hint="eastAsia" w:ascii="宋体" w:hAnsi="宋体"/>
          <w:bCs/>
          <w:color w:val="auto"/>
          <w:szCs w:val="21"/>
        </w:rPr>
        <w:t xml:space="preserve">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color w:val="auto"/>
          <w:szCs w:val="21"/>
          <w:lang w:val="zh-CN"/>
        </w:rPr>
        <w:t xml:space="preserve">。</w:t>
      </w:r>
      <w:r/>
    </w:p>
    <w:p>
      <w:pPr>
        <w:pStyle w:val="1257"/>
        <w:ind w:firstLine="422"/>
        <w:spacing w:line="360" w:lineRule="auto"/>
        <w:tabs>
          <w:tab w:val="left" w:pos="142" w:leader="none"/>
          <w:tab w:val="left" w:pos="600" w:leader="none"/>
        </w:tabs>
        <w:rPr>
          <w:rFonts w:ascii="宋体" w:hAnsi="宋体"/>
          <w:color w:val="auto"/>
          <w:szCs w:val="21"/>
          <w:lang w:val="zh-CN"/>
        </w:rPr>
      </w:pPr>
      <w:r>
        <w:rPr>
          <w:rFonts w:hint="eastAsia" w:ascii="宋体" w:hAnsi="宋体"/>
          <w:color w:val="auto"/>
          <w:szCs w:val="21"/>
          <w:lang w:val="zh-CN"/>
        </w:rPr>
        <w:t xml:space="preserve">4.谈判小组</w:t>
      </w:r>
      <w:r>
        <w:rPr>
          <w:rFonts w:hint="eastAsia" w:ascii="宋体" w:hAnsi="宋体"/>
          <w:bCs/>
          <w:color w:val="auto"/>
          <w:szCs w:val="21"/>
        </w:rPr>
        <w:t xml:space="preserve">认为某最后报价明显低于其他供应商的最后报价，有可能影响产品质量或者不能诚信履约的，应当要求其在谈判/谈判现场合理的时间内提供书面说明（线上开评标项目可通过“苏采云”系统要求其提供），</w:t>
      </w:r>
      <w:r>
        <w:rPr>
          <w:rFonts w:hint="eastAsia" w:ascii="宋体" w:hAnsi="宋体"/>
          <w:b/>
          <w:bCs/>
          <w:color w:val="auto"/>
          <w:szCs w:val="21"/>
        </w:rPr>
        <w:t xml:space="preserve">必要时提交相关证明材料，供应商不能证明其报价合理性的</w:t>
      </w:r>
      <w:r>
        <w:rPr>
          <w:rFonts w:ascii="宋体" w:hAnsi="宋体"/>
          <w:b/>
          <w:color w:val="auto"/>
          <w:szCs w:val="21"/>
          <w:lang w:val="zh-CN"/>
        </w:rPr>
        <w:t xml:space="preserve">，</w:t>
      </w:r>
      <w:r>
        <w:rPr>
          <w:rFonts w:hint="eastAsia" w:ascii="宋体" w:hAnsi="宋体"/>
          <w:b/>
          <w:bCs/>
          <w:color w:val="auto"/>
          <w:szCs w:val="21"/>
          <w:lang w:val="zh-CN"/>
        </w:rPr>
        <w:t xml:space="preserve">谈判小组</w:t>
      </w:r>
      <w:r>
        <w:rPr>
          <w:rFonts w:ascii="宋体" w:hAnsi="宋体"/>
          <w:b/>
          <w:bCs/>
          <w:color w:val="auto"/>
          <w:szCs w:val="21"/>
          <w:lang w:val="zh-CN"/>
        </w:rPr>
        <w:t xml:space="preserve">应当将其</w:t>
      </w:r>
      <w:r>
        <w:rPr>
          <w:rFonts w:hint="eastAsia" w:ascii="宋体" w:hAnsi="宋体"/>
          <w:b/>
          <w:bCs/>
          <w:color w:val="auto"/>
          <w:szCs w:val="21"/>
          <w:lang w:val="zh-CN"/>
        </w:rPr>
        <w:t xml:space="preserve">响应文件按</w:t>
      </w:r>
      <w:r>
        <w:rPr>
          <w:rFonts w:ascii="宋体" w:hAnsi="宋体"/>
          <w:b/>
          <w:bCs/>
          <w:color w:val="auto"/>
          <w:szCs w:val="21"/>
          <w:lang w:val="zh-CN"/>
        </w:rPr>
        <w:t xml:space="preserve">无效处理</w:t>
      </w:r>
      <w:r>
        <w:rPr>
          <w:rFonts w:ascii="宋体" w:hAnsi="宋体"/>
          <w:color w:val="auto"/>
          <w:szCs w:val="21"/>
          <w:lang w:val="zh-CN"/>
        </w:rPr>
        <w:t xml:space="preserve">。</w:t>
      </w:r>
      <w:r/>
    </w:p>
    <w:p>
      <w:pPr>
        <w:pStyle w:val="1257"/>
        <w:ind w:firstLine="422"/>
        <w:spacing w:line="360" w:lineRule="auto"/>
        <w:tabs>
          <w:tab w:val="left" w:pos="142" w:leader="none"/>
          <w:tab w:val="left" w:pos="600" w:leader="none"/>
        </w:tabs>
        <w:rPr>
          <w:rFonts w:ascii="宋体" w:hAnsi="宋体"/>
          <w:b/>
          <w:bCs/>
          <w:color w:val="auto"/>
          <w:szCs w:val="21"/>
          <w:lang w:val="zh-CN"/>
        </w:rPr>
      </w:pPr>
      <w:r>
        <w:rPr>
          <w:rFonts w:hint="eastAsia" w:ascii="宋体" w:hAnsi="宋体"/>
          <w:b/>
          <w:bCs/>
          <w:color w:val="auto"/>
          <w:szCs w:val="21"/>
          <w:lang w:val="zh-CN"/>
        </w:rPr>
        <w:t xml:space="preserve">5.</w:t>
      </w:r>
      <w:r>
        <w:rPr>
          <w:rFonts w:ascii="宋体" w:hAnsi="宋体"/>
          <w:b/>
          <w:bCs/>
          <w:color w:val="auto"/>
          <w:szCs w:val="21"/>
          <w:lang w:val="zh-CN"/>
        </w:rPr>
        <w:t xml:space="preserve">未</w:t>
      </w:r>
      <w:r>
        <w:rPr>
          <w:rFonts w:hint="eastAsia" w:ascii="宋体" w:hAnsi="宋体"/>
          <w:b/>
          <w:bCs/>
          <w:color w:val="auto"/>
          <w:szCs w:val="21"/>
          <w:lang w:val="zh-CN"/>
        </w:rPr>
        <w:t xml:space="preserve">在</w:t>
      </w:r>
      <w:r>
        <w:rPr>
          <w:rFonts w:ascii="宋体" w:hAnsi="宋体"/>
          <w:b/>
          <w:bCs/>
          <w:color w:val="auto"/>
          <w:szCs w:val="21"/>
          <w:lang w:val="zh-CN"/>
        </w:rPr>
        <w:t xml:space="preserve">规定时间提交最后报价</w:t>
      </w:r>
      <w:r>
        <w:rPr>
          <w:rFonts w:hint="eastAsia" w:ascii="宋体" w:hAnsi="宋体"/>
          <w:b/>
          <w:bCs/>
          <w:color w:val="auto"/>
          <w:szCs w:val="21"/>
          <w:lang w:val="zh-CN"/>
        </w:rPr>
        <w:t xml:space="preserve">的，响应文件按无效处理。</w:t>
      </w:r>
      <w:r/>
    </w:p>
    <w:p>
      <w:pPr>
        <w:pStyle w:val="1257"/>
        <w:ind w:firstLine="422"/>
        <w:spacing w:line="360" w:lineRule="auto"/>
        <w:tabs>
          <w:tab w:val="left" w:pos="142" w:leader="none"/>
          <w:tab w:val="left" w:pos="600" w:leader="none"/>
        </w:tabs>
        <w:rPr>
          <w:rFonts w:ascii="宋体" w:hAnsi="宋体"/>
          <w:color w:val="auto"/>
          <w:szCs w:val="21"/>
          <w:lang w:val="zh-CN"/>
        </w:rPr>
      </w:pPr>
      <w:r>
        <w:rPr>
          <w:rFonts w:hint="eastAsia" w:ascii="宋体" w:hAnsi="宋体"/>
          <w:color w:val="auto"/>
          <w:szCs w:val="21"/>
          <w:lang w:val="zh-CN"/>
        </w:rPr>
        <w:t xml:space="preserve">6.</w:t>
      </w:r>
      <w:r>
        <w:rPr>
          <w:rFonts w:ascii="宋体" w:hAnsi="宋体"/>
          <w:color w:val="auto"/>
          <w:szCs w:val="21"/>
          <w:lang w:val="zh-CN"/>
        </w:rPr>
        <w:t xml:space="preserve">在规定时间内提交最后报价的供应商少于3家</w:t>
      </w:r>
      <w:r>
        <w:rPr>
          <w:rFonts w:hint="eastAsia" w:ascii="宋体" w:hAnsi="宋体"/>
          <w:color w:val="auto"/>
          <w:szCs w:val="21"/>
          <w:lang w:val="zh-CN"/>
        </w:rPr>
        <w:t xml:space="preserve">的，项目终止。</w:t>
      </w:r>
      <w:r/>
    </w:p>
    <w:p>
      <w:pPr>
        <w:pStyle w:val="1257"/>
        <w:ind w:firstLine="422"/>
        <w:spacing w:line="360" w:lineRule="auto"/>
        <w:tabs>
          <w:tab w:val="left" w:pos="142" w:leader="none"/>
          <w:tab w:val="left" w:pos="600" w:leader="none"/>
        </w:tabs>
        <w:rPr>
          <w:rFonts w:ascii="宋体" w:hAnsi="宋体"/>
          <w:color w:val="auto"/>
          <w:szCs w:val="21"/>
          <w:lang w:val="zh-CN"/>
        </w:rPr>
      </w:pPr>
      <w:r>
        <w:rPr>
          <w:rFonts w:hint="eastAsia" w:ascii="宋体" w:hAnsi="宋体"/>
          <w:bCs/>
          <w:color w:val="auto"/>
          <w:szCs w:val="21"/>
        </w:rPr>
        <w:t xml:space="preserve">7.</w:t>
      </w:r>
      <w:r>
        <w:rPr>
          <w:rFonts w:ascii="宋体" w:hAnsi="宋体"/>
          <w:bCs/>
          <w:color w:val="auto"/>
          <w:szCs w:val="21"/>
        </w:rPr>
        <w:t xml:space="preserve">如</w:t>
      </w:r>
      <w:r>
        <w:rPr>
          <w:rFonts w:hint="eastAsia" w:ascii="宋体" w:hAnsi="宋体"/>
          <w:bCs/>
          <w:color w:val="auto"/>
          <w:szCs w:val="21"/>
        </w:rPr>
        <w:t xml:space="preserve">谈判</w:t>
      </w:r>
      <w:r>
        <w:rPr>
          <w:rFonts w:ascii="宋体" w:hAnsi="宋体"/>
          <w:bCs/>
          <w:color w:val="auto"/>
          <w:szCs w:val="21"/>
        </w:rPr>
        <w:t xml:space="preserve">过程中出现本</w:t>
      </w:r>
      <w:r>
        <w:rPr>
          <w:rFonts w:hint="eastAsia" w:ascii="宋体" w:hAnsi="宋体"/>
          <w:bCs/>
          <w:color w:val="auto"/>
          <w:szCs w:val="21"/>
        </w:rPr>
        <w:t xml:space="preserve">谈判</w:t>
      </w:r>
      <w:r>
        <w:rPr>
          <w:rFonts w:ascii="宋体" w:hAnsi="宋体"/>
          <w:bCs/>
          <w:color w:val="auto"/>
          <w:szCs w:val="21"/>
        </w:rPr>
        <w:t xml:space="preserve">文件未尽事宜，由</w:t>
      </w:r>
      <w:r>
        <w:rPr>
          <w:rFonts w:hint="eastAsia" w:ascii="宋体" w:hAnsi="宋体"/>
          <w:bCs/>
          <w:color w:val="auto"/>
          <w:szCs w:val="21"/>
        </w:rPr>
        <w:t xml:space="preserve">谈判</w:t>
      </w:r>
      <w:r>
        <w:rPr>
          <w:rFonts w:ascii="宋体" w:hAnsi="宋体"/>
          <w:bCs/>
          <w:color w:val="auto"/>
          <w:szCs w:val="21"/>
        </w:rPr>
        <w:t xml:space="preserve">小组根据政府采购有关法律、法规讨论决定</w:t>
      </w:r>
      <w:r>
        <w:rPr>
          <w:rFonts w:hint="eastAsia" w:ascii="宋体" w:hAnsi="宋体"/>
          <w:bCs/>
          <w:color w:val="auto"/>
          <w:szCs w:val="21"/>
        </w:rPr>
        <w:t xml:space="preserve">。</w:t>
      </w:r>
      <w:r/>
    </w:p>
    <w:p>
      <w:pPr>
        <w:ind w:firstLine="422"/>
        <w:spacing w:line="360" w:lineRule="auto"/>
        <w:rPr>
          <w:rFonts w:ascii="宋体" w:hAnsi="宋体"/>
          <w:b/>
          <w:color w:val="auto"/>
          <w:szCs w:val="21"/>
        </w:rPr>
      </w:pPr>
      <w:r>
        <w:rPr>
          <w:rFonts w:hint="eastAsia" w:ascii="宋体" w:hAnsi="宋体"/>
          <w:b/>
          <w:color w:val="auto"/>
          <w:szCs w:val="21"/>
        </w:rPr>
        <w:t xml:space="preserve">（六）响应文件的组成</w:t>
      </w:r>
      <w:r/>
    </w:p>
    <w:p>
      <w:pPr>
        <w:pStyle w:val="1257"/>
        <w:numPr>
          <w:ilvl w:val="0"/>
          <w:numId w:val="3"/>
        </w:numPr>
        <w:spacing w:line="360" w:lineRule="auto"/>
        <w:rPr>
          <w:rFonts w:ascii="宋体" w:hAnsi="宋体"/>
          <w:b/>
          <w:color w:val="auto"/>
          <w:szCs w:val="21"/>
        </w:rPr>
      </w:pPr>
      <w:r>
        <w:rPr>
          <w:rFonts w:hint="eastAsia" w:ascii="宋体" w:hAnsi="宋体"/>
          <w:b/>
          <w:color w:val="auto"/>
          <w:szCs w:val="21"/>
        </w:rPr>
        <w:t xml:space="preserve">封面</w:t>
      </w:r>
      <w:r/>
    </w:p>
    <w:p>
      <w:pPr>
        <w:pStyle w:val="1257"/>
        <w:numPr>
          <w:ilvl w:val="0"/>
          <w:numId w:val="3"/>
        </w:numPr>
        <w:spacing w:line="360" w:lineRule="auto"/>
        <w:rPr>
          <w:rFonts w:ascii="宋体" w:hAnsi="宋体"/>
          <w:b/>
          <w:color w:val="auto"/>
          <w:szCs w:val="21"/>
        </w:rPr>
      </w:pPr>
      <w:r>
        <w:rPr>
          <w:rFonts w:hint="eastAsia" w:ascii="宋体" w:hAnsi="宋体"/>
          <w:b/>
          <w:color w:val="auto"/>
          <w:szCs w:val="21"/>
        </w:rPr>
        <w:t xml:space="preserve">目录</w:t>
      </w:r>
      <w:r/>
    </w:p>
    <w:p>
      <w:pPr>
        <w:pStyle w:val="1257"/>
        <w:numPr>
          <w:ilvl w:val="0"/>
          <w:numId w:val="3"/>
        </w:numPr>
        <w:spacing w:line="360" w:lineRule="auto"/>
        <w:rPr>
          <w:rFonts w:ascii="宋体" w:hAnsi="宋体"/>
          <w:b/>
          <w:color w:val="auto"/>
          <w:szCs w:val="21"/>
        </w:rPr>
      </w:pPr>
      <w:r>
        <w:rPr>
          <w:rFonts w:hint="eastAsia" w:ascii="宋体" w:hAnsi="宋体"/>
          <w:b/>
          <w:color w:val="auto"/>
          <w:szCs w:val="21"/>
        </w:rPr>
        <w:t xml:space="preserve">开标一览表（格式见第三章，必须提供否则将被认定为未实质性响应谈判文件要求）</w:t>
      </w:r>
      <w:r/>
    </w:p>
    <w:p>
      <w:pPr>
        <w:pStyle w:val="1257"/>
        <w:numPr>
          <w:ilvl w:val="0"/>
          <w:numId w:val="3"/>
        </w:numPr>
        <w:spacing w:line="360" w:lineRule="auto"/>
        <w:rPr>
          <w:rFonts w:ascii="宋体" w:hAnsi="宋体"/>
          <w:b/>
          <w:color w:val="auto"/>
          <w:szCs w:val="21"/>
        </w:rPr>
      </w:pPr>
      <w:r>
        <w:rPr>
          <w:rFonts w:hint="eastAsia" w:ascii="宋体" w:hAnsi="宋体"/>
          <w:b/>
          <w:color w:val="auto"/>
          <w:szCs w:val="21"/>
        </w:rPr>
        <w:t xml:space="preserve">资格审查文件</w:t>
      </w:r>
      <w:r/>
    </w:p>
    <w:p>
      <w:pPr>
        <w:ind w:firstLine="422"/>
        <w:spacing w:line="360" w:lineRule="auto"/>
        <w:rPr>
          <w:rFonts w:ascii="宋体" w:hAnsi="宋体"/>
          <w:color w:val="auto"/>
          <w:szCs w:val="21"/>
        </w:rPr>
      </w:pPr>
      <w:r>
        <w:rPr>
          <w:rFonts w:hint="eastAsia" w:ascii="宋体" w:hAnsi="宋体"/>
          <w:b/>
          <w:color w:val="auto"/>
          <w:szCs w:val="21"/>
        </w:rPr>
        <w:t xml:space="preserve">供应商必须提交“4.1-4.3”款规定的资料，否则将被认定为未实质性响应谈判文件要求或资格审查不合格。</w:t>
      </w:r>
      <w:r/>
    </w:p>
    <w:p>
      <w:pPr>
        <w:ind w:firstLine="422"/>
        <w:spacing w:line="360" w:lineRule="auto"/>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.1供应商情况表（</w:t>
      </w:r>
      <w:bookmarkStart w:id="5" w:name="OLE_LINK4"/>
      <w:r>
        <w:rPr>
          <w:rFonts w:hint="eastAsia" w:ascii="宋体" w:hAnsi="宋体"/>
          <w:color w:val="auto"/>
          <w:szCs w:val="21"/>
        </w:rPr>
        <w:t xml:space="preserve">格式见第三章</w:t>
      </w:r>
      <w:bookmarkEnd w:id="5"/>
      <w:r>
        <w:rPr>
          <w:rFonts w:ascii="宋体" w:hAnsi="宋体"/>
          <w:color w:val="auto"/>
          <w:szCs w:val="21"/>
        </w:rPr>
        <w:t xml:space="preserve">）；</w:t>
      </w:r>
      <w:r/>
    </w:p>
    <w:p>
      <w:pPr>
        <w:ind w:firstLine="422"/>
        <w:spacing w:line="360" w:lineRule="auto"/>
        <w:rPr>
          <w:rFonts w:ascii="宋体" w:hAnsi="宋体"/>
          <w:color w:val="auto"/>
          <w:szCs w:val="21"/>
        </w:rPr>
      </w:pPr>
      <w:r>
        <w:rPr>
          <w:rFonts w:ascii="宋体" w:hAnsi="宋体"/>
          <w:color w:val="auto"/>
          <w:szCs w:val="21"/>
        </w:rPr>
        <w:t xml:space="preserve">4.2</w:t>
      </w:r>
      <w:r>
        <w:rPr>
          <w:rFonts w:hint="eastAsia" w:ascii="宋体" w:hAnsi="宋体"/>
          <w:color w:val="auto"/>
          <w:szCs w:val="21"/>
        </w:rPr>
        <w:t xml:space="preserve">谈判响应函</w:t>
      </w:r>
      <w:r>
        <w:rPr>
          <w:rFonts w:ascii="宋体" w:hAnsi="宋体"/>
          <w:color w:val="auto"/>
          <w:szCs w:val="21"/>
        </w:rPr>
        <w:t xml:space="preserve">（</w:t>
      </w:r>
      <w:r>
        <w:rPr>
          <w:rFonts w:hint="eastAsia" w:ascii="宋体" w:hAnsi="宋体"/>
          <w:color w:val="auto"/>
          <w:szCs w:val="21"/>
        </w:rPr>
        <w:t xml:space="preserve">格式见第三章</w:t>
      </w:r>
      <w:r>
        <w:rPr>
          <w:rFonts w:ascii="宋体" w:hAnsi="宋体"/>
          <w:color w:val="auto"/>
          <w:szCs w:val="21"/>
        </w:rPr>
        <w:t xml:space="preserve">）；</w:t>
      </w:r>
      <w:r/>
    </w:p>
    <w:p>
      <w:pPr>
        <w:ind w:firstLine="422"/>
        <w:spacing w:line="360" w:lineRule="auto"/>
        <w:rPr>
          <w:rFonts w:ascii="宋体" w:hAnsi="宋体"/>
          <w:color w:val="auto"/>
          <w:szCs w:val="21"/>
        </w:rPr>
      </w:pPr>
      <w:r/>
      <w:bookmarkStart w:id="6" w:name="_Hlk160023334"/>
      <w:r>
        <w:rPr>
          <w:rFonts w:ascii="宋体" w:hAnsi="宋体"/>
          <w:color w:val="auto"/>
          <w:szCs w:val="21"/>
        </w:rPr>
        <w:t xml:space="preserve">4.3供应商满足《中华人民共和国政府采购法》第二十二条规定</w:t>
      </w:r>
      <w:r>
        <w:rPr>
          <w:rFonts w:hint="eastAsia" w:ascii="宋体" w:hAnsi="宋体"/>
          <w:color w:val="auto"/>
          <w:szCs w:val="21"/>
        </w:rPr>
        <w:t xml:space="preserve">：</w:t>
      </w:r>
      <w:r/>
    </w:p>
    <w:p>
      <w:pPr>
        <w:ind w:firstLine="422"/>
        <w:spacing w:line="360" w:lineRule="auto"/>
        <w:rPr>
          <w:rFonts w:ascii="宋体" w:hAnsi="宋体"/>
          <w:color w:val="auto"/>
          <w:szCs w:val="21"/>
        </w:rPr>
      </w:pPr>
      <w:r>
        <w:rPr>
          <w:rFonts w:ascii="宋体" w:hAnsi="宋体"/>
          <w:color w:val="auto"/>
          <w:szCs w:val="21"/>
        </w:rPr>
        <w:t xml:space="preserve">4.3.1</w:t>
      </w:r>
      <w:bookmarkStart w:id="7" w:name="OLE_LINK12"/>
      <w:r>
        <w:rPr>
          <w:rFonts w:ascii="宋体" w:hAnsi="宋体"/>
          <w:color w:val="auto"/>
          <w:szCs w:val="21"/>
        </w:rPr>
        <w:t xml:space="preserve">具有独立承担民事责任的能力</w:t>
      </w:r>
      <w:bookmarkEnd w:id="7"/>
      <w:r>
        <w:rPr>
          <w:rFonts w:ascii="宋体" w:hAnsi="宋体"/>
          <w:color w:val="auto"/>
          <w:szCs w:val="21"/>
        </w:rPr>
        <w:t xml:space="preserve">（提供法人或者其他组织的营业执照等证明文件、自然人的身份证明）；</w:t>
      </w:r>
      <w:r/>
    </w:p>
    <w:p>
      <w:pPr>
        <w:ind w:firstLine="422"/>
        <w:spacing w:line="360" w:lineRule="auto"/>
        <w:rPr>
          <w:rFonts w:ascii="宋体" w:hAnsi="宋体"/>
          <w:bCs/>
          <w:color w:val="auto"/>
          <w:szCs w:val="21"/>
        </w:rPr>
      </w:pPr>
      <w:r>
        <w:rPr>
          <w:rFonts w:ascii="宋体" w:hAnsi="宋体"/>
          <w:color w:val="auto"/>
          <w:szCs w:val="21"/>
        </w:rPr>
        <w:t xml:space="preserve">4.3.2</w:t>
      </w:r>
      <w:bookmarkStart w:id="8" w:name="OLE_LINK13"/>
      <w:r>
        <w:rPr>
          <w:rFonts w:ascii="宋体" w:hAnsi="宋体"/>
          <w:color w:val="auto"/>
          <w:szCs w:val="21"/>
        </w:rPr>
        <w:t xml:space="preserve">具有良好的商业信誉和健全的财务会计制度</w:t>
      </w:r>
      <w:bookmarkEnd w:id="8"/>
      <w:r>
        <w:rPr>
          <w:rFonts w:ascii="宋体" w:hAnsi="宋体"/>
          <w:color w:val="auto"/>
          <w:szCs w:val="21"/>
        </w:rPr>
        <w:t xml:space="preserve">（</w:t>
      </w:r>
      <w:r>
        <w:rPr>
          <w:rFonts w:hint="eastAsia" w:ascii="宋体" w:hAnsi="宋体"/>
          <w:color w:val="auto"/>
          <w:szCs w:val="21"/>
        </w:rPr>
        <w:t xml:space="preserve">提供</w:t>
      </w:r>
      <w:r>
        <w:rPr>
          <w:rFonts w:ascii="宋体" w:hAnsi="宋体"/>
          <w:color w:val="auto"/>
          <w:szCs w:val="21"/>
        </w:rPr>
        <w:t xml:space="preserve">响应承诺函或提供相应证明材料）；</w:t>
      </w:r>
      <w:r/>
    </w:p>
    <w:p>
      <w:pPr>
        <w:ind w:firstLine="422"/>
        <w:spacing w:line="360" w:lineRule="auto"/>
        <w:rPr>
          <w:rFonts w:ascii="宋体" w:hAnsi="宋体"/>
          <w:bCs/>
          <w:color w:val="auto"/>
          <w:szCs w:val="21"/>
        </w:rPr>
      </w:pPr>
      <w:r>
        <w:rPr>
          <w:rFonts w:ascii="宋体" w:hAnsi="宋体"/>
          <w:color w:val="auto"/>
          <w:szCs w:val="21"/>
        </w:rPr>
        <w:t xml:space="preserve">4.3.3</w:t>
      </w:r>
      <w:bookmarkStart w:id="9" w:name="OLE_LINK14"/>
      <w:r>
        <w:rPr>
          <w:rFonts w:ascii="宋体" w:hAnsi="宋体"/>
          <w:color w:val="auto"/>
          <w:szCs w:val="21"/>
        </w:rPr>
        <w:t xml:space="preserve">具有履行合同所必需的设备和专业技术能力</w:t>
      </w:r>
      <w:bookmarkEnd w:id="9"/>
      <w:r>
        <w:rPr>
          <w:rFonts w:ascii="宋体" w:hAnsi="宋体"/>
          <w:color w:val="auto"/>
          <w:szCs w:val="21"/>
        </w:rPr>
        <w:t xml:space="preserve">（</w:t>
      </w:r>
      <w:r>
        <w:rPr>
          <w:rFonts w:hint="eastAsia" w:ascii="宋体" w:hAnsi="宋体"/>
          <w:color w:val="auto"/>
          <w:szCs w:val="21"/>
        </w:rPr>
        <w:t xml:space="preserve">提供</w:t>
      </w:r>
      <w:r>
        <w:rPr>
          <w:rFonts w:ascii="宋体" w:hAnsi="宋体"/>
          <w:color w:val="auto"/>
          <w:szCs w:val="21"/>
        </w:rPr>
        <w:t xml:space="preserve">响应承诺函或提供相应证明材料）；</w:t>
      </w:r>
      <w:r/>
    </w:p>
    <w:p>
      <w:pPr>
        <w:ind w:firstLine="422"/>
        <w:spacing w:line="360" w:lineRule="auto"/>
        <w:rPr>
          <w:rFonts w:ascii="宋体" w:hAnsi="宋体"/>
          <w:color w:val="auto"/>
          <w:szCs w:val="21"/>
        </w:rPr>
      </w:pPr>
      <w:r>
        <w:rPr>
          <w:rFonts w:ascii="宋体" w:hAnsi="宋体"/>
          <w:color w:val="auto"/>
          <w:szCs w:val="21"/>
        </w:rPr>
        <w:t xml:space="preserve">4.3.4</w:t>
      </w:r>
      <w:bookmarkStart w:id="10" w:name="OLE_LINK15"/>
      <w:r>
        <w:rPr>
          <w:rFonts w:ascii="宋体" w:hAnsi="宋体"/>
          <w:color w:val="auto"/>
          <w:szCs w:val="21"/>
        </w:rPr>
        <w:t xml:space="preserve">具有依法缴纳税收和社会保障资金的良好记录</w:t>
      </w:r>
      <w:bookmarkEnd w:id="10"/>
      <w:r>
        <w:rPr>
          <w:rFonts w:ascii="宋体" w:hAnsi="宋体"/>
          <w:color w:val="auto"/>
          <w:szCs w:val="21"/>
        </w:rPr>
        <w:t xml:space="preserve">（</w:t>
      </w:r>
      <w:r>
        <w:rPr>
          <w:rFonts w:hint="eastAsia" w:ascii="宋体" w:hAnsi="宋体"/>
          <w:color w:val="auto"/>
          <w:szCs w:val="21"/>
        </w:rPr>
        <w:t xml:space="preserve">提供</w:t>
      </w:r>
      <w:r>
        <w:rPr>
          <w:rFonts w:ascii="宋体" w:hAnsi="宋体"/>
          <w:color w:val="auto"/>
          <w:szCs w:val="21"/>
        </w:rPr>
        <w:t xml:space="preserve">响应承诺函或提供相应证明材料）；</w:t>
      </w:r>
      <w:r/>
    </w:p>
    <w:p>
      <w:pPr>
        <w:ind w:firstLine="422"/>
        <w:spacing w:line="360" w:lineRule="auto"/>
        <w:rPr>
          <w:rFonts w:ascii="宋体" w:hAnsi="宋体"/>
          <w:color w:val="auto"/>
          <w:szCs w:val="21"/>
        </w:rPr>
      </w:pPr>
      <w:r>
        <w:rPr>
          <w:rFonts w:ascii="宋体" w:hAnsi="宋体"/>
          <w:color w:val="auto"/>
          <w:szCs w:val="21"/>
        </w:rPr>
        <w:t xml:space="preserve">4.3.5</w:t>
      </w:r>
      <w:bookmarkStart w:id="11" w:name="OLE_LINK16"/>
      <w:r>
        <w:rPr>
          <w:rFonts w:ascii="宋体" w:hAnsi="宋体"/>
          <w:color w:val="auto"/>
          <w:szCs w:val="21"/>
        </w:rPr>
        <w:t xml:space="preserve">参加政府采购活动前三年内，在经营活动中没有重大违法记录</w:t>
      </w:r>
      <w:bookmarkEnd w:id="11"/>
      <w:r>
        <w:rPr>
          <w:rFonts w:ascii="宋体" w:hAnsi="宋体"/>
          <w:color w:val="auto"/>
          <w:szCs w:val="21"/>
        </w:rPr>
        <w:t xml:space="preserve">（</w:t>
      </w:r>
      <w:r>
        <w:rPr>
          <w:rFonts w:hint="eastAsia" w:ascii="宋体" w:hAnsi="宋体"/>
          <w:color w:val="auto"/>
          <w:szCs w:val="21"/>
        </w:rPr>
        <w:t xml:space="preserve">提供</w:t>
      </w:r>
      <w:r>
        <w:rPr>
          <w:rFonts w:ascii="宋体" w:hAnsi="宋体"/>
          <w:color w:val="auto"/>
          <w:szCs w:val="21"/>
        </w:rPr>
        <w:t xml:space="preserve">响应承诺函或提供相应证明材料）；</w:t>
      </w:r>
      <w:bookmarkEnd w:id="6"/>
      <w:r/>
      <w:r/>
    </w:p>
    <w:p>
      <w:pPr>
        <w:ind w:firstLine="422"/>
        <w:spacing w:line="360" w:lineRule="auto"/>
        <w:rPr>
          <w:rFonts w:ascii="宋体" w:hAnsi="宋体"/>
          <w:color w:val="auto"/>
          <w:szCs w:val="21"/>
        </w:rPr>
      </w:pPr>
      <w:r>
        <w:rPr>
          <w:rFonts w:hint="eastAsia" w:ascii="宋体" w:hAnsi="宋体"/>
          <w:b/>
          <w:color w:val="auto"/>
          <w:szCs w:val="21"/>
        </w:rPr>
        <w:t xml:space="preserve">4.4供应商符合相关扶持政策的证明材料（</w:t>
      </w:r>
      <w:r>
        <w:rPr>
          <w:rFonts w:hint="eastAsia" w:ascii="宋体" w:hAnsi="宋体"/>
          <w:b/>
          <w:color w:val="auto"/>
          <w:szCs w:val="21"/>
        </w:rPr>
        <w:t xml:space="preserve">如有落实政府采购政策需满足的资格条件，则必须按要求提供以下材料中的至少一份，否则将被认定为资格审查不合格</w:t>
      </w:r>
      <w:r>
        <w:rPr>
          <w:rFonts w:hint="eastAsia" w:ascii="宋体" w:hAnsi="宋体"/>
          <w:b/>
          <w:color w:val="auto"/>
          <w:szCs w:val="21"/>
        </w:rPr>
        <w:t xml:space="preserve">）</w:t>
      </w:r>
      <w:r>
        <w:rPr>
          <w:rFonts w:hint="eastAsia" w:ascii="宋体" w:hAnsi="宋体"/>
          <w:color w:val="auto"/>
          <w:szCs w:val="21"/>
        </w:rPr>
        <w:t xml:space="preserve">：</w:t>
      </w:r>
      <w:r/>
    </w:p>
    <w:p>
      <w:pPr>
        <w:ind w:firstLine="422"/>
        <w:keepLines w:val="0"/>
        <w:keepNext w:val="0"/>
        <w:pageBreakBefore w:val="0"/>
        <w:spacing w:line="360" w:lineRule="auto"/>
        <w:widowControl w:val="off"/>
        <w:rPr>
          <w:rFonts w:ascii="宋体" w:hAnsi="宋体"/>
          <w:color w:val="auto"/>
          <w:szCs w:val="21"/>
        </w:rPr>
        <w:outlineLvl w:val="9"/>
      </w:pPr>
      <w:r>
        <w:rPr>
          <w:rFonts w:ascii="宋体" w:hAnsi="宋体"/>
          <w:color w:val="auto"/>
          <w:szCs w:val="21"/>
        </w:rPr>
        <w:t xml:space="preserve">4.4.1中小企业声明函</w:t>
      </w:r>
      <w:r>
        <w:rPr>
          <w:rFonts w:hint="eastAsia" w:ascii="宋体" w:hAnsi="宋体"/>
          <w:color w:val="auto"/>
          <w:szCs w:val="21"/>
        </w:rPr>
        <w:t xml:space="preserve">，</w:t>
      </w:r>
      <w:r>
        <w:rPr>
          <w:rFonts w:hint="eastAsia" w:ascii="宋体" w:hAnsi="宋体"/>
          <w:b/>
          <w:color w:val="auto"/>
          <w:szCs w:val="21"/>
        </w:rPr>
        <w:t xml:space="preserve">未提供不享受中小企业扶持政策；</w:t>
      </w:r>
      <w:r/>
    </w:p>
    <w:p>
      <w:pPr>
        <w:pStyle w:val="1257"/>
        <w:ind w:firstLine="422"/>
        <w:keepLines w:val="0"/>
        <w:keepNext w:val="0"/>
        <w:pageBreakBefore w:val="0"/>
        <w:spacing w:line="360" w:lineRule="auto"/>
        <w:widowControl w:val="off"/>
        <w:tabs>
          <w:tab w:val="left" w:pos="851" w:leader="none"/>
        </w:tabs>
        <w:rPr>
          <w:rFonts w:ascii="宋体" w:hAnsi="宋体"/>
          <w:color w:val="auto"/>
          <w:szCs w:val="21"/>
        </w:rPr>
        <w:outlineLvl w:val="9"/>
      </w:pPr>
      <w:r>
        <w:rPr>
          <w:rFonts w:ascii="宋体" w:hAnsi="宋体"/>
          <w:color w:val="auto"/>
          <w:szCs w:val="21"/>
        </w:rPr>
        <w:t xml:space="preserve">4.4.2残疾人福利性单位声明函</w:t>
      </w:r>
      <w:r>
        <w:rPr>
          <w:rFonts w:hint="eastAsia" w:ascii="宋体" w:hAnsi="宋体"/>
          <w:color w:val="auto"/>
          <w:szCs w:val="21"/>
        </w:rPr>
        <w:t xml:space="preserve">，</w:t>
      </w:r>
      <w:r>
        <w:rPr>
          <w:rFonts w:hint="eastAsia" w:ascii="宋体" w:hAnsi="宋体"/>
          <w:b/>
          <w:color w:val="auto"/>
          <w:szCs w:val="21"/>
        </w:rPr>
        <w:t xml:space="preserve">未提供视为非残疾人福利性单位，不视同小微企业，不享受残疾人福利性单位政策；</w:t>
      </w:r>
      <w:r/>
    </w:p>
    <w:p>
      <w:pPr>
        <w:ind w:firstLine="420"/>
        <w:keepLines w:val="0"/>
        <w:keepNext w:val="0"/>
        <w:pageBreakBefore w:val="0"/>
        <w:spacing w:line="360" w:lineRule="auto"/>
        <w:widowControl w:val="off"/>
        <w:rPr>
          <w:rFonts w:hint="eastAsia" w:ascii="宋体" w:hAnsi="宋体"/>
          <w:color w:val="auto"/>
          <w:szCs w:val="21"/>
        </w:rPr>
        <w:outlineLvl w:val="9"/>
      </w:pPr>
      <w:r>
        <w:rPr>
          <w:rFonts w:ascii="宋体" w:hAnsi="宋体"/>
          <w:color w:val="auto"/>
          <w:szCs w:val="21"/>
        </w:rPr>
        <w:t xml:space="preserve">4.4.3</w:t>
      </w:r>
      <w:r>
        <w:rPr>
          <w:rFonts w:hint="eastAsia" w:ascii="宋体" w:hAnsi="宋体"/>
          <w:color w:val="auto"/>
          <w:szCs w:val="21"/>
        </w:rPr>
        <w:t xml:space="preserve">监狱企业证明文件（如有），由省级以上监狱管理局、戒毒管理局（含新疆生产建设兵团）出具，</w:t>
      </w:r>
      <w:r>
        <w:rPr>
          <w:rFonts w:hint="eastAsia" w:ascii="宋体" w:hAnsi="宋体"/>
          <w:b/>
          <w:color w:val="auto"/>
          <w:szCs w:val="21"/>
        </w:rPr>
        <w:t xml:space="preserve">未提供视为非监狱企业，不视同小微企业，不享受监狱企业政策；</w:t>
      </w:r>
      <w:r/>
    </w:p>
    <w:p>
      <w:pPr>
        <w:ind w:firstLine="422"/>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4.4.4关于符合本国产品标准的声明函（如有），未提供将不享受本国产品价格评审优惠。</w:t>
      </w:r>
      <w:r/>
    </w:p>
    <w:p>
      <w:pPr>
        <w:pStyle w:val="1257"/>
        <w:ind w:firstLine="422"/>
        <w:keepLines w:val="0"/>
        <w:keepNext w:val="0"/>
        <w:pageBreakBefore w:val="0"/>
        <w:spacing w:line="360" w:lineRule="auto"/>
        <w:widowControl w:val="off"/>
        <w:tabs>
          <w:tab w:val="left" w:pos="851" w:leader="none"/>
        </w:tabs>
        <w:rPr>
          <w:rFonts w:ascii="宋体" w:hAnsi="宋体"/>
          <w:b/>
          <w:color w:val="auto"/>
          <w:szCs w:val="21"/>
          <w:u w:val="single"/>
        </w:rPr>
        <w:outlineLvl w:val="9"/>
      </w:pPr>
      <w:r>
        <w:rPr>
          <w:rFonts w:hint="eastAsia" w:ascii="宋体" w:hAnsi="宋体"/>
          <w:b/>
          <w:color w:val="auto"/>
          <w:szCs w:val="21"/>
          <w:u w:val="single"/>
        </w:rPr>
        <w:t xml:space="preserve">专门面向中小企业的项目必须提供4.4.1或4.4.2或4.4.3项资料，否则响应无效，本国产品还须提供4.4.4项资料。</w:t>
      </w:r>
      <w:r/>
    </w:p>
    <w:p>
      <w:pPr>
        <w:ind w:firstLine="422"/>
        <w:keepLines w:val="0"/>
        <w:keepNext w:val="0"/>
        <w:pageBreakBefore w:val="0"/>
        <w:spacing w:line="360" w:lineRule="auto"/>
        <w:widowControl w:val="off"/>
        <w:rPr>
          <w:rFonts w:hint="eastAsia" w:ascii="宋体" w:hAnsi="宋体"/>
          <w:color w:val="auto"/>
          <w:szCs w:val="21"/>
        </w:rPr>
        <w:outlineLvl w:val="9"/>
      </w:pPr>
      <w:r>
        <w:rPr>
          <w:rFonts w:hint="eastAsia" w:ascii="宋体" w:hAnsi="宋体"/>
          <w:color w:val="auto"/>
          <w:szCs w:val="21"/>
        </w:rPr>
        <w:t xml:space="preserve">4</w:t>
      </w:r>
      <w:r>
        <w:rPr>
          <w:rFonts w:ascii="宋体" w:hAnsi="宋体"/>
          <w:color w:val="auto"/>
          <w:szCs w:val="21"/>
        </w:rPr>
        <w:t xml:space="preserve">.5</w:t>
      </w:r>
      <w:r>
        <w:rPr>
          <w:rFonts w:hint="eastAsia" w:ascii="宋体" w:hAnsi="宋体"/>
          <w:color w:val="auto"/>
          <w:szCs w:val="21"/>
        </w:rPr>
        <w:t xml:space="preserve">特定资格条件的证明材料</w:t>
      </w:r>
      <w:bookmarkStart w:id="12" w:name="_Hlk160091709"/>
      <w:r>
        <w:rPr>
          <w:rFonts w:hint="eastAsia" w:ascii="宋体" w:hAnsi="宋体"/>
          <w:color w:val="auto"/>
          <w:szCs w:val="21"/>
        </w:rPr>
        <w:t xml:space="preserve">：</w:t>
      </w:r>
      <w:bookmarkStart w:id="13" w:name="_Hlk160522763"/>
      <w:r>
        <w:rPr>
          <w:rFonts w:hint="eastAsia" w:ascii="宋体" w:hAnsi="宋体"/>
          <w:color w:val="auto"/>
          <w:szCs w:val="21"/>
        </w:rPr>
        <w:t xml:space="preserve">无。</w:t>
      </w:r>
      <w:r/>
    </w:p>
    <w:p>
      <w:pPr>
        <w:ind w:firstLine="422"/>
        <w:keepLines w:val="0"/>
        <w:keepNext w:val="0"/>
        <w:pageBreakBefore w:val="0"/>
        <w:spacing w:line="360" w:lineRule="auto"/>
        <w:widowControl w:val="off"/>
        <w:rPr>
          <w:rFonts w:ascii="宋体" w:hAnsi="宋体"/>
          <w:color w:val="auto"/>
          <w:szCs w:val="21"/>
        </w:rPr>
        <w:outlineLvl w:val="9"/>
      </w:pPr>
      <w:r>
        <w:rPr>
          <w:rFonts w:ascii="宋体" w:hAnsi="宋体"/>
          <w:color w:val="auto"/>
          <w:szCs w:val="21"/>
        </w:rPr>
        <w:t xml:space="preserve">4.6</w:t>
      </w:r>
      <w:r>
        <w:rPr>
          <w:rFonts w:hint="eastAsia" w:ascii="宋体" w:hAnsi="宋体"/>
          <w:color w:val="auto"/>
          <w:szCs w:val="21"/>
        </w:rPr>
        <w:t xml:space="preserve">其它有关资格证明文件</w:t>
      </w:r>
      <w:bookmarkEnd w:id="13"/>
      <w:r>
        <w:rPr>
          <w:rFonts w:hint="eastAsia" w:ascii="宋体" w:hAnsi="宋体"/>
          <w:color w:val="auto"/>
          <w:szCs w:val="21"/>
        </w:rPr>
        <w:t xml:space="preserve">：无。</w:t>
      </w:r>
      <w:r/>
    </w:p>
    <w:p>
      <w:pPr>
        <w:ind w:firstLine="422"/>
        <w:keepLines w:val="0"/>
        <w:keepNext w:val="0"/>
        <w:pageBreakBefore w:val="0"/>
        <w:spacing w:line="360" w:lineRule="auto"/>
        <w:widowControl w:val="off"/>
        <w:rPr>
          <w:rFonts w:ascii="宋体" w:hAnsi="宋体"/>
          <w:color w:val="auto"/>
          <w:szCs w:val="21"/>
        </w:rPr>
        <w:outlineLvl w:val="9"/>
      </w:pPr>
      <w:r>
        <w:rPr>
          <w:rFonts w:ascii="宋体" w:hAnsi="宋体"/>
          <w:color w:val="auto"/>
          <w:szCs w:val="21"/>
        </w:rPr>
        <w:t xml:space="preserve">4.7法定代表人授权委托书（</w:t>
      </w:r>
      <w:bookmarkStart w:id="14" w:name="OLE_LINK17"/>
      <w:r>
        <w:rPr>
          <w:rFonts w:ascii="宋体" w:hAnsi="宋体"/>
          <w:color w:val="auto"/>
          <w:szCs w:val="21"/>
        </w:rPr>
        <w:t xml:space="preserve">如有授权，必须提供，</w:t>
      </w:r>
      <w:r>
        <w:rPr>
          <w:rFonts w:hint="eastAsia" w:ascii="宋体" w:hAnsi="宋体"/>
          <w:color w:val="auto"/>
          <w:szCs w:val="21"/>
        </w:rPr>
        <w:t xml:space="preserve">格式见第三章</w:t>
      </w:r>
      <w:bookmarkEnd w:id="14"/>
      <w:r>
        <w:rPr>
          <w:rFonts w:ascii="宋体" w:hAnsi="宋体"/>
          <w:color w:val="auto"/>
          <w:szCs w:val="21"/>
        </w:rPr>
        <w:t xml:space="preserve">）</w:t>
      </w:r>
      <w:bookmarkEnd w:id="12"/>
      <w:r/>
      <w:r/>
    </w:p>
    <w:p>
      <w:pPr>
        <w:pStyle w:val="1257"/>
        <w:numPr>
          <w:ilvl w:val="0"/>
          <w:numId w:val="3"/>
        </w:numPr>
        <w:keepLines w:val="0"/>
        <w:keepNext w:val="0"/>
        <w:pageBreakBefore w:val="0"/>
        <w:spacing w:line="360" w:lineRule="auto"/>
        <w:widowControl w:val="off"/>
        <w:rPr>
          <w:rFonts w:ascii="宋体" w:hAnsi="宋体"/>
          <w:b/>
          <w:color w:val="auto"/>
          <w:szCs w:val="21"/>
        </w:rPr>
        <w:outlineLvl w:val="9"/>
      </w:pPr>
      <w:r>
        <w:rPr>
          <w:rFonts w:hint="eastAsia" w:ascii="宋体" w:hAnsi="宋体"/>
          <w:b/>
          <w:color w:val="auto"/>
          <w:szCs w:val="21"/>
        </w:rPr>
        <w:t xml:space="preserve">符合性审查文件</w:t>
      </w:r>
      <w:r/>
    </w:p>
    <w:p>
      <w:pPr>
        <w:ind w:firstLine="422"/>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5.1报价分析表；</w:t>
      </w:r>
      <w:r>
        <w:rPr>
          <w:rFonts w:hint="eastAsia" w:ascii="宋体" w:hAnsi="宋体"/>
          <w:b/>
          <w:color w:val="auto"/>
          <w:szCs w:val="21"/>
        </w:rPr>
        <w:t xml:space="preserve">（格式见第三章，必须提供否则将被认定为未实质性响应谈判文件要求）</w:t>
      </w:r>
      <w:r/>
    </w:p>
    <w:p>
      <w:pPr>
        <w:ind w:firstLine="422"/>
        <w:keepLines w:val="0"/>
        <w:keepNext w:val="0"/>
        <w:pageBreakBefore w:val="0"/>
        <w:spacing w:line="360" w:lineRule="auto"/>
        <w:widowControl w:val="off"/>
        <w:rPr>
          <w:rFonts w:ascii="宋体" w:hAnsi="宋体"/>
          <w:b/>
          <w:color w:val="auto"/>
          <w:szCs w:val="21"/>
        </w:rPr>
        <w:outlineLvl w:val="9"/>
      </w:pPr>
      <w:r>
        <w:rPr>
          <w:rFonts w:hint="eastAsia" w:ascii="宋体" w:hAnsi="宋体"/>
          <w:color w:val="auto"/>
          <w:szCs w:val="21"/>
        </w:rPr>
        <w:t xml:space="preserve">5.2响应及偏离表（技术要求）；</w:t>
      </w:r>
      <w:r>
        <w:rPr>
          <w:rFonts w:hint="eastAsia" w:ascii="宋体" w:hAnsi="宋体"/>
          <w:b/>
          <w:color w:val="auto"/>
          <w:szCs w:val="21"/>
        </w:rPr>
        <w:t xml:space="preserve">（格式见第三章，必须提供否则将被认定为未实质性响应谈判文件要求）</w:t>
      </w:r>
      <w:r/>
    </w:p>
    <w:p>
      <w:pPr>
        <w:ind w:firstLine="422"/>
        <w:keepLines w:val="0"/>
        <w:keepNext w:val="0"/>
        <w:pageBreakBefore w:val="0"/>
        <w:spacing w:line="360" w:lineRule="auto"/>
        <w:widowControl w:val="off"/>
        <w:rPr>
          <w:rFonts w:ascii="宋体" w:hAnsi="宋体"/>
          <w:b/>
          <w:color w:val="auto"/>
          <w:szCs w:val="21"/>
        </w:rPr>
        <w:outlineLvl w:val="9"/>
      </w:pPr>
      <w:r>
        <w:rPr>
          <w:rFonts w:hint="eastAsia" w:ascii="宋体" w:hAnsi="宋体"/>
          <w:color w:val="auto"/>
          <w:szCs w:val="21"/>
        </w:rPr>
        <w:t xml:space="preserve">5.</w:t>
      </w:r>
      <w:r>
        <w:rPr>
          <w:rFonts w:ascii="宋体" w:hAnsi="宋体"/>
          <w:color w:val="auto"/>
          <w:szCs w:val="21"/>
        </w:rPr>
        <w:t xml:space="preserve">3</w:t>
      </w:r>
      <w:r>
        <w:rPr>
          <w:rFonts w:hint="eastAsia" w:ascii="宋体" w:hAnsi="宋体"/>
          <w:color w:val="auto"/>
          <w:szCs w:val="21"/>
        </w:rPr>
        <w:t xml:space="preserve">响应及偏离表（商务要求）；</w:t>
      </w:r>
      <w:r>
        <w:rPr>
          <w:rFonts w:hint="eastAsia" w:ascii="宋体" w:hAnsi="宋体"/>
          <w:b/>
          <w:color w:val="auto"/>
          <w:szCs w:val="21"/>
        </w:rPr>
        <w:t xml:space="preserve">（格式见第三章，必须提供否则将被认定为未实质性响应谈判文件要求）</w:t>
      </w:r>
      <w:r/>
    </w:p>
    <w:p>
      <w:pPr>
        <w:ind w:firstLine="422"/>
        <w:keepLines w:val="0"/>
        <w:keepNext w:val="0"/>
        <w:pageBreakBefore w:val="0"/>
        <w:spacing w:line="360" w:lineRule="auto"/>
        <w:widowControl w:val="off"/>
        <w:rPr>
          <w:rFonts w:ascii="宋体" w:hAnsi="宋体"/>
          <w:b/>
          <w:bCs/>
          <w:color w:val="auto"/>
          <w:szCs w:val="21"/>
        </w:rPr>
        <w:outlineLvl w:val="9"/>
      </w:pPr>
      <w:r>
        <w:rPr>
          <w:rFonts w:ascii="宋体" w:hAnsi="宋体"/>
          <w:color w:val="auto"/>
          <w:szCs w:val="21"/>
        </w:rPr>
        <w:t xml:space="preserve">5.4</w:t>
      </w:r>
      <w:r>
        <w:rPr>
          <w:rFonts w:hint="eastAsia" w:ascii="宋体" w:hAnsi="宋体"/>
          <w:color w:val="auto"/>
          <w:szCs w:val="21"/>
          <w:lang w:val="zh-CN"/>
        </w:rPr>
        <w:t xml:space="preserve">投标货物和服务数量、品牌规格、性能、交货时间说明表</w:t>
      </w:r>
      <w:r>
        <w:rPr>
          <w:rFonts w:hint="eastAsia" w:ascii="宋体" w:hAnsi="宋体"/>
          <w:color w:val="auto"/>
          <w:szCs w:val="21"/>
        </w:rPr>
        <w:t xml:space="preserve">；</w:t>
      </w:r>
      <w:r>
        <w:rPr>
          <w:rFonts w:hint="eastAsia" w:ascii="宋体" w:hAnsi="宋体"/>
          <w:b/>
          <w:bCs/>
          <w:color w:val="auto"/>
          <w:szCs w:val="21"/>
        </w:rPr>
        <w:t xml:space="preserve">（</w:t>
      </w:r>
      <w:r>
        <w:rPr>
          <w:rFonts w:hint="eastAsia" w:ascii="宋体" w:hAnsi="宋体"/>
          <w:b/>
          <w:color w:val="auto"/>
          <w:szCs w:val="21"/>
        </w:rPr>
        <w:t xml:space="preserve">格式见第三章，必须提供否则将被认定为未实质性响应谈判文件要求</w:t>
      </w:r>
      <w:r>
        <w:rPr>
          <w:rFonts w:hint="eastAsia" w:ascii="宋体" w:hAnsi="宋体"/>
          <w:b/>
          <w:bCs/>
          <w:color w:val="auto"/>
          <w:szCs w:val="21"/>
        </w:rPr>
        <w:t xml:space="preserve">）</w:t>
      </w:r>
      <w:r/>
    </w:p>
    <w:p>
      <w:pPr>
        <w:ind w:firstLine="422"/>
        <w:keepLines w:val="0"/>
        <w:keepNext w:val="0"/>
        <w:pageBreakBefore w:val="0"/>
        <w:spacing w:line="360" w:lineRule="auto"/>
        <w:widowControl w:val="off"/>
        <w:rPr>
          <w:rFonts w:ascii="宋体" w:hAnsi="宋体"/>
          <w:b/>
          <w:bCs/>
          <w:color w:val="auto"/>
          <w:szCs w:val="21"/>
        </w:rPr>
        <w:outlineLvl w:val="9"/>
      </w:pPr>
      <w:r>
        <w:rPr>
          <w:rFonts w:ascii="宋体" w:hAnsi="宋体"/>
          <w:color w:val="auto"/>
          <w:szCs w:val="21"/>
        </w:rPr>
        <w:t xml:space="preserve">5.5</w:t>
      </w:r>
      <w:r>
        <w:rPr>
          <w:rFonts w:hint="eastAsia" w:ascii="宋体" w:hAnsi="宋体"/>
          <w:color w:val="auto"/>
          <w:szCs w:val="21"/>
        </w:rPr>
        <w:t xml:space="preserve">类似业绩一览表；</w:t>
      </w:r>
      <w:r>
        <w:rPr>
          <w:rFonts w:hint="eastAsia" w:ascii="宋体" w:hAnsi="宋体"/>
          <w:b/>
          <w:bCs/>
          <w:color w:val="auto"/>
          <w:szCs w:val="21"/>
        </w:rPr>
        <w:t xml:space="preserve">（格式见第三章，可附于响应及偏离表（商务要求）后）</w:t>
      </w:r>
      <w:r/>
    </w:p>
    <w:p>
      <w:pPr>
        <w:ind w:firstLine="422"/>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5</w:t>
      </w:r>
      <w:r>
        <w:rPr>
          <w:rFonts w:ascii="宋体" w:hAnsi="宋体"/>
          <w:color w:val="auto"/>
          <w:szCs w:val="21"/>
        </w:rPr>
        <w:t xml:space="preserve">.6</w:t>
      </w:r>
      <w:r>
        <w:rPr>
          <w:rFonts w:hint="eastAsia" w:ascii="宋体" w:hAnsi="宋体"/>
          <w:color w:val="auto"/>
          <w:szCs w:val="21"/>
        </w:rPr>
        <w:t xml:space="preserve">项目相关的符合性审查证明材料。</w:t>
      </w:r>
      <w:r>
        <w:rPr>
          <w:rFonts w:hint="eastAsia" w:ascii="宋体" w:hAnsi="宋体"/>
          <w:b/>
          <w:color w:val="auto"/>
          <w:szCs w:val="21"/>
        </w:rPr>
        <w:t xml:space="preserve">（</w:t>
      </w:r>
      <w:bookmarkStart w:id="15" w:name="OLE_LINK8"/>
      <w:r>
        <w:rPr>
          <w:rFonts w:hint="eastAsia" w:ascii="宋体" w:hAnsi="宋体"/>
          <w:b/>
          <w:color w:val="auto"/>
          <w:szCs w:val="21"/>
        </w:rPr>
        <w:t xml:space="preserve">如有实质性响应项要求提供的材料则必须提供相应材料，否则将被认定为未实质性响应招标文件要求</w:t>
      </w:r>
      <w:bookmarkEnd w:id="15"/>
      <w:r>
        <w:rPr>
          <w:rFonts w:hint="eastAsia" w:ascii="宋体" w:hAnsi="宋体"/>
          <w:b/>
          <w:color w:val="auto"/>
          <w:szCs w:val="21"/>
        </w:rPr>
        <w:t xml:space="preserve">）</w:t>
      </w:r>
      <w:r/>
    </w:p>
    <w:p>
      <w:pPr>
        <w:pStyle w:val="1257"/>
        <w:numPr>
          <w:ilvl w:val="0"/>
          <w:numId w:val="3"/>
        </w:numPr>
        <w:keepLines w:val="0"/>
        <w:keepNext w:val="0"/>
        <w:pageBreakBefore w:val="0"/>
        <w:spacing w:line="360" w:lineRule="auto"/>
        <w:widowControl w:val="off"/>
        <w:rPr>
          <w:rFonts w:ascii="宋体" w:hAnsi="宋体"/>
          <w:b/>
          <w:bCs/>
          <w:color w:val="auto"/>
          <w:szCs w:val="21"/>
        </w:rPr>
        <w:outlineLvl w:val="9"/>
      </w:pPr>
      <w:r>
        <w:rPr>
          <w:rFonts w:hint="eastAsia" w:ascii="宋体" w:hAnsi="宋体"/>
          <w:b/>
          <w:bCs/>
          <w:color w:val="auto"/>
          <w:szCs w:val="21"/>
        </w:rPr>
        <w:t xml:space="preserve">绿色采购</w:t>
      </w:r>
      <w:r/>
    </w:p>
    <w:p>
      <w:pPr>
        <w:ind w:firstLine="422"/>
        <w:keepLines w:val="0"/>
        <w:keepNext w:val="0"/>
        <w:pageBreakBefore w:val="0"/>
        <w:spacing w:line="360" w:lineRule="auto"/>
        <w:widowControl w:val="off"/>
        <w:rPr>
          <w:rFonts w:ascii="宋体" w:hAnsi="宋体"/>
          <w:color w:val="auto"/>
          <w:szCs w:val="21"/>
        </w:rPr>
        <w:outlineLvl w:val="9"/>
      </w:pPr>
      <w:r>
        <w:rPr>
          <w:rFonts w:ascii="宋体" w:hAnsi="宋体"/>
          <w:color w:val="auto"/>
          <w:szCs w:val="21"/>
        </w:rPr>
        <w:t xml:space="preserve">6</w:t>
      </w:r>
      <w:r>
        <w:rPr>
          <w:rFonts w:hint="eastAsia" w:ascii="宋体" w:hAnsi="宋体"/>
          <w:color w:val="auto"/>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2"/>
        <w:keepLines w:val="0"/>
        <w:keepNext w:val="0"/>
        <w:pageBreakBefore w:val="0"/>
        <w:spacing w:line="360" w:lineRule="auto"/>
        <w:widowControl w:val="off"/>
        <w:rPr>
          <w:rFonts w:ascii="宋体" w:hAnsi="宋体"/>
          <w:color w:val="auto"/>
          <w:szCs w:val="21"/>
        </w:rPr>
        <w:outlineLvl w:val="9"/>
      </w:pPr>
      <w:r>
        <w:rPr>
          <w:rFonts w:ascii="宋体" w:hAnsi="宋体"/>
          <w:color w:val="auto"/>
          <w:szCs w:val="21"/>
        </w:rPr>
        <w:t xml:space="preserve">6</w:t>
      </w:r>
      <w:r>
        <w:rPr>
          <w:rFonts w:hint="eastAsia" w:ascii="宋体" w:hAnsi="宋体"/>
          <w:color w:val="auto"/>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2"/>
        <w:keepLines w:val="0"/>
        <w:keepNext w:val="0"/>
        <w:pageBreakBefore w:val="0"/>
        <w:spacing w:line="360" w:lineRule="auto"/>
        <w:widowControl w:val="off"/>
        <w:rPr>
          <w:rFonts w:ascii="宋体" w:hAnsi="宋体"/>
          <w:color w:val="auto"/>
          <w:szCs w:val="21"/>
        </w:rPr>
        <w:outlineLvl w:val="9"/>
      </w:pPr>
      <w:r>
        <w:rPr>
          <w:rFonts w:ascii="宋体" w:hAnsi="宋体"/>
          <w:color w:val="auto"/>
          <w:szCs w:val="21"/>
        </w:rPr>
        <w:t xml:space="preserve">6</w:t>
      </w:r>
      <w:r>
        <w:rPr>
          <w:rFonts w:hint="eastAsia" w:ascii="宋体" w:hAnsi="宋体"/>
          <w:color w:val="auto"/>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257"/>
        <w:numPr>
          <w:ilvl w:val="0"/>
          <w:numId w:val="3"/>
        </w:numPr>
        <w:keepLines w:val="0"/>
        <w:keepNext w:val="0"/>
        <w:pageBreakBefore w:val="0"/>
        <w:spacing w:line="360" w:lineRule="auto"/>
        <w:widowControl w:val="off"/>
        <w:rPr>
          <w:rFonts w:ascii="宋体" w:hAnsi="宋体"/>
          <w:b/>
          <w:color w:val="auto"/>
          <w:szCs w:val="21"/>
        </w:rPr>
        <w:outlineLvl w:val="9"/>
      </w:pPr>
      <w:r>
        <w:rPr>
          <w:rFonts w:hint="eastAsia" w:ascii="宋体" w:hAnsi="宋体"/>
          <w:b/>
          <w:bCs/>
          <w:color w:val="auto"/>
          <w:szCs w:val="21"/>
        </w:rPr>
        <w:t xml:space="preserve">注意</w:t>
      </w:r>
      <w:r>
        <w:rPr>
          <w:rFonts w:hint="eastAsia" w:ascii="宋体" w:hAnsi="宋体"/>
          <w:b/>
          <w:color w:val="auto"/>
          <w:szCs w:val="21"/>
        </w:rPr>
        <w:t xml:space="preserve">事项 </w:t>
      </w:r>
      <w:r/>
    </w:p>
    <w:p>
      <w:pPr>
        <w:ind w:firstLine="422"/>
        <w:keepLines w:val="0"/>
        <w:keepNext w:val="0"/>
        <w:pageBreakBefore w:val="0"/>
        <w:spacing w:line="360" w:lineRule="auto"/>
        <w:widowControl w:val="off"/>
        <w:rPr>
          <w:rFonts w:ascii="宋体" w:hAnsi="宋体"/>
          <w:b/>
          <w:color w:val="auto"/>
          <w:szCs w:val="21"/>
        </w:rPr>
        <w:outlineLvl w:val="9"/>
      </w:pPr>
      <w:r>
        <w:rPr>
          <w:rFonts w:hint="eastAsia" w:ascii="宋体" w:hAnsi="宋体"/>
          <w:b/>
          <w:color w:val="auto"/>
          <w:szCs w:val="21"/>
        </w:rPr>
        <w:t xml:space="preserve">7.1资格审查文件中要求必须提供的材料，供应商必须提供并加盖公章，否则将被认定为不符合资格审查要求。</w:t>
      </w:r>
      <w:r/>
    </w:p>
    <w:p>
      <w:pPr>
        <w:ind w:firstLine="422"/>
        <w:keepLines w:val="0"/>
        <w:keepNext w:val="0"/>
        <w:pageBreakBefore w:val="0"/>
        <w:spacing w:line="360" w:lineRule="auto"/>
        <w:widowControl w:val="off"/>
        <w:rPr>
          <w:rFonts w:ascii="宋体" w:hAnsi="宋体"/>
          <w:b/>
          <w:color w:val="auto"/>
          <w:szCs w:val="21"/>
        </w:rPr>
        <w:outlineLvl w:val="9"/>
      </w:pPr>
      <w:r>
        <w:rPr>
          <w:rFonts w:hint="eastAsia" w:ascii="宋体" w:hAnsi="宋体"/>
          <w:b/>
          <w:color w:val="auto"/>
          <w:szCs w:val="21"/>
        </w:rPr>
        <w:t xml:space="preserve">7.2符合性审查文件要求必须提供的材料，供应商必须提供并加盖公章，否则将被认定为未实质性响应谈判文件要求。</w:t>
      </w:r>
      <w:r/>
    </w:p>
    <w:p>
      <w:pPr>
        <w:ind w:firstLine="422"/>
        <w:keepLines w:val="0"/>
        <w:keepNext w:val="0"/>
        <w:pageBreakBefore w:val="0"/>
        <w:spacing w:line="360" w:lineRule="auto"/>
        <w:widowControl w:val="off"/>
        <w:rPr>
          <w:rFonts w:ascii="宋体" w:hAnsi="宋体"/>
          <w:b/>
          <w:color w:val="auto"/>
          <w:szCs w:val="21"/>
        </w:rPr>
        <w:outlineLvl w:val="9"/>
      </w:pPr>
      <w:r>
        <w:rPr>
          <w:rFonts w:hint="eastAsia" w:ascii="宋体" w:hAnsi="宋体"/>
          <w:b/>
          <w:color w:val="auto"/>
          <w:szCs w:val="21"/>
        </w:rPr>
        <w:t xml:space="preserve">7.3制作电子投标文件时必须与投标文件制作软件目录一一对应，将相关资料上传至相应模块。</w:t>
      </w:r>
      <w:r/>
    </w:p>
    <w:p>
      <w:pPr>
        <w:ind w:firstLine="422"/>
        <w:keepLines w:val="0"/>
        <w:keepNext w:val="0"/>
        <w:pageBreakBefore w:val="0"/>
        <w:spacing w:line="360" w:lineRule="auto"/>
        <w:widowControl w:val="off"/>
        <w:rPr>
          <w:rFonts w:ascii="宋体" w:hAnsi="宋体"/>
          <w:b/>
          <w:color w:val="auto"/>
          <w:szCs w:val="21"/>
        </w:rPr>
        <w:outlineLvl w:val="9"/>
      </w:pPr>
      <w:r>
        <w:rPr>
          <w:rFonts w:hint="eastAsia" w:ascii="宋体" w:hAnsi="宋体"/>
          <w:b/>
          <w:color w:val="auto"/>
          <w:szCs w:val="21"/>
        </w:rPr>
        <w:t xml:space="preserve">7.4开评标过程中如有问题采购代理机构工作人员会及时通过《投标供应商确认函》留存的手机号与供应商联系。请供应商确保该手机号通讯畅通，否则导致的不利后果由供应商自行承担。</w:t>
      </w:r>
      <w:r/>
    </w:p>
    <w:p>
      <w:pPr>
        <w:ind w:firstLine="422"/>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numPr>
          <w:ilvl w:val="0"/>
          <w:numId w:val="4"/>
        </w:numPr>
        <w:ind w:left="0" w:firstLine="422"/>
        <w:keepLines w:val="0"/>
        <w:keepNext w:val="0"/>
        <w:pageBreakBefore w:val="0"/>
        <w:spacing w:line="360" w:lineRule="auto"/>
        <w:widowControl w:val="off"/>
        <w:tabs>
          <w:tab w:val="left" w:pos="851" w:leader="none"/>
        </w:tabs>
        <w:rPr>
          <w:rFonts w:ascii="宋体" w:hAnsi="宋体"/>
          <w:b/>
          <w:color w:val="auto"/>
          <w:szCs w:val="21"/>
        </w:rPr>
        <w:outlineLvl w:val="9"/>
      </w:pPr>
      <w:r>
        <w:rPr>
          <w:rFonts w:hint="eastAsia" w:ascii="宋体" w:hAnsi="宋体"/>
          <w:b/>
          <w:color w:val="auto"/>
          <w:szCs w:val="21"/>
        </w:rPr>
        <w:t xml:space="preserve">谈判文件的澄清和修改</w:t>
      </w:r>
      <w:r/>
    </w:p>
    <w:p>
      <w:pPr>
        <w:pStyle w:val="1257"/>
        <w:ind w:firstLine="422"/>
        <w:spacing w:line="360" w:lineRule="auto"/>
        <w:tabs>
          <w:tab w:val="left" w:pos="851" w:leader="none"/>
        </w:tabs>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提交响应文件截止之日前，采购代理机构有权在出于实际需要的情况下，以更正（补充）公告的形式在原公告发布媒体上对已发出的谈判文件进行必要的澄清或者修改。澄清或者修改的内容作为谈判文件的组成部分，对所有供应商具有约束力。</w:t>
      </w:r>
      <w:r/>
    </w:p>
    <w:p>
      <w:pPr>
        <w:pStyle w:val="1257"/>
        <w:ind w:firstLine="422"/>
        <w:spacing w:line="360" w:lineRule="auto"/>
        <w:tabs>
          <w:tab w:val="left" w:pos="851" w:leader="none"/>
        </w:tabs>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为保证供应商有足够时间修正响应文件，或出于其他合理原因，采购代理机构可依法顺延提交响应文件截止之日</w:t>
      </w:r>
      <w:r>
        <w:rPr>
          <w:rFonts w:hint="eastAsia" w:ascii="宋体" w:hAnsi="宋体"/>
          <w:color w:val="auto"/>
          <w:szCs w:val="21"/>
        </w:rPr>
        <w:t xml:space="preserve">和谈判时间</w:t>
      </w:r>
      <w:r>
        <w:rPr>
          <w:rFonts w:ascii="宋体" w:hAnsi="宋体"/>
          <w:color w:val="auto"/>
          <w:szCs w:val="21"/>
        </w:rPr>
        <w:t xml:space="preserve">。</w:t>
      </w:r>
      <w:r/>
    </w:p>
    <w:p>
      <w:pPr>
        <w:pStyle w:val="1257"/>
        <w:ind w:firstLine="422"/>
        <w:spacing w:line="360" w:lineRule="auto"/>
        <w:tabs>
          <w:tab w:val="left" w:pos="851" w:leader="none"/>
        </w:tabs>
        <w:rPr>
          <w:rFonts w:hint="eastAsia" w:ascii="宋体" w:hAnsi="宋体"/>
          <w:b/>
          <w:color w:val="auto"/>
          <w:szCs w:val="21"/>
        </w:rPr>
      </w:pPr>
      <w:r/>
      <w:bookmarkStart w:id="16" w:name="_Hlk157941221"/>
      <w:r>
        <w:rPr>
          <w:rFonts w:hint="eastAsia" w:ascii="宋体" w:hAnsi="宋体"/>
          <w:color w:val="auto"/>
          <w:szCs w:val="21"/>
        </w:rPr>
        <w:t xml:space="preserve">3.供应商</w:t>
      </w:r>
      <w:bookmarkStart w:id="17" w:name="_Hlk155803365"/>
      <w:r>
        <w:rPr>
          <w:rFonts w:hint="eastAsia" w:ascii="宋体" w:hAnsi="宋体"/>
          <w:color w:val="auto"/>
          <w:szCs w:val="21"/>
        </w:rPr>
        <w:t xml:space="preserve">应及时关注政府采购信息发布媒体上发布的更正（补充）公告，同时在“苏采云”系统中下载更正（补充）资料，</w:t>
      </w:r>
      <w:r>
        <w:rPr>
          <w:rFonts w:hint="eastAsia" w:ascii="宋体" w:hAnsi="宋体"/>
          <w:b/>
          <w:color w:val="auto"/>
          <w:szCs w:val="21"/>
        </w:rPr>
        <w:t xml:space="preserve">如有遗漏（包括但不限于文件未下载或下载不完整），可能无法解密投标（响应）文件，由此所造成的投标失败或损失由供应商自行负责</w:t>
      </w:r>
      <w:bookmarkEnd w:id="16"/>
      <w:r>
        <w:rPr>
          <w:rFonts w:hint="eastAsia" w:ascii="宋体" w:hAnsi="宋体"/>
          <w:b/>
          <w:color w:val="auto"/>
          <w:szCs w:val="21"/>
        </w:rPr>
        <w:t xml:space="preserve">。</w:t>
      </w:r>
      <w:bookmarkEnd w:id="17"/>
      <w:r/>
      <w:r/>
    </w:p>
    <w:p>
      <w:pPr>
        <w:pStyle w:val="1257"/>
        <w:numPr>
          <w:ilvl w:val="0"/>
          <w:numId w:val="4"/>
        </w:numPr>
        <w:ind w:left="0" w:firstLine="422"/>
        <w:spacing w:line="360" w:lineRule="auto"/>
        <w:tabs>
          <w:tab w:val="left" w:pos="851" w:leader="none"/>
        </w:tabs>
        <w:rPr>
          <w:rFonts w:ascii="宋体" w:hAnsi="宋体"/>
          <w:b/>
          <w:color w:val="auto"/>
          <w:szCs w:val="21"/>
        </w:rPr>
      </w:pPr>
      <w:r>
        <w:rPr>
          <w:rFonts w:ascii="宋体" w:hAnsi="宋体"/>
          <w:b/>
          <w:color w:val="auto"/>
          <w:szCs w:val="21"/>
        </w:rPr>
        <w:t xml:space="preserve">响应文件的修改和撤</w:t>
      </w:r>
      <w:r>
        <w:rPr>
          <w:rFonts w:hint="eastAsia" w:ascii="宋体" w:hAnsi="宋体"/>
          <w:b/>
          <w:color w:val="auto"/>
          <w:szCs w:val="21"/>
        </w:rPr>
        <w:t xml:space="preserve">回</w:t>
      </w:r>
      <w:r/>
    </w:p>
    <w:p>
      <w:pPr>
        <w:pStyle w:val="1257"/>
        <w:ind w:firstLine="422"/>
        <w:spacing w:line="360" w:lineRule="auto"/>
        <w:tabs>
          <w:tab w:val="left" w:pos="142" w:leader="none"/>
          <w:tab w:val="left" w:pos="600" w:leader="none"/>
        </w:tabs>
        <w:rPr>
          <w:rFonts w:ascii="宋体" w:hAnsi="宋体"/>
          <w:color w:val="auto"/>
          <w:szCs w:val="21"/>
        </w:rPr>
      </w:pPr>
      <w:r/>
      <w:bookmarkStart w:id="18" w:name="_Hlk159235841"/>
      <w:r>
        <w:rPr>
          <w:rFonts w:hint="eastAsia" w:ascii="宋体" w:hAnsi="宋体"/>
          <w:color w:val="auto"/>
          <w:szCs w:val="21"/>
        </w:rPr>
        <w:t xml:space="preserve">1.</w:t>
      </w:r>
      <w:r>
        <w:rPr>
          <w:rFonts w:ascii="宋体" w:hAnsi="宋体"/>
          <w:color w:val="auto"/>
          <w:szCs w:val="21"/>
        </w:rPr>
        <w:t xml:space="preserve">供应商在提交</w:t>
      </w:r>
      <w:r>
        <w:rPr>
          <w:rFonts w:hint="eastAsia" w:ascii="宋体" w:hAnsi="宋体"/>
          <w:color w:val="auto"/>
          <w:szCs w:val="21"/>
        </w:rPr>
        <w:t xml:space="preserve">投标（</w:t>
      </w:r>
      <w:r>
        <w:rPr>
          <w:rFonts w:ascii="宋体" w:hAnsi="宋体"/>
          <w:color w:val="auto"/>
          <w:szCs w:val="21"/>
        </w:rPr>
        <w:t xml:space="preserve">响应</w:t>
      </w:r>
      <w:r>
        <w:rPr>
          <w:rFonts w:hint="eastAsia" w:ascii="宋体" w:hAnsi="宋体"/>
          <w:color w:val="auto"/>
          <w:szCs w:val="21"/>
        </w:rPr>
        <w:t xml:space="preserve">）</w:t>
      </w:r>
      <w:r>
        <w:rPr>
          <w:rFonts w:ascii="宋体" w:hAnsi="宋体"/>
          <w:color w:val="auto"/>
          <w:szCs w:val="21"/>
        </w:rPr>
        <w:t xml:space="preserve">文件截止时间前，</w:t>
      </w:r>
      <w:bookmarkStart w:id="19" w:name="_Hlk157942116"/>
      <w:r>
        <w:rPr>
          <w:rFonts w:ascii="宋体" w:hAnsi="宋体"/>
          <w:color w:val="auto"/>
          <w:szCs w:val="21"/>
        </w:rPr>
        <w:t xml:space="preserve">可以对所递交的</w:t>
      </w:r>
      <w:r>
        <w:rPr>
          <w:rFonts w:hint="eastAsia" w:ascii="宋体" w:hAnsi="宋体"/>
          <w:color w:val="auto"/>
          <w:szCs w:val="21"/>
        </w:rPr>
        <w:t xml:space="preserve">投标（</w:t>
      </w:r>
      <w:r>
        <w:rPr>
          <w:rFonts w:ascii="宋体" w:hAnsi="宋体"/>
          <w:color w:val="auto"/>
          <w:szCs w:val="21"/>
        </w:rPr>
        <w:t xml:space="preserve">响应</w:t>
      </w:r>
      <w:r>
        <w:rPr>
          <w:rFonts w:hint="eastAsia" w:ascii="宋体" w:hAnsi="宋体"/>
          <w:color w:val="auto"/>
          <w:szCs w:val="21"/>
        </w:rPr>
        <w:t xml:space="preserve">）</w:t>
      </w:r>
      <w:r>
        <w:rPr>
          <w:rFonts w:ascii="宋体" w:hAnsi="宋体"/>
          <w:color w:val="auto"/>
          <w:szCs w:val="21"/>
        </w:rPr>
        <w:t xml:space="preserve">文件进行补充、修改或者撤回</w:t>
      </w:r>
      <w:r>
        <w:rPr>
          <w:rFonts w:hint="eastAsia" w:ascii="宋体" w:hAnsi="宋体"/>
          <w:color w:val="auto"/>
          <w:szCs w:val="21"/>
        </w:rPr>
        <w:t xml:space="preserve">，具体操作方法见《操作手册》。</w:t>
      </w:r>
      <w:r>
        <w:rPr>
          <w:rFonts w:ascii="宋体" w:hAnsi="宋体"/>
          <w:color w:val="auto"/>
          <w:szCs w:val="21"/>
        </w:rPr>
        <w:t xml:space="preserve">提交</w:t>
      </w:r>
      <w:r>
        <w:rPr>
          <w:rFonts w:hint="eastAsia" w:ascii="宋体" w:hAnsi="宋体"/>
          <w:color w:val="auto"/>
          <w:szCs w:val="21"/>
        </w:rPr>
        <w:t xml:space="preserve">投标（</w:t>
      </w:r>
      <w:r>
        <w:rPr>
          <w:rFonts w:ascii="宋体" w:hAnsi="宋体"/>
          <w:color w:val="auto"/>
          <w:szCs w:val="21"/>
        </w:rPr>
        <w:t xml:space="preserve">响应</w:t>
      </w:r>
      <w:r>
        <w:rPr>
          <w:rFonts w:hint="eastAsia" w:ascii="宋体" w:hAnsi="宋体"/>
          <w:color w:val="auto"/>
          <w:szCs w:val="21"/>
        </w:rPr>
        <w:t xml:space="preserve">）</w:t>
      </w:r>
      <w:r>
        <w:rPr>
          <w:rFonts w:ascii="宋体" w:hAnsi="宋体"/>
          <w:color w:val="auto"/>
          <w:szCs w:val="21"/>
        </w:rPr>
        <w:t xml:space="preserve">文件截止时间后供应商不得撤回</w:t>
      </w:r>
      <w:r>
        <w:rPr>
          <w:rFonts w:hint="eastAsia" w:ascii="宋体" w:hAnsi="宋体"/>
          <w:color w:val="auto"/>
          <w:szCs w:val="21"/>
        </w:rPr>
        <w:t xml:space="preserve">投标（</w:t>
      </w:r>
      <w:r>
        <w:rPr>
          <w:rFonts w:ascii="宋体" w:hAnsi="宋体"/>
          <w:color w:val="auto"/>
          <w:szCs w:val="21"/>
        </w:rPr>
        <w:t xml:space="preserve">响应</w:t>
      </w:r>
      <w:r>
        <w:rPr>
          <w:rFonts w:hint="eastAsia" w:ascii="宋体" w:hAnsi="宋体"/>
          <w:color w:val="auto"/>
          <w:szCs w:val="21"/>
        </w:rPr>
        <w:t xml:space="preserve">）</w:t>
      </w:r>
      <w:r>
        <w:rPr>
          <w:rFonts w:ascii="宋体" w:hAnsi="宋体"/>
          <w:color w:val="auto"/>
          <w:szCs w:val="21"/>
        </w:rPr>
        <w:t xml:space="preserve">文件。</w:t>
      </w:r>
      <w:r>
        <w:rPr>
          <w:rFonts w:hint="eastAsia" w:ascii="宋体" w:hAnsi="宋体"/>
          <w:color w:val="auto"/>
          <w:szCs w:val="21"/>
        </w:rPr>
        <w:t xml:space="preserve">供应商撤回投标（</w:t>
      </w:r>
      <w:r>
        <w:rPr>
          <w:rFonts w:ascii="宋体" w:hAnsi="宋体"/>
          <w:color w:val="auto"/>
          <w:szCs w:val="21"/>
        </w:rPr>
        <w:t xml:space="preserve">响应</w:t>
      </w:r>
      <w:r>
        <w:rPr>
          <w:rFonts w:hint="eastAsia" w:ascii="宋体" w:hAnsi="宋体"/>
          <w:color w:val="auto"/>
          <w:szCs w:val="21"/>
        </w:rPr>
        <w:t xml:space="preserve">）</w:t>
      </w:r>
      <w:r>
        <w:rPr>
          <w:rFonts w:ascii="宋体" w:hAnsi="宋体"/>
          <w:color w:val="auto"/>
          <w:szCs w:val="21"/>
        </w:rPr>
        <w:t xml:space="preserve">文件</w:t>
      </w:r>
      <w:r>
        <w:rPr>
          <w:rFonts w:hint="eastAsia" w:ascii="宋体" w:hAnsi="宋体"/>
          <w:color w:val="auto"/>
          <w:szCs w:val="21"/>
        </w:rPr>
        <w:t xml:space="preserve">，则认为其不再参与本项目采购活动</w:t>
      </w:r>
      <w:bookmarkEnd w:id="19"/>
      <w:r>
        <w:rPr>
          <w:rFonts w:hint="eastAsia" w:ascii="宋体" w:hAnsi="宋体"/>
          <w:color w:val="auto"/>
          <w:szCs w:val="21"/>
        </w:rPr>
        <w:t xml:space="preserve">。</w:t>
      </w:r>
      <w:bookmarkEnd w:id="18"/>
      <w:r/>
      <w:r/>
    </w:p>
    <w:p>
      <w:pPr>
        <w:numPr>
          <w:ilvl w:val="0"/>
          <w:numId w:val="4"/>
        </w:numPr>
        <w:ind w:left="0" w:firstLine="422"/>
        <w:spacing w:line="360" w:lineRule="auto"/>
        <w:tabs>
          <w:tab w:val="left" w:pos="142" w:leader="none"/>
          <w:tab w:val="left" w:pos="600" w:leader="none"/>
          <w:tab w:val="left" w:pos="709" w:leader="none"/>
          <w:tab w:val="left" w:pos="851" w:leader="none"/>
        </w:tabs>
        <w:rPr>
          <w:rFonts w:hint="eastAsia" w:ascii="宋体" w:hAnsi="宋体"/>
          <w:color w:val="auto"/>
          <w:szCs w:val="21"/>
        </w:rPr>
      </w:pPr>
      <w:r>
        <w:rPr>
          <w:rFonts w:hint="eastAsia" w:ascii="宋体" w:hAnsi="宋体"/>
          <w:b/>
          <w:color w:val="auto"/>
          <w:szCs w:val="21"/>
        </w:rPr>
        <w:t xml:space="preserve">谈判小组</w:t>
      </w:r>
      <w:r/>
    </w:p>
    <w:p>
      <w:pPr>
        <w:ind w:firstLine="424"/>
        <w:spacing w:line="360" w:lineRule="auto"/>
        <w:tabs>
          <w:tab w:val="left" w:pos="142" w:leader="none"/>
          <w:tab w:val="left" w:pos="600" w:leader="none"/>
          <w:tab w:val="left" w:pos="709" w:leader="none"/>
        </w:tabs>
        <w:rPr>
          <w:rFonts w:ascii="宋体" w:hAnsi="宋体"/>
          <w:color w:val="auto"/>
          <w:szCs w:val="21"/>
        </w:rPr>
      </w:pPr>
      <w:r>
        <w:rPr>
          <w:rFonts w:hint="eastAsia" w:ascii="宋体" w:hAnsi="宋体"/>
          <w:color w:val="auto"/>
          <w:szCs w:val="21"/>
        </w:rPr>
        <w:t xml:space="preserve">1.谈判小组由采购人代表和评审专家共3人以上单数组成。如某一评审项出现评审专家意见不一致时，则按少数服从多数的原则确定该评审项结论。</w:t>
      </w:r>
      <w:r/>
    </w:p>
    <w:p>
      <w:pPr>
        <w:pStyle w:val="1257"/>
        <w:ind w:firstLine="424"/>
        <w:spacing w:line="360" w:lineRule="auto"/>
        <w:tabs>
          <w:tab w:val="left" w:pos="142" w:leader="none"/>
          <w:tab w:val="left" w:pos="600" w:leader="none"/>
        </w:tabs>
        <w:rPr>
          <w:rFonts w:ascii="宋体" w:hAnsi="宋体"/>
          <w:color w:val="auto"/>
          <w:szCs w:val="21"/>
        </w:rPr>
      </w:pPr>
      <w:r>
        <w:rPr>
          <w:rFonts w:hint="eastAsia" w:ascii="宋体" w:hAnsi="宋体"/>
          <w:color w:val="auto"/>
          <w:szCs w:val="21"/>
        </w:rPr>
        <w:t xml:space="preserve">2.谈判小组与参加采购活动的供应商存在下列利害关系之一的，应当回避：</w:t>
      </w:r>
      <w:r/>
    </w:p>
    <w:p>
      <w:pPr>
        <w:ind w:firstLine="422"/>
        <w:spacing w:line="360" w:lineRule="auto"/>
        <w:tabs>
          <w:tab w:val="left" w:pos="142" w:leader="none"/>
          <w:tab w:val="left" w:pos="600" w:leader="none"/>
        </w:tabs>
        <w:rPr>
          <w:rFonts w:ascii="宋体" w:hAnsi="宋体"/>
          <w:color w:val="auto"/>
          <w:szCs w:val="21"/>
        </w:rPr>
      </w:pPr>
      <w:r>
        <w:rPr>
          <w:rFonts w:hint="eastAsia" w:ascii="宋体" w:hAnsi="宋体"/>
          <w:color w:val="auto"/>
          <w:szCs w:val="21"/>
        </w:rPr>
        <w:t xml:space="preserve">(一)参加采购活动前三年内,与供应商存在劳动关系,或者担任过供应商的董事、监事,或者是供应商的控股股东或实际控制人;</w:t>
      </w:r>
      <w:r/>
    </w:p>
    <w:p>
      <w:pPr>
        <w:ind w:firstLine="422"/>
        <w:spacing w:line="360" w:lineRule="auto"/>
        <w:tabs>
          <w:tab w:val="left" w:pos="142" w:leader="none"/>
          <w:tab w:val="left" w:pos="600" w:leader="none"/>
        </w:tabs>
        <w:rPr>
          <w:rFonts w:ascii="宋体" w:hAnsi="宋体"/>
          <w:color w:val="auto"/>
          <w:szCs w:val="21"/>
        </w:rPr>
      </w:pPr>
      <w:r>
        <w:rPr>
          <w:rFonts w:hint="eastAsia" w:ascii="宋体" w:hAnsi="宋体"/>
          <w:color w:val="auto"/>
          <w:szCs w:val="21"/>
        </w:rPr>
        <w:t xml:space="preserve">(二)与供应商的法定代表人或者负责人有夫妻、直系血亲、三代以内旁系血亲或者近姻亲关系;</w:t>
      </w:r>
      <w:r/>
    </w:p>
    <w:p>
      <w:pPr>
        <w:ind w:firstLine="422"/>
        <w:spacing w:line="360" w:lineRule="auto"/>
        <w:tabs>
          <w:tab w:val="left" w:pos="142" w:leader="none"/>
          <w:tab w:val="left" w:pos="600" w:leader="none"/>
        </w:tabs>
        <w:rPr>
          <w:rFonts w:ascii="宋体" w:hAnsi="宋体"/>
          <w:color w:val="auto"/>
          <w:szCs w:val="21"/>
        </w:rPr>
      </w:pPr>
      <w:r>
        <w:rPr>
          <w:rFonts w:hint="eastAsia" w:ascii="宋体" w:hAnsi="宋体"/>
          <w:color w:val="auto"/>
          <w:szCs w:val="21"/>
        </w:rPr>
        <w:t xml:space="preserve">(三)与供应商有其他可能影响政府采购活动公平、公正进行的关系。</w:t>
      </w:r>
      <w:r/>
    </w:p>
    <w:p>
      <w:pPr>
        <w:ind w:firstLine="422"/>
        <w:spacing w:line="360" w:lineRule="auto"/>
        <w:tabs>
          <w:tab w:val="left" w:pos="142" w:leader="none"/>
          <w:tab w:val="left" w:pos="600" w:leader="none"/>
        </w:tabs>
        <w:rPr>
          <w:rFonts w:ascii="宋体" w:hAnsi="宋体"/>
          <w:color w:val="auto"/>
          <w:szCs w:val="21"/>
        </w:rPr>
      </w:pPr>
      <w:r>
        <w:rPr>
          <w:rFonts w:hint="eastAsia" w:ascii="宋体" w:hAnsi="宋体"/>
          <w:color w:val="auto"/>
          <w:szCs w:val="21"/>
        </w:rPr>
        <w:t xml:space="preserve">谈判小组发现本人与参加采购活动的供应商有利害关系的,应当主动提出回避。采购人或者采购代理机构发现谈判小组与参加采购活动的供应商有利害关系的，应当要求其回避。</w:t>
      </w:r>
      <w:r/>
    </w:p>
    <w:p>
      <w:pPr>
        <w:pStyle w:val="1257"/>
        <w:ind w:firstLine="422"/>
        <w:spacing w:line="360" w:lineRule="auto"/>
        <w:tabs>
          <w:tab w:val="left" w:pos="142" w:leader="none"/>
          <w:tab w:val="left" w:pos="600" w:leader="none"/>
        </w:tabs>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评审专家应当遵守评审工作纪律，不得泄露评审文件、评审情况和评审中获悉的商业秘密。</w:t>
      </w:r>
      <w:r>
        <w:rPr>
          <w:rFonts w:hint="eastAsia" w:ascii="宋体" w:hAnsi="宋体"/>
          <w:color w:val="auto"/>
          <w:szCs w:val="21"/>
        </w:rPr>
        <w:t xml:space="preserve">谈判小组</w:t>
      </w:r>
      <w:r>
        <w:rPr>
          <w:rFonts w:ascii="宋体" w:hAnsi="宋体"/>
          <w:color w:val="auto"/>
          <w:szCs w:val="21"/>
        </w:rPr>
        <w:t xml:space="preserve">在评审过程中发现供应商有行贿、提供虚假材料或者串通等违法行为的，应当及时向财政部门报告。政府采购评审专家在评审过程中受到非法干预的，应当及时向财政、监察等部门举报。</w:t>
      </w:r>
      <w:r/>
    </w:p>
    <w:p>
      <w:pPr>
        <w:pStyle w:val="1257"/>
        <w:ind w:firstLine="422"/>
        <w:spacing w:line="360" w:lineRule="auto"/>
        <w:tabs>
          <w:tab w:val="left" w:pos="142" w:leader="none"/>
          <w:tab w:val="left" w:pos="600" w:leader="none"/>
        </w:tabs>
        <w:rPr>
          <w:rFonts w:ascii="宋体" w:hAnsi="宋体"/>
          <w:color w:val="auto"/>
          <w:szCs w:val="21"/>
        </w:rPr>
      </w:pPr>
      <w:r>
        <w:rPr>
          <w:rFonts w:hint="eastAsia" w:ascii="宋体" w:hAnsi="宋体"/>
          <w:color w:val="auto"/>
          <w:szCs w:val="21"/>
        </w:rPr>
        <w:t xml:space="preserve">4.谈判小组</w:t>
      </w:r>
      <w:r>
        <w:rPr>
          <w:rFonts w:ascii="宋体" w:hAnsi="宋体"/>
          <w:color w:val="auto"/>
          <w:szCs w:val="21"/>
        </w:rPr>
        <w:t xml:space="preserve">成员应当按照客观、公正、审慎的原则，根据</w:t>
      </w:r>
      <w:r>
        <w:rPr>
          <w:rFonts w:hint="eastAsia" w:ascii="宋体" w:hAnsi="宋体"/>
          <w:color w:val="auto"/>
          <w:szCs w:val="21"/>
        </w:rPr>
        <w:t xml:space="preserve">谈判</w:t>
      </w:r>
      <w:r>
        <w:rPr>
          <w:rFonts w:ascii="宋体" w:hAnsi="宋体"/>
          <w:color w:val="auto"/>
          <w:szCs w:val="21"/>
        </w:rPr>
        <w:t xml:space="preserve">文件规定的评审程序、评审方法和评审标准进行独立评审。</w:t>
      </w:r>
      <w:r/>
    </w:p>
    <w:p>
      <w:pPr>
        <w:numPr>
          <w:ilvl w:val="0"/>
          <w:numId w:val="4"/>
        </w:numPr>
        <w:ind w:left="0" w:firstLine="422"/>
        <w:spacing w:line="360" w:lineRule="auto"/>
        <w:tabs>
          <w:tab w:val="left" w:pos="142" w:leader="none"/>
          <w:tab w:val="left" w:pos="600" w:leader="none"/>
          <w:tab w:val="left" w:pos="851" w:leader="none"/>
        </w:tabs>
        <w:rPr>
          <w:rFonts w:ascii="宋体" w:hAnsi="宋体"/>
          <w:b/>
          <w:color w:val="auto"/>
          <w:szCs w:val="21"/>
        </w:rPr>
      </w:pPr>
      <w:r>
        <w:rPr>
          <w:rFonts w:hint="eastAsia" w:ascii="宋体" w:hAnsi="宋体"/>
          <w:b/>
          <w:color w:val="auto"/>
          <w:szCs w:val="21"/>
        </w:rPr>
        <w:t xml:space="preserve">谈判程序</w:t>
      </w:r>
      <w:r/>
    </w:p>
    <w:p>
      <w:pPr>
        <w:numPr>
          <w:ilvl w:val="1"/>
          <w:numId w:val="4"/>
        </w:numPr>
        <w:ind w:left="0" w:firstLine="422"/>
        <w:spacing w:line="360" w:lineRule="auto"/>
        <w:tabs>
          <w:tab w:val="left" w:pos="142" w:leader="none"/>
          <w:tab w:val="left" w:pos="600" w:leader="none"/>
        </w:tabs>
        <w:rPr>
          <w:rFonts w:ascii="宋体" w:hAnsi="宋体"/>
          <w:b/>
          <w:color w:val="auto"/>
          <w:szCs w:val="21"/>
        </w:rPr>
      </w:pPr>
      <w:r>
        <w:rPr>
          <w:rFonts w:hint="eastAsia" w:ascii="宋体" w:hAnsi="宋体"/>
          <w:color w:val="auto"/>
          <w:szCs w:val="21"/>
        </w:rPr>
        <w:t xml:space="preserve">至响应文件提交截止时间，</w:t>
      </w:r>
      <w:r>
        <w:rPr>
          <w:rFonts w:hint="eastAsia" w:ascii="宋体" w:hAnsi="宋体"/>
          <w:b/>
          <w:color w:val="auto"/>
          <w:szCs w:val="21"/>
        </w:rPr>
        <w:t xml:space="preserve">提交响应文件的供应商不足三家的，项目终止。</w:t>
      </w:r>
      <w:r/>
    </w:p>
    <w:p>
      <w:pPr>
        <w:numPr>
          <w:ilvl w:val="1"/>
          <w:numId w:val="4"/>
        </w:numPr>
        <w:ind w:left="0" w:firstLine="422"/>
        <w:spacing w:line="360" w:lineRule="auto"/>
        <w:tabs>
          <w:tab w:val="left" w:pos="142" w:leader="none"/>
          <w:tab w:val="left" w:pos="600" w:leader="none"/>
        </w:tabs>
        <w:rPr>
          <w:rFonts w:ascii="宋体" w:hAnsi="宋体"/>
          <w:color w:val="auto"/>
          <w:szCs w:val="21"/>
        </w:rPr>
      </w:pPr>
      <w:r>
        <w:rPr>
          <w:rFonts w:ascii="宋体" w:hAnsi="宋体"/>
          <w:color w:val="auto"/>
          <w:szCs w:val="21"/>
        </w:rPr>
        <w:t xml:space="preserve">谈判小组对响应文件进行实质性响应评审。</w:t>
      </w:r>
      <w:r/>
    </w:p>
    <w:p>
      <w:pPr>
        <w:numPr>
          <w:ilvl w:val="1"/>
          <w:numId w:val="4"/>
        </w:numPr>
        <w:ind w:left="0" w:firstLine="422"/>
        <w:spacing w:line="360" w:lineRule="auto"/>
        <w:tabs>
          <w:tab w:val="left" w:pos="142" w:leader="none"/>
          <w:tab w:val="left" w:pos="600" w:leader="none"/>
        </w:tabs>
        <w:rPr>
          <w:rFonts w:hint="eastAsia" w:ascii="宋体" w:hAnsi="宋体"/>
          <w:color w:val="auto"/>
          <w:szCs w:val="21"/>
        </w:rPr>
      </w:pPr>
      <w:r>
        <w:rPr>
          <w:rFonts w:ascii="宋体" w:hAnsi="宋体"/>
          <w:color w:val="auto"/>
          <w:szCs w:val="21"/>
        </w:rPr>
        <w:t xml:space="preserve">信用查询：根据</w:t>
      </w:r>
      <w:r>
        <w:rPr>
          <w:rFonts w:hint="eastAsia" w:ascii="宋体" w:hAnsi="宋体"/>
          <w:color w:val="auto"/>
          <w:szCs w:val="21"/>
        </w:rPr>
        <w:t xml:space="preserve">政府采购法及相关法律法规，以及</w:t>
      </w:r>
      <w:r>
        <w:rPr>
          <w:rFonts w:ascii="宋体" w:hAnsi="宋体"/>
          <w:color w:val="auto"/>
          <w:szCs w:val="21"/>
        </w:rPr>
        <w:t xml:space="preserve">苏州市财政局《关于印发苏州市市级政府采购信用记录查询和使用工作试行办法的通知》（苏财购（2017）11号）文件的规定，采购人、采购代理机构对供应商进行信用查询。</w:t>
      </w:r>
      <w:r/>
    </w:p>
    <w:p>
      <w:pPr>
        <w:ind w:firstLine="424"/>
        <w:spacing w:line="360" w:lineRule="auto"/>
        <w:tabs>
          <w:tab w:val="left" w:pos="142" w:leader="none"/>
          <w:tab w:val="left" w:pos="600" w:leader="none"/>
        </w:tabs>
        <w:rPr>
          <w:rFonts w:hint="eastAsia" w:ascii="宋体" w:hAnsi="宋体"/>
          <w:color w:val="auto"/>
          <w:szCs w:val="21"/>
        </w:rPr>
      </w:pPr>
      <w:r>
        <w:rPr>
          <w:rFonts w:hint="eastAsia" w:ascii="宋体" w:hAnsi="宋体"/>
          <w:color w:val="auto"/>
          <w:szCs w:val="21"/>
        </w:rPr>
        <w:t xml:space="preserve">3.1</w:t>
      </w:r>
      <w:r>
        <w:rPr>
          <w:rFonts w:ascii="宋体" w:hAnsi="宋体"/>
          <w:color w:val="auto"/>
          <w:szCs w:val="21"/>
        </w:rPr>
        <w:t xml:space="preserve">查询时间：响应文件递交截止时间。</w:t>
      </w:r>
      <w:bookmarkStart w:id="20" w:name="_Hlk159235877"/>
      <w:r/>
      <w:bookmarkStart w:id="21" w:name="_Hlk132385414"/>
      <w:r/>
      <w:r/>
    </w:p>
    <w:p>
      <w:pPr>
        <w:ind w:firstLine="424"/>
        <w:spacing w:line="360" w:lineRule="auto"/>
        <w:tabs>
          <w:tab w:val="left" w:pos="142" w:leader="none"/>
          <w:tab w:val="left" w:pos="600" w:leader="none"/>
        </w:tabs>
        <w:rPr>
          <w:rFonts w:hint="eastAsia" w:ascii="宋体" w:hAnsi="宋体"/>
          <w:color w:val="auto"/>
          <w:szCs w:val="21"/>
        </w:rPr>
      </w:pPr>
      <w:r>
        <w:rPr>
          <w:rFonts w:hint="eastAsia" w:ascii="宋体" w:hAnsi="宋体"/>
          <w:color w:val="auto"/>
          <w:szCs w:val="21"/>
        </w:rPr>
        <w:t xml:space="preserve">3.2.查询渠道：</w:t>
      </w:r>
      <w:bookmarkStart w:id="22" w:name="_Hlk157958186"/>
      <w:r>
        <w:rPr>
          <w:rFonts w:hint="eastAsia" w:ascii="宋体" w:hAnsi="宋体"/>
          <w:color w:val="auto"/>
          <w:szCs w:val="21"/>
        </w:rPr>
        <w:t xml:space="preserve">通过“信用中国”、“信用江苏”及“中国政府采购网”上的信用信息查询供应商的信用记录</w:t>
      </w:r>
      <w:bookmarkEnd w:id="20"/>
      <w:r>
        <w:rPr>
          <w:rFonts w:hint="eastAsia" w:ascii="宋体" w:hAnsi="宋体"/>
          <w:color w:val="auto"/>
          <w:szCs w:val="21"/>
        </w:rPr>
        <w:t xml:space="preserve">。</w:t>
      </w:r>
      <w:bookmarkEnd w:id="21"/>
      <w:r/>
      <w:bookmarkEnd w:id="22"/>
      <w:r/>
      <w:r/>
    </w:p>
    <w:p>
      <w:pPr>
        <w:ind w:firstLine="424"/>
        <w:spacing w:line="360" w:lineRule="auto"/>
        <w:tabs>
          <w:tab w:val="left" w:pos="142" w:leader="none"/>
          <w:tab w:val="left" w:pos="600" w:leader="none"/>
        </w:tabs>
        <w:rPr>
          <w:rFonts w:hint="eastAsia" w:ascii="宋体" w:hAnsi="宋体"/>
          <w:color w:val="auto"/>
          <w:szCs w:val="21"/>
        </w:rPr>
      </w:pPr>
      <w:r>
        <w:rPr>
          <w:rFonts w:hint="eastAsia" w:ascii="宋体" w:hAnsi="宋体"/>
          <w:color w:val="auto"/>
          <w:szCs w:val="21"/>
        </w:rPr>
        <w:t xml:space="preserve">3.3</w:t>
      </w:r>
      <w:r>
        <w:rPr>
          <w:rFonts w:ascii="宋体" w:hAnsi="宋体"/>
          <w:color w:val="auto"/>
          <w:szCs w:val="21"/>
        </w:rPr>
        <w:t xml:space="preserve">查询证据留存方式：对存在失信信息的供应商，谈判小组应填写《苏州市级政府采购供应商失信信息确认函》，由失信供应商签名</w:t>
      </w:r>
      <w:r>
        <w:rPr>
          <w:rFonts w:hint="eastAsia" w:ascii="宋体" w:hAnsi="宋体"/>
          <w:color w:val="auto"/>
          <w:szCs w:val="21"/>
        </w:rPr>
        <w:t xml:space="preserve">（章）</w:t>
      </w:r>
      <w:r>
        <w:rPr>
          <w:rFonts w:ascii="宋体" w:hAnsi="宋体"/>
          <w:color w:val="auto"/>
          <w:szCs w:val="21"/>
        </w:rPr>
        <w:t xml:space="preserve">确认。同时，采购代理机构工作人员应根据谈判小组确认的失信信息，登陆到来源网站页面进行复核并打印，作为证据留存。</w:t>
      </w:r>
      <w:r/>
    </w:p>
    <w:p>
      <w:pPr>
        <w:ind w:firstLine="424"/>
        <w:spacing w:line="360" w:lineRule="auto"/>
        <w:tabs>
          <w:tab w:val="left" w:pos="142" w:leader="none"/>
          <w:tab w:val="left" w:pos="600" w:leader="none"/>
        </w:tabs>
        <w:rPr>
          <w:rFonts w:ascii="宋体" w:hAnsi="宋体"/>
          <w:color w:val="auto"/>
          <w:szCs w:val="21"/>
        </w:rPr>
      </w:pPr>
      <w:r>
        <w:rPr>
          <w:rFonts w:hint="eastAsia" w:ascii="宋体" w:hAnsi="宋体"/>
          <w:color w:val="auto"/>
          <w:szCs w:val="21"/>
        </w:rPr>
        <w:t xml:space="preserve">3.4</w:t>
      </w:r>
      <w:r>
        <w:rPr>
          <w:rFonts w:ascii="宋体" w:hAnsi="宋体"/>
          <w:color w:val="auto"/>
          <w:szCs w:val="21"/>
        </w:rPr>
        <w:t xml:space="preserve">信用记录使用规则：谈判小组在对供应商进行资格性审查时，应根据查询结果对供应商的不良信用记录逐项甄别确认。按照《中华人民共和国政府采购法》第二十二条规定，</w:t>
      </w:r>
      <w:r>
        <w:rPr>
          <w:rFonts w:ascii="宋体" w:hAnsi="宋体"/>
          <w:b/>
          <w:color w:val="auto"/>
          <w:szCs w:val="21"/>
        </w:rPr>
        <w:t xml:space="preserve">下列信用记录属于应依法拒绝供应商参加政府采购的失信信息，存在此类失信信息的供应商的响应文件按无效处理</w:t>
      </w:r>
      <w:r>
        <w:rPr>
          <w:rFonts w:hint="eastAsia" w:ascii="宋体" w:hAnsi="宋体"/>
          <w:b/>
          <w:color w:val="auto"/>
          <w:szCs w:val="21"/>
        </w:rPr>
        <w:t xml:space="preserve">：</w:t>
      </w:r>
      <w:r/>
    </w:p>
    <w:p>
      <w:pPr>
        <w:ind w:firstLine="422"/>
        <w:spacing w:line="360" w:lineRule="auto"/>
        <w:tabs>
          <w:tab w:val="left" w:pos="142" w:leader="none"/>
          <w:tab w:val="left" w:pos="600" w:leader="none"/>
        </w:tabs>
        <w:rPr>
          <w:rFonts w:ascii="宋体" w:hAnsi="宋体"/>
          <w:color w:val="auto"/>
          <w:szCs w:val="21"/>
        </w:rPr>
      </w:pPr>
      <w:r>
        <w:rPr>
          <w:rFonts w:ascii="宋体" w:hAnsi="宋体"/>
          <w:color w:val="auto"/>
          <w:szCs w:val="21"/>
        </w:rPr>
        <w:t xml:space="preserve">（一）政府采购严重违法记录，即供应商被全国各级财政部门列入“政府采购严重违法失信行为记录名单”，且在处罚有效期内的。</w:t>
      </w:r>
      <w:r/>
    </w:p>
    <w:p>
      <w:pPr>
        <w:ind w:firstLine="422"/>
        <w:spacing w:line="360" w:lineRule="auto"/>
        <w:tabs>
          <w:tab w:val="left" w:pos="142" w:leader="none"/>
          <w:tab w:val="left" w:pos="600" w:leader="none"/>
        </w:tabs>
        <w:rPr>
          <w:rFonts w:ascii="宋体" w:hAnsi="宋体"/>
          <w:color w:val="auto"/>
          <w:szCs w:val="21"/>
        </w:rPr>
      </w:pPr>
      <w:r>
        <w:rPr>
          <w:rFonts w:ascii="宋体" w:hAnsi="宋体"/>
          <w:color w:val="auto"/>
          <w:szCs w:val="21"/>
        </w:rPr>
        <w:t xml:space="preserve">（二）财政部门与法院、工商、税务等部门联合惩戒的失信信息，包括：</w:t>
      </w:r>
      <w:r/>
    </w:p>
    <w:p>
      <w:pPr>
        <w:ind w:firstLine="422"/>
        <w:spacing w:line="360" w:lineRule="auto"/>
        <w:tabs>
          <w:tab w:val="left" w:pos="142" w:leader="none"/>
          <w:tab w:val="left" w:pos="600" w:leader="none"/>
        </w:tabs>
        <w:rPr>
          <w:rFonts w:ascii="宋体" w:hAnsi="宋体"/>
          <w:color w:val="auto"/>
          <w:szCs w:val="21"/>
        </w:rPr>
      </w:pPr>
      <w:r>
        <w:rPr>
          <w:rFonts w:ascii="宋体" w:hAnsi="宋体"/>
          <w:color w:val="auto"/>
          <w:szCs w:val="21"/>
        </w:rPr>
        <w:t xml:space="preserve">（1）被列入失信被执行人名单；</w:t>
      </w:r>
      <w:r/>
    </w:p>
    <w:p>
      <w:pPr>
        <w:ind w:firstLine="422"/>
        <w:spacing w:line="360" w:lineRule="auto"/>
        <w:tabs>
          <w:tab w:val="left" w:pos="142" w:leader="none"/>
          <w:tab w:val="left" w:pos="600" w:leader="none"/>
        </w:tabs>
        <w:rPr>
          <w:rFonts w:ascii="宋体" w:hAnsi="宋体"/>
          <w:color w:val="auto"/>
          <w:szCs w:val="21"/>
        </w:rPr>
      </w:pPr>
      <w:r>
        <w:rPr>
          <w:rFonts w:ascii="宋体" w:hAnsi="宋体"/>
          <w:color w:val="auto"/>
          <w:szCs w:val="21"/>
        </w:rPr>
        <w:t xml:space="preserve">（2）被列入重大税收违法案件当事人名单；</w:t>
      </w:r>
      <w:r/>
    </w:p>
    <w:p>
      <w:pPr>
        <w:ind w:firstLine="422"/>
        <w:spacing w:line="360" w:lineRule="auto"/>
        <w:tabs>
          <w:tab w:val="left" w:pos="142" w:leader="none"/>
          <w:tab w:val="left" w:pos="600" w:leader="none"/>
        </w:tabs>
        <w:rPr>
          <w:rFonts w:hint="eastAsia" w:ascii="宋体" w:hAnsi="宋体"/>
          <w:color w:val="auto"/>
          <w:szCs w:val="21"/>
        </w:rPr>
      </w:pPr>
      <w:r>
        <w:rPr>
          <w:rFonts w:ascii="宋体" w:hAnsi="宋体"/>
          <w:color w:val="auto"/>
          <w:szCs w:val="21"/>
        </w:rPr>
        <w:t xml:space="preserve">（3）</w:t>
      </w:r>
      <w:bookmarkStart w:id="23" w:name="_Hlk92794362"/>
      <w:r>
        <w:rPr>
          <w:rFonts w:ascii="宋体" w:hAnsi="宋体"/>
          <w:color w:val="auto"/>
          <w:szCs w:val="21"/>
        </w:rPr>
        <w:t xml:space="preserve">企业经营异常名录中被责令停产停业、暂扣或者吊销许可证或者执照，或者对经营活动中的违法行为处以200万元</w:t>
      </w:r>
      <w:r>
        <w:rPr>
          <w:rFonts w:hint="eastAsia" w:ascii="宋体" w:hAnsi="宋体"/>
          <w:color w:val="auto"/>
          <w:szCs w:val="21"/>
        </w:rPr>
        <w:t xml:space="preserve">及</w:t>
      </w:r>
      <w:r>
        <w:rPr>
          <w:rFonts w:ascii="宋体" w:hAnsi="宋体"/>
          <w:color w:val="auto"/>
          <w:szCs w:val="21"/>
        </w:rPr>
        <w:t xml:space="preserve">以上数额罚款</w:t>
      </w:r>
      <w:bookmarkStart w:id="24" w:name="_Hlk111647106"/>
      <w:r>
        <w:rPr>
          <w:rFonts w:hint="eastAsia" w:ascii="宋体" w:hAnsi="宋体"/>
          <w:color w:val="auto"/>
          <w:szCs w:val="21"/>
        </w:rPr>
        <w:t xml:space="preserve">（或法律、行政法规以及国务院有关部门明确规定相关领域“较大数额罚款”标准高于200万元的，从其规定）</w:t>
      </w:r>
      <w:bookmarkEnd w:id="24"/>
      <w:r>
        <w:rPr>
          <w:rFonts w:ascii="宋体" w:hAnsi="宋体"/>
          <w:color w:val="auto"/>
          <w:szCs w:val="21"/>
        </w:rPr>
        <w:t xml:space="preserve">的信用记录。处罚生效日至递交投标（响应）文件日未满三年的。</w:t>
      </w:r>
      <w:bookmarkEnd w:id="23"/>
      <w:r/>
      <w:r/>
    </w:p>
    <w:p>
      <w:pPr>
        <w:ind w:firstLine="422"/>
        <w:spacing w:line="360" w:lineRule="auto"/>
        <w:tabs>
          <w:tab w:val="left" w:pos="142" w:leader="none"/>
          <w:tab w:val="left" w:pos="600" w:leader="none"/>
        </w:tabs>
        <w:rPr>
          <w:rFonts w:hint="eastAsia" w:ascii="宋体" w:hAnsi="宋体"/>
          <w:color w:val="auto"/>
          <w:szCs w:val="21"/>
        </w:rPr>
      </w:pPr>
      <w:r>
        <w:rPr>
          <w:rFonts w:hint="eastAsia" w:ascii="宋体" w:hAnsi="宋体"/>
          <w:color w:val="auto"/>
          <w:szCs w:val="21"/>
        </w:rPr>
        <w:t xml:space="preserve">3.5接受联合体的项目，两个以上的自然人、法人或者其他组织组成一个联合体，以一个供应商的身份共同参加政府采购活动的，联合体成员其中一名成员存在失信信息的，视同联合体存在失信信息。</w:t>
      </w:r>
      <w:r/>
    </w:p>
    <w:p>
      <w:pPr>
        <w:numPr>
          <w:ilvl w:val="0"/>
          <w:numId w:val="4"/>
        </w:numPr>
        <w:ind w:left="0" w:firstLine="422"/>
        <w:spacing w:line="360" w:lineRule="auto"/>
        <w:tabs>
          <w:tab w:val="left" w:pos="142" w:leader="none"/>
          <w:tab w:val="left" w:pos="600" w:leader="none"/>
          <w:tab w:val="left" w:pos="851" w:leader="none"/>
        </w:tabs>
        <w:rPr>
          <w:rFonts w:ascii="宋体" w:hAnsi="宋体"/>
          <w:b/>
          <w:color w:val="auto"/>
          <w:szCs w:val="21"/>
        </w:rPr>
      </w:pPr>
      <w:r>
        <w:rPr>
          <w:rFonts w:hint="eastAsia" w:ascii="宋体" w:hAnsi="宋体"/>
          <w:b/>
          <w:color w:val="auto"/>
          <w:szCs w:val="21"/>
        </w:rPr>
        <w:t xml:space="preserve">谈判</w:t>
      </w:r>
      <w:r/>
    </w:p>
    <w:p>
      <w:pPr>
        <w:pStyle w:val="1257"/>
        <w:ind w:firstLine="422"/>
        <w:spacing w:line="360" w:lineRule="auto"/>
        <w:tabs>
          <w:tab w:val="left" w:pos="142" w:leader="none"/>
          <w:tab w:val="left" w:pos="600" w:leader="none"/>
        </w:tabs>
        <w:rPr>
          <w:rFonts w:ascii="宋体" w:hAnsi="宋体"/>
          <w:color w:val="auto"/>
          <w:szCs w:val="21"/>
          <w:lang w:val="zh-CN"/>
        </w:rPr>
      </w:pPr>
      <w:r/>
      <w:bookmarkStart w:id="25" w:name="_Hlk159254158"/>
      <w:r>
        <w:rPr>
          <w:rFonts w:hint="eastAsia" w:ascii="宋体" w:hAnsi="宋体"/>
          <w:color w:val="auto"/>
          <w:szCs w:val="21"/>
          <w:lang w:val="zh-CN"/>
        </w:rPr>
        <w:t xml:space="preserve">1.本项目采用线上谈判：谈判小组通过“苏采云”系统向供应商发布“谈判函”，供应商可通过查看【谈判响应】菜单中的待办信息，应当按照要求在“苏采云”系统提交“谈判响应函”并加盖CA电子公章，具体操作方式见《操作手册》。</w:t>
      </w:r>
      <w:r/>
    </w:p>
    <w:p>
      <w:pPr>
        <w:pStyle w:val="1257"/>
        <w:ind w:firstLine="422"/>
        <w:spacing w:line="360" w:lineRule="auto"/>
        <w:tabs>
          <w:tab w:val="left" w:pos="142" w:leader="none"/>
          <w:tab w:val="left" w:pos="600" w:leader="none"/>
        </w:tabs>
        <w:rPr>
          <w:rFonts w:ascii="宋体" w:hAnsi="宋体"/>
          <w:color w:val="auto"/>
          <w:szCs w:val="21"/>
          <w:lang w:val="zh-CN"/>
        </w:rPr>
      </w:pPr>
      <w:r>
        <w:rPr>
          <w:rFonts w:hint="eastAsia" w:ascii="宋体" w:hAnsi="宋体"/>
          <w:color w:val="auto"/>
          <w:szCs w:val="21"/>
          <w:lang w:val="zh-CN"/>
        </w:rPr>
        <w:t xml:space="preserve">2.谈判小组认为有必要与供应商进行谈判的，</w:t>
      </w:r>
      <w:r>
        <w:rPr>
          <w:rFonts w:ascii="宋体" w:hAnsi="宋体"/>
          <w:color w:val="auto"/>
          <w:szCs w:val="21"/>
          <w:lang w:val="zh-CN"/>
        </w:rPr>
        <w:t xml:space="preserve">谈判供应商按顺序进行谈判。谈判小组所有成员应当集中与单一供应商分别进行谈判，并给予所有参加谈判的供应商平等的谈判机会</w:t>
      </w:r>
      <w:r>
        <w:rPr>
          <w:rFonts w:hint="eastAsia" w:ascii="宋体" w:hAnsi="宋体"/>
          <w:color w:val="auto"/>
          <w:szCs w:val="21"/>
          <w:lang w:val="zh-CN"/>
        </w:rPr>
        <w:t xml:space="preserve">。</w:t>
      </w:r>
      <w:r/>
    </w:p>
    <w:p>
      <w:pPr>
        <w:pStyle w:val="1257"/>
        <w:ind w:firstLine="422"/>
        <w:spacing w:line="360" w:lineRule="auto"/>
        <w:tabs>
          <w:tab w:val="left" w:pos="142" w:leader="none"/>
          <w:tab w:val="left" w:pos="600" w:leader="none"/>
        </w:tabs>
        <w:rPr>
          <w:rFonts w:ascii="宋体" w:hAnsi="宋体"/>
          <w:color w:val="auto"/>
          <w:szCs w:val="21"/>
          <w:lang w:val="zh-CN"/>
        </w:rPr>
      </w:pPr>
      <w:r>
        <w:rPr>
          <w:rFonts w:hint="eastAsia" w:ascii="宋体" w:hAnsi="宋体"/>
          <w:color w:val="auto"/>
          <w:szCs w:val="21"/>
          <w:lang w:val="zh-CN"/>
        </w:rPr>
        <w:t xml:space="preserve">3.</w:t>
      </w:r>
      <w:r>
        <w:rPr>
          <w:rFonts w:ascii="宋体" w:hAnsi="宋体"/>
          <w:color w:val="auto"/>
          <w:szCs w:val="21"/>
          <w:lang w:val="zh-CN"/>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rFonts w:hint="eastAsia" w:ascii="宋体" w:hAnsi="宋体"/>
          <w:color w:val="auto"/>
          <w:szCs w:val="21"/>
          <w:lang w:val="zh-CN"/>
        </w:rPr>
        <w:t xml:space="preserve">。</w:t>
      </w:r>
      <w:r/>
    </w:p>
    <w:p>
      <w:pPr>
        <w:pStyle w:val="1257"/>
        <w:ind w:firstLine="422"/>
        <w:spacing w:line="360" w:lineRule="auto"/>
        <w:tabs>
          <w:tab w:val="left" w:pos="142" w:leader="none"/>
          <w:tab w:val="left" w:pos="600" w:leader="none"/>
        </w:tabs>
        <w:rPr>
          <w:rFonts w:hint="eastAsia" w:ascii="宋体" w:hAnsi="宋体"/>
          <w:color w:val="auto"/>
          <w:szCs w:val="21"/>
          <w:lang w:val="zh-CN"/>
        </w:rPr>
      </w:pPr>
      <w:r>
        <w:rPr>
          <w:rFonts w:hint="eastAsia" w:ascii="宋体" w:hAnsi="宋体"/>
          <w:color w:val="auto"/>
          <w:szCs w:val="21"/>
          <w:lang w:val="zh-CN"/>
        </w:rPr>
        <w:t xml:space="preserve">4.</w:t>
      </w:r>
      <w:r>
        <w:rPr>
          <w:rFonts w:ascii="宋体" w:hAnsi="宋体"/>
          <w:color w:val="auto"/>
          <w:szCs w:val="21"/>
          <w:lang w:val="zh-CN"/>
        </w:rPr>
        <w:t xml:space="preserve">对谈判文件作出的实质性变动是谈判文件的有效组成部分，谈判小组应以书面形式记录具体变动内容并经采购人代表签字确认后及时以书面形式</w:t>
      </w:r>
      <w:r>
        <w:rPr>
          <w:rFonts w:hint="eastAsia" w:ascii="宋体" w:hAnsi="宋体" w:cs="宋体"/>
          <w:color w:val="auto"/>
          <w:szCs w:val="21"/>
        </w:rPr>
        <w:t xml:space="preserve">（通过</w:t>
      </w:r>
      <w:r>
        <w:rPr>
          <w:rFonts w:ascii="宋体" w:hAnsi="宋体" w:cs="Arial"/>
          <w:color w:val="auto"/>
          <w:szCs w:val="21"/>
        </w:rPr>
        <w:t xml:space="preserve">“</w:t>
      </w:r>
      <w:r>
        <w:rPr>
          <w:rFonts w:hint="eastAsia" w:ascii="宋体" w:hAnsi="宋体" w:cs="宋体"/>
          <w:color w:val="auto"/>
          <w:szCs w:val="21"/>
        </w:rPr>
        <w:t xml:space="preserve">苏采云</w:t>
      </w:r>
      <w:r>
        <w:rPr>
          <w:rFonts w:ascii="宋体" w:hAnsi="宋体" w:cs="Arial"/>
          <w:color w:val="auto"/>
          <w:szCs w:val="21"/>
        </w:rPr>
        <w:t xml:space="preserve">”</w:t>
      </w:r>
      <w:r>
        <w:rPr>
          <w:rFonts w:hint="eastAsia" w:ascii="宋体" w:hAnsi="宋体" w:cs="宋体"/>
          <w:color w:val="auto"/>
          <w:szCs w:val="21"/>
        </w:rPr>
        <w:t xml:space="preserve">系统）</w:t>
      </w:r>
      <w:r>
        <w:rPr>
          <w:rFonts w:ascii="宋体" w:hAnsi="宋体"/>
          <w:color w:val="auto"/>
          <w:szCs w:val="21"/>
          <w:lang w:val="zh-CN"/>
        </w:rPr>
        <w:t xml:space="preserve">同时通知所有参加谈判的供应商</w:t>
      </w:r>
      <w:r>
        <w:rPr>
          <w:rFonts w:hint="eastAsia" w:ascii="宋体" w:hAnsi="宋体"/>
          <w:color w:val="auto"/>
          <w:szCs w:val="21"/>
          <w:lang w:val="zh-CN"/>
        </w:rPr>
        <w:t xml:space="preserve">。</w:t>
      </w:r>
      <w:r/>
    </w:p>
    <w:p>
      <w:pPr>
        <w:pStyle w:val="1257"/>
        <w:ind w:firstLine="422"/>
        <w:spacing w:line="360" w:lineRule="auto"/>
        <w:tabs>
          <w:tab w:val="left" w:pos="142" w:leader="none"/>
          <w:tab w:val="left" w:pos="600" w:leader="none"/>
        </w:tabs>
        <w:rPr>
          <w:rFonts w:hint="eastAsia" w:ascii="宋体" w:hAnsi="宋体"/>
          <w:b/>
          <w:bCs/>
          <w:color w:val="auto"/>
          <w:szCs w:val="21"/>
          <w:lang w:val="zh-CN"/>
        </w:rPr>
      </w:pPr>
      <w:r>
        <w:rPr>
          <w:rFonts w:hint="eastAsia" w:ascii="宋体" w:hAnsi="宋体"/>
          <w:color w:val="auto"/>
          <w:szCs w:val="21"/>
        </w:rPr>
        <w:t xml:space="preserve">5.</w:t>
      </w:r>
      <w:r>
        <w:rPr>
          <w:rFonts w:hint="eastAsia" w:ascii="宋体" w:hAnsi="宋体" w:cs="宋体"/>
          <w:color w:val="auto"/>
          <w:szCs w:val="21"/>
        </w:rPr>
        <w:t xml:space="preserve">供应商应当在规定时间内按照谈判文件的变动情况和谈判小组的要求通过</w:t>
      </w:r>
      <w:r>
        <w:rPr>
          <w:rFonts w:ascii="宋体" w:hAnsi="宋体" w:cs="Arial"/>
          <w:color w:val="auto"/>
          <w:szCs w:val="21"/>
        </w:rPr>
        <w:t xml:space="preserve">“</w:t>
      </w:r>
      <w:r>
        <w:rPr>
          <w:rFonts w:hint="eastAsia" w:ascii="宋体" w:hAnsi="宋体" w:cs="宋体"/>
          <w:color w:val="auto"/>
          <w:szCs w:val="21"/>
        </w:rPr>
        <w:t xml:space="preserve">苏采云</w:t>
      </w:r>
      <w:r>
        <w:rPr>
          <w:rFonts w:ascii="宋体" w:hAnsi="宋体" w:cs="Arial"/>
          <w:color w:val="auto"/>
          <w:szCs w:val="21"/>
        </w:rPr>
        <w:t xml:space="preserve">”</w:t>
      </w:r>
      <w:r>
        <w:rPr>
          <w:rFonts w:hint="eastAsia" w:ascii="宋体" w:hAnsi="宋体" w:cs="宋体"/>
          <w:color w:val="auto"/>
          <w:szCs w:val="21"/>
        </w:rPr>
        <w:t xml:space="preserve">系统重新提交响应文件，并加盖</w:t>
      </w:r>
      <w:r>
        <w:rPr>
          <w:rFonts w:hint="eastAsia" w:ascii="宋体" w:hAnsi="宋体"/>
          <w:color w:val="auto"/>
          <w:szCs w:val="21"/>
        </w:rPr>
        <w:t xml:space="preserve">CA</w:t>
      </w:r>
      <w:r>
        <w:rPr>
          <w:rFonts w:hint="eastAsia" w:ascii="宋体" w:hAnsi="宋体" w:cs="宋体"/>
          <w:color w:val="auto"/>
          <w:szCs w:val="21"/>
        </w:rPr>
        <w:t xml:space="preserve">电子公章。重新提交的响应文件按谈判文件进行评审。</w:t>
      </w:r>
      <w:r>
        <w:rPr>
          <w:rFonts w:hint="eastAsia" w:ascii="宋体" w:hAnsi="宋体"/>
          <w:b/>
          <w:bCs/>
          <w:color w:val="auto"/>
          <w:szCs w:val="21"/>
          <w:lang w:val="zh-CN"/>
        </w:rPr>
        <w:t xml:space="preserve">未按要求重新提交响应文件的按响应无效处理</w:t>
      </w:r>
      <w:bookmarkEnd w:id="25"/>
      <w:r>
        <w:rPr>
          <w:rFonts w:hint="eastAsia" w:ascii="宋体" w:hAnsi="宋体"/>
          <w:b/>
          <w:bCs/>
          <w:color w:val="auto"/>
          <w:szCs w:val="21"/>
          <w:lang w:val="zh-CN"/>
        </w:rPr>
        <w:t xml:space="preserve">。</w:t>
      </w:r>
      <w:r/>
    </w:p>
    <w:p>
      <w:pPr>
        <w:pStyle w:val="1257"/>
        <w:ind w:firstLine="422"/>
        <w:spacing w:line="360" w:lineRule="auto"/>
        <w:tabs>
          <w:tab w:val="left" w:pos="142" w:leader="none"/>
          <w:tab w:val="left" w:pos="600" w:leader="none"/>
        </w:tabs>
        <w:rPr>
          <w:rFonts w:ascii="宋体" w:hAnsi="宋体"/>
          <w:b/>
          <w:bCs/>
          <w:color w:val="auto"/>
          <w:szCs w:val="21"/>
        </w:rPr>
      </w:pPr>
      <w:r>
        <w:rPr>
          <w:rFonts w:hint="eastAsia" w:ascii="宋体" w:hAnsi="宋体"/>
          <w:b/>
          <w:bCs/>
          <w:color w:val="auto"/>
          <w:szCs w:val="21"/>
        </w:rPr>
        <w:t xml:space="preserve">6.</w:t>
      </w:r>
      <w:r>
        <w:rPr>
          <w:rFonts w:ascii="宋体" w:hAnsi="宋体"/>
          <w:b/>
          <w:bCs/>
          <w:color w:val="auto"/>
          <w:szCs w:val="21"/>
        </w:rPr>
        <w:t xml:space="preserve">澄清</w:t>
      </w:r>
      <w:r/>
    </w:p>
    <w:p>
      <w:pPr>
        <w:pStyle w:val="1257"/>
        <w:ind w:firstLine="422"/>
        <w:spacing w:line="360" w:lineRule="auto"/>
        <w:tabs>
          <w:tab w:val="left" w:pos="142" w:leader="none"/>
          <w:tab w:val="left" w:pos="600" w:leader="none"/>
        </w:tabs>
        <w:rPr>
          <w:rFonts w:ascii="宋体" w:hAnsi="宋体"/>
          <w:color w:val="auto"/>
          <w:szCs w:val="21"/>
          <w:lang w:val="zh-CN"/>
        </w:rPr>
      </w:pPr>
      <w:r>
        <w:rPr>
          <w:rFonts w:hint="eastAsia" w:ascii="宋体" w:hAnsi="宋体"/>
          <w:color w:val="auto"/>
          <w:szCs w:val="21"/>
          <w:lang w:val="zh-CN"/>
        </w:rPr>
        <w:t xml:space="preserve">6.1谈判</w:t>
      </w:r>
      <w:r>
        <w:rPr>
          <w:rFonts w:ascii="宋体" w:hAnsi="宋体"/>
          <w:color w:val="auto"/>
          <w:szCs w:val="21"/>
          <w:lang w:val="zh-CN"/>
        </w:rPr>
        <w:t xml:space="preserve">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257"/>
        <w:ind w:firstLine="422"/>
        <w:spacing w:line="360" w:lineRule="auto"/>
        <w:tabs>
          <w:tab w:val="left" w:pos="142" w:leader="none"/>
          <w:tab w:val="left" w:pos="600" w:leader="none"/>
        </w:tabs>
        <w:rPr>
          <w:rFonts w:ascii="宋体" w:hAnsi="宋体"/>
          <w:b/>
          <w:color w:val="auto"/>
          <w:szCs w:val="21"/>
          <w:lang w:val="zh-CN"/>
        </w:rPr>
      </w:pPr>
      <w:r/>
      <w:bookmarkStart w:id="26" w:name="_Hlk159235938"/>
      <w:r>
        <w:rPr>
          <w:rFonts w:hint="eastAsia" w:ascii="宋体" w:hAnsi="宋体"/>
          <w:color w:val="auto"/>
          <w:szCs w:val="21"/>
        </w:rPr>
        <w:t xml:space="preserve">6.2本项目采用</w:t>
      </w:r>
      <w:r>
        <w:rPr>
          <w:rFonts w:hint="eastAsia" w:ascii="宋体" w:hAnsi="宋体"/>
          <w:b/>
          <w:color w:val="auto"/>
          <w:szCs w:val="21"/>
        </w:rPr>
        <w:t xml:space="preserve">线上澄清</w:t>
      </w:r>
      <w:r>
        <w:rPr>
          <w:rFonts w:hint="eastAsia" w:ascii="宋体" w:hAnsi="宋体"/>
          <w:b/>
          <w:color w:val="auto"/>
          <w:szCs w:val="21"/>
          <w:lang w:val="zh-CN"/>
        </w:rPr>
        <w:t xml:space="preserve">。</w:t>
      </w:r>
      <w:bookmarkEnd w:id="26"/>
      <w:r/>
      <w:r/>
    </w:p>
    <w:p>
      <w:pPr>
        <w:pStyle w:val="1329"/>
        <w:ind w:firstLine="422"/>
        <w:spacing w:line="360" w:lineRule="auto"/>
        <w:tabs>
          <w:tab w:val="left" w:pos="142" w:leader="none"/>
          <w:tab w:val="left" w:pos="600" w:leader="none"/>
        </w:tabs>
        <w:rPr>
          <w:color w:val="auto"/>
          <w:sz w:val="21"/>
          <w:szCs w:val="21"/>
          <w:lang w:val="zh-CN"/>
        </w:rPr>
      </w:pPr>
      <w:r/>
      <w:bookmarkStart w:id="27" w:name="_Hlk157961147"/>
      <w:r>
        <w:rPr>
          <w:rFonts w:hint="eastAsia"/>
          <w:color w:val="auto"/>
          <w:sz w:val="21"/>
          <w:szCs w:val="21"/>
        </w:rPr>
        <w:t xml:space="preserve">6.3线上澄清答复的方式：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b/>
          <w:color w:val="auto"/>
          <w:sz w:val="21"/>
          <w:szCs w:val="21"/>
        </w:rPr>
        <w:t xml:space="preserve">未加盖CA电子公章的澄清无效。</w:t>
      </w:r>
      <w:bookmarkEnd w:id="27"/>
      <w:r/>
      <w:r/>
    </w:p>
    <w:p>
      <w:pPr>
        <w:pStyle w:val="1329"/>
        <w:ind w:firstLine="422"/>
        <w:spacing w:line="360" w:lineRule="auto"/>
        <w:tabs>
          <w:tab w:val="left" w:pos="142" w:leader="none"/>
          <w:tab w:val="left" w:pos="600" w:leader="none"/>
        </w:tabs>
        <w:rPr>
          <w:rFonts w:hint="eastAsia"/>
          <w:color w:val="auto"/>
          <w:sz w:val="21"/>
          <w:szCs w:val="21"/>
        </w:rPr>
      </w:pPr>
      <w:r/>
      <w:bookmarkStart w:id="28" w:name="_Hlk157961236"/>
      <w:r>
        <w:rPr>
          <w:rFonts w:hint="eastAsia"/>
          <w:color w:val="auto"/>
          <w:sz w:val="21"/>
          <w:szCs w:val="21"/>
        </w:rPr>
        <w:t xml:space="preserve">6.4接到谈判小组澄清、说明和更正要求的供应商如未按规定做出澄清、说明和更正，其风险由供应商自行承担。</w:t>
      </w:r>
      <w:bookmarkEnd w:id="28"/>
      <w:r/>
      <w:r/>
    </w:p>
    <w:p>
      <w:pPr>
        <w:ind w:firstLine="420"/>
        <w:keepLines w:val="0"/>
        <w:keepNext w:val="0"/>
        <w:pageBreakBefore w:val="0"/>
        <w:spacing w:line="360" w:lineRule="auto"/>
        <w:widowControl w:val="off"/>
        <w:rPr>
          <w:rFonts w:ascii="宋体" w:hAnsi="宋体"/>
          <w:b/>
          <w:color w:val="auto"/>
          <w:szCs w:val="21"/>
        </w:rPr>
        <w:outlineLvl w:val="9"/>
      </w:pPr>
      <w:r>
        <w:rPr>
          <w:rFonts w:hint="eastAsia" w:ascii="宋体" w:hAnsi="宋体"/>
          <w:b/>
          <w:color w:val="auto"/>
          <w:szCs w:val="21"/>
        </w:rPr>
        <w:t xml:space="preserve">五、质疑</w:t>
      </w:r>
      <w:r/>
    </w:p>
    <w:p>
      <w:pPr>
        <w:pStyle w:val="1063"/>
        <w:ind w:firstLine="420"/>
        <w:keepLines w:val="0"/>
        <w:keepNext w:val="0"/>
        <w:pageBreakBefore w:val="0"/>
        <w:spacing w:line="360" w:lineRule="auto"/>
        <w:widowControl w:val="off"/>
        <w:rPr>
          <w:rFonts w:ascii="宋体" w:hAnsi="宋体" w:eastAsia="宋体"/>
          <w:color w:val="auto"/>
          <w:sz w:val="21"/>
          <w:szCs w:val="21"/>
        </w:rPr>
        <w:outlineLvl w:val="9"/>
      </w:pPr>
      <w:r>
        <w:rPr>
          <w:rFonts w:hint="eastAsia" w:ascii="宋体" w:hAnsi="宋体" w:eastAsia="宋体"/>
          <w:color w:val="auto"/>
          <w:sz w:val="21"/>
          <w:szCs w:val="21"/>
        </w:rPr>
        <w:t xml:space="preserve">1.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rPr>
        <w:t xml:space="preserve">http://www.szzyjy.com.cn:8086/kssfzx/034004/034004002/20190929/5beba8e5-100a-4262-89c0-d476cc460507.html</w:t>
      </w:r>
      <w:r>
        <w:rPr>
          <w:rFonts w:hint="eastAsia" w:ascii="宋体" w:hAnsi="宋体" w:eastAsia="宋体"/>
          <w:color w:val="auto"/>
          <w:sz w:val="21"/>
          <w:szCs w:val="21"/>
        </w:rPr>
        <w:t xml:space="preserve">）。</w:t>
      </w:r>
      <w:r/>
    </w:p>
    <w:p>
      <w:pPr>
        <w:pStyle w:val="1063"/>
        <w:ind w:firstLine="420"/>
        <w:keepLines w:val="0"/>
        <w:keepNext w:val="0"/>
        <w:pageBreakBefore w:val="0"/>
        <w:spacing w:line="360" w:lineRule="auto"/>
        <w:widowControl w:val="off"/>
        <w:rPr>
          <w:rFonts w:ascii="宋体" w:hAnsi="宋体" w:eastAsia="宋体"/>
          <w:color w:val="auto"/>
          <w:sz w:val="21"/>
          <w:szCs w:val="21"/>
        </w:rPr>
        <w:outlineLvl w:val="9"/>
      </w:pPr>
      <w:r>
        <w:rPr>
          <w:rFonts w:hint="eastAsia" w:ascii="宋体" w:hAnsi="宋体" w:eastAsia="宋体"/>
          <w:color w:val="auto"/>
          <w:sz w:val="21"/>
          <w:szCs w:val="21"/>
        </w:rPr>
        <w:t xml:space="preserve">供应商应当在法定质疑期内一次性提出针对同一采购程序环节的质疑。</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采购人、采购代理机构应当在收到供应商书面质疑后七个工作日内作出答复，并以书面形式通知质疑供应商和其他相关供应商。</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2.质疑函应包括以下主要内容，并按照</w:t>
      </w:r>
      <w:r>
        <w:rPr>
          <w:rFonts w:ascii="宋体" w:hAnsi="宋体" w:eastAsia="宋体"/>
          <w:color w:val="auto"/>
          <w:sz w:val="21"/>
          <w:szCs w:val="21"/>
        </w:rPr>
        <w:t xml:space="preserve">“</w:t>
      </w:r>
      <w:r>
        <w:rPr>
          <w:rFonts w:hint="eastAsia" w:ascii="宋体" w:hAnsi="宋体" w:eastAsia="宋体"/>
          <w:color w:val="auto"/>
          <w:sz w:val="21"/>
          <w:szCs w:val="21"/>
        </w:rPr>
        <w:t xml:space="preserve">谁主张、谁举证</w:t>
      </w:r>
      <w:r>
        <w:rPr>
          <w:rFonts w:ascii="宋体" w:hAnsi="宋体" w:eastAsia="宋体"/>
          <w:color w:val="auto"/>
          <w:sz w:val="21"/>
          <w:szCs w:val="21"/>
        </w:rPr>
        <w:t xml:space="preserve">”</w:t>
      </w:r>
      <w:r>
        <w:rPr>
          <w:rFonts w:hint="eastAsia" w:ascii="宋体" w:hAnsi="宋体" w:eastAsia="宋体"/>
          <w:color w:val="auto"/>
          <w:sz w:val="21"/>
          <w:szCs w:val="21"/>
        </w:rPr>
        <w:t xml:space="preserve">的原则，附上必要的证明材料。　　　　　　　</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2.1供应商的姓名或者名称、地址、邮编、联系人及联系电话；</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2.2质疑项目名称、编号；</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2.3具体、明确的质疑事项和与质疑事项相关的请求；</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2.4具体的事实依据及相关证据材料；</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2.5必要的法律依据；</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2.6提出质疑的日期；</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.7</w:t>
      </w:r>
      <w:r>
        <w:rPr>
          <w:rFonts w:hint="eastAsia" w:ascii="宋体" w:hAnsi="宋体" w:eastAsia="宋体"/>
          <w:color w:val="auto"/>
          <w:sz w:val="21"/>
          <w:szCs w:val="21"/>
        </w:rPr>
        <w:t xml:space="preserve">依法获取谈判文件的证明（《投标供应商确认函》）</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8</w:t>
      </w:r>
      <w:r>
        <w:rPr>
          <w:rFonts w:hint="eastAsia" w:ascii="宋体" w:hAnsi="宋体" w:eastAsia="宋体"/>
          <w:color w:val="auto"/>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1063"/>
        <w:ind w:firstLine="422"/>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9</w:t>
      </w:r>
      <w:r>
        <w:rPr>
          <w:rFonts w:hint="eastAsia" w:ascii="宋体" w:hAnsi="宋体" w:eastAsia="宋体"/>
          <w:color w:val="auto"/>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1063"/>
        <w:ind w:firstLine="422"/>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代理人提出质疑，应当提交供应商签署的授权委托书。</w:t>
      </w:r>
      <w:r/>
    </w:p>
    <w:p>
      <w:pPr>
        <w:pStyle w:val="1063"/>
        <w:ind w:firstLine="422"/>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1063"/>
        <w:ind w:firstLine="422"/>
        <w:spacing w:line="360" w:lineRule="auto"/>
        <w:rPr>
          <w:rFonts w:ascii="宋体" w:hAnsi="宋体" w:eastAsia="宋体" w:cs="Arial"/>
          <w:b/>
          <w:color w:val="auto"/>
          <w:sz w:val="21"/>
          <w:szCs w:val="21"/>
        </w:rPr>
      </w:pPr>
      <w:r>
        <w:rPr>
          <w:rFonts w:hint="eastAsia" w:ascii="宋体" w:hAnsi="宋体" w:eastAsia="宋体" w:cs="Arial"/>
          <w:b/>
          <w:color w:val="auto"/>
          <w:sz w:val="21"/>
          <w:szCs w:val="21"/>
        </w:rPr>
        <w:t xml:space="preserve">六、成交服务费</w:t>
      </w:r>
      <w:r/>
    </w:p>
    <w:p>
      <w:pPr>
        <w:ind w:firstLine="420"/>
        <w:spacing w:line="360" w:lineRule="auto"/>
        <w:rPr>
          <w:rFonts w:hint="eastAsia" w:ascii="宋体" w:hAnsi="宋体" w:cs="宋体"/>
          <w:color w:val="auto"/>
          <w:szCs w:val="21"/>
        </w:rPr>
      </w:pPr>
      <w:r>
        <w:rPr>
          <w:rFonts w:hint="eastAsia" w:ascii="宋体" w:hAnsi="宋体" w:cs="宋体"/>
          <w:color w:val="auto"/>
          <w:szCs w:val="21"/>
          <w:highlight w:val="none"/>
        </w:rPr>
        <w:t xml:space="preserve">1、成交单位须按规定支付成交服务费，该费用应在领取中标通知书前付清</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2、按差额定率累进法计算收费: 按预算金额100万元以下，收取1.5%；100-500万元，收取1.1%；500-1000万元，收取0.8%；1000-5000万元，收取0.5%；5000-10000万元，收取0.25%；10000-100000万元，收取0.05%；该费用由成交单位另行支付至我司成交服务费专用帐户（单位：</w:t>
      </w:r>
      <w:r>
        <w:rPr>
          <w:rFonts w:hint="eastAsia" w:ascii="宋体" w:hAnsi="宋体" w:cs="宋体"/>
          <w:b w:val="0"/>
          <w:bCs/>
          <w:color w:val="auto"/>
          <w:szCs w:val="21"/>
          <w:lang w:eastAsia="zh-CN"/>
        </w:rPr>
        <w:t xml:space="preserve">苏州立诚建设管理咨询有限公司昆山分公司</w:t>
      </w:r>
      <w:r>
        <w:rPr>
          <w:rFonts w:hint="eastAsia" w:ascii="宋体" w:hAnsi="宋体" w:cs="宋体"/>
          <w:color w:val="auto"/>
          <w:szCs w:val="21"/>
        </w:rPr>
        <w:t xml:space="preserve">  开户银行：</w:t>
      </w:r>
      <w:r>
        <w:rPr>
          <w:rFonts w:hint="eastAsia" w:ascii="宋体" w:hAnsi="宋体" w:cs="宋体"/>
          <w:b w:val="0"/>
          <w:bCs/>
          <w:color w:val="auto"/>
          <w:szCs w:val="21"/>
          <w:lang w:eastAsia="zh-CN"/>
        </w:rPr>
        <w:t xml:space="preserve">中国建设银行股份有限公司昆山萧林路支行</w:t>
      </w:r>
      <w:r>
        <w:rPr>
          <w:rFonts w:hint="eastAsia" w:ascii="宋体" w:hAnsi="宋体" w:cs="宋体"/>
          <w:color w:val="auto"/>
          <w:szCs w:val="21"/>
        </w:rPr>
        <w:t xml:space="preserve">  帐号：</w:t>
      </w:r>
      <w:r>
        <w:rPr>
          <w:rFonts w:hint="eastAsia" w:ascii="宋体" w:hAnsi="宋体" w:cs="宋体"/>
          <w:b w:val="0"/>
          <w:bCs/>
          <w:color w:val="auto"/>
          <w:szCs w:val="21"/>
          <w:lang w:eastAsia="zh-CN"/>
        </w:rPr>
        <w:t xml:space="preserve">3225 0198 6480 0000 2800</w:t>
      </w:r>
      <w:r>
        <w:rPr>
          <w:rFonts w:hint="eastAsia" w:ascii="宋体" w:hAnsi="宋体" w:cs="宋体"/>
          <w:color w:val="auto"/>
          <w:szCs w:val="21"/>
        </w:rPr>
        <w:t xml:space="preserve">）</w:t>
      </w:r>
      <w:r/>
    </w:p>
    <w:p>
      <w:pPr>
        <w:pStyle w:val="1074"/>
        <w:ind w:left="0" w:firstLine="422"/>
        <w:spacing w:line="360" w:lineRule="auto"/>
        <w:rPr>
          <w:rFonts w:hint="eastAsia" w:ascii="宋体" w:hAnsi="宋体" w:eastAsia="宋体" w:cs="Arial"/>
          <w:b/>
          <w:color w:val="auto"/>
          <w:sz w:val="21"/>
          <w:szCs w:val="21"/>
        </w:rPr>
      </w:pPr>
      <w:r>
        <w:rPr>
          <w:rFonts w:hint="eastAsia" w:ascii="宋体" w:hAnsi="宋体" w:eastAsia="宋体" w:cs="Arial"/>
          <w:b/>
          <w:color w:val="auto"/>
          <w:sz w:val="21"/>
          <w:szCs w:val="21"/>
        </w:rPr>
        <w:t xml:space="preserve">七、其他</w:t>
      </w:r>
      <w:r/>
    </w:p>
    <w:p>
      <w:pPr>
        <w:pStyle w:val="1074"/>
        <w:ind w:left="0" w:firstLine="422"/>
        <w:spacing w:line="360" w:lineRule="auto"/>
        <w:rPr>
          <w:rFonts w:ascii="宋体" w:hAnsi="宋体" w:eastAsia="宋体"/>
          <w:b/>
          <w:bCs/>
          <w:color w:val="auto"/>
          <w:sz w:val="21"/>
          <w:szCs w:val="21"/>
        </w:rPr>
      </w:pPr>
      <w:r>
        <w:rPr>
          <w:rFonts w:hint="eastAsia" w:ascii="宋体" w:hAnsi="宋体" w:eastAsia="宋体"/>
          <w:b/>
          <w:color w:val="auto"/>
          <w:sz w:val="21"/>
          <w:szCs w:val="21"/>
        </w:rPr>
        <w:t xml:space="preserve">1</w:t>
      </w:r>
      <w:r>
        <w:rPr>
          <w:rFonts w:hint="eastAsia" w:ascii="宋体" w:hAnsi="宋体" w:eastAsia="宋体" w:cs="宋体"/>
          <w:b/>
          <w:color w:val="auto"/>
          <w:sz w:val="21"/>
          <w:szCs w:val="21"/>
        </w:rPr>
        <w:t xml:space="preserve">电子投标（响应）文件的编制与递交</w:t>
      </w:r>
      <w:r/>
    </w:p>
    <w:p>
      <w:pPr>
        <w:pStyle w:val="1257"/>
        <w:ind w:firstLine="422"/>
        <w:spacing w:line="360" w:lineRule="auto"/>
        <w:tabs>
          <w:tab w:val="left" w:pos="142" w:leader="none"/>
          <w:tab w:val="left" w:pos="600" w:leader="none"/>
        </w:tabs>
        <w:rPr>
          <w:rFonts w:ascii="宋体" w:hAnsi="宋体"/>
          <w:color w:val="auto"/>
          <w:szCs w:val="21"/>
        </w:rPr>
      </w:pPr>
      <w:r/>
      <w:bookmarkStart w:id="29" w:name="_Hlk157941471"/>
      <w:r/>
      <w:bookmarkStart w:id="30" w:name="_Hlk159235635"/>
      <w:r>
        <w:rPr>
          <w:rFonts w:hint="eastAsia" w:ascii="宋体" w:hAnsi="宋体"/>
          <w:color w:val="auto"/>
          <w:szCs w:val="21"/>
        </w:rPr>
        <w:t xml:space="preserve">1.1电子投标（响应）文件制作：本项目为网上招投标项目，请供应商插入CA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29"/>
      <w:r>
        <w:rPr>
          <w:rFonts w:hint="eastAsia" w:ascii="宋体" w:hAnsi="宋体"/>
          <w:color w:val="auto"/>
          <w:szCs w:val="21"/>
        </w:rPr>
        <w:t xml:space="preserve">。</w:t>
      </w:r>
      <w:bookmarkEnd w:id="30"/>
      <w:r/>
      <w:r/>
    </w:p>
    <w:p>
      <w:pPr>
        <w:pStyle w:val="1257"/>
        <w:ind w:firstLine="422"/>
        <w:spacing w:line="360" w:lineRule="auto"/>
        <w:tabs>
          <w:tab w:val="left" w:pos="142" w:leader="none"/>
          <w:tab w:val="left" w:pos="600" w:leader="none"/>
        </w:tabs>
        <w:rPr>
          <w:rFonts w:ascii="宋体" w:hAnsi="宋体"/>
          <w:color w:val="auto"/>
          <w:szCs w:val="21"/>
        </w:rPr>
      </w:pPr>
      <w:r/>
      <w:bookmarkStart w:id="31" w:name="_Hlk157941597"/>
      <w:r/>
      <w:bookmarkStart w:id="32" w:name="_Hlk159235644"/>
      <w:r>
        <w:rPr>
          <w:rFonts w:hint="eastAsia" w:ascii="宋体" w:hAnsi="宋体"/>
          <w:color w:val="auto"/>
          <w:szCs w:val="21"/>
        </w:rPr>
        <w:t xml:space="preserve">1.2电子投标（响应)文件递交：供应商应当按照《操作手册》指引，</w:t>
      </w:r>
      <w:r>
        <w:rPr>
          <w:rFonts w:hint="eastAsia" w:ascii="宋体" w:hAnsi="宋体"/>
          <w:b/>
          <w:color w:val="auto"/>
          <w:szCs w:val="21"/>
        </w:rPr>
        <w:t xml:space="preserve">在投标（响应）文件提交截止时间前完成电子投标（响应）文件的上传，未按要求成功上传的投标（响应）文件视为未递交。</w:t>
      </w:r>
      <w:r>
        <w:rPr>
          <w:rFonts w:hint="eastAsia" w:ascii="宋体" w:hAnsi="宋体"/>
          <w:color w:val="auto"/>
          <w:szCs w:val="21"/>
        </w:rPr>
        <w:t xml:space="preserve">供应商应充分考虑到网络环境、网络带宽等风险因素，如因供应商自身原因造成的电子投标（响应）文件上传不成功由供应商自行承担全部责任</w:t>
      </w:r>
      <w:bookmarkEnd w:id="31"/>
      <w:r>
        <w:rPr>
          <w:rFonts w:hint="eastAsia" w:ascii="宋体" w:hAnsi="宋体"/>
          <w:color w:val="auto"/>
          <w:szCs w:val="21"/>
        </w:rPr>
        <w:t xml:space="preserve">。</w:t>
      </w:r>
      <w:bookmarkEnd w:id="32"/>
      <w:r/>
      <w:r/>
    </w:p>
    <w:p>
      <w:pPr>
        <w:pStyle w:val="1257"/>
        <w:spacing w:line="360" w:lineRule="auto"/>
        <w:rPr>
          <w:rFonts w:ascii="宋体" w:hAnsi="宋体"/>
          <w:color w:val="auto"/>
          <w:szCs w:val="21"/>
        </w:rPr>
      </w:pPr>
      <w:r/>
      <w:bookmarkStart w:id="33" w:name="_Hlk159235660"/>
      <w:r>
        <w:rPr>
          <w:rFonts w:hint="eastAsia" w:ascii="宋体" w:hAnsi="宋体"/>
          <w:color w:val="auto"/>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1257"/>
        <w:spacing w:line="360" w:lineRule="auto"/>
        <w:rPr>
          <w:rFonts w:ascii="宋体" w:hAnsi="宋体"/>
          <w:color w:val="auto"/>
          <w:szCs w:val="21"/>
        </w:rPr>
      </w:pPr>
      <w:r>
        <w:rPr>
          <w:rFonts w:hint="eastAsia" w:ascii="宋体" w:hAnsi="宋体"/>
          <w:color w:val="auto"/>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33"/>
      <w:r/>
      <w:r/>
    </w:p>
    <w:p>
      <w:pPr>
        <w:pStyle w:val="1257"/>
        <w:ind w:firstLine="422"/>
        <w:spacing w:line="360" w:lineRule="auto"/>
        <w:tabs>
          <w:tab w:val="left" w:pos="142" w:leader="none"/>
          <w:tab w:val="left" w:pos="600" w:leader="none"/>
        </w:tabs>
        <w:rPr>
          <w:rFonts w:ascii="宋体" w:hAnsi="宋体"/>
          <w:color w:val="auto"/>
          <w:szCs w:val="21"/>
        </w:rPr>
      </w:pPr>
      <w:r/>
      <w:bookmarkStart w:id="34" w:name="_Hlk132648682"/>
      <w:r/>
      <w:bookmarkStart w:id="35" w:name="_Hlk132648979"/>
      <w:r/>
      <w:bookmarkStart w:id="36" w:name="_Hlk132648951"/>
      <w:r/>
      <w:bookmarkStart w:id="37" w:name="_Hlk157941668"/>
      <w:r>
        <w:rPr>
          <w:rFonts w:hint="eastAsia" w:ascii="宋体" w:hAnsi="宋体"/>
          <w:b/>
          <w:color w:val="auto"/>
          <w:szCs w:val="21"/>
        </w:rPr>
        <w:t xml:space="preserve">1.3响应文件未按照谈判文件要求加盖CA电子公章的，响应无效。</w:t>
      </w:r>
      <w:bookmarkEnd w:id="34"/>
      <w:r/>
      <w:bookmarkEnd w:id="35"/>
      <w:r/>
      <w:bookmarkEnd w:id="36"/>
      <w:r/>
      <w:bookmarkEnd w:id="37"/>
      <w:r/>
      <w:r/>
    </w:p>
    <w:p>
      <w:pPr>
        <w:pStyle w:val="1257"/>
        <w:ind w:firstLine="422"/>
        <w:spacing w:line="360" w:lineRule="auto"/>
        <w:tabs>
          <w:tab w:val="left" w:pos="142" w:leader="none"/>
          <w:tab w:val="left" w:pos="600" w:leader="none"/>
        </w:tabs>
        <w:rPr>
          <w:rFonts w:ascii="宋体" w:hAnsi="宋体"/>
          <w:color w:val="auto"/>
          <w:szCs w:val="21"/>
        </w:rPr>
      </w:pPr>
      <w:r/>
      <w:bookmarkStart w:id="38" w:name="_Hlk159235709"/>
      <w:r>
        <w:rPr>
          <w:rFonts w:hint="eastAsia" w:ascii="宋体" w:hAnsi="宋体"/>
          <w:color w:val="auto"/>
          <w:szCs w:val="21"/>
        </w:rPr>
        <w:t xml:space="preserve">1.3.1联合体投标：如招标（采购）公告中允许联合体投标，联合体投标的投标（响应）文件制作上传操作如下：</w:t>
      </w:r>
      <w:r/>
    </w:p>
    <w:p>
      <w:pPr>
        <w:pStyle w:val="1329"/>
        <w:ind w:firstLine="422"/>
        <w:spacing w:line="360" w:lineRule="auto"/>
        <w:rPr>
          <w:color w:val="auto"/>
          <w:sz w:val="21"/>
          <w:szCs w:val="21"/>
        </w:rPr>
      </w:pPr>
      <w:r>
        <w:rPr>
          <w:rFonts w:hint="eastAsia"/>
          <w:color w:val="auto"/>
          <w:sz w:val="21"/>
          <w:szCs w:val="21"/>
        </w:rPr>
        <w:t xml:space="preserve">第一步：在投标（响应）文件中上传联合体投标协议书。</w:t>
      </w:r>
      <w:r/>
    </w:p>
    <w:p>
      <w:pPr>
        <w:pStyle w:val="1257"/>
        <w:spacing w:line="360" w:lineRule="auto"/>
        <w:tabs>
          <w:tab w:val="left" w:pos="142" w:leader="none"/>
          <w:tab w:val="left" w:pos="600" w:leader="none"/>
        </w:tabs>
        <w:rPr>
          <w:rFonts w:ascii="宋体" w:hAnsi="宋体"/>
          <w:color w:val="auto"/>
          <w:szCs w:val="21"/>
        </w:rPr>
      </w:pPr>
      <w:r>
        <w:rPr>
          <w:rFonts w:hint="eastAsia" w:ascii="宋体" w:hAnsi="宋体"/>
          <w:color w:val="auto"/>
          <w:szCs w:val="21"/>
        </w:rPr>
        <w:t xml:space="preserve">第二步；在投标（响应）文件中，由联合体中的牵头人制作投标（响应）文件。</w:t>
      </w:r>
      <w:bookmarkEnd w:id="38"/>
      <w:r/>
      <w:r/>
    </w:p>
    <w:p>
      <w:pPr>
        <w:pStyle w:val="1257"/>
        <w:ind w:firstLine="422"/>
        <w:spacing w:line="360" w:lineRule="auto"/>
        <w:tabs>
          <w:tab w:val="left" w:pos="142" w:leader="none"/>
          <w:tab w:val="left" w:pos="600" w:leader="none"/>
        </w:tabs>
        <w:rPr>
          <w:rFonts w:hint="eastAsia" w:ascii="宋体" w:hAnsi="宋体"/>
          <w:b/>
          <w:color w:val="auto"/>
          <w:szCs w:val="21"/>
        </w:rPr>
      </w:pPr>
      <w:r>
        <w:rPr>
          <w:rFonts w:hint="eastAsia" w:ascii="宋体" w:hAnsi="宋体"/>
          <w:b/>
          <w:color w:val="auto"/>
          <w:szCs w:val="21"/>
        </w:rPr>
        <w:t xml:space="preserve">1.3.2如投标（响应）文件制作机器码信息一致，视为不同投标供应商使用同一台电脑编制投标（响应）文件，投标（响应）无效。</w:t>
      </w:r>
      <w:r/>
    </w:p>
    <w:p>
      <w:pPr>
        <w:pStyle w:val="1257"/>
        <w:ind w:firstLine="422"/>
        <w:spacing w:line="360" w:lineRule="auto"/>
        <w:tabs>
          <w:tab w:val="left" w:pos="142" w:leader="none"/>
          <w:tab w:val="left" w:pos="600" w:leader="none"/>
        </w:tabs>
        <w:rPr>
          <w:rFonts w:ascii="宋体" w:hAnsi="宋体"/>
          <w:b/>
          <w:color w:val="auto"/>
          <w:szCs w:val="21"/>
        </w:rPr>
      </w:pPr>
      <w:r>
        <w:rPr>
          <w:rFonts w:hint="eastAsia" w:ascii="宋体" w:hAnsi="宋体"/>
          <w:b/>
          <w:color w:val="auto"/>
          <w:szCs w:val="21"/>
        </w:rPr>
        <w:t xml:space="preserve">1.4响应文件开启（解密）、评标（评审）</w:t>
      </w:r>
      <w:r/>
    </w:p>
    <w:p>
      <w:pPr>
        <w:pStyle w:val="1257"/>
        <w:ind w:firstLine="422"/>
        <w:spacing w:line="360" w:lineRule="auto"/>
        <w:tabs>
          <w:tab w:val="left" w:pos="142" w:leader="none"/>
          <w:tab w:val="left" w:pos="600" w:leader="none"/>
        </w:tabs>
        <w:rPr>
          <w:rFonts w:ascii="宋体" w:hAnsi="宋体"/>
          <w:color w:val="auto"/>
          <w:szCs w:val="21"/>
        </w:rPr>
      </w:pPr>
      <w:r/>
      <w:bookmarkStart w:id="39" w:name="_Hlk159235808"/>
      <w:r>
        <w:rPr>
          <w:rFonts w:hint="eastAsia" w:ascii="宋体" w:hAnsi="宋体"/>
          <w:color w:val="auto"/>
          <w:szCs w:val="21"/>
        </w:rPr>
        <w:t xml:space="preserve">1.4.1本项目为不见面开标（开启）项目，</w:t>
      </w:r>
      <w:r>
        <w:rPr>
          <w:rFonts w:hint="eastAsia" w:ascii="宋体" w:hAnsi="宋体"/>
          <w:b/>
          <w:color w:val="auto"/>
          <w:szCs w:val="21"/>
        </w:rPr>
        <w:t xml:space="preserve">开启阶段供应商在【解密环节】必须使用 CA证书解密电子投标（响应）文件，请供应商确保电脑、系统及其他设备（视频输入输出设备等）无误，且开启直至项目结束始终保持系统在线状态。</w:t>
      </w:r>
      <w:r/>
    </w:p>
    <w:p>
      <w:pPr>
        <w:pStyle w:val="1257"/>
        <w:ind w:firstLine="422"/>
        <w:spacing w:line="360" w:lineRule="auto"/>
        <w:tabs>
          <w:tab w:val="left" w:pos="142" w:leader="none"/>
          <w:tab w:val="left" w:pos="600" w:leader="none"/>
        </w:tabs>
        <w:rPr>
          <w:rFonts w:ascii="宋体" w:hAnsi="宋体"/>
          <w:color w:val="auto"/>
          <w:szCs w:val="21"/>
        </w:rPr>
      </w:pPr>
      <w:r>
        <w:rPr>
          <w:rFonts w:hint="eastAsia" w:ascii="宋体" w:hAnsi="宋体"/>
          <w:color w:val="auto"/>
          <w:szCs w:val="21"/>
        </w:rPr>
        <w:t xml:space="preserve">1.4.2线上参加（观看）开标（开启）会方式：登录“苏采云”系统，点击“开标大厅”，选择对应项目，点击进入不见面开标系统。</w:t>
      </w:r>
      <w:r/>
    </w:p>
    <w:p>
      <w:pPr>
        <w:pStyle w:val="1257"/>
        <w:ind w:firstLine="422"/>
        <w:spacing w:line="360" w:lineRule="auto"/>
        <w:tabs>
          <w:tab w:val="left" w:pos="142" w:leader="none"/>
          <w:tab w:val="left" w:pos="600" w:leader="none"/>
        </w:tabs>
        <w:rPr>
          <w:rFonts w:ascii="宋体" w:hAnsi="宋体"/>
          <w:color w:val="auto"/>
          <w:szCs w:val="21"/>
        </w:rPr>
      </w:pPr>
      <w:r/>
      <w:bookmarkStart w:id="40" w:name="_Hlk116921337"/>
      <w:r>
        <w:rPr>
          <w:rFonts w:hint="eastAsia" w:ascii="宋体" w:hAnsi="宋体"/>
          <w:color w:val="auto"/>
          <w:szCs w:val="21"/>
        </w:rPr>
        <w:t xml:space="preserve">1.4.3响应文件开启时，</w:t>
      </w:r>
      <w:bookmarkStart w:id="41" w:name="_Hlk157947025"/>
      <w:r>
        <w:rPr>
          <w:rFonts w:hint="eastAsia" w:ascii="宋体" w:hAnsi="宋体"/>
          <w:color w:val="auto"/>
          <w:szCs w:val="21"/>
        </w:rPr>
        <w:t xml:space="preserve">供应商应当按照《操作手册》规定，在“苏采云”系统规定的时间内对谈判响应文件进行解密。等待开标流程进入“解锁环境”，点击“点击立即解密”进行标书解密，解锁完成后及时关注开标大厅，等待后续多次报价、答疑澄清、不合格原因告知等提示，</w:t>
      </w:r>
      <w:r>
        <w:rPr>
          <w:rFonts w:hint="eastAsia" w:ascii="宋体" w:hAnsi="宋体"/>
          <w:b/>
          <w:color w:val="auto"/>
          <w:szCs w:val="21"/>
        </w:rPr>
        <w:t xml:space="preserve">否则导致的对供应商不利的后果由供应商自行承担。</w:t>
      </w:r>
      <w:bookmarkEnd w:id="40"/>
      <w:r/>
      <w:bookmarkEnd w:id="41"/>
      <w:r/>
      <w:r/>
    </w:p>
    <w:p>
      <w:pPr>
        <w:pStyle w:val="1257"/>
        <w:ind w:firstLine="422"/>
        <w:spacing w:line="360" w:lineRule="auto"/>
        <w:tabs>
          <w:tab w:val="left" w:pos="142" w:leader="none"/>
          <w:tab w:val="left" w:pos="600" w:leader="none"/>
        </w:tabs>
        <w:rPr>
          <w:rFonts w:ascii="宋体" w:hAnsi="宋体"/>
          <w:color w:val="auto"/>
          <w:szCs w:val="21"/>
        </w:rPr>
      </w:pPr>
      <w:r/>
      <w:bookmarkStart w:id="42" w:name="_Hlk157947180"/>
      <w:r>
        <w:rPr>
          <w:rFonts w:hint="eastAsia" w:ascii="宋体" w:hAnsi="宋体"/>
          <w:color w:val="auto"/>
          <w:szCs w:val="21"/>
        </w:rPr>
        <w:t xml:space="preserve">1.4.5供应商在“苏采云”系统规定的时间内未成功解密电子响应文件的，</w:t>
      </w:r>
      <w:r>
        <w:rPr>
          <w:rFonts w:hint="eastAsia" w:ascii="宋体" w:hAnsi="宋体"/>
          <w:b/>
          <w:color w:val="auto"/>
          <w:szCs w:val="21"/>
        </w:rPr>
        <w:t xml:space="preserve">响应无效</w:t>
      </w:r>
      <w:r>
        <w:rPr>
          <w:rFonts w:hint="eastAsia" w:ascii="宋体" w:hAnsi="宋体"/>
          <w:color w:val="auto"/>
          <w:szCs w:val="21"/>
        </w:rPr>
        <w:t xml:space="preserve">。</w:t>
      </w:r>
      <w:bookmarkEnd w:id="42"/>
      <w:r/>
      <w:r/>
    </w:p>
    <w:p>
      <w:pPr>
        <w:pStyle w:val="1257"/>
        <w:ind w:firstLine="422"/>
        <w:spacing w:line="360" w:lineRule="auto"/>
        <w:tabs>
          <w:tab w:val="left" w:pos="142" w:leader="none"/>
          <w:tab w:val="left" w:pos="600" w:leader="none"/>
        </w:tabs>
        <w:rPr>
          <w:rFonts w:ascii="宋体" w:hAnsi="宋体"/>
          <w:color w:val="auto"/>
          <w:szCs w:val="21"/>
        </w:rPr>
      </w:pPr>
      <w:r/>
      <w:bookmarkStart w:id="43" w:name="_Hlk157947204"/>
      <w:r>
        <w:rPr>
          <w:rFonts w:hint="eastAsia" w:ascii="宋体" w:hAnsi="宋体"/>
          <w:color w:val="auto"/>
          <w:szCs w:val="21"/>
        </w:rPr>
        <w:t xml:space="preserve">1.4.6供应商电脑环境最低要求：谷歌浏览器，版本可直接网上下载最新版本即可。如需收听现场语音需配置放音设备，如视频直播、互动交流使用异常，请刷新网页，如仍无法解决，请联系技术支持</w:t>
      </w:r>
      <w:bookmarkEnd w:id="43"/>
      <w:r>
        <w:rPr>
          <w:rFonts w:hint="eastAsia" w:ascii="宋体" w:hAnsi="宋体"/>
          <w:color w:val="auto"/>
          <w:szCs w:val="21"/>
        </w:rPr>
        <w:t xml:space="preserve">。</w:t>
      </w:r>
      <w:bookmarkEnd w:id="39"/>
      <w:r/>
      <w:r/>
    </w:p>
    <w:p>
      <w:pPr>
        <w:rPr>
          <w:rFonts w:hint="eastAsia"/>
          <w:color w:val="auto"/>
        </w:rPr>
      </w:pPr>
      <w:r>
        <w:rPr>
          <w:rFonts w:hint="eastAsia"/>
          <w:color w:val="auto"/>
        </w:rPr>
      </w:r>
      <w:r/>
    </w:p>
    <w:p>
      <w:pPr>
        <w:pStyle w:val="1042"/>
        <w:ind w:firstLine="226"/>
        <w:keepNext w:val="0"/>
        <w:spacing w:line="360" w:lineRule="auto"/>
        <w:rPr>
          <w:rFonts w:hint="eastAsia" w:ascii="宋体" w:hAnsi="宋体"/>
          <w:b/>
          <w:color w:val="auto"/>
          <w:sz w:val="30"/>
          <w:szCs w:val="30"/>
        </w:rPr>
      </w:pPr>
      <w:r>
        <w:rPr>
          <w:rFonts w:ascii="宋体" w:hAnsi="宋体"/>
          <w:color w:val="auto"/>
          <w:szCs w:val="21"/>
        </w:rPr>
        <w:br w:type="page" w:clear="all"/>
      </w:r>
      <w:r>
        <w:rPr>
          <w:rFonts w:hint="eastAsia" w:ascii="宋体" w:hAnsi="宋体"/>
          <w:b/>
          <w:color w:val="auto"/>
          <w:sz w:val="30"/>
          <w:szCs w:val="30"/>
        </w:rPr>
        <w:t xml:space="preserve">第三章、</w:t>
      </w:r>
      <w:bookmarkStart w:id="44" w:name="gpcItem_SubmitDocStruct"/>
      <w:r>
        <w:rPr>
          <w:rFonts w:hint="eastAsia" w:ascii="宋体" w:hAnsi="宋体"/>
          <w:b/>
          <w:color w:val="auto"/>
          <w:sz w:val="30"/>
          <w:szCs w:val="30"/>
        </w:rPr>
        <w:t xml:space="preserve">响应文件格式 </w:t>
      </w:r>
      <w:r>
        <w:rPr>
          <w:rFonts w:ascii="宋体" w:hAnsi="宋体"/>
          <w:b/>
          <w:color w:val="auto"/>
          <w:sz w:val="30"/>
          <w:szCs w:val="30"/>
        </w:rPr>
        <w:t xml:space="preserve"> </w:t>
      </w:r>
      <w:bookmarkEnd w:id="44"/>
      <w:r>
        <w:rPr>
          <w:rFonts w:ascii="宋体" w:hAnsi="宋体"/>
          <w:b/>
          <w:color w:val="auto"/>
          <w:sz w:val="30"/>
          <w:szCs w:val="30"/>
        </w:rPr>
        <w:t xml:space="preserve"> </w:t>
      </w:r>
      <w:r/>
    </w:p>
    <w:p>
      <w:pPr>
        <w:spacing w:line="360" w:lineRule="auto"/>
        <w:rPr>
          <w:rFonts w:ascii="宋体" w:hAnsi="宋体"/>
          <w:b/>
          <w:color w:val="auto"/>
          <w:szCs w:val="21"/>
        </w:rPr>
      </w:pPr>
      <w:r/>
      <w:bookmarkStart w:id="45" w:name="_Ref495329573"/>
      <w:r>
        <w:rPr>
          <w:rFonts w:hint="eastAsia" w:ascii="宋体" w:hAnsi="宋体"/>
          <w:b/>
          <w:color w:val="auto"/>
          <w:szCs w:val="21"/>
        </w:rPr>
        <w:t xml:space="preserve">本章的格式</w:t>
      </w:r>
      <w:r>
        <w:rPr>
          <w:rFonts w:ascii="宋体" w:hAnsi="宋体"/>
          <w:b/>
          <w:color w:val="auto"/>
          <w:szCs w:val="21"/>
        </w:rPr>
        <w:t xml:space="preserve">，</w:t>
      </w:r>
      <w:r>
        <w:rPr>
          <w:rFonts w:hint="eastAsia" w:ascii="宋体" w:hAnsi="宋体"/>
          <w:b/>
          <w:color w:val="auto"/>
          <w:szCs w:val="21"/>
        </w:rPr>
        <w:t xml:space="preserve">供应商</w:t>
      </w:r>
      <w:r>
        <w:rPr>
          <w:rFonts w:ascii="宋体" w:hAnsi="宋体"/>
          <w:b/>
          <w:color w:val="auto"/>
          <w:szCs w:val="21"/>
        </w:rPr>
        <w:t xml:space="preserve">可根据自身情况进行补充和修改，但补充和修改不得造成与本格式内容有实质性的违背。</w:t>
      </w:r>
      <w:r>
        <w:rPr>
          <w:rFonts w:hint="eastAsia" w:ascii="宋体" w:hAnsi="宋体"/>
          <w:b/>
          <w:color w:val="auto"/>
          <w:szCs w:val="21"/>
        </w:rPr>
        <w:t xml:space="preserve">相关材料提供要求详见第二章响应须知。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center"/>
        <w:keepLines w:val="0"/>
        <w:keepNext w:val="0"/>
        <w:pageBreakBefore w:val="0"/>
        <w:widowControl w:val="off"/>
        <w:rPr>
          <w:rFonts w:ascii="宋体" w:hAnsi="宋体"/>
          <w:b/>
          <w:color w:val="auto"/>
          <w:sz w:val="72"/>
          <w:szCs w:val="21"/>
        </w:rPr>
        <w:outlineLvl w:val="9"/>
      </w:pPr>
      <w:r>
        <w:rPr>
          <w:rFonts w:hint="eastAsia" w:ascii="宋体" w:hAnsi="宋体"/>
          <w:b/>
          <w:color w:val="auto"/>
          <w:sz w:val="72"/>
          <w:szCs w:val="21"/>
        </w:rPr>
        <w:t xml:space="preserve">响  应  文  件</w:t>
      </w:r>
      <w:r/>
    </w:p>
    <w:p>
      <w:pPr>
        <w:jc w:val="center"/>
        <w:keepLines w:val="0"/>
        <w:keepNext w:val="0"/>
        <w:pageBreakBefore w:val="0"/>
        <w:widowControl w:val="off"/>
        <w:rPr>
          <w:rFonts w:ascii="宋体" w:hAnsi="宋体"/>
          <w:b/>
          <w:color w:val="auto"/>
          <w:sz w:val="72"/>
          <w:szCs w:val="21"/>
        </w:rPr>
        <w:outlineLvl w:val="9"/>
      </w:pPr>
      <w:r>
        <w:rPr>
          <w:rFonts w:ascii="宋体" w:hAnsi="宋体"/>
          <w:b/>
          <w:color w:val="auto"/>
          <w:sz w:val="72"/>
          <w:szCs w:val="21"/>
        </w:rPr>
      </w:r>
      <w:r/>
    </w:p>
    <w:p>
      <w:pPr>
        <w:jc w:val="center"/>
        <w:keepLines w:val="0"/>
        <w:keepNext w:val="0"/>
        <w:pageBreakBefore w:val="0"/>
        <w:widowControl w:val="off"/>
        <w:rPr>
          <w:rFonts w:ascii="宋体" w:hAnsi="宋体"/>
          <w:b/>
          <w:color w:val="auto"/>
          <w:sz w:val="72"/>
          <w:szCs w:val="21"/>
        </w:rPr>
        <w:outlineLvl w:val="9"/>
      </w:pPr>
      <w:r>
        <w:rPr>
          <w:rFonts w:ascii="宋体" w:hAnsi="宋体"/>
          <w:b/>
          <w:color w:val="auto"/>
          <w:sz w:val="72"/>
          <w:szCs w:val="21"/>
        </w:rPr>
      </w:r>
      <w:r/>
    </w:p>
    <w:p>
      <w:pPr>
        <w:jc w:val="center"/>
        <w:keepLines w:val="0"/>
        <w:keepNext w:val="0"/>
        <w:pageBreakBefore w:val="0"/>
        <w:widowControl w:val="off"/>
        <w:rPr>
          <w:rFonts w:ascii="宋体" w:hAnsi="宋体"/>
          <w:b/>
          <w:color w:val="auto"/>
          <w:sz w:val="36"/>
          <w:szCs w:val="21"/>
        </w:rPr>
        <w:outlineLvl w:val="9"/>
      </w:pPr>
      <w:r>
        <w:rPr>
          <w:rFonts w:ascii="宋体" w:hAnsi="宋体"/>
          <w:b/>
          <w:color w:val="auto"/>
          <w:sz w:val="36"/>
          <w:szCs w:val="21"/>
        </w:rPr>
      </w:r>
      <w:r/>
    </w:p>
    <w:p>
      <w:pPr>
        <w:jc w:val="center"/>
        <w:keepLines w:val="0"/>
        <w:keepNext w:val="0"/>
        <w:pageBreakBefore w:val="0"/>
        <w:widowControl w:val="off"/>
        <w:rPr>
          <w:rFonts w:ascii="宋体" w:hAnsi="宋体"/>
          <w:b/>
          <w:color w:val="auto"/>
          <w:sz w:val="36"/>
          <w:szCs w:val="21"/>
        </w:rPr>
        <w:outlineLvl w:val="9"/>
      </w:pPr>
      <w:r>
        <w:rPr>
          <w:rFonts w:ascii="宋体" w:hAnsi="宋体"/>
          <w:b/>
          <w:color w:val="auto"/>
          <w:sz w:val="36"/>
          <w:szCs w:val="21"/>
        </w:rPr>
      </w:r>
      <w:r/>
    </w:p>
    <w:p>
      <w:pPr>
        <w:jc w:val="center"/>
        <w:keepLines w:val="0"/>
        <w:keepNext w:val="0"/>
        <w:pageBreakBefore w:val="0"/>
        <w:widowControl w:val="off"/>
        <w:rPr>
          <w:rFonts w:ascii="宋体" w:hAnsi="宋体"/>
          <w:b/>
          <w:color w:val="auto"/>
          <w:sz w:val="36"/>
          <w:szCs w:val="21"/>
        </w:rPr>
        <w:outlineLvl w:val="9"/>
      </w:pPr>
      <w:r>
        <w:rPr>
          <w:rFonts w:ascii="宋体" w:hAnsi="宋体"/>
          <w:b/>
          <w:color w:val="auto"/>
          <w:sz w:val="36"/>
          <w:szCs w:val="21"/>
        </w:rPr>
      </w:r>
      <w:r/>
    </w:p>
    <w:p>
      <w:pPr>
        <w:ind w:firstLine="1084"/>
        <w:keepLines w:val="0"/>
        <w:keepNext w:val="0"/>
        <w:pageBreakBefore w:val="0"/>
        <w:widowControl w:val="off"/>
        <w:rPr>
          <w:rFonts w:ascii="宋体" w:hAnsi="宋体"/>
          <w:b/>
          <w:color w:val="auto"/>
          <w:sz w:val="36"/>
          <w:szCs w:val="21"/>
        </w:rPr>
        <w:outlineLvl w:val="9"/>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keepLines w:val="0"/>
        <w:keepNext w:val="0"/>
        <w:pageBreakBefore w:val="0"/>
        <w:widowControl w:val="off"/>
        <w:rPr>
          <w:rFonts w:ascii="宋体" w:hAnsi="宋体"/>
          <w:b/>
          <w:color w:val="auto"/>
          <w:sz w:val="36"/>
          <w:szCs w:val="21"/>
          <w:u w:val="single"/>
        </w:rPr>
        <w:outlineLvl w:val="9"/>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keepLines w:val="0"/>
        <w:keepNext w:val="0"/>
        <w:pageBreakBefore w:val="0"/>
        <w:widowControl w:val="off"/>
        <w:rPr>
          <w:rFonts w:ascii="宋体" w:hAnsi="宋体"/>
          <w:b/>
          <w:color w:val="auto"/>
          <w:sz w:val="36"/>
          <w:szCs w:val="21"/>
          <w:u w:val="single"/>
        </w:rPr>
        <w:outlineLvl w:val="9"/>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keepLines w:val="0"/>
        <w:keepNext w:val="0"/>
        <w:pageBreakBefore w:val="0"/>
        <w:widowControl w:val="off"/>
        <w:rPr>
          <w:rFonts w:ascii="宋体" w:hAnsi="宋体"/>
          <w:b/>
          <w:color w:val="auto"/>
          <w:sz w:val="36"/>
          <w:szCs w:val="21"/>
          <w:u w:val="single"/>
        </w:rPr>
        <w:outlineLvl w:val="9"/>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keepLines w:val="0"/>
        <w:keepNext w:val="0"/>
        <w:pageBreakBefore w:val="0"/>
        <w:spacing w:line="440" w:lineRule="exact"/>
        <w:widowControl w:val="off"/>
        <w:rPr>
          <w:rFonts w:ascii="宋体" w:hAnsi="宋体"/>
          <w:b/>
          <w:bCs/>
          <w:color w:val="auto"/>
          <w:sz w:val="32"/>
          <w:szCs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680" w:gutter="0"/>
          <w:cols w:num="1" w:sep="0" w:space="1701" w:equalWidth="1"/>
          <w:docGrid w:linePitch="360"/>
        </w:sectPr>
        <w:outlineLvl w:val="9"/>
      </w:pPr>
      <w:r>
        <w:rPr>
          <w:rFonts w:ascii="宋体" w:hAnsi="宋体"/>
          <w:b/>
          <w:bCs/>
          <w:color w:val="auto"/>
          <w:sz w:val="32"/>
          <w:szCs w:val="32"/>
        </w:rPr>
      </w:r>
      <w:r/>
    </w:p>
    <w:p>
      <w:pPr>
        <w:rPr>
          <w:color w:val="auto"/>
        </w:rPr>
      </w:pPr>
      <w:r>
        <w:rPr>
          <w:color w:val="auto"/>
        </w:rPr>
      </w:r>
      <w:r/>
    </w:p>
    <w:p>
      <w:pPr>
        <w:pStyle w:val="1043"/>
        <w:pageBreakBefore w:val="0"/>
        <w:spacing w:before="0" w:after="0" w:line="360" w:lineRule="auto"/>
        <w:widowControl w:val="off"/>
        <w:rPr>
          <w:rFonts w:ascii="宋体" w:hAnsi="宋体" w:eastAsia="宋体"/>
          <w:color w:val="auto"/>
          <w:sz w:val="24"/>
          <w:szCs w:val="24"/>
          <w:lang w:val="zh-CN"/>
        </w:rPr>
        <w:outlineLvl w:val="9"/>
      </w:pPr>
      <w:r/>
      <w:bookmarkStart w:id="46" w:name="_Toc161067517"/>
      <w:r/>
      <w:bookmarkStart w:id="47" w:name="_Toc161126689"/>
      <w:r/>
      <w:bookmarkStart w:id="48" w:name="_Toc166338837"/>
      <w:r/>
      <w:bookmarkStart w:id="49" w:name="_Ref12971"/>
      <w:r>
        <w:rPr>
          <w:rFonts w:hint="eastAsia" w:ascii="宋体" w:hAnsi="宋体" w:eastAsia="宋体"/>
          <w:color w:val="auto"/>
          <w:sz w:val="24"/>
          <w:szCs w:val="24"/>
          <w:lang w:val="zh-CN"/>
        </w:rPr>
        <w:t xml:space="preserve">一、</w:t>
      </w:r>
      <w:r>
        <w:rPr>
          <w:rFonts w:ascii="宋体" w:hAnsi="宋体" w:eastAsia="宋体"/>
          <w:color w:val="auto"/>
          <w:sz w:val="24"/>
          <w:szCs w:val="24"/>
          <w:lang w:val="zh-CN"/>
        </w:rPr>
        <w:t xml:space="preserve">供应商情况表</w:t>
      </w:r>
      <w:bookmarkEnd w:id="46"/>
      <w:r/>
      <w:bookmarkEnd w:id="47"/>
      <w:r/>
      <w:bookmarkEnd w:id="48"/>
      <w:r/>
      <w:r/>
    </w:p>
    <w:p>
      <w:pPr>
        <w:jc w:val="center"/>
        <w:pageBreakBefore w:val="0"/>
        <w:spacing w:line="360" w:lineRule="auto"/>
        <w:widowControl w:val="off"/>
        <w:rPr>
          <w:rFonts w:hint="eastAsia"/>
          <w:color w:val="auto"/>
          <w:sz w:val="24"/>
        </w:rPr>
        <w:outlineLvl w:val="9"/>
      </w:pPr>
      <w:r>
        <w:rPr>
          <w:rFonts w:hint="eastAsia"/>
          <w:color w:val="auto"/>
          <w:sz w:val="24"/>
        </w:rPr>
        <w:t xml:space="preserve">供应商情况表</w:t>
      </w:r>
      <w:r/>
    </w:p>
    <w:p>
      <w:pPr>
        <w:pageBreakBefore w:val="0"/>
        <w:spacing w:line="360" w:lineRule="auto"/>
        <w:widowControl w:val="off"/>
        <w:rPr>
          <w:rFonts w:hint="eastAsia" w:ascii="宋体" w:hAnsi="宋体" w:cs="宋体"/>
          <w:color w:val="auto"/>
          <w:szCs w:val="21"/>
        </w:rPr>
        <w:outlineLvl w:val="9"/>
      </w:pPr>
      <w:r>
        <w:rPr>
          <w:rFonts w:hint="eastAsia" w:ascii="宋体" w:hAnsi="宋体" w:cs="宋体"/>
          <w:color w:val="auto"/>
          <w:szCs w:val="21"/>
        </w:rPr>
        <w:t xml:space="preserve">单位名称（加盖公章）：</w:t>
      </w:r>
      <w:r/>
    </w:p>
    <w:tbl>
      <w:tblPr>
        <w:tblStyle w:val="869"/>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1</w:t>
            </w:r>
            <w:r/>
          </w:p>
        </w:tc>
        <w:tc>
          <w:tcPr>
            <w:gridSpan w:val="2"/>
            <w:tcW w:w="1564"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法定代表人</w:t>
            </w:r>
            <w:r/>
          </w:p>
        </w:tc>
        <w:tc>
          <w:tcPr>
            <w:gridSpan w:val="3"/>
            <w:tcW w:w="2784"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tc>
        <w:tc>
          <w:tcPr>
            <w:gridSpan w:val="2"/>
            <w:tcW w:w="1580" w:type="dxa"/>
            <w:vAlign w:val="center"/>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公司成立日期</w:t>
            </w:r>
            <w:r/>
          </w:p>
        </w:tc>
        <w:tc>
          <w:tcPr>
            <w:gridSpan w:val="2"/>
            <w:tcW w:w="2764" w:type="dxa"/>
            <w:vAlign w:val="center"/>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tc>
      </w:tr>
      <w:tr>
        <w:trPr>
          <w:jc w:val="center"/>
          <w:trHeight w:val="645"/>
        </w:trPr>
        <w:tc>
          <w:tcPr>
            <w:tcW w:w="650"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2</w:t>
            </w:r>
            <w:r/>
          </w:p>
        </w:tc>
        <w:tc>
          <w:tcPr>
            <w:gridSpan w:val="2"/>
            <w:tcW w:w="1564"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总部地址</w:t>
            </w:r>
            <w:r/>
          </w:p>
        </w:tc>
        <w:tc>
          <w:tcPr>
            <w:gridSpan w:val="7"/>
            <w:tcW w:w="7128"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tc>
      </w:tr>
      <w:tr>
        <w:trPr>
          <w:jc w:val="center"/>
          <w:trHeight w:val="645"/>
        </w:trPr>
        <w:tc>
          <w:tcPr>
            <w:tcW w:w="650"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w:t>
            </w:r>
            <w:r/>
          </w:p>
        </w:tc>
        <w:tc>
          <w:tcPr>
            <w:gridSpan w:val="2"/>
            <w:tcW w:w="1564" w:type="dxa"/>
            <w:vAlign w:val="center"/>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本地办事处地址</w:t>
            </w:r>
            <w:r/>
          </w:p>
        </w:tc>
        <w:tc>
          <w:tcPr>
            <w:gridSpan w:val="7"/>
            <w:tcW w:w="7128" w:type="dxa"/>
            <w:vAlign w:val="center"/>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tc>
      </w:tr>
      <w:tr>
        <w:trPr>
          <w:jc w:val="center"/>
          <w:trHeight w:val="645"/>
        </w:trPr>
        <w:tc>
          <w:tcPr>
            <w:tcW w:w="650"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4</w:t>
            </w:r>
            <w:r/>
          </w:p>
        </w:tc>
        <w:tc>
          <w:tcPr>
            <w:tcW w:w="1088"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电话</w:t>
            </w:r>
            <w:r/>
          </w:p>
        </w:tc>
        <w:tc>
          <w:tcPr>
            <w:gridSpan w:val="3"/>
            <w:tcW w:w="2773" w:type="dxa"/>
            <w:vAlign w:val="center"/>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tc>
        <w:tc>
          <w:tcPr>
            <w:gridSpan w:val="2"/>
            <w:tcW w:w="1289"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联系人</w:t>
            </w:r>
            <w:r/>
          </w:p>
        </w:tc>
        <w:tc>
          <w:tcPr>
            <w:gridSpan w:val="3"/>
            <w:tcW w:w="3542" w:type="dxa"/>
            <w:vAlign w:val="center"/>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tc>
      </w:tr>
      <w:tr>
        <w:trPr>
          <w:jc w:val="center"/>
          <w:trHeight w:val="625"/>
        </w:trPr>
        <w:tc>
          <w:tcPr>
            <w:tcW w:w="650"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5</w:t>
            </w:r>
            <w:r/>
          </w:p>
        </w:tc>
        <w:tc>
          <w:tcPr>
            <w:tcW w:w="1088"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传真</w:t>
            </w:r>
            <w:r/>
          </w:p>
        </w:tc>
        <w:tc>
          <w:tcPr>
            <w:gridSpan w:val="3"/>
            <w:tcW w:w="2773" w:type="dxa"/>
            <w:vAlign w:val="center"/>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tc>
        <w:tc>
          <w:tcPr>
            <w:gridSpan w:val="2"/>
            <w:tcW w:w="1289"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电子邮箱</w:t>
            </w:r>
            <w:r/>
          </w:p>
        </w:tc>
        <w:tc>
          <w:tcPr>
            <w:gridSpan w:val="3"/>
            <w:tcW w:w="3542" w:type="dxa"/>
            <w:vAlign w:val="center"/>
            <w:textDirection w:val="lrTb"/>
            <w:noWrap w:val="false"/>
          </w:tcPr>
          <w:p>
            <w:pPr>
              <w:pStyle w:val="1063"/>
              <w:ind w:firstLine="0"/>
              <w:jc w:val="both"/>
              <w:pageBreakBefore w:val="0"/>
              <w:spacing w:line="360" w:lineRule="auto"/>
              <w:widowControl w:val="off"/>
              <w:rPr>
                <w:rFonts w:hint="eastAsia" w:ascii="宋体" w:hAnsi="宋体" w:eastAsia="宋体" w:cs="宋体"/>
                <w:b/>
                <w:color w:val="auto"/>
                <w:sz w:val="21"/>
                <w:szCs w:val="21"/>
              </w:rPr>
              <w:outlineLvl w:val="9"/>
            </w:pPr>
            <w:r>
              <w:rPr>
                <w:rFonts w:hint="eastAsia" w:ascii="宋体" w:hAnsi="宋体" w:eastAsia="宋体" w:cs="宋体"/>
                <w:b/>
                <w:color w:val="auto"/>
                <w:sz w:val="21"/>
                <w:szCs w:val="21"/>
              </w:rPr>
            </w:r>
            <w:r/>
          </w:p>
        </w:tc>
      </w:tr>
      <w:tr>
        <w:trPr>
          <w:jc w:val="center"/>
          <w:trHeight w:val="645"/>
        </w:trPr>
        <w:tc>
          <w:tcPr>
            <w:tcW w:w="650"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6</w:t>
            </w:r>
            <w:r/>
          </w:p>
        </w:tc>
        <w:tc>
          <w:tcPr>
            <w:tcW w:w="1088" w:type="dxa"/>
            <w:vAlign w:val="center"/>
            <w:textDirection w:val="lrTb"/>
            <w:noWrap w:val="false"/>
          </w:tcPr>
          <w:p>
            <w:pPr>
              <w:pageBreakBefore w:val="0"/>
              <w:spacing w:line="360" w:lineRule="auto"/>
              <w:widowControl w:val="off"/>
              <w:rPr>
                <w:rFonts w:hint="eastAsia" w:ascii="宋体" w:hAnsi="宋体" w:cs="宋体"/>
                <w:color w:val="auto"/>
                <w:szCs w:val="21"/>
              </w:rPr>
              <w:outlineLvl w:val="9"/>
            </w:pPr>
            <w:r>
              <w:rPr>
                <w:rFonts w:hint="eastAsia" w:ascii="宋体" w:hAnsi="宋体" w:cs="宋体"/>
                <w:color w:val="auto"/>
                <w:szCs w:val="21"/>
              </w:rPr>
              <w:t xml:space="preserve">单位从业人员数量</w:t>
            </w:r>
            <w:r/>
          </w:p>
        </w:tc>
        <w:tc>
          <w:tcPr>
            <w:gridSpan w:val="3"/>
            <w:tcW w:w="2773" w:type="dxa"/>
            <w:vAlign w:val="center"/>
            <w:textDirection w:val="lrTb"/>
            <w:noWrap w:val="false"/>
          </w:tcPr>
          <w:p>
            <w:pPr>
              <w:pStyle w:val="1063"/>
              <w:ind w:firstLine="216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人</w:t>
            </w:r>
            <w:r/>
          </w:p>
        </w:tc>
        <w:tc>
          <w:tcPr>
            <w:gridSpan w:val="4"/>
            <w:tcW w:w="2701" w:type="dxa"/>
            <w:vAlign w:val="center"/>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单位2025年总营业收入</w:t>
            </w:r>
            <w:r/>
          </w:p>
        </w:tc>
        <w:tc>
          <w:tcPr>
            <w:tcW w:w="2130" w:type="dxa"/>
            <w:vAlign w:val="center"/>
            <w:textDirection w:val="lrTb"/>
            <w:noWrap w:val="false"/>
          </w:tcPr>
          <w:p>
            <w:pPr>
              <w:pStyle w:val="1063"/>
              <w:ind w:firstLine="147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万元</w:t>
            </w:r>
            <w:r/>
          </w:p>
        </w:tc>
      </w:tr>
      <w:tr>
        <w:trPr>
          <w:jc w:val="center"/>
          <w:trHeight w:val="645"/>
        </w:trPr>
        <w:tc>
          <w:tcPr>
            <w:tcW w:w="650"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7</w:t>
            </w:r>
            <w:r/>
          </w:p>
        </w:tc>
        <w:tc>
          <w:tcPr>
            <w:tcW w:w="1088" w:type="dxa"/>
            <w:vAlign w:val="center"/>
            <w:textDirection w:val="lrTb"/>
            <w:noWrap w:val="false"/>
          </w:tcPr>
          <w:p>
            <w:pPr>
              <w:pageBreakBefore w:val="0"/>
              <w:spacing w:line="360" w:lineRule="auto"/>
              <w:widowControl w:val="off"/>
              <w:rPr>
                <w:rFonts w:hint="eastAsia" w:ascii="宋体" w:hAnsi="宋体" w:cs="宋体"/>
                <w:color w:val="auto"/>
                <w:szCs w:val="21"/>
              </w:rPr>
              <w:outlineLvl w:val="9"/>
            </w:pPr>
            <w:r>
              <w:rPr>
                <w:rFonts w:hint="eastAsia" w:ascii="宋体" w:hAnsi="宋体" w:cs="宋体"/>
                <w:color w:val="auto"/>
                <w:szCs w:val="21"/>
              </w:rPr>
              <w:t xml:space="preserve">企业规模</w:t>
            </w:r>
            <w:r/>
          </w:p>
        </w:tc>
        <w:tc>
          <w:tcPr>
            <w:gridSpan w:val="8"/>
            <w:tcW w:w="7604"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□大型     □中型     □小型     □微型</w:t>
            </w:r>
            <w:r/>
          </w:p>
        </w:tc>
      </w:tr>
      <w:tr>
        <w:trPr>
          <w:jc w:val="center"/>
          <w:trHeight w:val="1767"/>
        </w:trPr>
        <w:tc>
          <w:tcPr>
            <w:tcW w:w="650"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8</w:t>
            </w:r>
            <w:r/>
          </w:p>
        </w:tc>
        <w:tc>
          <w:tcPr>
            <w:gridSpan w:val="9"/>
            <w:tcW w:w="8692" w:type="dxa"/>
            <w:vAlign w:val="center"/>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主营范围</w:t>
            </w:r>
            <w:r/>
          </w:p>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1._____________________________________</w:t>
            </w:r>
            <w:r/>
          </w:p>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2._____________________________________</w:t>
            </w:r>
            <w:r/>
          </w:p>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3._____________________________________</w:t>
            </w:r>
            <w:r/>
          </w:p>
        </w:tc>
      </w:tr>
      <w:tr>
        <w:trPr>
          <w:jc w:val="center"/>
          <w:trHeight w:val="1548"/>
        </w:trPr>
        <w:tc>
          <w:tcPr>
            <w:tcW w:w="650"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9</w:t>
            </w:r>
            <w:r/>
          </w:p>
        </w:tc>
        <w:tc>
          <w:tcPr>
            <w:gridSpan w:val="3"/>
            <w:tcW w:w="2445" w:type="dxa"/>
            <w:vAlign w:val="center"/>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最近3年内在经营过程中受到何种奖励或处分</w:t>
            </w:r>
            <w:r/>
          </w:p>
        </w:tc>
        <w:tc>
          <w:tcPr>
            <w:gridSpan w:val="6"/>
            <w:tcW w:w="6247" w:type="dxa"/>
            <w:vAlign w:val="top"/>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tc>
      </w:tr>
      <w:tr>
        <w:trPr>
          <w:jc w:val="center"/>
          <w:trHeight w:val="618"/>
        </w:trPr>
        <w:tc>
          <w:tcPr>
            <w:tcW w:w="650"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10</w:t>
            </w:r>
            <w:r/>
          </w:p>
        </w:tc>
        <w:tc>
          <w:tcPr>
            <w:gridSpan w:val="3"/>
            <w:tcW w:w="2445" w:type="dxa"/>
            <w:vAlign w:val="top"/>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tc>
      </w:tr>
      <w:tr>
        <w:trPr>
          <w:jc w:val="center"/>
          <w:trHeight w:val="1392"/>
        </w:trPr>
        <w:tc>
          <w:tcPr>
            <w:tcW w:w="650" w:type="dxa"/>
            <w:vAlign w:val="center"/>
            <w:textDirection w:val="lrTb"/>
            <w:noWrap w:val="false"/>
          </w:tcPr>
          <w:p>
            <w:pPr>
              <w:pStyle w:val="1063"/>
              <w:ind w:firstLine="0"/>
              <w:jc w:val="center"/>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11</w:t>
            </w:r>
            <w:r/>
          </w:p>
        </w:tc>
        <w:tc>
          <w:tcPr>
            <w:gridSpan w:val="9"/>
            <w:tcW w:w="8692" w:type="dxa"/>
            <w:vAlign w:val="center"/>
            <w:textDirection w:val="lrTb"/>
            <w:noWrap w:val="false"/>
          </w:tcPr>
          <w:p>
            <w:pPr>
              <w:pStyle w:val="1063"/>
              <w:ind w:firstLine="0"/>
              <w:jc w:val="both"/>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其他需要说明的情况</w:t>
            </w:r>
            <w:r/>
          </w:p>
        </w:tc>
      </w:tr>
    </w:tbl>
    <w:p>
      <w:pPr>
        <w:pStyle w:val="1322"/>
        <w:ind w:firstLine="422"/>
        <w:pageBreakBefore w:val="0"/>
        <w:spacing w:line="360" w:lineRule="auto"/>
        <w:widowControl w:val="off"/>
        <w:rPr>
          <w:rFonts w:hAnsi="宋体" w:eastAsia="宋体" w:cs="宋体"/>
          <w:b/>
          <w:color w:val="auto"/>
          <w:sz w:val="21"/>
          <w:szCs w:val="21"/>
        </w:rPr>
        <w:outlineLvl w:val="9"/>
      </w:pPr>
      <w:r>
        <w:rPr>
          <w:rFonts w:hAnsi="宋体" w:eastAsia="宋体" w:cs="宋体"/>
          <w:b/>
          <w:color w:val="auto"/>
          <w:sz w:val="21"/>
          <w:szCs w:val="21"/>
        </w:rPr>
        <w:t xml:space="preserve">注：企业规模的企业划型标准请根据《中小企业划型标准规定》（工信部联企业〔2011〕300号）。</w:t>
      </w:r>
      <w:bookmarkStart w:id="50" w:name="_Ref15302737"/>
      <w:r/>
      <w:bookmarkStart w:id="51" w:name="_Toc519686651"/>
      <w:r/>
      <w:bookmarkStart w:id="52" w:name="_Ref507166820"/>
      <w:r/>
      <w:r/>
    </w:p>
    <w:p>
      <w:pPr>
        <w:pStyle w:val="1043"/>
        <w:pageBreakBefore w:val="0"/>
        <w:spacing w:before="0" w:after="0" w:line="360" w:lineRule="auto"/>
        <w:widowControl w:val="off"/>
        <w:rPr>
          <w:rFonts w:hint="eastAsia" w:ascii="宋体" w:hAnsi="宋体" w:eastAsia="宋体" w:cs="宋体"/>
          <w:color w:val="auto"/>
          <w:sz w:val="21"/>
          <w:szCs w:val="21"/>
          <w:lang w:val="zh-CN"/>
        </w:rPr>
        <w:sectPr>
          <w:footnotePr/>
          <w:endnotePr/>
          <w:type w:val="nextPage"/>
          <w:pgSz w:w="11906" w:h="16838" w:orient="portrait"/>
          <w:pgMar w:top="1134" w:right="1134" w:bottom="1134" w:left="1134" w:header="851" w:footer="680" w:gutter="0"/>
          <w:cols w:num="1" w:sep="0" w:space="1701" w:equalWidth="1"/>
          <w:docGrid w:linePitch="360"/>
        </w:sectPr>
        <w:outlineLvl w:val="9"/>
      </w:pPr>
      <w:r/>
      <w:bookmarkStart w:id="53" w:name="_Toc62807510"/>
      <w:r/>
      <w:bookmarkStart w:id="54" w:name="_Toc161126690"/>
      <w:r/>
      <w:bookmarkStart w:id="55" w:name="_Toc161067518"/>
      <w:r/>
      <w:r/>
    </w:p>
    <w:p>
      <w:pPr>
        <w:pStyle w:val="1043"/>
        <w:pageBreakBefore w:val="0"/>
        <w:spacing w:before="0" w:after="0" w:line="360" w:lineRule="auto"/>
        <w:widowControl w:val="off"/>
        <w:rPr>
          <w:rFonts w:ascii="宋体" w:hAnsi="宋体" w:eastAsia="宋体"/>
          <w:color w:val="auto"/>
          <w:sz w:val="24"/>
          <w:szCs w:val="24"/>
          <w:lang w:val="zh-CN"/>
        </w:rPr>
        <w:outlineLvl w:val="9"/>
      </w:pPr>
      <w:r/>
      <w:bookmarkStart w:id="56" w:name="_Toc166338838"/>
      <w:r>
        <w:rPr>
          <w:rFonts w:hint="eastAsia" w:ascii="宋体" w:hAnsi="宋体" w:eastAsia="宋体"/>
          <w:color w:val="auto"/>
          <w:sz w:val="24"/>
          <w:szCs w:val="24"/>
          <w:lang w:val="zh-CN"/>
        </w:rPr>
        <w:t xml:space="preserve">二</w:t>
      </w:r>
      <w:bookmarkEnd w:id="50"/>
      <w:r/>
      <w:bookmarkEnd w:id="51"/>
      <w:r/>
      <w:bookmarkEnd w:id="52"/>
      <w:r/>
      <w:bookmarkEnd w:id="53"/>
      <w:r>
        <w:rPr>
          <w:rFonts w:hint="eastAsia" w:ascii="宋体" w:hAnsi="宋体" w:eastAsia="宋体"/>
          <w:color w:val="auto"/>
          <w:sz w:val="24"/>
          <w:szCs w:val="24"/>
          <w:lang w:val="zh-CN"/>
        </w:rPr>
        <w:t xml:space="preserve">、谈判响应</w:t>
      </w:r>
      <w:r>
        <w:rPr>
          <w:rFonts w:ascii="宋体" w:hAnsi="宋体" w:eastAsia="宋体"/>
          <w:color w:val="auto"/>
          <w:sz w:val="24"/>
          <w:szCs w:val="24"/>
          <w:lang w:val="zh-CN"/>
        </w:rPr>
        <w:t xml:space="preserve">函</w:t>
      </w:r>
      <w:bookmarkEnd w:id="54"/>
      <w:r/>
      <w:bookmarkEnd w:id="55"/>
      <w:r/>
      <w:bookmarkEnd w:id="56"/>
      <w:r/>
      <w:r/>
    </w:p>
    <w:p>
      <w:pPr>
        <w:jc w:val="center"/>
        <w:pageBreakBefore w:val="0"/>
        <w:spacing w:line="360" w:lineRule="auto"/>
        <w:widowControl w:val="off"/>
        <w:rPr>
          <w:rFonts w:hint="eastAsia"/>
          <w:color w:val="auto"/>
          <w:sz w:val="24"/>
        </w:rPr>
        <w:outlineLvl w:val="9"/>
      </w:pPr>
      <w:r>
        <w:rPr>
          <w:rFonts w:hint="eastAsia"/>
          <w:color w:val="auto"/>
          <w:sz w:val="24"/>
        </w:rPr>
        <w:t xml:space="preserve">谈判响应函</w:t>
      </w:r>
      <w:r/>
    </w:p>
    <w:p>
      <w:pPr>
        <w:pageBreakBefore w:val="0"/>
        <w:spacing w:line="360" w:lineRule="auto"/>
        <w:widowControl w:val="off"/>
        <w:rPr>
          <w:rFonts w:ascii="宋体" w:hAnsi="宋体"/>
          <w:color w:val="auto"/>
        </w:rPr>
        <w:outlineLvl w:val="9"/>
      </w:pPr>
      <w:r>
        <w:rPr>
          <w:rFonts w:hint="eastAsia" w:ascii="宋体" w:hAnsi="宋体"/>
          <w:color w:val="auto"/>
        </w:rPr>
        <w:t xml:space="preserve">致：</w:t>
      </w:r>
      <w:r>
        <w:rPr>
          <w:rFonts w:hint="eastAsia"/>
          <w:i/>
          <w:iCs/>
          <w:color w:val="auto"/>
          <w:u w:val="single"/>
        </w:rPr>
        <w:t xml:space="preserve">（采购人名称）</w:t>
      </w:r>
      <w:r>
        <w:rPr>
          <w:rFonts w:hint="eastAsia"/>
          <w:i/>
          <w:iCs/>
          <w:color w:val="auto"/>
        </w:rPr>
        <w:t xml:space="preserve">、</w:t>
      </w:r>
      <w:r>
        <w:rPr>
          <w:rFonts w:hint="eastAsia" w:ascii="宋体" w:hAnsi="宋体"/>
          <w:color w:val="auto"/>
          <w:szCs w:val="21"/>
          <w:lang w:eastAsia="zh-CN"/>
        </w:rPr>
        <w:t xml:space="preserve">苏州立诚建设管理咨询有限公司</w:t>
      </w:r>
      <w:r>
        <w:rPr>
          <w:rFonts w:ascii="宋体" w:hAnsi="宋体"/>
          <w:color w:val="auto"/>
          <w:szCs w:val="21"/>
        </w:rPr>
        <w:t xml:space="preserve">：</w:t>
      </w:r>
      <w:r/>
    </w:p>
    <w:p>
      <w:pPr>
        <w:ind w:firstLine="420"/>
        <w:pageBreakBefore w:val="0"/>
        <w:spacing w:line="360" w:lineRule="auto"/>
        <w:widowControl w:val="off"/>
        <w:rPr>
          <w:rFonts w:ascii="宋体" w:hAnsi="宋体"/>
          <w:color w:val="auto"/>
        </w:rPr>
        <w:outlineLvl w:val="9"/>
      </w:pPr>
      <w:r>
        <w:rPr>
          <w:rFonts w:ascii="宋体" w:hAnsi="宋体"/>
          <w:color w:val="auto"/>
          <w:szCs w:val="21"/>
        </w:rPr>
        <w:t xml:space="preserve">经仔细阅读和研究</w:t>
      </w:r>
      <w:r>
        <w:rPr>
          <w:rFonts w:hint="eastAsia" w:ascii="宋体" w:hAnsi="宋体"/>
          <w:color w:val="auto"/>
          <w:szCs w:val="21"/>
        </w:rPr>
        <w:t xml:space="preserve">，</w:t>
      </w:r>
      <w:r>
        <w:rPr>
          <w:rFonts w:ascii="宋体" w:hAnsi="宋体"/>
          <w:color w:val="auto"/>
          <w:szCs w:val="21"/>
        </w:rPr>
        <w:t xml:space="preserve">我方同意</w:t>
      </w:r>
      <w:r>
        <w:rPr>
          <w:rFonts w:hint="eastAsia" w:ascii="宋体" w:hAnsi="宋体"/>
          <w:color w:val="auto"/>
          <w:szCs w:val="21"/>
        </w:rPr>
        <w:t xml:space="preserve">采购</w:t>
      </w:r>
      <w:r>
        <w:rPr>
          <w:rFonts w:ascii="宋体" w:hAnsi="宋体"/>
          <w:color w:val="auto"/>
          <w:szCs w:val="21"/>
        </w:rPr>
        <w:t xml:space="preserve">文件</w:t>
      </w:r>
      <w:r>
        <w:rPr>
          <w:color w:val="auto"/>
          <w:szCs w:val="21"/>
          <w:lang w:val="zh-CN"/>
        </w:rPr>
        <w:t xml:space="preserve">（包括</w:t>
      </w:r>
      <w:r>
        <w:rPr>
          <w:rFonts w:hint="eastAsia"/>
          <w:color w:val="auto"/>
          <w:szCs w:val="21"/>
          <w:lang w:val="zh-CN"/>
        </w:rPr>
        <w:t xml:space="preserve">补充文件</w:t>
      </w:r>
      <w:r>
        <w:rPr>
          <w:color w:val="auto"/>
          <w:szCs w:val="21"/>
          <w:lang w:val="zh-CN"/>
        </w:rPr>
        <w:t xml:space="preserve">）</w:t>
      </w:r>
      <w:r>
        <w:rPr>
          <w:rFonts w:ascii="宋体" w:hAnsi="宋体"/>
          <w:color w:val="auto"/>
          <w:szCs w:val="21"/>
        </w:rPr>
        <w:t xml:space="preserve">的各条款要求</w:t>
      </w:r>
      <w:r>
        <w:rPr>
          <w:rFonts w:hint="eastAsia" w:ascii="宋体" w:hAnsi="宋体"/>
          <w:color w:val="auto"/>
          <w:szCs w:val="21"/>
        </w:rPr>
        <w:t xml:space="preserve">，</w:t>
      </w:r>
      <w:r>
        <w:rPr>
          <w:rFonts w:hint="eastAsia" w:ascii="宋体" w:hAnsi="宋体"/>
          <w:color w:val="auto"/>
        </w:rPr>
        <w:t xml:space="preserve">自愿参加</w:t>
      </w:r>
      <w:r>
        <w:rPr>
          <w:rFonts w:hint="eastAsia"/>
          <w:i/>
          <w:iCs/>
          <w:color w:val="auto"/>
          <w:u w:val="single"/>
        </w:rPr>
        <w:t xml:space="preserve">（项目名称及项目编号）</w:t>
      </w:r>
      <w:r>
        <w:rPr>
          <w:rFonts w:hint="eastAsia" w:ascii="宋体" w:hAnsi="宋体"/>
          <w:color w:val="auto"/>
        </w:rPr>
        <w:t xml:space="preserve">的采购活动，并做出如下承诺：</w:t>
      </w:r>
      <w:r/>
    </w:p>
    <w:p>
      <w:pPr>
        <w:ind w:firstLine="420"/>
        <w:pageBreakBefore w:val="0"/>
        <w:spacing w:line="360" w:lineRule="auto"/>
        <w:widowControl w:val="off"/>
        <w:rPr>
          <w:rFonts w:ascii="宋体" w:hAnsi="宋体"/>
          <w:color w:val="auto"/>
          <w:szCs w:val="21"/>
        </w:rPr>
        <w:outlineLvl w:val="9"/>
      </w:pPr>
      <w:r>
        <w:rPr>
          <w:rFonts w:ascii="宋体" w:hAnsi="宋体"/>
          <w:color w:val="auto"/>
          <w:szCs w:val="21"/>
        </w:rPr>
        <w:t xml:space="preserve">1</w:t>
      </w:r>
      <w:r>
        <w:rPr>
          <w:rFonts w:hint="eastAsia" w:ascii="宋体" w:hAnsi="宋体"/>
          <w:color w:val="auto"/>
          <w:szCs w:val="21"/>
        </w:rPr>
        <w:t xml:space="preserve">.</w:t>
      </w:r>
      <w:r>
        <w:rPr>
          <w:rFonts w:hint="eastAsia"/>
          <w:color w:val="auto"/>
          <w:szCs w:val="21"/>
          <w:lang w:val="zh-CN"/>
        </w:rPr>
        <w:t xml:space="preserve">我方</w:t>
      </w:r>
      <w:r>
        <w:rPr>
          <w:color w:val="auto"/>
          <w:szCs w:val="21"/>
          <w:lang w:val="zh-CN"/>
        </w:rPr>
        <w:t xml:space="preserve">同意提供与</w:t>
      </w:r>
      <w:r>
        <w:rPr>
          <w:rFonts w:hint="eastAsia"/>
          <w:color w:val="auto"/>
          <w:szCs w:val="21"/>
          <w:lang w:val="zh-CN"/>
        </w:rPr>
        <w:t xml:space="preserve">响应</w:t>
      </w:r>
      <w:r>
        <w:rPr>
          <w:color w:val="auto"/>
          <w:szCs w:val="21"/>
          <w:lang w:val="zh-CN"/>
        </w:rPr>
        <w:t xml:space="preserve">有关的一切数据或资料，并保证所提供的</w:t>
      </w:r>
      <w:r>
        <w:rPr>
          <w:rFonts w:hint="eastAsia"/>
          <w:color w:val="auto"/>
          <w:szCs w:val="21"/>
          <w:lang w:val="zh-CN"/>
        </w:rPr>
        <w:t xml:space="preserve">响应</w:t>
      </w:r>
      <w:r>
        <w:rPr>
          <w:color w:val="auto"/>
          <w:szCs w:val="21"/>
          <w:lang w:val="zh-CN"/>
        </w:rPr>
        <w:t xml:space="preserve">文件及相关资料均真实有效</w:t>
      </w:r>
      <w:r>
        <w:rPr>
          <w:rFonts w:hint="eastAsia"/>
          <w:color w:val="auto"/>
          <w:szCs w:val="21"/>
          <w:lang w:val="zh-CN"/>
        </w:rPr>
        <w:t xml:space="preserve">，</w:t>
      </w:r>
      <w:r>
        <w:rPr>
          <w:color w:val="auto"/>
          <w:szCs w:val="21"/>
          <w:lang w:val="zh-CN"/>
        </w:rPr>
        <w:t xml:space="preserve">若有</w:t>
      </w:r>
      <w:r>
        <w:rPr>
          <w:rFonts w:hint="eastAsia"/>
          <w:color w:val="auto"/>
          <w:szCs w:val="21"/>
          <w:lang w:val="zh-CN"/>
        </w:rPr>
        <w:t xml:space="preserve">不实</w:t>
      </w:r>
      <w:r>
        <w:rPr>
          <w:color w:val="auto"/>
          <w:szCs w:val="21"/>
          <w:lang w:val="zh-CN"/>
        </w:rPr>
        <w:t xml:space="preserve">，</w:t>
      </w:r>
      <w:r>
        <w:rPr>
          <w:rFonts w:hint="eastAsia"/>
          <w:color w:val="auto"/>
          <w:szCs w:val="21"/>
          <w:lang w:val="zh-CN"/>
        </w:rPr>
        <w:t xml:space="preserve">由此产生的后果由我</w:t>
      </w:r>
      <w:r>
        <w:rPr>
          <w:color w:val="auto"/>
          <w:szCs w:val="21"/>
          <w:lang w:val="zh-CN"/>
        </w:rPr>
        <w:t xml:space="preserve">方承担</w:t>
      </w:r>
      <w:r>
        <w:rPr>
          <w:rFonts w:hint="eastAsia"/>
          <w:color w:val="auto"/>
          <w:szCs w:val="21"/>
          <w:lang w:val="zh-CN"/>
        </w:rPr>
        <w:t xml:space="preserve">；</w:t>
      </w:r>
      <w:r/>
    </w:p>
    <w:p>
      <w:pPr>
        <w:ind w:firstLine="420"/>
        <w:jc w:val="left"/>
        <w:pageBreakBefore w:val="0"/>
        <w:spacing w:line="360" w:lineRule="auto"/>
        <w:widowControl w:val="off"/>
        <w:rPr>
          <w:rFonts w:ascii="宋体" w:hAnsi="宋体"/>
          <w:color w:val="auto"/>
        </w:rPr>
        <w:outlineLvl w:val="9"/>
      </w:pPr>
      <w:r>
        <w:rPr>
          <w:rFonts w:ascii="宋体" w:hAnsi="宋体"/>
          <w:color w:val="auto"/>
        </w:rPr>
        <w:t xml:space="preserve">2.</w:t>
      </w:r>
      <w:r>
        <w:rPr>
          <w:rFonts w:hint="eastAsia" w:ascii="宋体" w:hAnsi="宋体"/>
          <w:color w:val="auto"/>
        </w:rPr>
        <w:t xml:space="preserve">我方具有良好的商业信誉和健全的财务会计制度；</w:t>
      </w:r>
      <w:r/>
    </w:p>
    <w:p>
      <w:pPr>
        <w:ind w:firstLine="420"/>
        <w:jc w:val="left"/>
        <w:pageBreakBefore w:val="0"/>
        <w:spacing w:line="360" w:lineRule="auto"/>
        <w:widowControl w:val="off"/>
        <w:rPr>
          <w:rFonts w:ascii="宋体" w:hAnsi="宋体"/>
          <w:color w:val="auto"/>
        </w:rPr>
        <w:outlineLvl w:val="9"/>
      </w:pPr>
      <w:r>
        <w:rPr>
          <w:rFonts w:ascii="宋体" w:hAnsi="宋体"/>
          <w:color w:val="auto"/>
        </w:rPr>
        <w:t xml:space="preserve">3.</w:t>
      </w:r>
      <w:r>
        <w:rPr>
          <w:rFonts w:hint="eastAsia" w:ascii="宋体" w:hAnsi="宋体"/>
          <w:color w:val="auto"/>
        </w:rPr>
        <w:t xml:space="preserve">我方具有依法缴纳税收和社会保障资金的良好记录；</w:t>
      </w:r>
      <w:r/>
    </w:p>
    <w:p>
      <w:pPr>
        <w:ind w:firstLine="420"/>
        <w:jc w:val="left"/>
        <w:pageBreakBefore w:val="0"/>
        <w:spacing w:line="360" w:lineRule="auto"/>
        <w:widowControl w:val="off"/>
        <w:rPr>
          <w:rFonts w:ascii="宋体" w:hAnsi="宋体"/>
          <w:color w:val="auto"/>
        </w:rPr>
        <w:outlineLvl w:val="9"/>
      </w:pPr>
      <w:r>
        <w:rPr>
          <w:rFonts w:ascii="宋体" w:hAnsi="宋体"/>
          <w:color w:val="auto"/>
        </w:rPr>
        <w:t xml:space="preserve">4.</w:t>
      </w:r>
      <w:r>
        <w:rPr>
          <w:rFonts w:hint="eastAsia" w:ascii="宋体" w:hAnsi="宋体"/>
          <w:color w:val="auto"/>
        </w:rPr>
        <w:t xml:space="preserve">我方具有履行合同所必需的设备和专业技术能力；</w:t>
      </w:r>
      <w:r/>
    </w:p>
    <w:p>
      <w:pPr>
        <w:ind w:firstLine="420"/>
        <w:pageBreakBefore w:val="0"/>
        <w:spacing w:line="360" w:lineRule="auto"/>
        <w:widowControl w:val="off"/>
        <w:rPr>
          <w:rFonts w:ascii="宋体" w:hAnsi="宋体"/>
          <w:color w:val="auto"/>
          <w:szCs w:val="21"/>
        </w:rPr>
        <w:outlineLvl w:val="9"/>
      </w:pPr>
      <w:r>
        <w:rPr>
          <w:rFonts w:ascii="宋体" w:hAnsi="宋体"/>
          <w:color w:val="auto"/>
          <w:szCs w:val="21"/>
        </w:rPr>
        <w:t xml:space="preserve">5.</w:t>
      </w:r>
      <w:r>
        <w:rPr>
          <w:rFonts w:hint="eastAsia" w:ascii="宋体" w:hAnsi="宋体"/>
          <w:color w:val="auto"/>
          <w:szCs w:val="21"/>
        </w:rPr>
        <w:t xml:space="preserve">我方参加本次政府采购活动前3年内在经营活动中无重大违法记录；</w:t>
      </w:r>
      <w:r/>
    </w:p>
    <w:p>
      <w:pPr>
        <w:ind w:firstLine="420"/>
        <w:pageBreakBefore w:val="0"/>
        <w:spacing w:line="360" w:lineRule="auto"/>
        <w:widowControl w:val="off"/>
        <w:rPr>
          <w:rFonts w:ascii="宋体" w:hAnsi="宋体"/>
          <w:color w:val="auto"/>
          <w:szCs w:val="21"/>
        </w:rPr>
        <w:outlineLvl w:val="9"/>
      </w:pPr>
      <w:r>
        <w:rPr>
          <w:rFonts w:ascii="宋体" w:hAnsi="宋体"/>
          <w:color w:val="auto"/>
          <w:szCs w:val="21"/>
        </w:rPr>
        <w:t xml:space="preserve">6</w:t>
      </w:r>
      <w:r>
        <w:rPr>
          <w:rFonts w:hint="eastAsia" w:ascii="宋体" w:hAnsi="宋体"/>
          <w:color w:val="auto"/>
          <w:szCs w:val="21"/>
        </w:rPr>
        <w:t xml:space="preserve">.</w:t>
      </w:r>
      <w:r>
        <w:rPr>
          <w:rFonts w:ascii="宋体" w:hAnsi="宋体"/>
          <w:color w:val="auto"/>
          <w:szCs w:val="21"/>
        </w:rPr>
        <w:t xml:space="preserve">我方同意按</w:t>
      </w:r>
      <w:r>
        <w:rPr>
          <w:rFonts w:hint="eastAsia" w:ascii="宋体" w:hAnsi="宋体"/>
          <w:color w:val="auto"/>
          <w:szCs w:val="21"/>
        </w:rPr>
        <w:t xml:space="preserve">采购人</w:t>
      </w:r>
      <w:r>
        <w:rPr>
          <w:rFonts w:ascii="宋体" w:hAnsi="宋体"/>
          <w:color w:val="auto"/>
          <w:szCs w:val="21"/>
        </w:rPr>
        <w:t xml:space="preserve">确定的</w:t>
      </w:r>
      <w:r>
        <w:rPr>
          <w:rFonts w:hint="eastAsia" w:ascii="宋体" w:hAnsi="宋体"/>
          <w:color w:val="auto"/>
          <w:szCs w:val="21"/>
        </w:rPr>
        <w:t xml:space="preserve">评审办法，由评标专家进行评审；</w:t>
      </w:r>
      <w:r/>
    </w:p>
    <w:p>
      <w:pPr>
        <w:ind w:firstLine="420"/>
        <w:pageBreakBefore w:val="0"/>
        <w:spacing w:line="360" w:lineRule="auto"/>
        <w:widowControl w:val="off"/>
        <w:rPr>
          <w:rFonts w:ascii="宋体" w:hAnsi="宋体"/>
          <w:color w:val="auto"/>
          <w:szCs w:val="21"/>
        </w:rPr>
        <w:outlineLvl w:val="9"/>
      </w:pPr>
      <w:r>
        <w:rPr>
          <w:rFonts w:ascii="宋体" w:hAnsi="宋体"/>
          <w:color w:val="auto"/>
          <w:szCs w:val="21"/>
        </w:rPr>
        <w:t xml:space="preserve">7.我方同意按</w:t>
      </w:r>
      <w:r>
        <w:rPr>
          <w:rFonts w:hint="eastAsia" w:ascii="宋体" w:hAnsi="宋体"/>
          <w:color w:val="auto"/>
          <w:szCs w:val="21"/>
        </w:rPr>
        <w:t xml:space="preserve">采购</w:t>
      </w:r>
      <w:r>
        <w:rPr>
          <w:rFonts w:ascii="宋体" w:hAnsi="宋体"/>
          <w:color w:val="auto"/>
          <w:szCs w:val="21"/>
        </w:rPr>
        <w:t xml:space="preserve">文件中的规定，</w:t>
      </w:r>
      <w:r>
        <w:rPr>
          <w:rFonts w:hint="eastAsia" w:ascii="宋体" w:hAnsi="宋体"/>
          <w:color w:val="auto"/>
          <w:szCs w:val="21"/>
        </w:rPr>
        <w:t xml:space="preserve">响应文件</w:t>
      </w:r>
      <w:r>
        <w:rPr>
          <w:rFonts w:ascii="宋体" w:hAnsi="宋体"/>
          <w:color w:val="auto"/>
          <w:szCs w:val="21"/>
        </w:rPr>
        <w:t xml:space="preserve">的有效期限为开标后三个月</w:t>
      </w:r>
      <w:r>
        <w:rPr>
          <w:rFonts w:hint="eastAsia" w:ascii="宋体" w:hAnsi="宋体"/>
          <w:color w:val="auto"/>
          <w:szCs w:val="21"/>
        </w:rPr>
        <w:t xml:space="preserve">；</w:t>
      </w:r>
      <w:r/>
    </w:p>
    <w:p>
      <w:pPr>
        <w:ind w:firstLine="420"/>
        <w:pageBreakBefore w:val="0"/>
        <w:spacing w:line="360" w:lineRule="auto"/>
        <w:widowControl w:val="off"/>
        <w:rPr>
          <w:rFonts w:ascii="宋体" w:hAnsi="宋体"/>
          <w:color w:val="auto"/>
          <w:szCs w:val="21"/>
        </w:rPr>
        <w:outlineLvl w:val="9"/>
      </w:pPr>
      <w:r>
        <w:rPr>
          <w:rFonts w:ascii="宋体" w:hAnsi="宋体"/>
          <w:color w:val="auto"/>
        </w:rPr>
        <w:t xml:space="preserve">8.</w:t>
      </w:r>
      <w:r>
        <w:rPr>
          <w:rFonts w:ascii="宋体" w:hAnsi="宋体"/>
          <w:color w:val="auto"/>
          <w:szCs w:val="21"/>
        </w:rPr>
        <w:t xml:space="preserve">我方同意</w:t>
      </w:r>
      <w:r>
        <w:rPr>
          <w:rFonts w:hint="eastAsia" w:ascii="宋体" w:hAnsi="宋体"/>
          <w:color w:val="auto"/>
          <w:szCs w:val="21"/>
        </w:rPr>
        <w:t xml:space="preserve">采购人</w:t>
      </w:r>
      <w:r>
        <w:rPr>
          <w:rFonts w:ascii="宋体" w:hAnsi="宋体"/>
          <w:color w:val="auto"/>
          <w:szCs w:val="21"/>
        </w:rPr>
        <w:t xml:space="preserve">关于违约责任的认定方式和对违约责任的处罚；在</w:t>
      </w:r>
      <w:r>
        <w:rPr>
          <w:rFonts w:hint="eastAsia" w:ascii="宋体" w:hAnsi="宋体"/>
          <w:color w:val="auto"/>
          <w:szCs w:val="21"/>
        </w:rPr>
        <w:t xml:space="preserve">履约</w:t>
      </w:r>
      <w:r>
        <w:rPr>
          <w:rFonts w:ascii="宋体" w:hAnsi="宋体"/>
          <w:color w:val="auto"/>
          <w:szCs w:val="21"/>
        </w:rPr>
        <w:t xml:space="preserve">过程中，如我方违约，我方愿意承担相应违约责任</w:t>
      </w:r>
      <w:r>
        <w:rPr>
          <w:rFonts w:hint="eastAsia" w:ascii="宋体" w:hAnsi="宋体"/>
          <w:color w:val="auto"/>
          <w:szCs w:val="21"/>
        </w:rPr>
        <w:t xml:space="preserve">。</w:t>
      </w:r>
      <w:r/>
    </w:p>
    <w:p>
      <w:pPr>
        <w:ind w:firstLine="420"/>
        <w:pageBreakBefore w:val="0"/>
        <w:spacing w:line="360" w:lineRule="auto"/>
        <w:widowControl w:val="off"/>
        <w:rPr>
          <w:rFonts w:ascii="宋体" w:hAnsi="宋体"/>
          <w:color w:val="auto"/>
        </w:rPr>
        <w:outlineLvl w:val="9"/>
      </w:pPr>
      <w:r>
        <w:rPr>
          <w:rFonts w:ascii="宋体" w:hAnsi="宋体"/>
          <w:color w:val="auto"/>
        </w:rPr>
        <w:t xml:space="preserve">9.</w:t>
      </w:r>
      <w:r>
        <w:rPr>
          <w:rFonts w:hint="eastAsia" w:ascii="宋体" w:hAnsi="宋体"/>
          <w:color w:val="auto"/>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pageBreakBefore w:val="0"/>
        <w:spacing w:line="360" w:lineRule="auto"/>
        <w:widowControl w:val="off"/>
        <w:rPr>
          <w:rFonts w:hint="eastAsia" w:ascii="宋体" w:hAnsi="宋体"/>
          <w:color w:val="auto"/>
        </w:rPr>
        <w:outlineLvl w:val="9"/>
      </w:pPr>
      <w:r>
        <w:rPr>
          <w:rFonts w:ascii="宋体" w:hAnsi="宋体"/>
          <w:color w:val="auto"/>
          <w:szCs w:val="21"/>
        </w:rPr>
        <w:t xml:space="preserve">10</w:t>
      </w:r>
      <w:r>
        <w:rPr>
          <w:rFonts w:hint="eastAsia" w:ascii="宋体" w:hAnsi="宋体"/>
          <w:color w:val="auto"/>
          <w:szCs w:val="21"/>
        </w:rPr>
        <w:t xml:space="preserve">.</w:t>
      </w:r>
      <w:r>
        <w:rPr>
          <w:rFonts w:hint="eastAsia" w:ascii="宋体" w:hAnsi="宋体"/>
          <w:color w:val="auto"/>
        </w:rPr>
        <w:t xml:space="preserve">我方知晓上述行为的法律后果，并认可本承诺函作为采购人要求我方履行违约赔偿的依据。</w:t>
      </w:r>
      <w:r/>
    </w:p>
    <w:p>
      <w:pPr>
        <w:pStyle w:val="1115"/>
        <w:pageBreakBefore w:val="0"/>
        <w:widowControl w:val="off"/>
        <w:rPr>
          <w:color w:val="auto"/>
        </w:rPr>
        <w:outlineLvl w:val="9"/>
      </w:pPr>
      <w:r>
        <w:rPr>
          <w:color w:val="auto"/>
        </w:rPr>
      </w:r>
      <w:r/>
    </w:p>
    <w:p>
      <w:pPr>
        <w:jc w:val="right"/>
        <w:pageBreakBefore w:val="0"/>
        <w:spacing w:line="360" w:lineRule="auto"/>
        <w:widowControl w:val="off"/>
        <w:rPr>
          <w:rFonts w:ascii="宋体" w:hAnsi="宋体"/>
          <w:color w:val="auto"/>
          <w:szCs w:val="21"/>
        </w:rPr>
        <w:outlineLvl w:val="9"/>
      </w:pPr>
      <w:r>
        <w:rPr>
          <w:rFonts w:ascii="宋体" w:hAnsi="宋体"/>
          <w:color w:val="auto"/>
          <w:szCs w:val="21"/>
        </w:rPr>
        <w:t xml:space="preserve">供应商：（</w:t>
      </w:r>
      <w:r>
        <w:rPr>
          <w:color w:val="auto"/>
        </w:rPr>
        <w:t xml:space="preserve">加盖</w:t>
      </w:r>
      <w:r>
        <w:rPr>
          <w:rFonts w:hint="eastAsia"/>
          <w:color w:val="auto"/>
        </w:rPr>
        <w:t xml:space="preserve">公章</w:t>
      </w:r>
      <w:r>
        <w:rPr>
          <w:rFonts w:ascii="宋体" w:hAnsi="宋体"/>
          <w:color w:val="auto"/>
          <w:szCs w:val="21"/>
        </w:rPr>
        <w:t xml:space="preserve">）</w:t>
      </w:r>
      <w:r/>
    </w:p>
    <w:p>
      <w:pPr>
        <w:jc w:val="right"/>
        <w:pageBreakBefore w:val="0"/>
        <w:spacing w:line="360" w:lineRule="auto"/>
        <w:widowControl w:val="off"/>
        <w:rPr>
          <w:rFonts w:ascii="宋体" w:hAnsi="宋体"/>
          <w:color w:val="auto"/>
          <w:szCs w:val="21"/>
        </w:rPr>
        <w:sectPr>
          <w:footnotePr/>
          <w:endnotePr/>
          <w:type w:val="nextPage"/>
          <w:pgSz w:w="11906" w:h="16838" w:orient="portrait"/>
          <w:pgMar w:top="1134" w:right="1134" w:bottom="1134" w:left="1134" w:header="851" w:footer="680" w:gutter="0"/>
          <w:cols w:num="1" w:sep="0" w:space="1701" w:equalWidth="1"/>
          <w:docGrid w:linePitch="360"/>
        </w:sectPr>
        <w:outlineLvl w:val="9"/>
      </w:pPr>
      <w:r>
        <w:rPr>
          <w:rFonts w:hint="eastAsia" w:ascii="宋体" w:hAnsi="宋体"/>
          <w:color w:val="auto"/>
          <w:szCs w:val="21"/>
        </w:rPr>
        <w:t xml:space="preserve">日期：    </w:t>
      </w:r>
      <w:r>
        <w:rPr>
          <w:rFonts w:ascii="宋体" w:hAnsi="宋体"/>
          <w:color w:val="auto"/>
          <w:szCs w:val="21"/>
        </w:rPr>
        <w:t xml:space="preserve">年</w:t>
      </w:r>
      <w:r>
        <w:rPr>
          <w:rFonts w:hint="eastAsia" w:ascii="宋体" w:hAnsi="宋体"/>
          <w:color w:val="auto"/>
          <w:szCs w:val="21"/>
        </w:rPr>
        <w:t xml:space="preserve"> </w:t>
      </w:r>
      <w:r>
        <w:rPr>
          <w:rFonts w:ascii="宋体" w:hAnsi="宋体"/>
          <w:color w:val="auto"/>
          <w:szCs w:val="21"/>
        </w:rPr>
        <w:t xml:space="preserve"> 月</w:t>
      </w:r>
      <w:r>
        <w:rPr>
          <w:rFonts w:hint="eastAsia" w:ascii="宋体" w:hAnsi="宋体"/>
          <w:color w:val="auto"/>
          <w:szCs w:val="21"/>
        </w:rPr>
        <w:t xml:space="preserve"> </w:t>
      </w:r>
      <w:r>
        <w:rPr>
          <w:rFonts w:ascii="宋体" w:hAnsi="宋体"/>
          <w:color w:val="auto"/>
          <w:szCs w:val="21"/>
        </w:rPr>
        <w:t xml:space="preserve"> 日</w:t>
      </w:r>
      <w:bookmarkStart w:id="57" w:name="_Toc161126691"/>
      <w:r/>
      <w:bookmarkStart w:id="58" w:name="_Toc161067519"/>
      <w:r/>
      <w:r/>
    </w:p>
    <w:p>
      <w:pPr>
        <w:pStyle w:val="1043"/>
        <w:keepLines/>
        <w:keepNext/>
        <w:pageBreakBefore w:val="0"/>
        <w:spacing w:before="0" w:after="0" w:line="360" w:lineRule="auto"/>
        <w:widowControl w:val="off"/>
        <w:rPr>
          <w:rFonts w:ascii="宋体" w:hAnsi="宋体" w:eastAsia="宋体"/>
          <w:color w:val="auto"/>
          <w:sz w:val="24"/>
          <w:szCs w:val="24"/>
          <w:lang w:val="zh-CN"/>
        </w:rPr>
        <w:outlineLvl w:val="9"/>
      </w:pPr>
      <w:r/>
      <w:bookmarkStart w:id="59" w:name="_Toc166338839"/>
      <w:r>
        <w:rPr>
          <w:rFonts w:hint="eastAsia" w:ascii="宋体" w:hAnsi="宋体" w:eastAsia="宋体"/>
          <w:color w:val="auto"/>
          <w:sz w:val="24"/>
          <w:szCs w:val="24"/>
          <w:lang w:val="zh-CN"/>
        </w:rPr>
        <w:t xml:space="preserve">三、</w:t>
      </w:r>
      <w:r>
        <w:rPr>
          <w:rFonts w:ascii="宋体" w:hAnsi="宋体" w:eastAsia="宋体"/>
          <w:color w:val="auto"/>
          <w:sz w:val="24"/>
          <w:szCs w:val="24"/>
          <w:lang w:val="zh-CN"/>
        </w:rPr>
        <w:t xml:space="preserve">中小企业声明函</w:t>
      </w:r>
      <w:bookmarkEnd w:id="57"/>
      <w:r/>
      <w:bookmarkEnd w:id="58"/>
      <w:r/>
      <w:bookmarkEnd w:id="59"/>
      <w:r/>
      <w:r/>
    </w:p>
    <w:p>
      <w:pPr>
        <w:jc w:val="center"/>
        <w:keepLines w:val="0"/>
        <w:keepNext w:val="0"/>
        <w:pageBreakBefore w:val="0"/>
        <w:spacing w:line="360" w:lineRule="auto"/>
        <w:rPr>
          <w:color w:val="auto"/>
          <w:sz w:val="24"/>
        </w:rPr>
        <w:outlineLvl w:val="9"/>
      </w:pPr>
      <w:r>
        <w:rPr>
          <w:rFonts w:hint="eastAsia"/>
          <w:color w:val="auto"/>
          <w:sz w:val="24"/>
        </w:rPr>
        <w:t xml:space="preserve">中小企业声明函</w:t>
      </w:r>
      <w:r/>
    </w:p>
    <w:p>
      <w:pPr>
        <w:pStyle w:val="1322"/>
        <w:ind w:firstLine="359"/>
        <w:keepLines w:val="0"/>
        <w:keepNext w:val="0"/>
        <w:pageBreakBefore w:val="0"/>
        <w:spacing w:line="360" w:lineRule="auto"/>
        <w:rPr>
          <w:rFonts w:hAnsi="宋体" w:eastAsia="宋体"/>
          <w:color w:val="auto"/>
          <w:sz w:val="21"/>
          <w:szCs w:val="21"/>
        </w:rPr>
        <w:outlineLvl w:val="9"/>
      </w:pPr>
      <w:r>
        <w:rPr>
          <w:rFonts w:hAnsi="宋体" w:eastAsia="宋体"/>
          <w:color w:val="auto"/>
          <w:sz w:val="21"/>
          <w:szCs w:val="21"/>
        </w:rPr>
        <w:t xml:space="preserve">本公司（联合体）郑重声明，根据《政府采购促进中小企业发展管理办法》（财库[2020]46号）的规定，本公司参加</w:t>
      </w:r>
      <w:r>
        <w:rPr>
          <w:rFonts w:hAnsi="宋体" w:eastAsia="宋体"/>
          <w:i/>
          <w:iCs/>
          <w:color w:val="auto"/>
          <w:sz w:val="21"/>
          <w:szCs w:val="21"/>
          <w:u w:val="single"/>
        </w:rPr>
        <w:t xml:space="preserve">（单位名称）</w:t>
      </w:r>
      <w:r>
        <w:rPr>
          <w:rFonts w:hAnsi="宋体" w:eastAsia="宋体"/>
          <w:color w:val="auto"/>
          <w:sz w:val="21"/>
          <w:szCs w:val="21"/>
          <w:u w:val="single"/>
        </w:rPr>
        <w:t xml:space="preserve">的</w:t>
      </w:r>
      <w:r>
        <w:rPr>
          <w:rFonts w:hAnsi="宋体" w:eastAsia="宋体"/>
          <w:i/>
          <w:iCs/>
          <w:color w:val="auto"/>
          <w:sz w:val="21"/>
          <w:szCs w:val="21"/>
          <w:u w:val="single"/>
        </w:rPr>
        <w:t xml:space="preserve">（项目名称）</w:t>
      </w:r>
      <w:r>
        <w:rPr>
          <w:rFonts w:hAnsi="宋体" w:eastAsia="宋体"/>
          <w:color w:val="auto"/>
          <w:sz w:val="21"/>
          <w:szCs w:val="21"/>
        </w:rPr>
        <w:t xml:space="preserve">采购活动，服务全部由符合政策要求的中小企业承接。相关企业（含联合体中的中小企业、签订分包意向协议的中小企业）的具体情况如下： </w:t>
      </w:r>
      <w:r/>
    </w:p>
    <w:p>
      <w:pPr>
        <w:ind w:firstLine="359"/>
        <w:keepLines w:val="0"/>
        <w:keepNext w:val="0"/>
        <w:pageBreakBefore w:val="0"/>
        <w:spacing w:line="360" w:lineRule="auto"/>
        <w:rPr>
          <w:color w:val="auto"/>
        </w:rPr>
        <w:outlineLvl w:val="9"/>
      </w:pPr>
      <w:r>
        <w:rPr>
          <w:rFonts w:ascii="宋体" w:hAnsi="宋体"/>
          <w:color w:val="auto"/>
          <w:szCs w:val="21"/>
        </w:rPr>
        <w:t xml:space="preserve">1.</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359"/>
        <w:keepLines w:val="0"/>
        <w:keepNext w:val="0"/>
        <w:pageBreakBefore w:val="0"/>
        <w:spacing w:line="360" w:lineRule="auto"/>
        <w:rPr>
          <w:color w:val="auto"/>
        </w:rPr>
        <w:outlineLvl w:val="9"/>
      </w:pPr>
      <w:r>
        <w:rPr>
          <w:rFonts w:ascii="宋体" w:hAnsi="宋体"/>
          <w:color w:val="auto"/>
          <w:szCs w:val="21"/>
        </w:rPr>
        <w:t xml:space="preserve">2.</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359"/>
        <w:keepLines w:val="0"/>
        <w:keepNext w:val="0"/>
        <w:pageBreakBefore w:val="0"/>
        <w:spacing w:line="360" w:lineRule="auto"/>
        <w:rPr>
          <w:color w:val="auto"/>
        </w:rPr>
        <w:outlineLvl w:val="9"/>
      </w:pPr>
      <w:r>
        <w:rPr>
          <w:rFonts w:hint="eastAsia"/>
          <w:color w:val="auto"/>
        </w:rPr>
        <w:t xml:space="preserve">……</w:t>
      </w:r>
      <w:r/>
    </w:p>
    <w:p>
      <w:pPr>
        <w:pStyle w:val="1322"/>
        <w:ind w:firstLine="359"/>
        <w:keepLines w:val="0"/>
        <w:keepNext w:val="0"/>
        <w:pageBreakBefore w:val="0"/>
        <w:spacing w:line="360" w:lineRule="auto"/>
        <w:rPr>
          <w:rFonts w:hAnsi="宋体" w:eastAsia="宋体"/>
          <w:color w:val="auto"/>
          <w:sz w:val="21"/>
          <w:szCs w:val="21"/>
        </w:rPr>
        <w:outlineLvl w:val="9"/>
      </w:pPr>
      <w:r>
        <w:rPr>
          <w:rFonts w:hAnsi="宋体" w:eastAsia="宋体"/>
          <w:color w:val="auto"/>
          <w:sz w:val="21"/>
          <w:szCs w:val="21"/>
        </w:rPr>
        <w:t xml:space="preserve">以上企业，不属于大企业的分支机构，不存在控股股东为大企业的情形，也不存在与大企业的负责人为同一人的情形。</w:t>
      </w:r>
      <w:r/>
    </w:p>
    <w:p>
      <w:pPr>
        <w:ind w:firstLine="359"/>
        <w:jc w:val="left"/>
        <w:keepLines w:val="0"/>
        <w:keepNext w:val="0"/>
        <w:pageBreakBefore w:val="0"/>
        <w:spacing w:before="100" w:beforeAutospacing="1" w:after="100" w:afterAutospacing="1" w:line="360" w:lineRule="auto"/>
        <w:shd w:val="clear" w:color="auto" w:fill="ffffff"/>
        <w:widowControl/>
        <w:rPr>
          <w:rFonts w:ascii="Arial" w:hAnsi="Arial" w:cs="Arial"/>
          <w:color w:val="auto"/>
          <w:szCs w:val="21"/>
        </w:rPr>
        <w:outlineLvl w:val="9"/>
      </w:pPr>
      <w:r>
        <w:rPr>
          <w:rFonts w:hAnsi="宋体"/>
          <w:color w:val="auto"/>
          <w:szCs w:val="21"/>
        </w:rPr>
        <w:t xml:space="preserve">本企业对上述声明内容的真实性负责。如有虚假，将依法承担相应责任</w:t>
      </w:r>
      <w:r>
        <w:rPr>
          <w:rFonts w:hint="eastAsia" w:ascii="宋体" w:hAnsi="宋体" w:cs="Arial"/>
          <w:color w:val="auto"/>
          <w:szCs w:val="21"/>
        </w:rPr>
        <w:t xml:space="preserve">。</w:t>
      </w:r>
      <w:r/>
    </w:p>
    <w:p>
      <w:pPr>
        <w:ind w:firstLine="359"/>
        <w:jc w:val="left"/>
        <w:keepLines w:val="0"/>
        <w:keepNext w:val="0"/>
        <w:pageBreakBefore w:val="0"/>
        <w:spacing w:before="100" w:beforeAutospacing="1" w:after="100" w:afterAutospacing="1" w:line="360" w:lineRule="auto"/>
        <w:shd w:val="clear" w:color="auto" w:fill="ffffff"/>
        <w:widowControl/>
        <w:rPr>
          <w:rFonts w:ascii="Arial" w:hAnsi="Arial" w:cs="Arial"/>
          <w:color w:val="auto"/>
          <w:szCs w:val="21"/>
        </w:rPr>
        <w:outlineLvl w:val="9"/>
      </w:pPr>
      <w:r>
        <w:rPr>
          <w:rFonts w:hint="eastAsia" w:ascii="宋体" w:hAnsi="宋体" w:cs="Arial"/>
          <w:color w:val="auto"/>
          <w:szCs w:val="21"/>
        </w:rPr>
        <w:t xml:space="preserve"> </w:t>
      </w:r>
      <w:r/>
    </w:p>
    <w:p>
      <w:pPr>
        <w:ind w:firstLine="359"/>
        <w:jc w:val="right"/>
        <w:keepLines w:val="0"/>
        <w:keepNext w:val="0"/>
        <w:pageBreakBefore w:val="0"/>
        <w:spacing w:before="100" w:beforeAutospacing="1" w:after="100" w:afterAutospacing="1" w:line="360" w:lineRule="auto"/>
        <w:shd w:val="clear" w:color="auto" w:fill="ffffff"/>
        <w:widowControl/>
        <w:rPr>
          <w:rFonts w:ascii="Arial" w:hAnsi="Arial" w:cs="Arial"/>
          <w:color w:val="auto"/>
          <w:szCs w:val="21"/>
        </w:rPr>
        <w:outlineLvl w:val="9"/>
      </w:pPr>
      <w:r>
        <w:rPr>
          <w:rFonts w:hint="eastAsia" w:ascii="宋体" w:hAnsi="宋体" w:cs="Arial"/>
          <w:color w:val="auto"/>
          <w:szCs w:val="21"/>
        </w:rPr>
        <w:t xml:space="preserve">企业名称（盖章）：</w:t>
      </w:r>
      <w:r/>
    </w:p>
    <w:p>
      <w:pPr>
        <w:ind w:firstLine="359"/>
        <w:jc w:val="right"/>
        <w:keepLines w:val="0"/>
        <w:keepNext w:val="0"/>
        <w:pageBreakBefore w:val="0"/>
        <w:spacing w:before="100" w:beforeAutospacing="1" w:after="100" w:afterAutospacing="1" w:line="360" w:lineRule="auto"/>
        <w:shd w:val="clear" w:color="auto" w:fill="ffffff"/>
        <w:widowControl/>
        <w:rPr>
          <w:rFonts w:ascii="宋体" w:hAnsi="宋体" w:cs="Arial"/>
          <w:color w:val="auto"/>
          <w:szCs w:val="21"/>
        </w:rPr>
        <w:outlineLvl w:val="9"/>
      </w:pPr>
      <w:r>
        <w:rPr>
          <w:rFonts w:hint="eastAsia" w:ascii="宋体" w:hAnsi="宋体" w:cs="Arial"/>
          <w:color w:val="auto"/>
          <w:szCs w:val="21"/>
        </w:rPr>
        <w:t xml:space="preserve">日 期：</w:t>
      </w:r>
      <w:r/>
    </w:p>
    <w:p>
      <w:pPr>
        <w:ind w:firstLine="422"/>
        <w:keepLines w:val="0"/>
        <w:keepNext w:val="0"/>
        <w:pageBreakBefore w:val="0"/>
        <w:spacing w:line="360" w:lineRule="auto"/>
        <w:rPr>
          <w:rFonts w:ascii="宋体" w:hAnsi="宋体" w:cs="宋体"/>
          <w:b/>
          <w:bCs/>
          <w:color w:val="auto"/>
        </w:rPr>
        <w:outlineLvl w:val="9"/>
      </w:pPr>
      <w:r>
        <w:rPr>
          <w:rFonts w:hint="eastAsia" w:ascii="宋体" w:hAnsi="宋体" w:cs="宋体"/>
          <w:b/>
          <w:bCs/>
          <w:color w:val="auto"/>
        </w:rPr>
        <w:t xml:space="preserve">注：</w:t>
      </w:r>
      <w:r/>
    </w:p>
    <w:p>
      <w:pPr>
        <w:numPr>
          <w:ilvl w:val="0"/>
          <w:numId w:val="5"/>
        </w:numPr>
        <w:keepLines w:val="0"/>
        <w:keepNext w:val="0"/>
        <w:pageBreakBefore w:val="0"/>
        <w:spacing w:line="380" w:lineRule="exact"/>
        <w:rPr>
          <w:color w:val="auto"/>
          <w:szCs w:val="21"/>
          <w:lang w:val="zh-CN"/>
        </w:rPr>
        <w:outlineLvl w:val="9"/>
      </w:pPr>
      <w:r>
        <w:rPr>
          <w:color w:val="auto"/>
          <w:szCs w:val="21"/>
          <w:lang w:val="zh-CN"/>
        </w:rPr>
        <w:t xml:space="preserve">从业人员、营业收入、资产总额填报上一年度数据，无上一年度数据的新成立企业可不填报</w:t>
      </w:r>
      <w:r>
        <w:rPr>
          <w:rFonts w:hint="eastAsia"/>
          <w:color w:val="auto"/>
          <w:szCs w:val="21"/>
          <w:lang w:val="zh-CN"/>
        </w:rPr>
        <w:t xml:space="preserve">；</w:t>
      </w:r>
      <w:r/>
    </w:p>
    <w:p>
      <w:pPr>
        <w:numPr>
          <w:ilvl w:val="0"/>
          <w:numId w:val="5"/>
        </w:numPr>
        <w:keepLines w:val="0"/>
        <w:keepNext w:val="0"/>
        <w:pageBreakBefore w:val="0"/>
        <w:spacing w:line="380" w:lineRule="exact"/>
        <w:rPr>
          <w:b/>
          <w:bCs/>
          <w:color w:val="auto"/>
          <w:szCs w:val="21"/>
          <w:lang w:val="zh-CN"/>
        </w:rPr>
        <w:outlineLvl w:val="9"/>
      </w:pPr>
      <w:r>
        <w:rPr>
          <w:rFonts w:hint="eastAsia"/>
          <w:b/>
          <w:bCs/>
          <w:color w:val="auto"/>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numPr>
          <w:ilvl w:val="0"/>
          <w:numId w:val="5"/>
        </w:numPr>
        <w:keepLines w:val="0"/>
        <w:keepNext w:val="0"/>
        <w:pageBreakBefore w:val="0"/>
        <w:spacing w:line="380" w:lineRule="exact"/>
        <w:rPr>
          <w:color w:val="auto"/>
          <w:szCs w:val="21"/>
          <w:lang w:val="zh-CN"/>
        </w:rPr>
        <w:outlineLvl w:val="9"/>
      </w:pPr>
      <w:r>
        <w:rPr>
          <w:color w:val="auto"/>
          <w:szCs w:val="21"/>
          <w:lang w:val="zh-CN"/>
        </w:rPr>
        <w:t xml:space="preserve">若供应商提供的“中小企业声明函”内容不实的，属于提供虚假材料谋取中标、成交，依照《中华人民共和国政府采购法》等国家有关规定追究相应责任</w:t>
      </w:r>
      <w:r>
        <w:rPr>
          <w:rFonts w:hint="eastAsia"/>
          <w:color w:val="auto"/>
          <w:szCs w:val="21"/>
          <w:lang w:val="zh-CN"/>
        </w:rPr>
        <w:t xml:space="preserve">；</w:t>
      </w:r>
      <w:r/>
    </w:p>
    <w:p>
      <w:pPr>
        <w:numPr>
          <w:ilvl w:val="0"/>
          <w:numId w:val="5"/>
        </w:numPr>
        <w:keepLines w:val="0"/>
        <w:keepNext w:val="0"/>
        <w:pageBreakBefore w:val="0"/>
        <w:spacing w:line="380" w:lineRule="exact"/>
        <w:rPr>
          <w:color w:val="auto"/>
          <w:szCs w:val="21"/>
          <w:lang w:val="zh-CN"/>
        </w:rPr>
        <w:outlineLvl w:val="9"/>
      </w:pPr>
      <w:r>
        <w:rPr>
          <w:rFonts w:hint="eastAsia"/>
          <w:color w:val="auto"/>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60" w:name="_Hlk72923453"/>
      <w:r>
        <w:rPr>
          <w:rFonts w:hint="eastAsia"/>
          <w:color w:val="auto"/>
          <w:szCs w:val="21"/>
          <w:lang w:val="zh-CN"/>
        </w:rPr>
        <w:t xml:space="preserve">符合中小企业划分标准的个体工商户，在政府采购活动中视同中小企业</w:t>
      </w:r>
      <w:bookmarkEnd w:id="60"/>
      <w:r>
        <w:rPr>
          <w:rFonts w:hint="eastAsia"/>
          <w:color w:val="auto"/>
          <w:szCs w:val="21"/>
          <w:lang w:val="zh-CN"/>
        </w:rPr>
        <w:t xml:space="preserve">。</w:t>
      </w:r>
      <w:r/>
    </w:p>
    <w:p>
      <w:pPr>
        <w:numPr>
          <w:ilvl w:val="0"/>
          <w:numId w:val="5"/>
        </w:numPr>
        <w:keepLines w:val="0"/>
        <w:keepNext w:val="0"/>
        <w:pageBreakBefore w:val="0"/>
        <w:spacing w:line="380" w:lineRule="exact"/>
        <w:rPr>
          <w:color w:val="auto"/>
          <w:szCs w:val="21"/>
          <w:lang w:val="zh-CN"/>
        </w:rPr>
        <w:outlineLvl w:val="9"/>
      </w:pPr>
      <w:r/>
      <w:bookmarkStart w:id="61" w:name="_Hlk159239877"/>
      <w:r>
        <w:rPr>
          <w:rFonts w:hint="eastAsia" w:ascii="Arial" w:hAnsi="Arial" w:eastAsia="Arial"/>
          <w:color w:val="auto"/>
        </w:rPr>
        <w:t xml:space="preserve">响应文件中的电子签章视为供应商对本声明进行了签署盖章并承担相应责任。</w:t>
      </w:r>
      <w:bookmarkEnd w:id="61"/>
      <w:r>
        <w:rPr>
          <w:rFonts w:hint="eastAsia"/>
          <w:color w:val="auto"/>
          <w:szCs w:val="21"/>
          <w:lang w:val="zh-CN"/>
        </w:rPr>
        <w:t xml:space="preserve"> </w:t>
      </w:r>
      <w:r/>
    </w:p>
    <w:p>
      <w:pPr>
        <w:keepLines w:val="0"/>
        <w:keepNext w:val="0"/>
        <w:pageBreakBefore w:val="0"/>
        <w:spacing w:line="280" w:lineRule="exact"/>
        <w:widowControl w:val="off"/>
        <w:rPr>
          <w:rFonts w:ascii="宋体" w:hAnsi="宋体"/>
          <w:b/>
          <w:color w:val="auto"/>
          <w:sz w:val="20"/>
        </w:rPr>
        <w:outlineLvl w:val="9"/>
      </w:pPr>
      <w:r>
        <w:rPr>
          <w:rFonts w:ascii="宋体" w:hAnsi="宋体"/>
          <w:b/>
          <w:color w:val="auto"/>
          <w:sz w:val="20"/>
        </w:rPr>
        <w:br w:type="page" w:clear="all"/>
      </w:r>
      <w:r>
        <w:rPr>
          <w:rFonts w:hint="eastAsia" w:ascii="宋体" w:hAnsi="宋体"/>
          <w:b/>
          <w:color w:val="auto"/>
          <w:sz w:val="20"/>
        </w:rPr>
        <w:t xml:space="preserve">附：中小企业划型标准规定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（一）农、林、牧、渔业。</w:t>
      </w:r>
      <w:r>
        <w:rPr>
          <w:rFonts w:hint="eastAsia" w:ascii="宋体" w:hAnsi="宋体"/>
          <w:color w:val="auto"/>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（二）工业。</w:t>
      </w:r>
      <w:r>
        <w:rPr>
          <w:rFonts w:hint="eastAsia" w:ascii="宋体" w:hAnsi="宋体"/>
          <w:color w:val="auto"/>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（三）建筑业。</w:t>
      </w:r>
      <w:r>
        <w:rPr>
          <w:rFonts w:hint="eastAsia" w:ascii="宋体" w:hAnsi="宋体"/>
          <w:color w:val="auto"/>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（四）批发业。</w:t>
      </w:r>
      <w:r>
        <w:rPr>
          <w:rFonts w:hint="eastAsia" w:ascii="宋体" w:hAnsi="宋体"/>
          <w:color w:val="auto"/>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（五）零售业。</w:t>
      </w:r>
      <w:r>
        <w:rPr>
          <w:rFonts w:hint="eastAsia" w:ascii="宋体" w:hAnsi="宋体"/>
          <w:color w:val="auto"/>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（六）交通运输业。</w:t>
      </w:r>
      <w:r>
        <w:rPr>
          <w:rFonts w:hint="eastAsia" w:ascii="宋体" w:hAnsi="宋体"/>
          <w:color w:val="auto"/>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（七）仓储业。</w:t>
      </w:r>
      <w:r>
        <w:rPr>
          <w:rFonts w:hint="eastAsia" w:ascii="宋体" w:hAnsi="宋体"/>
          <w:color w:val="auto"/>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（八）邮政业。</w:t>
      </w:r>
      <w:r>
        <w:rPr>
          <w:rFonts w:hint="eastAsia" w:ascii="宋体" w:hAnsi="宋体"/>
          <w:color w:val="auto"/>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（九）住宿业。</w:t>
      </w:r>
      <w:r>
        <w:rPr>
          <w:rFonts w:hint="eastAsia" w:ascii="宋体" w:hAnsi="宋体"/>
          <w:color w:val="auto"/>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（十）餐饮业。</w:t>
      </w:r>
      <w:r>
        <w:rPr>
          <w:rFonts w:hint="eastAsia" w:ascii="宋体" w:hAnsi="宋体"/>
          <w:color w:val="auto"/>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（十一）信息传输业。</w:t>
      </w:r>
      <w:r>
        <w:rPr>
          <w:rFonts w:hint="eastAsia" w:ascii="宋体" w:hAnsi="宋体"/>
          <w:color w:val="auto"/>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（十二）软件和信息技术服务业。</w:t>
      </w:r>
      <w:r>
        <w:rPr>
          <w:rFonts w:hint="eastAsia" w:ascii="宋体" w:hAnsi="宋体"/>
          <w:color w:val="auto"/>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（十三）房地产开发经营。</w:t>
      </w:r>
      <w:r>
        <w:rPr>
          <w:rFonts w:hint="eastAsia" w:ascii="宋体" w:hAnsi="宋体"/>
          <w:color w:val="auto"/>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（十四）</w:t>
      </w:r>
      <w:bookmarkStart w:id="62" w:name="_Hlk130376042"/>
      <w:r>
        <w:rPr>
          <w:rFonts w:hint="eastAsia" w:ascii="宋体" w:hAnsi="宋体"/>
          <w:b/>
          <w:color w:val="auto"/>
          <w:sz w:val="18"/>
          <w:szCs w:val="18"/>
        </w:rPr>
        <w:t xml:space="preserve">物业管理</w:t>
      </w:r>
      <w:bookmarkEnd w:id="62"/>
      <w:r>
        <w:rPr>
          <w:rFonts w:hint="eastAsia" w:ascii="宋体" w:hAnsi="宋体"/>
          <w:b/>
          <w:color w:val="auto"/>
          <w:sz w:val="18"/>
          <w:szCs w:val="18"/>
        </w:rPr>
        <w:t xml:space="preserve">。</w:t>
      </w:r>
      <w:r>
        <w:rPr>
          <w:rFonts w:hint="eastAsia" w:ascii="宋体" w:hAnsi="宋体"/>
          <w:color w:val="auto"/>
          <w:sz w:val="18"/>
          <w:szCs w:val="18"/>
        </w:rPr>
        <w:t xml:space="preserve">从业人员1000人以下或营业收入5000万元以下的为中小微型企业。其中，从业人员</w:t>
      </w:r>
      <w:r/>
    </w:p>
    <w:p>
      <w:pPr>
        <w:keepLines w:val="0"/>
        <w:keepNext w:val="0"/>
        <w:pageBreakBefore w:val="0"/>
        <w:spacing w:line="280" w:lineRule="exact"/>
        <w:widowControl w:val="off"/>
        <w:rPr>
          <w:rFonts w:ascii="宋体" w:hAnsi="宋体"/>
          <w:color w:val="auto"/>
          <w:sz w:val="18"/>
          <w:szCs w:val="18"/>
        </w:rPr>
        <w:outlineLvl w:val="9"/>
      </w:pPr>
      <w:r>
        <w:rPr>
          <w:rFonts w:hint="eastAsia" w:ascii="宋体" w:hAnsi="宋体"/>
          <w:color w:val="auto"/>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keepLines w:val="0"/>
        <w:keepNext w:val="0"/>
        <w:pageBreakBefore w:val="0"/>
        <w:spacing w:line="280" w:lineRule="exact"/>
        <w:widowControl w:val="off"/>
        <w:rPr>
          <w:rFonts w:ascii="宋体" w:hAnsi="宋体"/>
          <w:color w:val="auto"/>
          <w:sz w:val="18"/>
          <w:szCs w:val="18"/>
        </w:rPr>
        <w:outlineLvl w:val="9"/>
      </w:pPr>
      <w:r>
        <w:rPr>
          <w:rFonts w:hint="eastAsia" w:ascii="宋体" w:hAnsi="宋体"/>
          <w:b/>
          <w:color w:val="auto"/>
          <w:sz w:val="18"/>
          <w:szCs w:val="18"/>
        </w:rPr>
        <w:t xml:space="preserve">（十五）租赁和商务服务业。</w:t>
      </w:r>
      <w:r>
        <w:rPr>
          <w:rFonts w:hint="eastAsia" w:ascii="宋体" w:hAnsi="宋体"/>
          <w:color w:val="auto"/>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keepLines w:val="0"/>
        <w:keepNext w:val="0"/>
        <w:pageBreakBefore w:val="0"/>
        <w:spacing w:line="280" w:lineRule="exact"/>
        <w:widowControl w:val="off"/>
        <w:rPr>
          <w:rFonts w:ascii="宋体" w:hAnsi="宋体"/>
          <w:color w:val="auto"/>
          <w:sz w:val="20"/>
        </w:rPr>
        <w:sectPr>
          <w:footnotePr/>
          <w:endnotePr/>
          <w:type w:val="nextPage"/>
          <w:pgSz w:w="11906" w:h="16838" w:orient="portrait"/>
          <w:pgMar w:top="1134" w:right="1134" w:bottom="1134" w:left="1134" w:header="851" w:footer="680" w:gutter="0"/>
          <w:cols w:num="1" w:sep="0" w:space="1701" w:equalWidth="1"/>
          <w:docGrid w:linePitch="360"/>
        </w:sectPr>
        <w:outlineLvl w:val="9"/>
      </w:pPr>
      <w:r>
        <w:rPr>
          <w:rFonts w:hint="eastAsia" w:ascii="宋体" w:hAnsi="宋体"/>
          <w:b/>
          <w:color w:val="auto"/>
          <w:sz w:val="18"/>
          <w:szCs w:val="18"/>
        </w:rPr>
        <w:t xml:space="preserve">（十六）</w:t>
      </w:r>
      <w:bookmarkStart w:id="63" w:name="OLE_LINK7"/>
      <w:r>
        <w:rPr>
          <w:rFonts w:hint="eastAsia" w:ascii="宋体" w:hAnsi="宋体"/>
          <w:b/>
          <w:color w:val="auto"/>
          <w:sz w:val="18"/>
          <w:szCs w:val="18"/>
        </w:rPr>
        <w:t xml:space="preserve">其他未列明行业</w:t>
      </w:r>
      <w:bookmarkEnd w:id="63"/>
      <w:r>
        <w:rPr>
          <w:rFonts w:hint="eastAsia" w:ascii="宋体" w:hAnsi="宋体"/>
          <w:b/>
          <w:color w:val="auto"/>
          <w:sz w:val="18"/>
          <w:szCs w:val="18"/>
        </w:rPr>
        <w:t xml:space="preserve">。</w:t>
      </w:r>
      <w:r>
        <w:rPr>
          <w:rFonts w:hint="eastAsia" w:ascii="宋体" w:hAnsi="宋体"/>
          <w:color w:val="auto"/>
          <w:sz w:val="18"/>
          <w:szCs w:val="18"/>
        </w:rPr>
        <w:t xml:space="preserve">从业人员300人以下的为中小微型企业。其中，从业人员100人及以上的为中型企业；从业人员10人及以上的为小型企业；从业人员10人以下的为微型企业。</w:t>
      </w:r>
      <w:bookmarkStart w:id="64" w:name="_Toc161126692"/>
      <w:r/>
      <w:bookmarkStart w:id="65" w:name="_Toc161067520"/>
      <w:r/>
      <w:r/>
    </w:p>
    <w:p>
      <w:pPr>
        <w:pStyle w:val="1043"/>
        <w:pageBreakBefore w:val="0"/>
        <w:spacing w:before="0" w:after="0" w:line="360" w:lineRule="auto"/>
        <w:widowControl w:val="off"/>
        <w:rPr>
          <w:rFonts w:ascii="宋体" w:hAnsi="宋体" w:eastAsia="宋体"/>
          <w:color w:val="auto"/>
          <w:sz w:val="24"/>
          <w:szCs w:val="24"/>
          <w:lang w:val="zh-CN"/>
        </w:rPr>
        <w:outlineLvl w:val="9"/>
      </w:pPr>
      <w:r/>
      <w:bookmarkStart w:id="66" w:name="_Toc166338840"/>
      <w:r>
        <w:rPr>
          <w:rFonts w:hint="eastAsia" w:ascii="宋体" w:hAnsi="宋体" w:eastAsia="宋体"/>
          <w:color w:val="auto"/>
          <w:sz w:val="24"/>
          <w:szCs w:val="24"/>
          <w:lang w:val="zh-CN"/>
        </w:rPr>
        <w:t xml:space="preserve">四、残疾人福利性单位声明函</w:t>
      </w:r>
      <w:bookmarkEnd w:id="64"/>
      <w:r/>
      <w:bookmarkEnd w:id="65"/>
      <w:r/>
      <w:bookmarkEnd w:id="66"/>
      <w:r/>
      <w:r/>
    </w:p>
    <w:p>
      <w:pPr>
        <w:jc w:val="center"/>
        <w:pageBreakBefore w:val="0"/>
        <w:spacing w:line="360" w:lineRule="auto"/>
        <w:widowControl w:val="off"/>
        <w:rPr>
          <w:rFonts w:hint="eastAsia"/>
          <w:color w:val="auto"/>
          <w:sz w:val="24"/>
        </w:rPr>
        <w:outlineLvl w:val="9"/>
      </w:pPr>
      <w:r>
        <w:rPr>
          <w:rFonts w:hint="eastAsia"/>
          <w:color w:val="auto"/>
          <w:sz w:val="24"/>
        </w:rPr>
        <w:t xml:space="preserve">残疾人福利性单位声明函</w:t>
      </w:r>
      <w:r/>
    </w:p>
    <w:p>
      <w:pPr>
        <w:pStyle w:val="1323"/>
        <w:ind w:firstLine="420"/>
        <w:jc w:val="left"/>
        <w:keepLines w:val="0"/>
        <w:keepNext w:val="0"/>
        <w:pageBreakBefore w:val="0"/>
        <w:spacing w:line="360" w:lineRule="auto"/>
        <w:widowControl w:val="off"/>
        <w:rPr>
          <w:rFonts w:hAnsi="宋体" w:eastAsia="宋体"/>
          <w:color w:val="auto"/>
          <w:sz w:val="21"/>
          <w:szCs w:val="21"/>
        </w:rPr>
        <w:outlineLvl w:val="9"/>
      </w:pPr>
      <w:r>
        <w:rPr>
          <w:rFonts w:hint="eastAsia" w:hAnsi="宋体" w:eastAsia="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z w:val="21"/>
          <w:szCs w:val="21"/>
          <w:u w:val="single"/>
        </w:rPr>
        <w:t xml:space="preserve">       </w:t>
      </w:r>
      <w:r>
        <w:rPr>
          <w:rFonts w:hint="eastAsia" w:hAnsi="宋体" w:eastAsia="宋体"/>
          <w:color w:val="auto"/>
          <w:sz w:val="21"/>
          <w:szCs w:val="21"/>
        </w:rPr>
        <w:t xml:space="preserve">单位的</w:t>
      </w:r>
      <w:r>
        <w:rPr>
          <w:rFonts w:hint="eastAsia" w:hAnsi="宋体" w:eastAsia="宋体"/>
          <w:color w:val="auto"/>
          <w:sz w:val="21"/>
          <w:szCs w:val="21"/>
          <w:u w:val="single"/>
        </w:rPr>
        <w:t xml:space="preserve">      </w:t>
      </w:r>
      <w:r>
        <w:rPr>
          <w:rFonts w:hint="eastAsia" w:hAnsi="宋体" w:eastAsia="宋体"/>
          <w:color w:val="auto"/>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323"/>
        <w:ind w:firstLine="420"/>
        <w:jc w:val="left"/>
        <w:keepLines w:val="0"/>
        <w:keepNext w:val="0"/>
        <w:pageBreakBefore w:val="0"/>
        <w:spacing w:line="360" w:lineRule="auto"/>
        <w:widowControl w:val="off"/>
        <w:rPr>
          <w:rFonts w:hAnsi="宋体" w:eastAsia="宋体"/>
          <w:color w:val="auto"/>
          <w:sz w:val="21"/>
          <w:szCs w:val="21"/>
        </w:rPr>
        <w:outlineLvl w:val="9"/>
      </w:pPr>
      <w:r>
        <w:rPr>
          <w:rFonts w:hint="eastAsia" w:hAnsi="宋体" w:eastAsia="宋体"/>
          <w:color w:val="auto"/>
          <w:sz w:val="21"/>
          <w:szCs w:val="21"/>
        </w:rPr>
        <w:t xml:space="preserve">本单位对上述声明的真实性负责。如有虚假，将依法承担相应责任。</w:t>
      </w:r>
      <w:r/>
    </w:p>
    <w:p>
      <w:pPr>
        <w:keepLines w:val="0"/>
        <w:keepNext w:val="0"/>
        <w:pageBreakBefore w:val="0"/>
        <w:widowControl w:val="off"/>
        <w:rPr>
          <w:color w:val="auto"/>
        </w:rPr>
        <w:outlineLvl w:val="9"/>
      </w:pPr>
      <w:r>
        <w:rPr>
          <w:color w:val="auto"/>
        </w:rPr>
      </w:r>
      <w:r/>
    </w:p>
    <w:p>
      <w:pPr>
        <w:jc w:val="right"/>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 供应商</w:t>
      </w:r>
      <w:r>
        <w:rPr>
          <w:rFonts w:ascii="宋体" w:hAnsi="宋体"/>
          <w:color w:val="auto"/>
        </w:rPr>
        <w:t xml:space="preserve">：（</w:t>
      </w:r>
      <w:r>
        <w:rPr>
          <w:color w:val="auto"/>
        </w:rPr>
        <w:t xml:space="preserve">加盖</w:t>
      </w:r>
      <w:r>
        <w:rPr>
          <w:rFonts w:hint="eastAsia"/>
          <w:color w:val="auto"/>
        </w:rPr>
        <w:t xml:space="preserve">公章</w:t>
      </w:r>
      <w:r>
        <w:rPr>
          <w:rFonts w:ascii="宋体" w:hAnsi="宋体"/>
          <w:color w:val="auto"/>
        </w:rPr>
        <w:t xml:space="preserve">）</w:t>
      </w:r>
      <w:r/>
    </w:p>
    <w:p>
      <w:pPr>
        <w:jc w:val="right"/>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日期：    </w:t>
      </w:r>
      <w:r>
        <w:rPr>
          <w:rFonts w:ascii="宋体" w:hAnsi="宋体"/>
          <w:color w:val="auto"/>
        </w:rPr>
        <w:t xml:space="preserve">年</w:t>
      </w:r>
      <w:r>
        <w:rPr>
          <w:rFonts w:hint="eastAsia" w:ascii="宋体" w:hAnsi="宋体"/>
          <w:color w:val="auto"/>
        </w:rPr>
        <w:t xml:space="preserve"> </w:t>
      </w:r>
      <w:r>
        <w:rPr>
          <w:rFonts w:ascii="宋体" w:hAnsi="宋体"/>
          <w:color w:val="auto"/>
        </w:rPr>
        <w:t xml:space="preserve"> 月</w:t>
      </w:r>
      <w:r>
        <w:rPr>
          <w:rFonts w:hint="eastAsia" w:ascii="宋体" w:hAnsi="宋体"/>
          <w:color w:val="auto"/>
        </w:rPr>
        <w:t xml:space="preserve"> </w:t>
      </w:r>
      <w:r>
        <w:rPr>
          <w:rFonts w:ascii="宋体" w:hAnsi="宋体"/>
          <w:color w:val="auto"/>
        </w:rPr>
        <w:t xml:space="preserve"> 日</w:t>
      </w:r>
      <w:r/>
    </w:p>
    <w:p>
      <w:pPr>
        <w:keepLines w:val="0"/>
        <w:keepNext w:val="0"/>
        <w:pageBreakBefore w:val="0"/>
        <w:spacing w:line="360" w:lineRule="auto"/>
        <w:widowControl w:val="off"/>
        <w:rPr>
          <w:rFonts w:ascii="宋体" w:hAnsi="宋体"/>
          <w:color w:val="auto"/>
          <w:sz w:val="24"/>
          <w:lang w:val="zh-CN"/>
        </w:rPr>
        <w:sectPr>
          <w:footnotePr/>
          <w:endnotePr/>
          <w:type w:val="nextPage"/>
          <w:pgSz w:w="11906" w:h="16838" w:orient="portrait"/>
          <w:pgMar w:top="1134" w:right="1134" w:bottom="1134" w:left="1134" w:header="851" w:footer="680" w:gutter="0"/>
          <w:cols w:num="1" w:sep="0" w:space="1701" w:equalWidth="1"/>
          <w:docGrid w:linePitch="360"/>
        </w:sectPr>
        <w:outlineLvl w:val="9"/>
      </w:pPr>
      <w:r/>
      <w:bookmarkStart w:id="67" w:name="_Toc62807514"/>
      <w:r/>
      <w:bookmarkStart w:id="68" w:name="_Ref33617535"/>
      <w:r/>
      <w:bookmarkStart w:id="69" w:name="_Toc161067521"/>
      <w:r/>
      <w:r/>
    </w:p>
    <w:p>
      <w:pPr>
        <w:pStyle w:val="1043"/>
        <w:keepLines/>
        <w:keepNext/>
        <w:pageBreakBefore w:val="0"/>
        <w:spacing w:before="0" w:after="0" w:line="360" w:lineRule="auto"/>
        <w:widowControl w:val="off"/>
        <w:rPr>
          <w:rFonts w:ascii="宋体" w:hAnsi="宋体" w:eastAsia="宋体"/>
          <w:color w:val="auto"/>
          <w:sz w:val="24"/>
          <w:szCs w:val="24"/>
          <w:lang w:val="zh-CN"/>
        </w:rPr>
        <w:outlineLvl w:val="9"/>
      </w:pPr>
      <w:r/>
      <w:bookmarkStart w:id="70" w:name="_Toc161126693"/>
      <w:r/>
      <w:bookmarkStart w:id="71" w:name="_Toc166338841"/>
      <w:r>
        <w:rPr>
          <w:rFonts w:hint="eastAsia" w:ascii="宋体" w:hAnsi="宋体" w:eastAsia="宋体"/>
          <w:color w:val="auto"/>
          <w:sz w:val="24"/>
          <w:szCs w:val="24"/>
          <w:lang w:val="zh-CN"/>
        </w:rPr>
        <w:t xml:space="preserve">五、</w:t>
      </w:r>
      <w:r>
        <w:rPr>
          <w:rFonts w:ascii="宋体" w:hAnsi="宋体" w:eastAsia="宋体"/>
          <w:color w:val="auto"/>
          <w:sz w:val="24"/>
          <w:szCs w:val="24"/>
          <w:lang w:val="zh-CN"/>
        </w:rPr>
        <w:t xml:space="preserve">法定代表人授权委托书</w:t>
      </w:r>
      <w:bookmarkEnd w:id="67"/>
      <w:r/>
      <w:bookmarkEnd w:id="68"/>
      <w:r/>
      <w:bookmarkEnd w:id="69"/>
      <w:r/>
      <w:bookmarkEnd w:id="70"/>
      <w:r/>
      <w:bookmarkEnd w:id="71"/>
      <w:r/>
      <w:r/>
    </w:p>
    <w:p>
      <w:pPr>
        <w:jc w:val="center"/>
        <w:keepLines w:val="0"/>
        <w:keepNext w:val="0"/>
        <w:pageBreakBefore w:val="0"/>
        <w:spacing w:line="360" w:lineRule="auto"/>
        <w:widowControl w:val="off"/>
        <w:rPr>
          <w:rFonts w:hint="eastAsia"/>
          <w:color w:val="auto"/>
          <w:sz w:val="24"/>
        </w:rPr>
        <w:outlineLvl w:val="9"/>
      </w:pPr>
      <w:r>
        <w:rPr>
          <w:rFonts w:hint="eastAsia"/>
          <w:color w:val="auto"/>
          <w:sz w:val="24"/>
        </w:rPr>
        <w:t xml:space="preserve">法定代表人授权委托书</w:t>
      </w:r>
      <w:r/>
    </w:p>
    <w:p>
      <w:pPr>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lang w:eastAsia="zh-CN"/>
        </w:rPr>
        <w:t xml:space="preserve">苏州立诚建设管理咨询有限公司</w:t>
      </w:r>
      <w:r>
        <w:rPr>
          <w:rFonts w:hint="eastAsia" w:ascii="宋体" w:hAnsi="宋体"/>
          <w:color w:val="auto"/>
          <w:szCs w:val="21"/>
        </w:rPr>
        <w:t xml:space="preserve">：</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本授权委托书声明：我</w:t>
      </w:r>
      <w:r>
        <w:rPr>
          <w:rFonts w:hint="eastAsia" w:ascii="宋体" w:hAnsi="宋体"/>
          <w:i/>
          <w:iCs/>
          <w:color w:val="auto"/>
          <w:szCs w:val="21"/>
          <w:u w:val="single"/>
        </w:rPr>
        <w:t xml:space="preserve">（法定代表人姓名） </w:t>
      </w:r>
      <w:r>
        <w:rPr>
          <w:rFonts w:hint="eastAsia" w:ascii="宋体" w:hAnsi="宋体"/>
          <w:color w:val="auto"/>
          <w:szCs w:val="21"/>
        </w:rPr>
        <w:t xml:space="preserve">系</w:t>
      </w:r>
      <w:r>
        <w:rPr>
          <w:rFonts w:hint="eastAsia" w:ascii="宋体" w:hAnsi="宋体"/>
          <w:i/>
          <w:iCs/>
          <w:color w:val="auto"/>
          <w:szCs w:val="21"/>
          <w:u w:val="single"/>
        </w:rPr>
        <w:t xml:space="preserve">（公司名称） </w:t>
      </w:r>
      <w:r>
        <w:rPr>
          <w:rFonts w:hint="eastAsia" w:ascii="宋体" w:hAnsi="宋体"/>
          <w:color w:val="auto"/>
          <w:szCs w:val="21"/>
        </w:rPr>
        <w:t xml:space="preserve">的法定代表人，现授权委托</w:t>
      </w:r>
      <w:bookmarkStart w:id="72" w:name="OLE_LINK10"/>
      <w:r>
        <w:rPr>
          <w:rFonts w:hint="eastAsia" w:ascii="宋体" w:hAnsi="宋体"/>
          <w:i/>
          <w:iCs/>
          <w:color w:val="auto"/>
          <w:szCs w:val="21"/>
          <w:u w:val="single"/>
        </w:rPr>
        <w:t xml:space="preserve">（代理人姓名）</w:t>
      </w:r>
      <w:bookmarkEnd w:id="72"/>
      <w:r>
        <w:rPr>
          <w:rFonts w:hint="eastAsia" w:ascii="宋体" w:hAnsi="宋体"/>
          <w:color w:val="auto"/>
          <w:szCs w:val="21"/>
        </w:rPr>
        <w:t xml:space="preserve">代表我公司参加贵司组织实施的项目编号为</w:t>
      </w:r>
      <w:r>
        <w:rPr>
          <w:rFonts w:hint="eastAsia" w:ascii="宋体" w:hAnsi="宋体"/>
          <w:i/>
          <w:iCs/>
          <w:color w:val="auto"/>
          <w:szCs w:val="21"/>
          <w:u w:val="single"/>
        </w:rPr>
        <w:t xml:space="preserve">（招标编号）</w:t>
      </w:r>
      <w:r>
        <w:rPr>
          <w:rFonts w:hint="eastAsia" w:ascii="宋体" w:hAnsi="宋体"/>
          <w:color w:val="auto"/>
          <w:szCs w:val="21"/>
        </w:rPr>
        <w:t xml:space="preserve">号的采购活动。代理人在开标、谈判、签约等过程中所签署的一切文件和处理与这有关的一切事务，我均予以承认。</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本授权委托书自响应开始至合同履行完毕止。</w:t>
      </w:r>
      <w:r/>
    </w:p>
    <w:p>
      <w:pPr>
        <w:keepLines w:val="0"/>
        <w:keepNext w:val="0"/>
        <w:pageBreakBefore w:val="0"/>
        <w:widowControl w:val="off"/>
        <w:rPr>
          <w:color w:val="auto"/>
        </w:rPr>
        <w:outlineLvl w:val="9"/>
      </w:pPr>
      <w:r>
        <w:rPr>
          <w:color w:val="auto"/>
        </w:rPr>
      </w:r>
      <w:r/>
    </w:p>
    <w:p>
      <w:pPr>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代理人：                            职务：</w:t>
      </w:r>
      <w:r/>
    </w:p>
    <w:p>
      <w:pPr>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身份证号码：                        联系电话：</w:t>
      </w:r>
      <w:r/>
    </w:p>
    <w:p>
      <w:pPr>
        <w:keepLines w:val="0"/>
        <w:keepNext w:val="0"/>
        <w:pageBreakBefore w:val="0"/>
        <w:widowControl w:val="off"/>
        <w:rPr>
          <w:color w:val="auto"/>
        </w:rPr>
        <w:outlineLvl w:val="9"/>
      </w:pPr>
      <w:r>
        <w:rPr>
          <w:color w:val="auto"/>
        </w:rPr>
      </w:r>
      <w:r/>
    </w:p>
    <w:p>
      <w:pPr>
        <w:keepLines w:val="0"/>
        <w:keepNext w:val="0"/>
        <w:pageBreakBefore w:val="0"/>
        <w:widowControl w:val="off"/>
        <w:rPr>
          <w:color w:val="auto"/>
        </w:rPr>
        <w:outlineLvl w:val="9"/>
      </w:pPr>
      <w:r>
        <w:rPr>
          <w:color w:val="auto"/>
        </w:rPr>
      </w:r>
      <w:r/>
    </w:p>
    <w:p>
      <w:pPr>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代理人签章：                        法定代表人签章：</w:t>
      </w:r>
      <w:r/>
    </w:p>
    <w:p>
      <w:pPr>
        <w:keepLines w:val="0"/>
        <w:keepNext w:val="0"/>
        <w:pageBreakBefore w:val="0"/>
        <w:widowControl w:val="off"/>
        <w:rPr>
          <w:color w:val="auto"/>
        </w:rPr>
        <w:outlineLvl w:val="9"/>
      </w:pPr>
      <w:r>
        <w:rPr>
          <w:color w:val="auto"/>
        </w:rPr>
      </w:r>
      <w:r/>
    </w:p>
    <w:p>
      <w:pPr>
        <w:keepLines w:val="0"/>
        <w:keepNext w:val="0"/>
        <w:pageBreakBefore w:val="0"/>
        <w:widowControl w:val="off"/>
        <w:rPr>
          <w:color w:val="auto"/>
        </w:rPr>
        <w:outlineLvl w:val="9"/>
      </w:pPr>
      <w:r>
        <w:rPr>
          <w:color w:val="auto"/>
        </w:rPr>
      </w:r>
      <w:r/>
    </w:p>
    <w:p>
      <w:pPr>
        <w:jc w:val="right"/>
        <w:keepLines w:val="0"/>
        <w:keepNext w:val="0"/>
        <w:pageBreakBefore w:val="0"/>
        <w:spacing w:line="360" w:lineRule="auto"/>
        <w:widowControl w:val="off"/>
        <w:rPr>
          <w:color w:val="auto"/>
        </w:rPr>
        <w:outlineLvl w:val="9"/>
      </w:pPr>
      <w:r>
        <w:rPr>
          <w:rFonts w:hint="eastAsia"/>
          <w:color w:val="auto"/>
        </w:rPr>
        <w:t xml:space="preserve"> 供应商</w:t>
      </w:r>
      <w:r>
        <w:rPr>
          <w:color w:val="auto"/>
        </w:rPr>
        <w:t xml:space="preserve">：（加盖</w:t>
      </w:r>
      <w:r>
        <w:rPr>
          <w:rFonts w:hint="eastAsia"/>
          <w:color w:val="auto"/>
        </w:rPr>
        <w:t xml:space="preserve">公章</w:t>
      </w:r>
      <w:r>
        <w:rPr>
          <w:color w:val="auto"/>
        </w:rPr>
        <w:t xml:space="preserve">）</w:t>
      </w:r>
      <w:r/>
    </w:p>
    <w:p>
      <w:pPr>
        <w:jc w:val="right"/>
        <w:keepLines w:val="0"/>
        <w:keepNext w:val="0"/>
        <w:pageBreakBefore w:val="0"/>
        <w:spacing w:line="360" w:lineRule="auto"/>
        <w:widowControl w:val="off"/>
        <w:rPr>
          <w:color w:val="auto"/>
        </w:rPr>
        <w:outlineLvl w:val="9"/>
      </w:pPr>
      <w:r>
        <w:rPr>
          <w:rFonts w:hint="eastAsia"/>
          <w:color w:val="auto"/>
        </w:rPr>
        <w:t xml:space="preserve">日期：    </w:t>
      </w:r>
      <w:r>
        <w:rPr>
          <w:color w:val="auto"/>
        </w:rPr>
        <w:t xml:space="preserve">年</w:t>
      </w:r>
      <w:r>
        <w:rPr>
          <w:rFonts w:hint="eastAsia"/>
          <w:color w:val="auto"/>
        </w:rPr>
        <w:t xml:space="preserve"> </w:t>
      </w:r>
      <w:r>
        <w:rPr>
          <w:color w:val="auto"/>
        </w:rPr>
        <w:t xml:space="preserve"> 月</w:t>
      </w:r>
      <w:r>
        <w:rPr>
          <w:rFonts w:hint="eastAsia"/>
          <w:color w:val="auto"/>
        </w:rPr>
        <w:t xml:space="preserve"> </w:t>
      </w:r>
      <w:r>
        <w:rPr>
          <w:color w:val="auto"/>
        </w:rPr>
        <w:t xml:space="preserve"> 日</w:t>
      </w:r>
      <w:r/>
    </w:p>
    <w:p>
      <w:pPr>
        <w:keepLines w:val="0"/>
        <w:keepNext w:val="0"/>
        <w:pageBreakBefore w:val="0"/>
        <w:widowControl w:val="off"/>
        <w:rPr>
          <w:rFonts w:ascii="宋体" w:hAnsi="宋体"/>
          <w:color w:val="auto"/>
          <w:sz w:val="24"/>
          <w:lang w:val="zh-CN"/>
        </w:rPr>
        <w:sectPr>
          <w:footnotePr/>
          <w:endnotePr/>
          <w:type w:val="nextPage"/>
          <w:pgSz w:w="11906" w:h="16838" w:orient="portrait"/>
          <w:pgMar w:top="1134" w:right="1134" w:bottom="1134" w:left="1134" w:header="851" w:footer="680" w:gutter="0"/>
          <w:cols w:num="1" w:sep="0" w:space="1701" w:equalWidth="1"/>
          <w:docGrid w:linePitch="360"/>
        </w:sectPr>
        <w:outlineLvl w:val="9"/>
      </w:pPr>
      <w:r/>
      <w:bookmarkStart w:id="73" w:name="_Toc161067522"/>
      <w:r/>
      <w:r/>
    </w:p>
    <w:p>
      <w:pPr>
        <w:pStyle w:val="1043"/>
        <w:keepLines/>
        <w:keepNext/>
        <w:pageBreakBefore w:val="0"/>
        <w:spacing w:before="0" w:after="0" w:line="360" w:lineRule="auto"/>
        <w:widowControl w:val="off"/>
        <w:rPr>
          <w:rFonts w:ascii="宋体" w:hAnsi="宋体" w:eastAsia="宋体"/>
          <w:color w:val="auto"/>
          <w:sz w:val="24"/>
          <w:szCs w:val="24"/>
          <w:lang w:val="zh-CN"/>
        </w:rPr>
        <w:outlineLvl w:val="9"/>
      </w:pPr>
      <w:r/>
      <w:bookmarkStart w:id="74" w:name="_Toc161126694"/>
      <w:r/>
      <w:bookmarkStart w:id="75" w:name="_Toc166338842"/>
      <w:r>
        <w:rPr>
          <w:rFonts w:hint="eastAsia" w:ascii="宋体" w:hAnsi="宋体" w:eastAsia="宋体"/>
          <w:color w:val="auto"/>
          <w:sz w:val="24"/>
          <w:szCs w:val="24"/>
          <w:lang w:val="zh-CN"/>
        </w:rPr>
        <w:t xml:space="preserve">六、</w:t>
      </w:r>
      <w:r>
        <w:rPr>
          <w:rFonts w:ascii="宋体" w:hAnsi="宋体" w:eastAsia="宋体"/>
          <w:color w:val="auto"/>
          <w:sz w:val="24"/>
          <w:szCs w:val="24"/>
          <w:lang w:val="zh-CN"/>
        </w:rPr>
        <w:t xml:space="preserve">开标一览表</w:t>
      </w:r>
      <w:bookmarkEnd w:id="73"/>
      <w:r/>
      <w:bookmarkEnd w:id="74"/>
      <w:r/>
      <w:bookmarkEnd w:id="75"/>
      <w:r/>
      <w:r/>
    </w:p>
    <w:p>
      <w:pPr>
        <w:jc w:val="center"/>
        <w:pageBreakBefore w:val="0"/>
        <w:spacing w:line="360" w:lineRule="auto"/>
        <w:rPr>
          <w:rFonts w:hint="eastAsia"/>
          <w:color w:val="auto"/>
          <w:sz w:val="24"/>
        </w:rPr>
        <w:outlineLvl w:val="9"/>
      </w:pPr>
      <w:r>
        <w:rPr>
          <w:rFonts w:hint="eastAsia"/>
          <w:color w:val="auto"/>
          <w:sz w:val="24"/>
        </w:rPr>
        <w:t xml:space="preserve">开标一览表（总报价）</w:t>
      </w:r>
      <w:r/>
    </w:p>
    <w:p>
      <w:pPr>
        <w:pStyle w:val="1108"/>
        <w:pageBreakBefore w:val="0"/>
        <w:spacing w:line="360" w:lineRule="auto"/>
        <w:rPr>
          <w:color w:val="auto"/>
          <w:sz w:val="21"/>
          <w:szCs w:val="21"/>
        </w:rPr>
        <w:outlineLvl w:val="9"/>
      </w:pPr>
      <w:r>
        <w:rPr>
          <w:rFonts w:hint="eastAsia"/>
          <w:color w:val="auto"/>
          <w:sz w:val="21"/>
          <w:szCs w:val="21"/>
        </w:rPr>
        <w:t xml:space="preserve">响应</w:t>
      </w:r>
      <w:r>
        <w:rPr>
          <w:color w:val="auto"/>
          <w:sz w:val="21"/>
          <w:szCs w:val="21"/>
        </w:rPr>
        <w:t xml:space="preserve">人全称（加盖</w:t>
      </w:r>
      <w:r>
        <w:rPr>
          <w:rFonts w:hint="eastAsia"/>
          <w:color w:val="auto"/>
          <w:sz w:val="21"/>
          <w:szCs w:val="21"/>
        </w:rPr>
        <w:t xml:space="preserve">公章</w:t>
      </w:r>
      <w:r>
        <w:rPr>
          <w:color w:val="auto"/>
          <w:sz w:val="21"/>
          <w:szCs w:val="21"/>
        </w:rPr>
        <w:t xml:space="preserve">）：</w:t>
      </w:r>
      <w:r/>
    </w:p>
    <w:p>
      <w:pPr>
        <w:pStyle w:val="1108"/>
        <w:pageBreakBefore w:val="0"/>
        <w:spacing w:line="360" w:lineRule="auto"/>
        <w:rPr>
          <w:color w:val="auto"/>
          <w:sz w:val="21"/>
          <w:szCs w:val="21"/>
        </w:rPr>
        <w:outlineLvl w:val="9"/>
      </w:pPr>
      <w:r>
        <w:rPr>
          <w:color w:val="auto"/>
          <w:sz w:val="21"/>
          <w:szCs w:val="21"/>
        </w:rPr>
        <w:t xml:space="preserve">项目编号：</w:t>
      </w:r>
      <w:r/>
    </w:p>
    <w:p>
      <w:pPr>
        <w:pStyle w:val="1108"/>
        <w:pageBreakBefore w:val="0"/>
        <w:spacing w:line="360" w:lineRule="auto"/>
        <w:rPr>
          <w:color w:val="auto"/>
          <w:sz w:val="21"/>
          <w:szCs w:val="21"/>
        </w:rPr>
        <w:outlineLvl w:val="9"/>
      </w:pPr>
      <w:r>
        <w:rPr>
          <w:color w:val="auto"/>
          <w:sz w:val="21"/>
          <w:szCs w:val="21"/>
        </w:rPr>
        <w:t xml:space="preserve">分包号：</w:t>
      </w:r>
      <w:r/>
    </w:p>
    <w:tbl>
      <w:tblPr>
        <w:tblStyle w:val="869"/>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346"/>
        <w:gridCol w:w="5305"/>
      </w:tblGrid>
      <w:tr>
        <w:trPr>
          <w:trHeight w:val="737"/>
        </w:trPr>
        <w:tc>
          <w:tcPr>
            <w:tcW w:w="2198" w:type="dxa"/>
            <w:vAlign w:val="center"/>
            <w:textDirection w:val="lrTb"/>
            <w:noWrap w:val="false"/>
          </w:tcPr>
          <w:p>
            <w:pPr>
              <w:jc w:val="center"/>
              <w:pageBreakBefore w:val="0"/>
              <w:spacing w:line="360" w:lineRule="auto"/>
              <w:widowControl/>
              <w:rPr>
                <w:rFonts w:ascii="宋体" w:hAnsi="宋体"/>
                <w:color w:val="auto"/>
                <w:szCs w:val="21"/>
              </w:rPr>
              <w:outlineLvl w:val="9"/>
            </w:pPr>
            <w:r>
              <w:rPr>
                <w:rFonts w:hint="eastAsia" w:ascii="宋体" w:hAnsi="宋体"/>
                <w:color w:val="auto"/>
                <w:szCs w:val="21"/>
              </w:rPr>
              <w:t xml:space="preserve">项目名称</w:t>
            </w:r>
            <w:r/>
          </w:p>
        </w:tc>
        <w:tc>
          <w:tcPr>
            <w:tcW w:w="2683" w:type="dxa"/>
            <w:vAlign w:val="center"/>
            <w:textDirection w:val="lrTb"/>
            <w:noWrap w:val="false"/>
          </w:tcPr>
          <w:p>
            <w:pPr>
              <w:jc w:val="center"/>
              <w:pageBreakBefore w:val="0"/>
              <w:spacing w:line="360" w:lineRule="auto"/>
              <w:widowControl/>
              <w:rPr>
                <w:rFonts w:ascii="宋体" w:hAnsi="宋体"/>
                <w:color w:val="auto"/>
                <w:szCs w:val="21"/>
              </w:rPr>
              <w:outlineLvl w:val="9"/>
            </w:pPr>
            <w:r>
              <w:rPr>
                <w:rFonts w:hint="eastAsia" w:ascii="宋体" w:hAnsi="宋体"/>
                <w:color w:val="auto"/>
                <w:szCs w:val="21"/>
              </w:rPr>
              <w:t xml:space="preserve">响应总报价</w:t>
            </w:r>
            <w:r/>
          </w:p>
        </w:tc>
      </w:tr>
      <w:tr>
        <w:trPr>
          <w:trHeight w:val="737"/>
        </w:trPr>
        <w:tc>
          <w:tcPr>
            <w:tcW w:w="2198" w:type="dxa"/>
            <w:vAlign w:val="center"/>
            <w:textDirection w:val="lrTb"/>
            <w:noWrap w:val="false"/>
          </w:tcPr>
          <w:p>
            <w:pPr>
              <w:jc w:val="center"/>
              <w:pageBreakBefore w:val="0"/>
              <w:spacing w:line="360" w:lineRule="auto"/>
              <w:widowControl/>
              <w:rPr>
                <w:rFonts w:ascii="宋体" w:hAnsi="宋体"/>
                <w:color w:val="auto"/>
                <w:szCs w:val="21"/>
              </w:rPr>
              <w:outlineLvl w:val="9"/>
            </w:pPr>
            <w:r>
              <w:rPr>
                <w:rFonts w:ascii="宋体" w:hAnsi="宋体"/>
                <w:color w:val="auto"/>
                <w:szCs w:val="21"/>
              </w:rPr>
            </w:r>
            <w:r/>
          </w:p>
        </w:tc>
        <w:tc>
          <w:tcPr>
            <w:tcW w:w="2683" w:type="dxa"/>
            <w:vAlign w:val="center"/>
            <w:textDirection w:val="lrTb"/>
            <w:noWrap w:val="false"/>
          </w:tcPr>
          <w:p>
            <w:pPr>
              <w:jc w:val="center"/>
              <w:pageBreakBefore w:val="0"/>
              <w:spacing w:line="360" w:lineRule="auto"/>
              <w:widowControl/>
              <w:rPr>
                <w:rFonts w:ascii="宋体" w:hAnsi="宋体"/>
                <w:color w:val="auto"/>
                <w:szCs w:val="21"/>
              </w:rPr>
              <w:outlineLvl w:val="9"/>
            </w:pPr>
            <w:r>
              <w:rPr>
                <w:rFonts w:hint="eastAsia" w:ascii="宋体" w:hAnsi="宋体"/>
                <w:color w:val="auto"/>
                <w:szCs w:val="21"/>
              </w:rPr>
              <w:t xml:space="preserve">小写：</w:t>
            </w:r>
            <w:r>
              <w:rPr>
                <w:color w:val="auto"/>
              </w:rPr>
              <mc:AlternateContent>
                <mc:Choice Requires="wpg">
                  <w:drawing>
                    <wp:inline xmlns:wp="http://schemas.openxmlformats.org/drawingml/2006/wordprocessingDrawing" distT="0" distB="0" distL="0" distR="0">
                      <wp:extent cx="635" cy="635"/>
                      <wp:effectExtent l="0" t="0" r="0" b="0"/>
                      <wp:docPr id="5" name="矩形 1"/>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d="f"/>
                  </w:pict>
                </mc:Fallback>
              </mc:AlternateContent>
            </w:r>
            <w:r>
              <w:rPr>
                <w:rFonts w:ascii="宋体" w:hAnsi="宋体"/>
                <w:color w:val="auto"/>
                <w:szCs w:val="21"/>
              </w:rPr>
              <w:t xml:space="preserve"> </w:t>
            </w:r>
            <w:r>
              <w:rPr>
                <w:rFonts w:hint="eastAsia" w:ascii="宋体" w:hAnsi="宋体"/>
                <w:color w:val="auto"/>
                <w:szCs w:val="21"/>
              </w:rPr>
              <w:t xml:space="preserve">（元人民币）</w:t>
            </w:r>
            <w:r/>
          </w:p>
        </w:tc>
      </w:tr>
      <w:tr>
        <w:trPr>
          <w:trHeight w:val="737"/>
        </w:trPr>
        <w:tc>
          <w:tcPr>
            <w:tcW w:w="2198" w:type="dxa"/>
            <w:vAlign w:val="center"/>
            <w:textDirection w:val="lrTb"/>
            <w:noWrap w:val="false"/>
          </w:tcPr>
          <w:p>
            <w:pPr>
              <w:jc w:val="center"/>
              <w:pageBreakBefore w:val="0"/>
              <w:spacing w:line="360" w:lineRule="auto"/>
              <w:widowControl/>
              <w:rPr>
                <w:rFonts w:ascii="宋体" w:hAnsi="宋体"/>
                <w:color w:val="auto"/>
                <w:szCs w:val="21"/>
              </w:rPr>
              <w:outlineLvl w:val="9"/>
            </w:pPr>
            <w:r>
              <w:rPr>
                <w:rFonts w:hint="eastAsia" w:ascii="宋体" w:hAnsi="宋体"/>
                <w:color w:val="auto"/>
                <w:szCs w:val="21"/>
              </w:rPr>
              <w:t xml:space="preserve">投标报价大写金额</w:t>
            </w:r>
            <w:r/>
          </w:p>
        </w:tc>
        <w:tc>
          <w:tcPr>
            <w:tcW w:w="2683" w:type="dxa"/>
            <w:vAlign w:val="center"/>
            <w:textDirection w:val="lrTb"/>
            <w:noWrap w:val="false"/>
          </w:tcPr>
          <w:p>
            <w:pPr>
              <w:jc w:val="center"/>
              <w:pageBreakBefore w:val="0"/>
              <w:spacing w:line="360" w:lineRule="auto"/>
              <w:widowControl/>
              <w:rPr>
                <w:rFonts w:ascii="宋体" w:hAnsi="宋体"/>
                <w:color w:val="auto"/>
                <w:szCs w:val="21"/>
              </w:rPr>
              <w:outlineLvl w:val="9"/>
            </w:pPr>
            <w:r>
              <w:rPr>
                <w:rFonts w:ascii="宋体" w:hAnsi="宋体"/>
                <w:color w:val="auto"/>
                <w:szCs w:val="21"/>
              </w:rPr>
            </w:r>
            <w:r/>
          </w:p>
        </w:tc>
      </w:tr>
    </w:tbl>
    <w:p>
      <w:pPr>
        <w:pStyle w:val="1108"/>
        <w:jc w:val="right"/>
        <w:pageBreakBefore w:val="0"/>
        <w:spacing w:line="360" w:lineRule="auto"/>
        <w:rPr>
          <w:color w:val="auto"/>
          <w:sz w:val="21"/>
          <w:szCs w:val="21"/>
        </w:rPr>
        <w:outlineLvl w:val="9"/>
      </w:pPr>
      <w:r>
        <w:rPr>
          <w:color w:val="auto"/>
          <w:sz w:val="21"/>
          <w:szCs w:val="21"/>
        </w:rPr>
        <w:t xml:space="preserve">日期：</w:t>
      </w:r>
      <w:r>
        <w:rPr>
          <w:color w:val="auto"/>
        </w:rPr>
        <mc:AlternateContent>
          <mc:Choice Requires="wpg">
            <w:drawing>
              <wp:inline xmlns:wp="http://schemas.openxmlformats.org/drawingml/2006/wordprocessingDrawing" distT="0" distB="0" distL="0" distR="0">
                <wp:extent cx="635" cy="635"/>
                <wp:effectExtent l="0" t="0" r="0" b="0"/>
                <wp:docPr id="6" name="矩形 2"/>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d="f"/>
            </w:pict>
          </mc:Fallback>
        </mc:AlternateContent>
      </w:r>
      <w:r>
        <w:rPr>
          <w:color w:val="auto"/>
          <w:sz w:val="21"/>
          <w:szCs w:val="21"/>
        </w:rPr>
        <w:t xml:space="preserve"> 年 </w:t>
      </w:r>
      <w:r>
        <w:rPr>
          <w:color w:val="auto"/>
        </w:rPr>
        <mc:AlternateContent>
          <mc:Choice Requires="wpg">
            <w:drawing>
              <wp:inline xmlns:wp="http://schemas.openxmlformats.org/drawingml/2006/wordprocessingDrawing" distT="0" distB="0" distL="0" distR="0">
                <wp:extent cx="635" cy="635"/>
                <wp:effectExtent l="0" t="0" r="0" b="0"/>
                <wp:docPr id="7" name="矩形 3"/>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d="f"/>
            </w:pict>
          </mc:Fallback>
        </mc:AlternateContent>
      </w:r>
      <w:r>
        <w:rPr>
          <w:color w:val="auto"/>
          <w:sz w:val="21"/>
          <w:szCs w:val="21"/>
        </w:rPr>
        <w:t xml:space="preserve">月 </w:t>
      </w:r>
      <w:r>
        <w:rPr>
          <w:color w:val="auto"/>
        </w:rPr>
        <mc:AlternateContent>
          <mc:Choice Requires="wpg">
            <w:drawing>
              <wp:inline xmlns:wp="http://schemas.openxmlformats.org/drawingml/2006/wordprocessingDrawing" distT="0" distB="0" distL="0" distR="0">
                <wp:extent cx="635" cy="635"/>
                <wp:effectExtent l="0" t="0" r="0" b="0"/>
                <wp:docPr id="8" name="矩形 4"/>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d="f"/>
            </w:pict>
          </mc:Fallback>
        </mc:AlternateContent>
      </w:r>
      <w:r>
        <w:rPr>
          <w:color w:val="auto"/>
          <w:sz w:val="21"/>
          <w:szCs w:val="21"/>
        </w:rPr>
        <w:t xml:space="preserve">日</w:t>
      </w:r>
      <w:r/>
    </w:p>
    <w:p>
      <w:pPr>
        <w:pStyle w:val="1108"/>
        <w:pageBreakBefore w:val="0"/>
        <w:spacing w:line="360" w:lineRule="auto"/>
        <w:rPr>
          <w:color w:val="auto"/>
          <w:sz w:val="21"/>
          <w:szCs w:val="21"/>
        </w:rPr>
        <w:outlineLvl w:val="9"/>
      </w:pPr>
      <w:r>
        <w:rPr>
          <w:color w:val="auto"/>
          <w:sz w:val="21"/>
          <w:szCs w:val="21"/>
        </w:rPr>
        <w:t xml:space="preserve">填写说明：</w:t>
      </w:r>
      <w:r/>
    </w:p>
    <w:p>
      <w:pPr>
        <w:pStyle w:val="1108"/>
        <w:pageBreakBefore w:val="0"/>
        <w:spacing w:line="360" w:lineRule="auto"/>
        <w:rPr>
          <w:color w:val="auto"/>
          <w:sz w:val="21"/>
          <w:szCs w:val="21"/>
        </w:rPr>
        <w:outlineLvl w:val="9"/>
      </w:pPr>
      <w:r>
        <w:rPr>
          <w:color w:val="auto"/>
          <w:sz w:val="21"/>
          <w:szCs w:val="21"/>
        </w:rPr>
        <w:t xml:space="preserve">1.开标一览表必须加盖投标人公章（复印件无效）。</w:t>
      </w:r>
      <w:r/>
    </w:p>
    <w:p>
      <w:pPr>
        <w:pStyle w:val="1108"/>
        <w:pageBreakBefore w:val="0"/>
        <w:spacing w:line="360" w:lineRule="auto"/>
        <w:rPr>
          <w:color w:val="auto"/>
          <w:sz w:val="21"/>
          <w:szCs w:val="21"/>
        </w:rPr>
        <w:outlineLvl w:val="9"/>
      </w:pPr>
      <w:r>
        <w:rPr>
          <w:color w:val="auto"/>
          <w:sz w:val="21"/>
          <w:szCs w:val="21"/>
        </w:rPr>
        <w:t xml:space="preserve">2.如有分包，投标人投任何一个包的标的，都需单独填写开标一览表。</w:t>
      </w:r>
      <w:r/>
    </w:p>
    <w:p>
      <w:pPr>
        <w:pageBreakBefore w:val="0"/>
        <w:spacing w:line="360" w:lineRule="auto"/>
        <w:rPr>
          <w:rFonts w:ascii="宋体" w:hAnsi="宋体"/>
          <w:color w:val="auto"/>
          <w:sz w:val="24"/>
          <w:lang w:val="zh-CN"/>
        </w:rPr>
        <w:sectPr>
          <w:footnotePr/>
          <w:endnotePr/>
          <w:type w:val="nextPage"/>
          <w:pgSz w:w="11906" w:h="16838" w:orient="portrait"/>
          <w:pgMar w:top="1134" w:right="1134" w:bottom="1134" w:left="1134" w:header="851" w:footer="680" w:gutter="0"/>
          <w:cols w:num="1" w:sep="0" w:space="1701" w:equalWidth="1"/>
          <w:docGrid w:linePitch="360"/>
        </w:sectPr>
        <w:outlineLvl w:val="9"/>
      </w:pPr>
      <w:r/>
      <w:bookmarkStart w:id="76" w:name="_Toc161067523"/>
      <w:r/>
      <w:r/>
    </w:p>
    <w:p>
      <w:pPr>
        <w:pStyle w:val="1043"/>
        <w:pageBreakBefore w:val="0"/>
        <w:spacing w:before="0" w:after="0" w:line="360" w:lineRule="auto"/>
        <w:rPr>
          <w:rFonts w:ascii="宋体" w:hAnsi="宋体" w:eastAsia="宋体"/>
          <w:color w:val="auto"/>
          <w:sz w:val="24"/>
          <w:szCs w:val="24"/>
          <w:lang w:val="zh-CN"/>
        </w:rPr>
        <w:outlineLvl w:val="9"/>
      </w:pPr>
      <w:r/>
      <w:bookmarkStart w:id="77" w:name="_Toc161126695"/>
      <w:r/>
      <w:bookmarkStart w:id="78" w:name="_Toc166338843"/>
      <w:r>
        <w:rPr>
          <w:rFonts w:hint="eastAsia" w:ascii="宋体" w:hAnsi="宋体" w:eastAsia="宋体"/>
          <w:color w:val="auto"/>
          <w:sz w:val="24"/>
          <w:szCs w:val="24"/>
          <w:lang w:val="zh-CN"/>
        </w:rPr>
        <w:t xml:space="preserve">七、报价</w:t>
      </w:r>
      <w:r>
        <w:rPr>
          <w:rFonts w:hint="eastAsia" w:ascii="宋体" w:hAnsi="宋体" w:eastAsia="宋体"/>
          <w:color w:val="auto"/>
          <w:sz w:val="24"/>
          <w:szCs w:val="24"/>
        </w:rPr>
        <w:t xml:space="preserve">分析</w:t>
      </w:r>
      <w:r>
        <w:rPr>
          <w:rFonts w:hint="eastAsia" w:ascii="宋体" w:hAnsi="宋体" w:eastAsia="宋体"/>
          <w:color w:val="auto"/>
          <w:sz w:val="24"/>
          <w:szCs w:val="24"/>
          <w:lang w:val="zh-CN"/>
        </w:rPr>
        <w:t xml:space="preserve">表</w:t>
      </w:r>
      <w:bookmarkEnd w:id="76"/>
      <w:r/>
      <w:bookmarkEnd w:id="77"/>
      <w:r/>
      <w:bookmarkEnd w:id="78"/>
      <w:r/>
      <w:r/>
    </w:p>
    <w:p>
      <w:pPr>
        <w:jc w:val="center"/>
        <w:pageBreakBefore w:val="0"/>
        <w:spacing w:line="360" w:lineRule="auto"/>
        <w:rPr>
          <w:b/>
          <w:color w:val="auto"/>
          <w:sz w:val="32"/>
          <w:szCs w:val="32"/>
          <w:lang w:val="zh-CN"/>
        </w:rPr>
        <w:outlineLvl w:val="9"/>
      </w:pPr>
      <w:r>
        <w:rPr>
          <w:b/>
          <w:color w:val="auto"/>
          <w:sz w:val="32"/>
          <w:szCs w:val="32"/>
          <w:lang w:val="zh-CN"/>
        </w:rPr>
        <w:t xml:space="preserve">谈判响应报价表</w:t>
      </w:r>
      <w:r>
        <w:rPr>
          <w:rFonts w:hint="eastAsia" w:ascii="宋体" w:hAnsi="宋体"/>
          <w:b/>
          <w:bCs/>
          <w:color w:val="auto"/>
          <w:sz w:val="28"/>
          <w:szCs w:val="28"/>
          <w:lang w:val="zh-CN"/>
        </w:rPr>
        <w:t xml:space="preserve">（货物类）</w:t>
      </w:r>
      <w:r/>
    </w:p>
    <w:p>
      <w:pPr>
        <w:pageBreakBefore w:val="0"/>
        <w:spacing w:line="360" w:lineRule="auto"/>
        <w:rPr>
          <w:color w:val="auto"/>
          <w:szCs w:val="21"/>
        </w:rPr>
        <w:outlineLvl w:val="9"/>
      </w:pPr>
      <w:r>
        <w:rPr>
          <w:color w:val="auto"/>
          <w:szCs w:val="21"/>
        </w:rPr>
        <w:t xml:space="preserve">项目名称：</w:t>
      </w:r>
      <w:r/>
    </w:p>
    <w:p>
      <w:pPr>
        <w:pageBreakBefore w:val="0"/>
        <w:spacing w:line="360" w:lineRule="auto"/>
        <w:rPr>
          <w:color w:val="auto"/>
          <w:szCs w:val="21"/>
        </w:rPr>
        <w:outlineLvl w:val="9"/>
      </w:pPr>
      <w:r>
        <w:rPr>
          <w:color w:val="auto"/>
          <w:szCs w:val="21"/>
        </w:rPr>
        <w:t xml:space="preserve">项目编号：</w:t>
      </w:r>
      <w:r/>
    </w:p>
    <w:tbl>
      <w:tblPr>
        <w:tblStyle w:val="869"/>
        <w:tblW w:w="102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992"/>
      </w:tblGrid>
      <w:tr>
        <w:trPr>
          <w:jc w:val="center"/>
          <w:trHeight w:val="423"/>
        </w:trPr>
        <w:tc>
          <w:tcPr>
            <w:tcW w:w="672" w:type="dxa"/>
            <w:vAlign w:val="center"/>
            <w:textDirection w:val="lrTb"/>
            <w:noWrap w:val="false"/>
          </w:tcPr>
          <w:p>
            <w:pPr>
              <w:jc w:val="center"/>
              <w:pageBreakBefore w:val="0"/>
              <w:rPr>
                <w:color w:val="auto"/>
                <w:spacing w:val="20"/>
              </w:rPr>
              <w:outlineLvl w:val="9"/>
            </w:pPr>
            <w:r>
              <w:rPr>
                <w:color w:val="auto"/>
                <w:spacing w:val="20"/>
              </w:rPr>
              <w:t xml:space="preserve">序号</w:t>
            </w:r>
            <w:r/>
          </w:p>
        </w:tc>
        <w:tc>
          <w:tcPr>
            <w:tcW w:w="998" w:type="dxa"/>
            <w:vAlign w:val="center"/>
            <w:textDirection w:val="lrTb"/>
            <w:noWrap w:val="false"/>
          </w:tcPr>
          <w:p>
            <w:pPr>
              <w:jc w:val="center"/>
              <w:pageBreakBefore w:val="0"/>
              <w:rPr>
                <w:color w:val="auto"/>
                <w:spacing w:val="20"/>
              </w:rPr>
              <w:outlineLvl w:val="9"/>
            </w:pPr>
            <w:r>
              <w:rPr>
                <w:rFonts w:hint="eastAsia"/>
                <w:color w:val="auto"/>
                <w:spacing w:val="20"/>
              </w:rPr>
              <w:t xml:space="preserve">标的物</w:t>
            </w:r>
            <w:r>
              <w:rPr>
                <w:color w:val="auto"/>
                <w:spacing w:val="20"/>
              </w:rPr>
              <w:t xml:space="preserve">名称</w:t>
            </w:r>
            <w:r/>
          </w:p>
        </w:tc>
        <w:tc>
          <w:tcPr>
            <w:tcW w:w="1696" w:type="dxa"/>
            <w:vAlign w:val="center"/>
            <w:textDirection w:val="lrTb"/>
            <w:noWrap w:val="false"/>
          </w:tcPr>
          <w:p>
            <w:pPr>
              <w:jc w:val="center"/>
              <w:pageBreakBefore w:val="0"/>
              <w:rPr>
                <w:color w:val="auto"/>
                <w:spacing w:val="20"/>
              </w:rPr>
              <w:outlineLvl w:val="9"/>
            </w:pPr>
            <w:r>
              <w:rPr>
                <w:rFonts w:hint="eastAsia"/>
                <w:color w:val="auto"/>
                <w:spacing w:val="20"/>
              </w:rPr>
              <w:t xml:space="preserve">规格</w:t>
            </w:r>
            <w:r/>
          </w:p>
        </w:tc>
        <w:tc>
          <w:tcPr>
            <w:tcW w:w="1276" w:type="dxa"/>
            <w:vAlign w:val="center"/>
            <w:textDirection w:val="lrTb"/>
            <w:noWrap w:val="false"/>
          </w:tcPr>
          <w:p>
            <w:pPr>
              <w:jc w:val="center"/>
              <w:pageBreakBefore w:val="0"/>
              <w:rPr>
                <w:color w:val="auto"/>
                <w:spacing w:val="20"/>
              </w:rPr>
              <w:outlineLvl w:val="9"/>
            </w:pPr>
            <w:r>
              <w:rPr>
                <w:color w:val="auto"/>
                <w:spacing w:val="20"/>
              </w:rPr>
              <w:t xml:space="preserve">品牌</w:t>
            </w:r>
            <w:r/>
          </w:p>
        </w:tc>
        <w:tc>
          <w:tcPr>
            <w:tcW w:w="1984" w:type="dxa"/>
            <w:vAlign w:val="center"/>
            <w:textDirection w:val="lrTb"/>
            <w:noWrap w:val="false"/>
          </w:tcPr>
          <w:p>
            <w:pPr>
              <w:jc w:val="center"/>
              <w:pageBreakBefore w:val="0"/>
              <w:rPr>
                <w:color w:val="auto"/>
                <w:spacing w:val="20"/>
              </w:rPr>
              <w:outlineLvl w:val="9"/>
            </w:pPr>
            <w:r>
              <w:rPr>
                <w:color w:val="auto"/>
                <w:spacing w:val="20"/>
              </w:rPr>
              <w:t xml:space="preserve">生产厂家</w:t>
            </w:r>
            <w:r/>
          </w:p>
        </w:tc>
        <w:tc>
          <w:tcPr>
            <w:tcW w:w="851" w:type="dxa"/>
            <w:vAlign w:val="center"/>
            <w:textDirection w:val="lrTb"/>
            <w:noWrap w:val="false"/>
          </w:tcPr>
          <w:p>
            <w:pPr>
              <w:jc w:val="center"/>
              <w:pageBreakBefore w:val="0"/>
              <w:rPr>
                <w:color w:val="auto"/>
                <w:spacing w:val="20"/>
              </w:rPr>
              <w:outlineLvl w:val="9"/>
            </w:pPr>
            <w:r>
              <w:rPr>
                <w:color w:val="auto"/>
                <w:spacing w:val="20"/>
              </w:rPr>
              <w:t xml:space="preserve">单位</w:t>
            </w:r>
            <w:r/>
          </w:p>
        </w:tc>
        <w:tc>
          <w:tcPr>
            <w:tcW w:w="850" w:type="dxa"/>
            <w:vAlign w:val="center"/>
            <w:textDirection w:val="lrTb"/>
            <w:noWrap w:val="false"/>
          </w:tcPr>
          <w:p>
            <w:pPr>
              <w:jc w:val="center"/>
              <w:pageBreakBefore w:val="0"/>
              <w:rPr>
                <w:color w:val="auto"/>
                <w:spacing w:val="20"/>
              </w:rPr>
              <w:outlineLvl w:val="9"/>
            </w:pPr>
            <w:r>
              <w:rPr>
                <w:color w:val="auto"/>
                <w:spacing w:val="20"/>
              </w:rPr>
              <w:t xml:space="preserve">数量</w:t>
            </w:r>
            <w:r/>
          </w:p>
        </w:tc>
        <w:tc>
          <w:tcPr>
            <w:tcW w:w="930" w:type="dxa"/>
            <w:vAlign w:val="center"/>
            <w:textDirection w:val="lrTb"/>
            <w:noWrap w:val="false"/>
          </w:tcPr>
          <w:p>
            <w:pPr>
              <w:jc w:val="center"/>
              <w:pageBreakBefore w:val="0"/>
              <w:rPr>
                <w:color w:val="auto"/>
                <w:spacing w:val="20"/>
              </w:rPr>
              <w:outlineLvl w:val="9"/>
            </w:pPr>
            <w:r>
              <w:rPr>
                <w:color w:val="auto"/>
                <w:spacing w:val="20"/>
              </w:rPr>
              <w:t xml:space="preserve">单价</w:t>
            </w:r>
            <w:r/>
          </w:p>
        </w:tc>
        <w:tc>
          <w:tcPr>
            <w:tcW w:w="992" w:type="dxa"/>
            <w:vAlign w:val="center"/>
            <w:textDirection w:val="lrTb"/>
            <w:noWrap w:val="false"/>
          </w:tcPr>
          <w:p>
            <w:pPr>
              <w:jc w:val="center"/>
              <w:pageBreakBefore w:val="0"/>
              <w:rPr>
                <w:color w:val="auto"/>
                <w:spacing w:val="20"/>
              </w:rPr>
              <w:outlineLvl w:val="9"/>
            </w:pPr>
            <w:r>
              <w:rPr>
                <w:color w:val="auto"/>
                <w:spacing w:val="20"/>
              </w:rPr>
              <w:t xml:space="preserve">总价</w:t>
            </w:r>
            <w:r/>
          </w:p>
        </w:tc>
      </w:tr>
      <w:tr>
        <w:trPr>
          <w:jc w:val="center"/>
          <w:trHeight w:val="361"/>
        </w:trPr>
        <w:tc>
          <w:tcPr>
            <w:tcW w:w="67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8"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696" w:type="dxa"/>
            <w:vAlign w:val="top"/>
            <w:textDirection w:val="lrTb"/>
            <w:noWrap w:val="false"/>
          </w:tcPr>
          <w:p>
            <w:pPr>
              <w:jc w:val="center"/>
              <w:pageBreakBefore w:val="0"/>
              <w:spacing w:line="360" w:lineRule="auto"/>
              <w:rPr>
                <w:color w:val="auto"/>
                <w:spacing w:val="20"/>
              </w:rPr>
              <w:outlineLvl w:val="9"/>
            </w:pPr>
            <w:r>
              <w:rPr>
                <w:color w:val="auto"/>
                <w:spacing w:val="20"/>
              </w:rPr>
            </w:r>
            <w:r/>
          </w:p>
        </w:tc>
        <w:tc>
          <w:tcPr>
            <w:tcW w:w="1276"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984"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1"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3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r>
      <w:tr>
        <w:trPr>
          <w:jc w:val="center"/>
          <w:trHeight w:val="316"/>
        </w:trPr>
        <w:tc>
          <w:tcPr>
            <w:tcW w:w="67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8"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696" w:type="dxa"/>
            <w:vAlign w:val="top"/>
            <w:textDirection w:val="lrTb"/>
            <w:noWrap w:val="false"/>
          </w:tcPr>
          <w:p>
            <w:pPr>
              <w:jc w:val="center"/>
              <w:pageBreakBefore w:val="0"/>
              <w:spacing w:line="360" w:lineRule="auto"/>
              <w:rPr>
                <w:color w:val="auto"/>
                <w:spacing w:val="20"/>
              </w:rPr>
              <w:outlineLvl w:val="9"/>
            </w:pPr>
            <w:r>
              <w:rPr>
                <w:color w:val="auto"/>
                <w:spacing w:val="20"/>
              </w:rPr>
            </w:r>
            <w:r/>
          </w:p>
        </w:tc>
        <w:tc>
          <w:tcPr>
            <w:tcW w:w="1276"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984"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1"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3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r>
      <w:tr>
        <w:trPr>
          <w:jc w:val="center"/>
          <w:trHeight w:val="316"/>
        </w:trPr>
        <w:tc>
          <w:tcPr>
            <w:tcW w:w="67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8"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696" w:type="dxa"/>
            <w:vAlign w:val="top"/>
            <w:textDirection w:val="lrTb"/>
            <w:noWrap w:val="false"/>
          </w:tcPr>
          <w:p>
            <w:pPr>
              <w:jc w:val="center"/>
              <w:pageBreakBefore w:val="0"/>
              <w:spacing w:line="360" w:lineRule="auto"/>
              <w:rPr>
                <w:color w:val="auto"/>
                <w:spacing w:val="20"/>
              </w:rPr>
              <w:outlineLvl w:val="9"/>
            </w:pPr>
            <w:r>
              <w:rPr>
                <w:color w:val="auto"/>
                <w:spacing w:val="20"/>
              </w:rPr>
            </w:r>
            <w:r/>
          </w:p>
        </w:tc>
        <w:tc>
          <w:tcPr>
            <w:tcW w:w="1276"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984"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1"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3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r>
      <w:tr>
        <w:trPr>
          <w:jc w:val="center"/>
          <w:trHeight w:val="222"/>
        </w:trPr>
        <w:tc>
          <w:tcPr>
            <w:tcW w:w="67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8"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696" w:type="dxa"/>
            <w:vAlign w:val="top"/>
            <w:textDirection w:val="lrTb"/>
            <w:noWrap w:val="false"/>
          </w:tcPr>
          <w:p>
            <w:pPr>
              <w:jc w:val="center"/>
              <w:pageBreakBefore w:val="0"/>
              <w:spacing w:line="360" w:lineRule="auto"/>
              <w:rPr>
                <w:color w:val="auto"/>
                <w:spacing w:val="20"/>
              </w:rPr>
              <w:outlineLvl w:val="9"/>
            </w:pPr>
            <w:r>
              <w:rPr>
                <w:color w:val="auto"/>
                <w:spacing w:val="20"/>
              </w:rPr>
            </w:r>
            <w:r/>
          </w:p>
        </w:tc>
        <w:tc>
          <w:tcPr>
            <w:tcW w:w="1276"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984"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1"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3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r>
      <w:tr>
        <w:trPr>
          <w:jc w:val="center"/>
          <w:trHeight w:val="222"/>
        </w:trPr>
        <w:tc>
          <w:tcPr>
            <w:tcW w:w="67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8"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696" w:type="dxa"/>
            <w:vAlign w:val="top"/>
            <w:textDirection w:val="lrTb"/>
            <w:noWrap w:val="false"/>
          </w:tcPr>
          <w:p>
            <w:pPr>
              <w:jc w:val="center"/>
              <w:pageBreakBefore w:val="0"/>
              <w:spacing w:line="360" w:lineRule="auto"/>
              <w:rPr>
                <w:color w:val="auto"/>
                <w:spacing w:val="20"/>
              </w:rPr>
              <w:outlineLvl w:val="9"/>
            </w:pPr>
            <w:r>
              <w:rPr>
                <w:color w:val="auto"/>
                <w:spacing w:val="20"/>
              </w:rPr>
            </w:r>
            <w:r/>
          </w:p>
        </w:tc>
        <w:tc>
          <w:tcPr>
            <w:tcW w:w="1276"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984"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1"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3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r>
      <w:tr>
        <w:trPr>
          <w:jc w:val="center"/>
          <w:trHeight w:val="222"/>
        </w:trPr>
        <w:tc>
          <w:tcPr>
            <w:tcW w:w="67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8"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696" w:type="dxa"/>
            <w:vAlign w:val="top"/>
            <w:textDirection w:val="lrTb"/>
            <w:noWrap w:val="false"/>
          </w:tcPr>
          <w:p>
            <w:pPr>
              <w:jc w:val="center"/>
              <w:pageBreakBefore w:val="0"/>
              <w:spacing w:line="360" w:lineRule="auto"/>
              <w:rPr>
                <w:color w:val="auto"/>
                <w:spacing w:val="20"/>
              </w:rPr>
              <w:outlineLvl w:val="9"/>
            </w:pPr>
            <w:r>
              <w:rPr>
                <w:color w:val="auto"/>
                <w:spacing w:val="20"/>
              </w:rPr>
            </w:r>
            <w:r/>
          </w:p>
        </w:tc>
        <w:tc>
          <w:tcPr>
            <w:tcW w:w="1276"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984"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1"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3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r>
      <w:tr>
        <w:trPr>
          <w:jc w:val="center"/>
          <w:trHeight w:val="222"/>
        </w:trPr>
        <w:tc>
          <w:tcPr>
            <w:tcW w:w="67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8"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696" w:type="dxa"/>
            <w:vAlign w:val="top"/>
            <w:textDirection w:val="lrTb"/>
            <w:noWrap w:val="false"/>
          </w:tcPr>
          <w:p>
            <w:pPr>
              <w:jc w:val="center"/>
              <w:pageBreakBefore w:val="0"/>
              <w:spacing w:line="360" w:lineRule="auto"/>
              <w:rPr>
                <w:color w:val="auto"/>
                <w:spacing w:val="20"/>
              </w:rPr>
              <w:outlineLvl w:val="9"/>
            </w:pPr>
            <w:r>
              <w:rPr>
                <w:color w:val="auto"/>
                <w:spacing w:val="20"/>
              </w:rPr>
            </w:r>
            <w:r/>
          </w:p>
        </w:tc>
        <w:tc>
          <w:tcPr>
            <w:tcW w:w="1276"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984"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1"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3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r>
      <w:tr>
        <w:trPr>
          <w:jc w:val="center"/>
          <w:trHeight w:val="222"/>
        </w:trPr>
        <w:tc>
          <w:tcPr>
            <w:tcW w:w="67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8"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696" w:type="dxa"/>
            <w:vAlign w:val="top"/>
            <w:textDirection w:val="lrTb"/>
            <w:noWrap w:val="false"/>
          </w:tcPr>
          <w:p>
            <w:pPr>
              <w:jc w:val="center"/>
              <w:pageBreakBefore w:val="0"/>
              <w:spacing w:line="360" w:lineRule="auto"/>
              <w:rPr>
                <w:color w:val="auto"/>
                <w:spacing w:val="20"/>
              </w:rPr>
              <w:outlineLvl w:val="9"/>
            </w:pPr>
            <w:r>
              <w:rPr>
                <w:color w:val="auto"/>
                <w:spacing w:val="20"/>
              </w:rPr>
            </w:r>
            <w:r/>
          </w:p>
        </w:tc>
        <w:tc>
          <w:tcPr>
            <w:tcW w:w="1276"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984"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1"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3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r>
      <w:tr>
        <w:trPr>
          <w:jc w:val="center"/>
          <w:trHeight w:val="222"/>
        </w:trPr>
        <w:tc>
          <w:tcPr>
            <w:tcW w:w="67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8"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696" w:type="dxa"/>
            <w:vAlign w:val="top"/>
            <w:textDirection w:val="lrTb"/>
            <w:noWrap w:val="false"/>
          </w:tcPr>
          <w:p>
            <w:pPr>
              <w:jc w:val="center"/>
              <w:pageBreakBefore w:val="0"/>
              <w:spacing w:line="360" w:lineRule="auto"/>
              <w:rPr>
                <w:color w:val="auto"/>
                <w:spacing w:val="20"/>
              </w:rPr>
              <w:outlineLvl w:val="9"/>
            </w:pPr>
            <w:r>
              <w:rPr>
                <w:color w:val="auto"/>
                <w:spacing w:val="20"/>
              </w:rPr>
            </w:r>
            <w:r/>
          </w:p>
        </w:tc>
        <w:tc>
          <w:tcPr>
            <w:tcW w:w="1276"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984"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1"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3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r>
      <w:tr>
        <w:trPr>
          <w:jc w:val="center"/>
          <w:trHeight w:val="222"/>
        </w:trPr>
        <w:tc>
          <w:tcPr>
            <w:tcW w:w="67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8"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696" w:type="dxa"/>
            <w:vAlign w:val="top"/>
            <w:textDirection w:val="lrTb"/>
            <w:noWrap w:val="false"/>
          </w:tcPr>
          <w:p>
            <w:pPr>
              <w:jc w:val="center"/>
              <w:pageBreakBefore w:val="0"/>
              <w:spacing w:line="360" w:lineRule="auto"/>
              <w:rPr>
                <w:color w:val="auto"/>
                <w:spacing w:val="20"/>
              </w:rPr>
              <w:outlineLvl w:val="9"/>
            </w:pPr>
            <w:r>
              <w:rPr>
                <w:color w:val="auto"/>
                <w:spacing w:val="20"/>
              </w:rPr>
            </w:r>
            <w:r/>
          </w:p>
        </w:tc>
        <w:tc>
          <w:tcPr>
            <w:tcW w:w="1276"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984"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1"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3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r>
      <w:tr>
        <w:trPr>
          <w:jc w:val="center"/>
          <w:trHeight w:val="222"/>
        </w:trPr>
        <w:tc>
          <w:tcPr>
            <w:tcW w:w="67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8"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696" w:type="dxa"/>
            <w:vAlign w:val="top"/>
            <w:textDirection w:val="lrTb"/>
            <w:noWrap w:val="false"/>
          </w:tcPr>
          <w:p>
            <w:pPr>
              <w:jc w:val="center"/>
              <w:pageBreakBefore w:val="0"/>
              <w:spacing w:line="360" w:lineRule="auto"/>
              <w:rPr>
                <w:color w:val="auto"/>
                <w:spacing w:val="20"/>
              </w:rPr>
              <w:outlineLvl w:val="9"/>
            </w:pPr>
            <w:r>
              <w:rPr>
                <w:color w:val="auto"/>
                <w:spacing w:val="20"/>
              </w:rPr>
            </w:r>
            <w:r/>
          </w:p>
        </w:tc>
        <w:tc>
          <w:tcPr>
            <w:tcW w:w="1276"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1984"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1"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85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30"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c>
          <w:tcPr>
            <w:tcW w:w="992" w:type="dxa"/>
            <w:vAlign w:val="center"/>
            <w:textDirection w:val="lrTb"/>
            <w:noWrap w:val="false"/>
          </w:tcPr>
          <w:p>
            <w:pPr>
              <w:jc w:val="center"/>
              <w:pageBreakBefore w:val="0"/>
              <w:spacing w:line="360" w:lineRule="auto"/>
              <w:rPr>
                <w:color w:val="auto"/>
                <w:spacing w:val="20"/>
              </w:rPr>
              <w:outlineLvl w:val="9"/>
            </w:pPr>
            <w:r>
              <w:rPr>
                <w:color w:val="auto"/>
                <w:spacing w:val="20"/>
              </w:rPr>
            </w:r>
            <w:r/>
          </w:p>
        </w:tc>
      </w:tr>
      <w:tr>
        <w:trPr>
          <w:jc w:val="center"/>
          <w:trHeight w:val="454"/>
        </w:trPr>
        <w:tc>
          <w:tcPr>
            <w:gridSpan w:val="9"/>
            <w:tcW w:w="10249" w:type="dxa"/>
            <w:vAlign w:val="top"/>
            <w:textDirection w:val="lrTb"/>
            <w:noWrap w:val="false"/>
          </w:tcPr>
          <w:p>
            <w:pPr>
              <w:pageBreakBefore w:val="0"/>
              <w:rPr>
                <w:color w:val="auto"/>
                <w:spacing w:val="20"/>
              </w:rPr>
              <w:outlineLvl w:val="9"/>
            </w:pPr>
            <w:r>
              <w:rPr>
                <w:color w:val="auto"/>
                <w:spacing w:val="20"/>
              </w:rPr>
              <w:t xml:space="preserve">谈判响应</w:t>
            </w:r>
            <w:r>
              <w:rPr>
                <w:rFonts w:hint="eastAsia"/>
                <w:color w:val="auto"/>
                <w:spacing w:val="20"/>
              </w:rPr>
              <w:t xml:space="preserve">总</w:t>
            </w:r>
            <w:r>
              <w:rPr>
                <w:color w:val="auto"/>
                <w:spacing w:val="20"/>
              </w:rPr>
              <w:t xml:space="preserve">报价（人民币大写）：￥：</w:t>
            </w:r>
            <w:r/>
          </w:p>
        </w:tc>
      </w:tr>
      <w:tr>
        <w:trPr>
          <w:jc w:val="center"/>
          <w:trHeight w:val="454"/>
        </w:trPr>
        <w:tc>
          <w:tcPr>
            <w:gridSpan w:val="9"/>
            <w:tcW w:w="10249" w:type="dxa"/>
            <w:vAlign w:val="top"/>
            <w:textDirection w:val="lrTb"/>
            <w:noWrap w:val="false"/>
          </w:tcPr>
          <w:p>
            <w:pPr>
              <w:pageBreakBefore w:val="0"/>
              <w:rPr>
                <w:color w:val="auto"/>
                <w:spacing w:val="20"/>
              </w:rPr>
              <w:outlineLvl w:val="9"/>
            </w:pPr>
            <w:r>
              <w:rPr>
                <w:color w:val="auto"/>
                <w:spacing w:val="20"/>
              </w:rPr>
              <w:t xml:space="preserve">本采购包中提供的符合本国产品标准的产品成本之和占该采购包提供的全部产品成本之和的比例为</w:t>
            </w:r>
            <w:r>
              <w:rPr>
                <w:color w:val="auto"/>
                <w:spacing w:val="20"/>
                <w:u w:val="single"/>
              </w:rPr>
              <w:t xml:space="preserve">      </w:t>
            </w:r>
            <w:r>
              <w:rPr>
                <w:color w:val="auto"/>
                <w:spacing w:val="20"/>
              </w:rPr>
              <w:t xml:space="preserve">%。</w:t>
            </w:r>
            <w:r/>
          </w:p>
        </w:tc>
      </w:tr>
    </w:tbl>
    <w:p>
      <w:pPr>
        <w:pageBreakBefore w:val="0"/>
        <w:spacing w:line="360" w:lineRule="auto"/>
        <w:rPr>
          <w:color w:val="auto"/>
          <w:szCs w:val="21"/>
        </w:rPr>
        <w:outlineLvl w:val="9"/>
      </w:pPr>
      <w:r>
        <w:rPr>
          <w:color w:val="auto"/>
          <w:szCs w:val="21"/>
        </w:rPr>
      </w:r>
      <w:r/>
    </w:p>
    <w:p>
      <w:pPr>
        <w:pStyle w:val="1080"/>
        <w:pageBreakBefore w:val="0"/>
        <w:spacing w:line="400" w:lineRule="exact"/>
        <w:rPr>
          <w:rFonts w:ascii="Times New Roman" w:hAnsi="Times New Roman" w:eastAsia="宋体"/>
          <w:color w:val="auto"/>
          <w:sz w:val="21"/>
          <w:szCs w:val="21"/>
        </w:rPr>
        <w:outlineLvl w:val="9"/>
      </w:pPr>
      <w:r>
        <w:rPr>
          <w:rFonts w:ascii="Times New Roman" w:hAnsi="Times New Roman" w:eastAsia="宋体"/>
          <w:color w:val="auto"/>
          <w:sz w:val="21"/>
          <w:szCs w:val="21"/>
        </w:rPr>
        <w:t xml:space="preserve">说明：</w:t>
      </w:r>
      <w:r/>
    </w:p>
    <w:p>
      <w:pPr>
        <w:pStyle w:val="1080"/>
        <w:pageBreakBefore w:val="0"/>
        <w:spacing w:line="400" w:lineRule="exact"/>
        <w:rPr>
          <w:rFonts w:ascii="Times New Roman" w:hAnsi="Times New Roman" w:eastAsia="宋体"/>
          <w:color w:val="auto"/>
          <w:sz w:val="21"/>
          <w:szCs w:val="21"/>
        </w:rPr>
        <w:outlineLvl w:val="9"/>
      </w:pPr>
      <w:r>
        <w:rPr>
          <w:rFonts w:hint="eastAsia" w:ascii="Times New Roman" w:hAnsi="Times New Roman" w:eastAsia="宋体"/>
          <w:color w:val="auto"/>
          <w:sz w:val="21"/>
          <w:szCs w:val="21"/>
        </w:rPr>
        <w:t xml:space="preserve">1、</w:t>
      </w:r>
      <w:r>
        <w:rPr>
          <w:rFonts w:ascii="Times New Roman" w:hAnsi="Times New Roman" w:eastAsia="宋体"/>
          <w:color w:val="auto"/>
          <w:sz w:val="21"/>
          <w:szCs w:val="21"/>
        </w:rPr>
        <w:t xml:space="preserve">上述报价包含一切由供方承担的费用，各响应单位可参照上述格式自制《谈判响应报价表》参加谈判</w:t>
      </w:r>
      <w:r>
        <w:rPr>
          <w:rFonts w:hint="eastAsia" w:ascii="Times New Roman" w:hAnsi="Times New Roman" w:eastAsia="宋体"/>
          <w:color w:val="auto"/>
          <w:sz w:val="21"/>
          <w:szCs w:val="21"/>
        </w:rPr>
        <w:t xml:space="preserve">。</w:t>
      </w:r>
      <w:r/>
    </w:p>
    <w:p>
      <w:pPr>
        <w:jc w:val="left"/>
        <w:pageBreakBefore w:val="0"/>
        <w:spacing w:line="360" w:lineRule="auto"/>
        <w:rPr>
          <w:rFonts w:hint="eastAsia"/>
          <w:color w:val="auto"/>
        </w:rPr>
        <w:outlineLvl w:val="9"/>
      </w:pPr>
      <w:r>
        <w:rPr>
          <w:rFonts w:hint="eastAsia"/>
          <w:b/>
          <w:color w:val="auto"/>
          <w:szCs w:val="21"/>
        </w:rPr>
        <w:t xml:space="preserve">2、响应总报价超采购预算，或各标的物单价超该项预算单价的（针对</w:t>
      </w:r>
      <w:r>
        <w:rPr>
          <w:b/>
          <w:color w:val="auto"/>
          <w:szCs w:val="21"/>
        </w:rPr>
        <w:t xml:space="preserve">采购文件标明预算单价的）</w:t>
      </w:r>
      <w:r>
        <w:rPr>
          <w:rFonts w:hint="eastAsia"/>
          <w:b/>
          <w:color w:val="auto"/>
          <w:szCs w:val="21"/>
        </w:rPr>
        <w:t xml:space="preserve">，响应无效。</w:t>
      </w:r>
      <w:r/>
    </w:p>
    <w:p>
      <w:pPr>
        <w:jc w:val="right"/>
        <w:pageBreakBefore w:val="0"/>
        <w:spacing w:line="360" w:lineRule="auto"/>
        <w:rPr>
          <w:rFonts w:hint="eastAsia"/>
          <w:color w:val="auto"/>
        </w:rPr>
        <w:outlineLvl w:val="9"/>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pageBreakBefore w:val="0"/>
        <w:spacing w:line="360" w:lineRule="auto"/>
        <w:rPr>
          <w:color w:val="auto"/>
        </w:rPr>
        <w:outlineLvl w:val="9"/>
      </w:pPr>
      <w:r>
        <w:rPr>
          <w:rFonts w:hint="eastAsia"/>
          <w:color w:val="auto"/>
        </w:rPr>
        <w:t xml:space="preserve">法人或授权代表签字并盖章：</w:t>
      </w:r>
      <w:r/>
    </w:p>
    <w:p>
      <w:pPr>
        <w:jc w:val="right"/>
        <w:pageBreakBefore w:val="0"/>
        <w:spacing w:line="360" w:lineRule="auto"/>
        <w:rPr>
          <w:color w:val="auto"/>
        </w:rPr>
        <w:outlineLvl w:val="9"/>
      </w:pPr>
      <w:r>
        <w:rPr>
          <w:rFonts w:hint="eastAsia"/>
          <w:color w:val="auto"/>
        </w:rPr>
        <w:t xml:space="preserve">日期：    </w:t>
      </w:r>
      <w:r>
        <w:rPr>
          <w:color w:val="auto"/>
        </w:rPr>
        <w:t xml:space="preserve">年</w:t>
      </w:r>
      <w:r>
        <w:rPr>
          <w:rFonts w:hint="eastAsia"/>
          <w:color w:val="auto"/>
        </w:rPr>
        <w:t xml:space="preserve"> </w:t>
      </w:r>
      <w:r>
        <w:rPr>
          <w:color w:val="auto"/>
        </w:rPr>
        <w:t xml:space="preserve"> 月</w:t>
      </w:r>
      <w:r>
        <w:rPr>
          <w:rFonts w:hint="eastAsia"/>
          <w:color w:val="auto"/>
        </w:rPr>
        <w:t xml:space="preserve"> </w:t>
      </w:r>
      <w:r>
        <w:rPr>
          <w:color w:val="auto"/>
        </w:rPr>
        <w:t xml:space="preserve"> 日</w:t>
      </w:r>
      <w:r/>
    </w:p>
    <w:p>
      <w:pPr>
        <w:pageBreakBefore w:val="0"/>
        <w:rPr>
          <w:rFonts w:ascii="宋体" w:hAnsi="宋体" w:cs="宋体"/>
          <w:color w:val="auto"/>
          <w:szCs w:val="21"/>
        </w:rPr>
        <w:outlineLvl w:val="9"/>
      </w:pPr>
      <w:r>
        <w:rPr>
          <w:color w:val="auto"/>
        </w:rPr>
        <w:br w:type="page" w:clear="all"/>
      </w:r>
      <w:r>
        <w:rPr>
          <w:rFonts w:hint="eastAsia" w:ascii="宋体" w:hAnsi="宋体" w:cs="宋体"/>
          <w:b/>
          <w:color w:val="auto"/>
          <w:szCs w:val="21"/>
        </w:rPr>
        <w:t xml:space="preserve">八、关于符合本国产品标准的声明函</w:t>
      </w:r>
      <w:r/>
    </w:p>
    <w:p>
      <w:pPr>
        <w:pageBreakBefore w:val="0"/>
        <w:rPr>
          <w:rFonts w:hint="eastAsia"/>
          <w:color w:val="auto"/>
        </w:rPr>
        <w:outlineLvl w:val="9"/>
      </w:pPr>
      <w:r>
        <w:rPr>
          <w:rFonts w:hint="eastAsia"/>
          <w:color w:val="auto"/>
        </w:rPr>
      </w:r>
      <w:r/>
    </w:p>
    <w:p>
      <w:pPr>
        <w:jc w:val="center"/>
        <w:pageBreakBefore w:val="0"/>
        <w:spacing w:line="360" w:lineRule="auto"/>
        <w:rPr>
          <w:rFonts w:ascii="宋体" w:hAnsi="宋体" w:cs="宋体"/>
          <w:color w:val="auto"/>
          <w:szCs w:val="21"/>
        </w:rPr>
        <w:outlineLvl w:val="9"/>
      </w:pPr>
      <w:r>
        <w:rPr>
          <w:rFonts w:hint="eastAsia" w:ascii="宋体" w:hAnsi="宋体" w:cs="宋体"/>
          <w:b/>
          <w:color w:val="auto"/>
          <w:szCs w:val="21"/>
        </w:rPr>
        <w:t xml:space="preserve">关于符合本国产品标准的声明函</w:t>
      </w:r>
      <w:r/>
    </w:p>
    <w:p>
      <w:pPr>
        <w:pStyle w:val="1108"/>
        <w:ind w:firstLine="420"/>
        <w:pageBreakBefore w:val="0"/>
        <w:spacing w:line="360" w:lineRule="auto"/>
        <w:rPr>
          <w:rFonts w:ascii="宋体" w:hAnsi="宋体" w:cs="宋体"/>
          <w:color w:val="auto"/>
          <w:sz w:val="21"/>
          <w:szCs w:val="21"/>
        </w:rPr>
        <w:outlineLvl w:val="9"/>
      </w:pPr>
      <w:r>
        <w:rPr>
          <w:rFonts w:hint="eastAsia" w:ascii="宋体" w:hAnsi="宋体" w:cs="宋体"/>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8"/>
        <w:ind w:firstLine="420"/>
        <w:pageBreakBefore w:val="0"/>
        <w:spacing w:before="30" w:after="30" w:line="360" w:lineRule="auto"/>
        <w:rPr>
          <w:rFonts w:ascii="宋体" w:hAnsi="宋体" w:cs="宋体"/>
          <w:color w:val="auto"/>
          <w:sz w:val="21"/>
          <w:szCs w:val="21"/>
        </w:rPr>
        <w:outlineLvl w:val="9"/>
      </w:pPr>
      <w:r>
        <w:rPr>
          <w:rFonts w:hint="eastAsia" w:ascii="宋体" w:hAnsi="宋体" w:cs="宋体"/>
          <w:color w:val="auto"/>
          <w:sz w:val="21"/>
          <w:szCs w:val="21"/>
          <w:shd w:val="clear" w:color="auto" w:fill="ffffff"/>
        </w:rPr>
        <w:t xml:space="preserve">1.</w:t>
      </w:r>
      <w:r>
        <w:rPr>
          <w:rStyle w:val="1121"/>
          <w:rFonts w:hint="eastAsia" w:ascii="宋体" w:hAnsi="宋体" w:cs="宋体"/>
          <w:color w:val="auto"/>
          <w:sz w:val="21"/>
          <w:szCs w:val="21"/>
          <w:u w:val="single"/>
          <w:shd w:val="clear" w:color="auto" w:fill="ffffff"/>
        </w:rPr>
        <w:t xml:space="preserve">（产品名称1）</w:t>
      </w:r>
      <w:r>
        <w:rPr>
          <w:rStyle w:val="1121"/>
          <w:rFonts w:hint="eastAsia" w:ascii="宋体" w:hAnsi="宋体" w:cs="宋体"/>
          <w:color w:val="auto"/>
          <w:sz w:val="21"/>
          <w:szCs w:val="21"/>
          <w:shd w:val="clear" w:color="auto" w:fill="ffffff"/>
          <w:vertAlign w:val="superscript"/>
        </w:rPr>
        <w:t xml:space="preserve">1</w:t>
      </w:r>
      <w:r>
        <w:rPr>
          <w:rFonts w:hint="eastAsia" w:ascii="宋体" w:hAnsi="宋体" w:cs="宋体"/>
          <w:color w:val="auto"/>
          <w:sz w:val="21"/>
          <w:szCs w:val="21"/>
          <w:shd w:val="clear" w:color="auto" w:fill="ffffff"/>
        </w:rPr>
        <w:t xml:space="preserve">，生产厂为</w:t>
      </w:r>
      <w:r>
        <w:rPr>
          <w:rStyle w:val="1121"/>
          <w:rFonts w:hint="eastAsia" w:ascii="宋体" w:hAnsi="宋体" w:cs="宋体"/>
          <w:color w:val="auto"/>
          <w:sz w:val="21"/>
          <w:szCs w:val="21"/>
          <w:u w:val="single"/>
          <w:shd w:val="clear" w:color="auto" w:fill="ffffff"/>
        </w:rPr>
        <w:t xml:space="preserve">（厂名）</w:t>
      </w:r>
      <w:r>
        <w:rPr>
          <w:rStyle w:val="1121"/>
          <w:rFonts w:hint="eastAsia" w:ascii="宋体" w:hAnsi="宋体" w:cs="宋体"/>
          <w:color w:val="auto"/>
          <w:sz w:val="21"/>
          <w:szCs w:val="21"/>
          <w:shd w:val="clear" w:color="auto" w:fill="ffffff"/>
          <w:vertAlign w:val="superscript"/>
        </w:rPr>
        <w:t xml:space="preserve">2</w:t>
      </w:r>
      <w:r>
        <w:rPr>
          <w:rFonts w:hint="eastAsia" w:ascii="宋体" w:hAnsi="宋体" w:cs="宋体"/>
          <w:color w:val="auto"/>
          <w:sz w:val="21"/>
          <w:szCs w:val="21"/>
          <w:shd w:val="clear" w:color="auto" w:fill="ffffff"/>
        </w:rPr>
        <w:t xml:space="preserve">，厂址为</w:t>
      </w:r>
      <w:r>
        <w:rPr>
          <w:rStyle w:val="1121"/>
          <w:rFonts w:hint="eastAsia" w:ascii="宋体" w:hAnsi="宋体" w:cs="宋体"/>
          <w:color w:val="auto"/>
          <w:sz w:val="21"/>
          <w:szCs w:val="21"/>
          <w:u w:val="single"/>
          <w:shd w:val="clear" w:color="auto" w:fill="ffffff"/>
        </w:rPr>
        <w:t xml:space="preserve">（生产厂址）</w:t>
      </w:r>
      <w:r>
        <w:rPr>
          <w:rFonts w:hint="eastAsia" w:ascii="宋体" w:hAnsi="宋体" w:cs="宋体"/>
          <w:color w:val="auto"/>
          <w:sz w:val="21"/>
          <w:szCs w:val="21"/>
          <w:shd w:val="clear" w:color="auto" w:fill="ffffff"/>
        </w:rPr>
        <w:t xml:space="preserve">。</w:t>
      </w:r>
      <w:r>
        <w:rPr>
          <w:rFonts w:hint="eastAsia" w:ascii="宋体" w:hAnsi="宋体" w:cs="宋体"/>
          <w:color w:val="auto"/>
          <w:sz w:val="21"/>
          <w:szCs w:val="21"/>
          <w:u w:val="single"/>
          <w:shd w:val="clear" w:color="auto" w:fill="ffffff"/>
        </w:rPr>
        <w:t xml:space="preserve"> </w:t>
      </w:r>
      <w:r>
        <w:rPr>
          <w:rStyle w:val="1121"/>
          <w:rFonts w:hint="eastAsia" w:ascii="宋体" w:hAnsi="宋体" w:cs="宋体"/>
          <w:color w:val="auto"/>
          <w:sz w:val="21"/>
          <w:szCs w:val="21"/>
          <w:u w:val="single"/>
          <w:shd w:val="clear" w:color="auto" w:fill="ffffff"/>
        </w:rPr>
        <w:t xml:space="preserve">（产品名称1） </w:t>
      </w:r>
      <w:r>
        <w:rPr>
          <w:rFonts w:hint="eastAsia" w:ascii="宋体" w:hAnsi="宋体" w:cs="宋体"/>
          <w:color w:val="auto"/>
          <w:sz w:val="21"/>
          <w:szCs w:val="21"/>
          <w:shd w:val="clear" w:color="auto" w:fill="ffffff"/>
        </w:rPr>
        <w:t xml:space="preserve">的中国境内生产的组件成本占比≥</w:t>
      </w:r>
      <w:r>
        <w:rPr>
          <w:rStyle w:val="1121"/>
          <w:rFonts w:hint="eastAsia" w:ascii="宋体" w:hAnsi="宋体" w:cs="宋体"/>
          <w:color w:val="auto"/>
          <w:sz w:val="21"/>
          <w:szCs w:val="21"/>
          <w:u w:val="single"/>
          <w:shd w:val="clear" w:color="auto" w:fill="ffffff"/>
        </w:rPr>
        <w:t xml:space="preserve">（规定比例）</w:t>
      </w:r>
      <w:r>
        <w:rPr>
          <w:rStyle w:val="1121"/>
          <w:rFonts w:hint="eastAsia" w:ascii="宋体" w:hAnsi="宋体" w:cs="宋体"/>
          <w:color w:val="auto"/>
          <w:sz w:val="21"/>
          <w:szCs w:val="21"/>
          <w:shd w:val="clear" w:color="auto" w:fill="ffffff"/>
          <w:vertAlign w:val="superscript"/>
        </w:rPr>
        <w:t xml:space="preserve">3</w:t>
      </w:r>
      <w:r>
        <w:rPr>
          <w:rFonts w:hint="eastAsia" w:ascii="宋体" w:hAnsi="宋体" w:cs="宋体"/>
          <w:color w:val="auto"/>
          <w:sz w:val="21"/>
          <w:szCs w:val="21"/>
          <w:shd w:val="clear" w:color="auto" w:fill="ffffff"/>
        </w:rPr>
        <w:t xml:space="preserve">。</w:t>
      </w:r>
      <w:r>
        <w:rPr>
          <w:rStyle w:val="1121"/>
          <w:rFonts w:hint="eastAsia" w:ascii="宋体" w:hAnsi="宋体" w:cs="宋体"/>
          <w:color w:val="auto"/>
          <w:sz w:val="21"/>
          <w:szCs w:val="21"/>
          <w:u w:val="single"/>
          <w:shd w:val="clear" w:color="auto" w:fill="ffffff"/>
        </w:rPr>
        <w:t xml:space="preserve">（产品名称1）</w:t>
      </w:r>
      <w:r>
        <w:rPr>
          <w:rFonts w:hint="eastAsia" w:ascii="宋体" w:hAnsi="宋体" w:cs="宋体"/>
          <w:color w:val="auto"/>
          <w:sz w:val="21"/>
          <w:szCs w:val="21"/>
          <w:shd w:val="clear" w:color="auto" w:fill="ffffff"/>
        </w:rPr>
        <w:t xml:space="preserve">的</w:t>
      </w:r>
      <w:r>
        <w:rPr>
          <w:rStyle w:val="1121"/>
          <w:rFonts w:hint="eastAsia" w:ascii="宋体" w:hAnsi="宋体" w:cs="宋体"/>
          <w:color w:val="auto"/>
          <w:sz w:val="21"/>
          <w:szCs w:val="21"/>
          <w:u w:val="single"/>
          <w:shd w:val="clear" w:color="auto" w:fill="ffffff"/>
        </w:rPr>
        <w:t xml:space="preserve">（关键组件）</w:t>
      </w:r>
      <w:r>
        <w:rPr>
          <w:rStyle w:val="1121"/>
          <w:rFonts w:hint="eastAsia" w:ascii="宋体" w:hAnsi="宋体" w:cs="宋体"/>
          <w:color w:val="auto"/>
          <w:sz w:val="21"/>
          <w:szCs w:val="21"/>
          <w:shd w:val="clear" w:color="auto" w:fill="ffffff"/>
          <w:vertAlign w:val="superscript"/>
        </w:rPr>
        <w:t xml:space="preserve">4</w:t>
      </w:r>
      <w:r>
        <w:rPr>
          <w:rFonts w:hint="eastAsia" w:ascii="宋体" w:hAnsi="宋体" w:cs="宋体"/>
          <w:color w:val="auto"/>
          <w:sz w:val="21"/>
          <w:szCs w:val="21"/>
          <w:shd w:val="clear" w:color="auto" w:fill="ffffff"/>
        </w:rPr>
        <w:t xml:space="preserve">在中国境内生产。</w:t>
      </w:r>
      <w:r>
        <w:rPr>
          <w:rStyle w:val="1121"/>
          <w:rFonts w:hint="eastAsia" w:ascii="宋体" w:hAnsi="宋体" w:cs="宋体"/>
          <w:color w:val="auto"/>
          <w:sz w:val="21"/>
          <w:szCs w:val="21"/>
          <w:u w:val="single"/>
          <w:shd w:val="clear" w:color="auto" w:fill="ffffff"/>
        </w:rPr>
        <w:t xml:space="preserve">（产品名称1）</w:t>
      </w:r>
      <w:r>
        <w:rPr>
          <w:rFonts w:hint="eastAsia" w:ascii="宋体" w:hAnsi="宋体" w:cs="宋体"/>
          <w:color w:val="auto"/>
          <w:sz w:val="21"/>
          <w:szCs w:val="21"/>
          <w:shd w:val="clear" w:color="auto" w:fill="ffffff"/>
        </w:rPr>
        <w:t xml:space="preserve">的</w:t>
      </w:r>
      <w:r>
        <w:rPr>
          <w:rStyle w:val="1121"/>
          <w:rFonts w:hint="eastAsia" w:ascii="宋体" w:hAnsi="宋体" w:cs="宋体"/>
          <w:color w:val="auto"/>
          <w:sz w:val="21"/>
          <w:szCs w:val="21"/>
          <w:u w:val="single"/>
          <w:shd w:val="clear" w:color="auto" w:fill="ffffff"/>
        </w:rPr>
        <w:t xml:space="preserve">（关键工序）</w:t>
      </w:r>
      <w:r>
        <w:rPr>
          <w:rStyle w:val="1121"/>
          <w:rFonts w:hint="eastAsia" w:ascii="宋体" w:hAnsi="宋体" w:cs="宋体"/>
          <w:color w:val="auto"/>
          <w:sz w:val="21"/>
          <w:szCs w:val="21"/>
          <w:shd w:val="clear" w:color="auto" w:fill="ffffff"/>
          <w:vertAlign w:val="superscript"/>
        </w:rPr>
        <w:t xml:space="preserve">5</w:t>
      </w:r>
      <w:r>
        <w:rPr>
          <w:rFonts w:hint="eastAsia" w:ascii="宋体" w:hAnsi="宋体" w:cs="宋体"/>
          <w:color w:val="auto"/>
          <w:sz w:val="21"/>
          <w:szCs w:val="21"/>
          <w:shd w:val="clear" w:color="auto" w:fill="ffffff"/>
        </w:rPr>
        <w:t xml:space="preserve">在中国境内完成。</w:t>
      </w:r>
      <w:r/>
    </w:p>
    <w:p>
      <w:pPr>
        <w:pStyle w:val="1108"/>
        <w:ind w:firstLine="420"/>
        <w:pageBreakBefore w:val="0"/>
        <w:spacing w:before="30" w:after="30" w:line="360" w:lineRule="auto"/>
        <w:rPr>
          <w:rFonts w:ascii="宋体" w:hAnsi="宋体" w:cs="宋体"/>
          <w:color w:val="auto"/>
          <w:sz w:val="21"/>
          <w:szCs w:val="21"/>
        </w:rPr>
        <w:outlineLvl w:val="9"/>
      </w:pPr>
      <w:r>
        <w:rPr>
          <w:rFonts w:hint="eastAsia" w:ascii="宋体" w:hAnsi="宋体" w:cs="宋体"/>
          <w:color w:val="auto"/>
          <w:sz w:val="21"/>
          <w:szCs w:val="21"/>
          <w:shd w:val="clear" w:color="auto" w:fill="ffffff"/>
        </w:rPr>
        <w:t xml:space="preserve">2.</w:t>
      </w:r>
      <w:r>
        <w:rPr>
          <w:rStyle w:val="1121"/>
          <w:rFonts w:hint="eastAsia" w:ascii="宋体" w:hAnsi="宋体" w:cs="宋体"/>
          <w:color w:val="auto"/>
          <w:sz w:val="21"/>
          <w:szCs w:val="21"/>
          <w:u w:val="single"/>
          <w:shd w:val="clear" w:color="auto" w:fill="ffffff"/>
        </w:rPr>
        <w:t xml:space="preserve">（产品名称2）</w:t>
      </w:r>
      <w:r>
        <w:rPr>
          <w:rFonts w:hint="eastAsia" w:ascii="宋体" w:hAnsi="宋体" w:cs="宋体"/>
          <w:color w:val="auto"/>
          <w:sz w:val="21"/>
          <w:szCs w:val="21"/>
          <w:shd w:val="clear" w:color="auto" w:fill="ffffff"/>
        </w:rPr>
        <w:t xml:space="preserve">，生产厂为</w:t>
      </w:r>
      <w:r>
        <w:rPr>
          <w:rStyle w:val="1121"/>
          <w:rFonts w:hint="eastAsia" w:ascii="宋体" w:hAnsi="宋体" w:cs="宋体"/>
          <w:color w:val="auto"/>
          <w:sz w:val="21"/>
          <w:szCs w:val="21"/>
          <w:u w:val="single"/>
          <w:shd w:val="clear" w:color="auto" w:fill="ffffff"/>
        </w:rPr>
        <w:t xml:space="preserve">（厂名）</w:t>
      </w:r>
      <w:r>
        <w:rPr>
          <w:rFonts w:hint="eastAsia" w:ascii="宋体" w:hAnsi="宋体" w:cs="宋体"/>
          <w:color w:val="auto"/>
          <w:sz w:val="21"/>
          <w:szCs w:val="21"/>
          <w:shd w:val="clear" w:color="auto" w:fill="ffffff"/>
        </w:rPr>
        <w:t xml:space="preserve">，厂址为</w:t>
      </w:r>
      <w:r>
        <w:rPr>
          <w:rStyle w:val="1121"/>
          <w:rFonts w:hint="eastAsia" w:ascii="宋体" w:hAnsi="宋体" w:cs="宋体"/>
          <w:color w:val="auto"/>
          <w:sz w:val="21"/>
          <w:szCs w:val="21"/>
          <w:u w:val="single"/>
          <w:shd w:val="clear" w:color="auto" w:fill="ffffff"/>
        </w:rPr>
        <w:t xml:space="preserve">（生产厂址）</w:t>
      </w:r>
      <w:r>
        <w:rPr>
          <w:rFonts w:hint="eastAsia" w:ascii="宋体" w:hAnsi="宋体" w:cs="宋体"/>
          <w:color w:val="auto"/>
          <w:sz w:val="21"/>
          <w:szCs w:val="21"/>
          <w:shd w:val="clear" w:color="auto" w:fill="ffffff"/>
        </w:rPr>
        <w:t xml:space="preserve">。</w:t>
      </w:r>
      <w:r>
        <w:rPr>
          <w:rStyle w:val="1121"/>
          <w:rFonts w:hint="eastAsia" w:ascii="宋体" w:hAnsi="宋体" w:cs="宋体"/>
          <w:color w:val="auto"/>
          <w:sz w:val="21"/>
          <w:szCs w:val="21"/>
          <w:u w:val="single"/>
          <w:shd w:val="clear" w:color="auto" w:fill="ffffff"/>
        </w:rPr>
        <w:t xml:space="preserve">（产品名称2）</w:t>
      </w:r>
      <w:r>
        <w:rPr>
          <w:rFonts w:hint="eastAsia" w:ascii="宋体" w:hAnsi="宋体" w:cs="宋体"/>
          <w:color w:val="auto"/>
          <w:sz w:val="21"/>
          <w:szCs w:val="21"/>
          <w:shd w:val="clear" w:color="auto" w:fill="ffffff"/>
        </w:rPr>
        <w:t xml:space="preserve">的中国境内生产的组件成本占比≥</w:t>
      </w:r>
      <w:r>
        <w:rPr>
          <w:rStyle w:val="1121"/>
          <w:rFonts w:hint="eastAsia" w:ascii="宋体" w:hAnsi="宋体" w:cs="宋体"/>
          <w:color w:val="auto"/>
          <w:sz w:val="21"/>
          <w:szCs w:val="21"/>
          <w:u w:val="single"/>
          <w:shd w:val="clear" w:color="auto" w:fill="ffffff"/>
        </w:rPr>
        <w:t xml:space="preserve">（规定比例）</w:t>
      </w:r>
      <w:r>
        <w:rPr>
          <w:rFonts w:hint="eastAsia" w:ascii="宋体" w:hAnsi="宋体" w:cs="宋体"/>
          <w:color w:val="auto"/>
          <w:sz w:val="21"/>
          <w:szCs w:val="21"/>
          <w:shd w:val="clear" w:color="auto" w:fill="ffffff"/>
        </w:rPr>
        <w:t xml:space="preserve">。</w:t>
      </w:r>
      <w:r>
        <w:rPr>
          <w:rStyle w:val="1121"/>
          <w:rFonts w:hint="eastAsia" w:ascii="宋体" w:hAnsi="宋体" w:cs="宋体"/>
          <w:color w:val="auto"/>
          <w:sz w:val="21"/>
          <w:szCs w:val="21"/>
          <w:u w:val="single"/>
          <w:shd w:val="clear" w:color="auto" w:fill="ffffff"/>
        </w:rPr>
        <w:t xml:space="preserve">（产品名称2）</w:t>
      </w:r>
      <w:r>
        <w:rPr>
          <w:rFonts w:hint="eastAsia" w:ascii="宋体" w:hAnsi="宋体" w:cs="宋体"/>
          <w:color w:val="auto"/>
          <w:sz w:val="21"/>
          <w:szCs w:val="21"/>
          <w:shd w:val="clear" w:color="auto" w:fill="ffffff"/>
        </w:rPr>
        <w:t xml:space="preserve">的</w:t>
      </w:r>
      <w:r>
        <w:rPr>
          <w:rStyle w:val="1121"/>
          <w:rFonts w:hint="eastAsia" w:ascii="宋体" w:hAnsi="宋体" w:cs="宋体"/>
          <w:color w:val="auto"/>
          <w:sz w:val="21"/>
          <w:szCs w:val="21"/>
          <w:u w:val="single"/>
          <w:shd w:val="clear" w:color="auto" w:fill="ffffff"/>
        </w:rPr>
        <w:t xml:space="preserve">（关键组件）</w:t>
      </w:r>
      <w:r>
        <w:rPr>
          <w:rFonts w:hint="eastAsia" w:ascii="宋体" w:hAnsi="宋体" w:cs="宋体"/>
          <w:color w:val="auto"/>
          <w:sz w:val="21"/>
          <w:szCs w:val="21"/>
          <w:shd w:val="clear" w:color="auto" w:fill="ffffff"/>
        </w:rPr>
        <w:t xml:space="preserve">在中国境内生产。</w:t>
      </w:r>
      <w:r>
        <w:rPr>
          <w:rStyle w:val="1121"/>
          <w:rFonts w:hint="eastAsia" w:ascii="宋体" w:hAnsi="宋体" w:cs="宋体"/>
          <w:color w:val="auto"/>
          <w:sz w:val="21"/>
          <w:szCs w:val="21"/>
          <w:u w:val="single"/>
          <w:shd w:val="clear" w:color="auto" w:fill="ffffff"/>
        </w:rPr>
        <w:t xml:space="preserve">（产品名称1）</w:t>
      </w:r>
      <w:r>
        <w:rPr>
          <w:rFonts w:hint="eastAsia" w:ascii="宋体" w:hAnsi="宋体" w:cs="宋体"/>
          <w:color w:val="auto"/>
          <w:sz w:val="21"/>
          <w:szCs w:val="21"/>
          <w:shd w:val="clear" w:color="auto" w:fill="ffffff"/>
        </w:rPr>
        <w:t xml:space="preserve">的</w:t>
      </w:r>
      <w:r>
        <w:rPr>
          <w:rStyle w:val="1121"/>
          <w:rFonts w:hint="eastAsia" w:ascii="宋体" w:hAnsi="宋体" w:cs="宋体"/>
          <w:color w:val="auto"/>
          <w:sz w:val="21"/>
          <w:szCs w:val="21"/>
          <w:u w:val="single"/>
          <w:shd w:val="clear" w:color="auto" w:fill="ffffff"/>
        </w:rPr>
        <w:t xml:space="preserve">（关键工序）</w:t>
      </w:r>
      <w:r>
        <w:rPr>
          <w:rFonts w:hint="eastAsia" w:ascii="宋体" w:hAnsi="宋体" w:cs="宋体"/>
          <w:color w:val="auto"/>
          <w:sz w:val="21"/>
          <w:szCs w:val="21"/>
          <w:shd w:val="clear" w:color="auto" w:fill="ffffff"/>
        </w:rPr>
        <w:t xml:space="preserve">在中国境内完成。</w:t>
      </w:r>
      <w:r/>
    </w:p>
    <w:p>
      <w:pPr>
        <w:pStyle w:val="1108"/>
        <w:ind w:firstLine="420"/>
        <w:pageBreakBefore w:val="0"/>
        <w:spacing w:before="30" w:after="30" w:line="360" w:lineRule="auto"/>
        <w:rPr>
          <w:rFonts w:ascii="宋体" w:hAnsi="宋体" w:cs="宋体"/>
          <w:color w:val="auto"/>
          <w:sz w:val="21"/>
          <w:szCs w:val="21"/>
        </w:rPr>
        <w:outlineLvl w:val="9"/>
      </w:pPr>
      <w:r>
        <w:rPr>
          <w:rFonts w:hint="eastAsia" w:ascii="宋体" w:hAnsi="宋体" w:cs="宋体"/>
          <w:color w:val="auto"/>
          <w:sz w:val="21"/>
          <w:szCs w:val="21"/>
          <w:shd w:val="clear" w:color="auto" w:fill="ffffff"/>
        </w:rPr>
        <w:t xml:space="preserve">……</w:t>
      </w:r>
      <w:r/>
    </w:p>
    <w:p>
      <w:pPr>
        <w:pStyle w:val="1108"/>
        <w:ind w:firstLine="420"/>
        <w:pageBreakBefore w:val="0"/>
        <w:spacing w:before="30" w:after="30" w:line="360" w:lineRule="auto"/>
        <w:rPr>
          <w:rFonts w:ascii="宋体" w:hAnsi="宋体" w:cs="宋体"/>
          <w:color w:val="auto"/>
          <w:sz w:val="21"/>
          <w:szCs w:val="21"/>
        </w:rPr>
        <w:outlineLvl w:val="9"/>
      </w:pPr>
      <w:r>
        <w:rPr>
          <w:rFonts w:hint="eastAsia" w:ascii="宋体" w:hAnsi="宋体" w:cs="宋体"/>
          <w:color w:val="auto"/>
          <w:sz w:val="21"/>
          <w:szCs w:val="21"/>
          <w:shd w:val="clear" w:color="auto" w:fill="ffffff"/>
        </w:rPr>
        <w:t xml:space="preserve">本公司（单位）对上述声明内容的真实性负责。如有虚假，愿承担相应法律责任。</w:t>
      </w:r>
      <w:r/>
    </w:p>
    <w:p>
      <w:pPr>
        <w:pStyle w:val="1108"/>
        <w:pageBreakBefore w:val="0"/>
        <w:spacing w:before="30" w:after="30" w:line="360" w:lineRule="auto"/>
        <w:rPr>
          <w:rFonts w:ascii="宋体" w:hAnsi="宋体" w:cs="宋体"/>
          <w:color w:val="auto"/>
          <w:sz w:val="21"/>
          <w:szCs w:val="21"/>
        </w:rPr>
        <w:outlineLvl w:val="9"/>
      </w:pPr>
      <w:r>
        <w:rPr>
          <w:rFonts w:ascii="宋体" w:hAnsi="宋体" w:cs="宋体"/>
          <w:color w:val="auto"/>
          <w:sz w:val="21"/>
          <w:szCs w:val="21"/>
        </w:rPr>
      </w:r>
      <w:r/>
    </w:p>
    <w:p>
      <w:pPr>
        <w:pStyle w:val="1108"/>
        <w:ind w:right="480" w:firstLine="3720"/>
        <w:pageBreakBefore w:val="0"/>
        <w:spacing w:before="30" w:after="30" w:line="360" w:lineRule="auto"/>
        <w:rPr>
          <w:rFonts w:ascii="宋体" w:hAnsi="宋体" w:cs="宋体"/>
          <w:color w:val="auto"/>
          <w:sz w:val="21"/>
          <w:szCs w:val="21"/>
        </w:rPr>
        <w:outlineLvl w:val="9"/>
      </w:pPr>
      <w:r>
        <w:rPr>
          <w:rFonts w:hint="eastAsia" w:ascii="宋体" w:hAnsi="宋体" w:cs="宋体"/>
          <w:color w:val="auto"/>
          <w:sz w:val="21"/>
          <w:szCs w:val="21"/>
          <w:shd w:val="clear" w:color="auto" w:fill="ffffff"/>
        </w:rPr>
        <w:t xml:space="preserve">公司（单位）名称（盖章）：　        </w:t>
      </w:r>
      <w:r/>
    </w:p>
    <w:p>
      <w:pPr>
        <w:pStyle w:val="1108"/>
        <w:jc w:val="center"/>
        <w:pageBreakBefore w:val="0"/>
        <w:spacing w:before="30" w:after="30" w:line="360" w:lineRule="auto"/>
        <w:rPr>
          <w:rFonts w:ascii="宋体" w:hAnsi="宋体" w:cs="宋体"/>
          <w:color w:val="auto"/>
          <w:sz w:val="21"/>
          <w:szCs w:val="21"/>
        </w:rPr>
        <w:outlineLvl w:val="9"/>
      </w:pPr>
      <w:r>
        <w:rPr>
          <w:rFonts w:hint="eastAsia" w:ascii="宋体" w:hAnsi="宋体" w:cs="宋体"/>
          <w:color w:val="auto"/>
          <w:sz w:val="21"/>
          <w:szCs w:val="21"/>
          <w:shd w:val="clear" w:color="auto" w:fill="ffffff"/>
        </w:rPr>
        <w:t xml:space="preserve">                                日期：　   年　  月　  日         </w:t>
      </w:r>
      <w:r/>
    </w:p>
    <w:p>
      <w:pPr>
        <w:pStyle w:val="1108"/>
        <w:pageBreakBefore w:val="0"/>
        <w:spacing w:before="30" w:after="30" w:line="360" w:lineRule="auto"/>
        <w:rPr>
          <w:rFonts w:ascii="宋体" w:hAnsi="宋体" w:cs="宋体"/>
          <w:color w:val="auto"/>
          <w:sz w:val="21"/>
          <w:szCs w:val="21"/>
        </w:rPr>
        <w:outlineLvl w:val="9"/>
      </w:pPr>
      <w:r>
        <w:rPr>
          <w:rFonts w:hint="eastAsia" w:ascii="宋体" w:hAnsi="宋体" w:cs="宋体"/>
          <w:color w:val="auto"/>
          <w:sz w:val="21"/>
          <w:szCs w:val="21"/>
          <w:shd w:val="clear" w:color="auto" w:fill="ffffff"/>
        </w:rPr>
        <w:t xml:space="preserve">__________________</w:t>
      </w:r>
      <w:r/>
    </w:p>
    <w:p>
      <w:pPr>
        <w:pStyle w:val="1330"/>
        <w:ind w:firstLine="445"/>
        <w:pageBreakBefore w:val="0"/>
        <w:spacing w:before="151" w:after="151" w:line="360" w:lineRule="auto"/>
        <w:rPr>
          <w:rFonts w:ascii="宋体" w:hAnsi="宋体" w:cs="宋体"/>
          <w:color w:val="auto"/>
          <w:szCs w:val="21"/>
        </w:rPr>
        <w:outlineLvl w:val="9"/>
      </w:pPr>
      <w:r>
        <w:rPr>
          <w:rFonts w:hint="eastAsia" w:ascii="宋体" w:hAnsi="宋体" w:cs="宋体"/>
          <w:color w:val="auto"/>
          <w:szCs w:val="21"/>
        </w:rPr>
        <w:t xml:space="preserve">1.产品如有型号，请在“产品名称”栏一并填写。</w:t>
      </w:r>
      <w:r/>
    </w:p>
    <w:p>
      <w:pPr>
        <w:pStyle w:val="1330"/>
        <w:ind w:firstLine="445"/>
        <w:pageBreakBefore w:val="0"/>
        <w:spacing w:before="151" w:after="151" w:line="360" w:lineRule="auto"/>
        <w:rPr>
          <w:rFonts w:ascii="宋体" w:hAnsi="宋体" w:cs="宋体"/>
          <w:color w:val="auto"/>
          <w:szCs w:val="21"/>
        </w:rPr>
        <w:outlineLvl w:val="9"/>
      </w:pPr>
      <w:r>
        <w:rPr>
          <w:rFonts w:hint="eastAsia" w:ascii="宋体" w:hAnsi="宋体" w:cs="宋体"/>
          <w:color w:val="auto"/>
          <w:szCs w:val="21"/>
        </w:rPr>
        <w:t xml:space="preserve">2.生产厂名与厂址应与生产厂营业执照载明的相关信息保持一致。</w:t>
      </w:r>
      <w:r/>
    </w:p>
    <w:p>
      <w:pPr>
        <w:pStyle w:val="1330"/>
        <w:ind w:firstLine="445"/>
        <w:pageBreakBefore w:val="0"/>
        <w:spacing w:before="151" w:after="151" w:line="360" w:lineRule="auto"/>
        <w:rPr>
          <w:rFonts w:ascii="宋体" w:hAnsi="宋体" w:cs="宋体"/>
          <w:color w:val="auto"/>
          <w:szCs w:val="21"/>
        </w:rPr>
        <w:outlineLvl w:val="9"/>
      </w:pPr>
      <w:r>
        <w:rPr>
          <w:rFonts w:hint="eastAsia" w:ascii="宋体" w:hAnsi="宋体" w:cs="宋体"/>
          <w:color w:val="auto"/>
          <w:szCs w:val="21"/>
        </w:rPr>
        <w:t xml:space="preserve">3.该产品的中国境内生产的组件成本占比相关要求实施前，“规定比例”栏可不填，下同。</w:t>
      </w:r>
      <w:r/>
    </w:p>
    <w:p>
      <w:pPr>
        <w:pStyle w:val="1330"/>
        <w:ind w:firstLine="445"/>
        <w:pageBreakBefore w:val="0"/>
        <w:spacing w:before="151" w:after="151" w:line="360" w:lineRule="auto"/>
        <w:rPr>
          <w:rFonts w:ascii="宋体" w:hAnsi="宋体" w:cs="宋体"/>
          <w:color w:val="auto"/>
          <w:szCs w:val="21"/>
        </w:rPr>
        <w:outlineLvl w:val="9"/>
      </w:pPr>
      <w:r>
        <w:rPr>
          <w:rFonts w:hint="eastAsia" w:ascii="宋体" w:hAnsi="宋体" w:cs="宋体"/>
          <w:color w:val="auto"/>
          <w:szCs w:val="21"/>
        </w:rPr>
        <w:t xml:space="preserve">4.该产品的关键组件要求实施前，“关键组件”栏可不填，下同。</w:t>
      </w:r>
      <w:r/>
    </w:p>
    <w:p>
      <w:pPr>
        <w:pStyle w:val="1330"/>
        <w:ind w:firstLine="445"/>
        <w:pageBreakBefore w:val="0"/>
        <w:spacing w:before="151" w:after="151" w:line="360" w:lineRule="auto"/>
        <w:rPr>
          <w:rFonts w:ascii="宋体" w:hAnsi="宋体" w:cs="宋体"/>
          <w:color w:val="auto"/>
          <w:szCs w:val="21"/>
        </w:rPr>
        <w:outlineLvl w:val="9"/>
      </w:pPr>
      <w:r>
        <w:rPr>
          <w:rFonts w:hint="eastAsia" w:ascii="宋体" w:hAnsi="宋体" w:cs="宋体"/>
          <w:color w:val="auto"/>
          <w:szCs w:val="21"/>
        </w:rPr>
        <w:t xml:space="preserve">5.该产品的关键工序要求实施前，“关键工序”栏可不填，下同。</w:t>
      </w:r>
      <w:r/>
    </w:p>
    <w:p>
      <w:pPr>
        <w:pStyle w:val="1330"/>
        <w:ind w:firstLine="445"/>
        <w:pageBreakBefore w:val="0"/>
        <w:spacing w:before="151" w:after="151" w:line="360" w:lineRule="auto"/>
        <w:rPr>
          <w:rFonts w:ascii="宋体" w:hAnsi="宋体" w:cs="宋体"/>
          <w:color w:val="auto"/>
          <w:szCs w:val="21"/>
        </w:rPr>
        <w:outlineLvl w:val="9"/>
      </w:pPr>
      <w:r>
        <w:rPr>
          <w:rFonts w:hint="eastAsia" w:ascii="宋体" w:hAnsi="宋体" w:cs="宋体"/>
          <w:color w:val="auto"/>
          <w:szCs w:val="21"/>
        </w:rPr>
        <w:t xml:space="preserve">6.用斜线划除的地方无需填写。</w:t>
      </w:r>
      <w:r/>
    </w:p>
    <w:p>
      <w:pPr>
        <w:pStyle w:val="1074"/>
        <w:pageBreakBefore w:val="0"/>
        <w:spacing w:line="360" w:lineRule="auto"/>
        <w:rPr>
          <w:color w:val="auto"/>
        </w:rPr>
        <w:outlineLvl w:val="9"/>
      </w:pPr>
      <w:r>
        <w:rPr>
          <w:color w:val="auto"/>
        </w:rPr>
      </w:r>
      <w:r/>
    </w:p>
    <w:p>
      <w:pPr>
        <w:pageBreakBefore w:val="0"/>
        <w:spacing w:line="360" w:lineRule="auto"/>
        <w:rPr>
          <w:rFonts w:ascii="宋体" w:hAnsi="宋体"/>
          <w:color w:val="auto"/>
          <w:sz w:val="24"/>
          <w:lang w:val="zh-CN"/>
        </w:rPr>
        <w:sectPr>
          <w:footnotePr/>
          <w:endnotePr/>
          <w:type w:val="nextPage"/>
          <w:pgSz w:w="11906" w:h="16838" w:orient="portrait"/>
          <w:pgMar w:top="1134" w:right="1134" w:bottom="1134" w:left="1134" w:header="851" w:footer="680" w:gutter="0"/>
          <w:cols w:num="1" w:sep="0" w:space="1701" w:equalWidth="1"/>
          <w:docGrid w:linePitch="360"/>
        </w:sectPr>
        <w:outlineLvl w:val="9"/>
      </w:pPr>
      <w:r/>
      <w:bookmarkStart w:id="79" w:name="_Toc161067524"/>
      <w:r/>
      <w:r/>
    </w:p>
    <w:p>
      <w:pPr>
        <w:pStyle w:val="1043"/>
        <w:pageBreakBefore w:val="0"/>
        <w:spacing w:before="0" w:after="0" w:line="360" w:lineRule="auto"/>
        <w:rPr>
          <w:rFonts w:ascii="宋体" w:hAnsi="宋体" w:eastAsia="宋体"/>
          <w:color w:val="auto"/>
          <w:sz w:val="24"/>
          <w:szCs w:val="24"/>
          <w:lang w:val="zh-CN"/>
        </w:rPr>
        <w:outlineLvl w:val="9"/>
      </w:pPr>
      <w:r/>
      <w:bookmarkStart w:id="80" w:name="_Toc161126696"/>
      <w:r/>
      <w:bookmarkStart w:id="81" w:name="_Toc166338844"/>
      <w:r>
        <w:rPr>
          <w:rFonts w:hint="eastAsia" w:ascii="宋体" w:hAnsi="宋体" w:eastAsia="宋体"/>
          <w:color w:val="auto"/>
          <w:sz w:val="24"/>
          <w:szCs w:val="24"/>
          <w:lang w:val="zh-CN"/>
        </w:rPr>
        <w:t xml:space="preserve">九、响应及</w:t>
      </w:r>
      <w:r>
        <w:rPr>
          <w:rFonts w:ascii="宋体" w:hAnsi="宋体" w:eastAsia="宋体"/>
          <w:color w:val="auto"/>
          <w:sz w:val="24"/>
          <w:szCs w:val="24"/>
          <w:lang w:val="zh-CN"/>
        </w:rPr>
        <w:t xml:space="preserve">偏离表（技术</w:t>
      </w:r>
      <w:r>
        <w:rPr>
          <w:rFonts w:hint="eastAsia" w:ascii="宋体" w:hAnsi="宋体" w:eastAsia="宋体"/>
          <w:color w:val="auto"/>
          <w:sz w:val="24"/>
          <w:szCs w:val="24"/>
          <w:lang w:val="zh-CN"/>
        </w:rPr>
        <w:t xml:space="preserve">要求</w:t>
      </w:r>
      <w:r>
        <w:rPr>
          <w:rFonts w:ascii="宋体" w:hAnsi="宋体" w:eastAsia="宋体"/>
          <w:color w:val="auto"/>
          <w:sz w:val="24"/>
          <w:szCs w:val="24"/>
          <w:lang w:val="zh-CN"/>
        </w:rPr>
        <w:t xml:space="preserve">）</w:t>
      </w:r>
      <w:bookmarkEnd w:id="79"/>
      <w:r/>
      <w:bookmarkEnd w:id="80"/>
      <w:r/>
      <w:bookmarkEnd w:id="81"/>
      <w:r/>
      <w:r/>
    </w:p>
    <w:p>
      <w:pPr>
        <w:jc w:val="center"/>
        <w:pageBreakBefore w:val="0"/>
        <w:spacing w:line="360" w:lineRule="auto"/>
        <w:rPr>
          <w:rFonts w:hint="eastAsia"/>
          <w:color w:val="auto"/>
          <w:sz w:val="24"/>
        </w:rPr>
        <w:outlineLvl w:val="9"/>
      </w:pPr>
      <w:r>
        <w:rPr>
          <w:rFonts w:hint="eastAsia"/>
          <w:color w:val="auto"/>
          <w:sz w:val="24"/>
        </w:rPr>
        <w:t xml:space="preserve">偏离表（技术要求）</w:t>
      </w:r>
      <w:r/>
    </w:p>
    <w:tbl>
      <w:tblPr>
        <w:tblStyle w:val="86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3817"/>
        <w:gridCol w:w="2470"/>
        <w:gridCol w:w="2603"/>
      </w:tblGrid>
      <w:tr>
        <w:trPr>
          <w:jc w:val="center"/>
        </w:trPr>
        <w:tc>
          <w:tcPr>
            <w:tcW w:w="489"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序号</w:t>
            </w:r>
            <w:r/>
          </w:p>
        </w:tc>
        <w:tc>
          <w:tcPr>
            <w:tcW w:w="1936"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谈判文件要求</w:t>
            </w:r>
            <w:r/>
          </w:p>
        </w:tc>
        <w:tc>
          <w:tcPr>
            <w:tcW w:w="1253"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响应情况</w:t>
            </w:r>
            <w:r/>
          </w:p>
        </w:tc>
        <w:tc>
          <w:tcPr>
            <w:tcW w:w="1320"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偏离说明</w:t>
            </w:r>
            <w:r/>
          </w:p>
        </w:tc>
      </w:tr>
      <w:tr>
        <w:trPr>
          <w:jc w:val="center"/>
        </w:trPr>
        <w:tc>
          <w:tcPr>
            <w:tcW w:w="489"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1</w:t>
            </w:r>
            <w:r/>
          </w:p>
        </w:tc>
        <w:tc>
          <w:tcPr>
            <w:tcW w:w="1936" w:type="dxa"/>
            <w:vAlign w:val="center"/>
            <w:textDirection w:val="lrTb"/>
            <w:noWrap w:val="false"/>
          </w:tcPr>
          <w:p>
            <w:pPr>
              <w:jc w:val="center"/>
              <w:pageBreakBefore w:val="0"/>
              <w:spacing w:line="360" w:lineRule="auto"/>
              <w:rPr>
                <w:rFonts w:ascii="宋体" w:hAnsi="宋体"/>
                <w:color w:val="auto"/>
                <w:szCs w:val="21"/>
                <w:highlight w:val="yellow"/>
              </w:rPr>
              <w:outlineLvl w:val="9"/>
            </w:pPr>
            <w:r>
              <w:rPr>
                <w:rFonts w:hint="eastAsia"/>
                <w:color w:val="auto"/>
              </w:rPr>
              <w:t xml:space="preserve">采购清单及服务范围</w:t>
            </w:r>
            <w:r/>
          </w:p>
        </w:tc>
        <w:tc>
          <w:tcPr>
            <w:tcW w:w="1253"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1320"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r>
      <w:tr>
        <w:trPr>
          <w:jc w:val="center"/>
        </w:trPr>
        <w:tc>
          <w:tcPr>
            <w:tcW w:w="489"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2</w:t>
            </w:r>
            <w:r/>
          </w:p>
        </w:tc>
        <w:tc>
          <w:tcPr>
            <w:tcW w:w="1936" w:type="dxa"/>
            <w:vAlign w:val="center"/>
            <w:textDirection w:val="lrTb"/>
            <w:noWrap w:val="false"/>
          </w:tcPr>
          <w:p>
            <w:pPr>
              <w:jc w:val="center"/>
              <w:pageBreakBefore w:val="0"/>
              <w:spacing w:line="360" w:lineRule="auto"/>
              <w:rPr>
                <w:rFonts w:ascii="宋体" w:hAnsi="宋体"/>
                <w:color w:val="auto"/>
                <w:szCs w:val="21"/>
                <w:highlight w:val="yellow"/>
              </w:rPr>
              <w:outlineLvl w:val="9"/>
            </w:pPr>
            <w:r>
              <w:rPr>
                <w:rFonts w:ascii="宋体" w:hAnsi="宋体"/>
                <w:color w:val="auto"/>
                <w:szCs w:val="21"/>
                <w:highlight w:val="yellow"/>
              </w:rPr>
            </w:r>
            <w:r/>
          </w:p>
        </w:tc>
        <w:tc>
          <w:tcPr>
            <w:tcW w:w="1253"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1320"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r>
      <w:tr>
        <w:trPr>
          <w:jc w:val="center"/>
        </w:trPr>
        <w:tc>
          <w:tcPr>
            <w:tcW w:w="489"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3</w:t>
            </w:r>
            <w:r/>
          </w:p>
        </w:tc>
        <w:tc>
          <w:tcPr>
            <w:tcW w:w="1936" w:type="dxa"/>
            <w:vAlign w:val="center"/>
            <w:textDirection w:val="lrTb"/>
            <w:noWrap w:val="false"/>
          </w:tcPr>
          <w:p>
            <w:pPr>
              <w:jc w:val="center"/>
              <w:pageBreakBefore w:val="0"/>
              <w:spacing w:line="360" w:lineRule="auto"/>
              <w:rPr>
                <w:rFonts w:ascii="宋体" w:hAnsi="宋体"/>
                <w:color w:val="auto"/>
                <w:szCs w:val="21"/>
                <w:highlight w:val="yellow"/>
              </w:rPr>
              <w:outlineLvl w:val="9"/>
            </w:pPr>
            <w:r>
              <w:rPr>
                <w:rFonts w:ascii="宋体" w:hAnsi="宋体"/>
                <w:color w:val="auto"/>
                <w:szCs w:val="21"/>
                <w:highlight w:val="yellow"/>
              </w:rPr>
            </w:r>
            <w:r/>
          </w:p>
        </w:tc>
        <w:tc>
          <w:tcPr>
            <w:tcW w:w="1253"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1320"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r>
    </w:tbl>
    <w:p>
      <w:pPr>
        <w:ind w:firstLine="422"/>
        <w:jc w:val="left"/>
        <w:pageBreakBefore w:val="0"/>
        <w:spacing w:line="360" w:lineRule="auto"/>
        <w:rPr>
          <w:color w:val="auto"/>
        </w:rPr>
        <w:outlineLvl w:val="9"/>
      </w:pPr>
      <w:r>
        <w:rPr>
          <w:rFonts w:hint="eastAsia" w:ascii="宋体" w:hAnsi="宋体"/>
          <w:b/>
          <w:color w:val="auto"/>
          <w:szCs w:val="21"/>
        </w:rPr>
        <w:t xml:space="preserve">注：供应商须在偏离表中如实填写响应情况，如有要求提供材料的，须按要求提供相应材料。偏离表未填写、负偏离、未提供所要求的材料的，将被视为无效响应。</w:t>
      </w:r>
      <w:r/>
    </w:p>
    <w:p>
      <w:pPr>
        <w:jc w:val="right"/>
        <w:pageBreakBefore w:val="0"/>
        <w:spacing w:line="360" w:lineRule="auto"/>
        <w:rPr>
          <w:color w:val="auto"/>
        </w:rPr>
        <w:outlineLvl w:val="9"/>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pageBreakBefore w:val="0"/>
        <w:spacing w:line="360" w:lineRule="auto"/>
        <w:rPr>
          <w:color w:val="auto"/>
        </w:rPr>
        <w:outlineLvl w:val="9"/>
      </w:pPr>
      <w:r>
        <w:rPr>
          <w:rFonts w:hint="eastAsia"/>
          <w:color w:val="auto"/>
        </w:rPr>
        <w:t xml:space="preserve">日期：    </w:t>
      </w:r>
      <w:r>
        <w:rPr>
          <w:color w:val="auto"/>
        </w:rPr>
        <w:t xml:space="preserve">年</w:t>
      </w:r>
      <w:r>
        <w:rPr>
          <w:rFonts w:hint="eastAsia"/>
          <w:color w:val="auto"/>
        </w:rPr>
        <w:t xml:space="preserve"> </w:t>
      </w:r>
      <w:r>
        <w:rPr>
          <w:color w:val="auto"/>
        </w:rPr>
        <w:t xml:space="preserve"> 月</w:t>
      </w:r>
      <w:r>
        <w:rPr>
          <w:rFonts w:hint="eastAsia"/>
          <w:color w:val="auto"/>
        </w:rPr>
        <w:t xml:space="preserve"> </w:t>
      </w:r>
      <w:r>
        <w:rPr>
          <w:color w:val="auto"/>
        </w:rPr>
        <w:t xml:space="preserve"> 日</w:t>
      </w:r>
      <w:r/>
    </w:p>
    <w:p>
      <w:pPr>
        <w:pageBreakBefore w:val="0"/>
        <w:spacing w:line="360" w:lineRule="auto"/>
        <w:rPr>
          <w:rFonts w:ascii="宋体" w:hAnsi="宋体"/>
          <w:color w:val="auto"/>
          <w:sz w:val="24"/>
          <w:lang w:val="zh-CN"/>
        </w:rPr>
        <w:sectPr>
          <w:footnotePr/>
          <w:endnotePr/>
          <w:type w:val="nextPage"/>
          <w:pgSz w:w="11906" w:h="16838" w:orient="portrait"/>
          <w:pgMar w:top="1134" w:right="1134" w:bottom="1134" w:left="1134" w:header="851" w:footer="680" w:gutter="0"/>
          <w:cols w:num="1" w:sep="0" w:space="1701" w:equalWidth="1"/>
          <w:docGrid w:linePitch="360"/>
        </w:sectPr>
        <w:outlineLvl w:val="9"/>
      </w:pPr>
      <w:r/>
      <w:bookmarkStart w:id="82" w:name="_Toc161067525"/>
      <w:r/>
      <w:r/>
    </w:p>
    <w:p>
      <w:pPr>
        <w:pStyle w:val="1043"/>
        <w:pageBreakBefore w:val="0"/>
        <w:spacing w:before="0" w:after="0" w:line="360" w:lineRule="auto"/>
        <w:rPr>
          <w:rFonts w:ascii="宋体" w:hAnsi="宋体" w:eastAsia="宋体"/>
          <w:color w:val="auto"/>
          <w:sz w:val="24"/>
          <w:szCs w:val="24"/>
          <w:lang w:val="zh-CN"/>
        </w:rPr>
        <w:outlineLvl w:val="9"/>
      </w:pPr>
      <w:r/>
      <w:bookmarkStart w:id="83" w:name="_Toc161126697"/>
      <w:r/>
      <w:bookmarkStart w:id="84" w:name="_Toc166338845"/>
      <w:r>
        <w:rPr>
          <w:rFonts w:hint="eastAsia" w:ascii="宋体" w:hAnsi="宋体" w:eastAsia="宋体"/>
          <w:color w:val="auto"/>
          <w:sz w:val="24"/>
          <w:szCs w:val="24"/>
          <w:lang w:val="zh-CN"/>
        </w:rPr>
        <w:t xml:space="preserve">十、响应及</w:t>
      </w:r>
      <w:r>
        <w:rPr>
          <w:rFonts w:ascii="宋体" w:hAnsi="宋体" w:eastAsia="宋体"/>
          <w:color w:val="auto"/>
          <w:sz w:val="24"/>
          <w:szCs w:val="24"/>
          <w:lang w:val="zh-CN"/>
        </w:rPr>
        <w:t xml:space="preserve">偏离表（</w:t>
      </w:r>
      <w:r>
        <w:rPr>
          <w:rFonts w:hint="eastAsia" w:ascii="宋体" w:hAnsi="宋体" w:eastAsia="宋体"/>
          <w:color w:val="auto"/>
          <w:sz w:val="24"/>
          <w:szCs w:val="24"/>
          <w:lang w:val="zh-CN"/>
        </w:rPr>
        <w:t xml:space="preserve">商务要求</w:t>
      </w:r>
      <w:r>
        <w:rPr>
          <w:rFonts w:ascii="宋体" w:hAnsi="宋体" w:eastAsia="宋体"/>
          <w:color w:val="auto"/>
          <w:sz w:val="24"/>
          <w:szCs w:val="24"/>
          <w:lang w:val="zh-CN"/>
        </w:rPr>
        <w:t xml:space="preserve">）</w:t>
      </w:r>
      <w:bookmarkEnd w:id="83"/>
      <w:r/>
      <w:bookmarkEnd w:id="84"/>
      <w:r/>
      <w:r/>
    </w:p>
    <w:p>
      <w:pPr>
        <w:jc w:val="center"/>
        <w:pageBreakBefore w:val="0"/>
        <w:spacing w:line="360" w:lineRule="auto"/>
        <w:rPr>
          <w:rFonts w:hint="eastAsia"/>
          <w:color w:val="auto"/>
          <w:sz w:val="24"/>
        </w:rPr>
        <w:outlineLvl w:val="9"/>
      </w:pPr>
      <w:r>
        <w:rPr>
          <w:rFonts w:hint="eastAsia"/>
          <w:color w:val="auto"/>
          <w:sz w:val="24"/>
        </w:rPr>
        <w:t xml:space="preserve">偏离表（商务要求）</w:t>
      </w:r>
      <w:r/>
    </w:p>
    <w:tbl>
      <w:tblPr>
        <w:tblStyle w:val="86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3817"/>
        <w:gridCol w:w="2574"/>
        <w:gridCol w:w="2507"/>
      </w:tblGrid>
      <w:tr>
        <w:trPr>
          <w:jc w:val="center"/>
        </w:trPr>
        <w:tc>
          <w:tcPr>
            <w:tcW w:w="486"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序号</w:t>
            </w:r>
            <w:r/>
          </w:p>
        </w:tc>
        <w:tc>
          <w:tcPr>
            <w:tcW w:w="1937"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谈判文件要求</w:t>
            </w:r>
            <w:r/>
          </w:p>
        </w:tc>
        <w:tc>
          <w:tcPr>
            <w:tcW w:w="1306"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响应情况</w:t>
            </w:r>
            <w:r/>
          </w:p>
        </w:tc>
        <w:tc>
          <w:tcPr>
            <w:tcW w:w="1272"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偏离说明</w:t>
            </w:r>
            <w:r/>
          </w:p>
        </w:tc>
      </w:tr>
      <w:tr>
        <w:trPr>
          <w:jc w:val="center"/>
        </w:trPr>
        <w:tc>
          <w:tcPr>
            <w:tcW w:w="486"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1</w:t>
            </w:r>
            <w:r/>
          </w:p>
        </w:tc>
        <w:tc>
          <w:tcPr>
            <w:tcW w:w="1937"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付款方式</w:t>
            </w:r>
            <w:r/>
          </w:p>
        </w:tc>
        <w:tc>
          <w:tcPr>
            <w:tcW w:w="1306"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1272"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r>
      <w:tr>
        <w:trPr>
          <w:jc w:val="center"/>
        </w:trPr>
        <w:tc>
          <w:tcPr>
            <w:tcW w:w="486" w:type="dxa"/>
            <w:vAlign w:val="center"/>
            <w:textDirection w:val="lrTb"/>
            <w:noWrap w:val="false"/>
          </w:tcPr>
          <w:p>
            <w:pPr>
              <w:jc w:val="center"/>
              <w:pageBreakBefore w:val="0"/>
              <w:spacing w:line="360" w:lineRule="auto"/>
              <w:rPr>
                <w:rFonts w:hint="eastAsia" w:ascii="宋体" w:hAnsi="宋体"/>
                <w:color w:val="auto"/>
                <w:szCs w:val="21"/>
              </w:rPr>
              <w:outlineLvl w:val="9"/>
            </w:pPr>
            <w:r>
              <w:rPr>
                <w:rFonts w:hint="eastAsia" w:ascii="宋体" w:hAnsi="宋体"/>
                <w:color w:val="auto"/>
                <w:szCs w:val="21"/>
              </w:rPr>
              <w:t xml:space="preserve">2</w:t>
            </w:r>
            <w:r/>
          </w:p>
        </w:tc>
        <w:tc>
          <w:tcPr>
            <w:tcW w:w="1937" w:type="dxa"/>
            <w:vAlign w:val="center"/>
            <w:textDirection w:val="lrTb"/>
            <w:noWrap w:val="false"/>
          </w:tcPr>
          <w:p>
            <w:pPr>
              <w:jc w:val="center"/>
              <w:pageBreakBefore w:val="0"/>
              <w:spacing w:line="360" w:lineRule="auto"/>
              <w:rPr>
                <w:rFonts w:hint="eastAsia" w:ascii="宋体" w:hAnsi="宋体"/>
                <w:color w:val="auto"/>
                <w:szCs w:val="21"/>
              </w:rPr>
              <w:outlineLvl w:val="9"/>
            </w:pPr>
            <w:r>
              <w:rPr>
                <w:rFonts w:hint="eastAsia" w:ascii="宋体" w:hAnsi="宋体"/>
                <w:color w:val="auto"/>
                <w:szCs w:val="21"/>
              </w:rPr>
              <w:t xml:space="preserve">质保期</w:t>
            </w:r>
            <w:r/>
          </w:p>
        </w:tc>
        <w:tc>
          <w:tcPr>
            <w:tcW w:w="1306"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1272"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r>
      <w:tr>
        <w:trPr>
          <w:jc w:val="center"/>
        </w:trPr>
        <w:tc>
          <w:tcPr>
            <w:tcW w:w="486" w:type="dxa"/>
            <w:vAlign w:val="center"/>
            <w:textDirection w:val="lrTb"/>
            <w:noWrap w:val="false"/>
          </w:tcPr>
          <w:p>
            <w:pPr>
              <w:jc w:val="center"/>
              <w:pageBreakBefore w:val="0"/>
              <w:spacing w:line="360" w:lineRule="auto"/>
              <w:rPr>
                <w:rFonts w:hint="eastAsia" w:ascii="宋体" w:hAnsi="宋体" w:eastAsia="宋体"/>
                <w:color w:val="auto"/>
                <w:szCs w:val="21"/>
                <w:lang w:val="en-US" w:eastAsia="zh-CN"/>
              </w:rPr>
              <w:outlineLvl w:val="9"/>
            </w:pPr>
            <w:r>
              <w:rPr>
                <w:rFonts w:hint="eastAsia" w:ascii="宋体" w:hAnsi="宋体"/>
                <w:color w:val="auto"/>
                <w:szCs w:val="21"/>
                <w:lang w:val="en-US" w:eastAsia="zh-CN"/>
              </w:rPr>
              <w:t xml:space="preserve">3</w:t>
            </w:r>
            <w:r/>
          </w:p>
        </w:tc>
        <w:tc>
          <w:tcPr>
            <w:tcW w:w="1937" w:type="dxa"/>
            <w:vAlign w:val="center"/>
            <w:textDirection w:val="lrTb"/>
            <w:noWrap w:val="false"/>
          </w:tcPr>
          <w:p>
            <w:pPr>
              <w:jc w:val="center"/>
              <w:pageBreakBefore w:val="0"/>
              <w:spacing w:line="360" w:lineRule="auto"/>
              <w:rPr>
                <w:rFonts w:hint="eastAsia" w:ascii="宋体" w:hAnsi="宋体" w:eastAsia="宋体"/>
                <w:color w:val="auto"/>
                <w:szCs w:val="21"/>
                <w:lang w:val="en-US" w:eastAsia="zh-CN"/>
              </w:rPr>
              <w:outlineLvl w:val="9"/>
            </w:pPr>
            <w:r>
              <w:rPr>
                <w:rFonts w:hint="eastAsia" w:ascii="宋体" w:hAnsi="宋体"/>
                <w:color w:val="auto"/>
                <w:szCs w:val="21"/>
                <w:lang w:val="en-US" w:eastAsia="zh-CN"/>
              </w:rPr>
              <w:t xml:space="preserve">工期</w:t>
            </w:r>
            <w:r/>
          </w:p>
        </w:tc>
        <w:tc>
          <w:tcPr>
            <w:tcW w:w="1306"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1272"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r>
    </w:tbl>
    <w:p>
      <w:pPr>
        <w:ind w:firstLine="422"/>
        <w:jc w:val="left"/>
        <w:pageBreakBefore w:val="0"/>
        <w:spacing w:line="360" w:lineRule="auto"/>
        <w:rPr>
          <w:color w:val="auto"/>
        </w:rPr>
        <w:outlineLvl w:val="9"/>
      </w:pPr>
      <w:r>
        <w:rPr>
          <w:rFonts w:hint="eastAsia" w:ascii="宋体" w:hAnsi="宋体"/>
          <w:b/>
          <w:color w:val="auto"/>
          <w:szCs w:val="21"/>
        </w:rPr>
        <w:t xml:space="preserve">注：供应商须在偏离表中如实填写响应情况，如有要求提供材料的，须按要求提供相应材料。偏离表未填写、负偏离、未提供所要求的材料的，将被视为无效响应。</w:t>
      </w:r>
      <w:bookmarkEnd w:id="82"/>
      <w:r/>
      <w:r/>
    </w:p>
    <w:p>
      <w:pPr>
        <w:jc w:val="right"/>
        <w:pageBreakBefore w:val="0"/>
        <w:spacing w:line="360" w:lineRule="auto"/>
        <w:rPr>
          <w:color w:val="auto"/>
        </w:rPr>
        <w:outlineLvl w:val="9"/>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pageBreakBefore w:val="0"/>
        <w:spacing w:line="360" w:lineRule="auto"/>
        <w:rPr>
          <w:color w:val="auto"/>
        </w:rPr>
        <w:outlineLvl w:val="9"/>
      </w:pPr>
      <w:r>
        <w:rPr>
          <w:rFonts w:hint="eastAsia"/>
          <w:color w:val="auto"/>
        </w:rPr>
        <w:t xml:space="preserve">日期：    </w:t>
      </w:r>
      <w:r>
        <w:rPr>
          <w:color w:val="auto"/>
        </w:rPr>
        <w:t xml:space="preserve">年</w:t>
      </w:r>
      <w:r>
        <w:rPr>
          <w:rFonts w:hint="eastAsia"/>
          <w:color w:val="auto"/>
        </w:rPr>
        <w:t xml:space="preserve"> </w:t>
      </w:r>
      <w:r>
        <w:rPr>
          <w:color w:val="auto"/>
        </w:rPr>
        <w:t xml:space="preserve"> 月</w:t>
      </w:r>
      <w:r>
        <w:rPr>
          <w:rFonts w:hint="eastAsia"/>
          <w:color w:val="auto"/>
        </w:rPr>
        <w:t xml:space="preserve"> </w:t>
      </w:r>
      <w:r>
        <w:rPr>
          <w:color w:val="auto"/>
        </w:rPr>
        <w:t xml:space="preserve"> 日</w:t>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Style w:val="1115"/>
        <w:pageBreakBefore w:val="0"/>
        <w:rPr>
          <w:color w:val="auto"/>
        </w:rPr>
        <w:outlineLvl w:val="9"/>
      </w:pPr>
      <w:r>
        <w:rPr>
          <w:color w:val="auto"/>
        </w:rPr>
      </w:r>
      <w:r/>
    </w:p>
    <w:p>
      <w:pPr>
        <w:pageBreakBefore w:val="0"/>
        <w:rPr>
          <w:rFonts w:ascii="宋体" w:hAnsi="宋体" w:eastAsia="宋体"/>
          <w:color w:val="auto"/>
          <w:sz w:val="24"/>
          <w:szCs w:val="24"/>
          <w:lang w:val="zh-CN"/>
        </w:rPr>
        <w:outlineLvl w:val="9"/>
      </w:pPr>
      <w:r>
        <w:rPr>
          <w:rFonts w:hint="eastAsia" w:ascii="宋体" w:hAnsi="宋体" w:eastAsia="宋体"/>
          <w:color w:val="auto"/>
          <w:sz w:val="24"/>
          <w:szCs w:val="24"/>
          <w:highlight w:val="none"/>
          <w:lang w:val="zh-CN"/>
        </w:rPr>
        <w:br w:type="page" w:clear="all"/>
      </w:r>
      <w:bookmarkEnd w:id="45"/>
      <w:r/>
      <w:bookmarkEnd w:id="49"/>
      <w:r/>
      <w:r/>
    </w:p>
    <w:p>
      <w:pPr>
        <w:pStyle w:val="1043"/>
        <w:pageBreakBefore w:val="0"/>
        <w:spacing w:before="0" w:after="0" w:line="360" w:lineRule="auto"/>
        <w:rPr>
          <w:rFonts w:hint="eastAsia" w:ascii="宋体" w:hAnsi="宋体" w:eastAsia="宋体"/>
          <w:color w:val="auto"/>
          <w:sz w:val="24"/>
          <w:szCs w:val="24"/>
          <w:highlight w:val="none"/>
          <w:lang w:val="zh-CN"/>
        </w:rPr>
        <w:outlineLvl w:val="9"/>
      </w:pPr>
      <w:r/>
      <w:bookmarkStart w:id="85" w:name="_Toc161126698"/>
      <w:r>
        <w:rPr>
          <w:rFonts w:hint="eastAsia" w:ascii="宋体" w:hAnsi="宋体" w:eastAsia="宋体"/>
          <w:color w:val="auto"/>
          <w:sz w:val="24"/>
          <w:szCs w:val="24"/>
          <w:lang w:val="zh-CN"/>
        </w:rPr>
        <w:t xml:space="preserve">十一、</w:t>
      </w:r>
      <w:bookmarkEnd w:id="85"/>
      <w:r/>
      <w:bookmarkStart w:id="86" w:name="_Toc161126699"/>
      <w:r>
        <w:rPr>
          <w:rFonts w:hint="eastAsia" w:ascii="宋体" w:hAnsi="宋体" w:eastAsia="宋体"/>
          <w:color w:val="auto"/>
          <w:sz w:val="24"/>
          <w:szCs w:val="24"/>
          <w:lang w:val="zh-CN"/>
        </w:rPr>
        <w:t xml:space="preserve">投标货物和服务数量、品牌规格、性能、交货时间说明表</w:t>
      </w:r>
      <w:r/>
    </w:p>
    <w:p>
      <w:pPr>
        <w:jc w:val="center"/>
        <w:pageBreakBefore w:val="0"/>
        <w:spacing w:line="360" w:lineRule="auto"/>
        <w:rPr>
          <w:color w:val="auto"/>
          <w:sz w:val="24"/>
          <w:szCs w:val="21"/>
        </w:rPr>
        <w:outlineLvl w:val="9"/>
      </w:pPr>
      <w:r>
        <w:rPr>
          <w:rFonts w:hint="eastAsia"/>
          <w:b/>
          <w:bCs/>
          <w:color w:val="auto"/>
          <w:sz w:val="24"/>
          <w:lang w:val="zh-CN"/>
        </w:rPr>
        <w:t xml:space="preserve">投标货物和服务数量、品牌规格、性能、交货时间说明表</w:t>
      </w:r>
      <w:r/>
    </w:p>
    <w:p>
      <w:pPr>
        <w:pStyle w:val="1257"/>
        <w:ind w:firstLine="480"/>
        <w:jc w:val="center"/>
        <w:pageBreakBefore w:val="0"/>
        <w:rPr>
          <w:color w:val="auto"/>
          <w:sz w:val="24"/>
          <w:szCs w:val="21"/>
        </w:rPr>
        <w:outlineLvl w:val="9"/>
      </w:pPr>
      <w:r>
        <w:rPr>
          <w:color w:val="auto"/>
          <w:sz w:val="24"/>
          <w:szCs w:val="21"/>
        </w:rPr>
      </w:r>
      <w:r/>
    </w:p>
    <w:tbl>
      <w:tblPr>
        <w:tblStyle w:val="86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2"/>
        <w:gridCol w:w="2107"/>
        <w:gridCol w:w="2160"/>
        <w:gridCol w:w="1080"/>
        <w:gridCol w:w="1137"/>
        <w:gridCol w:w="1187"/>
      </w:tblGrid>
      <w:tr>
        <w:trPr>
          <w:jc w:val="center"/>
        </w:trPr>
        <w:tc>
          <w:tcPr>
            <w:tcW w:w="1062"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hint="eastAsia" w:ascii="宋体" w:hAnsi="宋体" w:cs="宋体"/>
                <w:bCs/>
                <w:color w:val="auto"/>
                <w:szCs w:val="21"/>
              </w:rPr>
              <w:t xml:space="preserve">序号</w:t>
            </w:r>
            <w:r/>
          </w:p>
        </w:tc>
        <w:tc>
          <w:tcPr>
            <w:tcW w:w="210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hint="eastAsia" w:ascii="宋体" w:hAnsi="宋体" w:cs="宋体"/>
                <w:bCs/>
                <w:color w:val="auto"/>
                <w:szCs w:val="21"/>
              </w:rPr>
              <w:t xml:space="preserve">标的物名称</w:t>
            </w:r>
            <w:r/>
          </w:p>
        </w:tc>
        <w:tc>
          <w:tcPr>
            <w:tcW w:w="216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hint="eastAsia" w:ascii="宋体" w:hAnsi="宋体" w:cs="宋体"/>
                <w:bCs/>
                <w:color w:val="auto"/>
                <w:szCs w:val="21"/>
              </w:rPr>
              <w:t xml:space="preserve">品牌、规格</w:t>
            </w:r>
            <w:r/>
          </w:p>
        </w:tc>
        <w:tc>
          <w:tcPr>
            <w:tcW w:w="108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hint="eastAsia" w:ascii="宋体" w:hAnsi="宋体" w:cs="宋体"/>
                <w:bCs/>
                <w:color w:val="auto"/>
                <w:szCs w:val="21"/>
              </w:rPr>
              <w:t xml:space="preserve">单位</w:t>
            </w:r>
            <w:r/>
          </w:p>
        </w:tc>
        <w:tc>
          <w:tcPr>
            <w:tcW w:w="113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hint="eastAsia" w:ascii="宋体" w:hAnsi="宋体" w:cs="宋体"/>
                <w:bCs/>
                <w:color w:val="auto"/>
                <w:szCs w:val="21"/>
              </w:rPr>
              <w:t xml:space="preserve">数量</w:t>
            </w:r>
            <w:r/>
          </w:p>
        </w:tc>
        <w:tc>
          <w:tcPr>
            <w:tcW w:w="118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hint="eastAsia" w:ascii="宋体" w:hAnsi="宋体" w:cs="宋体"/>
                <w:bCs/>
                <w:color w:val="auto"/>
                <w:szCs w:val="21"/>
              </w:rPr>
              <w:t xml:space="preserve">交货时间</w:t>
            </w:r>
            <w:r/>
          </w:p>
        </w:tc>
      </w:tr>
      <w:tr>
        <w:trPr>
          <w:jc w:val="center"/>
        </w:trPr>
        <w:tc>
          <w:tcPr>
            <w:tcW w:w="1062"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hint="eastAsia" w:ascii="宋体" w:hAnsi="宋体" w:cs="宋体"/>
                <w:bCs/>
                <w:color w:val="auto"/>
                <w:szCs w:val="21"/>
              </w:rPr>
              <w:t xml:space="preserve">..</w:t>
            </w:r>
            <w:r/>
          </w:p>
        </w:tc>
        <w:tc>
          <w:tcPr>
            <w:tcW w:w="210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hint="eastAsia" w:ascii="宋体" w:hAnsi="宋体" w:cs="宋体"/>
                <w:bCs/>
                <w:color w:val="auto"/>
                <w:szCs w:val="21"/>
              </w:rPr>
              <w:t xml:space="preserve">..</w:t>
            </w:r>
            <w:r/>
          </w:p>
        </w:tc>
        <w:tc>
          <w:tcPr>
            <w:tcW w:w="216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hint="eastAsia" w:ascii="宋体" w:hAnsi="宋体" w:cs="宋体"/>
                <w:bCs/>
                <w:color w:val="auto"/>
                <w:szCs w:val="21"/>
              </w:rPr>
              <w:t xml:space="preserve">..</w:t>
            </w:r>
            <w:r/>
          </w:p>
        </w:tc>
        <w:tc>
          <w:tcPr>
            <w:tcW w:w="1080" w:type="dxa"/>
            <w:vAlign w:val="top"/>
            <w:textDirection w:val="lrTb"/>
            <w:noWrap w:val="false"/>
          </w:tcPr>
          <w:p>
            <w:pPr>
              <w:ind w:firstLine="422"/>
              <w:jc w:val="center"/>
              <w:pageBreakBefore w:val="0"/>
              <w:spacing w:line="360" w:lineRule="auto"/>
              <w:rPr>
                <w:rFonts w:ascii="宋体" w:hAnsi="宋体" w:cs="宋体"/>
                <w:bCs/>
                <w:color w:val="auto"/>
                <w:szCs w:val="21"/>
              </w:rPr>
              <w:outlineLvl w:val="9"/>
            </w:pPr>
            <w:r>
              <w:rPr>
                <w:rFonts w:hint="eastAsia" w:ascii="宋体" w:hAnsi="宋体" w:cs="宋体"/>
                <w:bCs/>
                <w:color w:val="auto"/>
                <w:szCs w:val="21"/>
              </w:rPr>
              <w:t xml:space="preserve">..</w:t>
            </w:r>
            <w:r/>
          </w:p>
        </w:tc>
        <w:tc>
          <w:tcPr>
            <w:tcW w:w="113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hint="eastAsia" w:ascii="宋体" w:hAnsi="宋体" w:cs="宋体"/>
                <w:bCs/>
                <w:color w:val="auto"/>
                <w:szCs w:val="21"/>
              </w:rPr>
              <w:t xml:space="preserve">..</w:t>
            </w:r>
            <w:r/>
          </w:p>
        </w:tc>
        <w:tc>
          <w:tcPr>
            <w:tcW w:w="1187" w:type="dxa"/>
            <w:vAlign w:val="top"/>
            <w:textDirection w:val="lrTb"/>
            <w:noWrap w:val="false"/>
          </w:tcPr>
          <w:p>
            <w:pPr>
              <w:ind w:firstLine="422"/>
              <w:jc w:val="center"/>
              <w:pageBreakBefore w:val="0"/>
              <w:spacing w:line="360" w:lineRule="auto"/>
              <w:rPr>
                <w:rFonts w:ascii="宋体" w:hAnsi="宋体" w:cs="宋体"/>
                <w:bCs/>
                <w:color w:val="auto"/>
                <w:szCs w:val="21"/>
              </w:rPr>
              <w:outlineLvl w:val="9"/>
            </w:pPr>
            <w:r>
              <w:rPr>
                <w:rFonts w:hint="eastAsia" w:ascii="宋体" w:hAnsi="宋体" w:cs="宋体"/>
                <w:bCs/>
                <w:color w:val="auto"/>
                <w:szCs w:val="21"/>
              </w:rPr>
              <w:t xml:space="preserve">..</w:t>
            </w:r>
            <w:r/>
          </w:p>
        </w:tc>
      </w:tr>
      <w:tr>
        <w:trPr>
          <w:jc w:val="center"/>
        </w:trPr>
        <w:tc>
          <w:tcPr>
            <w:tcW w:w="1062"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210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216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08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13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18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r>
      <w:tr>
        <w:trPr>
          <w:jc w:val="center"/>
        </w:trPr>
        <w:tc>
          <w:tcPr>
            <w:tcW w:w="1062"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210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216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08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13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18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r>
      <w:tr>
        <w:trPr>
          <w:jc w:val="center"/>
        </w:trPr>
        <w:tc>
          <w:tcPr>
            <w:tcW w:w="1062"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210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216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08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13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18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r>
      <w:tr>
        <w:trPr>
          <w:jc w:val="center"/>
        </w:trPr>
        <w:tc>
          <w:tcPr>
            <w:tcW w:w="1062"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210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216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08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13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18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r>
      <w:tr>
        <w:trPr>
          <w:jc w:val="center"/>
        </w:trPr>
        <w:tc>
          <w:tcPr>
            <w:tcW w:w="1062"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210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216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08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13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18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r>
      <w:tr>
        <w:trPr>
          <w:jc w:val="center"/>
        </w:trPr>
        <w:tc>
          <w:tcPr>
            <w:tcW w:w="1062"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210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216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080"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13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c>
          <w:tcPr>
            <w:tcW w:w="1187" w:type="dxa"/>
            <w:vAlign w:val="top"/>
            <w:textDirection w:val="lrTb"/>
            <w:noWrap w:val="false"/>
          </w:tcPr>
          <w:p>
            <w:pPr>
              <w:jc w:val="center"/>
              <w:pageBreakBefore w:val="0"/>
              <w:spacing w:line="360" w:lineRule="auto"/>
              <w:rPr>
                <w:rFonts w:ascii="宋体" w:hAnsi="宋体" w:cs="宋体"/>
                <w:bCs/>
                <w:color w:val="auto"/>
                <w:szCs w:val="21"/>
              </w:rPr>
              <w:outlineLvl w:val="9"/>
            </w:pPr>
            <w:r>
              <w:rPr>
                <w:rFonts w:ascii="宋体" w:hAnsi="宋体" w:cs="宋体"/>
                <w:bCs/>
                <w:color w:val="auto"/>
                <w:szCs w:val="21"/>
              </w:rPr>
            </w:r>
            <w:r/>
          </w:p>
        </w:tc>
      </w:tr>
    </w:tbl>
    <w:p>
      <w:pPr>
        <w:pStyle w:val="1257"/>
        <w:pageBreakBefore w:val="0"/>
        <w:rPr>
          <w:color w:val="auto"/>
          <w:szCs w:val="21"/>
        </w:rPr>
        <w:outlineLvl w:val="9"/>
      </w:pPr>
      <w:r>
        <w:rPr>
          <w:color w:val="auto"/>
          <w:szCs w:val="21"/>
        </w:rPr>
      </w:r>
      <w:r/>
    </w:p>
    <w:p>
      <w:pPr>
        <w:pStyle w:val="1196"/>
        <w:ind w:right="-210"/>
        <w:jc w:val="left"/>
        <w:pageBreakBefore w:val="0"/>
        <w:spacing w:line="360" w:lineRule="auto"/>
        <w:rPr>
          <w:rFonts w:hAnsi="宋体" w:eastAsia="宋体"/>
          <w:b/>
          <w:color w:val="auto"/>
          <w:sz w:val="21"/>
          <w:szCs w:val="21"/>
        </w:rPr>
        <w:outlineLvl w:val="9"/>
      </w:pPr>
      <w:r>
        <w:rPr>
          <w:rFonts w:hAnsi="宋体" w:eastAsia="宋体"/>
          <w:b/>
          <w:color w:val="auto"/>
          <w:sz w:val="21"/>
          <w:szCs w:val="21"/>
        </w:rPr>
      </w:r>
      <w:r/>
    </w:p>
    <w:p>
      <w:pPr>
        <w:pStyle w:val="1314"/>
        <w:jc w:val="right"/>
        <w:pageBreakBefore w:val="0"/>
        <w:spacing w:line="360" w:lineRule="auto"/>
        <w:rPr>
          <w:rFonts w:hAnsi="宋体" w:eastAsia="宋体"/>
          <w:color w:val="auto"/>
          <w:sz w:val="21"/>
          <w:szCs w:val="21"/>
        </w:rPr>
        <w:outlineLvl w:val="9"/>
      </w:pPr>
      <w:r>
        <w:rPr>
          <w:rFonts w:hint="eastAsia" w:hAnsi="宋体" w:eastAsia="宋体"/>
          <w:color w:val="auto"/>
          <w:sz w:val="21"/>
          <w:szCs w:val="21"/>
        </w:rPr>
        <w:t xml:space="preserve">投标人：（公章）</w:t>
      </w:r>
      <w:r/>
    </w:p>
    <w:p>
      <w:pPr>
        <w:pStyle w:val="1314"/>
        <w:ind w:right="210"/>
        <w:jc w:val="right"/>
        <w:pageBreakBefore w:val="0"/>
        <w:spacing w:line="360" w:lineRule="auto"/>
        <w:rPr>
          <w:rFonts w:hAnsi="宋体" w:eastAsia="宋体"/>
          <w:color w:val="auto"/>
          <w:sz w:val="21"/>
          <w:szCs w:val="21"/>
        </w:rPr>
        <w:outlineLvl w:val="9"/>
      </w:pPr>
      <w:r>
        <w:rPr>
          <w:rFonts w:hint="eastAsia" w:hAnsi="宋体" w:eastAsia="宋体"/>
          <w:color w:val="auto"/>
          <w:sz w:val="21"/>
          <w:szCs w:val="21"/>
        </w:rPr>
        <w:t xml:space="preserve">法定代表人或代理人：（签字或盖章）</w:t>
      </w:r>
      <w:r/>
    </w:p>
    <w:p>
      <w:pPr>
        <w:pStyle w:val="1314"/>
        <w:ind w:right="210"/>
        <w:jc w:val="right"/>
        <w:pageBreakBefore w:val="0"/>
        <w:spacing w:line="360" w:lineRule="auto"/>
        <w:rPr>
          <w:rFonts w:hAnsi="宋体" w:eastAsia="宋体"/>
          <w:b/>
          <w:color w:val="auto"/>
          <w:sz w:val="21"/>
          <w:szCs w:val="21"/>
        </w:rPr>
        <w:outlineLvl w:val="9"/>
      </w:pPr>
      <w:r>
        <w:rPr>
          <w:rFonts w:hint="eastAsia" w:hAnsi="宋体" w:eastAsia="宋体"/>
          <w:color w:val="auto"/>
          <w:sz w:val="21"/>
          <w:szCs w:val="21"/>
        </w:rPr>
        <w:t xml:space="preserve">日期： 年 </w:t>
      </w:r>
      <w:r>
        <w:rPr>
          <w:rFonts w:hAnsi="宋体" w:eastAsia="宋体"/>
          <w:color w:val="auto"/>
          <w:sz w:val="21"/>
          <w:szCs w:val="21"/>
        </w:rPr>
        <w:t xml:space="preserve"> </w:t>
      </w:r>
      <w:r>
        <w:rPr>
          <w:rFonts w:hint="eastAsia" w:hAnsi="宋体" w:eastAsia="宋体"/>
          <w:color w:val="auto"/>
          <w:sz w:val="21"/>
          <w:szCs w:val="21"/>
        </w:rPr>
        <w:t xml:space="preserve">月 </w:t>
      </w:r>
      <w:r>
        <w:rPr>
          <w:rFonts w:hAnsi="宋体" w:eastAsia="宋体"/>
          <w:color w:val="auto"/>
          <w:sz w:val="21"/>
          <w:szCs w:val="21"/>
        </w:rPr>
        <w:t xml:space="preserve"> </w:t>
      </w:r>
      <w:r>
        <w:rPr>
          <w:rFonts w:hint="eastAsia" w:hAnsi="宋体" w:eastAsia="宋体"/>
          <w:color w:val="auto"/>
          <w:sz w:val="21"/>
          <w:szCs w:val="21"/>
        </w:rPr>
        <w:t xml:space="preserve">日</w:t>
      </w:r>
      <w:r/>
    </w:p>
    <w:p>
      <w:pPr>
        <w:pStyle w:val="1043"/>
        <w:pageBreakBefore w:val="0"/>
        <w:spacing w:before="0" w:after="0" w:line="360" w:lineRule="auto"/>
        <w:rPr>
          <w:rFonts w:hint="eastAsia" w:ascii="宋体" w:hAnsi="宋体" w:eastAsia="宋体"/>
          <w:color w:val="auto"/>
          <w:sz w:val="24"/>
          <w:szCs w:val="24"/>
          <w:lang w:val="zh-CN"/>
        </w:rPr>
        <w:outlineLvl w:val="9"/>
      </w:pPr>
      <w:r>
        <w:rPr>
          <w:rFonts w:hAnsi="宋体"/>
          <w:color w:val="auto"/>
          <w:szCs w:val="21"/>
        </w:rPr>
        <w:br w:type="page" w:clear="all"/>
      </w:r>
      <w:r>
        <w:rPr>
          <w:rFonts w:hint="eastAsia" w:ascii="宋体" w:hAnsi="宋体" w:eastAsia="宋体"/>
          <w:color w:val="auto"/>
          <w:sz w:val="24"/>
          <w:szCs w:val="24"/>
          <w:lang w:val="zh-CN"/>
        </w:rPr>
        <w:t xml:space="preserve">十二、类似业绩一览表</w:t>
      </w:r>
      <w:bookmarkEnd w:id="86"/>
      <w:r/>
      <w:r/>
    </w:p>
    <w:p>
      <w:pPr>
        <w:jc w:val="center"/>
        <w:pageBreakBefore w:val="0"/>
        <w:rPr>
          <w:b/>
          <w:color w:val="auto"/>
          <w:lang w:val="zh-CN"/>
        </w:rPr>
        <w:outlineLvl w:val="9"/>
      </w:pPr>
      <w:r>
        <w:rPr>
          <w:rFonts w:hint="eastAsia"/>
          <w:b/>
          <w:color w:val="auto"/>
          <w:lang w:val="zh-CN"/>
        </w:rPr>
        <w:t xml:space="preserve">类似业绩一览表</w:t>
      </w:r>
      <w:r/>
    </w:p>
    <w:tbl>
      <w:tblPr>
        <w:tblStyle w:val="869"/>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10"/>
        <w:gridCol w:w="2494"/>
        <w:gridCol w:w="1883"/>
        <w:gridCol w:w="2224"/>
        <w:gridCol w:w="1884"/>
      </w:tblGrid>
      <w:tr>
        <w:trPr>
          <w:cantSplit/>
          <w:jc w:val="center"/>
          <w:trHeight w:val="454"/>
        </w:trPr>
        <w:tc>
          <w:tcPr>
            <w:tcW w:w="624"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t xml:space="preserve">序号</w:t>
            </w:r>
            <w:r/>
          </w:p>
        </w:tc>
        <w:tc>
          <w:tcPr>
            <w:tcW w:w="1286"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t xml:space="preserve">项目名称</w:t>
            </w:r>
            <w:r/>
          </w:p>
        </w:tc>
        <w:tc>
          <w:tcPr>
            <w:tcW w:w="971"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合同金额</w:t>
            </w:r>
            <w:r/>
          </w:p>
        </w:tc>
        <w:tc>
          <w:tcPr>
            <w:tcW w:w="1147" w:type="dxa"/>
            <w:vAlign w:val="center"/>
            <w:textDirection w:val="lrTb"/>
            <w:noWrap w:val="false"/>
          </w:tcPr>
          <w:p>
            <w:pPr>
              <w:jc w:val="center"/>
              <w:pageBreakBefore w:val="0"/>
              <w:spacing w:line="360" w:lineRule="auto"/>
              <w:rPr>
                <w:rFonts w:ascii="宋体" w:hAnsi="宋体"/>
                <w:color w:val="auto"/>
                <w:szCs w:val="21"/>
              </w:rPr>
              <w:outlineLvl w:val="9"/>
            </w:pPr>
            <w:r>
              <w:rPr>
                <w:rFonts w:hint="eastAsia" w:ascii="宋体" w:hAnsi="宋体"/>
                <w:color w:val="auto"/>
                <w:szCs w:val="21"/>
              </w:rPr>
              <w:t xml:space="preserve">合同内容</w:t>
            </w:r>
            <w:r/>
          </w:p>
        </w:tc>
        <w:tc>
          <w:tcPr>
            <w:tcW w:w="971"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t xml:space="preserve">备注</w:t>
            </w:r>
            <w:r/>
          </w:p>
        </w:tc>
      </w:tr>
      <w:tr>
        <w:trPr>
          <w:cantSplit/>
          <w:jc w:val="center"/>
          <w:trHeight w:val="454"/>
        </w:trPr>
        <w:tc>
          <w:tcPr>
            <w:tcW w:w="624"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t xml:space="preserve">1</w:t>
            </w:r>
            <w:r/>
          </w:p>
        </w:tc>
        <w:tc>
          <w:tcPr>
            <w:tcW w:w="1286"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971"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1147"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971"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r>
      <w:tr>
        <w:trPr>
          <w:cantSplit/>
          <w:jc w:val="center"/>
          <w:trHeight w:val="454"/>
        </w:trPr>
        <w:tc>
          <w:tcPr>
            <w:tcW w:w="624"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t xml:space="preserve">2</w:t>
            </w:r>
            <w:r/>
          </w:p>
        </w:tc>
        <w:tc>
          <w:tcPr>
            <w:tcW w:w="1286"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971"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1147"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971"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r>
      <w:tr>
        <w:trPr>
          <w:cantSplit/>
          <w:jc w:val="center"/>
          <w:trHeight w:val="454"/>
        </w:trPr>
        <w:tc>
          <w:tcPr>
            <w:tcW w:w="624"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t xml:space="preserve">3</w:t>
            </w:r>
            <w:r/>
          </w:p>
        </w:tc>
        <w:tc>
          <w:tcPr>
            <w:tcW w:w="1286"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971"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1147"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971"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r>
      <w:tr>
        <w:trPr>
          <w:cantSplit/>
          <w:jc w:val="center"/>
          <w:trHeight w:val="454"/>
        </w:trPr>
        <w:tc>
          <w:tcPr>
            <w:tcW w:w="624"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t xml:space="preserve">…</w:t>
            </w:r>
            <w:r/>
          </w:p>
        </w:tc>
        <w:tc>
          <w:tcPr>
            <w:tcW w:w="1286"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971"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1147"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c>
          <w:tcPr>
            <w:tcW w:w="971" w:type="dxa"/>
            <w:vAlign w:val="center"/>
            <w:textDirection w:val="lrTb"/>
            <w:noWrap w:val="false"/>
          </w:tcPr>
          <w:p>
            <w:pPr>
              <w:jc w:val="center"/>
              <w:pageBreakBefore w:val="0"/>
              <w:spacing w:line="360" w:lineRule="auto"/>
              <w:rPr>
                <w:rFonts w:ascii="宋体" w:hAnsi="宋体"/>
                <w:color w:val="auto"/>
                <w:szCs w:val="21"/>
              </w:rPr>
              <w:outlineLvl w:val="9"/>
            </w:pPr>
            <w:r>
              <w:rPr>
                <w:rFonts w:ascii="宋体" w:hAnsi="宋体"/>
                <w:color w:val="auto"/>
                <w:szCs w:val="21"/>
              </w:rPr>
            </w:r>
            <w:r/>
          </w:p>
        </w:tc>
      </w:tr>
    </w:tbl>
    <w:p>
      <w:pPr>
        <w:jc w:val="left"/>
        <w:pageBreakBefore w:val="0"/>
        <w:spacing w:line="360" w:lineRule="auto"/>
        <w:rPr>
          <w:rFonts w:hAnsi="宋体"/>
          <w:b/>
          <w:color w:val="auto"/>
          <w:szCs w:val="21"/>
        </w:rPr>
        <w:outlineLvl w:val="9"/>
      </w:pPr>
      <w:r>
        <w:rPr>
          <w:rFonts w:hAnsi="宋体"/>
          <w:b/>
          <w:color w:val="auto"/>
          <w:szCs w:val="21"/>
        </w:rPr>
        <w:t xml:space="preserve">注：响应供应商可根据谈判内容自行调整</w:t>
      </w:r>
      <w:r/>
    </w:p>
    <w:p>
      <w:pPr>
        <w:jc w:val="right"/>
        <w:pageBreakBefore w:val="0"/>
        <w:spacing w:line="360" w:lineRule="auto"/>
        <w:rPr>
          <w:color w:val="auto"/>
        </w:rPr>
        <w:outlineLvl w:val="9"/>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pStyle w:val="1042"/>
        <w:ind w:firstLine="170"/>
        <w:jc w:val="right"/>
        <w:keepNext w:val="0"/>
        <w:pageBreakBefore w:val="0"/>
        <w:spacing w:line="360" w:lineRule="auto"/>
        <w:rPr>
          <w:color w:val="auto"/>
          <w:sz w:val="21"/>
          <w:szCs w:val="21"/>
        </w:rPr>
        <w:outlineLvl w:val="9"/>
      </w:pPr>
      <w:r>
        <w:rPr>
          <w:rFonts w:hint="eastAsia"/>
          <w:color w:val="auto"/>
          <w:sz w:val="21"/>
          <w:szCs w:val="21"/>
        </w:rPr>
        <w:t xml:space="preserve">日期：    年  月  日</w:t>
      </w:r>
      <w:r/>
    </w:p>
    <w:p>
      <w:pPr>
        <w:pStyle w:val="1043"/>
        <w:pageBreakBefore w:val="0"/>
        <w:rPr>
          <w:rFonts w:hint="eastAsia"/>
          <w:color w:val="auto"/>
        </w:rPr>
        <w:outlineLvl w:val="9"/>
      </w:pPr>
      <w:r>
        <w:rPr>
          <w:color w:val="auto"/>
        </w:rPr>
        <w:br w:type="page" w:clear="all"/>
      </w:r>
      <w:r>
        <w:rPr>
          <w:rFonts w:hint="eastAsia"/>
          <w:color w:val="auto"/>
        </w:rPr>
        <w:t xml:space="preserve">十三、</w:t>
      </w:r>
      <w:r>
        <w:rPr>
          <w:rFonts w:hint="eastAsia"/>
          <w:color w:val="auto"/>
          <w:lang w:bidi="ar"/>
        </w:rPr>
        <w:t xml:space="preserve">最后报价合理性澄清说明函</w:t>
      </w:r>
      <w:r/>
    </w:p>
    <w:p>
      <w:pPr>
        <w:jc w:val="center"/>
        <w:pageBreakBefore w:val="0"/>
        <w:widowControl/>
        <w:rPr>
          <w:rFonts w:ascii="宋体" w:hAnsi="宋体" w:cs="宋体"/>
          <w:b/>
          <w:color w:val="auto"/>
          <w:sz w:val="28"/>
          <w:szCs w:val="28"/>
        </w:rPr>
        <w:outlineLvl w:val="9"/>
      </w:pPr>
      <w:r>
        <w:rPr>
          <w:rFonts w:hint="eastAsia" w:ascii="宋体" w:hAnsi="宋体" w:cs="宋体"/>
          <w:b/>
          <w:color w:val="auto"/>
          <w:sz w:val="28"/>
          <w:szCs w:val="28"/>
          <w:lang w:bidi="ar"/>
        </w:rPr>
        <w:t xml:space="preserve">最后报价合理性澄清说明函</w:t>
      </w:r>
      <w:r/>
    </w:p>
    <w:p>
      <w:pPr>
        <w:jc w:val="left"/>
        <w:pageBreakBefore w:val="0"/>
        <w:spacing w:line="360" w:lineRule="auto"/>
        <w:widowControl/>
        <w:rPr>
          <w:rFonts w:ascii="宋体" w:hAnsi="宋体" w:cs="宋体"/>
          <w:color w:val="auto"/>
          <w:szCs w:val="21"/>
        </w:rPr>
        <w:outlineLvl w:val="9"/>
      </w:pPr>
      <w:r>
        <w:rPr>
          <w:rFonts w:ascii="宋体" w:hAnsi="宋体" w:cs="宋体"/>
          <w:color w:val="auto"/>
          <w:szCs w:val="21"/>
        </w:rPr>
      </w:r>
      <w:r/>
    </w:p>
    <w:p>
      <w:pPr>
        <w:pStyle w:val="1108"/>
        <w:ind w:left="420" w:firstLine="420"/>
        <w:pageBreakBefore w:val="0"/>
        <w:spacing w:after="120" w:line="360" w:lineRule="auto"/>
        <w:widowControl/>
        <w:rPr>
          <w:rFonts w:ascii="宋体" w:hAnsi="宋体" w:cs="宋体"/>
          <w:color w:val="auto"/>
          <w:sz w:val="21"/>
          <w:szCs w:val="21"/>
        </w:rPr>
        <w:outlineLvl w:val="9"/>
      </w:pPr>
      <w:r>
        <w:rPr>
          <w:rFonts w:hint="eastAsia" w:ascii="宋体" w:hAnsi="宋体" w:cs="宋体"/>
          <w:color w:val="auto"/>
          <w:sz w:val="21"/>
          <w:szCs w:val="21"/>
          <w:lang w:bidi="ar"/>
        </w:rPr>
        <w:t xml:space="preserve">本公司愿就项目编号：</w:t>
      </w:r>
      <w:r>
        <w:rPr>
          <w:rFonts w:hint="eastAsia" w:ascii="宋体" w:hAnsi="宋体" w:cs="宋体"/>
          <w:color w:val="auto"/>
          <w:sz w:val="21"/>
          <w:szCs w:val="21"/>
          <w:u w:val="single"/>
          <w:lang w:bidi="ar"/>
        </w:rPr>
        <w:t xml:space="preserve">              </w:t>
      </w:r>
      <w:r>
        <w:rPr>
          <w:rFonts w:hint="eastAsia" w:ascii="宋体" w:hAnsi="宋体" w:cs="宋体"/>
          <w:color w:val="auto"/>
          <w:sz w:val="21"/>
          <w:szCs w:val="21"/>
          <w:lang w:bidi="ar"/>
        </w:rPr>
        <w:t xml:space="preserve">项目名称：</w:t>
      </w:r>
      <w:r>
        <w:rPr>
          <w:rFonts w:hint="eastAsia" w:ascii="宋体" w:hAnsi="宋体" w:cs="宋体"/>
          <w:color w:val="auto"/>
          <w:sz w:val="21"/>
          <w:szCs w:val="21"/>
          <w:u w:val="single"/>
          <w:lang w:bidi="ar"/>
        </w:rPr>
        <w:t xml:space="preserve">              </w:t>
      </w:r>
      <w:r>
        <w:rPr>
          <w:rFonts w:hint="eastAsia" w:ascii="宋体" w:hAnsi="宋体" w:cs="宋体"/>
          <w:color w:val="auto"/>
          <w:sz w:val="21"/>
          <w:szCs w:val="21"/>
          <w:lang w:bidi="ar"/>
        </w:rPr>
        <w:t xml:space="preserve">的采购活动进行投标，对于本公司的最后报价合理性作出说明如下：</w:t>
      </w:r>
      <w:r/>
    </w:p>
    <w:tbl>
      <w:tblPr>
        <w:tblStyle w:val="869"/>
        <w:tblW w:w="9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4"/>
      </w:tblGrid>
      <w:tr>
        <w:trPr>
          <w:jc w:val="center"/>
          <w:trHeight w:val="3940"/>
        </w:trPr>
        <w:tc>
          <w:tcPr>
            <w:tcW w:w="9524" w:type="dxa"/>
            <w:vAlign w:val="center"/>
            <w:textDirection w:val="lrTb"/>
            <w:noWrap w:val="false"/>
          </w:tcPr>
          <w:p>
            <w:pPr>
              <w:pageBreakBefore w:val="0"/>
              <w:spacing w:line="600" w:lineRule="auto"/>
              <w:rPr>
                <w:rFonts w:ascii="宋体" w:hAnsi="宋体" w:cs="宋体"/>
                <w:b/>
                <w:color w:val="auto"/>
                <w:szCs w:val="21"/>
                <w:shd w:val="pct10" w:color="auto" w:fill="ffffff"/>
              </w:rPr>
              <w:outlineLvl w:val="9"/>
            </w:pPr>
            <w:r>
              <w:rPr>
                <w:rFonts w:hint="eastAsia" w:ascii="宋体" w:hAnsi="宋体" w:cs="宋体"/>
                <w:b/>
                <w:color w:val="auto"/>
                <w:szCs w:val="21"/>
                <w:lang w:bidi="ar"/>
              </w:rPr>
              <w:t xml:space="preserve">供应商应根据实际情况自拟澄清说明，并按照谈判小组关于澄清的要求提供相关证明材料作为附件。</w:t>
            </w:r>
            <w:r/>
          </w:p>
        </w:tc>
      </w:tr>
    </w:tbl>
    <w:p>
      <w:pPr>
        <w:pStyle w:val="1108"/>
        <w:ind w:firstLine="422"/>
        <w:pageBreakBefore w:val="0"/>
        <w:spacing w:line="360" w:lineRule="auto"/>
        <w:widowControl/>
        <w:rPr>
          <w:rFonts w:ascii="宋体" w:hAnsi="宋体" w:cs="宋体"/>
          <w:b/>
          <w:color w:val="auto"/>
          <w:sz w:val="21"/>
          <w:szCs w:val="21"/>
        </w:rPr>
        <w:outlineLvl w:val="9"/>
      </w:pPr>
      <w:r>
        <w:rPr>
          <w:rFonts w:hint="eastAsia" w:ascii="宋体" w:hAnsi="宋体" w:cs="宋体"/>
          <w:b/>
          <w:color w:val="auto"/>
          <w:sz w:val="21"/>
          <w:szCs w:val="21"/>
          <w:lang w:bidi="ar"/>
        </w:rPr>
        <w:t xml:space="preserve">备注：根据谈判文件要求，谈判小组认为供应商的最后报价明显低于其他供应商的最后报价，有可能影响产品质量或者不能诚信履约的，应当要求其在谈判/谈判现场合理的时间内提供书面说明（线上开评标项目可通过“苏采云”系统要求其提供），必要时提交相关证明材料（例如库存清单、进货合同及发票、仓库照片、往期类似项目合同报价清单等）。供应商不能证明其报价合理性的，谈判小组应当将其响应文件按无效处理。</w:t>
      </w:r>
      <w:r/>
    </w:p>
    <w:p>
      <w:pPr>
        <w:ind w:left="1024" w:firstLine="4830"/>
        <w:jc w:val="left"/>
        <w:pageBreakBefore w:val="0"/>
        <w:spacing w:line="360" w:lineRule="auto"/>
        <w:widowControl/>
        <w:rPr>
          <w:rFonts w:ascii="宋体" w:hAnsi="宋体" w:cs="宋体"/>
          <w:color w:val="auto"/>
          <w:szCs w:val="21"/>
        </w:rPr>
        <w:outlineLvl w:val="9"/>
      </w:pPr>
      <w:r>
        <w:rPr>
          <w:rFonts w:ascii="宋体" w:hAnsi="宋体" w:cs="宋体"/>
          <w:color w:val="auto"/>
          <w:szCs w:val="21"/>
        </w:rPr>
      </w:r>
      <w:r/>
    </w:p>
    <w:p>
      <w:pPr>
        <w:ind w:left="1024" w:firstLine="4830"/>
        <w:jc w:val="left"/>
        <w:pageBreakBefore w:val="0"/>
        <w:spacing w:line="360" w:lineRule="auto"/>
        <w:widowControl/>
        <w:rPr>
          <w:rFonts w:ascii="宋体" w:hAnsi="宋体" w:cs="宋体"/>
          <w:color w:val="auto"/>
          <w:szCs w:val="21"/>
        </w:rPr>
        <w:outlineLvl w:val="9"/>
      </w:pPr>
      <w:r>
        <w:rPr>
          <w:rFonts w:ascii="宋体" w:hAnsi="宋体" w:cs="宋体"/>
          <w:color w:val="auto"/>
          <w:szCs w:val="21"/>
        </w:rPr>
      </w:r>
      <w:r/>
    </w:p>
    <w:p>
      <w:pPr>
        <w:jc w:val="right"/>
        <w:pageBreakBefore w:val="0"/>
        <w:spacing w:line="360" w:lineRule="auto"/>
        <w:rPr>
          <w:rFonts w:ascii="宋体" w:hAnsi="宋体"/>
          <w:color w:val="auto"/>
          <w:szCs w:val="21"/>
        </w:rPr>
        <w:outlineLvl w:val="9"/>
      </w:pPr>
      <w:r>
        <w:rPr>
          <w:rFonts w:hint="eastAsia" w:ascii="宋体" w:hAnsi="宋体" w:cs="宋体"/>
          <w:color w:val="auto"/>
          <w:szCs w:val="21"/>
        </w:rPr>
        <w:t xml:space="preserve">单位名称</w:t>
      </w:r>
      <w:r>
        <w:rPr>
          <w:rFonts w:hint="eastAsia" w:ascii="宋体" w:hAnsi="宋体"/>
          <w:color w:val="auto"/>
          <w:szCs w:val="21"/>
        </w:rPr>
        <w:t xml:space="preserve">：（加盖CA电子公章）                            </w:t>
      </w:r>
      <w:r/>
    </w:p>
    <w:p>
      <w:pPr>
        <w:jc w:val="right"/>
        <w:pageBreakBefore w:val="0"/>
        <w:rPr>
          <w:b/>
          <w:bCs/>
          <w:color w:val="auto"/>
        </w:rPr>
        <w:outlineLvl w:val="9"/>
      </w:pPr>
      <w:r>
        <w:rPr>
          <w:rFonts w:hint="eastAsia" w:ascii="宋体" w:hAnsi="宋体" w:cs="宋体"/>
          <w:color w:val="auto"/>
          <w:szCs w:val="21"/>
        </w:rPr>
        <w:t xml:space="preserve">日期：　　年　　月　　日</w:t>
      </w:r>
      <w:r/>
    </w:p>
    <w:p>
      <w:pPr>
        <w:rPr>
          <w:b/>
          <w:bCs/>
          <w:color w:val="auto"/>
        </w:rPr>
      </w:pPr>
      <w:r>
        <w:rPr>
          <w:b/>
          <w:bCs/>
          <w:color w:val="auto"/>
        </w:rPr>
      </w:r>
      <w:r/>
    </w:p>
    <w:p>
      <w:pPr>
        <w:pStyle w:val="1074"/>
        <w:rPr>
          <w:rFonts w:hint="eastAsia"/>
          <w:color w:val="auto"/>
        </w:rPr>
        <w:sectPr>
          <w:headerReference w:type="default" r:id="rId11"/>
          <w:footerReference w:type="default" r:id="rId14"/>
          <w:footnotePr/>
          <w:endnotePr/>
          <w:type w:val="nextPage"/>
          <w:pgSz w:w="11906" w:h="16838" w:orient="portrait"/>
          <w:pgMar w:top="1134" w:right="1133" w:bottom="1134" w:left="1134" w:header="851" w:footer="992" w:gutter="0"/>
          <w:cols w:num="1" w:sep="0" w:space="1701" w:equalWidth="1"/>
          <w:docGrid w:linePitch="360"/>
        </w:sectPr>
      </w:pPr>
      <w:r>
        <w:rPr>
          <w:rFonts w:hint="eastAsia"/>
          <w:color w:val="auto"/>
        </w:rPr>
      </w:r>
      <w:r/>
    </w:p>
    <w:p>
      <w:pPr>
        <w:pStyle w:val="1042"/>
        <w:ind w:firstLine="244"/>
        <w:keepNext w:val="0"/>
        <w:spacing w:line="360" w:lineRule="auto"/>
        <w:rPr>
          <w:rFonts w:ascii="宋体" w:hAnsi="宋体"/>
          <w:b/>
          <w:color w:val="auto"/>
          <w:sz w:val="30"/>
          <w:szCs w:val="30"/>
        </w:rPr>
      </w:pPr>
      <w:r>
        <w:rPr>
          <w:rFonts w:hint="eastAsia" w:ascii="宋体" w:hAnsi="宋体"/>
          <w:b/>
          <w:color w:val="auto"/>
          <w:sz w:val="30"/>
          <w:szCs w:val="30"/>
        </w:rPr>
        <w:t xml:space="preserve">第四章、竞争性谈判采购内容</w:t>
      </w:r>
      <w:r/>
    </w:p>
    <w:p>
      <w:pPr>
        <w:ind w:firstLine="420"/>
        <w:spacing w:line="360" w:lineRule="auto"/>
        <w:rPr>
          <w:rFonts w:hint="eastAsia" w:ascii="宋体" w:hAnsi="宋体" w:cs="宋体"/>
          <w:color w:val="auto"/>
        </w:rPr>
      </w:pPr>
      <w:r/>
      <w:bookmarkStart w:id="87" w:name="_Toc275258948"/>
      <w:r>
        <w:rPr>
          <w:rFonts w:hint="eastAsia" w:ascii="宋体" w:hAnsi="宋体" w:cs="宋体"/>
          <w:color w:val="auto"/>
        </w:rPr>
        <w:t xml:space="preserve">受</w:t>
      </w:r>
      <w:r>
        <w:rPr>
          <w:rFonts w:hint="eastAsia" w:ascii="宋体" w:hAnsi="宋体" w:cs="宋体"/>
          <w:color w:val="auto"/>
          <w:lang w:eastAsia="zh-CN"/>
        </w:rPr>
        <w:t xml:space="preserve">昆山市周市镇人民政府</w:t>
      </w:r>
      <w:r>
        <w:rPr>
          <w:rFonts w:hint="eastAsia" w:ascii="宋体" w:hAnsi="宋体" w:cs="宋体"/>
          <w:color w:val="auto"/>
        </w:rPr>
        <w:t xml:space="preserve">委托，</w:t>
      </w:r>
      <w:r>
        <w:rPr>
          <w:rFonts w:hint="eastAsia" w:ascii="宋体" w:hAnsi="宋体" w:cs="宋体"/>
          <w:color w:val="auto"/>
          <w:lang w:eastAsia="zh-CN"/>
        </w:rPr>
        <w:t xml:space="preserve">苏州立诚建设管理咨询有限公司</w:t>
      </w:r>
      <w:r>
        <w:rPr>
          <w:rFonts w:hint="eastAsia" w:ascii="宋体" w:hAnsi="宋体" w:cs="宋体"/>
          <w:color w:val="auto"/>
        </w:rPr>
        <w:t xml:space="preserve">为其所需的</w:t>
      </w:r>
      <w:r>
        <w:rPr>
          <w:rFonts w:hint="eastAsia" w:ascii="宋体" w:hAnsi="宋体" w:cs="宋体"/>
          <w:color w:val="auto"/>
          <w:lang w:eastAsia="zh-CN"/>
        </w:rPr>
        <w:t xml:space="preserve">周市镇骨灰堂存放架采购项目</w:t>
      </w:r>
      <w:r>
        <w:rPr>
          <w:rFonts w:hint="eastAsia" w:ascii="宋体" w:hAnsi="宋体" w:cs="宋体"/>
          <w:color w:val="auto"/>
        </w:rPr>
        <w:t xml:space="preserve">进行竞争性谈判采购。欢迎具备相应资格的单位前来参加投标。</w:t>
      </w:r>
      <w:r/>
    </w:p>
    <w:p>
      <w:pPr>
        <w:ind w:firstLine="422"/>
        <w:spacing w:line="360" w:lineRule="auto"/>
        <w:rPr>
          <w:rFonts w:ascii="宋体" w:hAnsi="宋体"/>
          <w:b/>
          <w:color w:val="auto"/>
          <w:szCs w:val="21"/>
        </w:rPr>
      </w:pPr>
      <w:r>
        <w:rPr>
          <w:rFonts w:hint="eastAsia" w:ascii="宋体" w:hAnsi="宋体"/>
          <w:b/>
          <w:color w:val="auto"/>
          <w:szCs w:val="21"/>
        </w:rPr>
        <w:t xml:space="preserve">供应商须在偏离表中如实填写响应情况，如有要求提供材料的，须按要求提供相应材料。偏离表未填写、负偏离、未提供所要求的材料的，将被视为无效响应。</w:t>
      </w:r>
      <w:r/>
    </w:p>
    <w:p>
      <w:pPr>
        <w:ind w:firstLine="420"/>
        <w:spacing w:line="360" w:lineRule="auto"/>
        <w:rPr>
          <w:rFonts w:hint="eastAsia" w:ascii="宋体" w:hAnsi="宋体" w:cs="宋体"/>
          <w:color w:val="auto"/>
          <w:lang w:eastAsia="zh-CN"/>
        </w:rPr>
      </w:pPr>
      <w:r>
        <w:rPr>
          <w:rFonts w:hint="eastAsia" w:ascii="宋体" w:hAnsi="宋体" w:cs="宋体"/>
          <w:color w:val="auto"/>
        </w:rPr>
        <w:t xml:space="preserve">一、项目名称：</w:t>
      </w:r>
      <w:r>
        <w:rPr>
          <w:rFonts w:hint="eastAsia" w:ascii="宋体" w:hAnsi="宋体" w:cs="宋体"/>
          <w:color w:val="auto"/>
          <w:lang w:eastAsia="zh-CN"/>
        </w:rPr>
        <w:t xml:space="preserve">周市镇骨灰堂存放架采购项目</w:t>
      </w:r>
      <w:r/>
    </w:p>
    <w:p>
      <w:pPr>
        <w:ind w:firstLine="420"/>
        <w:spacing w:line="360" w:lineRule="auto"/>
        <w:rPr>
          <w:rFonts w:hint="eastAsia" w:ascii="宋体" w:hAnsi="宋体" w:cs="宋体"/>
          <w:color w:val="auto"/>
          <w:lang w:eastAsia="zh-CN"/>
        </w:rPr>
      </w:pPr>
      <w:r>
        <w:rPr>
          <w:rFonts w:hint="eastAsia" w:ascii="宋体" w:hAnsi="宋体" w:cs="宋体"/>
          <w:color w:val="auto"/>
          <w:lang w:eastAsia="zh-CN"/>
        </w:rPr>
        <w:t xml:space="preserve">二、项目编号：JSZC-320583-SZLC-T2026-0001</w:t>
      </w:r>
      <w:r/>
    </w:p>
    <w:p>
      <w:pPr>
        <w:ind w:firstLine="420"/>
        <w:spacing w:line="360" w:lineRule="auto"/>
        <w:rPr>
          <w:rFonts w:hint="eastAsia" w:ascii="宋体" w:hAnsi="宋体" w:eastAsia="宋体" w:cs="宋体"/>
          <w:color w:val="auto"/>
          <w:lang w:eastAsia="zh-CN"/>
        </w:rPr>
      </w:pPr>
      <w:r>
        <w:rPr>
          <w:rFonts w:hint="eastAsia" w:ascii="宋体" w:hAnsi="宋体" w:cs="宋体"/>
          <w:color w:val="auto"/>
        </w:rPr>
        <w:t xml:space="preserve">三、项目内容：</w:t>
      </w:r>
      <w:bookmarkEnd w:id="87"/>
      <w:r>
        <w:rPr>
          <w:rFonts w:hint="eastAsia" w:ascii="宋体" w:hAnsi="宋体" w:eastAsia="宋体" w:cs="宋体"/>
          <w:color w:val="auto"/>
          <w:lang w:val="en-US" w:eastAsia="zh-CN"/>
        </w:rPr>
        <w:t xml:space="preserve">采购BMC高分子双穴存放架,BMC高分子单穴存放架采购等服务，采购范围1栋楼3楼。</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val="en-US" w:eastAsia="zh-CN"/>
        </w:rPr>
        <w:t xml:space="preserve">1、</w:t>
      </w:r>
      <w:r>
        <w:rPr>
          <w:rFonts w:hint="eastAsia" w:ascii="宋体" w:hAnsi="宋体" w:eastAsia="宋体" w:cs="宋体"/>
          <w:color w:val="auto"/>
          <w:lang w:eastAsia="zh-CN"/>
        </w:rPr>
        <w:t xml:space="preserve">骨灰盒存放架采用高强度、防霉、防潮、高防火等级的结构。主要由顶盖、顶盖防踢伤接头、侧板、立柱、箱体</w:t>
      </w:r>
      <w:r>
        <w:rPr>
          <w:rFonts w:hint="eastAsia" w:ascii="宋体" w:hAnsi="宋体" w:eastAsia="宋体" w:cs="宋体"/>
          <w:color w:val="auto"/>
          <w:lang w:val="en-US" w:eastAsia="zh-CN"/>
        </w:rPr>
        <w:t xml:space="preserve">门</w:t>
      </w:r>
      <w:r>
        <w:rPr>
          <w:rFonts w:hint="eastAsia" w:ascii="宋体" w:hAnsi="宋体" w:eastAsia="宋体" w:cs="宋体"/>
          <w:color w:val="auto"/>
          <w:lang w:eastAsia="zh-CN"/>
        </w:rPr>
        <w:t xml:space="preserve">板、箱体</w:t>
      </w:r>
      <w:r>
        <w:rPr>
          <w:rFonts w:hint="eastAsia" w:ascii="宋体" w:hAnsi="宋体" w:eastAsia="宋体" w:cs="宋体"/>
          <w:color w:val="auto"/>
          <w:lang w:val="en-US" w:eastAsia="zh-CN"/>
        </w:rPr>
        <w:t xml:space="preserve">左右板</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箱体托板、</w:t>
      </w:r>
      <w:r>
        <w:rPr>
          <w:rFonts w:hint="eastAsia" w:ascii="宋体" w:hAnsi="宋体" w:eastAsia="宋体" w:cs="宋体"/>
          <w:color w:val="auto"/>
          <w:lang w:eastAsia="zh-CN"/>
        </w:rPr>
        <w:t xml:space="preserve">底座、底座防踢伤接头等</w:t>
      </w:r>
      <w:r>
        <w:rPr>
          <w:rFonts w:hint="eastAsia" w:ascii="宋体" w:hAnsi="宋体" w:eastAsia="宋体" w:cs="宋体"/>
          <w:color w:val="auto"/>
          <w:lang w:val="zh-CN" w:eastAsia="zh-CN"/>
        </w:rPr>
        <w:t xml:space="preserve">零（部）件组合而成</w:t>
      </w:r>
      <w:r>
        <w:rPr>
          <w:rFonts w:hint="eastAsia" w:ascii="宋体" w:hAnsi="宋体" w:eastAsia="宋体" w:cs="宋体"/>
          <w:color w:val="auto"/>
          <w:lang w:eastAsia="zh-CN"/>
        </w:rPr>
        <w:t xml:space="preserve">。产品整体采用模块化生产，组合式安装。外观平整美观、无缝隙、承载力强、安全性高、稳定性强、移动方便，可多次反复拆装。</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2、箱体采用高分子纳米复合材料一体压铸成型，</w:t>
      </w:r>
      <w:r>
        <w:rPr>
          <w:rFonts w:hint="eastAsia" w:ascii="宋体" w:hAnsi="宋体" w:eastAsia="宋体" w:cs="宋体"/>
          <w:color w:val="auto"/>
          <w:lang w:eastAsia="zh-CN"/>
        </w:rPr>
        <w:t xml:space="preserve">美观大方，产品承载力强，耐化学腐蚀、耐</w:t>
      </w:r>
      <w:r>
        <w:rPr>
          <w:rFonts w:hint="eastAsia" w:ascii="宋体" w:hAnsi="宋体" w:eastAsia="宋体" w:cs="宋体"/>
          <w:color w:val="auto"/>
          <w:lang w:val="en-US" w:eastAsia="zh-CN"/>
        </w:rPr>
        <w:t xml:space="preserve">老化、防火阻燃性能好、使用寿命长、环保绿色。所有板材与主体框架采用无缝对接式组装工艺，整组制造精度误差≤0.5mm，整体精密平整无毛刺。</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3、箱体隔板、层板与骨架无缝对接式组装，安装后箱体内部无铆钉和胶水痕迹。</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4、门板与箱体组装方式为无缝对接式组装，保证存放空间最大化。门板关闭后无缝隙，能有效地防异味、防潮、防尘。</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5、开门方式：为下拉门。橱门上方居中位置安装金属转舌锁，每只锁配二把钥匙，另配管理员万能钥匙。</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6、箱体承载力强、结构强度大、所有单位重量、整体负载全部由层板、隔板、横梁、立柱完全按物理力学合理有效传递承担，有效地增强柜体的抗拉力学性能与抗震性能。</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7、存放架整组承重大于或等于1000kg，每层承板负荷100kg；</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8、骨灰存放架的所有配件要实现：防潮、防锈、阻燃、防腐蚀和抗氧化，保证其使用寿命在80年以上。</w:t>
      </w:r>
      <w:r/>
    </w:p>
    <w:p>
      <w:pPr>
        <w:ind w:firstLine="482"/>
        <w:jc w:val="left"/>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一、采购内容</w:t>
      </w:r>
      <w:r/>
    </w:p>
    <w:p>
      <w:pPr>
        <w:contextualSpacing/>
        <w:ind w:left="0"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1.技术参数</w:t>
      </w:r>
      <w:r/>
    </w:p>
    <w:tbl>
      <w:tblPr>
        <w:tblStyle w:val="869"/>
        <w:tblW w:w="9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6"/>
        <w:gridCol w:w="907"/>
        <w:gridCol w:w="1965"/>
        <w:gridCol w:w="4321"/>
        <w:gridCol w:w="907"/>
        <w:gridCol w:w="771"/>
      </w:tblGrid>
      <w:tr>
        <w:trPr>
          <w:jc w:val="center"/>
          <w:trHeight w:val="781"/>
        </w:trPr>
        <w:tc>
          <w:tcPr>
            <w:gridSpan w:val="2"/>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规格尺寸（单位：mm）</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单位</w:t>
            </w:r>
            <w:r/>
          </w:p>
        </w:tc>
      </w:tr>
      <w:tr>
        <w:trPr>
          <w:jc w:val="center"/>
          <w:trHeight w:val="781"/>
        </w:trPr>
        <w:tc>
          <w:tcPr>
            <w:shd w:val="clear" w:color="auto" w:fill="auto"/>
            <w:tcBorders>
              <w:top w:val="single" w:color="000000" w:sz="4" w:space="0"/>
              <w:left w:val="single" w:color="000000" w:sz="4" w:space="0"/>
              <w:right w:val="single" w:color="000000" w:sz="4" w:space="0"/>
            </w:tcBorders>
            <w:tcW w:w="906" w:type="dxa"/>
            <w:vAlign w:val="center"/>
            <w:vMerge w:val="restart"/>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1栋</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单穴存放架</w:t>
            </w:r>
            <w:r/>
          </w:p>
        </w:tc>
        <w:tc>
          <w:tcPr>
            <w:shd w:val="clear" w:color="auto" w:fill="auto"/>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外径：宽400*深380*高305</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门</w:t>
            </w:r>
            <w:r/>
          </w:p>
        </w:tc>
      </w:tr>
      <w:tr>
        <w:trPr>
          <w:jc w:val="center"/>
          <w:trHeight w:val="781"/>
        </w:trPr>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双穴存放架</w:t>
            </w:r>
            <w:r/>
          </w:p>
        </w:tc>
        <w:tc>
          <w:tcPr>
            <w:shd w:val="clear" w:color="auto" w:fill="auto"/>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外径：宽800*深380*高305</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门</w:t>
            </w:r>
            <w:r/>
          </w:p>
        </w:tc>
      </w:tr>
      <w:tr>
        <w:trPr>
          <w:jc w:val="center"/>
          <w:trHeight w:val="781"/>
        </w:trPr>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双面侧板</w:t>
            </w:r>
            <w:r/>
          </w:p>
        </w:tc>
        <w:tc>
          <w:tcPr>
            <w:shd w:val="clear" w:color="auto" w:fill="auto"/>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与存放架配套</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jc w:val="center"/>
          <w:trHeight w:val="797"/>
        </w:trPr>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包柱及封板</w:t>
            </w:r>
            <w:r/>
          </w:p>
        </w:tc>
        <w:tc>
          <w:tcPr>
            <w:shd w:val="clear" w:color="auto" w:fill="auto"/>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与存放架配套</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jc w:val="center"/>
          <w:trHeight w:val="807"/>
        </w:trPr>
        <w:tc>
          <w:tcPr>
            <w:gridSpan w:val="2"/>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云梯</w:t>
            </w:r>
            <w:r/>
          </w:p>
        </w:tc>
        <w:tc>
          <w:tcPr>
            <w:shd w:val="clear" w:color="auto" w:fill="auto"/>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600宽x1000深x2240高</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w:t>
            </w:r>
            <w:r/>
          </w:p>
        </w:tc>
      </w:tr>
    </w:tbl>
    <w:p>
      <w:pPr>
        <w:ind w:firstLine="482"/>
        <w:jc w:val="both"/>
        <w:keepLines w:val="0"/>
        <w:keepNext w:val="0"/>
        <w:pageBreakBefore w:val="0"/>
        <w:spacing w:before="181" w:line="360" w:lineRule="auto"/>
        <w:widowControl/>
        <w:rPr>
          <w:rFonts w:hint="eastAsia" w:ascii="宋体" w:hAnsi="宋体" w:eastAsia="宋体" w:cs="宋体"/>
          <w:color w:val="auto"/>
          <w:lang w:val="en-US" w:eastAsia="zh-CN"/>
        </w:rPr>
      </w:pPr>
      <w:r/>
      <w:bookmarkStart w:id="88" w:name="_Toc23733"/>
      <w:r>
        <w:rPr>
          <w:rFonts w:hint="eastAsia" w:ascii="宋体" w:hAnsi="宋体" w:eastAsia="宋体" w:cs="宋体"/>
          <w:color w:val="auto"/>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-36829</wp:posOffset>
                </wp:positionH>
                <wp:positionV relativeFrom="paragraph">
                  <wp:posOffset>133985</wp:posOffset>
                </wp:positionV>
                <wp:extent cx="6211570" cy="4085590"/>
                <wp:effectExtent l="0" t="0" r="0" b="0"/>
                <wp:wrapSquare wrapText="bothSides"/>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211570" cy="4085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2.9pt;mso-position-horizontal:absolute;mso-position-vertical-relative:text;margin-top:10.5pt;mso-position-vertical:absolute;width:489.1pt;height:321.7pt;mso-wrap-distance-left:9.0pt;mso-wrap-distance-top:0.0pt;mso-wrap-distance-right:9.0pt;mso-wrap-distance-bottom:0.0pt;" stroked="f">
                <v:path textboxrect="0,0,0,0"/>
                <w10:wrap type="square"/>
                <v:imagedata r:id="rId18" o:title=""/>
              </v:shape>
            </w:pict>
          </mc:Fallback>
        </mc:AlternateConten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ind w:firstLine="482"/>
        <w:jc w:val="left"/>
        <w:keepLines w:val="0"/>
        <w:keepNext w:val="0"/>
        <w:pageBreakBefore w:val="0"/>
        <w:spacing w:before="181"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color w:val="auto"/>
          <w:sz w:val="24"/>
          <w:szCs w:val="24"/>
          <w:highlight w:val="none"/>
          <w:lang w:val="en-US" w:eastAsia="zh-CN" w:bidi="ar-SA"/>
        </w:rPr>
        <w:t xml:space="preserve">2.单/双穴存放架</w:t>
      </w:r>
      <w:bookmarkEnd w:id="88"/>
      <w:r>
        <w:rPr>
          <w:rFonts w:hint="eastAsia" w:ascii="宋体" w:hAnsi="宋体" w:eastAsia="宋体" w:cs="宋体"/>
          <w:b/>
          <w:bCs/>
          <w:color w:val="auto"/>
          <w:sz w:val="24"/>
          <w:szCs w:val="24"/>
          <w:highlight w:val="none"/>
          <w:lang w:val="en-US" w:eastAsia="zh-CN" w:bidi="ar-SA"/>
        </w:rPr>
        <w:t xml:space="preserve">架体、箱体所用材料（质）及规格</w:t>
      </w:r>
      <w:r/>
    </w:p>
    <w:p>
      <w:pPr>
        <w:ind w:firstLine="482"/>
        <w:jc w:val="left"/>
        <w:keepLines w:val="0"/>
        <w:keepNext w:val="0"/>
        <w:pageBreakBefore w:val="0"/>
        <w:spacing w:before="181"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规格尺寸</w:t>
      </w:r>
      <w:r>
        <w:rPr>
          <w:rFonts w:hint="eastAsia" w:ascii="宋体" w:hAnsi="宋体" w:eastAsia="宋体" w:cs="宋体"/>
          <w:color w:val="auto"/>
          <w:sz w:val="24"/>
          <w:szCs w:val="24"/>
          <w:highlight w:val="none"/>
        </w:rPr>
        <w:t xml:space="preserve">（±2mm）</w:t>
      </w:r>
      <w:r>
        <w:rPr>
          <w:rFonts w:hint="eastAsia" w:ascii="宋体" w:hAnsi="宋体" w:eastAsia="宋体" w:cs="宋体"/>
          <w:b w:val="0"/>
          <w:bCs/>
          <w:color w:val="auto"/>
          <w:sz w:val="21"/>
          <w:szCs w:val="21"/>
          <w:highlight w:val="none"/>
          <w:lang w:val="en-US" w:eastAsia="zh-CN"/>
        </w:rPr>
        <w:t xml:space="preserve">：</w:t>
      </w:r>
      <w:r/>
    </w:p>
    <w:p>
      <w:pPr>
        <w:ind w:firstLine="482"/>
        <w:jc w:val="left"/>
        <w:keepLines w:val="0"/>
        <w:keepNext w:val="0"/>
        <w:pageBreakBefore w:val="0"/>
        <w:spacing w:before="181"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单穴：外径：宽400*深380*高305（mm）内径：宽380*深370*高280（mm）</w:t>
      </w:r>
      <w:r/>
    </w:p>
    <w:p>
      <w:pPr>
        <w:ind w:firstLine="420"/>
        <w:jc w:val="left"/>
        <w:keepLines w:val="0"/>
        <w:keepNext w:val="0"/>
        <w:pageBreakBefore w:val="0"/>
        <w:spacing w:before="181" w:line="360" w:lineRule="auto"/>
        <w:widowControl/>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highlight w:val="none"/>
          <w:lang w:val="en-US" w:eastAsia="zh-CN"/>
        </w:rPr>
        <w:t xml:space="preserve">双穴：外径：宽800*深380*高305（mm）内径：宽780*深370*高280（mm）</w:t>
      </w:r>
      <w:r/>
    </w:p>
    <w:tbl>
      <w:tblPr>
        <w:tblStyle w:val="891"/>
        <w:tblW w:w="99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608"/>
        <w:gridCol w:w="7535"/>
      </w:tblGrid>
      <w:tr>
        <w:trPr>
          <w:jc w:val="center"/>
          <w:trHeight w:val="376"/>
        </w:trPr>
        <w:tc>
          <w:tcPr>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结构名称</w:t>
            </w:r>
            <w:r/>
          </w:p>
        </w:tc>
        <w:tc>
          <w:tcPr>
            <w:tcW w:w="7535" w:type="dxa"/>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技术参数描述</w:t>
            </w:r>
            <w:r/>
          </w:p>
        </w:tc>
      </w:tr>
      <w:tr>
        <w:trPr>
          <w:jc w:val="center"/>
          <w:trHeight w:val="1381"/>
        </w:trPr>
        <w:tc>
          <w:tcPr>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左右隔板</w:t>
            </w:r>
            <w:r/>
          </w:p>
        </w:tc>
        <w:tc>
          <w:tcPr>
            <w:tcW w:w="753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高分子纳米复合材料一体压印成型，边框厚20mm</w:t>
            </w:r>
            <w:r>
              <w:rPr>
                <w:rFonts w:hint="eastAsia" w:ascii="宋体" w:hAnsi="宋体" w:eastAsia="宋体" w:cs="宋体"/>
                <w:color w:val="auto"/>
                <w:sz w:val="24"/>
                <w:szCs w:val="24"/>
                <w:highlight w:val="none"/>
              </w:rPr>
              <w:t xml:space="preserve">（±2mm）</w:t>
            </w:r>
            <w:r>
              <w:rPr>
                <w:rFonts w:hint="eastAsia" w:ascii="宋体" w:hAnsi="宋体" w:eastAsia="宋体" w:cs="宋体"/>
                <w:i w:val="0"/>
                <w:iCs w:val="0"/>
                <w:color w:val="auto"/>
                <w:sz w:val="21"/>
                <w:szCs w:val="21"/>
                <w:u w:val="none"/>
                <w:lang w:val="en-US" w:eastAsia="zh-CN" w:bidi="ar"/>
              </w:rPr>
              <w:t xml:space="preserve">，中间厚4mm</w:t>
            </w:r>
            <w:r>
              <w:rPr>
                <w:rFonts w:hint="eastAsia" w:ascii="宋体" w:hAnsi="宋体" w:eastAsia="宋体" w:cs="宋体"/>
                <w:color w:val="auto"/>
                <w:sz w:val="24"/>
                <w:szCs w:val="24"/>
                <w:highlight w:val="none"/>
              </w:rPr>
              <w:t xml:space="preserve">（±2mm）</w:t>
            </w:r>
            <w:r>
              <w:rPr>
                <w:rFonts w:hint="eastAsia" w:ascii="宋体" w:hAnsi="宋体" w:eastAsia="宋体" w:cs="宋体"/>
                <w:i w:val="0"/>
                <w:iCs w:val="0"/>
                <w:color w:val="auto"/>
                <w:sz w:val="21"/>
                <w:szCs w:val="21"/>
                <w:u w:val="none"/>
                <w:lang w:val="en-US" w:eastAsia="zh-CN" w:bidi="ar"/>
              </w:rPr>
              <w:t xml:space="preserve">，回文圆形加禄字（符合殡葬文化）图案；上下两头留有加宽榫头，尺寸15*8*5mm，与承重板预留的榫眼无缝对接，左右隔板之间加装螺杆连接，使产品更加牢固稳定，承重性能更佳。</w:t>
            </w:r>
            <w:r/>
          </w:p>
        </w:tc>
      </w:tr>
      <w:tr>
        <w:trPr>
          <w:jc w:val="center"/>
          <w:trHeight w:val="1481"/>
        </w:trPr>
        <w:tc>
          <w:tcPr>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承重板</w:t>
            </w:r>
            <w:r/>
          </w:p>
        </w:tc>
        <w:tc>
          <w:tcPr>
            <w:tcW w:w="7535" w:type="dxa"/>
            <w:vAlign w:val="center"/>
            <w:textDirection w:val="lrTb"/>
            <w:noWrap w:val="false"/>
          </w:tcPr>
          <w:p>
            <w:pPr>
              <w:jc w:val="left"/>
              <w:keepLines w:val="0"/>
              <w:keepNext w:val="0"/>
              <w:spacing w:after="0" w:line="240" w:lineRule="auto"/>
              <w:widowControl/>
              <w:rPr>
                <w:rFonts w:hint="eastAsia"/>
                <w:color w:val="auto"/>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高分子纳米复合材料一体压印成型，</w:t>
            </w:r>
            <w:r>
              <w:rPr>
                <w:rFonts w:hint="eastAsia" w:ascii="宋体" w:hAnsi="宋体" w:cs="宋体"/>
                <w:i w:val="0"/>
                <w:iCs w:val="0"/>
                <w:color w:val="auto"/>
                <w:sz w:val="21"/>
                <w:szCs w:val="21"/>
                <w:u w:val="none"/>
                <w:lang w:val="en-US" w:eastAsia="zh-CN" w:bidi="ar"/>
              </w:rPr>
              <w:t xml:space="preserve">单块自重1.5kg-2.5kg,</w:t>
            </w:r>
            <w:r>
              <w:rPr>
                <w:rFonts w:hint="eastAsia" w:ascii="宋体" w:hAnsi="宋体" w:eastAsia="宋体" w:cs="宋体"/>
                <w:i w:val="0"/>
                <w:iCs w:val="0"/>
                <w:color w:val="auto"/>
                <w:sz w:val="21"/>
                <w:szCs w:val="21"/>
                <w:u w:val="none"/>
                <w:lang w:val="en-US" w:eastAsia="zh-CN" w:bidi="ar"/>
              </w:rPr>
              <w:t xml:space="preserve">成型厚度25mm</w:t>
            </w:r>
            <w:r>
              <w:rPr>
                <w:rFonts w:hint="eastAsia" w:ascii="宋体" w:hAnsi="宋体" w:eastAsia="宋体" w:cs="宋体"/>
                <w:color w:val="auto"/>
                <w:sz w:val="24"/>
                <w:szCs w:val="24"/>
                <w:highlight w:val="none"/>
              </w:rPr>
              <w:t xml:space="preserve">（±2mm）</w:t>
            </w:r>
            <w:r>
              <w:rPr>
                <w:rFonts w:hint="eastAsia" w:ascii="宋体" w:hAnsi="宋体" w:eastAsia="宋体" w:cs="宋体"/>
                <w:i w:val="0"/>
                <w:iCs w:val="0"/>
                <w:color w:val="auto"/>
                <w:sz w:val="21"/>
                <w:szCs w:val="21"/>
                <w:u w:val="none"/>
                <w:lang w:val="en-US" w:eastAsia="zh-CN" w:bidi="ar"/>
              </w:rPr>
              <w:t xml:space="preserve">，四周加强筋厚15mm</w:t>
            </w:r>
            <w:r>
              <w:rPr>
                <w:rFonts w:hint="eastAsia" w:ascii="宋体" w:hAnsi="宋体" w:eastAsia="宋体" w:cs="宋体"/>
                <w:color w:val="auto"/>
                <w:sz w:val="24"/>
                <w:szCs w:val="24"/>
                <w:highlight w:val="none"/>
              </w:rPr>
              <w:t xml:space="preserve">（±2mm）</w:t>
            </w:r>
            <w:r>
              <w:rPr>
                <w:rFonts w:hint="eastAsia" w:ascii="宋体" w:hAnsi="宋体" w:eastAsia="宋体" w:cs="宋体"/>
                <w:i w:val="0"/>
                <w:iCs w:val="0"/>
                <w:color w:val="auto"/>
                <w:sz w:val="21"/>
                <w:szCs w:val="21"/>
                <w:u w:val="none"/>
                <w:lang w:val="en-US" w:eastAsia="zh-CN" w:bidi="ar"/>
              </w:rPr>
              <w:t xml:space="preserve">，中间加强筋厚5mm</w:t>
            </w:r>
            <w:r>
              <w:rPr>
                <w:rFonts w:hint="eastAsia" w:ascii="宋体" w:hAnsi="宋体" w:eastAsia="宋体" w:cs="宋体"/>
                <w:color w:val="auto"/>
                <w:sz w:val="24"/>
                <w:szCs w:val="24"/>
                <w:highlight w:val="none"/>
              </w:rPr>
              <w:t xml:space="preserve">（±2mm）</w:t>
            </w:r>
            <w:r>
              <w:rPr>
                <w:rFonts w:hint="eastAsia" w:ascii="宋体" w:hAnsi="宋体" w:eastAsia="宋体" w:cs="宋体"/>
                <w:i w:val="0"/>
                <w:iCs w:val="0"/>
                <w:color w:val="auto"/>
                <w:sz w:val="21"/>
                <w:szCs w:val="21"/>
                <w:u w:val="none"/>
                <w:lang w:val="en-US" w:eastAsia="zh-CN" w:bidi="ar"/>
              </w:rPr>
              <w:t xml:space="preserve">，中间料厚4.5mm</w:t>
            </w:r>
            <w:r>
              <w:rPr>
                <w:rFonts w:hint="eastAsia" w:ascii="宋体" w:hAnsi="宋体" w:eastAsia="宋体" w:cs="宋体"/>
                <w:color w:val="auto"/>
                <w:sz w:val="24"/>
                <w:szCs w:val="24"/>
                <w:highlight w:val="none"/>
              </w:rPr>
              <w:t xml:space="preserve">（±2mm）</w:t>
            </w:r>
            <w:r>
              <w:rPr>
                <w:rFonts w:hint="eastAsia" w:ascii="宋体" w:hAnsi="宋体" w:eastAsia="宋体" w:cs="宋体"/>
                <w:i w:val="0"/>
                <w:iCs w:val="0"/>
                <w:color w:val="auto"/>
                <w:sz w:val="21"/>
                <w:szCs w:val="21"/>
                <w:u w:val="none"/>
                <w:lang w:val="en-US" w:eastAsia="zh-CN" w:bidi="ar"/>
              </w:rPr>
              <w:t xml:space="preserve">，单层最低承重50kg。正面压印符合殡葬文化图案。留有丰碑槽，装有丰碑，丰碑前留空</w:t>
            </w:r>
            <w:r>
              <w:rPr>
                <w:rFonts w:hint="eastAsia" w:ascii="宋体" w:hAnsi="宋体" w:cs="宋体"/>
                <w:i w:val="0"/>
                <w:iCs w:val="0"/>
                <w:color w:val="auto"/>
                <w:sz w:val="21"/>
                <w:szCs w:val="21"/>
                <w:u w:val="none"/>
                <w:lang w:val="en-US" w:eastAsia="zh-CN" w:bidi="ar"/>
              </w:rPr>
              <w:t xml:space="preserve">70mm(</w:t>
            </w:r>
            <w:r>
              <w:rPr>
                <w:rFonts w:hint="eastAsia" w:ascii="宋体" w:hAnsi="宋体" w:eastAsia="宋体" w:cs="宋体"/>
                <w:color w:val="auto"/>
                <w:sz w:val="24"/>
                <w:szCs w:val="24"/>
                <w:highlight w:val="none"/>
              </w:rPr>
              <w:t xml:space="preserve">±2mm</w:t>
            </w:r>
            <w:r>
              <w:rPr>
                <w:rFonts w:hint="eastAsia" w:ascii="宋体" w:hAnsi="宋体" w:cs="宋体"/>
                <w:i w:val="0"/>
                <w:iCs w:val="0"/>
                <w:color w:val="auto"/>
                <w:sz w:val="21"/>
                <w:szCs w:val="21"/>
                <w:u w:val="none"/>
                <w:lang w:val="en-US" w:eastAsia="zh-CN" w:bidi="ar"/>
              </w:rPr>
              <w:t xml:space="preserve">)、120</w:t>
            </w:r>
            <w:r>
              <w:rPr>
                <w:rFonts w:hint="eastAsia" w:ascii="宋体" w:hAnsi="宋体" w:eastAsia="宋体" w:cs="宋体"/>
                <w:i w:val="0"/>
                <w:iCs w:val="0"/>
                <w:color w:val="auto"/>
                <w:sz w:val="21"/>
                <w:szCs w:val="21"/>
                <w:u w:val="none"/>
                <w:lang w:val="en-US" w:eastAsia="zh-CN" w:bidi="ar"/>
              </w:rPr>
              <w:t xml:space="preserve">mm</w:t>
            </w:r>
            <w:r>
              <w:rPr>
                <w:rFonts w:hint="eastAsia" w:ascii="宋体" w:hAnsi="宋体" w:eastAsia="宋体" w:cs="宋体"/>
                <w:color w:val="auto"/>
                <w:sz w:val="24"/>
                <w:szCs w:val="24"/>
                <w:highlight w:val="none"/>
              </w:rPr>
              <w:t xml:space="preserve">（±2mm）</w:t>
            </w:r>
            <w:r>
              <w:rPr>
                <w:rFonts w:hint="eastAsia" w:ascii="宋体" w:hAnsi="宋体" w:eastAsia="宋体" w:cs="宋体"/>
                <w:i w:val="0"/>
                <w:iCs w:val="0"/>
                <w:color w:val="auto"/>
                <w:sz w:val="21"/>
                <w:szCs w:val="21"/>
                <w:u w:val="none"/>
                <w:lang w:val="en-US" w:eastAsia="zh-CN" w:bidi="ar"/>
              </w:rPr>
              <w:t xml:space="preserve">用于摆放牌位，便于后人祭拜。</w:t>
            </w:r>
            <w:r/>
          </w:p>
        </w:tc>
      </w:tr>
      <w:tr>
        <w:trPr>
          <w:jc w:val="center"/>
          <w:trHeight w:val="710"/>
        </w:trPr>
        <w:tc>
          <w:tcPr>
            <w:shd w:val="clear" w:color="auto" w:fill="auto"/>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W w:w="1608"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丰碑板</w:t>
            </w:r>
            <w:r/>
          </w:p>
        </w:tc>
        <w:tc>
          <w:tcPr>
            <w:tcW w:w="7535" w:type="dxa"/>
            <w:vAlign w:val="center"/>
            <w:textDirection w:val="lrTb"/>
            <w:noWrap w:val="false"/>
          </w:tcPr>
          <w:p>
            <w:pPr>
              <w:jc w:val="left"/>
              <w:keepLines w:val="0"/>
              <w:keepNext w:val="0"/>
              <w:spacing w:after="0"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专用UV写真白底彩印铝塑板，厚≥3.0mm。打印符合殡葬文化的丰碑图案。</w:t>
            </w:r>
            <w:r/>
          </w:p>
        </w:tc>
      </w:tr>
      <w:tr>
        <w:trPr>
          <w:jc w:val="center"/>
          <w:trHeight w:val="850"/>
        </w:trPr>
        <w:tc>
          <w:tcPr>
            <w:shd w:val="clear" w:color="auto" w:fill="auto"/>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背板</w:t>
            </w:r>
            <w:r/>
          </w:p>
        </w:tc>
        <w:tc>
          <w:tcPr>
            <w:tcW w:w="7535" w:type="dxa"/>
            <w:vAlign w:val="center"/>
            <w:textDirection w:val="lrTb"/>
            <w:noWrap w:val="false"/>
          </w:tcPr>
          <w:p>
            <w:pPr>
              <w:jc w:val="left"/>
              <w:keepLines w:val="0"/>
              <w:keepNext w:val="0"/>
              <w:spacing w:after="0" w:line="240" w:lineRule="auto"/>
              <w:widowControl/>
              <w:rPr>
                <w:rFonts w:hint="eastAsia"/>
                <w:color w:val="auto"/>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高分子纳米复合材料一体压印成型，</w:t>
            </w:r>
            <w:r>
              <w:rPr>
                <w:rFonts w:hint="eastAsia" w:ascii="宋体" w:hAnsi="宋体" w:cs="宋体"/>
                <w:i w:val="0"/>
                <w:iCs w:val="0"/>
                <w:color w:val="auto"/>
                <w:sz w:val="21"/>
                <w:szCs w:val="21"/>
                <w:u w:val="none"/>
                <w:lang w:val="en-US" w:eastAsia="zh-CN" w:bidi="ar"/>
              </w:rPr>
              <w:t xml:space="preserve">单块自重0.65kg-0.75kg，</w:t>
            </w:r>
            <w:r>
              <w:rPr>
                <w:rFonts w:hint="eastAsia" w:ascii="宋体" w:hAnsi="宋体" w:eastAsia="宋体" w:cs="宋体"/>
                <w:i w:val="0"/>
                <w:iCs w:val="0"/>
                <w:color w:val="auto"/>
                <w:sz w:val="21"/>
                <w:szCs w:val="21"/>
                <w:u w:val="none"/>
                <w:lang w:val="en-US" w:eastAsia="zh-CN" w:bidi="ar"/>
              </w:rPr>
              <w:t xml:space="preserve">成型厚度20mm</w:t>
            </w:r>
            <w:r>
              <w:rPr>
                <w:rFonts w:hint="eastAsia" w:ascii="宋体" w:hAnsi="宋体" w:eastAsia="宋体" w:cs="宋体"/>
                <w:color w:val="auto"/>
                <w:sz w:val="24"/>
                <w:szCs w:val="24"/>
                <w:highlight w:val="none"/>
              </w:rPr>
              <w:t xml:space="preserve">（±2mm）</w:t>
            </w:r>
            <w:r>
              <w:rPr>
                <w:rFonts w:hint="eastAsia" w:ascii="宋体" w:hAnsi="宋体" w:eastAsia="宋体" w:cs="宋体"/>
                <w:i w:val="0"/>
                <w:iCs w:val="0"/>
                <w:color w:val="auto"/>
                <w:sz w:val="21"/>
                <w:szCs w:val="21"/>
                <w:u w:val="none"/>
                <w:lang w:val="en-US" w:eastAsia="zh-CN" w:bidi="ar"/>
              </w:rPr>
              <w:t xml:space="preserve">，压印符合殡葬文化图案。</w:t>
            </w:r>
            <w:r/>
          </w:p>
        </w:tc>
      </w:tr>
      <w:tr>
        <w:trPr>
          <w:jc w:val="center"/>
          <w:trHeight w:val="1846"/>
        </w:trPr>
        <w:tc>
          <w:tcPr>
            <w:shd w:val="clear" w:color="auto" w:fill="auto"/>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面板</w:t>
            </w:r>
            <w:r/>
          </w:p>
        </w:tc>
        <w:tc>
          <w:tcPr>
            <w:tcW w:w="753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整体料厚20mm</w:t>
            </w:r>
            <w:r>
              <w:rPr>
                <w:rFonts w:hint="eastAsia" w:ascii="宋体" w:hAnsi="宋体" w:eastAsia="宋体" w:cs="宋体"/>
                <w:color w:val="auto"/>
                <w:sz w:val="24"/>
                <w:szCs w:val="24"/>
                <w:highlight w:val="none"/>
              </w:rPr>
              <w:t xml:space="preserve">（±2mm）</w:t>
            </w:r>
            <w:r>
              <w:rPr>
                <w:rFonts w:hint="eastAsia" w:ascii="宋体" w:hAnsi="宋体" w:eastAsia="宋体" w:cs="宋体"/>
                <w:i w:val="0"/>
                <w:iCs w:val="0"/>
                <w:color w:val="auto"/>
                <w:sz w:val="21"/>
                <w:szCs w:val="21"/>
                <w:u w:val="none"/>
                <w:lang w:val="en-US" w:eastAsia="zh-CN" w:bidi="ar"/>
              </w:rPr>
              <w:t xml:space="preserve">，壁厚3.5mm</w:t>
            </w:r>
            <w:r>
              <w:rPr>
                <w:rFonts w:hint="eastAsia" w:ascii="宋体" w:hAnsi="宋体" w:eastAsia="宋体" w:cs="宋体"/>
                <w:color w:val="auto"/>
                <w:sz w:val="24"/>
                <w:szCs w:val="24"/>
                <w:highlight w:val="none"/>
              </w:rPr>
              <w:t xml:space="preserve">（±2mm）</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1、门框为一体式压铸成型、面板四角带有一体压印角花，下方留有编号牌粘贴位置，中间镂空设计。耐腐蚀性和耐污性强，收缩性低且色泽稳定。整体圆弧造型，无锐角，安全美观。</w:t>
            </w:r>
            <w:r/>
          </w:p>
          <w:p>
            <w:pPr>
              <w:jc w:val="left"/>
              <w:keepLines w:val="0"/>
              <w:keepNext w:val="0"/>
              <w:spacing w:after="0" w:line="240" w:lineRule="auto"/>
              <w:widowControl/>
              <w:rPr>
                <w:rFonts w:hint="eastAsia"/>
                <w:color w:val="auto"/>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2、面板与托扳采用合页式门轴连接，转动灵活，门板与隔板采用不锈钢折叠拉杆连接，牢固可靠。</w:t>
            </w:r>
            <w:r/>
          </w:p>
        </w:tc>
      </w:tr>
      <w:tr>
        <w:trPr>
          <w:jc w:val="center"/>
          <w:trHeight w:val="1047"/>
        </w:trPr>
        <w:tc>
          <w:tcPr>
            <w:shd w:val="clear" w:color="auto" w:fill="auto"/>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底座</w:t>
            </w:r>
            <w:r/>
          </w:p>
        </w:tc>
        <w:tc>
          <w:tcPr>
            <w:tcW w:w="753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高120mm</w:t>
            </w:r>
            <w:r>
              <w:rPr>
                <w:rFonts w:hint="eastAsia" w:ascii="宋体" w:hAnsi="宋体" w:eastAsia="宋体" w:cs="宋体"/>
                <w:color w:val="auto"/>
                <w:sz w:val="24"/>
                <w:szCs w:val="24"/>
                <w:highlight w:val="none"/>
              </w:rPr>
              <w:t xml:space="preserve">（±2mm）</w:t>
            </w:r>
            <w:r>
              <w:rPr>
                <w:rFonts w:hint="eastAsia" w:ascii="宋体" w:hAnsi="宋体" w:eastAsia="宋体" w:cs="宋体"/>
                <w:i w:val="0"/>
                <w:iCs w:val="0"/>
                <w:color w:val="auto"/>
                <w:sz w:val="21"/>
                <w:szCs w:val="21"/>
                <w:u w:val="none"/>
                <w:lang w:val="en-US" w:eastAsia="zh-CN" w:bidi="ar"/>
              </w:rPr>
              <w:t xml:space="preserve">，壁厚≥1.2mm。优质铝合金型材，经阳极氧化后再电泳处理，表面光亮美观，防潮、防锈、阻燃、防腐蚀和抗氧化、抗压力强。90度连接处，安装防碰伤尼龙接头。</w:t>
            </w:r>
            <w:r/>
          </w:p>
        </w:tc>
      </w:tr>
      <w:tr>
        <w:trPr>
          <w:jc w:val="center"/>
          <w:trHeight w:val="1047"/>
        </w:trPr>
        <w:tc>
          <w:tcPr>
            <w:shd w:val="clear" w:color="auto" w:fill="auto"/>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顶盖</w:t>
            </w:r>
            <w:r/>
          </w:p>
        </w:tc>
        <w:tc>
          <w:tcPr>
            <w:tcW w:w="753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高60mm</w:t>
            </w:r>
            <w:r>
              <w:rPr>
                <w:rFonts w:hint="eastAsia" w:ascii="宋体" w:hAnsi="宋体" w:eastAsia="宋体" w:cs="宋体"/>
                <w:color w:val="auto"/>
                <w:sz w:val="24"/>
                <w:szCs w:val="24"/>
                <w:highlight w:val="none"/>
              </w:rPr>
              <w:t xml:space="preserve">（±2mm）</w:t>
            </w:r>
            <w:r>
              <w:rPr>
                <w:rFonts w:hint="eastAsia" w:ascii="宋体" w:hAnsi="宋体" w:eastAsia="宋体" w:cs="宋体"/>
                <w:i w:val="0"/>
                <w:iCs w:val="0"/>
                <w:color w:val="auto"/>
                <w:sz w:val="21"/>
                <w:szCs w:val="21"/>
                <w:u w:val="none"/>
                <w:lang w:val="en-US" w:eastAsia="zh-CN" w:bidi="ar"/>
              </w:rPr>
              <w:t xml:space="preserve">，壁厚≥1.0mm。优质铝合金型材，经阳极氧化后再电泳处理，表面光亮美观。防潮、防锈、阻燃、防腐蚀和抗氧化、抗压力强。90度连接处，安装防踢伤接头。</w:t>
            </w:r>
            <w:r/>
          </w:p>
        </w:tc>
      </w:tr>
      <w:tr>
        <w:trPr>
          <w:jc w:val="center"/>
          <w:trHeight w:val="790"/>
        </w:trPr>
        <w:tc>
          <w:tcPr>
            <w:shd w:val="clear" w:color="auto" w:fill="auto"/>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侧面板</w:t>
            </w:r>
            <w:r/>
          </w:p>
        </w:tc>
        <w:tc>
          <w:tcPr>
            <w:tcW w:w="753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专用UV写真白底彩印铝塑板，厚≥3.0mm。侧板图案符合殡葬文化或孝支化特点，高精度UV宽幅数码喷绘打印。</w:t>
            </w:r>
            <w:r/>
          </w:p>
        </w:tc>
      </w:tr>
      <w:tr>
        <w:trPr>
          <w:jc w:val="center"/>
          <w:trHeight w:val="710"/>
        </w:trPr>
        <w:tc>
          <w:tcPr>
            <w:shd w:val="clear" w:color="auto" w:fill="auto"/>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侧板立柱</w:t>
            </w:r>
            <w:r/>
          </w:p>
        </w:tc>
        <w:tc>
          <w:tcPr>
            <w:tcW w:w="753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优质铝合金型材，宽度58mm</w:t>
            </w:r>
            <w:r>
              <w:rPr>
                <w:rFonts w:hint="eastAsia" w:ascii="宋体" w:hAnsi="宋体" w:eastAsia="宋体" w:cs="宋体"/>
                <w:color w:val="auto"/>
                <w:sz w:val="24"/>
                <w:szCs w:val="24"/>
                <w:highlight w:val="none"/>
              </w:rPr>
              <w:t xml:space="preserve">（±2mm）</w:t>
            </w:r>
            <w:r>
              <w:rPr>
                <w:rFonts w:hint="eastAsia" w:ascii="宋体" w:hAnsi="宋体" w:eastAsia="宋体" w:cs="宋体"/>
                <w:i w:val="0"/>
                <w:iCs w:val="0"/>
                <w:color w:val="auto"/>
                <w:sz w:val="21"/>
                <w:szCs w:val="21"/>
                <w:u w:val="none"/>
                <w:lang w:val="en-US" w:eastAsia="zh-CN" w:bidi="ar"/>
              </w:rPr>
              <w:t xml:space="preserve">，壁厚≥0.8mm。型材表面阳极化工艺处理，耐腐蚀性强、抗划力高。</w:t>
            </w:r>
            <w:r/>
          </w:p>
        </w:tc>
      </w:tr>
      <w:tr>
        <w:trPr>
          <w:jc w:val="center"/>
          <w:trHeight w:val="710"/>
        </w:trPr>
        <w:tc>
          <w:tcPr>
            <w:shd w:val="clear" w:color="auto" w:fill="auto"/>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金属锁具</w:t>
            </w:r>
            <w:r/>
          </w:p>
        </w:tc>
        <w:tc>
          <w:tcPr>
            <w:tcW w:w="753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优质转轴子母锁，另配备管理员万能钥匙，安装方式采用一体螺母固定。</w:t>
            </w:r>
            <w:r/>
          </w:p>
        </w:tc>
      </w:tr>
      <w:tr>
        <w:trPr>
          <w:jc w:val="center"/>
          <w:trHeight w:val="516"/>
        </w:trPr>
        <w:tc>
          <w:tcPr>
            <w:shd w:val="clear" w:color="auto" w:fill="auto"/>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合页</w:t>
            </w:r>
            <w:r/>
          </w:p>
        </w:tc>
        <w:tc>
          <w:tcPr>
            <w:tcW w:w="753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加厚不锈钢合页，承重性能更好，硬度高。</w:t>
            </w:r>
            <w:r/>
          </w:p>
        </w:tc>
      </w:tr>
      <w:tr>
        <w:trPr>
          <w:jc w:val="center"/>
          <w:trHeight w:val="880"/>
        </w:trPr>
        <w:tc>
          <w:tcPr>
            <w:shd w:val="clear" w:color="auto" w:fill="auto"/>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顶盖防踢伤接头</w:t>
            </w:r>
            <w:r/>
          </w:p>
        </w:tc>
        <w:tc>
          <w:tcPr>
            <w:shd w:val="clear" w:color="auto" w:fill="auto"/>
            <w:tcW w:w="753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ABS材质连接角，与顶盖相匹配，安装牢固，铆扣形式，避免人员的碰撞及刮伤，不使用单一胶水粘贴，既美观又安全。</w:t>
            </w:r>
            <w:r/>
          </w:p>
        </w:tc>
      </w:tr>
      <w:tr>
        <w:trPr>
          <w:jc w:val="center"/>
          <w:trHeight w:val="895"/>
        </w:trPr>
        <w:tc>
          <w:tcPr>
            <w:shd w:val="clear" w:color="auto" w:fill="auto"/>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底座防踢伤接头</w:t>
            </w:r>
            <w:r/>
          </w:p>
        </w:tc>
        <w:tc>
          <w:tcPr>
            <w:shd w:val="clear" w:color="auto" w:fill="auto"/>
            <w:tcW w:w="753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ABS材质连接角，与底座相匹配，安装牢固，铆扣形式，避免人员的碰撞及刮伤，不使用单一胶水粘贴，既美观又安全。</w:t>
            </w:r>
            <w:r/>
          </w:p>
        </w:tc>
      </w:tr>
      <w:tr>
        <w:trPr>
          <w:jc w:val="center"/>
          <w:trHeight w:val="626"/>
        </w:trPr>
        <w:tc>
          <w:tcPr>
            <w:shd w:val="clear" w:color="auto" w:fill="auto"/>
            <w:tcW w:w="83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编号牌</w:t>
            </w:r>
            <w:r/>
          </w:p>
        </w:tc>
        <w:tc>
          <w:tcPr>
            <w:tcW w:w="753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金底红字雕刻版，雕刻线条细腻清晰。</w:t>
            </w:r>
            <w:r/>
          </w:p>
        </w:tc>
      </w:tr>
      <w:tr>
        <w:trPr>
          <w:jc w:val="center"/>
          <w:trHeight w:val="755"/>
        </w:trPr>
        <w:tc>
          <w:tcPr>
            <w:shd w:val="clear" w:color="auto" w:fill="auto"/>
            <w:tcW w:w="835"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W w:w="16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整体外观要求</w:t>
            </w:r>
            <w:r/>
          </w:p>
        </w:tc>
        <w:tc>
          <w:tcPr>
            <w:tcW w:w="753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柜体承重性能：柜体上部至少承受1000㎏静载荷，柜体背与背、层与层、列与列之间不得漏光或缝隙小于等于0.5mm。</w:t>
            </w:r>
            <w:r/>
          </w:p>
        </w:tc>
      </w:tr>
    </w:tbl>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firstLine="420"/>
        <w:spacing w:line="360" w:lineRule="auto"/>
        <w:rPr>
          <w:rFonts w:hint="eastAsia" w:ascii="宋体" w:hAnsi="宋体" w:eastAsia="宋体" w:cs="宋体"/>
          <w:b/>
          <w:bCs/>
          <w:color w:val="auto"/>
          <w:lang w:eastAsia="zh-CN"/>
        </w:rPr>
      </w:pPr>
      <w:r>
        <w:rPr>
          <w:rFonts w:hint="eastAsia" w:ascii="宋体" w:hAnsi="宋体" w:eastAsia="宋体" w:cs="宋体"/>
          <w:b/>
          <w:bCs/>
          <w:color w:val="auto"/>
          <w:lang w:eastAsia="zh-CN"/>
        </w:rPr>
        <w:t xml:space="preserve">注：1.本项目核心产品为：单/双穴存放架；</w:t>
      </w:r>
      <w:r/>
    </w:p>
    <w:p>
      <w:pPr>
        <w:ind w:firstLine="420"/>
        <w:spacing w:line="360" w:lineRule="auto"/>
        <w:rPr>
          <w:rFonts w:hint="eastAsia" w:ascii="宋体" w:hAnsi="宋体" w:eastAsia="宋体" w:cs="宋体"/>
          <w:b/>
          <w:bCs/>
          <w:color w:val="auto"/>
          <w:lang w:eastAsia="zh-CN"/>
        </w:rPr>
      </w:pPr>
      <w:r>
        <w:rPr>
          <w:rFonts w:hint="eastAsia" w:ascii="宋体" w:hAnsi="宋体" w:eastAsia="宋体" w:cs="宋体"/>
          <w:b/>
          <w:bCs/>
          <w:color w:val="auto"/>
          <w:lang w:eastAsia="zh-CN"/>
        </w:rPr>
        <w:t xml:space="preserve">2.</w:t>
      </w:r>
      <w:r>
        <w:rPr>
          <w:rFonts w:hint="eastAsia" w:ascii="宋体" w:hAnsi="宋体" w:eastAsia="宋体" w:cs="宋体"/>
          <w:b/>
          <w:bCs/>
          <w:color w:val="auto"/>
          <w:lang w:val="en-US" w:eastAsia="zh-CN"/>
        </w:rPr>
        <w:t xml:space="preserve">本项目</w:t>
      </w:r>
      <w:r>
        <w:rPr>
          <w:rFonts w:hint="eastAsia" w:ascii="宋体" w:hAnsi="宋体" w:eastAsia="宋体" w:cs="宋体"/>
          <w:b/>
          <w:bCs/>
          <w:color w:val="auto"/>
          <w:lang w:eastAsia="zh-CN"/>
        </w:rPr>
        <w:t xml:space="preserve">实际采购数量</w:t>
      </w:r>
      <w:r>
        <w:rPr>
          <w:rFonts w:hint="eastAsia" w:ascii="宋体" w:hAnsi="宋体" w:eastAsia="宋体" w:cs="宋体"/>
          <w:b/>
          <w:bCs/>
          <w:color w:val="auto"/>
          <w:lang w:val="en-US" w:eastAsia="zh-CN"/>
        </w:rPr>
        <w:t xml:space="preserve">和实际尺寸</w:t>
      </w:r>
      <w:r>
        <w:rPr>
          <w:rFonts w:hint="eastAsia" w:ascii="宋体" w:hAnsi="宋体" w:eastAsia="宋体" w:cs="宋体"/>
          <w:b/>
          <w:bCs/>
          <w:color w:val="auto"/>
          <w:lang w:eastAsia="zh-CN"/>
        </w:rPr>
        <w:t xml:space="preserve">以现场结构深化设计布局为准。</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二、售后服务要求</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本项目免费质保期不少于</w:t>
      </w:r>
      <w:r>
        <w:rPr>
          <w:rFonts w:hint="eastAsia" w:ascii="宋体" w:hAnsi="宋体" w:cs="宋体"/>
          <w:color w:val="auto"/>
          <w:lang w:val="en-US" w:eastAsia="zh-CN"/>
        </w:rPr>
        <w:t xml:space="preserve">5</w:t>
      </w:r>
      <w:r>
        <w:rPr>
          <w:rFonts w:hint="eastAsia" w:ascii="宋体" w:hAnsi="宋体" w:eastAsia="宋体" w:cs="宋体"/>
          <w:color w:val="auto"/>
          <w:lang w:eastAsia="zh-CN"/>
        </w:rPr>
        <w:t xml:space="preserve">年，自项目全面验收合格之日起计算。免费质保期内，若非人为原因出现质量问题，</w:t>
      </w:r>
      <w:r>
        <w:rPr>
          <w:rFonts w:hint="eastAsia" w:ascii="宋体" w:hAnsi="宋体" w:cs="宋体"/>
          <w:color w:val="auto"/>
          <w:lang w:val="en-US" w:eastAsia="zh-CN"/>
        </w:rPr>
        <w:t xml:space="preserve">成交人</w:t>
      </w:r>
      <w:r>
        <w:rPr>
          <w:rFonts w:hint="eastAsia" w:ascii="宋体" w:hAnsi="宋体" w:eastAsia="宋体" w:cs="宋体"/>
          <w:color w:val="auto"/>
          <w:lang w:eastAsia="zh-CN"/>
        </w:rPr>
        <w:t xml:space="preserve">负责无条件维修或更换。招标人报修后，中标单位须在24小时内响应，</w:t>
      </w:r>
      <w:r>
        <w:rPr>
          <w:rFonts w:hint="eastAsia" w:ascii="宋体" w:hAnsi="宋体" w:eastAsia="宋体" w:cs="宋体"/>
          <w:color w:val="auto"/>
          <w:lang w:val="en-US" w:eastAsia="zh-CN"/>
        </w:rPr>
        <w:t xml:space="preserve">响应后</w:t>
      </w:r>
      <w:r>
        <w:rPr>
          <w:rFonts w:hint="eastAsia" w:ascii="宋体" w:hAnsi="宋体" w:eastAsia="宋体" w:cs="宋体"/>
          <w:color w:val="auto"/>
          <w:lang w:eastAsia="zh-CN"/>
        </w:rPr>
        <w:t xml:space="preserve">2小时内到达现场，8小时内完成维修；如需更换或送修，须在2个工作日内解决完毕。</w:t>
      </w:r>
      <w:r/>
    </w:p>
    <w:p>
      <w:pPr>
        <w:ind w:firstLine="420"/>
        <w:keepLines/>
        <w:keepNext/>
        <w:pageBreakBefore w:val="0"/>
        <w:spacing w:before="0" w:after="0"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lang w:val="en-US" w:eastAsia="zh-CN"/>
        </w:rPr>
        <w:t xml:space="preserve">三</w:t>
      </w:r>
      <w:r>
        <w:rPr>
          <w:rFonts w:hint="eastAsia" w:ascii="宋体" w:hAnsi="宋体" w:eastAsia="宋体" w:cs="宋体"/>
          <w:color w:val="auto"/>
          <w:sz w:val="21"/>
          <w:szCs w:val="21"/>
        </w:rPr>
        <w:t xml:space="preserve">、</w:t>
      </w:r>
      <w:r>
        <w:rPr>
          <w:rFonts w:hint="eastAsia" w:ascii="宋体" w:hAnsi="宋体" w:eastAsia="宋体" w:cs="宋体"/>
          <w:bCs w:val="0"/>
          <w:color w:val="auto"/>
          <w:sz w:val="21"/>
          <w:szCs w:val="21"/>
        </w:rPr>
        <w:t xml:space="preserve">检测报告</w:t>
      </w:r>
      <w:r/>
    </w:p>
    <w:p>
      <w:pPr>
        <w:ind w:firstLine="420"/>
        <w:spacing w:line="360" w:lineRule="auto"/>
        <w:rPr>
          <w:rFonts w:hint="eastAsia" w:ascii="宋体" w:hAnsi="宋体" w:cs="宋体"/>
          <w:color w:val="auto"/>
          <w:szCs w:val="21"/>
        </w:rPr>
      </w:pPr>
      <w:r/>
      <w:bookmarkStart w:id="89" w:name="_Hlk205906669"/>
      <w:r>
        <w:rPr>
          <w:rFonts w:hint="eastAsia" w:ascii="宋体" w:hAnsi="宋体" w:cs="宋体"/>
          <w:color w:val="auto"/>
          <w:szCs w:val="21"/>
        </w:rPr>
        <w:t xml:space="preserve">1、响应人或所投产品生产厂家具有</w:t>
      </w:r>
      <w:r>
        <w:rPr>
          <w:rFonts w:hint="eastAsia" w:ascii="宋体" w:hAnsi="宋体" w:cs="宋体"/>
          <w:b/>
          <w:color w:val="auto"/>
          <w:szCs w:val="21"/>
        </w:rPr>
        <w:t xml:space="preserve">202</w:t>
      </w:r>
      <w:r>
        <w:rPr>
          <w:rFonts w:hint="eastAsia" w:ascii="宋体" w:hAnsi="宋体" w:cs="宋体"/>
          <w:b/>
          <w:color w:val="auto"/>
          <w:szCs w:val="21"/>
          <w:lang w:val="en-US" w:eastAsia="zh-CN"/>
        </w:rPr>
        <w:t xml:space="preserve">5</w:t>
      </w:r>
      <w:r>
        <w:rPr>
          <w:rFonts w:hint="eastAsia" w:ascii="宋体" w:hAnsi="宋体" w:cs="宋体"/>
          <w:b/>
          <w:color w:val="auto"/>
          <w:szCs w:val="21"/>
        </w:rPr>
        <w:t xml:space="preserve">年1月1日</w:t>
      </w:r>
      <w:r>
        <w:rPr>
          <w:rFonts w:hint="eastAsia" w:ascii="宋体" w:hAnsi="宋体" w:cs="宋体"/>
          <w:color w:val="auto"/>
          <w:szCs w:val="21"/>
        </w:rPr>
        <w:t xml:space="preserve">以后出具的具有CMA标识国家认可检测（检验）资质机构出具的</w:t>
      </w:r>
      <w:r>
        <w:rPr>
          <w:rFonts w:hint="eastAsia" w:ascii="宋体" w:hAnsi="宋体" w:cs="宋体"/>
          <w:color w:val="auto"/>
          <w:szCs w:val="21"/>
          <w:lang w:val="en-US" w:eastAsia="zh-CN"/>
        </w:rPr>
        <w:t xml:space="preserve">主要</w:t>
      </w:r>
      <w:r>
        <w:rPr>
          <w:rFonts w:hint="eastAsia" w:ascii="宋体" w:hAnsi="宋体" w:cs="宋体"/>
          <w:color w:val="auto"/>
          <w:szCs w:val="21"/>
        </w:rPr>
        <w:t xml:space="preserve">材料完整合格的检测（检验）报告</w:t>
      </w:r>
      <w:r>
        <w:rPr>
          <w:rFonts w:hint="eastAsia" w:ascii="宋体" w:hAnsi="宋体" w:cs="宋体"/>
          <w:b/>
          <w:color w:val="auto"/>
          <w:szCs w:val="21"/>
        </w:rPr>
        <w:t xml:space="preserve">（检测报告需具有查询二维码，响应文件内需提</w:t>
      </w:r>
      <w:r>
        <w:rPr>
          <w:rFonts w:hint="eastAsia" w:ascii="宋体" w:hAnsi="宋体" w:cs="宋体"/>
          <w:b/>
          <w:bCs/>
          <w:color w:val="auto"/>
          <w:szCs w:val="21"/>
        </w:rPr>
        <w:t xml:space="preserve">供检测报告扫描件、检测报告二维码查询截图，否则视为无效响应）</w:t>
      </w:r>
      <w:r/>
    </w:p>
    <w:p>
      <w:pPr>
        <w:ind w:firstLine="420"/>
        <w:spacing w:line="360" w:lineRule="auto"/>
        <w:rPr>
          <w:rFonts w:hint="default" w:ascii="宋体" w:hAnsi="宋体" w:cs="宋体"/>
          <w:b/>
          <w:bCs/>
          <w:color w:val="auto"/>
          <w:szCs w:val="21"/>
          <w:lang w:val="en-US" w:eastAsia="zh-CN"/>
        </w:rPr>
      </w:pPr>
      <w:r>
        <w:rPr>
          <w:rFonts w:hint="eastAsia" w:ascii="宋体" w:hAnsi="宋体" w:cs="宋体"/>
          <w:color w:val="auto"/>
          <w:szCs w:val="21"/>
        </w:rPr>
        <w:t xml:space="preserve">2、检测报告检测要求</w:t>
      </w:r>
      <w:r>
        <w:rPr>
          <w:rFonts w:hint="eastAsia" w:ascii="宋体" w:hAnsi="宋体" w:cs="宋体"/>
          <w:color w:val="auto"/>
          <w:szCs w:val="21"/>
          <w:lang w:eastAsia="zh-CN"/>
        </w:rPr>
        <w:t xml:space="preserve">：</w:t>
      </w:r>
      <w:r>
        <w:rPr>
          <w:rFonts w:hint="eastAsia" w:ascii="宋体" w:hAnsi="宋体" w:cs="宋体"/>
          <w:b/>
          <w:bCs/>
          <w:color w:val="auto"/>
          <w:szCs w:val="21"/>
          <w:lang w:val="en-US" w:eastAsia="zh-CN"/>
        </w:rPr>
        <w:t xml:space="preserve">提供</w:t>
      </w:r>
      <w:r>
        <w:rPr>
          <w:rFonts w:hint="eastAsia" w:ascii="宋体" w:hAnsi="宋体" w:eastAsia="宋体" w:cs="宋体"/>
          <w:b/>
          <w:bCs/>
          <w:i w:val="0"/>
          <w:iCs w:val="0"/>
          <w:color w:val="auto"/>
          <w:sz w:val="21"/>
          <w:szCs w:val="21"/>
          <w:u w:val="none"/>
          <w:lang w:val="en-US" w:eastAsia="zh-CN" w:bidi="ar"/>
        </w:rPr>
        <w:t xml:space="preserve">BMC高分子纳米复合材料</w:t>
      </w:r>
      <w:r>
        <w:rPr>
          <w:rFonts w:hint="eastAsia" w:ascii="宋体" w:hAnsi="宋体" w:cs="宋体"/>
          <w:b/>
          <w:bCs/>
          <w:i w:val="0"/>
          <w:iCs w:val="0"/>
          <w:color w:val="auto"/>
          <w:sz w:val="21"/>
          <w:szCs w:val="21"/>
          <w:u w:val="none"/>
          <w:lang w:val="en-US" w:eastAsia="zh-CN" w:bidi="ar"/>
        </w:rPr>
        <w:t xml:space="preserve">的检测报告</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检测内容须符合：</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以下检测性能合格</w:t>
      </w:r>
      <w:r/>
    </w:p>
    <w:p>
      <w:pPr>
        <w:ind w:firstLine="420"/>
        <w:spacing w:line="360" w:lineRule="auto"/>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（1）抗球冲击：无裂纹或破损（钢球直径：42.8±0.2mm，钢球质量：324±5.0g）检测结果符合要求。</w:t>
      </w:r>
      <w:r/>
    </w:p>
    <w:p>
      <w:pPr>
        <w:ind w:firstLine="420"/>
        <w:spacing w:line="360" w:lineRule="auto"/>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（2）耐酸碱1级</w:t>
      </w:r>
      <w:r/>
    </w:p>
    <w:p>
      <w:pPr>
        <w:ind w:firstLine="420"/>
        <w:spacing w:line="360" w:lineRule="auto"/>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（3）耐高温1级</w:t>
      </w:r>
      <w:r/>
    </w:p>
    <w:p>
      <w:pPr>
        <w:ind w:firstLine="420"/>
        <w:spacing w:line="360" w:lineRule="auto"/>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（4）耐光色牢度≥4级</w:t>
      </w:r>
      <w:r/>
    </w:p>
    <w:p>
      <w:pPr>
        <w:ind w:firstLine="420"/>
        <w:spacing w:line="360" w:lineRule="auto"/>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（5）抗弯曲强度≥100Mpa</w:t>
      </w:r>
      <w:r/>
    </w:p>
    <w:p>
      <w:pPr>
        <w:ind w:firstLine="420"/>
        <w:spacing w:line="360" w:lineRule="auto"/>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（6）弯曲弹性模量≥7800Mpa</w:t>
      </w:r>
      <w:r/>
    </w:p>
    <w:p>
      <w:pPr>
        <w:ind w:firstLine="420"/>
        <w:spacing w:line="360" w:lineRule="auto"/>
        <w:rPr>
          <w:rFonts w:hint="eastAsia" w:ascii="宋体" w:hAnsi="宋体" w:cs="宋体"/>
          <w:b/>
          <w:bCs/>
          <w:color w:val="auto"/>
          <w:szCs w:val="21"/>
        </w:rPr>
      </w:pPr>
      <w:r>
        <w:rPr>
          <w:rFonts w:hint="eastAsia" w:ascii="宋体" w:hAnsi="宋体" w:cs="宋体"/>
          <w:b/>
          <w:bCs/>
          <w:color w:val="auto"/>
          <w:szCs w:val="21"/>
          <w:lang w:val="en-US" w:eastAsia="zh-CN"/>
        </w:rPr>
        <w:t xml:space="preserve">（7）抗老化600h试验后，试样无开裂，光泽变化不大于:±8%</w:t>
      </w:r>
      <w:r>
        <w:rPr>
          <w:rFonts w:hint="eastAsia" w:ascii="宋体" w:hAnsi="宋体" w:cs="宋体"/>
          <w:b/>
          <w:bCs/>
          <w:color w:val="auto"/>
          <w:szCs w:val="21"/>
        </w:rPr>
        <w:t xml:space="preserve">。</w:t>
      </w:r>
      <w:r/>
    </w:p>
    <w:p>
      <w:pPr>
        <w:pStyle w:val="873"/>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3、本项目谈判结束后，采购人有权要求成交人提供</w:t>
      </w:r>
      <w:r>
        <w:rPr>
          <w:rFonts w:hint="eastAsia" w:ascii="宋体" w:hAnsi="宋体" w:eastAsia="宋体" w:cs="宋体"/>
          <w:color w:val="auto"/>
          <w:sz w:val="21"/>
          <w:szCs w:val="21"/>
          <w:lang w:val="en-US" w:eastAsia="zh-CN"/>
        </w:rPr>
        <w:t xml:space="preserve">主</w:t>
      </w:r>
      <w:r>
        <w:rPr>
          <w:rFonts w:hint="eastAsia" w:ascii="宋体" w:hAnsi="宋体" w:eastAsia="宋体" w:cs="宋体"/>
          <w:color w:val="auto"/>
          <w:sz w:val="21"/>
          <w:szCs w:val="21"/>
          <w:lang w:val="en-US" w:eastAsia="zh-CN"/>
        </w:rPr>
        <w:t xml:space="preserve">要材料</w:t>
      </w:r>
      <w:r>
        <w:rPr>
          <w:rFonts w:hint="eastAsia" w:ascii="宋体" w:hAnsi="宋体" w:eastAsia="宋体" w:cs="宋体"/>
          <w:color w:val="auto"/>
          <w:sz w:val="21"/>
          <w:szCs w:val="21"/>
        </w:rPr>
        <w:t xml:space="preserve">报告原件备查，</w:t>
      </w:r>
      <w:r>
        <w:rPr>
          <w:rFonts w:hint="eastAsia" w:ascii="宋体" w:hAnsi="宋体" w:eastAsia="宋体" w:cs="宋体"/>
          <w:b/>
          <w:color w:val="auto"/>
          <w:sz w:val="21"/>
          <w:szCs w:val="21"/>
        </w:rPr>
        <w:t xml:space="preserve">中标后将对排名第一的成交候选人的响应文件中检测报告进行核查。提供的检测报告必须同时符合以上</w:t>
      </w:r>
      <w:r>
        <w:rPr>
          <w:rFonts w:hint="eastAsia" w:ascii="宋体" w:hAnsi="宋体" w:eastAsia="宋体" w:cs="宋体"/>
          <w:b/>
          <w:color w:val="auto"/>
          <w:sz w:val="21"/>
          <w:szCs w:val="21"/>
          <w:lang w:val="en-US" w:eastAsia="zh-CN"/>
        </w:rPr>
        <w:t xml:space="preserve">清单</w:t>
      </w:r>
      <w:r>
        <w:rPr>
          <w:rFonts w:hint="eastAsia" w:ascii="宋体" w:hAnsi="宋体" w:eastAsia="宋体" w:cs="宋体"/>
          <w:b/>
          <w:color w:val="auto"/>
          <w:sz w:val="21"/>
          <w:szCs w:val="21"/>
        </w:rPr>
        <w:t xml:space="preserve">所有要求，否则响应无效（成交供应商履约时，将按以</w:t>
      </w:r>
      <w:r>
        <w:rPr>
          <w:rFonts w:hint="eastAsia" w:ascii="宋体" w:hAnsi="宋体" w:eastAsia="宋体" w:cs="宋体"/>
          <w:b/>
          <w:color w:val="auto"/>
          <w:sz w:val="21"/>
          <w:szCs w:val="21"/>
          <w:lang w:val="en-US" w:eastAsia="zh-CN"/>
        </w:rPr>
        <w:t xml:space="preserve">上</w:t>
      </w:r>
      <w:r>
        <w:rPr>
          <w:rFonts w:hint="eastAsia" w:ascii="宋体" w:hAnsi="宋体" w:eastAsia="宋体" w:cs="宋体"/>
          <w:b/>
          <w:color w:val="auto"/>
          <w:sz w:val="21"/>
          <w:szCs w:val="21"/>
        </w:rPr>
        <w:t xml:space="preserve">要求由专业检测机构对用于本项目产品进行检测验收），</w:t>
      </w:r>
      <w:r>
        <w:rPr>
          <w:rFonts w:hint="eastAsia" w:ascii="宋体" w:hAnsi="宋体" w:eastAsia="宋体" w:cs="宋体"/>
          <w:color w:val="auto"/>
          <w:sz w:val="21"/>
          <w:szCs w:val="21"/>
        </w:rPr>
        <w:t xml:space="preserve">若</w:t>
      </w:r>
      <w:r>
        <w:rPr>
          <w:rFonts w:hint="eastAsia" w:ascii="宋体" w:hAnsi="宋体" w:eastAsia="宋体" w:cs="宋体"/>
          <w:color w:val="auto"/>
          <w:sz w:val="21"/>
          <w:szCs w:val="21"/>
          <w:lang w:val="en-US" w:eastAsia="zh-CN"/>
        </w:rPr>
        <w:t xml:space="preserve">主要</w:t>
      </w:r>
      <w:r>
        <w:rPr>
          <w:rFonts w:hint="eastAsia" w:ascii="宋体" w:hAnsi="宋体" w:eastAsia="宋体" w:cs="宋体"/>
          <w:color w:val="auto"/>
          <w:sz w:val="21"/>
          <w:szCs w:val="21"/>
          <w:lang w:val="en-US" w:eastAsia="zh-CN"/>
        </w:rPr>
        <w:t xml:space="preserve">材料</w:t>
      </w:r>
      <w:r>
        <w:rPr>
          <w:rFonts w:hint="eastAsia" w:ascii="宋体" w:hAnsi="宋体" w:eastAsia="宋体" w:cs="宋体"/>
          <w:color w:val="auto"/>
          <w:sz w:val="21"/>
          <w:szCs w:val="21"/>
        </w:rPr>
        <w:t xml:space="preserve">检测报告与响应文件不一致，采购人将上报监管部门处理。</w:t>
      </w:r>
      <w:bookmarkEnd w:id="89"/>
      <w:r/>
      <w:r/>
    </w:p>
    <w:p>
      <w:pPr>
        <w:ind w:firstLine="420"/>
        <w:spacing w:line="360" w:lineRule="auto"/>
        <w:rPr>
          <w:rFonts w:hint="eastAsia" w:ascii="宋体" w:hAnsi="宋体" w:eastAsia="宋体" w:cs="宋体"/>
          <w:color w:val="auto"/>
          <w:lang w:eastAsia="zh-CN"/>
        </w:rPr>
      </w:pPr>
      <w:r>
        <w:rPr>
          <w:rFonts w:hint="eastAsia" w:ascii="宋体" w:hAnsi="宋体" w:cs="宋体"/>
          <w:color w:val="auto"/>
          <w:lang w:val="en-US" w:eastAsia="zh-CN"/>
        </w:rPr>
        <w:t xml:space="preserve">四</w:t>
      </w:r>
      <w:r>
        <w:rPr>
          <w:rFonts w:hint="eastAsia" w:ascii="宋体" w:hAnsi="宋体" w:eastAsia="宋体" w:cs="宋体"/>
          <w:color w:val="auto"/>
          <w:lang w:eastAsia="zh-CN"/>
        </w:rPr>
        <w:t xml:space="preserve">、综合说明：</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1.供应商所投产品应能够至少达到以上技术参数要求，同时必须明确所投产品的品牌、规格及一些必须说明的技术参数等，否则将可能导致其投标文件被评标委员会拒绝。</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2.供应商必须响应招标文件中提出的全部技术规格与要求，如果其中某些条款不响应时，应在文件中逐条列出，未列出的视同响应。</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3.投标总报价一次报定，包括所有货物的供货、辅助材料、人工及五险一金、运输、检验、送货、保险、装卸、仓储、代理服务费、保管、各种税费及其他伴随服务等一切必须费用。</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4.供应商为本项目配备的所有人员在项目服务期内出现的工伤、人身损害、财物损失及其他意外事故，均由供应商自行负责，采购人不承担任何责任。</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5.交货期限：在甲方通知进场30天内完成供货、安装、调试、交付及验收等。</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6.凡涉及招标文件的补充说明和修改，均以苏州</w:t>
      </w:r>
      <w:r>
        <w:rPr>
          <w:rFonts w:hint="eastAsia" w:ascii="宋体" w:hAnsi="宋体" w:eastAsia="宋体" w:cs="宋体"/>
          <w:color w:val="auto"/>
          <w:lang w:val="en-US" w:eastAsia="zh-CN"/>
        </w:rPr>
        <w:t xml:space="preserve">市</w:t>
      </w:r>
      <w:r>
        <w:rPr>
          <w:rFonts w:hint="eastAsia" w:ascii="宋体" w:hAnsi="宋体" w:eastAsia="宋体" w:cs="宋体"/>
          <w:color w:val="auto"/>
          <w:lang w:eastAsia="zh-CN"/>
        </w:rPr>
        <w:t xml:space="preserve">政府采购网发布通知为准。</w:t>
      </w:r>
      <w:r/>
    </w:p>
    <w:p>
      <w:pPr>
        <w:pStyle w:val="1074"/>
        <w:ind w:left="0" w:firstLine="0"/>
        <w:rPr>
          <w:rFonts w:hint="eastAsia" w:eastAsia="方正仿宋简体"/>
          <w:color w:val="auto"/>
          <w:lang w:eastAsia="zh-CN"/>
        </w:rPr>
        <w:sectPr>
          <w:footerReference w:type="default" r:id="rId15"/>
          <w:footerReference w:type="first" r:id="rId16"/>
          <w:footnotePr/>
          <w:endnotePr/>
          <w:type w:val="nextPage"/>
          <w:pgSz w:w="11906" w:h="16838" w:orient="portrait"/>
          <w:pgMar w:top="1134" w:right="1133" w:bottom="1134" w:left="1134" w:header="851" w:footer="992" w:gutter="0"/>
          <w:cols w:num="1" w:sep="0" w:space="1701" w:equalWidth="1"/>
          <w:docGrid w:linePitch="360"/>
          <w:titlePg/>
        </w:sectPr>
      </w:pPr>
      <w:r>
        <w:rPr>
          <w:rFonts w:hint="eastAsia" w:eastAsia="方正仿宋简体"/>
          <w:color w:val="auto"/>
          <w:lang w:eastAsia="zh-CN"/>
        </w:rPr>
      </w:r>
      <w:r/>
    </w:p>
    <w:p>
      <w:pPr>
        <w:pStyle w:val="1042"/>
        <w:numPr>
          <w:ilvl w:val="0"/>
          <w:numId w:val="6"/>
        </w:numPr>
        <w:rPr>
          <w:rFonts w:hint="eastAsia" w:ascii="宋体" w:hAnsi="宋体"/>
          <w:b/>
          <w:color w:val="auto"/>
          <w:sz w:val="30"/>
          <w:szCs w:val="30"/>
        </w:rPr>
      </w:pPr>
      <w:r>
        <w:rPr>
          <w:rFonts w:hint="eastAsia" w:ascii="宋体" w:hAnsi="宋体"/>
          <w:b/>
          <w:color w:val="auto"/>
          <w:sz w:val="30"/>
          <w:szCs w:val="30"/>
        </w:rPr>
        <w:t xml:space="preserve">合同条款</w:t>
      </w:r>
      <w:r/>
    </w:p>
    <w:p>
      <w:pPr>
        <w:ind w:firstLine="482"/>
        <w:jc w:val="center"/>
        <w:spacing w:after="120" w:line="85" w:lineRule="atLeast"/>
        <w:widowControl/>
        <w:rPr>
          <w:rFonts w:hint="eastAsia" w:ascii="宋体" w:hAnsi="宋体" w:eastAsia="宋体" w:cs="宋体"/>
          <w:b/>
          <w:color w:val="auto"/>
          <w:sz w:val="44"/>
          <w:szCs w:val="22"/>
          <w:highlight w:val="none"/>
        </w:rPr>
        <w:pBdr>
          <w:top w:val="none" w:color="000000" w:sz="0" w:space="0"/>
          <w:left w:val="none" w:color="000000" w:sz="0" w:space="0"/>
          <w:bottom w:val="none" w:color="000000" w:sz="0" w:space="0"/>
          <w:right w:val="none" w:color="000000" w:sz="0" w:space="0"/>
        </w:pBdr>
      </w:pPr>
      <w:r/>
      <w:bookmarkStart w:id="90" w:name="_Toc356916344"/>
      <w:r/>
      <w:bookmarkEnd w:id="90"/>
      <w:r/>
      <w:bookmarkStart w:id="91" w:name="_Toc356916302"/>
      <w:r/>
      <w:bookmarkEnd w:id="91"/>
      <w:r/>
      <w:bookmarkStart w:id="92" w:name="_Toc313432876"/>
      <w:r/>
      <w:bookmarkEnd w:id="92"/>
      <w:r/>
      <w:bookmarkStart w:id="93" w:name="_Toc349653867"/>
      <w:r/>
      <w:bookmarkEnd w:id="93"/>
      <w:r/>
      <w:r/>
    </w:p>
    <w:p>
      <w:pPr>
        <w:ind w:firstLine="482"/>
        <w:jc w:val="center"/>
        <w:spacing w:after="120" w:line="85" w:lineRule="atLeast"/>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22"/>
          <w:highlight w:val="none"/>
        </w:rPr>
        <w:t xml:space="preserve">政府采购合同书</w:t>
      </w:r>
      <w:r/>
    </w:p>
    <w:p>
      <w:pPr>
        <w:ind w:firstLine="480"/>
        <w:jc w:val="center"/>
        <w:spacing w:line="85" w:lineRule="atLeast"/>
        <w:widowControl/>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r>
      <w:r/>
    </w:p>
    <w:p>
      <w:pPr>
        <w:ind w:firstLine="480"/>
        <w:jc w:val="center"/>
        <w:spacing w:line="85" w:lineRule="atLeast"/>
        <w:widowControl/>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r>
      <w:r/>
    </w:p>
    <w:p>
      <w:pPr>
        <w:ind w:firstLine="480"/>
        <w:jc w:val="center"/>
        <w:spacing w:line="85" w:lineRule="atLeast"/>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招标编号：</w:t>
      </w:r>
      <w:r/>
    </w:p>
    <w:p>
      <w:pPr>
        <w:ind w:firstLine="480"/>
        <w:jc w:val="left"/>
        <w:spacing w:line="360" w:lineRule="auto"/>
        <w:widowControl/>
        <w:rPr>
          <w:rFonts w:hint="eastAsia" w:ascii="宋体" w:hAnsi="宋体" w:eastAsia="宋体" w:cs="宋体"/>
          <w:color w:val="auto"/>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甲方：</w:t>
      </w:r>
      <w:r>
        <w:rPr>
          <w:rFonts w:hint="eastAsia" w:ascii="宋体" w:hAnsi="宋体" w:cs="宋体"/>
          <w:color w:val="auto"/>
          <w:sz w:val="24"/>
          <w:szCs w:val="22"/>
          <w:highlight w:val="none"/>
          <w:lang w:eastAsia="zh-CN"/>
        </w:rPr>
        <w:t xml:space="preserve">昆山市周市镇人民政府</w:t>
      </w:r>
      <w:r/>
    </w:p>
    <w:p>
      <w:pPr>
        <w:ind w:firstLine="480"/>
        <w:jc w:val="left"/>
        <w:spacing w:line="360" w:lineRule="auto"/>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地址：</w:t>
      </w:r>
      <w:r/>
    </w:p>
    <w:p>
      <w:pPr>
        <w:ind w:firstLine="480"/>
        <w:jc w:val="left"/>
        <w:spacing w:line="360" w:lineRule="auto"/>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联系人：</w:t>
      </w:r>
      <w:r/>
    </w:p>
    <w:p>
      <w:pPr>
        <w:ind w:firstLine="480"/>
        <w:jc w:val="left"/>
        <w:spacing w:line="360" w:lineRule="auto"/>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联系电话：</w:t>
      </w:r>
      <w:r/>
    </w:p>
    <w:p>
      <w:pPr>
        <w:ind w:firstLine="480"/>
        <w:jc w:val="left"/>
        <w:spacing w:line="360" w:lineRule="auto"/>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480"/>
        <w:jc w:val="left"/>
        <w:spacing w:line="360" w:lineRule="auto"/>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乙方：</w:t>
      </w:r>
      <w:r/>
    </w:p>
    <w:p>
      <w:pPr>
        <w:ind w:firstLine="480"/>
        <w:jc w:val="left"/>
        <w:spacing w:line="360" w:lineRule="auto"/>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地址：</w:t>
      </w:r>
      <w:r/>
    </w:p>
    <w:p>
      <w:pPr>
        <w:ind w:firstLine="480"/>
        <w:jc w:val="left"/>
        <w:spacing w:line="360" w:lineRule="auto"/>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联系人：</w:t>
      </w:r>
      <w:r/>
    </w:p>
    <w:p>
      <w:pPr>
        <w:ind w:firstLine="480"/>
        <w:jc w:val="left"/>
        <w:spacing w:line="360" w:lineRule="auto"/>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联系电话：</w:t>
      </w:r>
      <w:r/>
    </w:p>
    <w:p>
      <w:pPr>
        <w:ind w:firstLine="480"/>
        <w:jc w:val="left"/>
        <w:spacing w:line="360" w:lineRule="auto"/>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480"/>
        <w:jc w:val="left"/>
        <w:spacing w:line="360" w:lineRule="auto"/>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根据《中华人民共和国民法典》等相关法律法规的规定，甲乙双方就此次成交的【</w:t>
      </w:r>
      <w:r>
        <w:rPr>
          <w:rFonts w:hint="eastAsia" w:ascii="宋体" w:hAnsi="宋体" w:cs="宋体"/>
          <w:color w:val="auto"/>
          <w:sz w:val="24"/>
          <w:szCs w:val="22"/>
          <w:highlight w:val="none"/>
          <w:lang w:eastAsia="zh-CN"/>
        </w:rPr>
        <w:t xml:space="preserve">周市镇骨灰堂存放架采购项目</w:t>
      </w:r>
      <w:r>
        <w:rPr>
          <w:rFonts w:hint="eastAsia" w:ascii="宋体" w:hAnsi="宋体" w:eastAsia="宋体" w:cs="宋体"/>
          <w:color w:val="auto"/>
          <w:sz w:val="24"/>
          <w:szCs w:val="22"/>
          <w:highlight w:val="none"/>
        </w:rPr>
        <w:t xml:space="preserve">】项目（以下简称“本项目”）购销事宜，签订本合同书，以兹共同遵守。</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一、下列文件为本合同不可分割</w:t>
      </w:r>
      <w:r>
        <w:rPr>
          <w:rFonts w:ascii="宋体" w:hAnsi="宋体" w:eastAsia="宋体" w:cs="宋体"/>
          <w:color w:val="auto"/>
          <w:sz w:val="24"/>
          <w:szCs w:val="22"/>
          <w:highlight w:val="none"/>
        </w:rPr>
        <w:t xml:space="preserve">部分，并构成一个整体，需综合解释、相互补充。如果下列文件内容出现不一致的情形，在保证按照</w:t>
      </w:r>
      <w:r>
        <w:rPr>
          <w:rFonts w:hint="eastAsia" w:ascii="宋体" w:hAnsi="宋体" w:eastAsia="宋体" w:cs="宋体"/>
          <w:color w:val="auto"/>
          <w:sz w:val="24"/>
          <w:szCs w:val="22"/>
          <w:highlight w:val="none"/>
        </w:rPr>
        <w:t xml:space="preserve">招标文件</w:t>
      </w:r>
      <w:r>
        <w:rPr>
          <w:rFonts w:ascii="宋体" w:hAnsi="宋体" w:eastAsia="宋体" w:cs="宋体"/>
          <w:color w:val="auto"/>
          <w:sz w:val="24"/>
          <w:szCs w:val="22"/>
          <w:highlight w:val="none"/>
        </w:rPr>
        <w:t xml:space="preserve">确定的事项的前提下，组成本合同的多个文件的优先适用顺序如下：</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（1）本合同书及本合同书签署后双方以书面形式确认的补充协议等；</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（2）中标通知书；</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rPr>
        <w:t xml:space="preserve">招标</w:t>
      </w:r>
      <w:r>
        <w:rPr>
          <w:rFonts w:ascii="宋体" w:hAnsi="宋体" w:eastAsia="宋体" w:cs="宋体"/>
          <w:color w:val="auto"/>
          <w:sz w:val="24"/>
          <w:szCs w:val="22"/>
          <w:highlight w:val="none"/>
        </w:rPr>
        <w:t xml:space="preserve">文件；</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（4）投标文件；</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（5）乙方在招标过程中所作的其它承诺、声明、书面澄清等。</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二、合同内容</w:t>
      </w:r>
      <w:r/>
    </w:p>
    <w:p>
      <w:pPr>
        <w:ind w:firstLine="480"/>
        <w:jc w:val="left"/>
        <w:spacing w:line="360" w:lineRule="auto"/>
        <w:widowControl/>
        <w:rPr>
          <w:rFonts w:ascii="Arial" w:hAnsi="Arial" w:eastAsia="宋体"/>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（一）项目内容：乙方负责完成甲方的</w:t>
      </w:r>
      <w:r>
        <w:rPr>
          <w:rFonts w:ascii="宋体" w:hAnsi="宋体" w:eastAsia="宋体" w:cs="宋体"/>
          <w:color w:val="auto"/>
          <w:sz w:val="24"/>
          <w:szCs w:val="22"/>
          <w:highlight w:val="none"/>
          <w:u w:val="single"/>
        </w:rPr>
        <w:t xml:space="preserve">“</w:t>
      </w:r>
      <w:r>
        <w:rPr>
          <w:rFonts w:hint="eastAsia" w:ascii="宋体" w:hAnsi="宋体" w:eastAsia="宋体" w:cs="宋体"/>
          <w:color w:val="auto"/>
          <w:sz w:val="24"/>
          <w:szCs w:val="22"/>
          <w:highlight w:val="none"/>
          <w:u w:val="single"/>
        </w:rPr>
        <w:t xml:space="preserve">      </w:t>
      </w:r>
      <w:r>
        <w:rPr>
          <w:rFonts w:ascii="宋体" w:hAnsi="宋体" w:eastAsia="宋体" w:cs="宋体"/>
          <w:color w:val="auto"/>
          <w:sz w:val="24"/>
          <w:szCs w:val="22"/>
          <w:highlight w:val="none"/>
          <w:u w:val="single"/>
        </w:rPr>
        <w:t xml:space="preserve">项目”</w:t>
      </w:r>
      <w:r>
        <w:rPr>
          <w:rFonts w:ascii="宋体" w:hAnsi="宋体" w:eastAsia="宋体" w:cs="宋体"/>
          <w:color w:val="auto"/>
          <w:sz w:val="24"/>
          <w:szCs w:val="22"/>
          <w:highlight w:val="none"/>
        </w:rPr>
        <w:t xml:space="preserve">，具体内容</w:t>
      </w:r>
      <w:r>
        <w:rPr>
          <w:rFonts w:hint="eastAsia" w:ascii="宋体" w:hAnsi="宋体" w:eastAsia="宋体" w:cs="宋体"/>
          <w:color w:val="auto"/>
          <w:sz w:val="24"/>
          <w:szCs w:val="22"/>
          <w:highlight w:val="none"/>
        </w:rPr>
        <w:t xml:space="preserve">详见招标文件；</w:t>
      </w:r>
      <w:r/>
    </w:p>
    <w:p>
      <w:pPr>
        <w:ind w:firstLine="480"/>
        <w:jc w:val="left"/>
        <w:spacing w:line="360" w:lineRule="auto"/>
        <w:widowControl/>
        <w:rPr>
          <w:rFonts w:ascii="Arial" w:hAnsi="Arial" w:eastAsia="宋体"/>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（二）交付期限：</w:t>
      </w:r>
      <w:r>
        <w:rPr>
          <w:rFonts w:hint="eastAsia" w:ascii="宋体" w:hAnsi="宋体" w:eastAsia="宋体" w:cs="宋体"/>
          <w:color w:val="auto"/>
          <w:sz w:val="24"/>
          <w:szCs w:val="22"/>
          <w:highlight w:val="none"/>
        </w:rPr>
        <w:t xml:space="preserve">在甲方通知进场30天内完成供货、安装、调试、交付及验收等。</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（三）交付地点：甲方指定地点。</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（四）</w:t>
      </w:r>
      <w:r>
        <w:rPr>
          <w:rFonts w:hint="eastAsia" w:ascii="宋体" w:hAnsi="宋体" w:eastAsia="宋体" w:cs="宋体"/>
          <w:color w:val="auto"/>
          <w:sz w:val="24"/>
          <w:szCs w:val="22"/>
          <w:highlight w:val="none"/>
        </w:rPr>
        <w:t xml:space="preserve">免费</w:t>
      </w:r>
      <w:r>
        <w:rPr>
          <w:rFonts w:ascii="宋体" w:hAnsi="宋体" w:eastAsia="宋体" w:cs="宋体"/>
          <w:color w:val="auto"/>
          <w:sz w:val="24"/>
          <w:szCs w:val="22"/>
          <w:highlight w:val="none"/>
        </w:rPr>
        <w:t xml:space="preserve">质保期：【</w:t>
      </w:r>
      <w:r>
        <w:rPr>
          <w:rFonts w:hint="eastAsia" w:ascii="宋体" w:hAnsi="宋体" w:eastAsia="宋体" w:cs="宋体"/>
          <w:color w:val="auto"/>
          <w:sz w:val="24"/>
          <w:szCs w:val="22"/>
          <w:highlight w:val="none"/>
        </w:rPr>
        <w:t xml:space="preserve">  </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t xml:space="preserve">】年，自货物经甲方验收通过之日起开始计算</w:t>
      </w:r>
      <w:r>
        <w:rPr>
          <w:rFonts w:hint="eastAsia" w:ascii="宋体" w:hAnsi="宋体" w:eastAsia="宋体" w:cs="宋体"/>
          <w:color w:val="auto"/>
          <w:sz w:val="24"/>
          <w:szCs w:val="22"/>
          <w:highlight w:val="none"/>
        </w:rPr>
        <w:t xml:space="preserve">，分批送货及安装的，以最后一批货物验收之日起起算质保期期限</w:t>
      </w:r>
      <w:r>
        <w:rPr>
          <w:rFonts w:ascii="宋体" w:hAnsi="宋体" w:eastAsia="宋体" w:cs="宋体"/>
          <w:color w:val="auto"/>
          <w:sz w:val="24"/>
          <w:szCs w:val="22"/>
          <w:highlight w:val="none"/>
        </w:rPr>
        <w:t xml:space="preserve">。</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三、价格与支付</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（一）本合同金额按此次中标（成交）价格执行，本合同总金额（含税）为人民币（大写）</w:t>
      </w:r>
      <w:r>
        <w:rPr>
          <w:rFonts w:hint="eastAsia" w:ascii="宋体" w:hAnsi="宋体" w:eastAsia="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w:t>
      </w:r>
      <w:r>
        <w:rPr>
          <w:rFonts w:hint="eastAsia" w:ascii="宋体" w:hAnsi="宋体" w:eastAsia="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rPr>
        <w:t xml:space="preserve">）。上述合同总金额已</w:t>
      </w:r>
      <w:r>
        <w:rPr>
          <w:rFonts w:hint="eastAsia" w:ascii="宋体" w:hAnsi="宋体" w:eastAsia="宋体" w:cs="宋体"/>
          <w:color w:val="auto"/>
          <w:sz w:val="24"/>
          <w:szCs w:val="22"/>
          <w:highlight w:val="none"/>
        </w:rPr>
        <w:t xml:space="preserve">包括所有货物的供货、辅助材料、人工及五险一金、运输、检验、送货、保险、装卸、仓储、代理服务费、保管、各种税费及其他伴随服务等一切必须费用。</w:t>
      </w:r>
      <w:r>
        <w:rPr>
          <w:rFonts w:ascii="宋体" w:hAnsi="宋体" w:eastAsia="宋体" w:cs="宋体"/>
          <w:color w:val="auto"/>
          <w:sz w:val="24"/>
          <w:szCs w:val="22"/>
          <w:highlight w:val="none"/>
        </w:rPr>
        <w:t xml:space="preserve">除非本合同另有约定或经甲乙双方协商同意，乙方不得再要求追加任何其他费用。同时，除本合同另有约定外，本合同价格在实施期间不因市场变化因素而变动。</w:t>
      </w:r>
      <w:r/>
    </w:p>
    <w:p>
      <w:pPr>
        <w:ind w:firstLine="480"/>
        <w:jc w:val="left"/>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（二）合同价款的支付及付款方式：</w:t>
      </w:r>
      <w:r/>
    </w:p>
    <w:p>
      <w:pPr>
        <w:ind w:firstLine="480"/>
        <w:jc w:val="left"/>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1.付款方式：</w:t>
      </w:r>
      <w:r/>
    </w:p>
    <w:p>
      <w:pPr>
        <w:ind w:firstLine="480"/>
        <w:jc w:val="left"/>
        <w:spacing w:line="360" w:lineRule="auto"/>
        <w:widowControl/>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合同签订后，货物全部经正确安装、调试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2"/>
          <w:highlight w:val="none"/>
        </w:rPr>
        <w:t xml:space="preserve">交付及</w:t>
      </w:r>
      <w:r>
        <w:rPr>
          <w:rFonts w:hint="eastAsia" w:ascii="宋体" w:hAnsi="宋体" w:eastAsia="宋体" w:cs="宋体"/>
          <w:color w:val="auto"/>
          <w:sz w:val="24"/>
          <w:szCs w:val="24"/>
          <w:highlight w:val="none"/>
        </w:rPr>
        <w:t xml:space="preserve">并验收，通过甲方验收合格并书面确认后60日内，甲方支付合同总金额的</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免费质保期五年，</w:t>
      </w:r>
      <w:r>
        <w:rPr>
          <w:rFonts w:hint="eastAsia" w:ascii="宋体" w:hAnsi="宋体" w:eastAsia="宋体" w:cs="宋体"/>
          <w:color w:val="auto"/>
          <w:sz w:val="24"/>
          <w:szCs w:val="24"/>
          <w:highlight w:val="none"/>
        </w:rPr>
        <w:t xml:space="preserve">质保期前两年，每年支付15%，最后一年支付10%</w:t>
      </w:r>
      <w:r>
        <w:rPr>
          <w:rFonts w:hint="eastAsia" w:ascii="宋体"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2.乙方提请甲方付款前，应提供以下资料：</w:t>
      </w:r>
      <w:r/>
    </w:p>
    <w:p>
      <w:pPr>
        <w:ind w:firstLine="480"/>
        <w:jc w:val="left"/>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（1）合法有效且符合甲方要求的发票；</w:t>
      </w:r>
      <w:r/>
    </w:p>
    <w:p>
      <w:pPr>
        <w:ind w:firstLine="480"/>
        <w:jc w:val="left"/>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（2）随货物附带的所有有关资料（如质量保证书等）；</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（3）由甲乙双方及采购代理机构签章的《政府采购合同履行验收报告》（《政府采购合同履行验收报告》于本项目经甲</w:t>
      </w:r>
      <w:r>
        <w:rPr>
          <w:rFonts w:ascii="宋体" w:hAnsi="宋体" w:eastAsia="宋体" w:cs="宋体"/>
          <w:color w:val="auto"/>
          <w:sz w:val="24"/>
          <w:szCs w:val="22"/>
          <w:highlight w:val="none"/>
        </w:rPr>
        <w:t xml:space="preserve">方验收后提供）。</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若乙方未按要求提供上述资料的，甲方有权迟延付款，且不承担逾期付款的违约责任。</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w:t>
      </w:r>
      <w:r>
        <w:rPr>
          <w:rFonts w:ascii="宋体" w:hAnsi="宋体" w:eastAsia="宋体" w:cs="宋体"/>
          <w:color w:val="auto"/>
          <w:sz w:val="24"/>
          <w:szCs w:val="22"/>
          <w:highlight w:val="none"/>
        </w:rPr>
        <w:t xml:space="preserve">付款方式：银行转账或数字人民币转账。</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（1）乙方数字人民币账户信息如下：</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账户名：</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开户行：</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数字人民币账号（数币钱包ID）：</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（2）乙方银行转账账户信息如下：</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开户名称：</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开户银行：</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银行账号：</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4.</w:t>
      </w:r>
      <w:r>
        <w:rPr>
          <w:rFonts w:ascii="宋体" w:hAnsi="宋体" w:eastAsia="宋体" w:cs="宋体"/>
          <w:color w:val="auto"/>
          <w:sz w:val="24"/>
          <w:szCs w:val="22"/>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5.</w:t>
      </w:r>
      <w:r>
        <w:rPr>
          <w:rFonts w:ascii="宋体" w:hAnsi="宋体" w:eastAsia="宋体" w:cs="宋体"/>
          <w:color w:val="auto"/>
          <w:sz w:val="24"/>
          <w:szCs w:val="22"/>
          <w:highlight w:val="none"/>
        </w:rPr>
        <w:t xml:space="preserve">根据现行税法对甲方征收的与本合同有关的一切税费均由甲方承担；根据现行税法对乙方征收的与本合同有关的一切税费均由乙方承担。</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四、质量保证</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（一）乙方应保证其向甲方提供的货物是全新的、未使用过的，并且不是长期积压的库存商品，完全符合合同规定的质量、规格</w:t>
      </w:r>
      <w:r>
        <w:rPr>
          <w:rFonts w:hint="eastAsia" w:ascii="宋体" w:hAnsi="宋体" w:eastAsia="宋体" w:cs="宋体"/>
          <w:color w:val="auto"/>
          <w:sz w:val="24"/>
          <w:szCs w:val="22"/>
          <w:highlight w:val="none"/>
        </w:rPr>
        <w:t xml:space="preserve">、品牌</w:t>
      </w:r>
      <w:r>
        <w:rPr>
          <w:rFonts w:ascii="宋体" w:hAnsi="宋体" w:eastAsia="宋体" w:cs="宋体"/>
          <w:color w:val="auto"/>
          <w:sz w:val="24"/>
          <w:szCs w:val="22"/>
          <w:highlight w:val="none"/>
        </w:rPr>
        <w:t xml:space="preserve">和性能的要求。乙方应保证其提供的货物在正确安装、正常使用和保养条件下，在其标称的使用寿命期内应具有良好的性能。在乙方承诺的质量保证期限内，乙方应对由于设计、工艺或材料的缺陷及伴随服务等非甲方原因而造成的任何不足或故障负责。质保期内货物出现质量问题的，乙方应负责包修、包退、包换，由此产生的一切费用均由乙方承担。</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（二）乙方应按照本合同约定的质量标准提供合格的货物，如未约定质量标准的，应按照强制性国家标准履行</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t xml:space="preserve">没有强制性国家标准的</w:t>
      </w:r>
      <w:r>
        <w:rPr>
          <w:rFonts w:hint="eastAsia" w:ascii="宋体" w:hAnsi="宋体" w:eastAsia="宋体" w:cs="宋体"/>
          <w:color w:val="auto"/>
          <w:sz w:val="24"/>
          <w:szCs w:val="22"/>
          <w:highlight w:val="none"/>
          <w:lang w:eastAsia="zh-CN"/>
        </w:rPr>
        <w:t xml:space="preserve">，</w:t>
      </w:r>
      <w:r>
        <w:rPr>
          <w:rFonts w:ascii="宋体" w:hAnsi="宋体" w:eastAsia="宋体" w:cs="宋体"/>
          <w:color w:val="auto"/>
          <w:sz w:val="24"/>
          <w:szCs w:val="22"/>
          <w:highlight w:val="none"/>
        </w:rPr>
        <w:t xml:space="preserve">按照推荐性国家标准履行</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t xml:space="preserve">没有推荐性国家标准的</w:t>
      </w:r>
      <w:r>
        <w:rPr>
          <w:rFonts w:hint="eastAsia" w:ascii="宋体" w:hAnsi="宋体" w:eastAsia="宋体" w:cs="宋体"/>
          <w:color w:val="auto"/>
          <w:sz w:val="24"/>
          <w:szCs w:val="22"/>
          <w:highlight w:val="none"/>
          <w:lang w:eastAsia="zh-CN"/>
        </w:rPr>
        <w:t xml:space="preserve">，</w:t>
      </w:r>
      <w:r>
        <w:rPr>
          <w:rFonts w:ascii="宋体" w:hAnsi="宋体" w:eastAsia="宋体" w:cs="宋体"/>
          <w:color w:val="auto"/>
          <w:sz w:val="24"/>
          <w:szCs w:val="22"/>
          <w:highlight w:val="none"/>
        </w:rPr>
        <w:t xml:space="preserve">按照行业标准履行</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t xml:space="preserve">没有国家标准、行业标准的</w:t>
      </w:r>
      <w:r>
        <w:rPr>
          <w:rFonts w:hint="eastAsia" w:ascii="宋体" w:hAnsi="宋体" w:eastAsia="宋体" w:cs="宋体"/>
          <w:color w:val="auto"/>
          <w:sz w:val="24"/>
          <w:szCs w:val="22"/>
          <w:highlight w:val="none"/>
          <w:lang w:eastAsia="zh-CN"/>
        </w:rPr>
        <w:t xml:space="preserve">，</w:t>
      </w:r>
      <w:r>
        <w:rPr>
          <w:rFonts w:ascii="宋体" w:hAnsi="宋体" w:eastAsia="宋体" w:cs="宋体"/>
          <w:color w:val="auto"/>
          <w:sz w:val="24"/>
          <w:szCs w:val="22"/>
          <w:highlight w:val="none"/>
        </w:rPr>
        <w:t xml:space="preserve">按照通常标准或者符合合同</w:t>
      </w:r>
      <w:r>
        <w:rPr>
          <w:rFonts w:hint="eastAsia" w:ascii="宋体" w:hAnsi="宋体" w:eastAsia="宋体" w:cs="宋体"/>
          <w:color w:val="auto"/>
          <w:sz w:val="24"/>
          <w:szCs w:val="22"/>
          <w:highlight w:val="none"/>
        </w:rPr>
        <w:t xml:space="preserve">及甲方</w:t>
      </w:r>
      <w:r>
        <w:rPr>
          <w:rFonts w:ascii="宋体" w:hAnsi="宋体" w:eastAsia="宋体" w:cs="宋体"/>
          <w:color w:val="auto"/>
          <w:sz w:val="24"/>
          <w:szCs w:val="22"/>
          <w:highlight w:val="none"/>
        </w:rPr>
        <w:t xml:space="preserve">目的的特定标准履行。同时存在不同标准的，以最高标准为准。</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（三）根据甲方按本合同约定的检验标准检验的结果或具有法定检验资质的第三方检验机构出具的检验结果，如果设备的数量、质量</w:t>
      </w:r>
      <w:r>
        <w:rPr>
          <w:rFonts w:hint="eastAsia" w:ascii="宋体" w:hAnsi="宋体" w:eastAsia="宋体" w:cs="宋体"/>
          <w:color w:val="auto"/>
          <w:sz w:val="24"/>
          <w:szCs w:val="22"/>
          <w:highlight w:val="none"/>
        </w:rPr>
        <w:t xml:space="preserve">、品牌</w:t>
      </w:r>
      <w:r>
        <w:rPr>
          <w:rFonts w:ascii="宋体" w:hAnsi="宋体" w:eastAsia="宋体" w:cs="宋体"/>
          <w:color w:val="auto"/>
          <w:sz w:val="24"/>
          <w:szCs w:val="22"/>
          <w:highlight w:val="none"/>
        </w:rPr>
        <w:t xml:space="preserve">或规格与本合同约定不符或证实设备是有缺陷的，包括潜在缺陷或使用不符合要求的材料等，甲方有权以书面形式通知乙方并提出</w:t>
      </w:r>
      <w:r>
        <w:rPr>
          <w:rFonts w:hint="eastAsia" w:ascii="宋体" w:hAnsi="宋体" w:eastAsia="宋体" w:cs="宋体"/>
          <w:color w:val="auto"/>
          <w:sz w:val="24"/>
          <w:szCs w:val="22"/>
          <w:highlight w:val="none"/>
        </w:rPr>
        <w:t xml:space="preserve">更换、重修、返修、赔款等</w:t>
      </w:r>
      <w:r>
        <w:rPr>
          <w:rFonts w:ascii="宋体" w:hAnsi="宋体" w:eastAsia="宋体" w:cs="宋体"/>
          <w:color w:val="auto"/>
          <w:sz w:val="24"/>
          <w:szCs w:val="22"/>
          <w:highlight w:val="none"/>
        </w:rPr>
        <w:t xml:space="preserve">索赔。</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四）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五、包装</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（二）乙方应保证其提供的货物是原包装未拆封的商品，在交付甲方验收前不得拆箱。</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六、标的物的交付</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（一）本项目货物的所有权自货物由乙方交付甲方时转移。</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（二）乙方应当按照本合同约定的期限和约定的地点交付货物。</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（三）乙方应当按照本合同约定或者交易习惯向甲方交付提取货物单证以外的有关单证和资料。</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（四）本合同中所称“交付”，除根据上下文明显指到货时的交货外，均指完成安装调试后的交付。</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（五）乙方负责安排货物运输，因交货产生的运输、装卸、安装、保险等相关费用全部由乙方承担。货物在交付甲方并通过验收合格前，其灭失、损毁的风险由乙方承担。</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七、伴随服务</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（一）乙方除应按照本合同约定及甲方的要求履行按期按量交付合格货物的义务外，还应当提供下列服务：</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w:t>
      </w:r>
      <w:r>
        <w:rPr>
          <w:rFonts w:ascii="宋体" w:hAnsi="宋体" w:eastAsia="宋体" w:cs="宋体"/>
          <w:color w:val="auto"/>
          <w:sz w:val="24"/>
          <w:szCs w:val="22"/>
          <w:highlight w:val="none"/>
        </w:rPr>
        <w:t xml:space="preserve">货物的现场安装、启动、调试、监督（如果必须安装、调试的话）；</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w:t>
      </w:r>
      <w:r>
        <w:rPr>
          <w:rFonts w:ascii="宋体" w:hAnsi="宋体" w:eastAsia="宋体" w:cs="宋体"/>
          <w:color w:val="auto"/>
          <w:sz w:val="24"/>
          <w:szCs w:val="22"/>
          <w:highlight w:val="none"/>
        </w:rPr>
        <w:t xml:space="preserve">提供货物组装和一般维修所必需的工具；</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w:t>
      </w:r>
      <w:r>
        <w:rPr>
          <w:rFonts w:ascii="宋体" w:hAnsi="宋体" w:eastAsia="宋体" w:cs="宋体"/>
          <w:color w:val="auto"/>
          <w:sz w:val="24"/>
          <w:szCs w:val="22"/>
          <w:highlight w:val="none"/>
        </w:rPr>
        <w:t xml:space="preserve">在本合同规定的期限内对所提供的货物实行运行监督、维修服务的前提条件是该服务并不能免除乙方在质量保证期内应承担的义务；</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4.</w:t>
      </w:r>
      <w:r>
        <w:rPr>
          <w:rFonts w:ascii="宋体" w:hAnsi="宋体" w:eastAsia="宋体" w:cs="宋体"/>
          <w:color w:val="auto"/>
          <w:sz w:val="24"/>
          <w:szCs w:val="22"/>
          <w:highlight w:val="none"/>
        </w:rPr>
        <w:t xml:space="preserve">对甲方技术人员进行技术指导或培训服务。</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（二）除本合同另有规定外，伴随服务的费用均已包含在本合同总价款中，甲方不再另行向乙方支付任何其他费用。</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八、标的物的检验和验收</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（一）交付本合同货物前，乙方应对货物的质量、规格、性能、数量、外观、随机备件备品、装箱单、随机资料、包装等进行详细而全面的检验，并出具一份检验合格证明，检验合格证明仅作为甲方</w:t>
      </w:r>
      <w:r>
        <w:rPr>
          <w:rFonts w:hint="eastAsia" w:ascii="宋体" w:hAnsi="宋体" w:eastAsia="宋体" w:cs="宋体"/>
          <w:color w:val="auto"/>
          <w:sz w:val="24"/>
          <w:szCs w:val="22"/>
          <w:highlight w:val="none"/>
        </w:rPr>
        <w:t xml:space="preserve">初步</w:t>
      </w:r>
      <w:r>
        <w:rPr>
          <w:rFonts w:ascii="宋体" w:hAnsi="宋体" w:eastAsia="宋体" w:cs="宋体"/>
          <w:color w:val="auto"/>
          <w:sz w:val="24"/>
          <w:szCs w:val="22"/>
          <w:highlight w:val="none"/>
        </w:rPr>
        <w:t xml:space="preserve">验收的依据，但不能作为本合同项下货物质量、规格、数量或性能的最终检验结果。</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甲方根据本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损失的，乙方应赔偿一切直接、间接损失。</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（三）验收标准：按照货物验收相关规定，结合</w:t>
      </w:r>
      <w:r>
        <w:rPr>
          <w:rFonts w:hint="eastAsia" w:ascii="宋体" w:hAnsi="宋体" w:eastAsia="宋体" w:cs="宋体"/>
          <w:color w:val="auto"/>
          <w:sz w:val="24"/>
          <w:szCs w:val="22"/>
          <w:highlight w:val="none"/>
        </w:rPr>
        <w:t xml:space="preserve">招标文件</w:t>
      </w:r>
      <w:r>
        <w:rPr>
          <w:rFonts w:ascii="宋体" w:hAnsi="宋体" w:eastAsia="宋体" w:cs="宋体"/>
          <w:color w:val="auto"/>
          <w:sz w:val="24"/>
          <w:szCs w:val="22"/>
          <w:highlight w:val="none"/>
        </w:rPr>
        <w:t xml:space="preserve">、投标文件、本合同等项目文件约定内容对项目进行验收。</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（四）甲方应自</w:t>
      </w:r>
      <w:r>
        <w:rPr>
          <w:rFonts w:hint="eastAsia" w:ascii="宋体" w:hAnsi="宋体" w:eastAsia="宋体" w:cs="宋体"/>
          <w:color w:val="auto"/>
          <w:sz w:val="24"/>
          <w:szCs w:val="22"/>
          <w:highlight w:val="none"/>
        </w:rPr>
        <w:t xml:space="preserve">满足验收条件</w:t>
      </w:r>
      <w:r>
        <w:rPr>
          <w:rFonts w:ascii="宋体" w:hAnsi="宋体" w:eastAsia="宋体" w:cs="宋体"/>
          <w:color w:val="auto"/>
          <w:sz w:val="24"/>
          <w:szCs w:val="22"/>
          <w:highlight w:val="none"/>
        </w:rPr>
        <w:t xml:space="preserve">后1个月内或项目实施完成后进行验收。特殊情况需延长的，由甲乙双方另行协商确定。</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（五）如双方对验收结果有分歧，则以具有国家法定资质的第三方检验机构的检验结果为准。如检验合格，检验费由甲方承担，检验不合格，检验费由乙方承担。</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六）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rPr>
          <w:rFonts w:hint="eastAsia" w:ascii="宋体" w:hAnsi="宋体" w:eastAsia="宋体" w:cs="宋体"/>
          <w:color w:val="auto"/>
          <w:sz w:val="24"/>
          <w:szCs w:val="22"/>
          <w:highlight w:val="none"/>
        </w:rPr>
        <w:t xml:space="preserve">，更换后的货物质保期自验收通过后重新计算</w:t>
      </w:r>
      <w:r>
        <w:rPr>
          <w:rFonts w:ascii="宋体" w:hAnsi="宋体" w:eastAsia="宋体" w:cs="宋体"/>
          <w:color w:val="auto"/>
          <w:sz w:val="24"/>
          <w:szCs w:val="22"/>
          <w:highlight w:val="none"/>
        </w:rPr>
        <w:t xml:space="preserve">。</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九、标的物提出异议的时间和办法</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（二）如果甲方在验收期满后</w:t>
      </w:r>
      <w:r>
        <w:rPr>
          <w:rFonts w:hint="eastAsia" w:ascii="宋体" w:hAnsi="宋体" w:eastAsia="宋体" w:cs="宋体"/>
          <w:color w:val="auto"/>
          <w:sz w:val="24"/>
          <w:szCs w:val="22"/>
          <w:highlight w:val="none"/>
        </w:rPr>
        <w:t xml:space="preserve">30</w:t>
      </w:r>
      <w:r>
        <w:rPr>
          <w:rFonts w:ascii="宋体" w:hAnsi="宋体" w:eastAsia="宋体" w:cs="宋体"/>
          <w:color w:val="auto"/>
          <w:sz w:val="24"/>
          <w:szCs w:val="22"/>
          <w:highlight w:val="none"/>
        </w:rPr>
        <w:t xml:space="preserve">内既不出具验收合格证明又未提出书面异议的，乙方应当自验收期满后</w:t>
      </w:r>
      <w:r>
        <w:rPr>
          <w:rFonts w:hint="eastAsia" w:ascii="宋体" w:hAnsi="宋体" w:eastAsia="宋体" w:cs="宋体"/>
          <w:color w:val="auto"/>
          <w:sz w:val="24"/>
          <w:szCs w:val="22"/>
          <w:highlight w:val="none"/>
        </w:rPr>
        <w:t xml:space="preserve">60</w:t>
      </w:r>
      <w:r>
        <w:rPr>
          <w:rFonts w:ascii="宋体" w:hAnsi="宋体" w:eastAsia="宋体" w:cs="宋体"/>
          <w:color w:val="auto"/>
          <w:sz w:val="24"/>
          <w:szCs w:val="22"/>
          <w:highlight w:val="none"/>
        </w:rPr>
        <w:t xml:space="preserve">内对甲方进行催告，经乙方催告后甲方在</w:t>
      </w:r>
      <w:r>
        <w:rPr>
          <w:rFonts w:hint="eastAsia" w:ascii="宋体" w:hAnsi="宋体" w:eastAsia="宋体" w:cs="宋体"/>
          <w:color w:val="auto"/>
          <w:sz w:val="24"/>
          <w:szCs w:val="22"/>
          <w:highlight w:val="none"/>
        </w:rPr>
        <w:t xml:space="preserve">30</w:t>
      </w:r>
      <w:r>
        <w:rPr>
          <w:rFonts w:ascii="宋体" w:hAnsi="宋体" w:eastAsia="宋体" w:cs="宋体"/>
          <w:color w:val="auto"/>
          <w:sz w:val="24"/>
          <w:szCs w:val="22"/>
          <w:highlight w:val="none"/>
        </w:rPr>
        <w:t xml:space="preserve">日内仍未出具验收合格证明或提出书面异议的，视为验收合格。</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十、售后服务</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eastAsia="zh-CN"/>
        </w:rPr>
        <w:t xml:space="preserve">本项目免费质保期不少于</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lang w:eastAsia="zh-CN"/>
        </w:rPr>
        <w:t xml:space="preserve">年，自项目全面验收合格之日起计算。免费质保期内，若非人为原因出现质量问题，中标单位负责无条件维修或更换。招标人报修后，中标单位须在24小时内响应，</w:t>
      </w:r>
      <w:r>
        <w:rPr>
          <w:rFonts w:hint="eastAsia" w:ascii="宋体" w:hAnsi="宋体" w:eastAsia="宋体" w:cs="宋体"/>
          <w:color w:val="auto"/>
          <w:sz w:val="24"/>
          <w:szCs w:val="22"/>
          <w:highlight w:val="none"/>
          <w:lang w:val="en-US" w:eastAsia="zh-CN"/>
        </w:rPr>
        <w:t xml:space="preserve">响应后</w:t>
      </w:r>
      <w:r>
        <w:rPr>
          <w:rFonts w:hint="eastAsia" w:ascii="宋体" w:hAnsi="宋体" w:eastAsia="宋体" w:cs="宋体"/>
          <w:color w:val="auto"/>
          <w:sz w:val="24"/>
          <w:szCs w:val="22"/>
          <w:highlight w:val="none"/>
          <w:lang w:eastAsia="zh-CN"/>
        </w:rPr>
        <w:t xml:space="preserve">2小时内到达现场，8小时内完成维修；如需更换或送修，须在2个工作日内解决完毕。</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十一、安全生产</w:t>
      </w:r>
      <w:r/>
    </w:p>
    <w:p>
      <w:pPr>
        <w:ind w:firstLine="480"/>
        <w:jc w:val="left"/>
        <w:spacing w:line="360" w:lineRule="auto"/>
        <w:widowControl/>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2"/>
          <w:highlight w:val="none"/>
        </w:rPr>
        <w:t xml:space="preserve">1.</w:t>
      </w:r>
      <w:r>
        <w:rPr>
          <w:rFonts w:ascii="宋体" w:hAnsi="宋体" w:eastAsia="宋体" w:cs="宋体"/>
          <w:color w:val="auto"/>
          <w:sz w:val="24"/>
          <w:szCs w:val="22"/>
          <w:highlight w:val="none"/>
        </w:rPr>
        <w:t xml:space="preserve">在项目实施及质保期间，乙方应当配备必要的安全生产管理人员，负责强化项目实施人员安全教育和安全管理</w:t>
      </w:r>
      <w:r>
        <w:rPr>
          <w:rFonts w:hint="eastAsia" w:ascii="宋体" w:hAnsi="宋体" w:eastAsia="宋体" w:cs="宋体"/>
          <w:color w:val="auto"/>
          <w:sz w:val="24"/>
          <w:szCs w:val="22"/>
          <w:highlight w:val="none"/>
        </w:rPr>
        <w:t xml:space="preserve">、安全培训</w:t>
      </w:r>
      <w:r>
        <w:rPr>
          <w:rFonts w:ascii="宋体" w:hAnsi="宋体" w:eastAsia="宋体" w:cs="宋体"/>
          <w:color w:val="auto"/>
          <w:sz w:val="24"/>
          <w:szCs w:val="22"/>
          <w:highlight w:val="none"/>
        </w:rPr>
        <w:t xml:space="preserve">，如实施过程中存在人身安全风险的，乙方应当为实施人员购买必要的人身安全保险</w:t>
      </w:r>
      <w:r>
        <w:rPr>
          <w:rFonts w:hint="eastAsia" w:ascii="宋体" w:hAnsi="宋体" w:eastAsia="宋体" w:cs="宋体"/>
          <w:color w:val="auto"/>
          <w:sz w:val="24"/>
          <w:szCs w:val="22"/>
          <w:highlight w:val="none"/>
        </w:rPr>
        <w:t xml:space="preserve">等保险</w:t>
      </w:r>
      <w:r>
        <w:rPr>
          <w:rFonts w:ascii="宋体" w:hAnsi="宋体" w:eastAsia="宋体" w:cs="宋体"/>
          <w:color w:val="auto"/>
          <w:sz w:val="24"/>
          <w:szCs w:val="22"/>
          <w:highlight w:val="none"/>
        </w:rPr>
        <w:t xml:space="preserve">。</w:t>
      </w:r>
      <w:r/>
    </w:p>
    <w:p>
      <w:pPr>
        <w:ind w:firstLine="480"/>
        <w:jc w:val="left"/>
        <w:spacing w:line="360" w:lineRule="auto"/>
        <w:widowControl/>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2"/>
          <w:highlight w:val="none"/>
        </w:rPr>
        <w:t xml:space="preserve">2.</w:t>
      </w:r>
      <w:r>
        <w:rPr>
          <w:rFonts w:ascii="宋体" w:hAnsi="宋体" w:eastAsia="宋体" w:cs="宋体"/>
          <w:color w:val="auto"/>
          <w:sz w:val="24"/>
          <w:szCs w:val="22"/>
          <w:highlight w:val="none"/>
        </w:rPr>
        <w:t xml:space="preserve">所有作业人员均需按照国家法律法规之规定，取得对应上岗资格证书、作业许可证书、特种作业证书等相关资格证书，方可上岗作业。</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2"/>
          <w:highlight w:val="none"/>
        </w:rPr>
        <w:t xml:space="preserve">3.</w:t>
      </w:r>
      <w:r>
        <w:rPr>
          <w:rFonts w:ascii="宋体" w:hAnsi="宋体" w:eastAsia="宋体" w:cs="宋体"/>
          <w:color w:val="auto"/>
          <w:sz w:val="24"/>
          <w:szCs w:val="22"/>
          <w:highlight w:val="none"/>
        </w:rPr>
        <w:t xml:space="preserve">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十二、违约责任</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合同一方不履行合同义务或者履行合同义务不符合约定的，应当承担继续履行、采取补救措施或赔偿损失等违约责任。</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（一）甲方违约责任</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w:t>
      </w:r>
      <w:r>
        <w:rPr>
          <w:rFonts w:ascii="宋体" w:hAnsi="宋体" w:eastAsia="宋体" w:cs="宋体"/>
          <w:color w:val="auto"/>
          <w:sz w:val="24"/>
          <w:szCs w:val="22"/>
          <w:highlight w:val="none"/>
        </w:rPr>
        <w:t xml:space="preserve">本合同生效后，甲方无正当理由要求退货的，应向乙方支付本合同总金额</w:t>
      </w:r>
      <w:r>
        <w:rPr>
          <w:rFonts w:hint="eastAsia" w:ascii="宋体" w:hAnsi="宋体" w:eastAsia="宋体" w:cs="宋体"/>
          <w:color w:val="auto"/>
          <w:sz w:val="24"/>
          <w:szCs w:val="22"/>
          <w:highlight w:val="none"/>
        </w:rPr>
        <w:t xml:space="preserve">5</w:t>
      </w:r>
      <w:r>
        <w:rPr>
          <w:rFonts w:ascii="宋体" w:hAnsi="宋体" w:eastAsia="宋体" w:cs="宋体"/>
          <w:color w:val="auto"/>
          <w:sz w:val="24"/>
          <w:szCs w:val="22"/>
          <w:highlight w:val="none"/>
        </w:rPr>
        <w:t xml:space="preserve">%的违约金，违约金不足以弥补损失的，乙方有权要求甲方补足。</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w:t>
      </w:r>
      <w:r>
        <w:rPr>
          <w:rFonts w:ascii="宋体" w:hAnsi="宋体" w:eastAsia="宋体" w:cs="宋体"/>
          <w:color w:val="auto"/>
          <w:sz w:val="24"/>
          <w:szCs w:val="22"/>
          <w:highlight w:val="none"/>
        </w:rPr>
        <w:t xml:space="preserve">甲方逾期支付合同价款的，每逾期1日，</w:t>
      </w:r>
      <w:r>
        <w:rPr>
          <w:rFonts w:hint="eastAsia" w:ascii="宋体" w:hAnsi="宋体" w:eastAsia="宋体" w:cs="宋体"/>
          <w:color w:val="auto"/>
          <w:sz w:val="24"/>
          <w:szCs w:val="22"/>
          <w:highlight w:val="none"/>
        </w:rPr>
        <w:t xml:space="preserve">应按照全国银行间同业拆借中心公布的市场报价利率（LPR）支付逾期违约金</w:t>
      </w:r>
      <w:r>
        <w:rPr>
          <w:rFonts w:ascii="宋体" w:hAnsi="宋体" w:eastAsia="宋体" w:cs="宋体"/>
          <w:color w:val="auto"/>
          <w:sz w:val="24"/>
          <w:szCs w:val="22"/>
          <w:highlight w:val="none"/>
        </w:rPr>
        <w:t xml:space="preserve">。</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w:t>
      </w:r>
      <w:r>
        <w:rPr>
          <w:rFonts w:ascii="宋体" w:hAnsi="宋体" w:eastAsia="宋体" w:cs="宋体"/>
          <w:color w:val="auto"/>
          <w:sz w:val="24"/>
          <w:szCs w:val="22"/>
          <w:highlight w:val="none"/>
        </w:rPr>
        <w:t xml:space="preserve">甲方违反本合同规定，无正当理由拒绝接收乙方交付的合格标的物的，应当承担因此给乙方造成的损失。</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（二）乙方违约责任</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w:t>
      </w:r>
      <w:r>
        <w:rPr>
          <w:rFonts w:ascii="宋体" w:hAnsi="宋体" w:eastAsia="宋体" w:cs="宋体"/>
          <w:color w:val="auto"/>
          <w:sz w:val="24"/>
          <w:szCs w:val="22"/>
          <w:highlight w:val="none"/>
        </w:rPr>
        <w:t xml:space="preserve">乙方未能按本合同约定的期限交付质量符合本合同约定货物的，甲方有权选择采取以下一种或多种措施：</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（1）每逾期一日，要求乙方按照本合同总金额的万分之四向甲方支付违约金，并在甲方指定期限内交付符合本合同约定的货物。</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rPr>
        <w:t xml:space="preserve">逾期超过15日的，</w:t>
      </w:r>
      <w:r>
        <w:rPr>
          <w:rFonts w:ascii="宋体" w:hAnsi="宋体" w:eastAsia="宋体" w:cs="宋体"/>
          <w:color w:val="auto"/>
          <w:sz w:val="24"/>
          <w:szCs w:val="22"/>
          <w:highlight w:val="none"/>
        </w:rPr>
        <w:t xml:space="preserve">甲方有权直接解除本合同，同时乙方应当立即退回已收取的全部款项并向甲方支付本合同总金额【20】%的违约金。</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w:t>
      </w:r>
      <w:r>
        <w:rPr>
          <w:rFonts w:ascii="宋体" w:hAnsi="宋体" w:eastAsia="宋体" w:cs="宋体"/>
          <w:color w:val="auto"/>
          <w:sz w:val="24"/>
          <w:szCs w:val="22"/>
          <w:highlight w:val="none"/>
        </w:rPr>
        <w:t xml:space="preserve">因乙方违约导致甲方解除合同的，甲方有权另行采购本合同约定的设备，乙方应当支付甲方因此额外支付的费用和受到的损失，包括但不限于</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t xml:space="preserve"> 采购费用以及因退货所产生的运输、存储费用，因乙方违约导致逾期交付的损失（损失参照合同约定的逾期交付违约金计算方式进行认定）等一切费用和损失。</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w:t>
      </w:r>
      <w:r>
        <w:rPr>
          <w:rFonts w:ascii="宋体" w:hAnsi="宋体" w:eastAsia="宋体" w:cs="宋体"/>
          <w:color w:val="auto"/>
          <w:sz w:val="24"/>
          <w:szCs w:val="22"/>
          <w:highlight w:val="none"/>
        </w:rPr>
        <w:t xml:space="preserve">本项目禁止任何形式的转包与分包，如乙方出现违反上述约定的情况，甲方有权解除本合同，同时乙方应当立即退回已收取的全部款项并向甲方支付本合同总金额【20】%的违约金。</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4.</w:t>
      </w:r>
      <w:r>
        <w:rPr>
          <w:rFonts w:ascii="宋体" w:hAnsi="宋体" w:eastAsia="宋体" w:cs="宋体"/>
          <w:color w:val="auto"/>
          <w:sz w:val="24"/>
          <w:szCs w:val="22"/>
          <w:highlight w:val="none"/>
        </w:rPr>
        <w:t xml:space="preserve">除本合同另有约定以外，若乙方违反本合同约定的，且经甲方催告后【10】日内仍未改正的或该违约情形无法改正</w:t>
      </w:r>
      <w:r>
        <w:rPr>
          <w:rFonts w:hint="eastAsia" w:ascii="宋体" w:hAnsi="宋体" w:eastAsia="宋体" w:cs="宋体"/>
          <w:color w:val="auto"/>
          <w:sz w:val="24"/>
          <w:szCs w:val="22"/>
          <w:highlight w:val="none"/>
        </w:rPr>
        <w:t xml:space="preserve">或无法达到甲方要求</w:t>
      </w:r>
      <w:r>
        <w:rPr>
          <w:rFonts w:ascii="宋体" w:hAnsi="宋体" w:eastAsia="宋体" w:cs="宋体"/>
          <w:color w:val="auto"/>
          <w:sz w:val="24"/>
          <w:szCs w:val="22"/>
          <w:highlight w:val="none"/>
        </w:rPr>
        <w:t xml:space="preserve">的，甲方有权要求乙方立即向甲方支付本合同总金额【20】%的违约金，且甲方有权解除本合同，要求乙方立即退回本合同项下已收取的全部款项</w:t>
      </w:r>
      <w:r>
        <w:rPr>
          <w:rFonts w:hint="eastAsia" w:ascii="宋体" w:hAnsi="宋体" w:eastAsia="宋体" w:cs="宋体"/>
          <w:color w:val="auto"/>
          <w:sz w:val="24"/>
          <w:szCs w:val="22"/>
          <w:highlight w:val="none"/>
        </w:rPr>
        <w:t xml:space="preserve">，乙方还应赔偿甲方的全部损失</w:t>
      </w:r>
      <w:r>
        <w:rPr>
          <w:rFonts w:ascii="宋体" w:hAnsi="宋体" w:eastAsia="宋体" w:cs="宋体"/>
          <w:color w:val="auto"/>
          <w:sz w:val="24"/>
          <w:szCs w:val="22"/>
          <w:highlight w:val="none"/>
        </w:rPr>
        <w:t xml:space="preserve">。</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5.</w:t>
      </w:r>
      <w:r>
        <w:rPr>
          <w:rFonts w:ascii="宋体" w:hAnsi="宋体" w:eastAsia="宋体" w:cs="宋体"/>
          <w:color w:val="auto"/>
          <w:sz w:val="24"/>
          <w:szCs w:val="22"/>
          <w:highlight w:val="none"/>
        </w:rPr>
        <w:t xml:space="preserve">乙方因履行本合同而需向甲方支付款项的（包括但不限于违约赔偿、退款等），甲方有权直接自未付款项中予以抵扣，不足部分甲方有权要求乙方补足。</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6.</w:t>
      </w:r>
      <w:r>
        <w:rPr>
          <w:rFonts w:ascii="宋体" w:hAnsi="宋体" w:eastAsia="宋体" w:cs="宋体"/>
          <w:color w:val="auto"/>
          <w:sz w:val="24"/>
          <w:szCs w:val="22"/>
          <w:highlight w:val="none"/>
        </w:rPr>
        <w:t xml:space="preserve">乙方逾期支付本合同约定的任何款项（包括但不限于违约赔偿、退款等）的，每逾期一日，乙方应当甲方支付逾期金额万分之四的违约金。</w:t>
      </w:r>
      <w:r/>
    </w:p>
    <w:p>
      <w:pPr>
        <w:ind w:firstLine="480"/>
        <w:jc w:val="left"/>
        <w:spacing w:line="360" w:lineRule="auto"/>
        <w:widowControl/>
        <w:rPr>
          <w:rFonts w:hint="eastAsia"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7.</w:t>
      </w:r>
      <w:r>
        <w:rPr>
          <w:rFonts w:ascii="宋体" w:hAnsi="宋体" w:eastAsia="宋体" w:cs="宋体"/>
          <w:color w:val="auto"/>
          <w:sz w:val="24"/>
          <w:szCs w:val="22"/>
          <w:highlight w:val="none"/>
        </w:rPr>
        <w:t xml:space="preserve">本合同约定的乙方应付违约金不足以弥补甲方一切直接或间接损失的，乙方应当足额赔偿。</w:t>
      </w:r>
      <w:r>
        <w:rPr>
          <w:rFonts w:hint="eastAsia" w:ascii="宋体" w:hAnsi="宋体" w:eastAsia="宋体" w:cs="宋体"/>
          <w:color w:val="auto"/>
          <w:sz w:val="24"/>
          <w:szCs w:val="22"/>
          <w:highlight w:val="none"/>
        </w:rPr>
        <w:t xml:space="preserve">本合同所述甲方损失包括直接损失、间接损失、维权产生的律师费、保全费、保函费、调查取证费、交通费等。</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8</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t xml:space="preserve">乙方对招投标文件中承诺函所承诺的内容未按约定提供，甲方有权终止合同，并支付本合同总金额【20】%的违约金。</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十三、不可抗力</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（一）合同一方因不可抗力不能履行合同的，根据不可抗力的影响，部分或者全部免除责任。但合同一方迟延履行后发生不可抗力的，不能免除责任。</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（二）合同一方因不可抗力不能履行合同的，应当在不可抗力发生后3日内通知对方，以减轻可能给对方造成的损失，并应当在不可抗力通知发出后的7日内提供书面证明文件。</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（三）不可抗力事由消除后，合同继续履行或解除等相关事宜，由合同双方协商解决。</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十四、索赔</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（一）乙方交付的本合同货物的质量、数量、规格、性能等经检验、验收不合格的，甲方有权根据当地产品质量检验机构或其他有关部门出具的检验、验收证书向乙方提出索赔。</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（二）在本合同规定的检验期限和质量保证期内，如果乙方对甲方提出的索赔或异议有责任，则乙方应按甲方同意的下列一种或多种方式解决索赔事宜：</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w:t>
      </w:r>
      <w:r>
        <w:rPr>
          <w:rFonts w:ascii="宋体" w:hAnsi="宋体" w:eastAsia="宋体" w:cs="宋体"/>
          <w:color w:val="auto"/>
          <w:sz w:val="24"/>
          <w:szCs w:val="22"/>
          <w:highlight w:val="none"/>
        </w:rPr>
        <w:t xml:space="preserve">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w:t>
      </w:r>
      <w:r>
        <w:rPr>
          <w:rFonts w:ascii="宋体" w:hAnsi="宋体" w:eastAsia="宋体" w:cs="宋体"/>
          <w:color w:val="auto"/>
          <w:sz w:val="24"/>
          <w:szCs w:val="22"/>
          <w:highlight w:val="none"/>
        </w:rPr>
        <w:t xml:space="preserve">根据货物的低劣程度、损坏程度以及甲方遭受损失的数额，经甲乙双方协商确定降低货物的价格。</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w:t>
      </w:r>
      <w:r>
        <w:rPr>
          <w:rFonts w:ascii="宋体" w:hAnsi="宋体" w:eastAsia="宋体" w:cs="宋体"/>
          <w:color w:val="auto"/>
          <w:sz w:val="24"/>
          <w:szCs w:val="22"/>
          <w:highlight w:val="none"/>
        </w:rPr>
        <w:t xml:space="preserve">乙方应在收到甲方书面索赔通知后7日内，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十五、合同的解除和转让</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（一）除《政府采购法》第49条、第50条第二款规定的情形及本合同约定的情形外，本合同签订后，甲乙双方不得擅自变更、解除或终止本合同。</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（二）有下列情形之一的，合同一方可以解除合同：</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w:t>
      </w:r>
      <w:r>
        <w:rPr>
          <w:rFonts w:ascii="宋体" w:hAnsi="宋体" w:eastAsia="宋体" w:cs="宋体"/>
          <w:color w:val="auto"/>
          <w:sz w:val="24"/>
          <w:szCs w:val="22"/>
          <w:highlight w:val="none"/>
        </w:rPr>
        <w:t xml:space="preserve">因不可抗力致使不能实现合同目的的，未受不可抗力影响的一方有权解除合同；</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w:t>
      </w:r>
      <w:r>
        <w:rPr>
          <w:rFonts w:ascii="宋体" w:hAnsi="宋体" w:eastAsia="宋体" w:cs="宋体"/>
          <w:color w:val="auto"/>
          <w:sz w:val="24"/>
          <w:szCs w:val="22"/>
          <w:highlight w:val="none"/>
        </w:rPr>
        <w:t xml:space="preserve">因合同一方违约导致合同不能履行的，另一方有权解除合同；</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w:t>
      </w:r>
      <w:r>
        <w:rPr>
          <w:rFonts w:ascii="宋体" w:hAnsi="宋体" w:eastAsia="宋体" w:cs="宋体"/>
          <w:color w:val="auto"/>
          <w:sz w:val="24"/>
          <w:szCs w:val="22"/>
          <w:highlight w:val="none"/>
        </w:rPr>
        <w:t xml:space="preserve">有权解除合同的一方，应当在违约事实或不可抗力发生后30日内书面通知对方解除本合同，本合同在书面通知到达对方时解除。</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（三）乙方不得将本合同的部分或全部义务转让给任何第三方。</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十六、合同的生效</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本合同自甲乙双方法定（授权）代表人签字并盖章后生效。</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十七、争议解决</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p>
    <w:p>
      <w:pPr>
        <w:ind w:firstLine="482"/>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十八、其他附则</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（一）合同份数：本合同一式陆份，甲方叁份，乙方贰份，采购代理机构执壹份，各份合同具有同等法律效力。</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（二）本合同未尽事宜应按《中华人民共和国民法典》《中华人民共和国政府采购法》以及其它法律、法规之规定解释，在执行过程中甲乙双方应在不违背本合同和</w:t>
      </w:r>
      <w:r>
        <w:rPr>
          <w:rFonts w:hint="eastAsia" w:ascii="宋体" w:hAnsi="宋体" w:eastAsia="宋体" w:cs="宋体"/>
          <w:color w:val="auto"/>
          <w:sz w:val="24"/>
          <w:szCs w:val="22"/>
          <w:highlight w:val="none"/>
        </w:rPr>
        <w:t xml:space="preserve">招标文件</w:t>
      </w:r>
      <w:r>
        <w:rPr>
          <w:rFonts w:ascii="宋体" w:hAnsi="宋体" w:eastAsia="宋体" w:cs="宋体"/>
          <w:color w:val="auto"/>
          <w:sz w:val="24"/>
          <w:szCs w:val="22"/>
          <w:highlight w:val="none"/>
        </w:rPr>
        <w:t xml:space="preserve">的原则下协商解决，协商结果以书面形式盖章记录，作为本合同的附件，与本合同具有同等法律效力，但须提交采购代理机构壹份备存。</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（三）本合同首部所载明的双方地址为甲乙双方认可的相关文件、法律文书送达地址，任何一方如更换通信地址应于3日内书面通知另一方，未通知的自行承担送达不能等不利后果。</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（以下无正文）</w:t>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jc w:val="left"/>
        <w:spacing w:line="360" w:lineRule="auto"/>
        <w:widowControl/>
        <w:rPr>
          <w:rFonts w:hint="eastAsia" w:ascii="Arial" w:hAnsi="Arial" w:eastAsia="宋体"/>
          <w:color w:val="auto"/>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甲方（盖章）：</w:t>
      </w:r>
      <w:r>
        <w:rPr>
          <w:rFonts w:hint="eastAsia" w:ascii="宋体" w:hAnsi="宋体" w:cs="宋体"/>
          <w:color w:val="auto"/>
          <w:sz w:val="24"/>
          <w:szCs w:val="22"/>
          <w:highlight w:val="none"/>
          <w:lang w:eastAsia="zh-CN"/>
        </w:rPr>
        <w:t xml:space="preserve">昆山市周市镇人民政府</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法定（授权）代表人（签字）：</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日期：</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t xml:space="preserve">日</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Arial" w:hAnsi="Arial"/>
          <w:color w:val="auto"/>
          <w:szCs w:val="22"/>
          <w:highlight w:val="none"/>
        </w:rPr>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乙方（盖章）：</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法定（授权）代表人（签字）：</w:t>
      </w:r>
      <w:r/>
    </w:p>
    <w:p>
      <w:pPr>
        <w:ind w:firstLine="480"/>
        <w:jc w:val="left"/>
        <w:spacing w:line="360" w:lineRule="auto"/>
        <w:widowControl/>
        <w:rPr>
          <w:rFonts w:ascii="Arial" w:hAnsi="Arial"/>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日期：</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t xml:space="preserve">日</w:t>
      </w:r>
      <w:r/>
    </w:p>
    <w:p>
      <w:pPr>
        <w:pStyle w:val="1042"/>
        <w:ind w:firstLine="244"/>
        <w:keepNext w:val="0"/>
        <w:spacing w:line="360" w:lineRule="auto"/>
        <w:rPr>
          <w:rFonts w:hint="eastAsia"/>
          <w:b/>
          <w:color w:val="auto"/>
        </w:rPr>
      </w:pPr>
      <w:r>
        <w:rPr>
          <w:rFonts w:hint="eastAsia"/>
          <w:b/>
          <w:color w:val="auto"/>
        </w:rPr>
        <w:br w:type="page" w:clear="all"/>
      </w:r>
      <w:r>
        <w:rPr>
          <w:rFonts w:hint="eastAsia" w:ascii="宋体" w:hAnsi="宋体"/>
          <w:b/>
          <w:color w:val="auto"/>
          <w:sz w:val="30"/>
          <w:szCs w:val="30"/>
        </w:rPr>
        <w:t xml:space="preserve">第六章、评审程序</w:t>
      </w:r>
      <w:r/>
    </w:p>
    <w:p>
      <w:pPr>
        <w:ind w:firstLine="422"/>
        <w:keepLines w:val="0"/>
        <w:keepNext w:val="0"/>
        <w:pageBreakBefore w:val="0"/>
        <w:spacing w:line="360" w:lineRule="auto"/>
        <w:widowControl w:val="off"/>
        <w:rPr>
          <w:rFonts w:ascii="宋体" w:hAnsi="宋体"/>
          <w:b/>
          <w:color w:val="auto"/>
          <w:sz w:val="22"/>
          <w:szCs w:val="22"/>
        </w:rPr>
        <w:outlineLvl w:val="9"/>
      </w:pPr>
      <w:r>
        <w:rPr>
          <w:rFonts w:hint="eastAsia" w:ascii="宋体" w:hAnsi="宋体"/>
          <w:b/>
          <w:color w:val="auto"/>
          <w:sz w:val="22"/>
          <w:szCs w:val="22"/>
        </w:rPr>
        <w:t xml:space="preserve">一、谈判流程：</w:t>
      </w:r>
      <w:r/>
    </w:p>
    <w:p>
      <w:pPr>
        <w:ind w:firstLine="420"/>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1</w:t>
      </w:r>
      <w:r>
        <w:rPr>
          <w:rFonts w:ascii="宋体" w:hAnsi="宋体"/>
          <w:color w:val="auto"/>
        </w:rPr>
        <w:t xml:space="preserve">.</w:t>
      </w:r>
      <w:r>
        <w:rPr>
          <w:rFonts w:hint="eastAsia" w:ascii="宋体" w:hAnsi="宋体"/>
          <w:color w:val="auto"/>
        </w:rPr>
        <w:t xml:space="preserve">开标由采购代理机构在线主持，邀请供应商在线参加。供应商应当按照《苏采云系统供应商操作手册》规定，参加开标活动和在“苏采云”系统规定的时间内对响应文件进行解密。评标委员会成员不得参加开标活动。</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w:t>
      </w:r>
      <w:r>
        <w:rPr>
          <w:rFonts w:hint="eastAsia" w:ascii="宋体" w:hAnsi="宋体"/>
          <w:color w:val="auto"/>
        </w:rPr>
        <w:t xml:space="preserve">.开标完成后，进入评审环节，谈判小组按照谈判文件的要求独立对供应商进行资格性和符合性审查，确定合格供应商。</w:t>
      </w:r>
      <w:r/>
    </w:p>
    <w:p>
      <w:pPr>
        <w:ind w:firstLine="420"/>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2</w:t>
      </w:r>
      <w:r>
        <w:rPr>
          <w:rFonts w:ascii="宋体" w:hAnsi="宋体"/>
          <w:color w:val="auto"/>
        </w:rPr>
        <w:t xml:space="preserve">.1</w:t>
      </w:r>
      <w:r>
        <w:rPr>
          <w:rFonts w:hint="eastAsia" w:ascii="宋体" w:hAnsi="宋体"/>
          <w:color w:val="auto"/>
        </w:rPr>
        <w:t xml:space="preserve">资格审查：由谈判小组依据法律法规和谈判文件的规定，对响应文件中的资格证明文件进行审查，以确定供应商是否具备参加谈判的资格。</w:t>
      </w:r>
      <w:r/>
    </w:p>
    <w:p>
      <w:pPr>
        <w:ind w:firstLine="420"/>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谈判小组在进行资格审查的同时，将在“信用中国”网站（www.creditchina.gov.cn）查询供应商的信用记录，以确定供应商是否具备谈判资格，查询结果留存并归档。</w:t>
      </w:r>
      <w:r/>
    </w:p>
    <w:p>
      <w:pPr>
        <w:ind w:firstLine="420"/>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2</w:t>
      </w:r>
      <w:r>
        <w:rPr>
          <w:rFonts w:ascii="宋体" w:hAnsi="宋体"/>
          <w:color w:val="auto"/>
        </w:rPr>
        <w:t xml:space="preserve">.2</w:t>
      </w:r>
      <w:r>
        <w:rPr>
          <w:rFonts w:hint="eastAsia" w:ascii="宋体" w:hAnsi="宋体"/>
          <w:color w:val="auto"/>
        </w:rPr>
        <w:t xml:space="preserve">符合性审查：依据谈判文件的规定，由谈判小组从响应文件的有效性、完整性和对谈判文件的响应程度进行审查，以确定是否对谈判文件的实质性要求作出响应。</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2.3</w:t>
      </w:r>
      <w:r>
        <w:rPr>
          <w:rFonts w:hint="eastAsia" w:ascii="宋体" w:hAnsi="宋体"/>
          <w:color w:val="auto"/>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2</w:t>
      </w:r>
      <w:r>
        <w:rPr>
          <w:rFonts w:ascii="宋体" w:hAnsi="宋体"/>
          <w:color w:val="auto"/>
        </w:rPr>
        <w:t xml:space="preserve">.4</w:t>
      </w:r>
      <w:r>
        <w:rPr>
          <w:rFonts w:hint="eastAsia" w:ascii="宋体" w:hAnsi="宋体"/>
          <w:color w:val="auto"/>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2.5</w:t>
      </w:r>
      <w:r>
        <w:rPr>
          <w:rFonts w:hint="eastAsia" w:ascii="宋体" w:hAnsi="宋体"/>
          <w:color w:val="auto"/>
        </w:rPr>
        <w:t xml:space="preserve">未实质性响应谈判文件的情形</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2.5.1</w:t>
      </w:r>
      <w:r>
        <w:rPr>
          <w:rFonts w:hint="eastAsia" w:ascii="宋体" w:hAnsi="宋体"/>
          <w:color w:val="auto"/>
        </w:rPr>
        <w:t xml:space="preserve">供应商在苏采云系统规定的时间内未成功解密电子响应文件的。</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2.5.2</w:t>
      </w:r>
      <w:r>
        <w:rPr>
          <w:rFonts w:hint="eastAsia" w:ascii="宋体" w:hAnsi="宋体"/>
          <w:color w:val="auto"/>
        </w:rPr>
        <w:t xml:space="preserve">供应商未按照谈判文件要求上传电子响应文件的。</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2.5.3</w:t>
      </w:r>
      <w:r>
        <w:rPr>
          <w:rFonts w:hint="eastAsia" w:ascii="宋体" w:hAnsi="宋体"/>
          <w:color w:val="auto"/>
        </w:rPr>
        <w:t xml:space="preserve">同一供应商提交两个（含两个）以上不同的响应文件或者最后报价的。</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2.5</w:t>
      </w:r>
      <w:r>
        <w:rPr>
          <w:rFonts w:hint="eastAsia" w:ascii="宋体" w:hAnsi="宋体"/>
          <w:color w:val="auto"/>
        </w:rPr>
        <w:t xml:space="preserve">.4供应商不具备谈判文件中规定资格要求的。</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2.5</w:t>
      </w:r>
      <w:r>
        <w:rPr>
          <w:rFonts w:hint="eastAsia" w:ascii="宋体" w:hAnsi="宋体"/>
          <w:color w:val="auto"/>
        </w:rPr>
        <w:t xml:space="preserve">.5供应商的最后报价超过了采购预算。</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2.5</w:t>
      </w:r>
      <w:r>
        <w:rPr>
          <w:rFonts w:hint="eastAsia" w:ascii="宋体" w:hAnsi="宋体"/>
          <w:color w:val="auto"/>
        </w:rPr>
        <w:t xml:space="preserve">.6不符合谈判文件中规定的实质性要求和条件的。</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2.5</w:t>
      </w:r>
      <w:r>
        <w:rPr>
          <w:rFonts w:hint="eastAsia" w:ascii="宋体" w:hAnsi="宋体"/>
          <w:color w:val="auto"/>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2.5</w:t>
      </w:r>
      <w:r>
        <w:rPr>
          <w:rFonts w:hint="eastAsia" w:ascii="宋体" w:hAnsi="宋体"/>
          <w:color w:val="auto"/>
        </w:rPr>
        <w:t xml:space="preserve">.8响应文件含有采购人不能接受的附加条件的。</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2.5</w:t>
      </w:r>
      <w:r>
        <w:rPr>
          <w:rFonts w:hint="eastAsia" w:ascii="宋体" w:hAnsi="宋体"/>
          <w:color w:val="auto"/>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2.5</w:t>
      </w:r>
      <w:r>
        <w:rPr>
          <w:rFonts w:hint="eastAsia" w:ascii="宋体" w:hAnsi="宋体"/>
          <w:color w:val="auto"/>
        </w:rPr>
        <w:t xml:space="preserve">.10响应文件未按照谈判文件要求加盖CA电子公章的。</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2.6</w:t>
      </w:r>
      <w:r>
        <w:rPr>
          <w:rFonts w:hint="eastAsia" w:ascii="宋体" w:hAnsi="宋体"/>
          <w:color w:val="auto"/>
        </w:rPr>
        <w:t xml:space="preserve">未实质性响应谈判文件的响应文件按无效响应处理。</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2.7</w:t>
      </w:r>
      <w:r>
        <w:rPr>
          <w:rFonts w:hint="eastAsia" w:ascii="宋体" w:hAnsi="宋体"/>
          <w:color w:val="auto"/>
        </w:rPr>
        <w:t xml:space="preserve">如果响应文件实质上没有响应谈判文件的要求，谈判小组将予以拒绝，供应商不得通过修改或撤销不合要求的偏离或保留而使其成为实质性响应的文件。</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2.8</w:t>
      </w:r>
      <w:r>
        <w:rPr>
          <w:rFonts w:hint="eastAsia" w:ascii="宋体" w:hAnsi="宋体"/>
          <w:color w:val="auto"/>
        </w:rPr>
        <w:t xml:space="preserve">供应商在项目评审全过程中应保持通讯畅通，并安排专人与代理机构及谈判小组联系。</w:t>
      </w:r>
      <w:r/>
    </w:p>
    <w:p>
      <w:pPr>
        <w:ind w:firstLine="420"/>
        <w:keepLines w:val="0"/>
        <w:keepNext w:val="0"/>
        <w:pageBreakBefore w:val="0"/>
        <w:spacing w:line="360" w:lineRule="auto"/>
        <w:widowControl w:val="off"/>
        <w:rPr>
          <w:rFonts w:ascii="宋体" w:hAnsi="宋体"/>
          <w:color w:val="auto"/>
        </w:rPr>
        <w:outlineLvl w:val="9"/>
      </w:pPr>
      <w:r>
        <w:rPr>
          <w:rFonts w:ascii="宋体" w:hAnsi="宋体"/>
          <w:color w:val="auto"/>
        </w:rPr>
        <w:t xml:space="preserve">3</w:t>
      </w:r>
      <w:r>
        <w:rPr>
          <w:rFonts w:hint="eastAsia" w:ascii="宋体" w:hAnsi="宋体"/>
          <w:color w:val="auto"/>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keepLines w:val="0"/>
        <w:keepNext w:val="0"/>
        <w:pageBreakBefore w:val="0"/>
        <w:spacing w:line="360" w:lineRule="auto"/>
        <w:widowControl w:val="off"/>
        <w:rPr>
          <w:rFonts w:ascii="宋体" w:hAnsi="宋体"/>
          <w:b/>
          <w:color w:val="auto"/>
        </w:rPr>
        <w:outlineLvl w:val="9"/>
      </w:pPr>
      <w:r>
        <w:rPr>
          <w:rFonts w:hint="eastAsia" w:ascii="宋体" w:hAnsi="宋体"/>
          <w:color w:val="auto"/>
        </w:rPr>
        <w:t xml:space="preserve">4</w:t>
      </w:r>
      <w:r>
        <w:rPr>
          <w:rFonts w:ascii="宋体" w:hAnsi="宋体"/>
          <w:color w:val="auto"/>
        </w:rPr>
        <w:t xml:space="preserve">.</w:t>
      </w:r>
      <w:r>
        <w:rPr>
          <w:rFonts w:hint="eastAsia" w:ascii="宋体" w:hAnsi="宋体"/>
          <w:color w:val="auto"/>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auto"/>
        </w:rPr>
        <w:t xml:space="preserve">提交最后报价的规定时间为十分钟，超过规定的时间视为放弃提交最后报价。</w:t>
      </w:r>
      <w:r/>
    </w:p>
    <w:p>
      <w:pPr>
        <w:ind w:firstLine="420"/>
        <w:keepLines w:val="0"/>
        <w:keepNext w:val="0"/>
        <w:pageBreakBefore w:val="0"/>
        <w:spacing w:line="360" w:lineRule="auto"/>
        <w:widowControl w:val="off"/>
        <w:rPr>
          <w:rFonts w:ascii="宋体" w:hAnsi="宋体"/>
          <w:b/>
          <w:color w:val="auto"/>
        </w:rPr>
        <w:outlineLvl w:val="9"/>
      </w:pPr>
      <w:r>
        <w:rPr>
          <w:rFonts w:hint="eastAsia" w:ascii="宋体" w:hAnsi="宋体"/>
          <w:color w:val="auto"/>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auto"/>
        </w:rPr>
        <w:t xml:space="preserve">提交最后报价的规定时间为十分钟，超过规定的时间视为放弃提交最后报价。</w:t>
      </w:r>
      <w:r/>
    </w:p>
    <w:p>
      <w:pPr>
        <w:ind w:firstLine="420"/>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最后报价是供应商响应文件的有效组成部分。</w:t>
      </w:r>
      <w:r/>
    </w:p>
    <w:p>
      <w:pPr>
        <w:ind w:firstLine="420"/>
        <w:keepLines w:val="0"/>
        <w:keepNext w:val="0"/>
        <w:pageBreakBefore w:val="0"/>
        <w:spacing w:line="360" w:lineRule="auto"/>
        <w:widowControl w:val="off"/>
        <w:rPr>
          <w:rFonts w:ascii="宋体" w:hAnsi="宋体"/>
          <w:color w:val="auto"/>
        </w:rPr>
        <w:outlineLvl w:val="9"/>
      </w:pPr>
      <w:r>
        <w:rPr>
          <w:rFonts w:hint="eastAsia" w:ascii="宋体" w:hAnsi="宋体"/>
          <w:color w:val="auto"/>
        </w:rPr>
        <w:t xml:space="preserve">5</w:t>
      </w:r>
      <w:r>
        <w:rPr>
          <w:rFonts w:ascii="宋体" w:hAnsi="宋体"/>
          <w:color w:val="auto"/>
        </w:rPr>
        <w:t xml:space="preserve">.</w:t>
      </w:r>
      <w:r>
        <w:rPr>
          <w:rFonts w:hint="eastAsia" w:ascii="宋体" w:hAnsi="宋体"/>
          <w:color w:val="auto"/>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keepLines w:val="0"/>
        <w:keepNext w:val="0"/>
        <w:pageBreakBefore w:val="0"/>
        <w:spacing w:line="360" w:lineRule="auto"/>
        <w:widowControl w:val="off"/>
        <w:rPr>
          <w:rFonts w:ascii="宋体" w:hAnsi="宋体"/>
          <w:b/>
          <w:bCs/>
          <w:color w:val="auto"/>
        </w:rPr>
        <w:outlineLvl w:val="9"/>
      </w:pPr>
      <w:r>
        <w:rPr>
          <w:rFonts w:hint="eastAsia" w:ascii="宋体" w:hAnsi="宋体"/>
          <w:b/>
          <w:bCs/>
          <w:color w:val="auto"/>
        </w:rPr>
        <w:t xml:space="preserve">6.异常低价响应审查：</w:t>
      </w:r>
      <w:r/>
    </w:p>
    <w:p>
      <w:pPr>
        <w:ind w:firstLine="420"/>
        <w:keepLines w:val="0"/>
        <w:keepNext w:val="0"/>
        <w:pageBreakBefore w:val="0"/>
        <w:spacing w:line="360" w:lineRule="auto"/>
        <w:widowControl w:val="off"/>
        <w:rPr>
          <w:rFonts w:ascii="宋体" w:hAnsi="宋体"/>
          <w:b/>
          <w:bCs/>
          <w:color w:val="auto"/>
        </w:rPr>
        <w:outlineLvl w:val="9"/>
      </w:pPr>
      <w:r>
        <w:rPr>
          <w:rFonts w:hint="eastAsia" w:ascii="宋体" w:hAnsi="宋体"/>
          <w:b/>
          <w:bCs/>
          <w:color w:val="auto"/>
        </w:rPr>
        <w:t xml:space="preserve">评审过程中出现下列情形之一的，评审委员会应当启动异常低价响应审查程序：</w:t>
      </w:r>
      <w:r/>
    </w:p>
    <w:p>
      <w:pPr>
        <w:ind w:firstLine="420"/>
        <w:keepLines w:val="0"/>
        <w:keepNext w:val="0"/>
        <w:pageBreakBefore w:val="0"/>
        <w:spacing w:line="360" w:lineRule="auto"/>
        <w:widowControl w:val="off"/>
        <w:rPr>
          <w:rFonts w:ascii="宋体" w:hAnsi="宋体"/>
          <w:b/>
          <w:bCs/>
          <w:color w:val="auto"/>
        </w:rPr>
        <w:outlineLvl w:val="9"/>
      </w:pPr>
      <w:r>
        <w:rPr>
          <w:rFonts w:hint="eastAsia" w:ascii="宋体" w:hAnsi="宋体"/>
          <w:b/>
          <w:bCs/>
          <w:color w:val="auto"/>
        </w:rPr>
        <w:t xml:space="preserve">6.1响应报价低于采购项目预算50%的，即响应报价&lt;采购项目预算×50%；</w:t>
      </w:r>
      <w:r/>
    </w:p>
    <w:p>
      <w:pPr>
        <w:ind w:firstLine="420"/>
        <w:keepLines w:val="0"/>
        <w:keepNext w:val="0"/>
        <w:pageBreakBefore w:val="0"/>
        <w:spacing w:line="360" w:lineRule="auto"/>
        <w:widowControl w:val="off"/>
        <w:rPr>
          <w:rFonts w:ascii="宋体" w:hAnsi="宋体"/>
          <w:b/>
          <w:bCs/>
          <w:color w:val="auto"/>
        </w:rPr>
        <w:outlineLvl w:val="9"/>
      </w:pPr>
      <w:r>
        <w:rPr>
          <w:rFonts w:hint="eastAsia" w:ascii="宋体" w:hAnsi="宋体"/>
          <w:b/>
          <w:bCs/>
          <w:color w:val="auto"/>
        </w:rPr>
        <w:t xml:space="preserve">6.2响应报价低于采购项目最高限价45%的，即响应报价&lt;采购项目最高限价×45%；</w:t>
      </w:r>
      <w:r/>
    </w:p>
    <w:p>
      <w:pPr>
        <w:ind w:firstLine="420"/>
        <w:keepLines w:val="0"/>
        <w:keepNext w:val="0"/>
        <w:pageBreakBefore w:val="0"/>
        <w:spacing w:line="360" w:lineRule="auto"/>
        <w:widowControl w:val="off"/>
        <w:rPr>
          <w:rFonts w:ascii="宋体" w:hAnsi="宋体"/>
          <w:b/>
          <w:bCs/>
          <w:color w:val="auto"/>
        </w:rPr>
        <w:outlineLvl w:val="9"/>
      </w:pPr>
      <w:r>
        <w:rPr>
          <w:rFonts w:hint="eastAsia" w:ascii="宋体" w:hAnsi="宋体"/>
          <w:b/>
          <w:bCs/>
          <w:color w:val="auto"/>
        </w:rPr>
        <w:t xml:space="preserve">6.3评审委员会认定的供应商报价过低、有可能影响产品质量或者不能诚信履约的其他情形。</w:t>
      </w:r>
      <w:r/>
    </w:p>
    <w:p>
      <w:pPr>
        <w:ind w:firstLine="420"/>
        <w:spacing w:line="360" w:lineRule="auto"/>
        <w:rPr>
          <w:rFonts w:ascii="宋体" w:hAnsi="宋体"/>
          <w:b/>
          <w:bCs/>
          <w:color w:val="auto"/>
        </w:rPr>
      </w:pPr>
      <w:r>
        <w:rPr>
          <w:rFonts w:hint="eastAsia" w:ascii="宋体" w:hAnsi="宋体"/>
          <w:b/>
          <w:bCs/>
          <w:color w:val="auto"/>
        </w:rPr>
        <w:t xml:space="preserve">7.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360" w:lineRule="auto"/>
        <w:rPr>
          <w:rFonts w:ascii="宋体" w:hAnsi="宋体"/>
          <w:color w:val="auto"/>
        </w:rPr>
      </w:pPr>
      <w:r>
        <w:rPr>
          <w:rFonts w:hint="eastAsia" w:ascii="宋体" w:hAnsi="宋体"/>
          <w:color w:val="auto"/>
        </w:rPr>
        <w:t xml:space="preserve">7.谈判小组根据谈判成交原则确定成交供应商，并将结果通知所有参加谈判的未成交的供应商。</w:t>
      </w:r>
      <w:r/>
    </w:p>
    <w:p>
      <w:pPr>
        <w:ind w:firstLine="422"/>
        <w:keepLines w:val="0"/>
        <w:keepNext w:val="0"/>
        <w:pageBreakBefore w:val="0"/>
        <w:spacing w:line="360" w:lineRule="auto"/>
        <w:widowControl w:val="off"/>
        <w:rPr>
          <w:rFonts w:ascii="宋体" w:hAnsi="宋体"/>
          <w:b/>
          <w:color w:val="auto"/>
          <w:szCs w:val="21"/>
        </w:rPr>
        <w:outlineLvl w:val="9"/>
      </w:pPr>
      <w:r>
        <w:rPr>
          <w:rFonts w:hint="eastAsia" w:ascii="宋体" w:hAnsi="宋体"/>
          <w:b/>
          <w:color w:val="auto"/>
          <w:szCs w:val="21"/>
        </w:rPr>
        <w:t xml:space="preserve">二、项目评审</w:t>
      </w:r>
      <w:r/>
    </w:p>
    <w:p>
      <w:pPr>
        <w:ind w:firstLine="422"/>
        <w:keepLines w:val="0"/>
        <w:keepNext w:val="0"/>
        <w:pageBreakBefore w:val="0"/>
        <w:spacing w:line="360" w:lineRule="auto"/>
        <w:widowControl w:val="off"/>
        <w:rPr>
          <w:rFonts w:ascii="宋体" w:hAnsi="宋体"/>
          <w:b/>
          <w:color w:val="auto"/>
          <w:szCs w:val="21"/>
        </w:rPr>
        <w:outlineLvl w:val="9"/>
      </w:pPr>
      <w:r>
        <w:rPr>
          <w:rFonts w:hint="eastAsia" w:ascii="宋体" w:hAnsi="宋体"/>
          <w:b/>
          <w:color w:val="auto"/>
          <w:szCs w:val="21"/>
        </w:rPr>
        <w:t xml:space="preserve">（一）谈判小组</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3.谈判小组的</w:t>
      </w:r>
      <w:r>
        <w:rPr>
          <w:rFonts w:ascii="宋体" w:hAnsi="宋体"/>
          <w:color w:val="auto"/>
          <w:szCs w:val="21"/>
        </w:rPr>
        <w:t xml:space="preserve">评审</w:t>
      </w:r>
      <w:r>
        <w:rPr>
          <w:rFonts w:hint="eastAsia" w:ascii="宋体" w:hAnsi="宋体"/>
          <w:color w:val="auto"/>
          <w:szCs w:val="21"/>
        </w:rPr>
        <w:t xml:space="preserve">工作由采购代理机构负责组织，具体评审事务由谈判小组负责，并独立履行法律、法规规定的职责。</w:t>
      </w:r>
      <w:r/>
    </w:p>
    <w:p>
      <w:pPr>
        <w:ind w:firstLine="422"/>
        <w:keepLines w:val="0"/>
        <w:keepNext w:val="0"/>
        <w:pageBreakBefore w:val="0"/>
        <w:spacing w:line="360" w:lineRule="auto"/>
        <w:widowControl w:val="off"/>
        <w:rPr>
          <w:rFonts w:ascii="宋体" w:hAnsi="宋体"/>
          <w:b/>
          <w:color w:val="auto"/>
          <w:szCs w:val="21"/>
        </w:rPr>
        <w:outlineLvl w:val="9"/>
      </w:pPr>
      <w:r>
        <w:rPr>
          <w:rFonts w:hint="eastAsia" w:ascii="宋体" w:hAnsi="宋体"/>
          <w:b/>
          <w:color w:val="auto"/>
          <w:szCs w:val="21"/>
        </w:rPr>
        <w:t xml:space="preserve">（二）谈判过程</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auto"/>
          <w:szCs w:val="21"/>
        </w:rPr>
        <w:t xml:space="preserve">对谈判文件作出的实质性变动是谈判文件的有效组成部分。</w:t>
      </w:r>
      <w:r/>
    </w:p>
    <w:p>
      <w:pPr>
        <w:ind w:firstLine="420"/>
        <w:keepLines w:val="0"/>
        <w:keepNext w:val="0"/>
        <w:pageBreakBefore w:val="0"/>
        <w:spacing w:line="360" w:lineRule="auto"/>
        <w:widowControl w:val="off"/>
        <w:rPr>
          <w:rFonts w:ascii="宋体" w:hAnsi="宋体" w:cs="Arial"/>
          <w:color w:val="auto"/>
        </w:rPr>
        <w:outlineLvl w:val="9"/>
      </w:pPr>
      <w:r>
        <w:rPr>
          <w:rFonts w:hint="eastAsia" w:ascii="宋体" w:hAnsi="宋体" w:cs="Arial"/>
          <w:color w:val="auto"/>
        </w:rPr>
        <w:t xml:space="preserve">3.</w:t>
      </w:r>
      <w:r>
        <w:rPr>
          <w:rFonts w:ascii="宋体" w:hAnsi="宋体" w:cs="Arial"/>
          <w:color w:val="auto"/>
        </w:rPr>
        <w:t xml:space="preserve">谈判小组在对响应文件的有效性、完整性和响应程度进行审查时，可以要求</w:t>
      </w:r>
      <w:r>
        <w:rPr>
          <w:rFonts w:hint="eastAsia" w:ascii="宋体" w:hAnsi="宋体" w:cs="Arial"/>
          <w:color w:val="auto"/>
        </w:rPr>
        <w:t xml:space="preserve">供应商</w:t>
      </w:r>
      <w:r>
        <w:rPr>
          <w:rFonts w:ascii="宋体" w:hAnsi="宋体" w:cs="Arial"/>
          <w:color w:val="auto"/>
        </w:rPr>
        <w:t xml:space="preserve">对响应文件中含义不明确、同类问题表述不一致或者有明显文字和计算错误的内容等作出必要的澄清、说明或者更正。</w:t>
      </w:r>
      <w:r>
        <w:rPr>
          <w:rFonts w:hint="eastAsia" w:ascii="宋体" w:hAnsi="宋体" w:cs="Arial"/>
          <w:color w:val="auto"/>
        </w:rPr>
        <w:t xml:space="preserve">供应商</w:t>
      </w:r>
      <w:r>
        <w:rPr>
          <w:rFonts w:ascii="宋体" w:hAnsi="宋体" w:cs="Arial"/>
          <w:color w:val="auto"/>
        </w:rPr>
        <w:t xml:space="preserve">的澄清、说明或者更正不得超出响应文件的范围或者改变响应文件的实质性内容</w:t>
      </w:r>
      <w:r>
        <w:rPr>
          <w:rFonts w:hint="eastAsia" w:ascii="宋体" w:hAnsi="宋体" w:cs="Arial"/>
          <w:color w:val="auto"/>
        </w:rPr>
        <w:t xml:space="preserve">，并作为响应文件的有效组成部分。</w:t>
      </w:r>
      <w:r/>
    </w:p>
    <w:p>
      <w:pPr>
        <w:ind w:firstLine="420"/>
        <w:keepLines w:val="0"/>
        <w:keepNext w:val="0"/>
        <w:pageBreakBefore w:val="0"/>
        <w:spacing w:line="360" w:lineRule="auto"/>
        <w:widowControl w:val="off"/>
        <w:rPr>
          <w:rFonts w:ascii="宋体" w:hAnsi="宋体" w:cs="Arial"/>
          <w:color w:val="auto"/>
        </w:rPr>
        <w:outlineLvl w:val="9"/>
      </w:pPr>
      <w:r>
        <w:rPr>
          <w:rFonts w:hint="eastAsia" w:ascii="宋体" w:hAnsi="宋体" w:cs="Arial"/>
          <w:color w:val="auto"/>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rPr>
          <w:rFonts w:ascii="宋体" w:hAnsi="宋体" w:cs="Arial"/>
          <w:color w:val="auto"/>
        </w:rPr>
        <w:outlineLvl w:val="9"/>
      </w:pPr>
      <w:r>
        <w:rPr>
          <w:rFonts w:hint="eastAsia" w:ascii="宋体" w:hAnsi="宋体" w:cs="Arial"/>
          <w:color w:val="auto"/>
        </w:rPr>
        <w:t xml:space="preserve">接到谈判小组澄清、说明和更正要求的供应商如未按规定做出澄清、说明和更正，其风险由供应商自行承担。</w:t>
      </w:r>
      <w:r/>
    </w:p>
    <w:p>
      <w:pPr>
        <w:ind w:firstLine="420"/>
        <w:keepLines w:val="0"/>
        <w:keepNext w:val="0"/>
        <w:pageBreakBefore w:val="0"/>
        <w:spacing w:line="360" w:lineRule="auto"/>
        <w:widowControl w:val="off"/>
        <w:rPr>
          <w:rFonts w:ascii="宋体" w:hAnsi="宋体"/>
          <w:color w:val="auto"/>
          <w:szCs w:val="21"/>
          <w:lang w:val="zh-CN"/>
        </w:rPr>
        <w:outlineLvl w:val="9"/>
      </w:pPr>
      <w:r>
        <w:rPr>
          <w:rFonts w:hint="eastAsia" w:ascii="宋体" w:hAnsi="宋体"/>
          <w:color w:val="auto"/>
          <w:szCs w:val="21"/>
          <w:lang w:val="zh-CN"/>
        </w:rPr>
        <w:t xml:space="preserve">4.采购代理机构将采取必要措施，保证评审在严格保密的情况下进行，任何单位和个人不得非法干预、影响评审过程和结果。</w:t>
      </w:r>
      <w:r/>
    </w:p>
    <w:p>
      <w:pPr>
        <w:ind w:firstLine="420"/>
        <w:keepLines w:val="0"/>
        <w:keepNext w:val="0"/>
        <w:pageBreakBefore w:val="0"/>
        <w:spacing w:line="360" w:lineRule="auto"/>
        <w:widowControl w:val="off"/>
        <w:rPr>
          <w:rFonts w:ascii="宋体" w:hAnsi="宋体"/>
          <w:color w:val="auto"/>
          <w:szCs w:val="21"/>
          <w:lang w:val="zh-CN"/>
        </w:rPr>
        <w:outlineLvl w:val="9"/>
      </w:pPr>
      <w:r>
        <w:rPr>
          <w:rFonts w:hint="eastAsia" w:ascii="宋体" w:hAnsi="宋体"/>
          <w:color w:val="auto"/>
          <w:szCs w:val="21"/>
        </w:rPr>
        <w:t xml:space="preserve">5.项目开标后，直到宣布成交结果为止，凡属于评审、澄清、评价和比较响应等相关的信息都不应向供应商或与评审无关的其他人泄露。</w:t>
      </w:r>
      <w:r/>
    </w:p>
    <w:p>
      <w:pPr>
        <w:ind w:firstLine="422"/>
        <w:keepLines w:val="0"/>
        <w:keepNext w:val="0"/>
        <w:pageBreakBefore w:val="0"/>
        <w:spacing w:line="360" w:lineRule="auto"/>
        <w:widowControl w:val="off"/>
        <w:rPr>
          <w:rFonts w:ascii="宋体" w:hAnsi="宋体"/>
          <w:b/>
          <w:color w:val="auto"/>
          <w:szCs w:val="21"/>
        </w:rPr>
        <w:outlineLvl w:val="9"/>
      </w:pPr>
      <w:r>
        <w:rPr>
          <w:rFonts w:hint="eastAsia" w:ascii="宋体" w:hAnsi="宋体"/>
          <w:b/>
          <w:color w:val="auto"/>
          <w:szCs w:val="21"/>
        </w:rPr>
        <w:t xml:space="preserve">三、项目成交</w:t>
      </w:r>
      <w:r/>
    </w:p>
    <w:p>
      <w:pPr>
        <w:ind w:firstLine="420"/>
        <w:keepLines w:val="0"/>
        <w:keepNext w:val="0"/>
        <w:pageBreakBefore w:val="0"/>
        <w:spacing w:line="360" w:lineRule="auto"/>
        <w:widowControl w:val="off"/>
        <w:rPr>
          <w:rFonts w:hAnsi="宋体"/>
          <w:bCs/>
          <w:color w:val="auto"/>
          <w:szCs w:val="21"/>
        </w:rPr>
        <w:outlineLvl w:val="9"/>
      </w:pPr>
      <w:r>
        <w:rPr>
          <w:rFonts w:hint="eastAsia" w:hAnsi="宋体"/>
          <w:color w:val="auto"/>
          <w:szCs w:val="21"/>
        </w:rPr>
        <w:t xml:space="preserve">（一）项目成交需同时满足以下条件：</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满足谈判文件实质性要求的合格供应商不少于三家；</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2.合格供应商的报价均未超过采购预算；</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3.采购过程中未出现违法、违规行为；</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4.按照谈判文件规定的评审办法确定成交供应商。</w:t>
      </w:r>
      <w:r/>
    </w:p>
    <w:p>
      <w:pPr>
        <w:ind w:firstLine="420"/>
        <w:keepLines w:val="0"/>
        <w:keepNext w:val="0"/>
        <w:pageBreakBefore w:val="0"/>
        <w:spacing w:line="360" w:lineRule="auto"/>
        <w:widowControl w:val="off"/>
        <w:rPr>
          <w:rFonts w:hAnsi="宋体"/>
          <w:bCs/>
          <w:color w:val="auto"/>
          <w:szCs w:val="21"/>
        </w:rPr>
        <w:outlineLvl w:val="9"/>
      </w:pPr>
      <w:r>
        <w:rPr>
          <w:rFonts w:hint="eastAsia" w:hAnsi="宋体"/>
          <w:color w:val="auto"/>
          <w:szCs w:val="21"/>
        </w:rPr>
        <w:t xml:space="preserve">（二）重新评审</w:t>
      </w:r>
      <w:r/>
    </w:p>
    <w:p>
      <w:pPr>
        <w:ind w:firstLine="420"/>
        <w:keepLines w:val="0"/>
        <w:keepNext w:val="0"/>
        <w:pageBreakBefore w:val="0"/>
        <w:spacing w:line="360" w:lineRule="auto"/>
        <w:widowControl w:val="off"/>
        <w:rPr>
          <w:rFonts w:hAnsi="宋体"/>
          <w:bCs/>
          <w:color w:val="auto"/>
          <w:szCs w:val="21"/>
        </w:rPr>
        <w:outlineLvl w:val="9"/>
      </w:pPr>
      <w:r>
        <w:rPr>
          <w:rFonts w:hint="eastAsia" w:hAnsi="宋体"/>
          <w:color w:val="auto"/>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keepLines w:val="0"/>
        <w:keepNext w:val="0"/>
        <w:pageBreakBefore w:val="0"/>
        <w:spacing w:line="360" w:lineRule="auto"/>
        <w:widowControl w:val="off"/>
        <w:rPr>
          <w:rFonts w:hAnsi="宋体"/>
          <w:bCs/>
          <w:color w:val="auto"/>
          <w:szCs w:val="21"/>
        </w:rPr>
        <w:outlineLvl w:val="9"/>
      </w:pPr>
      <w:r>
        <w:rPr>
          <w:rFonts w:hint="eastAsia" w:hAnsi="宋体"/>
          <w:color w:val="auto"/>
          <w:szCs w:val="21"/>
        </w:rPr>
        <w:t xml:space="preserve">采购人或者采购代理机构不得通过对样品进行检测、对供应商进行考察等方式改变评审结果。</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（三）成交通知书及合同</w:t>
      </w:r>
      <w:r/>
    </w:p>
    <w:p>
      <w:pPr>
        <w:ind w:firstLine="420"/>
        <w:keepLines w:val="0"/>
        <w:keepNext w:val="0"/>
        <w:pageBreakBefore w:val="0"/>
        <w:spacing w:line="360" w:lineRule="auto"/>
        <w:widowControl w:val="off"/>
        <w:rPr>
          <w:rFonts w:ascii="宋体" w:hAnsi="宋体"/>
          <w:color w:val="auto"/>
          <w:szCs w:val="21"/>
          <w:lang w:val="zh-CN"/>
        </w:rPr>
        <w:outlineLvl w:val="9"/>
      </w:pPr>
      <w:r>
        <w:rPr>
          <w:rFonts w:hint="eastAsia" w:ascii="宋体" w:hAnsi="宋体"/>
          <w:color w:val="auto"/>
          <w:szCs w:val="21"/>
        </w:rPr>
        <w:t xml:space="preserve">1.采购代理机构按照法定流程发布成交公告，及时在苏采云系统中签发成交通知书。</w:t>
      </w:r>
      <w:r>
        <w:rPr>
          <w:rFonts w:hint="eastAsia" w:ascii="宋体" w:hAnsi="宋体"/>
          <w:b/>
          <w:color w:val="auto"/>
          <w:szCs w:val="21"/>
        </w:rPr>
        <w:t xml:space="preserve">请成交供应商在成交结果公告届满之日起30日内，使用CA数字证书登录苏采云系统及时下载成交通知书。</w:t>
      </w:r>
      <w:r>
        <w:rPr>
          <w:rFonts w:hint="eastAsia" w:ascii="宋体" w:hAnsi="宋体"/>
          <w:color w:val="auto"/>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60" w:lineRule="auto"/>
        <w:widowControl w:val="off"/>
        <w:rPr>
          <w:rFonts w:ascii="宋体" w:hAnsi="宋体"/>
          <w:color w:val="auto"/>
          <w:szCs w:val="21"/>
          <w:lang w:val="zh-CN"/>
        </w:rPr>
        <w:outlineLvl w:val="9"/>
      </w:pPr>
      <w:r>
        <w:rPr>
          <w:rFonts w:hint="eastAsia" w:ascii="宋体" w:hAnsi="宋体"/>
          <w:color w:val="auto"/>
          <w:szCs w:val="21"/>
          <w:lang w:val="zh-CN"/>
        </w:rPr>
        <w:t xml:space="preserve">2.采购人与成交供应商应当在成交通知书发出之日起三十日内，按照谈判文件及响应文件确定的事项签订政府采购合同。</w:t>
      </w:r>
      <w:r/>
    </w:p>
    <w:p>
      <w:pPr>
        <w:ind w:firstLine="420"/>
        <w:keepLines w:val="0"/>
        <w:keepNext w:val="0"/>
        <w:pageBreakBefore w:val="0"/>
        <w:spacing w:line="360" w:lineRule="auto"/>
        <w:widowControl w:val="off"/>
        <w:rPr>
          <w:rFonts w:ascii="宋体" w:hAnsi="宋体"/>
          <w:color w:val="auto"/>
          <w:szCs w:val="21"/>
          <w:lang w:val="zh-CN"/>
        </w:rPr>
        <w:outlineLvl w:val="9"/>
      </w:pPr>
      <w:r>
        <w:rPr>
          <w:rFonts w:hint="eastAsia" w:ascii="宋体" w:hAnsi="宋体"/>
          <w:color w:val="auto"/>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widowControl w:val="off"/>
        <w:rPr>
          <w:rFonts w:ascii="宋体" w:hAnsi="宋体"/>
          <w:b/>
          <w:color w:val="auto"/>
          <w:szCs w:val="21"/>
        </w:rPr>
        <w:outlineLvl w:val="9"/>
      </w:pPr>
      <w:r>
        <w:rPr>
          <w:rFonts w:hint="eastAsia" w:ascii="宋体" w:hAnsi="宋体"/>
          <w:b/>
          <w:color w:val="auto"/>
          <w:szCs w:val="21"/>
        </w:rPr>
        <w:t xml:space="preserve">四、响应无效</w:t>
      </w:r>
      <w:r/>
    </w:p>
    <w:p>
      <w:pPr>
        <w:ind w:firstLine="420"/>
        <w:keepLines w:val="0"/>
        <w:keepNext w:val="0"/>
        <w:pageBreakBefore w:val="0"/>
        <w:spacing w:line="360" w:lineRule="auto"/>
        <w:widowControl w:val="off"/>
        <w:rPr>
          <w:rFonts w:ascii="宋体" w:hAnsi="宋体"/>
          <w:color w:val="auto"/>
          <w:szCs w:val="21"/>
          <w:lang w:val="zh-CN"/>
        </w:rPr>
        <w:outlineLvl w:val="9"/>
      </w:pPr>
      <w:r>
        <w:rPr>
          <w:rFonts w:hint="eastAsia" w:ascii="宋体" w:hAnsi="宋体"/>
          <w:color w:val="auto"/>
          <w:szCs w:val="21"/>
          <w:lang w:val="zh-CN"/>
        </w:rPr>
        <w:t xml:space="preserve">1</w:t>
      </w:r>
      <w:r>
        <w:rPr>
          <w:rFonts w:ascii="宋体" w:hAnsi="宋体"/>
          <w:color w:val="auto"/>
          <w:szCs w:val="21"/>
          <w:lang w:val="zh-CN"/>
        </w:rPr>
        <w:t xml:space="preserve">.</w:t>
      </w:r>
      <w:r>
        <w:rPr>
          <w:rFonts w:hint="eastAsia" w:ascii="宋体" w:hAnsi="宋体"/>
          <w:color w:val="auto"/>
          <w:szCs w:val="21"/>
          <w:lang w:val="zh-CN"/>
        </w:rPr>
        <w:t xml:space="preserve">出现下列情形之一的，将被认定为响应无效或无效文件：</w:t>
      </w:r>
      <w:r/>
    </w:p>
    <w:p>
      <w:pPr>
        <w:ind w:firstLine="420"/>
        <w:keepLines w:val="0"/>
        <w:keepNext w:val="0"/>
        <w:pageBreakBefore w:val="0"/>
        <w:spacing w:line="360" w:lineRule="auto"/>
        <w:widowControl w:val="off"/>
        <w:rPr>
          <w:rFonts w:ascii="宋体" w:hAnsi="宋体"/>
          <w:color w:val="auto"/>
          <w:szCs w:val="21"/>
          <w:lang w:val="zh-CN"/>
        </w:rPr>
        <w:outlineLvl w:val="9"/>
      </w:pPr>
      <w:r>
        <w:rPr>
          <w:rFonts w:hint="eastAsia" w:ascii="宋体" w:hAnsi="宋体"/>
          <w:color w:val="auto"/>
          <w:szCs w:val="21"/>
          <w:lang w:val="zh-CN"/>
        </w:rPr>
        <w:t xml:space="preserve">（1）违反政府采购相关规定的；</w:t>
      </w:r>
      <w:r/>
    </w:p>
    <w:p>
      <w:pPr>
        <w:ind w:firstLine="420"/>
        <w:keepLines w:val="0"/>
        <w:keepNext w:val="0"/>
        <w:pageBreakBefore w:val="0"/>
        <w:spacing w:line="360" w:lineRule="auto"/>
        <w:widowControl w:val="off"/>
        <w:rPr>
          <w:rFonts w:ascii="宋体" w:hAnsi="宋体"/>
          <w:color w:val="auto"/>
          <w:szCs w:val="21"/>
          <w:lang w:val="zh-CN"/>
        </w:rPr>
        <w:outlineLvl w:val="9"/>
      </w:pPr>
      <w:r>
        <w:rPr>
          <w:rFonts w:hint="eastAsia" w:ascii="宋体" w:hAnsi="宋体"/>
          <w:color w:val="auto"/>
          <w:szCs w:val="21"/>
          <w:lang w:val="zh-CN"/>
        </w:rPr>
        <w:t xml:space="preserve">（2）未实质性响应谈判文件要求的；</w:t>
      </w:r>
      <w:r/>
    </w:p>
    <w:p>
      <w:pPr>
        <w:ind w:firstLine="420"/>
        <w:keepLines w:val="0"/>
        <w:keepNext w:val="0"/>
        <w:pageBreakBefore w:val="0"/>
        <w:spacing w:line="360" w:lineRule="auto"/>
        <w:widowControl w:val="off"/>
        <w:rPr>
          <w:rFonts w:ascii="宋体" w:hAnsi="宋体"/>
          <w:color w:val="auto"/>
          <w:szCs w:val="21"/>
          <w:lang w:val="zh-CN"/>
        </w:rPr>
        <w:outlineLvl w:val="9"/>
      </w:pPr>
      <w:r>
        <w:rPr>
          <w:rFonts w:hint="eastAsia" w:ascii="宋体" w:hAnsi="宋体"/>
          <w:color w:val="auto"/>
          <w:szCs w:val="21"/>
          <w:lang w:val="zh-CN"/>
        </w:rPr>
        <w:t xml:space="preserve">（3）</w:t>
      </w:r>
      <w:r>
        <w:rPr>
          <w:rFonts w:hint="eastAsia" w:ascii="宋体" w:hAnsi="宋体"/>
          <w:color w:val="auto"/>
          <w:szCs w:val="21"/>
        </w:rPr>
        <w:t xml:space="preserve">供应商查询中，不同供应商上传响应文件所使用的电脑的MAC地址和标书制作工具客户端标识码均一致的（如发现违法违规行为，将依法追究其法律责任）</w:t>
      </w:r>
      <w:r>
        <w:rPr>
          <w:rFonts w:hint="eastAsia" w:ascii="宋体" w:hAnsi="宋体"/>
          <w:color w:val="auto"/>
          <w:szCs w:val="21"/>
          <w:lang w:val="zh-CN"/>
        </w:rPr>
        <w:t xml:space="preserve">；</w:t>
      </w:r>
      <w:r/>
    </w:p>
    <w:p>
      <w:pPr>
        <w:ind w:firstLine="420"/>
        <w:keepLines w:val="0"/>
        <w:keepNext w:val="0"/>
        <w:pageBreakBefore w:val="0"/>
        <w:spacing w:line="360" w:lineRule="auto"/>
        <w:widowControl w:val="off"/>
        <w:rPr>
          <w:rFonts w:ascii="宋体" w:hAnsi="宋体"/>
          <w:color w:val="auto"/>
          <w:szCs w:val="21"/>
          <w:lang w:val="zh-CN"/>
        </w:rPr>
        <w:outlineLvl w:val="9"/>
      </w:pPr>
      <w:r>
        <w:rPr>
          <w:rFonts w:hint="eastAsia" w:ascii="宋体" w:hAnsi="宋体"/>
          <w:color w:val="auto"/>
          <w:szCs w:val="21"/>
          <w:lang w:val="zh-CN"/>
        </w:rPr>
        <w:t xml:space="preserve">（</w:t>
      </w:r>
      <w:r>
        <w:rPr>
          <w:rFonts w:hint="eastAsia" w:ascii="宋体" w:hAnsi="宋体"/>
          <w:color w:val="auto"/>
          <w:szCs w:val="21"/>
        </w:rPr>
        <w:t xml:space="preserve">4</w:t>
      </w:r>
      <w:r>
        <w:rPr>
          <w:rFonts w:hint="eastAsia" w:ascii="宋体" w:hAnsi="宋体"/>
          <w:color w:val="auto"/>
          <w:szCs w:val="21"/>
          <w:lang w:val="zh-CN"/>
        </w:rPr>
        <w:t xml:space="preserve">）谈判小组认定的其他情形；</w:t>
      </w:r>
      <w:r/>
    </w:p>
    <w:p>
      <w:pPr>
        <w:ind w:firstLine="420"/>
        <w:keepLines w:val="0"/>
        <w:keepNext w:val="0"/>
        <w:pageBreakBefore w:val="0"/>
        <w:spacing w:line="360" w:lineRule="auto"/>
        <w:widowControl w:val="off"/>
        <w:rPr>
          <w:rFonts w:ascii="宋体" w:hAnsi="宋体"/>
          <w:color w:val="auto"/>
          <w:szCs w:val="21"/>
          <w:lang w:val="zh-CN"/>
        </w:rPr>
        <w:outlineLvl w:val="9"/>
      </w:pPr>
      <w:r>
        <w:rPr>
          <w:rFonts w:hint="eastAsia" w:ascii="宋体" w:hAnsi="宋体"/>
          <w:color w:val="auto"/>
          <w:szCs w:val="21"/>
          <w:lang w:val="zh-CN"/>
        </w:rPr>
        <w:t xml:space="preserve">2</w:t>
      </w:r>
      <w:r>
        <w:rPr>
          <w:rFonts w:ascii="宋体" w:hAnsi="宋体"/>
          <w:color w:val="auto"/>
          <w:szCs w:val="21"/>
          <w:lang w:val="zh-CN"/>
        </w:rPr>
        <w:t xml:space="preserve">.</w:t>
      </w:r>
      <w:r>
        <w:rPr>
          <w:rFonts w:hint="eastAsia" w:ascii="宋体" w:hAnsi="宋体"/>
          <w:color w:val="auto"/>
          <w:szCs w:val="21"/>
          <w:lang w:val="zh-CN"/>
        </w:rPr>
        <w:t xml:space="preserve">被认定为响应无效或无效文件的，采购代理机构应当将理由告知相关供应商。</w:t>
      </w:r>
      <w:r/>
    </w:p>
    <w:p>
      <w:pPr>
        <w:ind w:firstLine="422"/>
        <w:keepLines w:val="0"/>
        <w:keepNext w:val="0"/>
        <w:pageBreakBefore w:val="0"/>
        <w:spacing w:line="360" w:lineRule="auto"/>
        <w:widowControl w:val="off"/>
        <w:rPr>
          <w:rFonts w:ascii="宋体" w:hAnsi="宋体"/>
          <w:b/>
          <w:color w:val="auto"/>
          <w:szCs w:val="21"/>
        </w:rPr>
        <w:outlineLvl w:val="9"/>
      </w:pPr>
      <w:r>
        <w:rPr>
          <w:rFonts w:hint="eastAsia" w:ascii="宋体" w:hAnsi="宋体"/>
          <w:b/>
          <w:color w:val="auto"/>
          <w:szCs w:val="21"/>
        </w:rPr>
        <w:t xml:space="preserve">五、项目终止</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1.出现下列情形之一的，采购人或者采购代理机构应当终止竞争性谈判采购活动，发布项目终止公告并说明原因，重新开展采购活动：</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（1）因情况变化，不再符合规定的竞争性谈判采购方式适用情形的；</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（2）出现影响采购公正的违法、违规行为的；</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（3）在采购过程中符合竞争要求的供应商或者报价未超过采购预算的供应商不足三家的；</w:t>
      </w:r>
      <w:r/>
    </w:p>
    <w:p>
      <w:pPr>
        <w:ind w:firstLine="420"/>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rPr>
        <w:t xml:space="preserve">（4）谈</w:t>
      </w:r>
      <w:r>
        <w:rPr>
          <w:rFonts w:hint="eastAsia"/>
          <w:color w:val="auto"/>
        </w:rPr>
        <w:t xml:space="preserve">判采购</w:t>
      </w:r>
      <w:r>
        <w:rPr>
          <w:color w:val="auto"/>
        </w:rPr>
        <w:t xml:space="preserve">过程中，如遇到交易中心出现断电、断网或其他不可预见原因导致</w:t>
      </w:r>
      <w:r>
        <w:rPr>
          <w:rFonts w:hint="eastAsia"/>
          <w:color w:val="auto"/>
        </w:rPr>
        <w:t xml:space="preserve">采购活动无法正常进行的。</w:t>
      </w:r>
      <w:r/>
    </w:p>
    <w:p>
      <w:pPr>
        <w:ind w:right="-315" w:firstLine="422"/>
        <w:keepLines w:val="0"/>
        <w:keepNext w:val="0"/>
        <w:pageBreakBefore w:val="0"/>
        <w:spacing w:line="360" w:lineRule="auto"/>
        <w:widowControl w:val="off"/>
        <w:rPr>
          <w:rFonts w:ascii="宋体" w:hAnsi="宋体"/>
          <w:color w:val="auto"/>
          <w:szCs w:val="21"/>
        </w:rPr>
        <w:outlineLvl w:val="9"/>
      </w:pPr>
      <w:r>
        <w:rPr>
          <w:rFonts w:hint="eastAsia" w:ascii="宋体" w:hAnsi="宋体"/>
          <w:color w:val="auto"/>
          <w:szCs w:val="21"/>
        </w:rPr>
        <w:t xml:space="preserve">2.项目终止后，采购代理机构应当将项目终止的理由告知所有供应商。</w:t>
      </w:r>
      <w:r/>
    </w:p>
    <w:p>
      <w:pPr>
        <w:ind w:firstLine="170"/>
        <w:keepLines w:val="0"/>
        <w:keepNext w:val="0"/>
        <w:pageBreakBefore w:val="0"/>
        <w:spacing w:line="360" w:lineRule="auto"/>
        <w:widowControl w:val="off"/>
        <w:rPr>
          <w:rFonts w:ascii="宋体" w:hAnsi="宋体"/>
          <w:color w:val="auto"/>
          <w:szCs w:val="21"/>
        </w:rPr>
        <w:outlineLvl w:val="9"/>
      </w:pPr>
      <w:r>
        <w:rPr>
          <w:rFonts w:ascii="宋体" w:hAnsi="宋体"/>
          <w:color w:val="auto"/>
          <w:szCs w:val="21"/>
        </w:rPr>
      </w:r>
      <w:r/>
    </w:p>
    <w:p>
      <w:pPr>
        <w:pStyle w:val="1072"/>
        <w:ind w:firstLine="244"/>
        <w:keepLines w:val="0"/>
        <w:keepNext w:val="0"/>
        <w:pageBreakBefore w:val="0"/>
        <w:spacing w:line="360" w:lineRule="auto"/>
        <w:widowControl w:val="off"/>
        <w:rPr>
          <w:rFonts w:ascii="宋体" w:hAnsi="宋体"/>
          <w:b/>
          <w:bCs/>
          <w:color w:val="auto"/>
          <w:sz w:val="30"/>
          <w:szCs w:val="30"/>
        </w:rPr>
        <w:outlineLvl w:val="9"/>
      </w:pPr>
      <w:r>
        <w:rPr>
          <w:rFonts w:ascii="宋体" w:hAnsi="宋体"/>
          <w:b/>
          <w:bCs/>
          <w:color w:val="auto"/>
          <w:sz w:val="30"/>
          <w:szCs w:val="30"/>
        </w:rPr>
      </w:r>
      <w:r/>
    </w:p>
    <w:p>
      <w:pPr>
        <w:pStyle w:val="1042"/>
        <w:ind w:firstLine="244"/>
        <w:keepNext w:val="0"/>
        <w:spacing w:line="360" w:lineRule="auto"/>
        <w:rPr>
          <w:rFonts w:ascii="宋体" w:hAnsi="宋体"/>
          <w:b/>
          <w:color w:val="auto"/>
          <w:sz w:val="30"/>
          <w:szCs w:val="30"/>
        </w:rPr>
      </w:pPr>
      <w:r>
        <w:rPr>
          <w:rFonts w:ascii="宋体" w:hAnsi="宋体"/>
          <w:b/>
          <w:color w:val="auto"/>
          <w:sz w:val="30"/>
          <w:szCs w:val="30"/>
        </w:rPr>
        <w:br w:type="page" w:clear="all"/>
      </w:r>
      <w:r>
        <w:rPr>
          <w:rFonts w:hint="eastAsia" w:ascii="宋体" w:hAnsi="宋体"/>
          <w:b/>
          <w:color w:val="auto"/>
          <w:sz w:val="30"/>
          <w:szCs w:val="30"/>
        </w:rPr>
        <w:t xml:space="preserve">第七章、评审方法</w:t>
      </w:r>
      <w:r/>
    </w:p>
    <w:p>
      <w:pPr>
        <w:ind w:firstLine="420"/>
        <w:spacing w:line="360" w:lineRule="auto"/>
        <w:rPr>
          <w:rFonts w:ascii="宋体" w:hAnsi="宋体" w:cs="宋体"/>
          <w:b/>
          <w:color w:val="auto"/>
          <w:szCs w:val="21"/>
        </w:rPr>
        <w:outlineLvl w:val="1"/>
      </w:pPr>
      <w:r>
        <w:rPr>
          <w:rFonts w:hint="eastAsia" w:ascii="宋体" w:hAnsi="宋体" w:cs="宋体"/>
          <w:color w:val="auto"/>
          <w:szCs w:val="21"/>
        </w:rPr>
        <w:t xml:space="preserve">一、</w:t>
      </w:r>
      <w:r>
        <w:rPr>
          <w:rFonts w:hint="eastAsia" w:ascii="宋体" w:hAnsi="宋体" w:cs="宋体"/>
          <w:b/>
          <w:color w:val="auto"/>
          <w:szCs w:val="21"/>
        </w:rPr>
        <w:t xml:space="preserve">成交规则</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1.本次谈判采用最低评标价法，供应商的响应内容需全部满足谈判文件的实质性要求，</w:t>
      </w:r>
      <w:r>
        <w:rPr>
          <w:rFonts w:hint="eastAsia" w:ascii="宋体" w:hAnsi="宋体" w:cs="宋体"/>
          <w:color w:val="auto"/>
          <w:szCs w:val="21"/>
        </w:rPr>
        <w:t xml:space="preserve">且最终报价不超过最高限价的供应商不少于三家，最终报价（二次报价）最低的供应商为成交供应商。</w:t>
      </w:r>
      <w:r/>
    </w:p>
    <w:p>
      <w:pPr>
        <w:ind w:firstLine="420"/>
        <w:spacing w:line="360" w:lineRule="auto"/>
        <w:rPr>
          <w:rFonts w:ascii="宋体" w:hAnsi="宋体" w:cs="宋体"/>
          <w:color w:val="auto"/>
          <w:szCs w:val="21"/>
        </w:rPr>
      </w:pPr>
      <w:r>
        <w:rPr>
          <w:rFonts w:hint="eastAsia" w:ascii="宋体" w:hAnsi="宋体" w:cs="宋体"/>
          <w:color w:val="auto"/>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color w:val="auto"/>
          <w:szCs w:val="21"/>
        </w:rPr>
      </w:pPr>
      <w:r>
        <w:rPr>
          <w:rFonts w:hint="eastAsia" w:ascii="宋体" w:hAnsi="宋体" w:cs="宋体"/>
          <w:color w:val="auto"/>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auto"/>
          <w:szCs w:val="21"/>
        </w:rPr>
      </w:pPr>
      <w:r>
        <w:rPr>
          <w:rFonts w:hint="eastAsia" w:ascii="宋体" w:hAnsi="宋体" w:cs="宋体"/>
          <w:color w:val="auto"/>
          <w:szCs w:val="21"/>
        </w:rPr>
        <w:t xml:space="preserve">谈判小组认为供应商的报价明显低于其他通过符合性审查的供应商的报价，有可能影响产品质量或者不能诚信履约的，则谈判小组有权要求其以书面形式作出相关说明，供应商不能证明其报价合理性的，谈判小组应当认定其响应无效。</w:t>
      </w:r>
      <w:r/>
    </w:p>
    <w:p>
      <w:pPr>
        <w:ind w:firstLine="420"/>
        <w:spacing w:line="360" w:lineRule="auto"/>
        <w:rPr>
          <w:rFonts w:ascii="宋体" w:hAnsi="宋体" w:cs="宋体"/>
          <w:color w:val="auto"/>
          <w:szCs w:val="21"/>
        </w:rPr>
      </w:pPr>
      <w:r>
        <w:rPr>
          <w:rFonts w:hint="eastAsia" w:ascii="宋体" w:hAnsi="宋体" w:cs="宋体"/>
          <w:color w:val="auto"/>
          <w:szCs w:val="21"/>
        </w:rPr>
        <w:t xml:space="preserve">谈判小组对最后报价进行复核，报价以大写为准。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0"/>
        <w:spacing w:line="360" w:lineRule="auto"/>
        <w:rPr>
          <w:rFonts w:hint="eastAsia" w:ascii="宋体" w:hAnsi="宋体" w:cs="宋体"/>
          <w:b/>
          <w:bCs/>
          <w:color w:val="auto"/>
          <w:szCs w:val="21"/>
        </w:rPr>
        <w:outlineLvl w:val="1"/>
      </w:pPr>
      <w:r>
        <w:rPr>
          <w:rFonts w:hint="eastAsia" w:ascii="宋体" w:hAnsi="宋体" w:cs="宋体"/>
          <w:b/>
          <w:bCs/>
          <w:color w:val="auto"/>
          <w:szCs w:val="21"/>
        </w:rPr>
        <w:t xml:space="preserve">二、评审内容</w:t>
      </w:r>
      <w:r/>
    </w:p>
    <w:tbl>
      <w:tblPr>
        <w:tblStyle w:val="869"/>
        <w:tblW w:w="0" w:type="auto"/>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5245"/>
        <w:gridCol w:w="1134"/>
        <w:gridCol w:w="2637"/>
      </w:tblGrid>
      <w:tr>
        <w:trPr/>
        <w:tc>
          <w:tcPr>
            <w:tcW w:w="624" w:type="dxa"/>
            <w:vAlign w:val="center"/>
            <w:textDirection w:val="lrTb"/>
            <w:noWrap w:val="false"/>
          </w:tcPr>
          <w:p>
            <w:pPr>
              <w:jc w:val="center"/>
              <w:spacing w:line="360" w:lineRule="auto"/>
              <w:rPr>
                <w:color w:val="auto"/>
                <w:szCs w:val="21"/>
              </w:rPr>
            </w:pPr>
            <w:r/>
            <w:bookmarkStart w:id="94" w:name="gpc_accord_horizontal_1"/>
            <w:r>
              <w:rPr>
                <w:color w:val="auto"/>
                <w:szCs w:val="21"/>
              </w:rPr>
              <w:t xml:space="preserve">序号</w:t>
            </w:r>
            <w:r/>
          </w:p>
        </w:tc>
        <w:tc>
          <w:tcPr>
            <w:tcW w:w="5245" w:type="dxa"/>
            <w:vAlign w:val="center"/>
            <w:textDirection w:val="lrTb"/>
            <w:noWrap w:val="false"/>
          </w:tcPr>
          <w:p>
            <w:pPr>
              <w:jc w:val="center"/>
              <w:spacing w:line="360" w:lineRule="auto"/>
              <w:rPr>
                <w:color w:val="auto"/>
                <w:szCs w:val="21"/>
              </w:rPr>
            </w:pPr>
            <w:r>
              <w:rPr>
                <w:color w:val="auto"/>
                <w:szCs w:val="21"/>
              </w:rPr>
              <w:t xml:space="preserve">评审内容</w:t>
            </w:r>
            <w:r/>
          </w:p>
        </w:tc>
        <w:tc>
          <w:tcPr>
            <w:tcW w:w="1134" w:type="dxa"/>
            <w:vAlign w:val="center"/>
            <w:textDirection w:val="lrTb"/>
            <w:noWrap w:val="false"/>
          </w:tcPr>
          <w:p>
            <w:pPr>
              <w:jc w:val="center"/>
              <w:spacing w:line="360" w:lineRule="auto"/>
              <w:rPr>
                <w:color w:val="auto"/>
                <w:szCs w:val="21"/>
              </w:rPr>
            </w:pPr>
            <w:r>
              <w:rPr>
                <w:color w:val="auto"/>
                <w:szCs w:val="21"/>
              </w:rPr>
              <w:t xml:space="preserve">是否合格</w:t>
            </w:r>
            <w:r/>
          </w:p>
        </w:tc>
        <w:tc>
          <w:tcPr>
            <w:tcW w:w="2637" w:type="dxa"/>
            <w:vAlign w:val="center"/>
            <w:textDirection w:val="lrTb"/>
            <w:noWrap w:val="false"/>
          </w:tcPr>
          <w:p>
            <w:pPr>
              <w:jc w:val="center"/>
              <w:spacing w:line="360" w:lineRule="auto"/>
              <w:rPr>
                <w:color w:val="auto"/>
                <w:szCs w:val="21"/>
              </w:rPr>
            </w:pPr>
            <w:r>
              <w:rPr>
                <w:color w:val="auto"/>
                <w:szCs w:val="21"/>
              </w:rPr>
              <w:t xml:space="preserve">不合格原因</w:t>
            </w:r>
            <w:r/>
          </w:p>
        </w:tc>
      </w:tr>
      <w:tr>
        <w:trPr>
          <w:trHeight w:val="660"/>
        </w:trPr>
        <w:tc>
          <w:tcPr>
            <w:tcW w:w="624" w:type="dxa"/>
            <w:vAlign w:val="center"/>
            <w:textDirection w:val="lrTb"/>
            <w:noWrap w:val="false"/>
          </w:tcPr>
          <w:p>
            <w:pPr>
              <w:jc w:val="center"/>
              <w:spacing w:line="360" w:lineRule="auto"/>
              <w:rPr>
                <w:color w:val="auto"/>
                <w:szCs w:val="21"/>
              </w:rPr>
            </w:pPr>
            <w:r>
              <w:rPr>
                <w:color w:val="auto"/>
                <w:szCs w:val="21"/>
              </w:rPr>
              <w:t xml:space="preserve">1</w:t>
            </w:r>
            <w:r/>
          </w:p>
        </w:tc>
        <w:tc>
          <w:tcPr>
            <w:tcW w:w="5245" w:type="dxa"/>
            <w:vAlign w:val="center"/>
            <w:textDirection w:val="lrTb"/>
            <w:noWrap w:val="false"/>
          </w:tcPr>
          <w:p>
            <w:pPr>
              <w:spacing w:line="360" w:lineRule="auto"/>
              <w:rPr>
                <w:color w:val="auto"/>
                <w:szCs w:val="21"/>
              </w:rPr>
            </w:pPr>
            <w:r>
              <w:rPr>
                <w:rFonts w:hint="eastAsia"/>
                <w:color w:val="auto"/>
                <w:szCs w:val="21"/>
              </w:rPr>
              <w:t xml:space="preserve">是否符合谈判文件规定的</w:t>
            </w:r>
            <w:r>
              <w:rPr>
                <w:color w:val="auto"/>
                <w:szCs w:val="21"/>
              </w:rPr>
              <w:t xml:space="preserve">资格</w:t>
            </w:r>
            <w:r>
              <w:rPr>
                <w:rFonts w:hint="eastAsia"/>
                <w:color w:val="auto"/>
                <w:szCs w:val="21"/>
              </w:rPr>
              <w:t xml:space="preserve">要求，符合为合格，不符合为不合格</w:t>
            </w:r>
            <w:r/>
          </w:p>
        </w:tc>
        <w:tc>
          <w:tcPr>
            <w:tcW w:w="1134" w:type="dxa"/>
            <w:vAlign w:val="center"/>
            <w:textDirection w:val="lrTb"/>
            <w:noWrap w:val="false"/>
          </w:tcPr>
          <w:p>
            <w:pPr>
              <w:spacing w:line="360" w:lineRule="auto"/>
              <w:rPr>
                <w:color w:val="auto"/>
                <w:szCs w:val="21"/>
              </w:rPr>
            </w:pPr>
            <w:r>
              <w:rPr>
                <w:color w:val="auto"/>
                <w:szCs w:val="21"/>
              </w:rPr>
            </w:r>
            <w:r/>
          </w:p>
        </w:tc>
        <w:tc>
          <w:tcPr>
            <w:tcW w:w="2637" w:type="dxa"/>
            <w:vAlign w:val="center"/>
            <w:textDirection w:val="lrTb"/>
            <w:noWrap w:val="false"/>
          </w:tcPr>
          <w:p>
            <w:pPr>
              <w:spacing w:line="360" w:lineRule="auto"/>
              <w:rPr>
                <w:color w:val="auto"/>
                <w:szCs w:val="21"/>
              </w:rPr>
            </w:pPr>
            <w:r>
              <w:rPr>
                <w:color w:val="auto"/>
                <w:szCs w:val="21"/>
              </w:rPr>
            </w:r>
            <w:r/>
          </w:p>
        </w:tc>
      </w:tr>
      <w:tr>
        <w:trPr>
          <w:trHeight w:val="753"/>
        </w:trPr>
        <w:tc>
          <w:tcPr>
            <w:tcW w:w="624" w:type="dxa"/>
            <w:vAlign w:val="center"/>
            <w:textDirection w:val="lrTb"/>
            <w:noWrap w:val="false"/>
          </w:tcPr>
          <w:p>
            <w:pPr>
              <w:jc w:val="center"/>
              <w:spacing w:line="360" w:lineRule="auto"/>
              <w:tabs>
                <w:tab w:val="left" w:pos="0" w:leader="none"/>
              </w:tabs>
              <w:rPr>
                <w:color w:val="auto"/>
                <w:szCs w:val="21"/>
              </w:rPr>
            </w:pPr>
            <w:r>
              <w:rPr>
                <w:color w:val="auto"/>
                <w:szCs w:val="21"/>
              </w:rPr>
              <w:t xml:space="preserve">2</w:t>
            </w:r>
            <w:r/>
          </w:p>
        </w:tc>
        <w:tc>
          <w:tcPr>
            <w:tcW w:w="5245" w:type="dxa"/>
            <w:vAlign w:val="center"/>
            <w:textDirection w:val="lrTb"/>
            <w:noWrap w:val="false"/>
          </w:tcPr>
          <w:p>
            <w:pPr>
              <w:spacing w:line="360" w:lineRule="auto"/>
              <w:rPr>
                <w:color w:val="auto"/>
                <w:szCs w:val="21"/>
              </w:rPr>
            </w:pPr>
            <w:r>
              <w:rPr>
                <w:rFonts w:hint="eastAsia" w:ascii="宋体" w:hAnsi="宋体" w:cs="宋体"/>
                <w:color w:val="auto"/>
                <w:szCs w:val="21"/>
              </w:rPr>
              <w:t xml:space="preserve">是否响应谈判文件中采购清单中的技术要求、规格及数量要求，响应为合格，不响应为不合格</w:t>
            </w:r>
            <w:r/>
          </w:p>
        </w:tc>
        <w:tc>
          <w:tcPr>
            <w:tcW w:w="1134" w:type="dxa"/>
            <w:vAlign w:val="center"/>
            <w:textDirection w:val="lrTb"/>
            <w:noWrap w:val="false"/>
          </w:tcPr>
          <w:p>
            <w:pPr>
              <w:spacing w:line="360" w:lineRule="auto"/>
              <w:rPr>
                <w:color w:val="auto"/>
                <w:szCs w:val="21"/>
              </w:rPr>
            </w:pPr>
            <w:r>
              <w:rPr>
                <w:color w:val="auto"/>
                <w:szCs w:val="21"/>
              </w:rPr>
            </w:r>
            <w:r/>
          </w:p>
        </w:tc>
        <w:tc>
          <w:tcPr>
            <w:tcW w:w="2637" w:type="dxa"/>
            <w:vAlign w:val="center"/>
            <w:textDirection w:val="lrTb"/>
            <w:noWrap w:val="false"/>
          </w:tcPr>
          <w:p>
            <w:pPr>
              <w:spacing w:line="360" w:lineRule="auto"/>
              <w:rPr>
                <w:color w:val="auto"/>
                <w:szCs w:val="21"/>
              </w:rPr>
            </w:pPr>
            <w:r>
              <w:rPr>
                <w:color w:val="auto"/>
                <w:szCs w:val="21"/>
              </w:rPr>
            </w:r>
            <w:r/>
          </w:p>
        </w:tc>
      </w:tr>
      <w:tr>
        <w:trPr>
          <w:trHeight w:val="660"/>
        </w:trPr>
        <w:tc>
          <w:tcPr>
            <w:tcW w:w="624" w:type="dxa"/>
            <w:vAlign w:val="center"/>
            <w:textDirection w:val="lrTb"/>
            <w:noWrap w:val="false"/>
          </w:tcPr>
          <w:p>
            <w:pPr>
              <w:jc w:val="center"/>
              <w:spacing w:line="360" w:lineRule="auto"/>
              <w:tabs>
                <w:tab w:val="left" w:pos="0" w:leader="none"/>
              </w:tabs>
              <w:rPr>
                <w:color w:val="auto"/>
                <w:szCs w:val="21"/>
              </w:rPr>
            </w:pPr>
            <w:r>
              <w:rPr>
                <w:rFonts w:hint="eastAsia"/>
                <w:color w:val="auto"/>
                <w:szCs w:val="21"/>
              </w:rPr>
              <w:t xml:space="preserve">3</w:t>
            </w:r>
            <w:r/>
          </w:p>
        </w:tc>
        <w:tc>
          <w:tcPr>
            <w:tcW w:w="5245" w:type="dxa"/>
            <w:vAlign w:val="center"/>
            <w:textDirection w:val="lrTb"/>
            <w:noWrap w:val="false"/>
          </w:tcPr>
          <w:p>
            <w:pPr>
              <w:spacing w:line="360" w:lineRule="auto"/>
              <w:rPr>
                <w:color w:val="auto"/>
                <w:szCs w:val="21"/>
              </w:rPr>
            </w:pPr>
            <w:r>
              <w:rPr>
                <w:rFonts w:hint="eastAsia"/>
                <w:color w:val="auto"/>
                <w:szCs w:val="21"/>
              </w:rPr>
              <w:t xml:space="preserve">是否存在谈判文件规定的其它响应无效的情况，不存在为合格，存在为不合格</w:t>
            </w:r>
            <w:r/>
          </w:p>
        </w:tc>
        <w:tc>
          <w:tcPr>
            <w:tcW w:w="1134" w:type="dxa"/>
            <w:vAlign w:val="center"/>
            <w:textDirection w:val="lrTb"/>
            <w:noWrap w:val="false"/>
          </w:tcPr>
          <w:p>
            <w:pPr>
              <w:spacing w:line="360" w:lineRule="auto"/>
              <w:rPr>
                <w:color w:val="auto"/>
                <w:szCs w:val="21"/>
              </w:rPr>
            </w:pPr>
            <w:r>
              <w:rPr>
                <w:color w:val="auto"/>
                <w:szCs w:val="21"/>
              </w:rPr>
            </w:r>
            <w:bookmarkEnd w:id="94"/>
            <w:r/>
            <w:r/>
          </w:p>
        </w:tc>
        <w:tc>
          <w:tcPr>
            <w:tcW w:w="2637" w:type="dxa"/>
            <w:vAlign w:val="center"/>
            <w:textDirection w:val="lrTb"/>
            <w:noWrap w:val="false"/>
          </w:tcPr>
          <w:p>
            <w:pPr>
              <w:spacing w:line="360" w:lineRule="auto"/>
              <w:rPr>
                <w:color w:val="auto"/>
                <w:szCs w:val="21"/>
              </w:rPr>
            </w:pPr>
            <w:r>
              <w:rPr>
                <w:color w:val="auto"/>
                <w:szCs w:val="21"/>
              </w:rPr>
            </w:r>
            <w:r/>
          </w:p>
        </w:tc>
      </w:tr>
    </w:tbl>
    <w:p>
      <w:pPr>
        <w:ind w:firstLine="420"/>
        <w:spacing w:line="360" w:lineRule="auto"/>
        <w:rPr>
          <w:rFonts w:hint="eastAsia" w:ascii="宋体" w:hAnsi="宋体" w:cs="宋体"/>
          <w:b/>
          <w:bCs/>
          <w:color w:val="auto"/>
          <w:szCs w:val="21"/>
        </w:rPr>
      </w:pPr>
      <w:r>
        <w:rPr>
          <w:rFonts w:hint="eastAsia" w:ascii="宋体" w:hAnsi="宋体" w:cs="宋体"/>
          <w:b/>
          <w:bCs/>
          <w:color w:val="auto"/>
          <w:szCs w:val="21"/>
        </w:rPr>
        <w:t xml:space="preserve">说明：上述某一项内容评审不合格，评审专家须注明评审不合格原因（至少包括不合格的具体事项、判定不合格依据的具体条款等）。任一项不合格其响应文件按无效处理。</w:t>
      </w:r>
      <w:r/>
    </w:p>
    <w:p>
      <w:pPr>
        <w:ind w:firstLine="422"/>
        <w:keepLines w:val="0"/>
        <w:keepNext w:val="0"/>
        <w:pageBreakBefore w:val="0"/>
        <w:spacing w:line="360" w:lineRule="auto"/>
        <w:widowControl w:val="off"/>
        <w:rPr>
          <w:rFonts w:ascii="宋体" w:hAnsi="宋体" w:cs="宋体"/>
          <w:b/>
          <w:color w:val="auto"/>
          <w:szCs w:val="21"/>
        </w:rPr>
        <w:outlineLvl w:val="1"/>
      </w:pPr>
      <w:r>
        <w:rPr>
          <w:rFonts w:hint="eastAsia" w:ascii="宋体" w:hAnsi="宋体" w:cs="宋体"/>
          <w:b/>
          <w:color w:val="auto"/>
          <w:szCs w:val="21"/>
        </w:rPr>
        <w:t xml:space="preserve">三、采购政策</w:t>
      </w:r>
      <w:r/>
    </w:p>
    <w:p>
      <w:pPr>
        <w:ind w:firstLine="420"/>
        <w:keepLines w:val="0"/>
        <w:keepNext w:val="0"/>
        <w:pageBreakBefore w:val="0"/>
        <w:spacing w:line="360" w:lineRule="auto"/>
        <w:widowControl w:val="off"/>
        <w:rPr>
          <w:color w:val="auto"/>
        </w:rPr>
      </w:pPr>
      <w:r>
        <w:rPr>
          <w:rFonts w:hint="eastAsia"/>
          <w:color w:val="auto"/>
        </w:rPr>
        <w:t xml:space="preserve">1、中、小企业</w:t>
      </w:r>
      <w:r/>
    </w:p>
    <w:p>
      <w:pPr>
        <w:ind w:firstLine="420"/>
        <w:keepLines w:val="0"/>
        <w:keepNext w:val="0"/>
        <w:pageBreakBefore w:val="0"/>
        <w:spacing w:line="360" w:lineRule="auto"/>
        <w:widowControl w:val="off"/>
        <w:rPr>
          <w:color w:val="auto"/>
        </w:rPr>
      </w:pPr>
      <w:r>
        <w:rPr>
          <w:rFonts w:hint="eastAsia" w:ascii="宋体" w:hAnsi="宋体" w:cs="宋体"/>
          <w:color w:val="auto"/>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Arial" w:hAnsi="Arial" w:eastAsia="Arial" w:cs="仿宋"/>
          <w:color w:val="auto"/>
          <w:szCs w:val="21"/>
        </w:rPr>
        <w:t xml:space="preserve">：</w:t>
      </w:r>
      <w:r/>
    </w:p>
    <w:p>
      <w:pPr>
        <w:ind w:firstLine="420"/>
        <w:keepLines w:val="0"/>
        <w:keepNext w:val="0"/>
        <w:pageBreakBefore w:val="0"/>
        <w:spacing w:line="360" w:lineRule="auto"/>
        <w:widowControl w:val="off"/>
        <w:rPr>
          <w:color w:val="auto"/>
        </w:rPr>
      </w:pPr>
      <w:r>
        <w:rPr>
          <w:rFonts w:hint="eastAsia"/>
          <w:color w:val="auto"/>
        </w:rPr>
        <w:t xml:space="preserve">（1）本项目属于</w:t>
      </w:r>
      <w:r>
        <w:rPr>
          <w:rFonts w:hint="eastAsia" w:ascii="宋体" w:hAnsi="宋体" w:cs="仿宋"/>
          <w:color w:val="auto"/>
          <w:szCs w:val="21"/>
          <w:u w:val="single"/>
        </w:rPr>
        <w:t xml:space="preserve">专门面向中小企业的采购</w:t>
      </w:r>
      <w:r>
        <w:rPr>
          <w:rFonts w:hint="eastAsia"/>
          <w:color w:val="auto"/>
          <w:szCs w:val="21"/>
        </w:rPr>
        <w:t xml:space="preserve">。</w:t>
      </w:r>
      <w:r/>
    </w:p>
    <w:p>
      <w:pPr>
        <w:ind w:firstLine="420"/>
        <w:keepLines w:val="0"/>
        <w:keepNext w:val="0"/>
        <w:pageBreakBefore w:val="0"/>
        <w:spacing w:line="360" w:lineRule="auto"/>
        <w:widowControl w:val="off"/>
        <w:rPr>
          <w:color w:val="auto"/>
        </w:rPr>
      </w:pPr>
      <w:r>
        <w:rPr>
          <w:rFonts w:hint="eastAsia"/>
          <w:color w:val="auto"/>
        </w:rPr>
        <w:t xml:space="preserve">（2）依据《政府采购促进中小企业发展管理办法》规定享受扶持政策获得政府采购合同的，小微企业不得将合同分包给大中型企业，中型企业不得将合同分包给大型企业。</w:t>
      </w:r>
      <w:r/>
    </w:p>
    <w:p>
      <w:pPr>
        <w:ind w:firstLine="420"/>
        <w:keepLines w:val="0"/>
        <w:keepNext w:val="0"/>
        <w:pageBreakBefore w:val="0"/>
        <w:spacing w:line="360" w:lineRule="auto"/>
        <w:widowControl w:val="off"/>
        <w:rPr>
          <w:color w:val="auto"/>
        </w:rPr>
      </w:pPr>
      <w:r>
        <w:rPr>
          <w:rFonts w:hint="eastAsia"/>
          <w:color w:val="auto"/>
        </w:rPr>
        <w:t xml:space="preserve">（3）本项目采购标的对应的中小企业划分标准所属行业为</w:t>
      </w:r>
      <w:r>
        <w:rPr>
          <w:rFonts w:hint="eastAsia"/>
          <w:color w:val="auto"/>
          <w:u w:val="single"/>
        </w:rPr>
        <w:t xml:space="preserve">工业</w:t>
      </w:r>
      <w:r>
        <w:rPr>
          <w:rFonts w:hint="eastAsia"/>
          <w:color w:val="auto"/>
        </w:rPr>
        <w:t xml:space="preserve">。</w:t>
      </w:r>
      <w:r>
        <w:rPr>
          <w:rFonts w:hint="eastAsia"/>
          <w:color w:val="auto"/>
          <w:szCs w:val="21"/>
          <w:lang w:val="zh-CN"/>
        </w:rPr>
        <w:t xml:space="preserve">中小微企业划型标准根据《中小企业划型标准规定》（工信部联企业【2011】300号）</w:t>
      </w:r>
      <w:r/>
    </w:p>
    <w:p>
      <w:pPr>
        <w:ind w:firstLine="420"/>
        <w:keepLines w:val="0"/>
        <w:keepNext w:val="0"/>
        <w:pageBreakBefore w:val="0"/>
        <w:spacing w:line="360" w:lineRule="auto"/>
        <w:widowControl w:val="off"/>
        <w:rPr>
          <w:color w:val="auto"/>
        </w:rPr>
      </w:pPr>
      <w:r>
        <w:rPr>
          <w:rFonts w:hint="eastAsia"/>
          <w:color w:val="auto"/>
        </w:rPr>
        <w:t xml:space="preserve">（4）中小企业参加政府采购活动，应当出具《政府采购促进中小企业发展管理办法》附件规定《中小企业声明函》，否则不得享受相关中小企业扶持政策。</w:t>
      </w:r>
      <w:r/>
    </w:p>
    <w:p>
      <w:pPr>
        <w:ind w:firstLine="420"/>
        <w:keepLines w:val="0"/>
        <w:keepNext w:val="0"/>
        <w:pageBreakBefore w:val="0"/>
        <w:spacing w:line="360" w:lineRule="auto"/>
        <w:widowControl w:val="off"/>
        <w:rPr>
          <w:color w:val="auto"/>
        </w:rPr>
      </w:pPr>
      <w:r>
        <w:rPr>
          <w:rFonts w:hint="eastAsia"/>
          <w:color w:val="auto"/>
        </w:rPr>
        <w:t xml:space="preserve">（5）本项目中，供应商提供的货物由中小企业制造，即货物由中小企业生产且使用该中小企业商号或者注册商标，才可享受规定的中小企业扶持政策。</w:t>
      </w:r>
      <w:r/>
    </w:p>
    <w:p>
      <w:pPr>
        <w:ind w:firstLine="420"/>
        <w:keepLines w:val="0"/>
        <w:keepNext w:val="0"/>
        <w:pageBreakBefore w:val="0"/>
        <w:spacing w:line="360" w:lineRule="auto"/>
        <w:widowControl w:val="off"/>
        <w:rPr>
          <w:color w:val="auto"/>
        </w:rPr>
      </w:pPr>
      <w:r>
        <w:rPr>
          <w:rFonts w:hint="eastAsia"/>
          <w:color w:val="auto"/>
        </w:rPr>
        <w:t xml:space="preserve">（6）若供应商提供的《中小企业声明函》为虚假声明则视同提供虚假材料，按政府采购相关规定处理并报请政府监管部门给予行政处罚。</w:t>
      </w:r>
      <w:r/>
    </w:p>
    <w:p>
      <w:pPr>
        <w:ind w:firstLine="420"/>
        <w:keepLines w:val="0"/>
        <w:keepNext w:val="0"/>
        <w:pageBreakBefore w:val="0"/>
        <w:spacing w:line="360" w:lineRule="auto"/>
        <w:widowControl w:val="off"/>
        <w:rPr>
          <w:color w:val="auto"/>
        </w:rPr>
      </w:pPr>
      <w:r>
        <w:rPr>
          <w:rFonts w:hint="eastAsia"/>
          <w:color w:val="auto"/>
        </w:rPr>
        <w:t xml:space="preserve">2、残疾人福利性单位</w:t>
      </w:r>
      <w:r/>
    </w:p>
    <w:p>
      <w:pPr>
        <w:ind w:firstLine="420"/>
        <w:keepLines w:val="0"/>
        <w:keepNext w:val="0"/>
        <w:pageBreakBefore w:val="0"/>
        <w:spacing w:line="360" w:lineRule="auto"/>
        <w:widowControl w:val="off"/>
        <w:rPr>
          <w:color w:val="auto"/>
        </w:rPr>
      </w:pPr>
      <w:r>
        <w:rPr>
          <w:rFonts w:hint="eastAsia"/>
          <w:color w:val="auto"/>
        </w:rPr>
        <w:t xml:space="preserve">根据《关于贯彻执行绿色采购、促进残疾人就业和支持监狱企业发展有关政策的通知（苏财购〔</w:t>
      </w:r>
      <w:r>
        <w:rPr>
          <w:color w:val="auto"/>
        </w:rPr>
        <w:t xml:space="preserve">2019</w:t>
      </w:r>
      <w:r>
        <w:rPr>
          <w:rFonts w:hint="eastAsia"/>
          <w:color w:val="auto"/>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eastAsia="Arial"/>
          <w:b/>
          <w:color w:val="auto"/>
          <w:szCs w:val="21"/>
        </w:rPr>
        <w:t xml:space="preserve">未提供视为非残疾人福利性单位，不视同小微企业，不享受残疾人福利性单位政策</w:t>
      </w:r>
      <w:r>
        <w:rPr>
          <w:rFonts w:hint="eastAsia"/>
          <w:color w:val="auto"/>
        </w:rPr>
        <w:t xml:space="preserve">。</w:t>
      </w:r>
      <w:r/>
    </w:p>
    <w:p>
      <w:pPr>
        <w:ind w:firstLine="420"/>
        <w:keepLines w:val="0"/>
        <w:keepNext w:val="0"/>
        <w:pageBreakBefore w:val="0"/>
        <w:spacing w:line="360" w:lineRule="auto"/>
        <w:widowControl w:val="off"/>
        <w:rPr>
          <w:color w:val="auto"/>
        </w:rPr>
      </w:pPr>
      <w:r>
        <w:rPr>
          <w:rFonts w:hint="eastAsia"/>
          <w:color w:val="auto"/>
        </w:rPr>
        <w:t xml:space="preserve">3、监狱企业</w:t>
      </w:r>
      <w:r/>
    </w:p>
    <w:p>
      <w:pPr>
        <w:ind w:firstLine="420"/>
        <w:keepLines w:val="0"/>
        <w:keepNext w:val="0"/>
        <w:pageBreakBefore w:val="0"/>
        <w:spacing w:line="360" w:lineRule="auto"/>
        <w:widowControl w:val="off"/>
        <w:rPr>
          <w:color w:val="auto"/>
        </w:rPr>
      </w:pPr>
      <w:r>
        <w:rPr>
          <w:rFonts w:hint="eastAsia"/>
          <w:color w:val="auto"/>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eastAsia="Arial"/>
          <w:b/>
          <w:color w:val="auto"/>
          <w:szCs w:val="21"/>
        </w:rPr>
        <w:t xml:space="preserve">未提供视为非监狱企业，不视同小微企业，</w:t>
      </w:r>
      <w:r>
        <w:rPr>
          <w:b/>
          <w:bCs/>
          <w:color w:val="auto"/>
          <w:szCs w:val="21"/>
        </w:rPr>
        <w:t xml:space="preserve">不享受监狱企业政策</w:t>
      </w:r>
      <w:r>
        <w:rPr>
          <w:rFonts w:hint="eastAsia"/>
          <w:color w:val="auto"/>
        </w:rPr>
        <w:t xml:space="preserve">。</w:t>
      </w:r>
      <w:r/>
    </w:p>
    <w:p>
      <w:pPr>
        <w:ind w:firstLine="420"/>
        <w:keepLines w:val="0"/>
        <w:keepNext w:val="0"/>
        <w:pageBreakBefore w:val="0"/>
        <w:spacing w:line="360" w:lineRule="auto"/>
        <w:widowControl w:val="off"/>
        <w:rPr>
          <w:color w:val="auto"/>
        </w:rPr>
      </w:pPr>
      <w:r>
        <w:rPr>
          <w:rFonts w:hint="eastAsia"/>
          <w:color w:val="auto"/>
        </w:rPr>
        <w:t xml:space="preserve">5、绿色采购</w:t>
      </w:r>
      <w:r/>
    </w:p>
    <w:p>
      <w:pPr>
        <w:ind w:firstLine="420"/>
        <w:keepLines w:val="0"/>
        <w:keepNext w:val="0"/>
        <w:pageBreakBefore w:val="0"/>
        <w:spacing w:line="360" w:lineRule="auto"/>
        <w:widowControl w:val="off"/>
        <w:rPr>
          <w:color w:val="auto"/>
        </w:rPr>
      </w:pPr>
      <w:r>
        <w:rPr>
          <w:rFonts w:hint="eastAsia"/>
          <w:color w:val="auto"/>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360" w:lineRule="auto"/>
        <w:widowControl w:val="off"/>
        <w:rPr>
          <w:color w:val="auto"/>
        </w:rPr>
      </w:pPr>
      <w:r>
        <w:rPr>
          <w:rFonts w:hint="eastAsia"/>
          <w:color w:val="auto"/>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keepLines w:val="0"/>
        <w:keepNext w:val="0"/>
        <w:pageBreakBefore w:val="0"/>
        <w:spacing w:line="360" w:lineRule="auto"/>
        <w:widowControl w:val="off"/>
        <w:rPr>
          <w:color w:val="auto"/>
        </w:rPr>
      </w:pPr>
      <w:r>
        <w:rPr>
          <w:rFonts w:hint="eastAsia"/>
          <w:color w:val="auto"/>
        </w:rPr>
        <w:t xml:space="preserve">6、对本国产品的支持政策</w:t>
      </w:r>
      <w:r/>
    </w:p>
    <w:p>
      <w:pPr>
        <w:ind w:firstLine="420"/>
        <w:keepLines w:val="0"/>
        <w:keepNext w:val="0"/>
        <w:pageBreakBefore w:val="0"/>
        <w:spacing w:line="360" w:lineRule="auto"/>
        <w:widowControl w:val="off"/>
        <w:rPr>
          <w:color w:val="auto"/>
        </w:rPr>
      </w:pPr>
      <w:r>
        <w:rPr>
          <w:rFonts w:hint="eastAsia"/>
          <w:color w:val="auto"/>
        </w:rPr>
        <w:t xml:space="preserve">（1）根据《国务院办公厅关于在</w:t>
      </w:r>
      <w:r>
        <w:rPr>
          <w:rFonts w:hint="eastAsia"/>
          <w:color w:val="auto"/>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keepLines w:val="0"/>
        <w:keepNext w:val="0"/>
        <w:pageBreakBefore w:val="0"/>
        <w:spacing w:line="360" w:lineRule="auto"/>
        <w:widowControl w:val="off"/>
        <w:rPr>
          <w:color w:val="auto"/>
        </w:rPr>
      </w:pPr>
      <w:r>
        <w:rPr>
          <w:rFonts w:hint="eastAsia"/>
          <w:color w:val="auto"/>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color w:val="auto"/>
        </w:rPr>
      </w:pPr>
      <w:r>
        <w:rPr>
          <w:rFonts w:hint="eastAsia"/>
          <w:color w:val="auto"/>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color w:val="auto"/>
        </w:rPr>
      </w:pPr>
      <w:r>
        <w:rPr>
          <w:rFonts w:hint="eastAsia"/>
          <w:color w:val="auto"/>
        </w:rPr>
        <w:t xml:space="preserve">（4）当采购项目或者采购包中含有多种产品，供应商为该采购项目或者采购包提供的符合本国产品标准的产品成本之和占该供应商提供的全部产品成本之和的比例达到80%以上时（供应商需在“第六章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widowControl w:val="off"/>
        <w:rPr>
          <w:color w:val="auto"/>
        </w:rPr>
      </w:pPr>
      <w:r>
        <w:rPr>
          <w:rFonts w:hint="eastAsia"/>
          <w:color w:val="auto"/>
        </w:rPr>
        <w:t xml:space="preserve">（5）供应商需按照谈判文件的要求提供《关于符合本国产品标准的声明函》，如不提供将不享受本国产品价格评审优惠。</w:t>
      </w:r>
      <w:r/>
    </w:p>
    <w:p>
      <w:pPr>
        <w:ind w:firstLine="420"/>
        <w:keepLines w:val="0"/>
        <w:keepNext w:val="0"/>
        <w:pageBreakBefore w:val="0"/>
        <w:spacing w:line="360" w:lineRule="auto"/>
        <w:widowControl w:val="off"/>
        <w:rPr>
          <w:color w:val="auto"/>
        </w:rPr>
      </w:pPr>
      <w:r>
        <w:rPr>
          <w:rFonts w:hint="eastAsia"/>
          <w:color w:val="auto"/>
        </w:rPr>
        <w:t xml:space="preserve">（6）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color w:val="auto"/>
        </w:rPr>
      </w:pPr>
      <w:r>
        <w:rPr>
          <w:rFonts w:hint="eastAsia"/>
          <w:color w:val="auto"/>
        </w:rPr>
        <w:t xml:space="preserve">7、异常低价响应审查</w:t>
      </w:r>
      <w:r/>
    </w:p>
    <w:p>
      <w:pPr>
        <w:ind w:firstLine="420"/>
        <w:keepLines w:val="0"/>
        <w:keepNext w:val="0"/>
        <w:pageBreakBefore w:val="0"/>
        <w:spacing w:line="360" w:lineRule="auto"/>
        <w:widowControl w:val="off"/>
        <w:rPr>
          <w:color w:val="auto"/>
        </w:rPr>
      </w:pPr>
      <w:r>
        <w:rPr>
          <w:rFonts w:hint="eastAsia"/>
          <w:color w:val="auto"/>
        </w:rPr>
        <w:t xml:space="preserve">评审过程中出现下列情形之一的，谈判小组应当启动异常低价响应审查程序：</w:t>
      </w:r>
      <w:r/>
    </w:p>
    <w:p>
      <w:pPr>
        <w:ind w:firstLine="420"/>
        <w:keepLines w:val="0"/>
        <w:keepNext w:val="0"/>
        <w:pageBreakBefore w:val="0"/>
        <w:spacing w:line="360" w:lineRule="auto"/>
        <w:widowControl w:val="off"/>
        <w:rPr>
          <w:color w:val="auto"/>
        </w:rPr>
      </w:pPr>
      <w:r>
        <w:rPr>
          <w:rFonts w:hint="eastAsia"/>
          <w:color w:val="auto"/>
        </w:rPr>
        <w:t xml:space="preserve">（1）最后报价低于采购项目预算50%的，即最后报价＜采购项目预算×50%；</w:t>
      </w:r>
      <w:r/>
    </w:p>
    <w:p>
      <w:pPr>
        <w:ind w:firstLine="420"/>
        <w:keepLines w:val="0"/>
        <w:keepNext w:val="0"/>
        <w:pageBreakBefore w:val="0"/>
        <w:spacing w:line="360" w:lineRule="auto"/>
        <w:widowControl w:val="off"/>
        <w:rPr>
          <w:color w:val="auto"/>
        </w:rPr>
      </w:pPr>
      <w:r>
        <w:rPr>
          <w:rFonts w:hint="eastAsia"/>
          <w:color w:val="auto"/>
        </w:rPr>
        <w:t xml:space="preserve">（2）最后报价低于采购项目最高限价45%的，即最后报价＜采购项目最高限价×45%；</w:t>
      </w:r>
      <w:r/>
    </w:p>
    <w:p>
      <w:pPr>
        <w:ind w:firstLine="420"/>
        <w:keepLines w:val="0"/>
        <w:keepNext w:val="0"/>
        <w:pageBreakBefore w:val="0"/>
        <w:spacing w:line="360" w:lineRule="auto"/>
        <w:widowControl w:val="off"/>
        <w:rPr>
          <w:color w:val="auto"/>
        </w:rPr>
      </w:pPr>
      <w:r>
        <w:rPr>
          <w:rFonts w:hint="eastAsia"/>
          <w:color w:val="auto"/>
        </w:rPr>
        <w:t xml:space="preserve">（3）谈判小组认定的供应商最后报价过低（含明显低于其他通过符合性审查供应商的最后报价）、有可能影响产品质量或者不能诚信履约的其他情形。</w:t>
      </w:r>
      <w:r/>
    </w:p>
    <w:p>
      <w:pPr>
        <w:ind w:firstLine="420"/>
        <w:keepLines w:val="0"/>
        <w:keepNext w:val="0"/>
        <w:pageBreakBefore w:val="0"/>
        <w:spacing w:line="360" w:lineRule="auto"/>
        <w:widowControl w:val="off"/>
        <w:rPr>
          <w:color w:val="auto"/>
        </w:rPr>
      </w:pPr>
      <w:r>
        <w:rPr>
          <w:rFonts w:hint="eastAsia"/>
          <w:color w:val="auto"/>
        </w:rPr>
        <w:t xml:space="preserve">启动异常低价响应审查后，谈判小组应当要求相关供应商在评审现场合理的时间内，提供项目具体成本测算等与报价合理性相关的书面说明材料及相关证明材料，对最后报价作出解释，由谈判小组结合同类产品在主要电商平台的价格、该行业当地薪资水平等情况，依据专业经验对供应商报价合理性进行判断。供应商不提供书面说明、证明材料，或者提供的书面说明、证明材料不能证明其最后报价合理性的，谈判小组应当将其作为无效响应处理。审查相关情况应当在评标报告中进行记录。</w:t>
      </w:r>
      <w:r/>
    </w:p>
    <w:p>
      <w:pPr>
        <w:ind w:firstLine="422"/>
        <w:jc w:val="right"/>
        <w:keepLines w:val="0"/>
        <w:keepNext w:val="0"/>
        <w:pageBreakBefore w:val="0"/>
        <w:spacing w:line="360" w:lineRule="auto"/>
        <w:widowControl w:val="off"/>
        <w:rPr>
          <w:rFonts w:hint="eastAsia"/>
          <w:color w:val="auto"/>
          <w:szCs w:val="21"/>
        </w:rPr>
      </w:pPr>
      <w:r>
        <w:rPr>
          <w:rFonts w:hint="eastAsia" w:ascii="宋体" w:hAnsi="宋体"/>
          <w:b/>
          <w:color w:val="auto"/>
          <w:szCs w:val="21"/>
        </w:rPr>
        <w:t xml:space="preserve">（全文完）</w:t>
      </w:r>
      <w:r/>
    </w:p>
    <w:sectPr>
      <w:footnotePr/>
      <w:endnotePr/>
      <w:type w:val="nextPage"/>
      <w:pgSz w:w="11906" w:h="16838" w:orient="portrait"/>
      <w:pgMar w:top="1134" w:right="1133"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ingLiU">
    <w:panose1 w:val="02020500000000000000"/>
  </w:font>
  <w:font w:name="Symbol">
    <w:panose1 w:val="05050102010706020507"/>
  </w:font>
  <w:font w:name="Footlight MT Light">
    <w:panose1 w:val="0204060206030A020304"/>
  </w:font>
  <w:font w:name="Wingdings">
    <w:panose1 w:val="05000000000000000000"/>
  </w:font>
  <w:font w:name="全真中明體">
    <w:panose1 w:val="020B0503020202020204"/>
  </w:font>
  <w:font w:name="Arial Unicode MS">
    <w:panose1 w:val="020B0604020202020204"/>
  </w:font>
  <w:font w:name="DFKai-SB">
    <w:panose1 w:val="03050502040202030202"/>
  </w:font>
  <w:font w:name="楷体">
    <w:panose1 w:val="02010609060101010101"/>
  </w:font>
  <w:font w:name="PMingLiU">
    <w:panose1 w:val="02020500000000000000"/>
  </w:font>
  <w:font w:name="华文细黑">
    <w:panose1 w:val="02010600040101010101"/>
  </w:font>
  <w:font w:name="Cambria">
    <w:panose1 w:val="020405030504060302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楷体_GB2312">
    <w:panose1 w:val="02010609060101010101"/>
  </w:font>
  <w:font w:name="Courier New">
    <w:panose1 w:val="02070309020205020404"/>
  </w:font>
  <w:font w:name="方正仿宋简体">
    <w:panose1 w:val="020B0503020202020204"/>
  </w:font>
  <w:font w:name="Tahoma">
    <w:panose1 w:val="020B060403050404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w:bookmarkStart w:id="96" w:name="OLE_LINK6"/>
    <w:r>
      <w:rPr>
        <w:rFonts w:hint="eastAsia" w:eastAsia="楷体_GB2312"/>
      </w:rPr>
      <w:t xml:space="preserve">第 </w:t>
    </w:r>
    <w:r>
      <w:rPr>
        <w:rFonts w:eastAsia="楷体_GB2312"/>
      </w:rPr>
      <w:fldChar w:fldCharType="begin"/>
    </w:r>
    <w:r>
      <w:rPr>
        <w:rStyle w:val="1119"/>
        <w:rFonts w:eastAsia="楷体_GB2312"/>
      </w:rPr>
      <w:instrText xml:space="preserve"> PAGE </w:instrText>
    </w:r>
    <w:r>
      <w:rPr>
        <w:rFonts w:eastAsia="楷体_GB2312"/>
      </w:rPr>
      <w:fldChar w:fldCharType="separate"/>
    </w:r>
    <w:r>
      <w:rPr>
        <w:rStyle w:val="1119"/>
        <w:rFonts w:eastAsia="楷体_GB2312"/>
      </w:rPr>
      <w:t xml:space="preserve">70</w:t>
    </w:r>
    <w:r>
      <w:rPr>
        <w:rFonts w:eastAsia="楷体_GB2312"/>
      </w:rPr>
      <w:fldChar w:fldCharType="end"/>
    </w:r>
    <w:r>
      <w:rPr>
        <w:rStyle w:val="1119"/>
        <w:rFonts w:hint="eastAsia" w:eastAsia="楷体_GB2312"/>
      </w:rPr>
      <w:t xml:space="preserve"> 页 共 </w:t>
    </w:r>
    <w:r>
      <w:rPr>
        <w:rFonts w:eastAsia="楷体_GB2312"/>
      </w:rPr>
      <w:fldChar w:fldCharType="begin"/>
    </w:r>
    <w:r>
      <w:rPr>
        <w:rStyle w:val="1119"/>
        <w:rFonts w:eastAsia="楷体_GB2312"/>
      </w:rPr>
      <w:instrText xml:space="preserve"> NUMPAGES </w:instrText>
    </w:r>
    <w:r>
      <w:rPr>
        <w:rFonts w:eastAsia="楷体_GB2312"/>
      </w:rPr>
      <w:fldChar w:fldCharType="separate"/>
    </w:r>
    <w:r>
      <w:rPr>
        <w:rStyle w:val="1119"/>
        <w:rFonts w:eastAsia="楷体_GB2312"/>
      </w:rPr>
      <w:t xml:space="preserve">81</w:t>
    </w:r>
    <w:r>
      <w:rPr>
        <w:rFonts w:eastAsia="楷体_GB2312"/>
      </w:rPr>
      <w:fldChar w:fldCharType="end"/>
    </w:r>
    <w:r>
      <w:rPr>
        <w:rStyle w:val="1119"/>
        <w:rFonts w:hint="eastAsia" w:eastAsia="楷体_GB2312"/>
      </w:rPr>
      <w:t xml:space="preserve"> 页</w:t>
    </w:r>
    <w:bookmarkEnd w:id="96"/>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29</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rPr>
        <w:rFonts w:hint="eastAsia" w:eastAsia="宋体"/>
        <w:lang w:eastAsia="zh-CN"/>
      </w:rPr>
    </w:pPr>
    <w:r>
      <w:rPr>
        <w:rFonts w:hint="eastAsia" w:ascii="宋体" w:hAnsi="宋体"/>
      </w:rPr>
      <w:t xml:space="preserve">编号：</w:t>
    </w:r>
    <w:r>
      <w:rPr>
        <w:rFonts w:hint="eastAsia" w:ascii="宋体" w:hAnsi="宋体"/>
        <w:lang w:eastAsia="zh-CN"/>
      </w:rPr>
      <w:t xml:space="preserve">JSZC-320583-SZLC-T2026-0001  </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rPr>
        <w:rFonts w:hint="eastAsia" w:ascii="宋体" w:hAnsi="宋体"/>
        <w:lang w:val="en-US" w:eastAsia="zh-CN"/>
      </w:rPr>
      <w:t xml:space="preserve">     </w:t>
    </w:r>
    <w:r>
      <w:rPr>
        <w:rFonts w:hint="eastAsia" w:ascii="宋体" w:hAnsi="宋体"/>
        <w:lang w:eastAsia="zh-CN"/>
      </w:rPr>
      <w:t xml:space="preserve">苏州立诚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Fonts w:hint="eastAsia" w:eastAsia="宋体"/>
        <w:lang w:eastAsia="zh-CN"/>
      </w:rPr>
    </w:pPr>
    <w:r/>
    <w:bookmarkStart w:id="95" w:name="OLE_LINK5"/>
    <w:r>
      <w:rPr>
        <w:rFonts w:hint="eastAsia" w:ascii="宋体" w:hAnsi="宋体"/>
      </w:rPr>
      <w:t xml:space="preserve">编号：</w:t>
    </w:r>
    <w:r>
      <w:rPr>
        <w:rFonts w:hint="eastAsia" w:ascii="宋体" w:hAnsi="宋体"/>
        <w:lang w:eastAsia="zh-CN"/>
      </w:rPr>
      <w:t xml:space="preserve">JSZC-320583-SZLC-T2026-0001</w:t>
    </w:r>
    <w:r>
      <w:rPr>
        <w:rFonts w:hint="eastAsia" w:ascii="宋体" w:hAnsi="宋体"/>
      </w:rPr>
      <w:t xml:space="preserve">                                                            </w:t>
    </w:r>
    <w:bookmarkEnd w:id="95"/>
    <w:r>
      <w:rPr>
        <w:rFonts w:hint="eastAsia" w:ascii="宋体" w:hAnsi="宋体"/>
        <w:lang w:eastAsia="zh-CN"/>
      </w:rPr>
      <w:t xml:space="preserve">苏州立诚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Fonts w:hint="eastAsia" w:eastAsia="宋体"/>
        <w:lang w:eastAsia="zh-CN"/>
      </w:rPr>
    </w:pPr>
    <w:r>
      <w:rPr>
        <w:rFonts w:hint="eastAsia" w:ascii="宋体" w:hAnsi="宋体"/>
      </w:rPr>
      <w:t xml:space="preserve">编号：</w:t>
    </w:r>
    <w:r>
      <w:rPr>
        <w:rFonts w:hint="eastAsia" w:ascii="宋体" w:hAnsi="宋体"/>
        <w:lang w:eastAsia="zh-CN"/>
      </w:rPr>
      <w:t xml:space="preserve">JSZC-320583-SZLC-T2026-0001</w:t>
    </w:r>
    <w:r>
      <w:rPr>
        <w:rFonts w:hint="eastAsia" w:ascii="宋体" w:hAnsi="宋体"/>
      </w:rPr>
      <w:tab/>
    </w:r>
    <w:r>
      <w:rPr>
        <w:rFonts w:hint="eastAsia" w:ascii="宋体" w:hAnsi="宋体"/>
      </w:rPr>
      <w:t xml:space="preserve">                                                                  </w:t>
    </w:r>
    <w:r>
      <w:rPr>
        <w:rFonts w:hint="eastAsia" w:ascii="宋体" w:hAnsi="宋体"/>
        <w:lang w:eastAsia="zh-CN"/>
      </w:rPr>
      <w:t xml:space="preserve">苏州立诚</w:t>
    </w:r>
    <w:r/>
  </w:p>
  <w:p>
    <w:pPr>
      <w:pStyle w:val="10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1、"/>
      <w:lvlJc w:val="left"/>
      <w:pPr>
        <w:ind w:left="872" w:hanging="450"/>
      </w:pPr>
      <w:rPr>
        <w:lang w:val="en-US"/>
      </w:rPr>
    </w:lvl>
    <w:lvl w:ilvl="1">
      <w:start w:val="1"/>
      <w:numFmt w:val="decimal"/>
      <w:isLgl w:val="false"/>
      <w:suff w:val="tab"/>
      <w:lvlText w:val="%2."/>
      <w:lvlJc w:val="left"/>
      <w:pPr>
        <w:ind w:left="1262" w:hanging="420"/>
      </w:pPr>
      <w:rPr>
        <w:rFonts w:hint="eastAsia"/>
        <w:lang w:eastAsia="zh-CN"/>
      </w:r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4"/>
      <w:numFmt w:val="japaneseCounting"/>
      <w:isLgl w:val="false"/>
      <w:suff w:val="tab"/>
      <w:lvlText w:val="（%1）"/>
      <w:lvlJc w:val="left"/>
      <w:pPr>
        <w:ind w:left="1142" w:hanging="720"/>
      </w:p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decimal"/>
      <w:isLgl w:val="false"/>
      <w:suff w:val="tab"/>
      <w:lvlText w:val="%1"/>
      <w:lvlJc w:val="left"/>
      <w:pPr>
        <w:ind w:left="432" w:hanging="632"/>
        <w:tabs>
          <w:tab w:val="left" w:pos="432" w:leader="none"/>
        </w:tabs>
      </w:pPr>
      <w:rPr>
        <w:rFonts w:ascii="Times New Roman" w:hAnsi="Times New Roman" w:eastAsia="宋体"/>
        <w:b/>
        <w:i w:val="0"/>
        <w:spacing w:val="8"/>
        <w:sz w:val="32"/>
        <w:szCs w:val="32"/>
      </w:rPr>
    </w:lvl>
    <w:lvl w:ilvl="1">
      <w:start w:val="1"/>
      <w:numFmt w:val="decimal"/>
      <w:pStyle w:val="1233"/>
      <w:isLgl w:val="false"/>
      <w:suff w:val="tab"/>
      <w:lvlText w:val="%1.%2"/>
      <w:lvlJc w:val="left"/>
      <w:pPr>
        <w:ind w:left="431" w:hanging="431"/>
        <w:tabs>
          <w:tab w:val="left" w:pos="431" w:leader="none"/>
        </w:tabs>
      </w:pPr>
      <w:rPr>
        <w:rFonts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ascii="Times New Roman" w:hAnsi="Times New Roman" w:eastAsia="宋体"/>
        <w:b/>
        <w:i w:val="0"/>
        <w:sz w:val="24"/>
        <w:szCs w:val="24"/>
      </w:rPr>
    </w:lvl>
    <w:lvl w:ilvl="3">
      <w:start w:val="1"/>
      <w:numFmt w:val="decimal"/>
      <w:pStyle w:val="1215"/>
      <w:isLgl w:val="false"/>
      <w:suff w:val="tab"/>
      <w:lvlText w:val="%1.%2.%3.%4"/>
      <w:lvlJc w:val="left"/>
      <w:pPr>
        <w:ind w:left="0" w:firstLine="0"/>
        <w:tabs>
          <w:tab w:val="left" w:pos="0" w:leader="none"/>
        </w:tabs>
      </w:pPr>
      <w:rPr>
        <w:rFonts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82" w:hanging="315"/>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5"/>
      <w:numFmt w:val="chineseCounting"/>
      <w:isLgl w:val="false"/>
      <w:suff w:val="nothing"/>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2"/>
      </w:pPr>
      <w:rPr>
        <w:color w:val="000000"/>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2"/>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default="1">
    <w:name w:val="Normal"/>
    <w:next w:val="870"/>
    <w:link w:val="13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name w:val="Heading 1"/>
    <w:basedOn w:val="858"/>
    <w:next w:val="858"/>
    <w:link w:val="895"/>
    <w:uiPriority w:val="9"/>
    <w:qFormat/>
    <w:pPr>
      <w:keepLines/>
      <w:keepNext/>
      <w:spacing w:before="480" w:after="200"/>
      <w:outlineLvl w:val="0"/>
    </w:pPr>
    <w:rPr>
      <w:rFonts w:ascii="Arial" w:hAnsi="Arial" w:eastAsia="Arial" w:cs="Arial"/>
      <w:sz w:val="40"/>
      <w:szCs w:val="40"/>
    </w:rPr>
  </w:style>
  <w:style w:type="paragraph" w:styleId="860">
    <w:name w:val="Heading 2"/>
    <w:basedOn w:val="858"/>
    <w:next w:val="858"/>
    <w:link w:val="896"/>
    <w:uiPriority w:val="9"/>
    <w:unhideWhenUsed/>
    <w:qFormat/>
    <w:pPr>
      <w:keepLines/>
      <w:keepNext/>
      <w:spacing w:before="360" w:after="200"/>
      <w:outlineLvl w:val="1"/>
    </w:pPr>
    <w:rPr>
      <w:rFonts w:ascii="Arial" w:hAnsi="Arial" w:eastAsia="Arial" w:cs="Arial"/>
      <w:sz w:val="34"/>
    </w:rPr>
  </w:style>
  <w:style w:type="paragraph" w:styleId="861">
    <w:name w:val="Heading 3"/>
    <w:basedOn w:val="858"/>
    <w:next w:val="858"/>
    <w:link w:val="897"/>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link w:val="898"/>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899"/>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00"/>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01"/>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02"/>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03"/>
    <w:uiPriority w:val="9"/>
    <w:unhideWhenUsed/>
    <w:qFormat/>
    <w:pPr>
      <w:keepLines/>
      <w:keepNext/>
      <w:spacing w:before="320" w:after="200"/>
      <w:outlineLvl w:val="8"/>
    </w:pPr>
    <w:rPr>
      <w:rFonts w:ascii="Arial" w:hAnsi="Arial" w:eastAsia="Arial" w:cs="Arial"/>
      <w:i/>
      <w:iCs/>
      <w:sz w:val="21"/>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index 4"/>
    <w:basedOn w:val="858"/>
    <w:next w:val="858"/>
    <w:uiPriority w:val="0"/>
    <w:qFormat/>
    <w:pPr>
      <w:ind w:left="600"/>
    </w:pPr>
  </w:style>
  <w:style w:type="paragraph" w:styleId="871">
    <w:name w:val="toc 7"/>
    <w:basedOn w:val="858"/>
    <w:next w:val="858"/>
    <w:uiPriority w:val="39"/>
    <w:unhideWhenUsed/>
    <w:qFormat/>
    <w:pPr>
      <w:ind w:left="1701" w:right="0" w:firstLine="0"/>
      <w:spacing w:after="57"/>
    </w:pPr>
  </w:style>
  <w:style w:type="paragraph" w:styleId="872">
    <w:name w:val="Caption"/>
    <w:basedOn w:val="858"/>
    <w:next w:val="858"/>
    <w:uiPriority w:val="35"/>
    <w:semiHidden/>
    <w:unhideWhenUsed/>
    <w:qFormat/>
    <w:pPr>
      <w:spacing w:line="276" w:lineRule="auto"/>
    </w:pPr>
    <w:rPr>
      <w:b/>
      <w:bCs/>
      <w:color w:val="4f81bd" w:themeColor="accent1"/>
      <w:sz w:val="18"/>
      <w:szCs w:val="18"/>
    </w:rPr>
  </w:style>
  <w:style w:type="paragraph" w:styleId="873">
    <w:name w:val="Body Text Indent"/>
    <w:basedOn w:val="858"/>
    <w:uiPriority w:val="0"/>
    <w:qFormat/>
    <w:pPr>
      <w:ind w:left="570"/>
      <w:spacing w:line="520" w:lineRule="exact"/>
    </w:pPr>
    <w:rPr>
      <w:rFonts w:ascii="方正仿宋简体" w:hAnsi="创艺简仿宋" w:eastAsia="方正仿宋简体"/>
      <w:sz w:val="24"/>
      <w:szCs w:val="20"/>
    </w:rPr>
  </w:style>
  <w:style w:type="paragraph" w:styleId="874">
    <w:name w:val="toc 5"/>
    <w:basedOn w:val="858"/>
    <w:next w:val="858"/>
    <w:uiPriority w:val="39"/>
    <w:unhideWhenUsed/>
    <w:qFormat/>
    <w:pPr>
      <w:ind w:left="1134" w:right="0" w:firstLine="0"/>
      <w:spacing w:after="57"/>
    </w:pPr>
  </w:style>
  <w:style w:type="paragraph" w:styleId="875">
    <w:name w:val="toc 3"/>
    <w:basedOn w:val="858"/>
    <w:next w:val="858"/>
    <w:uiPriority w:val="39"/>
    <w:unhideWhenUsed/>
    <w:qFormat/>
    <w:pPr>
      <w:ind w:left="567" w:right="0" w:firstLine="0"/>
      <w:spacing w:after="57"/>
    </w:pPr>
  </w:style>
  <w:style w:type="paragraph" w:styleId="876">
    <w:name w:val="Plain Text"/>
    <w:basedOn w:val="858"/>
    <w:uiPriority w:val="0"/>
    <w:qFormat/>
    <w:rPr>
      <w:rFonts w:ascii="宋体" w:hAnsi="Courier New" w:eastAsia="楷体_GB2312"/>
      <w:sz w:val="26"/>
      <w:szCs w:val="20"/>
    </w:rPr>
  </w:style>
  <w:style w:type="paragraph" w:styleId="877">
    <w:name w:val="toc 8"/>
    <w:basedOn w:val="858"/>
    <w:next w:val="858"/>
    <w:uiPriority w:val="39"/>
    <w:unhideWhenUsed/>
    <w:qFormat/>
    <w:pPr>
      <w:ind w:left="1984" w:right="0" w:firstLine="0"/>
      <w:spacing w:after="57"/>
    </w:pPr>
  </w:style>
  <w:style w:type="paragraph" w:styleId="878">
    <w:name w:val="endnote text"/>
    <w:basedOn w:val="858"/>
    <w:link w:val="1040"/>
    <w:uiPriority w:val="99"/>
    <w:semiHidden/>
    <w:unhideWhenUsed/>
    <w:qFormat/>
    <w:pPr>
      <w:spacing w:after="0" w:line="240" w:lineRule="auto"/>
    </w:pPr>
    <w:rPr>
      <w:sz w:val="20"/>
    </w:rPr>
  </w:style>
  <w:style w:type="paragraph" w:styleId="879">
    <w:name w:val="Footer"/>
    <w:basedOn w:val="858"/>
    <w:link w:val="913"/>
    <w:uiPriority w:val="99"/>
    <w:unhideWhenUsed/>
    <w:qFormat/>
    <w:pPr>
      <w:spacing w:after="0" w:line="240" w:lineRule="auto"/>
      <w:tabs>
        <w:tab w:val="center" w:pos="7143" w:leader="none"/>
        <w:tab w:val="right" w:pos="14287" w:leader="none"/>
      </w:tabs>
    </w:pPr>
  </w:style>
  <w:style w:type="paragraph" w:styleId="880">
    <w:name w:val="Header"/>
    <w:basedOn w:val="858"/>
    <w:link w:val="911"/>
    <w:uiPriority w:val="99"/>
    <w:unhideWhenUsed/>
    <w:qFormat/>
    <w:pPr>
      <w:spacing w:after="0" w:line="240" w:lineRule="auto"/>
      <w:tabs>
        <w:tab w:val="center" w:pos="7143" w:leader="none"/>
        <w:tab w:val="right" w:pos="14287" w:leader="none"/>
      </w:tabs>
    </w:pPr>
  </w:style>
  <w:style w:type="paragraph" w:styleId="881">
    <w:name w:val="toc 1"/>
    <w:basedOn w:val="858"/>
    <w:next w:val="858"/>
    <w:uiPriority w:val="39"/>
    <w:unhideWhenUsed/>
    <w:qFormat/>
    <w:pPr>
      <w:ind w:left="0" w:right="0" w:firstLine="0"/>
      <w:spacing w:after="57"/>
    </w:pPr>
  </w:style>
  <w:style w:type="paragraph" w:styleId="882">
    <w:name w:val="toc 4"/>
    <w:basedOn w:val="858"/>
    <w:next w:val="858"/>
    <w:uiPriority w:val="39"/>
    <w:unhideWhenUsed/>
    <w:qFormat/>
    <w:pPr>
      <w:ind w:left="850" w:right="0" w:firstLine="0"/>
      <w:spacing w:after="57"/>
    </w:pPr>
  </w:style>
  <w:style w:type="paragraph" w:styleId="883">
    <w:name w:val="Subtitle"/>
    <w:basedOn w:val="858"/>
    <w:next w:val="858"/>
    <w:link w:val="906"/>
    <w:uiPriority w:val="11"/>
    <w:qFormat/>
    <w:pPr>
      <w:spacing w:before="200" w:after="200"/>
    </w:pPr>
    <w:rPr>
      <w:sz w:val="24"/>
      <w:szCs w:val="24"/>
    </w:rPr>
  </w:style>
  <w:style w:type="paragraph" w:styleId="884">
    <w:name w:val="footnote text"/>
    <w:basedOn w:val="858"/>
    <w:link w:val="1039"/>
    <w:uiPriority w:val="99"/>
    <w:semiHidden/>
    <w:unhideWhenUsed/>
    <w:qFormat/>
    <w:pPr>
      <w:spacing w:after="40" w:line="240" w:lineRule="auto"/>
    </w:pPr>
    <w:rPr>
      <w:sz w:val="18"/>
    </w:rPr>
  </w:style>
  <w:style w:type="paragraph" w:styleId="885">
    <w:name w:val="toc 6"/>
    <w:basedOn w:val="858"/>
    <w:next w:val="858"/>
    <w:uiPriority w:val="39"/>
    <w:unhideWhenUsed/>
    <w:qFormat/>
    <w:pPr>
      <w:ind w:left="1417" w:right="0" w:firstLine="0"/>
      <w:spacing w:after="57"/>
    </w:pPr>
  </w:style>
  <w:style w:type="paragraph" w:styleId="886">
    <w:name w:val="table of figures"/>
    <w:basedOn w:val="858"/>
    <w:next w:val="858"/>
    <w:uiPriority w:val="99"/>
    <w:unhideWhenUsed/>
    <w:qFormat/>
    <w:pPr>
      <w:spacing w:after="0" w:afterAutospacing="0"/>
    </w:pPr>
  </w:style>
  <w:style w:type="paragraph" w:styleId="887">
    <w:name w:val="toc 2"/>
    <w:basedOn w:val="858"/>
    <w:next w:val="858"/>
    <w:uiPriority w:val="39"/>
    <w:unhideWhenUsed/>
    <w:qFormat/>
    <w:pPr>
      <w:ind w:left="283" w:right="0" w:firstLine="0"/>
      <w:spacing w:after="57"/>
    </w:pPr>
  </w:style>
  <w:style w:type="paragraph" w:styleId="888">
    <w:name w:val="toc 9"/>
    <w:basedOn w:val="858"/>
    <w:next w:val="858"/>
    <w:uiPriority w:val="39"/>
    <w:unhideWhenUsed/>
    <w:qFormat/>
    <w:pPr>
      <w:ind w:left="2268" w:right="0" w:firstLine="0"/>
      <w:spacing w:after="57"/>
    </w:pPr>
  </w:style>
  <w:style w:type="paragraph" w:styleId="889">
    <w:name w:val="Title"/>
    <w:basedOn w:val="890"/>
    <w:next w:val="890"/>
    <w:uiPriority w:val="0"/>
    <w:qFormat/>
    <w:pPr>
      <w:spacing w:before="100" w:beforeAutospacing="1"/>
      <w:tabs>
        <w:tab w:val="left" w:pos="851" w:leader="none"/>
      </w:tabs>
    </w:pPr>
    <w:rPr>
      <w:b/>
      <w:bCs/>
    </w:rPr>
  </w:style>
  <w:style w:type="paragraph" w:styleId="890" w:customStyle="1">
    <w:name w:val="cntrt"/>
    <w:basedOn w:val="858"/>
    <w:uiPriority w:val="0"/>
    <w:qFormat/>
    <w:pPr>
      <w:jc w:val="left"/>
      <w:widowControl/>
    </w:pPr>
    <w:rPr>
      <w:rFonts w:ascii="Arial" w:hAnsi="Arial" w:cs="Arial"/>
      <w:sz w:val="20"/>
      <w:szCs w:val="20"/>
      <w:lang w:val="en-AU"/>
    </w:rPr>
  </w:style>
  <w:style w:type="table" w:styleId="8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endnote reference"/>
    <w:uiPriority w:val="99"/>
    <w:semiHidden/>
    <w:unhideWhenUsed/>
    <w:qFormat/>
    <w:rPr>
      <w:vertAlign w:val="superscript"/>
    </w:rPr>
  </w:style>
  <w:style w:type="character" w:styleId="893">
    <w:name w:val="Hyperlink"/>
    <w:uiPriority w:val="99"/>
    <w:unhideWhenUsed/>
    <w:qFormat/>
    <w:rPr>
      <w:color w:val="0000ff" w:themeColor="hyperlink"/>
      <w:u w:val="single"/>
    </w:rPr>
  </w:style>
  <w:style w:type="character" w:styleId="894">
    <w:name w:val="footnote reference"/>
    <w:uiPriority w:val="99"/>
    <w:unhideWhenUsed/>
    <w:qFormat/>
    <w:rPr>
      <w:vertAlign w:val="superscript"/>
    </w:rPr>
  </w:style>
  <w:style w:type="character" w:styleId="895" w:customStyle="1">
    <w:name w:val="Heading 1 Char"/>
    <w:link w:val="859"/>
    <w:uiPriority w:val="9"/>
    <w:qFormat/>
    <w:rPr>
      <w:rFonts w:ascii="Arial" w:hAnsi="Arial" w:eastAsia="Arial" w:cs="Arial"/>
      <w:sz w:val="40"/>
      <w:szCs w:val="40"/>
    </w:rPr>
  </w:style>
  <w:style w:type="character" w:styleId="896" w:customStyle="1">
    <w:name w:val="Heading 2 Char"/>
    <w:link w:val="860"/>
    <w:uiPriority w:val="9"/>
    <w:qFormat/>
    <w:rPr>
      <w:rFonts w:ascii="Arial" w:hAnsi="Arial" w:eastAsia="Arial" w:cs="Arial"/>
      <w:sz w:val="34"/>
    </w:rPr>
  </w:style>
  <w:style w:type="character" w:styleId="897" w:customStyle="1">
    <w:name w:val="Heading 3 Char"/>
    <w:link w:val="861"/>
    <w:uiPriority w:val="9"/>
    <w:qFormat/>
    <w:rPr>
      <w:rFonts w:ascii="Arial" w:hAnsi="Arial" w:eastAsia="Arial" w:cs="Arial"/>
      <w:sz w:val="30"/>
      <w:szCs w:val="30"/>
    </w:rPr>
  </w:style>
  <w:style w:type="character" w:styleId="898" w:customStyle="1">
    <w:name w:val="Heading 4 Char"/>
    <w:link w:val="862"/>
    <w:uiPriority w:val="9"/>
    <w:qFormat/>
    <w:rPr>
      <w:rFonts w:ascii="Arial" w:hAnsi="Arial" w:eastAsia="Arial" w:cs="Arial"/>
      <w:b/>
      <w:bCs/>
      <w:sz w:val="26"/>
      <w:szCs w:val="26"/>
    </w:rPr>
  </w:style>
  <w:style w:type="character" w:styleId="899" w:customStyle="1">
    <w:name w:val="Heading 5 Char"/>
    <w:link w:val="863"/>
    <w:uiPriority w:val="9"/>
    <w:qFormat/>
    <w:rPr>
      <w:rFonts w:ascii="Arial" w:hAnsi="Arial" w:eastAsia="Arial" w:cs="Arial"/>
      <w:b/>
      <w:bCs/>
      <w:sz w:val="24"/>
      <w:szCs w:val="24"/>
    </w:rPr>
  </w:style>
  <w:style w:type="character" w:styleId="900" w:customStyle="1">
    <w:name w:val="Heading 6 Char"/>
    <w:link w:val="864"/>
    <w:uiPriority w:val="9"/>
    <w:qFormat/>
    <w:rPr>
      <w:rFonts w:ascii="Arial" w:hAnsi="Arial" w:eastAsia="Arial" w:cs="Arial"/>
      <w:b/>
      <w:bCs/>
      <w:sz w:val="22"/>
      <w:szCs w:val="22"/>
    </w:rPr>
  </w:style>
  <w:style w:type="character" w:styleId="901" w:customStyle="1">
    <w:name w:val="Heading 7 Char"/>
    <w:link w:val="865"/>
    <w:uiPriority w:val="9"/>
    <w:qFormat/>
    <w:rPr>
      <w:rFonts w:ascii="Arial" w:hAnsi="Arial" w:eastAsia="Arial" w:cs="Arial"/>
      <w:b/>
      <w:bCs/>
      <w:i/>
      <w:iCs/>
      <w:sz w:val="22"/>
      <w:szCs w:val="22"/>
    </w:rPr>
  </w:style>
  <w:style w:type="character" w:styleId="902" w:customStyle="1">
    <w:name w:val="Heading 8 Char"/>
    <w:link w:val="866"/>
    <w:uiPriority w:val="9"/>
    <w:qFormat/>
    <w:rPr>
      <w:rFonts w:ascii="Arial" w:hAnsi="Arial" w:eastAsia="Arial" w:cs="Arial"/>
      <w:i/>
      <w:iCs/>
      <w:sz w:val="22"/>
      <w:szCs w:val="22"/>
    </w:rPr>
  </w:style>
  <w:style w:type="character" w:styleId="903" w:customStyle="1">
    <w:name w:val="Heading 9 Char"/>
    <w:link w:val="867"/>
    <w:uiPriority w:val="9"/>
    <w:qFormat/>
    <w:rPr>
      <w:rFonts w:ascii="Arial" w:hAnsi="Arial" w:eastAsia="Arial" w:cs="Arial"/>
      <w:i/>
      <w:iCs/>
      <w:sz w:val="21"/>
      <w:szCs w:val="21"/>
    </w:rPr>
  </w:style>
  <w:style w:type="paragraph" w:styleId="904">
    <w:name w:val="No Spacing"/>
    <w:uiPriority w:val="1"/>
    <w:qFormat/>
    <w:pPr>
      <w:spacing w:before="0" w:after="0" w:line="240" w:lineRule="auto"/>
    </w:pPr>
    <w:rPr>
      <w:rFonts w:hint="default" w:ascii="Times New Roman" w:hAnsi="Times New Roman" w:eastAsia="宋体" w:cs="Times New Roman"/>
    </w:rPr>
  </w:style>
  <w:style w:type="character" w:styleId="905" w:customStyle="1">
    <w:name w:val="Title Char"/>
    <w:uiPriority w:val="10"/>
    <w:qFormat/>
    <w:rPr>
      <w:sz w:val="48"/>
      <w:szCs w:val="48"/>
    </w:rPr>
  </w:style>
  <w:style w:type="character" w:styleId="906" w:customStyle="1">
    <w:name w:val="Subtitle Char"/>
    <w:link w:val="883"/>
    <w:uiPriority w:val="11"/>
    <w:qFormat/>
    <w:rPr>
      <w:sz w:val="24"/>
      <w:szCs w:val="24"/>
    </w:rPr>
  </w:style>
  <w:style w:type="paragraph" w:styleId="907">
    <w:name w:val="Quote"/>
    <w:basedOn w:val="858"/>
    <w:next w:val="858"/>
    <w:link w:val="908"/>
    <w:uiPriority w:val="29"/>
    <w:qFormat/>
    <w:pPr>
      <w:ind w:left="720" w:right="720"/>
    </w:pPr>
    <w:rPr>
      <w:i/>
    </w:rPr>
  </w:style>
  <w:style w:type="character" w:styleId="908" w:customStyle="1">
    <w:name w:val="Quote Char"/>
    <w:link w:val="907"/>
    <w:uiPriority w:val="29"/>
    <w:qFormat/>
    <w:rPr>
      <w:i/>
    </w:rPr>
  </w:style>
  <w:style w:type="paragraph" w:styleId="909">
    <w:name w:val="Intense Quote"/>
    <w:basedOn w:val="858"/>
    <w:next w:val="858"/>
    <w:link w:val="9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Intense Quote Char"/>
    <w:link w:val="909"/>
    <w:uiPriority w:val="30"/>
    <w:qFormat/>
    <w:rPr>
      <w:i/>
    </w:rPr>
  </w:style>
  <w:style w:type="character" w:styleId="911" w:customStyle="1">
    <w:name w:val="Header Char"/>
    <w:link w:val="880"/>
    <w:uiPriority w:val="99"/>
    <w:qFormat/>
  </w:style>
  <w:style w:type="character" w:styleId="912" w:customStyle="1">
    <w:name w:val="Footer Char"/>
    <w:link w:val="879"/>
    <w:uiPriority w:val="99"/>
    <w:qFormat/>
  </w:style>
  <w:style w:type="character" w:styleId="913" w:customStyle="1">
    <w:name w:val="Caption Char"/>
    <w:link w:val="879"/>
    <w:uiPriority w:val="99"/>
    <w:qFormat/>
  </w:style>
  <w:style w:type="table" w:styleId="9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9" w:customStyle="1">
    <w:name w:val="Footnote Text Char"/>
    <w:link w:val="884"/>
    <w:uiPriority w:val="99"/>
    <w:qFormat/>
    <w:rPr>
      <w:sz w:val="18"/>
    </w:rPr>
  </w:style>
  <w:style w:type="character" w:styleId="1040" w:customStyle="1">
    <w:name w:val="Endnote Text Char"/>
    <w:link w:val="878"/>
    <w:uiPriority w:val="99"/>
    <w:qFormat/>
    <w:rPr>
      <w:sz w:val="20"/>
    </w:rPr>
  </w:style>
  <w:style w:type="paragraph" w:styleId="1041" w:customStyle="1">
    <w:name w:val="TOC Heading"/>
    <w:uiPriority w:val="39"/>
    <w:unhideWhenUsed/>
    <w:qFormat/>
    <w:rPr>
      <w:rFonts w:hint="default" w:ascii="Times New Roman" w:hAnsi="Times New Roman" w:eastAsia="宋体" w:cs="Times New Roman"/>
    </w:rPr>
  </w:style>
  <w:style w:type="paragraph" w:styleId="1042" w:customStyle="1">
    <w:name w:val="标题 11"/>
    <w:basedOn w:val="858"/>
    <w:next w:val="858"/>
    <w:link w:val="1053"/>
    <w:uiPriority w:val="0"/>
    <w:qFormat/>
    <w:pPr>
      <w:jc w:val="center"/>
      <w:keepNext/>
      <w:spacing w:line="300" w:lineRule="auto"/>
      <w:outlineLvl w:val="0"/>
    </w:pPr>
    <w:rPr>
      <w:sz w:val="28"/>
    </w:rPr>
  </w:style>
  <w:style w:type="paragraph" w:styleId="1043" w:customStyle="1">
    <w:name w:val="标题 21"/>
    <w:basedOn w:val="858"/>
    <w:next w:val="858"/>
    <w:link w:val="1126"/>
    <w:uiPriority w:val="0"/>
    <w:qFormat/>
    <w:pPr>
      <w:keepLines/>
      <w:keepNext/>
      <w:spacing w:before="260" w:after="260" w:line="416" w:lineRule="auto"/>
      <w:outlineLvl w:val="1"/>
    </w:pPr>
    <w:rPr>
      <w:rFonts w:ascii="Arial" w:hAnsi="Arial" w:eastAsia="黑体"/>
      <w:b/>
      <w:bCs/>
      <w:sz w:val="32"/>
      <w:szCs w:val="32"/>
    </w:rPr>
  </w:style>
  <w:style w:type="paragraph" w:styleId="1044" w:customStyle="1">
    <w:name w:val="标题 31"/>
    <w:basedOn w:val="858"/>
    <w:next w:val="858"/>
    <w:link w:val="1055"/>
    <w:uiPriority w:val="0"/>
    <w:qFormat/>
    <w:pPr>
      <w:keepLines/>
      <w:keepNext/>
      <w:spacing w:before="260" w:after="260" w:line="416" w:lineRule="auto"/>
      <w:outlineLvl w:val="2"/>
    </w:pPr>
    <w:rPr>
      <w:b/>
      <w:bCs/>
      <w:sz w:val="32"/>
      <w:szCs w:val="32"/>
    </w:rPr>
  </w:style>
  <w:style w:type="paragraph" w:styleId="1045" w:customStyle="1">
    <w:name w:val="标题 41"/>
    <w:basedOn w:val="858"/>
    <w:next w:val="858"/>
    <w:link w:val="1056"/>
    <w:uiPriority w:val="0"/>
    <w:qFormat/>
    <w:pPr>
      <w:keepLines/>
      <w:keepNext/>
      <w:spacing w:before="280" w:after="290" w:line="376" w:lineRule="auto"/>
      <w:outlineLvl w:val="3"/>
    </w:pPr>
    <w:rPr>
      <w:rFonts w:ascii="Arial" w:hAnsi="Arial" w:eastAsia="黑体"/>
      <w:b/>
      <w:bCs/>
      <w:sz w:val="28"/>
      <w:szCs w:val="28"/>
    </w:rPr>
  </w:style>
  <w:style w:type="paragraph" w:styleId="1046" w:customStyle="1">
    <w:name w:val="标题 51"/>
    <w:basedOn w:val="858"/>
    <w:next w:val="858"/>
    <w:link w:val="1057"/>
    <w:uiPriority w:val="0"/>
    <w:qFormat/>
    <w:pPr>
      <w:ind w:left="1008" w:hanging="1008"/>
      <w:keepLines/>
      <w:keepNext/>
      <w:spacing w:before="280" w:after="290" w:line="376" w:lineRule="auto"/>
      <w:tabs>
        <w:tab w:val="left" w:pos="1008" w:leader="none"/>
      </w:tabs>
      <w:outlineLvl w:val="4"/>
    </w:pPr>
    <w:rPr>
      <w:rFonts w:ascii="Calibri" w:hAnsi="Calibri"/>
      <w:b/>
      <w:bCs/>
      <w:sz w:val="28"/>
      <w:szCs w:val="28"/>
    </w:rPr>
  </w:style>
  <w:style w:type="paragraph" w:styleId="1047" w:customStyle="1">
    <w:name w:val="标题 61"/>
    <w:basedOn w:val="858"/>
    <w:next w:val="858"/>
    <w:link w:val="1058"/>
    <w:uiPriority w:val="0"/>
    <w:qFormat/>
    <w:pPr>
      <w:ind w:left="1152" w:hanging="1152"/>
      <w:keepLines/>
      <w:keepNext/>
      <w:spacing w:before="240" w:after="64" w:line="320" w:lineRule="auto"/>
      <w:tabs>
        <w:tab w:val="left" w:pos="1152" w:leader="none"/>
      </w:tabs>
      <w:outlineLvl w:val="5"/>
    </w:pPr>
    <w:rPr>
      <w:rFonts w:ascii="Arial" w:hAnsi="Arial" w:eastAsia="黑体"/>
      <w:b/>
      <w:bCs/>
      <w:sz w:val="24"/>
    </w:rPr>
  </w:style>
  <w:style w:type="paragraph" w:styleId="1048" w:customStyle="1">
    <w:name w:val="标题 71"/>
    <w:basedOn w:val="858"/>
    <w:next w:val="858"/>
    <w:link w:val="1059"/>
    <w:uiPriority w:val="0"/>
    <w:qFormat/>
    <w:pPr>
      <w:ind w:left="1296" w:hanging="1296"/>
      <w:keepLines/>
      <w:keepNext/>
      <w:spacing w:before="240" w:after="64" w:line="320" w:lineRule="auto"/>
      <w:tabs>
        <w:tab w:val="left" w:pos="1296" w:leader="none"/>
      </w:tabs>
      <w:outlineLvl w:val="6"/>
    </w:pPr>
    <w:rPr>
      <w:rFonts w:ascii="Calibri" w:hAnsi="Calibri"/>
      <w:b/>
      <w:bCs/>
      <w:sz w:val="24"/>
    </w:rPr>
  </w:style>
  <w:style w:type="paragraph" w:styleId="1049" w:customStyle="1">
    <w:name w:val="标题 81"/>
    <w:basedOn w:val="858"/>
    <w:next w:val="858"/>
    <w:link w:val="1060"/>
    <w:uiPriority w:val="0"/>
    <w:qFormat/>
    <w:pPr>
      <w:ind w:left="1440" w:hanging="1440"/>
      <w:keepLines/>
      <w:keepNext/>
      <w:spacing w:before="240" w:after="64" w:line="320" w:lineRule="auto"/>
      <w:tabs>
        <w:tab w:val="left" w:pos="1440" w:leader="none"/>
      </w:tabs>
      <w:outlineLvl w:val="7"/>
    </w:pPr>
    <w:rPr>
      <w:rFonts w:ascii="Arial" w:hAnsi="Arial" w:eastAsia="黑体"/>
      <w:sz w:val="24"/>
    </w:rPr>
  </w:style>
  <w:style w:type="paragraph" w:styleId="1050" w:customStyle="1">
    <w:name w:val="标题 91"/>
    <w:basedOn w:val="858"/>
    <w:next w:val="858"/>
    <w:link w:val="1061"/>
    <w:uiPriority w:val="0"/>
    <w:qFormat/>
    <w:pPr>
      <w:ind w:left="1584" w:hanging="1584"/>
      <w:keepLines/>
      <w:keepNext/>
      <w:spacing w:before="240" w:after="64" w:line="320" w:lineRule="auto"/>
      <w:tabs>
        <w:tab w:val="left" w:pos="1584" w:leader="none"/>
      </w:tabs>
      <w:outlineLvl w:val="8"/>
    </w:pPr>
    <w:rPr>
      <w:rFonts w:ascii="Arial" w:hAnsi="Arial" w:eastAsia="黑体"/>
      <w:szCs w:val="21"/>
    </w:rPr>
  </w:style>
  <w:style w:type="character" w:styleId="1051" w:customStyle="1">
    <w:name w:val="默认段落字体1"/>
    <w:link w:val="858"/>
    <w:uiPriority w:val="1"/>
    <w:unhideWhenUsed/>
    <w:qFormat/>
  </w:style>
  <w:style w:type="table" w:styleId="1052" w:customStyle="1">
    <w:name w:val="普通表格1"/>
    <w:uiPriority w:val="99"/>
    <w:unhideWhenUsed/>
    <w:qFormat/>
    <w:tblPr/>
  </w:style>
  <w:style w:type="character" w:styleId="1053" w:customStyle="1">
    <w:name w:val="标题 1 Char"/>
    <w:link w:val="1042"/>
    <w:uiPriority w:val="0"/>
    <w:qFormat/>
    <w:rPr>
      <w:sz w:val="28"/>
      <w:szCs w:val="24"/>
    </w:rPr>
  </w:style>
  <w:style w:type="character" w:styleId="1054" w:customStyle="1">
    <w:name w:val="标题 2 Char"/>
    <w:link w:val="1043"/>
    <w:uiPriority w:val="0"/>
    <w:qFormat/>
    <w:rPr>
      <w:rFonts w:ascii="Arial" w:hAnsi="Arial" w:eastAsia="黑体"/>
      <w:b/>
      <w:bCs/>
      <w:sz w:val="32"/>
      <w:szCs w:val="32"/>
    </w:rPr>
  </w:style>
  <w:style w:type="character" w:styleId="1055" w:customStyle="1">
    <w:name w:val="标题 3 Char"/>
    <w:link w:val="1044"/>
    <w:uiPriority w:val="0"/>
    <w:qFormat/>
    <w:rPr>
      <w:b/>
      <w:bCs/>
      <w:sz w:val="32"/>
      <w:szCs w:val="32"/>
    </w:rPr>
  </w:style>
  <w:style w:type="character" w:styleId="1056" w:customStyle="1">
    <w:name w:val="标题 4 Char"/>
    <w:link w:val="1045"/>
    <w:uiPriority w:val="0"/>
    <w:qFormat/>
    <w:rPr>
      <w:rFonts w:ascii="Arial" w:hAnsi="Arial" w:eastAsia="黑体"/>
      <w:b/>
      <w:bCs/>
      <w:sz w:val="28"/>
      <w:szCs w:val="28"/>
    </w:rPr>
  </w:style>
  <w:style w:type="character" w:styleId="1057" w:customStyle="1">
    <w:name w:val="标题 5 Char"/>
    <w:link w:val="1046"/>
    <w:uiPriority w:val="0"/>
    <w:qFormat/>
    <w:rPr>
      <w:rFonts w:ascii="Calibri" w:hAnsi="Calibri"/>
      <w:b/>
      <w:bCs/>
      <w:sz w:val="28"/>
      <w:szCs w:val="28"/>
    </w:rPr>
  </w:style>
  <w:style w:type="character" w:styleId="1058" w:customStyle="1">
    <w:name w:val="标题 6 Char"/>
    <w:link w:val="1047"/>
    <w:uiPriority w:val="0"/>
    <w:qFormat/>
    <w:rPr>
      <w:rFonts w:ascii="Arial" w:hAnsi="Arial" w:eastAsia="黑体"/>
      <w:b/>
      <w:bCs/>
      <w:sz w:val="24"/>
      <w:szCs w:val="24"/>
    </w:rPr>
  </w:style>
  <w:style w:type="character" w:styleId="1059" w:customStyle="1">
    <w:name w:val="标题 7 Char"/>
    <w:link w:val="1048"/>
    <w:uiPriority w:val="0"/>
    <w:qFormat/>
    <w:rPr>
      <w:rFonts w:ascii="Calibri" w:hAnsi="Calibri"/>
      <w:b/>
      <w:bCs/>
      <w:sz w:val="24"/>
      <w:szCs w:val="24"/>
    </w:rPr>
  </w:style>
  <w:style w:type="character" w:styleId="1060" w:customStyle="1">
    <w:name w:val="标题 8 Char"/>
    <w:link w:val="1049"/>
    <w:uiPriority w:val="0"/>
    <w:qFormat/>
    <w:rPr>
      <w:rFonts w:ascii="Arial" w:hAnsi="Arial" w:eastAsia="黑体"/>
      <w:sz w:val="24"/>
      <w:szCs w:val="24"/>
    </w:rPr>
  </w:style>
  <w:style w:type="character" w:styleId="1061" w:customStyle="1">
    <w:name w:val="标题 9 Char"/>
    <w:link w:val="1050"/>
    <w:uiPriority w:val="0"/>
    <w:qFormat/>
    <w:rPr>
      <w:rFonts w:ascii="Arial" w:hAnsi="Arial" w:eastAsia="黑体"/>
      <w:sz w:val="21"/>
      <w:szCs w:val="21"/>
    </w:rPr>
  </w:style>
  <w:style w:type="paragraph" w:styleId="1062" w:customStyle="1">
    <w:name w:val="列表 31"/>
    <w:basedOn w:val="858"/>
    <w:uiPriority w:val="0"/>
    <w:qFormat/>
    <w:pPr>
      <w:ind w:left="1260" w:hanging="420"/>
    </w:pPr>
    <w:rPr>
      <w:rFonts w:ascii="Calibri" w:hAnsi="Calibri"/>
    </w:rPr>
  </w:style>
  <w:style w:type="paragraph" w:styleId="1063" w:customStyle="1">
    <w:name w:val="正文缩进1"/>
    <w:basedOn w:val="858"/>
    <w:link w:val="1064"/>
    <w:uiPriority w:val="99"/>
    <w:qFormat/>
    <w:pPr>
      <w:ind w:firstLine="420"/>
      <w:jc w:val="left"/>
    </w:pPr>
    <w:rPr>
      <w:rFonts w:eastAsia="楷体_GB2312"/>
      <w:sz w:val="24"/>
      <w:szCs w:val="20"/>
    </w:rPr>
  </w:style>
  <w:style w:type="character" w:styleId="1064" w:customStyle="1">
    <w:name w:val="正文缩进 Char"/>
    <w:link w:val="1063"/>
    <w:uiPriority w:val="0"/>
    <w:qFormat/>
    <w:rPr>
      <w:rFonts w:eastAsia="楷体_GB2312"/>
      <w:sz w:val="24"/>
      <w:lang w:val="en-US" w:eastAsia="zh-CN" w:bidi="ar-SA"/>
    </w:rPr>
  </w:style>
  <w:style w:type="paragraph" w:styleId="1065" w:customStyle="1">
    <w:name w:val="题注1"/>
    <w:basedOn w:val="858"/>
    <w:next w:val="858"/>
    <w:uiPriority w:val="0"/>
    <w:qFormat/>
    <w:pPr>
      <w:jc w:val="left"/>
      <w:widowControl/>
    </w:pPr>
    <w:rPr>
      <w:rFonts w:ascii="Cambria" w:hAnsi="Cambria" w:eastAsia="黑体"/>
      <w:sz w:val="20"/>
      <w:szCs w:val="20"/>
    </w:rPr>
  </w:style>
  <w:style w:type="paragraph" w:styleId="1066" w:customStyle="1">
    <w:name w:val="文档结构图1"/>
    <w:basedOn w:val="858"/>
    <w:link w:val="1067"/>
    <w:uiPriority w:val="0"/>
    <w:qFormat/>
    <w:pPr>
      <w:shd w:val="clear" w:color="auto" w:fill="000080"/>
    </w:pPr>
  </w:style>
  <w:style w:type="character" w:styleId="1067" w:customStyle="1">
    <w:name w:val="文档结构图 Char"/>
    <w:link w:val="1066"/>
    <w:uiPriority w:val="0"/>
    <w:qFormat/>
    <w:rPr>
      <w:sz w:val="21"/>
      <w:szCs w:val="24"/>
      <w:shd w:val="clear" w:color="auto" w:fill="000080"/>
    </w:rPr>
  </w:style>
  <w:style w:type="paragraph" w:styleId="1068" w:customStyle="1">
    <w:name w:val="批注文字1"/>
    <w:basedOn w:val="858"/>
    <w:link w:val="1069"/>
    <w:uiPriority w:val="0"/>
    <w:qFormat/>
    <w:pPr>
      <w:jc w:val="left"/>
    </w:pPr>
  </w:style>
  <w:style w:type="character" w:styleId="1069" w:customStyle="1">
    <w:name w:val="批注文字 Char"/>
    <w:link w:val="1068"/>
    <w:uiPriority w:val="0"/>
    <w:qFormat/>
    <w:rPr>
      <w:sz w:val="21"/>
      <w:szCs w:val="24"/>
    </w:rPr>
  </w:style>
  <w:style w:type="paragraph" w:styleId="1070" w:customStyle="1">
    <w:name w:val="正文文本 31"/>
    <w:basedOn w:val="858"/>
    <w:link w:val="1071"/>
    <w:uiPriority w:val="0"/>
    <w:qFormat/>
    <w:pPr>
      <w:jc w:val="left"/>
      <w:widowControl/>
      <w:tabs>
        <w:tab w:val="left" w:pos="720" w:leader="none"/>
      </w:tabs>
    </w:pPr>
    <w:rPr>
      <w:sz w:val="16"/>
      <w:szCs w:val="16"/>
    </w:rPr>
  </w:style>
  <w:style w:type="character" w:styleId="1071" w:customStyle="1">
    <w:name w:val="正文文本 3 Char"/>
    <w:link w:val="1070"/>
    <w:uiPriority w:val="0"/>
    <w:qFormat/>
    <w:rPr>
      <w:rFonts w:ascii="PMingLiU" w:hAnsi="PMingLiU" w:eastAsia="PMingLiU"/>
      <w:sz w:val="24"/>
      <w:lang w:eastAsia="zh-TW"/>
    </w:rPr>
  </w:style>
  <w:style w:type="paragraph" w:styleId="1072" w:customStyle="1">
    <w:name w:val="正文文本1"/>
    <w:basedOn w:val="858"/>
    <w:link w:val="1073"/>
    <w:uiPriority w:val="0"/>
    <w:qFormat/>
    <w:pPr>
      <w:tabs>
        <w:tab w:val="left" w:pos="5250" w:leader="none"/>
      </w:tabs>
    </w:pPr>
    <w:rPr>
      <w:sz w:val="28"/>
    </w:rPr>
  </w:style>
  <w:style w:type="character" w:styleId="1073" w:customStyle="1">
    <w:name w:val="正文文本 Char"/>
    <w:link w:val="1072"/>
    <w:uiPriority w:val="0"/>
    <w:qFormat/>
    <w:rPr>
      <w:sz w:val="28"/>
      <w:szCs w:val="24"/>
    </w:rPr>
  </w:style>
  <w:style w:type="paragraph" w:styleId="1074" w:customStyle="1">
    <w:name w:val="正文文本缩进11"/>
    <w:basedOn w:val="858"/>
    <w:link w:val="1075"/>
    <w:uiPriority w:val="0"/>
    <w:qFormat/>
    <w:pPr>
      <w:ind w:left="570"/>
      <w:spacing w:line="520" w:lineRule="exact"/>
    </w:pPr>
    <w:rPr>
      <w:rFonts w:ascii="方正仿宋简体" w:hAnsi="创艺简仿宋" w:eastAsia="方正仿宋简体"/>
      <w:sz w:val="24"/>
      <w:szCs w:val="20"/>
    </w:rPr>
  </w:style>
  <w:style w:type="character" w:styleId="1075" w:customStyle="1">
    <w:name w:val="正文文本缩进 Char"/>
    <w:link w:val="1074"/>
    <w:uiPriority w:val="0"/>
    <w:qFormat/>
    <w:rPr>
      <w:rFonts w:ascii="方正仿宋简体" w:hAnsi="创艺简仿宋" w:eastAsia="方正仿宋简体"/>
      <w:sz w:val="24"/>
    </w:rPr>
  </w:style>
  <w:style w:type="paragraph" w:styleId="1076" w:customStyle="1">
    <w:name w:val="列表 21"/>
    <w:basedOn w:val="858"/>
    <w:uiPriority w:val="0"/>
    <w:qFormat/>
    <w:pPr>
      <w:ind w:left="840" w:hanging="420"/>
    </w:pPr>
    <w:rPr>
      <w:rFonts w:ascii="Calibri" w:hAnsi="Calibri"/>
    </w:rPr>
  </w:style>
  <w:style w:type="paragraph" w:styleId="1077" w:customStyle="1">
    <w:name w:val="文本块1"/>
    <w:basedOn w:val="858"/>
    <w:uiPriority w:val="0"/>
    <w:qFormat/>
    <w:pPr>
      <w:ind w:left="630" w:right="-609" w:firstLine="420"/>
      <w:spacing w:line="360" w:lineRule="auto"/>
    </w:pPr>
    <w:rPr>
      <w:rFonts w:hint="eastAsia" w:ascii="仿宋_GB2312" w:eastAsia="仿宋_GB2312"/>
      <w:szCs w:val="20"/>
    </w:rPr>
  </w:style>
  <w:style w:type="paragraph" w:styleId="1078" w:customStyle="1">
    <w:name w:val="目录 51"/>
    <w:basedOn w:val="858"/>
    <w:next w:val="858"/>
    <w:uiPriority w:val="0"/>
    <w:qFormat/>
    <w:pPr>
      <w:ind w:left="1680"/>
    </w:pPr>
    <w:rPr>
      <w:rFonts w:ascii="Calibri" w:hAnsi="Calibri"/>
    </w:rPr>
  </w:style>
  <w:style w:type="paragraph" w:styleId="1079" w:customStyle="1">
    <w:name w:val="目录 31"/>
    <w:basedOn w:val="858"/>
    <w:next w:val="858"/>
    <w:uiPriority w:val="0"/>
    <w:qFormat/>
    <w:pPr>
      <w:ind w:left="840"/>
    </w:pPr>
    <w:rPr>
      <w:rFonts w:ascii="Calibri" w:hAnsi="Calibri"/>
    </w:rPr>
  </w:style>
  <w:style w:type="paragraph" w:styleId="1080" w:customStyle="1">
    <w:name w:val="纯文本121"/>
    <w:basedOn w:val="858"/>
    <w:link w:val="1081"/>
    <w:uiPriority w:val="0"/>
    <w:qFormat/>
    <w:rPr>
      <w:rFonts w:ascii="宋体" w:hAnsi="Courier New" w:eastAsia="楷体_GB2312"/>
      <w:sz w:val="28"/>
      <w:szCs w:val="20"/>
    </w:rPr>
  </w:style>
  <w:style w:type="character" w:styleId="1081" w:customStyle="1">
    <w:name w:val="纯文本 Char"/>
    <w:link w:val="1080"/>
    <w:uiPriority w:val="0"/>
    <w:qFormat/>
    <w:rPr>
      <w:rFonts w:ascii="宋体" w:hAnsi="Courier New" w:eastAsia="楷体_GB2312"/>
      <w:sz w:val="28"/>
      <w:lang w:val="en-US" w:eastAsia="zh-CN" w:bidi="ar-SA"/>
    </w:rPr>
  </w:style>
  <w:style w:type="paragraph" w:styleId="1082" w:customStyle="1">
    <w:name w:val="日期1"/>
    <w:basedOn w:val="858"/>
    <w:next w:val="858"/>
    <w:link w:val="1083"/>
    <w:uiPriority w:val="0"/>
    <w:qFormat/>
    <w:pPr>
      <w:ind w:left="100"/>
    </w:pPr>
    <w:rPr>
      <w:sz w:val="28"/>
    </w:rPr>
  </w:style>
  <w:style w:type="character" w:styleId="1083" w:customStyle="1">
    <w:name w:val="日期 Char"/>
    <w:link w:val="1082"/>
    <w:uiPriority w:val="0"/>
    <w:qFormat/>
    <w:rPr>
      <w:sz w:val="28"/>
      <w:szCs w:val="24"/>
    </w:rPr>
  </w:style>
  <w:style w:type="paragraph" w:styleId="1084" w:customStyle="1">
    <w:name w:val="正文文本缩进 21"/>
    <w:basedOn w:val="858"/>
    <w:link w:val="1085"/>
    <w:uiPriority w:val="0"/>
    <w:qFormat/>
    <w:pPr>
      <w:ind w:firstLine="570"/>
      <w:spacing w:line="520" w:lineRule="exact"/>
    </w:pPr>
    <w:rPr>
      <w:rFonts w:ascii="方正仿宋简体" w:hAnsi="创艺简仿宋" w:eastAsia="方正仿宋简体"/>
      <w:bCs/>
      <w:sz w:val="24"/>
      <w:szCs w:val="20"/>
    </w:rPr>
  </w:style>
  <w:style w:type="character" w:styleId="1085" w:customStyle="1">
    <w:name w:val="正文文本缩进 2 Char"/>
    <w:link w:val="1084"/>
    <w:uiPriority w:val="0"/>
    <w:qFormat/>
    <w:rPr>
      <w:rFonts w:ascii="方正仿宋简体" w:hAnsi="创艺简仿宋" w:eastAsia="方正仿宋简体"/>
      <w:bCs/>
      <w:sz w:val="24"/>
    </w:rPr>
  </w:style>
  <w:style w:type="paragraph" w:styleId="1086" w:customStyle="1">
    <w:name w:val="批注框文本1"/>
    <w:basedOn w:val="858"/>
    <w:link w:val="1087"/>
    <w:uiPriority w:val="0"/>
    <w:qFormat/>
    <w:rPr>
      <w:sz w:val="18"/>
      <w:szCs w:val="18"/>
    </w:rPr>
  </w:style>
  <w:style w:type="character" w:styleId="1087" w:customStyle="1">
    <w:name w:val="批注框文本 Char"/>
    <w:link w:val="1086"/>
    <w:uiPriority w:val="0"/>
    <w:qFormat/>
    <w:rPr>
      <w:sz w:val="18"/>
      <w:szCs w:val="18"/>
    </w:rPr>
  </w:style>
  <w:style w:type="paragraph" w:styleId="1088" w:customStyle="1">
    <w:name w:val="页脚1"/>
    <w:basedOn w:val="858"/>
    <w:link w:val="1089"/>
    <w:uiPriority w:val="0"/>
    <w:qFormat/>
    <w:pPr>
      <w:jc w:val="left"/>
      <w:tabs>
        <w:tab w:val="center" w:pos="4153" w:leader="none"/>
        <w:tab w:val="right" w:pos="8306" w:leader="none"/>
      </w:tabs>
    </w:pPr>
    <w:rPr>
      <w:sz w:val="18"/>
      <w:szCs w:val="18"/>
    </w:rPr>
  </w:style>
  <w:style w:type="character" w:styleId="1089" w:customStyle="1">
    <w:name w:val="页脚 Char"/>
    <w:link w:val="1088"/>
    <w:uiPriority w:val="0"/>
    <w:qFormat/>
    <w:rPr>
      <w:sz w:val="18"/>
      <w:szCs w:val="18"/>
    </w:rPr>
  </w:style>
  <w:style w:type="paragraph" w:styleId="1090" w:customStyle="1">
    <w:name w:val="页眉1"/>
    <w:basedOn w:val="858"/>
    <w:link w:val="1091"/>
    <w:uiPriority w:val="0"/>
    <w:qFormat/>
    <w:pPr>
      <w:jc w:val="center"/>
      <w:tabs>
        <w:tab w:val="center" w:pos="4153" w:leader="none"/>
        <w:tab w:val="right" w:pos="8306" w:leader="none"/>
      </w:tabs>
      <w:pBdr>
        <w:bottom w:val="single" w:color="000000" w:sz="6" w:space="1"/>
      </w:pBdr>
    </w:pPr>
    <w:rPr>
      <w:sz w:val="18"/>
      <w:szCs w:val="18"/>
    </w:rPr>
  </w:style>
  <w:style w:type="character" w:styleId="1091" w:customStyle="1">
    <w:name w:val="页眉 Char1"/>
    <w:link w:val="1090"/>
    <w:uiPriority w:val="0"/>
    <w:qFormat/>
    <w:rPr>
      <w:sz w:val="18"/>
      <w:szCs w:val="18"/>
    </w:rPr>
  </w:style>
  <w:style w:type="paragraph" w:styleId="1092" w:customStyle="1">
    <w:name w:val="目录 11"/>
    <w:basedOn w:val="858"/>
    <w:next w:val="858"/>
    <w:uiPriority w:val="0"/>
    <w:qFormat/>
    <w:pPr>
      <w:jc w:val="left"/>
      <w:spacing w:line="480" w:lineRule="auto"/>
      <w:tabs>
        <w:tab w:val="right" w:pos="9276" w:leader="dot"/>
      </w:tabs>
    </w:pPr>
    <w:rPr>
      <w:rFonts w:ascii="Calibri" w:hAnsi="Calibri" w:eastAsia="楷体_GB2312"/>
      <w:sz w:val="24"/>
      <w:szCs w:val="20"/>
    </w:rPr>
  </w:style>
  <w:style w:type="paragraph" w:styleId="1093" w:customStyle="1">
    <w:name w:val="列表接续 41"/>
    <w:basedOn w:val="858"/>
    <w:uiPriority w:val="0"/>
    <w:qFormat/>
    <w:pPr>
      <w:ind w:left="1680"/>
      <w:spacing w:after="120"/>
    </w:pPr>
    <w:rPr>
      <w:rFonts w:ascii="Calibri" w:hAnsi="Calibri"/>
    </w:rPr>
  </w:style>
  <w:style w:type="paragraph" w:styleId="1094" w:customStyle="1">
    <w:name w:val="目录 41"/>
    <w:basedOn w:val="858"/>
    <w:next w:val="858"/>
    <w:uiPriority w:val="0"/>
    <w:qFormat/>
    <w:pPr>
      <w:ind w:left="1260"/>
    </w:pPr>
    <w:rPr>
      <w:rFonts w:ascii="Calibri" w:hAnsi="Calibri"/>
    </w:rPr>
  </w:style>
  <w:style w:type="paragraph" w:styleId="1095" w:customStyle="1">
    <w:name w:val="索引标题1"/>
    <w:basedOn w:val="858"/>
    <w:next w:val="1096"/>
    <w:uiPriority w:val="0"/>
    <w:qFormat/>
    <w:rPr>
      <w:rFonts w:ascii="Arial" w:hAnsi="Arial" w:cs="Arial"/>
      <w:b/>
      <w:bCs/>
    </w:rPr>
  </w:style>
  <w:style w:type="paragraph" w:styleId="1096" w:customStyle="1">
    <w:name w:val="索引 11"/>
    <w:basedOn w:val="858"/>
    <w:next w:val="858"/>
    <w:uiPriority w:val="0"/>
    <w:qFormat/>
    <w:rPr>
      <w:rFonts w:ascii="Calibri" w:hAnsi="Calibri"/>
    </w:rPr>
  </w:style>
  <w:style w:type="paragraph" w:styleId="1097" w:customStyle="1">
    <w:name w:val="副标题1"/>
    <w:basedOn w:val="858"/>
    <w:link w:val="1098"/>
    <w:uiPriority w:val="0"/>
    <w:qFormat/>
    <w:pPr>
      <w:jc w:val="left"/>
      <w:spacing w:before="100" w:beforeAutospacing="1" w:after="100" w:afterAutospacing="1"/>
      <w:widowControl/>
    </w:pPr>
    <w:rPr>
      <w:rFonts w:ascii="Cambria" w:hAnsi="Cambria"/>
      <w:b/>
      <w:bCs/>
      <w:sz w:val="32"/>
      <w:szCs w:val="32"/>
    </w:rPr>
  </w:style>
  <w:style w:type="character" w:styleId="1098" w:customStyle="1">
    <w:name w:val="副标题 Char"/>
    <w:link w:val="1097"/>
    <w:uiPriority w:val="0"/>
    <w:qFormat/>
    <w:rPr>
      <w:rFonts w:ascii="宋体" w:hAnsi="宋体" w:cs="宋体"/>
      <w:sz w:val="24"/>
      <w:szCs w:val="24"/>
    </w:rPr>
  </w:style>
  <w:style w:type="paragraph" w:styleId="1099" w:customStyle="1">
    <w:name w:val="正文文本缩进 31"/>
    <w:basedOn w:val="858"/>
    <w:link w:val="1100"/>
    <w:uiPriority w:val="0"/>
    <w:qFormat/>
    <w:pPr>
      <w:ind w:left="420"/>
      <w:spacing w:after="120"/>
    </w:pPr>
    <w:rPr>
      <w:sz w:val="16"/>
      <w:szCs w:val="16"/>
    </w:rPr>
  </w:style>
  <w:style w:type="character" w:styleId="1100" w:customStyle="1">
    <w:name w:val="正文文本缩进 3 Char"/>
    <w:link w:val="1099"/>
    <w:uiPriority w:val="0"/>
    <w:qFormat/>
    <w:rPr>
      <w:sz w:val="16"/>
      <w:szCs w:val="16"/>
    </w:rPr>
  </w:style>
  <w:style w:type="paragraph" w:styleId="1101" w:customStyle="1">
    <w:name w:val="目录 21"/>
    <w:basedOn w:val="858"/>
    <w:next w:val="858"/>
    <w:uiPriority w:val="0"/>
    <w:qFormat/>
    <w:pPr>
      <w:ind w:left="420"/>
    </w:pPr>
    <w:rPr>
      <w:rFonts w:ascii="Calibri" w:hAnsi="Calibri"/>
    </w:rPr>
  </w:style>
  <w:style w:type="paragraph" w:styleId="1102" w:customStyle="1">
    <w:name w:val="目录 91"/>
    <w:basedOn w:val="858"/>
    <w:next w:val="858"/>
    <w:uiPriority w:val="0"/>
    <w:qFormat/>
    <w:pPr>
      <w:ind w:left="3360"/>
    </w:pPr>
    <w:rPr>
      <w:rFonts w:ascii="Calibri" w:hAnsi="Calibri" w:eastAsia="楷体_GB2312"/>
      <w:sz w:val="28"/>
      <w:szCs w:val="20"/>
    </w:rPr>
  </w:style>
  <w:style w:type="paragraph" w:styleId="1103" w:customStyle="1">
    <w:name w:val="正文文本 21"/>
    <w:basedOn w:val="858"/>
    <w:link w:val="1104"/>
    <w:uiPriority w:val="0"/>
    <w:qFormat/>
    <w:pPr>
      <w:spacing w:after="120" w:line="480" w:lineRule="auto"/>
    </w:pPr>
  </w:style>
  <w:style w:type="character" w:styleId="1104" w:customStyle="1">
    <w:name w:val="正文文本 2 Char"/>
    <w:link w:val="1103"/>
    <w:uiPriority w:val="0"/>
    <w:qFormat/>
    <w:rPr>
      <w:sz w:val="21"/>
      <w:szCs w:val="24"/>
    </w:rPr>
  </w:style>
  <w:style w:type="paragraph" w:styleId="1105" w:customStyle="1">
    <w:name w:val="列表接续 21"/>
    <w:basedOn w:val="858"/>
    <w:uiPriority w:val="0"/>
    <w:qFormat/>
    <w:pPr>
      <w:ind w:left="840"/>
      <w:spacing w:after="120"/>
    </w:pPr>
    <w:rPr>
      <w:rFonts w:ascii="Calibri" w:hAnsi="Calibri"/>
    </w:rPr>
  </w:style>
  <w:style w:type="paragraph" w:styleId="1106" w:customStyle="1">
    <w:name w:val="HTML 预设格式1"/>
    <w:basedOn w:val="858"/>
    <w:link w:val="11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07" w:customStyle="1">
    <w:name w:val="HTML 预设格式 Char"/>
    <w:link w:val="1106"/>
    <w:uiPriority w:val="0"/>
    <w:qFormat/>
    <w:rPr>
      <w:rFonts w:ascii="黑体" w:hAnsi="Courier New" w:eastAsia="黑体" w:cs="Courier New"/>
    </w:rPr>
  </w:style>
  <w:style w:type="paragraph" w:styleId="1108" w:customStyle="1">
    <w:name w:val="普通(网站)1"/>
    <w:basedOn w:val="858"/>
    <w:uiPriority w:val="99"/>
    <w:qFormat/>
    <w:rPr>
      <w:sz w:val="18"/>
      <w:szCs w:val="18"/>
    </w:rPr>
  </w:style>
  <w:style w:type="paragraph" w:styleId="1109" w:customStyle="1">
    <w:name w:val="标题1"/>
    <w:basedOn w:val="858"/>
    <w:next w:val="858"/>
    <w:link w:val="1110"/>
    <w:uiPriority w:val="0"/>
    <w:qFormat/>
    <w:pPr>
      <w:jc w:val="center"/>
      <w:spacing w:before="240" w:after="60"/>
      <w:outlineLvl w:val="0"/>
    </w:pPr>
    <w:rPr>
      <w:rFonts w:ascii="Cambria" w:hAnsi="Cambria"/>
      <w:b/>
      <w:bCs/>
      <w:sz w:val="32"/>
      <w:szCs w:val="32"/>
    </w:rPr>
  </w:style>
  <w:style w:type="character" w:styleId="1110" w:customStyle="1">
    <w:name w:val="标题 Char"/>
    <w:link w:val="1109"/>
    <w:uiPriority w:val="0"/>
    <w:qFormat/>
    <w:rPr>
      <w:rFonts w:ascii="Cambria" w:hAnsi="Cambria"/>
      <w:b/>
      <w:bCs/>
      <w:sz w:val="32"/>
      <w:szCs w:val="32"/>
    </w:rPr>
  </w:style>
  <w:style w:type="paragraph" w:styleId="1111" w:customStyle="1">
    <w:name w:val="批注主题1"/>
    <w:basedOn w:val="1068"/>
    <w:next w:val="1068"/>
    <w:link w:val="1112"/>
    <w:uiPriority w:val="0"/>
    <w:qFormat/>
    <w:rPr>
      <w:b/>
      <w:bCs/>
    </w:rPr>
  </w:style>
  <w:style w:type="character" w:styleId="1112" w:customStyle="1">
    <w:name w:val="批注主题 Char"/>
    <w:link w:val="1111"/>
    <w:uiPriority w:val="0"/>
    <w:qFormat/>
    <w:rPr>
      <w:b/>
      <w:bCs/>
      <w:sz w:val="21"/>
      <w:szCs w:val="24"/>
    </w:rPr>
  </w:style>
  <w:style w:type="paragraph" w:styleId="1113" w:customStyle="1">
    <w:name w:val="正文首行缩进1"/>
    <w:basedOn w:val="1072"/>
    <w:link w:val="1114"/>
    <w:uiPriority w:val="0"/>
    <w:qFormat/>
    <w:pPr>
      <w:ind w:firstLine="420"/>
      <w:spacing w:after="120"/>
      <w:tabs>
        <w:tab w:val="clear" w:pos="5250" w:leader="none"/>
      </w:tabs>
    </w:pPr>
    <w:rPr>
      <w:sz w:val="21"/>
    </w:rPr>
  </w:style>
  <w:style w:type="character" w:styleId="1114" w:customStyle="1">
    <w:name w:val="正文首行缩进 Char"/>
    <w:link w:val="1113"/>
    <w:uiPriority w:val="0"/>
    <w:qFormat/>
    <w:rPr>
      <w:rFonts w:ascii="楷体_GB2312" w:eastAsia="楷体_GB2312"/>
      <w:sz w:val="21"/>
      <w:szCs w:val="24"/>
    </w:rPr>
  </w:style>
  <w:style w:type="paragraph" w:styleId="1115" w:customStyle="1">
    <w:name w:val="正文首行缩进 21"/>
    <w:basedOn w:val="1074"/>
    <w:link w:val="1116"/>
    <w:uiPriority w:val="0"/>
    <w:qFormat/>
    <w:pPr>
      <w:ind w:left="420" w:firstLine="420"/>
      <w:spacing w:after="120" w:line="240" w:lineRule="auto"/>
    </w:pPr>
    <w:rPr>
      <w:rFonts w:ascii="Times New Roman" w:hAnsi="Times New Roman" w:eastAsia="宋体"/>
      <w:sz w:val="21"/>
      <w:szCs w:val="24"/>
    </w:rPr>
  </w:style>
  <w:style w:type="character" w:styleId="1116" w:customStyle="1">
    <w:name w:val="正文首行缩进 2 Char"/>
    <w:link w:val="1115"/>
    <w:uiPriority w:val="0"/>
    <w:qFormat/>
    <w:rPr>
      <w:sz w:val="21"/>
      <w:szCs w:val="24"/>
    </w:rPr>
  </w:style>
  <w:style w:type="table" w:styleId="1117" w:customStyle="1">
    <w:name w:val="网格型1"/>
    <w:basedOn w:val="1052"/>
    <w:uiPriority w:val="0"/>
    <w:qFormat/>
    <w:pPr>
      <w:jc w:val="both"/>
      <w:widowControl w:val="off"/>
    </w:pPr>
    <w:tblPr/>
  </w:style>
  <w:style w:type="character" w:styleId="1118" w:customStyle="1">
    <w:name w:val="要点1"/>
    <w:link w:val="858"/>
    <w:uiPriority w:val="0"/>
    <w:qFormat/>
    <w:rPr>
      <w:b/>
      <w:bCs/>
    </w:rPr>
  </w:style>
  <w:style w:type="character" w:styleId="1119" w:customStyle="1">
    <w:name w:val="页码1"/>
    <w:link w:val="858"/>
    <w:uiPriority w:val="0"/>
    <w:qFormat/>
  </w:style>
  <w:style w:type="character" w:styleId="1120" w:customStyle="1">
    <w:name w:val="已访问的超链接11"/>
    <w:link w:val="858"/>
    <w:uiPriority w:val="99"/>
    <w:qFormat/>
    <w:rPr>
      <w:color w:val="800080"/>
      <w:u w:val="single"/>
    </w:rPr>
  </w:style>
  <w:style w:type="character" w:styleId="1121" w:customStyle="1">
    <w:name w:val="强调1"/>
    <w:link w:val="858"/>
    <w:uiPriority w:val="20"/>
    <w:qFormat/>
    <w:rPr>
      <w:i/>
      <w:iCs/>
    </w:rPr>
  </w:style>
  <w:style w:type="character" w:styleId="1122" w:customStyle="1">
    <w:name w:val="行号1"/>
    <w:link w:val="858"/>
    <w:uiPriority w:val="0"/>
    <w:qFormat/>
  </w:style>
  <w:style w:type="character" w:styleId="1123" w:customStyle="1">
    <w:name w:val="HTML 打字机1"/>
    <w:link w:val="858"/>
    <w:uiPriority w:val="0"/>
    <w:qFormat/>
    <w:rPr>
      <w:rFonts w:ascii="黑体" w:hAnsi="Courier New" w:eastAsia="黑体" w:cs="Courier New"/>
      <w:spacing w:val="312"/>
      <w:sz w:val="14"/>
      <w:szCs w:val="14"/>
    </w:rPr>
  </w:style>
  <w:style w:type="character" w:styleId="1124" w:customStyle="1">
    <w:name w:val="超链接1"/>
    <w:link w:val="858"/>
    <w:uiPriority w:val="99"/>
    <w:qFormat/>
    <w:rPr>
      <w:color w:val="0000ff"/>
      <w:u w:val="single"/>
    </w:rPr>
  </w:style>
  <w:style w:type="character" w:styleId="1125" w:customStyle="1">
    <w:name w:val="批注引用1"/>
    <w:link w:val="858"/>
    <w:uiPriority w:val="0"/>
    <w:qFormat/>
    <w:rPr>
      <w:sz w:val="21"/>
      <w:szCs w:val="21"/>
    </w:rPr>
  </w:style>
  <w:style w:type="character" w:styleId="1126" w:customStyle="1">
    <w:name w:val="标题 2 字符"/>
    <w:link w:val="1043"/>
    <w:uiPriority w:val="9"/>
    <w:qFormat/>
    <w:rPr>
      <w:rFonts w:ascii="Arial" w:hAnsi="Arial" w:eastAsia="楷体"/>
      <w:b/>
      <w:sz w:val="32"/>
    </w:rPr>
  </w:style>
  <w:style w:type="paragraph" w:styleId="1127"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128" w:customStyle="1">
    <w:name w:val="正文2"/>
    <w:basedOn w:val="858"/>
    <w:uiPriority w:val="0"/>
    <w:qFormat/>
    <w:pPr>
      <w:ind w:firstLine="420"/>
      <w:spacing w:line="360" w:lineRule="auto"/>
    </w:pPr>
  </w:style>
  <w:style w:type="paragraph" w:styleId="1129" w:customStyle="1">
    <w:name w:val="段"/>
    <w:next w:val="858"/>
    <w:link w:val="1130"/>
    <w:uiPriority w:val="99"/>
    <w:qFormat/>
    <w:pPr>
      <w:ind w:firstLine="200"/>
      <w:jc w:val="both"/>
    </w:pPr>
    <w:rPr>
      <w:rFonts w:hint="default" w:ascii="宋体" w:hAnsi="Times New Roman" w:eastAsia="宋体" w:cs="Times New Roman"/>
      <w:sz w:val="21"/>
      <w:lang w:val="en-US" w:eastAsia="zh-CN" w:bidi="ar-SA"/>
    </w:rPr>
  </w:style>
  <w:style w:type="character" w:styleId="1130" w:customStyle="1">
    <w:name w:val="段 Char"/>
    <w:link w:val="1129"/>
    <w:uiPriority w:val="99"/>
    <w:qFormat/>
    <w:rPr>
      <w:rFonts w:ascii="宋体"/>
      <w:sz w:val="21"/>
    </w:rPr>
  </w:style>
  <w:style w:type="character" w:styleId="1131" w:customStyle="1">
    <w:name w:val="副标题 Char1"/>
    <w:link w:val="858"/>
    <w:uiPriority w:val="0"/>
    <w:qFormat/>
    <w:rPr>
      <w:rFonts w:ascii="Cambria" w:hAnsi="Cambria" w:cs="Times New Roman"/>
      <w:b/>
      <w:bCs/>
      <w:sz w:val="32"/>
      <w:szCs w:val="32"/>
    </w:rPr>
  </w:style>
  <w:style w:type="character" w:styleId="1132" w:customStyle="1">
    <w:name w:val=" Char Char Char Char Char Char Char"/>
    <w:link w:val="1133"/>
    <w:uiPriority w:val="0"/>
    <w:qFormat/>
    <w:rPr>
      <w:sz w:val="24"/>
      <w:szCs w:val="24"/>
    </w:rPr>
  </w:style>
  <w:style w:type="paragraph" w:styleId="1133" w:customStyle="1">
    <w:name w:val=" Char"/>
    <w:basedOn w:val="858"/>
    <w:link w:val="1132"/>
    <w:uiPriority w:val="0"/>
    <w:qFormat/>
    <w:pPr>
      <w:ind w:left="495" w:hanging="495"/>
      <w:tabs>
        <w:tab w:val="left" w:pos="495" w:leader="none"/>
      </w:tabs>
    </w:pPr>
    <w:rPr>
      <w:sz w:val="24"/>
    </w:rPr>
  </w:style>
  <w:style w:type="character" w:styleId="1134" w:customStyle="1">
    <w:name w:val="普通文字 Char Char"/>
    <w:link w:val="858"/>
    <w:uiPriority w:val="0"/>
    <w:qFormat/>
    <w:rPr>
      <w:rFonts w:ascii="宋体" w:hAnsi="Courier New" w:eastAsia="楷体_GB2312"/>
      <w:sz w:val="28"/>
    </w:rPr>
  </w:style>
  <w:style w:type="character" w:styleId="1135" w:customStyle="1">
    <w:name w:val="正文首行缩进 Char1"/>
    <w:link w:val="858"/>
    <w:uiPriority w:val="0"/>
    <w:qFormat/>
    <w:rPr>
      <w:sz w:val="21"/>
      <w:szCs w:val="24"/>
    </w:rPr>
  </w:style>
  <w:style w:type="character" w:styleId="1136" w:customStyle="1">
    <w:name w:val="xiaobiao"/>
    <w:link w:val="858"/>
    <w:uiPriority w:val="0"/>
    <w:qFormat/>
  </w:style>
  <w:style w:type="character" w:styleId="1137" w:customStyle="1">
    <w:name w:val="SC2021"/>
    <w:link w:val="858"/>
    <w:uiPriority w:val="0"/>
    <w:qFormat/>
    <w:rPr>
      <w:rFonts w:cs="宋体"/>
      <w:color w:val="000000"/>
      <w:sz w:val="20"/>
      <w:szCs w:val="20"/>
    </w:rPr>
  </w:style>
  <w:style w:type="character" w:styleId="1138" w:customStyle="1">
    <w:name w:val="biaoti1"/>
    <w:link w:val="858"/>
    <w:uiPriority w:val="0"/>
    <w:qFormat/>
    <w:rPr>
      <w:rFonts w:ascii="Tahoma" w:hAnsi="Tahoma" w:eastAsia="宋体"/>
      <w:b/>
      <w:bCs/>
      <w:color w:val="336699"/>
      <w:sz w:val="21"/>
      <w:szCs w:val="21"/>
      <w:u w:val="none"/>
      <w:lang w:val="en-US" w:eastAsia="zh-CN" w:bidi="ar-SA"/>
    </w:rPr>
  </w:style>
  <w:style w:type="character" w:styleId="1139" w:customStyle="1">
    <w:name w:val="Char Char2"/>
    <w:link w:val="858"/>
    <w:uiPriority w:val="0"/>
    <w:qFormat/>
    <w:rPr>
      <w:rFonts w:ascii="宋体" w:hAnsi="Courier New"/>
      <w:sz w:val="21"/>
      <w:szCs w:val="21"/>
    </w:rPr>
  </w:style>
  <w:style w:type="character" w:styleId="1140" w:customStyle="1">
    <w:name w:val="short_text1"/>
    <w:link w:val="858"/>
    <w:uiPriority w:val="0"/>
    <w:qFormat/>
    <w:rPr>
      <w:sz w:val="29"/>
    </w:rPr>
  </w:style>
  <w:style w:type="character" w:styleId="1141" w:customStyle="1">
    <w:name w:val=" Char Char14"/>
    <w:link w:val="858"/>
    <w:uiPriority w:val="0"/>
    <w:qFormat/>
    <w:rPr>
      <w:rFonts w:ascii="Arial" w:hAnsi="Arial" w:eastAsia="黑体"/>
      <w:sz w:val="21"/>
      <w:szCs w:val="21"/>
    </w:rPr>
  </w:style>
  <w:style w:type="character" w:styleId="1142" w:customStyle="1">
    <w:name w:val="apple-converted-space"/>
    <w:link w:val="858"/>
    <w:uiPriority w:val="0"/>
    <w:qFormat/>
    <w:rPr>
      <w:rFonts w:ascii="Tahoma" w:hAnsi="Tahoma" w:eastAsia="宋体"/>
      <w:sz w:val="24"/>
      <w:szCs w:val="24"/>
      <w:lang w:val="en-US" w:eastAsia="zh-CN" w:bidi="ar-SA"/>
    </w:rPr>
  </w:style>
  <w:style w:type="character" w:styleId="1143" w:customStyle="1">
    <w:name w:val="正文文本 3 Char1"/>
    <w:link w:val="858"/>
    <w:uiPriority w:val="0"/>
    <w:qFormat/>
    <w:rPr>
      <w:sz w:val="16"/>
      <w:szCs w:val="16"/>
    </w:rPr>
  </w:style>
  <w:style w:type="character" w:styleId="1144" w:customStyle="1">
    <w:name w:val="Plain Text Char Char"/>
    <w:link w:val="858"/>
    <w:uiPriority w:val="0"/>
    <w:qFormat/>
    <w:rPr>
      <w:rFonts w:ascii="宋体" w:hAnsi="Courier New" w:eastAsia="楷体_GB2312"/>
      <w:sz w:val="28"/>
      <w:szCs w:val="24"/>
      <w:lang w:val="en-US" w:eastAsia="zh-CN" w:bidi="ar-SA"/>
    </w:rPr>
  </w:style>
  <w:style w:type="character" w:styleId="1145" w:customStyle="1">
    <w:name w:val="body1"/>
    <w:link w:val="858"/>
    <w:uiPriority w:val="0"/>
    <w:qFormat/>
    <w:rPr>
      <w:rFonts w:eastAsia="宋体"/>
      <w:sz w:val="18"/>
      <w:szCs w:val="18"/>
      <w:lang w:val="en-US" w:eastAsia="zh-CN" w:bidi="ar-SA"/>
    </w:rPr>
  </w:style>
  <w:style w:type="character" w:styleId="1146" w:customStyle="1">
    <w:name w:val="3zw1"/>
    <w:link w:val="858"/>
    <w:uiPriority w:val="0"/>
    <w:qFormat/>
    <w:rPr>
      <w:rFonts w:ascii="Tahoma" w:hAnsi="Tahoma" w:eastAsia="宋体"/>
      <w:color w:val="000000"/>
      <w:sz w:val="21"/>
      <w:szCs w:val="21"/>
      <w:lang w:val="en-US" w:eastAsia="zh-CN" w:bidi="ar-SA"/>
    </w:rPr>
  </w:style>
  <w:style w:type="character" w:styleId="1147" w:customStyle="1">
    <w:name w:val="样式 楷体_GB2312 四号 加粗"/>
    <w:link w:val="858"/>
    <w:uiPriority w:val="0"/>
    <w:qFormat/>
    <w:rPr>
      <w:rFonts w:ascii="楷体_GB2312" w:hAnsi="楷体_GB2312" w:eastAsia="楷体_GB2312"/>
      <w:b/>
      <w:bCs/>
      <w:sz w:val="28"/>
      <w:szCs w:val="24"/>
      <w:lang w:val="en-US" w:eastAsia="zh-CN" w:bidi="ar-SA"/>
    </w:rPr>
  </w:style>
  <w:style w:type="character" w:styleId="1148" w:customStyle="1">
    <w:name w:val=" Char Char15"/>
    <w:link w:val="858"/>
    <w:uiPriority w:val="0"/>
    <w:qFormat/>
    <w:rPr>
      <w:rFonts w:ascii="Arial" w:hAnsi="Arial" w:eastAsia="黑体"/>
      <w:sz w:val="24"/>
      <w:szCs w:val="24"/>
    </w:rPr>
  </w:style>
  <w:style w:type="character" w:styleId="1149" w:customStyle="1">
    <w:name w:val="+列表编号 Char Char"/>
    <w:link w:val="858"/>
    <w:uiPriority w:val="0"/>
    <w:qFormat/>
    <w:rPr>
      <w:rFonts w:eastAsia="宋体"/>
      <w:b/>
      <w:spacing w:val="8"/>
      <w:sz w:val="24"/>
      <w:szCs w:val="24"/>
      <w:lang w:val="en-US" w:eastAsia="zh-CN" w:bidi="ar-SA"/>
    </w:rPr>
  </w:style>
  <w:style w:type="character" w:styleId="1150" w:customStyle="1">
    <w:name w:val="info4"/>
    <w:link w:val="858"/>
    <w:uiPriority w:val="0"/>
    <w:qFormat/>
    <w:rPr>
      <w:rFonts w:ascii="Tahoma" w:hAnsi="Tahoma" w:eastAsia="宋体"/>
      <w:sz w:val="24"/>
      <w:szCs w:val="24"/>
      <w:lang w:val="en-US" w:eastAsia="zh-CN" w:bidi="ar-SA"/>
    </w:rPr>
  </w:style>
  <w:style w:type="character" w:styleId="1151" w:customStyle="1">
    <w:name w:val="正文（首行缩进两字） Char"/>
    <w:link w:val="858"/>
    <w:uiPriority w:val="0"/>
    <w:qFormat/>
    <w:rPr>
      <w:rFonts w:eastAsia="楷体_GB2312"/>
      <w:sz w:val="24"/>
      <w:lang w:val="en-US" w:eastAsia="zh-CN" w:bidi="ar-SA"/>
    </w:rPr>
  </w:style>
  <w:style w:type="character" w:styleId="1152" w:customStyle="1">
    <w:name w:val="Char Char3"/>
    <w:link w:val="858"/>
    <w:uiPriority w:val="0"/>
    <w:qFormat/>
    <w:rPr>
      <w:rFonts w:eastAsia="宋体"/>
      <w:sz w:val="28"/>
      <w:u w:val="single"/>
      <w:lang w:val="en-US" w:eastAsia="zh-CN"/>
    </w:rPr>
  </w:style>
  <w:style w:type="character" w:styleId="1153" w:customStyle="1">
    <w:name w:val="正文首行缩进 2 Char1"/>
    <w:link w:val="858"/>
    <w:uiPriority w:val="0"/>
    <w:qFormat/>
  </w:style>
  <w:style w:type="character" w:styleId="1154" w:customStyle="1">
    <w:name w:val="+正文 Char Char"/>
    <w:link w:val="858"/>
    <w:uiPriority w:val="0"/>
    <w:qFormat/>
    <w:rPr>
      <w:rFonts w:eastAsia="宋体"/>
      <w:sz w:val="24"/>
      <w:szCs w:val="28"/>
      <w:lang w:val="en-US" w:eastAsia="zh-CN" w:bidi="ar-SA"/>
    </w:rPr>
  </w:style>
  <w:style w:type="character" w:styleId="1155" w:customStyle="1">
    <w:name w:val="+正文 Char Char Char Char"/>
    <w:link w:val="858"/>
    <w:uiPriority w:val="0"/>
    <w:qFormat/>
    <w:rPr>
      <w:rFonts w:ascii="Tahoma" w:hAnsi="Tahoma" w:eastAsia="宋体"/>
      <w:sz w:val="24"/>
      <w:szCs w:val="28"/>
      <w:lang w:val="en-US" w:eastAsia="zh-CN" w:bidi="ar-SA"/>
    </w:rPr>
  </w:style>
  <w:style w:type="character" w:styleId="1156" w:customStyle="1">
    <w:name w:val="Char Char Char Char Char Char Char"/>
    <w:link w:val="858"/>
    <w:uiPriority w:val="0"/>
    <w:qFormat/>
  </w:style>
  <w:style w:type="character" w:styleId="1157" w:customStyle="1">
    <w:name w:val="span21"/>
    <w:link w:val="858"/>
    <w:uiPriority w:val="0"/>
    <w:qFormat/>
    <w:rPr>
      <w:color w:val="c00000"/>
    </w:rPr>
  </w:style>
  <w:style w:type="character" w:styleId="1158" w:customStyle="1">
    <w:name w:val="Plain Text Char"/>
    <w:link w:val="858"/>
    <w:uiPriority w:val="0"/>
    <w:qFormat/>
    <w:rPr>
      <w:rFonts w:ascii="宋体" w:hAnsi="Courier New" w:eastAsia="楷体_GB2312"/>
      <w:sz w:val="28"/>
      <w:lang w:val="en-US" w:eastAsia="zh-CN" w:bidi="ar-SA"/>
    </w:rPr>
  </w:style>
  <w:style w:type="character" w:styleId="1159" w:customStyle="1">
    <w:name w:val=" Char Char13"/>
    <w:link w:val="858"/>
    <w:uiPriority w:val="0"/>
    <w:qFormat/>
    <w:rPr>
      <w:sz w:val="18"/>
      <w:szCs w:val="18"/>
    </w:rPr>
  </w:style>
  <w:style w:type="character" w:styleId="1160" w:customStyle="1">
    <w:name w:val="+正文 Char3"/>
    <w:link w:val="1161"/>
    <w:uiPriority w:val="0"/>
    <w:qFormat/>
    <w:rPr>
      <w:rFonts w:eastAsia="宋体"/>
      <w:sz w:val="24"/>
      <w:szCs w:val="28"/>
      <w:lang w:val="en-US" w:eastAsia="zh-CN" w:bidi="ar-SA"/>
    </w:rPr>
  </w:style>
  <w:style w:type="paragraph" w:styleId="1161" w:customStyle="1">
    <w:name w:val="+正文"/>
    <w:basedOn w:val="858"/>
    <w:link w:val="1160"/>
    <w:uiPriority w:val="0"/>
    <w:qFormat/>
    <w:pPr>
      <w:ind w:firstLine="200"/>
      <w:spacing w:line="360" w:lineRule="auto"/>
    </w:pPr>
    <w:rPr>
      <w:sz w:val="24"/>
      <w:szCs w:val="28"/>
    </w:rPr>
  </w:style>
  <w:style w:type="character" w:styleId="1162" w:customStyle="1">
    <w:name w:val="页眉 Char"/>
    <w:link w:val="858"/>
    <w:uiPriority w:val="0"/>
    <w:qFormat/>
    <w:rPr>
      <w:rFonts w:eastAsia="宋体" w:cs="Times New Roman"/>
      <w:lang w:val="en-AU" w:eastAsia="en-US" w:bidi="ar-SA"/>
    </w:rPr>
  </w:style>
  <w:style w:type="character" w:styleId="1163" w:customStyle="1">
    <w:name w:val="表正文 Char"/>
    <w:link w:val="858"/>
    <w:uiPriority w:val="0"/>
    <w:qFormat/>
    <w:rPr>
      <w:rFonts w:eastAsia="楷体_GB2312"/>
      <w:sz w:val="24"/>
    </w:rPr>
  </w:style>
  <w:style w:type="character" w:styleId="1164" w:customStyle="1">
    <w:name w:val="Char Char1"/>
    <w:link w:val="858"/>
    <w:uiPriority w:val="0"/>
    <w:qFormat/>
    <w:rPr>
      <w:lang w:eastAsia="zh-CN"/>
    </w:rPr>
  </w:style>
  <w:style w:type="character" w:styleId="1165" w:customStyle="1">
    <w:name w:val="grame"/>
    <w:link w:val="858"/>
    <w:uiPriority w:val="0"/>
    <w:qFormat/>
  </w:style>
  <w:style w:type="character" w:styleId="1166" w:customStyle="1">
    <w:name w:val="已访问的超链接1"/>
    <w:link w:val="858"/>
    <w:uiPriority w:val="0"/>
    <w:qFormat/>
    <w:rPr>
      <w:color w:val="800080"/>
      <w:u w:val="single"/>
    </w:rPr>
  </w:style>
  <w:style w:type="character" w:styleId="1167" w:customStyle="1">
    <w:name w:val="标题 2 Char Char"/>
    <w:link w:val="858"/>
    <w:uiPriority w:val="0"/>
    <w:qFormat/>
    <w:rPr>
      <w:rFonts w:ascii="Arial" w:hAnsi="Arial" w:eastAsia="黑体"/>
      <w:b/>
      <w:spacing w:val="-6"/>
      <w:sz w:val="30"/>
      <w:szCs w:val="32"/>
      <w:lang w:val="en-US" w:eastAsia="zh-CN" w:bidi="ar-SA"/>
    </w:rPr>
  </w:style>
  <w:style w:type="character" w:styleId="1168" w:customStyle="1">
    <w:name w:val="content021"/>
    <w:link w:val="858"/>
    <w:uiPriority w:val="0"/>
    <w:qFormat/>
    <w:rPr>
      <w:rFonts w:ascii="Tahoma" w:hAnsi="Tahoma" w:eastAsia="宋体"/>
      <w:sz w:val="24"/>
      <w:szCs w:val="24"/>
      <w:lang w:val="en-US" w:eastAsia="zh-CN" w:bidi="ar-SA"/>
    </w:rPr>
  </w:style>
  <w:style w:type="character" w:styleId="1169" w:customStyle="1">
    <w:name w:val="e1"/>
    <w:link w:val="858"/>
    <w:uiPriority w:val="0"/>
    <w:qFormat/>
    <w:rPr>
      <w:rFonts w:eastAsia="宋体"/>
      <w:sz w:val="21"/>
      <w:szCs w:val="24"/>
      <w:lang w:val="en-US" w:eastAsia="zh-CN" w:bidi="ar-SA"/>
    </w:rPr>
  </w:style>
  <w:style w:type="character" w:styleId="1170" w:customStyle="1">
    <w:name w:val="td21"/>
    <w:link w:val="858"/>
    <w:uiPriority w:val="0"/>
    <w:qFormat/>
    <w:rPr>
      <w:sz w:val="21"/>
      <w:szCs w:val="21"/>
      <w:u w:val="none"/>
    </w:rPr>
  </w:style>
  <w:style w:type="character" w:styleId="1171" w:customStyle="1">
    <w:name w:val="apple-style-span"/>
    <w:link w:val="858"/>
    <w:uiPriority w:val="0"/>
    <w:qFormat/>
    <w:rPr>
      <w:rFonts w:ascii="Tahoma" w:hAnsi="Tahoma" w:eastAsia="宋体"/>
      <w:sz w:val="24"/>
      <w:szCs w:val="24"/>
      <w:lang w:val="en-US" w:eastAsia="zh-CN" w:bidi="ar-SA"/>
    </w:rPr>
  </w:style>
  <w:style w:type="character" w:styleId="1172" w:customStyle="1">
    <w:name w:val="+正文 Char Char Char2"/>
    <w:link w:val="858"/>
    <w:uiPriority w:val="0"/>
    <w:qFormat/>
    <w:rPr>
      <w:rFonts w:eastAsia="宋体"/>
      <w:sz w:val="24"/>
      <w:szCs w:val="24"/>
      <w:lang w:val="en-US" w:eastAsia="zh-CN" w:bidi="ar-SA"/>
    </w:rPr>
  </w:style>
  <w:style w:type="character" w:styleId="1173" w:customStyle="1">
    <w:name w:val="font"/>
    <w:link w:val="858"/>
    <w:uiPriority w:val="0"/>
    <w:qFormat/>
    <w:rPr>
      <w:rFonts w:ascii="Tahoma" w:hAnsi="Tahoma" w:eastAsia="宋体"/>
      <w:sz w:val="24"/>
      <w:szCs w:val="24"/>
      <w:lang w:val="en-US" w:eastAsia="zh-CN" w:bidi="ar-SA"/>
    </w:rPr>
  </w:style>
  <w:style w:type="character" w:styleId="1174" w:customStyle="1">
    <w:name w:val="标题 Char1"/>
    <w:link w:val="858"/>
    <w:uiPriority w:val="0"/>
    <w:qFormat/>
    <w:rPr>
      <w:rFonts w:ascii="Cambria" w:hAnsi="Cambria" w:cs="Times New Roman"/>
      <w:b/>
      <w:bCs/>
      <w:sz w:val="32"/>
      <w:szCs w:val="32"/>
    </w:rPr>
  </w:style>
  <w:style w:type="character" w:styleId="1175" w:customStyle="1">
    <w:name w:val="f141"/>
    <w:link w:val="858"/>
    <w:uiPriority w:val="0"/>
    <w:qFormat/>
    <w:rPr>
      <w:rFonts w:ascii="Tahoma" w:hAnsi="Tahoma" w:eastAsia="宋体"/>
      <w:sz w:val="24"/>
      <w:szCs w:val="24"/>
      <w:lang w:val="en-US" w:eastAsia="zh-CN" w:bidi="ar-SA"/>
    </w:rPr>
  </w:style>
  <w:style w:type="character" w:styleId="1176" w:customStyle="1">
    <w:name w:val="+标题3 Char Char"/>
    <w:link w:val="1177"/>
    <w:uiPriority w:val="0"/>
    <w:qFormat/>
    <w:rPr>
      <w:b/>
      <w:bCs/>
      <w:sz w:val="24"/>
      <w:szCs w:val="28"/>
    </w:rPr>
  </w:style>
  <w:style w:type="paragraph" w:styleId="1177" w:customStyle="1">
    <w:name w:val="+标题3 Char"/>
    <w:basedOn w:val="1044"/>
    <w:link w:val="1176"/>
    <w:uiPriority w:val="0"/>
    <w:qFormat/>
    <w:pPr>
      <w:ind w:left="833" w:hanging="833"/>
      <w:spacing w:before="120" w:after="120" w:line="360" w:lineRule="auto"/>
      <w:tabs>
        <w:tab w:val="left" w:pos="833" w:leader="none"/>
      </w:tabs>
    </w:pPr>
    <w:rPr>
      <w:sz w:val="24"/>
      <w:szCs w:val="28"/>
    </w:rPr>
  </w:style>
  <w:style w:type="character" w:styleId="1178" w:customStyle="1">
    <w:name w:val="Ü5 + Nr Char"/>
    <w:link w:val="858"/>
    <w:uiPriority w:val="0"/>
    <w:qFormat/>
    <w:rPr>
      <w:b/>
      <w:bCs/>
      <w:sz w:val="28"/>
      <w:szCs w:val="28"/>
    </w:rPr>
  </w:style>
  <w:style w:type="paragraph" w:styleId="1179" w:customStyle="1">
    <w:name w:val=" Char Char Char Char Char Char Char Char Char Char Char1 Char Char Char Char Char Char Char Char Char Char"/>
    <w:basedOn w:val="858"/>
    <w:uiPriority w:val="0"/>
    <w:qFormat/>
    <w:rPr>
      <w:rFonts w:ascii="Tahoma" w:hAnsi="Tahoma"/>
      <w:sz w:val="24"/>
      <w:szCs w:val="20"/>
    </w:rPr>
  </w:style>
  <w:style w:type="paragraph" w:styleId="1180" w:customStyle="1">
    <w:name w:val="(Spec) 5-Icons"/>
    <w:basedOn w:val="858"/>
    <w:uiPriority w:val="0"/>
    <w:qFormat/>
    <w:pPr>
      <w:ind w:left="1680" w:hanging="360"/>
      <w:spacing w:after="120"/>
    </w:pPr>
    <w:rPr>
      <w:rFonts w:ascii="DFKai-SB" w:hAnsi="DFKai-SB" w:eastAsia="DFKai-SB"/>
      <w:color w:val="000000"/>
      <w:sz w:val="26"/>
      <w:szCs w:val="22"/>
      <w:lang w:eastAsia="zh-TW"/>
    </w:rPr>
  </w:style>
  <w:style w:type="paragraph" w:styleId="1181" w:customStyle="1">
    <w:name w:val="Char Char Char Char"/>
    <w:basedOn w:val="1066"/>
    <w:uiPriority w:val="0"/>
    <w:qFormat/>
    <w:pPr>
      <w:spacing w:line="360" w:lineRule="auto"/>
    </w:pPr>
    <w:rPr>
      <w:rFonts w:ascii="Tahoma" w:hAnsi="Tahoma"/>
      <w:sz w:val="24"/>
    </w:rPr>
  </w:style>
  <w:style w:type="paragraph" w:styleId="1182" w:customStyle="1">
    <w:name w:val="xl37"/>
    <w:basedOn w:val="858"/>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83" w:customStyle="1">
    <w:name w:val="GP标题3"/>
    <w:basedOn w:val="858"/>
    <w:next w:val="1184"/>
    <w:uiPriority w:val="0"/>
    <w:qFormat/>
    <w:pPr>
      <w:jc w:val="left"/>
      <w:spacing w:line="360" w:lineRule="auto"/>
      <w:outlineLvl w:val="2"/>
    </w:pPr>
    <w:rPr>
      <w:rFonts w:ascii="华文细黑" w:hAnsi="华文细黑" w:eastAsia="华文细黑"/>
      <w:b/>
      <w:sz w:val="30"/>
      <w:szCs w:val="21"/>
    </w:rPr>
  </w:style>
  <w:style w:type="paragraph" w:styleId="1184" w:customStyle="1">
    <w:name w:val="GP正文(首行缩进)"/>
    <w:basedOn w:val="858"/>
    <w:uiPriority w:val="0"/>
    <w:qFormat/>
    <w:pPr>
      <w:ind w:firstLine="200"/>
      <w:jc w:val="left"/>
      <w:spacing w:line="360" w:lineRule="auto"/>
    </w:pPr>
    <w:rPr>
      <w:rFonts w:ascii="Calibri" w:hAnsi="Calibri"/>
      <w:sz w:val="24"/>
      <w:szCs w:val="21"/>
    </w:rPr>
  </w:style>
  <w:style w:type="paragraph" w:styleId="1185" w:customStyle="1">
    <w:name w:val="xl38"/>
    <w:basedOn w:val="858"/>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86" w:customStyle="1">
    <w:name w:val="xl44"/>
    <w:basedOn w:val="858"/>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187" w:customStyle="1">
    <w:name w:val="xl33"/>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8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89" w:customStyle="1">
    <w:name w:val="xl36"/>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90" w:customStyle="1">
    <w:name w:val="+正文 Char Char2 Char Char"/>
    <w:basedOn w:val="858"/>
    <w:uiPriority w:val="0"/>
    <w:qFormat/>
    <w:pPr>
      <w:ind w:firstLine="200"/>
      <w:spacing w:line="360" w:lineRule="auto"/>
    </w:pPr>
    <w:rPr>
      <w:rFonts w:ascii="Calibri" w:hAnsi="Calibri"/>
      <w:sz w:val="24"/>
      <w:szCs w:val="28"/>
    </w:rPr>
  </w:style>
  <w:style w:type="paragraph" w:styleId="1191" w:customStyle="1">
    <w:name w:val="xl41"/>
    <w:basedOn w:val="858"/>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192" w:customStyle="1">
    <w:name w:val="xl40"/>
    <w:basedOn w:val="858"/>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193" w:customStyle="1">
    <w:name w:val="(Spec) 2-Heading"/>
    <w:next w:val="1194"/>
    <w:uiPriority w:val="0"/>
    <w:qFormat/>
    <w:pPr>
      <w:numPr>
        <w:ilvl w:val="2"/>
        <w:numId w:val="0"/>
      </w:numPr>
      <w:ind w:left="1680" w:hanging="600"/>
      <w:jc w:val="both"/>
      <w:spacing w:after="120"/>
      <w:widowControl w:val="off"/>
      <w:tabs>
        <w:tab w:val="left" w:pos="960" w:leader="none"/>
      </w:tabs>
    </w:pPr>
    <w:rPr>
      <w:rFonts w:hint="default" w:ascii="宋体" w:hAnsi="宋体" w:eastAsia="宋体" w:cs="Times New Roman"/>
      <w:color w:val="000000"/>
      <w:sz w:val="24"/>
      <w:szCs w:val="24"/>
      <w:lang w:val="en-US" w:eastAsia="zh-CN" w:bidi="ar-SA"/>
    </w:rPr>
  </w:style>
  <w:style w:type="paragraph" w:styleId="1194" w:customStyle="1">
    <w:name w:val="(Spec) 2-Normal"/>
    <w:uiPriority w:val="0"/>
    <w:qFormat/>
    <w:pPr>
      <w:ind w:left="960" w:hanging="480"/>
      <w:jc w:val="both"/>
      <w:spacing w:after="120"/>
      <w:tabs>
        <w:tab w:val="left" w:pos="1440" w:leader="none"/>
        <w:tab w:val="left" w:pos="4200" w:leader="none"/>
        <w:tab w:val="left" w:pos="5520" w:leader="none"/>
        <w:tab w:val="right" w:pos="6120" w:leader="none"/>
      </w:tabs>
    </w:pPr>
    <w:rPr>
      <w:rFonts w:hint="default" w:ascii="宋体" w:hAnsi="宋体" w:eastAsia="宋体" w:cs="Times New Roman"/>
      <w:color w:val="000000"/>
      <w:sz w:val="26"/>
      <w:szCs w:val="22"/>
      <w:lang w:val="en-US" w:eastAsia="zh-CN" w:bidi="ar-SA"/>
    </w:rPr>
  </w:style>
  <w:style w:type="paragraph" w:styleId="1195" w:customStyle="1">
    <w:name w:val=" Char Char Char"/>
    <w:basedOn w:val="858"/>
    <w:uiPriority w:val="0"/>
    <w:qFormat/>
    <w:pPr>
      <w:spacing w:line="360" w:lineRule="auto"/>
    </w:pPr>
    <w:rPr>
      <w:rFonts w:ascii="Calibri" w:hAnsi="Calibri"/>
      <w:sz w:val="24"/>
      <w:szCs w:val="20"/>
    </w:rPr>
  </w:style>
  <w:style w:type="paragraph" w:styleId="1196" w:customStyle="1">
    <w:name w:val="纯文本2"/>
    <w:basedOn w:val="858"/>
    <w:uiPriority w:val="0"/>
    <w:qFormat/>
    <w:rPr>
      <w:rFonts w:ascii="宋体" w:hAnsi="Courier New" w:eastAsia="楷体_GB2312"/>
      <w:sz w:val="28"/>
      <w:szCs w:val="20"/>
    </w:rPr>
  </w:style>
  <w:style w:type="paragraph" w:styleId="1197" w:customStyle="1">
    <w:name w:val="xl30"/>
    <w:basedOn w:val="8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98" w:customStyle="1">
    <w:name w:val="+列表2"/>
    <w:basedOn w:val="858"/>
    <w:uiPriority w:val="0"/>
    <w:qFormat/>
    <w:pPr>
      <w:jc w:val="center"/>
    </w:pPr>
    <w:rPr>
      <w:rFonts w:ascii="Calibri" w:hAnsi="Calibri"/>
      <w:sz w:val="18"/>
      <w:szCs w:val="21"/>
    </w:rPr>
  </w:style>
  <w:style w:type="paragraph" w:styleId="1199" w:customStyle="1">
    <w:name w:val="p0"/>
    <w:basedOn w:val="858"/>
    <w:uiPriority w:val="0"/>
    <w:qFormat/>
    <w:pPr>
      <w:jc w:val="left"/>
      <w:widowControl/>
    </w:pPr>
    <w:rPr>
      <w:sz w:val="24"/>
    </w:rPr>
  </w:style>
  <w:style w:type="paragraph" w:styleId="1200" w:customStyle="1">
    <w:name w:val="xl34"/>
    <w:basedOn w:val="858"/>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201" w:customStyle="1">
    <w:name w:val="标准正文"/>
    <w:basedOn w:val="1074"/>
    <w:uiPriority w:val="0"/>
    <w:qFormat/>
    <w:pPr>
      <w:ind w:left="660" w:firstLine="482"/>
      <w:spacing w:before="60" w:after="60" w:line="360" w:lineRule="auto"/>
      <w:tabs>
        <w:tab w:val="left" w:pos="660" w:leader="none"/>
      </w:tabs>
    </w:pPr>
    <w:rPr>
      <w:rFonts w:ascii="Arial" w:hAnsi="Arial" w:eastAsia="宋体"/>
      <w:szCs w:val="24"/>
    </w:rPr>
  </w:style>
  <w:style w:type="paragraph" w:styleId="120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03" w:customStyle="1">
    <w:name w:val="Plain Text1"/>
    <w:basedOn w:val="858"/>
    <w:uiPriority w:val="0"/>
    <w:qFormat/>
    <w:rPr>
      <w:rFonts w:hint="eastAsia" w:ascii="宋体" w:hAnsi="Courier New" w:eastAsia="楷体_GB2312"/>
      <w:sz w:val="28"/>
      <w:szCs w:val="20"/>
    </w:rPr>
  </w:style>
  <w:style w:type="paragraph" w:styleId="1204" w:customStyle="1">
    <w:name w:val="纯文本11"/>
    <w:basedOn w:val="858"/>
    <w:uiPriority w:val="0"/>
    <w:qFormat/>
    <w:rPr>
      <w:rFonts w:hint="eastAsia" w:ascii="宋体" w:hAnsi="Courier New" w:eastAsia="楷体_GB2312"/>
      <w:sz w:val="28"/>
      <w:szCs w:val="20"/>
    </w:rPr>
  </w:style>
  <w:style w:type="paragraph" w:styleId="1205" w:customStyle="1">
    <w:name w:val="xl45"/>
    <w:basedOn w:val="858"/>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206" w:customStyle="1">
    <w:name w:val=" Char Char Char Char Char Char Char Char Char1 Char"/>
    <w:basedOn w:val="1066"/>
    <w:uiPriority w:val="0"/>
    <w:qFormat/>
    <w:pPr>
      <w:spacing w:line="360" w:lineRule="auto"/>
    </w:pPr>
    <w:rPr>
      <w:rFonts w:ascii="Tahoma" w:hAnsi="Tahoma"/>
      <w:sz w:val="24"/>
    </w:rPr>
  </w:style>
  <w:style w:type="paragraph" w:styleId="1207" w:customStyle="1">
    <w:name w:val="Char"/>
    <w:basedOn w:val="858"/>
    <w:uiPriority w:val="0"/>
    <w:qFormat/>
    <w:pPr>
      <w:ind w:left="720" w:hanging="720"/>
      <w:tabs>
        <w:tab w:val="left" w:pos="720" w:leader="none"/>
      </w:tabs>
    </w:pPr>
    <w:rPr>
      <w:sz w:val="24"/>
    </w:rPr>
  </w:style>
  <w:style w:type="paragraph" w:styleId="1208" w:customStyle="1">
    <w:name w:val="+标题1"/>
    <w:basedOn w:val="1042"/>
    <w:uiPriority w:val="0"/>
    <w:qFormat/>
    <w:pPr>
      <w:ind w:firstLine="420"/>
      <w:jc w:val="both"/>
      <w:keepNext w:val="0"/>
      <w:spacing w:before="100" w:beforeAutospacing="1" w:after="100" w:afterAutospacing="1" w:line="360" w:lineRule="auto"/>
    </w:pPr>
    <w:rPr>
      <w:rFonts w:ascii="宋体" w:hAnsi="宋体"/>
      <w:b/>
      <w:bCs/>
      <w:sz w:val="24"/>
    </w:rPr>
  </w:style>
  <w:style w:type="paragraph" w:styleId="1209" w:customStyle="1">
    <w:name w:val="表格"/>
    <w:basedOn w:val="858"/>
    <w:uiPriority w:val="0"/>
    <w:qFormat/>
    <w:pPr>
      <w:jc w:val="left"/>
      <w:widowControl/>
    </w:pPr>
    <w:rPr>
      <w:rFonts w:ascii="Calibri" w:hAnsi="Calibri" w:eastAsia="PMingLiU"/>
      <w:sz w:val="22"/>
      <w:szCs w:val="20"/>
      <w:lang w:eastAsia="zh-TW"/>
    </w:rPr>
  </w:style>
  <w:style w:type="paragraph" w:styleId="1210" w:customStyle="1">
    <w:name w:val="样式1"/>
    <w:basedOn w:val="858"/>
    <w:link w:val="1211"/>
    <w:uiPriority w:val="0"/>
    <w:qFormat/>
    <w:pPr>
      <w:ind w:left="660" w:hanging="660"/>
      <w:tabs>
        <w:tab w:val="left" w:pos="660" w:leader="none"/>
        <w:tab w:val="left" w:pos="709" w:leader="none"/>
      </w:tabs>
    </w:pPr>
    <w:rPr>
      <w:rFonts w:ascii="宋体" w:hAnsi="宋体"/>
      <w:szCs w:val="21"/>
    </w:rPr>
  </w:style>
  <w:style w:type="character" w:styleId="1211" w:customStyle="1">
    <w:name w:val="样式1 字符"/>
    <w:link w:val="1210"/>
    <w:uiPriority w:val="0"/>
    <w:qFormat/>
    <w:rPr>
      <w:rFonts w:ascii="宋体" w:hAnsi="宋体"/>
      <w:sz w:val="21"/>
      <w:szCs w:val="21"/>
    </w:rPr>
  </w:style>
  <w:style w:type="paragraph" w:styleId="1212" w:customStyle="1">
    <w:name w:val="默认段落字体 Para Char"/>
    <w:basedOn w:val="1043"/>
    <w:uiPriority w:val="0"/>
    <w:qFormat/>
    <w:pPr>
      <w:jc w:val="center"/>
      <w:spacing w:before="120" w:after="120" w:line="360" w:lineRule="auto"/>
      <w:widowControl/>
    </w:pPr>
    <w:rPr>
      <w:rFonts w:ascii="Times New Roman" w:hAnsi="Times New Roman"/>
      <w:b w:val="0"/>
      <w:sz w:val="30"/>
      <w:szCs w:val="30"/>
    </w:rPr>
  </w:style>
  <w:style w:type="paragraph" w:styleId="1213"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14" w:customStyle="1">
    <w:name w:val="文档正文"/>
    <w:basedOn w:val="858"/>
    <w:uiPriority w:val="0"/>
    <w:qFormat/>
    <w:pPr>
      <w:ind w:firstLine="567"/>
      <w:spacing w:line="480" w:lineRule="atLeast"/>
    </w:pPr>
    <w:rPr>
      <w:rFonts w:ascii="仿宋_GB2312" w:hAnsi="Calibri" w:eastAsia="仿宋_GB2312"/>
      <w:sz w:val="28"/>
      <w:szCs w:val="20"/>
    </w:rPr>
  </w:style>
  <w:style w:type="paragraph" w:styleId="1215" w:customStyle="1">
    <w:name w:val="+标题4"/>
    <w:basedOn w:val="1045"/>
    <w:uiPriority w:val="0"/>
    <w:qFormat/>
    <w:pPr>
      <w:numPr>
        <w:ilvl w:val="3"/>
        <w:numId w:val="1"/>
      </w:numPr>
      <w:spacing w:before="120" w:after="120" w:line="360" w:lineRule="auto"/>
    </w:pPr>
    <w:rPr>
      <w:rFonts w:ascii="Times New Roman" w:hAnsi="Times New Roman" w:eastAsia="宋体"/>
      <w:sz w:val="24"/>
    </w:rPr>
  </w:style>
  <w:style w:type="paragraph" w:styleId="1216" w:customStyle="1">
    <w:name w:val="xl32"/>
    <w:basedOn w:val="8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217" w:customStyle="1">
    <w:name w:val="Char Char Char Char Char Char Char Char Char1 Char1"/>
    <w:basedOn w:val="1066"/>
    <w:uiPriority w:val="0"/>
    <w:qFormat/>
    <w:pPr>
      <w:spacing w:line="360" w:lineRule="auto"/>
    </w:pPr>
    <w:rPr>
      <w:rFonts w:ascii="Tahoma" w:hAnsi="Tahoma"/>
      <w:sz w:val="24"/>
    </w:rPr>
  </w:style>
  <w:style w:type="paragraph" w:styleId="1218" w:customStyle="1">
    <w:name w:val="标准"/>
    <w:basedOn w:val="858"/>
    <w:uiPriority w:val="0"/>
    <w:qFormat/>
    <w:pPr>
      <w:spacing w:line="300" w:lineRule="exact"/>
    </w:pPr>
    <w:rPr>
      <w:rFonts w:ascii="Footlight MT Light" w:hAnsi="Footlight MT Light"/>
      <w:b/>
      <w:sz w:val="28"/>
      <w:szCs w:val="20"/>
    </w:rPr>
  </w:style>
  <w:style w:type="paragraph" w:styleId="1219" w:customStyle="1">
    <w:name w:val="Body Text Indent (20mm)"/>
    <w:basedOn w:val="858"/>
    <w:uiPriority w:val="0"/>
    <w:qFormat/>
    <w:pPr>
      <w:ind w:left="1134"/>
    </w:pPr>
    <w:rPr>
      <w:rFonts w:ascii="Calibri" w:hAnsi="Calibri"/>
      <w:sz w:val="20"/>
      <w:szCs w:val="20"/>
    </w:rPr>
  </w:style>
  <w:style w:type="paragraph" w:styleId="1220" w:customStyle="1">
    <w:name w:val="表格文字"/>
    <w:basedOn w:val="858"/>
    <w:uiPriority w:val="0"/>
    <w:qFormat/>
    <w:rPr>
      <w:rFonts w:ascii="Calibri" w:hAnsi="Calibri"/>
    </w:rPr>
  </w:style>
  <w:style w:type="paragraph" w:styleId="1221" w:customStyle="1">
    <w:name w:val=" Char Char Char Char Char Char1 Char"/>
    <w:basedOn w:val="858"/>
    <w:uiPriority w:val="0"/>
    <w:qFormat/>
    <w:pPr>
      <w:jc w:val="left"/>
      <w:spacing w:after="160" w:line="240" w:lineRule="exact"/>
      <w:widowControl/>
    </w:pPr>
    <w:rPr>
      <w:rFonts w:ascii="Verdana" w:hAnsi="Verdana"/>
      <w:sz w:val="20"/>
      <w:szCs w:val="20"/>
      <w:lang w:eastAsia="en-US"/>
    </w:rPr>
  </w:style>
  <w:style w:type="paragraph" w:styleId="1222" w:customStyle="1">
    <w:name w:val="msolistparagraph"/>
    <w:basedOn w:val="858"/>
    <w:uiPriority w:val="0"/>
    <w:qFormat/>
    <w:pPr>
      <w:jc w:val="left"/>
      <w:spacing w:before="100" w:beforeAutospacing="1" w:after="100" w:afterAutospacing="1"/>
      <w:widowControl/>
    </w:pPr>
    <w:rPr>
      <w:rFonts w:ascii="宋体" w:hAnsi="宋体" w:cs="宋体"/>
      <w:sz w:val="24"/>
      <w:szCs w:val="20"/>
    </w:rPr>
  </w:style>
  <w:style w:type="paragraph" w:styleId="1223" w:customStyle="1">
    <w:name w:val="xl24"/>
    <w:basedOn w:val="858"/>
    <w:uiPriority w:val="0"/>
    <w:qFormat/>
    <w:pPr>
      <w:jc w:val="center"/>
      <w:spacing w:before="100" w:beforeAutospacing="1" w:after="100" w:afterAutospacing="1"/>
      <w:widowControl/>
    </w:pPr>
    <w:rPr>
      <w:rFonts w:ascii="宋体" w:hAnsi="宋体"/>
      <w:sz w:val="24"/>
    </w:rPr>
  </w:style>
  <w:style w:type="paragraph" w:styleId="1224" w:customStyle="1">
    <w:name w:val="xl26"/>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5" w:customStyle="1">
    <w:name w:val="spec.text"/>
    <w:basedOn w:val="858"/>
    <w:uiPriority w:val="0"/>
    <w:qFormat/>
    <w:pPr>
      <w:jc w:val="left"/>
      <w:spacing w:before="200"/>
      <w:widowControl/>
      <w:tabs>
        <w:tab w:val="left" w:pos="720" w:leader="none"/>
        <w:tab w:val="left" w:pos="1440" w:leader="none"/>
        <w:tab w:val="left" w:pos="2160" w:leader="none"/>
        <w:tab w:val="left" w:pos="2880" w:leader="none"/>
        <w:tab w:val="left" w:pos="3600" w:leader="none"/>
      </w:tabs>
    </w:pPr>
    <w:rPr>
      <w:rFonts w:ascii="Calibri" w:hAnsi="Calibri"/>
      <w:sz w:val="24"/>
      <w:szCs w:val="20"/>
      <w:lang w:val="en-GB" w:eastAsia="en-US"/>
    </w:rPr>
  </w:style>
  <w:style w:type="paragraph" w:styleId="1226" w:customStyle="1">
    <w:name w:val="Char Char"/>
    <w:basedOn w:val="1066"/>
    <w:uiPriority w:val="0"/>
    <w:qFormat/>
    <w:pPr>
      <w:ind w:left="425" w:hanging="425"/>
      <w:tabs>
        <w:tab w:val="left" w:pos="425" w:leader="none"/>
      </w:tabs>
    </w:pPr>
    <w:rPr>
      <w:rFonts w:ascii="Tahoma" w:hAnsi="Tahoma"/>
      <w:sz w:val="24"/>
    </w:rPr>
  </w:style>
  <w:style w:type="paragraph" w:styleId="1227" w:customStyle="1">
    <w:name w:val="Char Char Char Char Char Char Char Char Char1 Char"/>
    <w:basedOn w:val="1066"/>
    <w:uiPriority w:val="0"/>
    <w:qFormat/>
    <w:pPr>
      <w:spacing w:line="360" w:lineRule="auto"/>
    </w:pPr>
  </w:style>
  <w:style w:type="paragraph" w:styleId="1228" w:customStyle="1">
    <w:name w:val=" Char1 Char Char Char Char Char Char"/>
    <w:basedOn w:val="858"/>
    <w:uiPriority w:val="0"/>
    <w:qFormat/>
    <w:rPr>
      <w:rFonts w:ascii="Tahoma" w:hAnsi="Tahoma"/>
      <w:sz w:val="24"/>
      <w:szCs w:val="20"/>
    </w:rPr>
  </w:style>
  <w:style w:type="paragraph" w:styleId="1229" w:customStyle="1">
    <w:name w:val="_Style 52"/>
    <w:basedOn w:val="858"/>
    <w:uiPriority w:val="0"/>
    <w:qFormat/>
    <w:rPr>
      <w:rFonts w:ascii="Tahoma" w:hAnsi="Tahoma"/>
      <w:sz w:val="24"/>
      <w:szCs w:val="20"/>
    </w:rPr>
  </w:style>
  <w:style w:type="paragraph" w:styleId="1230" w:customStyle="1">
    <w:name w:val="列出段落1"/>
    <w:basedOn w:val="858"/>
    <w:uiPriority w:val="0"/>
    <w:qFormat/>
    <w:pPr>
      <w:ind w:firstLine="420"/>
    </w:pPr>
    <w:rPr>
      <w:rFonts w:ascii="Calibri" w:hAnsi="Calibri"/>
    </w:rPr>
  </w:style>
  <w:style w:type="paragraph" w:styleId="1231" w:customStyle="1">
    <w:name w:val="text2"/>
    <w:basedOn w:val="858"/>
    <w:uiPriority w:val="0"/>
    <w:qFormat/>
    <w:pPr>
      <w:spacing w:before="30" w:after="30"/>
      <w:widowControl/>
    </w:pPr>
    <w:rPr>
      <w:rFonts w:ascii="Calibri" w:hAnsi="Calibri" w:eastAsia="PMingLiU"/>
      <w:sz w:val="22"/>
      <w:szCs w:val="20"/>
      <w:lang w:eastAsia="en-US"/>
    </w:rPr>
  </w:style>
  <w:style w:type="paragraph" w:styleId="1232" w:customStyle="1">
    <w:name w:val="Char Char1 Char Char Char Char Char Char Char"/>
    <w:basedOn w:val="858"/>
    <w:uiPriority w:val="0"/>
    <w:qFormat/>
    <w:rPr>
      <w:szCs w:val="20"/>
    </w:rPr>
  </w:style>
  <w:style w:type="paragraph" w:styleId="1233" w:customStyle="1">
    <w:name w:val="+标题2"/>
    <w:basedOn w:val="1043"/>
    <w:uiPriority w:val="0"/>
    <w:qFormat/>
    <w:pPr>
      <w:numPr>
        <w:ilvl w:val="1"/>
        <w:numId w:val="1"/>
      </w:numPr>
      <w:spacing w:before="120" w:after="120" w:line="360" w:lineRule="auto"/>
    </w:pPr>
    <w:rPr>
      <w:rFonts w:ascii="Times New Roman" w:hAnsi="Times New Roman" w:eastAsia="宋体"/>
      <w:sz w:val="24"/>
      <w:szCs w:val="28"/>
    </w:rPr>
  </w:style>
  <w:style w:type="paragraph" w:styleId="1234" w:customStyle="1">
    <w:name w:val="正文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五级条标题"/>
    <w:basedOn w:val="1236"/>
    <w:next w:val="858"/>
    <w:uiPriority w:val="0"/>
    <w:qFormat/>
    <w:pPr>
      <w:tabs>
        <w:tab w:val="left" w:pos="360" w:leader="none"/>
        <w:tab w:val="left" w:pos="480" w:leader="none"/>
        <w:tab w:val="left" w:pos="660" w:leader="none"/>
        <w:tab w:val="left" w:pos="2100" w:leader="none"/>
        <w:tab w:val="left" w:pos="2520" w:leader="none"/>
        <w:tab w:val="left" w:pos="2880" w:leader="none"/>
        <w:tab w:val="left" w:pos="3600" w:leader="none"/>
      </w:tabs>
      <w:outlineLvl w:val="6"/>
    </w:pPr>
  </w:style>
  <w:style w:type="paragraph" w:styleId="1236" w:customStyle="1">
    <w:name w:val="四级条标题"/>
    <w:basedOn w:val="1237"/>
    <w:next w:val="858"/>
    <w:uiPriority w:val="0"/>
    <w:qFormat/>
    <w:pPr>
      <w:ind w:left="480"/>
      <w:tabs>
        <w:tab w:val="left" w:pos="360" w:leader="none"/>
        <w:tab w:val="left" w:pos="480" w:leader="none"/>
        <w:tab w:val="left" w:pos="660" w:leader="none"/>
        <w:tab w:val="left" w:pos="2100" w:leader="none"/>
        <w:tab w:val="left" w:pos="2880" w:leader="none"/>
      </w:tabs>
      <w:outlineLvl w:val="5"/>
    </w:pPr>
  </w:style>
  <w:style w:type="paragraph" w:styleId="1237" w:customStyle="1">
    <w:name w:val="三级条标题"/>
    <w:basedOn w:val="1238"/>
    <w:next w:val="858"/>
    <w:uiPriority w:val="0"/>
    <w:qFormat/>
    <w:pPr>
      <w:ind w:left="660"/>
      <w:tabs>
        <w:tab w:val="left" w:pos="360" w:leader="none"/>
        <w:tab w:val="left" w:pos="480" w:leader="none"/>
        <w:tab w:val="left" w:pos="660" w:leader="none"/>
      </w:tabs>
      <w:outlineLvl w:val="4"/>
    </w:pPr>
  </w:style>
  <w:style w:type="paragraph" w:styleId="1238" w:customStyle="1">
    <w:name w:val="二级条标题"/>
    <w:basedOn w:val="1239"/>
    <w:next w:val="858"/>
    <w:uiPriority w:val="0"/>
    <w:qFormat/>
    <w:pPr>
      <w:ind w:left="480" w:hanging="480"/>
      <w:tabs>
        <w:tab w:val="left" w:pos="360" w:leader="none"/>
        <w:tab w:val="left" w:pos="480" w:leader="none"/>
        <w:tab w:val="left" w:pos="660" w:leader="none"/>
      </w:tabs>
      <w:outlineLvl w:val="3"/>
    </w:pPr>
  </w:style>
  <w:style w:type="paragraph" w:styleId="1239" w:customStyle="1">
    <w:name w:val="一级条标题"/>
    <w:basedOn w:val="858"/>
    <w:next w:val="858"/>
    <w:uiPriority w:val="0"/>
    <w:qFormat/>
    <w:pPr>
      <w:ind w:left="660" w:hanging="660"/>
      <w:widowControl/>
      <w:tabs>
        <w:tab w:val="left" w:pos="360" w:leader="none"/>
        <w:tab w:val="left" w:pos="660" w:leader="none"/>
      </w:tabs>
      <w:outlineLvl w:val="2"/>
    </w:pPr>
    <w:rPr>
      <w:rFonts w:ascii="黑体" w:hAnsi="Calibri" w:eastAsia="黑体"/>
      <w:szCs w:val="20"/>
    </w:rPr>
  </w:style>
  <w:style w:type="paragraph" w:styleId="1240" w:customStyle="1">
    <w:name w:val="纯文本1"/>
    <w:basedOn w:val="858"/>
    <w:uiPriority w:val="0"/>
    <w:qFormat/>
    <w:rPr>
      <w:rFonts w:ascii="宋体" w:hAnsi="Courier New" w:eastAsia="楷体_GB2312"/>
      <w:sz w:val="28"/>
      <w:szCs w:val="20"/>
    </w:rPr>
  </w:style>
  <w:style w:type="paragraph" w:styleId="1241" w:customStyle="1">
    <w:name w:val="+(1)"/>
    <w:basedOn w:val="1242"/>
    <w:uiPriority w:val="0"/>
    <w:qFormat/>
    <w:pPr>
      <w:ind w:left="1260" w:firstLine="0"/>
      <w:tabs>
        <w:tab w:val="left" w:pos="1260" w:leader="none"/>
      </w:tabs>
    </w:pPr>
  </w:style>
  <w:style w:type="paragraph" w:styleId="1242" w:customStyle="1">
    <w:name w:val="+正文 Char"/>
    <w:basedOn w:val="858"/>
    <w:uiPriority w:val="0"/>
    <w:qFormat/>
    <w:pPr>
      <w:ind w:firstLine="200"/>
      <w:spacing w:line="360" w:lineRule="auto"/>
    </w:pPr>
    <w:rPr>
      <w:sz w:val="24"/>
      <w:szCs w:val="28"/>
    </w:rPr>
  </w:style>
  <w:style w:type="paragraph" w:styleId="1243" w:customStyle="1">
    <w:name w:val="xl39"/>
    <w:basedOn w:val="858"/>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244" w:customStyle="1">
    <w:name w:val="Char1"/>
    <w:basedOn w:val="858"/>
    <w:uiPriority w:val="0"/>
    <w:qFormat/>
    <w:pPr>
      <w:ind w:left="720" w:hanging="720"/>
      <w:tabs>
        <w:tab w:val="left" w:pos="720" w:leader="none"/>
      </w:tabs>
    </w:pPr>
    <w:rPr>
      <w:sz w:val="24"/>
    </w:rPr>
  </w:style>
  <w:style w:type="paragraph" w:styleId="1245" w:customStyle="1">
    <w:name w:val="GP标题2"/>
    <w:basedOn w:val="858"/>
    <w:next w:val="1184"/>
    <w:uiPriority w:val="0"/>
    <w:qFormat/>
    <w:pPr>
      <w:jc w:val="left"/>
      <w:spacing w:line="360" w:lineRule="auto"/>
      <w:outlineLvl w:val="1"/>
    </w:pPr>
    <w:rPr>
      <w:rFonts w:ascii="华文细黑" w:hAnsi="华文细黑" w:eastAsia="华文细黑"/>
      <w:b/>
      <w:sz w:val="32"/>
      <w:szCs w:val="21"/>
    </w:rPr>
  </w:style>
  <w:style w:type="paragraph" w:styleId="1246" w:customStyle="1">
    <w:name w:val="Char2"/>
    <w:basedOn w:val="858"/>
    <w:uiPriority w:val="0"/>
    <w:qFormat/>
    <w:pPr>
      <w:tabs>
        <w:tab w:val="left" w:pos="360" w:leader="none"/>
      </w:tabs>
    </w:pPr>
    <w:rPr>
      <w:rFonts w:ascii="Calibri" w:hAnsi="Calibri"/>
    </w:rPr>
  </w:style>
  <w:style w:type="paragraph" w:styleId="1247" w:customStyle="1">
    <w:name w:val="GP正文(无首行缩进)"/>
    <w:uiPriority w:val="0"/>
    <w:qFormat/>
    <w:pPr>
      <w:spacing w:line="360" w:lineRule="auto"/>
      <w:widowControl w:val="off"/>
    </w:pPr>
    <w:rPr>
      <w:rFonts w:hint="default" w:ascii="Calibri" w:hAnsi="Calibri" w:eastAsia="宋体" w:cs="Times New Roman"/>
      <w:sz w:val="24"/>
      <w:szCs w:val="21"/>
      <w:lang w:val="en-US" w:eastAsia="zh-CN" w:bidi="ar-SA"/>
    </w:rPr>
  </w:style>
  <w:style w:type="paragraph" w:styleId="1248" w:customStyle="1">
    <w:name w:val="默认段落字体 Para Char Char Char Char Char Char Char Char Char1 Char Char Char Char"/>
    <w:basedOn w:val="858"/>
    <w:uiPriority w:val="0"/>
    <w:qFormat/>
    <w:rPr>
      <w:rFonts w:ascii="Tahoma" w:hAnsi="Tahoma"/>
      <w:sz w:val="24"/>
      <w:szCs w:val="20"/>
    </w:rPr>
  </w:style>
  <w:style w:type="paragraph" w:styleId="1249" w:customStyle="1">
    <w:name w:val="图"/>
    <w:basedOn w:val="858"/>
    <w:uiPriority w:val="0"/>
    <w:qFormat/>
    <w:pPr>
      <w:jc w:val="center"/>
      <w:keepNext/>
      <w:spacing w:before="60" w:after="60" w:line="300" w:lineRule="auto"/>
    </w:pPr>
    <w:rPr>
      <w:spacing w:val="20"/>
      <w:sz w:val="24"/>
      <w:szCs w:val="20"/>
    </w:rPr>
  </w:style>
  <w:style w:type="paragraph" w:styleId="1250" w:customStyle="1">
    <w:name w:val="yyn2"/>
    <w:basedOn w:val="858"/>
    <w:uiPriority w:val="0"/>
    <w:qFormat/>
    <w:pPr>
      <w:jc w:val="left"/>
      <w:keepNext/>
      <w:spacing w:line="360" w:lineRule="auto"/>
      <w:widowControl/>
      <w:tabs>
        <w:tab w:val="left" w:pos="1344" w:leader="none"/>
      </w:tabs>
    </w:pPr>
    <w:rPr>
      <w:rFonts w:ascii="宋体" w:hAnsi="Calibri"/>
      <w:color w:val="000000"/>
      <w:sz w:val="28"/>
      <w:szCs w:val="20"/>
    </w:rPr>
  </w:style>
  <w:style w:type="paragraph" w:styleId="1251"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52" w:customStyle="1">
    <w:name w:val="Blockquote"/>
    <w:basedOn w:val="858"/>
    <w:uiPriority w:val="0"/>
    <w:qFormat/>
    <w:pPr>
      <w:ind w:left="360" w:right="360"/>
      <w:jc w:val="left"/>
      <w:spacing w:before="100" w:after="100"/>
    </w:pPr>
    <w:rPr>
      <w:sz w:val="24"/>
      <w:szCs w:val="21"/>
    </w:rPr>
  </w:style>
  <w:style w:type="paragraph" w:styleId="1253" w:customStyle="1">
    <w:name w:val="正文 New"/>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4" w:customStyle="1">
    <w:name w:val="Char Char Char"/>
    <w:basedOn w:val="858"/>
    <w:uiPriority w:val="0"/>
    <w:qFormat/>
    <w:rPr>
      <w:rFonts w:ascii="Tahoma" w:hAnsi="Tahoma"/>
      <w:sz w:val="24"/>
      <w:szCs w:val="20"/>
    </w:rPr>
  </w:style>
  <w:style w:type="paragraph" w:styleId="1255" w:customStyle="1">
    <w:name w:val="样式 (中文) 仿宋_GB2312 小四 行距: 1.5 倍行距"/>
    <w:basedOn w:val="858"/>
    <w:uiPriority w:val="0"/>
    <w:qFormat/>
    <w:pPr>
      <w:ind w:firstLine="200"/>
      <w:spacing w:line="360" w:lineRule="auto"/>
    </w:pPr>
    <w:rPr>
      <w:rFonts w:eastAsia="仿宋_GB2312" w:cs="宋体"/>
      <w:sz w:val="24"/>
      <w:szCs w:val="20"/>
    </w:rPr>
  </w:style>
  <w:style w:type="paragraph" w:styleId="1256" w:customStyle="1">
    <w:name w:val="样式4"/>
    <w:basedOn w:val="858"/>
    <w:uiPriority w:val="0"/>
    <w:qFormat/>
    <w:pPr>
      <w:ind w:left="432" w:hanging="632"/>
      <w:spacing w:line="360" w:lineRule="auto"/>
      <w:tabs>
        <w:tab w:val="left" w:pos="420" w:leader="none"/>
      </w:tabs>
    </w:pPr>
    <w:rPr>
      <w:rFonts w:ascii="Calibri" w:hAnsi="Calibri"/>
      <w:sz w:val="24"/>
    </w:rPr>
  </w:style>
  <w:style w:type="paragraph" w:styleId="1257" w:customStyle="1">
    <w:name w:val="列出段落"/>
    <w:basedOn w:val="858"/>
    <w:link w:val="1258"/>
    <w:uiPriority w:val="34"/>
    <w:qFormat/>
    <w:pPr>
      <w:ind w:firstLine="420"/>
    </w:pPr>
    <w:rPr>
      <w:rFonts w:ascii="Calibri" w:hAnsi="Calibri"/>
      <w:szCs w:val="22"/>
    </w:rPr>
  </w:style>
  <w:style w:type="character" w:styleId="1258" w:customStyle="1">
    <w:name w:val="列出段落 Char"/>
    <w:link w:val="1257"/>
    <w:uiPriority w:val="34"/>
    <w:qFormat/>
    <w:rPr>
      <w:rFonts w:ascii="Calibri" w:hAnsi="Calibri"/>
      <w:sz w:val="21"/>
      <w:szCs w:val="22"/>
    </w:rPr>
  </w:style>
  <w:style w:type="paragraph" w:styleId="1259" w:customStyle="1">
    <w:name w:val="Style Heading 4 + Left:  0 cm First line:  0 cm Before:  0.5 line..."/>
    <w:basedOn w:val="1045"/>
    <w:uiPriority w:val="0"/>
    <w:qFormat/>
    <w:pPr>
      <w:keepLines w:val="0"/>
      <w:spacing w:line="240" w:lineRule="auto"/>
    </w:pPr>
    <w:rPr>
      <w:rFonts w:ascii="Times New Roman" w:hAnsi="Times New Roman" w:eastAsia="宋体" w:cs="宋体"/>
      <w:b w:val="0"/>
      <w:bCs w:val="0"/>
      <w:sz w:val="24"/>
      <w:szCs w:val="24"/>
    </w:rPr>
  </w:style>
  <w:style w:type="paragraph" w:styleId="1260" w:customStyle="1">
    <w:name w:val="接續本文"/>
    <w:basedOn w:val="1072"/>
    <w:uiPriority w:val="0"/>
    <w:qFormat/>
    <w:pPr>
      <w:ind w:left="1080"/>
      <w:keepNext/>
      <w:spacing w:after="240" w:line="240" w:lineRule="atLeast"/>
      <w:widowControl/>
      <w:tabs>
        <w:tab w:val="clear" w:pos="5250" w:leader="none"/>
      </w:tabs>
    </w:pPr>
    <w:rPr>
      <w:rFonts w:ascii="Arial" w:hAnsi="Arial" w:eastAsia="PMingLiU"/>
      <w:spacing w:val="-5"/>
      <w:sz w:val="20"/>
      <w:szCs w:val="20"/>
      <w:lang w:eastAsia="zh-TW" w:bidi="he-IL"/>
    </w:rPr>
  </w:style>
  <w:style w:type="paragraph" w:styleId="1261" w:customStyle="1">
    <w:name w:val="Style Heading 5 + 12 pt No underline"/>
    <w:basedOn w:val="1046"/>
    <w:uiPriority w:val="0"/>
    <w:qFormat/>
    <w:pPr>
      <w:ind w:left="0" w:firstLine="0"/>
      <w:keepLines w:val="0"/>
      <w:spacing w:before="0" w:after="0" w:line="240" w:lineRule="auto"/>
      <w:tabs>
        <w:tab w:val="clear" w:pos="1008" w:leader="none"/>
      </w:tabs>
    </w:pPr>
    <w:rPr>
      <w:b w:val="0"/>
      <w:bCs w:val="0"/>
      <w:iCs/>
      <w:sz w:val="24"/>
      <w:szCs w:val="26"/>
    </w:rPr>
  </w:style>
  <w:style w:type="paragraph" w:styleId="1262" w:customStyle="1">
    <w:name w:val="xl31"/>
    <w:basedOn w:val="8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263" w:customStyle="1">
    <w:name w:val="+▲"/>
    <w:basedOn w:val="1242"/>
    <w:uiPriority w:val="0"/>
    <w:qFormat/>
    <w:pPr>
      <w:ind w:left="930" w:hanging="360"/>
      <w:tabs>
        <w:tab w:val="left" w:pos="930" w:leader="none"/>
      </w:tabs>
    </w:pPr>
    <w:rPr>
      <w:rFonts w:ascii="Calibri" w:hAnsi="Calibri"/>
    </w:rPr>
  </w:style>
  <w:style w:type="paragraph" w:styleId="1264" w:customStyle="1">
    <w:name w:val="Big Heading"/>
    <w:basedOn w:val="858"/>
    <w:uiPriority w:val="0"/>
    <w:qFormat/>
    <w:pPr>
      <w:jc w:val="center"/>
    </w:pPr>
    <w:rPr>
      <w:rFonts w:ascii="Calibri" w:hAnsi="Calibri"/>
      <w:b/>
      <w:bCs/>
      <w:sz w:val="40"/>
      <w:szCs w:val="20"/>
    </w:rPr>
  </w:style>
  <w:style w:type="paragraph" w:styleId="1265" w:customStyle="1">
    <w:name w:val="打对勾的标号1"/>
    <w:basedOn w:val="858"/>
    <w:uiPriority w:val="0"/>
    <w:qFormat/>
    <w:pPr>
      <w:tabs>
        <w:tab w:val="left" w:pos="540" w:leader="none"/>
      </w:tabs>
    </w:pPr>
    <w:rPr>
      <w:rFonts w:ascii="宋体" w:hAnsi="Calibri"/>
      <w:color w:val="000000"/>
      <w:sz w:val="28"/>
      <w:szCs w:val="20"/>
      <w:lang w:val="en-GB"/>
    </w:rPr>
  </w:style>
  <w:style w:type="paragraph" w:styleId="1266" w:customStyle="1">
    <w:name w:val="Char Char Char1 Char"/>
    <w:basedOn w:val="858"/>
    <w:uiPriority w:val="0"/>
    <w:qFormat/>
    <w:pPr>
      <w:spacing w:line="312" w:lineRule="atLeast"/>
    </w:pPr>
    <w:rPr>
      <w:rFonts w:ascii="Calibri" w:hAnsi="Calibri"/>
      <w:b/>
      <w:bCs/>
      <w:sz w:val="36"/>
      <w:szCs w:val="32"/>
    </w:rPr>
  </w:style>
  <w:style w:type="paragraph" w:styleId="1267" w:customStyle="1">
    <w:name w:val="Normal - Small"/>
    <w:basedOn w:val="858"/>
    <w:uiPriority w:val="0"/>
    <w:qFormat/>
    <w:pPr>
      <w:jc w:val="left"/>
      <w:widowControl/>
    </w:pPr>
    <w:rPr>
      <w:rFonts w:ascii="Calibri" w:hAnsi="Calibri"/>
      <w:bCs/>
      <w:sz w:val="20"/>
      <w:szCs w:val="20"/>
    </w:rPr>
  </w:style>
  <w:style w:type="paragraph" w:styleId="1268" w:customStyle="1">
    <w:name w:val="font5"/>
    <w:basedOn w:val="858"/>
    <w:uiPriority w:val="0"/>
    <w:qFormat/>
    <w:pPr>
      <w:jc w:val="left"/>
      <w:spacing w:before="100" w:beforeAutospacing="1" w:after="100" w:afterAutospacing="1"/>
      <w:widowControl/>
    </w:pPr>
    <w:rPr>
      <w:rFonts w:hint="eastAsia" w:ascii="宋体" w:hAnsi="宋体"/>
      <w:sz w:val="18"/>
      <w:szCs w:val="18"/>
    </w:rPr>
  </w:style>
  <w:style w:type="paragraph" w:styleId="1269" w:customStyle="1">
    <w:name w:val="正文文本缩进1"/>
    <w:basedOn w:val="858"/>
    <w:uiPriority w:val="0"/>
    <w:qFormat/>
    <w:pPr>
      <w:ind w:left="-360" w:firstLine="540"/>
      <w:jc w:val="left"/>
      <w:widowControl/>
    </w:pPr>
    <w:rPr>
      <w:rFonts w:ascii="宋体" w:hAnsi="宋体"/>
      <w:sz w:val="24"/>
    </w:rPr>
  </w:style>
  <w:style w:type="paragraph" w:styleId="1270" w:customStyle="1">
    <w:name w:val="GP标题4"/>
    <w:basedOn w:val="858"/>
    <w:next w:val="1184"/>
    <w:uiPriority w:val="0"/>
    <w:qFormat/>
    <w:pPr>
      <w:jc w:val="left"/>
      <w:spacing w:line="360" w:lineRule="auto"/>
      <w:outlineLvl w:val="3"/>
    </w:pPr>
    <w:rPr>
      <w:rFonts w:ascii="华文细黑" w:hAnsi="华文细黑" w:eastAsia="华文细黑"/>
      <w:b/>
      <w:sz w:val="28"/>
      <w:szCs w:val="21"/>
    </w:rPr>
  </w:style>
  <w:style w:type="paragraph" w:styleId="1271" w:customStyle="1">
    <w:name w:val="+正文 Char Char5 Char"/>
    <w:basedOn w:val="858"/>
    <w:uiPriority w:val="0"/>
    <w:qFormat/>
    <w:pPr>
      <w:ind w:firstLine="200"/>
      <w:spacing w:line="360" w:lineRule="auto"/>
    </w:pPr>
    <w:rPr>
      <w:rFonts w:ascii="Calibri" w:hAnsi="Calibri"/>
      <w:sz w:val="24"/>
      <w:szCs w:val="20"/>
    </w:rPr>
  </w:style>
  <w:style w:type="paragraph" w:styleId="1272" w:customStyle="1">
    <w:name w:val="+注："/>
    <w:basedOn w:val="858"/>
    <w:uiPriority w:val="0"/>
    <w:qFormat/>
    <w:pPr>
      <w:ind w:firstLine="200"/>
      <w:spacing w:line="360" w:lineRule="auto"/>
    </w:pPr>
    <w:rPr>
      <w:rFonts w:ascii="Calibri" w:hAnsi="Calibri"/>
      <w:szCs w:val="21"/>
    </w:rPr>
  </w:style>
  <w:style w:type="paragraph" w:styleId="1273" w:customStyle="1">
    <w:name w:val=" Char Char Char1 Char"/>
    <w:basedOn w:val="858"/>
    <w:uiPriority w:val="0"/>
    <w:qFormat/>
    <w:pPr>
      <w:spacing w:line="312" w:lineRule="atLeast"/>
    </w:pPr>
    <w:rPr>
      <w:rFonts w:ascii="Calibri" w:hAnsi="Calibri"/>
      <w:b/>
      <w:bCs/>
      <w:sz w:val="36"/>
      <w:szCs w:val="32"/>
    </w:rPr>
  </w:style>
  <w:style w:type="paragraph" w:styleId="1274" w:customStyle="1">
    <w:name w:val="xl35"/>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275" w:customStyle="1">
    <w:name w:val="列出段落11"/>
    <w:basedOn w:val="858"/>
    <w:uiPriority w:val="0"/>
    <w:qFormat/>
    <w:pPr>
      <w:ind w:firstLine="420"/>
      <w:spacing w:line="312" w:lineRule="auto"/>
    </w:pPr>
    <w:rPr>
      <w:rFonts w:ascii="Calibri" w:hAnsi="Calibri"/>
      <w:szCs w:val="20"/>
    </w:rPr>
  </w:style>
  <w:style w:type="paragraph" w:styleId="1276" w:customStyle="1">
    <w:name w:val="Plain Text2"/>
    <w:basedOn w:val="858"/>
    <w:uiPriority w:val="0"/>
    <w:qFormat/>
    <w:rPr>
      <w:rFonts w:ascii="宋体" w:hAnsi="Courier New" w:eastAsia="楷体_GB2312"/>
      <w:sz w:val="28"/>
      <w:szCs w:val="20"/>
    </w:rPr>
  </w:style>
  <w:style w:type="paragraph" w:styleId="1277">
    <w:name w:val="List Paragraph"/>
    <w:basedOn w:val="858"/>
    <w:uiPriority w:val="0"/>
    <w:qFormat/>
    <w:pPr>
      <w:ind w:firstLine="420"/>
    </w:pPr>
    <w:rPr>
      <w:rFonts w:ascii="Calibri" w:hAnsi="Calibri"/>
    </w:rPr>
  </w:style>
  <w:style w:type="paragraph" w:styleId="1278" w:customStyle="1">
    <w:name w:val="正文文字3"/>
    <w:basedOn w:val="1072"/>
    <w:uiPriority w:val="0"/>
    <w:qFormat/>
    <w:pPr>
      <w:ind w:left="72" w:right="72"/>
      <w:spacing w:line="360" w:lineRule="atLeast"/>
      <w:tabs>
        <w:tab w:val="clear" w:pos="5250" w:leader="none"/>
      </w:tabs>
    </w:pPr>
    <w:rPr>
      <w:rFonts w:hAnsi="Calibri"/>
      <w:sz w:val="21"/>
      <w:szCs w:val="20"/>
    </w:rPr>
  </w:style>
  <w:style w:type="paragraph" w:styleId="1279" w:customStyle="1">
    <w:name w:val="符号与编号"/>
    <w:basedOn w:val="858"/>
    <w:uiPriority w:val="0"/>
    <w:qFormat/>
    <w:pPr>
      <w:ind w:left="432" w:hanging="632"/>
      <w:spacing w:line="360" w:lineRule="auto"/>
      <w:tabs>
        <w:tab w:val="left" w:pos="425" w:leader="none"/>
      </w:tabs>
    </w:pPr>
    <w:rPr>
      <w:rFonts w:ascii="宋体" w:hAnsi="宋体"/>
      <w:sz w:val="28"/>
      <w:szCs w:val="28"/>
    </w:rPr>
  </w:style>
  <w:style w:type="paragraph" w:styleId="1280" w:customStyle="1">
    <w:name w:val="Char1 Char Char Char Char Char Char"/>
    <w:basedOn w:val="858"/>
    <w:uiPriority w:val="0"/>
    <w:qFormat/>
    <w:rPr>
      <w:rFonts w:ascii="Tahoma" w:hAnsi="Tahoma"/>
      <w:sz w:val="24"/>
      <w:szCs w:val="20"/>
    </w:rPr>
  </w:style>
  <w:style w:type="paragraph" w:styleId="1281" w:customStyle="1">
    <w:name w:val="EHPT"/>
    <w:basedOn w:val="858"/>
    <w:next w:val="1072"/>
    <w:uiPriority w:val="0"/>
    <w:qFormat/>
    <w:pPr>
      <w:ind w:right="-694"/>
    </w:pPr>
    <w:rPr>
      <w:rFonts w:ascii="Calibri" w:hAnsi="Calibri"/>
      <w:sz w:val="24"/>
      <w:szCs w:val="20"/>
    </w:rPr>
  </w:style>
  <w:style w:type="paragraph" w:styleId="1282" w:customStyle="1">
    <w:name w:val="+1."/>
    <w:basedOn w:val="1242"/>
    <w:uiPriority w:val="0"/>
    <w:qFormat/>
    <w:pPr>
      <w:ind w:left="198" w:firstLine="0"/>
      <w:tabs>
        <w:tab w:val="left" w:pos="624" w:leader="none"/>
      </w:tabs>
    </w:pPr>
    <w:rPr>
      <w:rFonts w:ascii="Calibri" w:hAnsi="Calibri"/>
    </w:rPr>
  </w:style>
  <w:style w:type="paragraph" w:styleId="1283" w:customStyle="1">
    <w:name w:val="Char Char Char Char Char Char Char Char Char Char Char1 Char Char Char Char Char Char Char Char Char Char"/>
    <w:basedOn w:val="858"/>
    <w:uiPriority w:val="0"/>
    <w:qFormat/>
    <w:rPr>
      <w:rFonts w:ascii="Tahoma" w:hAnsi="Tahoma"/>
      <w:sz w:val="24"/>
      <w:szCs w:val="20"/>
    </w:rPr>
  </w:style>
  <w:style w:type="paragraph" w:styleId="1284" w:customStyle="1">
    <w:name w:val="+列表1"/>
    <w:basedOn w:val="858"/>
    <w:uiPriority w:val="0"/>
    <w:qFormat/>
    <w:pPr>
      <w:jc w:val="center"/>
    </w:pPr>
    <w:rPr>
      <w:rFonts w:ascii="Calibri" w:hAnsi="Calibri"/>
      <w:sz w:val="24"/>
    </w:rPr>
  </w:style>
  <w:style w:type="paragraph" w:styleId="1285" w:customStyle="1">
    <w:name w:val="+标题3"/>
    <w:basedOn w:val="1044"/>
    <w:uiPriority w:val="0"/>
    <w:qFormat/>
    <w:pPr>
      <w:spacing w:before="120" w:after="120" w:line="360" w:lineRule="auto"/>
    </w:pPr>
    <w:rPr>
      <w:rFonts w:hAnsi="Calibri"/>
      <w:sz w:val="24"/>
      <w:szCs w:val="28"/>
    </w:rPr>
  </w:style>
  <w:style w:type="paragraph" w:styleId="1286" w:customStyle="1">
    <w:name w:val="+●"/>
    <w:basedOn w:val="1242"/>
    <w:uiPriority w:val="0"/>
    <w:qFormat/>
    <w:pPr>
      <w:ind w:left="2940" w:hanging="420"/>
      <w:tabs>
        <w:tab w:val="left" w:pos="2940" w:leader="none"/>
      </w:tabs>
    </w:pPr>
    <w:rPr>
      <w:rFonts w:ascii="Calibri" w:hAnsi="Calibri"/>
    </w:rPr>
  </w:style>
  <w:style w:type="paragraph" w:styleId="1287" w:customStyle="1">
    <w:name w:val="Char Char Char Char Char1 Char Char Char Char Char Char Char"/>
    <w:basedOn w:val="858"/>
    <w:uiPriority w:val="0"/>
    <w:qFormat/>
    <w:rPr>
      <w:rFonts w:ascii="Calibri" w:hAnsi="Calibri"/>
    </w:rPr>
  </w:style>
  <w:style w:type="paragraph" w:styleId="1288" w:customStyle="1">
    <w:name w:val="列表内容"/>
    <w:basedOn w:val="858"/>
    <w:next w:val="858"/>
    <w:uiPriority w:val="0"/>
    <w:qFormat/>
    <w:pPr>
      <w:ind w:firstLine="200"/>
      <w:jc w:val="left"/>
      <w:widowControl/>
      <w:tabs>
        <w:tab w:val="left" w:pos="840" w:leader="none"/>
      </w:tabs>
    </w:pPr>
    <w:rPr>
      <w:rFonts w:ascii="Calibri" w:hAnsi="Calibri"/>
      <w:sz w:val="18"/>
    </w:rPr>
  </w:style>
  <w:style w:type="paragraph" w:styleId="1289" w:customStyle="1">
    <w:name w:val="xl25"/>
    <w:basedOn w:val="858"/>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290" w:customStyle="1">
    <w:name w:val="样式SZA"/>
    <w:basedOn w:val="1072"/>
    <w:uiPriority w:val="0"/>
    <w:qFormat/>
    <w:pPr>
      <w:ind w:left="660" w:hanging="660"/>
      <w:jc w:val="left"/>
      <w:spacing w:after="220" w:line="220" w:lineRule="atLeast"/>
      <w:widowControl/>
      <w:tabs>
        <w:tab w:val="left" w:pos="660" w:leader="none"/>
      </w:tabs>
    </w:pPr>
    <w:rPr>
      <w:rFonts w:hAnsi="Calibri"/>
      <w:sz w:val="21"/>
      <w:szCs w:val="20"/>
    </w:rPr>
  </w:style>
  <w:style w:type="paragraph" w:styleId="1291" w:customStyle="1">
    <w:name w:val="Char Char Char Char1"/>
    <w:basedOn w:val="858"/>
    <w:uiPriority w:val="0"/>
    <w:qFormat/>
    <w:pPr>
      <w:ind w:left="495" w:hanging="495"/>
      <w:tabs>
        <w:tab w:val="left" w:pos="495" w:leader="none"/>
      </w:tabs>
    </w:pPr>
    <w:rPr>
      <w:rFonts w:ascii="Calibri" w:hAnsi="Calibri"/>
    </w:rPr>
  </w:style>
  <w:style w:type="paragraph" w:styleId="1292" w:customStyle="1">
    <w:name w:val="样式 标题 4"/>
    <w:basedOn w:val="1045"/>
    <w:uiPriority w:val="0"/>
    <w:qFormat/>
    <w:pPr>
      <w:spacing w:before="120" w:after="120" w:line="374" w:lineRule="auto"/>
    </w:pPr>
    <w:rPr>
      <w:rFonts w:ascii="宋体" w:hAnsi="宋体" w:eastAsia="宋体"/>
      <w:sz w:val="30"/>
      <w:szCs w:val="20"/>
    </w:rPr>
  </w:style>
  <w:style w:type="paragraph" w:styleId="1293" w:customStyle="1">
    <w:name w:val="样式 正文文本缩进 2 + Times New Roman 首行缩进:  1.06 厘米 行距: 固定值 30 磅"/>
    <w:basedOn w:val="1084"/>
    <w:uiPriority w:val="0"/>
    <w:qFormat/>
    <w:pPr>
      <w:ind w:firstLine="601"/>
      <w:spacing w:line="540" w:lineRule="exact"/>
    </w:pPr>
    <w:rPr>
      <w:rFonts w:ascii="Calibri" w:hAnsi="Calibri" w:eastAsia="宋体"/>
      <w:bCs w:val="0"/>
      <w:sz w:val="28"/>
      <w:szCs w:val="28"/>
    </w:rPr>
  </w:style>
  <w:style w:type="paragraph" w:styleId="1294" w:customStyle="1">
    <w:name w:val="front address heading"/>
    <w:basedOn w:val="858"/>
    <w:uiPriority w:val="0"/>
    <w:qFormat/>
    <w:pPr>
      <w:jc w:val="left"/>
      <w:spacing w:after="120" w:line="288" w:lineRule="auto"/>
      <w:widowControl/>
    </w:pPr>
    <w:rPr>
      <w:rFonts w:ascii="Arial" w:hAnsi="Arial" w:cs="Arial"/>
      <w:b/>
      <w:color w:val="ffffff"/>
      <w:sz w:val="18"/>
      <w:szCs w:val="16"/>
      <w:lang w:eastAsia="en-US"/>
    </w:rPr>
  </w:style>
  <w:style w:type="paragraph" w:styleId="1295" w:customStyle="1">
    <w:name w:val="样式 标题 3 + 四号 行距: 固定值 24 磅"/>
    <w:basedOn w:val="1044"/>
    <w:uiPriority w:val="0"/>
    <w:qFormat/>
    <w:pPr>
      <w:ind w:firstLine="200"/>
      <w:keepLines w:val="0"/>
      <w:keepNext w:val="0"/>
      <w:spacing w:before="0" w:after="0" w:line="480" w:lineRule="exact"/>
      <w:widowControl/>
    </w:pPr>
    <w:rPr>
      <w:rFonts w:ascii="宋体" w:hAnsi="Calibri" w:cs="宋体"/>
      <w:b w:val="0"/>
      <w:bCs w:val="0"/>
      <w:sz w:val="28"/>
      <w:szCs w:val="20"/>
    </w:rPr>
  </w:style>
  <w:style w:type="paragraph" w:styleId="1296" w:customStyle="1">
    <w:name w:val="xl73"/>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97" w:customStyle="1">
    <w:name w:val="P5"/>
    <w:uiPriority w:val="0"/>
    <w:qFormat/>
    <w:pPr>
      <w:ind w:left="2304"/>
      <w:jc w:val="both"/>
      <w:spacing w:after="240"/>
      <w:widowControl w:val="off"/>
    </w:pPr>
    <w:rPr>
      <w:rFonts w:hint="default" w:ascii="全真中明體" w:hAnsi="Calibri" w:eastAsia="全真中明體" w:cs="Times New Roman"/>
      <w:spacing w:val="30"/>
      <w:sz w:val="24"/>
      <w:lang w:val="en-GB" w:eastAsia="zh-TW" w:bidi="ar-SA"/>
    </w:rPr>
  </w:style>
  <w:style w:type="paragraph" w:styleId="1298" w:customStyle="1">
    <w:name w:val="Style Heading 3 + 12 pt"/>
    <w:basedOn w:val="1080"/>
    <w:uiPriority w:val="0"/>
    <w:qFormat/>
    <w:pPr>
      <w:ind w:left="360" w:hanging="360"/>
      <w:jc w:val="left"/>
      <w:tabs>
        <w:tab w:val="left" w:pos="360" w:leader="none"/>
      </w:tabs>
    </w:pPr>
    <w:rPr>
      <w:rFonts w:ascii="MingLiU" w:eastAsia="MingLiU"/>
      <w:sz w:val="24"/>
      <w:lang w:eastAsia="zh-TW"/>
    </w:rPr>
  </w:style>
  <w:style w:type="paragraph" w:styleId="1299" w:customStyle="1">
    <w:name w:val="xl42"/>
    <w:basedOn w:val="858"/>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300" w:customStyle="1">
    <w:name w:val="xl29"/>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301" w:customStyle="1">
    <w:name w:val="Char Char Char Char Char Char Char1"/>
    <w:basedOn w:val="858"/>
    <w:uiPriority w:val="0"/>
    <w:qFormat/>
    <w:pPr>
      <w:ind w:firstLine="480"/>
      <w:spacing w:line="360" w:lineRule="auto"/>
    </w:pPr>
    <w:rPr>
      <w:rFonts w:ascii="Tahoma" w:hAnsi="Tahoma"/>
      <w:sz w:val="24"/>
      <w:szCs w:val="20"/>
    </w:rPr>
  </w:style>
  <w:style w:type="paragraph" w:styleId="1302" w:customStyle="1">
    <w:name w:val="GP标题5"/>
    <w:basedOn w:val="858"/>
    <w:next w:val="1184"/>
    <w:uiPriority w:val="0"/>
    <w:qFormat/>
    <w:pPr>
      <w:jc w:val="left"/>
      <w:spacing w:line="360" w:lineRule="auto"/>
      <w:outlineLvl w:val="4"/>
    </w:pPr>
    <w:rPr>
      <w:rFonts w:ascii="华文细黑" w:hAnsi="华文细黑" w:eastAsia="华文细黑"/>
      <w:b/>
      <w:sz w:val="24"/>
      <w:szCs w:val="21"/>
    </w:rPr>
  </w:style>
  <w:style w:type="paragraph" w:styleId="1303" w:customStyle="1">
    <w:name w:val="Char Char4"/>
    <w:basedOn w:val="858"/>
    <w:uiPriority w:val="0"/>
    <w:qFormat/>
    <w:pPr>
      <w:jc w:val="left"/>
      <w:spacing w:after="160" w:line="240" w:lineRule="exact"/>
      <w:widowControl/>
    </w:pPr>
    <w:rPr>
      <w:rFonts w:ascii="Verdana" w:hAnsi="Verdana"/>
      <w:szCs w:val="20"/>
      <w:lang w:eastAsia="en-US"/>
    </w:rPr>
  </w:style>
  <w:style w:type="paragraph" w:styleId="1304" w:customStyle="1">
    <w:name w:val="_Style 53"/>
    <w:basedOn w:val="858"/>
    <w:uiPriority w:val="0"/>
    <w:qFormat/>
    <w:rPr>
      <w:rFonts w:ascii="Calibri" w:hAnsi="Calibri"/>
    </w:rPr>
  </w:style>
  <w:style w:type="paragraph" w:styleId="1305" w:customStyle="1">
    <w:name w:val=" Char Char Char Char"/>
    <w:basedOn w:val="858"/>
    <w:uiPriority w:val="0"/>
    <w:qFormat/>
    <w:pPr>
      <w:ind w:left="495" w:hanging="495"/>
      <w:tabs>
        <w:tab w:val="left" w:pos="495" w:leader="none"/>
      </w:tabs>
    </w:pPr>
    <w:rPr>
      <w:rFonts w:ascii="Calibri" w:hAnsi="Calibri"/>
    </w:rPr>
  </w:style>
  <w:style w:type="paragraph" w:styleId="1306" w:customStyle="1">
    <w:name w:val="xl43"/>
    <w:basedOn w:val="858"/>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307" w:customStyle="1">
    <w:name w:val="subcomment"/>
    <w:basedOn w:val="858"/>
    <w:uiPriority w:val="0"/>
    <w:qFormat/>
    <w:pPr>
      <w:ind w:left="851" w:hanging="851"/>
      <w:jc w:val="left"/>
      <w:widowControl/>
      <w:tabs>
        <w:tab w:val="left" w:pos="851" w:leader="none"/>
      </w:tabs>
    </w:pPr>
    <w:rPr>
      <w:rFonts w:ascii="Calibri" w:hAnsi="Calibri"/>
      <w:sz w:val="20"/>
      <w:szCs w:val="20"/>
      <w:lang w:val="en-AU" w:eastAsia="en-US"/>
    </w:rPr>
  </w:style>
  <w:style w:type="paragraph" w:styleId="1308" w:customStyle="1">
    <w:name w:val="GP标题1"/>
    <w:basedOn w:val="858"/>
    <w:next w:val="1184"/>
    <w:uiPriority w:val="0"/>
    <w:qFormat/>
    <w:pPr>
      <w:jc w:val="center"/>
      <w:spacing w:line="360" w:lineRule="auto"/>
      <w:outlineLvl w:val="0"/>
    </w:pPr>
    <w:rPr>
      <w:rFonts w:ascii="黑体" w:hAnsi="黑体" w:eastAsia="黑体"/>
      <w:b/>
      <w:sz w:val="36"/>
      <w:szCs w:val="21"/>
    </w:rPr>
  </w:style>
  <w:style w:type="paragraph" w:styleId="1309" w:customStyle="1">
    <w:name w:val="Char Char Char Char Char Char1 Char"/>
    <w:basedOn w:val="858"/>
    <w:uiPriority w:val="0"/>
    <w:qFormat/>
    <w:pPr>
      <w:jc w:val="left"/>
      <w:spacing w:after="160" w:line="240" w:lineRule="exact"/>
      <w:widowControl/>
    </w:pPr>
    <w:rPr>
      <w:rFonts w:ascii="Verdana" w:hAnsi="Verdana"/>
      <w:sz w:val="20"/>
      <w:szCs w:val="20"/>
      <w:lang w:eastAsia="en-US"/>
    </w:rPr>
  </w:style>
  <w:style w:type="paragraph" w:styleId="1310" w:customStyle="1">
    <w:name w:val="xl27"/>
    <w:basedOn w:val="858"/>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311" w:customStyle="1">
    <w:name w:val="xl28"/>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12" w:customStyle="1">
    <w:name w:val="+正文 Char6"/>
    <w:basedOn w:val="858"/>
    <w:uiPriority w:val="0"/>
    <w:qFormat/>
    <w:pPr>
      <w:ind w:firstLine="200"/>
      <w:spacing w:line="360" w:lineRule="auto"/>
    </w:pPr>
    <w:rPr>
      <w:rFonts w:ascii="Calibri" w:hAnsi="Calibri"/>
      <w:sz w:val="24"/>
    </w:rPr>
  </w:style>
  <w:style w:type="paragraph" w:styleId="1313" w:customStyle="1">
    <w:name w:val="Rgt-tab para"/>
    <w:basedOn w:val="858"/>
    <w:uiPriority w:val="0"/>
    <w:qFormat/>
    <w:pPr>
      <w:tabs>
        <w:tab w:val="right" w:pos="8050" w:leader="none"/>
      </w:tabs>
    </w:pPr>
    <w:rPr>
      <w:rFonts w:ascii="Calibri" w:hAnsi="Calibri"/>
      <w:spacing w:val="-2"/>
      <w:sz w:val="22"/>
      <w:szCs w:val="20"/>
      <w:lang w:eastAsia="en-US"/>
    </w:rPr>
  </w:style>
  <w:style w:type="paragraph" w:styleId="1314" w:customStyle="1">
    <w:name w:val="纯文本4"/>
    <w:basedOn w:val="858"/>
    <w:uiPriority w:val="0"/>
    <w:qFormat/>
    <w:rPr>
      <w:rFonts w:ascii="宋体" w:hAnsi="Courier New" w:eastAsia="楷体_GB2312"/>
      <w:sz w:val="28"/>
      <w:szCs w:val="20"/>
    </w:rPr>
  </w:style>
  <w:style w:type="character" w:styleId="1315" w:customStyle="1">
    <w:name w:val="font01"/>
    <w:link w:val="858"/>
    <w:uiPriority w:val="0"/>
    <w:qFormat/>
    <w:rPr>
      <w:rFonts w:ascii="Times New Roman" w:hAnsi="Times New Roman" w:cs="Times New Roman"/>
      <w:color w:val="000000"/>
      <w:sz w:val="20"/>
      <w:szCs w:val="20"/>
      <w:u w:val="none"/>
    </w:rPr>
  </w:style>
  <w:style w:type="character" w:styleId="1316" w:customStyle="1">
    <w:name w:val="font11"/>
    <w:link w:val="858"/>
    <w:uiPriority w:val="0"/>
    <w:qFormat/>
    <w:rPr>
      <w:rFonts w:hint="eastAsia" w:ascii="宋体" w:hAnsi="宋体" w:eastAsia="宋体" w:cs="宋体"/>
      <w:color w:val="000000"/>
      <w:sz w:val="20"/>
      <w:szCs w:val="20"/>
      <w:u w:val="none"/>
    </w:rPr>
  </w:style>
  <w:style w:type="character" w:styleId="1317" w:customStyle="1">
    <w:name w:val="font21"/>
    <w:link w:val="858"/>
    <w:uiPriority w:val="0"/>
    <w:qFormat/>
    <w:rPr>
      <w:rFonts w:ascii="Times New Roman" w:hAnsi="Times New Roman" w:cs="Times New Roman"/>
      <w:color w:val="000000"/>
      <w:sz w:val="21"/>
      <w:szCs w:val="21"/>
      <w:u w:val="none"/>
    </w:rPr>
  </w:style>
  <w:style w:type="character" w:styleId="1318" w:customStyle="1">
    <w:name w:val="font31"/>
    <w:link w:val="858"/>
    <w:uiPriority w:val="0"/>
    <w:qFormat/>
    <w:rPr>
      <w:rFonts w:hint="eastAsia" w:ascii="宋体" w:hAnsi="宋体" w:eastAsia="宋体" w:cs="宋体"/>
      <w:color w:val="000000"/>
      <w:sz w:val="21"/>
      <w:szCs w:val="21"/>
      <w:u w:val="none"/>
    </w:rPr>
  </w:style>
  <w:style w:type="character" w:styleId="1319" w:customStyle="1">
    <w:name w:val="NormalCharacter1"/>
    <w:link w:val="858"/>
    <w:uiPriority w:val="0"/>
    <w:qFormat/>
    <w:rPr>
      <w:sz w:val="21"/>
      <w:szCs w:val="22"/>
      <w:lang w:val="en-US" w:eastAsia="zh-CN" w:bidi="ar-SA"/>
    </w:rPr>
  </w:style>
  <w:style w:type="paragraph" w:styleId="1320" w:customStyle="1">
    <w:name w:val="首行缩进"/>
    <w:basedOn w:val="858"/>
    <w:uiPriority w:val="0"/>
    <w:qFormat/>
    <w:pPr>
      <w:ind w:firstLine="480"/>
    </w:pPr>
    <w:rPr>
      <w:lang w:val="zh-CN"/>
    </w:rPr>
  </w:style>
  <w:style w:type="paragraph" w:styleId="1321" w:customStyle="1">
    <w:name w:val="one-p"/>
    <w:basedOn w:val="858"/>
    <w:uiPriority w:val="0"/>
    <w:qFormat/>
    <w:pPr>
      <w:jc w:val="left"/>
      <w:spacing w:before="100" w:beforeAutospacing="1" w:after="100" w:afterAutospacing="1"/>
      <w:widowControl/>
    </w:pPr>
    <w:rPr>
      <w:rFonts w:ascii="宋体" w:hAnsi="宋体" w:eastAsia="宋体" w:cs="宋体"/>
      <w:sz w:val="24"/>
    </w:rPr>
  </w:style>
  <w:style w:type="paragraph" w:styleId="1322" w:customStyle="1">
    <w:name w:val="纯文本12"/>
    <w:basedOn w:val="858"/>
    <w:uiPriority w:val="0"/>
    <w:qFormat/>
    <w:rPr>
      <w:rFonts w:hint="eastAsia" w:ascii="宋体" w:hAnsi="Courier New" w:eastAsia="楷体_GB2312"/>
      <w:sz w:val="28"/>
      <w:szCs w:val="20"/>
    </w:rPr>
  </w:style>
  <w:style w:type="paragraph" w:styleId="1323" w:customStyle="1">
    <w:name w:val="纯文本6"/>
    <w:basedOn w:val="858"/>
    <w:uiPriority w:val="0"/>
    <w:qFormat/>
    <w:rPr>
      <w:rFonts w:ascii="宋体" w:hAnsi="Courier New" w:eastAsia="楷体_GB2312"/>
      <w:sz w:val="28"/>
      <w:szCs w:val="20"/>
    </w:rPr>
  </w:style>
  <w:style w:type="paragraph" w:styleId="1324" w:customStyle="1">
    <w:name w:val="样式 首行缩进:  0 字符"/>
    <w:basedOn w:val="858"/>
    <w:uiPriority w:val="0"/>
    <w:qFormat/>
  </w:style>
  <w:style w:type="paragraph" w:styleId="1325" w:customStyle="1">
    <w:name w:val="表格正文"/>
    <w:basedOn w:val="858"/>
    <w:uiPriority w:val="99"/>
    <w:qFormat/>
    <w:pPr>
      <w:jc w:val="left"/>
      <w:spacing w:line="360" w:lineRule="auto"/>
    </w:pPr>
    <w:rPr>
      <w:rFonts w:ascii="Arial" w:hAnsi="Arial" w:cs="宋体"/>
      <w:szCs w:val="20"/>
    </w:rPr>
  </w:style>
  <w:style w:type="paragraph" w:styleId="1326" w:customStyle="1">
    <w:name w:val="Table Text"/>
    <w:basedOn w:val="858"/>
    <w:uiPriority w:val="0"/>
    <w:semiHidden/>
    <w:qFormat/>
    <w:rPr>
      <w:rFonts w:ascii="微软雅黑" w:hAnsi="微软雅黑" w:eastAsia="微软雅黑" w:cs="微软雅黑"/>
      <w:sz w:val="12"/>
      <w:szCs w:val="12"/>
      <w:lang w:eastAsia="en-US"/>
    </w:rPr>
  </w:style>
  <w:style w:type="table" w:styleId="1327" w:customStyle="1">
    <w:name w:val="Table Normal"/>
    <w:uiPriority w:val="0"/>
    <w:unhideWhenUsed/>
    <w:qFormat/>
    <w:rPr>
      <w:lang w:val="en-US" w:eastAsia="zh-CN" w:bidi="ar-SA"/>
    </w:rPr>
    <w:tblPr/>
  </w:style>
  <w:style w:type="paragraph" w:styleId="1328" w:customStyle="1">
    <w:name w:val="正文01"/>
    <w:basedOn w:val="858"/>
    <w:uiPriority w:val="0"/>
    <w:qFormat/>
  </w:style>
  <w:style w:type="paragraph" w:styleId="1329" w:customStyle="1">
    <w:name w:val="列出段落2"/>
    <w:basedOn w:val="858"/>
    <w:uiPriority w:val="34"/>
    <w:qFormat/>
    <w:pPr>
      <w:ind w:firstLine="420"/>
    </w:pPr>
    <w:rPr>
      <w:rFonts w:ascii="宋体" w:hAnsi="宋体"/>
      <w:sz w:val="24"/>
    </w:rPr>
  </w:style>
  <w:style w:type="paragraph" w:styleId="133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numbering" w:styleId="13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49" textRotate="1"/>
    <customShpInfo spid="_x0000_s2050" textRotate="1"/>
    <customShpInfo spid="_x0000_s2051" textRotate="1"/>
    <customShpInfo spid="_x0000_s2052" textRotate="1"/>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赵捷</cp:lastModifiedBy>
  <cp:revision>9</cp:revision>
  <dcterms:created xsi:type="dcterms:W3CDTF">2026-05-19T02:30:00Z</dcterms:created>
  <dcterms:modified xsi:type="dcterms:W3CDTF">2026-07-28T07:17:56Z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eyJoZGlkIjoiNjBmMGMwZGU5NjZiNjFjYjBlYjI5ZmI2MWJiYTk3YTQiLCJ1c2VySWQiOiI2NDU0NDcxMzYifQ==</vt:lpwstr>
  </property>
  <property fmtid="{D5CDD505-2E9C-101B-9397-08002B2CF9AE}" pid="3" name="KSOProductBuildVer">
    <vt:lpwstr>2052-12.1.0.26895</vt:lpwstr>
  </property>
  <property fmtid="{D5CDD505-2E9C-101B-9397-08002B2CF9AE}" pid="4" name="ICV">
    <vt:lpwstr>085482A5454C44C383A0BBC0585C2BAC_12</vt:lpwstr>
  </property>
</Properties>
</file>