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highlight w:val="none"/>
        </w:rPr>
        <w:pBdr>
          <w:top w:val="none" w:color="auto" w:sz="0" w:space="1"/>
          <w:left w:val="none" w:color="auto" w:sz="0" w:space="4"/>
          <w:bottom w:val="none" w:color="auto" w:sz="0" w:space="1"/>
          <w:right w:val="none" w:color="auto" w:sz="0" w:space="4"/>
        </w:pBdr>
      </w:pPr>
      <w:r>
        <w:rPr>
          <w:rFonts w:hint="eastAsia"/>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center"/>
        <w:rPr>
          <w:rFonts w:ascii="黑体" w:hAnsi="黑体" w:eastAsia="黑体"/>
          <w:b/>
          <w:sz w:val="84"/>
          <w:szCs w:val="84"/>
          <w:highlight w:val="none"/>
        </w:rPr>
        <w:pBdr>
          <w:top w:val="none" w:color="auto" w:sz="0" w:space="1"/>
          <w:left w:val="none" w:color="auto" w:sz="0" w:space="4"/>
          <w:bottom w:val="none" w:color="auto" w:sz="0" w:space="1"/>
          <w:right w:val="none" w:color="auto" w:sz="0" w:space="4"/>
        </w:pBdr>
      </w:pPr>
      <w:r>
        <w:rPr>
          <w:rFonts w:hint="eastAsia" w:ascii="黑体" w:hAnsi="黑体" w:eastAsia="黑体"/>
          <w:b/>
          <w:sz w:val="84"/>
          <w:szCs w:val="84"/>
          <w:highlight w:val="none"/>
        </w:rPr>
        <w:t xml:space="preserve">招　标　文　件</w:t>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jc w:val="center"/>
        <w:spacing w:line="480" w:lineRule="auto"/>
        <w:rPr>
          <w:rFonts w:hint="eastAsia" w:ascii="Arial" w:hAnsi="Arial" w:eastAsia="宋体"/>
          <w:b/>
          <w:bCs/>
          <w:color w:val="000000"/>
          <w:sz w:val="32"/>
          <w:szCs w:val="24"/>
          <w:highlight w:val="none"/>
          <w:lang w:eastAsia="zh-CN"/>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2026年度采购项目第三批-设备：液相色谱仪、全自动血培养仪系统等</w:t>
      </w:r>
      <w:r/>
    </w:p>
    <w:p>
      <w:pPr>
        <w:spacing w:line="480" w:lineRule="auto"/>
        <w:rPr>
          <w:rFonts w:hint="eastAsia" w:ascii="黑体" w:hAnsi="Arial" w:eastAsia="宋体"/>
          <w:b/>
          <w:color w:val="000000"/>
          <w:sz w:val="44"/>
          <w:szCs w:val="21"/>
          <w:highlight w:val="none"/>
          <w:lang w:eastAsia="zh-CN"/>
        </w:rPr>
        <w:pBdr>
          <w:top w:val="none" w:color="auto" w:sz="0" w:space="1"/>
          <w:left w:val="none" w:color="auto" w:sz="0" w:space="4"/>
          <w:bottom w:val="none" w:color="auto" w:sz="0" w:space="1"/>
          <w:right w:val="none" w:color="auto" w:sz="0" w:space="4"/>
        </w:pBdr>
      </w:pPr>
      <w:r>
        <w:rPr>
          <w:rFonts w:hint="eastAsia" w:ascii="Arial" w:hAnsi="Arial"/>
          <w:b/>
          <w:bCs/>
          <w:sz w:val="32"/>
          <w:szCs w:val="24"/>
          <w:highlight w:val="none"/>
        </w:rPr>
        <w:t xml:space="preserve">项目编号：</w:t>
      </w:r>
      <w:r>
        <w:rPr>
          <w:rFonts w:hint="eastAsia" w:ascii="Arial" w:hAnsi="Arial"/>
          <w:b/>
          <w:bCs/>
          <w:sz w:val="32"/>
          <w:szCs w:val="24"/>
          <w:highlight w:val="none"/>
          <w:lang w:eastAsia="zh-CN"/>
        </w:rPr>
        <w:t xml:space="preserve">JSZC-320700-XHZX-G2026-0014</w:t>
      </w:r>
      <w:r/>
    </w:p>
    <w:p>
      <w:pPr>
        <w:spacing w:line="480" w:lineRule="auto"/>
        <w:rPr>
          <w:rFonts w:ascii="黑体" w:hAnsi="Arial" w:eastAsia="黑体"/>
          <w:b/>
          <w:color w:val="000000"/>
          <w:sz w:val="44"/>
          <w:szCs w:val="21"/>
          <w:highlight w:val="non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none"/>
        </w:rPr>
      </w:r>
      <w:r/>
    </w:p>
    <w:p>
      <w:pPr>
        <w:pStyle w:val="684"/>
        <w:jc w:val="center"/>
        <w:spacing w:line="360" w:lineRule="auto"/>
        <w:rPr>
          <w:b/>
          <w:color w:val="000000"/>
          <w:sz w:val="32"/>
          <w:highlight w:val="none"/>
        </w:rPr>
        <w:pBdr>
          <w:top w:val="none" w:color="auto" w:sz="0" w:space="1"/>
          <w:left w:val="none" w:color="auto" w:sz="0" w:space="4"/>
          <w:bottom w:val="none" w:color="auto" w:sz="0" w:space="1"/>
          <w:right w:val="none" w:color="auto" w:sz="0" w:space="4"/>
        </w:pBdr>
      </w:pPr>
      <w:r>
        <w:rPr>
          <w:rFonts w:hint="eastAsia" w:ascii="宋体" w:hAnsi="宋体"/>
          <w:b/>
          <w:bCs/>
          <w:sz w:val="32"/>
          <w:highlight w:val="none"/>
        </w:rPr>
        <w:t xml:space="preserve">采  购  人：</w:t>
      </w:r>
      <w:r>
        <w:rPr>
          <w:rFonts w:hint="eastAsia"/>
          <w:b/>
          <w:color w:val="000000"/>
          <w:sz w:val="32"/>
          <w:highlight w:val="none"/>
        </w:rPr>
        <w:t xml:space="preserve">连云港市疾病预防控制中心</w:t>
      </w:r>
      <w:r/>
    </w:p>
    <w:p>
      <w:pPr>
        <w:jc w:val="center"/>
        <w:spacing w:before="120" w:after="120" w:line="36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32"/>
          <w:highlight w:val="none"/>
        </w:rPr>
        <w:t xml:space="preserve">采购代理机构：江苏协鸿工程咨询有限公司</w:t>
      </w:r>
      <w:r/>
    </w:p>
    <w:p>
      <w:pPr>
        <w:jc w:val="center"/>
        <w:spacing w:before="120" w:after="120" w:line="36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t xml:space="preserve">2026年7月</w:t>
      </w:r>
      <w:r/>
    </w:p>
    <w:p>
      <w:pPr>
        <w:jc w:val="center"/>
        <w:spacing w:before="120" w:after="120" w:line="360" w:lineRule="auto"/>
        <w:rPr>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br w:type="page" w:clear="all"/>
      </w:r>
      <w:r>
        <w:rPr>
          <w:highlight w:val="none"/>
        </w:rPr>
        <w:fldChar w:fldCharType="begin"/>
      </w:r>
      <w:r>
        <w:rPr>
          <w:highlight w:val="none"/>
        </w:rPr>
        <w:instrText xml:space="preserve"> TOC \o "1-1" \u </w:instrText>
      </w:r>
      <w:r>
        <w:rPr>
          <w:highlight w:val="none"/>
        </w:rPr>
        <w:fldChar w:fldCharType="separate"/>
      </w:r>
      <w:r/>
    </w:p>
    <w:p>
      <w:pPr>
        <w:pStyle w:val="917"/>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目  录</w:t>
      </w:r>
      <w:r/>
    </w:p>
    <w:p>
      <w:pPr>
        <w:pStyle w:val="917"/>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第一章投标邀请</w:t>
      </w:r>
      <w:r>
        <w:rPr>
          <w:sz w:val="36"/>
          <w:szCs w:val="36"/>
          <w:highlight w:val="none"/>
        </w:rPr>
        <w:tab/>
      </w:r>
      <w:r>
        <w:rPr>
          <w:sz w:val="36"/>
          <w:szCs w:val="36"/>
          <w:highlight w:val="none"/>
        </w:rPr>
        <w:fldChar w:fldCharType="begin"/>
      </w:r>
      <w:r>
        <w:rPr>
          <w:sz w:val="36"/>
          <w:szCs w:val="36"/>
          <w:highlight w:val="none"/>
        </w:rPr>
        <w:instrText xml:space="preserve"> PAGEREF _Toc165205794 \h </w:instrText>
      </w:r>
      <w:r>
        <w:rPr>
          <w:sz w:val="36"/>
          <w:szCs w:val="36"/>
          <w:highlight w:val="none"/>
        </w:rPr>
        <w:fldChar w:fldCharType="separate"/>
      </w:r>
      <w:r>
        <w:rPr>
          <w:sz w:val="36"/>
          <w:szCs w:val="36"/>
          <w:highlight w:val="none"/>
        </w:rPr>
        <w:t xml:space="preserve">1</w:t>
      </w:r>
      <w:r>
        <w:rPr>
          <w:sz w:val="36"/>
          <w:szCs w:val="36"/>
          <w:highlight w:val="none"/>
        </w:rPr>
        <w:fldChar w:fldCharType="end"/>
      </w:r>
      <w:r/>
    </w:p>
    <w:p>
      <w:pPr>
        <w:pStyle w:val="917"/>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第二章供应商须知</w:t>
      </w:r>
      <w:r>
        <w:rPr>
          <w:sz w:val="36"/>
          <w:szCs w:val="36"/>
          <w:highlight w:val="none"/>
        </w:rPr>
        <w:tab/>
      </w:r>
      <w:r>
        <w:rPr>
          <w:sz w:val="36"/>
          <w:szCs w:val="36"/>
          <w:highlight w:val="none"/>
        </w:rPr>
        <w:fldChar w:fldCharType="begin"/>
      </w:r>
      <w:r>
        <w:rPr>
          <w:sz w:val="36"/>
          <w:szCs w:val="36"/>
          <w:highlight w:val="none"/>
        </w:rPr>
        <w:instrText xml:space="preserve"> PAGEREF _Toc165205795 \h </w:instrText>
      </w:r>
      <w:r>
        <w:rPr>
          <w:sz w:val="36"/>
          <w:szCs w:val="36"/>
          <w:highlight w:val="none"/>
        </w:rPr>
        <w:fldChar w:fldCharType="separate"/>
      </w:r>
      <w:r>
        <w:rPr>
          <w:sz w:val="36"/>
          <w:szCs w:val="36"/>
          <w:highlight w:val="none"/>
        </w:rPr>
        <w:t xml:space="preserve">5</w:t>
      </w:r>
      <w:r>
        <w:rPr>
          <w:sz w:val="36"/>
          <w:szCs w:val="36"/>
          <w:highlight w:val="none"/>
        </w:rPr>
        <w:fldChar w:fldCharType="end"/>
      </w:r>
      <w:r/>
    </w:p>
    <w:p>
      <w:pPr>
        <w:pStyle w:val="917"/>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第三章合同文本</w:t>
      </w:r>
      <w:r>
        <w:rPr>
          <w:sz w:val="36"/>
          <w:szCs w:val="36"/>
          <w:highlight w:val="none"/>
        </w:rPr>
        <w:tab/>
      </w:r>
      <w:r>
        <w:rPr>
          <w:sz w:val="36"/>
          <w:szCs w:val="36"/>
          <w:highlight w:val="none"/>
        </w:rPr>
        <w:fldChar w:fldCharType="begin"/>
      </w:r>
      <w:r>
        <w:rPr>
          <w:sz w:val="36"/>
          <w:szCs w:val="36"/>
          <w:highlight w:val="none"/>
        </w:rPr>
        <w:instrText xml:space="preserve"> PAGEREF _Toc165205796 \h </w:instrText>
      </w:r>
      <w:r>
        <w:rPr>
          <w:sz w:val="36"/>
          <w:szCs w:val="36"/>
          <w:highlight w:val="none"/>
        </w:rPr>
        <w:fldChar w:fldCharType="separate"/>
      </w:r>
      <w:r>
        <w:rPr>
          <w:sz w:val="36"/>
          <w:szCs w:val="36"/>
          <w:highlight w:val="none"/>
        </w:rPr>
        <w:t xml:space="preserve">22</w:t>
      </w:r>
      <w:r>
        <w:rPr>
          <w:sz w:val="36"/>
          <w:szCs w:val="36"/>
          <w:highlight w:val="none"/>
        </w:rPr>
        <w:fldChar w:fldCharType="end"/>
      </w:r>
      <w:r/>
    </w:p>
    <w:p>
      <w:pPr>
        <w:pStyle w:val="917"/>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第四章采购需求</w:t>
      </w:r>
      <w:r>
        <w:rPr>
          <w:sz w:val="36"/>
          <w:szCs w:val="36"/>
          <w:highlight w:val="none"/>
        </w:rPr>
        <w:tab/>
      </w:r>
      <w:r>
        <w:rPr>
          <w:sz w:val="36"/>
          <w:szCs w:val="36"/>
          <w:highlight w:val="none"/>
        </w:rPr>
        <w:fldChar w:fldCharType="begin"/>
      </w:r>
      <w:r>
        <w:rPr>
          <w:sz w:val="36"/>
          <w:szCs w:val="36"/>
          <w:highlight w:val="none"/>
        </w:rPr>
        <w:instrText xml:space="preserve"> PAGEREF _Toc165205797 \h </w:instrText>
      </w:r>
      <w:r>
        <w:rPr>
          <w:sz w:val="36"/>
          <w:szCs w:val="36"/>
          <w:highlight w:val="none"/>
        </w:rPr>
        <w:fldChar w:fldCharType="separate"/>
      </w:r>
      <w:r>
        <w:rPr>
          <w:sz w:val="36"/>
          <w:szCs w:val="36"/>
          <w:highlight w:val="none"/>
        </w:rPr>
        <w:t xml:space="preserve">37</w:t>
      </w:r>
      <w:r>
        <w:rPr>
          <w:sz w:val="36"/>
          <w:szCs w:val="36"/>
          <w:highlight w:val="none"/>
        </w:rPr>
        <w:fldChar w:fldCharType="end"/>
      </w:r>
      <w:r/>
    </w:p>
    <w:p>
      <w:pPr>
        <w:pStyle w:val="917"/>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第五章评标方法与评标标准</w:t>
      </w:r>
      <w:r>
        <w:rPr>
          <w:sz w:val="36"/>
          <w:szCs w:val="36"/>
          <w:highlight w:val="none"/>
        </w:rPr>
        <w:tab/>
      </w:r>
      <w:r>
        <w:rPr>
          <w:sz w:val="36"/>
          <w:szCs w:val="36"/>
          <w:highlight w:val="none"/>
        </w:rPr>
        <w:fldChar w:fldCharType="begin"/>
      </w:r>
      <w:r>
        <w:rPr>
          <w:sz w:val="36"/>
          <w:szCs w:val="36"/>
          <w:highlight w:val="none"/>
        </w:rPr>
        <w:instrText xml:space="preserve"> PAGEREF _Toc165205798 \h </w:instrText>
      </w:r>
      <w:r>
        <w:rPr>
          <w:sz w:val="36"/>
          <w:szCs w:val="36"/>
          <w:highlight w:val="none"/>
        </w:rPr>
        <w:fldChar w:fldCharType="separate"/>
      </w:r>
      <w:r>
        <w:rPr>
          <w:sz w:val="36"/>
          <w:szCs w:val="36"/>
          <w:highlight w:val="none"/>
        </w:rPr>
        <w:t xml:space="preserve">58</w:t>
      </w:r>
      <w:r>
        <w:rPr>
          <w:sz w:val="36"/>
          <w:szCs w:val="36"/>
          <w:highlight w:val="none"/>
        </w:rPr>
        <w:fldChar w:fldCharType="end"/>
      </w:r>
      <w:r/>
    </w:p>
    <w:p>
      <w:pPr>
        <w:pStyle w:val="917"/>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第六章投标文件格式</w:t>
      </w:r>
      <w:r>
        <w:rPr>
          <w:sz w:val="36"/>
          <w:szCs w:val="36"/>
          <w:highlight w:val="none"/>
        </w:rPr>
        <w:tab/>
      </w:r>
      <w:r>
        <w:rPr>
          <w:sz w:val="36"/>
          <w:szCs w:val="36"/>
          <w:highlight w:val="none"/>
        </w:rPr>
        <w:fldChar w:fldCharType="begin"/>
      </w:r>
      <w:r>
        <w:rPr>
          <w:sz w:val="36"/>
          <w:szCs w:val="36"/>
          <w:highlight w:val="none"/>
        </w:rPr>
        <w:instrText xml:space="preserve"> PAGEREF _Toc165205799 \h </w:instrText>
      </w:r>
      <w:r>
        <w:rPr>
          <w:sz w:val="36"/>
          <w:szCs w:val="36"/>
          <w:highlight w:val="none"/>
        </w:rPr>
        <w:fldChar w:fldCharType="separate"/>
      </w:r>
      <w:r>
        <w:rPr>
          <w:sz w:val="36"/>
          <w:szCs w:val="36"/>
          <w:highlight w:val="none"/>
        </w:rPr>
        <w:t xml:space="preserve">62</w:t>
      </w:r>
      <w:r>
        <w:rPr>
          <w:sz w:val="36"/>
          <w:szCs w:val="36"/>
          <w:highlight w:val="none"/>
        </w:rPr>
        <w:fldChar w:fldCharType="end"/>
      </w:r>
      <w:r/>
    </w:p>
    <w:p>
      <w:pPr>
        <w:jc w:val="left"/>
        <w:widowControl/>
        <w:rPr>
          <w:highlight w:val="none"/>
        </w:rPr>
        <w:pBdr>
          <w:top w:val="none" w:color="auto" w:sz="0" w:space="1"/>
          <w:left w:val="none" w:color="auto" w:sz="0" w:space="4"/>
          <w:bottom w:val="none" w:color="auto" w:sz="0" w:space="1"/>
          <w:right w:val="none" w:color="auto" w:sz="0" w:space="4"/>
        </w:pBdr>
      </w:pPr>
      <w:r>
        <w:rPr>
          <w:highlight w:val="none"/>
        </w:rPr>
        <w:fldChar w:fldCharType="end"/>
      </w:r>
      <w:r/>
    </w:p>
    <w:p>
      <w:pPr>
        <w:pStyle w:val="890"/>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highlight w:val="none"/>
        </w:rPr>
      </w:r>
      <w:r/>
    </w:p>
    <w:p>
      <w:pPr>
        <w:pStyle w:val="890"/>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0" w:name="_Toc165205794"/>
      <w:r>
        <w:rPr>
          <w:rFonts w:hint="eastAsia" w:ascii="黑体" w:hAnsi="黑体" w:eastAsia="黑体"/>
          <w:b w:val="0"/>
          <w:highlight w:val="none"/>
        </w:rPr>
        <w:t xml:space="preserve">第一章  投标邀请</w:t>
      </w:r>
      <w:bookmarkEnd w:id="0"/>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受连云港市疾病预防控制中心的委托，江苏协鸿工程咨询有限公司就</w:t>
      </w:r>
      <w:r>
        <w:rPr>
          <w:rFonts w:hint="eastAsia"/>
          <w:sz w:val="24"/>
          <w:szCs w:val="24"/>
          <w:highlight w:val="none"/>
          <w:lang w:eastAsia="zh-CN"/>
        </w:rPr>
        <w:t xml:space="preserve">2026年度采购项目第三批-设备：液相色谱仪、全自动血培养仪系统等</w:t>
      </w:r>
      <w:r>
        <w:rPr>
          <w:rFonts w:hint="eastAsia"/>
          <w:sz w:val="24"/>
          <w:szCs w:val="24"/>
          <w:highlight w:val="none"/>
        </w:rPr>
        <w:t xml:space="preserve">（</w:t>
      </w:r>
      <w:r>
        <w:rPr>
          <w:rFonts w:hint="eastAsia"/>
          <w:sz w:val="24"/>
          <w:szCs w:val="24"/>
          <w:highlight w:val="none"/>
          <w:lang w:eastAsia="zh-CN"/>
        </w:rPr>
        <w:t xml:space="preserve">JSZC-320700-XHZX-G2026-0014</w:t>
      </w:r>
      <w:r>
        <w:rPr>
          <w:rFonts w:hint="eastAsia"/>
          <w:sz w:val="24"/>
          <w:szCs w:val="24"/>
          <w:highlight w:val="none"/>
        </w:rPr>
        <w:t xml:space="preserve">）进行公开招标采购，欢迎符合条件的供应商投标。</w:t>
      </w:r>
      <w:r/>
    </w:p>
    <w:tbl>
      <w:tblPr>
        <w:tblStyle w:val="674"/>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项目概况</w:t>
            </w:r>
            <w:r/>
          </w:p>
          <w:p>
            <w:pPr>
              <w:ind w:firstLine="482"/>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b/>
                <w:bCs/>
                <w:sz w:val="24"/>
                <w:szCs w:val="24"/>
                <w:highlight w:val="none"/>
                <w:u w:val="single"/>
                <w:lang w:eastAsia="zh-CN"/>
              </w:rPr>
              <w:t xml:space="preserve">2026年度采购项目第三批-设备：液相色谱仪、全自动血培养仪系统等</w:t>
            </w:r>
            <w:r>
              <w:rPr>
                <w:rFonts w:hint="eastAsia"/>
                <w:sz w:val="24"/>
                <w:szCs w:val="24"/>
                <w:highlight w:val="none"/>
              </w:rPr>
              <w:t xml:space="preserve">的潜在供应商应在</w:t>
            </w:r>
            <w:r>
              <w:rPr>
                <w:rFonts w:hint="eastAsia"/>
                <w:b/>
                <w:bCs/>
                <w:sz w:val="24"/>
                <w:szCs w:val="24"/>
                <w:highlight w:val="none"/>
                <w:u w:val="single"/>
              </w:rPr>
              <w:t xml:space="preserve">江苏政府采购网</w:t>
            </w:r>
            <w:r>
              <w:rPr>
                <w:rFonts w:hint="eastAsia"/>
                <w:sz w:val="24"/>
                <w:szCs w:val="24"/>
                <w:highlight w:val="none"/>
              </w:rPr>
              <w:t xml:space="preserve">自行免费下载招标文件，并于2026年</w:t>
            </w:r>
            <w:r>
              <w:rPr>
                <w:rFonts w:hint="eastAsia"/>
                <w:sz w:val="24"/>
                <w:szCs w:val="24"/>
                <w:highlight w:val="none"/>
                <w:lang w:val="en-US" w:eastAsia="zh-CN"/>
              </w:rPr>
              <w:t xml:space="preserve">8</w:t>
            </w:r>
            <w:r>
              <w:rPr>
                <w:rFonts w:hint="eastAsia"/>
                <w:sz w:val="24"/>
                <w:szCs w:val="24"/>
                <w:highlight w:val="none"/>
              </w:rPr>
              <w:t xml:space="preserve">月</w:t>
            </w:r>
            <w:r>
              <w:rPr>
                <w:rFonts w:hint="eastAsia"/>
                <w:sz w:val="24"/>
                <w:szCs w:val="24"/>
                <w:highlight w:val="none"/>
                <w:lang w:val="en-US" w:eastAsia="zh-CN"/>
              </w:rPr>
              <w:t xml:space="preserve">7</w:t>
            </w:r>
            <w:r>
              <w:rPr>
                <w:rFonts w:hint="eastAsia"/>
                <w:sz w:val="24"/>
                <w:szCs w:val="24"/>
                <w:highlight w:val="none"/>
              </w:rPr>
              <w:t xml:space="preserve">日9:00:00（北京时间）前递交（上传）投标文件。</w:t>
            </w:r>
            <w:r/>
          </w:p>
        </w:tc>
      </w:tr>
    </w:tbl>
    <w:p>
      <w:pPr>
        <w:pStyle w:val="891"/>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一、项目基本情况</w:t>
      </w:r>
      <w:r/>
    </w:p>
    <w:p>
      <w:pPr>
        <w:ind w:firstLine="480"/>
        <w:jc w:val="left"/>
        <w:spacing w:line="500" w:lineRule="exact"/>
        <w:rPr>
          <w:rFonts w:hint="eastAsia" w:eastAsia="宋体"/>
          <w:sz w:val="24"/>
          <w:szCs w:val="24"/>
          <w:highlight w:val="none"/>
          <w:lang w:eastAsia="zh-CN"/>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项目编号：</w:t>
      </w:r>
      <w:r>
        <w:rPr>
          <w:rFonts w:hint="eastAsia"/>
          <w:sz w:val="24"/>
          <w:szCs w:val="24"/>
          <w:highlight w:val="none"/>
          <w:lang w:eastAsia="zh-CN"/>
        </w:rPr>
        <w:t xml:space="preserve">JSZC-320700-XHZX-G2026-0014</w:t>
      </w:r>
      <w:r/>
    </w:p>
    <w:p>
      <w:pPr>
        <w:ind w:firstLine="480"/>
        <w:jc w:val="left"/>
        <w:spacing w:line="500" w:lineRule="exact"/>
        <w:rPr>
          <w:rFonts w:hint="eastAsia" w:eastAsia="宋体"/>
          <w:sz w:val="24"/>
          <w:szCs w:val="24"/>
          <w:highlight w:val="none"/>
          <w:lang w:eastAsia="zh-CN"/>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项目名称：</w:t>
      </w:r>
      <w:r>
        <w:rPr>
          <w:rFonts w:hint="eastAsia"/>
          <w:sz w:val="24"/>
          <w:szCs w:val="24"/>
          <w:highlight w:val="none"/>
          <w:lang w:eastAsia="zh-CN"/>
        </w:rPr>
        <w:t xml:space="preserve">2026年度采购项目第三批-设备：液相色谱仪、全自动血培养仪系统等</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预算金额：199万元</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最高限价：199万元</w:t>
      </w:r>
      <w:r>
        <w:rPr>
          <w:rFonts w:hint="eastAsia"/>
          <w:sz w:val="24"/>
          <w:szCs w:val="24"/>
          <w:highlight w:val="none"/>
          <w:lang w:eastAsia="zh-CN"/>
        </w:rPr>
        <w:t xml:space="preserve">，</w:t>
      </w:r>
      <w:r>
        <w:rPr>
          <w:rFonts w:hint="eastAsia" w:eastAsia="宋体"/>
          <w:sz w:val="24"/>
          <w:szCs w:val="24"/>
          <w:highlight w:val="none"/>
          <w:lang w:eastAsia="zh-CN"/>
        </w:rPr>
        <w:t xml:space="preserve">液相色谱仪</w:t>
      </w:r>
      <w:r>
        <w:rPr>
          <w:rFonts w:hint="eastAsia"/>
          <w:sz w:val="24"/>
          <w:szCs w:val="24"/>
          <w:highlight w:val="none"/>
          <w:lang w:eastAsia="zh-CN"/>
        </w:rPr>
        <w:t xml:space="preserve">：</w:t>
      </w:r>
      <w:r>
        <w:rPr>
          <w:rFonts w:hint="eastAsia"/>
          <w:sz w:val="24"/>
          <w:szCs w:val="24"/>
          <w:highlight w:val="none"/>
          <w:lang w:val="en-US" w:eastAsia="zh-CN"/>
        </w:rPr>
        <w:t xml:space="preserve">85万元；</w:t>
      </w:r>
      <w:r>
        <w:rPr>
          <w:rFonts w:hint="eastAsia"/>
          <w:sz w:val="24"/>
          <w:szCs w:val="24"/>
          <w:highlight w:val="none"/>
        </w:rPr>
        <w:t xml:space="preserve">全自动血培养仪系统</w:t>
      </w:r>
      <w:r>
        <w:rPr>
          <w:rFonts w:hint="eastAsia"/>
          <w:sz w:val="24"/>
          <w:szCs w:val="24"/>
          <w:highlight w:val="none"/>
          <w:lang w:eastAsia="zh-CN"/>
        </w:rPr>
        <w:t xml:space="preserve">：</w:t>
      </w:r>
      <w:r>
        <w:rPr>
          <w:rFonts w:hint="eastAsia"/>
          <w:sz w:val="24"/>
          <w:szCs w:val="24"/>
          <w:highlight w:val="none"/>
          <w:lang w:val="en-US" w:eastAsia="zh-CN"/>
        </w:rPr>
        <w:t xml:space="preserve">25万元</w:t>
      </w:r>
      <w:r>
        <w:rPr>
          <w:rFonts w:hint="eastAsia" w:ascii="宋体" w:hAnsi="宋体"/>
          <w:b w:val="0"/>
          <w:bCs w:val="0"/>
          <w:color w:val="auto"/>
          <w:sz w:val="24"/>
          <w:highlight w:val="none"/>
          <w:lang w:eastAsia="zh-CN"/>
        </w:rPr>
        <w:t xml:space="preserve">；</w:t>
      </w:r>
      <w:r>
        <w:rPr>
          <w:rFonts w:hint="eastAsia"/>
          <w:sz w:val="24"/>
          <w:szCs w:val="24"/>
          <w:highlight w:val="none"/>
        </w:rPr>
        <w:t xml:space="preserve">智能厌氧微生物培养系统</w:t>
      </w:r>
      <w:r>
        <w:rPr>
          <w:rFonts w:hint="eastAsia"/>
          <w:sz w:val="24"/>
          <w:szCs w:val="24"/>
          <w:lang w:eastAsia="zh-CN"/>
        </w:rPr>
        <w:t xml:space="preserve">：</w:t>
      </w:r>
      <w:r>
        <w:rPr>
          <w:rFonts w:hint="eastAsia"/>
          <w:sz w:val="24"/>
          <w:szCs w:val="24"/>
          <w:lang w:val="en-US" w:eastAsia="zh-CN"/>
        </w:rPr>
        <w:t xml:space="preserve">35万元；</w:t>
      </w:r>
      <w:r>
        <w:rPr>
          <w:rFonts w:hint="eastAsia"/>
          <w:sz w:val="24"/>
          <w:szCs w:val="24"/>
          <w:highlight w:val="none"/>
        </w:rPr>
        <w:t xml:space="preserve">40位微波消解仪</w:t>
      </w:r>
      <w:r>
        <w:rPr>
          <w:rFonts w:hint="eastAsia"/>
          <w:sz w:val="24"/>
          <w:szCs w:val="24"/>
          <w:lang w:eastAsia="zh-CN"/>
        </w:rPr>
        <w:t xml:space="preserve">：</w:t>
      </w:r>
      <w:r>
        <w:rPr>
          <w:rFonts w:hint="eastAsia"/>
          <w:sz w:val="24"/>
          <w:szCs w:val="24"/>
          <w:lang w:val="en-US" w:eastAsia="zh-CN"/>
        </w:rPr>
        <w:t xml:space="preserve">54万元</w:t>
      </w:r>
      <w:r>
        <w:rPr>
          <w:rFonts w:hint="eastAsia" w:ascii="宋体" w:hAnsi="宋体"/>
          <w:b w:val="0"/>
          <w:bCs w:val="0"/>
          <w:color w:val="auto"/>
          <w:sz w:val="24"/>
          <w:highlight w:val="none"/>
        </w:rPr>
        <w:t xml:space="preserve">，投标报价超过最高限价的投标无效</w:t>
      </w:r>
      <w:r>
        <w:rPr>
          <w:rFonts w:hint="eastAsia" w:ascii="宋体" w:hAnsi="宋体"/>
          <w:color w:val="000000"/>
          <w:sz w:val="24"/>
          <w:highlight w:val="none"/>
        </w:rPr>
        <w:t xml:space="preserve">。</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采购方式：公开招标</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采购需求：连云港市疾病预防控制中心采购液相色谱仪、全自动血培养仪系统、智能厌氧微生物培养系统、40位微波消解仪，具体详见第四章项目需求。</w:t>
      </w:r>
      <w:r/>
    </w:p>
    <w:p>
      <w:pPr>
        <w:ind w:firstLine="482"/>
        <w:jc w:val="left"/>
        <w:spacing w:line="500" w:lineRule="exact"/>
        <w:rPr>
          <w:b/>
          <w:sz w:val="24"/>
          <w:szCs w:val="24"/>
          <w:highlight w:val="none"/>
        </w:rPr>
        <w:pBdr>
          <w:top w:val="none" w:color="auto" w:sz="0" w:space="1"/>
          <w:left w:val="none" w:color="auto" w:sz="0" w:space="4"/>
          <w:bottom w:val="none" w:color="auto" w:sz="0" w:space="1"/>
          <w:right w:val="none" w:color="auto" w:sz="0" w:space="4"/>
        </w:pBdr>
      </w:pPr>
      <w:r>
        <w:rPr>
          <w:rFonts w:hint="eastAsia"/>
          <w:b/>
          <w:sz w:val="24"/>
          <w:szCs w:val="24"/>
          <w:highlight w:val="none"/>
        </w:rPr>
        <w:t xml:space="preserve">对本项目资格要求、采购需求、评标方法与评标标准等部分的询问、质疑请与采购人联系，由采购人负责答复。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合同履行期限：</w:t>
      </w:r>
      <w:r>
        <w:rPr>
          <w:rFonts w:hint="eastAsia" w:ascii="宋体" w:hAnsi="宋体"/>
          <w:sz w:val="24"/>
          <w:szCs w:val="24"/>
          <w:highlight w:val="none"/>
        </w:rPr>
        <w:t xml:space="preserve">合同签订后60天内完成安装调试，达到预期效果。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本项目（是/否）接受联合体投标：不接受联合体。</w:t>
      </w:r>
      <w:r/>
    </w:p>
    <w:p>
      <w:pPr>
        <w:pStyle w:val="891"/>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二、申请人的资格要求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（一）满足《中华人民共和国政府采购法》第二十二条规定，并提供下列材料：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1.法人或者其他组织的营业执照等证明文件，自然人的身份证明；</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2.2024或2025年度的财务状况报告；（成立不满一年无需提供）</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rPr>
          <w:b/>
          <w:bCs/>
          <w:sz w:val="24"/>
          <w:szCs w:val="24"/>
          <w:highlight w:val="none"/>
        </w:rPr>
        <w:pBdr>
          <w:top w:val="none" w:color="auto" w:sz="0" w:space="1"/>
          <w:left w:val="none" w:color="auto" w:sz="0" w:space="4"/>
          <w:bottom w:val="none" w:color="auto" w:sz="0" w:space="1"/>
          <w:right w:val="none" w:color="auto" w:sz="0" w:space="4"/>
        </w:pBdr>
      </w:pPr>
      <w:r>
        <w:rPr>
          <w:rFonts w:hint="eastAsia"/>
          <w:b/>
          <w:bCs/>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4.具备履行合同所必需的设备和专业技术能力的声明及证明材料；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5.参加政府采购活动前3年内在经营活动中没有重大违法记录的书面声明；</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6.法律、行政法规规定的其他条件；（如有，请按要求提供）</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7.资格审查现场查询信用中国、中国政府采购网，供应商被列入失信被执行人、</w:t>
      </w:r>
      <w:r>
        <w:rPr>
          <w:sz w:val="24"/>
          <w:szCs w:val="24"/>
          <w:highlight w:val="none"/>
        </w:rPr>
        <w:t xml:space="preserve">税收违法黑名单</w:t>
      </w:r>
      <w:r>
        <w:rPr>
          <w:rFonts w:hint="eastAsia"/>
          <w:sz w:val="24"/>
          <w:szCs w:val="24"/>
          <w:highlight w:val="none"/>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8.本项目不接受进口产品（进口产品是指通过中国海关报关验放进入中国境内且产自关境外的产品）。</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（二）落实政府采购政策需满足的资格要求：无。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（三）本项目的特定资格要求：无。</w:t>
      </w:r>
      <w:r/>
    </w:p>
    <w:p>
      <w:pPr>
        <w:pStyle w:val="891"/>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三、获取招标文件</w:t>
      </w:r>
      <w:r/>
    </w:p>
    <w:p>
      <w:pPr>
        <w:ind w:firstLine="480"/>
        <w:jc w:val="left"/>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时间：自招标公告发布之日起至2026年7月8日</w:t>
      </w:r>
      <w:r>
        <w:rPr>
          <w:rFonts w:hint="eastAsia"/>
          <w:sz w:val="24"/>
          <w:szCs w:val="24"/>
          <w:highlight w:val="none"/>
        </w:rPr>
        <w:t xml:space="preserve">（北京时间）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地点：江苏政府采购网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方式：供应商办理江苏省政府采购交易系统CA数字证书，登录“苏采云”政府采购交易系统，自行下载。</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售价：0.00元</w:t>
      </w:r>
      <w:r/>
    </w:p>
    <w:p>
      <w:pPr>
        <w:pStyle w:val="891"/>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四、提交投标文件截止时间、开标时间和地点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提交投标文件截止时间：2026年</w:t>
      </w:r>
      <w:r>
        <w:rPr>
          <w:rFonts w:hint="eastAsia"/>
          <w:sz w:val="24"/>
          <w:szCs w:val="24"/>
          <w:highlight w:val="none"/>
          <w:lang w:val="en-US" w:eastAsia="zh-CN"/>
        </w:rPr>
        <w:t xml:space="preserve">8</w:t>
      </w:r>
      <w:r>
        <w:rPr>
          <w:rFonts w:hint="eastAsia"/>
          <w:sz w:val="24"/>
          <w:szCs w:val="24"/>
          <w:highlight w:val="none"/>
        </w:rPr>
        <w:t xml:space="preserve">月</w:t>
      </w:r>
      <w:r>
        <w:rPr>
          <w:rFonts w:hint="eastAsia"/>
          <w:sz w:val="24"/>
          <w:szCs w:val="24"/>
          <w:highlight w:val="none"/>
          <w:lang w:val="en-US" w:eastAsia="zh-CN"/>
        </w:rPr>
        <w:t xml:space="preserve">7</w:t>
      </w:r>
      <w:r>
        <w:rPr>
          <w:rFonts w:hint="eastAsia"/>
          <w:sz w:val="24"/>
          <w:szCs w:val="24"/>
          <w:highlight w:val="none"/>
        </w:rPr>
        <w:t xml:space="preserve">日9:00:00（北京时间）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开标时间：提交投标文件截止时间</w:t>
      </w:r>
      <w:r/>
    </w:p>
    <w:p>
      <w:pPr>
        <w:ind w:firstLine="480"/>
        <w:jc w:val="left"/>
        <w:spacing w:line="500" w:lineRule="exact"/>
        <w:rPr>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开标地点：“苏采云”政府采购交易系统网上开标大厅</w:t>
      </w:r>
      <w:r/>
    </w:p>
    <w:p>
      <w:pPr>
        <w:pStyle w:val="891"/>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五、公告期限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自本公告发布之日起5个工作日。</w:t>
      </w:r>
      <w:r/>
    </w:p>
    <w:p>
      <w:pPr>
        <w:pStyle w:val="891"/>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六、其他补充事宜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1.本次招标不收取投标保证金。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2.本招标文件中</w:t>
      </w:r>
      <w:r>
        <w:rPr>
          <w:rFonts w:hint="eastAsia"/>
          <w:i/>
          <w:iCs/>
          <w:color w:val="c00000"/>
          <w:sz w:val="24"/>
          <w:szCs w:val="24"/>
          <w:highlight w:val="none"/>
          <w:u w:val="single"/>
        </w:rPr>
        <w:t xml:space="preserve">斜体且有下划线</w:t>
      </w:r>
      <w:r>
        <w:rPr>
          <w:rFonts w:hint="eastAsia"/>
          <w:sz w:val="24"/>
          <w:szCs w:val="24"/>
          <w:highlight w:val="non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http://www.ccgp-jiangsu.gov.cn/jiangsu/zlxz/ee/ee3a4bc5a3454aa2b0d9312230633ce9.html</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pStyle w:val="891"/>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七、对本次招标提出询问，请按以下方式联系</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1.采购人信息</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名    称：连云港市疾病预防控制中心</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    址：江苏省连云港市海州区迎曙路99号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 系 人：赵老师</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联系电话：0518-85606056</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2.采购代理机构信息</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名    称：江苏协鸿工程咨询有限公司</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    址：</w:t>
      </w:r>
      <w:r>
        <w:rPr>
          <w:rFonts w:hint="eastAsia" w:ascii="宋体" w:hAnsi="宋体" w:cs="宋体"/>
          <w:sz w:val="24"/>
          <w:szCs w:val="28"/>
          <w:highlight w:val="none"/>
        </w:rPr>
        <w:t xml:space="preserve">连云港市海州区秦东门大街兴亿达大厦西厅14楼</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 系 人：陈工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联系电话：0518-82341968</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3.项目联系方式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项目联系人：陈工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电      话：0518-82341968</w:t>
      </w:r>
      <w:r/>
    </w:p>
    <w:p>
      <w:pPr>
        <w:jc w:val="left"/>
        <w:widowControl/>
        <w:rPr>
          <w:rFonts w:ascii="黑体" w:hAnsi="黑体" w:eastAsia="黑体"/>
          <w:bCs/>
          <w:sz w:val="44"/>
          <w:szCs w:val="44"/>
          <w:highlight w:val="none"/>
        </w:rPr>
        <w:pBdr>
          <w:top w:val="none" w:color="auto" w:sz="0" w:space="1"/>
          <w:left w:val="none" w:color="auto" w:sz="0" w:space="4"/>
          <w:bottom w:val="none" w:color="auto" w:sz="0" w:space="1"/>
          <w:right w:val="none" w:color="auto" w:sz="0" w:space="4"/>
        </w:pBdr>
      </w:pPr>
      <w:r>
        <w:rPr>
          <w:rFonts w:ascii="黑体" w:hAnsi="黑体" w:eastAsia="黑体"/>
          <w:b/>
          <w:highlight w:val="none"/>
        </w:rPr>
        <w:br w:type="page" w:clear="all"/>
      </w:r>
      <w:r/>
    </w:p>
    <w:p>
      <w:pPr>
        <w:pStyle w:val="890"/>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1" w:name="_Toc165205795"/>
      <w:r>
        <w:rPr>
          <w:rFonts w:hint="eastAsia" w:ascii="黑体" w:hAnsi="黑体" w:eastAsia="黑体"/>
          <w:b w:val="0"/>
          <w:highlight w:val="none"/>
        </w:rPr>
        <w:t xml:space="preserve">第二章  供应商须知</w:t>
      </w:r>
      <w:bookmarkEnd w:id="1"/>
      <w:r/>
      <w:r/>
    </w:p>
    <w:p>
      <w:pPr>
        <w:pStyle w:val="891"/>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一、总则</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1、采购方式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 本次招标采取公开招标方式，本招标文件仅适用于招标公告中所述项目。</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2、合格的供应商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 满足招标公告中申请人的资格要求的规定。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 满足本招标文件全部实质性要求和条件的规定。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 符合上述条件的供应商应承担投标及履约过程应承担的全部责任与义务。</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3、适用法律</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 本次招标及由此产生的合同受中华人民共和国有关的法律法规制约和保护。</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4、投标费用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4.2 本项目采购代理费根据苏招协【2022】002号收费标准的69.99%计取，由中标人支付。支付方式：电汇、网银、现金。</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5、招标文件的约束力</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5.1 供应商一旦参与本项目采购活动，即被认为接受了本招标文件的规定和约束。</w:t>
      </w:r>
      <w:r/>
    </w:p>
    <w:p>
      <w:pPr>
        <w:pStyle w:val="891"/>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二、招标文件</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6、招标文件的构成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6.1 招标文件由以下部分构成：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（1）投标邀请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（2）供应商须知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（3）合同文本</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（4）采购需求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（5）评标方法与评标标准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（6）投标文件格式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请仔细检查招标文件是否齐全，如有缺漏请立即与采购代理机构联系解决。</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7、招标文件的澄清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7.1 任何要求对招标文件进行澄清的供应商，应在投标截止时间十日前按招标公告中的通讯地址，以书面形式通知采购人或者采购代理机构。</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8、招标文件的修改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8.1 在投标截止时间前，采购人和采购代理机构可以对招标文件进行修改。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8.2 采购人和采购代理机构有权按照法定的要求推迟投标截止时间和开标时间。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8.3 招标文件的修改将在江苏政府采购网公布，补充文件将作为招标文件的组成部分，并对供应商具有约束力。</w:t>
      </w:r>
      <w:r/>
    </w:p>
    <w:p>
      <w:pPr>
        <w:pStyle w:val="891"/>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三、投标文件编制</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9、投标文件编写注意事项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10、投标文件的语言及度量衡单位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10.2 除技术性能另有规定外，投标文件所使用的度量衡单位，均须采用国家法定计量单位。</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11、投标文件的构成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11.3 特别提醒供应商，混乱的编排导致投标文件被误读或评标委员会（以下简称评委会）查找不到有效文件是供应商的风险。</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12、证明供应商及投标标的符合招标文件规定的文件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12.1 供应商应按照招标文件要求提交证明文件，证明其及投标标的符合招标文件规定。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12.2 招标文件对证明文件无明确形式要求的，证明文件可以以文字资料、图纸和数据等形式提交。</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12.3 供应商委托代理时应当提交授权委托书，请按招标文件第六章给定格式及要求填写并附法定代表人（单位负责人）与委托代理人身份证明。</w:t>
      </w:r>
      <w:r/>
    </w:p>
    <w:p>
      <w:pPr>
        <w:pStyle w:val="892"/>
        <w:ind w:firstLine="562"/>
        <w:jc w:val="left"/>
        <w:spacing w:before="0" w:after="0" w:line="360" w:lineRule="auto"/>
        <w:rPr>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13、投标分项报价表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（1）投标的货物总价；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（2）货物的标准附件、备品备件、专用工具、运输、装卸等各种费用；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（3）必要的保险费用和各项税金；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（4）投标总价要求包含安装维保费用。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13.2 供应商应根据投标报价要求在投标分项报价表中列明各项投标单价、总价等，未全部列示的作无效响应处理。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13.3 投标文件中的单价和总价无特殊规定的采用人民币报价，以元为单位标注。招标文件中另有规定的按规定执行。</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14、技术要求响应及偏离表、商务要求响应及偏离表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14.2 供应商可在投标文件中提供认为需要的其他技术文件或说明。</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15、服务承诺、培训计划、人员安排及其他</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15.2 供应商应根据招标文件要求提供培训计划、人员安排等。</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15.3 供应商应根据招标文件要求提供所投标的的主要组成部分、功能设计、实现思路及关键技术等。</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16、投标函和开标一览表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16.1 供应商应按照招标文件提供的格式完整、正确填写投标函、开标一览表。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17、投标有效期</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17.1 投标有效期为招标文件规定的开标之日后一百二（120）天。投标有效期比规定短的将被视为未实质性响应招标文件而予以拒绝。</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ind w:firstLine="573"/>
        <w:jc w:val="left"/>
        <w:rPr>
          <w:highlight w:val="none"/>
        </w:rPr>
        <w:pBdr>
          <w:top w:val="none" w:color="auto" w:sz="0" w:space="1"/>
          <w:left w:val="none" w:color="auto" w:sz="0" w:space="4"/>
          <w:bottom w:val="none" w:color="auto" w:sz="0" w:space="1"/>
          <w:right w:val="none" w:color="auto" w:sz="0" w:space="4"/>
        </w:pBdr>
      </w:pPr>
      <w:r>
        <w:rPr>
          <w:highlight w:val="none"/>
        </w:rPr>
      </w:r>
      <w:r/>
    </w:p>
    <w:p>
      <w:pPr>
        <w:pStyle w:val="891"/>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四、投标文件递交</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18、电子投标文件的递交</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18.1 供应商应当按照《操作手册》规定，在投标截止时间前制作并递交（上传）电子投标文件。</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19、投标截止时间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19.1 供应商递交（上传）电子投标文件的时间不得迟于招标公告中规定的投标截止时间。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20、投标文件的拒收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20.1 采购代理机构拒绝接收在招标文件规定的投标截止时间后递交（上传）的任何投标文件。</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21、投标文件的撤回和修改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21.3 在投标截止时间至招标文件规定的投标有效期满之间的这段时间内，供应商不得撤回其投标。</w:t>
      </w:r>
      <w:r/>
    </w:p>
    <w:p>
      <w:pPr>
        <w:pStyle w:val="891"/>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五、开标与评标</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22、开标</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22.2 开标仪式由采购代理机构组织。“苏采云”系统将自动对项目进行开标，并宣布各供应商名称和投标价格。</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22.3 供应商在开标过程中涉及到的投标文件解密、开标结果确认等工作，应当按照《操作手册》规定执行。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22.5 供应商未参加开标的，视同认可开标结果。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22.6 供应商在开标、评标全过程中应保持通讯畅通，及时登录“苏采云”系统查阅、答复相关信息，并安排专人与采购代理机构及评委会联系。</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23、评标委员会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23.1 开标后，采购代理机构将组织评委会进行评标。</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23.3 评委会按照采购文件规定的评审程序、评审方法和评审标准进行独立评审并确定中标候选人。</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24、评标过程的保密与公正</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24.2 在评标过程中，供应商不得以任何行为影响评标过程，否则其投标文件将被作为无效投标文件。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24.3 采购代理机构和评委会不向未中标的供应商解释未中标原因，也不公布评标过程中的相关细节。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24.4 采用综合评分法的项目，未中标的供应商可于中标结果公告期限届满之日起通过“苏采云”系统查看自己的评审得分及排序情况。</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25、投标文件的澄清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评委会并非对每个供应商都提出澄清、说明或者补正要求。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25.3 接到评委会澄清、说明或者补正要求的供应商如未按要求响应，其风险由供应商自行承担。</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26、对投标文件的审查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26.1 投标文件审查分为资格审查和符合性审查。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highlight w:val="none"/>
        </w:rPr>
        <w:t xml:space="preserve">用记录的，视同联合体存在不良信用记录。</w:t>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highlight w:val="none"/>
        </w:rPr>
        <w:t xml:space="preserve">且</w:t>
      </w:r>
      <w:r>
        <w:rPr>
          <w:rFonts w:hint="eastAsia"/>
          <w:color w:val="000000"/>
          <w:sz w:val="24"/>
          <w:szCs w:val="24"/>
          <w:highlight w:val="none"/>
        </w:rPr>
        <w:t xml:space="preserve">与招标文件的</w:t>
      </w:r>
      <w:r>
        <w:rPr>
          <w:color w:val="000000"/>
          <w:sz w:val="24"/>
          <w:szCs w:val="24"/>
          <w:highlight w:val="none"/>
        </w:rPr>
        <w:t xml:space="preserve">其余非实质性要求和条件</w:t>
      </w:r>
      <w:r>
        <w:rPr>
          <w:rFonts w:hint="eastAsia"/>
          <w:color w:val="000000"/>
          <w:sz w:val="24"/>
          <w:szCs w:val="24"/>
          <w:highlight w:val="none"/>
        </w:rPr>
        <w:t xml:space="preserve">没有重大偏离。</w:t>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26.2 </w:t>
      </w:r>
      <w:r>
        <w:rPr>
          <w:rFonts w:hint="eastAsia" w:cs="宋体"/>
          <w:color w:val="000000"/>
          <w:sz w:val="24"/>
          <w:szCs w:val="24"/>
          <w:highlight w:val="none"/>
        </w:rPr>
        <w:t xml:space="preserve">所谓重大偏离</w:t>
      </w:r>
      <w:r>
        <w:rPr>
          <w:rFonts w:ascii="宋体" w:hAnsi="宋体"/>
          <w:color w:val="000000"/>
          <w:sz w:val="24"/>
          <w:highlight w:val="none"/>
        </w:rPr>
        <w:t xml:space="preserve">是指</w:t>
      </w:r>
      <w:r>
        <w:rPr>
          <w:rFonts w:hint="eastAsia" w:cs="宋体"/>
          <w:color w:val="000000"/>
          <w:sz w:val="24"/>
          <w:szCs w:val="24"/>
          <w:highlight w:val="non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26.3如果投标文件实质上</w:t>
      </w:r>
      <w:r>
        <w:rPr>
          <w:rFonts w:hint="eastAsia"/>
          <w:sz w:val="24"/>
          <w:szCs w:val="24"/>
          <w:highlight w:val="none"/>
        </w:rPr>
        <w:t xml:space="preserve">没有响应招标文件的要求，评委会将予以拒绝，供应商不得通过修改或撤销不符合要求的偏离而使其投标成为实质性响应的投标。</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（1）投标文件中开标一览表内容与投标文件中相应内容不一致的，以开标一览表为准。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（2）大写金额和小写金额不一致的，以大写金额为准。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（3）单价金额小数点或者百分比有明显错位的，以开标一览表的总价为准，并修改单价。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（4）总价金额与按单价汇总金额不一致的，以单价金额计算结果为准。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同时出现两种以上错误的，按照前款规定的顺序修正。</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非单一产品采购项目，招标文件中将载明核心产品。多家供应商提供的核心产品品牌相同的，按前两款规定处理。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26.7政府采购异常低价审查：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（1）评审过程中出现下列情形之一的，磋商小组应当启动异常低价投标（响应）审查程序：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③投标（响应）报价低于采购项目最高限价45%的，即投标（响应）报价&lt;采购项目最高限价×45%；</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④评审委员会基于专业判断，认为供应商报价过低，有可能影响产品质量或者不能诚信履约的其他情形。</w:t>
      </w:r>
      <w:r/>
    </w:p>
    <w:p>
      <w:pPr>
        <w:numPr>
          <w:ilvl w:val="0"/>
          <w:numId w:val="1"/>
        </w:num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numPr>
          <w:ilvl w:val="0"/>
          <w:numId w:val="1"/>
        </w:numPr>
        <w:ind w:firstLine="480"/>
        <w:jc w:val="left"/>
        <w:spacing w:line="500" w:lineRule="exact"/>
        <w:rPr>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27、无效投标条款和废标条款</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27.1 无效投标条款：</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（1）供应商未按照招标文件要求递交（上传）电子投标文件的。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（2）供应商在“苏采云”系统规定的时间内未成功解密电子投标文件的。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（3）供应商不具备招标文件中规定的资格要求的。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（5）供应商提交两个（含两个）以上不同的投标报价的。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（6）供应商的报价超过了采购预算或者最高限价的。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（10）供应商未通过符合性审查的。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（11）投标文件含有采购人不能接受的附加条件的。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（12）投标文件未按照招标文件要求加盖公章（CA电子公章）的。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（13）其他法律、法规及本招标文件规定的属于无效投标的情形。</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27.2 有下列情形之一的，视为供应商串通投标，投标无效：</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（1）不同供应商的投标文件由同一单位或者个人编制。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（2）不同供应商委托同一单位或者个人办理投标事宜。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（3）不同供应商的投标文件载明的项目管理成员或者联系人员为同一人。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（4）不同供应商的投标文件异常一致或者投标报价呈规律性差异。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（5）不同供应商的投标文件相互混装。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27.3 废标条款：</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（1）因“苏采云”系统故障原因造成开标不成功的。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（3）符合专业条件的供应商或者对招标文件作实质响应的供应商不足三家的。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（4）出现影响采购公正的违法、违规行为的。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（5）因重大变故，采购任务取消的。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891"/>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六、定标</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28、确定中标单位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28.1 中标候选人的选取原则和数量详见招标文件第五章规定。 </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28.2 采购人应根据评委会推荐的中标候选人确定中标人。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28.3 采购代理机构将在江苏政府采购网发布中标公告，公告期限为1个工作日。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28.4 若有充分证据证明，中标人存在下列情形之一的，一经查实，将被取消中标资格：</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（1）提供虚假材料谋取中标、成交的。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（2）采取不正当手段诋毁、排挤其他供应商的。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（3）与采购人、其他供应商或者采购代理机构恶意串通的。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（4）向采购人、采购代理机构行贿或者提供其他不正当利益的。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（5）在招标采购过程中与采购人进行协商谈判的。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（6）属于本招标文件规定的无效情形，但在评标过程中又未被评委会发现的。</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29、中标通知书</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29.3 中标人应在中标后七个工作日内，向采购代理机构提供四份与电子投标文件一致的纸质打印胶装投标文件，封面、骑缝需加盖公章。</w:t>
      </w:r>
      <w:r/>
    </w:p>
    <w:p>
      <w:pPr>
        <w:pStyle w:val="891"/>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七、授予合同</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30、履约保证金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30.5 本项目履约保证金要求详见招标文件第四章 采购需求。</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31、签订合同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31.2 招标文件、中标人的投标文件及招标过程中有关澄清、承诺等文件均应作为合同附件。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32、合同标的的追加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33、政府采购履约资金扶持政策</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33.1 中标人可凭政府采购合同办理融资贷款，详情请见江苏政府采购网“政采贷”专栏。</w:t>
      </w:r>
      <w:r/>
    </w:p>
    <w:p>
      <w:pPr>
        <w:pStyle w:val="891"/>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八、询问与质疑</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34、询问</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35、质疑提出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35.1 提出质疑的供应商应当是参与所质疑项目采购活动的供应商。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（1）供应商的姓名或者名称、地址、邮编、联系人及联系电话；</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（2）质疑项目的名称、编号；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（3）具体、明确的质疑事项和与质疑事项相关的请求；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（4）事实依据；</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（5）必要的法律依据；</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（6）提出质疑的日期；</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（7）必要的证明材料；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892"/>
        <w:ind w:firstLine="562"/>
        <w:jc w:val="left"/>
        <w:spacing w:before="0" w:after="0"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36、质疑函的受理和答复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36.4 以下情形的质疑依法不予受理：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（1）内容不符合《政府采购质疑和投诉办法》第十二条规定的质疑。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（2）超出政府采购法定期限的质疑。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（3）以传真、电子邮件等方式递交的非原件形式的质疑。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（4）未参与采购活动或在采购活动中自身权益未受到损害的供应商提出的质疑。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（5）供应商组成联合体，联合体中任何一方或多方未按要求签字（盖章）、加盖公章的质疑。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36.5 采购人、采购代理机构依法受理的质疑，将按照政府采购有关规定，在法定期限内作出答复。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36.6 因质疑供应商所留联系方式无效，或者无故不接收，导致质疑答复结果无法送达的，视为质疑供应商主动放弃知晓质疑答复结果的权利。</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37、质疑处理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37.1 质疑供应商未按照法定程序进行质疑投诉的，视为一般失信行为。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37.4 质疑供应商在全国范围12个月内三次以上质疑查无实据的，视为一般失信行为。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37.6 质疑供应商在全国范围12个月内三次以上投诉查无实据的，视为严重失信行为。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37.7 未尽事宜，依照有关法律、法规执行。</w:t>
      </w:r>
      <w:r/>
    </w:p>
    <w:p>
      <w:pPr>
        <w:pStyle w:val="891"/>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九、政府采购政策功能</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38、促进中小企业发展</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38.2 供应商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本项目价格扣除计算方法如下：参与报价得分计算的价格＝供应商的最后报价-小型企业、微型企业、监狱企业、残疾人福利性单位的最后报价×10%。</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38.3 参加本项目政府采购活动的供应商享受价格评审优惠的应当提供的材料： </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（1）供应商提供的货物全部由中型企业、小型企业、微型企业制造的，提供《中小企业声明函》（第六章 投标文件格式）。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38.4 享受扶持政策获得政府采购合同的，小微型企业不得将合同分包给大中型企业，中型企业不得将合同分包给大型企业。</w:t>
      </w:r>
      <w:r/>
    </w:p>
    <w:p>
      <w:pPr>
        <w:pStyle w:val="892"/>
        <w:ind w:firstLine="562"/>
        <w:jc w:val="left"/>
        <w:spacing w:before="0" w:after="0" w:line="360" w:lineRule="auto"/>
        <w:rPr>
          <w:sz w:val="28"/>
          <w:szCs w:val="28"/>
          <w:highlight w:val="none"/>
        </w:rPr>
      </w:pPr>
      <w:r>
        <w:rPr>
          <w:rFonts w:hint="eastAsia"/>
          <w:sz w:val="28"/>
          <w:szCs w:val="28"/>
          <w:highlight w:val="none"/>
        </w:rPr>
        <w:t xml:space="preserve">39、政府采购中实施本国产品标准及相关政策</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39.3供应商需按照招标文件的要求提供《关于符合本国产品标准的声明函》（以下简称《声明函》），如不提供将不享受本国产品价格评审优惠。</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cs="宋体"/>
          <w:b w:val="0"/>
          <w:sz w:val="24"/>
          <w:szCs w:val="24"/>
          <w:highlight w:val="none"/>
        </w:rPr>
        <w:t xml:space="preserve">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40、支持绿色发展</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892"/>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41、政府采购需求标准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41.1 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p>
    <w:p>
      <w:pPr>
        <w:pStyle w:val="890"/>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2" w:name="_Toc165205796"/>
      <w:r>
        <w:rPr>
          <w:rFonts w:hint="eastAsia" w:ascii="黑体" w:hAnsi="黑体" w:eastAsia="黑体"/>
          <w:b w:val="0"/>
          <w:highlight w:val="none"/>
        </w:rPr>
        <w:t xml:space="preserve">第三章  合同文本</w:t>
      </w:r>
      <w:bookmarkEnd w:id="2"/>
      <w:r/>
      <w:r/>
    </w:p>
    <w:p>
      <w:pPr>
        <w:pStyle w:val="903"/>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bookmarkStart w:id="3" w:name="_Toc3995"/>
      <w:r/>
      <w:r/>
    </w:p>
    <w:p>
      <w:pPr>
        <w:pStyle w:val="903"/>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p>
    <w:p>
      <w:pPr>
        <w:pStyle w:val="903"/>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p>
    <w:p>
      <w:pPr>
        <w:pStyle w:val="903"/>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p>
    <w:p>
      <w:pPr>
        <w:pStyle w:val="903"/>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hint="eastAsia" w:ascii="宋体" w:hAnsi="宋体" w:cs="宋体"/>
          <w:b/>
          <w:bCs/>
          <w:spacing w:val="-20"/>
          <w:sz w:val="48"/>
          <w:szCs w:val="48"/>
          <w:highlight w:val="none"/>
        </w:rPr>
        <w:t xml:space="preserve">连云港市政府采购货物买卖合同</w:t>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cs="宋体"/>
          <w:sz w:val="32"/>
          <w:szCs w:val="32"/>
          <w:highlight w:val="none"/>
        </w:rPr>
        <w:t xml:space="preserve">项目名称：</w:t>
      </w:r>
      <w:r/>
    </w:p>
    <w:p>
      <w:pPr>
        <w:ind w:left="420"/>
        <w:spacing w:line="360" w:lineRule="auto"/>
        <w:rPr>
          <w:sz w:val="32"/>
          <w:szCs w:val="32"/>
          <w:highlight w:val="none"/>
          <w:u w:val="singl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合同编号：</w:t>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甲    方：</w:t>
      </w:r>
      <w:r/>
    </w:p>
    <w:p>
      <w:pPr>
        <w:ind w:left="420"/>
        <w:spacing w:line="360" w:lineRule="auto"/>
        <w:rPr>
          <w:sz w:val="32"/>
          <w:szCs w:val="32"/>
          <w:highlight w:val="none"/>
          <w:u w:val="singl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乙    方：</w:t>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签订时间：</w:t>
      </w:r>
      <w:r/>
    </w:p>
    <w:p>
      <w:pPr>
        <w:jc w:val="left"/>
        <w:widowControl/>
        <w:rPr>
          <w:rFonts w:eastAsia="黑体"/>
          <w:sz w:val="44"/>
          <w:szCs w:val="44"/>
          <w:highlight w:val="none"/>
        </w:rPr>
        <w:pBdr>
          <w:top w:val="none" w:color="auto" w:sz="0" w:space="1"/>
          <w:left w:val="none" w:color="auto" w:sz="0" w:space="4"/>
          <w:bottom w:val="none" w:color="auto" w:sz="0" w:space="1"/>
          <w:right w:val="none" w:color="auto" w:sz="0" w:space="4"/>
        </w:pBdr>
      </w:pPr>
      <w:r>
        <w:rPr>
          <w:rFonts w:eastAsia="黑体"/>
          <w:sz w:val="44"/>
          <w:szCs w:val="44"/>
          <w:highlight w:val="none"/>
        </w:rPr>
        <w:br w:type="page" w:clear="all"/>
      </w:r>
      <w:r/>
    </w:p>
    <w:p>
      <w:pPr>
        <w:jc w:val="center"/>
        <w:rPr>
          <w:rFonts w:ascii="黑体" w:hAnsi="黑体" w:eastAsia="黑体"/>
          <w:sz w:val="44"/>
          <w:szCs w:val="4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44"/>
          <w:szCs w:val="44"/>
          <w:highlight w:val="none"/>
        </w:rPr>
        <w:t xml:space="preserve">使用说明</w:t>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highlight w:val="none"/>
        </w:rPr>
        <w:pBdr>
          <w:top w:val="none" w:color="auto" w:sz="0" w:space="1"/>
          <w:left w:val="none" w:color="auto" w:sz="0" w:space="4"/>
          <w:bottom w:val="none" w:color="auto" w:sz="0" w:space="1"/>
          <w:right w:val="none" w:color="auto" w:sz="0" w:space="4"/>
        </w:pBdr>
      </w:pPr>
      <w:r/>
      <w:bookmarkStart w:id="4" w:name="_Toc22209"/>
      <w:r>
        <w:rPr>
          <w:rFonts w:ascii="黑体" w:hAnsi="黑体" w:eastAsia="黑体"/>
          <w:b/>
          <w:bCs/>
          <w:sz w:val="28"/>
          <w:szCs w:val="28"/>
          <w:highlight w:val="none"/>
        </w:rPr>
        <w:br w:type="page" w:clear="all"/>
      </w:r>
      <w:r/>
    </w:p>
    <w:p>
      <w:pPr>
        <w:pStyle w:val="891"/>
        <w:jc w:val="center"/>
        <w:spacing w:line="400" w:lineRule="exact"/>
        <w:rPr>
          <w:rFonts w:ascii="黑体" w:hAnsi="华文中宋" w:eastAsia="黑体"/>
          <w:b w:val="0"/>
          <w:bCs w:val="0"/>
          <w:sz w:val="28"/>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bookmarkEnd w:id="4"/>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甲方（全称）：（采购人、受采购人委托签订合同的单位或采购文件约定的合同甲方）</w:t>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乙方（全称）：（供应商）</w:t>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p>
    <w:p>
      <w:pPr>
        <w:spacing w:line="400" w:lineRule="exact"/>
        <w:rPr>
          <w:rFonts w:ascii="宋体" w:hAnsi="宋体"/>
          <w:highlight w:val="none"/>
        </w:rPr>
        <w:pBdr>
          <w:top w:val="none" w:color="auto" w:sz="0" w:space="1"/>
          <w:left w:val="none" w:color="auto" w:sz="0" w:space="4"/>
          <w:bottom w:val="none" w:color="auto" w:sz="0" w:space="1"/>
          <w:right w:val="none" w:color="auto" w:sz="0" w:space="4"/>
        </w:pBdr>
      </w:pPr>
      <w:r>
        <w:rPr>
          <w:rFonts w:ascii="宋体" w:hAnsi="宋体"/>
          <w:highlight w:val="none"/>
        </w:rPr>
      </w:r>
      <w:r/>
    </w:p>
    <w:p>
      <w:pPr>
        <w:pStyle w:val="680"/>
        <w:ind w:left="0" w:firstLine="420"/>
        <w:spacing w:after="0"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项目信息</w:t>
      </w:r>
      <w:r/>
    </w:p>
    <w:p>
      <w:pPr>
        <w:pStyle w:val="680"/>
        <w:numPr>
          <w:ilvl w:val="0"/>
          <w:numId w:val="3"/>
        </w:numPr>
        <w:ind w:left="0" w:firstLine="420"/>
        <w:spacing w:after="0"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采购项目名称：</w:t>
      </w:r>
      <w:r>
        <w:rPr>
          <w:rFonts w:ascii="宋体" w:hAnsi="宋体"/>
          <w:szCs w:val="21"/>
          <w:highlight w:val="none"/>
          <w:u w:val="single"/>
        </w:rPr>
        <w:t xml:space="preserve">                                          </w:t>
      </w:r>
      <w:r/>
    </w:p>
    <w:p>
      <w:pPr>
        <w:pStyle w:val="680"/>
        <w:numPr>
          <w:ilvl w:val="255"/>
          <w:numId w:val="0"/>
        </w:numPr>
        <w:spacing w:after="0" w:line="400" w:lineRule="exact"/>
        <w:tabs>
          <w:tab w:val="left" w:pos="999"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680"/>
        <w:ind w:left="0" w:firstLine="420"/>
        <w:spacing w:after="0"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（3）项目内容：</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采购标的的技术要求、商务要求具体见附件。</w:t>
      </w:r>
      <w:r/>
    </w:p>
    <w:p>
      <w:pPr>
        <w:numPr>
          <w:ilvl w:val="255"/>
          <w:numId w:val="0"/>
        </w:numPr>
        <w:ind w:firstLine="945"/>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numPr>
          <w:ilvl w:val="255"/>
          <w:numId w:val="0"/>
        </w:num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922"/>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922"/>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p>
    <w:p>
      <w:pPr>
        <w:pStyle w:val="922"/>
        <w:numPr>
          <w:ilvl w:val="255"/>
          <w:numId w:val="0"/>
        </w:numPr>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22"/>
        <w:numPr>
          <w:ilvl w:val="255"/>
          <w:numId w:val="0"/>
        </w:numPr>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22"/>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数量：</w:t>
      </w:r>
      <w:r>
        <w:rPr>
          <w:rFonts w:hint="eastAsia" w:asciiTheme="minorEastAsia" w:hAnsiTheme="minorEastAsia" w:eastAsiaTheme="minorEastAsia" w:cstheme="minorEastAsia"/>
          <w:sz w:val="21"/>
          <w:highlight w:val="none"/>
          <w:u w:val="single"/>
        </w:rPr>
        <w:t xml:space="preserve"> </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金额：</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w:t>
      </w:r>
      <w:r/>
    </w:p>
    <w:p>
      <w:pPr>
        <w:pStyle w:val="922"/>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否</w:t>
      </w:r>
      <w:r/>
    </w:p>
    <w:p>
      <w:pPr>
        <w:pStyle w:val="922"/>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Theme="minorEastAsia" w:hAnsiTheme="minorEastAsia" w:eastAsiaTheme="minorEastAsia" w:cstheme="minorEastAsia"/>
          <w:sz w:val="21"/>
          <w:highlight w:val="none"/>
          <w:lang w:val="en"/>
        </w:rPr>
        <w:t xml:space="preserve">4</w:t>
      </w:r>
      <w:r>
        <w:rPr>
          <w:rFonts w:hint="eastAsia" w:asciiTheme="minorEastAsia" w:hAnsiTheme="minorEastAsia" w:eastAsiaTheme="minorEastAsia" w:cstheme="minorEastAsia"/>
          <w:sz w:val="21"/>
          <w:highlight w:val="none"/>
        </w:rPr>
        <w:t xml:space="preserve">）政府采购组织形式：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政府集中采购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部门集中采购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分散采购</w:t>
      </w:r>
      <w:r/>
    </w:p>
    <w:p>
      <w:pPr>
        <w:pStyle w:val="922"/>
        <w:numPr>
          <w:ilvl w:val="255"/>
          <w:numId w:val="0"/>
        </w:numPr>
        <w:ind w:firstLine="420"/>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w:t>
      </w:r>
      <w:r>
        <w:rPr>
          <w:rFonts w:asciiTheme="minorEastAsia" w:hAnsiTheme="minorEastAsia" w:eastAsiaTheme="minorEastAsia" w:cstheme="minorEastAsia"/>
          <w:sz w:val="21"/>
          <w:highlight w:val="none"/>
          <w:lang w:val="en"/>
        </w:rPr>
        <w:t xml:space="preserve">5</w:t>
      </w:r>
      <w:r>
        <w:rPr>
          <w:rFonts w:hint="eastAsia" w:asciiTheme="minorEastAsia" w:hAnsiTheme="minorEastAsia" w:eastAsiaTheme="minorEastAsia" w:cstheme="minorEastAsia"/>
          <w:sz w:val="21"/>
          <w:highlight w:val="none"/>
        </w:rPr>
        <w:t xml:space="preserve">）政府采购方式：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公开招标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邀请招标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竞争性谈判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竞争性磋商</w:t>
      </w:r>
      <w:r/>
    </w:p>
    <w:p>
      <w:pPr>
        <w:pStyle w:val="922"/>
        <w:numPr>
          <w:ilvl w:val="255"/>
          <w:numId w:val="0"/>
        </w:numPr>
        <w:ind w:firstLine="420"/>
        <w:rPr>
          <w:rFonts w:ascii="宋体" w:hAnsi="宋体" w:eastAsia="宋体" w:cs="宋体"/>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询价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单一来源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框架协议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其他：</w:t>
      </w:r>
      <w:r>
        <w:rPr>
          <w:rFonts w:hint="eastAsia" w:ascii="宋体" w:hAnsi="宋体" w:eastAsia="宋体" w:cs="宋体"/>
          <w:sz w:val="21"/>
          <w:highlight w:val="none"/>
          <w:u w:val="single"/>
        </w:rPr>
        <w:t xml:space="preserve">          </w:t>
      </w:r>
      <w:r/>
    </w:p>
    <w:p>
      <w:pPr>
        <w:pStyle w:val="922"/>
        <w:numPr>
          <w:ilvl w:val="255"/>
          <w:numId w:val="0"/>
        </w:numPr>
        <w:ind w:firstLine="42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（注：在框架协议采购的第二阶段，可选择使用该合同文本）</w:t>
      </w:r>
      <w:r/>
    </w:p>
    <w:p>
      <w:pPr>
        <w:pStyle w:val="922"/>
        <w:numPr>
          <w:ilvl w:val="255"/>
          <w:numId w:val="0"/>
        </w:numPr>
        <w:ind w:firstLine="220"/>
        <w:rPr>
          <w:rFonts w:ascii="宋体" w:hAnsi="宋体" w:eastAsia="宋体" w:cs="Times New Roman"/>
          <w:sz w:val="21"/>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p>
    <w:p>
      <w:pPr>
        <w:ind w:firstLine="840"/>
        <w:spacing w:line="400" w:lineRule="exact"/>
        <w:rPr>
          <w:rFonts w:eastAsia="华文楷体"/>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numPr>
          <w:ilvl w:val="255"/>
          <w:numId w:val="0"/>
        </w:numPr>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22"/>
        <w:tabs>
          <w:tab w:val="left" w:pos="1340" w:leader="none"/>
        </w:tabs>
        <w:rPr>
          <w:rFonts w:ascii="宋体" w:hAnsi="宋体" w:eastAsia="宋体" w:cs="宋体"/>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numPr>
          <w:ilvl w:val="255"/>
          <w:numId w:val="0"/>
        </w:numPr>
        <w:ind w:firstLine="84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numPr>
          <w:ilvl w:val="255"/>
          <w:numId w:val="0"/>
        </w:num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是否涉及环境标志产品：</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22"/>
        <w:numPr>
          <w:ilvl w:val="255"/>
          <w:numId w:val="0"/>
        </w:numPr>
        <w:rPr>
          <w:rFonts w:ascii="宋体" w:hAnsi="宋体" w:eastAsia="宋体" w:cs="Times New Roman"/>
          <w:sz w:val="21"/>
          <w:highlight w:val="none"/>
        </w:rPr>
        <w:pBdr>
          <w:top w:val="none" w:color="auto" w:sz="0" w:space="1"/>
          <w:left w:val="none" w:color="auto" w:sz="0" w:space="4"/>
          <w:bottom w:val="none" w:color="auto" w:sz="0" w:space="1"/>
          <w:right w:val="none" w:color="auto" w:sz="0" w:space="4"/>
        </w:pBd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p>
    <w:p>
      <w:pPr>
        <w:pStyle w:val="922"/>
        <w:ind w:firstLine="420"/>
        <w:rPr>
          <w:rFonts w:ascii="宋体" w:hAnsi="宋体" w:eastAsia="宋体"/>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pStyle w:val="922"/>
        <w:ind w:firstLine="420"/>
        <w:rPr>
          <w:rFonts w:ascii="宋体" w:hAnsi="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numPr>
          <w:ilvl w:val="255"/>
          <w:numId w:val="0"/>
        </w:num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（注：固定单价合同应填写单价和最高限价）</w:t>
      </w:r>
      <w:r/>
    </w:p>
    <w:p>
      <w:pPr>
        <w:numPr>
          <w:ilvl w:val="255"/>
          <w:numId w:val="0"/>
        </w:num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（2）合同定价方式（采用组合定价方式的，可以勾选多项）：</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p>
    <w:p>
      <w:pPr>
        <w:pStyle w:val="923"/>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（3）付款方式（按项目实际勾选填写）：</w:t>
      </w:r>
      <w:r/>
    </w:p>
    <w:p>
      <w:pPr>
        <w:ind w:firstLine="63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630"/>
        <w:spacing w:line="400" w:lineRule="exact"/>
        <w:rPr>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  （应明确分期支付合同款项的各期比例和支付条件，各期支付条件应与分期履约验收情况挂钩） </w:t>
      </w:r>
      <w:r>
        <w:rPr>
          <w:rFonts w:hint="eastAsia" w:ascii="宋体" w:hAnsi="宋体"/>
          <w:szCs w:val="21"/>
          <w:highlight w:val="none"/>
        </w:rPr>
        <w:t xml:space="preserve">，其中涉及预付款的：</w:t>
      </w:r>
      <w:r>
        <w:rPr>
          <w:rFonts w:hint="eastAsia" w:ascii="宋体" w:hAnsi="宋体"/>
          <w:szCs w:val="21"/>
          <w:highlight w:val="none"/>
          <w:u w:val="single"/>
        </w:rPr>
        <w:t xml:space="preserve"> （应明确预付款的支付比例和支付条件） </w:t>
      </w:r>
      <w:r/>
    </w:p>
    <w:p>
      <w:pPr>
        <w:ind w:firstLine="63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2"/>
        </w:numPr>
        <w:ind w:firstLine="422"/>
        <w:spacing w:line="400" w:lineRule="exact"/>
        <w:rPr>
          <w:rFonts w:ascii="宋体" w:hAnsi="宋体"/>
          <w:b/>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合同履行</w:t>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22"/>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                            </w:t>
      </w:r>
      <w:r/>
    </w:p>
    <w:p>
      <w:pPr>
        <w:pStyle w:val="922"/>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p>
    <w:p>
      <w:pPr>
        <w:ind w:firstLine="420"/>
        <w:spacing w:line="400" w:lineRule="exact"/>
        <w:rPr>
          <w:rFonts w:ascii="宋体" w:hAnsi="宋体" w:cs="宋体"/>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p>
    <w:p>
      <w:pPr>
        <w:ind w:firstLine="420"/>
        <w:spacing w:line="400" w:lineRule="exact"/>
        <w:rPr>
          <w:rFonts w:ascii="宋体" w:hAnsi="宋体" w:cs="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szCs w:val="21"/>
          <w:highlight w:val="none"/>
          <w:u w:val="single"/>
        </w:rPr>
        <w:t xml:space="preserve">                                                </w:t>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合同验收</w:t>
      </w:r>
      <w:r/>
    </w:p>
    <w:p>
      <w:pPr>
        <w:numPr>
          <w:ilvl w:val="0"/>
          <w:numId w:val="4"/>
        </w:num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p>
    <w:p>
      <w:p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p>
    <w:p>
      <w:pPr>
        <w:pStyle w:val="922"/>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ascii="宋体" w:hAnsi="宋体" w:cs="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（7）有关技术文件，图纸</w:t>
      </w:r>
      <w:r/>
    </w:p>
    <w:p>
      <w:pPr>
        <w:pStyle w:val="922"/>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（8）</w:t>
      </w:r>
      <w:r>
        <w:rPr>
          <w:rFonts w:hint="eastAsia" w:ascii="宋体" w:hAnsi="宋体" w:eastAsia="宋体" w:cs="宋体"/>
          <w:color w:val="000000" w:themeColor="text1"/>
          <w:sz w:val="21"/>
          <w:highlight w:val="none"/>
          <w14:textFill>
            <w14:solidFill>
              <w14:schemeClr w14:val="tx1"/>
            </w14:solidFill>
          </w14:textFill>
        </w:rPr>
        <w:t xml:space="preserve">国家法律、行政法规和规章制度规定或合同约定的作为合同组成部分的其他文件</w:t>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ind w:firstLine="420"/>
        <w:jc w:val="left"/>
        <w:spacing w:line="400" w:lineRule="exact"/>
        <w:rPr>
          <w:rFonts w:ascii="宋体" w:hAnsi="宋体"/>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附件：具体标的及其技术要求和商务要求、联合协议、分包意向协议等。</w:t>
      </w:r>
      <w:r/>
    </w:p>
    <w:p>
      <w:pPr>
        <w:rPr>
          <w:highlight w:val="none"/>
        </w:rPr>
        <w:pBdr>
          <w:top w:val="none" w:color="auto" w:sz="0" w:space="1"/>
          <w:left w:val="none" w:color="auto" w:sz="0" w:space="4"/>
          <w:bottom w:val="none" w:color="auto" w:sz="0" w:space="1"/>
          <w:right w:val="none" w:color="auto" w:sz="0" w:space="4"/>
        </w:pBdr>
      </w:pPr>
      <w:r>
        <w:rPr>
          <w:rFonts w:hint="eastAsia"/>
          <w:highlight w:val="none"/>
        </w:rPr>
        <w:br w:type="page" w:clear="all"/>
      </w:r>
      <w:r/>
    </w:p>
    <w:p>
      <w:pPr>
        <w:pStyle w:val="923"/>
        <w:rPr>
          <w:highlight w:val="none"/>
        </w:rPr>
        <w:pBdr>
          <w:top w:val="none" w:color="auto" w:sz="0" w:space="1"/>
          <w:left w:val="none" w:color="auto" w:sz="0" w:space="4"/>
          <w:bottom w:val="none" w:color="auto" w:sz="0" w:space="1"/>
          <w:right w:val="none" w:color="auto" w:sz="0" w:space="4"/>
        </w:pBdr>
      </w:pPr>
      <w:r>
        <w:rPr>
          <w:highlight w:val="none"/>
        </w:rPr>
      </w:r>
      <w:r/>
    </w:p>
    <w:tbl>
      <w:tblPr>
        <w:tblStyle w:val="674"/>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W w:w="4303" w:type="dxa"/>
            <w:vAlign w:val="center"/>
            <w:textDirection w:val="lrTb"/>
            <w:noWrap w:val="false"/>
          </w:tcPr>
          <w:p>
            <w:pPr>
              <w:jc w:val="center"/>
              <w:spacing w:line="300" w:lineRule="exact"/>
              <w:rPr>
                <w:highlight w:val="none"/>
              </w:rPr>
              <w:pBdr>
                <w:top w:val="none" w:color="auto" w:sz="0" w:space="1"/>
                <w:left w:val="none" w:color="auto" w:sz="0" w:space="4"/>
                <w:bottom w:val="none" w:color="auto" w:sz="0" w:space="1"/>
                <w:right w:val="none" w:color="auto" w:sz="0" w:space="4"/>
              </w:pBd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095" w:type="dxa"/>
            <w:vAlign w:val="center"/>
            <w:textDirection w:val="lrTb"/>
            <w:noWrap w:val="false"/>
          </w:tcPr>
          <w:p>
            <w:pPr>
              <w:jc w:val="center"/>
              <w:spacing w:line="300" w:lineRule="exact"/>
              <w:rPr>
                <w:highlight w:val="none"/>
              </w:rPr>
              <w:pBdr>
                <w:top w:val="none" w:color="auto" w:sz="0" w:space="1"/>
                <w:left w:val="none" w:color="auto" w:sz="0" w:space="4"/>
                <w:bottom w:val="none" w:color="auto" w:sz="0" w:space="1"/>
                <w:right w:val="none" w:color="auto" w:sz="0" w:space="4"/>
              </w:pBdr>
            </w:pPr>
            <w:r>
              <w:rPr>
                <w:szCs w:val="21"/>
                <w:highlight w:val="none"/>
              </w:rPr>
              <w:t xml:space="preserve">乙方</w:t>
            </w:r>
            <w:r>
              <w:rPr>
                <w:rFonts w:hint="eastAsia"/>
                <w:szCs w:val="21"/>
                <w:highlight w:val="none"/>
              </w:rPr>
              <w:t xml:space="preserve">（供应商）</w:t>
            </w:r>
            <w:r/>
          </w:p>
        </w:tc>
      </w:tr>
      <w:tr>
        <w:trPr>
          <w:jc w:val="center"/>
          <w:trHeight w:val="917"/>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单位名称</w:t>
            </w:r>
            <w:r>
              <w:rPr>
                <w:rFonts w:hint="eastAsia"/>
                <w:szCs w:val="21"/>
                <w:highlight w:val="none"/>
              </w:rPr>
              <w:t xml:space="preserve">（公章或合同章）</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单位名称</w:t>
            </w:r>
            <w:r>
              <w:rPr>
                <w:rFonts w:hint="eastAsia"/>
                <w:szCs w:val="21"/>
                <w:highlight w:val="none"/>
              </w:rPr>
              <w:t xml:space="preserve">（公章或合同章）</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1171"/>
        </w:trPr>
        <w:tc>
          <w:tcPr>
            <w:tcW w:w="1891"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法定代表人</w:t>
            </w:r>
            <w:r/>
          </w:p>
          <w:p>
            <w:pPr>
              <w:ind w:firstLine="100"/>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2412"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法定代表人</w:t>
            </w:r>
            <w:r/>
          </w:p>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2116"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r>
      <w:tr>
        <w:trPr>
          <w:jc w:val="center"/>
          <w:trHeight w:val="483"/>
        </w:trPr>
        <w:tc>
          <w:tcPr>
            <w:tcW w:w="1891" w:type="dxa"/>
            <w:vAlign w:val="center"/>
            <w:vMerge w:val="continue"/>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2412" w:type="dxa"/>
            <w:vAlign w:val="center"/>
            <w:vMerge w:val="continue"/>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拥有者性别</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住所</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住所</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 系 人</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 系 人</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联系电话</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联系电话</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通信地址</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通信地址</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邮政编码</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邮政编码</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电子邮箱</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电子邮箱</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统一社会信用代码</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统一社会信用代码</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开户名称</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开户银行</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银行账号</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586"/>
        </w:trPr>
        <w:tc>
          <w:tcPr>
            <w:gridSpan w:val="4"/>
            <w:tcW w:w="8398" w:type="dxa"/>
            <w:vAlign w:val="center"/>
            <w:textDirection w:val="lrTb"/>
            <w:noWrap w:val="false"/>
          </w:tcPr>
          <w:p>
            <w:pPr>
              <w:pStyle w:val="905"/>
              <w:ind w:left="0"/>
              <w:jc w:val="left"/>
              <w:spacing w:after="0" w:line="360" w:lineRule="auto"/>
              <w:rPr>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注：涉及联合体或其他合同主体的信息应按上表格式加列。</w:t>
            </w:r>
            <w:r/>
          </w:p>
        </w:tc>
      </w:tr>
    </w:tbl>
    <w:p>
      <w:pPr>
        <w:pStyle w:val="891"/>
        <w:jc w:val="center"/>
        <w:spacing w:line="400" w:lineRule="exact"/>
        <w:rPr>
          <w:rFonts w:ascii="黑体" w:hAnsi="黑体" w:eastAsia="黑体"/>
          <w:sz w:val="28"/>
          <w:szCs w:val="28"/>
          <w:highlight w:val="none"/>
        </w:rPr>
        <w:pBdr>
          <w:top w:val="none" w:color="auto" w:sz="0" w:space="1"/>
          <w:left w:val="none" w:color="auto" w:sz="0" w:space="4"/>
          <w:bottom w:val="none" w:color="auto" w:sz="0" w:space="1"/>
          <w:right w:val="none" w:color="auto" w:sz="0" w:space="4"/>
        </w:pBdr>
      </w:pPr>
      <w:r>
        <w:rPr>
          <w:rFonts w:ascii="宋体" w:hAnsi="宋体"/>
          <w:sz w:val="21"/>
          <w:szCs w:val="21"/>
          <w:highlight w:val="none"/>
          <w:u w:val="single"/>
        </w:rPr>
        <w:br w:type="page" w:clear="all"/>
      </w:r>
      <w:bookmarkStart w:id="5" w:name="_Toc27624"/>
      <w:r>
        <w:rPr>
          <w:rFonts w:hint="eastAsia" w:ascii="黑体" w:hAnsi="黑体" w:eastAsia="黑体"/>
          <w:b w:val="0"/>
          <w:bCs w:val="0"/>
          <w:sz w:val="28"/>
          <w:szCs w:val="28"/>
          <w:highlight w:val="none"/>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1.</w:t>
      </w:r>
      <w:r>
        <w:rPr>
          <w:rFonts w:hint="eastAsia" w:ascii="宋体" w:hAnsi="宋体"/>
          <w:b/>
          <w:bCs/>
          <w:sz w:val="24"/>
          <w:highlight w:val="none"/>
        </w:rPr>
        <w:t xml:space="preserve">定义</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1.1 合同当事人</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 本合同下列术语应解释为：</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5"/>
        </w:num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4.1 </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 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03"/>
        <w:ind w:firstLine="369"/>
        <w:spacing w:after="0" w:line="400" w:lineRule="exact"/>
        <w:rPr>
          <w:rFonts w:ascii="宋体" w:hAnsi="宋体" w:cs="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 乙方有权</w:t>
      </w:r>
      <w:r>
        <w:rPr>
          <w:rFonts w:hint="eastAsia" w:ascii="宋体" w:hAnsi="宋体" w:cs="宋体"/>
          <w:color w:val="000000"/>
          <w:szCs w:val="21"/>
          <w:highlight w:val="none"/>
        </w:rPr>
        <w:t xml:space="preserve">根据合同约定向甲方收取合同价款。</w:t>
      </w:r>
      <w:r/>
    </w:p>
    <w:p>
      <w:pPr>
        <w:pStyle w:val="903"/>
        <w:ind w:firstLine="369"/>
        <w:spacing w:after="0" w:line="400" w:lineRule="exact"/>
        <w:rPr>
          <w:rFonts w:ascii="宋体" w:hAnsi="宋体" w:cs="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szCs w:val="21"/>
          <w:highlight w:val="none"/>
        </w:rPr>
        <w:t xml:space="preserve">由乙方承担的其他义务和责任。</w:t>
      </w:r>
      <w:r/>
    </w:p>
    <w:p>
      <w:pPr>
        <w:numPr>
          <w:ilvl w:val="0"/>
          <w:numId w:val="6"/>
        </w:num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22"/>
        <w:ind w:firstLine="420"/>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p>
    <w:p>
      <w:pPr>
        <w:pStyle w:val="907"/>
        <w:ind w:firstLine="420"/>
        <w:jc w:val="left"/>
        <w:spacing w:line="400" w:lineRule="exact"/>
        <w:rPr>
          <w:rFonts w:hAnsi="宋体"/>
          <w:b/>
          <w:highlight w:val="none"/>
        </w:rPr>
        <w:pBdr>
          <w:top w:val="none" w:color="auto" w:sz="0" w:space="1"/>
          <w:left w:val="none" w:color="auto" w:sz="0" w:space="4"/>
          <w:bottom w:val="none" w:color="auto" w:sz="0" w:space="1"/>
          <w:right w:val="none" w:color="auto" w:sz="0" w:space="4"/>
        </w:pBdr>
      </w:pPr>
      <w:r>
        <w:rPr>
          <w:rFonts w:hint="eastAsia" w:hAnsi="宋体"/>
          <w:highlight w:val="none"/>
        </w:rPr>
        <w:t xml:space="preserve">8.1 质量标准</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7"/>
        <w:ind w:firstLine="420"/>
        <w:jc w:val="left"/>
        <w:spacing w:line="400" w:lineRule="exact"/>
        <w:rPr>
          <w:rFonts w:hAnsi="宋体"/>
          <w:highlight w:val="none"/>
        </w:rPr>
        <w:pBdr>
          <w:top w:val="none" w:color="auto" w:sz="0" w:space="1"/>
          <w:left w:val="none" w:color="auto" w:sz="0" w:space="4"/>
          <w:bottom w:val="none" w:color="auto" w:sz="0" w:space="1"/>
          <w:right w:val="none" w:color="auto" w:sz="0" w:space="4"/>
        </w:pBd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8.2 保证</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9</w:t>
      </w:r>
      <w:r>
        <w:rPr>
          <w:rFonts w:hint="eastAsia" w:ascii="宋体" w:hAnsi="宋体"/>
          <w:b/>
          <w:bCs/>
          <w:sz w:val="24"/>
          <w:highlight w:val="none"/>
        </w:rPr>
        <w:t xml:space="preserve">.权利瑕疵担保</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10.知识产权保护</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6"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none"/>
        </w:rPr>
        <w:t xml:space="preserve">。</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11.保密义务</w:t>
      </w:r>
      <w:r/>
    </w:p>
    <w:p>
      <w:pPr>
        <w:ind w:firstLine="420"/>
        <w:jc w:val="left"/>
        <w:spacing w:line="400" w:lineRule="exact"/>
        <w:rPr>
          <w:rFonts w:ascii="宋体" w:hAnsi="宋体" w:cs="宋体"/>
          <w:szCs w:val="15"/>
          <w:highlight w:val="none"/>
        </w:rPr>
        <w:pBdr>
          <w:top w:val="none" w:color="auto" w:sz="0" w:space="1"/>
          <w:left w:val="none" w:color="auto" w:sz="0" w:space="4"/>
          <w:bottom w:val="none" w:color="auto" w:sz="0" w:space="1"/>
          <w:right w:val="none" w:color="auto" w:sz="0" w:space="4"/>
        </w:pBd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12.合同价款支付</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12.1 合同价款支付按照国库集中支付制度及财政管理相关规定执行。</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03"/>
        <w:spacing w:after="0" w:line="400" w:lineRule="exact"/>
        <w:rPr>
          <w:rFonts w:ascii="宋体" w:hAnsi="宋体"/>
          <w:b/>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szCs w:val="24"/>
          <w:highlight w:val="none"/>
        </w:rPr>
        <w:t xml:space="preserve">13.履约保证金</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14.</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22"/>
        <w:ind w:firstLine="42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15.违约责任</w:t>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15.1 质量瑕疵的违约责任</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15.2 迟延交货的违约责任</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15.3 迟延支付的违约责任</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15.4 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7"/>
        </w:num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合同变更、中止与终止</w:t>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16.1 合同的变更</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16.2 合同的中止</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22"/>
        <w:ind w:firstLine="420"/>
        <w:jc w:val="both"/>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16.3 合同的终止</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（1）合同因有效期限届满而终止；</w:t>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22"/>
        <w:rPr>
          <w:rFonts w:ascii="宋体" w:hAnsi="宋体"/>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922"/>
        <w:ind w:firstLine="420"/>
        <w:jc w:val="both"/>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17.合同分包</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18.不可抗力</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19.解决争议的方法</w:t>
      </w:r>
      <w:r/>
    </w:p>
    <w:p>
      <w:pPr>
        <w:pStyle w:val="922"/>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22"/>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22"/>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20.政府采购政策</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903"/>
        <w:ind w:firstLine="420"/>
        <w:spacing w:after="0" w:line="400" w:lineRule="exact"/>
        <w:rPr>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21.法律适用</w:t>
      </w:r>
      <w:r/>
    </w:p>
    <w:p>
      <w:pPr>
        <w:pStyle w:val="922"/>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21.1 本合同的订立、生效、解释、履行及与本合同有关的争议解决，均适用法律、行政法规。</w:t>
      </w:r>
      <w:r/>
    </w:p>
    <w:p>
      <w:pPr>
        <w:pStyle w:val="922"/>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22. 通知</w:t>
      </w:r>
      <w:r/>
    </w:p>
    <w:p>
      <w:pPr>
        <w:pStyle w:val="922"/>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22"/>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22.4 通知以送达之日或通知书中规定的生效之日起生效，两者中以较迟之日为准。</w:t>
      </w:r>
      <w:r/>
    </w:p>
    <w:p>
      <w:pPr>
        <w:numPr>
          <w:ilvl w:val="0"/>
          <w:numId w:val="8"/>
        </w:num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合同未尽事项</w:t>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23.1 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ascii="黑体" w:hAnsi="华文中宋" w:eastAsia="黑体"/>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23.2 合同附件与合同正文具有同等的法律效力。</w:t>
      </w:r>
      <w:bookmarkStart w:id="7" w:name="_Toc20313"/>
      <w:r/>
      <w:r/>
    </w:p>
    <w:p>
      <w:pPr>
        <w:jc w:val="center"/>
        <w:rPr>
          <w:rFonts w:ascii="黑体" w:hAnsi="华文中宋" w:eastAsia="黑体"/>
          <w:sz w:val="28"/>
          <w:szCs w:val="28"/>
          <w:highlight w:val="none"/>
        </w:rPr>
        <w:pBdr>
          <w:top w:val="none" w:color="auto" w:sz="0" w:space="1"/>
          <w:left w:val="none" w:color="auto" w:sz="0" w:space="4"/>
          <w:bottom w:val="none" w:color="auto" w:sz="0" w:space="1"/>
          <w:right w:val="none" w:color="auto" w:sz="0" w:space="4"/>
        </w:pBdr>
      </w:pPr>
      <w:r>
        <w:rPr>
          <w:rFonts w:hint="eastAsia" w:ascii="黑体" w:hAnsi="华文中宋" w:eastAsia="黑体"/>
          <w:sz w:val="28"/>
          <w:szCs w:val="28"/>
          <w:highlight w:val="none"/>
        </w:rPr>
        <w:br w:type="page" w:clear="all"/>
      </w:r>
      <w:r/>
    </w:p>
    <w:p>
      <w:pPr>
        <w:pStyle w:val="891"/>
        <w:jc w:val="center"/>
        <w:spacing w:line="400" w:lineRule="exact"/>
        <w:rPr>
          <w:rFonts w:ascii="黑体" w:hAnsi="华文中宋" w:eastAsia="黑体"/>
          <w:b w:val="0"/>
          <w:bCs w:val="0"/>
          <w:sz w:val="28"/>
          <w:szCs w:val="28"/>
          <w:highlight w:val="none"/>
        </w:rPr>
        <w:pBdr>
          <w:top w:val="none" w:color="auto" w:sz="0" w:space="1"/>
          <w:left w:val="none" w:color="auto" w:sz="0" w:space="4"/>
          <w:bottom w:val="none" w:color="auto" w:sz="0" w:space="1"/>
          <w:right w:val="none" w:color="auto" w:sz="0" w:space="4"/>
        </w:pBdr>
      </w:pPr>
      <w:r>
        <w:rPr>
          <w:rFonts w:hint="eastAsia" w:ascii="黑体" w:hAnsi="华文中宋" w:eastAsia="黑体"/>
          <w:b w:val="0"/>
          <w:bCs w:val="0"/>
          <w:sz w:val="28"/>
          <w:szCs w:val="28"/>
          <w:highlight w:val="none"/>
        </w:rPr>
        <w:t xml:space="preserve">第三节 政府采购合同专用条款</w:t>
      </w:r>
      <w:bookmarkEnd w:id="7"/>
      <w:r/>
      <w:r/>
    </w:p>
    <w:tbl>
      <w:tblPr>
        <w:tblStyle w:val="674"/>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第1.2（6）项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联合体具体要求</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60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第1.2（7）项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其他术语解释</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第4.4款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履约验收中甲方提出异议或作出说明的期限</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第4.6款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约定甲方承担的其他义务和责任</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第5.4款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约定乙方承担的其他义务和责任</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第6.1款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履行合同义务的顺序</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667"/>
        </w:trPr>
        <w:tc>
          <w:tcPr>
            <w:tcW w:w="1607" w:type="dxa"/>
            <w:vAlign w:val="center"/>
            <w:vMerge w:val="restart"/>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包装特殊要求</w:t>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p>
        </w:tc>
      </w:tr>
      <w:tr>
        <w:trPr>
          <w:jc w:val="center"/>
          <w:trHeight w:val="667"/>
        </w:trPr>
        <w:tc>
          <w:tcPr>
            <w:tcW w:w="1607" w:type="dxa"/>
            <w:vAlign w:val="center"/>
            <w:vMerge w:val="continue"/>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指定现场</w:t>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连云港市疾病预防控制中心</w:t>
            </w:r>
            <w:r/>
          </w:p>
        </w:tc>
      </w:tr>
      <w:tr>
        <w:trPr>
          <w:jc w:val="center"/>
          <w:trHeight w:val="772"/>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第7.2款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运输特殊要求</w:t>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p>
        </w:tc>
      </w:tr>
      <w:tr>
        <w:trPr>
          <w:jc w:val="center"/>
          <w:trHeight w:val="66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第7.3款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保险要求</w:t>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第8.2（1）项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质量保证期</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第8.2（3）项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货物质量缺陷</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响应时间</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乙方在接到甲方通知后在24小时内到达甲方现场</w:t>
            </w:r>
            <w:r>
              <w:rPr>
                <w:rFonts w:hint="eastAsia" w:ascii="宋体" w:hAnsi="宋体"/>
                <w:szCs w:val="21"/>
                <w:highlight w:val="none"/>
              </w:rPr>
              <w:t xml:space="preserve">。</w:t>
            </w:r>
            <w:r/>
          </w:p>
        </w:tc>
      </w:tr>
      <w:tr>
        <w:trPr>
          <w:jc w:val="center"/>
          <w:trHeight w:val="736"/>
        </w:trPr>
        <w:tc>
          <w:tcPr>
            <w:tcW w:w="1607" w:type="dxa"/>
            <w:vAlign w:val="center"/>
            <w:textDirection w:val="lrTb"/>
            <w:noWrap w:val="false"/>
          </w:tcPr>
          <w:p>
            <w:pPr>
              <w:jc w:val="center"/>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第二节</w:t>
            </w:r>
            <w:r/>
          </w:p>
          <w:p>
            <w:pPr>
              <w:pStyle w:val="922"/>
              <w:ind w:firstLine="0"/>
              <w:jc w:val="center"/>
              <w:rPr>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highlight w:val="none"/>
              </w:rPr>
              <w:t xml:space="preserve">第11.1款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其他应当保密的信息</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69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第12.2款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合同价款支付时间</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设备安装调试经验收合格后，经审计票据齐全后采购人一次性支付至审计金额的100%。</w:t>
            </w:r>
            <w:r/>
          </w:p>
        </w:tc>
      </w:tr>
      <w:tr>
        <w:trPr>
          <w:jc w:val="center"/>
          <w:trHeight w:val="69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第13.2款</w:t>
            </w:r>
            <w:r/>
          </w:p>
        </w:tc>
        <w:tc>
          <w:tcPr>
            <w:tcW w:w="1742" w:type="dxa"/>
            <w:vAlign w:val="center"/>
            <w:textDirection w:val="lrTb"/>
            <w:noWrap w:val="false"/>
          </w:tcPr>
          <w:p>
            <w:pPr>
              <w:jc w:val="center"/>
              <w:rPr>
                <w:rFonts w:ascii="宋体" w:hAnsi="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none"/>
              </w:rPr>
              <w:t xml:space="preserve">履约保证金不予退还的情形</w:t>
            </w:r>
            <w:r/>
          </w:p>
        </w:tc>
        <w:tc>
          <w:tcPr>
            <w:shd w:val="clear" w:color="auto" w:fill="auto"/>
            <w:tcW w:w="5170" w:type="dxa"/>
            <w:vAlign w:val="center"/>
            <w:textDirection w:val="lrTb"/>
            <w:noWrap w:val="false"/>
          </w:tcPr>
          <w:p>
            <w:pPr>
              <w:numPr>
                <w:ilvl w:val="0"/>
                <w:numId w:val="0"/>
              </w:numPr>
              <w:jc w:val="both"/>
              <w:rPr>
                <w:rFonts w:hint="eastAsia" w:ascii="Times New Roman" w:hAnsi="Times New Roman"/>
                <w:color w:val="auto"/>
                <w:szCs w:val="21"/>
                <w:highlight w:val="none"/>
                <w:lang w:val="en-US" w:eastAsia="zh-CN"/>
              </w:rPr>
              <w:pBdr>
                <w:top w:val="none" w:color="auto" w:sz="0" w:space="1"/>
                <w:left w:val="none" w:color="auto" w:sz="0" w:space="4"/>
                <w:bottom w:val="none" w:color="auto" w:sz="0" w:space="1"/>
                <w:right w:val="none" w:color="auto" w:sz="0" w:space="4"/>
              </w:pBdr>
            </w:pPr>
            <w:r>
              <w:rPr>
                <w:rFonts w:hint="eastAsia" w:ascii="Times New Roman" w:hAnsi="Times New Roman" w:eastAsia="宋体" w:cs="Times New Roman"/>
                <w:color w:val="auto"/>
                <w:sz w:val="21"/>
                <w:szCs w:val="21"/>
                <w:highlight w:val="none"/>
                <w:lang w:val="en-US" w:eastAsia="zh-CN" w:bidi="ar-SA"/>
              </w:rPr>
              <w:t xml:space="preserve">1、</w:t>
            </w:r>
            <w:r>
              <w:rPr>
                <w:rFonts w:hint="eastAsia" w:ascii="Times New Roman" w:hAnsi="Times New Roman"/>
                <w:color w:val="auto"/>
                <w:szCs w:val="21"/>
                <w:highlight w:val="none"/>
                <w:lang w:val="en-US" w:eastAsia="zh-CN"/>
              </w:rPr>
              <w:t xml:space="preserve">所供货物不符合合同约定的质量标准、品牌、规格或等级的。</w:t>
            </w:r>
            <w:r/>
          </w:p>
          <w:p>
            <w:pPr>
              <w:numPr>
                <w:ilvl w:val="0"/>
                <w:numId w:val="0"/>
              </w:numPr>
              <w:jc w:val="left"/>
              <w:rPr>
                <w:rFonts w:hint="eastAsia" w:ascii="Times New Roman" w:hAnsi="Times New Roman"/>
                <w:color w:val="auto"/>
                <w:szCs w:val="21"/>
                <w:highlight w:val="none"/>
                <w:lang w:val="en-US" w:eastAsia="zh-CN"/>
              </w:rPr>
              <w:pBdr>
                <w:top w:val="none" w:color="auto" w:sz="0" w:space="1"/>
                <w:left w:val="none" w:color="auto" w:sz="0" w:space="4"/>
                <w:bottom w:val="none" w:color="auto" w:sz="0" w:space="1"/>
                <w:right w:val="none" w:color="auto" w:sz="0" w:space="4"/>
              </w:pBdr>
            </w:pPr>
            <w:r>
              <w:rPr>
                <w:rFonts w:hint="eastAsia" w:ascii="Times New Roman" w:hAnsi="Times New Roman" w:eastAsia="宋体" w:cs="Times New Roman"/>
                <w:color w:val="auto"/>
                <w:sz w:val="21"/>
                <w:szCs w:val="21"/>
                <w:highlight w:val="none"/>
                <w:lang w:val="en-US" w:eastAsia="zh-CN" w:bidi="ar-SA"/>
              </w:rPr>
              <w:t xml:space="preserve">2、</w:t>
            </w:r>
            <w:r>
              <w:rPr>
                <w:rFonts w:hint="eastAsia" w:ascii="Times New Roman" w:hAnsi="Times New Roman"/>
                <w:color w:val="auto"/>
                <w:szCs w:val="21"/>
                <w:highlight w:val="none"/>
                <w:lang w:val="en-US" w:eastAsia="zh-CN"/>
              </w:rPr>
              <w:t xml:space="preserve">未按合同约定的时间供货的。</w:t>
            </w:r>
            <w:r/>
          </w:p>
          <w:p>
            <w:pPr>
              <w:numPr>
                <w:ilvl w:val="0"/>
                <w:numId w:val="0"/>
              </w:numPr>
              <w:jc w:val="left"/>
              <w:rPr>
                <w:rFonts w:hint="eastAsia" w:ascii="Times New Roman" w:hAnsi="Times New Roman"/>
                <w:color w:val="auto"/>
                <w:szCs w:val="21"/>
                <w:highlight w:val="none"/>
                <w:lang w:val="en-US" w:eastAsia="zh-CN"/>
              </w:rPr>
              <w:pBdr>
                <w:top w:val="none" w:color="auto" w:sz="0" w:space="1"/>
                <w:left w:val="none" w:color="auto" w:sz="0" w:space="4"/>
                <w:bottom w:val="none" w:color="auto" w:sz="0" w:space="1"/>
                <w:right w:val="none" w:color="auto" w:sz="0" w:space="4"/>
              </w:pBdr>
            </w:pPr>
            <w:r>
              <w:rPr>
                <w:rFonts w:hint="eastAsia" w:ascii="Times New Roman" w:hAnsi="Times New Roman" w:eastAsia="宋体" w:cs="Times New Roman"/>
                <w:color w:val="auto"/>
                <w:sz w:val="21"/>
                <w:szCs w:val="21"/>
                <w:highlight w:val="none"/>
                <w:lang w:val="en-US" w:eastAsia="zh-CN" w:bidi="ar-SA"/>
              </w:rPr>
              <w:t xml:space="preserve">3、</w:t>
            </w:r>
            <w:r>
              <w:rPr>
                <w:rFonts w:hint="eastAsia" w:ascii="Times New Roman" w:hAnsi="Times New Roman"/>
                <w:color w:val="auto"/>
                <w:szCs w:val="21"/>
                <w:highlight w:val="none"/>
                <w:lang w:val="en-US" w:eastAsia="zh-CN"/>
              </w:rPr>
              <w:t xml:space="preserve">乙方无正当理由拒绝签订合同，或在签订时提出附加条件的。</w:t>
            </w:r>
            <w:r/>
          </w:p>
          <w:p>
            <w:pPr>
              <w:numPr>
                <w:ilvl w:val="0"/>
                <w:numId w:val="0"/>
              </w:numPr>
              <w:jc w:val="left"/>
              <w:rPr>
                <w:rFonts w:ascii="宋体" w:hAnsi="宋体"/>
                <w:color w:val="auto"/>
                <w:szCs w:val="21"/>
                <w:highlight w:val="none"/>
              </w:rPr>
              <w:pBdr>
                <w:top w:val="none" w:color="auto" w:sz="0" w:space="1"/>
                <w:left w:val="none" w:color="auto" w:sz="0" w:space="4"/>
                <w:bottom w:val="none" w:color="auto" w:sz="0" w:space="1"/>
                <w:right w:val="none" w:color="auto" w:sz="0" w:space="4"/>
              </w:pBdr>
            </w:pPr>
            <w:r>
              <w:rPr>
                <w:rFonts w:ascii="宋体" w:hAnsi="宋体" w:eastAsia="宋体" w:cs="Times New Roman"/>
                <w:color w:val="auto"/>
                <w:sz w:val="21"/>
                <w:szCs w:val="21"/>
                <w:highlight w:val="none"/>
                <w:lang w:val="en-US" w:eastAsia="zh-CN" w:bidi="ar-SA"/>
              </w:rPr>
              <w:t xml:space="preserve">4、</w:t>
            </w:r>
            <w:r>
              <w:rPr>
                <w:rFonts w:hint="eastAsia" w:ascii="Times New Roman" w:hAnsi="Times New Roman"/>
                <w:color w:val="auto"/>
                <w:szCs w:val="21"/>
                <w:highlight w:val="none"/>
                <w:lang w:val="en-US" w:eastAsia="zh-CN"/>
              </w:rPr>
              <w:t xml:space="preserve">乙方将政府采购合同转包或违法分包的</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第13.3款</w:t>
            </w:r>
            <w:r/>
          </w:p>
        </w:tc>
        <w:tc>
          <w:tcPr>
            <w:tcW w:w="1742" w:type="dxa"/>
            <w:vAlign w:val="center"/>
            <w:textDirection w:val="lrTb"/>
            <w:noWrap w:val="false"/>
          </w:tcPr>
          <w:p>
            <w:pPr>
              <w:jc w:val="center"/>
              <w:rPr>
                <w:rFonts w:ascii="宋体" w:hAnsi="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none"/>
              </w:rPr>
              <w:t xml:space="preserve">履约保证金退还时间及逾期退还的违约金</w:t>
            </w:r>
            <w:r/>
          </w:p>
        </w:tc>
        <w:tc>
          <w:tcPr>
            <w:shd w:val="clear" w:color="auto" w:fill="auto"/>
            <w:tcW w:w="5170" w:type="dxa"/>
            <w:vAlign w:val="center"/>
            <w:textDirection w:val="lrTb"/>
            <w:noWrap w:val="false"/>
          </w:tcPr>
          <w:p>
            <w:pPr>
              <w:jc w:val="both"/>
              <w:rPr>
                <w:rFonts w:hint="eastAsia" w:ascii="Times New Roman" w:hAnsi="Times New Roman"/>
                <w:color w:val="auto"/>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乙方违约的，甲方将根据违约责任条款扣除其全部或部分履约保证金。如乙方违约给甲方造成的损失超过履约保证金的，应当依法赔偿超过部分的损失。</w:t>
            </w:r>
            <w:r/>
          </w:p>
          <w:p>
            <w:pPr>
              <w:jc w:val="center"/>
              <w:rPr>
                <w:rFonts w:ascii="宋体" w:hAnsi="宋体"/>
                <w:color w:val="auto"/>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逾期退还履约保证金的甲方承担违约责任，按照中国人民银行同期贷款基准利率支付超期资金占用费。</w:t>
            </w:r>
            <w:r/>
          </w:p>
        </w:tc>
      </w:tr>
      <w:tr>
        <w:trPr>
          <w:jc w:val="center"/>
          <w:trHeight w:val="78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第14.1（3）项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运行监督、维修期限</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详见第四章采购需求</w:t>
            </w:r>
            <w:r/>
          </w:p>
        </w:tc>
      </w:tr>
      <w:tr>
        <w:trPr>
          <w:jc w:val="center"/>
          <w:trHeight w:val="78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第14.1（5）项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货物回收的约定</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第14.1（6）项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乙方提供的其他服务</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修理、重作、更换相关具体规定</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《中华人民共和国产品质量法》第四十条</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第15.2（2）项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迟延交货赔偿费</w:t>
            </w:r>
            <w:r/>
          </w:p>
        </w:tc>
        <w:tc>
          <w:tcPr>
            <w:shd w:val="clear" w:color="auto" w:fill="auto"/>
            <w:tcW w:w="5170" w:type="dxa"/>
            <w:vAlign w:val="center"/>
            <w:textDirection w:val="lrTb"/>
            <w:noWrap w:val="false"/>
          </w:tcPr>
          <w:p>
            <w:pPr>
              <w:jc w:val="lef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第15.3款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逾期付款利息</w:t>
            </w:r>
            <w:r/>
          </w:p>
        </w:tc>
        <w:tc>
          <w:tcPr>
            <w:shd w:val="clear" w:color="auto" w:fill="auto"/>
            <w:tcW w:w="5170" w:type="dxa"/>
            <w:vAlign w:val="center"/>
            <w:textDirection w:val="lrTb"/>
            <w:noWrap w:val="false"/>
          </w:tcPr>
          <w:p>
            <w:pPr>
              <w:jc w:val="center"/>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在逾期</w:t>
            </w:r>
            <w:r>
              <w:rPr>
                <w:rFonts w:ascii="宋体" w:hAnsi="宋体"/>
                <w:szCs w:val="21"/>
                <w:highlight w:val="none"/>
              </w:rPr>
              <w:t xml:space="preserve">时段按月息2%计息</w:t>
            </w:r>
            <w:r/>
          </w:p>
        </w:tc>
      </w:tr>
      <w:tr>
        <w:trPr>
          <w:jc w:val="center"/>
          <w:trHeight w:val="87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第15.4款</w:t>
            </w:r>
            <w:r/>
          </w:p>
        </w:tc>
        <w:tc>
          <w:tcPr>
            <w:tcW w:w="1742" w:type="dxa"/>
            <w:vAlign w:val="center"/>
            <w:textDirection w:val="lrTb"/>
            <w:noWrap w:val="false"/>
          </w:tcPr>
          <w:p>
            <w:pPr>
              <w:jc w:val="center"/>
              <w:rPr>
                <w:rFonts w:ascii="宋体" w:hAnsi="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none"/>
              </w:rPr>
              <w:t xml:space="preserve">其他违约责任</w:t>
            </w:r>
            <w:r/>
          </w:p>
        </w:tc>
        <w:tc>
          <w:tcPr>
            <w:shd w:val="clear" w:color="auto" w:fill="auto"/>
            <w:tcW w:w="5170" w:type="dxa"/>
            <w:vAlign w:val="center"/>
            <w:textDirection w:val="lrTb"/>
            <w:noWrap w:val="false"/>
          </w:tcPr>
          <w:p>
            <w:pPr>
              <w:jc w:val="center"/>
              <w:rPr>
                <w:rFonts w:ascii="宋体" w:hAnsi="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none"/>
                <w:u w:val="none"/>
                <w:lang w:val="en-US" w:eastAsia="zh-CN"/>
              </w:rPr>
              <w:t xml:space="preserve">如乙方</w:t>
            </w:r>
            <w:r>
              <w:rPr>
                <w:rFonts w:hint="eastAsia" w:ascii="宋体" w:hAnsi="宋体"/>
                <w:color w:val="auto"/>
                <w:szCs w:val="21"/>
                <w:highlight w:val="none"/>
                <w:u w:val="none"/>
                <w:lang w:eastAsia="zh-CN"/>
              </w:rPr>
              <w:t xml:space="preserve">无法提供</w:t>
            </w:r>
            <w:r>
              <w:rPr>
                <w:rFonts w:hint="eastAsia" w:ascii="宋体" w:hAnsi="宋体"/>
                <w:color w:val="auto"/>
                <w:szCs w:val="21"/>
                <w:highlight w:val="none"/>
                <w:u w:val="none"/>
                <w:lang w:val="en-US" w:eastAsia="zh-CN"/>
              </w:rPr>
              <w:t xml:space="preserve">制造商质保承诺或协议的</w:t>
            </w:r>
            <w:r>
              <w:rPr>
                <w:rFonts w:hint="eastAsia" w:ascii="宋体" w:hAnsi="宋体"/>
                <w:color w:val="auto"/>
                <w:szCs w:val="21"/>
                <w:highlight w:val="none"/>
                <w:u w:val="none"/>
                <w:lang w:eastAsia="zh-CN"/>
              </w:rPr>
              <w:t xml:space="preserve">，</w:t>
            </w:r>
            <w:r>
              <w:rPr>
                <w:rFonts w:hint="eastAsia" w:ascii="宋体" w:hAnsi="宋体"/>
                <w:color w:val="auto"/>
                <w:szCs w:val="21"/>
                <w:highlight w:val="none"/>
                <w:u w:val="none"/>
                <w:lang w:val="en-US" w:eastAsia="zh-CN"/>
              </w:rPr>
              <w:t xml:space="preserve">甲方</w:t>
            </w:r>
            <w:r>
              <w:rPr>
                <w:rFonts w:hint="eastAsia" w:ascii="宋体" w:hAnsi="宋体"/>
                <w:color w:val="auto"/>
                <w:szCs w:val="21"/>
                <w:highlight w:val="none"/>
                <w:u w:val="none"/>
                <w:lang w:eastAsia="zh-CN"/>
              </w:rPr>
              <w:t xml:space="preserve">有权单方面解除合同、扣除履约保证金、</w:t>
            </w:r>
            <w:r>
              <w:rPr>
                <w:rFonts w:hint="eastAsia" w:ascii="宋体" w:hAnsi="宋体"/>
                <w:color w:val="auto"/>
                <w:szCs w:val="21"/>
                <w:highlight w:val="none"/>
                <w:u w:val="none"/>
                <w:lang w:val="en-US" w:eastAsia="zh-CN"/>
              </w:rPr>
              <w:t xml:space="preserve">将乙方清</w:t>
            </w:r>
            <w:r>
              <w:rPr>
                <w:rFonts w:hint="eastAsia" w:ascii="宋体" w:hAnsi="宋体"/>
                <w:color w:val="auto"/>
                <w:szCs w:val="21"/>
                <w:highlight w:val="none"/>
                <w:u w:val="none"/>
                <w:lang w:eastAsia="zh-CN"/>
              </w:rPr>
              <w:t xml:space="preserve">退出场，</w:t>
            </w:r>
            <w:r>
              <w:rPr>
                <w:rFonts w:hint="eastAsia" w:ascii="宋体" w:hAnsi="宋体"/>
                <w:color w:val="auto"/>
                <w:szCs w:val="21"/>
                <w:highlight w:val="none"/>
                <w:u w:val="none"/>
                <w:lang w:val="en-US" w:eastAsia="zh-CN"/>
              </w:rPr>
              <w:t xml:space="preserve">同时</w:t>
            </w:r>
            <w:r>
              <w:rPr>
                <w:rFonts w:hint="eastAsia" w:ascii="宋体" w:hAnsi="宋体"/>
                <w:color w:val="auto"/>
                <w:szCs w:val="21"/>
                <w:highlight w:val="none"/>
                <w:u w:val="none"/>
                <w:lang w:eastAsia="zh-CN"/>
              </w:rPr>
              <w:t xml:space="preserve">报政府采购监督管理部门</w:t>
            </w:r>
            <w:r/>
          </w:p>
        </w:tc>
      </w:tr>
      <w:tr>
        <w:trPr>
          <w:jc w:val="center"/>
          <w:trHeight w:val="90"/>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第19.2款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因本合同及合同有关事项发生的争议，按下列第（2）种方式解决：</w:t>
            </w:r>
            <w:r/>
          </w:p>
          <w:p>
            <w:pPr>
              <w:jc w:val="left"/>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（1）向仲裁委员会申请仲裁，仲裁地点为        ；</w:t>
            </w:r>
            <w:r/>
          </w:p>
          <w:p>
            <w:pPr>
              <w:jc w:val="lef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第23.1款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p>
        </w:tc>
      </w:tr>
    </w:tbl>
    <w:p>
      <w:pPr>
        <w:jc w:val="left"/>
        <w:widowControl/>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br w:type="page" w:clear="all"/>
      </w:r>
      <w:r/>
    </w:p>
    <w:p>
      <w:pPr>
        <w:pStyle w:val="890"/>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8" w:name="_Toc165205797"/>
      <w:r>
        <w:rPr>
          <w:rFonts w:hint="eastAsia" w:ascii="黑体" w:hAnsi="黑体" w:eastAsia="黑体"/>
          <w:b w:val="0"/>
          <w:highlight w:val="none"/>
        </w:rPr>
        <w:t xml:space="preserve">第四章  采购需求</w:t>
      </w:r>
      <w:bookmarkEnd w:id="8"/>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说明：本项目属性为</w:t>
      </w:r>
      <w:r>
        <w:rPr>
          <w:rFonts w:hint="eastAsia"/>
          <w:b/>
          <w:sz w:val="24"/>
          <w:szCs w:val="24"/>
          <w:highlight w:val="none"/>
        </w:rPr>
        <w:t xml:space="preserve">货物</w:t>
      </w:r>
      <w:r>
        <w:rPr>
          <w:rFonts w:hint="eastAsia"/>
          <w:sz w:val="24"/>
          <w:szCs w:val="24"/>
          <w:highlight w:val="none"/>
        </w:rPr>
        <w:t xml:space="preserve">，采购标的对应的中小企业划分标准所属行业详见货物（标的）采购清单。</w:t>
      </w:r>
      <w:r/>
    </w:p>
    <w:p>
      <w:pPr>
        <w:ind w:firstLine="48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1、根据《政府采购需求管理办法》等有关规定，采购人确定采购需求。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rFonts w:hint="eastAsia"/>
          <w:b/>
          <w:sz w:val="24"/>
          <w:szCs w:val="24"/>
          <w:highlight w:val="none"/>
        </w:rPr>
        <w:t xml:space="preserve">本招标文件中</w:t>
      </w:r>
      <w:r>
        <w:rPr>
          <w:rFonts w:hint="eastAsia"/>
          <w:b/>
          <w:i/>
          <w:color w:val="c00000"/>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，由采购人根据实际情况设置，供应商须逐条明确作出满足实质性要求和条件的响应，否则将按无效响应处理。</w:t>
      </w:r>
      <w:r/>
    </w:p>
    <w:tbl>
      <w:tblPr>
        <w:tblStyle w:val="69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ascii="黑体" w:hAnsi="黑体" w:eastAsia="黑体"/>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highlight w:val="none"/>
              </w:rPr>
              <w:pBdr>
                <w:top w:val="none" w:color="auto" w:sz="0" w:space="1"/>
                <w:left w:val="none" w:color="auto" w:sz="0" w:space="4"/>
                <w:bottom w:val="none" w:color="auto" w:sz="0" w:space="1"/>
                <w:right w:val="none" w:color="auto" w:sz="0" w:space="4"/>
              </w:pBdr>
            </w:pPr>
            <w:r>
              <w:rPr>
                <w:b/>
                <w:sz w:val="24"/>
                <w:szCs w:val="24"/>
                <w:highlight w:val="none"/>
              </w:rPr>
              <w:t xml:space="preserve">序号</w:t>
            </w:r>
            <w:r/>
          </w:p>
        </w:tc>
        <w:tc>
          <w:tcPr>
            <w:tcBorders>
              <w:top w:val="single" w:color="auto" w:sz="4" w:space="0"/>
            </w:tcBorders>
            <w:tcW w:w="7689" w:type="dxa"/>
            <w:textDirection w:val="lrTb"/>
            <w:noWrap w:val="false"/>
          </w:tcPr>
          <w:p>
            <w:pPr>
              <w:jc w:val="center"/>
              <w:spacing w:line="500" w:lineRule="exact"/>
              <w:rPr>
                <w:b/>
                <w:sz w:val="24"/>
                <w:szCs w:val="24"/>
                <w:highlight w:val="none"/>
              </w:rPr>
              <w:pBdr>
                <w:top w:val="none" w:color="auto" w:sz="0" w:space="1"/>
                <w:left w:val="none" w:color="auto" w:sz="0" w:space="4"/>
                <w:bottom w:val="none" w:color="auto" w:sz="0" w:space="1"/>
                <w:right w:val="none" w:color="auto" w:sz="0" w:space="4"/>
              </w:pBdr>
            </w:pPr>
            <w:r>
              <w:rPr>
                <w:b/>
                <w:sz w:val="24"/>
                <w:szCs w:val="24"/>
                <w:highlight w:val="none"/>
              </w:rPr>
              <w:t xml:space="preserve">实质性要求和条件</w:t>
            </w:r>
            <w:r/>
          </w:p>
        </w:tc>
      </w:tr>
      <w:tr>
        <w:trPr>
          <w:jc w:val="center"/>
        </w:trPr>
        <w:tc>
          <w:tcPr>
            <w:shd w:val="clear" w:color="auto" w:fill="auto"/>
            <w:tcBorders>
              <w:top w:val="single" w:color="auto" w:sz="4" w:space="0"/>
            </w:tcBorders>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w:t>
            </w:r>
            <w:r/>
          </w:p>
        </w:tc>
        <w:tc>
          <w:tcPr>
            <w:tcBorders>
              <w:top w:val="single" w:color="auto" w:sz="4" w:space="0"/>
            </w:tcBorders>
            <w:tcW w:w="7689" w:type="dxa"/>
            <w:textDirection w:val="lrTb"/>
            <w:noWrap w:val="false"/>
          </w:tcPr>
          <w:p>
            <w:pPr>
              <w:jc w:val="left"/>
              <w:spacing w:line="500" w:lineRule="exact"/>
              <w:rPr>
                <w:rFonts w:ascii="宋体" w:hAnsi="宋体" w:cs="宋体"/>
                <w:b/>
                <w:bCs/>
                <w:i/>
                <w:iCs/>
                <w:sz w:val="24"/>
                <w:szCs w:val="24"/>
                <w:highlight w:val="none"/>
                <w:u w:val="single"/>
              </w:rPr>
              <w:pBdr>
                <w:top w:val="none" w:color="auto" w:sz="0" w:space="1"/>
                <w:left w:val="none" w:color="auto" w:sz="0" w:space="4"/>
                <w:bottom w:val="none" w:color="auto" w:sz="0" w:space="1"/>
                <w:right w:val="none" w:color="auto" w:sz="0" w:space="4"/>
              </w:pBdr>
            </w:pPr>
            <w:r>
              <w:rPr>
                <w:rFonts w:ascii="Times New Roman" w:hAnsi="Times New Roman"/>
                <w:b/>
                <w:bCs/>
                <w:i/>
                <w:iCs/>
                <w:sz w:val="24"/>
                <w:highlight w:val="none"/>
                <w:u w:val="single"/>
              </w:rPr>
              <w:t xml:space="preserve">色谱泵：一体式独立柱塞，数控直线驱动色谱泵技术，双压力传感器反馈回路，无需阻尼器</w:t>
            </w:r>
            <w:r>
              <w:rPr>
                <w:rFonts w:hint="eastAsia" w:ascii="Times New Roman" w:hAnsi="Times New Roman"/>
                <w:b/>
                <w:bCs/>
                <w:i/>
                <w:iCs/>
                <w:sz w:val="24"/>
                <w:highlight w:val="none"/>
                <w:u w:val="single"/>
              </w:rPr>
              <w:t xml:space="preserve">（提供</w:t>
            </w:r>
            <w:r>
              <w:rPr>
                <w:rFonts w:hint="eastAsia" w:ascii="Times New Roman" w:hAnsi="Times New Roman"/>
                <w:b/>
                <w:bCs/>
                <w:i/>
                <w:iCs/>
                <w:sz w:val="24"/>
                <w:highlight w:val="none"/>
                <w:u w:val="single"/>
                <w:lang w:eastAsia="zh-Hans"/>
              </w:rPr>
              <w:t xml:space="preserve">官方彩页或官方规格参数文件</w:t>
            </w:r>
            <w:r>
              <w:rPr>
                <w:rFonts w:hint="eastAsia" w:ascii="Times New Roman" w:hAnsi="Times New Roman"/>
                <w:b/>
                <w:bCs/>
                <w:i/>
                <w:iCs/>
                <w:sz w:val="24"/>
                <w:highlight w:val="none"/>
                <w:u w:val="single"/>
              </w:rPr>
              <w:t xml:space="preserve">）</w:t>
            </w:r>
            <w:r/>
          </w:p>
        </w:tc>
      </w:tr>
      <w:tr>
        <w:trPr>
          <w:jc w:val="center"/>
        </w:trPr>
        <w:tc>
          <w:tcPr>
            <w:shd w:val="clear" w:color="auto" w:fill="auto"/>
            <w:tcW w:w="816" w:type="dxa"/>
            <w:vAlign w:val="center"/>
            <w:textDirection w:val="lrTb"/>
            <w:noWrap w:val="false"/>
          </w:tcPr>
          <w:p>
            <w:pPr>
              <w:jc w:val="center"/>
              <w:spacing w:line="500" w:lineRule="exact"/>
              <w:rPr>
                <w:rFonts w:hint="eastAsia" w:ascii="Calibri" w:hAnsi="Calibri" w:eastAsia="宋体" w:cs="Times New Roman"/>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p>
        </w:tc>
        <w:tc>
          <w:tcPr>
            <w:shd w:val="clear" w:color="auto" w:fill="auto"/>
            <w:tcW w:w="7689" w:type="dxa"/>
            <w:vAlign w:val="top"/>
            <w:textDirection w:val="lrTb"/>
            <w:noWrap w:val="false"/>
          </w:tcPr>
          <w:p>
            <w:pPr>
              <w:jc w:val="left"/>
              <w:spacing w:line="500" w:lineRule="exact"/>
              <w:rPr>
                <w:rFonts w:ascii="Calibri" w:hAnsi="Calibri" w:eastAsia="宋体" w:cs="Times New Roman"/>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ascii="Times New Roman" w:hAnsi="Times New Roman"/>
                <w:b/>
                <w:bCs/>
                <w:i/>
                <w:iCs/>
                <w:sz w:val="24"/>
                <w:highlight w:val="none"/>
                <w:u w:val="single"/>
              </w:rPr>
              <w:t xml:space="preserve">最大操作压力：9500 psi（全流量范围）</w:t>
            </w:r>
            <w:r>
              <w:rPr>
                <w:rFonts w:hint="eastAsia" w:ascii="Times New Roman" w:hAnsi="Times New Roman"/>
                <w:b/>
                <w:bCs/>
                <w:i/>
                <w:iCs/>
                <w:sz w:val="24"/>
                <w:highlight w:val="none"/>
                <w:u w:val="single"/>
              </w:rPr>
              <w:t xml:space="preserve">（需提供制造商官方证明文件）</w:t>
            </w:r>
            <w:r/>
          </w:p>
        </w:tc>
      </w:tr>
      <w:tr>
        <w:trPr>
          <w:jc w:val="center"/>
        </w:trPr>
        <w:tc>
          <w:tcPr>
            <w:shd w:val="clear" w:color="auto" w:fill="auto"/>
            <w:tcW w:w="816" w:type="dxa"/>
            <w:vAlign w:val="center"/>
            <w:textDirection w:val="lrTb"/>
            <w:noWrap w:val="false"/>
          </w:tcPr>
          <w:p>
            <w:pPr>
              <w:jc w:val="center"/>
              <w:spacing w:line="500" w:lineRule="exact"/>
              <w:rPr>
                <w:rFonts w:hint="eastAsia" w:eastAsia="宋体"/>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3</w:t>
            </w:r>
            <w:r/>
          </w:p>
        </w:tc>
        <w:tc>
          <w:tcPr>
            <w:tcW w:w="7689" w:type="dxa"/>
            <w:textDirection w:val="lrTb"/>
            <w:noWrap w:val="false"/>
          </w:tcPr>
          <w:p>
            <w:pPr>
              <w:spacing w:line="360" w:lineRule="auto"/>
              <w:rPr>
                <w:rFonts w:ascii="Times New Roman" w:hAnsi="Times New Roman"/>
                <w:b/>
                <w:bCs/>
                <w:i/>
                <w:iCs/>
                <w:sz w:val="24"/>
                <w:highlight w:val="none"/>
                <w:u w:val="single"/>
              </w:rPr>
            </w:pPr>
            <w:r>
              <w:rPr>
                <w:rFonts w:hint="eastAsia" w:ascii="宋体" w:hAnsi="宋体" w:cs="宋体"/>
                <w:b/>
                <w:bCs/>
                <w:i/>
                <w:iCs/>
                <w:color w:val="000000"/>
                <w:sz w:val="24"/>
                <w:szCs w:val="24"/>
                <w:highlight w:val="none"/>
                <w:u w:val="single"/>
              </w:rPr>
              <w:t xml:space="preserve">正版操作平台，与工作站配套，内存16GB及以上，1T硬盘以上，正版办公软件 1套</w:t>
            </w:r>
            <w:r>
              <w:rPr>
                <w:rFonts w:hint="eastAsia" w:ascii="宋体" w:hAnsi="宋体" w:cs="宋体"/>
                <w:b/>
                <w:bCs/>
                <w:i/>
                <w:iCs/>
                <w:color w:val="000000"/>
                <w:sz w:val="24"/>
                <w:szCs w:val="24"/>
                <w:highlight w:val="none"/>
                <w:u w:val="single"/>
                <w:lang w:val="en-US" w:eastAsia="zh-CN"/>
              </w:rPr>
              <w:t xml:space="preserve">（提供节能产品认证证书扫描件加盖供应商公章）</w:t>
            </w:r>
            <w:r/>
          </w:p>
        </w:tc>
      </w:tr>
      <w:tr>
        <w:trPr>
          <w:jc w:val="center"/>
        </w:trPr>
        <w:tc>
          <w:tcPr>
            <w:shd w:val="clear" w:color="auto" w:fill="auto"/>
            <w:tcW w:w="816" w:type="dxa"/>
            <w:vAlign w:val="center"/>
            <w:textDirection w:val="lrTb"/>
            <w:noWrap w:val="false"/>
          </w:tcPr>
          <w:p>
            <w:pPr>
              <w:jc w:val="center"/>
              <w:spacing w:line="500" w:lineRule="exact"/>
              <w:rPr>
                <w:rFonts w:hint="eastAsia" w:eastAsia="宋体"/>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4</w:t>
            </w:r>
            <w:r/>
          </w:p>
        </w:tc>
        <w:tc>
          <w:tcPr>
            <w:tcW w:w="7689" w:type="dxa"/>
            <w:textDirection w:val="lrTb"/>
            <w:noWrap w:val="false"/>
          </w:tcPr>
          <w:p>
            <w:pPr>
              <w:jc w:val="left"/>
              <w:spacing w:line="500" w:lineRule="exact"/>
              <w:rPr>
                <w:rFonts w:ascii="Times New Roman" w:hAnsi="Times New Roman"/>
                <w:b/>
                <w:bCs/>
                <w:i/>
                <w:iCs/>
                <w:sz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
                <w:bCs/>
                <w:i/>
                <w:iCs/>
                <w:color w:val="000000"/>
                <w:sz w:val="24"/>
                <w:szCs w:val="24"/>
                <w:highlight w:val="none"/>
                <w:u w:val="single"/>
              </w:rPr>
              <w:t xml:space="preserve">25寸液晶显示屏</w:t>
            </w:r>
            <w:r>
              <w:rPr>
                <w:rFonts w:hint="eastAsia" w:ascii="宋体" w:hAnsi="宋体" w:cs="宋体"/>
                <w:b/>
                <w:bCs/>
                <w:i/>
                <w:iCs/>
                <w:color w:val="000000"/>
                <w:sz w:val="24"/>
                <w:szCs w:val="24"/>
                <w:highlight w:val="none"/>
                <w:u w:val="single"/>
                <w:lang w:val="en-US" w:eastAsia="zh-CN"/>
              </w:rPr>
              <w:t xml:space="preserve">（提供节能产品认证证书扫描件加盖供应商公章）</w:t>
            </w:r>
            <w:r/>
          </w:p>
        </w:tc>
      </w:tr>
      <w:tr>
        <w:trPr>
          <w:jc w:val="center"/>
        </w:trPr>
        <w:tc>
          <w:tcPr>
            <w:shd w:val="clear" w:color="auto" w:fill="auto"/>
            <w:tcW w:w="816" w:type="dxa"/>
            <w:vAlign w:val="center"/>
            <w:textDirection w:val="lrTb"/>
            <w:noWrap w:val="false"/>
          </w:tcPr>
          <w:p>
            <w:pPr>
              <w:jc w:val="center"/>
              <w:spacing w:line="500" w:lineRule="exact"/>
              <w:rPr>
                <w:rFonts w:hint="eastAsia" w:eastAsia="宋体"/>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5</w:t>
            </w:r>
            <w:r/>
          </w:p>
        </w:tc>
        <w:tc>
          <w:tcPr>
            <w:tcW w:w="7689" w:type="dxa"/>
            <w:textDirection w:val="lrTb"/>
            <w:noWrap w:val="false"/>
          </w:tcPr>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
                <w:bCs/>
                <w:i/>
                <w:iCs/>
                <w:sz w:val="24"/>
                <w:highlight w:val="none"/>
                <w:u w:val="single"/>
              </w:rPr>
              <w:t xml:space="preserve">输出设备一台，支持双面输出</w:t>
            </w:r>
            <w:r>
              <w:rPr>
                <w:rFonts w:ascii="Times New Roman" w:hAnsi="Times New Roman"/>
                <w:b/>
                <w:bCs/>
                <w:i/>
                <w:iCs/>
                <w:sz w:val="24"/>
                <w:highlight w:val="none"/>
                <w:u w:val="single"/>
              </w:rPr>
              <w:t xml:space="preserve">，支持有线&amp;无线网络，A4纸（黑白或彩色）</w:t>
            </w:r>
            <w:r>
              <w:rPr>
                <w:rFonts w:hint="eastAsia" w:ascii="Times New Roman" w:hAnsi="Times New Roman"/>
                <w:b/>
                <w:bCs/>
                <w:i/>
                <w:iCs/>
                <w:sz w:val="24"/>
                <w:highlight w:val="none"/>
                <w:u w:val="single"/>
              </w:rPr>
              <w:t xml:space="preserve">输出速度</w:t>
            </w:r>
            <w:r>
              <w:rPr>
                <w:rFonts w:ascii="Times New Roman" w:hAnsi="Times New Roman"/>
                <w:b/>
                <w:bCs/>
                <w:i/>
                <w:iCs/>
                <w:sz w:val="24"/>
                <w:highlight w:val="none"/>
                <w:u w:val="single"/>
              </w:rPr>
              <w:t xml:space="preserve">不低于</w:t>
            </w:r>
            <w:r>
              <w:rPr>
                <w:rFonts w:hint="eastAsia" w:ascii="Times New Roman" w:hAnsi="Times New Roman"/>
                <w:b/>
                <w:bCs/>
                <w:i/>
                <w:iCs/>
                <w:sz w:val="24"/>
                <w:highlight w:val="none"/>
                <w:u w:val="single"/>
              </w:rPr>
              <w:t xml:space="preserve">27ppm</w:t>
            </w:r>
            <w:r>
              <w:rPr>
                <w:rFonts w:ascii="Times New Roman" w:hAnsi="Times New Roman"/>
                <w:b/>
                <w:bCs/>
                <w:i/>
                <w:iCs/>
                <w:sz w:val="24"/>
                <w:highlight w:val="none"/>
                <w:u w:val="single"/>
              </w:rPr>
              <w:t xml:space="preserve">。</w:t>
            </w:r>
            <w:r>
              <w:rPr>
                <w:rFonts w:hint="eastAsia" w:ascii="Times New Roman" w:hAnsi="Times New Roman"/>
                <w:b/>
                <w:bCs/>
                <w:i/>
                <w:iCs/>
                <w:sz w:val="24"/>
                <w:highlight w:val="none"/>
                <w:u w:val="single"/>
                <w:lang w:eastAsia="zh-CN"/>
              </w:rPr>
              <w:t xml:space="preserve">（</w:t>
            </w:r>
            <w:r>
              <w:rPr>
                <w:rFonts w:hint="eastAsia" w:ascii="宋体" w:hAnsi="宋体" w:cs="宋体"/>
                <w:b/>
                <w:bCs/>
                <w:i/>
                <w:iCs/>
                <w:color w:val="000000"/>
                <w:sz w:val="24"/>
                <w:szCs w:val="24"/>
                <w:highlight w:val="none"/>
                <w:u w:val="single"/>
                <w:lang w:val="en-US" w:eastAsia="zh-CN"/>
              </w:rPr>
              <w:t xml:space="preserve">提供节能产品认证证书扫描件加盖供应商公章）</w:t>
            </w:r>
            <w:r/>
          </w:p>
        </w:tc>
      </w:tr>
      <w:tr>
        <w:trPr>
          <w:jc w:val="center"/>
        </w:trPr>
        <w:tc>
          <w:tcPr>
            <w:tcW w:w="816" w:type="dxa"/>
            <w:vAlign w:val="center"/>
            <w:textDirection w:val="lrTb"/>
            <w:noWrap w:val="false"/>
          </w:tcPr>
          <w:p>
            <w:pPr>
              <w:jc w:val="center"/>
              <w:spacing w:line="500" w:lineRule="exact"/>
              <w:rPr>
                <w:rFonts w:hint="eastAsia" w:eastAsia="宋体"/>
                <w:sz w:val="24"/>
                <w:szCs w:val="24"/>
                <w:highlight w:val="none"/>
                <w:lang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6</w:t>
            </w:r>
            <w:r/>
          </w:p>
        </w:tc>
        <w:tc>
          <w:tcPr>
            <w:shd w:val="clear" w:color="auto" w:fill="auto"/>
            <w:tcW w:w="7689" w:type="dxa"/>
            <w:textDirection w:val="lrTb"/>
            <w:noWrap w:val="false"/>
          </w:tcPr>
          <w:p>
            <w:pPr>
              <w:jc w:val="left"/>
              <w:spacing w:line="500" w:lineRule="exact"/>
              <w:rPr>
                <w:rFonts w:ascii="宋体" w:hAnsi="宋体" w:cs="宋体"/>
                <w:b/>
                <w:bCs/>
                <w:i/>
                <w:iCs/>
                <w:color w:val="000000"/>
                <w:sz w:val="24"/>
                <w:szCs w:val="24"/>
                <w:highlight w:val="none"/>
                <w:u w:val="single"/>
              </w:rPr>
              <w:pBdr>
                <w:top w:val="none" w:color="auto" w:sz="0" w:space="1"/>
                <w:left w:val="none" w:color="auto" w:sz="0" w:space="4"/>
                <w:bottom w:val="none" w:color="auto" w:sz="0" w:space="1"/>
                <w:right w:val="none" w:color="auto" w:sz="0" w:space="4"/>
              </w:pBdr>
            </w:pPr>
            <w:r>
              <w:rPr>
                <w:rFonts w:ascii="宋体" w:hAnsi="宋体" w:cs="宋体"/>
                <w:b/>
                <w:bCs/>
                <w:i/>
                <w:iCs/>
                <w:sz w:val="24"/>
                <w:szCs w:val="24"/>
                <w:highlight w:val="none"/>
                <w:u w:val="single"/>
              </w:rPr>
              <w:t xml:space="preserve">检测方法</w:t>
            </w:r>
            <w:r>
              <w:rPr>
                <w:rFonts w:hint="eastAsia" w:ascii="宋体" w:hAnsi="宋体" w:cs="宋体"/>
                <w:b/>
                <w:bCs/>
                <w:i/>
                <w:iCs/>
                <w:sz w:val="24"/>
                <w:szCs w:val="24"/>
                <w:highlight w:val="none"/>
                <w:u w:val="single"/>
              </w:rPr>
              <w:t xml:space="preserve">：</w:t>
            </w:r>
            <w:r>
              <w:rPr>
                <w:rFonts w:ascii="宋体" w:hAnsi="宋体" w:cs="宋体"/>
                <w:b/>
                <w:bCs/>
                <w:i/>
                <w:iCs/>
                <w:sz w:val="24"/>
                <w:szCs w:val="24"/>
                <w:highlight w:val="none"/>
                <w:u w:val="single"/>
              </w:rPr>
              <w:t xml:space="preserve">比色法</w:t>
            </w:r>
            <w:r/>
          </w:p>
        </w:tc>
      </w:tr>
      <w:tr>
        <w:trPr>
          <w:jc w:val="center"/>
        </w:trPr>
        <w:tc>
          <w:tcPr>
            <w:tcW w:w="816" w:type="dxa"/>
            <w:vAlign w:val="center"/>
            <w:textDirection w:val="lrTb"/>
            <w:noWrap w:val="false"/>
          </w:tcPr>
          <w:p>
            <w:pPr>
              <w:jc w:val="center"/>
              <w:spacing w:line="500" w:lineRule="exact"/>
              <w:rPr>
                <w:rFonts w:hint="eastAsia" w:eastAsia="宋体"/>
                <w:sz w:val="24"/>
                <w:szCs w:val="24"/>
                <w:highlight w:val="none"/>
                <w:lang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7</w:t>
            </w:r>
            <w:r/>
          </w:p>
        </w:tc>
        <w:tc>
          <w:tcPr>
            <w:shd w:val="clear" w:color="auto" w:fill="auto"/>
            <w:tcW w:w="7689" w:type="dxa"/>
            <w:textDirection w:val="lrTb"/>
            <w:noWrap w:val="false"/>
          </w:tcPr>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标准温度范围：目标温度±</w:t>
            </w:r>
            <w:r>
              <w:rPr>
                <w:rFonts w:ascii="宋体" w:hAnsi="宋体" w:cs="宋体"/>
                <w:b/>
                <w:bCs/>
                <w:i/>
                <w:iCs/>
                <w:sz w:val="24"/>
                <w:szCs w:val="24"/>
                <w:highlight w:val="none"/>
                <w:u w:val="single"/>
              </w:rPr>
              <w:t xml:space="preserve">1.5℃；</w:t>
            </w:r>
            <w:r/>
          </w:p>
        </w:tc>
      </w:tr>
      <w:tr>
        <w:trPr>
          <w:jc w:val="center"/>
        </w:trPr>
        <w:tc>
          <w:tcPr>
            <w:tcW w:w="816" w:type="dxa"/>
            <w:vAlign w:val="center"/>
            <w:textDirection w:val="lrTb"/>
            <w:noWrap w:val="false"/>
          </w:tcPr>
          <w:p>
            <w:pPr>
              <w:jc w:val="center"/>
              <w:spacing w:line="500" w:lineRule="exact"/>
              <w:rPr>
                <w:rFonts w:hint="eastAsia" w:eastAsia="宋体"/>
                <w:sz w:val="24"/>
                <w:szCs w:val="24"/>
                <w:highlight w:val="none"/>
                <w:lang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8</w:t>
            </w:r>
            <w:r/>
          </w:p>
        </w:tc>
        <w:tc>
          <w:tcPr>
            <w:shd w:val="clear" w:color="auto" w:fill="auto"/>
            <w:tcW w:w="7689" w:type="dxa"/>
            <w:textDirection w:val="lrTb"/>
            <w:noWrap w:val="false"/>
          </w:tcPr>
          <w:p>
            <w:pPr>
              <w:jc w:val="left"/>
              <w:spacing w:line="500" w:lineRule="exact"/>
              <w:rPr>
                <w:rFonts w:ascii="宋体" w:hAnsi="宋体" w:cs="宋体"/>
                <w:b/>
                <w:bCs/>
                <w:i/>
                <w:iCs/>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b/>
                <w:bCs/>
                <w:i/>
                <w:iCs/>
                <w:sz w:val="24"/>
                <w:szCs w:val="24"/>
                <w:highlight w:val="none"/>
                <w:u w:val="single"/>
              </w:rPr>
              <w:t xml:space="preserve">系统原理：</w:t>
            </w:r>
            <w:r>
              <w:rPr>
                <w:rFonts w:ascii="宋体" w:hAnsi="宋体"/>
                <w:b/>
                <w:bCs/>
                <w:i/>
                <w:iCs/>
                <w:sz w:val="24"/>
                <w:szCs w:val="24"/>
                <w:highlight w:val="none"/>
                <w:u w:val="single"/>
              </w:rPr>
              <w:t xml:space="preserve">通过</w:t>
            </w:r>
            <w:r>
              <w:rPr>
                <w:rFonts w:hint="eastAsia" w:ascii="宋体" w:hAnsi="宋体"/>
                <w:b/>
                <w:bCs/>
                <w:i/>
                <w:iCs/>
                <w:sz w:val="24"/>
                <w:szCs w:val="24"/>
                <w:highlight w:val="none"/>
                <w:u w:val="single"/>
              </w:rPr>
              <w:t xml:space="preserve">真空置换抽排原理，精确控制气体压力的变化，从而达到控制培养罐气体环境的目的；</w:t>
            </w:r>
            <w:r/>
          </w:p>
        </w:tc>
      </w:tr>
      <w:tr>
        <w:trPr>
          <w:jc w:val="center"/>
        </w:trPr>
        <w:tc>
          <w:tcPr>
            <w:tcW w:w="816" w:type="dxa"/>
            <w:vAlign w:val="center"/>
            <w:textDirection w:val="lrTb"/>
            <w:noWrap w:val="false"/>
          </w:tcPr>
          <w:p>
            <w:pPr>
              <w:jc w:val="center"/>
              <w:spacing w:line="500" w:lineRule="exact"/>
              <w:rPr>
                <w:rFonts w:hint="eastAsia" w:eastAsia="宋体"/>
                <w:sz w:val="24"/>
                <w:szCs w:val="24"/>
                <w:highlight w:val="none"/>
                <w:lang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9</w:t>
            </w:r>
            <w:r/>
          </w:p>
        </w:tc>
        <w:tc>
          <w:tcPr>
            <w:shd w:val="clear" w:color="auto" w:fill="auto"/>
            <w:tcW w:w="7689" w:type="dxa"/>
            <w:textDirection w:val="lrTb"/>
            <w:noWrap w:val="false"/>
          </w:tcPr>
          <w:p>
            <w:pPr>
              <w:jc w:val="left"/>
              <w:spacing w:line="500" w:lineRule="exact"/>
              <w:rPr>
                <w:rFonts w:ascii="宋体" w:hAnsi="宋体"/>
                <w:b/>
                <w:bCs/>
                <w:i/>
                <w:iCs/>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b/>
                <w:bCs/>
                <w:i/>
                <w:iCs/>
                <w:sz w:val="24"/>
                <w:szCs w:val="24"/>
                <w:highlight w:val="none"/>
                <w:u w:val="single"/>
              </w:rPr>
              <w:t xml:space="preserve">气体浓度监测：配置无线气体浓度监测装置，内置数据处理软件，可实时监测培养过程中的氧气、二氧化碳浓度、温度、湿度</w:t>
            </w:r>
            <w:r>
              <w:rPr>
                <w:rFonts w:hint="eastAsia" w:ascii="宋体" w:hAnsi="宋体"/>
                <w:i/>
                <w:iCs/>
                <w:sz w:val="24"/>
                <w:szCs w:val="24"/>
                <w:highlight w:val="none"/>
                <w:u w:val="single"/>
              </w:rPr>
              <w:t xml:space="preserve">；</w:t>
            </w:r>
            <w:r/>
          </w:p>
        </w:tc>
      </w:tr>
      <w:tr>
        <w:trPr>
          <w:jc w:val="center"/>
        </w:trPr>
        <w:tc>
          <w:tcPr>
            <w:tcW w:w="816" w:type="dxa"/>
            <w:vAlign w:val="center"/>
            <w:textDirection w:val="lrTb"/>
            <w:noWrap w:val="false"/>
          </w:tcPr>
          <w:p>
            <w:pPr>
              <w:jc w:val="center"/>
              <w:spacing w:line="500" w:lineRule="exact"/>
              <w:rPr>
                <w:rFonts w:hint="default" w:eastAsia="宋体"/>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10</w:t>
            </w:r>
            <w:r/>
          </w:p>
        </w:tc>
        <w:tc>
          <w:tcPr>
            <w:shd w:val="clear" w:color="auto" w:fill="auto"/>
            <w:tcW w:w="7689" w:type="dxa"/>
            <w:vAlign w:val="top"/>
            <w:textDirection w:val="lrTb"/>
            <w:noWrap w:val="false"/>
          </w:tcPr>
          <w:p>
            <w:pPr>
              <w:jc w:val="left"/>
              <w:spacing w:line="500" w:lineRule="exact"/>
              <w:rPr>
                <w:rFonts w:ascii="宋体" w:hAnsi="宋体" w:eastAsia="宋体" w:cs="宋体"/>
                <w:b/>
                <w:bCs/>
                <w:i/>
                <w:iCs/>
                <w:color w:val="000000"/>
                <w:sz w:val="24"/>
                <w:szCs w:val="24"/>
                <w:highlight w:val="none"/>
                <w:u w:val="single"/>
                <w:lang w:val="en-US" w:eastAsia="zh-CN" w:bidi="ar-SA"/>
              </w:rPr>
              <w:pBdr>
                <w:top w:val="none" w:color="auto" w:sz="0" w:space="1"/>
                <w:left w:val="none" w:color="auto" w:sz="0" w:space="4"/>
                <w:bottom w:val="none" w:color="auto" w:sz="0" w:space="1"/>
                <w:right w:val="none" w:color="auto" w:sz="0" w:space="4"/>
              </w:pBdr>
            </w:pPr>
            <w:r>
              <w:rPr>
                <w:rFonts w:hint="eastAsia" w:ascii="宋体" w:hAnsi="宋体"/>
                <w:b/>
                <w:bCs/>
                <w:i/>
                <w:iCs/>
                <w:sz w:val="24"/>
                <w:szCs w:val="24"/>
                <w:highlight w:val="none"/>
                <w:u w:val="single"/>
              </w:rPr>
              <w:t xml:space="preserve">合同签订后60天内完成安装调试，达到预期效果。</w:t>
            </w:r>
            <w:r/>
          </w:p>
        </w:tc>
      </w:tr>
      <w:tr>
        <w:trPr>
          <w:jc w:val="center"/>
        </w:trPr>
        <w:tc>
          <w:tcPr>
            <w:tcW w:w="816" w:type="dxa"/>
            <w:vAlign w:val="center"/>
            <w:vMerge w:val="restart"/>
            <w:textDirection w:val="lrTb"/>
            <w:noWrap w:val="false"/>
          </w:tcPr>
          <w:p>
            <w:pPr>
              <w:jc w:val="center"/>
              <w:spacing w:line="500" w:lineRule="exact"/>
              <w:rPr>
                <w:rFonts w:hint="eastAsia"/>
                <w:sz w:val="24"/>
                <w:szCs w:val="24"/>
                <w:highlight w:val="none"/>
                <w:lang w:val="en-US" w:eastAsia="zh-CN"/>
              </w:rPr>
              <w:pBdr>
                <w:top w:val="none" w:color="000000" w:sz="0" w:space="0"/>
                <w:left w:val="none" w:color="000000" w:sz="0" w:space="3"/>
                <w:bottom w:val="none" w:color="000000" w:sz="0" w:space="0"/>
                <w:right w:val="none" w:color="000000" w:sz="0" w:space="3"/>
              </w:pBdr>
            </w:pPr>
            <w:r>
              <w:rPr>
                <w:rFonts w:hint="eastAsia"/>
                <w:sz w:val="24"/>
                <w:szCs w:val="24"/>
                <w:highlight w:val="none"/>
                <w:lang w:val="en-US" w:eastAsia="zh-CN"/>
              </w:rPr>
              <w:t xml:space="preserve">11</w:t>
            </w:r>
            <w:r/>
          </w:p>
        </w:tc>
        <w:tc>
          <w:tcPr>
            <w:shd w:val="clear" w:color="ffffff" w:fill="ffffff"/>
            <w:tcW w:w="7689" w:type="dxa"/>
            <w:vAlign w:val="top"/>
            <w:vMerge w:val="restart"/>
            <w:textDirection w:val="lrTb"/>
            <w:noWrap w:val="false"/>
          </w:tcPr>
          <w:p>
            <w:pPr>
              <w:ind w:firstLine="0"/>
              <w:jc w:val="left"/>
              <w:spacing w:line="360" w:lineRule="auto"/>
              <w:pBdr>
                <w:top w:val="none" w:color="000000" w:sz="0" w:space="0"/>
                <w:left w:val="none" w:color="000000" w:sz="0" w:space="3"/>
                <w:bottom w:val="none" w:color="000000" w:sz="0" w:space="0"/>
                <w:right w:val="none" w:color="000000" w:sz="0" w:space="3"/>
              </w:pBdr>
            </w:pPr>
            <w:r>
              <w:rPr>
                <w:rFonts w:hint="eastAsia" w:ascii="宋体" w:hAnsi="宋体"/>
                <w:b/>
                <w:bCs/>
                <w:i/>
                <w:iCs/>
                <w:sz w:val="24"/>
                <w:szCs w:val="24"/>
                <w:highlight w:val="none"/>
                <w:u w:val="single"/>
              </w:rPr>
              <w:t xml:space="preserve">全自动血培养仪系统</w:t>
            </w:r>
            <w:r>
              <w:rPr>
                <w:rFonts w:ascii="宋体" w:hAnsi="宋体"/>
                <w:b/>
                <w:bCs/>
                <w:i/>
                <w:iCs/>
                <w:sz w:val="24"/>
                <w:szCs w:val="24"/>
                <w:highlight w:val="none"/>
                <w:u w:val="single"/>
              </w:rPr>
              <w:t xml:space="preserve">整机原厂质保</w:t>
            </w:r>
            <w:r>
              <w:rPr>
                <w:rFonts w:hint="eastAsia" w:ascii="宋体" w:hAnsi="宋体"/>
                <w:b/>
                <w:bCs/>
                <w:i/>
                <w:iCs/>
                <w:sz w:val="24"/>
                <w:szCs w:val="24"/>
                <w:highlight w:val="none"/>
                <w:u w:val="single"/>
              </w:rPr>
              <w:t xml:space="preserve">不少于</w:t>
            </w:r>
            <w:r>
              <w:rPr>
                <w:rFonts w:ascii="宋体" w:hAnsi="宋体"/>
                <w:b/>
                <w:bCs/>
                <w:i/>
                <w:iCs/>
                <w:sz w:val="24"/>
                <w:szCs w:val="24"/>
                <w:highlight w:val="none"/>
                <w:u w:val="single"/>
              </w:rPr>
              <w:t xml:space="preserve">24</w:t>
            </w:r>
            <w:r>
              <w:rPr>
                <w:rFonts w:hint="eastAsia" w:ascii="宋体" w:hAnsi="宋体"/>
                <w:b/>
                <w:bCs/>
                <w:i/>
                <w:iCs/>
                <w:sz w:val="24"/>
                <w:szCs w:val="24"/>
                <w:highlight w:val="none"/>
                <w:u w:val="single"/>
              </w:rPr>
              <w:t xml:space="preserve">个</w:t>
            </w:r>
            <w:bookmarkStart w:id="34" w:name="_GoBack"/>
            <w:r>
              <w:rPr>
                <w:rFonts w:hint="eastAsia" w:ascii="宋体" w:hAnsi="宋体"/>
                <w:b/>
                <w:bCs/>
                <w:i/>
                <w:iCs/>
                <w:sz w:val="24"/>
                <w:szCs w:val="24"/>
                <w:highlight w:val="none"/>
                <w:u w:val="single"/>
              </w:rPr>
              <w:t xml:space="preserve">月</w:t>
            </w:r>
            <w:bookmarkEnd w:id="34"/>
            <w:r>
              <w:rPr>
                <w:rFonts w:ascii="宋体" w:hAnsi="宋体"/>
                <w:b/>
                <w:bCs/>
                <w:i/>
                <w:iCs/>
                <w:sz w:val="24"/>
                <w:szCs w:val="24"/>
                <w:highlight w:val="none"/>
                <w:u w:val="single"/>
              </w:rPr>
              <w:t xml:space="preserve">（自验收合格之日起算），可付费延保；设备停产后</w:t>
            </w:r>
            <w:r>
              <w:rPr>
                <w:rFonts w:hint="eastAsia" w:ascii="宋体" w:hAnsi="宋体"/>
                <w:b/>
                <w:bCs/>
                <w:i/>
                <w:iCs/>
                <w:sz w:val="24"/>
                <w:szCs w:val="24"/>
                <w:highlight w:val="none"/>
                <w:u w:val="single"/>
              </w:rPr>
              <w:t xml:space="preserve">提供不少于</w:t>
            </w:r>
            <w:r>
              <w:rPr>
                <w:rFonts w:ascii="宋体" w:hAnsi="宋体"/>
                <w:b/>
                <w:bCs/>
                <w:i/>
                <w:iCs/>
                <w:sz w:val="24"/>
                <w:szCs w:val="24"/>
                <w:highlight w:val="none"/>
                <w:u w:val="single"/>
              </w:rPr>
              <w:t xml:space="preserve">5年备件保障</w:t>
            </w:r>
            <w:r>
              <w:rPr>
                <w:rFonts w:hint="eastAsia" w:ascii="宋体" w:hAnsi="宋体"/>
                <w:b/>
                <w:bCs/>
                <w:i/>
                <w:iCs/>
                <w:sz w:val="24"/>
                <w:szCs w:val="24"/>
                <w:highlight w:val="none"/>
                <w:u w:val="single"/>
              </w:rPr>
              <w:t xml:space="preserve">。（供应商投标时提供承诺书加盖公章，成交后提供由制造商加盖公章的维护承诺或协议）</w:t>
            </w:r>
            <w:r/>
          </w:p>
        </w:tc>
      </w:tr>
      <w:tr>
        <w:trPr>
          <w:jc w:val="center"/>
        </w:trPr>
        <w:tc>
          <w:tcPr>
            <w:tcW w:w="816" w:type="dxa"/>
            <w:vAlign w:val="center"/>
            <w:vMerge w:val="restart"/>
            <w:textDirection w:val="lrTb"/>
            <w:noWrap w:val="false"/>
          </w:tcPr>
          <w:p>
            <w:pPr>
              <w:jc w:val="center"/>
              <w:spacing w:line="500" w:lineRule="exact"/>
              <w:rPr>
                <w:rFonts w:hint="eastAsia"/>
                <w:sz w:val="24"/>
                <w:szCs w:val="24"/>
                <w:highlight w:val="none"/>
                <w:lang w:val="en-US" w:eastAsia="zh-CN"/>
              </w:rPr>
              <w:pBdr>
                <w:top w:val="none" w:color="000000" w:sz="0" w:space="0"/>
                <w:left w:val="none" w:color="000000" w:sz="0" w:space="3"/>
                <w:bottom w:val="none" w:color="000000" w:sz="0" w:space="0"/>
                <w:right w:val="none" w:color="000000" w:sz="0" w:space="3"/>
              </w:pBdr>
            </w:pPr>
            <w:r>
              <w:rPr>
                <w:rFonts w:hint="eastAsia"/>
                <w:sz w:val="24"/>
                <w:szCs w:val="24"/>
                <w:highlight w:val="none"/>
                <w:lang w:val="en-US" w:eastAsia="zh-CN"/>
              </w:rPr>
              <w:t xml:space="preserve">12</w:t>
            </w:r>
            <w:r/>
          </w:p>
        </w:tc>
        <w:tc>
          <w:tcPr>
            <w:shd w:val="clear" w:color="ffffff" w:fill="ffffff"/>
            <w:tcW w:w="7689" w:type="dxa"/>
            <w:vAlign w:val="top"/>
            <w:vMerge w:val="restart"/>
            <w:textDirection w:val="lrTb"/>
            <w:noWrap w:val="false"/>
          </w:tcPr>
          <w:p>
            <w:pPr>
              <w:jc w:val="left"/>
              <w:spacing w:line="500" w:lineRule="exact"/>
              <w:rPr>
                <w:rFonts w:hint="eastAsia" w:ascii="宋体" w:hAnsi="宋体"/>
                <w:b/>
                <w:bCs/>
                <w:i/>
                <w:iCs/>
                <w:sz w:val="24"/>
                <w:szCs w:val="24"/>
                <w:highlight w:val="none"/>
                <w:u w:val="single"/>
              </w:rPr>
              <w:pBdr>
                <w:top w:val="none" w:color="000000" w:sz="0" w:space="0"/>
                <w:left w:val="none" w:color="000000" w:sz="0" w:space="3"/>
                <w:bottom w:val="none" w:color="000000" w:sz="0" w:space="0"/>
                <w:right w:val="none" w:color="000000" w:sz="0" w:space="3"/>
              </w:pBdr>
            </w:pPr>
            <w:r>
              <w:rPr>
                <w:rFonts w:hint="eastAsia" w:ascii="宋体" w:hAnsi="宋体"/>
                <w:b/>
                <w:bCs/>
                <w:i/>
                <w:iCs/>
                <w:sz w:val="24"/>
                <w:szCs w:val="24"/>
                <w:highlight w:val="none"/>
                <w:u w:val="single"/>
              </w:rPr>
              <w:t xml:space="preserve">液相色谱仪、智能厌氧微生物培养系统整套设备</w:t>
            </w:r>
            <w:r>
              <w:rPr>
                <w:rFonts w:ascii="宋体" w:hAnsi="宋体"/>
                <w:b/>
                <w:bCs/>
                <w:i/>
                <w:iCs/>
                <w:sz w:val="24"/>
                <w:szCs w:val="24"/>
                <w:highlight w:val="none"/>
                <w:u w:val="single"/>
              </w:rPr>
              <w:t xml:space="preserve">原厂</w:t>
            </w:r>
            <w:r>
              <w:rPr>
                <w:rFonts w:hint="eastAsia" w:ascii="宋体" w:hAnsi="宋体"/>
                <w:b/>
                <w:bCs/>
                <w:i/>
                <w:iCs/>
                <w:sz w:val="24"/>
                <w:szCs w:val="24"/>
                <w:highlight w:val="none"/>
                <w:u w:val="single"/>
              </w:rPr>
              <w:t xml:space="preserve">质保不小于24个月</w:t>
            </w:r>
            <w:r>
              <w:rPr>
                <w:rFonts w:ascii="宋体" w:hAnsi="宋体"/>
                <w:b/>
                <w:bCs/>
                <w:i/>
                <w:iCs/>
                <w:sz w:val="24"/>
                <w:szCs w:val="24"/>
                <w:highlight w:val="none"/>
                <w:u w:val="single"/>
              </w:rPr>
              <w:t xml:space="preserve">（自验收合格之日起算）</w:t>
            </w:r>
            <w:r>
              <w:rPr>
                <w:rFonts w:hint="eastAsia" w:ascii="宋体" w:hAnsi="宋体"/>
                <w:b/>
                <w:bCs/>
                <w:i/>
                <w:iCs/>
                <w:sz w:val="24"/>
                <w:szCs w:val="24"/>
                <w:highlight w:val="none"/>
                <w:u w:val="single"/>
              </w:rPr>
              <w:t xml:space="preserve">，保修期外优惠收取零配件费用与上门维修服务费用，液相色谱仪零配件应保证仪器寿命周期内均有供应（不少于10年），提供主要零配件的优惠价，零配件供应时间国内不超过2天、国外不超过2周。（供应商投标时提供承诺书加盖公章，成交后提供由制造商加盖公章的维护承诺或协议）</w:t>
            </w:r>
            <w:r/>
          </w:p>
        </w:tc>
      </w:tr>
      <w:tr>
        <w:trPr>
          <w:jc w:val="center"/>
        </w:trPr>
        <w:tc>
          <w:tcPr>
            <w:tcW w:w="816" w:type="dxa"/>
            <w:vAlign w:val="center"/>
            <w:vMerge w:val="restart"/>
            <w:textDirection w:val="lrTb"/>
            <w:noWrap w:val="false"/>
          </w:tcPr>
          <w:p>
            <w:pPr>
              <w:jc w:val="center"/>
              <w:spacing w:line="500" w:lineRule="exact"/>
              <w:rPr>
                <w:rFonts w:hint="eastAsia"/>
                <w:sz w:val="24"/>
                <w:szCs w:val="24"/>
                <w:highlight w:val="none"/>
                <w:lang w:val="en-US" w:eastAsia="zh-CN"/>
              </w:rPr>
              <w:pBdr>
                <w:top w:val="none" w:color="000000" w:sz="0" w:space="0"/>
                <w:left w:val="none" w:color="000000" w:sz="0" w:space="3"/>
                <w:bottom w:val="none" w:color="000000" w:sz="0" w:space="0"/>
                <w:right w:val="none" w:color="000000" w:sz="0" w:space="3"/>
              </w:pBdr>
            </w:pPr>
            <w:r>
              <w:rPr>
                <w:rFonts w:hint="eastAsia"/>
                <w:sz w:val="24"/>
                <w:szCs w:val="24"/>
                <w:highlight w:val="none"/>
                <w:lang w:val="en-US" w:eastAsia="zh-CN"/>
              </w:rPr>
              <w:t xml:space="preserve">13</w:t>
            </w:r>
            <w:r/>
          </w:p>
        </w:tc>
        <w:tc>
          <w:tcPr>
            <w:shd w:val="clear" w:color="ffffff" w:fill="ffffff"/>
            <w:tcW w:w="7689" w:type="dxa"/>
            <w:vAlign w:val="top"/>
            <w:vMerge w:val="restart"/>
            <w:textDirection w:val="lrTb"/>
            <w:noWrap w:val="false"/>
          </w:tcPr>
          <w:p>
            <w:pPr>
              <w:jc w:val="left"/>
              <w:spacing w:line="500" w:lineRule="exact"/>
              <w:rPr>
                <w:rFonts w:hint="eastAsia" w:ascii="宋体" w:hAnsi="宋体"/>
                <w:b/>
                <w:bCs/>
                <w:i/>
                <w:iCs/>
                <w:sz w:val="24"/>
                <w:szCs w:val="24"/>
                <w:highlight w:val="none"/>
                <w:u w:val="single"/>
              </w:rPr>
              <w:pBdr>
                <w:top w:val="none" w:color="000000" w:sz="0" w:space="0"/>
                <w:left w:val="none" w:color="000000" w:sz="0" w:space="3"/>
                <w:bottom w:val="none" w:color="000000" w:sz="0" w:space="0"/>
                <w:right w:val="none" w:color="000000" w:sz="0" w:space="3"/>
              </w:pBdr>
            </w:pPr>
            <w:r>
              <w:rPr>
                <w:rFonts w:hint="eastAsia" w:ascii="宋体" w:hAnsi="宋体"/>
                <w:b/>
                <w:bCs/>
                <w:i/>
                <w:iCs/>
                <w:sz w:val="24"/>
                <w:szCs w:val="24"/>
                <w:highlight w:val="none"/>
                <w:u w:val="single"/>
              </w:rPr>
              <w:t xml:space="preserve">40位微波消解仪整套系统</w:t>
            </w:r>
            <w:r>
              <w:rPr>
                <w:rFonts w:ascii="宋体" w:hAnsi="宋体"/>
                <w:b/>
                <w:bCs/>
                <w:i/>
                <w:iCs/>
                <w:sz w:val="24"/>
                <w:szCs w:val="24"/>
                <w:highlight w:val="none"/>
                <w:u w:val="single"/>
              </w:rPr>
              <w:t xml:space="preserve">不少于36个月的原厂免费质保（自验收合格之日起算），质保期内设备免费维修，解决各种技术瑕疵，终身维护。</w:t>
            </w:r>
            <w:r>
              <w:rPr>
                <w:rFonts w:hint="eastAsia" w:ascii="宋体" w:hAnsi="宋体"/>
                <w:b/>
                <w:bCs/>
                <w:i/>
                <w:iCs/>
                <w:sz w:val="24"/>
                <w:szCs w:val="24"/>
                <w:highlight w:val="none"/>
                <w:u w:val="single"/>
              </w:rPr>
              <w:t xml:space="preserve">（供应商投标时提供承诺书加盖公章，成交后提供由制造商加盖公章的维护承诺或协议）</w:t>
            </w:r>
            <w:r/>
          </w:p>
        </w:tc>
      </w:tr>
      <w:tr>
        <w:trPr>
          <w:jc w:val="center"/>
        </w:trPr>
        <w:tc>
          <w:tcPr>
            <w:tcW w:w="816" w:type="dxa"/>
            <w:vAlign w:val="center"/>
            <w:textDirection w:val="lrTb"/>
            <w:noWrap w:val="false"/>
          </w:tcPr>
          <w:p>
            <w:pPr>
              <w:jc w:val="center"/>
              <w:spacing w:line="500" w:lineRule="exact"/>
              <w:rPr>
                <w:rFonts w:hint="default" w:eastAsia="宋体"/>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14</w:t>
            </w:r>
            <w:r/>
          </w:p>
        </w:tc>
        <w:tc>
          <w:tcPr>
            <w:shd w:val="clear" w:color="auto" w:fill="auto"/>
            <w:tcW w:w="7689" w:type="dxa"/>
            <w:vAlign w:val="top"/>
            <w:textDirection w:val="lrTb"/>
            <w:noWrap w:val="false"/>
          </w:tcPr>
          <w:p>
            <w:pPr>
              <w:jc w:val="left"/>
              <w:spacing w:line="500" w:lineRule="exact"/>
              <w:rPr>
                <w:rFonts w:ascii="宋体" w:hAnsi="宋体" w:eastAsia="宋体" w:cs="Times New Roman"/>
                <w:b/>
                <w:bCs/>
                <w:i/>
                <w:iCs/>
                <w:sz w:val="24"/>
                <w:szCs w:val="24"/>
                <w:highlight w:val="none"/>
                <w:u w:val="single"/>
                <w:lang w:val="en-US" w:eastAsia="zh-CN" w:bidi="ar-SA"/>
              </w:rPr>
              <w:pBdr>
                <w:top w:val="none" w:color="auto" w:sz="0" w:space="1"/>
                <w:left w:val="none" w:color="auto" w:sz="0" w:space="4"/>
                <w:bottom w:val="none" w:color="auto" w:sz="0" w:space="1"/>
                <w:right w:val="none" w:color="auto" w:sz="0" w:space="4"/>
              </w:pBdr>
            </w:pPr>
            <w:r>
              <w:rPr>
                <w:rFonts w:hint="eastAsia" w:ascii="宋体" w:hAnsi="宋体"/>
                <w:b/>
                <w:bCs/>
                <w:i/>
                <w:iCs/>
                <w:sz w:val="24"/>
                <w:szCs w:val="24"/>
                <w:highlight w:val="none"/>
                <w:u w:val="single"/>
              </w:rPr>
              <w:t xml:space="preserve">质保期内每年提供一次原厂技术维护，每季度上门维保校准，出具校准报告，质保期外提供仪器寿命期内上门维保（供应商投标时提供承诺书加盖公章，成交后提供由制造商加盖公章的维护承诺或协议）</w:t>
            </w:r>
            <w:r/>
          </w:p>
        </w:tc>
      </w:tr>
      <w:tr>
        <w:trPr>
          <w:jc w:val="center"/>
        </w:trPr>
        <w:tc>
          <w:tcPr>
            <w:tcW w:w="816" w:type="dxa"/>
            <w:vAlign w:val="center"/>
            <w:textDirection w:val="lrTb"/>
            <w:noWrap w:val="false"/>
          </w:tcPr>
          <w:p>
            <w:pPr>
              <w:jc w:val="center"/>
              <w:spacing w:line="500" w:lineRule="exact"/>
              <w:rPr>
                <w:rFonts w:hint="default" w:eastAsia="宋体"/>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15</w:t>
            </w:r>
            <w:r/>
          </w:p>
        </w:tc>
        <w:tc>
          <w:tcPr>
            <w:shd w:val="clear" w:color="auto" w:fill="auto"/>
            <w:tcW w:w="7689" w:type="dxa"/>
            <w:vAlign w:val="top"/>
            <w:textDirection w:val="lrTb"/>
            <w:noWrap w:val="false"/>
          </w:tcPr>
          <w:p>
            <w:pPr>
              <w:jc w:val="left"/>
              <w:spacing w:line="500" w:lineRule="exact"/>
              <w:rPr>
                <w:rFonts w:ascii="宋体" w:hAnsi="宋体" w:eastAsia="宋体" w:cs="Times New Roman"/>
                <w:b/>
                <w:bCs/>
                <w:i/>
                <w:iCs/>
                <w:sz w:val="24"/>
                <w:szCs w:val="24"/>
                <w:highlight w:val="none"/>
                <w:u w:val="single"/>
                <w:lang w:val="en-US" w:eastAsia="zh-CN" w:bidi="ar-SA"/>
              </w:rPr>
              <w:pBdr>
                <w:top w:val="none" w:color="auto" w:sz="0" w:space="1"/>
                <w:left w:val="none" w:color="auto" w:sz="0" w:space="4"/>
                <w:bottom w:val="none" w:color="auto" w:sz="0" w:space="1"/>
                <w:right w:val="none" w:color="auto" w:sz="0" w:space="4"/>
              </w:pBdr>
            </w:pPr>
            <w:r>
              <w:rPr>
                <w:rFonts w:hint="eastAsia" w:ascii="宋体" w:hAnsi="宋体"/>
                <w:b/>
                <w:bCs/>
                <w:i/>
                <w:iCs/>
                <w:sz w:val="24"/>
                <w:szCs w:val="24"/>
                <w:highlight w:val="none"/>
                <w:u w:val="single"/>
              </w:rPr>
              <w:t xml:space="preserve">设备安装调试经验收合格后，经审计票据齐全后一次性支付至审计金额的100%。</w:t>
            </w:r>
            <w:r/>
          </w:p>
        </w:tc>
      </w:tr>
    </w:tbl>
    <w:p>
      <w:pPr>
        <w:ind w:firstLine="480"/>
        <w:jc w:val="left"/>
        <w:spacing w:line="500" w:lineRule="exact"/>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3、本项目核心产品为：</w:t>
      </w:r>
      <w:r>
        <w:rPr>
          <w:rFonts w:hint="eastAsia" w:ascii="宋体" w:hAnsi="宋体"/>
          <w:b/>
          <w:color w:val="000000"/>
          <w:sz w:val="24"/>
          <w:highlight w:val="none"/>
          <w:u w:val="single"/>
        </w:rPr>
        <w:t xml:space="preserve">  液相色谱仪   </w:t>
      </w:r>
      <w:r>
        <w:rPr>
          <w:rFonts w:hint="eastAsia"/>
          <w:sz w:val="24"/>
          <w:szCs w:val="24"/>
          <w:highlight w:val="none"/>
        </w:rPr>
        <w:t xml:space="preserve">。</w:t>
      </w:r>
      <w:r/>
    </w:p>
    <w:p>
      <w:pPr>
        <w:ind w:firstLine="562"/>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一、项目概况</w:t>
      </w:r>
      <w:r/>
    </w:p>
    <w:p>
      <w:pPr>
        <w:ind w:firstLine="480"/>
        <w:jc w:val="left"/>
        <w:spacing w:line="360" w:lineRule="auto"/>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连云港市疾病预防控制中心因实验室建设与工作需求，采购</w:t>
      </w:r>
      <w:r>
        <w:rPr>
          <w:rFonts w:hint="eastAsia" w:ascii="宋体" w:hAnsi="宋体" w:cs="宋体"/>
          <w:sz w:val="24"/>
          <w:szCs w:val="24"/>
          <w:highlight w:val="none"/>
        </w:rPr>
        <w:t xml:space="preserve">液相色谱仪、全自动血培养仪系统、智能厌氧微生物培养系统、40位微波消解仪</w:t>
      </w:r>
      <w:r>
        <w:rPr>
          <w:rFonts w:hint="eastAsia" w:ascii="宋体" w:hAnsi="宋体" w:cs="宋体"/>
          <w:color w:val="000000"/>
          <w:sz w:val="24"/>
          <w:szCs w:val="24"/>
          <w:highlight w:val="none"/>
          <w:lang w:bidi="ar"/>
        </w:rPr>
        <w:t xml:space="preserve">。</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二、货物（标的）采购清单</w:t>
      </w:r>
      <w:r/>
    </w:p>
    <w:tbl>
      <w:tblPr>
        <w:tblStyle w:val="674"/>
        <w:tblW w:w="49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3559"/>
        <w:gridCol w:w="1250"/>
        <w:gridCol w:w="1657"/>
        <w:gridCol w:w="2477"/>
      </w:tblGrid>
      <w:tr>
        <w:trPr>
          <w:jc w:val="center"/>
        </w:trPr>
        <w:tc>
          <w:tcPr>
            <w:tcW w:w="885" w:type="dxa"/>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bookmarkStart w:id="9" w:name="_Toc139967216"/>
            <w:r/>
            <w:bookmarkStart w:id="10" w:name="_Toc139966432"/>
            <w:r>
              <w:rPr>
                <w:rFonts w:hint="eastAsia" w:ascii="宋体" w:hAnsi="宋体" w:cs="Helvetica"/>
                <w:sz w:val="24"/>
                <w:szCs w:val="32"/>
                <w:highlight w:val="none"/>
              </w:rPr>
              <w:t xml:space="preserve">序号</w:t>
            </w:r>
            <w:r/>
          </w:p>
        </w:tc>
        <w:tc>
          <w:tcPr>
            <w:tcW w:w="3560" w:type="dxa"/>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货物（标的）名称</w:t>
            </w:r>
            <w:r/>
          </w:p>
        </w:tc>
        <w:tc>
          <w:tcPr>
            <w:tcW w:w="1250" w:type="dxa"/>
            <w:vAlign w:val="center"/>
            <w:textDirection w:val="lrTb"/>
            <w:noWrap w:val="false"/>
          </w:tcPr>
          <w:p>
            <w:pPr>
              <w:jc w:val="center"/>
              <w:spacing w:line="360" w:lineRule="auto"/>
              <w:widowControl/>
              <w:rPr>
                <w:rFonts w:ascii="宋体"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数量</w:t>
            </w:r>
            <w:r/>
          </w:p>
        </w:tc>
        <w:tc>
          <w:tcPr>
            <w:tcW w:w="1657" w:type="dxa"/>
            <w:vAlign w:val="center"/>
            <w:textDirection w:val="lrTb"/>
            <w:noWrap w:val="false"/>
          </w:tcPr>
          <w:p>
            <w:pPr>
              <w:jc w:val="center"/>
              <w:spacing w:line="360" w:lineRule="auto"/>
              <w:widowControl/>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单位</w:t>
            </w:r>
            <w:r/>
          </w:p>
        </w:tc>
        <w:tc>
          <w:tcPr>
            <w:tcW w:w="2478" w:type="dxa"/>
            <w:vAlign w:val="center"/>
            <w:textDirection w:val="lrTb"/>
            <w:noWrap w:val="false"/>
          </w:tcPr>
          <w:p>
            <w:pPr>
              <w:jc w:val="center"/>
              <w:widowControl/>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中小企业划分标准所属行业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p>
        </w:tc>
        <w:tc>
          <w:tcPr>
            <w:shd w:val="clear" w:color="auto" w:fill="auto"/>
            <w:tcW w:w="356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液相色谱仪</w:t>
            </w:r>
            <w:r/>
          </w:p>
        </w:tc>
        <w:tc>
          <w:tcPr>
            <w:tcW w:w="125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p>
        </w:tc>
        <w:tc>
          <w:tcPr>
            <w:tcW w:w="1657"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p>
        </w:tc>
        <w:tc>
          <w:tcPr>
            <w:tcW w:w="2478"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2</w:t>
            </w:r>
            <w:r/>
          </w:p>
        </w:tc>
        <w:tc>
          <w:tcPr>
            <w:shd w:val="clear" w:color="auto" w:fill="auto"/>
            <w:tcW w:w="356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全自动血培养仪系统</w:t>
            </w:r>
            <w:r/>
          </w:p>
        </w:tc>
        <w:tc>
          <w:tcPr>
            <w:tcW w:w="125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p>
        </w:tc>
        <w:tc>
          <w:tcPr>
            <w:tcW w:w="1657"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p>
        </w:tc>
        <w:tc>
          <w:tcPr>
            <w:tcW w:w="2478"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3</w:t>
            </w:r>
            <w:r/>
          </w:p>
        </w:tc>
        <w:tc>
          <w:tcPr>
            <w:shd w:val="clear" w:color="auto" w:fill="auto"/>
            <w:tcW w:w="356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智能厌氧微生物培养系统</w:t>
            </w:r>
            <w:r/>
          </w:p>
        </w:tc>
        <w:tc>
          <w:tcPr>
            <w:tcW w:w="125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p>
        </w:tc>
        <w:tc>
          <w:tcPr>
            <w:tcW w:w="1657"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p>
        </w:tc>
        <w:tc>
          <w:tcPr>
            <w:tcW w:w="2478"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4</w:t>
            </w:r>
            <w:r/>
          </w:p>
        </w:tc>
        <w:tc>
          <w:tcPr>
            <w:shd w:val="clear" w:color="auto" w:fill="auto"/>
            <w:tcW w:w="356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40位微波消解仪</w:t>
            </w:r>
            <w:r/>
          </w:p>
        </w:tc>
        <w:tc>
          <w:tcPr>
            <w:tcW w:w="125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p>
        </w:tc>
        <w:tc>
          <w:tcPr>
            <w:tcW w:w="1657"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p>
        </w:tc>
        <w:tc>
          <w:tcPr>
            <w:tcW w:w="2478"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p>
        </w:tc>
      </w:tr>
    </w:tbl>
    <w:p>
      <w:pPr>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ascii="Times New Roman" w:hAnsi="Times New Roman"/>
          <w:b/>
          <w:sz w:val="28"/>
          <w:szCs w:val="28"/>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三、货物（标的）技术参数及功能指标</w:t>
      </w:r>
      <w:r/>
    </w:p>
    <w:tbl>
      <w:tblPr>
        <w:tblStyle w:val="67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2160"/>
        <w:gridCol w:w="6994"/>
      </w:tblGrid>
      <w:tr>
        <w:trPr>
          <w:jc w:val="center"/>
        </w:trPr>
        <w:tc>
          <w:tcPr>
            <w:shd w:val="clear" w:color="auto" w:fill="auto"/>
            <w:tcW w:w="355"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序号</w:t>
            </w:r>
            <w:r/>
          </w:p>
        </w:tc>
        <w:tc>
          <w:tcPr>
            <w:shd w:val="clear" w:color="auto" w:fill="auto"/>
            <w:tcW w:w="1096"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货物（标的）名称</w:t>
            </w:r>
            <w:r/>
          </w:p>
        </w:tc>
        <w:tc>
          <w:tcPr>
            <w:shd w:val="clear" w:color="auto" w:fill="auto"/>
            <w:tcW w:w="3548"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技术参数及功能指标</w:t>
            </w:r>
            <w:r/>
          </w:p>
        </w:tc>
      </w:tr>
      <w:tr>
        <w:trPr>
          <w:jc w:val="center"/>
        </w:trPr>
        <w:tc>
          <w:tcPr>
            <w:shd w:val="clear" w:color="auto" w:fill="auto"/>
            <w:tcW w:w="355"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1</w:t>
            </w:r>
            <w:r/>
          </w:p>
        </w:tc>
        <w:tc>
          <w:tcPr>
            <w:shd w:val="clear" w:color="auto" w:fill="auto"/>
            <w:tcW w:w="1096" w:type="pct"/>
            <w:vAlign w:val="center"/>
            <w:textDirection w:val="lrTb"/>
            <w:noWrap w:val="false"/>
          </w:tcPr>
          <w:p>
            <w:pPr>
              <w:jc w:val="center"/>
              <w:spacing w:line="360" w:lineRule="auto"/>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液相色谱仪</w:t>
            </w:r>
            <w:r/>
          </w:p>
        </w:tc>
        <w:tc>
          <w:tcPr>
            <w:shd w:val="clear" w:color="auto" w:fill="auto"/>
            <w:tcW w:w="3548" w:type="pct"/>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1.功能及用途</w:t>
            </w:r>
            <w:r/>
          </w:p>
          <w:p>
            <w:pPr>
              <w:jc w:val="left"/>
              <w:spacing w:line="360" w:lineRule="auto"/>
              <w:rPr>
                <w:rFonts w:ascii="Times New Roman" w:hAnsi="Times New Roman"/>
                <w:sz w:val="24"/>
                <w:highlight w:val="none"/>
              </w:rPr>
            </w:pPr>
            <w:r>
              <w:rPr>
                <w:rFonts w:hint="eastAsia" w:ascii="Times New Roman" w:hAnsi="Times New Roman"/>
                <w:sz w:val="24"/>
                <w:highlight w:val="none"/>
              </w:rPr>
              <w:t xml:space="preserve">适用于HPLC分离，应能快速重现现有HPLC方法、无缝转移或完成新方法开发，主要用于有机化合物（维生素、黄曲霉毒素等）成分的精准定性和定量分析。</w:t>
            </w:r>
            <w:r/>
          </w:p>
          <w:p>
            <w:pPr>
              <w:spacing w:line="360" w:lineRule="auto"/>
              <w:rPr>
                <w:rFonts w:ascii="Times New Roman" w:hAnsi="Times New Roman"/>
                <w:sz w:val="24"/>
                <w:highlight w:val="none"/>
              </w:rPr>
            </w:pPr>
            <w:r>
              <w:rPr>
                <w:rFonts w:ascii="Times New Roman" w:hAnsi="Times New Roman"/>
                <w:sz w:val="24"/>
                <w:highlight w:val="none"/>
              </w:rPr>
              <w:t xml:space="preserve">2.技术参数</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2.1 溶剂管理系统</w:t>
            </w:r>
            <w:r/>
          </w:p>
          <w:p>
            <w:pPr>
              <w:spacing w:line="360" w:lineRule="auto"/>
              <w:rPr>
                <w:rFonts w:ascii="Times New Roman" w:hAnsi="Times New Roman"/>
                <w:b/>
                <w:bCs/>
                <w:i/>
                <w:iCs/>
                <w:sz w:val="24"/>
                <w:highlight w:val="none"/>
                <w:u w:val="single"/>
              </w:rPr>
            </w:pPr>
            <w:r>
              <w:rPr>
                <w:rFonts w:hint="eastAsia" w:ascii="Times New Roman" w:hAnsi="Times New Roman"/>
                <w:sz w:val="24"/>
                <w:highlight w:val="none"/>
              </w:rPr>
              <w:t xml:space="preserve">2.</w:t>
            </w:r>
            <w:r>
              <w:rPr>
                <w:rFonts w:ascii="Times New Roman" w:hAnsi="Times New Roman"/>
                <w:sz w:val="24"/>
                <w:highlight w:val="none"/>
              </w:rPr>
              <w:t xml:space="preserve">1.1</w:t>
            </w:r>
            <w:r>
              <w:rPr>
                <w:rFonts w:ascii="Times New Roman" w:hAnsi="Times New Roman"/>
                <w:b/>
                <w:bCs/>
                <w:i/>
                <w:iCs/>
                <w:sz w:val="24"/>
                <w:highlight w:val="none"/>
                <w:u w:val="single"/>
              </w:rPr>
              <w:t xml:space="preserve">色谱泵：一体式独立柱塞，数控直线驱动色谱泵技术，双压力传感器反馈回路，无需阻尼器</w:t>
            </w:r>
            <w:r>
              <w:rPr>
                <w:rFonts w:hint="eastAsia" w:ascii="Times New Roman" w:hAnsi="Times New Roman"/>
                <w:b/>
                <w:bCs/>
                <w:i/>
                <w:iCs/>
                <w:sz w:val="24"/>
                <w:highlight w:val="none"/>
                <w:u w:val="single"/>
              </w:rPr>
              <w:t xml:space="preserve">（提供</w:t>
            </w:r>
            <w:r>
              <w:rPr>
                <w:rFonts w:hint="eastAsia" w:ascii="Times New Roman" w:hAnsi="Times New Roman"/>
                <w:b/>
                <w:bCs/>
                <w:i/>
                <w:iCs/>
                <w:sz w:val="24"/>
                <w:highlight w:val="none"/>
                <w:u w:val="single"/>
                <w:lang w:eastAsia="zh-Hans"/>
              </w:rPr>
              <w:t xml:space="preserve">官方彩页或官方规格参数文件</w:t>
            </w:r>
            <w:r>
              <w:rPr>
                <w:rFonts w:hint="eastAsia" w:ascii="Times New Roman" w:hAnsi="Times New Roman"/>
                <w:b/>
                <w:bCs/>
                <w:i/>
                <w:iCs/>
                <w:sz w:val="24"/>
                <w:highlight w:val="none"/>
                <w:u w:val="single"/>
              </w:rPr>
              <w:t xml:space="preserve">）</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w:t>
            </w:r>
            <w:r>
              <w:rPr>
                <w:rFonts w:ascii="Times New Roman" w:hAnsi="Times New Roman"/>
                <w:sz w:val="24"/>
                <w:highlight w:val="none"/>
              </w:rPr>
              <w:t xml:space="preserve">1.2 pH范围：1~12.5</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w:t>
            </w:r>
            <w:r>
              <w:rPr>
                <w:rFonts w:ascii="Times New Roman" w:hAnsi="Times New Roman"/>
                <w:sz w:val="24"/>
                <w:highlight w:val="none"/>
              </w:rPr>
              <w:t xml:space="preserve">1.3 梯度模式：低压混合，四元梯度，1~4路溶剂任意混合</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w:t>
            </w:r>
            <w:r>
              <w:rPr>
                <w:rFonts w:ascii="Times New Roman" w:hAnsi="Times New Roman"/>
                <w:sz w:val="24"/>
                <w:highlight w:val="none"/>
              </w:rPr>
              <w:t xml:space="preserve">1.4 流量范围：0.001~ 5.000 mL/min，增量为0.001 mL </w:t>
            </w:r>
            <w:r/>
          </w:p>
          <w:p>
            <w:pPr>
              <w:spacing w:line="360" w:lineRule="auto"/>
              <w:rPr>
                <w:rFonts w:ascii="Times New Roman" w:hAnsi="Times New Roman"/>
                <w:b/>
                <w:bCs/>
                <w:i/>
                <w:iCs/>
                <w:sz w:val="24"/>
                <w:highlight w:val="none"/>
                <w:u w:val="single"/>
              </w:rPr>
            </w:pPr>
            <w:r>
              <w:rPr>
                <w:rFonts w:hint="eastAsia" w:ascii="Times New Roman" w:hAnsi="Times New Roman"/>
                <w:sz w:val="24"/>
                <w:highlight w:val="none"/>
              </w:rPr>
              <w:t xml:space="preserve">2.</w:t>
            </w:r>
            <w:r>
              <w:rPr>
                <w:rFonts w:ascii="Times New Roman" w:hAnsi="Times New Roman"/>
                <w:sz w:val="24"/>
                <w:highlight w:val="none"/>
              </w:rPr>
              <w:t xml:space="preserve">1.5</w:t>
            </w:r>
            <w:r>
              <w:rPr>
                <w:rFonts w:ascii="Times New Roman" w:hAnsi="Times New Roman"/>
                <w:i/>
                <w:iCs/>
                <w:sz w:val="24"/>
                <w:highlight w:val="none"/>
                <w:u w:val="single"/>
              </w:rPr>
              <w:t xml:space="preserve"> </w:t>
            </w:r>
            <w:r>
              <w:rPr>
                <w:rFonts w:ascii="Times New Roman" w:hAnsi="Times New Roman"/>
                <w:b/>
                <w:bCs/>
                <w:i/>
                <w:iCs/>
                <w:sz w:val="24"/>
                <w:highlight w:val="none"/>
                <w:u w:val="single"/>
              </w:rPr>
              <w:t xml:space="preserve">最大操作压力：9500 psi（全流量范围）</w:t>
            </w:r>
            <w:r>
              <w:rPr>
                <w:rFonts w:hint="eastAsia" w:ascii="Times New Roman" w:hAnsi="Times New Roman"/>
                <w:b/>
                <w:bCs/>
                <w:i/>
                <w:iCs/>
                <w:sz w:val="24"/>
                <w:highlight w:val="none"/>
                <w:u w:val="single"/>
              </w:rPr>
              <w:t xml:space="preserve">（需提供制造商官方证明文件）</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w:t>
            </w:r>
            <w:r>
              <w:rPr>
                <w:rFonts w:ascii="Times New Roman" w:hAnsi="Times New Roman"/>
                <w:sz w:val="24"/>
                <w:highlight w:val="none"/>
              </w:rPr>
              <w:t xml:space="preserve">1.6 流速精度：</w:t>
            </w:r>
            <w:r>
              <w:rPr>
                <w:rFonts w:hint="eastAsia" w:ascii="Times New Roman" w:hAnsi="Times New Roman"/>
                <w:sz w:val="24"/>
                <w:highlight w:val="none"/>
              </w:rPr>
              <w:t xml:space="preserve">≤</w:t>
            </w:r>
            <w:r>
              <w:rPr>
                <w:rFonts w:ascii="Times New Roman" w:hAnsi="Times New Roman"/>
                <w:sz w:val="24"/>
                <w:highlight w:val="none"/>
              </w:rPr>
              <w:t xml:space="preserve">0.075% RSD</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w:t>
            </w:r>
            <w:r>
              <w:rPr>
                <w:rFonts w:ascii="Times New Roman" w:hAnsi="Times New Roman"/>
                <w:sz w:val="24"/>
                <w:highlight w:val="none"/>
              </w:rPr>
              <w:t xml:space="preserve">1.7 流速准确度：±1.0%</w:t>
            </w:r>
            <w:r/>
          </w:p>
          <w:p>
            <w:pPr>
              <w:spacing w:line="360" w:lineRule="auto"/>
              <w:rPr>
                <w:rFonts w:ascii="Times New Roman" w:hAnsi="Times New Roman"/>
                <w:sz w:val="24"/>
                <w:highlight w:val="none"/>
              </w:rPr>
            </w:pPr>
            <w:r>
              <w:rPr>
                <w:rFonts w:ascii="Times New Roman" w:hAnsi="Times New Roman"/>
                <w:sz w:val="24"/>
                <w:highlight w:val="none"/>
              </w:rPr>
              <w:t xml:space="preserve">▲</w:t>
            </w:r>
            <w:r>
              <w:rPr>
                <w:rFonts w:hint="eastAsia" w:ascii="Times New Roman" w:hAnsi="Times New Roman"/>
                <w:sz w:val="24"/>
                <w:highlight w:val="none"/>
              </w:rPr>
              <w:t xml:space="preserve">2.</w:t>
            </w:r>
            <w:r>
              <w:rPr>
                <w:rFonts w:ascii="Times New Roman" w:hAnsi="Times New Roman"/>
                <w:sz w:val="24"/>
                <w:highlight w:val="none"/>
              </w:rPr>
              <w:t xml:space="preserve">1.8 梯度变化模式：预编</w:t>
            </w:r>
            <w:r>
              <w:rPr>
                <w:rFonts w:hint="eastAsia" w:ascii="Times New Roman" w:hAnsi="Times New Roman"/>
                <w:sz w:val="24"/>
                <w:highlight w:val="none"/>
              </w:rPr>
              <w:t xml:space="preserve">≥</w:t>
            </w:r>
            <w:r>
              <w:rPr>
                <w:rFonts w:ascii="Times New Roman" w:hAnsi="Times New Roman"/>
                <w:sz w:val="24"/>
                <w:highlight w:val="none"/>
              </w:rPr>
              <w:t xml:space="preserve">11种梯度曲线，分为1线性、2步进、4凹线、4凸线四种类型，由色谱软件实现准确控制</w:t>
            </w:r>
            <w:r>
              <w:rPr>
                <w:rFonts w:hint="eastAsia" w:ascii="Times New Roman" w:hAnsi="Times New Roman"/>
                <w:b/>
                <w:bCs/>
                <w:sz w:val="24"/>
                <w:highlight w:val="none"/>
              </w:rPr>
              <w:t xml:space="preserve">（提供操作说明截图与</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w:t>
            </w:r>
            <w:r/>
          </w:p>
          <w:p>
            <w:pPr>
              <w:spacing w:line="360" w:lineRule="auto"/>
              <w:rPr>
                <w:rFonts w:ascii="Times New Roman" w:hAnsi="Times New Roman"/>
                <w:sz w:val="24"/>
                <w:highlight w:val="none"/>
              </w:rPr>
            </w:pPr>
            <w:r>
              <w:rPr>
                <w:rFonts w:ascii="Times New Roman" w:hAnsi="Times New Roman"/>
                <w:sz w:val="24"/>
                <w:highlight w:val="none"/>
              </w:rPr>
              <w:t xml:space="preserve">▲</w:t>
            </w:r>
            <w:r>
              <w:rPr>
                <w:rFonts w:hint="eastAsia" w:ascii="Times New Roman" w:hAnsi="Times New Roman"/>
                <w:sz w:val="24"/>
                <w:highlight w:val="none"/>
              </w:rPr>
              <w:t xml:space="preserve">2.</w:t>
            </w:r>
            <w:r>
              <w:rPr>
                <w:rFonts w:ascii="Times New Roman" w:hAnsi="Times New Roman"/>
                <w:sz w:val="24"/>
                <w:highlight w:val="none"/>
              </w:rPr>
              <w:t xml:space="preserve">1.9 </w:t>
            </w:r>
            <w:r>
              <w:rPr>
                <w:rFonts w:hint="eastAsia" w:ascii="Times New Roman" w:hAnsi="Times New Roman"/>
                <w:sz w:val="24"/>
                <w:highlight w:val="none"/>
              </w:rPr>
              <w:t xml:space="preserve">内置自动缓冲盐配置功能：可实现自动配置缓冲盐浓度和pH值梯度变化，增量为0.1，缓冲盐配置体系数量：≥8，梯度种类：3种（流动相组成变化，流速变化，pH值变化）</w:t>
            </w:r>
            <w:r>
              <w:rPr>
                <w:rFonts w:hint="eastAsia" w:ascii="Times New Roman" w:hAnsi="Times New Roman"/>
                <w:b/>
                <w:bCs/>
                <w:sz w:val="24"/>
                <w:highlight w:val="none"/>
              </w:rPr>
              <w:t xml:space="preserve">（提供</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w:t>
            </w:r>
            <w:r/>
          </w:p>
          <w:p>
            <w:pPr>
              <w:spacing w:line="360" w:lineRule="auto"/>
              <w:rPr>
                <w:rFonts w:ascii="Times New Roman" w:hAnsi="Times New Roman"/>
                <w:b/>
                <w:bCs/>
                <w:sz w:val="24"/>
                <w:highlight w:val="none"/>
              </w:rPr>
            </w:pPr>
            <w:r>
              <w:rPr>
                <w:rFonts w:hint="eastAsia" w:ascii="Times New Roman" w:hAnsi="Times New Roman"/>
                <w:b/>
                <w:bCs/>
                <w:sz w:val="24"/>
                <w:highlight w:val="none"/>
              </w:rPr>
              <w:t xml:space="preserve">2.2 自动进样器管理系统</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2.2.1流通针式进样模式</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2.2.2定量同步：泵和进样器之间可实现进样同步，提高保留时间重现性</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2.2.3样品容量：768（2×384孔板）或96（2 mL样品瓶架）</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2.2.4进样准确度：±0.2 μL</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2.2.5样品交叉污染/样品残留：≤0.002%（咖啡因），UV条件下</w:t>
            </w:r>
            <w:r>
              <w:rPr>
                <w:rFonts w:hint="eastAsia" w:ascii="Times New Roman" w:hAnsi="Times New Roman"/>
                <w:b/>
                <w:bCs/>
                <w:sz w:val="24"/>
                <w:highlight w:val="none"/>
              </w:rPr>
              <w:t xml:space="preserve">（提供</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2.2.6进样针清洗：集成、主动、可设置</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2.2.7进样体积：0.1~50 μL（标配），增量：0.1 μL</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2.2.8最小样品量需求：3μL，使用2 mL全回收样品瓶</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2.2.9进样线性度：≥0.999</w:t>
            </w:r>
            <w:r>
              <w:rPr>
                <w:rFonts w:ascii="Times New Roman" w:hAnsi="Times New Roman"/>
                <w:sz w:val="24"/>
                <w:highlight w:val="none"/>
              </w:rPr>
              <w:t xml:space="preserve"> </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2.2.10进样精度：&lt; 0.25% RSD</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2.2.11准确度（吸取）：+/- 0.2 μL</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2.2.12自动进样循环时间：&lt;30 s（进样之间）</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2.2.13样品室温度范围：4℃~40℃，增量：0.1℃</w:t>
            </w:r>
            <w:r>
              <w:rPr>
                <w:rFonts w:hint="eastAsia" w:ascii="Times New Roman" w:hAnsi="Times New Roman"/>
                <w:b/>
                <w:bCs/>
                <w:sz w:val="24"/>
                <w:highlight w:val="none"/>
              </w:rPr>
              <w:t xml:space="preserve">（提供</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2.2.14进样次数：每个样品1~99次进样</w:t>
            </w:r>
            <w:r/>
          </w:p>
          <w:p>
            <w:pPr>
              <w:spacing w:line="360" w:lineRule="auto"/>
              <w:rPr>
                <w:rFonts w:ascii="Times New Roman" w:hAnsi="Times New Roman"/>
                <w:b/>
                <w:bCs/>
                <w:sz w:val="24"/>
                <w:highlight w:val="none"/>
              </w:rPr>
            </w:pPr>
            <w:r>
              <w:rPr>
                <w:rFonts w:hint="eastAsia" w:ascii="Times New Roman" w:hAnsi="Times New Roman"/>
                <w:b/>
                <w:bCs/>
                <w:sz w:val="24"/>
                <w:highlight w:val="none"/>
              </w:rPr>
              <w:t xml:space="preserve">2.</w:t>
            </w:r>
            <w:r>
              <w:rPr>
                <w:rFonts w:ascii="Times New Roman" w:hAnsi="Times New Roman"/>
                <w:b/>
                <w:bCs/>
                <w:sz w:val="24"/>
                <w:highlight w:val="none"/>
              </w:rPr>
              <w:t xml:space="preserve">3</w:t>
            </w:r>
            <w:r>
              <w:rPr>
                <w:rFonts w:hint="eastAsia" w:ascii="Times New Roman" w:hAnsi="Times New Roman"/>
                <w:b/>
                <w:bCs/>
                <w:sz w:val="24"/>
                <w:highlight w:val="none"/>
              </w:rPr>
              <w:t xml:space="preserve"> </w:t>
            </w:r>
            <w:r>
              <w:rPr>
                <w:rFonts w:ascii="Times New Roman" w:hAnsi="Times New Roman"/>
                <w:b/>
                <w:bCs/>
                <w:sz w:val="24"/>
                <w:highlight w:val="none"/>
              </w:rPr>
              <w:t xml:space="preserve">色谱柱管理器</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2.3.1</w:t>
            </w:r>
            <w:r>
              <w:rPr>
                <w:rFonts w:ascii="Times New Roman" w:hAnsi="Times New Roman"/>
                <w:sz w:val="24"/>
                <w:highlight w:val="none"/>
              </w:rPr>
              <w:t xml:space="preserve"> </w:t>
            </w:r>
            <w:r>
              <w:rPr>
                <w:rFonts w:hint="eastAsia" w:ascii="Times New Roman" w:hAnsi="Times New Roman"/>
                <w:sz w:val="24"/>
                <w:highlight w:val="none"/>
              </w:rPr>
              <w:t xml:space="preserve">温度范围：20℃~65℃，增量：1℃；</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2.3.2加热模式：空气循环</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2.3.3溶剂平衡：被动预加热</w:t>
            </w:r>
            <w:r/>
          </w:p>
          <w:p>
            <w:pPr>
              <w:spacing w:line="360" w:lineRule="auto"/>
              <w:rPr>
                <w:rFonts w:ascii="Times New Roman" w:hAnsi="Times New Roman"/>
                <w:b/>
                <w:bCs/>
                <w:sz w:val="24"/>
                <w:highlight w:val="none"/>
              </w:rPr>
            </w:pPr>
            <w:r>
              <w:rPr>
                <w:rFonts w:hint="eastAsia" w:ascii="Times New Roman" w:hAnsi="Times New Roman"/>
                <w:b/>
                <w:bCs/>
                <w:sz w:val="24"/>
                <w:highlight w:val="none"/>
              </w:rPr>
              <w:t xml:space="preserve">2.4</w:t>
            </w:r>
            <w:r>
              <w:rPr>
                <w:rFonts w:ascii="Times New Roman" w:hAnsi="Times New Roman"/>
                <w:b/>
                <w:bCs/>
                <w:sz w:val="24"/>
                <w:highlight w:val="none"/>
              </w:rPr>
              <w:t xml:space="preserve">. </w:t>
            </w:r>
            <w:r>
              <w:rPr>
                <w:rFonts w:hint="eastAsia" w:ascii="Times New Roman" w:hAnsi="Times New Roman"/>
                <w:b/>
                <w:bCs/>
                <w:sz w:val="24"/>
                <w:highlight w:val="none"/>
              </w:rPr>
              <w:t xml:space="preserve">二极管阵列</w:t>
            </w:r>
            <w:r>
              <w:rPr>
                <w:rFonts w:ascii="Times New Roman" w:hAnsi="Times New Roman"/>
                <w:b/>
                <w:bCs/>
                <w:sz w:val="24"/>
                <w:highlight w:val="none"/>
              </w:rPr>
              <w:t xml:space="preserve">检测器</w:t>
            </w:r>
            <w:r/>
          </w:p>
          <w:p>
            <w:pPr>
              <w:spacing w:line="360" w:lineRule="auto"/>
              <w:rPr>
                <w:rFonts w:ascii="Times New Roman" w:hAnsi="Times New Roman"/>
                <w:sz w:val="24"/>
                <w:highlight w:val="none"/>
              </w:rPr>
            </w:pPr>
            <w:r>
              <w:rPr>
                <w:rFonts w:ascii="Times New Roman" w:hAnsi="Times New Roman"/>
                <w:sz w:val="24"/>
                <w:highlight w:val="none"/>
              </w:rPr>
              <w:t xml:space="preserve">▲</w:t>
            </w:r>
            <w:r>
              <w:rPr>
                <w:rFonts w:hint="eastAsia" w:ascii="Times New Roman" w:hAnsi="Times New Roman"/>
                <w:sz w:val="24"/>
                <w:highlight w:val="none"/>
              </w:rPr>
              <w:t xml:space="preserve">2.</w:t>
            </w:r>
            <w:r>
              <w:rPr>
                <w:rFonts w:ascii="Times New Roman" w:hAnsi="Times New Roman"/>
                <w:sz w:val="24"/>
                <w:highlight w:val="none"/>
              </w:rPr>
              <w:t xml:space="preserve">4.1 波长范围：190~</w:t>
            </w:r>
            <w:r>
              <w:rPr>
                <w:rFonts w:hint="eastAsia" w:ascii="Times New Roman" w:hAnsi="Times New Roman"/>
                <w:sz w:val="24"/>
                <w:highlight w:val="none"/>
              </w:rPr>
              <w:t xml:space="preserve">8</w:t>
            </w:r>
            <w:r>
              <w:rPr>
                <w:rFonts w:ascii="Times New Roman" w:hAnsi="Times New Roman"/>
                <w:sz w:val="24"/>
                <w:highlight w:val="none"/>
              </w:rPr>
              <w:t xml:space="preserve">00 nm</w:t>
            </w:r>
            <w:r>
              <w:rPr>
                <w:rFonts w:hint="eastAsia" w:ascii="Times New Roman" w:hAnsi="Times New Roman"/>
                <w:sz w:val="24"/>
                <w:highlight w:val="none"/>
              </w:rPr>
              <w:t xml:space="preserve">，单一光源氘弧灯，无其它辅助光源</w:t>
            </w:r>
            <w:r>
              <w:rPr>
                <w:rFonts w:hint="eastAsia" w:ascii="Times New Roman" w:hAnsi="Times New Roman"/>
                <w:b/>
                <w:bCs/>
                <w:sz w:val="24"/>
                <w:highlight w:val="none"/>
              </w:rPr>
              <w:t xml:space="preserve">（提供</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，作为</w:t>
            </w:r>
            <w:r>
              <w:rPr>
                <w:rFonts w:hint="eastAsia" w:ascii="Times New Roman" w:hAnsi="Times New Roman"/>
                <w:b/>
                <w:bCs/>
                <w:sz w:val="24"/>
                <w:highlight w:val="none"/>
                <w:lang w:val="en-US" w:eastAsia="zh-CN"/>
              </w:rPr>
              <w:t xml:space="preserve">评审与</w:t>
            </w:r>
            <w:r>
              <w:rPr>
                <w:rFonts w:hint="eastAsia" w:ascii="Times New Roman" w:hAnsi="Times New Roman"/>
                <w:b/>
                <w:bCs/>
                <w:sz w:val="24"/>
                <w:highlight w:val="none"/>
              </w:rPr>
              <w:t xml:space="preserve">验收指标）</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w:t>
            </w:r>
            <w:r>
              <w:rPr>
                <w:rFonts w:ascii="Times New Roman" w:hAnsi="Times New Roman"/>
                <w:sz w:val="24"/>
                <w:highlight w:val="none"/>
              </w:rPr>
              <w:t xml:space="preserve">4.2 </w:t>
            </w:r>
            <w:r>
              <w:rPr>
                <w:rFonts w:hint="eastAsia" w:ascii="Times New Roman" w:hAnsi="Times New Roman"/>
                <w:sz w:val="24"/>
                <w:highlight w:val="none"/>
              </w:rPr>
              <w:t xml:space="preserve">波长准确度：±1 nm</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2.4.3带宽：1.2 nm</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2.4.4二极管数：≤512</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2.4.5基线噪音：≤10.0×10-6 AU</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2.4.6漂移: ≤1.0×10-3 AU/hr</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2.4.7线性范围：≤5% （2.5 AU），对羟基苯甲酸丙酯，257 nm</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2.4.8流通池：梯形狭缝池，消除示差折光效应</w:t>
            </w:r>
            <w:r/>
          </w:p>
          <w:p>
            <w:pPr>
              <w:spacing w:line="360" w:lineRule="auto"/>
              <w:rPr>
                <w:rFonts w:ascii="Times New Roman" w:hAnsi="Times New Roman"/>
                <w:sz w:val="24"/>
                <w:highlight w:val="none"/>
              </w:rPr>
            </w:pPr>
            <w:r>
              <w:rPr>
                <w:rFonts w:hint="eastAsia" w:ascii="Times New Roman" w:hAnsi="Times New Roman"/>
                <w:sz w:val="24"/>
                <w:highlight w:val="none"/>
              </w:rPr>
              <w:t xml:space="preserve">池长：10 mm（分析池）；池体积：8.4 µL（分析池）</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2.4.9流通池耐压：1000 psi（分析池）</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2.4.10固定狭缝：保持良好线性和光谱分辨率，简化操作</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2.4.11</w:t>
            </w:r>
            <w:r>
              <w:rPr>
                <w:rFonts w:ascii="Times New Roman" w:hAnsi="Times New Roman"/>
                <w:sz w:val="24"/>
                <w:highlight w:val="none"/>
              </w:rPr>
              <w:t xml:space="preserve">内置灯优化软件：减少可见光波长噪音，补偿等损耗能量</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2.4.12可将所有组分的最大吸收波长值整合成一张色谱图，无需逐个设置波长来寻找每个组分的最大吸收波长值</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2.4.13具备建立标准物质光谱库功能</w:t>
            </w:r>
            <w:r/>
          </w:p>
          <w:p>
            <w:pPr>
              <w:spacing w:line="360" w:lineRule="auto"/>
              <w:rPr>
                <w:rFonts w:ascii="Times New Roman" w:hAnsi="Times New Roman"/>
                <w:b/>
                <w:bCs/>
                <w:sz w:val="24"/>
                <w:highlight w:val="none"/>
              </w:rPr>
            </w:pPr>
            <w:r>
              <w:rPr>
                <w:rFonts w:hint="eastAsia" w:ascii="Times New Roman" w:hAnsi="Times New Roman"/>
                <w:b/>
                <w:bCs/>
                <w:sz w:val="24"/>
                <w:highlight w:val="none"/>
              </w:rPr>
              <w:t xml:space="preserve">2.5荧光检测器</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2.5.1</w:t>
            </w:r>
            <w:r>
              <w:rPr>
                <w:rFonts w:hint="eastAsia" w:ascii="Times New Roman" w:hAnsi="Times New Roman"/>
                <w:sz w:val="24"/>
                <w:highlight w:val="none"/>
              </w:rPr>
              <w:tab/>
            </w:r>
            <w:r>
              <w:rPr>
                <w:rFonts w:hint="eastAsia" w:ascii="Times New Roman" w:hAnsi="Times New Roman"/>
                <w:sz w:val="24"/>
                <w:highlight w:val="none"/>
              </w:rPr>
              <w:t xml:space="preserve">激发波长：200~890 nm，发射波长：210~900 nm</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2.5.2</w:t>
            </w:r>
            <w:r>
              <w:rPr>
                <w:rFonts w:hint="eastAsia" w:ascii="Times New Roman" w:hAnsi="Times New Roman"/>
                <w:sz w:val="24"/>
                <w:highlight w:val="none"/>
              </w:rPr>
              <w:tab/>
            </w:r>
            <w:r>
              <w:rPr>
                <w:rFonts w:hint="eastAsia" w:ascii="Times New Roman" w:hAnsi="Times New Roman"/>
                <w:sz w:val="24"/>
                <w:highlight w:val="none"/>
              </w:rPr>
              <w:t xml:space="preserve">带宽：20 nm</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2.5.3</w:t>
            </w:r>
            <w:r>
              <w:rPr>
                <w:rFonts w:hint="eastAsia" w:ascii="Times New Roman" w:hAnsi="Times New Roman"/>
                <w:sz w:val="24"/>
                <w:highlight w:val="none"/>
              </w:rPr>
              <w:tab/>
            </w:r>
            <w:r>
              <w:rPr>
                <w:rFonts w:hint="eastAsia" w:ascii="Times New Roman" w:hAnsi="Times New Roman"/>
                <w:sz w:val="24"/>
                <w:highlight w:val="none"/>
              </w:rPr>
              <w:t xml:space="preserve">数据采集模式：最多4个2D通道或1个3D通道</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2.5.4</w:t>
            </w:r>
            <w:r>
              <w:rPr>
                <w:rFonts w:hint="eastAsia" w:ascii="Times New Roman" w:hAnsi="Times New Roman"/>
                <w:sz w:val="24"/>
                <w:highlight w:val="none"/>
              </w:rPr>
              <w:tab/>
            </w:r>
            <w:r>
              <w:rPr>
                <w:rFonts w:hint="eastAsia" w:ascii="Times New Roman" w:hAnsi="Times New Roman"/>
                <w:sz w:val="24"/>
                <w:highlight w:val="none"/>
              </w:rPr>
              <w:t xml:space="preserve">波长准确度：±3 nm </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2.5.5</w:t>
            </w:r>
            <w:r>
              <w:rPr>
                <w:rFonts w:hint="eastAsia" w:ascii="Times New Roman" w:hAnsi="Times New Roman"/>
                <w:sz w:val="24"/>
                <w:highlight w:val="none"/>
              </w:rPr>
              <w:tab/>
            </w:r>
            <w:r>
              <w:rPr>
                <w:rFonts w:hint="eastAsia" w:ascii="Times New Roman" w:hAnsi="Times New Roman"/>
                <w:sz w:val="24"/>
                <w:highlight w:val="none"/>
              </w:rPr>
              <w:t xml:space="preserve">波长重现性：±0.25 nm</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2.5.6</w:t>
            </w:r>
            <w:r>
              <w:rPr>
                <w:rFonts w:hint="eastAsia" w:ascii="Times New Roman" w:hAnsi="Times New Roman"/>
                <w:sz w:val="24"/>
                <w:highlight w:val="none"/>
              </w:rPr>
              <w:tab/>
            </w:r>
            <w:r>
              <w:rPr>
                <w:rFonts w:hint="eastAsia" w:ascii="Times New Roman" w:hAnsi="Times New Roman"/>
                <w:sz w:val="24"/>
                <w:highlight w:val="none"/>
              </w:rPr>
              <w:t xml:space="preserve">灵敏度 ：S/N≥1000（水测量信号的拉曼光谱）</w:t>
            </w:r>
            <w:r>
              <w:rPr>
                <w:rFonts w:hint="eastAsia" w:ascii="Times New Roman" w:hAnsi="Times New Roman"/>
                <w:b/>
                <w:bCs/>
                <w:sz w:val="24"/>
                <w:highlight w:val="none"/>
              </w:rPr>
              <w:t xml:space="preserve">（提供</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2.5.7测量范围：0.001~100,000.000 发射单位（默认）</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2.5.8流通池：≤13uL，长轴发光，最大程度减少杂散光并增加光通量，提高荧光信号质量</w:t>
            </w:r>
            <w:r>
              <w:rPr>
                <w:rFonts w:hint="eastAsia" w:ascii="Times New Roman" w:hAnsi="Times New Roman"/>
                <w:b/>
                <w:bCs/>
                <w:sz w:val="24"/>
                <w:highlight w:val="none"/>
              </w:rPr>
              <w:t xml:space="preserve">（提供</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2.5.9</w:t>
            </w:r>
            <w:r>
              <w:rPr>
                <w:rFonts w:hint="eastAsia" w:ascii="Times New Roman" w:hAnsi="Times New Roman"/>
                <w:sz w:val="24"/>
                <w:highlight w:val="none"/>
              </w:rPr>
              <w:tab/>
            </w:r>
            <w:r>
              <w:rPr>
                <w:rFonts w:hint="eastAsia" w:ascii="Times New Roman" w:hAnsi="Times New Roman"/>
                <w:sz w:val="24"/>
                <w:highlight w:val="none"/>
              </w:rPr>
              <w:t xml:space="preserve">光源：氙灯，150W，质保：寿命2000小时或1年（以先到者为准）</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2.5.10</w:t>
            </w:r>
            <w:r>
              <w:rPr>
                <w:rFonts w:hint="eastAsia" w:ascii="Times New Roman" w:hAnsi="Times New Roman"/>
                <w:sz w:val="24"/>
                <w:highlight w:val="none"/>
              </w:rPr>
              <w:tab/>
            </w:r>
            <w:r>
              <w:rPr>
                <w:rFonts w:hint="eastAsia" w:ascii="Times New Roman" w:hAnsi="Times New Roman"/>
                <w:sz w:val="24"/>
                <w:highlight w:val="none"/>
              </w:rPr>
              <w:t xml:space="preserve">流通池耐压：145 psi （10 bar）</w:t>
            </w:r>
            <w:r/>
          </w:p>
          <w:p>
            <w:pPr>
              <w:spacing w:line="360" w:lineRule="auto"/>
              <w:rPr>
                <w:rFonts w:ascii="Times New Roman" w:hAnsi="Times New Roman"/>
                <w:b/>
                <w:bCs/>
                <w:sz w:val="24"/>
                <w:highlight w:val="none"/>
              </w:rPr>
            </w:pPr>
            <w:r>
              <w:rPr>
                <w:rFonts w:hint="eastAsia" w:ascii="Times New Roman" w:hAnsi="Times New Roman"/>
                <w:b/>
                <w:bCs/>
                <w:sz w:val="24"/>
                <w:highlight w:val="none"/>
              </w:rPr>
              <w:t xml:space="preserve">2.6</w:t>
            </w:r>
            <w:r>
              <w:rPr>
                <w:rFonts w:ascii="Times New Roman" w:hAnsi="Times New Roman"/>
                <w:b/>
                <w:bCs/>
                <w:sz w:val="24"/>
                <w:highlight w:val="none"/>
              </w:rPr>
              <w:t xml:space="preserve"> 色谱数据管理系统</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2.6</w:t>
            </w:r>
            <w:r>
              <w:rPr>
                <w:rFonts w:ascii="Times New Roman" w:hAnsi="Times New Roman"/>
                <w:sz w:val="24"/>
                <w:highlight w:val="none"/>
              </w:rPr>
              <w:t xml:space="preserve">.1</w:t>
            </w:r>
            <w:r>
              <w:rPr>
                <w:rFonts w:hint="eastAsia" w:ascii="Times New Roman" w:hAnsi="Times New Roman"/>
                <w:sz w:val="24"/>
                <w:highlight w:val="none"/>
              </w:rPr>
              <w:t xml:space="preserve">中文及英文原厂原代码软件，非第三方插件翻译版本</w:t>
            </w:r>
            <w:r>
              <w:rPr>
                <w:rFonts w:ascii="Times New Roman" w:hAnsi="Times New Roman"/>
                <w:sz w:val="24"/>
                <w:highlight w:val="none"/>
              </w:rPr>
              <w:t xml:space="preserve">。</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▲2.6.2内置甲骨文关系型图文数据库，原始数据、仪器条件和处理参数等信息的关联由软件自动建立，用户无需记忆就能找到相应的信息。</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2.6.3登录时输入用户名和密码，每个使用者可以使用各自的用户名，密码和权限，相互之间的数据互相独立，互不干扰。</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2.6.4操作向导模式和在线帮助功能：只需按照指南要求进行操作即可执行相应的功能。</w:t>
            </w:r>
            <w:r/>
          </w:p>
          <w:p>
            <w:pPr>
              <w:spacing w:line="360" w:lineRule="auto"/>
              <w:rPr>
                <w:rFonts w:ascii="Times New Roman" w:hAnsi="Times New Roman"/>
                <w:sz w:val="24"/>
                <w:highlight w:val="none"/>
              </w:rPr>
            </w:pPr>
            <w:r>
              <w:rPr>
                <w:rFonts w:ascii="Times New Roman" w:hAnsi="Times New Roman"/>
                <w:sz w:val="24"/>
                <w:highlight w:val="none"/>
              </w:rPr>
              <w:t xml:space="preserve">▲</w:t>
            </w:r>
            <w:r>
              <w:rPr>
                <w:rFonts w:hint="eastAsia" w:ascii="Times New Roman" w:hAnsi="Times New Roman"/>
                <w:sz w:val="24"/>
                <w:highlight w:val="none"/>
              </w:rPr>
              <w:t xml:space="preserve">2.6.5 ≥16种校正拟合定量计算方式，适应不同分析及不同检测器应用。</w:t>
            </w:r>
            <w:r>
              <w:rPr>
                <w:rFonts w:hint="eastAsia" w:ascii="Times New Roman" w:hAnsi="Times New Roman"/>
                <w:b/>
                <w:bCs/>
                <w:sz w:val="24"/>
                <w:highlight w:val="none"/>
              </w:rPr>
              <w:t xml:space="preserve">（提供</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w:t>
            </w:r>
            <w:r/>
          </w:p>
          <w:p>
            <w:pPr>
              <w:spacing w:line="360" w:lineRule="auto"/>
              <w:rPr>
                <w:rFonts w:ascii="Times New Roman" w:hAnsi="Times New Roman"/>
                <w:sz w:val="24"/>
                <w:highlight w:val="none"/>
              </w:rPr>
            </w:pPr>
            <w:r>
              <w:rPr>
                <w:rFonts w:ascii="Times New Roman" w:hAnsi="Times New Roman"/>
                <w:sz w:val="24"/>
                <w:highlight w:val="none"/>
              </w:rPr>
              <w:t xml:space="preserve">▲</w:t>
            </w:r>
            <w:r>
              <w:rPr>
                <w:rFonts w:hint="eastAsia" w:ascii="Times New Roman" w:hAnsi="Times New Roman"/>
                <w:sz w:val="24"/>
                <w:highlight w:val="none"/>
              </w:rPr>
              <w:t xml:space="preserve">2.6.6 ≥10种数据检索模式，适应大量数据管理和检索。</w:t>
            </w:r>
            <w:r>
              <w:rPr>
                <w:rFonts w:hint="eastAsia" w:ascii="Times New Roman" w:hAnsi="Times New Roman"/>
                <w:b/>
                <w:bCs/>
                <w:sz w:val="24"/>
                <w:highlight w:val="none"/>
              </w:rPr>
              <w:t xml:space="preserve">（提供</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2.6.7 报告格式的编辑和排版：结果可以有单个报告和综合报告。</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2.6.8 原始数据和结果可通过多种方式输出到其它软件中（如Excel）。</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2.6.9带有系统适用性软件，可以计算柱效、拖尾因子、分离度等色谱适用性参数。</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2.6.10 用户可自定义样品信息和编辑计算公式实现特殊的计算：样品信息类型 ≥6；数据类型≥6。</w:t>
            </w:r>
            <w:r/>
          </w:p>
          <w:p>
            <w:pPr>
              <w:pStyle w:val="770"/>
              <w:ind w:left="0"/>
              <w:spacing w:line="360" w:lineRule="auto"/>
              <w:rPr>
                <w:rFonts w:asciiTheme="minorEastAsia" w:hAnsiTheme="minorEastAsia" w:eastAsia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b/>
                <w:color w:val="000000" w:themeColor="text1"/>
                <w:sz w:val="24"/>
                <w:szCs w:val="24"/>
                <w:highlight w:val="none"/>
                <w14:textFill>
                  <w14:solidFill>
                    <w14:schemeClr w14:val="tx1"/>
                  </w14:solidFill>
                </w14:textFill>
              </w:rPr>
              <w:t xml:space="preserve">2.7</w:t>
            </w:r>
            <w:r>
              <w:rPr>
                <w:rFonts w:hint="eastAsia" w:cs="Calibri" w:asciiTheme="minorEastAsia" w:hAnsiTheme="minorEastAsia" w:eastAsiaTheme="minorEastAsia"/>
                <w:b/>
                <w:color w:val="000000" w:themeColor="text1"/>
                <w:sz w:val="24"/>
                <w:szCs w:val="24"/>
                <w:highlight w:val="none"/>
                <w14:textFill>
                  <w14:solidFill>
                    <w14:schemeClr w14:val="tx1"/>
                  </w14:solidFill>
                </w14:textFill>
              </w:rPr>
              <w:t xml:space="preserve">超纯水系统</w:t>
            </w:r>
            <w:r/>
          </w:p>
          <w:p>
            <w:pPr>
              <w:pStyle w:val="770"/>
              <w:ind w:left="0"/>
              <w:spacing w:line="360" w:lineRule="auto"/>
              <w:rPr>
                <w:rFonts w:cs="Calibri" w:asciiTheme="minorEastAsia" w:hAnsiTheme="minorEastAsia" w:eastAsiaTheme="minorEastAsia"/>
                <w:b/>
                <w:bCs/>
                <w:sz w:val="24"/>
                <w:szCs w:val="24"/>
                <w:highlight w:val="none"/>
              </w:rPr>
            </w:pPr>
            <w:r>
              <w:rPr>
                <w:rFonts w:hint="eastAsia" w:cs="Calibri" w:asciiTheme="minorEastAsia" w:hAnsiTheme="minorEastAsia" w:eastAsiaTheme="minorEastAsia"/>
                <w:sz w:val="24"/>
                <w:szCs w:val="24"/>
                <w:highlight w:val="none"/>
              </w:rPr>
              <w:t xml:space="preserve">2.7.1超纯水水质，电阻率</w:t>
            </w:r>
            <w:r>
              <w:rPr>
                <w:rFonts w:cs="Calibri" w:asciiTheme="minorEastAsia" w:hAnsiTheme="minorEastAsia" w:eastAsiaTheme="minorEastAsia"/>
                <w:sz w:val="24"/>
                <w:szCs w:val="24"/>
                <w:highlight w:val="none"/>
              </w:rPr>
              <w:t xml:space="preserve">18.2 MΩ·cm @ 25 </w:t>
            </w:r>
            <w:r>
              <w:rPr>
                <w:rFonts w:hint="eastAsia" w:cs="Calibri" w:asciiTheme="minorEastAsia" w:hAnsiTheme="minorEastAsia" w:eastAsiaTheme="minorEastAsia"/>
                <w:sz w:val="24"/>
                <w:szCs w:val="24"/>
                <w:highlight w:val="none"/>
              </w:rPr>
              <w:t xml:space="preserve">℃，TOC</w:t>
            </w:r>
            <w:r>
              <w:rPr>
                <w:rFonts w:cs="Calibri" w:asciiTheme="minorEastAsia" w:hAnsiTheme="minorEastAsia" w:eastAsiaTheme="minorEastAsia"/>
                <w:sz w:val="24"/>
                <w:szCs w:val="24"/>
                <w:highlight w:val="none"/>
              </w:rPr>
              <w:t xml:space="preserve">≤5 ppb(</w:t>
            </w:r>
            <w:r>
              <w:rPr>
                <w:rFonts w:hint="eastAsia" w:cs="Calibri" w:asciiTheme="minorEastAsia" w:hAnsiTheme="minorEastAsia" w:eastAsiaTheme="minorEastAsia"/>
                <w:sz w:val="24"/>
                <w:szCs w:val="24"/>
                <w:highlight w:val="none"/>
              </w:rPr>
              <w:t xml:space="preserve">在线显示</w:t>
            </w:r>
            <w:r>
              <w:rPr>
                <w:rFonts w:cs="Calibri" w:asciiTheme="minorEastAsia" w:hAnsiTheme="minorEastAsia" w:eastAsiaTheme="minorEastAsia"/>
                <w:sz w:val="24"/>
                <w:szCs w:val="24"/>
                <w:highlight w:val="none"/>
              </w:rPr>
              <w:t xml:space="preserve">)</w:t>
            </w:r>
            <w:r>
              <w:rPr>
                <w:rFonts w:hint="eastAsia" w:cs="Calibri" w:asciiTheme="minorEastAsia" w:hAnsiTheme="minorEastAsia" w:eastAsiaTheme="minorEastAsia"/>
                <w:sz w:val="24"/>
                <w:szCs w:val="24"/>
                <w:highlight w:val="none"/>
              </w:rPr>
              <w:t xml:space="preserve">，RNase（核糖核酸酶）：</w:t>
            </w:r>
            <w:r>
              <w:rPr>
                <w:rFonts w:cs="Calibri" w:asciiTheme="minorEastAsia" w:hAnsiTheme="minorEastAsia" w:eastAsiaTheme="minorEastAsia"/>
                <w:sz w:val="24"/>
                <w:szCs w:val="24"/>
                <w:highlight w:val="none"/>
              </w:rPr>
              <w:t xml:space="preserve">&lt; 1 pg/mL </w:t>
            </w:r>
            <w:r>
              <w:rPr>
                <w:rFonts w:hint="eastAsia" w:cs="Calibri" w:asciiTheme="minorEastAsia" w:hAnsiTheme="minorEastAsia" w:eastAsiaTheme="minorEastAsia"/>
                <w:sz w:val="24"/>
                <w:szCs w:val="24"/>
                <w:highlight w:val="none"/>
              </w:rPr>
              <w:t xml:space="preserve">，DNase（脱氧核糖核酸酶）：</w:t>
            </w:r>
            <w:r>
              <w:rPr>
                <w:rFonts w:cs="Calibri" w:asciiTheme="minorEastAsia" w:hAnsiTheme="minorEastAsia" w:eastAsiaTheme="minorEastAsia"/>
                <w:sz w:val="24"/>
                <w:szCs w:val="24"/>
                <w:highlight w:val="none"/>
              </w:rPr>
              <w:t xml:space="preserve">&lt; 5 pg/mL </w:t>
            </w:r>
            <w:r>
              <w:rPr>
                <w:rFonts w:hint="eastAsia" w:cs="Calibri" w:asciiTheme="minorEastAsia" w:hAnsiTheme="minorEastAsia" w:eastAsiaTheme="minorEastAsia"/>
                <w:sz w:val="24"/>
                <w:szCs w:val="24"/>
                <w:highlight w:val="none"/>
              </w:rPr>
              <w:t xml:space="preserve">，蛋白酶：</w:t>
            </w:r>
            <w:r>
              <w:rPr>
                <w:rFonts w:cs="Calibri" w:asciiTheme="minorEastAsia" w:hAnsiTheme="minorEastAsia" w:eastAsiaTheme="minorEastAsia"/>
                <w:sz w:val="24"/>
                <w:szCs w:val="24"/>
                <w:highlight w:val="none"/>
              </w:rPr>
              <w:t xml:space="preserve">&lt; 0.15 μg/mL</w:t>
            </w:r>
            <w:r/>
          </w:p>
          <w:p>
            <w:pPr>
              <w:pStyle w:val="770"/>
              <w:ind w:left="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2.7.2</w:t>
            </w:r>
            <w:bookmarkStart w:id="11" w:name="_Hlk168007565"/>
            <w:r>
              <w:rPr>
                <w:rFonts w:hint="eastAsia" w:asciiTheme="minorEastAsia" w:hAnsiTheme="minorEastAsia" w:eastAsiaTheme="minorEastAsia"/>
                <w:sz w:val="24"/>
                <w:szCs w:val="24"/>
                <w:highlight w:val="none"/>
              </w:rPr>
              <w:t xml:space="preserve">标配独立的取水臂，可灵活调节出水口角度避免取水时产生气泡，取水臂与主机支架采用磁吸式连接，提升取水臂取下的便利性，增加取水臂复位的容错性。</w:t>
            </w:r>
            <w:bookmarkEnd w:id="11"/>
            <w:r/>
            <w:r/>
          </w:p>
          <w:p>
            <w:pPr>
              <w:pStyle w:val="770"/>
              <w:ind w:left="0"/>
              <w:spacing w:line="360" w:lineRule="auto"/>
              <w:rPr>
                <w:rFonts w:asciiTheme="minorEastAsia" w:hAnsiTheme="minorEastAsia" w:eastAsiaTheme="minorEastAsia"/>
                <w:sz w:val="24"/>
                <w:szCs w:val="24"/>
                <w:highlight w:val="none"/>
              </w:rPr>
            </w:pPr>
            <w:r/>
            <w:bookmarkStart w:id="12" w:name="_Hlk168008525"/>
            <w:r>
              <w:rPr>
                <w:rFonts w:hint="eastAsia" w:asciiTheme="minorEastAsia" w:hAnsiTheme="minorEastAsia" w:eastAsiaTheme="minorEastAsia"/>
                <w:sz w:val="24"/>
                <w:szCs w:val="24"/>
                <w:highlight w:val="none"/>
              </w:rPr>
              <w:t xml:space="preserve">2.7.3 不低于7寸彩色显示触控屏，可于主机3米范围内任意摆放，也可于远离主机最多3米处挂墙安装。</w:t>
            </w:r>
            <w:r/>
          </w:p>
          <w:p>
            <w:pPr>
              <w:pStyle w:val="770"/>
              <w:ind w:left="0"/>
              <w:spacing w:line="360" w:lineRule="auto"/>
              <w:rPr>
                <w:rFonts w:asciiTheme="minorEastAsia" w:hAnsiTheme="minorEastAsia" w:eastAsiaTheme="minorEastAsia"/>
                <w:b/>
                <w:bCs/>
                <w:sz w:val="24"/>
                <w:szCs w:val="24"/>
                <w:highlight w:val="none"/>
              </w:rPr>
            </w:pPr>
            <w:r>
              <w:rPr>
                <w:rFonts w:hint="eastAsia" w:cs="楷体_GB2312" w:asciiTheme="minorEastAsia" w:hAnsiTheme="minorEastAsia" w:eastAsiaTheme="minorEastAsia"/>
                <w:bCs/>
                <w:color w:val="000000"/>
                <w:sz w:val="24"/>
                <w:szCs w:val="24"/>
                <w:highlight w:val="none"/>
              </w:rPr>
              <w:t xml:space="preserve">▲</w:t>
            </w:r>
            <w:r>
              <w:rPr>
                <w:rFonts w:hint="eastAsia" w:asciiTheme="minorEastAsia" w:hAnsiTheme="minorEastAsia" w:eastAsiaTheme="minorEastAsia"/>
                <w:sz w:val="24"/>
                <w:szCs w:val="24"/>
                <w:highlight w:val="none"/>
              </w:rPr>
              <w:t xml:space="preserve">2.7.4</w:t>
            </w:r>
            <w:bookmarkStart w:id="13" w:name="_Hlk167984321"/>
            <w:r>
              <w:rPr>
                <w:rFonts w:hint="eastAsia" w:asciiTheme="minorEastAsia" w:hAnsiTheme="minorEastAsia" w:eastAsiaTheme="minorEastAsia"/>
                <w:sz w:val="24"/>
                <w:szCs w:val="24"/>
                <w:highlight w:val="none"/>
              </w:rPr>
              <w:t xml:space="preserve">显示屏可查看系统流路示意图，并于流路图内显示各检测器的动态参数（如压力、温度、电阻率等）以确保机器处于最佳状态。</w:t>
            </w:r>
            <w:r>
              <w:rPr>
                <w:rFonts w:hint="eastAsia" w:asciiTheme="minorEastAsia" w:hAnsiTheme="minorEastAsia" w:eastAsiaTheme="minorEastAsia"/>
                <w:b/>
                <w:bCs/>
                <w:sz w:val="24"/>
                <w:szCs w:val="24"/>
                <w:highlight w:val="none"/>
              </w:rPr>
              <w:t xml:space="preserve">（提供系统流路图界面的</w:t>
            </w:r>
            <w:r>
              <w:rPr>
                <w:rFonts w:asciiTheme="minorEastAsia" w:hAnsiTheme="minorEastAsia" w:eastAsiaTheme="minorEastAsia"/>
                <w:b/>
                <w:bCs/>
                <w:sz w:val="24"/>
                <w:szCs w:val="24"/>
                <w:highlight w:val="none"/>
              </w:rPr>
              <w:t xml:space="preserve">实物照片</w:t>
            </w:r>
            <w:r>
              <w:rPr>
                <w:rFonts w:hint="eastAsia" w:asciiTheme="minorEastAsia" w:hAnsiTheme="minorEastAsia" w:eastAsiaTheme="minorEastAsia"/>
                <w:b/>
                <w:bCs/>
                <w:sz w:val="24"/>
                <w:szCs w:val="24"/>
                <w:highlight w:val="none"/>
              </w:rPr>
              <w:t xml:space="preserve">）</w:t>
            </w:r>
            <w:bookmarkEnd w:id="13"/>
            <w:r>
              <w:rPr>
                <w:rFonts w:hint="eastAsia" w:asciiTheme="minorEastAsia" w:hAnsiTheme="minorEastAsia" w:eastAsiaTheme="minorEastAsia"/>
                <w:b/>
                <w:bCs/>
                <w:sz w:val="24"/>
                <w:szCs w:val="24"/>
                <w:highlight w:val="none"/>
                <w:lang w:eastAsia="zh-CN"/>
              </w:rPr>
              <w:t xml:space="preserve">。</w:t>
            </w:r>
            <w:r>
              <w:rPr>
                <w:rFonts w:hint="eastAsia" w:asciiTheme="minorEastAsia" w:hAnsiTheme="minorEastAsia" w:eastAsiaTheme="minorEastAsia"/>
                <w:sz w:val="24"/>
                <w:szCs w:val="24"/>
                <w:highlight w:val="none"/>
              </w:rPr>
              <w:t xml:space="preserve">系统配备双</w:t>
            </w:r>
            <w:bookmarkStart w:id="14" w:name="_Hlk167973802"/>
            <w:r>
              <w:rPr>
                <w:rFonts w:hint="eastAsia" w:asciiTheme="minorEastAsia" w:hAnsiTheme="minorEastAsia" w:eastAsiaTheme="minorEastAsia"/>
                <w:sz w:val="24"/>
                <w:szCs w:val="24"/>
                <w:highlight w:val="none"/>
              </w:rPr>
              <w:t xml:space="preserve">纯化柱，内含3</w:t>
            </w:r>
            <w:r>
              <w:rPr>
                <w:rFonts w:asciiTheme="minorEastAsia" w:hAnsiTheme="minorEastAsia" w:eastAsiaTheme="minorEastAsia"/>
                <w:sz w:val="24"/>
                <w:szCs w:val="24"/>
                <w:highlight w:val="none"/>
              </w:rPr>
              <w:t xml:space="preserve">60</w:t>
            </w:r>
            <w:r>
              <w:rPr>
                <w:rFonts w:hint="eastAsia" w:asciiTheme="minorEastAsia" w:hAnsiTheme="minorEastAsia" w:eastAsiaTheme="minorEastAsia"/>
                <w:sz w:val="24"/>
                <w:szCs w:val="24"/>
                <w:highlight w:val="none"/>
              </w:rPr>
              <w:t xml:space="preserve">μm和6</w:t>
            </w:r>
            <w:r>
              <w:rPr>
                <w:rFonts w:asciiTheme="minorEastAsia" w:hAnsiTheme="minorEastAsia" w:eastAsiaTheme="minorEastAsia"/>
                <w:sz w:val="24"/>
                <w:szCs w:val="24"/>
                <w:highlight w:val="none"/>
              </w:rPr>
              <w:t xml:space="preserve">00</w:t>
            </w:r>
            <w:r>
              <w:rPr>
                <w:rFonts w:hint="eastAsia" w:asciiTheme="minorEastAsia" w:hAnsiTheme="minorEastAsia" w:eastAsiaTheme="minorEastAsia"/>
                <w:sz w:val="24"/>
                <w:szCs w:val="24"/>
                <w:highlight w:val="none"/>
              </w:rPr>
              <w:t xml:space="preserve">μm的混床离子树脂及高级合成活性炭，用于去除水中的离子和痕量有机污染物。</w:t>
            </w:r>
            <w:r>
              <w:rPr>
                <w:rFonts w:hint="eastAsia" w:asciiTheme="minorEastAsia" w:hAnsiTheme="minorEastAsia" w:eastAsiaTheme="minorEastAsia"/>
                <w:b/>
                <w:bCs/>
                <w:sz w:val="24"/>
                <w:szCs w:val="24"/>
                <w:highlight w:val="none"/>
              </w:rPr>
              <w:t xml:space="preserve">（投标时需提供纯化柱的评估测试报告）</w:t>
            </w:r>
            <w:bookmarkEnd w:id="12"/>
            <w:r/>
            <w:bookmarkEnd w:id="14"/>
            <w:r/>
            <w:r/>
          </w:p>
          <w:p>
            <w:pPr>
              <w:pStyle w:val="770"/>
              <w:ind w:left="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2.7.6纯化柱的更换无需借助任何拆卸工具，仅需旋转纯化柱即可完成更换与安装。</w:t>
            </w:r>
            <w:r/>
          </w:p>
          <w:p>
            <w:pPr>
              <w:pStyle w:val="770"/>
              <w:ind w:left="0"/>
              <w:spacing w:line="360" w:lineRule="auto"/>
              <w:rPr>
                <w:rFonts w:asciiTheme="minorEastAsia" w:hAnsiTheme="minorEastAsia" w:eastAsiaTheme="minorEastAsia"/>
                <w:sz w:val="24"/>
                <w:szCs w:val="24"/>
                <w:highlight w:val="none"/>
              </w:rPr>
            </w:pPr>
            <w:r>
              <w:rPr>
                <w:rFonts w:hint="eastAsia" w:cs="楷体_GB2312" w:asciiTheme="minorEastAsia" w:hAnsiTheme="minorEastAsia" w:eastAsiaTheme="minorEastAsia"/>
                <w:bCs/>
                <w:color w:val="000000"/>
                <w:sz w:val="24"/>
                <w:szCs w:val="24"/>
                <w:highlight w:val="none"/>
              </w:rPr>
              <w:t xml:space="preserve">▲</w:t>
            </w:r>
            <w:r>
              <w:rPr>
                <w:rFonts w:hint="eastAsia" w:asciiTheme="minorEastAsia" w:hAnsiTheme="minorEastAsia" w:eastAsiaTheme="minorEastAsia"/>
                <w:sz w:val="24"/>
                <w:szCs w:val="24"/>
                <w:highlight w:val="none"/>
              </w:rPr>
              <w:t xml:space="preserve">2.7.7可提供5种以上兼容设备主机的终端过滤器，用于不同实验的水质要求。每个终端过滤器带有无线射频识别芯片，到达使用期限后机器自动提示更换，并图文指导更换操作。</w:t>
            </w:r>
            <w:r>
              <w:rPr>
                <w:rFonts w:hint="eastAsia" w:ascii="Times New Roman" w:hAnsi="Times New Roman"/>
                <w:b/>
                <w:bCs/>
                <w:sz w:val="24"/>
                <w:highlight w:val="none"/>
              </w:rPr>
              <w:t xml:space="preserve">（提供</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w:t>
            </w:r>
            <w:r>
              <w:rPr>
                <w:rFonts w:hint="eastAsia" w:asciiTheme="minorEastAsia" w:hAnsiTheme="minorEastAsia" w:eastAsiaTheme="minorEastAsia"/>
                <w:sz w:val="24"/>
                <w:szCs w:val="24"/>
                <w:highlight w:val="none"/>
              </w:rPr>
              <w:t xml:space="preserve">。</w:t>
            </w:r>
            <w:r/>
          </w:p>
          <w:p>
            <w:pPr>
              <w:pStyle w:val="770"/>
              <w:ind w:left="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2.7.8终端过滤器与取水臂的连接采用鲁尔接头，非螺纹接头或插入式连接，有效避免污染死角，具有防污染性、连接密封性、液体导流性好的特点。</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3.仪器配置</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3.1 高效液相色谱四元泵，1套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3.2 在线脱气机，1套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3.3 集成式在线缓冲体系配置系统，1套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3.4 自动进样器，1套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3.5 柱温箱，1套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3.6 样品冷却装置，1套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3.7 二极管阵列检测器，1套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3.8荧光检测器，1套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3.9 原厂数据采集、处理系统，1套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3.10 甲骨文数据库，1套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3.1</w:t>
            </w:r>
            <w:r>
              <w:rPr>
                <w:rFonts w:ascii="Times New Roman" w:hAnsi="Times New Roman"/>
                <w:sz w:val="24"/>
                <w:highlight w:val="none"/>
              </w:rPr>
              <w:t xml:space="preserve">1工作站</w:t>
            </w:r>
            <w:r>
              <w:rPr>
                <w:rFonts w:hint="eastAsia" w:ascii="Times New Roman" w:hAnsi="Times New Roman"/>
                <w:sz w:val="24"/>
                <w:highlight w:val="none"/>
              </w:rPr>
              <w:t xml:space="preserve">，1套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3.1</w:t>
            </w:r>
            <w:r>
              <w:rPr>
                <w:rFonts w:ascii="Times New Roman" w:hAnsi="Times New Roman"/>
                <w:sz w:val="24"/>
                <w:highlight w:val="none"/>
              </w:rPr>
              <w:t xml:space="preserve">2数据传输系统</w:t>
            </w:r>
            <w:r>
              <w:rPr>
                <w:rFonts w:hint="eastAsia" w:ascii="Times New Roman" w:hAnsi="Times New Roman"/>
                <w:sz w:val="24"/>
                <w:highlight w:val="none"/>
              </w:rPr>
              <w:t xml:space="preserve">，1套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3.13 超纯水系统及2年常用耗材包（包括所用配件包纯化柱、紫外灯） 各1套</w:t>
            </w:r>
            <w:r/>
          </w:p>
          <w:p>
            <w:pPr>
              <w:spacing w:line="360" w:lineRule="auto"/>
              <w:rPr>
                <w:rFonts w:hint="eastAsia" w:ascii="Times New Roman" w:hAnsi="Times New Roman" w:eastAsia="宋体"/>
                <w:sz w:val="24"/>
                <w:highlight w:val="none"/>
                <w:lang w:eastAsia="zh-CN"/>
              </w:rPr>
            </w:pPr>
            <w:r>
              <w:rPr>
                <w:rFonts w:hint="eastAsia" w:ascii="Times New Roman" w:hAnsi="Times New Roman"/>
                <w:sz w:val="24"/>
                <w:highlight w:val="none"/>
              </w:rPr>
              <w:t xml:space="preserve">3.14</w:t>
            </w:r>
            <w:bookmarkStart w:id="15" w:name="OLE_LINK2"/>
            <w:r/>
            <w:bookmarkStart w:id="16" w:name="OLE_LINK3"/>
            <w:r>
              <w:rPr>
                <w:rFonts w:hint="eastAsia" w:ascii="宋体" w:hAnsi="宋体" w:cs="宋体"/>
                <w:b/>
                <w:bCs/>
                <w:i/>
                <w:iCs/>
                <w:color w:val="000000"/>
                <w:sz w:val="24"/>
                <w:szCs w:val="24"/>
                <w:highlight w:val="none"/>
                <w:u w:val="single"/>
              </w:rPr>
              <w:t xml:space="preserve">正版操作平台，与工作站配套，内存16GB及以上，1T硬盘以上，正版办公软件 1套</w:t>
            </w:r>
            <w:r>
              <w:rPr>
                <w:rFonts w:hint="eastAsia" w:ascii="宋体" w:hAnsi="宋体" w:cs="宋体"/>
                <w:b/>
                <w:bCs/>
                <w:i/>
                <w:iCs/>
                <w:color w:val="000000"/>
                <w:sz w:val="24"/>
                <w:szCs w:val="24"/>
                <w:highlight w:val="none"/>
                <w:u w:val="single"/>
                <w:lang w:val="en-US" w:eastAsia="zh-CN"/>
              </w:rPr>
              <w:t xml:space="preserve">（提供节能产品认证证书扫描件加盖供应商公章）</w:t>
            </w:r>
            <w:r/>
          </w:p>
          <w:p>
            <w:pPr>
              <w:spacing w:line="360" w:lineRule="auto"/>
              <w:rPr>
                <w:rFonts w:hint="eastAsia" w:ascii="Times New Roman" w:hAnsi="Times New Roman" w:eastAsia="宋体"/>
                <w:sz w:val="24"/>
                <w:highlight w:val="none"/>
                <w:lang w:eastAsia="zh-CN"/>
              </w:rPr>
            </w:pPr>
            <w:r>
              <w:rPr>
                <w:rFonts w:hint="eastAsia" w:ascii="Times New Roman" w:hAnsi="Times New Roman"/>
                <w:sz w:val="24"/>
                <w:highlight w:val="none"/>
              </w:rPr>
              <w:t xml:space="preserve">3.15</w:t>
            </w:r>
            <w:r>
              <w:rPr>
                <w:rFonts w:hint="eastAsia" w:ascii="宋体" w:hAnsi="宋体" w:cs="宋体"/>
                <w:b/>
                <w:bCs/>
                <w:i/>
                <w:iCs/>
                <w:color w:val="000000"/>
                <w:sz w:val="24"/>
                <w:szCs w:val="24"/>
                <w:highlight w:val="none"/>
                <w:u w:val="single"/>
              </w:rPr>
              <w:t xml:space="preserve">25寸液晶显示屏</w:t>
            </w:r>
            <w:r>
              <w:rPr>
                <w:rFonts w:hint="eastAsia" w:ascii="宋体" w:hAnsi="宋体" w:cs="宋体"/>
                <w:b/>
                <w:bCs/>
                <w:i/>
                <w:iCs/>
                <w:color w:val="000000"/>
                <w:sz w:val="24"/>
                <w:szCs w:val="24"/>
                <w:highlight w:val="none"/>
                <w:u w:val="single"/>
                <w:lang w:val="en-US" w:eastAsia="zh-CN"/>
              </w:rPr>
              <w:t xml:space="preserve">（提供节能产品认证证书扫描件加盖供应商公章）</w:t>
            </w:r>
            <w:bookmarkEnd w:id="15"/>
            <w:r/>
            <w:bookmarkEnd w:id="16"/>
            <w:r/>
            <w:r/>
          </w:p>
          <w:p>
            <w:pPr>
              <w:spacing w:line="360" w:lineRule="auto"/>
              <w:rPr>
                <w:rFonts w:hint="eastAsia" w:ascii="Times New Roman" w:hAnsi="Times New Roman" w:eastAsia="宋体"/>
                <w:sz w:val="24"/>
                <w:highlight w:val="none"/>
                <w:lang w:eastAsia="zh-CN"/>
              </w:rPr>
            </w:pPr>
            <w:r>
              <w:rPr>
                <w:rFonts w:hint="eastAsia" w:ascii="Times New Roman" w:hAnsi="Times New Roman"/>
                <w:sz w:val="24"/>
                <w:highlight w:val="none"/>
              </w:rPr>
              <w:t xml:space="preserve">3.16 </w:t>
            </w:r>
            <w:r>
              <w:rPr>
                <w:rFonts w:hint="eastAsia" w:ascii="Times New Roman" w:hAnsi="Times New Roman"/>
                <w:b/>
                <w:bCs/>
                <w:i/>
                <w:iCs/>
                <w:sz w:val="24"/>
                <w:highlight w:val="none"/>
                <w:u w:val="single"/>
              </w:rPr>
              <w:t xml:space="preserve">输出设备一台，支持双面输出</w:t>
            </w:r>
            <w:r>
              <w:rPr>
                <w:rFonts w:ascii="Times New Roman" w:hAnsi="Times New Roman"/>
                <w:b/>
                <w:bCs/>
                <w:i/>
                <w:iCs/>
                <w:sz w:val="24"/>
                <w:highlight w:val="none"/>
                <w:u w:val="single"/>
              </w:rPr>
              <w:t xml:space="preserve">，支持有线&amp;无线网络，A4纸（黑白或彩色）</w:t>
            </w:r>
            <w:r>
              <w:rPr>
                <w:rFonts w:hint="eastAsia" w:ascii="Times New Roman" w:hAnsi="Times New Roman"/>
                <w:b/>
                <w:bCs/>
                <w:i/>
                <w:iCs/>
                <w:sz w:val="24"/>
                <w:highlight w:val="none"/>
                <w:u w:val="single"/>
              </w:rPr>
              <w:t xml:space="preserve">输出速度</w:t>
            </w:r>
            <w:r>
              <w:rPr>
                <w:rFonts w:ascii="Times New Roman" w:hAnsi="Times New Roman"/>
                <w:b/>
                <w:bCs/>
                <w:i/>
                <w:iCs/>
                <w:sz w:val="24"/>
                <w:highlight w:val="none"/>
                <w:u w:val="single"/>
              </w:rPr>
              <w:t xml:space="preserve">不低于</w:t>
            </w:r>
            <w:r>
              <w:rPr>
                <w:rFonts w:hint="eastAsia" w:ascii="Times New Roman" w:hAnsi="Times New Roman"/>
                <w:b/>
                <w:bCs/>
                <w:i/>
                <w:iCs/>
                <w:sz w:val="24"/>
                <w:highlight w:val="none"/>
                <w:u w:val="single"/>
              </w:rPr>
              <w:t xml:space="preserve">27ppm</w:t>
            </w:r>
            <w:r>
              <w:rPr>
                <w:rFonts w:ascii="Times New Roman" w:hAnsi="Times New Roman"/>
                <w:b/>
                <w:bCs/>
                <w:i/>
                <w:iCs/>
                <w:sz w:val="24"/>
                <w:highlight w:val="none"/>
                <w:u w:val="single"/>
              </w:rPr>
              <w:t xml:space="preserve">。</w:t>
            </w:r>
            <w:r>
              <w:rPr>
                <w:rFonts w:hint="eastAsia" w:ascii="宋体" w:hAnsi="宋体" w:cs="宋体"/>
                <w:b/>
                <w:bCs/>
                <w:i/>
                <w:iCs/>
                <w:color w:val="000000"/>
                <w:sz w:val="24"/>
                <w:szCs w:val="24"/>
                <w:highlight w:val="none"/>
                <w:u w:val="single"/>
                <w:lang w:val="en-US" w:eastAsia="zh-CN"/>
              </w:rPr>
              <w:t xml:space="preserve">（提供节能产品认证证书扫描件加盖供应商公章）</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3.16色谱柱：</w:t>
            </w:r>
            <w:bookmarkStart w:id="17" w:name="OLE_LINK1"/>
            <w:r>
              <w:rPr>
                <w:rFonts w:hint="eastAsia" w:ascii="Times New Roman" w:hAnsi="Times New Roman"/>
                <w:sz w:val="24"/>
                <w:highlight w:val="none"/>
              </w:rPr>
              <w:t xml:space="preserve">PAH</w:t>
            </w:r>
            <w:bookmarkEnd w:id="17"/>
            <w:r>
              <w:rPr>
                <w:rFonts w:hint="eastAsia" w:ascii="Times New Roman" w:hAnsi="Times New Roman"/>
                <w:sz w:val="24"/>
                <w:highlight w:val="none"/>
              </w:rPr>
              <w:t xml:space="preserve">s专用柱（4.6mm*250mm,5μm） 1套</w:t>
            </w:r>
            <w:r/>
          </w:p>
          <w:p>
            <w:pPr>
              <w:spacing w:line="360" w:lineRule="auto"/>
              <w:rPr>
                <w:rFonts w:ascii="宋体" w:hAnsi="宋体" w:cs="宋体"/>
                <w:sz w:val="24"/>
                <w:szCs w:val="24"/>
                <w:highlight w:val="none"/>
              </w:rPr>
            </w:pPr>
            <w:r>
              <w:rPr>
                <w:rFonts w:hint="eastAsia" w:ascii="Times New Roman" w:hAnsi="Times New Roman"/>
                <w:sz w:val="24"/>
                <w:highlight w:val="none"/>
              </w:rPr>
              <w:t xml:space="preserve">            通用型C</w:t>
            </w:r>
            <w:r>
              <w:rPr>
                <w:rFonts w:hint="eastAsia" w:ascii="Times New Roman" w:hAnsi="Times New Roman"/>
                <w:sz w:val="24"/>
                <w:highlight w:val="none"/>
                <w:vertAlign w:val="subscript"/>
              </w:rPr>
              <w:t xml:space="preserve">18</w:t>
            </w:r>
            <w:r>
              <w:rPr>
                <w:rFonts w:hint="eastAsia" w:ascii="Times New Roman" w:hAnsi="Times New Roman"/>
                <w:sz w:val="24"/>
                <w:highlight w:val="none"/>
              </w:rPr>
              <w:t xml:space="preserve">色谱柱                 2套</w:t>
            </w:r>
            <w:r/>
          </w:p>
        </w:tc>
      </w:tr>
      <w:tr>
        <w:trPr>
          <w:jc w:val="center"/>
        </w:trPr>
        <w:tc>
          <w:tcPr>
            <w:shd w:val="clear" w:color="auto" w:fill="auto"/>
            <w:tcW w:w="355" w:type="pct"/>
            <w:vAlign w:val="center"/>
            <w:textDirection w:val="lrTb"/>
            <w:noWrap w:val="false"/>
          </w:tcPr>
          <w:p>
            <w:pPr>
              <w:jc w:val="center"/>
              <w:spacing w:line="360" w:lineRule="auto"/>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2</w:t>
            </w:r>
            <w:r/>
          </w:p>
        </w:tc>
        <w:tc>
          <w:tcPr>
            <w:shd w:val="clear" w:color="auto" w:fill="auto"/>
            <w:tcW w:w="1096" w:type="pct"/>
            <w:vAlign w:val="center"/>
            <w:textDirection w:val="lrTb"/>
            <w:noWrap w:val="false"/>
          </w:tcPr>
          <w:p>
            <w:pPr>
              <w:jc w:val="center"/>
              <w:spacing w:line="360" w:lineRule="auto"/>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全自动血培养仪系统</w:t>
            </w:r>
            <w:r/>
          </w:p>
        </w:tc>
        <w:tc>
          <w:tcPr>
            <w:shd w:val="clear" w:color="auto" w:fill="auto"/>
            <w:tcW w:w="3548" w:type="pct"/>
            <w:vAlign w:val="center"/>
            <w:textDirection w:val="lrTb"/>
            <w:noWrap w:val="false"/>
          </w:tcPr>
          <w:p>
            <w:pPr>
              <w:spacing w:line="360" w:lineRule="auto"/>
              <w:rPr>
                <w:rFonts w:ascii="宋体" w:hAnsi="宋体" w:cs="宋体"/>
                <w:b/>
                <w:sz w:val="24"/>
                <w:szCs w:val="24"/>
                <w:highlight w:val="none"/>
              </w:rPr>
            </w:pPr>
            <w:r>
              <w:rPr>
                <w:rFonts w:ascii="宋体" w:hAnsi="宋体" w:cs="宋体"/>
                <w:b/>
                <w:sz w:val="24"/>
                <w:szCs w:val="24"/>
                <w:highlight w:val="none"/>
              </w:rPr>
              <w:t xml:space="preserve">1</w:t>
            </w:r>
            <w:r>
              <w:rPr>
                <w:rFonts w:hint="eastAsia" w:ascii="宋体" w:hAnsi="宋体" w:cs="宋体"/>
                <w:b/>
                <w:sz w:val="24"/>
                <w:szCs w:val="24"/>
                <w:highlight w:val="none"/>
              </w:rPr>
              <w:t xml:space="preserve">、</w:t>
            </w:r>
            <w:r>
              <w:rPr>
                <w:rFonts w:ascii="宋体" w:hAnsi="宋体" w:cs="宋体"/>
                <w:b/>
                <w:sz w:val="24"/>
                <w:szCs w:val="24"/>
                <w:highlight w:val="none"/>
              </w:rPr>
              <w:t xml:space="preserve">用途和说明</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用于布鲁氏菌等血液细菌培养。可检测血液、无菌体液、脑脊液等。</w:t>
            </w:r>
            <w:r/>
          </w:p>
          <w:p>
            <w:pPr>
              <w:spacing w:line="360" w:lineRule="auto"/>
              <w:rPr>
                <w:rFonts w:ascii="宋体" w:hAnsi="宋体" w:cs="宋体"/>
                <w:b/>
                <w:sz w:val="24"/>
                <w:szCs w:val="24"/>
                <w:highlight w:val="none"/>
              </w:rPr>
            </w:pPr>
            <w:r>
              <w:rPr>
                <w:rFonts w:ascii="宋体" w:hAnsi="宋体" w:cs="宋体"/>
                <w:b/>
                <w:sz w:val="24"/>
                <w:szCs w:val="24"/>
                <w:highlight w:val="none"/>
              </w:rPr>
              <w:t xml:space="preserve">2</w:t>
            </w:r>
            <w:r>
              <w:rPr>
                <w:rFonts w:hint="eastAsia" w:ascii="宋体" w:hAnsi="宋体" w:cs="宋体"/>
                <w:b/>
                <w:sz w:val="24"/>
                <w:szCs w:val="24"/>
                <w:highlight w:val="none"/>
              </w:rPr>
              <w:t xml:space="preserve">、主要技术规格及要求</w:t>
            </w:r>
            <w:r/>
          </w:p>
          <w:p>
            <w:pPr>
              <w:spacing w:line="360" w:lineRule="auto"/>
              <w:rPr>
                <w:rFonts w:ascii="宋体" w:hAnsi="宋体"/>
                <w:sz w:val="24"/>
                <w:szCs w:val="24"/>
                <w:highlight w:val="none"/>
              </w:rPr>
            </w:pPr>
            <w:r>
              <w:rPr>
                <w:rFonts w:hint="eastAsia" w:ascii="宋体" w:hAnsi="宋体"/>
                <w:sz w:val="24"/>
                <w:szCs w:val="24"/>
                <w:highlight w:val="none"/>
                <w:lang w:val="it-IT"/>
              </w:rPr>
              <w:t xml:space="preserve">2</w:t>
            </w:r>
            <w:r>
              <w:rPr>
                <w:rFonts w:ascii="宋体" w:hAnsi="宋体"/>
                <w:sz w:val="24"/>
                <w:szCs w:val="24"/>
                <w:highlight w:val="none"/>
                <w:lang w:val="it-IT"/>
              </w:rPr>
              <w:t xml:space="preserve">.1</w:t>
            </w:r>
            <w:r>
              <w:rPr>
                <w:rFonts w:hint="eastAsia" w:ascii="宋体" w:hAnsi="宋体"/>
                <w:sz w:val="24"/>
                <w:szCs w:val="24"/>
                <w:highlight w:val="none"/>
              </w:rPr>
              <w:t xml:space="preserve">工作条件 </w:t>
            </w:r>
            <w:r/>
          </w:p>
          <w:p>
            <w:pPr>
              <w:spacing w:line="360" w:lineRule="auto"/>
              <w:rPr>
                <w:rFonts w:ascii="宋体" w:hAnsi="宋体"/>
                <w:sz w:val="24"/>
                <w:szCs w:val="24"/>
                <w:highlight w:val="none"/>
              </w:rPr>
            </w:pPr>
            <w:r>
              <w:rPr>
                <w:rFonts w:hint="eastAsia" w:ascii="宋体" w:hAnsi="宋体"/>
                <w:sz w:val="24"/>
                <w:szCs w:val="24"/>
                <w:highlight w:val="none"/>
              </w:rPr>
              <w:t xml:space="preserve">电源电压：220V±22V，50Hz±1Hz；</w:t>
            </w:r>
            <w:r/>
          </w:p>
          <w:p>
            <w:pPr>
              <w:spacing w:line="360" w:lineRule="auto"/>
              <w:rPr>
                <w:rFonts w:ascii="宋体" w:hAnsi="宋体"/>
                <w:sz w:val="24"/>
                <w:szCs w:val="24"/>
                <w:highlight w:val="none"/>
              </w:rPr>
            </w:pPr>
            <w:r>
              <w:rPr>
                <w:rFonts w:hint="eastAsia" w:ascii="宋体" w:hAnsi="宋体"/>
                <w:sz w:val="24"/>
                <w:szCs w:val="24"/>
                <w:highlight w:val="none"/>
              </w:rPr>
              <w:t xml:space="preserve">环境温度：10℃～30℃；相对湿度：</w:t>
            </w:r>
            <w:r/>
          </w:p>
          <w:p>
            <w:pPr>
              <w:spacing w:line="360" w:lineRule="auto"/>
              <w:rPr>
                <w:rFonts w:ascii="宋体" w:hAnsi="宋体"/>
                <w:sz w:val="24"/>
                <w:szCs w:val="24"/>
                <w:highlight w:val="none"/>
              </w:rPr>
            </w:pPr>
            <w:r>
              <w:rPr>
                <w:rFonts w:hint="eastAsia" w:ascii="宋体" w:hAnsi="宋体"/>
                <w:sz w:val="24"/>
                <w:szCs w:val="24"/>
                <w:highlight w:val="none"/>
              </w:rPr>
              <w:t xml:space="preserve">20%～80%，无凝结现象；</w:t>
            </w:r>
            <w:r/>
          </w:p>
          <w:p>
            <w:pPr>
              <w:spacing w:line="360" w:lineRule="auto"/>
              <w:rPr>
                <w:rFonts w:ascii="宋体" w:hAnsi="宋体"/>
                <w:sz w:val="24"/>
                <w:szCs w:val="24"/>
                <w:highlight w:val="none"/>
              </w:rPr>
            </w:pPr>
            <w:r>
              <w:rPr>
                <w:rFonts w:hint="eastAsia" w:ascii="宋体" w:hAnsi="宋体"/>
                <w:sz w:val="24"/>
                <w:szCs w:val="24"/>
                <w:highlight w:val="none"/>
              </w:rPr>
              <w:t xml:space="preserve">大气压力：86～106kPa；</w:t>
            </w:r>
            <w:r/>
          </w:p>
          <w:p>
            <w:pPr>
              <w:spacing w:line="360" w:lineRule="auto"/>
              <w:rPr>
                <w:rFonts w:ascii="宋体" w:hAnsi="宋体" w:cs="宋体"/>
                <w:i/>
                <w:iCs/>
                <w:sz w:val="24"/>
                <w:szCs w:val="24"/>
                <w:highlight w:val="none"/>
                <w:u w:val="single"/>
              </w:rPr>
            </w:pPr>
            <w:r>
              <w:rPr>
                <w:rFonts w:ascii="宋体" w:hAnsi="宋体" w:cs="宋体"/>
                <w:sz w:val="24"/>
                <w:szCs w:val="24"/>
                <w:highlight w:val="none"/>
              </w:rPr>
              <w:t xml:space="preserve">2.2</w:t>
            </w:r>
            <w:r>
              <w:rPr>
                <w:rFonts w:ascii="宋体" w:hAnsi="宋体" w:cs="宋体"/>
                <w:sz w:val="24"/>
                <w:szCs w:val="24"/>
                <w:highlight w:val="none"/>
              </w:rPr>
              <w:tab/>
            </w:r>
            <w:r>
              <w:rPr>
                <w:rFonts w:ascii="宋体" w:hAnsi="宋体" w:cs="宋体"/>
                <w:b/>
                <w:bCs/>
                <w:i/>
                <w:iCs/>
                <w:sz w:val="24"/>
                <w:szCs w:val="24"/>
                <w:highlight w:val="none"/>
                <w:u w:val="single"/>
              </w:rPr>
              <w:t xml:space="preserve">检测方法</w:t>
            </w:r>
            <w:r>
              <w:rPr>
                <w:rFonts w:hint="eastAsia" w:ascii="宋体" w:hAnsi="宋体" w:cs="宋体"/>
                <w:b/>
                <w:bCs/>
                <w:i/>
                <w:iCs/>
                <w:sz w:val="24"/>
                <w:szCs w:val="24"/>
                <w:highlight w:val="none"/>
                <w:u w:val="single"/>
              </w:rPr>
              <w:t xml:space="preserve">：</w:t>
            </w:r>
            <w:r>
              <w:rPr>
                <w:rFonts w:ascii="宋体" w:hAnsi="宋体" w:cs="宋体"/>
                <w:b/>
                <w:bCs/>
                <w:i/>
                <w:iCs/>
                <w:sz w:val="24"/>
                <w:szCs w:val="24"/>
                <w:highlight w:val="none"/>
                <w:u w:val="single"/>
              </w:rPr>
              <w:t xml:space="preserve">比色法</w:t>
            </w:r>
            <w:r/>
          </w:p>
          <w:p>
            <w:pPr>
              <w:spacing w:line="360" w:lineRule="auto"/>
              <w:rPr>
                <w:rFonts w:ascii="宋体" w:hAnsi="宋体" w:cs="宋体"/>
                <w:sz w:val="24"/>
                <w:szCs w:val="24"/>
                <w:highlight w:val="none"/>
              </w:rPr>
            </w:pPr>
            <w:r>
              <w:rPr>
                <w:rFonts w:ascii="宋体" w:hAnsi="宋体" w:cs="宋体"/>
                <w:sz w:val="24"/>
                <w:szCs w:val="24"/>
                <w:highlight w:val="none"/>
              </w:rPr>
              <w:t xml:space="preserve">2.3</w:t>
            </w:r>
            <w:r>
              <w:rPr>
                <w:rFonts w:ascii="宋体" w:hAnsi="宋体" w:cs="宋体"/>
                <w:sz w:val="24"/>
                <w:szCs w:val="24"/>
                <w:highlight w:val="none"/>
              </w:rPr>
              <w:tab/>
            </w:r>
            <w:r>
              <w:rPr>
                <w:rFonts w:ascii="宋体" w:hAnsi="宋体" w:cs="宋体"/>
                <w:sz w:val="24"/>
                <w:szCs w:val="24"/>
                <w:highlight w:val="none"/>
              </w:rPr>
              <w:t xml:space="preserve">待测样本 </w:t>
            </w:r>
            <w:r/>
          </w:p>
          <w:p>
            <w:pPr>
              <w:spacing w:line="360" w:lineRule="auto"/>
              <w:rPr>
                <w:rFonts w:ascii="宋体" w:hAnsi="宋体"/>
                <w:sz w:val="24"/>
                <w:szCs w:val="24"/>
                <w:highlight w:val="none"/>
              </w:rPr>
            </w:pPr>
            <w:r>
              <w:rPr>
                <w:rFonts w:ascii="宋体" w:hAnsi="宋体" w:cs="宋体"/>
                <w:sz w:val="24"/>
                <w:szCs w:val="24"/>
                <w:highlight w:val="none"/>
              </w:rPr>
              <w:t xml:space="preserve">2.3.1</w:t>
            </w:r>
            <w:r>
              <w:rPr>
                <w:rFonts w:ascii="宋体" w:hAnsi="宋体"/>
                <w:sz w:val="24"/>
                <w:szCs w:val="24"/>
                <w:highlight w:val="none"/>
              </w:rPr>
              <w:t xml:space="preserve">标本来源：血液、无菌体液、脑脊液、牛奶等；</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.3.2</w:t>
            </w:r>
            <w:r>
              <w:rPr>
                <w:rFonts w:hint="eastAsia" w:ascii="宋体" w:hAnsi="宋体"/>
                <w:sz w:val="24"/>
                <w:szCs w:val="24"/>
                <w:highlight w:val="none"/>
              </w:rPr>
              <w:t xml:space="preserve">检测菌种种类包括：需氧菌、厌氧菌、兼性厌氧菌、苛养菌、真菌。</w:t>
            </w:r>
            <w:r/>
          </w:p>
          <w:p>
            <w:pPr>
              <w:spacing w:line="360" w:lineRule="auto"/>
              <w:rPr>
                <w:rFonts w:ascii="宋体" w:hAnsi="宋体" w:cs="宋体"/>
                <w:sz w:val="24"/>
                <w:szCs w:val="24"/>
                <w:highlight w:val="none"/>
              </w:rPr>
            </w:pPr>
            <w:r>
              <w:rPr>
                <w:rFonts w:ascii="宋体" w:hAnsi="宋体" w:cs="宋体"/>
                <w:sz w:val="24"/>
                <w:szCs w:val="24"/>
                <w:highlight w:val="none"/>
              </w:rPr>
              <w:t xml:space="preserve">2.4</w:t>
            </w:r>
            <w:r>
              <w:rPr>
                <w:rFonts w:ascii="宋体" w:hAnsi="宋体" w:cs="宋体"/>
                <w:sz w:val="24"/>
                <w:szCs w:val="24"/>
                <w:highlight w:val="none"/>
              </w:rPr>
              <w:tab/>
            </w:r>
            <w:r>
              <w:rPr>
                <w:rFonts w:ascii="宋体" w:hAnsi="宋体" w:cs="宋体"/>
                <w:sz w:val="24"/>
                <w:szCs w:val="24"/>
                <w:highlight w:val="none"/>
              </w:rPr>
              <w:t xml:space="preserve">培养瓶</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.4.1</w:t>
            </w:r>
            <w:r>
              <w:rPr>
                <w:rFonts w:hint="eastAsia" w:ascii="宋体" w:hAnsi="宋体" w:cs="宋体"/>
                <w:sz w:val="24"/>
                <w:szCs w:val="24"/>
                <w:highlight w:val="none"/>
              </w:rPr>
              <w:t xml:space="preserve"> 培养瓶材质抗摔抗压性强，不容易出现破损、变形；可直接用肉眼透过瓶身观察，平底反应环颜色及仪器自动判断</w:t>
            </w:r>
            <w:r>
              <w:rPr>
                <w:rFonts w:ascii="宋体" w:hAnsi="宋体" w:cs="宋体"/>
                <w:sz w:val="24"/>
                <w:szCs w:val="24"/>
                <w:highlight w:val="none"/>
              </w:rPr>
              <w:t xml:space="preserve">3种方法检测由微生物新陈代谢产生的 CO</w:t>
            </w:r>
            <w:r>
              <w:rPr>
                <w:rFonts w:ascii="宋体" w:hAnsi="宋体" w:cs="宋体"/>
                <w:sz w:val="24"/>
                <w:szCs w:val="24"/>
                <w:highlight w:val="none"/>
                <w:vertAlign w:val="subscript"/>
              </w:rPr>
              <w:t xml:space="preserve">2</w:t>
            </w:r>
            <w:r>
              <w:rPr>
                <w:rFonts w:ascii="宋体" w:hAnsi="宋体" w:cs="宋体"/>
                <w:sz w:val="24"/>
                <w:szCs w:val="24"/>
                <w:highlight w:val="none"/>
              </w:rPr>
              <w:t xml:space="preserve">的结果，符合血培养检测标准（人工观察方法，标准号 WS/T 503—2017，临床微生物实验室血培养操作规范）；</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.4.2</w:t>
            </w:r>
            <w:r>
              <w:rPr>
                <w:rFonts w:hint="eastAsia" w:ascii="宋体" w:hAnsi="宋体" w:cs="宋体"/>
                <w:sz w:val="24"/>
                <w:szCs w:val="24"/>
                <w:highlight w:val="none"/>
              </w:rPr>
              <w:t xml:space="preserve"> 内置负压，利于标本采集，加样及培养时瓶子不需要打开，避免会造成气溶胶污染</w:t>
            </w:r>
            <w:bookmarkStart w:id="18" w:name="_Hlk232085363"/>
            <w:r>
              <w:rPr>
                <w:rFonts w:hint="eastAsia" w:ascii="宋体" w:hAnsi="宋体"/>
                <w:b/>
                <w:color w:val="000000"/>
                <w:sz w:val="24"/>
                <w:szCs w:val="24"/>
                <w:highlight w:val="none"/>
              </w:rPr>
              <w:t xml:space="preserve">（提供图片</w:t>
            </w:r>
            <w:r>
              <w:rPr>
                <w:rFonts w:hint="eastAsia" w:ascii="宋体" w:hAnsi="宋体"/>
                <w:b/>
                <w:color w:val="000000"/>
                <w:sz w:val="24"/>
                <w:szCs w:val="24"/>
                <w:highlight w:val="none"/>
                <w:lang w:val="en-US" w:eastAsia="zh-CN"/>
              </w:rPr>
              <w:t xml:space="preserve">或</w:t>
            </w:r>
            <w:r>
              <w:rPr>
                <w:rFonts w:hint="eastAsia" w:ascii="Times New Roman" w:hAnsi="Times New Roman"/>
                <w:b/>
                <w:bCs/>
                <w:sz w:val="24"/>
                <w:highlight w:val="none"/>
                <w:lang w:eastAsia="zh-Hans"/>
              </w:rPr>
              <w:t xml:space="preserve">官方彩页或官方规格参数文件</w:t>
            </w:r>
            <w:r>
              <w:rPr>
                <w:rFonts w:hint="eastAsia" w:ascii="宋体" w:hAnsi="宋体"/>
                <w:b/>
                <w:color w:val="000000"/>
                <w:sz w:val="24"/>
                <w:szCs w:val="24"/>
                <w:highlight w:val="none"/>
              </w:rPr>
              <w:t xml:space="preserve">证明文件）</w:t>
            </w:r>
            <w:bookmarkEnd w:id="18"/>
            <w:r>
              <w:rPr>
                <w:rFonts w:hint="eastAsia" w:ascii="宋体" w:hAnsi="宋体" w:cs="宋体"/>
                <w:sz w:val="24"/>
                <w:szCs w:val="24"/>
                <w:highlight w:val="none"/>
              </w:rPr>
              <w:t xml:space="preserve">；</w:t>
            </w:r>
            <w:r>
              <w:rPr>
                <w:rFonts w:ascii="宋体" w:hAnsi="宋体" w:cs="宋体"/>
                <w:sz w:val="24"/>
                <w:szCs w:val="24"/>
                <w:highlight w:val="none"/>
              </w:rPr>
              <w:t xml:space="preserve">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.4.3</w:t>
            </w:r>
            <w:r>
              <w:rPr>
                <w:rFonts w:hint="eastAsia" w:ascii="宋体" w:hAnsi="宋体" w:cs="宋体"/>
                <w:sz w:val="24"/>
                <w:szCs w:val="24"/>
                <w:highlight w:val="none"/>
              </w:rPr>
              <w:t xml:space="preserve"> 多种培养瓶类型，包含：布鲁氏菌专用培养瓶、标准成人需氧、标准成人厌氧、中抗成人需氧、中抗成人厌氧、儿童瓶等；</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.5</w:t>
            </w:r>
            <w:r>
              <w:rPr>
                <w:rFonts w:ascii="宋体" w:hAnsi="宋体" w:cs="宋体"/>
                <w:sz w:val="24"/>
                <w:szCs w:val="24"/>
                <w:highlight w:val="none"/>
              </w:rPr>
              <w:tab/>
            </w:r>
            <w:r>
              <w:rPr>
                <w:rFonts w:ascii="宋体" w:hAnsi="宋体" w:cs="宋体"/>
                <w:sz w:val="24"/>
                <w:szCs w:val="24"/>
                <w:highlight w:val="none"/>
              </w:rPr>
              <w:t xml:space="preserve">培养箱</w:t>
            </w:r>
            <w:r>
              <w:rPr>
                <w:rFonts w:ascii="宋体" w:hAnsi="宋体" w:cs="宋体"/>
                <w:sz w:val="24"/>
                <w:szCs w:val="24"/>
                <w:highlight w:val="none"/>
              </w:rPr>
              <w:tab/>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.5.1舱门打开方式：抽屉推拉式</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.5.2</w:t>
            </w:r>
            <w:r>
              <w:rPr>
                <w:rFonts w:hint="eastAsia" w:ascii="宋体" w:hAnsi="宋体" w:cs="宋体"/>
                <w:sz w:val="24"/>
                <w:szCs w:val="24"/>
                <w:highlight w:val="none"/>
              </w:rPr>
              <w:t xml:space="preserve">仪器容量：＞</w:t>
            </w:r>
            <w:r>
              <w:rPr>
                <w:rFonts w:ascii="宋体" w:hAnsi="宋体" w:cs="宋体"/>
                <w:sz w:val="24"/>
                <w:szCs w:val="24"/>
                <w:highlight w:val="none"/>
              </w:rPr>
              <w:t xml:space="preserve">90个标本位，可扩增瓶位</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.5.3</w:t>
            </w:r>
            <w:r>
              <w:rPr>
                <w:rFonts w:hint="eastAsia" w:ascii="宋体" w:hAnsi="宋体" w:cs="宋体"/>
                <w:sz w:val="24"/>
                <w:szCs w:val="24"/>
                <w:highlight w:val="none"/>
              </w:rPr>
              <w:t xml:space="preserve">培养箱为模块式设计，每个模块可独立操作</w:t>
            </w:r>
            <w:r/>
          </w:p>
          <w:p>
            <w:pPr>
              <w:spacing w:line="360" w:lineRule="auto"/>
              <w:rPr>
                <w:rFonts w:ascii="宋体" w:hAnsi="宋体" w:cs="宋体"/>
                <w:sz w:val="24"/>
                <w:szCs w:val="24"/>
                <w:highlight w:val="none"/>
              </w:rPr>
            </w:pPr>
            <w:r>
              <w:rPr>
                <w:rFonts w:ascii="宋体" w:hAnsi="宋体" w:cs="宋体"/>
                <w:sz w:val="24"/>
                <w:szCs w:val="24"/>
                <w:highlight w:val="none"/>
              </w:rPr>
              <w:t xml:space="preserve">2.6</w:t>
            </w:r>
            <w:r>
              <w:rPr>
                <w:rFonts w:ascii="宋体" w:hAnsi="宋体" w:cs="宋体"/>
                <w:sz w:val="24"/>
                <w:szCs w:val="24"/>
                <w:highlight w:val="none"/>
              </w:rPr>
              <w:tab/>
            </w:r>
            <w:r>
              <w:rPr>
                <w:rFonts w:ascii="宋体" w:hAnsi="宋体" w:cs="宋体"/>
                <w:sz w:val="24"/>
                <w:szCs w:val="24"/>
                <w:highlight w:val="none"/>
              </w:rPr>
              <w:t xml:space="preserve">内部温控</w:t>
            </w:r>
            <w:r>
              <w:rPr>
                <w:rFonts w:ascii="宋体" w:hAnsi="宋体" w:cs="宋体"/>
                <w:sz w:val="24"/>
                <w:szCs w:val="24"/>
                <w:highlight w:val="none"/>
              </w:rPr>
              <w:tab/>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.6.1</w:t>
            </w:r>
            <w:r>
              <w:rPr>
                <w:rFonts w:hint="eastAsia" w:ascii="宋体" w:hAnsi="宋体" w:cs="宋体"/>
                <w:sz w:val="24"/>
                <w:szCs w:val="24"/>
                <w:highlight w:val="none"/>
              </w:rPr>
              <w:t xml:space="preserve"> </w:t>
            </w:r>
            <w:r>
              <w:rPr>
                <w:rFonts w:hint="eastAsia" w:ascii="宋体" w:hAnsi="宋体" w:cs="宋体"/>
                <w:b/>
                <w:bCs/>
                <w:i/>
                <w:iCs/>
                <w:sz w:val="24"/>
                <w:szCs w:val="24"/>
                <w:highlight w:val="none"/>
                <w:u w:val="single"/>
              </w:rPr>
              <w:t xml:space="preserve">标准温度范围：目标温度±</w:t>
            </w:r>
            <w:r>
              <w:rPr>
                <w:rFonts w:ascii="宋体" w:hAnsi="宋体" w:cs="宋体"/>
                <w:b/>
                <w:bCs/>
                <w:i/>
                <w:iCs/>
                <w:sz w:val="24"/>
                <w:szCs w:val="24"/>
                <w:highlight w:val="none"/>
                <w:u w:val="single"/>
              </w:rPr>
              <w:t xml:space="preserve">1.5℃；</w:t>
            </w:r>
            <w:r/>
          </w:p>
          <w:p>
            <w:pPr>
              <w:spacing w:line="360" w:lineRule="auto"/>
              <w:rPr>
                <w:rFonts w:ascii="宋体" w:hAnsi="宋体" w:cs="宋体"/>
                <w:i/>
                <w:iCs/>
                <w:sz w:val="24"/>
                <w:szCs w:val="24"/>
                <w:highlight w:val="none"/>
                <w:u w:val="single"/>
              </w:rPr>
            </w:pPr>
            <w:r>
              <w:rPr>
                <w:rFonts w:hint="eastAsia" w:ascii="宋体" w:hAnsi="宋体" w:cs="宋体"/>
                <w:sz w:val="24"/>
                <w:szCs w:val="24"/>
                <w:highlight w:val="none"/>
              </w:rPr>
              <w:t xml:space="preserve">2</w:t>
            </w:r>
            <w:r>
              <w:rPr>
                <w:rFonts w:ascii="宋体" w:hAnsi="宋体" w:cs="宋体"/>
                <w:sz w:val="24"/>
                <w:szCs w:val="24"/>
                <w:highlight w:val="none"/>
              </w:rPr>
              <w:t xml:space="preserve">.6.2</w:t>
            </w:r>
            <w:r>
              <w:rPr>
                <w:rFonts w:hint="eastAsia" w:ascii="宋体" w:hAnsi="宋体" w:cs="宋体"/>
                <w:sz w:val="24"/>
                <w:szCs w:val="24"/>
                <w:highlight w:val="none"/>
              </w:rPr>
              <w:t xml:space="preserve"> 目标温度设定范围：</w:t>
            </w:r>
            <w:r>
              <w:rPr>
                <w:rFonts w:ascii="宋体" w:hAnsi="宋体" w:cs="宋体"/>
                <w:sz w:val="24"/>
                <w:szCs w:val="24"/>
                <w:highlight w:val="none"/>
              </w:rPr>
              <w:t xml:space="preserve">25～46℃，可拓展可调温的低温模块（25°C以下，不少于两种温度）</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.6.3</w:t>
            </w:r>
            <w:r>
              <w:rPr>
                <w:rFonts w:hint="eastAsia" w:ascii="宋体" w:hAnsi="宋体" w:cs="宋体"/>
                <w:sz w:val="24"/>
                <w:szCs w:val="24"/>
                <w:highlight w:val="none"/>
              </w:rPr>
              <w:t xml:space="preserve">支持单孵育箱体的双温培养（每个抽屉仓体独立设定控温）；</w:t>
            </w:r>
            <w:r/>
          </w:p>
          <w:p>
            <w:pPr>
              <w:spacing w:line="360" w:lineRule="auto"/>
              <w:rPr>
                <w:rFonts w:ascii="宋体" w:hAnsi="宋体" w:cs="宋体"/>
                <w:sz w:val="24"/>
                <w:szCs w:val="24"/>
                <w:highlight w:val="none"/>
              </w:rPr>
            </w:pPr>
            <w:r>
              <w:rPr>
                <w:rFonts w:ascii="宋体" w:hAnsi="宋体" w:cs="宋体"/>
                <w:sz w:val="24"/>
                <w:szCs w:val="24"/>
                <w:highlight w:val="none"/>
              </w:rPr>
              <w:t xml:space="preserve">2.7显示与触控</w:t>
            </w:r>
            <w:r>
              <w:rPr>
                <w:rFonts w:ascii="宋体" w:hAnsi="宋体" w:cs="宋体"/>
                <w:sz w:val="24"/>
                <w:szCs w:val="24"/>
                <w:highlight w:val="none"/>
              </w:rPr>
              <w:tab/>
            </w:r>
            <w:r/>
          </w:p>
          <w:p>
            <w:pPr>
              <w:spacing w:line="360" w:lineRule="auto"/>
              <w:rPr>
                <w:rFonts w:ascii="宋体" w:hAnsi="宋体" w:cs="宋体"/>
                <w:sz w:val="24"/>
                <w:szCs w:val="24"/>
                <w:highlight w:val="none"/>
              </w:rPr>
            </w:pPr>
            <w:r>
              <w:rPr>
                <w:rFonts w:ascii="宋体" w:hAnsi="宋体" w:cs="宋体"/>
                <w:sz w:val="24"/>
                <w:szCs w:val="24"/>
                <w:highlight w:val="none"/>
              </w:rPr>
              <w:t xml:space="preserve">2.7.1 1</w:t>
            </w:r>
            <w:r>
              <w:rPr>
                <w:rFonts w:hint="eastAsia" w:ascii="宋体" w:hAnsi="宋体" w:cs="宋体"/>
                <w:sz w:val="24"/>
                <w:szCs w:val="24"/>
                <w:highlight w:val="none"/>
              </w:rPr>
              <w:t xml:space="preserve">0寸以上</w:t>
            </w:r>
            <w:r>
              <w:rPr>
                <w:rFonts w:ascii="宋体" w:hAnsi="宋体" w:cs="宋体"/>
                <w:sz w:val="24"/>
                <w:szCs w:val="24"/>
                <w:highlight w:val="none"/>
              </w:rPr>
              <w:t xml:space="preserve">高清、工业、一体化显示与触控，显示方向可调；</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.7.2 </w:t>
            </w:r>
            <w:r>
              <w:rPr>
                <w:rFonts w:hint="eastAsia" w:ascii="宋体" w:hAnsi="宋体" w:cs="宋体"/>
                <w:sz w:val="24"/>
                <w:szCs w:val="24"/>
                <w:highlight w:val="none"/>
              </w:rPr>
              <w:t xml:space="preserve">支持鼠标、键盘、条码扫描等输入附件；</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.7.3</w:t>
            </w:r>
            <w:r>
              <w:rPr>
                <w:rFonts w:hint="eastAsia" w:ascii="宋体" w:hAnsi="宋体" w:cs="宋体"/>
                <w:sz w:val="24"/>
                <w:szCs w:val="24"/>
                <w:highlight w:val="none"/>
              </w:rPr>
              <w:t xml:space="preserve">支持打印机、存储介质等输出附件；</w:t>
            </w:r>
            <w:r/>
          </w:p>
          <w:p>
            <w:pPr>
              <w:spacing w:line="360" w:lineRule="auto"/>
              <w:rPr>
                <w:rFonts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 </w:t>
            </w:r>
            <w:r>
              <w:rPr>
                <w:rFonts w:ascii="宋体" w:hAnsi="宋体"/>
                <w:sz w:val="24"/>
                <w:szCs w:val="24"/>
                <w:highlight w:val="none"/>
              </w:rPr>
              <w:t xml:space="preserve">一体化整机系统，无需额外配置电脑/主机</w:t>
            </w:r>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2.9 培养周期</w:t>
            </w:r>
            <w:r/>
          </w:p>
          <w:p>
            <w:pPr>
              <w:spacing w:line="360" w:lineRule="auto"/>
              <w:rPr>
                <w:rFonts w:ascii="宋体" w:hAnsi="宋体"/>
                <w:sz w:val="24"/>
                <w:szCs w:val="24"/>
                <w:highlight w:val="none"/>
              </w:rPr>
            </w:pPr>
            <w:r>
              <w:rPr>
                <w:rFonts w:ascii="宋体" w:hAnsi="宋体"/>
                <w:sz w:val="24"/>
                <w:szCs w:val="24"/>
                <w:highlight w:val="none"/>
              </w:rPr>
              <w:t xml:space="preserve">2.9.1 每个培养瓶均可灵活设定不同的培养检测周期；</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.9.2 </w:t>
            </w:r>
            <w:r>
              <w:rPr>
                <w:rFonts w:hint="eastAsia" w:ascii="宋体" w:hAnsi="宋体"/>
                <w:sz w:val="24"/>
                <w:szCs w:val="24"/>
                <w:highlight w:val="none"/>
              </w:rPr>
              <w:t xml:space="preserve">具有默认阴性检测周期，系统默认检测周期也可灵活设定；</w:t>
            </w:r>
            <w:r/>
          </w:p>
          <w:p>
            <w:pPr>
              <w:spacing w:line="360" w:lineRule="auto"/>
              <w:rPr>
                <w:rFonts w:ascii="宋体" w:hAnsi="宋体"/>
                <w:sz w:val="24"/>
                <w:szCs w:val="24"/>
                <w:highlight w:val="none"/>
              </w:rPr>
            </w:pPr>
            <w:r>
              <w:rPr>
                <w:rFonts w:ascii="宋体" w:hAnsi="宋体"/>
                <w:sz w:val="24"/>
                <w:szCs w:val="24"/>
                <w:highlight w:val="none"/>
              </w:rPr>
              <w:t xml:space="preserve">2.10 震荡培养</w:t>
            </w:r>
            <w:r>
              <w:rPr>
                <w:rFonts w:ascii="宋体" w:hAnsi="宋体"/>
                <w:sz w:val="24"/>
                <w:szCs w:val="24"/>
                <w:highlight w:val="none"/>
              </w:rPr>
              <w:tab/>
            </w:r>
            <w:r/>
          </w:p>
          <w:p>
            <w:pPr>
              <w:spacing w:line="360" w:lineRule="auto"/>
              <w:rPr>
                <w:rFonts w:ascii="宋体" w:hAnsi="宋体"/>
                <w:sz w:val="24"/>
                <w:szCs w:val="24"/>
                <w:highlight w:val="none"/>
              </w:rPr>
            </w:pPr>
            <w:r>
              <w:rPr>
                <w:rFonts w:ascii="宋体" w:hAnsi="宋体"/>
                <w:sz w:val="24"/>
                <w:szCs w:val="24"/>
                <w:highlight w:val="none"/>
              </w:rPr>
              <w:t xml:space="preserve">2.10.1支持震荡培养和静置培养，可独立、灵活设定；</w:t>
            </w:r>
            <w:r/>
          </w:p>
          <w:p>
            <w:pPr>
              <w:jc w:val="left"/>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.10.2</w:t>
            </w:r>
            <w:r>
              <w:rPr>
                <w:rFonts w:hint="eastAsia" w:ascii="宋体" w:hAnsi="宋体"/>
                <w:sz w:val="24"/>
                <w:szCs w:val="24"/>
                <w:highlight w:val="none"/>
              </w:rPr>
              <w:t xml:space="preserve"> 震荡频率不少于4档可调：</w:t>
            </w:r>
            <w:r>
              <w:rPr>
                <w:rFonts w:ascii="宋体" w:hAnsi="宋体"/>
                <w:sz w:val="24"/>
                <w:szCs w:val="24"/>
                <w:highlight w:val="none"/>
              </w:rPr>
              <w:t xml:space="preserve">速度0.75秒</w:t>
            </w:r>
            <w:r>
              <w:rPr>
                <w:rFonts w:hint="eastAsia" w:ascii="宋体" w:hAnsi="宋体"/>
                <w:sz w:val="24"/>
                <w:szCs w:val="24"/>
                <w:highlight w:val="none"/>
              </w:rPr>
              <w:t xml:space="preserve">—2秒</w:t>
            </w:r>
            <w:r>
              <w:rPr>
                <w:rFonts w:ascii="宋体" w:hAnsi="宋体"/>
                <w:sz w:val="24"/>
                <w:szCs w:val="24"/>
                <w:highlight w:val="none"/>
              </w:rPr>
              <w:t xml:space="preserve">/周期</w:t>
            </w:r>
            <w:r>
              <w:rPr>
                <w:rFonts w:hint="eastAsia" w:ascii="宋体" w:hAnsi="宋体"/>
                <w:b/>
                <w:color w:val="000000"/>
                <w:sz w:val="24"/>
                <w:szCs w:val="24"/>
                <w:highlight w:val="none"/>
              </w:rPr>
              <w:t xml:space="preserve">（提供图片</w:t>
            </w:r>
            <w:r>
              <w:rPr>
                <w:rFonts w:hint="eastAsia" w:ascii="宋体" w:hAnsi="宋体"/>
                <w:b/>
                <w:color w:val="000000"/>
                <w:sz w:val="24"/>
                <w:szCs w:val="24"/>
                <w:highlight w:val="none"/>
                <w:lang w:val="en-US" w:eastAsia="zh-CN"/>
              </w:rPr>
              <w:t xml:space="preserve">或</w:t>
            </w:r>
            <w:r>
              <w:rPr>
                <w:rFonts w:hint="eastAsia" w:ascii="Times New Roman" w:hAnsi="Times New Roman"/>
                <w:b/>
                <w:bCs/>
                <w:sz w:val="24"/>
                <w:highlight w:val="none"/>
                <w:lang w:eastAsia="zh-Hans"/>
              </w:rPr>
              <w:t xml:space="preserve">官方彩页或官方规格参数文件</w:t>
            </w:r>
            <w:r>
              <w:rPr>
                <w:rFonts w:hint="eastAsia" w:ascii="宋体" w:hAnsi="宋体"/>
                <w:b/>
                <w:color w:val="000000"/>
                <w:sz w:val="24"/>
                <w:szCs w:val="24"/>
                <w:highlight w:val="none"/>
              </w:rPr>
              <w:t xml:space="preserve">证明文件）</w:t>
            </w:r>
            <w:r/>
          </w:p>
          <w:p>
            <w:pPr>
              <w:spacing w:line="360" w:lineRule="auto"/>
              <w:rPr>
                <w:rFonts w:ascii="宋体" w:hAnsi="宋体"/>
                <w:sz w:val="24"/>
                <w:szCs w:val="24"/>
                <w:highlight w:val="none"/>
              </w:rPr>
            </w:pPr>
            <w:r>
              <w:rPr>
                <w:rFonts w:ascii="宋体" w:hAnsi="宋体"/>
                <w:sz w:val="24"/>
                <w:szCs w:val="24"/>
                <w:highlight w:val="none"/>
              </w:rPr>
              <w:t xml:space="preserve">2.11 操作软件</w:t>
            </w:r>
            <w:r/>
          </w:p>
          <w:p>
            <w:pPr>
              <w:spacing w:line="360" w:lineRule="auto"/>
              <w:rPr>
                <w:rFonts w:ascii="宋体" w:hAnsi="宋体"/>
                <w:sz w:val="24"/>
                <w:szCs w:val="24"/>
                <w:highlight w:val="none"/>
              </w:rPr>
            </w:pPr>
            <w:r>
              <w:rPr>
                <w:rFonts w:ascii="宋体" w:hAnsi="宋体"/>
                <w:sz w:val="24"/>
                <w:szCs w:val="24"/>
                <w:highlight w:val="none"/>
              </w:rPr>
              <w:t xml:space="preserve">2.11.1 智能化标签式架构，简繁分离，实现培养检测的全信息/全流程管理；</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.11.2 </w:t>
            </w:r>
            <w:r>
              <w:rPr>
                <w:rFonts w:hint="eastAsia" w:ascii="宋体" w:hAnsi="宋体"/>
                <w:sz w:val="24"/>
                <w:szCs w:val="24"/>
                <w:highlight w:val="none"/>
              </w:rPr>
              <w:t xml:space="preserve">全中文界面，一步放瓶</w:t>
            </w:r>
            <w:r>
              <w:rPr>
                <w:rFonts w:ascii="宋体" w:hAnsi="宋体"/>
                <w:sz w:val="24"/>
                <w:szCs w:val="24"/>
                <w:highlight w:val="none"/>
              </w:rPr>
              <w:t xml:space="preserve">/取瓶、一扫查询、一键自动统计，常用操作一步完成，实现零培训使用；</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.11.3 </w:t>
            </w:r>
            <w:r>
              <w:rPr>
                <w:rFonts w:hint="eastAsia" w:ascii="宋体" w:hAnsi="宋体"/>
                <w:sz w:val="24"/>
                <w:szCs w:val="24"/>
                <w:highlight w:val="none"/>
              </w:rPr>
              <w:t xml:space="preserve">可依据用户使用习惯深度配置、定制系统软件；</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.11.4 </w:t>
            </w:r>
            <w:r>
              <w:rPr>
                <w:rFonts w:hint="eastAsia" w:ascii="宋体" w:hAnsi="宋体"/>
                <w:sz w:val="24"/>
                <w:szCs w:val="24"/>
                <w:highlight w:val="none"/>
              </w:rPr>
              <w:t xml:space="preserve">推送式状态</w:t>
            </w:r>
            <w:r>
              <w:rPr>
                <w:rFonts w:ascii="宋体" w:hAnsi="宋体"/>
                <w:sz w:val="24"/>
                <w:szCs w:val="24"/>
                <w:highlight w:val="none"/>
              </w:rPr>
              <w:t xml:space="preserve">/故障信息显示，系统状态一目了然；</w:t>
            </w:r>
            <w:r/>
          </w:p>
          <w:p>
            <w:pPr>
              <w:spacing w:line="360" w:lineRule="auto"/>
              <w:rPr>
                <w:rFonts w:ascii="宋体" w:hAnsi="宋体"/>
                <w:sz w:val="24"/>
                <w:szCs w:val="24"/>
                <w:highlight w:val="none"/>
              </w:rPr>
            </w:pPr>
            <w:r>
              <w:rPr>
                <w:rFonts w:ascii="宋体" w:hAnsi="宋体"/>
                <w:sz w:val="24"/>
                <w:szCs w:val="24"/>
                <w:highlight w:val="none"/>
              </w:rPr>
              <w:t xml:space="preserve">2.12 放瓶/取瓶</w:t>
            </w:r>
            <w:r/>
          </w:p>
          <w:p>
            <w:pPr>
              <w:spacing w:line="360" w:lineRule="auto"/>
              <w:rPr>
                <w:rFonts w:ascii="宋体" w:hAnsi="宋体"/>
                <w:sz w:val="24"/>
                <w:szCs w:val="24"/>
                <w:highlight w:val="none"/>
              </w:rPr>
            </w:pPr>
            <w:r>
              <w:rPr>
                <w:rFonts w:ascii="宋体" w:hAnsi="宋体"/>
                <w:sz w:val="24"/>
                <w:szCs w:val="24"/>
                <w:highlight w:val="none"/>
              </w:rPr>
              <w:t xml:space="preserve">2.12.1 支持批量扫码放瓶；</w:t>
            </w:r>
            <w:r/>
          </w:p>
          <w:p>
            <w:pPr>
              <w:spacing w:line="360" w:lineRule="auto"/>
              <w:rPr>
                <w:rFonts w:ascii="宋体" w:hAnsi="宋体"/>
                <w:sz w:val="24"/>
                <w:szCs w:val="24"/>
                <w:highlight w:val="none"/>
              </w:rPr>
            </w:pPr>
            <w:r>
              <w:rPr>
                <w:rFonts w:ascii="宋体" w:hAnsi="宋体"/>
                <w:sz w:val="24"/>
                <w:szCs w:val="24"/>
                <w:highlight w:val="none"/>
              </w:rPr>
              <w:t xml:space="preserve">2.12.2 </w:t>
            </w:r>
            <w:r>
              <w:rPr>
                <w:rFonts w:hint="eastAsia" w:ascii="宋体" w:hAnsi="宋体"/>
                <w:sz w:val="24"/>
                <w:szCs w:val="24"/>
                <w:highlight w:val="none"/>
              </w:rPr>
              <w:t xml:space="preserve">培养瓶类型自动识别；</w:t>
            </w:r>
            <w:r/>
          </w:p>
          <w:p>
            <w:pPr>
              <w:spacing w:line="360" w:lineRule="auto"/>
              <w:rPr>
                <w:rFonts w:ascii="宋体" w:hAnsi="宋体"/>
                <w:sz w:val="24"/>
                <w:szCs w:val="24"/>
                <w:highlight w:val="none"/>
              </w:rPr>
            </w:pPr>
            <w:r>
              <w:rPr>
                <w:rFonts w:ascii="宋体" w:hAnsi="宋体"/>
                <w:sz w:val="24"/>
                <w:szCs w:val="24"/>
                <w:highlight w:val="none"/>
              </w:rPr>
              <w:t xml:space="preserve">2.12.3 </w:t>
            </w:r>
            <w:r>
              <w:rPr>
                <w:rFonts w:hint="eastAsia" w:ascii="宋体" w:hAnsi="宋体"/>
                <w:sz w:val="24"/>
                <w:szCs w:val="24"/>
                <w:highlight w:val="none"/>
              </w:rPr>
              <w:t xml:space="preserve">培养瓶双条码智能识别；</w:t>
            </w:r>
            <w:r/>
          </w:p>
          <w:p>
            <w:pPr>
              <w:spacing w:line="360" w:lineRule="auto"/>
              <w:rPr>
                <w:rFonts w:ascii="宋体" w:hAnsi="宋体"/>
                <w:sz w:val="24"/>
                <w:szCs w:val="24"/>
                <w:highlight w:val="none"/>
              </w:rPr>
            </w:pPr>
            <w:r>
              <w:rPr>
                <w:rFonts w:ascii="宋体" w:hAnsi="宋体"/>
                <w:sz w:val="24"/>
                <w:szCs w:val="24"/>
                <w:highlight w:val="none"/>
              </w:rPr>
              <w:t xml:space="preserve">2.12.4 </w:t>
            </w:r>
            <w:r>
              <w:rPr>
                <w:rFonts w:hint="eastAsia" w:ascii="宋体" w:hAnsi="宋体"/>
                <w:sz w:val="24"/>
                <w:szCs w:val="24"/>
                <w:highlight w:val="none"/>
              </w:rPr>
              <w:t xml:space="preserve">支持匿名瓶培养；</w:t>
            </w:r>
            <w:r/>
          </w:p>
          <w:p>
            <w:pPr>
              <w:spacing w:line="360" w:lineRule="auto"/>
              <w:rPr>
                <w:rFonts w:ascii="宋体" w:hAnsi="宋体"/>
                <w:sz w:val="24"/>
                <w:szCs w:val="24"/>
                <w:highlight w:val="none"/>
              </w:rPr>
            </w:pPr>
            <w:r>
              <w:rPr>
                <w:rFonts w:ascii="宋体" w:hAnsi="宋体"/>
                <w:sz w:val="24"/>
                <w:szCs w:val="24"/>
                <w:highlight w:val="none"/>
              </w:rPr>
              <w:t xml:space="preserve">2.12.5</w:t>
            </w:r>
            <w:r>
              <w:rPr>
                <w:rFonts w:hint="eastAsia" w:ascii="宋体" w:hAnsi="宋体"/>
                <w:sz w:val="24"/>
                <w:szCs w:val="24"/>
                <w:highlight w:val="none"/>
              </w:rPr>
              <w:t xml:space="preserve">支持培养瓶的盲置盲取；培养瓶在孵育箱内可自由摆放，仪器自动记录培养瓶的放入与取出，自动识别及判读结果，并将结果存入数据库</w:t>
            </w:r>
            <w:r/>
          </w:p>
          <w:p>
            <w:pPr>
              <w:spacing w:line="360" w:lineRule="auto"/>
              <w:rPr>
                <w:rFonts w:ascii="宋体" w:hAnsi="宋体"/>
                <w:sz w:val="24"/>
                <w:szCs w:val="24"/>
                <w:highlight w:val="none"/>
              </w:rPr>
            </w:pPr>
            <w:r>
              <w:rPr>
                <w:rFonts w:ascii="宋体" w:hAnsi="宋体"/>
                <w:sz w:val="24"/>
                <w:szCs w:val="24"/>
                <w:highlight w:val="none"/>
              </w:rPr>
              <w:t xml:space="preserve">2.12.6</w:t>
            </w:r>
            <w:r>
              <w:rPr>
                <w:rFonts w:hint="eastAsia" w:ascii="宋体" w:hAnsi="宋体"/>
                <w:sz w:val="24"/>
                <w:szCs w:val="24"/>
                <w:highlight w:val="none"/>
              </w:rPr>
              <w:t xml:space="preserve">室温状态延迟上机≤2h；如需 24h 延迟，补充2~8℃冷藏暂存模块，注明 “冷藏环境下可延迟上机≥24h”</w:t>
            </w:r>
            <w:r>
              <w:rPr>
                <w:rFonts w:ascii="宋体" w:hAnsi="宋体"/>
                <w:sz w:val="24"/>
                <w:szCs w:val="24"/>
                <w:highlight w:val="none"/>
              </w:rPr>
              <w:t xml:space="preserve">2.12.7 </w:t>
            </w:r>
            <w:r>
              <w:rPr>
                <w:rFonts w:hint="eastAsia" w:ascii="宋体" w:hAnsi="宋体"/>
                <w:sz w:val="24"/>
                <w:szCs w:val="24"/>
                <w:highlight w:val="none"/>
              </w:rPr>
              <w:t xml:space="preserve">支持同条码下的培养瓶再次培养；</w:t>
            </w:r>
            <w:r/>
          </w:p>
          <w:p>
            <w:pPr>
              <w:spacing w:line="360" w:lineRule="auto"/>
              <w:rPr>
                <w:rFonts w:ascii="宋体" w:hAnsi="宋体"/>
                <w:sz w:val="24"/>
                <w:szCs w:val="24"/>
                <w:highlight w:val="none"/>
              </w:rPr>
            </w:pPr>
            <w:r>
              <w:rPr>
                <w:rFonts w:ascii="宋体" w:hAnsi="宋体"/>
                <w:sz w:val="24"/>
                <w:szCs w:val="24"/>
                <w:highlight w:val="none"/>
              </w:rPr>
              <w:t xml:space="preserve">2.12.8 </w:t>
            </w:r>
            <w:r>
              <w:rPr>
                <w:rFonts w:hint="eastAsia" w:ascii="宋体" w:hAnsi="宋体"/>
                <w:sz w:val="24"/>
                <w:szCs w:val="24"/>
                <w:highlight w:val="none"/>
              </w:rPr>
              <w:t xml:space="preserve">支持条码扫描的自动规避重复输入；</w:t>
            </w:r>
            <w:r/>
          </w:p>
          <w:p>
            <w:pPr>
              <w:spacing w:line="360" w:lineRule="auto"/>
              <w:rPr>
                <w:rFonts w:ascii="宋体" w:hAnsi="宋体"/>
                <w:sz w:val="24"/>
                <w:szCs w:val="24"/>
                <w:highlight w:val="none"/>
              </w:rPr>
            </w:pPr>
            <w:r>
              <w:rPr>
                <w:rFonts w:ascii="宋体" w:hAnsi="宋体"/>
                <w:sz w:val="24"/>
                <w:szCs w:val="24"/>
                <w:highlight w:val="none"/>
              </w:rPr>
              <w:t xml:space="preserve">2.13 瓶位检测</w:t>
            </w:r>
            <w:r>
              <w:rPr>
                <w:rFonts w:ascii="宋体" w:hAnsi="宋体"/>
                <w:sz w:val="24"/>
                <w:szCs w:val="24"/>
                <w:highlight w:val="none"/>
              </w:rPr>
              <w:tab/>
            </w:r>
            <w:r/>
          </w:p>
          <w:p>
            <w:pPr>
              <w:spacing w:line="360" w:lineRule="auto"/>
              <w:rPr>
                <w:rFonts w:ascii="宋体" w:hAnsi="宋体"/>
                <w:sz w:val="24"/>
                <w:szCs w:val="24"/>
                <w:highlight w:val="none"/>
              </w:rPr>
            </w:pPr>
            <w:r>
              <w:rPr>
                <w:rFonts w:ascii="宋体" w:hAnsi="宋体"/>
                <w:sz w:val="24"/>
                <w:szCs w:val="24"/>
                <w:highlight w:val="none"/>
              </w:rPr>
              <w:t xml:space="preserve">2.13.1各瓶位设置独立检测单元，培养箱的每个孔都有独立光学检测器来读取每个培养瓶的读数，能实现自动连续侦测</w:t>
            </w:r>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2.13.2 连续不间断</w:t>
            </w:r>
            <w:r>
              <w:rPr>
                <w:rFonts w:hint="eastAsia" w:ascii="宋体" w:hAnsi="宋体"/>
                <w:sz w:val="24"/>
                <w:szCs w:val="24"/>
                <w:highlight w:val="none"/>
              </w:rPr>
              <w:t xml:space="preserve">定时</w:t>
            </w:r>
            <w:r>
              <w:rPr>
                <w:rFonts w:ascii="宋体" w:hAnsi="宋体"/>
                <w:sz w:val="24"/>
                <w:szCs w:val="24"/>
                <w:highlight w:val="none"/>
              </w:rPr>
              <w:t xml:space="preserve">检测</w:t>
            </w:r>
            <w:r>
              <w:rPr>
                <w:rFonts w:hint="eastAsia" w:ascii="宋体" w:hAnsi="宋体"/>
                <w:sz w:val="24"/>
                <w:szCs w:val="24"/>
                <w:highlight w:val="none"/>
              </w:rPr>
              <w:t xml:space="preserve">，每小时不少于4次</w:t>
            </w:r>
            <w:r>
              <w:rPr>
                <w:rFonts w:ascii="宋体" w:hAnsi="宋体"/>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2.14 阳性算法</w:t>
            </w:r>
            <w:r/>
          </w:p>
          <w:p>
            <w:pPr>
              <w:spacing w:line="360" w:lineRule="auto"/>
              <w:rPr>
                <w:rFonts w:ascii="宋体" w:hAnsi="宋体"/>
                <w:sz w:val="24"/>
                <w:szCs w:val="24"/>
                <w:highlight w:val="none"/>
              </w:rPr>
            </w:pPr>
            <w:r>
              <w:rPr>
                <w:rFonts w:ascii="宋体" w:hAnsi="宋体"/>
                <w:sz w:val="24"/>
                <w:szCs w:val="24"/>
                <w:highlight w:val="none"/>
              </w:rPr>
              <w:t xml:space="preserve">2.14.1采用瓶外非侵入性连续侦测技术，对瓶内细菌生长状况作出快速判读，自主混合式阳性判定系统，更高的检出率和检出速度，更低的假阴性、假阳性，包括：多类型样本约束下的阈值法、生长速率法、加速度法和神经包络算法；</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.14.2 </w:t>
            </w:r>
            <w:r>
              <w:rPr>
                <w:rFonts w:hint="eastAsia" w:ascii="宋体" w:hAnsi="宋体"/>
                <w:sz w:val="24"/>
                <w:szCs w:val="24"/>
                <w:highlight w:val="none"/>
              </w:rPr>
              <w:t xml:space="preserve">无需设置对照培养管，阴性瓶无需盲种，</w:t>
            </w:r>
            <w:r>
              <w:rPr>
                <w:rFonts w:ascii="宋体" w:hAnsi="宋体"/>
                <w:sz w:val="24"/>
                <w:szCs w:val="24"/>
                <w:highlight w:val="none"/>
              </w:rPr>
              <w:t xml:space="preserve">24小时报阳率＞90%，48小时报阳率＞95%；</w:t>
            </w:r>
            <w:r/>
          </w:p>
          <w:p>
            <w:pPr>
              <w:spacing w:line="360" w:lineRule="auto"/>
              <w:rPr>
                <w:rFonts w:ascii="宋体" w:hAnsi="宋体"/>
                <w:sz w:val="24"/>
                <w:szCs w:val="24"/>
                <w:highlight w:val="none"/>
              </w:rPr>
            </w:pPr>
            <w:r>
              <w:rPr>
                <w:rFonts w:ascii="宋体" w:hAnsi="宋体"/>
                <w:sz w:val="24"/>
                <w:szCs w:val="24"/>
                <w:highlight w:val="none"/>
              </w:rPr>
              <w:t xml:space="preserve">2.15 报警方式</w:t>
            </w:r>
            <w:r>
              <w:rPr>
                <w:rFonts w:ascii="宋体" w:hAnsi="宋体"/>
                <w:sz w:val="24"/>
                <w:szCs w:val="24"/>
                <w:highlight w:val="none"/>
              </w:rPr>
              <w:tab/>
            </w:r>
            <w:r/>
          </w:p>
          <w:p>
            <w:pPr>
              <w:spacing w:line="360" w:lineRule="auto"/>
              <w:rPr>
                <w:rFonts w:ascii="宋体" w:hAnsi="宋体"/>
                <w:sz w:val="24"/>
                <w:szCs w:val="24"/>
                <w:highlight w:val="none"/>
              </w:rPr>
            </w:pPr>
            <w:r>
              <w:rPr>
                <w:rFonts w:ascii="宋体" w:hAnsi="宋体"/>
                <w:sz w:val="24"/>
                <w:szCs w:val="24"/>
                <w:highlight w:val="none"/>
              </w:rPr>
              <w:t xml:space="preserve">2.15.1 支持有声、光、色三级报警功能；</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.15.2 </w:t>
            </w:r>
            <w:r>
              <w:rPr>
                <w:rFonts w:hint="eastAsia" w:ascii="宋体" w:hAnsi="宋体"/>
                <w:sz w:val="24"/>
                <w:szCs w:val="24"/>
                <w:highlight w:val="none"/>
              </w:rPr>
              <w:t xml:space="preserve">舱门</w:t>
            </w:r>
            <w:r>
              <w:rPr>
                <w:rFonts w:ascii="宋体" w:hAnsi="宋体"/>
                <w:sz w:val="24"/>
                <w:szCs w:val="24"/>
                <w:highlight w:val="none"/>
              </w:rPr>
              <w:t xml:space="preserve">LED光条实时指示系统状态；</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.15.3 </w:t>
            </w:r>
            <w:r>
              <w:rPr>
                <w:rFonts w:hint="eastAsia" w:ascii="宋体" w:hAnsi="宋体"/>
                <w:sz w:val="24"/>
                <w:szCs w:val="24"/>
                <w:highlight w:val="none"/>
              </w:rPr>
              <w:t xml:space="preserve">报警声音可灵活设置：长、短、静音、持续；</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.15.4 </w:t>
            </w:r>
            <w:r>
              <w:rPr>
                <w:rFonts w:hint="eastAsia" w:ascii="宋体" w:hAnsi="宋体"/>
                <w:sz w:val="24"/>
                <w:szCs w:val="24"/>
                <w:highlight w:val="none"/>
              </w:rPr>
              <w:t xml:space="preserve">阴性</w:t>
            </w:r>
            <w:r>
              <w:rPr>
                <w:rFonts w:ascii="宋体" w:hAnsi="宋体"/>
                <w:sz w:val="24"/>
                <w:szCs w:val="24"/>
                <w:highlight w:val="none"/>
              </w:rPr>
              <w:t xml:space="preserve">/阳性自动检测结果并分色报警</w:t>
            </w:r>
            <w:r/>
          </w:p>
          <w:p>
            <w:pPr>
              <w:spacing w:line="360" w:lineRule="auto"/>
              <w:rPr>
                <w:rFonts w:ascii="宋体" w:hAnsi="宋体"/>
                <w:sz w:val="24"/>
                <w:szCs w:val="24"/>
                <w:highlight w:val="none"/>
              </w:rPr>
            </w:pPr>
            <w:r>
              <w:rPr>
                <w:rFonts w:ascii="宋体" w:hAnsi="宋体"/>
                <w:sz w:val="24"/>
                <w:szCs w:val="24"/>
                <w:highlight w:val="none"/>
              </w:rPr>
              <w:t xml:space="preserve">2.16 全状态生长曲线</w:t>
            </w:r>
            <w:r>
              <w:rPr>
                <w:rFonts w:hint="eastAsia" w:ascii="宋体" w:hAnsi="宋体"/>
                <w:sz w:val="24"/>
                <w:szCs w:val="24"/>
                <w:highlight w:val="none"/>
              </w:rPr>
              <w:t xml:space="preserve">能够</w:t>
            </w:r>
            <w:r>
              <w:rPr>
                <w:rFonts w:ascii="宋体" w:hAnsi="宋体"/>
                <w:sz w:val="24"/>
                <w:szCs w:val="24"/>
                <w:highlight w:val="none"/>
              </w:rPr>
              <w:t xml:space="preserve">区别显示：在检、阴性、阳性、断电/异常拔出、细菌生长曲线、流水号码状况、检测天数现状报告、阴性结果列表报告、阳性结果列表报告、机器现状报表、品质管理报告、测试槽状况、故障报告。</w:t>
            </w:r>
            <w:r/>
          </w:p>
          <w:p>
            <w:pPr>
              <w:spacing w:line="360" w:lineRule="auto"/>
              <w:rPr>
                <w:rFonts w:ascii="宋体" w:hAnsi="宋体"/>
                <w:sz w:val="24"/>
                <w:szCs w:val="24"/>
                <w:highlight w:val="none"/>
              </w:rPr>
            </w:pPr>
            <w:r>
              <w:rPr>
                <w:rFonts w:ascii="宋体" w:hAnsi="宋体"/>
                <w:sz w:val="24"/>
                <w:szCs w:val="24"/>
                <w:highlight w:val="none"/>
              </w:rPr>
              <w:t xml:space="preserve">2.17查询与统计</w:t>
            </w:r>
            <w:r/>
          </w:p>
          <w:p>
            <w:pPr>
              <w:spacing w:line="360" w:lineRule="auto"/>
              <w:rPr>
                <w:rFonts w:ascii="宋体" w:hAnsi="宋体"/>
                <w:sz w:val="24"/>
                <w:szCs w:val="24"/>
                <w:highlight w:val="none"/>
              </w:rPr>
            </w:pPr>
            <w:r>
              <w:rPr>
                <w:rFonts w:ascii="宋体" w:hAnsi="宋体"/>
                <w:sz w:val="24"/>
                <w:szCs w:val="24"/>
                <w:highlight w:val="none"/>
              </w:rPr>
              <w:t xml:space="preserve">2.17.1 一扫即查询、多条件设定的高级查询；</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.17.2 </w:t>
            </w:r>
            <w:r>
              <w:rPr>
                <w:rFonts w:hint="eastAsia" w:ascii="宋体" w:hAnsi="宋体"/>
                <w:sz w:val="24"/>
                <w:szCs w:val="24"/>
                <w:highlight w:val="none"/>
              </w:rPr>
              <w:t xml:space="preserve">一键自动统计，支持多条件、多类型设定的高级统计；</w:t>
            </w:r>
            <w:r/>
          </w:p>
          <w:p>
            <w:pPr>
              <w:spacing w:line="360" w:lineRule="auto"/>
              <w:rPr>
                <w:rFonts w:ascii="宋体" w:hAnsi="宋体"/>
                <w:sz w:val="24"/>
                <w:szCs w:val="24"/>
                <w:highlight w:val="none"/>
              </w:rPr>
            </w:pPr>
            <w:r>
              <w:rPr>
                <w:rFonts w:ascii="宋体" w:hAnsi="宋体"/>
                <w:sz w:val="24"/>
                <w:szCs w:val="24"/>
                <w:highlight w:val="none"/>
              </w:rPr>
              <w:t xml:space="preserve">2.18 数据交互</w:t>
            </w:r>
            <w:r/>
          </w:p>
          <w:p>
            <w:pPr>
              <w:spacing w:line="360" w:lineRule="auto"/>
              <w:rPr>
                <w:rFonts w:ascii="宋体" w:hAnsi="宋体"/>
                <w:sz w:val="24"/>
                <w:szCs w:val="24"/>
                <w:highlight w:val="none"/>
              </w:rPr>
            </w:pPr>
            <w:r>
              <w:rPr>
                <w:rFonts w:ascii="宋体" w:hAnsi="宋体"/>
                <w:sz w:val="24"/>
                <w:szCs w:val="24"/>
                <w:highlight w:val="none"/>
              </w:rPr>
              <w:t xml:space="preserve">2.18.1支持Lis系统（支持Lis的双向交互）；</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.18.2 </w:t>
            </w:r>
            <w:r>
              <w:rPr>
                <w:rFonts w:hint="eastAsia" w:ascii="宋体" w:hAnsi="宋体"/>
                <w:sz w:val="24"/>
                <w:szCs w:val="24"/>
                <w:highlight w:val="none"/>
              </w:rPr>
              <w:t xml:space="preserve">支持USB升级、数据备份；</w:t>
            </w:r>
            <w:r/>
          </w:p>
          <w:p>
            <w:pPr>
              <w:spacing w:line="360" w:lineRule="auto"/>
              <w:rPr>
                <w:rFonts w:ascii="宋体" w:hAnsi="宋体"/>
                <w:sz w:val="24"/>
                <w:szCs w:val="24"/>
                <w:highlight w:val="none"/>
              </w:rPr>
            </w:pPr>
            <w:r>
              <w:rPr>
                <w:rFonts w:ascii="宋体" w:hAnsi="宋体"/>
                <w:sz w:val="24"/>
                <w:szCs w:val="24"/>
                <w:highlight w:val="none"/>
              </w:rPr>
              <w:t xml:space="preserve">2.18.3 </w:t>
            </w:r>
            <w:r>
              <w:rPr>
                <w:rFonts w:hint="eastAsia" w:ascii="宋体" w:hAnsi="宋体"/>
                <w:sz w:val="24"/>
                <w:szCs w:val="24"/>
                <w:highlight w:val="none"/>
              </w:rPr>
              <w:t xml:space="preserve">支持打印输出（</w:t>
            </w:r>
            <w:r>
              <w:rPr>
                <w:rFonts w:ascii="宋体" w:hAnsi="宋体"/>
                <w:sz w:val="24"/>
                <w:szCs w:val="24"/>
                <w:highlight w:val="none"/>
              </w:rPr>
              <w:t xml:space="preserve">USB存储介质或打印机）；</w:t>
            </w:r>
            <w:r/>
          </w:p>
          <w:p>
            <w:pPr>
              <w:spacing w:line="360" w:lineRule="auto"/>
              <w:rPr>
                <w:rFonts w:ascii="宋体" w:hAnsi="宋体"/>
                <w:sz w:val="24"/>
                <w:szCs w:val="24"/>
                <w:highlight w:val="none"/>
              </w:rPr>
            </w:pPr>
            <w:r>
              <w:rPr>
                <w:rFonts w:ascii="宋体" w:hAnsi="宋体"/>
                <w:sz w:val="24"/>
                <w:szCs w:val="24"/>
                <w:highlight w:val="none"/>
              </w:rPr>
              <w:t xml:space="preserve">2.18.4 </w:t>
            </w:r>
            <w:r>
              <w:rPr>
                <w:rFonts w:hint="eastAsia" w:ascii="宋体" w:hAnsi="宋体"/>
                <w:sz w:val="24"/>
                <w:szCs w:val="24"/>
                <w:highlight w:val="none"/>
              </w:rPr>
              <w:t xml:space="preserve">支持组网卫星式培养；</w:t>
            </w:r>
            <w:r/>
          </w:p>
          <w:p>
            <w:pPr>
              <w:spacing w:line="360" w:lineRule="auto"/>
              <w:rPr>
                <w:rFonts w:ascii="宋体" w:hAnsi="宋体"/>
                <w:sz w:val="24"/>
                <w:szCs w:val="24"/>
                <w:highlight w:val="none"/>
              </w:rPr>
            </w:pPr>
            <w:r>
              <w:rPr>
                <w:rFonts w:ascii="宋体" w:hAnsi="宋体"/>
                <w:sz w:val="24"/>
                <w:szCs w:val="24"/>
                <w:highlight w:val="none"/>
              </w:rPr>
              <w:t xml:space="preserve">2.19 断电</w:t>
            </w:r>
            <w:r>
              <w:rPr>
                <w:rFonts w:ascii="宋体" w:hAnsi="宋体"/>
                <w:sz w:val="24"/>
                <w:szCs w:val="24"/>
                <w:highlight w:val="none"/>
              </w:rPr>
              <w:tab/>
            </w:r>
            <w:r/>
          </w:p>
          <w:p>
            <w:pPr>
              <w:spacing w:line="360" w:lineRule="auto"/>
              <w:rPr>
                <w:rFonts w:ascii="宋体" w:hAnsi="宋体"/>
                <w:sz w:val="24"/>
                <w:szCs w:val="24"/>
                <w:highlight w:val="none"/>
              </w:rPr>
            </w:pPr>
            <w:r>
              <w:rPr>
                <w:rFonts w:ascii="宋体" w:hAnsi="宋体"/>
                <w:sz w:val="24"/>
                <w:szCs w:val="24"/>
                <w:highlight w:val="none"/>
              </w:rPr>
              <w:t xml:space="preserve">2.19.1 支持断电记忆，异常断电后，历史数据和在检数据均不丢失；</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.19.2</w:t>
            </w:r>
            <w:r>
              <w:rPr>
                <w:rFonts w:hint="eastAsia" w:ascii="宋体" w:hAnsi="宋体"/>
                <w:sz w:val="24"/>
                <w:szCs w:val="24"/>
                <w:highlight w:val="none"/>
              </w:rPr>
              <w:t xml:space="preserve"> 断电恢复后，系统自动继续培养，无需人工干预；</w:t>
            </w:r>
            <w:r/>
          </w:p>
          <w:p>
            <w:pPr>
              <w:spacing w:line="360" w:lineRule="auto"/>
              <w:rPr>
                <w:rFonts w:ascii="宋体" w:hAnsi="宋体"/>
                <w:sz w:val="24"/>
                <w:szCs w:val="24"/>
                <w:highlight w:val="none"/>
              </w:rPr>
            </w:pPr>
            <w:r>
              <w:rPr>
                <w:rFonts w:ascii="宋体" w:hAnsi="宋体"/>
                <w:sz w:val="24"/>
                <w:szCs w:val="24"/>
                <w:highlight w:val="none"/>
              </w:rPr>
              <w:t xml:space="preserve">2.20 标定与校准 自动标定</w:t>
            </w:r>
            <w:r>
              <w:rPr>
                <w:rFonts w:hint="eastAsia" w:ascii="宋体" w:hAnsi="宋体"/>
                <w:sz w:val="24"/>
                <w:szCs w:val="24"/>
                <w:highlight w:val="none"/>
              </w:rPr>
              <w:t xml:space="preserve">和</w:t>
            </w:r>
            <w:r>
              <w:rPr>
                <w:rFonts w:ascii="宋体" w:hAnsi="宋体"/>
                <w:sz w:val="24"/>
                <w:szCs w:val="24"/>
                <w:highlight w:val="none"/>
              </w:rPr>
              <w:t xml:space="preserve">自动校准，无需手工计算校正；</w:t>
            </w:r>
            <w:r/>
          </w:p>
          <w:p>
            <w:pPr>
              <w:spacing w:line="360" w:lineRule="auto"/>
              <w:rPr>
                <w:rFonts w:ascii="宋体" w:hAnsi="宋体"/>
                <w:sz w:val="24"/>
                <w:szCs w:val="24"/>
                <w:highlight w:val="none"/>
              </w:rPr>
            </w:pPr>
            <w:r>
              <w:rPr>
                <w:rFonts w:ascii="宋体" w:hAnsi="宋体"/>
                <w:sz w:val="24"/>
                <w:szCs w:val="24"/>
                <w:highlight w:val="none"/>
              </w:rPr>
              <w:t xml:space="preserve">2.21 存储 样本数据存储＞10万个样本数据；</w:t>
            </w:r>
            <w:r/>
          </w:p>
          <w:p>
            <w:pPr>
              <w:spacing w:line="360" w:lineRule="auto"/>
              <w:rPr>
                <w:rFonts w:ascii="宋体" w:hAnsi="宋体"/>
                <w:sz w:val="24"/>
                <w:szCs w:val="24"/>
                <w:highlight w:val="none"/>
              </w:rPr>
            </w:pPr>
            <w:r>
              <w:rPr>
                <w:rFonts w:hint="eastAsia" w:ascii="宋体" w:hAnsi="宋体"/>
                <w:b/>
                <w:sz w:val="24"/>
                <w:szCs w:val="24"/>
                <w:highlight w:val="none"/>
              </w:rPr>
              <w:t xml:space="preserve">三、</w:t>
            </w:r>
            <w:r>
              <w:rPr>
                <w:rFonts w:hint="eastAsia" w:ascii="宋体" w:hAnsi="宋体"/>
                <w:b/>
                <w:sz w:val="24"/>
                <w:szCs w:val="24"/>
                <w:highlight w:val="none"/>
                <w:lang w:val="it-IT"/>
              </w:rPr>
              <w:t xml:space="preserve">配置清单</w:t>
            </w:r>
            <w:r/>
          </w:p>
          <w:p>
            <w:pPr>
              <w:spacing w:line="360" w:lineRule="auto"/>
              <w:rPr>
                <w:rFonts w:ascii="宋体" w:hAnsi="宋体"/>
                <w:sz w:val="24"/>
                <w:szCs w:val="24"/>
                <w:highlight w:val="none"/>
              </w:rPr>
            </w:pPr>
            <w:r>
              <w:rPr>
                <w:rFonts w:ascii="宋体" w:hAnsi="宋体"/>
                <w:sz w:val="24"/>
                <w:szCs w:val="24"/>
                <w:highlight w:val="none"/>
              </w:rPr>
              <w:t xml:space="preserve">3.1</w:t>
            </w:r>
            <w:r>
              <w:rPr>
                <w:rFonts w:hint="eastAsia" w:ascii="宋体" w:hAnsi="宋体"/>
                <w:sz w:val="24"/>
                <w:szCs w:val="24"/>
                <w:highlight w:val="none"/>
              </w:rPr>
              <w:t xml:space="preserve"> </w:t>
            </w:r>
            <w:r>
              <w:rPr>
                <w:rFonts w:ascii="宋体" w:hAnsi="宋体"/>
                <w:sz w:val="24"/>
                <w:szCs w:val="24"/>
                <w:highlight w:val="none"/>
              </w:rPr>
              <w:t xml:space="preserve">主机1台。</w:t>
            </w:r>
            <w:r/>
          </w:p>
          <w:p>
            <w:pPr>
              <w:spacing w:line="360" w:lineRule="auto"/>
              <w:rPr>
                <w:rFonts w:ascii="宋体" w:hAnsi="宋体"/>
                <w:sz w:val="24"/>
                <w:szCs w:val="24"/>
                <w:highlight w:val="none"/>
              </w:rPr>
            </w:pPr>
            <w:r>
              <w:rPr>
                <w:rFonts w:ascii="宋体" w:hAnsi="宋体"/>
                <w:sz w:val="24"/>
                <w:szCs w:val="24"/>
                <w:highlight w:val="none"/>
              </w:rPr>
              <w:t xml:space="preserve">3.2</w:t>
            </w:r>
            <w:r>
              <w:rPr>
                <w:rFonts w:hint="eastAsia" w:ascii="宋体" w:hAnsi="宋体"/>
                <w:sz w:val="24"/>
                <w:szCs w:val="24"/>
                <w:highlight w:val="none"/>
              </w:rPr>
              <w:t xml:space="preserve"> </w:t>
            </w:r>
            <w:r>
              <w:rPr>
                <w:rFonts w:ascii="宋体" w:hAnsi="宋体"/>
                <w:sz w:val="24"/>
                <w:szCs w:val="24"/>
                <w:highlight w:val="none"/>
              </w:rPr>
              <w:t xml:space="preserve">电源线1</w:t>
            </w:r>
            <w:r>
              <w:rPr>
                <w:rFonts w:hint="eastAsia" w:ascii="宋体" w:hAnsi="宋体"/>
                <w:sz w:val="24"/>
                <w:szCs w:val="24"/>
                <w:highlight w:val="none"/>
              </w:rPr>
              <w:t xml:space="preserve">根</w:t>
            </w:r>
            <w:r>
              <w:rPr>
                <w:rFonts w:ascii="宋体" w:hAnsi="宋体"/>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3.3</w:t>
            </w:r>
            <w:r>
              <w:rPr>
                <w:rFonts w:hint="eastAsia" w:ascii="宋体" w:hAnsi="宋体"/>
                <w:sz w:val="24"/>
                <w:szCs w:val="24"/>
                <w:highlight w:val="none"/>
              </w:rPr>
              <w:t xml:space="preserve"> </w:t>
            </w:r>
            <w:r>
              <w:rPr>
                <w:rFonts w:ascii="宋体" w:hAnsi="宋体"/>
                <w:sz w:val="24"/>
                <w:szCs w:val="24"/>
                <w:highlight w:val="none"/>
              </w:rPr>
              <w:t xml:space="preserve">触控一体机</w:t>
            </w:r>
            <w:r>
              <w:rPr>
                <w:rFonts w:hint="eastAsia" w:ascii="宋体" w:hAnsi="宋体"/>
                <w:sz w:val="24"/>
                <w:szCs w:val="24"/>
                <w:highlight w:val="none"/>
              </w:rPr>
              <w:t xml:space="preserve"> </w:t>
            </w:r>
            <w:r>
              <w:rPr>
                <w:rFonts w:ascii="宋体" w:hAnsi="宋体"/>
                <w:sz w:val="24"/>
                <w:szCs w:val="24"/>
                <w:highlight w:val="none"/>
              </w:rPr>
              <w:t xml:space="preserve">1台。</w:t>
            </w:r>
            <w:r/>
          </w:p>
          <w:p>
            <w:pPr>
              <w:spacing w:line="360" w:lineRule="auto"/>
              <w:rPr>
                <w:rFonts w:ascii="宋体" w:hAnsi="宋体"/>
                <w:sz w:val="24"/>
                <w:szCs w:val="24"/>
                <w:highlight w:val="none"/>
              </w:rPr>
            </w:pPr>
            <w:r>
              <w:rPr>
                <w:rFonts w:ascii="宋体" w:hAnsi="宋体"/>
                <w:sz w:val="24"/>
                <w:szCs w:val="24"/>
                <w:highlight w:val="none"/>
              </w:rPr>
              <w:t xml:space="preserve">3.4一体机适配器1套。</w:t>
            </w:r>
            <w:r/>
          </w:p>
          <w:p>
            <w:pPr>
              <w:spacing w:line="360" w:lineRule="auto"/>
              <w:rPr>
                <w:rFonts w:ascii="宋体" w:hAnsi="宋体"/>
                <w:sz w:val="24"/>
                <w:szCs w:val="24"/>
                <w:highlight w:val="none"/>
              </w:rPr>
            </w:pPr>
            <w:r>
              <w:rPr>
                <w:rFonts w:ascii="宋体" w:hAnsi="宋体"/>
                <w:sz w:val="24"/>
                <w:szCs w:val="24"/>
                <w:highlight w:val="none"/>
              </w:rPr>
              <w:t xml:space="preserve">3.5</w:t>
            </w:r>
            <w:r>
              <w:rPr>
                <w:rFonts w:hint="eastAsia" w:ascii="宋体" w:hAnsi="宋体"/>
                <w:sz w:val="24"/>
                <w:szCs w:val="24"/>
                <w:highlight w:val="none"/>
              </w:rPr>
              <w:t xml:space="preserve"> </w:t>
            </w:r>
            <w:r>
              <w:rPr>
                <w:rFonts w:ascii="宋体" w:hAnsi="宋体"/>
                <w:sz w:val="24"/>
                <w:szCs w:val="24"/>
                <w:highlight w:val="none"/>
              </w:rPr>
              <w:t xml:space="preserve">一体机支架1件。</w:t>
            </w:r>
            <w:r/>
          </w:p>
          <w:p>
            <w:pPr>
              <w:spacing w:line="360" w:lineRule="auto"/>
              <w:rPr>
                <w:rFonts w:ascii="宋体" w:hAnsi="宋体"/>
                <w:sz w:val="24"/>
                <w:szCs w:val="24"/>
                <w:highlight w:val="none"/>
              </w:rPr>
            </w:pPr>
            <w:r>
              <w:rPr>
                <w:rFonts w:ascii="宋体" w:hAnsi="宋体"/>
                <w:sz w:val="24"/>
                <w:szCs w:val="24"/>
                <w:highlight w:val="none"/>
              </w:rPr>
              <w:t xml:space="preserve">3.6</w:t>
            </w:r>
            <w:r>
              <w:rPr>
                <w:rFonts w:hint="eastAsia" w:ascii="宋体" w:hAnsi="宋体"/>
                <w:sz w:val="24"/>
                <w:szCs w:val="24"/>
                <w:highlight w:val="none"/>
              </w:rPr>
              <w:t xml:space="preserve"> </w:t>
            </w:r>
            <w:r>
              <w:rPr>
                <w:rFonts w:ascii="宋体" w:hAnsi="宋体"/>
                <w:sz w:val="24"/>
                <w:szCs w:val="24"/>
                <w:highlight w:val="none"/>
              </w:rPr>
              <w:t xml:space="preserve">连接线1根。</w:t>
            </w:r>
            <w:r/>
          </w:p>
          <w:p>
            <w:pPr>
              <w:spacing w:line="360" w:lineRule="auto"/>
              <w:rPr>
                <w:rFonts w:ascii="宋体" w:hAnsi="宋体"/>
                <w:sz w:val="24"/>
                <w:szCs w:val="24"/>
                <w:highlight w:val="none"/>
              </w:rPr>
            </w:pPr>
            <w:r>
              <w:rPr>
                <w:rFonts w:ascii="宋体" w:hAnsi="宋体"/>
                <w:sz w:val="24"/>
                <w:szCs w:val="24"/>
                <w:highlight w:val="none"/>
              </w:rPr>
              <w:t xml:space="preserve">3.7</w:t>
            </w:r>
            <w:r>
              <w:rPr>
                <w:rFonts w:hint="eastAsia" w:ascii="宋体" w:hAnsi="宋体"/>
                <w:sz w:val="24"/>
                <w:szCs w:val="24"/>
                <w:highlight w:val="none"/>
              </w:rPr>
              <w:t xml:space="preserve"> </w:t>
            </w:r>
            <w:r>
              <w:rPr>
                <w:rFonts w:ascii="宋体" w:hAnsi="宋体"/>
                <w:sz w:val="24"/>
                <w:szCs w:val="24"/>
                <w:highlight w:val="none"/>
              </w:rPr>
              <w:t xml:space="preserve">条码扫描枪（含座和连接线）1套。</w:t>
            </w:r>
            <w:r/>
          </w:p>
          <w:p>
            <w:pPr>
              <w:spacing w:line="360" w:lineRule="auto"/>
              <w:rPr>
                <w:rFonts w:ascii="宋体" w:hAnsi="宋体"/>
                <w:sz w:val="24"/>
                <w:szCs w:val="24"/>
                <w:highlight w:val="none"/>
              </w:rPr>
            </w:pPr>
            <w:r>
              <w:rPr>
                <w:rFonts w:ascii="宋体" w:hAnsi="宋体"/>
                <w:sz w:val="24"/>
                <w:szCs w:val="24"/>
                <w:highlight w:val="none"/>
              </w:rPr>
              <w:t xml:space="preserve">3.8</w:t>
            </w:r>
            <w:r>
              <w:rPr>
                <w:rFonts w:hint="eastAsia" w:ascii="宋体" w:hAnsi="宋体"/>
                <w:sz w:val="24"/>
                <w:szCs w:val="24"/>
                <w:highlight w:val="none"/>
              </w:rPr>
              <w:t xml:space="preserve"> </w:t>
            </w:r>
            <w:r>
              <w:rPr>
                <w:rFonts w:ascii="宋体" w:hAnsi="宋体"/>
                <w:sz w:val="24"/>
                <w:szCs w:val="24"/>
                <w:highlight w:val="none"/>
              </w:rPr>
              <w:t xml:space="preserve">使用说明书</w:t>
            </w:r>
            <w:r>
              <w:rPr>
                <w:rFonts w:hint="eastAsia" w:ascii="宋体" w:hAnsi="宋体"/>
                <w:sz w:val="24"/>
                <w:szCs w:val="24"/>
                <w:highlight w:val="none"/>
              </w:rPr>
              <w:t xml:space="preserve"> </w:t>
            </w:r>
            <w:r>
              <w:rPr>
                <w:rFonts w:ascii="宋体" w:hAnsi="宋体"/>
                <w:sz w:val="24"/>
                <w:szCs w:val="24"/>
                <w:highlight w:val="none"/>
              </w:rPr>
              <w:t xml:space="preserve">1本。</w:t>
            </w:r>
            <w:r/>
          </w:p>
          <w:p>
            <w:pPr>
              <w:spacing w:line="360" w:lineRule="auto"/>
              <w:rPr>
                <w:rFonts w:ascii="宋体" w:hAnsi="宋体"/>
                <w:sz w:val="24"/>
                <w:szCs w:val="24"/>
                <w:highlight w:val="none"/>
              </w:rPr>
            </w:pPr>
            <w:r>
              <w:rPr>
                <w:rFonts w:ascii="宋体" w:hAnsi="宋体"/>
                <w:sz w:val="24"/>
                <w:szCs w:val="24"/>
                <w:highlight w:val="none"/>
              </w:rPr>
              <w:t xml:space="preserve">3.9</w:t>
            </w:r>
            <w:r>
              <w:rPr>
                <w:rFonts w:ascii="宋体" w:hAnsi="宋体"/>
                <w:sz w:val="24"/>
                <w:szCs w:val="24"/>
                <w:highlight w:val="none"/>
              </w:rPr>
              <w:tab/>
            </w:r>
            <w:r>
              <w:rPr>
                <w:rFonts w:hint="eastAsia" w:ascii="宋体" w:hAnsi="宋体"/>
                <w:sz w:val="24"/>
                <w:szCs w:val="24"/>
                <w:highlight w:val="none"/>
              </w:rPr>
              <w:t xml:space="preserve"> </w:t>
            </w:r>
            <w:r>
              <w:rPr>
                <w:rFonts w:ascii="宋体" w:hAnsi="宋体"/>
                <w:sz w:val="24"/>
                <w:szCs w:val="24"/>
                <w:highlight w:val="none"/>
              </w:rPr>
              <w:t xml:space="preserve">合格证1份。</w:t>
            </w:r>
            <w:r/>
          </w:p>
          <w:p>
            <w:pPr>
              <w:spacing w:line="360" w:lineRule="auto"/>
              <w:rPr>
                <w:rFonts w:ascii="宋体" w:hAnsi="宋体" w:cs="宋体"/>
                <w:sz w:val="24"/>
                <w:szCs w:val="24"/>
                <w:highlight w:val="none"/>
              </w:rPr>
            </w:pPr>
            <w:r>
              <w:rPr>
                <w:rFonts w:ascii="宋体" w:hAnsi="宋体"/>
                <w:sz w:val="24"/>
                <w:szCs w:val="24"/>
                <w:highlight w:val="none"/>
              </w:rPr>
              <w:t xml:space="preserve">3.10</w:t>
            </w:r>
            <w:r>
              <w:rPr>
                <w:rFonts w:hint="eastAsia" w:ascii="宋体" w:hAnsi="宋体"/>
                <w:sz w:val="24"/>
                <w:szCs w:val="24"/>
                <w:highlight w:val="none"/>
              </w:rPr>
              <w:t xml:space="preserve"> </w:t>
            </w:r>
            <w:r>
              <w:rPr>
                <w:rFonts w:ascii="宋体" w:hAnsi="宋体"/>
                <w:sz w:val="24"/>
                <w:szCs w:val="24"/>
                <w:highlight w:val="none"/>
              </w:rPr>
              <w:t xml:space="preserve">保修卡1份。</w:t>
            </w:r>
            <w:r/>
          </w:p>
        </w:tc>
      </w:tr>
      <w:tr>
        <w:trPr>
          <w:jc w:val="center"/>
        </w:trPr>
        <w:tc>
          <w:tcPr>
            <w:shd w:val="clear" w:color="auto" w:fill="auto"/>
            <w:tcW w:w="355" w:type="pct"/>
            <w:vAlign w:val="center"/>
            <w:textDirection w:val="lrTb"/>
            <w:noWrap w:val="false"/>
          </w:tcPr>
          <w:p>
            <w:pPr>
              <w:jc w:val="center"/>
              <w:spacing w:line="360" w:lineRule="auto"/>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3</w:t>
            </w:r>
            <w:r/>
          </w:p>
        </w:tc>
        <w:tc>
          <w:tcPr>
            <w:shd w:val="clear" w:color="auto" w:fill="auto"/>
            <w:tcW w:w="1096" w:type="pct"/>
            <w:vAlign w:val="center"/>
            <w:textDirection w:val="lrTb"/>
            <w:noWrap w:val="false"/>
          </w:tcPr>
          <w:p>
            <w:pPr>
              <w:jc w:val="center"/>
              <w:spacing w:line="360" w:lineRule="auto"/>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智能厌氧微生物培养系统</w:t>
            </w:r>
            <w:r/>
          </w:p>
        </w:tc>
        <w:tc>
          <w:tcPr>
            <w:shd w:val="clear" w:color="auto" w:fill="auto"/>
            <w:tcW w:w="3548" w:type="pct"/>
            <w:vAlign w:val="center"/>
            <w:textDirection w:val="lrTb"/>
            <w:noWrap w:val="false"/>
          </w:tcPr>
          <w:p>
            <w:pPr>
              <w:jc w:val="left"/>
              <w:spacing w:line="360" w:lineRule="auto"/>
              <w:rPr>
                <w:rFonts w:ascii="宋体" w:hAnsi="宋体" w:cs="宋体"/>
                <w:b/>
                <w:sz w:val="24"/>
                <w:szCs w:val="24"/>
                <w:highlight w:val="none"/>
              </w:rPr>
            </w:pPr>
            <w:r>
              <w:rPr>
                <w:rFonts w:ascii="宋体" w:hAnsi="宋体" w:cs="宋体"/>
                <w:b/>
                <w:sz w:val="24"/>
                <w:szCs w:val="24"/>
                <w:highlight w:val="none"/>
              </w:rPr>
              <w:t xml:space="preserve">1</w:t>
            </w:r>
            <w:r>
              <w:rPr>
                <w:rFonts w:hint="eastAsia" w:ascii="宋体" w:hAnsi="宋体" w:cs="宋体"/>
                <w:b/>
                <w:sz w:val="24"/>
                <w:szCs w:val="24"/>
                <w:highlight w:val="none"/>
              </w:rPr>
              <w:t xml:space="preserve">、</w:t>
            </w:r>
            <w:r>
              <w:rPr>
                <w:rFonts w:ascii="宋体" w:hAnsi="宋体" w:cs="宋体"/>
                <w:b/>
                <w:sz w:val="24"/>
                <w:szCs w:val="24"/>
                <w:highlight w:val="none"/>
              </w:rPr>
              <w:t xml:space="preserve">用途和说明</w:t>
            </w:r>
            <w:r/>
          </w:p>
          <w:p>
            <w:pPr>
              <w:spacing w:line="360" w:lineRule="auto"/>
              <w:rPr>
                <w:rFonts w:ascii="宋体" w:hAnsi="宋体"/>
                <w:i/>
                <w:iCs/>
                <w:sz w:val="24"/>
                <w:szCs w:val="24"/>
                <w:highlight w:val="none"/>
                <w:u w:val="single"/>
              </w:rPr>
            </w:pPr>
            <w:r>
              <w:rPr>
                <w:rFonts w:hint="eastAsia" w:ascii="宋体" w:hAnsi="宋体"/>
                <w:sz w:val="24"/>
                <w:szCs w:val="24"/>
                <w:highlight w:val="none"/>
              </w:rPr>
              <w:t xml:space="preserve">1.1 用于制造厌氧（氧浓度为0%）、微需氧（氧浓度为6%）和特殊氧气浓度（0.1%-16%）比例的厌氧和微需氧环境，也能制造二氧化碳浓度（0%-25%）比例的培养环境，适用于厌氧菌、微需氧菌、细胞培养和二氧化碳培养等。</w:t>
            </w:r>
            <w:r/>
          </w:p>
          <w:p>
            <w:pPr>
              <w:spacing w:line="360" w:lineRule="auto"/>
              <w:rPr>
                <w:rFonts w:ascii="宋体" w:hAnsi="宋体"/>
                <w:i/>
                <w:iCs/>
                <w:sz w:val="24"/>
                <w:szCs w:val="24"/>
                <w:highlight w:val="none"/>
                <w:u w:val="single"/>
              </w:rPr>
            </w:pPr>
            <w:r>
              <w:rPr>
                <w:rFonts w:hint="eastAsia" w:ascii="宋体" w:hAnsi="宋体"/>
                <w:sz w:val="24"/>
                <w:szCs w:val="24"/>
                <w:highlight w:val="none"/>
              </w:rPr>
              <w:t xml:space="preserve">1.2 用于食品安全国家标准GB4789要求的空肠弯曲菌、溶血性链球菌、双歧杆菌、乳酸菌、志贺氏菌、产气荚膜梭菌、嗜肺军团菌等需要厌氧、微需氧及特殊氧气浓度培养菌的分离培养</w:t>
            </w:r>
            <w:r>
              <w:rPr>
                <w:rFonts w:ascii="宋体" w:hAnsi="宋体"/>
                <w:sz w:val="24"/>
                <w:szCs w:val="24"/>
                <w:highlight w:val="none"/>
              </w:rPr>
              <w:t xml:space="preserve">。</w:t>
            </w:r>
            <w:r/>
          </w:p>
          <w:p>
            <w:pPr>
              <w:spacing w:line="360" w:lineRule="auto"/>
              <w:rPr>
                <w:rFonts w:ascii="宋体" w:hAnsi="宋体" w:cs="宋体"/>
                <w:b/>
                <w:sz w:val="24"/>
                <w:szCs w:val="24"/>
                <w:highlight w:val="none"/>
              </w:rPr>
            </w:pPr>
            <w:r>
              <w:rPr>
                <w:rFonts w:ascii="宋体" w:hAnsi="宋体" w:cs="宋体"/>
                <w:b/>
                <w:sz w:val="24"/>
                <w:szCs w:val="24"/>
                <w:highlight w:val="none"/>
              </w:rPr>
              <w:t xml:space="preserve">2、</w:t>
            </w:r>
            <w:r>
              <w:rPr>
                <w:rFonts w:hint="eastAsia" w:ascii="宋体" w:hAnsi="宋体" w:cs="宋体"/>
                <w:b/>
                <w:sz w:val="24"/>
                <w:szCs w:val="24"/>
                <w:highlight w:val="none"/>
              </w:rPr>
              <w:t xml:space="preserve">主要技术规格及要求</w:t>
            </w:r>
            <w:r/>
          </w:p>
          <w:p>
            <w:pPr>
              <w:spacing w:line="360" w:lineRule="auto"/>
              <w:rPr>
                <w:rFonts w:ascii="宋体" w:hAnsi="宋体"/>
                <w:i/>
                <w:iCs/>
                <w:sz w:val="24"/>
                <w:szCs w:val="24"/>
                <w:highlight w:val="none"/>
                <w:u w:val="single"/>
              </w:rPr>
            </w:pPr>
            <w:r>
              <w:rPr>
                <w:rFonts w:hint="eastAsia" w:ascii="宋体" w:hAnsi="宋体"/>
                <w:sz w:val="24"/>
                <w:szCs w:val="24"/>
                <w:highlight w:val="none"/>
              </w:rPr>
              <w:t xml:space="preserve">2.1 自检功能：开机检测当地气压，获得初始值，仪器主界面显示数值；</w:t>
            </w:r>
            <w:r/>
          </w:p>
          <w:p>
            <w:pPr>
              <w:spacing w:line="360" w:lineRule="auto"/>
              <w:rPr>
                <w:rFonts w:ascii="宋体" w:hAnsi="宋体"/>
                <w:i/>
                <w:iCs/>
                <w:sz w:val="24"/>
                <w:szCs w:val="24"/>
                <w:highlight w:val="none"/>
                <w:u w:val="single"/>
              </w:rPr>
            </w:pPr>
            <w:r>
              <w:rPr>
                <w:rFonts w:hint="eastAsia" w:ascii="宋体" w:hAnsi="宋体"/>
                <w:sz w:val="24"/>
                <w:szCs w:val="24"/>
                <w:highlight w:val="none"/>
              </w:rPr>
              <w:t xml:space="preserve">2.2 </w:t>
            </w:r>
            <w:r>
              <w:rPr>
                <w:rFonts w:hint="eastAsia" w:ascii="宋体" w:hAnsi="宋体"/>
                <w:b/>
                <w:bCs/>
                <w:i/>
                <w:iCs/>
                <w:sz w:val="24"/>
                <w:szCs w:val="24"/>
                <w:highlight w:val="none"/>
                <w:u w:val="single"/>
              </w:rPr>
              <w:t xml:space="preserve">系统原理：</w:t>
            </w:r>
            <w:r>
              <w:rPr>
                <w:rFonts w:ascii="宋体" w:hAnsi="宋体"/>
                <w:b/>
                <w:bCs/>
                <w:i/>
                <w:iCs/>
                <w:sz w:val="24"/>
                <w:szCs w:val="24"/>
                <w:highlight w:val="none"/>
                <w:u w:val="single"/>
              </w:rPr>
              <w:t xml:space="preserve">通过</w:t>
            </w:r>
            <w:r>
              <w:rPr>
                <w:rFonts w:hint="eastAsia" w:ascii="宋体" w:hAnsi="宋体"/>
                <w:b/>
                <w:bCs/>
                <w:i/>
                <w:iCs/>
                <w:sz w:val="24"/>
                <w:szCs w:val="24"/>
                <w:highlight w:val="none"/>
                <w:u w:val="single"/>
              </w:rPr>
              <w:t xml:space="preserve">真空置换抽排原理，精确控制气体压力的变化，从而达到控制培养罐气体环境的目的；</w:t>
            </w:r>
            <w:r/>
          </w:p>
          <w:p>
            <w:pPr>
              <w:jc w:val="left"/>
              <w:spacing w:line="360" w:lineRule="auto"/>
              <w:rPr>
                <w:rFonts w:ascii="宋体" w:hAnsi="宋体"/>
                <w:b/>
                <w:color w:val="ff0000"/>
                <w:sz w:val="24"/>
                <w:szCs w:val="24"/>
                <w:highlight w:val="none"/>
              </w:rPr>
            </w:pPr>
            <w:r>
              <w:rPr>
                <w:rFonts w:hint="eastAsia" w:ascii="宋体" w:hAnsi="宋体"/>
                <w:sz w:val="24"/>
                <w:szCs w:val="24"/>
                <w:highlight w:val="none"/>
              </w:rPr>
              <w:t xml:space="preserve">2.3 触屏操作：显示屏≥10寸，彩色显示，实时显示当地气压，触摸操作，无需按键；</w:t>
            </w:r>
            <w:r>
              <w:rPr>
                <w:rFonts w:hint="eastAsia" w:ascii="宋体" w:hAnsi="宋体"/>
                <w:b/>
                <w:color w:val="000000"/>
                <w:sz w:val="24"/>
                <w:szCs w:val="24"/>
                <w:highlight w:val="none"/>
              </w:rPr>
              <w:t xml:space="preserve">（提供图片</w:t>
            </w:r>
            <w:r>
              <w:rPr>
                <w:rFonts w:hint="eastAsia" w:ascii="宋体" w:hAnsi="宋体"/>
                <w:b/>
                <w:color w:val="000000"/>
                <w:sz w:val="24"/>
                <w:szCs w:val="24"/>
                <w:highlight w:val="none"/>
                <w:lang w:val="en-US" w:eastAsia="zh-CN"/>
              </w:rPr>
              <w:t xml:space="preserve">或</w:t>
            </w:r>
            <w:r>
              <w:rPr>
                <w:rFonts w:hint="eastAsia" w:ascii="Times New Roman" w:hAnsi="Times New Roman"/>
                <w:b/>
                <w:bCs/>
                <w:sz w:val="24"/>
                <w:highlight w:val="none"/>
                <w:lang w:eastAsia="zh-Hans"/>
              </w:rPr>
              <w:t xml:space="preserve">官方彩页或官方规格参数文件</w:t>
            </w:r>
            <w:r>
              <w:rPr>
                <w:rFonts w:hint="eastAsia" w:ascii="宋体" w:hAnsi="宋体"/>
                <w:b/>
                <w:color w:val="000000"/>
                <w:sz w:val="24"/>
                <w:szCs w:val="24"/>
                <w:highlight w:val="none"/>
              </w:rPr>
              <w:t xml:space="preserve">证明文件）</w:t>
            </w:r>
            <w:r/>
          </w:p>
          <w:p>
            <w:pPr>
              <w:spacing w:line="360" w:lineRule="auto"/>
              <w:rPr>
                <w:rFonts w:ascii="宋体" w:hAnsi="宋体"/>
                <w:sz w:val="24"/>
                <w:szCs w:val="24"/>
                <w:highlight w:val="none"/>
              </w:rPr>
            </w:pPr>
            <w:r>
              <w:rPr>
                <w:rFonts w:hint="eastAsia" w:ascii="宋体" w:hAnsi="宋体"/>
                <w:sz w:val="24"/>
                <w:szCs w:val="24"/>
                <w:highlight w:val="none"/>
              </w:rPr>
              <w:t xml:space="preserve">2.4 快速生成培养环境： 2L时，最快达到微需氧条件小于100秒，最快达到厌氧条件小于180秒；</w:t>
            </w:r>
            <w:r/>
          </w:p>
          <w:p>
            <w:pPr>
              <w:spacing w:line="360" w:lineRule="auto"/>
              <w:rPr>
                <w:rFonts w:ascii="宋体" w:hAnsi="宋体"/>
                <w:i/>
                <w:iCs/>
                <w:sz w:val="24"/>
                <w:szCs w:val="24"/>
                <w:highlight w:val="none"/>
                <w:u w:val="single"/>
              </w:rPr>
            </w:pPr>
            <w:r>
              <w:rPr>
                <w:rFonts w:hint="eastAsia" w:ascii="宋体" w:hAnsi="宋体"/>
                <w:sz w:val="24"/>
                <w:szCs w:val="24"/>
                <w:highlight w:val="none"/>
              </w:rPr>
              <w:t xml:space="preserve">2.5一键生成：系统可一键生成厌氧、微需氧和弯曲菌培养浓度，无需设置参数；</w:t>
            </w:r>
            <w:r/>
          </w:p>
          <w:p>
            <w:pPr>
              <w:jc w:val="left"/>
              <w:spacing w:line="360" w:lineRule="auto"/>
              <w:rPr>
                <w:rFonts w:ascii="宋体" w:hAnsi="宋体"/>
                <w:b/>
                <w:color w:val="ff0000"/>
                <w:sz w:val="24"/>
                <w:szCs w:val="24"/>
                <w:highlight w:val="none"/>
              </w:rPr>
            </w:pPr>
            <w:r>
              <w:rPr>
                <w:rFonts w:hint="eastAsia" w:ascii="宋体" w:hAnsi="宋体"/>
                <w:sz w:val="24"/>
                <w:szCs w:val="24"/>
                <w:highlight w:val="none"/>
              </w:rPr>
              <w:t xml:space="preserve">2.6 多罐模式：系统配置3通道，可同时对多个培养罐（2个以上）进行换气操作；</w:t>
            </w:r>
            <w:r>
              <w:rPr>
                <w:rFonts w:hint="eastAsia" w:ascii="宋体" w:hAnsi="宋体"/>
                <w:b/>
                <w:color w:val="000000"/>
                <w:sz w:val="24"/>
                <w:szCs w:val="24"/>
                <w:highlight w:val="none"/>
              </w:rPr>
              <w:t xml:space="preserve">（提供图片</w:t>
            </w:r>
            <w:r>
              <w:rPr>
                <w:rFonts w:hint="eastAsia" w:ascii="宋体" w:hAnsi="宋体"/>
                <w:b/>
                <w:color w:val="000000"/>
                <w:sz w:val="24"/>
                <w:szCs w:val="24"/>
                <w:highlight w:val="none"/>
                <w:lang w:val="en-US" w:eastAsia="zh-CN"/>
              </w:rPr>
              <w:t xml:space="preserve">或</w:t>
            </w:r>
            <w:r>
              <w:rPr>
                <w:rFonts w:hint="eastAsia" w:ascii="Times New Roman" w:hAnsi="Times New Roman"/>
                <w:b/>
                <w:bCs/>
                <w:sz w:val="24"/>
                <w:highlight w:val="none"/>
                <w:lang w:eastAsia="zh-Hans"/>
              </w:rPr>
              <w:t xml:space="preserve">官方彩页或官方规格参数文件</w:t>
            </w:r>
            <w:r>
              <w:rPr>
                <w:rFonts w:hint="eastAsia" w:ascii="宋体" w:hAnsi="宋体"/>
                <w:b/>
                <w:color w:val="000000"/>
                <w:sz w:val="24"/>
                <w:szCs w:val="24"/>
                <w:highlight w:val="none"/>
              </w:rPr>
              <w:t xml:space="preserve">证明文件）</w:t>
            </w:r>
            <w:r/>
          </w:p>
          <w:p>
            <w:pPr>
              <w:spacing w:line="360" w:lineRule="auto"/>
              <w:rPr>
                <w:rFonts w:ascii="宋体" w:hAnsi="宋体"/>
                <w:sz w:val="24"/>
                <w:szCs w:val="24"/>
                <w:highlight w:val="none"/>
              </w:rPr>
            </w:pPr>
            <w:r>
              <w:rPr>
                <w:rFonts w:hint="eastAsia" w:ascii="宋体" w:hAnsi="宋体"/>
                <w:sz w:val="24"/>
                <w:szCs w:val="24"/>
                <w:highlight w:val="none"/>
              </w:rPr>
              <w:t xml:space="preserve">2.7 质控程序：系统每次生成所需的气体环境都会对培养罐做气源压力、管路连接、罐体密封、罐盖密封和催化剂活性五项检测，保证培养时培养罐的密封性；</w:t>
            </w:r>
            <w:r/>
          </w:p>
          <w:p>
            <w:pPr>
              <w:spacing w:line="360" w:lineRule="auto"/>
              <w:rPr>
                <w:rFonts w:ascii="宋体" w:hAnsi="宋体"/>
                <w:sz w:val="24"/>
                <w:szCs w:val="24"/>
                <w:highlight w:val="none"/>
              </w:rPr>
            </w:pPr>
            <w:r>
              <w:rPr>
                <w:rFonts w:hint="eastAsia" w:ascii="宋体" w:hAnsi="宋体"/>
                <w:sz w:val="24"/>
                <w:szCs w:val="24"/>
                <w:highlight w:val="none"/>
              </w:rPr>
              <w:t xml:space="preserve">2.8 调节精度：氧浓度设置范围0%-16%，设置数值0.1%递进，精确控制培养所需浓度；二氧化碳浓度设置范围0%-25%，设置数值0.1%递进；</w:t>
            </w:r>
            <w:r/>
          </w:p>
          <w:p>
            <w:pPr>
              <w:spacing w:line="360" w:lineRule="auto"/>
              <w:rPr>
                <w:rFonts w:ascii="宋体" w:hAnsi="宋体"/>
                <w:sz w:val="24"/>
                <w:szCs w:val="24"/>
                <w:highlight w:val="none"/>
              </w:rPr>
            </w:pPr>
            <w:r>
              <w:rPr>
                <w:rFonts w:hint="eastAsia" w:ascii="宋体" w:hAnsi="宋体"/>
                <w:sz w:val="24"/>
                <w:szCs w:val="24"/>
                <w:highlight w:val="none"/>
              </w:rPr>
              <w:t xml:space="preserve">2.9 气源压力调节：调节减压阀时仪器实时显示气源压力，无需观察减压阀上的指针；</w:t>
            </w:r>
            <w:r/>
          </w:p>
          <w:p>
            <w:pPr>
              <w:spacing w:line="360" w:lineRule="auto"/>
              <w:rPr>
                <w:rFonts w:ascii="宋体" w:hAnsi="宋体"/>
                <w:sz w:val="24"/>
                <w:szCs w:val="24"/>
                <w:highlight w:val="none"/>
              </w:rPr>
            </w:pPr>
            <w:r>
              <w:rPr>
                <w:rFonts w:hint="eastAsia" w:ascii="宋体" w:hAnsi="宋体"/>
                <w:sz w:val="24"/>
                <w:szCs w:val="24"/>
                <w:highlight w:val="none"/>
              </w:rPr>
              <w:t xml:space="preserve">2.10 气体消耗：达到微需氧气体消耗≤ 2L/12平皿；达到厌氧气体消耗≤ 7L /12平皿；</w:t>
            </w:r>
            <w:r/>
          </w:p>
          <w:p>
            <w:pPr>
              <w:spacing w:line="360" w:lineRule="auto"/>
              <w:rPr>
                <w:rFonts w:ascii="宋体" w:hAnsi="宋体"/>
                <w:sz w:val="24"/>
                <w:szCs w:val="24"/>
                <w:highlight w:val="none"/>
              </w:rPr>
            </w:pPr>
            <w:r>
              <w:rPr>
                <w:rFonts w:hint="eastAsia" w:ascii="宋体" w:hAnsi="宋体"/>
                <w:sz w:val="24"/>
                <w:szCs w:val="24"/>
                <w:highlight w:val="none"/>
              </w:rPr>
              <w:t xml:space="preserve">2.11 厌氧催化剂：配套厌氧催化剂，辅助仪器达到0%氧浓度；可重复使用，不产生化学废弃物；</w:t>
            </w:r>
            <w:r/>
          </w:p>
          <w:p>
            <w:pPr>
              <w:spacing w:line="360" w:lineRule="auto"/>
              <w:rPr>
                <w:rFonts w:ascii="宋体" w:hAnsi="宋体"/>
                <w:sz w:val="24"/>
                <w:szCs w:val="24"/>
                <w:highlight w:val="none"/>
              </w:rPr>
            </w:pPr>
            <w:r>
              <w:rPr>
                <w:rFonts w:hint="eastAsia" w:ascii="宋体" w:hAnsi="宋体"/>
                <w:sz w:val="24"/>
                <w:szCs w:val="24"/>
                <w:highlight w:val="none"/>
              </w:rPr>
              <w:t xml:space="preserve">2.12 催化剂活性检测分级：催化剂活性检测可按需求关闭和开启，开启时可对效果检测分级；</w:t>
            </w:r>
            <w:r/>
          </w:p>
          <w:p>
            <w:pPr>
              <w:spacing w:line="360" w:lineRule="auto"/>
              <w:rPr>
                <w:rFonts w:ascii="宋体" w:hAnsi="宋体"/>
                <w:sz w:val="24"/>
                <w:szCs w:val="24"/>
                <w:highlight w:val="none"/>
              </w:rPr>
            </w:pPr>
            <w:r>
              <w:rPr>
                <w:rFonts w:hint="eastAsia" w:ascii="宋体" w:hAnsi="宋体"/>
                <w:sz w:val="24"/>
                <w:szCs w:val="24"/>
                <w:highlight w:val="none"/>
              </w:rPr>
              <w:t xml:space="preserve">2.13 培养罐体：系统配套多种培养罐，培养罐清澈透明方便观察，每只培养罐均可支持不同的培养应用。</w:t>
            </w:r>
            <w:r/>
          </w:p>
          <w:p>
            <w:pPr>
              <w:spacing w:line="360" w:lineRule="auto"/>
              <w:rPr>
                <w:rFonts w:ascii="宋体" w:hAnsi="宋体"/>
                <w:sz w:val="24"/>
                <w:szCs w:val="24"/>
                <w:highlight w:val="none"/>
              </w:rPr>
            </w:pPr>
            <w:r>
              <w:rPr>
                <w:rFonts w:hint="eastAsia" w:ascii="宋体" w:hAnsi="宋体"/>
                <w:sz w:val="24"/>
                <w:szCs w:val="24"/>
                <w:highlight w:val="none"/>
              </w:rPr>
              <w:t xml:space="preserve">2.14 罐体规格：至少包含以下3种规格培养罐可选：培养罐1（体积≥4L,容积≥</w:t>
            </w:r>
            <w:r>
              <w:rPr>
                <w:rFonts w:ascii="宋体" w:hAnsi="宋体"/>
                <w:sz w:val="24"/>
                <w:szCs w:val="24"/>
                <w:highlight w:val="none"/>
              </w:rPr>
              <w:t xml:space="preserve">2</w:t>
            </w:r>
            <w:r>
              <w:rPr>
                <w:rFonts w:hint="eastAsia" w:ascii="宋体" w:hAnsi="宋体"/>
                <w:sz w:val="24"/>
                <w:szCs w:val="24"/>
                <w:highlight w:val="none"/>
              </w:rPr>
              <w:t xml:space="preserve">L，单罐可放置≥5皿直径9cm培养皿）、培养罐2（体积≥6L,容积≥</w:t>
            </w:r>
            <w:r>
              <w:rPr>
                <w:rFonts w:ascii="宋体" w:hAnsi="宋体"/>
                <w:sz w:val="24"/>
                <w:szCs w:val="24"/>
                <w:highlight w:val="none"/>
              </w:rPr>
              <w:t xml:space="preserve">3</w:t>
            </w:r>
            <w:r>
              <w:rPr>
                <w:rFonts w:hint="eastAsia" w:ascii="宋体" w:hAnsi="宋体"/>
                <w:sz w:val="24"/>
                <w:szCs w:val="24"/>
                <w:highlight w:val="none"/>
              </w:rPr>
              <w:t xml:space="preserve">L，单罐可放置≥10皿直径9cm培养皿）、培养罐3（体积≥</w:t>
            </w:r>
            <w:r>
              <w:rPr>
                <w:rFonts w:ascii="宋体" w:hAnsi="宋体"/>
                <w:sz w:val="24"/>
                <w:szCs w:val="24"/>
                <w:highlight w:val="none"/>
              </w:rPr>
              <w:t xml:space="preserve">17</w:t>
            </w:r>
            <w:r>
              <w:rPr>
                <w:rFonts w:hint="eastAsia" w:ascii="宋体" w:hAnsi="宋体"/>
                <w:sz w:val="24"/>
                <w:szCs w:val="24"/>
                <w:highlight w:val="none"/>
              </w:rPr>
              <w:t xml:space="preserve">L,容积≥</w:t>
            </w:r>
            <w:r>
              <w:rPr>
                <w:rFonts w:ascii="宋体" w:hAnsi="宋体"/>
                <w:sz w:val="24"/>
                <w:szCs w:val="24"/>
                <w:highlight w:val="none"/>
              </w:rPr>
              <w:t xml:space="preserve">9</w:t>
            </w:r>
            <w:r>
              <w:rPr>
                <w:rFonts w:hint="eastAsia" w:ascii="宋体" w:hAnsi="宋体"/>
                <w:sz w:val="24"/>
                <w:szCs w:val="24"/>
                <w:highlight w:val="none"/>
              </w:rPr>
              <w:t xml:space="preserve">L，单罐可放置≥36皿直径9cm培养皿或≥4个250ml三角瓶或≥8包均质袋）；</w:t>
            </w:r>
            <w:r/>
          </w:p>
          <w:p>
            <w:pPr>
              <w:jc w:val="left"/>
              <w:spacing w:line="360" w:lineRule="auto"/>
              <w:rPr>
                <w:rFonts w:ascii="宋体" w:hAnsi="宋体"/>
                <w:b/>
                <w:color w:val="ff0000"/>
                <w:sz w:val="24"/>
                <w:szCs w:val="24"/>
                <w:highlight w:val="none"/>
              </w:rPr>
            </w:pPr>
            <w:r>
              <w:rPr>
                <w:rFonts w:hint="eastAsia" w:ascii="宋体" w:hAnsi="宋体"/>
                <w:sz w:val="24"/>
                <w:szCs w:val="24"/>
                <w:highlight w:val="none"/>
              </w:rPr>
              <w:t xml:space="preserve">2.15 多气源培养：可同时调节氧气、二氧化碳和氢气浓度，可同时连接3种气源，可同时多气源混合调节；</w:t>
            </w:r>
            <w:r>
              <w:rPr>
                <w:rFonts w:hint="eastAsia" w:ascii="宋体" w:hAnsi="宋体"/>
                <w:b/>
                <w:color w:val="000000"/>
                <w:sz w:val="24"/>
                <w:szCs w:val="24"/>
                <w:highlight w:val="none"/>
              </w:rPr>
              <w:t xml:space="preserve">（提供图片</w:t>
            </w:r>
            <w:r>
              <w:rPr>
                <w:rFonts w:hint="eastAsia" w:ascii="宋体" w:hAnsi="宋体"/>
                <w:b/>
                <w:color w:val="000000"/>
                <w:sz w:val="24"/>
                <w:szCs w:val="24"/>
                <w:highlight w:val="none"/>
                <w:lang w:val="en-US" w:eastAsia="zh-CN"/>
              </w:rPr>
              <w:t xml:space="preserve">或</w:t>
            </w:r>
            <w:r>
              <w:rPr>
                <w:rFonts w:hint="eastAsia" w:ascii="Times New Roman" w:hAnsi="Times New Roman"/>
                <w:b/>
                <w:bCs/>
                <w:sz w:val="24"/>
                <w:highlight w:val="none"/>
                <w:lang w:eastAsia="zh-Hans"/>
              </w:rPr>
              <w:t xml:space="preserve">官方彩页或官方规格参数文件</w:t>
            </w:r>
            <w:r>
              <w:rPr>
                <w:rFonts w:hint="eastAsia" w:ascii="宋体" w:hAnsi="宋体"/>
                <w:b/>
                <w:color w:val="000000"/>
                <w:sz w:val="24"/>
                <w:szCs w:val="24"/>
                <w:highlight w:val="none"/>
              </w:rPr>
              <w:t xml:space="preserve">证明文件）</w:t>
            </w:r>
            <w:r/>
          </w:p>
          <w:p>
            <w:pPr>
              <w:spacing w:line="360" w:lineRule="auto"/>
              <w:rPr>
                <w:rFonts w:ascii="宋体" w:hAnsi="宋体"/>
                <w:sz w:val="24"/>
                <w:szCs w:val="24"/>
                <w:highlight w:val="none"/>
              </w:rPr>
            </w:pPr>
            <w:r>
              <w:rPr>
                <w:rFonts w:hint="eastAsia" w:ascii="宋体" w:hAnsi="宋体"/>
                <w:sz w:val="24"/>
                <w:szCs w:val="24"/>
                <w:highlight w:val="none"/>
              </w:rPr>
              <w:t xml:space="preserve">2.16 信息打印：系统内置打印模块，程序结束即可打印，无需连接电脑；可设置需要的打印信息；</w:t>
            </w:r>
            <w:r/>
          </w:p>
          <w:p>
            <w:pPr>
              <w:spacing w:line="360" w:lineRule="auto"/>
              <w:rPr>
                <w:rFonts w:ascii="宋体" w:hAnsi="宋体"/>
                <w:i/>
                <w:iCs/>
                <w:sz w:val="24"/>
                <w:szCs w:val="24"/>
                <w:highlight w:val="none"/>
                <w:u w:val="single"/>
              </w:rPr>
            </w:pPr>
            <w:r>
              <w:rPr>
                <w:rFonts w:hint="eastAsia" w:ascii="宋体" w:hAnsi="宋体"/>
                <w:sz w:val="24"/>
                <w:szCs w:val="24"/>
                <w:highlight w:val="none"/>
              </w:rPr>
              <w:t xml:space="preserve">2.17 </w:t>
            </w:r>
            <w:r>
              <w:rPr>
                <w:rFonts w:hint="eastAsia" w:ascii="宋体" w:hAnsi="宋体"/>
                <w:b/>
                <w:bCs/>
                <w:i/>
                <w:iCs/>
                <w:sz w:val="24"/>
                <w:szCs w:val="24"/>
                <w:highlight w:val="none"/>
                <w:u w:val="single"/>
              </w:rPr>
              <w:t xml:space="preserve">气体浓度监测：配置无线气体浓度监测装置，内置数据处理软件，可实时监测培养过程中的氧气、二氧化碳浓度、温度、湿度</w:t>
            </w:r>
            <w:r>
              <w:rPr>
                <w:rFonts w:hint="eastAsia" w:ascii="宋体" w:hAnsi="宋体"/>
                <w:i/>
                <w:iCs/>
                <w:sz w:val="24"/>
                <w:szCs w:val="24"/>
                <w:highlight w:val="none"/>
                <w:u w:val="single"/>
              </w:rPr>
              <w:t xml:space="preserve">；</w:t>
            </w:r>
            <w:r/>
          </w:p>
          <w:p>
            <w:pPr>
              <w:spacing w:line="360" w:lineRule="auto"/>
              <w:rPr>
                <w:rFonts w:ascii="宋体" w:hAnsi="宋体"/>
                <w:sz w:val="24"/>
                <w:szCs w:val="24"/>
                <w:highlight w:val="none"/>
              </w:rPr>
            </w:pPr>
            <w:r>
              <w:rPr>
                <w:rFonts w:hint="eastAsia" w:ascii="宋体" w:hAnsi="宋体"/>
                <w:sz w:val="24"/>
                <w:szCs w:val="24"/>
                <w:highlight w:val="none"/>
              </w:rPr>
              <w:t xml:space="preserve">▲2.18 传感器技术参数：</w:t>
            </w:r>
            <w:r/>
          </w:p>
          <w:p>
            <w:pPr>
              <w:spacing w:line="360" w:lineRule="auto"/>
              <w:rPr>
                <w:rFonts w:ascii="宋体" w:hAnsi="宋体"/>
                <w:sz w:val="24"/>
                <w:szCs w:val="24"/>
                <w:highlight w:val="none"/>
              </w:rPr>
            </w:pPr>
            <w:r>
              <w:rPr>
                <w:rFonts w:hint="eastAsia" w:ascii="宋体" w:hAnsi="宋体"/>
                <w:sz w:val="24"/>
                <w:szCs w:val="24"/>
                <w:highlight w:val="none"/>
              </w:rPr>
              <w:t xml:space="preserve">2.18.1氧浓度测量范围0-25%；</w:t>
            </w:r>
            <w:r/>
          </w:p>
          <w:p>
            <w:pPr>
              <w:spacing w:line="360" w:lineRule="auto"/>
              <w:rPr>
                <w:rFonts w:ascii="宋体" w:hAnsi="宋体"/>
                <w:sz w:val="24"/>
                <w:szCs w:val="24"/>
                <w:highlight w:val="none"/>
              </w:rPr>
            </w:pPr>
            <w:r>
              <w:rPr>
                <w:rFonts w:hint="eastAsia" w:ascii="宋体" w:hAnsi="宋体"/>
                <w:sz w:val="24"/>
                <w:szCs w:val="24"/>
                <w:highlight w:val="none"/>
              </w:rPr>
              <w:t xml:space="preserve">2.18.2显示精度0.1%；</w:t>
            </w:r>
            <w:r/>
          </w:p>
          <w:p>
            <w:pPr>
              <w:spacing w:line="360" w:lineRule="auto"/>
              <w:rPr>
                <w:rFonts w:ascii="宋体" w:hAnsi="宋体"/>
                <w:sz w:val="24"/>
                <w:szCs w:val="24"/>
                <w:highlight w:val="none"/>
              </w:rPr>
            </w:pPr>
            <w:r>
              <w:rPr>
                <w:rFonts w:hint="eastAsia" w:ascii="宋体" w:hAnsi="宋体"/>
                <w:sz w:val="24"/>
                <w:szCs w:val="24"/>
                <w:highlight w:val="none"/>
              </w:rPr>
              <w:t xml:space="preserve">2.18.3示值误差小于0.1%；</w:t>
            </w:r>
            <w:r/>
          </w:p>
          <w:p>
            <w:pPr>
              <w:spacing w:line="360" w:lineRule="auto"/>
              <w:rPr>
                <w:rFonts w:ascii="宋体" w:hAnsi="宋体"/>
                <w:sz w:val="24"/>
                <w:szCs w:val="24"/>
                <w:highlight w:val="none"/>
              </w:rPr>
            </w:pPr>
            <w:r>
              <w:rPr>
                <w:rFonts w:hint="eastAsia" w:ascii="宋体" w:hAnsi="宋体"/>
                <w:sz w:val="24"/>
                <w:szCs w:val="24"/>
                <w:highlight w:val="none"/>
              </w:rPr>
              <w:t xml:space="preserve">2.18.4传感器尺寸：</w:t>
            </w:r>
            <w:r/>
          </w:p>
          <w:p>
            <w:pPr>
              <w:spacing w:line="360" w:lineRule="auto"/>
              <w:rPr>
                <w:rFonts w:ascii="宋体" w:hAnsi="宋体"/>
                <w:sz w:val="24"/>
                <w:szCs w:val="24"/>
                <w:highlight w:val="none"/>
              </w:rPr>
            </w:pPr>
            <w:r>
              <w:rPr>
                <w:rFonts w:hint="eastAsia" w:ascii="宋体" w:hAnsi="宋体"/>
                <w:sz w:val="24"/>
                <w:szCs w:val="24"/>
                <w:highlight w:val="none"/>
              </w:rPr>
              <w:t xml:space="preserve">2.18.5厚度≤20mm，便于放入小型培养容器；</w:t>
            </w:r>
            <w:r/>
          </w:p>
          <w:p>
            <w:pPr>
              <w:spacing w:line="360" w:lineRule="auto"/>
              <w:rPr>
                <w:rFonts w:ascii="宋体" w:hAnsi="宋体"/>
                <w:sz w:val="24"/>
                <w:szCs w:val="24"/>
                <w:highlight w:val="none"/>
              </w:rPr>
            </w:pPr>
            <w:r>
              <w:rPr>
                <w:rFonts w:hint="eastAsia" w:ascii="宋体" w:hAnsi="宋体"/>
                <w:sz w:val="24"/>
                <w:szCs w:val="24"/>
                <w:highlight w:val="none"/>
              </w:rPr>
              <w:t xml:space="preserve">2.19 气体监测：二氧化碳浓度测量范围0-</w:t>
            </w:r>
            <w:r>
              <w:rPr>
                <w:rFonts w:ascii="宋体" w:hAnsi="宋体"/>
                <w:sz w:val="24"/>
                <w:szCs w:val="24"/>
                <w:highlight w:val="none"/>
              </w:rPr>
              <w:t xml:space="preserve">30</w:t>
            </w:r>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hint="eastAsia" w:ascii="宋体" w:hAnsi="宋体"/>
                <w:sz w:val="24"/>
                <w:szCs w:val="24"/>
                <w:highlight w:val="none"/>
              </w:rPr>
              <w:t xml:space="preserve">2.19.1显示精度0.1%；</w:t>
            </w:r>
            <w:r/>
          </w:p>
          <w:p>
            <w:pPr>
              <w:spacing w:line="360" w:lineRule="auto"/>
              <w:rPr>
                <w:rFonts w:ascii="宋体" w:hAnsi="宋体"/>
                <w:sz w:val="24"/>
                <w:szCs w:val="24"/>
                <w:highlight w:val="none"/>
              </w:rPr>
            </w:pPr>
            <w:r>
              <w:rPr>
                <w:rFonts w:hint="eastAsia" w:ascii="宋体" w:hAnsi="宋体"/>
                <w:sz w:val="24"/>
                <w:szCs w:val="24"/>
                <w:highlight w:val="none"/>
              </w:rPr>
              <w:t xml:space="preserve">2.20 系统升级：可根据实际工作量增加不同数量和不同大小的培养罐；</w:t>
            </w:r>
            <w:r/>
          </w:p>
          <w:p>
            <w:pPr>
              <w:spacing w:line="360" w:lineRule="auto"/>
              <w:rPr>
                <w:rFonts w:ascii="宋体" w:hAnsi="宋体"/>
                <w:sz w:val="24"/>
                <w:szCs w:val="24"/>
                <w:highlight w:val="none"/>
              </w:rPr>
            </w:pPr>
            <w:r>
              <w:rPr>
                <w:rFonts w:hint="eastAsia" w:ascii="宋体" w:hAnsi="宋体"/>
                <w:sz w:val="24"/>
                <w:szCs w:val="24"/>
                <w:highlight w:val="none"/>
              </w:rPr>
              <w:t xml:space="preserve">2.20.1可增加气罐连接并进行相应软件升级；</w:t>
            </w:r>
            <w:r/>
          </w:p>
          <w:p>
            <w:pPr>
              <w:spacing w:line="360" w:lineRule="auto"/>
              <w:rPr>
                <w:rFonts w:ascii="宋体" w:hAnsi="宋体"/>
                <w:b/>
                <w:bCs/>
                <w:sz w:val="24"/>
                <w:szCs w:val="24"/>
                <w:highlight w:val="none"/>
              </w:rPr>
            </w:pPr>
            <w:r>
              <w:rPr>
                <w:rFonts w:hint="eastAsia" w:ascii="宋体" w:hAnsi="宋体"/>
                <w:b/>
                <w:bCs/>
                <w:sz w:val="24"/>
                <w:szCs w:val="24"/>
                <w:highlight w:val="none"/>
              </w:rPr>
              <w:t xml:space="preserve">3、工作环境：</w:t>
            </w:r>
            <w:r/>
          </w:p>
          <w:p>
            <w:pPr>
              <w:spacing w:line="360"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 环境温度</w:t>
            </w:r>
            <w:r>
              <w:rPr>
                <w:rFonts w:hint="eastAsia" w:ascii="宋体" w:hAnsi="宋体"/>
                <w:sz w:val="24"/>
                <w:szCs w:val="24"/>
                <w:highlight w:val="none"/>
              </w:rPr>
              <w:t xml:space="preserve">:</w:t>
            </w:r>
            <w:r>
              <w:rPr>
                <w:rFonts w:ascii="宋体" w:hAnsi="宋体"/>
                <w:sz w:val="24"/>
                <w:szCs w:val="24"/>
                <w:highlight w:val="none"/>
              </w:rPr>
              <w:t xml:space="preserve">0～40℃；</w:t>
            </w:r>
            <w:r/>
          </w:p>
          <w:p>
            <w:pPr>
              <w:spacing w:line="360"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.2 相对湿度</w:t>
            </w:r>
            <w:r>
              <w:rPr>
                <w:rFonts w:hint="eastAsia" w:ascii="宋体" w:hAnsi="宋体"/>
                <w:sz w:val="24"/>
                <w:szCs w:val="24"/>
                <w:highlight w:val="none"/>
              </w:rPr>
              <w:t xml:space="preserve">:</w:t>
            </w:r>
            <w:r>
              <w:rPr>
                <w:rFonts w:ascii="宋体" w:hAnsi="宋体"/>
                <w:sz w:val="24"/>
                <w:szCs w:val="24"/>
                <w:highlight w:val="none"/>
              </w:rPr>
              <w:t xml:space="preserve">≤85%；</w:t>
            </w:r>
            <w:r/>
          </w:p>
          <w:p>
            <w:pPr>
              <w:spacing w:line="360"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.3 </w:t>
            </w:r>
            <w:r>
              <w:rPr>
                <w:rFonts w:hint="eastAsia" w:ascii="宋体" w:hAnsi="宋体"/>
                <w:sz w:val="24"/>
                <w:szCs w:val="24"/>
                <w:highlight w:val="none"/>
              </w:rPr>
              <w:t xml:space="preserve">功率:低于500W</w:t>
            </w:r>
            <w:r>
              <w:rPr>
                <w:rFonts w:ascii="宋体" w:hAnsi="宋体"/>
                <w:sz w:val="24"/>
                <w:szCs w:val="24"/>
                <w:highlight w:val="none"/>
              </w:rPr>
              <w:t xml:space="preserve">；</w:t>
            </w:r>
            <w:r/>
          </w:p>
          <w:p>
            <w:pPr>
              <w:spacing w:line="360"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.4 电源：交流 220V±22V，50</w:t>
            </w:r>
            <w:r>
              <w:rPr>
                <w:rFonts w:hint="eastAsia" w:ascii="宋体" w:hAnsi="宋体"/>
                <w:sz w:val="24"/>
                <w:szCs w:val="24"/>
                <w:highlight w:val="none"/>
              </w:rPr>
              <w:t xml:space="preserve">-60</w:t>
            </w:r>
            <w:r>
              <w:rPr>
                <w:rFonts w:ascii="宋体" w:hAnsi="宋体"/>
                <w:sz w:val="24"/>
                <w:szCs w:val="24"/>
                <w:highlight w:val="none"/>
              </w:rPr>
              <w:t xml:space="preserve">HZ</w:t>
            </w:r>
            <w:r>
              <w:rPr>
                <w:rFonts w:hint="eastAsia" w:ascii="宋体" w:hAnsi="宋体"/>
                <w:sz w:val="24"/>
                <w:szCs w:val="24"/>
                <w:highlight w:val="none"/>
              </w:rPr>
              <w:t xml:space="preserve">；</w:t>
            </w:r>
            <w:r/>
          </w:p>
          <w:p>
            <w:pPr>
              <w:spacing w:line="360" w:lineRule="auto"/>
              <w:rPr>
                <w:rFonts w:ascii="宋体" w:hAnsi="宋体"/>
                <w:b/>
                <w:bCs/>
                <w:sz w:val="24"/>
                <w:szCs w:val="24"/>
                <w:highlight w:val="none"/>
              </w:rPr>
            </w:pPr>
            <w:r>
              <w:rPr>
                <w:rFonts w:hint="eastAsia" w:ascii="宋体" w:hAnsi="宋体"/>
                <w:b/>
                <w:bCs/>
                <w:sz w:val="24"/>
                <w:szCs w:val="24"/>
                <w:highlight w:val="none"/>
              </w:rPr>
              <w:t xml:space="preserve">4、仪器配置：</w:t>
            </w:r>
            <w:r/>
          </w:p>
          <w:p>
            <w:pPr>
              <w:spacing w:line="360" w:lineRule="auto"/>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系统主机（至少3气源3通道，含操作软件）</w:t>
            </w:r>
            <w:r>
              <w:rPr>
                <w:rFonts w:ascii="宋体" w:hAnsi="宋体"/>
                <w:sz w:val="24"/>
                <w:szCs w:val="24"/>
                <w:highlight w:val="none"/>
              </w:rPr>
              <w:t xml:space="preserve">：1台</w:t>
            </w:r>
            <w:r>
              <w:rPr>
                <w:rFonts w:ascii="宋体" w:hAnsi="宋体"/>
                <w:sz w:val="24"/>
                <w:szCs w:val="24"/>
                <w:highlight w:val="none"/>
              </w:rPr>
              <w:br/>
            </w:r>
            <w:r>
              <w:rPr>
                <w:rFonts w:hint="eastAsia" w:ascii="宋体" w:hAnsi="宋体"/>
                <w:sz w:val="24"/>
                <w:szCs w:val="24"/>
                <w:highlight w:val="none"/>
              </w:rPr>
              <w:t xml:space="preserve">4</w:t>
            </w:r>
            <w:r>
              <w:rPr>
                <w:rFonts w:ascii="宋体" w:hAnsi="宋体"/>
                <w:sz w:val="24"/>
                <w:szCs w:val="24"/>
                <w:highlight w:val="none"/>
              </w:rPr>
              <w:t xml:space="preserve">.2</w:t>
            </w:r>
            <w:r>
              <w:rPr>
                <w:rFonts w:hint="eastAsia" w:ascii="宋体" w:hAnsi="宋体"/>
                <w:sz w:val="24"/>
                <w:szCs w:val="24"/>
                <w:highlight w:val="none"/>
              </w:rPr>
              <w:t xml:space="preserve">培养罐1：2套</w:t>
            </w:r>
            <w:r/>
          </w:p>
          <w:p>
            <w:pPr>
              <w:spacing w:line="360" w:lineRule="auto"/>
              <w:rPr>
                <w:rFonts w:ascii="宋体" w:hAnsi="宋体"/>
                <w:sz w:val="24"/>
                <w:szCs w:val="24"/>
                <w:highlight w:val="none"/>
              </w:rPr>
            </w:pPr>
            <w:r>
              <w:rPr>
                <w:rFonts w:hint="eastAsia" w:ascii="宋体" w:hAnsi="宋体"/>
                <w:sz w:val="24"/>
                <w:szCs w:val="24"/>
                <w:highlight w:val="none"/>
              </w:rPr>
              <w:t xml:space="preserve">4.3 培养罐2：2套</w:t>
            </w:r>
            <w:r/>
          </w:p>
          <w:p>
            <w:pPr>
              <w:spacing w:line="360" w:lineRule="auto"/>
              <w:rPr>
                <w:rFonts w:ascii="宋体" w:hAnsi="宋体"/>
                <w:sz w:val="24"/>
                <w:szCs w:val="24"/>
                <w:highlight w:val="none"/>
              </w:rPr>
            </w:pPr>
            <w:r>
              <w:rPr>
                <w:rFonts w:hint="eastAsia" w:ascii="宋体" w:hAnsi="宋体"/>
                <w:sz w:val="24"/>
                <w:szCs w:val="24"/>
                <w:highlight w:val="none"/>
              </w:rPr>
              <w:t xml:space="preserve">4.4培养罐3：3套</w:t>
            </w:r>
            <w:r/>
          </w:p>
          <w:p>
            <w:pPr>
              <w:spacing w:line="360" w:lineRule="auto"/>
              <w:rPr>
                <w:rFonts w:ascii="宋体" w:hAnsi="宋体"/>
                <w:sz w:val="24"/>
                <w:szCs w:val="24"/>
                <w:highlight w:val="none"/>
              </w:rPr>
            </w:pPr>
            <w:r>
              <w:rPr>
                <w:rFonts w:hint="eastAsia" w:ascii="宋体" w:hAnsi="宋体"/>
                <w:sz w:val="24"/>
                <w:szCs w:val="24"/>
                <w:highlight w:val="none"/>
              </w:rPr>
              <w:t xml:space="preserve">4.5 精密减压阀：3台</w:t>
            </w:r>
            <w:r/>
          </w:p>
          <w:p>
            <w:pPr>
              <w:spacing w:line="360" w:lineRule="auto"/>
              <w:rPr>
                <w:rFonts w:ascii="宋体" w:hAnsi="宋体"/>
                <w:sz w:val="24"/>
                <w:szCs w:val="24"/>
                <w:highlight w:val="none"/>
              </w:rPr>
            </w:pPr>
            <w:r>
              <w:rPr>
                <w:rFonts w:hint="eastAsia" w:ascii="宋体" w:hAnsi="宋体"/>
                <w:sz w:val="24"/>
                <w:szCs w:val="24"/>
                <w:highlight w:val="none"/>
              </w:rPr>
              <w:t xml:space="preserve">4.6 钯颗粒催化剂：10包</w:t>
            </w:r>
            <w:r/>
          </w:p>
          <w:p>
            <w:pPr>
              <w:spacing w:line="360" w:lineRule="auto"/>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7 催化剂专用烤箱：1台</w:t>
            </w:r>
            <w:r/>
          </w:p>
          <w:p>
            <w:pPr>
              <w:spacing w:line="360" w:lineRule="auto"/>
              <w:rPr>
                <w:rFonts w:ascii="宋体" w:hAnsi="宋体"/>
                <w:sz w:val="24"/>
                <w:szCs w:val="24"/>
                <w:highlight w:val="none"/>
              </w:rPr>
            </w:pPr>
            <w:r>
              <w:rPr>
                <w:rFonts w:hint="eastAsia" w:ascii="宋体" w:hAnsi="宋体"/>
                <w:sz w:val="24"/>
                <w:szCs w:val="24"/>
                <w:highlight w:val="none"/>
              </w:rPr>
              <w:t xml:space="preserve">4.8 ＞5L混合气瓶、氮气、二氧化碳：各1瓶</w:t>
            </w:r>
            <w:r/>
          </w:p>
          <w:p>
            <w:pPr>
              <w:spacing w:line="360" w:lineRule="auto"/>
              <w:rPr>
                <w:rFonts w:ascii="宋体" w:hAnsi="宋体"/>
                <w:sz w:val="24"/>
                <w:szCs w:val="24"/>
                <w:highlight w:val="none"/>
              </w:rPr>
            </w:pPr>
            <w:r>
              <w:rPr>
                <w:rFonts w:hint="eastAsia" w:ascii="宋体" w:hAnsi="宋体"/>
                <w:sz w:val="24"/>
                <w:szCs w:val="24"/>
                <w:highlight w:val="none"/>
              </w:rPr>
              <w:t xml:space="preserve">4.9 标签打印机：1台</w:t>
            </w:r>
            <w:r/>
          </w:p>
          <w:p>
            <w:pPr>
              <w:pStyle w:val="923"/>
              <w:ind w:firstLine="0"/>
              <w:jc w:val="left"/>
              <w:spacing w:line="360" w:lineRule="auto"/>
              <w:rPr>
                <w:rFonts w:ascii="宋体" w:hAnsi="宋体" w:cs="宋体"/>
                <w:sz w:val="24"/>
                <w:szCs w:val="24"/>
                <w:highlight w:val="none"/>
              </w:rPr>
            </w:pPr>
            <w:r>
              <w:rPr>
                <w:rFonts w:hint="eastAsia" w:ascii="宋体" w:hAnsi="宋体"/>
                <w:sz w:val="24"/>
                <w:szCs w:val="24"/>
                <w:highlight w:val="none"/>
              </w:rPr>
              <w:t xml:space="preserve">4.10 无线气体浓度监测装置：</w:t>
            </w:r>
            <w:r/>
          </w:p>
        </w:tc>
      </w:tr>
      <w:tr>
        <w:trPr>
          <w:jc w:val="center"/>
        </w:trPr>
        <w:tc>
          <w:tcPr>
            <w:shd w:val="clear" w:color="auto" w:fill="auto"/>
            <w:tcW w:w="355" w:type="pct"/>
            <w:vAlign w:val="center"/>
            <w:textDirection w:val="lrTb"/>
            <w:noWrap w:val="false"/>
          </w:tcPr>
          <w:p>
            <w:pPr>
              <w:jc w:val="center"/>
              <w:spacing w:line="360" w:lineRule="auto"/>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4</w:t>
            </w:r>
            <w:r/>
          </w:p>
        </w:tc>
        <w:tc>
          <w:tcPr>
            <w:shd w:val="clear" w:color="auto" w:fill="auto"/>
            <w:tcW w:w="1096" w:type="pct"/>
            <w:vAlign w:val="center"/>
            <w:textDirection w:val="lrTb"/>
            <w:noWrap w:val="false"/>
          </w:tcPr>
          <w:p>
            <w:pPr>
              <w:jc w:val="center"/>
              <w:spacing w:line="360" w:lineRule="auto"/>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40位微波消解仪</w:t>
            </w:r>
            <w:r/>
          </w:p>
        </w:tc>
        <w:tc>
          <w:tcPr>
            <w:shd w:val="clear" w:color="auto" w:fill="auto"/>
            <w:tcW w:w="3548" w:type="pct"/>
            <w:vAlign w:val="center"/>
            <w:textDirection w:val="lrTb"/>
            <w:noWrap w:val="false"/>
          </w:tcPr>
          <w:p>
            <w:pPr>
              <w:spacing w:line="360" w:lineRule="auto"/>
              <w:rPr>
                <w:rFonts w:hint="eastAsia" w:ascii="宋体" w:hAnsi="宋体"/>
                <w:b/>
                <w:sz w:val="24"/>
                <w:szCs w:val="24"/>
                <w:highlight w:val="none"/>
              </w:rPr>
            </w:pPr>
            <w:r>
              <w:rPr>
                <w:rFonts w:hint="eastAsia" w:ascii="宋体" w:hAnsi="宋体"/>
                <w:b/>
                <w:sz w:val="24"/>
                <w:szCs w:val="24"/>
                <w:highlight w:val="none"/>
                <w:lang w:val="en-US" w:eastAsia="zh-CN"/>
              </w:rPr>
              <w:t xml:space="preserve">1</w:t>
            </w:r>
            <w:r>
              <w:rPr>
                <w:rFonts w:hint="eastAsia" w:ascii="宋体" w:hAnsi="宋体"/>
                <w:b/>
                <w:sz w:val="24"/>
                <w:szCs w:val="24"/>
                <w:highlight w:val="none"/>
              </w:rPr>
              <w:t xml:space="preserve">硬件部分</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1.1 微波输出功率≥1500W，微波安装功率≥2000W，主机外壳材质：特种不锈钢。</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1.2 最大压力：200Bar（3000PSI），最大温度300C，最大操作温度300C。</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1.3微波消解仪系统，所有样品内插于同一个单反应室内，单罐单次最大样品处理数量≥40个，单支反应管体积≥4mL。（投标文件中提供单罐反应支架实物图片）</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▲1.4 预加压反应腔体积≥1L，内衬杯采用特氟龙材质且直径≥85mm。（投标文件中提供内衬杯尺寸测量图和内衬杯实物图片）</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1.5 内置式排酸汽系统，拥有独立的排酸通道与气道，避免操作者接触酸蒸汽与反应气体，消解结束后仪器自动排除酸蒸汽，支持整机放入通风橱。（投标文件中提供通风橱内仪器实物图片佐证）</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1.6全自动预加压技术，微波消解前可预先充入高压氮气，使反应腔压力不低于30Bar，实验过程中自动充压，自动泄压，无需手动操作。</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1.7 外置循环水浴冷却系统，专业独立的压缩机大功率冷却系统，与主机分体设计，制冷功率≥1000W， 反应过程中在高温下实时冷却保护反应腔，反应结束后快速冷却降温，提高反应效率；智能PID控温；冷却水流量≥6.0L/min；冷却水箱容积≥2.5L。</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▲1.8 内置于主机的一体式触摸屏控制终端，直接镶嵌于仪器正前方，主机与控制终端无需有线连接，操作系统简介，更方便操作。（投标文件中提供实物图片）</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▲1.9 温度控制系统：内置一体式无线温度传感系统，温度探头不暴露在环境中或载荷液，无需人工安装温度传感器，实时监测、控制反应腔内温度， 实时显示温度数据与温度曲线。（投标文件中提供温度传感器实际位置布局图片以及运行温度数据与温度曲线实物图片）</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1.10 压力控制系统：内置压力传感系统，实时监测反应腔内压力， 实时显示压力数据与压力曲线。（投标文件中提供产品工作屏幕截图图片）</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▲1.11 实验结束后，设备内置气体吹扫及清洗功能，通过气路清洗腔体。内衬杯自动智能提升，反应管和支架在转移过程中需装在盖着盖子的内衬杯内。（投标文件中提供内衬杯自动智能提升按钮以及抬升后实物图片）</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▲1.12 反应腔同时具备电子和机械双重锁紧安全装置，具有手动螺纹锁紧，螺纹锁有效长度≥40mm，确保高压工作安全。（投标文件中提供反应腔安全装置实物图片）</w:t>
            </w:r>
            <w:r/>
          </w:p>
          <w:p>
            <w:pPr>
              <w:jc w:val="left"/>
              <w:spacing w:line="360" w:lineRule="auto"/>
              <w:rPr>
                <w:rFonts w:hint="eastAsia" w:ascii="宋体" w:hAnsi="宋体"/>
                <w:b/>
                <w:sz w:val="24"/>
                <w:szCs w:val="24"/>
                <w:highlight w:val="none"/>
              </w:rPr>
            </w:pPr>
            <w:r>
              <w:rPr>
                <w:rFonts w:hint="eastAsia" w:ascii="宋体" w:hAnsi="宋体"/>
                <w:b w:val="0"/>
                <w:bCs/>
                <w:sz w:val="24"/>
                <w:szCs w:val="24"/>
                <w:highlight w:val="none"/>
              </w:rPr>
              <w:t xml:space="preserve">1.13配置专用氮气钢瓶防爆柜，外部尺寸≥H1900*W600*D450mm（±3%）；外壳体全部采用不低于1.0mm的冷轧钢板，内外表面经酸洗磷化环氧树脂粉末喷涂，烘热固化处理，柜体左右两侧各开不小于4个气体管道接入导孔，每个导孔均有橡胶密封圈；方便不同高度的钢瓶气体管道和不同种类的气体管道的接入柜内安装；门板上设有玻璃视窗，可以观察柜内情形</w:t>
            </w:r>
            <w:r>
              <w:rPr>
                <w:rFonts w:hint="eastAsia" w:ascii="宋体" w:hAnsi="宋体"/>
                <w:b/>
                <w:sz w:val="24"/>
                <w:szCs w:val="24"/>
                <w:highlight w:val="none"/>
              </w:rPr>
              <w:t xml:space="preserve">。</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2. 软件控制系统</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2.1 通过预设方法曲线自动调节微波功率，实时显示微波功率曲线。</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2.2 可在线控制和修改所有的反应参数。</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2.3 具有智能程序升温、梯度升温功能，实时显示反应腔内温度、压力。</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2.4 设备内存≥1G，无需外接U盘即可自动保存所有样品消解的全面数据、曲线等信息。实验结束后可查看样品的反应过程所有的温度、压力数据及曲线。</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3.支架及消解管</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3.1 配置≥40位支架或者两个不低于20位支架 ，反应管体积≥4mL，超纯石英消解管≥80支。</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3.2 配置≥20位支架，反应管体积≥8mL，超纯石英消解管≥200支，聚四氟乙烯材质消解管数量不低于支架位数1倍，聚四氟乙烯材质消解管盖子数量不低于支架位数2倍。</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3.3 配置≥15位支架，反应管体积≥18mL，超纯石英消解管≥300支，聚四氟乙烯材质消解管不低于支架位数2倍，聚四氟乙烯材质消解管盖子不低于支架位数2倍。</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3.4 每个样品支架应有清晰的孔位编号，以便确认每根反应管实际对应的样品。</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3.5超纯石英消解管、聚四氟乙烯材质消解管和聚四氟乙烯材质消解管盖子等关键耗材元素残留本地低，满足GB5009.268-2025方法使用要求。</w:t>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4. 主机配置</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4.1微波消解仪主机（含软件操作系统）1台；</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4.2 无线非接触式高精度温度控制系统1套；</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4.3 非接触式高精度压力监控系统1套；</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4.4 自动安全防护门1套；</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4.5 自动预加压系统1套；</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4.6 自动泄压系统1套；</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4.7 内衬杯自动提升系统1套；</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4.8 排风系统1套；</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4.9 冷却循环水系统1套；</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4.10 专用氮气钢瓶防爆柜 1套</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4.11 配套赶酸板（反应体积≥8mL的赶酸孔不少于20个且反应体积≥18mL的赶酸孔不少于18个） 1台</w:t>
            </w:r>
            <w:r/>
          </w:p>
          <w:p>
            <w:pPr>
              <w:spacing w:line="360" w:lineRule="auto"/>
              <w:rPr>
                <w:rFonts w:ascii="宋体" w:hAnsi="宋体" w:cs="宋体"/>
                <w:sz w:val="24"/>
                <w:szCs w:val="24"/>
                <w:highlight w:val="none"/>
              </w:rPr>
            </w:pPr>
            <w:r>
              <w:rPr>
                <w:rFonts w:hint="eastAsia" w:ascii="宋体" w:hAnsi="宋体"/>
                <w:b w:val="0"/>
                <w:bCs/>
                <w:sz w:val="24"/>
                <w:szCs w:val="24"/>
                <w:highlight w:val="none"/>
              </w:rPr>
              <w:t xml:space="preserve">4.12 专用氮气钢瓶需要配套相应的连接线、转接头以及减压阀 1套</w:t>
            </w:r>
            <w:r/>
          </w:p>
        </w:tc>
      </w:tr>
    </w:tbl>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注：1、相关截图、检测内容与采购需求不完全一致的，经评审委员会一致认定实质性符合的，视为满足采购需求。</w:t>
      </w:r>
      <w:r/>
    </w:p>
    <w:p>
      <w:pPr>
        <w:ind w:firstLine="1024"/>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highlight w:val="none"/>
        </w:rPr>
        <w:t xml:space="preserve">2、“</w:t>
      </w:r>
      <w:r>
        <w:rPr>
          <w:rFonts w:hint="eastAsia" w:ascii="宋体" w:hAnsi="宋体" w:cs="宋体"/>
          <w:sz w:val="24"/>
          <w:highlight w:val="none"/>
        </w:rPr>
        <w:t xml:space="preserve">▲</w:t>
      </w:r>
      <w:r>
        <w:rPr>
          <w:rFonts w:hint="eastAsia" w:ascii="宋体" w:hAnsi="宋体" w:cs="宋体"/>
          <w:color w:val="000000"/>
          <w:sz w:val="24"/>
          <w:highlight w:val="none"/>
        </w:rPr>
        <w:t xml:space="preserve">”为</w:t>
      </w:r>
      <w:r>
        <w:rPr>
          <w:rFonts w:hint="eastAsia" w:ascii="宋体" w:hAnsi="宋体" w:cs="宋体"/>
          <w:color w:val="000000"/>
          <w:sz w:val="24"/>
          <w:szCs w:val="24"/>
          <w:highlight w:val="none"/>
        </w:rPr>
        <w:t xml:space="preserve">重要指标项，</w:t>
      </w:r>
      <w:r>
        <w:rPr>
          <w:rFonts w:hint="eastAsia" w:ascii="宋体" w:hAnsi="宋体" w:cs="宋体"/>
          <w:color w:val="000000"/>
          <w:sz w:val="24"/>
          <w:highlight w:val="none"/>
        </w:rPr>
        <w:t xml:space="preserve">不作为强制废标条款，但作为重要评分依据。</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四、</w:t>
      </w:r>
      <w:r>
        <w:rPr>
          <w:rFonts w:ascii="Times New Roman" w:hAnsi="Times New Roman"/>
          <w:b/>
          <w:sz w:val="28"/>
          <w:szCs w:val="28"/>
          <w:highlight w:val="none"/>
        </w:rPr>
        <w:t xml:space="preserve">供货要求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1、交货期：</w:t>
      </w:r>
      <w:r>
        <w:rPr>
          <w:rFonts w:hint="eastAsia" w:ascii="宋体" w:hAnsi="宋体"/>
          <w:b/>
          <w:bCs/>
          <w:i/>
          <w:iCs/>
          <w:sz w:val="24"/>
          <w:szCs w:val="24"/>
          <w:highlight w:val="none"/>
          <w:u w:val="single"/>
        </w:rPr>
        <w:t xml:space="preserve">合同签订后60天内完成安装调试，达到预期效果。</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2、交货方式：</w:t>
      </w:r>
      <w:r>
        <w:rPr>
          <w:rFonts w:hint="eastAsia" w:ascii="宋体" w:hAnsi="宋体"/>
          <w:color w:val="000000"/>
          <w:sz w:val="24"/>
          <w:highlight w:val="none"/>
        </w:rPr>
        <w:t xml:space="preserve">现场验收</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3、交货地点：</w:t>
      </w:r>
      <w:r>
        <w:rPr>
          <w:rFonts w:ascii="宋体" w:hAnsi="宋体"/>
          <w:sz w:val="24"/>
          <w:highlight w:val="none"/>
        </w:rPr>
        <w:t xml:space="preserve">采购人指定地点</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五</w:t>
      </w:r>
      <w:r>
        <w:rPr>
          <w:rFonts w:ascii="Times New Roman" w:hAnsi="Times New Roman"/>
          <w:b/>
          <w:sz w:val="28"/>
          <w:szCs w:val="28"/>
          <w:highlight w:val="none"/>
        </w:rPr>
        <w:t xml:space="preserve">、安装调试要求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1、能够保证设备按时正确地安装、调试和验收，并能满足正常运行和维修保养的需要。在未验收前，货物保管、安全均由供应商负责，货物送到采购人指定地点，并负责办理运输和装卸，费用由供应商负责。</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2、提供完整的设备的同时，还必须为所有设备提供规范、达标的安装工作。安装所需的必要仪器和专用工具由供应商自备。</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3、项目进度计划</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（1）合同签订后60天内完成安装调试，达到预期效果；</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（2）设备运行稳定、无质量问题进行验收。</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六、人员配备要求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1、本项目拟派项目组成员应至少具有项目负责人与培训师，其他项目组成员由供应商自行配备，满足本项目需求。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2、货物到达现场后，应派有经验的安装人员到现场进行货物的安装以及处理货物质量和数量短缺等问题，并对质量全面负责。</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七、履约验收要求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1、验收组织：成立由采购人、中标人组成的验收小组，负责对货物进行各项验收。</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2、验收通用要求：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（1）验收前，中标人应提前5天通知采购人。中标人与采购人在验收过程中应密切合作。</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（2）采购人有权拒绝接收有缺陷的产品或要求进行更换，由此引起的费用应由中标人负责。经更换后的产品应重新进行验收。</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（3）所有验收结果和结论，都应详细记录并由中标人的当事人签字。验收报告一式四份，其中两份交采购人，两份交中标人。</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3、验收依据：招标文件、投标文件、合同及相关的国家标准、行业标准、规范等。</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4、到货开箱验收：验收内容主要包括依据招标文件、投标文件要求对全部硬件和软件的名称、版本、数量、外形、包装及资料、文件等进行验收。</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八、培训要求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1、培训对象与内容</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应对采购人的技术人员和管理人员进行现场培训。培训内容应包括所提供货物的原理和技术性能、操作方法、安装调测、排除故障及升级等方面。</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2、培训目标</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通过培训，使受培训人员能熟练、独立掌握设备的各种情况使用、故障诊断，使之能适应设备正常运行的需求。</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九、售后服务要求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w:t>
      </w:r>
      <w:r>
        <w:rPr>
          <w:rFonts w:hint="eastAsia" w:ascii="宋体" w:hAnsi="宋体"/>
          <w:b/>
          <w:bCs/>
          <w:i/>
          <w:iCs/>
          <w:sz w:val="24"/>
          <w:szCs w:val="24"/>
          <w:highlight w:val="none"/>
          <w:u w:val="single"/>
        </w:rPr>
        <w:t xml:space="preserve">全自动血培养仪系统</w:t>
      </w:r>
      <w:r>
        <w:rPr>
          <w:rFonts w:ascii="宋体" w:hAnsi="宋体"/>
          <w:b/>
          <w:bCs/>
          <w:i/>
          <w:iCs/>
          <w:sz w:val="24"/>
          <w:szCs w:val="24"/>
          <w:highlight w:val="none"/>
          <w:u w:val="single"/>
        </w:rPr>
        <w:t xml:space="preserve">整机原厂质保</w:t>
      </w:r>
      <w:r>
        <w:rPr>
          <w:rFonts w:hint="eastAsia" w:ascii="宋体" w:hAnsi="宋体"/>
          <w:b/>
          <w:bCs/>
          <w:i/>
          <w:iCs/>
          <w:sz w:val="24"/>
          <w:szCs w:val="24"/>
          <w:highlight w:val="none"/>
          <w:u w:val="single"/>
        </w:rPr>
        <w:t xml:space="preserve">不少于</w:t>
      </w:r>
      <w:r>
        <w:rPr>
          <w:rFonts w:ascii="宋体" w:hAnsi="宋体"/>
          <w:b/>
          <w:bCs/>
          <w:i/>
          <w:iCs/>
          <w:sz w:val="24"/>
          <w:szCs w:val="24"/>
          <w:highlight w:val="none"/>
          <w:u w:val="single"/>
        </w:rPr>
        <w:t xml:space="preserve">24</w:t>
      </w:r>
      <w:r>
        <w:rPr>
          <w:rFonts w:hint="eastAsia" w:ascii="宋体" w:hAnsi="宋体"/>
          <w:b/>
          <w:bCs/>
          <w:i/>
          <w:iCs/>
          <w:sz w:val="24"/>
          <w:szCs w:val="24"/>
          <w:highlight w:val="none"/>
          <w:u w:val="single"/>
        </w:rPr>
        <w:t xml:space="preserve">个月</w:t>
      </w:r>
      <w:r>
        <w:rPr>
          <w:rFonts w:ascii="宋体" w:hAnsi="宋体"/>
          <w:b/>
          <w:bCs/>
          <w:i/>
          <w:iCs/>
          <w:sz w:val="24"/>
          <w:szCs w:val="24"/>
          <w:highlight w:val="none"/>
          <w:u w:val="single"/>
        </w:rPr>
        <w:t xml:space="preserve">（自验收合格之日起算），可付费延保；设备停产后</w:t>
      </w:r>
      <w:r>
        <w:rPr>
          <w:rFonts w:hint="eastAsia" w:ascii="宋体" w:hAnsi="宋体"/>
          <w:b/>
          <w:bCs/>
          <w:i/>
          <w:iCs/>
          <w:sz w:val="24"/>
          <w:szCs w:val="24"/>
          <w:highlight w:val="none"/>
          <w:u w:val="single"/>
        </w:rPr>
        <w:t xml:space="preserve">提供不少于</w:t>
      </w:r>
      <w:r>
        <w:rPr>
          <w:rFonts w:ascii="宋体" w:hAnsi="宋体"/>
          <w:b/>
          <w:bCs/>
          <w:i/>
          <w:iCs/>
          <w:sz w:val="24"/>
          <w:szCs w:val="24"/>
          <w:highlight w:val="none"/>
          <w:u w:val="single"/>
        </w:rPr>
        <w:t xml:space="preserve">5年备件保障</w:t>
      </w:r>
      <w:r>
        <w:rPr>
          <w:rFonts w:hint="eastAsia" w:ascii="宋体" w:hAnsi="宋体"/>
          <w:b/>
          <w:bCs/>
          <w:i/>
          <w:iCs/>
          <w:sz w:val="24"/>
          <w:szCs w:val="24"/>
          <w:highlight w:val="none"/>
          <w:u w:val="single"/>
        </w:rPr>
        <w:t xml:space="preserve">。（供应商投标时提供承诺书加盖公章，成交后提供由制造商加盖公章的维护承诺或协议）</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w:t>
      </w:r>
      <w:r>
        <w:rPr>
          <w:rFonts w:hint="eastAsia" w:ascii="宋体" w:hAnsi="宋体"/>
          <w:b/>
          <w:bCs/>
          <w:i/>
          <w:iCs/>
          <w:sz w:val="24"/>
          <w:szCs w:val="24"/>
          <w:highlight w:val="none"/>
          <w:u w:val="single"/>
        </w:rPr>
        <w:t xml:space="preserve">液相色谱仪、智能厌氧微生物培养系统整套设备</w:t>
      </w:r>
      <w:r>
        <w:rPr>
          <w:rFonts w:ascii="宋体" w:hAnsi="宋体"/>
          <w:b/>
          <w:bCs/>
          <w:i/>
          <w:iCs/>
          <w:sz w:val="24"/>
          <w:szCs w:val="24"/>
          <w:highlight w:val="none"/>
          <w:u w:val="single"/>
        </w:rPr>
        <w:t xml:space="preserve">原厂</w:t>
      </w:r>
      <w:r>
        <w:rPr>
          <w:rFonts w:hint="eastAsia" w:ascii="宋体" w:hAnsi="宋体"/>
          <w:b/>
          <w:bCs/>
          <w:i/>
          <w:iCs/>
          <w:sz w:val="24"/>
          <w:szCs w:val="24"/>
          <w:highlight w:val="none"/>
          <w:u w:val="single"/>
        </w:rPr>
        <w:t xml:space="preserve">质保不小于24个月</w:t>
      </w:r>
      <w:r>
        <w:rPr>
          <w:rFonts w:ascii="宋体" w:hAnsi="宋体"/>
          <w:b/>
          <w:bCs/>
          <w:i/>
          <w:iCs/>
          <w:sz w:val="24"/>
          <w:szCs w:val="24"/>
          <w:highlight w:val="none"/>
          <w:u w:val="single"/>
        </w:rPr>
        <w:t xml:space="preserve">（自验收合格之日起算）</w:t>
      </w:r>
      <w:r>
        <w:rPr>
          <w:rFonts w:hint="eastAsia" w:ascii="宋体" w:hAnsi="宋体"/>
          <w:b/>
          <w:bCs/>
          <w:i/>
          <w:iCs/>
          <w:sz w:val="24"/>
          <w:szCs w:val="24"/>
          <w:highlight w:val="none"/>
          <w:u w:val="single"/>
        </w:rPr>
        <w:t xml:space="preserve">，保修期外优惠收取零配件费用与上门维修服务费用，液相色谱仪零配件应保证仪器寿命周期内均有供应（不少于10年），提供主要零配件的优惠价，零配件供应时间国内不超过2天、国外不超过2周。（供应商投标时提供承诺书加盖公章，成交后提供由制造商加盖公章的维护承诺或协议）</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w:t>
      </w:r>
      <w:r>
        <w:rPr>
          <w:rFonts w:hint="eastAsia" w:ascii="宋体" w:hAnsi="宋体"/>
          <w:b/>
          <w:bCs/>
          <w:i/>
          <w:iCs/>
          <w:sz w:val="24"/>
          <w:szCs w:val="24"/>
          <w:highlight w:val="none"/>
          <w:u w:val="single"/>
        </w:rPr>
        <w:t xml:space="preserve">40位微波消解仪整套系统</w:t>
      </w:r>
      <w:r>
        <w:rPr>
          <w:rFonts w:ascii="宋体" w:hAnsi="宋体"/>
          <w:b/>
          <w:bCs/>
          <w:i/>
          <w:iCs/>
          <w:sz w:val="24"/>
          <w:szCs w:val="24"/>
          <w:highlight w:val="none"/>
          <w:u w:val="single"/>
        </w:rPr>
        <w:t xml:space="preserve">不少于36个月的原厂免费质保（自验收合格之日起算），质保期内设备免费维修，解决各种技术瑕疵，终身维护。</w:t>
      </w:r>
      <w:r>
        <w:rPr>
          <w:rFonts w:hint="eastAsia" w:ascii="宋体" w:hAnsi="宋体"/>
          <w:b/>
          <w:bCs/>
          <w:i/>
          <w:iCs/>
          <w:sz w:val="24"/>
          <w:szCs w:val="24"/>
          <w:highlight w:val="none"/>
          <w:u w:val="single"/>
        </w:rPr>
        <w:t xml:space="preserve">（供应商投标时提供承诺书加盖公章，成交后提供由制造商加盖公章的维护承诺或协议）</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4、</w:t>
      </w:r>
      <w:r>
        <w:rPr>
          <w:rFonts w:hint="eastAsia" w:ascii="宋体" w:hAnsi="宋体"/>
          <w:b/>
          <w:bCs/>
          <w:i/>
          <w:iCs/>
          <w:sz w:val="24"/>
          <w:szCs w:val="24"/>
          <w:highlight w:val="none"/>
          <w:u w:val="single"/>
        </w:rPr>
        <w:t xml:space="preserve">质保期内每年提供一次原厂技术维护，每季度上门维保校准，出具校准报告，质保期外提供仪器寿命期内上门维保（供应商投标时提供承诺书加盖公章，成交后提供由制造商加盖公章的维护承诺或协议）</w:t>
      </w:r>
      <w:r>
        <w:rPr>
          <w:rFonts w:ascii="宋体" w:hAnsi="宋体"/>
          <w:sz w:val="24"/>
          <w:szCs w:val="24"/>
          <w:highlight w:val="none"/>
        </w:rPr>
        <w:t xml:space="preserve">。</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5、仪器出现故障后，7*24小时在线服务，</w:t>
      </w:r>
      <w:r>
        <w:rPr>
          <w:rFonts w:ascii="宋体" w:hAnsi="宋体"/>
          <w:sz w:val="24"/>
          <w:szCs w:val="24"/>
          <w:highlight w:val="none"/>
        </w:rPr>
        <w:t xml:space="preserve">2</w:t>
      </w:r>
      <w:r>
        <w:rPr>
          <w:rFonts w:hint="eastAsia" w:ascii="宋体" w:hAnsi="宋体"/>
          <w:sz w:val="24"/>
          <w:szCs w:val="24"/>
          <w:highlight w:val="none"/>
        </w:rPr>
        <w:t xml:space="preserve">小时</w:t>
      </w:r>
      <w:r>
        <w:rPr>
          <w:rFonts w:ascii="宋体" w:hAnsi="宋体"/>
          <w:sz w:val="24"/>
          <w:szCs w:val="24"/>
          <w:highlight w:val="none"/>
        </w:rPr>
        <w:t xml:space="preserve">内</w:t>
      </w:r>
      <w:r>
        <w:rPr>
          <w:rFonts w:hint="eastAsia" w:ascii="宋体" w:hAnsi="宋体"/>
          <w:sz w:val="24"/>
          <w:szCs w:val="24"/>
          <w:highlight w:val="none"/>
        </w:rPr>
        <w:t xml:space="preserve">响应</w:t>
      </w:r>
      <w:r>
        <w:rPr>
          <w:rFonts w:ascii="宋体" w:hAnsi="宋体"/>
          <w:sz w:val="24"/>
          <w:szCs w:val="24"/>
          <w:highlight w:val="none"/>
        </w:rPr>
        <w:t xml:space="preserve">远程指导</w:t>
      </w:r>
      <w:r>
        <w:rPr>
          <w:rFonts w:hint="eastAsia" w:ascii="宋体" w:hAnsi="宋体"/>
          <w:sz w:val="24"/>
          <w:szCs w:val="24"/>
          <w:highlight w:val="none"/>
        </w:rPr>
        <w:t xml:space="preserve">，配备线上视频教程与实时答疑通道，一般问题维修响应时间不超过24小时，重大问题或偏远地区不超过48小时。</w:t>
      </w:r>
      <w:r/>
    </w:p>
    <w:p>
      <w:pPr>
        <w:ind w:firstLine="480"/>
        <w:jc w:val="left"/>
        <w:spacing w:line="360" w:lineRule="auto"/>
        <w:tabs>
          <w:tab w:val="left" w:pos="472"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6、质保期过后的升级维护维修只收取工本维护费用。</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7、长期提供设备保养、系统升级、网络接入、链接调试、科研指导、教学培训等服务</w:t>
      </w:r>
      <w:r>
        <w:rPr>
          <w:rFonts w:hint="eastAsia" w:ascii="宋体" w:hAnsi="宋体" w:cs="宋体"/>
          <w:color w:val="000000"/>
          <w:sz w:val="24"/>
          <w:szCs w:val="24"/>
          <w:highlight w:val="none"/>
        </w:rPr>
        <w:t xml:space="preserve">（此费用包含在投标费用中，采购人不另行付费）</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8、产品验收合格后，中标供应商应选派专业技术人员对采购单位的相关人员进行技术培训，保证被培训人员能掌握操作方法和维护。</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9、中标供应商免费提供相关培训和产品的相关资料及演示视频等，并配备相应的操作流程、注意事项及保养方法。</w:t>
      </w:r>
      <w:r/>
    </w:p>
    <w:p>
      <w:pPr>
        <w:ind w:firstLine="480"/>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10、厂家免费现场培训操作人员，培训内容包括仪器基本原理、操作使用及日常保养维修等，培训至技术人员能独立操作为止。另外免费提供不少于3人次到厂家应用实验室的培训名额，具体培训日程根据厂家课程计划自行选择。</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11、提供软件操作现场培训和应用培训（此费用包含在投标费用中，采购人不另行付费），协助用户建立相关检测方法。提供4个赴设备制造商的专业培训名额（此费用包含在投标费用中，采购人不另行付费），培训合格颁发相应证书，内容包括仪器的基本原理、操作应用及仪器的维护保养知识，直到用户能正常使用和维护仪器。</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十、商品包装及快递包装要求</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十一、投标报价要求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1、报价币种为人民币。</w:t>
      </w:r>
      <w:r/>
    </w:p>
    <w:p>
      <w:pPr>
        <w:ind w:firstLine="480"/>
        <w:jc w:val="left"/>
        <w:spacing w:line="360" w:lineRule="auto"/>
        <w:rPr>
          <w:rFonts w:ascii="Times New Roman" w:hAnsi="Times New Roman"/>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2、投标报价须包含但不限于设备价款、标准附件、备品备件、专用工具、包装、运输、装卸、货到就位</w:t>
      </w:r>
      <w:r>
        <w:rPr>
          <w:rFonts w:hint="eastAsia" w:ascii="宋体" w:hAnsi="宋体"/>
          <w:color w:val="auto"/>
          <w:sz w:val="24"/>
          <w:szCs w:val="24"/>
          <w:highlight w:val="none"/>
        </w:rPr>
        <w:t xml:space="preserve">以及安装（升级）、调试、管理、售后、培训、保险、利润、税金、政策性文件规定及合同包含的所有风险及责任等各项应有费用，直至交付至采购人使用时所需要的各种费用（包含所有隐含的内容）。</w:t>
      </w:r>
      <w:r/>
    </w:p>
    <w:p>
      <w:pPr>
        <w:ind w:firstLine="480"/>
        <w:jc w:val="left"/>
        <w:spacing w:line="360" w:lineRule="auto"/>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投标报价须包含</w:t>
      </w:r>
      <w:r>
        <w:rPr>
          <w:rFonts w:hint="eastAsia" w:ascii="宋体" w:hAnsi="宋体"/>
          <w:color w:val="auto"/>
          <w:sz w:val="24"/>
          <w:szCs w:val="24"/>
          <w:highlight w:val="none"/>
          <w:lang w:val="en-US" w:eastAsia="zh-CN"/>
        </w:rPr>
        <w:t xml:space="preserve">质保期内的质保费用，否则采购人有权自行委托设备制造商，所产生费用由成交供应商承担，在结算价款中扣除。</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十二、付款方式与履约保证金</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1、付款方式</w:t>
      </w:r>
      <w:r/>
    </w:p>
    <w:p>
      <w:pPr>
        <w:ind w:left="479" w:firstLine="65"/>
        <w:jc w:val="left"/>
        <w:spacing w:line="360" w:lineRule="auto"/>
        <w:rPr>
          <w:rFonts w:ascii="宋体" w:hAnsi="宋体"/>
          <w:b/>
          <w:bCs/>
          <w:i/>
          <w:iCs/>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b/>
          <w:bCs/>
          <w:i/>
          <w:iCs/>
          <w:sz w:val="24"/>
          <w:szCs w:val="24"/>
          <w:highlight w:val="none"/>
          <w:u w:val="single"/>
        </w:rPr>
        <w:t xml:space="preserve">设备安装调试经验收合格后，经审计票据齐全后一次性支付至审计金额的100%。</w:t>
      </w:r>
      <w:r/>
    </w:p>
    <w:p>
      <w:pPr>
        <w:ind w:left="479" w:firstLine="64"/>
        <w:jc w:val="left"/>
        <w:spacing w:line="360" w:lineRule="auto"/>
        <w:rPr>
          <w:rFonts w:ascii="宋体" w:hAnsi="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rPr>
        <w:t xml:space="preserve">2、履约保证金</w:t>
      </w:r>
      <w:r/>
    </w:p>
    <w:p>
      <w:pPr>
        <w:ind w:firstLine="480"/>
        <w:jc w:val="left"/>
        <w:spacing w:line="360" w:lineRule="auto"/>
        <w:rPr>
          <w:rFonts w:hint="eastAsia" w:ascii="宋体" w:hAnsi="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rPr>
        <w:t xml:space="preserve">本项目收取履约保证金</w:t>
      </w:r>
      <w:r>
        <w:rPr>
          <w:rFonts w:hint="eastAsia" w:ascii="宋体" w:hAnsi="宋体"/>
          <w:color w:val="auto"/>
          <w:sz w:val="24"/>
          <w:szCs w:val="24"/>
          <w:highlight w:val="none"/>
          <w:lang w:eastAsia="zh-CN"/>
        </w:rPr>
        <w:t xml:space="preserve">，金额为合同金额的</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lang w:eastAsia="zh-CN"/>
        </w:rPr>
        <w:t xml:space="preserve">%。</w:t>
      </w:r>
      <w:r/>
    </w:p>
    <w:p>
      <w:pPr>
        <w:ind w:firstLine="480"/>
        <w:jc w:val="left"/>
        <w:spacing w:line="360" w:lineRule="auto"/>
        <w:rPr>
          <w:rFonts w:hint="eastAsia" w:ascii="宋体" w:hAnsi="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）中标人应当以支票、汇票、本票或者金融机构、担保机构出具的保函等非现金形式在合同签订前提交。</w:t>
      </w:r>
      <w:r/>
    </w:p>
    <w:p>
      <w:pPr>
        <w:ind w:firstLine="482"/>
        <w:jc w:val="left"/>
        <w:keepLines w:val="0"/>
        <w:keepNext w:val="0"/>
        <w:pageBreakBefore w:val="0"/>
        <w:spacing w:line="360" w:lineRule="auto"/>
        <w:widowControl w:val="off"/>
        <w:rPr>
          <w:rFonts w:hint="eastAsia" w:ascii="宋体" w:hAnsi="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本项目支持和鼓励供应商使用江苏政府采购电子履约保函（保险）代替缴纳履约保证金。以履约保函（保险）形式向采购人缴纳的，供应商可登陆江苏政府采购网“资料下载”“江苏政府采购电子履约保函（保险）平台操作手册-中标或成交供应商”（网址：http://www.ccgp-jiangsu.gov.cn/jiangsu/zlxz/75/750b058ebefe4ed1b94f0c185e0af388.html)。</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十三、其他</w:t>
      </w:r>
      <w:bookmarkEnd w:id="9"/>
      <w:r/>
      <w:bookmarkEnd w:id="10"/>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1、本项目报价不得超过预算价（最高限价）。</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2、特别提醒供应商：应根据国家收费标准并结合市场实际进行报价，总价包干。</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p>
    <w:p>
      <w:pPr>
        <w:pStyle w:val="890"/>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19" w:name="_Toc165205798"/>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19"/>
      <w:r/>
      <w:r/>
    </w:p>
    <w:p>
      <w:pPr>
        <w:ind w:firstLine="480"/>
        <w:jc w:val="left"/>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24"/>
          <w:szCs w:val="24"/>
          <w:highlight w:val="none"/>
        </w:rPr>
        <w:t xml:space="preserve">一、评标方法</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r/>
    </w:p>
    <w:p>
      <w:pPr>
        <w:ind w:firstLine="480"/>
        <w:jc w:val="left"/>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ascii="黑体" w:hAnsi="黑体" w:eastAsia="黑体"/>
          <w:sz w:val="24"/>
          <w:szCs w:val="24"/>
          <w:highlight w:val="none"/>
        </w:rPr>
        <w:t xml:space="preserve">二、评标标准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（2）本项目评分总分为100分，按四舍五入取至小数点后两位。</w:t>
      </w:r>
      <w:r/>
    </w:p>
    <w:p>
      <w:pPr>
        <w:ind w:firstLine="480"/>
        <w:jc w:val="left"/>
        <w:spacing w:line="500" w:lineRule="exact"/>
        <w:rPr>
          <w:rFonts w:ascii="黑体" w:hAnsi="黑体" w:eastAsia="黑体"/>
          <w:sz w:val="32"/>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（3）总得分=价格分+技术分+商务分。</w:t>
      </w:r>
      <w:r/>
    </w:p>
    <w:p>
      <w:pPr>
        <w:jc w:val="center"/>
        <w:spacing w:line="500" w:lineRule="exact"/>
        <w:rPr>
          <w:rFonts w:ascii="黑体" w:hAnsi="黑体" w:eastAsia="黑体"/>
          <w:sz w:val="32"/>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32"/>
          <w:szCs w:val="24"/>
          <w:highlight w:val="none"/>
        </w:rPr>
        <w:t xml:space="preserve">综合评分法</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（1）价格分（30分）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投标报价得分=（评标基准价／投标报价）×30分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因落实政府采购政策进行价格扣除的，用扣除后的价格参加评审。</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（2）技术分（</w:t>
      </w:r>
      <w:r>
        <w:rPr>
          <w:rFonts w:hint="eastAsia"/>
          <w:sz w:val="24"/>
          <w:szCs w:val="24"/>
          <w:highlight w:val="none"/>
          <w:lang w:val="en-US" w:eastAsia="zh-CN"/>
        </w:rPr>
        <w:t xml:space="preserve">22</w:t>
      </w:r>
      <w:r>
        <w:rPr>
          <w:rFonts w:hint="eastAsia"/>
          <w:sz w:val="24"/>
          <w:szCs w:val="24"/>
          <w:highlight w:val="none"/>
        </w:rPr>
        <w:t xml:space="preserve">分）</w:t>
      </w:r>
      <w:r/>
    </w:p>
    <w:tbl>
      <w:tblPr>
        <w:tblStyle w:val="674"/>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8660"/>
      </w:tblGrid>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none"/>
              </w:rPr>
              <w:t xml:space="preserve">评审细则</w:t>
            </w:r>
            <w:r/>
          </w:p>
          <w:p>
            <w:pPr>
              <w:jc w:val="center"/>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none"/>
              </w:rPr>
              <w:t xml:space="preserve">及分值</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center"/>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none"/>
              </w:rPr>
              <w:t xml:space="preserve">评审标准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szCs w:val="24"/>
                <w:highlight w:val="none"/>
              </w:rPr>
              <w:t xml:space="preserve">产品质量、性能整体方案</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8分</w:t>
            </w:r>
            <w:r>
              <w:rPr>
                <w:rFonts w:hint="eastAsia" w:ascii="宋体" w:hAnsi="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895"/>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投标时投标人应提供产品质量性能说明，注明技术与疾病预防控制中心匹配度及选型依据、产品稳定性、产品性能（诸如既往用户满意度评价、在专业杂志发表的专业类文献、实际用户同品牌仪器使用年限等）等产品质量性能参数。评委根据投标人所投产品的整体配置选型情况进行打分：</w:t>
            </w:r>
            <w:r/>
          </w:p>
          <w:p>
            <w:pPr>
              <w:pStyle w:val="895"/>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1、配置选型方面，展现出高度的合理性，充分考虑了实际应用的需求与场景，确保所选配置能够充分发挥效用，不造成资源浪费。技术层面，具有检测应用研发能力，如在专业杂志发表的专业类文献、有成熟案例能为用户提供相关的检测方法开发及优化，产品具备较高的可扩展性。稳定性方面，产品经过严格的质量控制和测试验证且有实际用户使用年限案列，确保能够保持稳定的运行状态。产品性能成熟度方面，该产品在市场上稳定性，其产品在性能、质量、可靠性等方面均得到了认可和好评，得8分。</w:t>
            </w:r>
            <w:r/>
          </w:p>
          <w:p>
            <w:pPr>
              <w:pStyle w:val="895"/>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2、配置选型方面，表现出较好的合理性，较充分地考虑了实际应用的需求与场景，所选配置基本能够发挥效用，资源浪费较少。技术层面，具备一定的检测应用研发能力，或有相关专业文献、成熟案例支持，能为用户提供基本的检测方法开发及优化服务，产品具备较好的可扩展性。稳定性方面，产品经过较严格的质量控制和测试验证，且有实际用户使用案例，能够保持较长时间的稳定运行状态。产品性能成熟度方面，该产品在市场上表现较为稳定，其性能、质量、可靠性等方面获得了多数用户的认可，得</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分。</w:t>
            </w:r>
            <w:r/>
          </w:p>
          <w:p>
            <w:pPr>
              <w:pStyle w:val="895"/>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3、配置选型方面，具备基本的合理性，大致考虑了实际应用的需求与场景，所选配置能满足主要使用要求，但存在一定程度的资源冗余或不足。技术层面，检测应用研发能力一般，缺乏专业文献或成熟案例，能为用户提供有限的方法优化支持，产品可扩展性尚可。稳定性方面，产品经过常规质量控制和测试验证，但用户使用年限案例较少，在正常运行环境下能够保持基本的稳定运行状态。产品性能成熟度方面，该产品在市场上稳定性一般，其性能、质量、可靠性等方面尚未获得广泛认可，但无明显负面评价</w:t>
            </w:r>
            <w:r>
              <w:rPr>
                <w:rFonts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分。</w:t>
            </w:r>
            <w:r/>
          </w:p>
          <w:p>
            <w:pPr>
              <w:pStyle w:val="895"/>
              <w:jc w:val="both"/>
              <w:spacing w:line="360" w:lineRule="auto"/>
              <w:rPr>
                <w:rFonts w:hint="default" w:ascii="宋体" w:hAnsi="宋体" w:cs="宋体"/>
                <w:color w:val="auto"/>
                <w:sz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4、配置选型方面，具有一定合理性，能够考虑到实际应用的部分需求与场景，但配置与使用需求之间存在一定偏差。技术层面，采用了较为成熟的技术架构和设计理念，但研发能力有限，无法提供检测方法开发服务，产品具备一定可扩展性。稳定性方面，产品经过质量控制和测试验证，保证在正常运行环境下能够保持稳定的运行状态，但缺乏长期用户使用数据。产品性能成熟度方面，该产品在市场上稳定性尚可，其性能、质量、可靠性等方面被部分用户认可，但认可度不高</w:t>
            </w:r>
            <w:r>
              <w:rPr>
                <w:rFonts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w:t>
            </w:r>
            <w:r/>
          </w:p>
          <w:p>
            <w:pPr>
              <w:pStyle w:val="895"/>
              <w:jc w:val="both"/>
              <w:spacing w:line="360" w:lineRule="auto"/>
              <w:rPr>
                <w:rFonts w:hint="eastAsia" w:ascii="宋体" w:hAnsi="宋体" w:cs="宋体"/>
                <w:color w:val="auto"/>
                <w:sz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5、配置选型方面，合理性不足，未能充分结合实际应用的需求与场景，所选配置存在较明显的资源浪费或性能瓶颈。技术层面，采用的技术架构和设计理念相对落后，缺乏检测应用研发能力，无相关文献或案例支撑，产品可扩展性较差。稳定性方面，产品质量控制和测试验证不够充分，未能提供足够的运行稳定性证据，存在偶发性故障风险。产品性能成熟度方面，该产品在市场上表现不够稳定，其性能、质量、可靠性等方面的用户认可度较低</w:t>
            </w:r>
            <w:r>
              <w:rPr>
                <w:rFonts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pStyle w:val="895"/>
              <w:jc w:val="both"/>
              <w:spacing w:line="360" w:lineRule="auto"/>
              <w:rPr>
                <w:rFonts w:hint="eastAsia" w:ascii="宋体" w:hAnsi="宋体" w:cs="宋体"/>
                <w:color w:val="auto"/>
                <w:sz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6、配置选型方面，合理性较差，与实际应用的需求和场景不相匹配，所选配置难以满足基本使用要求，资源浪费严重。技术层面，采用了较为落后的技术架构和设计理念，不具备检测应用研发能力，产品几乎无可扩展性。稳定性方面，未能提供有效的质量控制和测试验证证明，在正常运行环境下难以保证稳定的运行状态，故障率较高。产品性能成熟度方面，该产品在市场上稳定性不足，其性能、质量、可靠性等方面认可度低，用户反馈多为负面</w:t>
            </w:r>
            <w:r>
              <w:rPr>
                <w:rFonts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w:t>
            </w:r>
            <w:r/>
          </w:p>
          <w:p>
            <w:pPr>
              <w:pStyle w:val="895"/>
              <w:jc w:val="both"/>
              <w:spacing w:line="360" w:lineRule="auto"/>
              <w:rPr>
                <w:rFonts w:hint="eastAsia" w:ascii="宋体" w:hAnsi="宋体" w:cs="宋体"/>
                <w:color w:val="auto"/>
                <w:sz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7、配置选型方面，完全脱离实际应用的需求和场景，所选配置极不合理，造成严重的资源浪费或功能缺失。技术层面，采用了陈旧落后的技术架构和设计理念，无任何研发能力支撑，产品不具备可扩展性。稳定性方面，完全未能证明产品在正常运行环境下能够保持稳定的运行状态，缺乏基本的质量控制与测试。产品性能成熟度方面，该产品在市场上极不稳定，其性能、质量、可靠性等方面认可度极低，几乎未获得用户认可，</w:t>
            </w:r>
            <w:r>
              <w:rPr>
                <w:rFonts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pStyle w:val="895"/>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highlight w:val="none"/>
                <w:lang w:val="en-US" w:eastAsia="zh-CN"/>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895"/>
              <w:jc w:val="both"/>
              <w:spacing w:line="360" w:lineRule="auto"/>
              <w:rPr>
                <w:rFonts w:hint="eastAsia" w:ascii="宋体" w:hAnsi="宋体" w:cs="宋体"/>
                <w:color w:val="auto"/>
                <w:sz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售后服务方案（7分）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895"/>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投标时投标人应对本项目提供完整、详细、可行的售后服务方案，内容包括但不限于：①保修时间响应、②服务响应速度、③日常维护和保养、④零配件和维修备品备件的供应保障、⑤售后服务人员专业素养、⑥客户反馈处理机制等。评委根据投标人提供的具体方案进行综合评定。</w:t>
            </w:r>
            <w:r/>
          </w:p>
          <w:p>
            <w:pPr>
              <w:pStyle w:val="895"/>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1、售后服务方案细致完整、针对性强、措施有力，方案的贯彻应能满足本项目各项服务要求，方案内容描述全面合理符合采购需求的得7分；</w:t>
            </w:r>
            <w:r/>
          </w:p>
          <w:p>
            <w:pPr>
              <w:pStyle w:val="895"/>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2、售后服务方案较细致完整，具有较强针对性，措施较为有力，方案的贯彻基本能满足本项目各项服务要求，方案内容描述较全面合理，基本符合采购需求的得6分；</w:t>
            </w:r>
            <w:r/>
          </w:p>
          <w:p>
            <w:pPr>
              <w:pStyle w:val="895"/>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3、售后服务方案基本完整，具有一定针对性，措施基本可行，方案的贯彻能基本满足主要服务要求，方案内容描述基本合理，但部分细节不够具体或略有欠缺的得5分；</w:t>
            </w:r>
            <w:r/>
          </w:p>
          <w:p>
            <w:pPr>
              <w:pStyle w:val="895"/>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4、售后服务方案完整性不足，针对性一般，措施不够得力，方案的贯彻不能完全满足各项服务要求，方案内容描述有较多疏漏，合理性较差的得4分；</w:t>
            </w:r>
            <w:r/>
          </w:p>
          <w:p>
            <w:pPr>
              <w:pStyle w:val="895"/>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5、售后服务方案较为粗略，缺乏针对性，措施乏力或流于形式，方案的贯彻难以有效满足服务要求，方案内容描述粗浅，多处关键内容缺失，不符合采购需求的得3分；</w:t>
            </w:r>
            <w:r/>
          </w:p>
          <w:p>
            <w:pPr>
              <w:pStyle w:val="895"/>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6、售后服务方案严重缺失，内容空泛或与项目无关，无具体针对性，无实质措施，方案的贯彻无法满足基本服务要求，方案内容描述混乱或基本未响应的得2分。</w:t>
            </w:r>
            <w:r/>
          </w:p>
          <w:p>
            <w:pPr>
              <w:pStyle w:val="895"/>
              <w:jc w:val="both"/>
              <w:spacing w:line="360" w:lineRule="auto"/>
              <w:rPr>
                <w:rFonts w:hint="eastAsia" w:ascii="宋体" w:hAnsi="宋体" w:cs="宋体"/>
                <w:color w:val="auto"/>
                <w:sz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b/>
                <w:bCs/>
                <w:sz w:val="24"/>
                <w:highlight w:val="none"/>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szCs w:val="24"/>
                <w:highlight w:val="none"/>
              </w:rPr>
              <w:t xml:space="preserve">培训方案（7分）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highlight w:val="none"/>
              </w:rPr>
              <w:t xml:space="preserve">投标时投标人应对本项目提供完整、详细、可行的培训方案，内容包括但不限于：①培训内容、②时间地点安排、③科研培训能力、④师资和人次、⑤管理和协调、⑥效果评价。评委根据投标人提供的具体方案进行综合评定。</w:t>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highlight w:val="none"/>
              </w:rPr>
              <w:t xml:space="preserve">1、</w:t>
            </w:r>
            <w:r>
              <w:rPr>
                <w:rFonts w:hint="eastAsia" w:ascii="宋体" w:hAnsi="宋体" w:cs="宋体"/>
                <w:sz w:val="24"/>
                <w:szCs w:val="24"/>
                <w:highlight w:val="none"/>
              </w:rPr>
              <w:t xml:space="preserve">培训方案完整，详细，针对性强、贯彻各项服务要求、</w:t>
            </w:r>
            <w:r>
              <w:rPr>
                <w:rFonts w:hint="eastAsia" w:ascii="宋体" w:hAnsi="宋体" w:cs="宋体"/>
                <w:sz w:val="24"/>
                <w:highlight w:val="none"/>
              </w:rPr>
              <w:t xml:space="preserve">能够根据货物特点安排有针对性并符合业主要求的培训内容，由富有经验的师资力量开展培训活动，具有详细培训课程安排和个性化的培训效果评价计划</w:t>
            </w:r>
            <w:r>
              <w:rPr>
                <w:rFonts w:hint="eastAsia" w:ascii="宋体" w:hAnsi="宋体" w:cs="宋体"/>
                <w:sz w:val="24"/>
                <w:szCs w:val="24"/>
                <w:highlight w:val="none"/>
              </w:rPr>
              <w:t xml:space="preserve">的得7分；</w:t>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2、培训方案较完整、较详细，具有一定针对性，基本贯彻各项服务要求，能够根据货物特点安排较为合理的培训内容，由具备一定经验的师资开展培训活动，有较具体的培训课程安排和较可行的效果评价计划的得6分；</w:t>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3、培训方案基本完整，针对性一般，能基本满足服务要求，培训内容安排基本符合货物特点，师资力量及经验尚可，有基本的课程时间安排和效果评价框架的得5分；</w:t>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4、培训方案完整性不足，针对性不强，对服务要求的贯彻不够全面，培训内容与货物特点关联不紧密，师资经验或配备不足，课程安排粗略，效果评价计划简单或可操作性较差的得4分；</w:t>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5、培训方案较粗略，缺乏针对性，未能有效响应服务要求，培训内容未体现货物特点，师资力量薄弱或未明确，课程安排混乱或缺失，效果评价计划不具可行性的得3分；</w:t>
            </w:r>
            <w:r/>
          </w:p>
          <w:p>
            <w:pPr>
              <w:jc w:val="left"/>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6、培训方案严重缺失，几乎无针对性，未体现对服务要求的响应，培训内容与货物基本无关，无实质师资和人次说明，无明确课程安排，无效果评价计划的得2分。</w:t>
            </w:r>
            <w:r/>
          </w:p>
          <w:p>
            <w:pPr>
              <w:jc w:val="left"/>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highlight w:val="none"/>
              </w:rPr>
              <w:t xml:space="preserve">未提供不得分。</w:t>
            </w:r>
            <w:r/>
          </w:p>
        </w:tc>
      </w:tr>
    </w:tbl>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（3）商务分（</w:t>
      </w:r>
      <w:r>
        <w:rPr>
          <w:rFonts w:hint="eastAsia"/>
          <w:sz w:val="24"/>
          <w:szCs w:val="24"/>
          <w:highlight w:val="none"/>
          <w:lang w:val="en-US" w:eastAsia="zh-CN"/>
        </w:rPr>
        <w:t xml:space="preserve">48</w:t>
      </w:r>
      <w:r>
        <w:rPr>
          <w:rFonts w:hint="eastAsia"/>
          <w:sz w:val="24"/>
          <w:szCs w:val="24"/>
          <w:highlight w:val="none"/>
        </w:rPr>
        <w:t xml:space="preserve">分）</w:t>
      </w:r>
      <w:r/>
    </w:p>
    <w:tbl>
      <w:tblPr>
        <w:tblStyle w:val="674"/>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8"/>
        <w:gridCol w:w="8166"/>
      </w:tblGrid>
      <w:tr>
        <w:trPr>
          <w:trHeight w:val="882"/>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spacing w:line="360" w:lineRule="auto"/>
              <w:rPr>
                <w:rFonts w:ascii="宋体" w:hAnsi="宋体" w:cs="宋体"/>
                <w:b/>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评审细则</w:t>
            </w:r>
            <w:r/>
          </w:p>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及分值</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jc w:val="center"/>
              <w:spacing w:line="360" w:lineRule="auto"/>
              <w:rPr>
                <w:rFonts w:ascii="宋体" w:hAnsi="宋体" w:cs="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评审标准</w:t>
            </w:r>
            <w:r/>
          </w:p>
        </w:tc>
      </w:tr>
      <w:tr>
        <w:trPr>
          <w:trHeight w:val="2514"/>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spacing w:after="0"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none"/>
                <w14:ligatures w14:val="none"/>
              </w:rPr>
              <w:t xml:space="preserve">技术指标性能响应（4</w:t>
            </w:r>
            <w:r>
              <w:rPr>
                <w:rFonts w:hint="eastAsia" w:ascii="宋体" w:hAnsi="宋体" w:eastAsia="宋体" w:cs="宋体"/>
                <w:color w:val="auto"/>
                <w:sz w:val="24"/>
                <w:highlight w:val="none"/>
                <w:lang w:val="en-US" w:eastAsia="zh-CN"/>
                <w14:ligatures w14:val="none"/>
              </w:rPr>
              <w:t xml:space="preserve">5</w:t>
            </w:r>
            <w:r>
              <w:rPr>
                <w:rFonts w:ascii="宋体" w:hAnsi="宋体" w:eastAsia="宋体" w:cs="宋体"/>
                <w:color w:val="auto"/>
                <w:sz w:val="24"/>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spacing w:after="0" w:line="360" w:lineRule="auto"/>
              <w:rPr>
                <w:rFonts w:ascii="宋体" w:hAnsi="宋体" w:eastAsia="宋体" w:cs="宋体"/>
                <w:color w:val="auto"/>
                <w:sz w:val="24"/>
                <w:highlight w:val="non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none"/>
                <w14:ligatures w14:val="none"/>
              </w:rPr>
              <w:t xml:space="preserve">完全满足采购文件技术参数要求的得45分；在此基础上，采购文件中标注“▲”的为重要参数，对这些重要参数负偏离的，每项扣</w:t>
            </w:r>
            <w:r>
              <w:rPr>
                <w:rFonts w:hint="eastAsia" w:ascii="宋体" w:hAnsi="宋体" w:cs="宋体"/>
                <w:color w:val="auto"/>
                <w:sz w:val="24"/>
                <w:highlight w:val="none"/>
                <w:lang w:val="en-US" w:eastAsia="zh-CN"/>
                <w14:ligatures w14:val="none"/>
              </w:rPr>
              <w:t xml:space="preserve">3</w:t>
            </w:r>
            <w:r>
              <w:rPr>
                <w:rFonts w:ascii="宋体" w:hAnsi="宋体" w:eastAsia="宋体" w:cs="宋体"/>
                <w:color w:val="auto"/>
                <w:sz w:val="24"/>
                <w:highlight w:val="none"/>
                <w14:ligatures w14:val="none"/>
              </w:rPr>
              <w:t xml:space="preserve">分；其他非重要参数负偏离的，每项扣0.</w:t>
            </w:r>
            <w:r>
              <w:rPr>
                <w:rFonts w:hint="eastAsia" w:ascii="宋体" w:hAnsi="宋体" w:cs="宋体"/>
                <w:color w:val="auto"/>
                <w:sz w:val="24"/>
                <w:highlight w:val="none"/>
                <w:lang w:val="en-US" w:eastAsia="zh-CN"/>
                <w14:ligatures w14:val="none"/>
              </w:rPr>
              <w:t xml:space="preserve">1</w:t>
            </w:r>
            <w:r>
              <w:rPr>
                <w:rFonts w:ascii="宋体" w:hAnsi="宋体" w:eastAsia="宋体" w:cs="宋体"/>
                <w:color w:val="auto"/>
                <w:sz w:val="24"/>
                <w:highlight w:val="none"/>
                <w14:ligatures w14:val="none"/>
              </w:rPr>
              <w:t xml:space="preserve">分，扣完为止。缺项漏项视为负偏离。</w:t>
            </w:r>
            <w:r/>
          </w:p>
          <w:p>
            <w:pPr>
              <w:jc w:val="both"/>
              <w:spacing w:after="0"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eastAsia="宋体" w:cs="宋体"/>
                <w:b/>
                <w:color w:val="000000"/>
                <w:sz w:val="24"/>
              </w:rPr>
              <w:t xml:space="preserve">注：招标文件要求提供技术内容支撑资料的应完整，完善，无遗漏地提供，否则视为未响应。</w:t>
            </w:r>
            <w:r/>
          </w:p>
        </w:tc>
      </w:tr>
      <w:tr>
        <w:trPr>
          <w:trHeight w:val="108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spacing w:after="0"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none"/>
                <w14:ligatures w14:val="none"/>
              </w:rPr>
              <w:t xml:space="preserve">类似项目业绩（</w:t>
            </w:r>
            <w:r>
              <w:rPr>
                <w:rFonts w:hint="eastAsia" w:ascii="宋体" w:hAnsi="宋体" w:eastAsia="宋体" w:cs="宋体"/>
                <w:color w:val="auto"/>
                <w:sz w:val="24"/>
                <w:highlight w:val="none"/>
                <w:lang w:val="en-US" w:eastAsia="zh-CN"/>
                <w14:ligatures w14:val="none"/>
              </w:rPr>
              <w:t xml:space="preserve">3</w:t>
            </w:r>
            <w:r>
              <w:rPr>
                <w:rFonts w:ascii="宋体" w:hAnsi="宋体" w:eastAsia="宋体" w:cs="宋体"/>
                <w:color w:val="auto"/>
                <w:sz w:val="24"/>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jc w:val="both"/>
              <w:spacing w:after="0" w:line="360" w:lineRule="auto"/>
              <w:rPr>
                <w:rFonts w:ascii="宋体" w:hAnsi="宋体" w:eastAsia="宋体" w:cs="宋体"/>
                <w:color w:val="auto"/>
                <w:sz w:val="24"/>
                <w:highlight w:val="non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none"/>
                <w14:ligatures w14:val="none"/>
              </w:rPr>
              <w:t xml:space="preserve">所投同类型产品2023年1月1日以来的业绩，每提供一份业绩得1分，最多得</w:t>
            </w:r>
            <w:r>
              <w:rPr>
                <w:rFonts w:hint="eastAsia" w:ascii="宋体" w:hAnsi="宋体" w:eastAsia="宋体" w:cs="宋体"/>
                <w:color w:val="auto"/>
                <w:sz w:val="24"/>
                <w:highlight w:val="none"/>
                <w:lang w:val="en-US" w:eastAsia="zh-CN"/>
                <w14:ligatures w14:val="none"/>
              </w:rPr>
              <w:t xml:space="preserve">3</w:t>
            </w:r>
            <w:r>
              <w:rPr>
                <w:rFonts w:ascii="宋体" w:hAnsi="宋体" w:eastAsia="宋体" w:cs="宋体"/>
                <w:color w:val="auto"/>
                <w:sz w:val="24"/>
                <w:highlight w:val="none"/>
                <w14:ligatures w14:val="none"/>
              </w:rPr>
              <w:t xml:space="preserve">分</w:t>
            </w:r>
            <w:r/>
          </w:p>
          <w:p>
            <w:pPr>
              <w:jc w:val="both"/>
              <w:spacing w:after="0"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highlight w:val="none"/>
                <w:lang w:val="en-US" w:eastAsia="zh-CN"/>
                <w14:ligatures w14:val="none"/>
              </w:rPr>
              <w:t xml:space="preserve">注：</w:t>
            </w:r>
            <w:r>
              <w:rPr>
                <w:rFonts w:ascii="宋体" w:hAnsi="宋体" w:eastAsia="宋体" w:cs="宋体"/>
                <w:b/>
                <w:bCs/>
                <w:color w:val="auto"/>
                <w:sz w:val="24"/>
                <w:highlight w:val="none"/>
                <w14:ligatures w14:val="none"/>
              </w:rPr>
              <w:t xml:space="preserve">提供合同扫描件</w:t>
            </w:r>
            <w:r>
              <w:rPr>
                <w:rFonts w:hint="eastAsia" w:ascii="宋体" w:hAnsi="宋体" w:cs="宋体"/>
                <w:b/>
                <w:bCs/>
                <w:color w:val="auto"/>
                <w:sz w:val="24"/>
                <w:highlight w:val="none"/>
                <w:lang w:val="en-US" w:eastAsia="zh-CN"/>
                <w14:ligatures w14:val="none"/>
              </w:rPr>
              <w:t xml:space="preserve">加盖供应商公章。</w:t>
            </w:r>
            <w:r/>
          </w:p>
        </w:tc>
      </w:tr>
    </w:tbl>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p>
    <w:p>
      <w:pPr>
        <w:pStyle w:val="890"/>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20" w:name="_Toc165205799"/>
      <w:r>
        <w:rPr>
          <w:rFonts w:hint="eastAsia" w:ascii="黑体" w:hAnsi="黑体" w:eastAsia="黑体"/>
          <w:b w:val="0"/>
          <w:highlight w:val="none"/>
        </w:rPr>
        <w:t xml:space="preserve">第六章  投标文件格式</w:t>
      </w:r>
      <w:bookmarkEnd w:id="20"/>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72"/>
          <w:szCs w:val="21"/>
          <w:highlight w:val="none"/>
        </w:rPr>
        <w:t xml:space="preserve">投  标  文  件</w:t>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p>
    <w:p>
      <w:pPr>
        <w:ind w:firstLine="1084"/>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项 目 名 称：</w:t>
      </w:r>
      <w:r/>
    </w:p>
    <w:p>
      <w:pPr>
        <w:ind w:firstLine="1084"/>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项 目 编 号：</w:t>
      </w:r>
      <w:r/>
    </w:p>
    <w:p>
      <w:pPr>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p>
    <w:p>
      <w:pPr>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      日      期 ：</w:t>
      </w:r>
      <w:r/>
    </w:p>
    <w:p>
      <w:pPr>
        <w:jc w:val="center"/>
        <w:spacing w:line="440" w:lineRule="exact"/>
        <w:rPr>
          <w:rFonts w:ascii="宋体" w:hAnsi="宋体"/>
          <w:b/>
          <w:bCs/>
          <w:color w:val="000000"/>
          <w:sz w:val="32"/>
          <w:szCs w:val="32"/>
          <w:highlight w:val="none"/>
        </w:rPr>
        <w:pBdr>
          <w:top w:val="none" w:color="auto" w:sz="0" w:space="1"/>
          <w:left w:val="none" w:color="auto" w:sz="0" w:space="4"/>
          <w:bottom w:val="none" w:color="auto" w:sz="0" w:space="1"/>
          <w:right w:val="none" w:color="auto" w:sz="0" w:space="4"/>
        </w:pBdr>
      </w:pPr>
      <w:r>
        <w:rPr>
          <w:rFonts w:ascii="宋体" w:hAnsi="宋体"/>
          <w:b/>
          <w:bCs/>
          <w:color w:val="000000"/>
          <w:sz w:val="32"/>
          <w:szCs w:val="32"/>
          <w:highlight w:val="none"/>
        </w:rPr>
      </w:r>
      <w:r/>
    </w:p>
    <w:p>
      <w:pPr>
        <w:spacing w:line="44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p>
    <w:p>
      <w:pPr>
        <w:jc w:val="left"/>
        <w:keepLines/>
        <w:keepNext/>
        <w:spacing w:before="360" w:after="200" w:line="360" w:lineRule="auto"/>
        <w:rPr>
          <w:rFonts w:ascii="宋体" w:hAnsi="宋体" w:cs="宋体"/>
          <w:i/>
          <w:sz w:val="36"/>
          <w:szCs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cs="宋体"/>
          <w:i/>
          <w:sz w:val="36"/>
          <w:szCs w:val="36"/>
          <w:highlight w:val="none"/>
          <w:u w:val="single"/>
        </w:rPr>
        <w:t xml:space="preserve">一、法人或者其他组织的营业执照等证明文件，自然人的身份证明</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sz w:val="36"/>
          <w:highlight w:val="none"/>
          <w:u w:val="single"/>
        </w:rPr>
        <w:t xml:space="preserve">二、2024或2025年度的财务状况报告</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（成立不满一年无需提供）</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三、依法缴纳税收和社会保障资金的相关材料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center"/>
        <w:spacing w:line="360" w:lineRule="auto"/>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color w:val="000000"/>
          <w:szCs w:val="24"/>
          <w:highlight w:val="none"/>
        </w:rPr>
        <w:pBdr>
          <w:top w:val="none" w:color="auto" w:sz="0" w:space="1"/>
          <w:left w:val="none" w:color="auto" w:sz="0" w:space="4"/>
          <w:bottom w:val="none" w:color="auto" w:sz="0" w:space="1"/>
          <w:right w:val="none" w:color="auto" w:sz="0" w:space="4"/>
        </w:pBdr>
      </w:pPr>
      <w:r>
        <w:rPr>
          <w:rFonts w:ascii="MS Mincho"/>
          <w:color w:val="000000"/>
          <w:szCs w:val="24"/>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致：</w:t>
      </w:r>
      <w:r>
        <w:rPr>
          <w:rFonts w:hint="eastAsia"/>
          <w:i/>
          <w:sz w:val="24"/>
          <w:szCs w:val="24"/>
          <w:highlight w:val="none"/>
          <w:u w:val="single"/>
        </w:rPr>
        <w:t xml:space="preserve">采购人名称</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我方</w:t>
      </w:r>
      <w:r>
        <w:rPr>
          <w:rFonts w:hint="eastAsia"/>
          <w:i/>
          <w:sz w:val="24"/>
          <w:szCs w:val="24"/>
          <w:highlight w:val="none"/>
          <w:u w:val="single"/>
        </w:rPr>
        <w:t xml:space="preserve">供应商名称</w:t>
      </w:r>
      <w:r>
        <w:rPr>
          <w:rFonts w:hint="eastAsia"/>
          <w:sz w:val="24"/>
          <w:szCs w:val="24"/>
          <w:highlight w:val="none"/>
        </w:rPr>
        <w:t xml:space="preserve">参加</w:t>
      </w:r>
      <w:r>
        <w:rPr>
          <w:rFonts w:hint="eastAsia"/>
          <w:i/>
          <w:sz w:val="24"/>
          <w:szCs w:val="24"/>
          <w:highlight w:val="none"/>
          <w:u w:val="single"/>
        </w:rPr>
        <w:t xml:space="preserve">项目名称</w:t>
      </w:r>
      <w:r>
        <w:rPr>
          <w:rFonts w:hint="eastAsia"/>
          <w:sz w:val="24"/>
          <w:szCs w:val="24"/>
          <w:highlight w:val="none"/>
        </w:rPr>
        <w:t xml:space="preserve">（项目编号：</w:t>
      </w:r>
      <w:r>
        <w:rPr>
          <w:rFonts w:hint="eastAsia"/>
          <w:i/>
          <w:sz w:val="24"/>
          <w:szCs w:val="24"/>
          <w:highlight w:val="none"/>
          <w:u w:val="single"/>
        </w:rPr>
        <w:t xml:space="preserve">项目编号</w:t>
      </w:r>
      <w:r>
        <w:rPr>
          <w:rFonts w:hint="eastAsia"/>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（1）具有良好的商业信誉和健全的财务会计制度（财务状况报告）；</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（2）有依法缴纳税收和社会保障资金的良好记录。</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特此承诺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供应商（公章）：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或委托代理人（签名或签章）：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四、具备履行合同所必需的设备和专业技术能力的声明及证明材料</w:t>
      </w:r>
      <w:r/>
    </w:p>
    <w:p>
      <w:pPr>
        <w:jc w:val="center"/>
        <w:spacing w:line="460" w:lineRule="exact"/>
        <w:rPr>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主要设备有：</w:t>
      </w:r>
      <w:r>
        <w:rPr>
          <w:rFonts w:hint="eastAsia"/>
          <w:sz w:val="24"/>
          <w:szCs w:val="24"/>
          <w:highlight w:val="none"/>
          <w:u w:val="single"/>
        </w:rPr>
        <w:t xml:space="preserve">                   </w:t>
      </w:r>
      <w:r>
        <w:rPr>
          <w:rFonts w:hint="eastAsia"/>
          <w:sz w:val="24"/>
          <w:szCs w:val="24"/>
          <w:highlight w:val="none"/>
        </w:rPr>
        <w:t xml:space="preserve">。（须附证明材料）</w:t>
      </w:r>
      <w:r/>
    </w:p>
    <w:p>
      <w:pPr>
        <w:jc w:val="lef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主要专业技术能力有：</w:t>
      </w:r>
      <w:r>
        <w:rPr>
          <w:rFonts w:hint="eastAsia"/>
          <w:sz w:val="24"/>
          <w:szCs w:val="24"/>
          <w:highlight w:val="none"/>
          <w:u w:val="single"/>
        </w:rPr>
        <w:t xml:space="preserve">                       </w:t>
      </w:r>
      <w:r>
        <w:rPr>
          <w:rFonts w:hint="eastAsia"/>
          <w:sz w:val="24"/>
          <w:szCs w:val="24"/>
          <w:highlight w:val="none"/>
        </w:rPr>
        <w:t xml:space="preserve">。（须附证明材料）</w:t>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供应商（盖章）：</w:t>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jc w:val="left"/>
        <w:rPr>
          <w:rFonts w:ascii="MS Mincho"/>
          <w:color w:val="000000"/>
          <w:szCs w:val="24"/>
          <w:highlight w:val="none"/>
        </w:rPr>
        <w:pBdr>
          <w:top w:val="none" w:color="auto" w:sz="0" w:space="1"/>
          <w:left w:val="none" w:color="auto" w:sz="0" w:space="4"/>
          <w:bottom w:val="none" w:color="auto" w:sz="0" w:space="1"/>
          <w:right w:val="none" w:color="auto" w:sz="0" w:space="4"/>
        </w:pBdr>
      </w:pPr>
      <w:r>
        <w:rPr>
          <w:rFonts w:ascii="MS Mincho"/>
          <w:color w:val="000000"/>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附主要设备和主要专业技术能力的证明材料如下：</w:t>
      </w:r>
      <w:r/>
    </w:p>
    <w:p>
      <w:pPr>
        <w:jc w:val="left"/>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none"/>
        </w:rPr>
      </w:r>
      <w:r/>
    </w:p>
    <w:p>
      <w:pPr>
        <w:jc w:val="left"/>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声  明</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供应商（盖章）：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六、法律、行政法规规定的其他条件的证明文件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七、落实政府采购政策需满足的资格要求的证明文件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八、特定资格要求的证明文件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九、授权委托书与法定代表人（单位负责人）身份证明</w:t>
      </w:r>
      <w:r/>
    </w:p>
    <w:p>
      <w:pPr>
        <w:jc w:val="center"/>
        <w:spacing w:line="360" w:lineRule="exact"/>
        <w:rPr>
          <w:rFonts w:ascii="宋体" w:hAnsi="宋体"/>
          <w:b/>
          <w:color w:val="000000"/>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36"/>
          <w:highlight w:val="none"/>
        </w:rPr>
        <w:t xml:space="preserve">授权委托书</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致：</w:t>
      </w:r>
      <w:r>
        <w:rPr>
          <w:rFonts w:hint="eastAsia"/>
          <w:sz w:val="24"/>
          <w:szCs w:val="24"/>
          <w:highlight w:val="none"/>
          <w:u w:val="single"/>
        </w:rPr>
        <w:t xml:space="preserve">采购单位</w:t>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本人</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名称）</w:t>
      </w:r>
      <w:r>
        <w:rPr>
          <w:rFonts w:hint="eastAsia"/>
          <w:sz w:val="24"/>
          <w:szCs w:val="24"/>
          <w:highlight w:val="none"/>
        </w:rPr>
        <w:t xml:space="preserve">的</w:t>
      </w:r>
      <w:r>
        <w:rPr>
          <w:sz w:val="24"/>
          <w:szCs w:val="24"/>
          <w:highlight w:val="none"/>
        </w:rPr>
        <w:t xml:space="preserve">法定代表人（</w:t>
      </w:r>
      <w:r>
        <w:rPr>
          <w:rFonts w:hint="eastAsia"/>
          <w:sz w:val="24"/>
          <w:szCs w:val="24"/>
          <w:highlight w:val="none"/>
        </w:rPr>
        <w:t xml:space="preserve">单位</w:t>
      </w:r>
      <w:r>
        <w:rPr>
          <w:sz w:val="24"/>
          <w:szCs w:val="24"/>
          <w:highlight w:val="none"/>
        </w:rPr>
        <w:t xml:space="preserve">负责人）</w:t>
      </w:r>
      <w:r>
        <w:rPr>
          <w:rFonts w:hint="eastAsia"/>
          <w:sz w:val="24"/>
          <w:szCs w:val="24"/>
          <w:highlight w:val="none"/>
        </w:rPr>
        <w:t xml:space="preserve">，</w:t>
      </w:r>
      <w:r>
        <w:rPr>
          <w:sz w:val="24"/>
          <w:szCs w:val="24"/>
          <w:highlight w:val="none"/>
        </w:rPr>
        <w:t xml:space="preserve">现委托</w:t>
      </w:r>
      <w:r>
        <w:rPr>
          <w:rFonts w:hint="eastAsia"/>
          <w:sz w:val="24"/>
          <w:szCs w:val="24"/>
          <w:highlight w:val="none"/>
          <w:u w:val="single"/>
        </w:rPr>
        <w:t xml:space="preserve"> （姓名</w:t>
      </w:r>
      <w:r>
        <w:rPr>
          <w:sz w:val="24"/>
          <w:szCs w:val="24"/>
          <w:highlight w:val="none"/>
          <w:u w:val="single"/>
        </w:rPr>
        <w:t xml:space="preserve">）</w:t>
      </w:r>
      <w:r>
        <w:rPr>
          <w:rFonts w:hint="eastAsia"/>
          <w:sz w:val="24"/>
          <w:szCs w:val="24"/>
          <w:highlight w:val="none"/>
        </w:rPr>
        <w:t xml:space="preserve">为</w:t>
      </w:r>
      <w:r>
        <w:rPr>
          <w:sz w:val="24"/>
          <w:szCs w:val="24"/>
          <w:highlight w:val="none"/>
        </w:rPr>
        <w:t xml:space="preserve">我方代理人。</w:t>
      </w:r>
      <w:r>
        <w:rPr>
          <w:rFonts w:hint="eastAsia"/>
          <w:sz w:val="24"/>
          <w:szCs w:val="24"/>
          <w:highlight w:val="none"/>
        </w:rPr>
        <w:t xml:space="preserve">代理人根据</w:t>
      </w:r>
      <w:r>
        <w:rPr>
          <w:sz w:val="24"/>
          <w:szCs w:val="24"/>
          <w:highlight w:val="none"/>
        </w:rPr>
        <w:t xml:space="preserve">授权，以我方名义签署、澄清确认、递交、撤回、修改</w:t>
      </w:r>
      <w:r>
        <w:rPr>
          <w:rFonts w:hint="eastAsia"/>
          <w:sz w:val="24"/>
          <w:szCs w:val="24"/>
          <w:highlight w:val="none"/>
          <w:u w:val="single"/>
        </w:rPr>
        <w:t xml:space="preserve"> （项目名称） </w:t>
      </w:r>
      <w:r>
        <w:rPr>
          <w:rFonts w:hint="eastAsia"/>
          <w:sz w:val="24"/>
          <w:szCs w:val="24"/>
          <w:highlight w:val="none"/>
        </w:rPr>
        <w:t xml:space="preserve">项目（项目编号：）投标</w:t>
      </w:r>
      <w:r>
        <w:rPr>
          <w:sz w:val="24"/>
          <w:szCs w:val="24"/>
          <w:highlight w:val="none"/>
        </w:rPr>
        <w:t xml:space="preserve">文件</w:t>
      </w:r>
      <w:r>
        <w:rPr>
          <w:rFonts w:hint="eastAsia"/>
          <w:sz w:val="24"/>
          <w:szCs w:val="24"/>
          <w:highlight w:val="none"/>
        </w:rPr>
        <w:t xml:space="preserve">和</w:t>
      </w:r>
      <w:r>
        <w:rPr>
          <w:sz w:val="24"/>
          <w:szCs w:val="24"/>
          <w:highlight w:val="none"/>
        </w:rPr>
        <w:t xml:space="preserve">处理有关事宜，其法律后果由我方承担。</w:t>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委托</w:t>
      </w:r>
      <w:r>
        <w:rPr>
          <w:sz w:val="24"/>
          <w:szCs w:val="24"/>
          <w:highlight w:val="none"/>
        </w:rPr>
        <w:t xml:space="preserve">期限：自本</w:t>
      </w:r>
      <w:r>
        <w:rPr>
          <w:rFonts w:hint="eastAsia"/>
          <w:sz w:val="24"/>
          <w:szCs w:val="24"/>
          <w:highlight w:val="none"/>
        </w:rPr>
        <w:t xml:space="preserve">授权</w:t>
      </w:r>
      <w:r>
        <w:rPr>
          <w:sz w:val="24"/>
          <w:szCs w:val="24"/>
          <w:highlight w:val="none"/>
        </w:rPr>
        <w:t xml:space="preserve">委托书签署之日起至</w:t>
      </w:r>
      <w:r>
        <w:rPr>
          <w:rFonts w:hint="eastAsia"/>
          <w:sz w:val="24"/>
          <w:szCs w:val="24"/>
          <w:highlight w:val="none"/>
        </w:rPr>
        <w:t xml:space="preserve">响应</w:t>
      </w:r>
      <w:r>
        <w:rPr>
          <w:sz w:val="24"/>
          <w:szCs w:val="24"/>
          <w:highlight w:val="none"/>
        </w:rPr>
        <w:t xml:space="preserve">有效期</w:t>
      </w:r>
      <w:r>
        <w:rPr>
          <w:rFonts w:hint="eastAsia"/>
          <w:sz w:val="24"/>
          <w:szCs w:val="24"/>
          <w:highlight w:val="none"/>
        </w:rPr>
        <w:t xml:space="preserve">届满</w:t>
      </w:r>
      <w:r>
        <w:rPr>
          <w:sz w:val="24"/>
          <w:szCs w:val="24"/>
          <w:highlight w:val="none"/>
        </w:rPr>
        <w:t xml:space="preserve">之日止。</w:t>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代理人</w:t>
      </w:r>
      <w:r>
        <w:rPr>
          <w:sz w:val="24"/>
          <w:szCs w:val="24"/>
          <w:highlight w:val="none"/>
        </w:rPr>
        <w:t xml:space="preserve">无转委托权。</w:t>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w:t>
      </w:r>
      <w:r>
        <w:rPr>
          <w:sz w:val="24"/>
          <w:szCs w:val="24"/>
          <w:highlight w:val="none"/>
        </w:rPr>
        <w:t xml:space="preserve">名称（加盖公章）：</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法定代表人（单位负责人）（签字</w:t>
      </w:r>
      <w:r>
        <w:rPr>
          <w:rFonts w:hint="eastAsia"/>
          <w:sz w:val="24"/>
          <w:szCs w:val="24"/>
          <w:highlight w:val="none"/>
        </w:rPr>
        <w:t xml:space="preserve">、签章</w:t>
      </w:r>
      <w:r>
        <w:rPr>
          <w:sz w:val="24"/>
          <w:szCs w:val="24"/>
          <w:highlight w:val="none"/>
        </w:rPr>
        <w:t xml:space="preserve">或</w:t>
      </w:r>
      <w:r>
        <w:rPr>
          <w:rFonts w:hint="eastAsia"/>
          <w:sz w:val="24"/>
          <w:szCs w:val="24"/>
          <w:highlight w:val="none"/>
        </w:rPr>
        <w:t xml:space="preserve">印鉴）</w:t>
      </w:r>
      <w:r>
        <w:rPr>
          <w:sz w:val="24"/>
          <w:szCs w:val="24"/>
          <w:highlight w:val="none"/>
        </w:rPr>
        <w:t xml:space="preserve">：</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委托代理</w:t>
      </w:r>
      <w:r>
        <w:rPr>
          <w:sz w:val="24"/>
          <w:szCs w:val="24"/>
          <w:highlight w:val="none"/>
        </w:rPr>
        <w:t xml:space="preserve">人（签字</w:t>
      </w:r>
      <w:r>
        <w:rPr>
          <w:rFonts w:hint="eastAsia"/>
          <w:sz w:val="24"/>
          <w:szCs w:val="24"/>
          <w:highlight w:val="none"/>
        </w:rPr>
        <w:t xml:space="preserve">/签章</w:t>
      </w:r>
      <w:r>
        <w:rPr>
          <w:sz w:val="24"/>
          <w:szCs w:val="24"/>
          <w:highlight w:val="none"/>
        </w:rPr>
        <w:t xml:space="preserve">）：</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ind w:firstLine="480"/>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67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r>
    </w:tbl>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67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r>
    </w:tbl>
    <w:p>
      <w:pPr>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填报说明</w:t>
      </w:r>
      <w:r>
        <w:rPr>
          <w:sz w:val="24"/>
          <w:szCs w:val="24"/>
          <w:highlight w:val="none"/>
        </w:rPr>
        <w:t xml:space="preserve">：</w:t>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1、若供应商为事业单位或其他组织或分支机构（仅当</w:t>
      </w:r>
      <w:r>
        <w:rPr>
          <w:rFonts w:hint="eastAsia"/>
          <w:sz w:val="24"/>
          <w:szCs w:val="24"/>
          <w:highlight w:val="none"/>
        </w:rPr>
        <w:t xml:space="preserve">招标</w:t>
      </w:r>
      <w:r>
        <w:rPr>
          <w:sz w:val="24"/>
          <w:szCs w:val="24"/>
          <w:highlight w:val="none"/>
        </w:rPr>
        <w:t xml:space="preserve">文件注明允许分支机构</w:t>
      </w:r>
      <w:r>
        <w:rPr>
          <w:rFonts w:hint="eastAsia"/>
          <w:sz w:val="24"/>
          <w:szCs w:val="24"/>
          <w:highlight w:val="none"/>
        </w:rPr>
        <w:t xml:space="preserve">投标</w:t>
      </w:r>
      <w:r>
        <w:rPr>
          <w:sz w:val="24"/>
          <w:szCs w:val="24"/>
          <w:highlight w:val="none"/>
        </w:rPr>
        <w:t xml:space="preserve">的），则法定代表人（单位负责人）</w:t>
      </w:r>
      <w:r>
        <w:rPr>
          <w:rFonts w:hint="eastAsia"/>
          <w:sz w:val="24"/>
          <w:szCs w:val="24"/>
          <w:highlight w:val="none"/>
        </w:rPr>
        <w:t xml:space="preserve">处</w:t>
      </w:r>
      <w:r>
        <w:rPr>
          <w:sz w:val="24"/>
          <w:szCs w:val="24"/>
          <w:highlight w:val="none"/>
        </w:rPr>
        <w:t xml:space="preserve">的签署人可为单位负责人</w:t>
      </w:r>
      <w:r>
        <w:rPr>
          <w:rFonts w:hint="eastAsia"/>
          <w:sz w:val="24"/>
          <w:szCs w:val="24"/>
          <w:highlight w:val="none"/>
        </w:rPr>
        <w:t xml:space="preserve">。</w:t>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sz w:val="24"/>
          <w:szCs w:val="24"/>
          <w:highlight w:val="none"/>
        </w:rPr>
        <w:t xml:space="preserve">若</w:t>
      </w:r>
      <w:r>
        <w:rPr>
          <w:rFonts w:hint="eastAsia"/>
          <w:sz w:val="24"/>
          <w:szCs w:val="24"/>
          <w:highlight w:val="none"/>
        </w:rPr>
        <w:t xml:space="preserve">投标</w:t>
      </w:r>
      <w:r>
        <w:rPr>
          <w:sz w:val="24"/>
          <w:szCs w:val="24"/>
          <w:highlight w:val="none"/>
        </w:rPr>
        <w:t xml:space="preserve">文件中全部签字之处均为法定代表人（单位负责人）本人签署，则可不提供本《</w:t>
      </w:r>
      <w:r>
        <w:rPr>
          <w:rFonts w:hint="eastAsia"/>
          <w:sz w:val="24"/>
          <w:szCs w:val="24"/>
          <w:highlight w:val="none"/>
        </w:rPr>
        <w:t xml:space="preserve">授权委托书</w:t>
      </w:r>
      <w:r>
        <w:rPr>
          <w:sz w:val="24"/>
          <w:szCs w:val="24"/>
          <w:highlight w:val="none"/>
        </w:rPr>
        <w:t xml:space="preserve">》，但须提供</w:t>
      </w:r>
      <w:r>
        <w:rPr>
          <w:rFonts w:hint="eastAsia"/>
          <w:sz w:val="24"/>
          <w:szCs w:val="24"/>
          <w:highlight w:val="none"/>
        </w:rPr>
        <w:t xml:space="preserve">《</w:t>
      </w:r>
      <w:r>
        <w:rPr>
          <w:sz w:val="24"/>
          <w:szCs w:val="24"/>
          <w:highlight w:val="none"/>
        </w:rPr>
        <w:t xml:space="preserve">法定代表人（单位负责人）身份证</w:t>
      </w:r>
      <w:r>
        <w:rPr>
          <w:rFonts w:hint="eastAsia"/>
          <w:sz w:val="24"/>
          <w:szCs w:val="24"/>
          <w:highlight w:val="none"/>
        </w:rPr>
        <w:t xml:space="preserve">明》</w:t>
      </w:r>
      <w:r>
        <w:rPr>
          <w:sz w:val="24"/>
          <w:szCs w:val="24"/>
          <w:highlight w:val="none"/>
        </w:rPr>
        <w:t xml:space="preserve">。</w:t>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3、</w:t>
      </w:r>
      <w:r>
        <w:rPr>
          <w:rFonts w:hint="eastAsia"/>
          <w:sz w:val="24"/>
          <w:szCs w:val="24"/>
          <w:highlight w:val="none"/>
        </w:rPr>
        <w:t xml:space="preserve">供应商为自然人的情形，可不提供本</w:t>
      </w:r>
      <w:r>
        <w:rPr>
          <w:sz w:val="24"/>
          <w:szCs w:val="24"/>
          <w:highlight w:val="none"/>
        </w:rPr>
        <w:t xml:space="preserve">《</w:t>
      </w:r>
      <w:r>
        <w:rPr>
          <w:rFonts w:hint="eastAsia"/>
          <w:sz w:val="24"/>
          <w:szCs w:val="24"/>
          <w:highlight w:val="none"/>
        </w:rPr>
        <w:t xml:space="preserve">授权委托书</w:t>
      </w:r>
      <w:r>
        <w:rPr>
          <w:sz w:val="24"/>
          <w:szCs w:val="24"/>
          <w:highlight w:val="none"/>
        </w:rPr>
        <w:t xml:space="preserve">》</w:t>
      </w:r>
      <w:r>
        <w:rPr>
          <w:rFonts w:hint="eastAsia"/>
          <w:sz w:val="24"/>
          <w:szCs w:val="24"/>
          <w:highlight w:val="none"/>
        </w:rPr>
        <w:t xml:space="preserve">。</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center"/>
        <w:spacing w:line="360" w:lineRule="exact"/>
        <w:rPr>
          <w:rFonts w:ascii="宋体" w:hAnsi="宋体"/>
          <w:b/>
          <w:color w:val="000000"/>
          <w:sz w:val="36"/>
          <w:szCs w:val="36"/>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36"/>
          <w:highlight w:val="none"/>
        </w:rPr>
        <w:t xml:space="preserve">法定代表人（单位负责人）身份证明</w:t>
      </w:r>
      <w:r/>
    </w:p>
    <w:p>
      <w:pPr>
        <w:spacing w:line="200" w:lineRule="exact"/>
        <w:rPr>
          <w:rFonts w:ascii="宋体" w:hAnsi="宋体"/>
          <w:sz w:val="20"/>
          <w:szCs w:val="20"/>
          <w:highlight w:val="none"/>
        </w:rPr>
        <w:pBdr>
          <w:top w:val="none" w:color="auto" w:sz="0" w:space="1"/>
          <w:left w:val="none" w:color="auto" w:sz="0" w:space="4"/>
          <w:bottom w:val="none" w:color="auto" w:sz="0" w:space="1"/>
          <w:right w:val="none" w:color="auto" w:sz="0" w:space="4"/>
        </w:pBdr>
      </w:pPr>
      <w:r>
        <w:rPr>
          <w:rFonts w:ascii="宋体" w:hAnsi="宋体"/>
          <w:sz w:val="20"/>
          <w:szCs w:val="20"/>
          <w:highlight w:val="none"/>
        </w:rPr>
      </w:r>
      <w:r/>
    </w:p>
    <w:p>
      <w:pPr>
        <w:spacing w:line="360" w:lineRule="auto"/>
        <w:tabs>
          <w:tab w:val="left" w:pos="5580" w:leader="none"/>
        </w:tabs>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致：</w:t>
      </w:r>
      <w:r>
        <w:rPr>
          <w:rFonts w:hint="eastAsia" w:ascii="Times New Roman" w:hAnsi="Times New Roman"/>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t xml:space="preserve">姓名</w:t>
      </w:r>
      <w:r>
        <w:rPr>
          <w:rFonts w:hint="eastAsia" w:ascii="宋体" w:hAnsi="宋体"/>
          <w:sz w:val="24"/>
          <w:szCs w:val="24"/>
          <w:highlight w:val="none"/>
        </w:rPr>
        <w:t xml:space="preserve">：</w:t>
      </w:r>
      <w:r>
        <w:rPr>
          <w:rFonts w:ascii="宋体" w:hAnsi="宋体"/>
          <w:sz w:val="24"/>
          <w:szCs w:val="24"/>
          <w:highlight w:val="non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名称）</w:t>
      </w:r>
      <w:r>
        <w:rPr>
          <w:rFonts w:ascii="宋体" w:hAnsi="宋体"/>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right="-46"/>
        <w:spacing w:before="120" w:line="583" w:lineRule="auto"/>
        <w:tabs>
          <w:tab w:val="left" w:pos="567" w:leader="none"/>
        </w:tabs>
        <w:rPr>
          <w:rFonts w:ascii="宋体" w:hAnsi="宋体"/>
          <w:spacing w:val="-3"/>
          <w:sz w:val="24"/>
          <w:szCs w:val="24"/>
          <w:highlight w:val="none"/>
        </w:rPr>
        <w:pBdr>
          <w:top w:val="none" w:color="auto" w:sz="0" w:space="1"/>
          <w:left w:val="none" w:color="auto" w:sz="0" w:space="4"/>
          <w:bottom w:val="none" w:color="auto" w:sz="0" w:space="1"/>
          <w:right w:val="none" w:color="auto" w:sz="0" w:space="4"/>
        </w:pBdr>
      </w:pPr>
      <w:r>
        <w:rPr>
          <w:rFonts w:ascii="宋体" w:hAnsi="宋体"/>
          <w:spacing w:val="-3"/>
          <w:sz w:val="24"/>
          <w:szCs w:val="24"/>
          <w:highlight w:val="none"/>
        </w:rPr>
        <w:t xml:space="preserve">法</w:t>
      </w:r>
      <w:r>
        <w:rPr>
          <w:rFonts w:ascii="宋体" w:hAnsi="宋体"/>
          <w:sz w:val="24"/>
          <w:szCs w:val="24"/>
          <w:highlight w:val="none"/>
        </w:rPr>
        <w:t xml:space="preserve">定</w:t>
      </w:r>
      <w:r>
        <w:rPr>
          <w:rFonts w:ascii="宋体" w:hAnsi="宋体"/>
          <w:spacing w:val="-3"/>
          <w:sz w:val="24"/>
          <w:szCs w:val="24"/>
          <w:highlight w:val="none"/>
        </w:rPr>
        <w:t xml:space="preserve">代</w:t>
      </w:r>
      <w:r>
        <w:rPr>
          <w:rFonts w:ascii="宋体" w:hAnsi="宋体"/>
          <w:sz w:val="24"/>
          <w:szCs w:val="24"/>
          <w:highlight w:val="none"/>
        </w:rPr>
        <w:t xml:space="preserve">表</w:t>
      </w:r>
      <w:r>
        <w:rPr>
          <w:rFonts w:ascii="宋体" w:hAnsi="宋体"/>
          <w:spacing w:val="-3"/>
          <w:sz w:val="24"/>
          <w:szCs w:val="24"/>
          <w:highlight w:val="none"/>
        </w:rPr>
        <w:t xml:space="preserve">人</w:t>
      </w:r>
      <w:r>
        <w:rPr>
          <w:rFonts w:ascii="宋体" w:hAnsi="宋体"/>
          <w:sz w:val="24"/>
          <w:szCs w:val="24"/>
          <w:highlight w:val="none"/>
        </w:rPr>
        <w:t xml:space="preserve">（</w:t>
      </w:r>
      <w:r>
        <w:rPr>
          <w:rFonts w:ascii="宋体" w:hAnsi="宋体"/>
          <w:spacing w:val="-3"/>
          <w:sz w:val="24"/>
          <w:szCs w:val="24"/>
          <w:highlight w:val="none"/>
        </w:rPr>
        <w:t xml:space="preserve">单</w:t>
      </w:r>
      <w:r>
        <w:rPr>
          <w:rFonts w:ascii="宋体" w:hAnsi="宋体"/>
          <w:sz w:val="24"/>
          <w:szCs w:val="24"/>
          <w:highlight w:val="none"/>
        </w:rPr>
        <w:t xml:space="preserve">位</w:t>
      </w:r>
      <w:r>
        <w:rPr>
          <w:rFonts w:ascii="宋体" w:hAnsi="宋体"/>
          <w:spacing w:val="-3"/>
          <w:sz w:val="24"/>
          <w:szCs w:val="24"/>
          <w:highlight w:val="none"/>
        </w:rPr>
        <w:t xml:space="preserve">负</w:t>
      </w:r>
      <w:r>
        <w:rPr>
          <w:rFonts w:ascii="宋体" w:hAnsi="宋体"/>
          <w:sz w:val="24"/>
          <w:szCs w:val="24"/>
          <w:highlight w:val="none"/>
        </w:rPr>
        <w:t xml:space="preserve">责人</w:t>
      </w:r>
      <w:r>
        <w:rPr>
          <w:rFonts w:ascii="宋体" w:hAnsi="宋体"/>
          <w:spacing w:val="-3"/>
          <w:sz w:val="24"/>
          <w:szCs w:val="24"/>
          <w:highlight w:val="none"/>
        </w:rPr>
        <w:t xml:space="preserve">）有效期内的身</w:t>
      </w:r>
      <w:r>
        <w:rPr>
          <w:rFonts w:hint="eastAsia" w:ascii="宋体" w:hAnsi="宋体"/>
          <w:spacing w:val="-3"/>
          <w:sz w:val="24"/>
          <w:szCs w:val="24"/>
          <w:highlight w:val="none"/>
        </w:rPr>
        <w:t xml:space="preserve">份</w:t>
      </w:r>
      <w:r>
        <w:rPr>
          <w:rFonts w:ascii="宋体" w:hAnsi="宋体"/>
          <w:spacing w:val="-3"/>
          <w:sz w:val="24"/>
          <w:szCs w:val="24"/>
          <w:highlight w:val="none"/>
        </w:rPr>
        <w:t xml:space="preserve">证正反面</w:t>
      </w:r>
      <w:r>
        <w:rPr>
          <w:rFonts w:hint="eastAsia" w:ascii="宋体" w:hAnsi="宋体"/>
          <w:spacing w:val="-3"/>
          <w:sz w:val="24"/>
          <w:szCs w:val="24"/>
          <w:highlight w:val="none"/>
        </w:rPr>
        <w:t xml:space="preserve">电子</w:t>
      </w:r>
      <w:r>
        <w:rPr>
          <w:rFonts w:ascii="宋体" w:hAnsi="宋体"/>
          <w:spacing w:val="-3"/>
          <w:sz w:val="24"/>
          <w:szCs w:val="24"/>
          <w:highlight w:val="none"/>
        </w:rPr>
        <w:t xml:space="preserve">件</w:t>
      </w:r>
      <w:r>
        <w:rPr>
          <w:rFonts w:hint="eastAsia" w:ascii="宋体" w:hAnsi="宋体"/>
          <w:spacing w:val="-3"/>
          <w:sz w:val="24"/>
          <w:szCs w:val="24"/>
          <w:highlight w:val="none"/>
        </w:rPr>
        <w:t xml:space="preserve">：</w:t>
      </w:r>
      <w:r/>
    </w:p>
    <w:tbl>
      <w:tblPr>
        <w:tblStyle w:val="67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r>
    </w:tbl>
    <w:p>
      <w:pPr>
        <w:ind w:right="4305"/>
        <w:spacing w:before="120" w:line="583" w:lineRule="auto"/>
        <w:tabs>
          <w:tab w:val="left" w:pos="567" w:leader="none"/>
        </w:tabs>
        <w:rPr>
          <w:rFonts w:ascii="宋体" w:hAnsi="宋体"/>
          <w:spacing w:val="-3"/>
          <w:sz w:val="24"/>
          <w:szCs w:val="24"/>
          <w:highlight w:val="none"/>
        </w:rPr>
        <w:pBdr>
          <w:top w:val="none" w:color="auto" w:sz="0" w:space="1"/>
          <w:left w:val="none" w:color="auto" w:sz="0" w:space="4"/>
          <w:bottom w:val="none" w:color="auto" w:sz="0" w:space="1"/>
          <w:right w:val="none" w:color="auto" w:sz="0" w:space="4"/>
        </w:pBdr>
      </w:pPr>
      <w:r>
        <w:rPr>
          <w:rFonts w:ascii="宋体" w:hAnsi="宋体"/>
          <w:spacing w:val="-3"/>
          <w:sz w:val="24"/>
          <w:szCs w:val="24"/>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）（签字、签章或印鉴）：</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260" w:after="260" w:line="416" w:lineRule="auto"/>
        <w:rPr>
          <w:rFonts w:ascii="黑体" w:hAnsi="黑体" w:eastAsia="黑体"/>
          <w:b/>
          <w:i/>
          <w:color w:val="000000"/>
          <w:sz w:val="32"/>
          <w:szCs w:val="32"/>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十、投标函</w:t>
      </w:r>
      <w:r/>
    </w:p>
    <w:p>
      <w:pPr>
        <w:jc w:val="center"/>
        <w:spacing w:line="360" w:lineRule="auto"/>
        <w:tabs>
          <w:tab w:val="left" w:pos="360" w:leader="none"/>
        </w:tabs>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投标函</w:t>
      </w:r>
      <w:r/>
    </w:p>
    <w:p>
      <w:pPr>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致：采购人</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据此函，__________签字人兹宣布同意如下：</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2.我们完全理解贵方不一定将合同授予最低报价的供应商。</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地        址：</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邮        编：</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电        话：</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传        真：</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供应商开户行：</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账        号： </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十一、中小企业声明函（货物）（分包号：**）</w:t>
      </w:r>
      <w:r/>
    </w:p>
    <w:p>
      <w:pPr>
        <w:jc w:val="center"/>
        <w:spacing w:line="360" w:lineRule="auto"/>
        <w:tabs>
          <w:tab w:val="left" w:pos="360" w:leader="none"/>
        </w:tabs>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p>
    <w:p>
      <w:pPr>
        <w:ind w:firstLine="480"/>
        <w:spacing w:line="500" w:lineRule="exact"/>
        <w:rPr>
          <w:rFonts w:ascii="宋体" w:hAnsi="宋体"/>
          <w:i/>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right="162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企业名称（盖章）：</w:t>
      </w:r>
      <w:r/>
    </w:p>
    <w:p>
      <w:pPr>
        <w:ind w:right="114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   期：</w:t>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填报说明：</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w:t>
      </w:r>
      <w:r>
        <w:rPr>
          <w:rFonts w:ascii="宋体" w:hAnsi="宋体"/>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3、中标人的《中小企业声明函》随中标结果公开，接受社会监督。</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十二、残疾人福利性单位声明函（分包号：**）</w:t>
      </w:r>
      <w:r/>
    </w:p>
    <w:p>
      <w:pPr>
        <w:jc w:val="center"/>
        <w:spacing w:line="360" w:lineRule="auto"/>
        <w:tabs>
          <w:tab w:val="left" w:pos="360" w:leader="none"/>
        </w:tabs>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141号）的规定，本单位为符合条件的残疾人福利性单位，且本单位参加单位的项目（</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1.</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 </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2.</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p>
    <w:p>
      <w:pPr>
        <w:ind w:right="162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单位名称（盖章）：</w:t>
      </w:r>
      <w:r/>
    </w:p>
    <w:p>
      <w:pPr>
        <w:ind w:right="114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   期：</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spacing w:line="360" w:lineRule="auto"/>
        <w:rPr>
          <w:rFonts w:ascii="宋体" w:hAnsi="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填报说明：</w:t>
      </w:r>
      <w:r/>
    </w:p>
    <w:p>
      <w:pPr>
        <w:ind w:firstLine="480"/>
        <w:jc w:val="left"/>
        <w:spacing w:line="360" w:lineRule="auto"/>
        <w:rPr>
          <w:rFonts w:ascii="宋体" w:hAnsi="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1、</w:t>
      </w:r>
      <w:r>
        <w:rPr>
          <w:rFonts w:hint="eastAsia" w:ascii="宋体" w:hAnsi="宋体"/>
          <w:sz w:val="24"/>
          <w:szCs w:val="24"/>
          <w:highlight w:val="none"/>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2、中标人的《残疾人福利性单位声明函》随中标结果公开</w:t>
      </w:r>
      <w:r>
        <w:rPr>
          <w:rFonts w:hint="eastAsia" w:ascii="宋体" w:hAnsi="宋体"/>
          <w:sz w:val="24"/>
          <w:szCs w:val="24"/>
          <w:highlight w:val="none"/>
        </w:rPr>
        <w:t xml:space="preserve">，接受社会监督</w:t>
      </w:r>
      <w:r>
        <w:rPr>
          <w:rFonts w:hint="eastAsia" w:ascii="宋体" w:hAnsi="宋体"/>
          <w:bCs/>
          <w:sz w:val="24"/>
          <w:szCs w:val="24"/>
          <w:highlight w:val="none"/>
        </w:rPr>
        <w:t xml:space="preserve">。</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十三、联合体协议（参考格式）（分包号：**）</w:t>
      </w:r>
      <w:r/>
    </w:p>
    <w:p>
      <w:pPr>
        <w:jc w:val="center"/>
        <w:spacing w:line="360" w:lineRule="auto"/>
        <w:tabs>
          <w:tab w:val="left" w:pos="360" w:leader="none"/>
        </w:tabs>
        <w:rPr>
          <w:rFonts w:ascii="宋体" w:hAnsi="宋体"/>
          <w:color w:val="000000"/>
          <w:sz w:val="24"/>
          <w:szCs w:val="21"/>
          <w:highlight w:val="none"/>
          <w:u w:val="singl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联合体协议</w:t>
      </w:r>
      <w:r/>
    </w:p>
    <w:p>
      <w:pPr>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u w:val="single"/>
        </w:rPr>
        <w:t xml:space="preserve">（联合体中各供应商全称）</w:t>
      </w:r>
      <w:r>
        <w:rPr>
          <w:rFonts w:hint="eastAsia" w:ascii="宋体" w:hAnsi="宋体"/>
          <w:color w:val="000000"/>
          <w:sz w:val="24"/>
          <w:szCs w:val="21"/>
          <w:highlight w:val="none"/>
        </w:rPr>
        <w:t xml:space="preserve">在此达成以下协议：</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自愿组成联合体，参加连云港市疾病预防控制中心组织的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1</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2</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。（可选）</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供应商1全称（公章）：</w:t>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日期：     年   月   日</w:t>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供应商2全称（公章）：</w:t>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日期：     年   月   日</w:t>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firstLine="480"/>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w:t>
      </w:r>
      <w:r/>
    </w:p>
    <w:p>
      <w:pPr>
        <w:ind w:firstLine="480"/>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firstLine="480"/>
        <w:spacing w:line="5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p>
      <w:pPr>
        <w:jc w:val="right"/>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单位：元</w:t>
      </w:r>
      <w:r/>
    </w:p>
    <w:tbl>
      <w:tblPr>
        <w:tblStyle w:val="67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1</w:t>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2</w:t>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3</w:t>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t xml:space="preserve">…</w:t>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bl>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供应商（盖章）：</w:t>
      </w:r>
      <w:r/>
    </w:p>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日期：    年     月     日</w:t>
      </w:r>
      <w:r/>
    </w:p>
    <w:p>
      <w:pPr>
        <w:spacing w:line="360" w:lineRule="auto"/>
        <w:rPr>
          <w:rFonts w:ascii="宋体" w:hAnsi="宋体"/>
          <w:color w:val="000000"/>
          <w:szCs w:val="20"/>
          <w:highlight w:val="none"/>
        </w:rPr>
        <w:pBdr>
          <w:top w:val="none" w:color="auto" w:sz="0" w:space="1"/>
          <w:left w:val="none" w:color="auto" w:sz="0" w:space="4"/>
          <w:bottom w:val="none" w:color="auto" w:sz="0" w:space="1"/>
          <w:right w:val="none" w:color="auto" w:sz="0" w:space="4"/>
        </w:pBdr>
      </w:pPr>
      <w:r>
        <w:rPr>
          <w:rFonts w:ascii="宋体" w:hAnsi="宋体"/>
          <w:color w:val="000000"/>
          <w:szCs w:val="20"/>
          <w:highlight w:val="none"/>
        </w:rPr>
      </w:r>
      <w:r/>
    </w:p>
    <w:p>
      <w:pPr>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填报说明：</w:t>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1、“制造商企业类型”栏填写内容为“大型”“中型”“小型”“微型”“监狱企业”或“残疾人福利性单位”。</w:t>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2、以上报价包含货物费用、运杂费、安装施工费、集成费、税金</w:t>
      </w:r>
      <w:r>
        <w:rPr>
          <w:rFonts w:hint="eastAsia" w:ascii="宋体" w:hAnsi="宋体"/>
          <w:color w:val="000000"/>
          <w:szCs w:val="24"/>
          <w:highlight w:val="none"/>
          <w:lang w:eastAsia="zh-CN"/>
        </w:rPr>
        <w:t xml:space="preserve">、</w:t>
      </w:r>
      <w:r>
        <w:rPr>
          <w:rFonts w:hint="eastAsia" w:ascii="宋体" w:hAnsi="宋体"/>
          <w:color w:val="000000"/>
          <w:szCs w:val="24"/>
          <w:highlight w:val="none"/>
          <w:lang w:val="en-US" w:eastAsia="zh-CN"/>
        </w:rPr>
        <w:t xml:space="preserve">制造商保修费用</w:t>
      </w:r>
      <w:r>
        <w:rPr>
          <w:rFonts w:hint="eastAsia" w:ascii="宋体" w:hAnsi="宋体"/>
          <w:color w:val="000000"/>
          <w:szCs w:val="24"/>
          <w:highlight w:val="none"/>
        </w:rPr>
        <w:t xml:space="preserve">和其他费用。</w:t>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3、请供应商如实、正确填写本表，所填内容将作为评审的依据，其内容应与对应的证明资料相符。</w:t>
      </w:r>
      <w:r/>
    </w:p>
    <w:p>
      <w:pPr>
        <w:ind w:firstLine="420"/>
        <w:spacing w:line="500" w:lineRule="exact"/>
        <w:rPr>
          <w:rFonts w:ascii="Times New Roman"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宋体"/>
          <w:color w:val="000000"/>
          <w:szCs w:val="24"/>
          <w:highlight w:val="none"/>
        </w:rPr>
        <w:t xml:space="preserve">4、行数或事项不够，可自行增加。</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cs="Arial"/>
          <w:sz w:val="36"/>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tbl>
      <w:tblPr>
        <w:tblStyle w:val="67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序号</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招标文件要求</w:t>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投标响应情况</w:t>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bookmarkStart w:id="21" w:name="_Hlt26955054"/>
      <w:r/>
      <w:bookmarkEnd w:id="21"/>
      <w:r>
        <w:rPr>
          <w:rFonts w:hint="eastAsia" w:ascii="Arial" w:hAnsi="Arial" w:cs="Arial"/>
          <w:i/>
          <w:iCs/>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tbl>
      <w:tblPr>
        <w:tblStyle w:val="67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bookmarkStart w:id="22" w:name="_Hlt26671343"/>
            <w:r/>
            <w:bookmarkEnd w:id="22"/>
            <w:r/>
            <w:bookmarkStart w:id="23" w:name="_Hlt26955064"/>
            <w:r/>
            <w:bookmarkEnd w:id="23"/>
            <w:r/>
            <w:bookmarkStart w:id="24" w:name="_Hlt26955056"/>
            <w:r/>
            <w:bookmarkEnd w:id="24"/>
            <w:r/>
            <w:bookmarkStart w:id="25" w:name="_Hlt26782999"/>
            <w:r/>
            <w:bookmarkEnd w:id="25"/>
            <w:r/>
            <w:bookmarkStart w:id="26" w:name="_Hlt26609391"/>
            <w:r/>
            <w:bookmarkEnd w:id="26"/>
            <w:r/>
            <w:bookmarkStart w:id="27" w:name="_Hlt26580838"/>
            <w:r/>
            <w:bookmarkEnd w:id="27"/>
            <w:r/>
            <w:bookmarkStart w:id="28" w:name="_Hlt24879081"/>
            <w:r/>
            <w:bookmarkEnd w:id="28"/>
            <w:r/>
            <w:bookmarkStart w:id="29" w:name="_Hlt26671372"/>
            <w:r/>
            <w:bookmarkEnd w:id="29"/>
            <w:r>
              <w:rPr>
                <w:rFonts w:hint="eastAsia" w:ascii="宋体" w:hAnsi="宋体"/>
                <w:color w:val="000000"/>
                <w:sz w:val="24"/>
                <w:szCs w:val="24"/>
                <w:highlight w:val="none"/>
              </w:rPr>
              <w:t xml:space="preserve">序号</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招标文件要求</w:t>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投标响应情况</w:t>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bookmarkStart w:id="30" w:name="_Hlt26955066"/>
      <w:r/>
      <w:bookmarkEnd w:id="30"/>
      <w:r/>
      <w:bookmarkStart w:id="31" w:name="_Hlt26609389"/>
      <w:r/>
      <w:bookmarkEnd w:id="31"/>
      <w:r/>
      <w:bookmarkStart w:id="32" w:name="_格式2__法定代表人授权书"/>
      <w:r/>
      <w:bookmarkEnd w:id="32"/>
      <w:r/>
      <w:bookmarkStart w:id="33" w:name="_Hlt26671374"/>
      <w:r/>
      <w:bookmarkEnd w:id="33"/>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Cs/>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tbl>
      <w:tblPr>
        <w:tblStyle w:val="67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序号</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项目名称</w:t>
            </w:r>
            <w:r/>
          </w:p>
        </w:tc>
        <w:tc>
          <w:tcPr>
            <w:tcW w:w="1850"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签订时间</w:t>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采购单位</w:t>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Cs/>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项目团队人员一览表</w:t>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tbl>
      <w:tblPr>
        <w:tblStyle w:val="67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姓名</w:t>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本项目拟担任职务</w:t>
            </w:r>
            <w:r/>
          </w:p>
        </w:tc>
        <w:tc>
          <w:tcPr>
            <w:tcW w:w="223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rPr>
          <w:rFonts w:ascii="Times New Roman" w:hAnsi="Times New Roman" w:eastAsia="仿宋_GB2312"/>
          <w:iCs/>
          <w:color w:val="000000"/>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none"/>
        </w:rPr>
        <w:t xml:space="preserve">十九、开标一览表</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供应商全称（CA公章）：</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项目名称：</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项目编号：                                   分包号：</w:t>
      </w:r>
      <w:r/>
    </w:p>
    <w:tbl>
      <w:tblPr>
        <w:tblStyle w:val="67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投标货物名称</w:t>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总价（小写）</w:t>
            </w:r>
            <w:r/>
          </w:p>
        </w:tc>
      </w:tr>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元</w:t>
            </w:r>
            <w:r/>
          </w:p>
        </w:tc>
      </w:tr>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核心产品</w:t>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jc w:val="center"/>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Times New Roman" w:hAnsi="Times New Roman"/>
          <w:color w:val="000000"/>
          <w:sz w:val="24"/>
          <w:szCs w:val="24"/>
          <w:highlight w:val="none"/>
        </w:rPr>
        <w:t xml:space="preserve">          年     月     日</w:t>
      </w:r>
      <w:r/>
    </w:p>
    <w:p>
      <w:pPr>
        <w:jc w:val="left"/>
        <w:rPr>
          <w:rFonts w:ascii="宋体" w:hAnsi="宋体" w:cs="宋体"/>
          <w:bCs/>
          <w:iCs/>
          <w:color w:val="000000"/>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none"/>
        </w:rPr>
        <w:t xml:space="preserve">二十、关于符合本国产品标准的声明函</w:t>
      </w:r>
      <w:r>
        <w:rPr>
          <w:rFonts w:hint="eastAsia" w:ascii="宋体" w:hAnsi="宋体" w:cs="宋体"/>
          <w:bCs/>
          <w:iCs/>
          <w:color w:val="000000"/>
          <w:sz w:val="36"/>
          <w:szCs w:val="36"/>
          <w:highlight w:val="none"/>
        </w:rPr>
        <w:tab/>
      </w:r>
      <w:r/>
    </w:p>
    <w:p>
      <w:pPr>
        <w:jc w:val="left"/>
        <w:rPr>
          <w:rFonts w:ascii="宋体" w:hAnsi="宋体" w:cs="宋体"/>
          <w:bCs/>
          <w:i/>
          <w:color w:val="000000"/>
          <w:sz w:val="36"/>
          <w:szCs w:val="36"/>
          <w:highlight w:val="none"/>
          <w:u w:val="single"/>
        </w:rPr>
        <w:pBdr>
          <w:top w:val="none" w:color="auto" w:sz="0" w:space="1"/>
          <w:left w:val="none" w:color="auto" w:sz="0" w:space="4"/>
          <w:bottom w:val="none" w:color="auto" w:sz="0" w:space="1"/>
          <w:right w:val="none" w:color="auto" w:sz="0" w:space="4"/>
        </w:pBdr>
      </w:pPr>
      <w:r>
        <w:rPr>
          <w:rFonts w:ascii="宋体" w:hAnsi="宋体" w:cs="宋体"/>
          <w:bCs/>
          <w:i/>
          <w:color w:val="000000"/>
          <w:sz w:val="36"/>
          <w:szCs w:val="36"/>
          <w:highlight w:val="none"/>
          <w:u w:val="single"/>
        </w:rPr>
      </w:r>
      <w:r/>
    </w:p>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highlight w:val="none"/>
        </w:rPr>
        <w:t xml:space="preserve">关于符合本国产品标准的声明函</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（产品名称1）</w:t>
      </w:r>
      <w:r>
        <w:rPr>
          <w:rFonts w:hint="eastAsia" w:ascii="宋体" w:hAnsi="宋体"/>
          <w:color w:val="000000"/>
          <w:sz w:val="24"/>
          <w:szCs w:val="24"/>
          <w:highlight w:val="none"/>
        </w:rPr>
        <w:t xml:space="preserve">1，生产厂为</w:t>
      </w:r>
      <w:r>
        <w:rPr>
          <w:rFonts w:hint="eastAsia" w:ascii="宋体" w:hAnsi="宋体"/>
          <w:color w:val="000000"/>
          <w:sz w:val="24"/>
          <w:szCs w:val="24"/>
          <w:highlight w:val="none"/>
          <w:u w:val="single"/>
        </w:rPr>
        <w:t xml:space="preserve">（厂名）</w:t>
      </w:r>
      <w:r>
        <w:rPr>
          <w:rFonts w:hint="eastAsia" w:ascii="宋体" w:hAnsi="宋体"/>
          <w:color w:val="000000"/>
          <w:sz w:val="24"/>
          <w:szCs w:val="24"/>
          <w:highlight w:val="none"/>
        </w:rPr>
        <w:t xml:space="preserve">2，厂址为</w:t>
      </w:r>
      <w:r>
        <w:rPr>
          <w:rFonts w:hint="eastAsia" w:ascii="宋体" w:hAnsi="宋体"/>
          <w:color w:val="000000"/>
          <w:sz w:val="24"/>
          <w:szCs w:val="24"/>
          <w:highlight w:val="none"/>
          <w:u w:val="single"/>
        </w:rPr>
        <w:t xml:space="preserve">（生产厂址）</w:t>
      </w:r>
      <w:r>
        <w:rPr>
          <w:rFonts w:hint="eastAsia" w:ascii="宋体" w:hAnsi="宋体"/>
          <w:color w:val="000000"/>
          <w:sz w:val="24"/>
          <w:szCs w:val="24"/>
          <w:highlight w:val="none"/>
        </w:rPr>
        <w:t xml:space="preserve">。</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的中国境内生产的组件成本占比≥</w:t>
      </w:r>
      <w:r>
        <w:rPr>
          <w:rFonts w:hint="eastAsia" w:ascii="宋体" w:hAnsi="宋体"/>
          <w:strike/>
          <w:color w:val="000000"/>
          <w:sz w:val="24"/>
          <w:szCs w:val="24"/>
          <w:highlight w:val="none"/>
          <w:u w:val="single"/>
        </w:rPr>
        <w:t xml:space="preserve">（规定比例）</w:t>
      </w:r>
      <w:r>
        <w:rPr>
          <w:rFonts w:hint="eastAsia" w:ascii="宋体" w:hAnsi="宋体"/>
          <w:color w:val="000000"/>
          <w:sz w:val="24"/>
          <w:szCs w:val="24"/>
          <w:highlight w:val="none"/>
        </w:rPr>
        <w:t xml:space="preserve">3。</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（关键组件）</w:t>
      </w:r>
      <w:r>
        <w:rPr>
          <w:rFonts w:hint="eastAsia" w:ascii="宋体" w:hAnsi="宋体"/>
          <w:color w:val="000000"/>
          <w:sz w:val="24"/>
          <w:szCs w:val="24"/>
          <w:highlight w:val="none"/>
        </w:rPr>
        <w:t xml:space="preserve">4在中国境内生产。</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（关键工序）</w:t>
      </w:r>
      <w:r>
        <w:rPr>
          <w:rFonts w:hint="eastAsia" w:ascii="宋体" w:hAnsi="宋体"/>
          <w:color w:val="000000"/>
          <w:sz w:val="24"/>
          <w:szCs w:val="24"/>
          <w:highlight w:val="none"/>
        </w:rPr>
        <w:t xml:space="preserve">5在中国境内完成。</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（产品名称2）</w:t>
      </w:r>
      <w:r>
        <w:rPr>
          <w:rFonts w:hint="eastAsia" w:ascii="宋体" w:hAnsi="宋体"/>
          <w:color w:val="000000"/>
          <w:sz w:val="24"/>
          <w:szCs w:val="24"/>
          <w:highlight w:val="none"/>
        </w:rPr>
        <w:t xml:space="preserve">，生产厂为</w:t>
      </w:r>
      <w:r>
        <w:rPr>
          <w:rFonts w:hint="eastAsia" w:ascii="宋体" w:hAnsi="宋体"/>
          <w:color w:val="000000"/>
          <w:sz w:val="24"/>
          <w:szCs w:val="24"/>
          <w:highlight w:val="none"/>
          <w:u w:val="single"/>
        </w:rPr>
        <w:t xml:space="preserve">（厂名）</w:t>
      </w:r>
      <w:r>
        <w:rPr>
          <w:rFonts w:hint="eastAsia" w:ascii="宋体" w:hAnsi="宋体"/>
          <w:color w:val="000000"/>
          <w:sz w:val="24"/>
          <w:szCs w:val="24"/>
          <w:highlight w:val="none"/>
        </w:rPr>
        <w:t xml:space="preserve">，厂址为</w:t>
      </w:r>
      <w:r>
        <w:rPr>
          <w:rFonts w:hint="eastAsia" w:ascii="宋体" w:hAnsi="宋体"/>
          <w:color w:val="000000"/>
          <w:sz w:val="24"/>
          <w:szCs w:val="24"/>
          <w:highlight w:val="none"/>
          <w:u w:val="single"/>
        </w:rPr>
        <w:t xml:space="preserve">（生产厂址）</w:t>
      </w:r>
      <w:r>
        <w:rPr>
          <w:rFonts w:hint="eastAsia" w:ascii="宋体" w:hAnsi="宋体"/>
          <w:color w:val="000000"/>
          <w:sz w:val="24"/>
          <w:szCs w:val="24"/>
          <w:highlight w:val="none"/>
        </w:rPr>
        <w:t xml:space="preserve">。</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的中国境内生产的组件成本占比≥</w:t>
      </w:r>
      <w:r>
        <w:rPr>
          <w:rFonts w:hint="eastAsia" w:ascii="宋体" w:hAnsi="宋体"/>
          <w:strike/>
          <w:color w:val="000000"/>
          <w:sz w:val="24"/>
          <w:szCs w:val="24"/>
          <w:highlight w:val="none"/>
          <w:u w:val="single"/>
        </w:rPr>
        <w:t xml:space="preserve">（规定比例）</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（关键组件）</w:t>
      </w:r>
      <w:r>
        <w:rPr>
          <w:rFonts w:hint="eastAsia" w:ascii="宋体" w:hAnsi="宋体"/>
          <w:color w:val="000000"/>
          <w:sz w:val="24"/>
          <w:szCs w:val="24"/>
          <w:highlight w:val="none"/>
        </w:rPr>
        <w:t xml:space="preserve">在中国境内生产。</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（关键工序）</w:t>
      </w:r>
      <w:r>
        <w:rPr>
          <w:rFonts w:hint="eastAsia" w:ascii="宋体" w:hAnsi="宋体"/>
          <w:color w:val="000000"/>
          <w:sz w:val="24"/>
          <w:szCs w:val="24"/>
          <w:highlight w:val="none"/>
        </w:rPr>
        <w:t xml:space="preserve">在中国境内完成。</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本公司（单位）对上述声明内容的真实性负责。如有虚假，愿承担相应法律责任。</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 </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504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公司（单位）名称（盖章）：　        </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504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日期：　     年　  月　  日</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1、产品如有型号，请在“产品名称”栏一并填写。</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2、生产厂名与厂址应与生产厂营业执照载明的相关信息保持一致。</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3、该产品的中国境内生产的组件成本占比相关要求实施前，“规定比例”栏可不填，下同。</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4、该产品的关键组件要求实施前，“关键组件”栏可不填。</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5、该产品的关键工序要求实施前，“关键工序”栏可不填。</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6、划除栏无需填写。</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tabs>
          <w:tab w:val="left" w:pos="1562" w:leader="none"/>
        </w:tabs>
        <w:rPr>
          <w:highlight w:val="none"/>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highlight w:val="none"/>
        </w:rPr>
        <w:tab/>
      </w:r>
      <w:r/>
    </w:p>
    <w:p>
      <w:pPr>
        <w:jc w:val="left"/>
        <w:widowControl/>
        <w:rPr>
          <w:rFonts w:ascii="黑体" w:hAnsi="黑体" w:eastAsia="黑体" w:cs="仿宋"/>
          <w:bCs/>
          <w:color w:val="000000"/>
          <w:sz w:val="40"/>
          <w:szCs w:val="32"/>
          <w:highlight w:val="none"/>
        </w:rPr>
        <w:pBdr>
          <w:top w:val="none" w:color="auto" w:sz="0" w:space="1"/>
          <w:left w:val="none" w:color="auto" w:sz="0" w:space="4"/>
          <w:bottom w:val="none" w:color="auto" w:sz="0" w:space="1"/>
          <w:right w:val="none" w:color="auto" w:sz="0" w:space="4"/>
        </w:pBdr>
      </w:pPr>
      <w:r>
        <w:rPr>
          <w:rFonts w:ascii="黑体" w:hAnsi="黑体" w:eastAsia="黑体" w:cs="仿宋"/>
          <w:bCs/>
          <w:color w:val="000000"/>
          <w:sz w:val="40"/>
          <w:szCs w:val="32"/>
          <w:highlight w:val="none"/>
        </w:rPr>
      </w:r>
      <w:r/>
    </w:p>
    <w:p>
      <w:pPr>
        <w:jc w:val="center"/>
        <w:rPr>
          <w:rFonts w:ascii="黑体" w:hAnsi="黑体" w:eastAsia="黑体" w:cs="仿宋"/>
          <w:bCs/>
          <w:color w:val="000000"/>
          <w:sz w:val="40"/>
          <w:szCs w:val="32"/>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40"/>
          <w:szCs w:val="32"/>
          <w:highlight w:val="none"/>
        </w:rPr>
        <w:t xml:space="preserve">质疑函范本</w:t>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质疑供应商：</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地址：邮编：</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联系人：联系电话：</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授权代表：</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联系电话：</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地址：邮编：</w:t>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质疑项目的名称：</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质疑项目的编号：包号：</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采购人名称：</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采购文件获取日期：</w:t>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质疑事项1：</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事实依据：</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法律依据：</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none"/>
          <w:u w:val="singl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质疑事项2</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请求：</w:t>
      </w:r>
      <w:r/>
    </w:p>
    <w:p>
      <w:pP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签字（签章）：                   公章：                      </w:t>
      </w:r>
      <w:r/>
    </w:p>
    <w:p>
      <w:pP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日期：    </w:t>
      </w:r>
      <w:r/>
    </w:p>
    <w:p>
      <w:pPr>
        <w:spacing w:line="500" w:lineRule="exact"/>
        <w:rPr>
          <w:rFonts w:ascii="宋体" w:hAnsi="宋体"/>
          <w:b/>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szCs w:val="24"/>
          <w:highlight w:val="none"/>
        </w:rPr>
        <w:t xml:space="preserve">质疑函制作说明：</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5.质疑函的质疑请求应与质疑事项相关。</w:t>
      </w:r>
      <w:r/>
    </w:p>
    <w:p>
      <w:pPr>
        <w:ind w:firstLine="480"/>
        <w:jc w:val="left"/>
        <w:spacing w:line="500" w:lineRule="exact"/>
        <w:widowControl/>
        <w:rPr>
          <w:rFonts w:ascii="宋体" w:hAnsi="宋体"/>
          <w:b/>
          <w:color w:val="ff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汉仪书宋二S">
    <w:panose1 w:val="020B0503020202020204"/>
  </w:font>
  <w:font w:name="Symbol">
    <w:panose1 w:val="05050102010706020507"/>
  </w:font>
  <w:font w:name="楷体_GB2312">
    <w:panose1 w:val="02010609060101010101"/>
  </w:font>
  <w:font w:name="华文楷体">
    <w:panose1 w:val="02010600040101010101"/>
  </w:font>
  <w:font w:name="Wingdings">
    <w:panose1 w:val="05000000000000000000"/>
  </w:font>
  <w:font w:name="华文中宋">
    <w:panose1 w:val="02010600040101010101"/>
  </w:font>
  <w:font w:name="仿宋_GB2312">
    <w:panose1 w:val="02010609060101010101"/>
  </w:font>
  <w:font w:name="黑体">
    <w:panose1 w:val="02010609060101010101"/>
  </w:font>
  <w:font w:name="MS Mincho">
    <w:panose1 w:val="02020603050405090304"/>
  </w:font>
  <w:font w:name="Cambria">
    <w:panose1 w:val="02040503050406030204"/>
  </w:font>
  <w:font w:name="仿宋">
    <w:panose1 w:val="02010609060101010101"/>
  </w:font>
  <w:font w:name="等线 Light">
    <w:panose1 w:val="02010600030101010101"/>
  </w:font>
  <w:font w:name="Cambria Math">
    <w:panose1 w:val="02040503050406030204"/>
  </w:font>
  <w:font w:name="Courier New">
    <w:panose1 w:val="02070309020205020404"/>
  </w:font>
  <w:font w:name="金山简黑体">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
  </w:p>
  <w:p>
    <w:pPr>
      <w:pStyle w:val="9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7018"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text-anchor:top;visibility:visible;" filled="f" stroked="f" strokeweight="0.50pt">
              <v:textbox inset="0,0,0,0">
                <w:txbxContent>
                  <w:p>
                    <w:pPr>
                      <w:pStyle w:val="6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3"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64">
    <w:name w:val="Heading 1"/>
    <w:basedOn w:val="663"/>
    <w:next w:val="663"/>
    <w:link w:val="761"/>
    <w:uiPriority w:val="9"/>
    <w:qFormat/>
    <w:pPr>
      <w:keepLines/>
      <w:keepNext/>
      <w:spacing w:before="480" w:after="200"/>
      <w:outlineLvl w:val="0"/>
    </w:pPr>
    <w:rPr>
      <w:rFonts w:ascii="Arial" w:hAnsi="Arial" w:eastAsia="Arial" w:cs="Arial"/>
      <w:sz w:val="40"/>
      <w:szCs w:val="40"/>
    </w:rPr>
  </w:style>
  <w:style w:type="paragraph" w:styleId="665">
    <w:name w:val="Heading 2"/>
    <w:basedOn w:val="663"/>
    <w:next w:val="663"/>
    <w:link w:val="762"/>
    <w:uiPriority w:val="9"/>
    <w:unhideWhenUsed/>
    <w:qFormat/>
    <w:pPr>
      <w:keepLines/>
      <w:keepNext/>
      <w:spacing w:before="360" w:after="200"/>
      <w:outlineLvl w:val="1"/>
    </w:pPr>
    <w:rPr>
      <w:rFonts w:ascii="Arial" w:hAnsi="Arial" w:eastAsia="Arial" w:cs="Arial"/>
      <w:sz w:val="34"/>
    </w:rPr>
  </w:style>
  <w:style w:type="paragraph" w:styleId="666">
    <w:name w:val="Heading 3"/>
    <w:basedOn w:val="663"/>
    <w:next w:val="675"/>
    <w:link w:val="763"/>
    <w:uiPriority w:val="9"/>
    <w:unhideWhenUsed/>
    <w:qFormat/>
    <w:pPr>
      <w:keepLines/>
      <w:keepNext/>
      <w:spacing w:before="320" w:after="200"/>
      <w:outlineLvl w:val="2"/>
    </w:pPr>
    <w:rPr>
      <w:rFonts w:ascii="Arial" w:hAnsi="Arial" w:eastAsia="Arial" w:cs="Arial"/>
      <w:sz w:val="30"/>
      <w:szCs w:val="30"/>
    </w:rPr>
  </w:style>
  <w:style w:type="paragraph" w:styleId="667">
    <w:name w:val="Heading 4"/>
    <w:basedOn w:val="663"/>
    <w:next w:val="663"/>
    <w:link w:val="764"/>
    <w:uiPriority w:val="9"/>
    <w:unhideWhenUsed/>
    <w:qFormat/>
    <w:pPr>
      <w:keepLines/>
      <w:keepNext/>
      <w:spacing w:before="320" w:after="200"/>
      <w:outlineLvl w:val="3"/>
    </w:pPr>
    <w:rPr>
      <w:rFonts w:ascii="Arial" w:hAnsi="Arial" w:eastAsia="Arial" w:cs="Arial"/>
      <w:b/>
      <w:bCs/>
      <w:sz w:val="26"/>
      <w:szCs w:val="26"/>
    </w:rPr>
  </w:style>
  <w:style w:type="paragraph" w:styleId="668">
    <w:name w:val="Heading 5"/>
    <w:basedOn w:val="663"/>
    <w:next w:val="663"/>
    <w:link w:val="765"/>
    <w:uiPriority w:val="9"/>
    <w:unhideWhenUsed/>
    <w:qFormat/>
    <w:pPr>
      <w:keepLines/>
      <w:keepNext/>
      <w:spacing w:before="320" w:after="200"/>
      <w:outlineLvl w:val="4"/>
    </w:pPr>
    <w:rPr>
      <w:rFonts w:ascii="Arial" w:hAnsi="Arial" w:eastAsia="Arial" w:cs="Arial"/>
      <w:b/>
      <w:bCs/>
      <w:sz w:val="24"/>
      <w:szCs w:val="24"/>
    </w:rPr>
  </w:style>
  <w:style w:type="paragraph" w:styleId="669">
    <w:name w:val="Heading 6"/>
    <w:basedOn w:val="663"/>
    <w:next w:val="663"/>
    <w:link w:val="766"/>
    <w:uiPriority w:val="9"/>
    <w:unhideWhenUsed/>
    <w:qFormat/>
    <w:pPr>
      <w:keepLines/>
      <w:keepNext/>
      <w:spacing w:before="320" w:after="200"/>
      <w:outlineLvl w:val="5"/>
    </w:pPr>
    <w:rPr>
      <w:rFonts w:ascii="Arial" w:hAnsi="Arial" w:eastAsia="Arial" w:cs="Arial"/>
      <w:b/>
      <w:bCs/>
      <w:sz w:val="22"/>
    </w:rPr>
  </w:style>
  <w:style w:type="paragraph" w:styleId="670">
    <w:name w:val="Heading 7"/>
    <w:basedOn w:val="663"/>
    <w:next w:val="663"/>
    <w:link w:val="767"/>
    <w:uiPriority w:val="9"/>
    <w:unhideWhenUsed/>
    <w:qFormat/>
    <w:pPr>
      <w:keepLines/>
      <w:keepNext/>
      <w:spacing w:before="320" w:after="200"/>
      <w:outlineLvl w:val="6"/>
    </w:pPr>
    <w:rPr>
      <w:rFonts w:ascii="Arial" w:hAnsi="Arial" w:eastAsia="Arial" w:cs="Arial"/>
      <w:b/>
      <w:bCs/>
      <w:i/>
      <w:iCs/>
      <w:sz w:val="22"/>
    </w:rPr>
  </w:style>
  <w:style w:type="paragraph" w:styleId="671">
    <w:name w:val="Heading 8"/>
    <w:basedOn w:val="663"/>
    <w:next w:val="663"/>
    <w:link w:val="768"/>
    <w:uiPriority w:val="9"/>
    <w:unhideWhenUsed/>
    <w:qFormat/>
    <w:pPr>
      <w:keepLines/>
      <w:keepNext/>
      <w:spacing w:before="320" w:after="200"/>
      <w:outlineLvl w:val="7"/>
    </w:pPr>
    <w:rPr>
      <w:rFonts w:ascii="Arial" w:hAnsi="Arial" w:eastAsia="Arial" w:cs="Arial"/>
      <w:i/>
      <w:iCs/>
      <w:sz w:val="22"/>
    </w:rPr>
  </w:style>
  <w:style w:type="paragraph" w:styleId="672">
    <w:name w:val="Heading 9"/>
    <w:basedOn w:val="663"/>
    <w:next w:val="663"/>
    <w:link w:val="769"/>
    <w:uiPriority w:val="9"/>
    <w:unhideWhenUsed/>
    <w:qFormat/>
    <w:pPr>
      <w:keepLines/>
      <w:keepNext/>
      <w:spacing w:before="320" w:after="200"/>
      <w:outlineLvl w:val="8"/>
    </w:pPr>
    <w:rPr>
      <w:rFonts w:ascii="Arial" w:hAnsi="Arial" w:eastAsia="Arial" w:cs="Arial"/>
      <w:i/>
      <w:iCs/>
      <w:szCs w:val="21"/>
    </w:rPr>
  </w:style>
  <w:style w:type="character" w:styleId="673" w:default="1">
    <w:name w:val="Default Paragraph Font"/>
    <w:uiPriority w:val="1"/>
    <w:semiHidden/>
    <w:unhideWhenUsed/>
    <w:qFormat/>
  </w:style>
  <w:style w:type="table" w:styleId="674" w:default="1">
    <w:name w:val="Normal Table"/>
    <w:uiPriority w:val="99"/>
    <w:semiHidden/>
    <w:unhideWhenUsed/>
    <w:qFormat/>
    <w:tblPr>
      <w:tblCellMar>
        <w:left w:w="108" w:type="dxa"/>
        <w:top w:w="0" w:type="dxa"/>
        <w:right w:w="108" w:type="dxa"/>
        <w:bottom w:w="0" w:type="dxa"/>
      </w:tblCellMar>
    </w:tblPr>
  </w:style>
  <w:style w:type="paragraph" w:styleId="675">
    <w:name w:val="Normal Indent"/>
    <w:basedOn w:val="663"/>
    <w:uiPriority w:val="99"/>
    <w:unhideWhenUsed/>
    <w:qFormat/>
    <w:pPr>
      <w:ind w:firstLine="420"/>
    </w:pPr>
  </w:style>
  <w:style w:type="paragraph" w:styleId="676">
    <w:name w:val="toc 7"/>
    <w:basedOn w:val="663"/>
    <w:next w:val="663"/>
    <w:uiPriority w:val="39"/>
    <w:unhideWhenUsed/>
    <w:qFormat/>
    <w:pPr>
      <w:ind w:left="1701"/>
      <w:spacing w:after="57"/>
    </w:pPr>
  </w:style>
  <w:style w:type="paragraph" w:styleId="677">
    <w:name w:val="Caption"/>
    <w:basedOn w:val="663"/>
    <w:next w:val="6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annotation text"/>
    <w:basedOn w:val="663"/>
    <w:uiPriority w:val="99"/>
    <w:semiHidden/>
    <w:unhideWhenUsed/>
    <w:qFormat/>
    <w:pPr>
      <w:jc w:val="left"/>
    </w:pPr>
  </w:style>
  <w:style w:type="paragraph" w:styleId="679">
    <w:name w:val="Body Text"/>
    <w:basedOn w:val="663"/>
    <w:next w:val="663"/>
    <w:uiPriority w:val="0"/>
    <w:qFormat/>
    <w:rPr>
      <w:rFonts w:ascii="金山简黑体" w:hAnsi="Courier New" w:eastAsia="金山简黑体"/>
      <w:b/>
      <w:spacing w:val="-8"/>
      <w:sz w:val="44"/>
      <w:szCs w:val="20"/>
    </w:rPr>
  </w:style>
  <w:style w:type="paragraph" w:styleId="680">
    <w:name w:val="Body Text Indent"/>
    <w:basedOn w:val="663"/>
    <w:uiPriority w:val="0"/>
    <w:qFormat/>
    <w:pPr>
      <w:ind w:left="420"/>
      <w:spacing w:after="120"/>
    </w:pPr>
  </w:style>
  <w:style w:type="paragraph" w:styleId="681">
    <w:name w:val="toc 5"/>
    <w:basedOn w:val="663"/>
    <w:next w:val="663"/>
    <w:uiPriority w:val="39"/>
    <w:unhideWhenUsed/>
    <w:qFormat/>
    <w:pPr>
      <w:ind w:left="1134"/>
      <w:spacing w:after="57"/>
    </w:pPr>
  </w:style>
  <w:style w:type="paragraph" w:styleId="682">
    <w:name w:val="toc 3"/>
    <w:basedOn w:val="663"/>
    <w:next w:val="663"/>
    <w:uiPriority w:val="39"/>
    <w:unhideWhenUsed/>
    <w:qFormat/>
    <w:pPr>
      <w:ind w:left="567"/>
      <w:spacing w:after="57"/>
    </w:pPr>
  </w:style>
  <w:style w:type="paragraph" w:styleId="683">
    <w:name w:val="toc 8"/>
    <w:basedOn w:val="663"/>
    <w:next w:val="663"/>
    <w:uiPriority w:val="39"/>
    <w:unhideWhenUsed/>
    <w:qFormat/>
    <w:pPr>
      <w:ind w:left="1984"/>
      <w:spacing w:after="57"/>
    </w:pPr>
  </w:style>
  <w:style w:type="paragraph" w:styleId="684">
    <w:name w:val="Date"/>
    <w:basedOn w:val="663"/>
    <w:next w:val="663"/>
    <w:uiPriority w:val="0"/>
    <w:qFormat/>
    <w:rPr>
      <w:sz w:val="24"/>
      <w:szCs w:val="20"/>
    </w:rPr>
  </w:style>
  <w:style w:type="paragraph" w:styleId="685">
    <w:name w:val="endnote text"/>
    <w:basedOn w:val="663"/>
    <w:link w:val="888"/>
    <w:uiPriority w:val="99"/>
    <w:semiHidden/>
    <w:unhideWhenUsed/>
    <w:qFormat/>
    <w:rPr>
      <w:sz w:val="20"/>
    </w:rPr>
  </w:style>
  <w:style w:type="paragraph" w:styleId="686">
    <w:name w:val="Balloon Text"/>
    <w:basedOn w:val="663"/>
    <w:link w:val="927"/>
    <w:uiPriority w:val="99"/>
    <w:semiHidden/>
    <w:unhideWhenUsed/>
    <w:qFormat/>
    <w:rPr>
      <w:sz w:val="18"/>
      <w:szCs w:val="18"/>
    </w:rPr>
  </w:style>
  <w:style w:type="paragraph" w:styleId="687">
    <w:name w:val="Footer"/>
    <w:basedOn w:val="663"/>
    <w:link w:val="780"/>
    <w:uiPriority w:val="99"/>
    <w:unhideWhenUsed/>
    <w:qFormat/>
    <w:pPr>
      <w:tabs>
        <w:tab w:val="center" w:pos="7143" w:leader="none"/>
        <w:tab w:val="right" w:pos="14287" w:leader="none"/>
      </w:tabs>
    </w:pPr>
  </w:style>
  <w:style w:type="paragraph" w:styleId="688">
    <w:name w:val="Header"/>
    <w:basedOn w:val="663"/>
    <w:link w:val="778"/>
    <w:uiPriority w:val="99"/>
    <w:unhideWhenUsed/>
    <w:qFormat/>
    <w:pPr>
      <w:tabs>
        <w:tab w:val="center" w:pos="7143" w:leader="none"/>
        <w:tab w:val="right" w:pos="14287" w:leader="none"/>
      </w:tabs>
    </w:pPr>
  </w:style>
  <w:style w:type="paragraph" w:styleId="689">
    <w:name w:val="toc 1"/>
    <w:basedOn w:val="663"/>
    <w:next w:val="663"/>
    <w:uiPriority w:val="39"/>
    <w:unhideWhenUsed/>
    <w:qFormat/>
    <w:pPr>
      <w:spacing w:after="57"/>
    </w:pPr>
  </w:style>
  <w:style w:type="paragraph" w:styleId="690">
    <w:name w:val="toc 4"/>
    <w:basedOn w:val="663"/>
    <w:next w:val="663"/>
    <w:uiPriority w:val="39"/>
    <w:unhideWhenUsed/>
    <w:qFormat/>
    <w:pPr>
      <w:ind w:left="850"/>
      <w:spacing w:after="57"/>
    </w:pPr>
  </w:style>
  <w:style w:type="paragraph" w:styleId="691">
    <w:name w:val="Subtitle"/>
    <w:basedOn w:val="663"/>
    <w:next w:val="663"/>
    <w:link w:val="773"/>
    <w:uiPriority w:val="11"/>
    <w:qFormat/>
    <w:pPr>
      <w:spacing w:before="200" w:after="200"/>
    </w:pPr>
    <w:rPr>
      <w:sz w:val="24"/>
      <w:szCs w:val="24"/>
    </w:rPr>
  </w:style>
  <w:style w:type="paragraph" w:styleId="692">
    <w:name w:val="footnote text"/>
    <w:basedOn w:val="663"/>
    <w:link w:val="887"/>
    <w:uiPriority w:val="99"/>
    <w:semiHidden/>
    <w:unhideWhenUsed/>
    <w:qFormat/>
    <w:pPr>
      <w:spacing w:after="40"/>
    </w:pPr>
    <w:rPr>
      <w:sz w:val="18"/>
    </w:rPr>
  </w:style>
  <w:style w:type="paragraph" w:styleId="693">
    <w:name w:val="toc 6"/>
    <w:basedOn w:val="663"/>
    <w:next w:val="663"/>
    <w:uiPriority w:val="39"/>
    <w:unhideWhenUsed/>
    <w:qFormat/>
    <w:pPr>
      <w:ind w:left="1417"/>
      <w:spacing w:after="57"/>
    </w:pPr>
  </w:style>
  <w:style w:type="paragraph" w:styleId="694">
    <w:name w:val="table of figures"/>
    <w:basedOn w:val="663"/>
    <w:next w:val="663"/>
    <w:uiPriority w:val="99"/>
    <w:unhideWhenUsed/>
    <w:qFormat/>
  </w:style>
  <w:style w:type="paragraph" w:styleId="695">
    <w:name w:val="toc 2"/>
    <w:basedOn w:val="663"/>
    <w:next w:val="663"/>
    <w:uiPriority w:val="39"/>
    <w:unhideWhenUsed/>
    <w:qFormat/>
    <w:pPr>
      <w:ind w:left="283"/>
      <w:spacing w:after="57"/>
    </w:pPr>
  </w:style>
  <w:style w:type="paragraph" w:styleId="696">
    <w:name w:val="toc 9"/>
    <w:basedOn w:val="663"/>
    <w:next w:val="663"/>
    <w:uiPriority w:val="39"/>
    <w:unhideWhenUsed/>
    <w:qFormat/>
    <w:pPr>
      <w:ind w:left="2268"/>
      <w:spacing w:after="57"/>
    </w:pPr>
  </w:style>
  <w:style w:type="paragraph" w:styleId="697">
    <w:name w:val="Title"/>
    <w:basedOn w:val="663"/>
    <w:next w:val="663"/>
    <w:link w:val="772"/>
    <w:uiPriority w:val="10"/>
    <w:qFormat/>
    <w:pPr>
      <w:contextualSpacing/>
      <w:spacing w:before="300" w:after="200"/>
    </w:pPr>
    <w:rPr>
      <w:sz w:val="48"/>
      <w:szCs w:val="48"/>
    </w:rPr>
  </w:style>
  <w:style w:type="table" w:styleId="6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9">
    <w:name w:val="endnote reference"/>
    <w:uiPriority w:val="99"/>
    <w:semiHidden/>
    <w:unhideWhenUsed/>
    <w:qFormat/>
    <w:rPr>
      <w:vertAlign w:val="superscript"/>
    </w:rPr>
  </w:style>
  <w:style w:type="character" w:styleId="700">
    <w:name w:val="Emphasis"/>
    <w:basedOn w:val="673"/>
    <w:uiPriority w:val="20"/>
    <w:qFormat/>
    <w:rPr>
      <w:i/>
    </w:rPr>
  </w:style>
  <w:style w:type="character" w:styleId="701">
    <w:name w:val="Hyperlink"/>
    <w:uiPriority w:val="99"/>
    <w:unhideWhenUsed/>
    <w:qFormat/>
    <w:rPr>
      <w:color w:val="0000ff" w:themeColor="hyperlink"/>
      <w:u w:val="single"/>
      <w14:textFill>
        <w14:solidFill>
          <w14:schemeClr w14:val="hlink"/>
        </w14:solidFill>
      </w14:textFill>
    </w:rPr>
  </w:style>
  <w:style w:type="character" w:styleId="702">
    <w:name w:val="annotation reference"/>
    <w:uiPriority w:val="0"/>
    <w:qFormat/>
    <w:rPr>
      <w:rFonts w:ascii="Cambria Math" w:hAnsi="Cambria Math" w:eastAsia="等线 Light" w:cs="Cambria Math"/>
      <w:sz w:val="21"/>
      <w:szCs w:val="21"/>
    </w:rPr>
  </w:style>
  <w:style w:type="character" w:styleId="703">
    <w:name w:val="footnote reference"/>
    <w:uiPriority w:val="99"/>
    <w:unhideWhenUsed/>
    <w:qFormat/>
    <w:rPr>
      <w:vertAlign w:val="superscript"/>
    </w:rPr>
  </w:style>
  <w:style w:type="table" w:styleId="704" w:customStyle="1">
    <w:name w:val="Plain Table 1"/>
    <w:basedOn w:val="6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Plain Table 2"/>
    <w:basedOn w:val="6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3"/>
    <w:basedOn w:val="6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customStyle="1">
    <w:name w:val="Plain Table 4"/>
    <w:basedOn w:val="6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customStyle="1">
    <w:name w:val="Plain Table 5"/>
    <w:basedOn w:val="6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9" w:customStyle="1">
    <w:name w:val="Grid Table 1 Light"/>
    <w:basedOn w:val="6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0" w:customStyle="1">
    <w:name w:val="Grid Table 2"/>
    <w:basedOn w:val="6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1" w:customStyle="1">
    <w:name w:val="Grid Table 3"/>
    <w:basedOn w:val="6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4"/>
    <w:basedOn w:val="6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customStyle="1">
    <w:name w:val="Grid Table 5 Dark"/>
    <w:basedOn w:val="6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4" w:customStyle="1">
    <w:name w:val="Grid Table 6 Colorful"/>
    <w:basedOn w:val="6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5" w:customStyle="1">
    <w:name w:val="Grid Table 7 Colorful"/>
    <w:basedOn w:val="674"/>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6" w:customStyle="1">
    <w:name w:val="List Table 1 Light"/>
    <w:basedOn w:val="6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7" w:customStyle="1">
    <w:name w:val="List Table 2"/>
    <w:basedOn w:val="6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8" w:customStyle="1">
    <w:name w:val="List Table 3"/>
    <w:basedOn w:val="6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9" w:customStyle="1">
    <w:name w:val="List Table 4"/>
    <w:basedOn w:val="6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0" w:customStyle="1">
    <w:name w:val="List Table 5 Dark"/>
    <w:basedOn w:val="6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1" w:customStyle="1">
    <w:name w:val="List Table 6 Colorful"/>
    <w:basedOn w:val="6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2" w:customStyle="1">
    <w:name w:val="List Table 7 Colorful"/>
    <w:basedOn w:val="6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3" w:customStyle="1">
    <w:name w:val="TOC Heading"/>
    <w:uiPriority w:val="39"/>
    <w:unhideWhenUsed/>
    <w:qFormat/>
    <w:rPr>
      <w:rFonts w:hint="default" w:ascii="Times New Roman" w:hAnsi="Times New Roman" w:eastAsia="宋体" w:cs="Times New Roman"/>
    </w:rPr>
  </w:style>
  <w:style w:type="character" w:styleId="724" w:customStyle="1">
    <w:name w:val="Heading 1 Char"/>
    <w:basedOn w:val="673"/>
    <w:uiPriority w:val="9"/>
    <w:qFormat/>
    <w:rPr>
      <w:rFonts w:ascii="Arial" w:hAnsi="Arial" w:eastAsia="Arial" w:cs="Arial"/>
      <w:sz w:val="40"/>
      <w:szCs w:val="40"/>
    </w:rPr>
  </w:style>
  <w:style w:type="character" w:styleId="725" w:customStyle="1">
    <w:name w:val="Heading 2 Char"/>
    <w:basedOn w:val="673"/>
    <w:uiPriority w:val="9"/>
    <w:qFormat/>
    <w:rPr>
      <w:rFonts w:ascii="Arial" w:hAnsi="Arial" w:eastAsia="Arial" w:cs="Arial"/>
      <w:sz w:val="34"/>
    </w:rPr>
  </w:style>
  <w:style w:type="character" w:styleId="726" w:customStyle="1">
    <w:name w:val="Heading 3 Char"/>
    <w:basedOn w:val="673"/>
    <w:uiPriority w:val="9"/>
    <w:qFormat/>
    <w:rPr>
      <w:rFonts w:ascii="Arial" w:hAnsi="Arial" w:eastAsia="Arial" w:cs="Arial"/>
      <w:sz w:val="30"/>
      <w:szCs w:val="30"/>
    </w:rPr>
  </w:style>
  <w:style w:type="character" w:styleId="727" w:customStyle="1">
    <w:name w:val="Heading 4 Char"/>
    <w:basedOn w:val="673"/>
    <w:uiPriority w:val="9"/>
    <w:qFormat/>
    <w:rPr>
      <w:rFonts w:ascii="Arial" w:hAnsi="Arial" w:eastAsia="Arial" w:cs="Arial"/>
      <w:b/>
      <w:bCs/>
      <w:sz w:val="26"/>
      <w:szCs w:val="26"/>
    </w:rPr>
  </w:style>
  <w:style w:type="character" w:styleId="728" w:customStyle="1">
    <w:name w:val="Heading 5 Char"/>
    <w:basedOn w:val="673"/>
    <w:uiPriority w:val="9"/>
    <w:qFormat/>
    <w:rPr>
      <w:rFonts w:ascii="Arial" w:hAnsi="Arial" w:eastAsia="Arial" w:cs="Arial"/>
      <w:b/>
      <w:bCs/>
      <w:sz w:val="24"/>
      <w:szCs w:val="24"/>
    </w:rPr>
  </w:style>
  <w:style w:type="character" w:styleId="729" w:customStyle="1">
    <w:name w:val="Heading 6 Char"/>
    <w:basedOn w:val="673"/>
    <w:uiPriority w:val="9"/>
    <w:qFormat/>
    <w:rPr>
      <w:rFonts w:ascii="Arial" w:hAnsi="Arial" w:eastAsia="Arial" w:cs="Arial"/>
      <w:b/>
      <w:bCs/>
      <w:sz w:val="22"/>
      <w:szCs w:val="22"/>
    </w:rPr>
  </w:style>
  <w:style w:type="character" w:styleId="730" w:customStyle="1">
    <w:name w:val="Heading 7 Char"/>
    <w:basedOn w:val="673"/>
    <w:uiPriority w:val="9"/>
    <w:qFormat/>
    <w:rPr>
      <w:rFonts w:ascii="Arial" w:hAnsi="Arial" w:eastAsia="Arial" w:cs="Arial"/>
      <w:b/>
      <w:bCs/>
      <w:i/>
      <w:iCs/>
      <w:sz w:val="22"/>
      <w:szCs w:val="22"/>
    </w:rPr>
  </w:style>
  <w:style w:type="character" w:styleId="731" w:customStyle="1">
    <w:name w:val="Heading 8 Char"/>
    <w:basedOn w:val="673"/>
    <w:uiPriority w:val="9"/>
    <w:qFormat/>
    <w:rPr>
      <w:rFonts w:ascii="Arial" w:hAnsi="Arial" w:eastAsia="Arial" w:cs="Arial"/>
      <w:i/>
      <w:iCs/>
      <w:sz w:val="22"/>
      <w:szCs w:val="22"/>
    </w:rPr>
  </w:style>
  <w:style w:type="character" w:styleId="732" w:customStyle="1">
    <w:name w:val="Heading 9 Char"/>
    <w:basedOn w:val="673"/>
    <w:uiPriority w:val="9"/>
    <w:qFormat/>
    <w:rPr>
      <w:rFonts w:ascii="Arial" w:hAnsi="Arial" w:eastAsia="Arial" w:cs="Arial"/>
      <w:i/>
      <w:iCs/>
      <w:sz w:val="21"/>
      <w:szCs w:val="21"/>
    </w:rPr>
  </w:style>
  <w:style w:type="character" w:styleId="733" w:customStyle="1">
    <w:name w:val="Title Char"/>
    <w:basedOn w:val="673"/>
    <w:uiPriority w:val="10"/>
    <w:qFormat/>
    <w:rPr>
      <w:sz w:val="48"/>
      <w:szCs w:val="48"/>
    </w:rPr>
  </w:style>
  <w:style w:type="character" w:styleId="734" w:customStyle="1">
    <w:name w:val="Subtitle Char"/>
    <w:basedOn w:val="673"/>
    <w:uiPriority w:val="11"/>
    <w:qFormat/>
    <w:rPr>
      <w:sz w:val="24"/>
      <w:szCs w:val="24"/>
    </w:rPr>
  </w:style>
  <w:style w:type="character" w:styleId="735" w:customStyle="1">
    <w:name w:val="Quote Char"/>
    <w:uiPriority w:val="29"/>
    <w:qFormat/>
    <w:rPr>
      <w:i/>
    </w:rPr>
  </w:style>
  <w:style w:type="character" w:styleId="736" w:customStyle="1">
    <w:name w:val="Intense Quote Char"/>
    <w:uiPriority w:val="30"/>
    <w:qFormat/>
    <w:rPr>
      <w:i/>
    </w:rPr>
  </w:style>
  <w:style w:type="character" w:styleId="737" w:customStyle="1">
    <w:name w:val="Header Char"/>
    <w:basedOn w:val="673"/>
    <w:uiPriority w:val="99"/>
    <w:qFormat/>
  </w:style>
  <w:style w:type="character" w:styleId="738" w:customStyle="1">
    <w:name w:val="Caption Char"/>
    <w:uiPriority w:val="99"/>
    <w:qFormat/>
  </w:style>
  <w:style w:type="table" w:styleId="739" w:customStyle="1">
    <w:name w:val="无格式表格 11"/>
    <w:basedOn w:val="6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21"/>
    <w:basedOn w:val="6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31"/>
    <w:basedOn w:val="67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无格式表格 41"/>
    <w:basedOn w:val="67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无格式表格 51"/>
    <w:basedOn w:val="67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网格表 1 浅色1"/>
    <w:basedOn w:val="6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网格表 21"/>
    <w:basedOn w:val="6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网格表 31"/>
    <w:basedOn w:val="6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网格表 41"/>
    <w:basedOn w:val="6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网格表 5 深色1"/>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网格表 6 彩色1"/>
    <w:basedOn w:val="6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网格表 7 彩色1"/>
    <w:basedOn w:val="6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1" w:customStyle="1">
    <w:name w:val="清单表 1 浅色1"/>
    <w:basedOn w:val="674"/>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清单表 21"/>
    <w:basedOn w:val="6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清单表 31"/>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清单表 41"/>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清单表 5 深色1"/>
    <w:basedOn w:val="6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6" w:customStyle="1">
    <w:name w:val="清单表 6 彩色1"/>
    <w:basedOn w:val="674"/>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7" w:customStyle="1">
    <w:name w:val="清单表 7 彩色1"/>
    <w:basedOn w:val="674"/>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8" w:customStyle="1">
    <w:name w:val="Footnote Text Char"/>
    <w:uiPriority w:val="99"/>
    <w:qFormat/>
    <w:rPr>
      <w:sz w:val="18"/>
    </w:rPr>
  </w:style>
  <w:style w:type="character" w:styleId="759" w:customStyle="1">
    <w:name w:val="Endnote Text Char"/>
    <w:uiPriority w:val="99"/>
    <w:qFormat/>
    <w:rPr>
      <w:sz w:val="20"/>
    </w:rPr>
  </w:style>
  <w:style w:type="paragraph" w:styleId="760" w:customStyle="1">
    <w:name w:val="TOC 标题1"/>
    <w:uiPriority w:val="39"/>
    <w:unhideWhenUsed/>
    <w:qFormat/>
    <w:rPr>
      <w:rFonts w:hint="default" w:ascii="Times New Roman" w:hAnsi="Times New Roman" w:eastAsia="宋体" w:cs="Times New Roman"/>
      <w:lang w:val="en-US" w:eastAsia="zh-CN" w:bidi="ar-SA"/>
    </w:rPr>
  </w:style>
  <w:style w:type="character" w:styleId="761" w:customStyle="1">
    <w:name w:val="标题 1 字符"/>
    <w:link w:val="664"/>
    <w:uiPriority w:val="9"/>
    <w:qFormat/>
    <w:rPr>
      <w:rFonts w:ascii="Arial" w:hAnsi="Arial" w:eastAsia="Arial" w:cs="Arial"/>
      <w:sz w:val="40"/>
      <w:szCs w:val="40"/>
    </w:rPr>
  </w:style>
  <w:style w:type="character" w:styleId="762" w:customStyle="1">
    <w:name w:val="标题 2 字符"/>
    <w:link w:val="665"/>
    <w:uiPriority w:val="9"/>
    <w:qFormat/>
    <w:rPr>
      <w:rFonts w:ascii="Arial" w:hAnsi="Arial" w:eastAsia="Arial" w:cs="Arial"/>
      <w:sz w:val="34"/>
    </w:rPr>
  </w:style>
  <w:style w:type="character" w:styleId="763" w:customStyle="1">
    <w:name w:val="标题 3 字符"/>
    <w:link w:val="666"/>
    <w:uiPriority w:val="9"/>
    <w:qFormat/>
    <w:rPr>
      <w:rFonts w:ascii="Arial" w:hAnsi="Arial" w:eastAsia="Arial" w:cs="Arial"/>
      <w:sz w:val="30"/>
      <w:szCs w:val="30"/>
    </w:rPr>
  </w:style>
  <w:style w:type="character" w:styleId="764" w:customStyle="1">
    <w:name w:val="标题 4 字符"/>
    <w:link w:val="667"/>
    <w:uiPriority w:val="9"/>
    <w:qFormat/>
    <w:rPr>
      <w:rFonts w:ascii="Arial" w:hAnsi="Arial" w:eastAsia="Arial" w:cs="Arial"/>
      <w:b/>
      <w:bCs/>
      <w:sz w:val="26"/>
      <w:szCs w:val="26"/>
    </w:rPr>
  </w:style>
  <w:style w:type="character" w:styleId="765" w:customStyle="1">
    <w:name w:val="标题 5 字符"/>
    <w:link w:val="668"/>
    <w:uiPriority w:val="9"/>
    <w:qFormat/>
    <w:rPr>
      <w:rFonts w:ascii="Arial" w:hAnsi="Arial" w:eastAsia="Arial" w:cs="Arial"/>
      <w:b/>
      <w:bCs/>
      <w:sz w:val="24"/>
      <w:szCs w:val="24"/>
    </w:rPr>
  </w:style>
  <w:style w:type="character" w:styleId="766" w:customStyle="1">
    <w:name w:val="标题 6 字符"/>
    <w:link w:val="669"/>
    <w:uiPriority w:val="9"/>
    <w:qFormat/>
    <w:rPr>
      <w:rFonts w:ascii="Arial" w:hAnsi="Arial" w:eastAsia="Arial" w:cs="Arial"/>
      <w:b/>
      <w:bCs/>
      <w:sz w:val="22"/>
      <w:szCs w:val="22"/>
    </w:rPr>
  </w:style>
  <w:style w:type="character" w:styleId="767" w:customStyle="1">
    <w:name w:val="标题 7 字符"/>
    <w:link w:val="670"/>
    <w:uiPriority w:val="9"/>
    <w:qFormat/>
    <w:rPr>
      <w:rFonts w:ascii="Arial" w:hAnsi="Arial" w:eastAsia="Arial" w:cs="Arial"/>
      <w:b/>
      <w:bCs/>
      <w:i/>
      <w:iCs/>
      <w:sz w:val="22"/>
      <w:szCs w:val="22"/>
    </w:rPr>
  </w:style>
  <w:style w:type="character" w:styleId="768" w:customStyle="1">
    <w:name w:val="标题 8 字符"/>
    <w:link w:val="671"/>
    <w:uiPriority w:val="9"/>
    <w:qFormat/>
    <w:rPr>
      <w:rFonts w:ascii="Arial" w:hAnsi="Arial" w:eastAsia="Arial" w:cs="Arial"/>
      <w:i/>
      <w:iCs/>
      <w:sz w:val="22"/>
      <w:szCs w:val="22"/>
    </w:rPr>
  </w:style>
  <w:style w:type="character" w:styleId="769" w:customStyle="1">
    <w:name w:val="标题 9 字符"/>
    <w:link w:val="672"/>
    <w:uiPriority w:val="9"/>
    <w:qFormat/>
    <w:rPr>
      <w:rFonts w:ascii="Arial" w:hAnsi="Arial" w:eastAsia="Arial" w:cs="Arial"/>
      <w:i/>
      <w:iCs/>
      <w:sz w:val="21"/>
      <w:szCs w:val="21"/>
    </w:rPr>
  </w:style>
  <w:style w:type="paragraph" w:styleId="770">
    <w:name w:val="List Paragraph"/>
    <w:basedOn w:val="663"/>
    <w:uiPriority w:val="34"/>
    <w:qFormat/>
    <w:pPr>
      <w:contextualSpacing/>
      <w:ind w:left="720"/>
    </w:pPr>
  </w:style>
  <w:style w:type="paragraph" w:styleId="771">
    <w:name w:val="No Spacing"/>
    <w:uiPriority w:val="1"/>
    <w:qFormat/>
    <w:rPr>
      <w:rFonts w:hint="default" w:ascii="Times New Roman" w:hAnsi="Times New Roman" w:eastAsia="宋体" w:cs="Times New Roman"/>
      <w:lang w:val="en-US" w:eastAsia="zh-CN" w:bidi="ar-SA"/>
    </w:rPr>
  </w:style>
  <w:style w:type="character" w:styleId="772" w:customStyle="1">
    <w:name w:val="标题 字符"/>
    <w:link w:val="697"/>
    <w:uiPriority w:val="10"/>
    <w:qFormat/>
    <w:rPr>
      <w:sz w:val="48"/>
      <w:szCs w:val="48"/>
    </w:rPr>
  </w:style>
  <w:style w:type="character" w:styleId="773" w:customStyle="1">
    <w:name w:val="副标题 字符"/>
    <w:link w:val="691"/>
    <w:uiPriority w:val="11"/>
    <w:qFormat/>
    <w:rPr>
      <w:sz w:val="24"/>
      <w:szCs w:val="24"/>
    </w:rPr>
  </w:style>
  <w:style w:type="paragraph" w:styleId="774">
    <w:name w:val="Quote"/>
    <w:basedOn w:val="663"/>
    <w:next w:val="663"/>
    <w:link w:val="775"/>
    <w:uiPriority w:val="29"/>
    <w:qFormat/>
    <w:pPr>
      <w:ind w:left="720" w:right="720"/>
    </w:pPr>
    <w:rPr>
      <w:i/>
    </w:rPr>
  </w:style>
  <w:style w:type="character" w:styleId="775" w:customStyle="1">
    <w:name w:val="引用 字符"/>
    <w:link w:val="774"/>
    <w:uiPriority w:val="29"/>
    <w:qFormat/>
    <w:rPr>
      <w:i/>
    </w:rPr>
  </w:style>
  <w:style w:type="paragraph" w:styleId="776">
    <w:name w:val="Intense Quote"/>
    <w:basedOn w:val="663"/>
    <w:next w:val="663"/>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明显引用 字符"/>
    <w:link w:val="776"/>
    <w:uiPriority w:val="30"/>
    <w:qFormat/>
    <w:rPr>
      <w:i/>
    </w:rPr>
  </w:style>
  <w:style w:type="character" w:styleId="778" w:customStyle="1">
    <w:name w:val="页眉 字符"/>
    <w:link w:val="688"/>
    <w:uiPriority w:val="99"/>
    <w:qFormat/>
  </w:style>
  <w:style w:type="character" w:styleId="779" w:customStyle="1">
    <w:name w:val="Footer Char"/>
    <w:uiPriority w:val="99"/>
    <w:qFormat/>
  </w:style>
  <w:style w:type="character" w:styleId="780" w:customStyle="1">
    <w:name w:val="页脚 字符"/>
    <w:link w:val="687"/>
    <w:uiPriority w:val="99"/>
    <w:qFormat/>
  </w:style>
  <w:style w:type="table" w:styleId="7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脚注文本 字符"/>
    <w:link w:val="692"/>
    <w:uiPriority w:val="99"/>
    <w:qFormat/>
    <w:rPr>
      <w:sz w:val="18"/>
    </w:rPr>
  </w:style>
  <w:style w:type="character" w:styleId="888" w:customStyle="1">
    <w:name w:val="尾注文本 字符"/>
    <w:link w:val="685"/>
    <w:uiPriority w:val="99"/>
    <w:qFormat/>
    <w:rPr>
      <w:sz w:val="20"/>
    </w:rPr>
  </w:style>
  <w:style w:type="paragraph" w:styleId="889" w:customStyle="1">
    <w:name w:val="TOC 标题11"/>
    <w:uiPriority w:val="39"/>
    <w:unhideWhenUsed/>
    <w:qFormat/>
    <w:rPr>
      <w:rFonts w:hint="default" w:ascii="Times New Roman" w:hAnsi="Times New Roman" w:eastAsia="宋体" w:cs="Times New Roman"/>
      <w:lang w:val="en-US" w:eastAsia="zh-CN" w:bidi="ar-SA"/>
    </w:rPr>
  </w:style>
  <w:style w:type="paragraph" w:styleId="890" w:customStyle="1">
    <w:name w:val="标题 11"/>
    <w:basedOn w:val="663"/>
    <w:next w:val="663"/>
    <w:link w:val="896"/>
    <w:uiPriority w:val="0"/>
    <w:qFormat/>
    <w:pPr>
      <w:keepLines/>
      <w:keepNext/>
      <w:spacing w:before="340" w:after="330" w:line="578" w:lineRule="auto"/>
      <w:outlineLvl w:val="0"/>
    </w:pPr>
    <w:rPr>
      <w:rFonts w:ascii="Times New Roman" w:hAnsi="Times New Roman"/>
      <w:b/>
      <w:bCs/>
      <w:sz w:val="44"/>
      <w:szCs w:val="44"/>
    </w:rPr>
  </w:style>
  <w:style w:type="paragraph" w:styleId="891" w:customStyle="1">
    <w:name w:val="标题 21"/>
    <w:basedOn w:val="663"/>
    <w:next w:val="663"/>
    <w:link w:val="897"/>
    <w:uiPriority w:val="0"/>
    <w:qFormat/>
    <w:pPr>
      <w:keepLines/>
      <w:keepNext/>
      <w:spacing w:before="260" w:after="260" w:line="416" w:lineRule="auto"/>
      <w:outlineLvl w:val="1"/>
    </w:pPr>
    <w:rPr>
      <w:rFonts w:ascii="Cambria" w:hAnsi="Cambria"/>
      <w:b/>
      <w:bCs/>
      <w:sz w:val="32"/>
      <w:szCs w:val="32"/>
    </w:rPr>
  </w:style>
  <w:style w:type="paragraph" w:styleId="892" w:customStyle="1">
    <w:name w:val="标题 31"/>
    <w:basedOn w:val="663"/>
    <w:next w:val="663"/>
    <w:link w:val="898"/>
    <w:uiPriority w:val="0"/>
    <w:qFormat/>
    <w:pPr>
      <w:keepLines/>
      <w:keepNext/>
      <w:spacing w:before="260" w:after="260" w:line="416" w:lineRule="auto"/>
      <w:outlineLvl w:val="2"/>
    </w:pPr>
    <w:rPr>
      <w:rFonts w:ascii="Times New Roman" w:hAnsi="Times New Roman"/>
      <w:b/>
      <w:bCs/>
      <w:sz w:val="32"/>
      <w:szCs w:val="32"/>
    </w:rPr>
  </w:style>
  <w:style w:type="character" w:styleId="893" w:customStyle="1">
    <w:name w:val="默认段落字体1"/>
    <w:uiPriority w:val="0"/>
    <w:qFormat/>
    <w:rPr>
      <w:rFonts w:ascii="Times New Roman" w:hAnsi="Times New Roman" w:eastAsia="宋体" w:cs="Times New Roman"/>
    </w:rPr>
  </w:style>
  <w:style w:type="table" w:styleId="894" w:customStyle="1">
    <w:name w:val="普通表格1"/>
    <w:uiPriority w:val="0"/>
    <w:qFormat/>
    <w:tblPr>
      <w:tblCellMar>
        <w:left w:w="0" w:type="dxa"/>
        <w:top w:w="0" w:type="dxa"/>
        <w:right w:w="0" w:type="dxa"/>
        <w:bottom w:w="0" w:type="dxa"/>
      </w:tblCellMar>
    </w:tblPr>
  </w:style>
  <w:style w:type="paragraph" w:styleId="895"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896" w:customStyle="1">
    <w:name w:val="标题 1 Char"/>
    <w:basedOn w:val="893"/>
    <w:link w:val="890"/>
    <w:uiPriority w:val="0"/>
    <w:qFormat/>
    <w:rPr>
      <w:rFonts w:ascii="Times New Roman" w:hAnsi="Times New Roman" w:eastAsia="宋体" w:cs="Times New Roman"/>
      <w:b/>
      <w:bCs/>
      <w:sz w:val="44"/>
      <w:szCs w:val="44"/>
    </w:rPr>
  </w:style>
  <w:style w:type="character" w:styleId="897" w:customStyle="1">
    <w:name w:val="标题 2 Char"/>
    <w:basedOn w:val="893"/>
    <w:link w:val="891"/>
    <w:uiPriority w:val="0"/>
    <w:qFormat/>
    <w:rPr>
      <w:rFonts w:ascii="Cambria" w:hAnsi="Cambria" w:eastAsia="宋体" w:cs="Times New Roman"/>
      <w:b/>
      <w:bCs/>
      <w:sz w:val="32"/>
      <w:szCs w:val="32"/>
    </w:rPr>
  </w:style>
  <w:style w:type="character" w:styleId="898" w:customStyle="1">
    <w:name w:val="标题 3 Char"/>
    <w:basedOn w:val="893"/>
    <w:link w:val="892"/>
    <w:uiPriority w:val="0"/>
    <w:qFormat/>
    <w:rPr>
      <w:rFonts w:ascii="Times New Roman" w:hAnsi="Times New Roman" w:eastAsia="宋体" w:cs="Times New Roman"/>
      <w:b/>
      <w:bCs/>
      <w:sz w:val="32"/>
      <w:szCs w:val="32"/>
    </w:rPr>
  </w:style>
  <w:style w:type="paragraph" w:styleId="899" w:customStyle="1">
    <w:name w:val="文档结构图1"/>
    <w:basedOn w:val="663"/>
    <w:link w:val="900"/>
    <w:uiPriority w:val="0"/>
    <w:qFormat/>
    <w:rPr>
      <w:rFonts w:ascii="宋体" w:hAnsi="Times New Roman"/>
      <w:sz w:val="18"/>
      <w:szCs w:val="18"/>
    </w:rPr>
  </w:style>
  <w:style w:type="character" w:styleId="900" w:customStyle="1">
    <w:name w:val="文档结构图 Char"/>
    <w:basedOn w:val="893"/>
    <w:link w:val="899"/>
    <w:uiPriority w:val="0"/>
    <w:qFormat/>
    <w:rPr>
      <w:rFonts w:ascii="宋体" w:hAnsi="Times New Roman" w:eastAsia="宋体" w:cs="Times New Roman"/>
      <w:sz w:val="18"/>
      <w:szCs w:val="18"/>
    </w:rPr>
  </w:style>
  <w:style w:type="paragraph" w:styleId="901" w:customStyle="1">
    <w:name w:val="批注文字1"/>
    <w:basedOn w:val="663"/>
    <w:link w:val="902"/>
    <w:uiPriority w:val="0"/>
    <w:qFormat/>
    <w:pPr>
      <w:ind w:firstLine="922"/>
      <w:jc w:val="left"/>
      <w:spacing w:line="360" w:lineRule="auto"/>
    </w:pPr>
    <w:rPr>
      <w:rFonts w:ascii="Times New Roman" w:hAnsi="Times New Roman"/>
      <w:szCs w:val="24"/>
    </w:rPr>
  </w:style>
  <w:style w:type="character" w:styleId="902" w:customStyle="1">
    <w:name w:val="批注文字 Char"/>
    <w:basedOn w:val="893"/>
    <w:link w:val="901"/>
    <w:uiPriority w:val="0"/>
    <w:qFormat/>
    <w:rPr>
      <w:rFonts w:ascii="Times New Roman" w:hAnsi="Times New Roman" w:eastAsia="宋体" w:cs="Times New Roman"/>
      <w:szCs w:val="24"/>
    </w:rPr>
  </w:style>
  <w:style w:type="paragraph" w:styleId="903" w:customStyle="1">
    <w:name w:val="正文文本1"/>
    <w:basedOn w:val="663"/>
    <w:next w:val="663"/>
    <w:link w:val="904"/>
    <w:uiPriority w:val="0"/>
    <w:qFormat/>
    <w:pPr>
      <w:spacing w:after="120"/>
    </w:pPr>
  </w:style>
  <w:style w:type="character" w:styleId="904" w:customStyle="1">
    <w:name w:val="正文文本 Char"/>
    <w:basedOn w:val="893"/>
    <w:link w:val="903"/>
    <w:uiPriority w:val="0"/>
    <w:qFormat/>
    <w:rPr>
      <w:rFonts w:ascii="Calibri" w:hAnsi="Calibri" w:eastAsia="宋体" w:cs="Times New Roman"/>
    </w:rPr>
  </w:style>
  <w:style w:type="paragraph" w:styleId="905" w:customStyle="1">
    <w:name w:val="正文文本缩进1"/>
    <w:basedOn w:val="663"/>
    <w:link w:val="906"/>
    <w:uiPriority w:val="0"/>
    <w:qFormat/>
    <w:pPr>
      <w:ind w:left="420"/>
      <w:spacing w:after="120"/>
    </w:pPr>
    <w:rPr>
      <w:rFonts w:ascii="Times New Roman" w:hAnsi="Times New Roman"/>
      <w:szCs w:val="24"/>
    </w:rPr>
  </w:style>
  <w:style w:type="character" w:styleId="906" w:customStyle="1">
    <w:name w:val="正文文本缩进 Char"/>
    <w:basedOn w:val="893"/>
    <w:link w:val="905"/>
    <w:uiPriority w:val="0"/>
    <w:qFormat/>
    <w:rPr>
      <w:rFonts w:ascii="Times New Roman" w:hAnsi="Times New Roman" w:eastAsia="宋体" w:cs="Times New Roman"/>
      <w:szCs w:val="24"/>
    </w:rPr>
  </w:style>
  <w:style w:type="paragraph" w:styleId="907" w:customStyle="1">
    <w:name w:val="纯文本1"/>
    <w:basedOn w:val="663"/>
    <w:link w:val="908"/>
    <w:uiPriority w:val="0"/>
    <w:qFormat/>
    <w:rPr>
      <w:rFonts w:ascii="宋体" w:hAnsi="Courier New" w:cs="Courier New"/>
      <w:szCs w:val="21"/>
    </w:rPr>
  </w:style>
  <w:style w:type="character" w:styleId="908" w:customStyle="1">
    <w:name w:val="纯文本 Char"/>
    <w:basedOn w:val="893"/>
    <w:link w:val="907"/>
    <w:uiPriority w:val="0"/>
    <w:qFormat/>
    <w:rPr>
      <w:rFonts w:ascii="宋体" w:hAnsi="Courier New" w:eastAsia="宋体" w:cs="Courier New"/>
      <w:szCs w:val="21"/>
    </w:rPr>
  </w:style>
  <w:style w:type="paragraph" w:styleId="909" w:customStyle="1">
    <w:name w:val="日期1"/>
    <w:basedOn w:val="663"/>
    <w:next w:val="663"/>
    <w:link w:val="910"/>
    <w:uiPriority w:val="0"/>
    <w:qFormat/>
    <w:pPr>
      <w:ind w:left="100"/>
    </w:pPr>
    <w:rPr>
      <w:rFonts w:ascii="Times New Roman" w:hAnsi="Times New Roman"/>
    </w:rPr>
  </w:style>
  <w:style w:type="character" w:styleId="910" w:customStyle="1">
    <w:name w:val="日期 Char"/>
    <w:basedOn w:val="893"/>
    <w:link w:val="909"/>
    <w:uiPriority w:val="0"/>
    <w:qFormat/>
    <w:rPr>
      <w:rFonts w:ascii="Times New Roman" w:hAnsi="Times New Roman" w:eastAsia="宋体" w:cs="Times New Roman"/>
    </w:rPr>
  </w:style>
  <w:style w:type="paragraph" w:styleId="911" w:customStyle="1">
    <w:name w:val="批注框文本1"/>
    <w:basedOn w:val="663"/>
    <w:link w:val="912"/>
    <w:uiPriority w:val="0"/>
    <w:qFormat/>
    <w:rPr>
      <w:rFonts w:ascii="Times New Roman" w:hAnsi="Times New Roman"/>
      <w:sz w:val="18"/>
      <w:szCs w:val="18"/>
    </w:rPr>
  </w:style>
  <w:style w:type="character" w:styleId="912" w:customStyle="1">
    <w:name w:val="批注框文本 Char"/>
    <w:basedOn w:val="893"/>
    <w:link w:val="911"/>
    <w:uiPriority w:val="0"/>
    <w:qFormat/>
    <w:rPr>
      <w:rFonts w:ascii="Times New Roman" w:hAnsi="Times New Roman" w:eastAsia="宋体" w:cs="Times New Roman"/>
      <w:sz w:val="18"/>
      <w:szCs w:val="18"/>
    </w:rPr>
  </w:style>
  <w:style w:type="paragraph" w:styleId="913" w:customStyle="1">
    <w:name w:val="页脚1"/>
    <w:basedOn w:val="663"/>
    <w:link w:val="914"/>
    <w:uiPriority w:val="0"/>
    <w:qFormat/>
    <w:pPr>
      <w:jc w:val="left"/>
      <w:tabs>
        <w:tab w:val="center" w:pos="4153" w:leader="none"/>
        <w:tab w:val="right" w:pos="8306" w:leader="none"/>
      </w:tabs>
    </w:pPr>
    <w:rPr>
      <w:rFonts w:ascii="Times New Roman" w:hAnsi="Times New Roman"/>
      <w:sz w:val="18"/>
      <w:szCs w:val="18"/>
    </w:rPr>
  </w:style>
  <w:style w:type="character" w:styleId="914" w:customStyle="1">
    <w:name w:val="页脚 Char"/>
    <w:basedOn w:val="893"/>
    <w:link w:val="913"/>
    <w:uiPriority w:val="0"/>
    <w:qFormat/>
    <w:rPr>
      <w:rFonts w:ascii="Times New Roman" w:hAnsi="Times New Roman" w:eastAsia="宋体" w:cs="Times New Roman"/>
      <w:sz w:val="18"/>
      <w:szCs w:val="18"/>
    </w:rPr>
  </w:style>
  <w:style w:type="paragraph" w:styleId="915" w:customStyle="1">
    <w:name w:val="页眉1"/>
    <w:basedOn w:val="663"/>
    <w:link w:val="916"/>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16" w:customStyle="1">
    <w:name w:val="页眉 Char"/>
    <w:basedOn w:val="893"/>
    <w:link w:val="915"/>
    <w:uiPriority w:val="0"/>
    <w:qFormat/>
    <w:rPr>
      <w:rFonts w:ascii="Times New Roman" w:hAnsi="Times New Roman" w:eastAsia="宋体" w:cs="Times New Roman"/>
      <w:sz w:val="18"/>
      <w:szCs w:val="18"/>
    </w:rPr>
  </w:style>
  <w:style w:type="paragraph" w:styleId="917" w:customStyle="1">
    <w:name w:val="目录 11"/>
    <w:basedOn w:val="663"/>
    <w:next w:val="663"/>
    <w:uiPriority w:val="0"/>
    <w:qFormat/>
    <w:pPr>
      <w:jc w:val="center"/>
      <w:tabs>
        <w:tab w:val="right" w:pos="8296" w:leader="dot"/>
      </w:tabs>
    </w:pPr>
    <w:rPr>
      <w:rFonts w:ascii="黑体" w:hAnsi="黑体" w:eastAsia="黑体"/>
      <w:sz w:val="44"/>
      <w:szCs w:val="44"/>
    </w:rPr>
  </w:style>
  <w:style w:type="paragraph" w:styleId="918" w:customStyle="1">
    <w:name w:val="普通(网站)1"/>
    <w:basedOn w:val="663"/>
    <w:uiPriority w:val="0"/>
    <w:qFormat/>
    <w:rPr>
      <w:rFonts w:ascii="Times New Roman" w:hAnsi="Times New Roman"/>
      <w:sz w:val="24"/>
    </w:rPr>
  </w:style>
  <w:style w:type="table" w:styleId="919" w:customStyle="1">
    <w:name w:val="网格型1"/>
    <w:basedOn w:val="894"/>
    <w:uiPriority w:val="0"/>
    <w:qFormat/>
    <w:tblPr/>
  </w:style>
  <w:style w:type="character" w:styleId="920" w:customStyle="1">
    <w:name w:val="超链接1"/>
    <w:uiPriority w:val="0"/>
    <w:qFormat/>
    <w:rPr>
      <w:rFonts w:ascii="Times New Roman" w:hAnsi="Times New Roman" w:eastAsia="宋体" w:cs="Times New Roman"/>
      <w:color w:val="0000ff"/>
      <w:u w:val="none"/>
    </w:rPr>
  </w:style>
  <w:style w:type="character" w:styleId="921" w:customStyle="1">
    <w:name w:val="批注引用1"/>
    <w:uiPriority w:val="0"/>
    <w:qFormat/>
    <w:rPr>
      <w:rFonts w:ascii="Times New Roman" w:hAnsi="Times New Roman" w:eastAsia="宋体" w:cs="Times New Roman"/>
      <w:sz w:val="21"/>
      <w:szCs w:val="21"/>
    </w:rPr>
  </w:style>
  <w:style w:type="paragraph" w:styleId="92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23" w:customStyle="1">
    <w:name w:val="列出段落1"/>
    <w:basedOn w:val="663"/>
    <w:uiPriority w:val="0"/>
    <w:qFormat/>
    <w:pPr>
      <w:ind w:firstLine="420"/>
    </w:pPr>
    <w:rPr>
      <w:rFonts w:ascii="Times New Roman" w:hAnsi="Times New Roman"/>
      <w:szCs w:val="21"/>
    </w:rPr>
  </w:style>
  <w:style w:type="paragraph" w:styleId="924" w:customStyle="1">
    <w:name w:val="无间隔1"/>
    <w:basedOn w:val="663"/>
    <w:uiPriority w:val="0"/>
    <w:qFormat/>
    <w:rPr>
      <w:rFonts w:ascii="Times New Roman" w:hAnsi="Times New Roman"/>
    </w:rPr>
  </w:style>
  <w:style w:type="paragraph" w:styleId="925" w:customStyle="1">
    <w:name w:val="正文文本11"/>
    <w:basedOn w:val="663"/>
    <w:next w:val="663"/>
    <w:uiPriority w:val="0"/>
    <w:qFormat/>
    <w:rPr>
      <w:rFonts w:ascii="楷体_GB2312" w:hAnsi="Arial" w:eastAsia="楷体_GB2312"/>
      <w:sz w:val="28"/>
      <w:szCs w:val="28"/>
      <w:lang w:eastAsia="en-US"/>
    </w:rPr>
  </w:style>
  <w:style w:type="paragraph" w:styleId="926" w:customStyle="1">
    <w:name w:val="正文首行缩进11"/>
    <w:basedOn w:val="925"/>
    <w:uiPriority w:val="0"/>
    <w:qFormat/>
    <w:pPr>
      <w:ind w:firstLine="200"/>
      <w:spacing w:line="360" w:lineRule="auto"/>
    </w:pPr>
    <w:rPr>
      <w:rFonts w:ascii="仿宋_GB2312" w:hAnsi="Times New Roman" w:eastAsia="仿宋_GB2312"/>
      <w:sz w:val="30"/>
      <w:szCs w:val="30"/>
    </w:rPr>
  </w:style>
  <w:style w:type="character" w:styleId="927" w:customStyle="1">
    <w:name w:val="批注框文本 字符"/>
    <w:basedOn w:val="673"/>
    <w:link w:val="686"/>
    <w:uiPriority w:val="99"/>
    <w:semiHidden/>
    <w:qFormat/>
    <w:rPr>
      <w:rFonts w:ascii="Calibri" w:hAnsi="Calibri"/>
      <w:sz w:val="18"/>
      <w:szCs w:val="18"/>
    </w:rPr>
  </w:style>
  <w:style w:type="numbering" w:styleId="118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陈岩</cp:lastModifiedBy>
  <cp:revision>33</cp:revision>
  <dcterms:created xsi:type="dcterms:W3CDTF">2025-09-09T08:03:00Z</dcterms:created>
  <dcterms:modified xsi:type="dcterms:W3CDTF">2026-07-21T01:50:46Z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eyJoZGlkIjoiYWYyNWYzZTMyZjU5YmU5MzY0MjRkYmM3ZTUzMGM1NjkiLCJ1c2VySWQiOiI5MjU1NTA0NDYifQ==</vt:lpwstr>
  </property>
  <property fmtid="{D5CDD505-2E9C-101B-9397-08002B2CF9AE}" pid="3" name="KSOProductBuildVer">
    <vt:lpwstr>2052-12.1.0.26391</vt:lpwstr>
  </property>
  <property fmtid="{D5CDD505-2E9C-101B-9397-08002B2CF9AE}" pid="4" name="ICV">
    <vt:lpwstr>22852A291C134A2A9BAD9198A5CAC450_13</vt:lpwstr>
  </property>
</Properties>
</file>