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ascii="Arial" w:hAnsi="Arial" w:eastAsia="黑体"/>
          <w:b/>
          <w:bCs/>
          <w:color w:val="000000"/>
          <w:sz w:val="48"/>
          <w:szCs w:val="48"/>
        </w:rPr>
      </w:pPr>
      <w:r>
        <w:rPr>
          <w:rFonts w:ascii="Arial" w:hAnsi="Arial" w:eastAsia="黑体"/>
          <w:b/>
          <w:bCs/>
          <w:color w:val="000000"/>
          <w:sz w:val="48"/>
          <w:szCs w:val="48"/>
        </w:rPr>
      </w:r>
      <w:r/>
    </w:p>
    <w:p>
      <w:pPr>
        <w:jc w:val="center"/>
        <w:spacing w:before="120" w:after="120" w:line="400" w:lineRule="exact"/>
        <w:rPr>
          <w:rFonts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 xml:space="preserve">招　标　文　件</w:t>
      </w:r>
      <w:r/>
    </w:p>
    <w:p>
      <w:pPr>
        <w:ind w:firstLine="560"/>
        <w:spacing w:before="120" w:after="120" w:line="400" w:lineRule="exact"/>
        <w:rPr>
          <w:rFonts w:ascii="Arial" w:hAnsi="Arial"/>
          <w:b/>
          <w:bCs/>
          <w:color w:val="000000"/>
          <w:sz w:val="28"/>
          <w:szCs w:val="28"/>
        </w:rPr>
      </w:pPr>
      <w:r>
        <w:rPr>
          <w:rFonts w:ascii="Arial" w:hAnsi="Arial"/>
          <w:b/>
          <w:bCs/>
          <w:color w:val="000000"/>
          <w:sz w:val="28"/>
          <w:szCs w:val="28"/>
        </w:rPr>
      </w:r>
      <w:r/>
    </w:p>
    <w:p>
      <w:pPr>
        <w:ind w:firstLine="560"/>
        <w:spacing w:before="120" w:after="120" w:line="400" w:lineRule="exact"/>
        <w:rPr>
          <w:rFonts w:ascii="Arial" w:hAnsi="Arial"/>
          <w:b/>
          <w:bCs/>
          <w:color w:val="000000"/>
          <w:sz w:val="28"/>
          <w:szCs w:val="28"/>
        </w:rPr>
      </w:pPr>
      <w:r>
        <w:rPr>
          <w:rFonts w:ascii="Arial" w:hAnsi="Arial"/>
          <w:b/>
          <w:bCs/>
          <w:color w:val="000000"/>
          <w:sz w:val="28"/>
          <w:szCs w:val="28"/>
        </w:rPr>
      </w:r>
      <w:r/>
    </w:p>
    <w:p>
      <w:pPr>
        <w:ind w:firstLine="560"/>
        <w:jc w:val="center"/>
        <w:spacing w:before="120" w:after="120"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项目名称：南京信息职业技术学院知善楼4间智慧教室改造及巡课平台</w:t>
      </w:r>
      <w:r/>
    </w:p>
    <w:p>
      <w:pPr>
        <w:ind w:firstLine="560"/>
        <w:jc w:val="center"/>
        <w:spacing w:before="120" w:after="120"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sz w:val="28"/>
          <w:szCs w:val="28"/>
        </w:rPr>
        <w:t xml:space="preserve">采购编号：</w:t>
      </w:r>
      <w:r>
        <w:rPr>
          <w:rFonts w:eastAsia="方正黑体_GBK"/>
          <w:sz w:val="28"/>
          <w:szCs w:val="28"/>
        </w:rPr>
        <w:t xml:space="preserve">JSZC-320000-SCZX-G2026-0331</w:t>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660" w:lineRule="exact"/>
        <w:rPr>
          <w:rFonts w:ascii="方正黑体_GBK" w:hAnsi="方正黑体_GBK" w:eastAsia="方正黑体_GBK" w:cs="方正黑体_GBK"/>
          <w:color w:val="000000"/>
          <w:sz w:val="28"/>
          <w:szCs w:val="28"/>
        </w:rPr>
      </w:pPr>
      <w:r>
        <w:rPr>
          <w:rFonts w:ascii="方正黑体_GBK" w:hAnsi="方正黑体_GBK" w:eastAsia="方正黑体_GBK" w:cs="方正黑体_GBK"/>
          <w:color w:val="000000"/>
          <w:sz w:val="28"/>
          <w:szCs w:val="28"/>
        </w:rPr>
      </w:r>
      <w:r/>
    </w:p>
    <w:p>
      <w:pPr>
        <w:jc w:val="center"/>
        <w:spacing w:before="120" w:after="120"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p>
    <w:p>
      <w:pPr>
        <w:jc w:val="center"/>
        <w:spacing w:before="120" w:after="120"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2026年8月</w:t>
      </w:r>
      <w:r/>
    </w:p>
    <w:p>
      <w:pPr>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spacing w:before="120" w:after="120" w:line="360" w:lineRule="auto"/>
        <w:rPr>
          <w:rFonts w:ascii="Arial" w:hAnsi="Arial"/>
          <w:color w:val="000000"/>
          <w:sz w:val="24"/>
          <w:szCs w:val="24"/>
        </w:rPr>
      </w:pPr>
      <w:r>
        <w:rPr>
          <w:rFonts w:ascii="Arial" w:hAnsi="Arial"/>
          <w:color w:val="000000"/>
          <w:sz w:val="24"/>
          <w:szCs w:val="24"/>
        </w:rPr>
      </w:r>
      <w:r/>
    </w:p>
    <w:p>
      <w:pPr>
        <w:jc w:val="center"/>
        <w:spacing w:line="660" w:lineRule="exact"/>
        <w:rPr>
          <w:rFonts w:ascii="黑体" w:hAnsi="Arial" w:eastAsia="黑体"/>
          <w:b/>
          <w:color w:val="000000"/>
          <w:sz w:val="28"/>
          <w:szCs w:val="28"/>
        </w:rPr>
        <w:outlineLvl w:val="0"/>
      </w:pPr>
      <w:r>
        <w:rPr>
          <w:color w:val="000000"/>
          <w:szCs w:val="21"/>
        </w:rPr>
        <w:br w:type="page" w:clear="all"/>
      </w:r>
      <w:bookmarkStart w:id="0" w:name="_Toc120614210"/>
      <w:r/>
      <w:bookmarkStart w:id="1" w:name="_Toc513029200"/>
      <w:r/>
      <w:bookmarkStart w:id="2" w:name="_Toc479757206"/>
      <w:r/>
      <w:bookmarkStart w:id="3" w:name="_Toc16938516"/>
      <w:r/>
      <w:bookmarkStart w:id="4" w:name="_Toc20823272"/>
      <w:r/>
      <w:bookmarkStart w:id="5" w:name="_Toc523127445"/>
      <w:r>
        <w:rPr>
          <w:rFonts w:hint="eastAsia" w:ascii="方正黑体_GBK" w:hAnsi="方正黑体_GBK" w:eastAsia="方正黑体_GBK" w:cs="方正黑体_GBK"/>
          <w:bCs/>
          <w:color w:val="000000"/>
          <w:sz w:val="28"/>
          <w:szCs w:val="28"/>
        </w:rPr>
        <w:t xml:space="preserve">总  目  录</w:t>
      </w:r>
      <w:r/>
    </w:p>
    <w:p>
      <w:pPr>
        <w:jc w:val="center"/>
        <w:spacing w:line="400" w:lineRule="exact"/>
        <w:rPr>
          <w:rFonts w:ascii="方正黑体_GBK" w:hAnsi="方正黑体_GBK" w:eastAsia="方正黑体_GBK" w:cs="方正黑体_GBK"/>
          <w:color w:val="000000"/>
          <w:sz w:val="28"/>
          <w:szCs w:val="28"/>
        </w:rPr>
        <w:outlineLvl w:val="0"/>
      </w:pPr>
      <w:r>
        <w:rPr>
          <w:rFonts w:ascii="方正黑体_GBK" w:hAnsi="方正黑体_GBK" w:eastAsia="方正黑体_GBK" w:cs="方正黑体_GBK"/>
          <w:color w:val="000000"/>
          <w:sz w:val="28"/>
          <w:szCs w:val="28"/>
        </w:rPr>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投标邀请……………………………………3</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bCs/>
          <w:color w:val="000000"/>
          <w:sz w:val="28"/>
          <w:szCs w:val="28"/>
        </w:rPr>
        <w:t xml:space="preserve">第二章 投标人须知</w:t>
      </w:r>
      <w:r>
        <w:rPr>
          <w:rFonts w:hint="eastAsia" w:ascii="方正黑体_GBK" w:hAnsi="方正黑体_GBK" w:eastAsia="方正黑体_GBK" w:cs="方正黑体_GBK"/>
          <w:color w:val="000000"/>
          <w:sz w:val="28"/>
          <w:szCs w:val="28"/>
        </w:rPr>
        <w:t xml:space="preserve">…………………………………7</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第三章 合同文本……………………………………19</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第四章 采购需求……………………………………38</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bCs/>
          <w:color w:val="000000"/>
          <w:sz w:val="28"/>
          <w:szCs w:val="28"/>
        </w:rPr>
        <w:t xml:space="preserve">第五章 评标方法与评标标准</w:t>
      </w:r>
      <w:r>
        <w:rPr>
          <w:rFonts w:hint="eastAsia" w:ascii="方正黑体_GBK" w:hAnsi="方正黑体_GBK" w:eastAsia="方正黑体_GBK" w:cs="方正黑体_GBK"/>
          <w:color w:val="000000"/>
          <w:sz w:val="28"/>
          <w:szCs w:val="28"/>
        </w:rPr>
        <w:t xml:space="preserve">………………………76</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第六章 投标文件格式………………………………81</w:t>
      </w:r>
      <w:r/>
    </w:p>
    <w:p>
      <w:pPr>
        <w:rPr>
          <w:color w:val="000000"/>
          <w:szCs w:val="21"/>
        </w:rPr>
      </w:pPr>
      <w:r>
        <w:rPr>
          <w:color w:val="000000"/>
          <w:szCs w:val="21"/>
        </w:rPr>
      </w:r>
      <w:r/>
    </w:p>
    <w:p>
      <w:pPr>
        <w:jc w:val="left"/>
        <w:widowControl/>
        <w:rPr>
          <w:color w:val="000000"/>
          <w:szCs w:val="21"/>
        </w:rPr>
      </w:pPr>
      <w:r>
        <w:rPr>
          <w:color w:val="000000"/>
          <w:szCs w:val="21"/>
        </w:rPr>
        <w:br w:type="page" w:clear="all"/>
      </w:r>
      <w:r/>
    </w:p>
    <w:p>
      <w:pPr>
        <w:rPr>
          <w:color w:val="000000"/>
          <w:szCs w:val="21"/>
        </w:rPr>
      </w:pPr>
      <w:r>
        <w:rPr>
          <w:color w:val="000000"/>
          <w:szCs w:val="21"/>
        </w:rPr>
      </w:r>
      <w:r/>
    </w:p>
    <w:p>
      <w:pPr>
        <w:jc w:val="center"/>
        <w:keepNext/>
        <w:spacing w:line="400" w:lineRule="exact"/>
        <w:rPr>
          <w:rFonts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受南京信息职业技术学院的委托，江苏省政府采购中心就南京信息职业技术学院知善楼4间智慧教室改造及巡课平台（JSZC-320000-SCZX-G2026-0331）项目进行公开招标采购，欢迎符合条件的供应商投标。</w:t>
      </w:r>
      <w:r/>
    </w:p>
    <w:p>
      <w:pPr>
        <w:ind w:firstLine="560"/>
        <w:spacing w:line="400" w:lineRule="exact"/>
        <w:rPr>
          <w:rFonts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项目概况</w:t>
      </w:r>
      <w:r/>
    </w:p>
    <w:p>
      <w:pPr>
        <w:ind w:firstLine="560"/>
        <w:spacing w:line="400" w:lineRule="exact"/>
        <w:rPr>
          <w:rFonts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u w:val="single"/>
        </w:rPr>
        <w:t xml:space="preserve">南京信息职业技术学院知善楼4间智慧教室改造及巡课平台</w:t>
      </w:r>
      <w:r>
        <w:rPr>
          <w:rFonts w:hint="eastAsia" w:ascii="方正仿宋_GBK" w:hAnsi="方正仿宋_GBK" w:eastAsia="方正仿宋_GBK" w:cs="方正仿宋_GBK"/>
          <w:color w:val="000000"/>
          <w:sz w:val="28"/>
          <w:szCs w:val="28"/>
        </w:rPr>
        <w:t xml:space="preserve">招标项目的潜在投标人可在</w:t>
      </w:r>
      <w:r>
        <w:rPr>
          <w:rFonts w:hint="eastAsia" w:ascii="方正仿宋_GBK" w:hAnsi="方正仿宋_GBK" w:eastAsia="方正仿宋_GBK" w:cs="方正仿宋_GBK"/>
          <w:color w:val="000000"/>
          <w:sz w:val="28"/>
          <w:szCs w:val="28"/>
          <w:u w:val="single"/>
        </w:rPr>
        <w:t xml:space="preserve">“江苏政府采购网”自行免费下载</w:t>
      </w:r>
      <w:r>
        <w:rPr>
          <w:rFonts w:hint="eastAsia" w:ascii="方正仿宋_GBK" w:hAnsi="方正仿宋_GBK" w:eastAsia="方正仿宋_GBK" w:cs="方正仿宋_GBK"/>
          <w:color w:val="000000"/>
          <w:sz w:val="28"/>
          <w:szCs w:val="28"/>
        </w:rPr>
        <w:t xml:space="preserve">招标文件，并于2026</w:t>
      </w:r>
      <w:r>
        <w:rPr>
          <w:rFonts w:hint="eastAsia" w:ascii="方正仿宋_GBK" w:hAnsi="方正仿宋_GBK" w:eastAsia="方正仿宋_GBK" w:cs="方正仿宋_GBK"/>
          <w:bCs/>
          <w:color w:val="000000"/>
          <w:sz w:val="28"/>
          <w:szCs w:val="28"/>
        </w:rPr>
        <w:t xml:space="preserve">年9月</w:t>
      </w:r>
      <w:r>
        <w:rPr>
          <w:rFonts w:hint="eastAsia" w:ascii="方正仿宋_GBK" w:hAnsi="方正仿宋_GBK" w:eastAsia="方正仿宋_GBK" w:cs="方正仿宋_GBK"/>
          <w:bCs/>
          <w:color w:val="000000"/>
          <w:sz w:val="28"/>
          <w:szCs w:val="28"/>
        </w:rPr>
        <w:t xml:space="preserve">17</w:t>
      </w:r>
      <w:r>
        <w:rPr>
          <w:rFonts w:hint="eastAsia" w:ascii="方正仿宋_GBK" w:hAnsi="方正仿宋_GBK" w:eastAsia="方正仿宋_GBK" w:cs="方正仿宋_GBK"/>
          <w:bCs/>
          <w:color w:val="000000"/>
          <w:sz w:val="28"/>
          <w:szCs w:val="28"/>
        </w:rPr>
        <w:t xml:space="preserve">日</w:t>
      </w:r>
      <w:r>
        <w:rPr>
          <w:rFonts w:hint="eastAsia" w:ascii="方正仿宋_GBK" w:hAnsi="方正仿宋_GBK" w:eastAsia="方正仿宋_GBK" w:cs="方正仿宋_GBK"/>
          <w:color w:val="000000"/>
          <w:sz w:val="28"/>
          <w:szCs w:val="28"/>
        </w:rPr>
        <w:t xml:space="preserve">9时</w:t>
      </w:r>
      <w:r>
        <w:rPr>
          <w:rFonts w:hint="eastAsia" w:ascii="方正仿宋_GBK" w:hAnsi="方正仿宋_GBK" w:eastAsia="方正仿宋_GBK" w:cs="方正仿宋_GBK"/>
          <w:bCs/>
          <w:color w:val="000000"/>
          <w:sz w:val="28"/>
          <w:szCs w:val="28"/>
        </w:rPr>
        <w:t xml:space="preserve">30分（北京时间）前递交投标文件</w:t>
      </w:r>
      <w:r>
        <w:rPr>
          <w:rFonts w:hint="eastAsia" w:ascii="方正仿宋_GBK" w:hAnsi="方正仿宋_GBK" w:eastAsia="方正仿宋_GBK" w:cs="方正仿宋_GBK"/>
          <w:color w:val="000000"/>
          <w:sz w:val="28"/>
          <w:szCs w:val="28"/>
        </w:rPr>
        <w:t xml:space="preserve">。</w:t>
      </w:r>
      <w:r/>
    </w:p>
    <w:p>
      <w:pPr>
        <w:ind w:firstLine="560"/>
        <w:keepNext/>
        <w:spacing w:line="400" w:lineRule="exact"/>
        <w:rPr>
          <w:rFonts w:ascii="方正黑体_GBK" w:hAnsi="方正黑体_GBK" w:eastAsia="方正黑体_GBK" w:cs="方正黑体_GBK"/>
          <w:color w:val="000000"/>
          <w:sz w:val="28"/>
          <w:szCs w:val="28"/>
        </w:rPr>
        <w:outlineLvl w:val="0"/>
      </w:pPr>
      <w:r/>
      <w:bookmarkStart w:id="6" w:name="_Toc38985263"/>
      <w:r/>
      <w:bookmarkStart w:id="7" w:name="_Toc35393790"/>
      <w:r/>
      <w:bookmarkStart w:id="8" w:name="_Toc28359079"/>
      <w:r/>
      <w:bookmarkStart w:id="9" w:name="_Toc35393621"/>
      <w:r/>
      <w:bookmarkStart w:id="10" w:name="_Toc28359002"/>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JSZC-320000-SCZX-G2026-0331</w:t>
      </w:r>
      <w:r/>
    </w:p>
    <w:p>
      <w:pPr>
        <w:ind w:firstLine="560"/>
        <w:spacing w:line="400" w:lineRule="exact"/>
        <w:rPr>
          <w:rFonts w:eastAsia="方正仿宋_GBK"/>
          <w:color w:val="000000"/>
          <w:sz w:val="28"/>
          <w:szCs w:val="28"/>
        </w:rPr>
      </w:pPr>
      <w:r>
        <w:rPr>
          <w:rFonts w:hint="eastAsia" w:ascii="方正仿宋_GBK" w:hAnsi="方正仿宋_GBK" w:eastAsia="方正仿宋_GBK" w:cs="方正仿宋_GBK"/>
          <w:color w:val="000000"/>
          <w:sz w:val="28"/>
          <w:szCs w:val="28"/>
        </w:rPr>
        <w:t xml:space="preserve">2.项目名称：</w:t>
      </w:r>
      <w:bookmarkEnd w:id="11"/>
      <w:r>
        <w:rPr>
          <w:rFonts w:hint="eastAsia" w:eastAsia="方正仿宋_GBK"/>
          <w:color w:val="000000"/>
          <w:sz w:val="28"/>
          <w:szCs w:val="28"/>
        </w:rPr>
        <w:t xml:space="preserve">南京信息职业技术学院知善楼</w:t>
      </w:r>
      <w:r>
        <w:rPr>
          <w:rFonts w:hint="eastAsia" w:eastAsia="方正仿宋_GBK"/>
          <w:color w:val="000000"/>
          <w:sz w:val="28"/>
          <w:szCs w:val="28"/>
        </w:rPr>
        <w:t xml:space="preserve">4</w:t>
      </w:r>
      <w:r>
        <w:rPr>
          <w:rFonts w:hint="eastAsia" w:eastAsia="方正仿宋_GBK"/>
          <w:color w:val="000000"/>
          <w:sz w:val="28"/>
          <w:szCs w:val="28"/>
        </w:rPr>
        <w:t xml:space="preserve">间智慧教室改造及巡课平台</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3.预算金额</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89"/>
        <w:gridCol w:w="4961"/>
      </w:tblGrid>
      <w:tr>
        <w:trPr/>
        <w:tc>
          <w:tcPr>
            <w:tcW w:w="1489"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496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tc>
      </w:tr>
      <w:tr>
        <w:trPr/>
        <w:tc>
          <w:tcPr>
            <w:tcW w:w="1489"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4961"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eastAsia="方正仿宋_GBK"/>
                <w:color w:val="000000"/>
                <w:sz w:val="28"/>
                <w:szCs w:val="28"/>
              </w:rPr>
              <w:t xml:space="preserve">158</w:t>
            </w:r>
            <w:r>
              <w:rPr>
                <w:rFonts w:hint="eastAsia" w:ascii="方正仿宋_GBK" w:hAnsi="方正仿宋_GBK" w:eastAsia="方正仿宋_GBK" w:cs="方正仿宋_GBK"/>
                <w:sz w:val="28"/>
                <w:szCs w:val="28"/>
              </w:rPr>
              <w:t xml:space="preserve">万元</w:t>
            </w:r>
            <w:r/>
          </w:p>
        </w:tc>
      </w:tr>
    </w:tbl>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89"/>
        <w:gridCol w:w="4961"/>
      </w:tblGrid>
      <w:tr>
        <w:trPr>
          <w:trHeight w:val="849"/>
        </w:trPr>
        <w:tc>
          <w:tcPr>
            <w:tcW w:w="1489"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496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tc>
      </w:tr>
      <w:tr>
        <w:trPr/>
        <w:tc>
          <w:tcPr>
            <w:tcW w:w="1489"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4961"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158</w:t>
            </w:r>
            <w:r>
              <w:rPr>
                <w:rFonts w:hint="eastAsia" w:eastAsia="方正仿宋_GBK"/>
                <w:sz w:val="28"/>
                <w:szCs w:val="28"/>
              </w:rPr>
              <w:t xml:space="preserve">万元</w:t>
            </w:r>
            <w:r/>
          </w:p>
          <w:p>
            <w:pPr>
              <w:jc w:val="center"/>
              <w:spacing w:line="400" w:lineRule="exact"/>
              <w:rPr>
                <w:rFonts w:eastAsia="方正仿宋_GBK"/>
                <w:sz w:val="28"/>
                <w:szCs w:val="28"/>
              </w:rPr>
            </w:pPr>
            <w:r>
              <w:rPr>
                <w:rFonts w:hint="eastAsia" w:eastAsia="方正仿宋_GBK"/>
                <w:sz w:val="28"/>
                <w:szCs w:val="28"/>
              </w:rPr>
              <w:t xml:space="preserve">（基础装修限价</w:t>
            </w:r>
            <w:r>
              <w:rPr>
                <w:rFonts w:hint="eastAsia" w:eastAsia="方正仿宋_GBK"/>
                <w:sz w:val="28"/>
                <w:szCs w:val="28"/>
              </w:rPr>
              <w:t xml:space="preserve">38.8258</w:t>
            </w:r>
            <w:r>
              <w:rPr>
                <w:rFonts w:hint="eastAsia" w:eastAsia="方正仿宋_GBK"/>
                <w:sz w:val="28"/>
                <w:szCs w:val="28"/>
              </w:rPr>
              <w:t xml:space="preserve">万元）</w:t>
            </w:r>
            <w:r/>
          </w:p>
        </w:tc>
      </w:tr>
    </w:tbl>
    <w:p>
      <w:pPr>
        <w:ind w:firstLine="560"/>
        <w:spacing w:line="400" w:lineRule="exact"/>
        <w:rPr>
          <w:rFonts w:ascii="方正仿宋_GBK" w:hAnsi="方正仿宋_GBK" w:eastAsia="方正仿宋_GBK" w:cs="方正仿宋_GBK"/>
          <w:color w:val="000000"/>
          <w:sz w:val="28"/>
          <w:szCs w:val="28"/>
        </w:rPr>
        <w:outlineLvl w:val="1"/>
      </w:pPr>
      <w:r>
        <w:rPr>
          <w:rFonts w:hint="eastAsia" w:ascii="方正仿宋_GBK" w:hAnsi="方正仿宋_GBK" w:eastAsia="方正仿宋_GBK" w:cs="方正仿宋_GBK"/>
          <w:sz w:val="28"/>
          <w:szCs w:val="28"/>
        </w:rPr>
        <w:t xml:space="preserve">5.采购需求（简介）：</w:t>
      </w:r>
      <w:r>
        <w:rPr>
          <w:rFonts w:hint="eastAsia" w:ascii="方正仿宋_GBK" w:hAnsi="方正仿宋_GBK" w:eastAsia="方正仿宋_GBK" w:cs="方正仿宋_GBK"/>
          <w:color w:val="000000"/>
          <w:sz w:val="28"/>
          <w:szCs w:val="28"/>
        </w:rPr>
        <w:t xml:space="preserve">南京信息职业技术学院知善楼4间阶梯教室，总面积700余平方米。教室内投影机、计算机等核心教学设备经长期高强度使用，老化严重、性能不稳，直接影响教学体验与课堂质量。同时，现有单机版中控系统功能简单，无法集中管控，难以适配学校智慧化、规模化教学管理需求。</w:t>
      </w:r>
      <w:r/>
    </w:p>
    <w:p>
      <w:pPr>
        <w:ind w:firstLine="560"/>
        <w:spacing w:line="400" w:lineRule="exact"/>
        <w:rPr>
          <w:rFonts w:ascii="方正仿宋_GBK" w:hAnsi="方正仿宋_GBK" w:eastAsia="方正仿宋_GBK" w:cs="方正仿宋_GBK"/>
          <w:color w:val="000000"/>
          <w:sz w:val="28"/>
          <w:szCs w:val="28"/>
        </w:rPr>
        <w:outlineLvl w:val="1"/>
      </w:pPr>
      <w:r>
        <w:rPr>
          <w:rFonts w:hint="eastAsia" w:ascii="方正仿宋_GBK" w:hAnsi="方正仿宋_GBK" w:eastAsia="方正仿宋_GBK" w:cs="方正仿宋_GBK"/>
          <w:color w:val="000000"/>
          <w:sz w:val="28"/>
          <w:szCs w:val="28"/>
        </w:rPr>
        <w:t xml:space="preserve">其中知善楼2楼2间教室原为机房布局，不符合阶梯教学场景，配套桌椅破损老旧，无法满足常态化教学需求。为解决场地布局不合理、设施老旧、管理低效等痛点，学校拟对4间阶梯教室实施整体改造，更新教学桌椅与智能教学设备，配套搭建智能巡课平台。通过环境升级、设备更新、智能监管、督导闭环建设，构建智慧教学治理体系，适配新时代职教人才培养与教育评价改革需求。</w:t>
      </w:r>
      <w:r/>
    </w:p>
    <w:p>
      <w:pPr>
        <w:ind w:firstLine="560"/>
        <w:spacing w:line="400" w:lineRule="exact"/>
        <w:rPr>
          <w:rFonts w:ascii="方正仿宋_GBK" w:hAnsi="方正仿宋_GBK" w:eastAsia="方正仿宋_GBK" w:cs="方正仿宋_GBK"/>
          <w:sz w:val="28"/>
          <w:szCs w:val="28"/>
          <w:u w:val="single"/>
        </w:rPr>
        <w:outlineLvl w:val="1"/>
      </w:pPr>
      <w:r>
        <w:rPr>
          <w:rFonts w:hint="eastAsia" w:ascii="方正仿宋_GBK" w:hAnsi="方正仿宋_GBK" w:eastAsia="方正仿宋_GBK" w:cs="方正仿宋_GBK"/>
          <w:color w:val="000000"/>
          <w:sz w:val="28"/>
          <w:szCs w:val="28"/>
        </w:rPr>
        <w:t xml:space="preserve">本项目贴合学校教学改革与智慧校园建设需求，秉持“健康、智能、高效、示范”理念，建设数字化、智能化智慧教学治理体系，实现教学环境提质、教学管理增效。</w:t>
      </w:r>
      <w:r>
        <w:rPr>
          <w:rFonts w:hint="eastAsia" w:ascii="方正仿宋_GBK" w:hAnsi="方正仿宋_GBK" w:eastAsia="方正仿宋_GBK" w:cs="方正仿宋_GBK"/>
          <w:sz w:val="28"/>
          <w:szCs w:val="28"/>
        </w:rPr>
        <w:t xml:space="preserve">（详细内容见本招标文件第四章）</w:t>
      </w:r>
      <w:r/>
    </w:p>
    <w:p>
      <w:pPr>
        <w:ind w:firstLine="560"/>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6.合同履行期限：合同签订后45日历天内安装调试完成。</w:t>
      </w:r>
      <w:r/>
    </w:p>
    <w:p>
      <w:pPr>
        <w:ind w:firstLine="560"/>
        <w:keepNext/>
        <w:spacing w:line="400" w:lineRule="exact"/>
        <w:rPr>
          <w:rFonts w:ascii="方正黑体_GBK" w:hAnsi="方正黑体_GBK" w:eastAsia="方正黑体_GBK" w:cs="方正黑体_GBK"/>
          <w:color w:val="000000"/>
          <w:sz w:val="28"/>
          <w:szCs w:val="28"/>
        </w:rPr>
        <w:outlineLvl w:val="0"/>
      </w:pPr>
      <w:r/>
      <w:bookmarkStart w:id="12" w:name="_Toc38985264"/>
      <w:r/>
      <w:bookmarkStart w:id="13" w:name="_Toc35393622"/>
      <w:r/>
      <w:bookmarkStart w:id="14" w:name="_Toc35393791"/>
      <w:r/>
      <w:bookmarkStart w:id="15" w:name="_Toc28359003"/>
      <w:r/>
      <w:bookmarkStart w:id="16" w:name="_Toc28359080"/>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t xml:space="preserve">（如是联合体投标的，联合体各方均应按要求提供相应证明材料）</w:t>
      </w:r>
      <w:r/>
    </w:p>
    <w:p>
      <w:pPr>
        <w:ind w:firstLine="560"/>
        <w:spacing w:line="400" w:lineRule="exact"/>
        <w:rPr>
          <w:rFonts w:ascii="方正楷体_GBK" w:hAnsi="方正楷体_GBK" w:eastAsia="方正楷体_GBK" w:cs="方正楷体_GBK"/>
          <w:color w:val="000000"/>
          <w:sz w:val="28"/>
          <w:szCs w:val="28"/>
        </w:rPr>
      </w:pPr>
      <w:r/>
      <w:bookmarkStart w:id="17" w:name="_Toc35393623"/>
      <w:r/>
      <w:bookmarkStart w:id="18" w:name="_Toc38985265"/>
      <w:r/>
      <w:bookmarkStart w:id="19" w:name="_Toc35393792"/>
      <w:r/>
      <w:bookmarkStart w:id="20" w:name="_Toc28359004"/>
      <w:r/>
      <w:bookmarkStart w:id="21" w:name="_Toc28359081"/>
      <w:r>
        <w:rPr>
          <w:rFonts w:hint="eastAsia" w:ascii="方正楷体_GBK" w:hAnsi="方正楷体_GBK" w:eastAsia="方正楷体_GBK" w:cs="方正楷体_GBK"/>
          <w:color w:val="000000"/>
          <w:sz w:val="28"/>
          <w:szCs w:val="28"/>
        </w:rPr>
        <w:t xml:space="preserve">（一）通用资格要求</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1.1法人或者其他组织的营业执照等证明文件，自然人的身份证明；</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ind w:firstLine="560"/>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b/>
          <w:sz w:val="28"/>
          <w:szCs w:val="28"/>
        </w:rPr>
        <w:t xml:space="preserve">联合体投标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采购</w:t>
            </w:r>
            <w:r/>
          </w:p>
          <w:p>
            <w:pPr>
              <w:jc w:val="center"/>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包号</w:t>
            </w:r>
            <w:r/>
          </w:p>
        </w:tc>
        <w:tc>
          <w:tcPr>
            <w:tcW w:w="2968" w:type="dxa"/>
            <w:textDirection w:val="lrTb"/>
            <w:noWrap w:val="false"/>
          </w:tcPr>
          <w:p>
            <w:pPr>
              <w:jc w:val="center"/>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是否接受联合体投标（是/否）</w:t>
            </w:r>
            <w:r/>
          </w:p>
        </w:tc>
        <w:tc>
          <w:tcPr>
            <w:tcW w:w="2967" w:type="dxa"/>
            <w:textDirection w:val="lrTb"/>
            <w:noWrap w:val="false"/>
          </w:tcPr>
          <w:p>
            <w:pPr>
              <w:jc w:val="center"/>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该采购包中联合体成员数量上限</w:t>
            </w:r>
            <w:r/>
          </w:p>
        </w:tc>
      </w:tr>
      <w:tr>
        <w:trPr/>
        <w:tc>
          <w:tcPr>
            <w:tcW w:w="1148" w:type="dxa"/>
            <w:textDirection w:val="lrTb"/>
            <w:noWrap w:val="false"/>
          </w:tcPr>
          <w:p>
            <w:pPr>
              <w:jc w:val="center"/>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w:t>
            </w:r>
            <w:r/>
          </w:p>
        </w:tc>
        <w:tc>
          <w:tcPr>
            <w:tcW w:w="2968" w:type="dxa"/>
            <w:textDirection w:val="lrTb"/>
            <w:noWrap w:val="false"/>
          </w:tcPr>
          <w:p>
            <w:pPr>
              <w:jc w:val="center"/>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是</w:t>
            </w:r>
            <w:r/>
          </w:p>
        </w:tc>
        <w:tc>
          <w:tcPr>
            <w:tcW w:w="2967" w:type="dxa"/>
            <w:textDirection w:val="lrTb"/>
            <w:noWrap w:val="false"/>
          </w:tcPr>
          <w:p>
            <w:pPr>
              <w:jc w:val="center"/>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w:t>
            </w:r>
            <w:r/>
          </w:p>
        </w:tc>
      </w:tr>
    </w:tbl>
    <w:p>
      <w:pPr>
        <w:ind w:firstLine="560"/>
        <w:spacing w:line="400" w:lineRule="exact"/>
        <w:rPr>
          <w:rFonts w:ascii="宋体" w:hAnsi="宋体"/>
          <w:b/>
          <w:i/>
          <w:sz w:val="24"/>
          <w:szCs w:val="24"/>
          <w:u w:val="single"/>
        </w:rPr>
      </w:pPr>
      <w:r>
        <w:rPr>
          <w:rFonts w:hint="eastAsia" w:ascii="宋体" w:hAnsi="宋体"/>
          <w:b/>
          <w:i/>
          <w:sz w:val="24"/>
          <w:szCs w:val="24"/>
          <w:u w:val="single"/>
        </w:rPr>
        <w:t xml:space="preserve">如果投标人是联合体，则必须提供《联合体协议》，且联合体各方成员均须在协议上加盖单位公章。（格式见附件）</w:t>
      </w:r>
      <w:r/>
    </w:p>
    <w:p>
      <w:pPr>
        <w:ind w:firstLine="560"/>
        <w:spacing w:line="400" w:lineRule="exact"/>
        <w:rPr>
          <w:rFonts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5921"/>
      </w:tblGrid>
      <w:tr>
        <w:trPr>
          <w:jc w:val="center"/>
        </w:trPr>
        <w:tc>
          <w:tcPr>
            <w:tcW w:w="114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shd w:val="clear" w:color="auto" w:fill="auto"/>
            <w:tcW w:w="5921" w:type="dxa"/>
            <w:vAlign w:val="center"/>
            <w:textDirection w:val="lrTb"/>
            <w:noWrap w:val="false"/>
          </w:tcPr>
          <w:p>
            <w:pPr>
              <w:jc w:val="center"/>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负责本项目装修施工的投标人的特定资格要求</w:t>
            </w:r>
            <w:r/>
          </w:p>
        </w:tc>
      </w:tr>
      <w:tr>
        <w:trPr>
          <w:jc w:val="center"/>
        </w:trPr>
        <w:tc>
          <w:tcPr>
            <w:tcW w:w="1148"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shd w:val="clear" w:color="auto" w:fill="auto"/>
            <w:tcW w:w="5921" w:type="dxa"/>
            <w:textDirection w:val="lrTb"/>
            <w:noWrap w:val="false"/>
          </w:tcPr>
          <w:p>
            <w:pPr>
              <w:numPr>
                <w:ilvl w:val="0"/>
                <w:numId w:val="4"/>
              </w:numPr>
              <w:jc w:val="left"/>
              <w:spacing w:line="400" w:lineRule="exact"/>
              <w:rPr>
                <w:rFonts w:ascii="宋体" w:hAnsi="宋体" w:cs="宋体"/>
                <w:sz w:val="24"/>
                <w:szCs w:val="24"/>
              </w:rPr>
            </w:pPr>
            <w:r>
              <w:rPr>
                <w:rFonts w:hint="eastAsia" w:ascii="宋体" w:hAnsi="宋体" w:cs="宋体"/>
                <w:sz w:val="24"/>
                <w:szCs w:val="24"/>
              </w:rPr>
              <w:t xml:space="preserve">具有</w:t>
            </w:r>
            <w:bookmarkStart w:id="22" w:name="OLE_LINK5"/>
            <w:r/>
            <w:bookmarkStart w:id="23" w:name="OLE_LINK6"/>
            <w:r>
              <w:rPr>
                <w:rFonts w:hint="eastAsia" w:ascii="宋体" w:hAnsi="宋体" w:cs="宋体"/>
                <w:sz w:val="24"/>
                <w:szCs w:val="24"/>
              </w:rPr>
              <w:t xml:space="preserve">建筑装饰装修工程专业承包</w:t>
            </w:r>
            <w:bookmarkEnd w:id="22"/>
            <w:r/>
            <w:bookmarkEnd w:id="23"/>
            <w:r>
              <w:rPr>
                <w:rFonts w:hint="eastAsia" w:ascii="宋体" w:hAnsi="宋体" w:cs="宋体"/>
                <w:sz w:val="24"/>
                <w:szCs w:val="24"/>
              </w:rPr>
              <w:t xml:space="preserve">资质证书；</w:t>
            </w:r>
            <w:r/>
          </w:p>
          <w:p>
            <w:pPr>
              <w:numPr>
                <w:ilvl w:val="0"/>
                <w:numId w:val="4"/>
              </w:numPr>
              <w:jc w:val="left"/>
              <w:spacing w:line="400" w:lineRule="exact"/>
              <w:rPr>
                <w:rFonts w:ascii="宋体" w:hAnsi="宋体" w:cs="宋体"/>
                <w:sz w:val="24"/>
                <w:szCs w:val="24"/>
              </w:rPr>
            </w:pPr>
            <w:r>
              <w:rPr>
                <w:rFonts w:hint="eastAsia" w:ascii="宋体" w:hAnsi="宋体" w:cs="宋体"/>
                <w:sz w:val="24"/>
                <w:szCs w:val="24"/>
              </w:rPr>
              <w:t xml:space="preserve">具有</w:t>
            </w:r>
            <w:bookmarkStart w:id="24" w:name="OLE_LINK7"/>
            <w:r/>
            <w:bookmarkStart w:id="25" w:name="OLE_LINK8"/>
            <w:r>
              <w:rPr>
                <w:rFonts w:hint="eastAsia" w:ascii="宋体" w:hAnsi="宋体" w:cs="宋体"/>
                <w:sz w:val="24"/>
                <w:szCs w:val="24"/>
              </w:rPr>
              <w:t xml:space="preserve">电子与智能化工程专业承包资质证书</w:t>
            </w:r>
            <w:bookmarkEnd w:id="24"/>
            <w:r/>
            <w:bookmarkEnd w:id="25"/>
            <w:r>
              <w:rPr>
                <w:rFonts w:hint="eastAsia" w:ascii="宋体" w:hAnsi="宋体" w:cs="宋体"/>
                <w:sz w:val="24"/>
                <w:szCs w:val="24"/>
              </w:rPr>
              <w:t xml:space="preserve">；</w:t>
            </w:r>
            <w:r/>
          </w:p>
          <w:p>
            <w:pPr>
              <w:numPr>
                <w:ilvl w:val="0"/>
                <w:numId w:val="4"/>
              </w:numPr>
              <w:jc w:val="left"/>
              <w:spacing w:line="400" w:lineRule="exact"/>
              <w:rPr>
                <w:rFonts w:ascii="方正仿宋_GBK" w:hAnsi="方正仿宋_GBK" w:eastAsia="方正仿宋_GBK" w:cs="方正仿宋_GBK"/>
                <w:sz w:val="28"/>
                <w:szCs w:val="28"/>
              </w:rPr>
            </w:pPr>
            <w:r>
              <w:rPr>
                <w:rFonts w:hint="eastAsia" w:ascii="宋体" w:hAnsi="宋体" w:cs="宋体"/>
                <w:sz w:val="24"/>
                <w:szCs w:val="24"/>
              </w:rPr>
              <w:t xml:space="preserve">具有建筑施工企业安全生产许可证书。</w:t>
            </w:r>
            <w:r/>
          </w:p>
        </w:tc>
      </w:tr>
    </w:tbl>
    <w:p>
      <w:pPr>
        <w:ind w:firstLine="560"/>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p>
    <w:p>
      <w:pPr>
        <w:ind w:firstLine="560"/>
        <w:keepNext/>
        <w:spacing w:line="400" w:lineRule="exact"/>
        <w:rPr>
          <w:rFonts w:ascii="方正黑体_GBK" w:hAnsi="方正黑体_GBK" w:eastAsia="方正黑体_GBK" w:cs="方正黑体_GBK"/>
          <w:color w:val="000000"/>
          <w:sz w:val="28"/>
          <w:szCs w:val="28"/>
        </w:rPr>
        <w:outlineLvl w:val="0"/>
      </w:pPr>
      <w:r/>
      <w:bookmarkStart w:id="26" w:name="_Toc28359005"/>
      <w:r/>
      <w:bookmarkStart w:id="27" w:name="_Toc28359082"/>
      <w:r/>
      <w:bookmarkStart w:id="28" w:name="_Toc38985266"/>
      <w:r/>
      <w:bookmarkStart w:id="29" w:name="_Toc35393624"/>
      <w:r/>
      <w:bookmarkStart w:id="30" w:name="_Toc35393793"/>
      <w:r/>
      <w:bookmarkEnd w:id="17"/>
      <w:r/>
      <w:bookmarkEnd w:id="18"/>
      <w:r/>
      <w:bookmarkEnd w:id="19"/>
      <w:r/>
      <w:bookmarkEnd w:id="20"/>
      <w:r/>
      <w:bookmarkEnd w:id="21"/>
      <w:r>
        <w:rPr>
          <w:rFonts w:hint="eastAsia" w:ascii="方正黑体_GBK" w:hAnsi="方正黑体_GBK" w:eastAsia="方正黑体_GBK" w:cs="方正黑体_GBK"/>
          <w:color w:val="000000"/>
          <w:sz w:val="28"/>
          <w:szCs w:val="28"/>
        </w:rPr>
        <w:t xml:space="preserve">四、提交投标文件</w:t>
      </w:r>
      <w:bookmarkEnd w:id="26"/>
      <w:r/>
      <w:bookmarkEnd w:id="27"/>
      <w:r>
        <w:rPr>
          <w:rFonts w:hint="eastAsia" w:ascii="方正黑体_GBK" w:hAnsi="方正黑体_GBK" w:eastAsia="方正黑体_GBK" w:cs="方正黑体_GBK"/>
          <w:color w:val="000000"/>
          <w:sz w:val="28"/>
          <w:szCs w:val="28"/>
        </w:rPr>
        <w:t xml:space="preserve">截止时间、开标时间和地点</w:t>
      </w:r>
      <w:bookmarkEnd w:id="28"/>
      <w:r/>
      <w:bookmarkEnd w:id="29"/>
      <w:r/>
      <w:bookmarkEnd w:id="30"/>
      <w:r/>
      <w:r/>
    </w:p>
    <w:p>
      <w:pPr>
        <w:ind w:firstLine="560"/>
        <w:spacing w:line="400" w:lineRule="exact"/>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年9月</w:t>
      </w:r>
      <w:r>
        <w:rPr>
          <w:rFonts w:hint="eastAsia" w:ascii="方正仿宋_GBK" w:hAnsi="方正仿宋_GBK" w:eastAsia="方正仿宋_GBK" w:cs="方正仿宋_GBK"/>
          <w:bCs/>
          <w:color w:val="000000"/>
          <w:sz w:val="28"/>
          <w:szCs w:val="28"/>
        </w:rPr>
        <w:t xml:space="preserve">17</w:t>
      </w:r>
      <w:r>
        <w:rPr>
          <w:rFonts w:hint="eastAsia" w:ascii="方正仿宋_GBK" w:hAnsi="方正仿宋_GBK" w:eastAsia="方正仿宋_GBK" w:cs="方正仿宋_GBK"/>
          <w:bCs/>
          <w:color w:val="000000"/>
          <w:sz w:val="28"/>
          <w:szCs w:val="28"/>
        </w:rPr>
        <w:t xml:space="preserve">日</w:t>
      </w:r>
      <w:r>
        <w:rPr>
          <w:rFonts w:hint="eastAsia" w:ascii="方正仿宋_GBK" w:hAnsi="方正仿宋_GBK" w:eastAsia="方正仿宋_GBK" w:cs="方正仿宋_GBK"/>
          <w:color w:val="000000"/>
          <w:sz w:val="28"/>
          <w:szCs w:val="28"/>
        </w:rPr>
        <w:t xml:space="preserve">9时</w:t>
      </w:r>
      <w:r>
        <w:rPr>
          <w:rFonts w:hint="eastAsia" w:ascii="方正仿宋_GBK" w:hAnsi="方正仿宋_GBK" w:eastAsia="方正仿宋_GBK" w:cs="方正仿宋_GBK"/>
          <w:bCs/>
          <w:color w:val="000000"/>
          <w:sz w:val="28"/>
          <w:szCs w:val="28"/>
        </w:rPr>
        <w:t xml:space="preserve">30分（北京时间）</w:t>
      </w: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ind w:firstLine="560"/>
        <w:keepNext/>
        <w:spacing w:line="400" w:lineRule="exact"/>
        <w:rPr>
          <w:rFonts w:ascii="方正黑体_GBK" w:hAnsi="方正黑体_GBK" w:eastAsia="方正黑体_GBK" w:cs="方正黑体_GBK"/>
          <w:color w:val="000000"/>
          <w:sz w:val="28"/>
          <w:szCs w:val="28"/>
        </w:rPr>
        <w:outlineLvl w:val="0"/>
      </w:pPr>
      <w:r/>
      <w:bookmarkStart w:id="32" w:name="_Toc35393794"/>
      <w:r/>
      <w:bookmarkStart w:id="33" w:name="_Toc38985267"/>
      <w:r/>
      <w:bookmarkStart w:id="34" w:name="_Toc28359007"/>
      <w:r/>
      <w:bookmarkStart w:id="35" w:name="_Toc35393625"/>
      <w:r/>
      <w:bookmarkStart w:id="36" w:name="_Toc28359084"/>
      <w:r>
        <w:rPr>
          <w:rFonts w:hint="eastAsia" w:ascii="方正黑体_GBK" w:hAnsi="方正黑体_GBK" w:eastAsia="方正黑体_GBK" w:cs="方正黑体_GBK"/>
          <w:color w:val="000000"/>
          <w:sz w:val="28"/>
          <w:szCs w:val="28"/>
        </w:rPr>
        <w:t xml:space="preserve">五、公告期限</w:t>
      </w:r>
      <w:bookmarkEnd w:id="32"/>
      <w:r/>
      <w:bookmarkEnd w:id="33"/>
      <w:r/>
      <w:bookmarkEnd w:id="34"/>
      <w:r/>
      <w:bookmarkEnd w:id="35"/>
      <w:r/>
      <w:bookmarkEnd w:id="36"/>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bookmarkStart w:id="37" w:name="_Toc35393626"/>
      <w:r/>
      <w:bookmarkStart w:id="38" w:name="_Toc35393795"/>
      <w:r/>
      <w:bookmarkStart w:id="39" w:name="_Toc38985268"/>
      <w:r/>
      <w:r/>
    </w:p>
    <w:p>
      <w:pPr>
        <w:numPr>
          <w:ilvl w:val="0"/>
          <w:numId w:val="5"/>
        </w:numPr>
        <w:ind w:firstLine="560"/>
        <w:spacing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其他补充事宜</w:t>
      </w:r>
      <w:bookmarkStart w:id="40" w:name="_Toc28359008"/>
      <w:r/>
      <w:bookmarkStart w:id="41" w:name="_Toc35393627"/>
      <w:r/>
      <w:bookmarkStart w:id="42" w:name="_Toc38985269"/>
      <w:r/>
      <w:bookmarkStart w:id="43" w:name="_Toc28359085"/>
      <w:r/>
      <w:bookmarkStart w:id="44" w:name="_Toc35393796"/>
      <w:r/>
      <w:bookmarkEnd w:id="37"/>
      <w:r/>
      <w:bookmarkEnd w:id="38"/>
      <w:r/>
      <w:bookmarkEnd w:id="39"/>
      <w:r/>
      <w:r/>
    </w:p>
    <w:p>
      <w:pPr>
        <w:numPr>
          <w:ilvl w:val="0"/>
          <w:numId w:val="6"/>
        </w:num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现场勘察要求：</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勘察时间：2026年</w:t>
      </w:r>
      <w:r>
        <w:rPr>
          <w:rFonts w:hint="eastAsia" w:ascii="方正仿宋_GBK" w:hAnsi="方正仿宋_GBK" w:eastAsia="方正仿宋_GBK" w:cs="方正仿宋_GBK"/>
          <w:sz w:val="28"/>
          <w:szCs w:val="28"/>
          <w:highlight w:val="none"/>
        </w:rPr>
        <w:t xml:space="preserve">9</w:t>
      </w:r>
      <w:r>
        <w:rPr>
          <w:rFonts w:hint="eastAsia" w:ascii="方正仿宋_GBK" w:hAnsi="方正仿宋_GBK" w:eastAsia="方正仿宋_GBK" w:cs="方正仿宋_GBK"/>
          <w:sz w:val="28"/>
          <w:szCs w:val="28"/>
          <w:highlight w:val="white"/>
        </w:rPr>
        <w:t xml:space="preserve">月3日</w:t>
      </w:r>
      <w:r>
        <w:rPr>
          <w:rFonts w:hint="eastAsia" w:ascii="方正仿宋_GBK" w:hAnsi="方正仿宋_GBK" w:eastAsia="方正仿宋_GBK" w:cs="方正仿宋_GBK"/>
          <w:sz w:val="28"/>
          <w:szCs w:val="28"/>
        </w:rPr>
        <w:t xml:space="preserve">上午9:00-11:00</w:t>
      </w:r>
      <w:r/>
    </w:p>
    <w:p>
      <w:pPr>
        <w:ind w:left="558"/>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1.2地点：南京信息职业技术学院（南京市栖霞区文澜路99号）；</w:t>
      </w:r>
      <w:r/>
    </w:p>
    <w:p>
      <w:pPr>
        <w:ind w:left="558"/>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联系人：郭老师</w:t>
      </w:r>
      <w:r/>
    </w:p>
    <w:p>
      <w:pPr>
        <w:ind w:left="558"/>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联系电话：18952046612</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2.供应商携带资料：</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2.1企业法人营业执照副本复印件（加盖单位公章）；</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2.2法定代表人身份证或法定代表人授权委托书、委托代理人身份证。</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3.1供应商请在规定的时间参加勘察。参加现场勘察的供应商应在勘查时间的前一天联系郭老师作进校报备。</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3.2供应商请务必对项目现场和周围环境进行仔细认真的查勘，在随后的投标中，对现场资料和数据所作出的推论、解释和结论及由此造成的后果由供应商负责。</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3.3未勘查现场或勘察工作不详细的供应商成交后，不得以不完全了解现场情况为理由而向采购人提出任何索赔或其他要求，对此采购人不承担任何责任并将不作任何答复。</w:t>
      </w:r>
      <w:r/>
    </w:p>
    <w:p>
      <w:pPr>
        <w:ind w:firstLine="560"/>
        <w:spacing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七、本次招标联系方式</w:t>
      </w:r>
      <w:bookmarkEnd w:id="40"/>
      <w:r/>
      <w:bookmarkEnd w:id="41"/>
      <w:r/>
      <w:bookmarkEnd w:id="42"/>
      <w:r/>
      <w:bookmarkEnd w:id="43"/>
      <w:r/>
      <w:bookmarkEnd w:id="44"/>
      <w:r/>
      <w:r/>
    </w:p>
    <w:p>
      <w:pPr>
        <w:spacing w:line="400" w:lineRule="exact"/>
        <w:widowControl/>
        <w:rPr>
          <w:rFonts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南京信息职业技术学院</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bookmarkStart w:id="45" w:name="OLE_LINK12"/>
      <w:r/>
      <w:bookmarkStart w:id="46" w:name="OLE_LINK21"/>
      <w:r>
        <w:rPr>
          <w:rFonts w:hint="eastAsia" w:ascii="方正仿宋_GBK" w:hAnsi="方正仿宋_GBK" w:eastAsia="方正仿宋_GBK" w:cs="方正仿宋_GBK"/>
          <w:color w:val="000000"/>
          <w:sz w:val="28"/>
          <w:szCs w:val="28"/>
          <w:u w:val="single"/>
        </w:rPr>
        <w:t xml:space="preserve">韦薇</w:t>
      </w:r>
      <w:bookmarkEnd w:id="45"/>
      <w:r/>
      <w:bookmarkEnd w:id="46"/>
      <w:r>
        <w:rPr>
          <w:rFonts w:hint="eastAsia" w:ascii="方正仿宋_GBK" w:hAnsi="方正仿宋_GBK" w:eastAsia="方正仿宋_GBK" w:cs="方正仿宋_GBK"/>
          <w:color w:val="000000"/>
          <w:sz w:val="28"/>
          <w:szCs w:val="28"/>
          <w:u w:val="single"/>
        </w:rPr>
        <w:t xml:space="preserve"> </w:t>
      </w:r>
      <w:r/>
    </w:p>
    <w:p>
      <w:pPr>
        <w:ind w:firstLine="560"/>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bookmarkStart w:id="47" w:name="OLE_LINK22"/>
      <w:r/>
      <w:bookmarkStart w:id="48" w:name="_Toc28359009"/>
      <w:r/>
      <w:bookmarkStart w:id="49" w:name="_Toc28359086"/>
      <w:r>
        <w:rPr>
          <w:rFonts w:hint="eastAsia" w:ascii="方正仿宋_GBK" w:hAnsi="方正仿宋_GBK" w:eastAsia="方正仿宋_GBK" w:cs="方正仿宋_GBK"/>
          <w:color w:val="000000"/>
          <w:sz w:val="28"/>
          <w:szCs w:val="28"/>
          <w:u w:val="single"/>
        </w:rPr>
        <w:t xml:space="preserve">13675139298</w:t>
      </w:r>
      <w:bookmarkEnd w:id="47"/>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8"/>
      <w:r/>
      <w:bookmarkEnd w:id="49"/>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南京市建邺区汉中门大街145号</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张文怡、王烨</w:t>
      </w:r>
      <w:r/>
    </w:p>
    <w:p>
      <w:pPr>
        <w:ind w:firstLine="560"/>
        <w:spacing w:line="400" w:lineRule="exact"/>
        <w:rPr>
          <w:rFonts w:ascii="方正仿宋_GBK" w:hAnsi="方正仿宋_GBK" w:eastAsia="方正仿宋_GBK" w:cs="方正仿宋_GBK"/>
          <w:sz w:val="28"/>
          <w:szCs w:val="28"/>
          <w:shd w:val="clear" w:color="ffffff" w:fill="d9d9d9"/>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025-83668505、83668550</w:t>
      </w:r>
      <w:r/>
    </w:p>
    <w:p>
      <w:pPr>
        <w:ind w:firstLine="560"/>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http://www.ccgp-jiangsu.gov.cn/jiangsu/zlxz/ee/ee3a4bc5a3454aa2b0d9312230633ce9.html</w:t>
      </w:r>
      <w:r>
        <w:rPr>
          <w:rFonts w:hint="eastAsia" w:eastAsia="方正仿宋_GBK"/>
          <w:sz w:val="28"/>
          <w:szCs w:val="28"/>
        </w:rPr>
        <w:t xml:space="preserve">。</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ind w:right="840"/>
        <w:rPr>
          <w:rFonts w:ascii="宋体" w:hAnsi="宋体"/>
          <w:color w:val="000000"/>
          <w:sz w:val="24"/>
          <w:szCs w:val="24"/>
        </w:rPr>
      </w:pPr>
      <w:r>
        <w:rPr>
          <w:rFonts w:ascii="宋体" w:hAnsi="宋体"/>
          <w:color w:val="000000"/>
          <w:sz w:val="24"/>
          <w:szCs w:val="24"/>
        </w:rPr>
      </w:r>
      <w:r/>
    </w:p>
    <w:p>
      <w:pPr>
        <w:jc w:val="center"/>
        <w:keepNext/>
        <w:spacing w:line="400" w:lineRule="exact"/>
        <w:rPr>
          <w:rFonts w:ascii="方正黑体_GBK" w:hAnsi="方正黑体_GBK" w:eastAsia="方正黑体_GBK" w:cs="方正黑体_GBK"/>
          <w:color w:val="000000"/>
          <w:sz w:val="28"/>
          <w:szCs w:val="28"/>
        </w:rPr>
        <w:outlineLvl w:val="0"/>
      </w:pPr>
      <w:r/>
      <w:bookmarkStart w:id="50" w:name="_Toc120614211"/>
      <w:r>
        <w:rPr>
          <w:rFonts w:ascii="宋体" w:hAnsi="宋体"/>
          <w:color w:val="000000"/>
          <w:sz w:val="24"/>
          <w:szCs w:val="24"/>
        </w:rPr>
        <w:br w:type="page" w:clear="all"/>
      </w:r>
      <w:r>
        <w:rPr>
          <w:rFonts w:hint="eastAsia" w:ascii="方正黑体_GBK" w:hAnsi="方正黑体_GBK" w:eastAsia="方正黑体_GBK" w:cs="方正黑体_GBK"/>
          <w:color w:val="000000"/>
          <w:sz w:val="28"/>
          <w:szCs w:val="28"/>
        </w:rPr>
        <w:t xml:space="preserve">第二章  </w:t>
      </w:r>
      <w:bookmarkStart w:id="51" w:name="_Toc20823274"/>
      <w:r/>
      <w:bookmarkStart w:id="52" w:name="_Toc513029202"/>
      <w:r/>
      <w:bookmarkStart w:id="53" w:name="_Toc120614213"/>
      <w:r/>
      <w:bookmarkStart w:id="54" w:name="_Toc16938518"/>
      <w:r/>
      <w:bookmarkEnd w:id="1"/>
      <w:r/>
      <w:bookmarkEnd w:id="2"/>
      <w:r/>
      <w:bookmarkEnd w:id="3"/>
      <w:r/>
      <w:bookmarkEnd w:id="4"/>
      <w:r/>
      <w:bookmarkEnd w:id="5"/>
      <w:r/>
      <w:bookmarkEnd w:id="50"/>
      <w:r>
        <w:rPr>
          <w:rFonts w:hint="eastAsia" w:ascii="方正黑体_GBK" w:hAnsi="方正黑体_GBK" w:eastAsia="方正黑体_GBK" w:cs="方正黑体_GBK"/>
          <w:color w:val="000000"/>
          <w:sz w:val="28"/>
          <w:szCs w:val="28"/>
        </w:rPr>
        <w:t xml:space="preserve">投标人须知</w:t>
      </w:r>
      <w:bookmarkEnd w:id="51"/>
      <w:r/>
      <w:bookmarkEnd w:id="52"/>
      <w:r/>
      <w:bookmarkEnd w:id="53"/>
      <w:r/>
      <w:bookmarkEnd w:id="54"/>
      <w:r/>
      <w:r/>
    </w:p>
    <w:p>
      <w:pPr>
        <w:ind w:firstLine="560"/>
        <w:keepNext/>
        <w:spacing w:line="400" w:lineRule="exact"/>
        <w:rPr>
          <w:rFonts w:ascii="方正黑体_GBK" w:hAnsi="方正黑体_GBK" w:eastAsia="方正黑体_GBK" w:cs="方正黑体_GBK"/>
          <w:color w:val="000000"/>
          <w:sz w:val="28"/>
          <w:szCs w:val="28"/>
        </w:rPr>
        <w:outlineLvl w:val="0"/>
      </w:pPr>
      <w:r/>
      <w:bookmarkStart w:id="55" w:name="_Toc16938519"/>
      <w:r/>
      <w:bookmarkStart w:id="56" w:name="_Toc513029203"/>
      <w:r/>
      <w:bookmarkStart w:id="57" w:name="_Toc20823275"/>
      <w:r/>
      <w:bookmarkStart w:id="58" w:name="_Toc120614214"/>
      <w:r>
        <w:rPr>
          <w:rFonts w:hint="eastAsia" w:ascii="方正黑体_GBK" w:hAnsi="方正黑体_GBK" w:eastAsia="方正黑体_GBK" w:cs="方正黑体_GBK"/>
          <w:color w:val="000000"/>
          <w:sz w:val="28"/>
          <w:szCs w:val="28"/>
        </w:rPr>
        <w:t xml:space="preserve">一、总则</w:t>
      </w:r>
      <w:bookmarkEnd w:id="55"/>
      <w:r/>
      <w:bookmarkEnd w:id="56"/>
      <w:r/>
      <w:bookmarkEnd w:id="57"/>
      <w:r/>
      <w:bookmarkEnd w:id="58"/>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59" w:name="_Hlt16619475"/>
      <w:r/>
      <w:bookmarkStart w:id="60" w:name="_Toc458694821"/>
      <w:r/>
      <w:bookmarkStart w:id="61" w:name="_Toc16938520"/>
      <w:r/>
      <w:bookmarkStart w:id="62" w:name="_Toc20823276"/>
      <w:r/>
      <w:bookmarkStart w:id="63" w:name="_Toc513029204"/>
      <w:r/>
      <w:bookmarkEnd w:id="59"/>
      <w:r>
        <w:rPr>
          <w:rFonts w:hint="eastAsia" w:ascii="方正仿宋_GBK" w:hAnsi="方正仿宋_GBK" w:eastAsia="方正仿宋_GBK" w:cs="方正仿宋_GBK"/>
          <w:bCs/>
          <w:sz w:val="28"/>
          <w:szCs w:val="28"/>
        </w:rPr>
        <w:t xml:space="preserve">1</w:t>
      </w:r>
      <w:bookmarkEnd w:id="60"/>
      <w:r>
        <w:rPr>
          <w:rFonts w:hint="eastAsia" w:ascii="方正仿宋_GBK" w:hAnsi="方正仿宋_GBK" w:eastAsia="方正仿宋_GBK" w:cs="方正仿宋_GBK"/>
          <w:bCs/>
          <w:sz w:val="28"/>
          <w:szCs w:val="28"/>
        </w:rPr>
        <w:t xml:space="preserve">.招标方式</w:t>
      </w:r>
      <w:bookmarkEnd w:id="61"/>
      <w:r/>
      <w:bookmarkEnd w:id="62"/>
      <w:r/>
      <w:bookmarkEnd w:id="63"/>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64" w:name="_Toc513029205"/>
      <w:r/>
      <w:bookmarkStart w:id="65" w:name="_Toc16938521"/>
      <w:r/>
      <w:bookmarkStart w:id="66" w:name="_Toc20823277"/>
      <w:r>
        <w:rPr>
          <w:rFonts w:hint="eastAsia" w:ascii="方正仿宋_GBK" w:hAnsi="方正仿宋_GBK" w:eastAsia="方正仿宋_GBK" w:cs="方正仿宋_GBK"/>
          <w:bCs/>
          <w:sz w:val="28"/>
          <w:szCs w:val="28"/>
        </w:rPr>
        <w:t xml:space="preserve">2.合格的投标人</w:t>
      </w:r>
      <w:bookmarkEnd w:id="64"/>
      <w:r/>
      <w:bookmarkEnd w:id="65"/>
      <w:r/>
      <w:bookmarkEnd w:id="66"/>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 满足招标公告中供应商的资格要求。</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67" w:name="_Toc16938522"/>
      <w:r/>
      <w:bookmarkStart w:id="68" w:name="_Toc20823278"/>
      <w:r/>
      <w:bookmarkStart w:id="69" w:name="_Toc513029206"/>
      <w:r>
        <w:rPr>
          <w:rFonts w:hint="eastAsia" w:ascii="方正仿宋_GBK" w:hAnsi="方正仿宋_GBK" w:eastAsia="方正仿宋_GBK" w:cs="方正仿宋_GBK"/>
          <w:bCs/>
          <w:sz w:val="28"/>
          <w:szCs w:val="28"/>
        </w:rPr>
        <w:t xml:space="preserve">3.适用法律</w:t>
      </w:r>
      <w:bookmarkEnd w:id="67"/>
      <w:r/>
      <w:bookmarkEnd w:id="68"/>
      <w:r/>
      <w:bookmarkEnd w:id="69"/>
      <w:r>
        <w:rPr>
          <w:rFonts w:hint="eastAsia" w:ascii="方正仿宋_GBK" w:hAnsi="方正仿宋_GBK" w:eastAsia="方正仿宋_GBK" w:cs="方正仿宋_GBK"/>
          <w:bCs/>
          <w:sz w:val="28"/>
          <w:szCs w:val="28"/>
        </w:rPr>
        <w:t xml:space="preserve">和标准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70" w:name="_Toc513029207"/>
      <w:r/>
      <w:bookmarkStart w:id="71" w:name="_Toc462564067"/>
      <w:r/>
      <w:bookmarkStart w:id="72" w:name="_Toc16938523"/>
      <w:r/>
      <w:bookmarkStart w:id="73" w:name="_Toc20823279"/>
      <w:r>
        <w:rPr>
          <w:rFonts w:hint="eastAsia" w:ascii="方正仿宋_GBK" w:hAnsi="方正仿宋_GBK" w:eastAsia="方正仿宋_GBK" w:cs="方正仿宋_GBK"/>
          <w:bCs/>
          <w:sz w:val="28"/>
          <w:szCs w:val="28"/>
        </w:rPr>
        <w:t xml:space="preserve">4.投标费用</w:t>
      </w:r>
      <w:bookmarkEnd w:id="70"/>
      <w:r/>
      <w:bookmarkEnd w:id="71"/>
      <w:r/>
      <w:bookmarkEnd w:id="72"/>
      <w:r/>
      <w:bookmarkEnd w:id="73"/>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 本次招标采购中心和采购人不收取标书工本费与中标服务费。</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ind w:firstLine="560"/>
        <w:keepNext/>
        <w:spacing w:line="400" w:lineRule="exact"/>
        <w:rPr>
          <w:rFonts w:ascii="方正黑体_GBK" w:hAnsi="方正黑体_GBK" w:eastAsia="方正黑体_GBK" w:cs="方正黑体_GBK"/>
          <w:color w:val="000000"/>
          <w:sz w:val="28"/>
          <w:szCs w:val="28"/>
        </w:rPr>
        <w:outlineLvl w:val="0"/>
      </w:pPr>
      <w:r/>
      <w:bookmarkStart w:id="74" w:name="_Toc16938525"/>
      <w:r/>
      <w:bookmarkStart w:id="75" w:name="_Toc120614215"/>
      <w:r/>
      <w:bookmarkStart w:id="76" w:name="_Toc513029209"/>
      <w:r/>
      <w:bookmarkStart w:id="77" w:name="_Toc20823281"/>
      <w:r>
        <w:rPr>
          <w:rFonts w:hint="eastAsia" w:ascii="方正黑体_GBK" w:hAnsi="方正黑体_GBK" w:eastAsia="方正黑体_GBK" w:cs="方正黑体_GBK"/>
          <w:color w:val="000000"/>
          <w:sz w:val="28"/>
          <w:szCs w:val="28"/>
        </w:rPr>
        <w:t xml:space="preserve">二、招标文件</w:t>
      </w:r>
      <w:bookmarkEnd w:id="74"/>
      <w:r/>
      <w:bookmarkEnd w:id="75"/>
      <w:r/>
      <w:bookmarkEnd w:id="76"/>
      <w:r/>
      <w:bookmarkEnd w:id="77"/>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78" w:name="_Toc513029210"/>
      <w:r/>
      <w:bookmarkStart w:id="79" w:name="_Toc20823282"/>
      <w:r/>
      <w:bookmarkStart w:id="80" w:name="_Toc16938526"/>
      <w:r>
        <w:rPr>
          <w:rFonts w:hint="eastAsia" w:ascii="方正仿宋_GBK" w:hAnsi="方正仿宋_GBK" w:eastAsia="方正仿宋_GBK" w:cs="方正仿宋_GBK"/>
          <w:bCs/>
          <w:sz w:val="28"/>
          <w:szCs w:val="28"/>
        </w:rPr>
        <w:t xml:space="preserve">6.招标文件构成</w:t>
      </w:r>
      <w:bookmarkEnd w:id="78"/>
      <w:r/>
      <w:bookmarkEnd w:id="79"/>
      <w:r/>
      <w:bookmarkEnd w:id="80"/>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81" w:name="_Toc462564071"/>
      <w:r/>
      <w:bookmarkStart w:id="82" w:name="_Toc20823284"/>
      <w:r/>
      <w:bookmarkStart w:id="83" w:name="_Toc513029212"/>
      <w:r/>
      <w:bookmarkStart w:id="84" w:name="_Toc16938528"/>
      <w:r>
        <w:rPr>
          <w:rFonts w:hint="eastAsia" w:ascii="方正仿宋_GBK" w:hAnsi="方正仿宋_GBK" w:eastAsia="方正仿宋_GBK" w:cs="方正仿宋_GBK"/>
          <w:bCs/>
          <w:sz w:val="28"/>
          <w:szCs w:val="28"/>
        </w:rPr>
        <w:t xml:space="preserve">7.招标文件的修改</w:t>
      </w:r>
      <w:bookmarkEnd w:id="81"/>
      <w:r/>
      <w:bookmarkEnd w:id="82"/>
      <w:r/>
      <w:bookmarkEnd w:id="83"/>
      <w:r/>
      <w:bookmarkEnd w:id="84"/>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ind w:firstLine="560"/>
        <w:keepNext/>
        <w:spacing w:line="400" w:lineRule="exact"/>
        <w:rPr>
          <w:rFonts w:ascii="方正黑体_GBK" w:hAnsi="方正黑体_GBK" w:eastAsia="方正黑体_GBK" w:cs="方正黑体_GBK"/>
          <w:color w:val="000000"/>
          <w:sz w:val="28"/>
          <w:szCs w:val="28"/>
        </w:rPr>
        <w:outlineLvl w:val="0"/>
      </w:pPr>
      <w:r/>
      <w:bookmarkStart w:id="85" w:name="_Toc513029213"/>
      <w:r/>
      <w:bookmarkStart w:id="86" w:name="_Toc20823285"/>
      <w:r/>
      <w:bookmarkStart w:id="87" w:name="_Toc120614216"/>
      <w:r/>
      <w:bookmarkStart w:id="88" w:name="_Toc16938529"/>
      <w:r/>
      <w:bookmarkStart w:id="89" w:name="_Toc462564072"/>
      <w:r>
        <w:rPr>
          <w:rFonts w:hint="eastAsia" w:ascii="方正黑体_GBK" w:hAnsi="方正黑体_GBK" w:eastAsia="方正黑体_GBK" w:cs="方正黑体_GBK"/>
          <w:color w:val="000000"/>
          <w:sz w:val="28"/>
          <w:szCs w:val="28"/>
        </w:rPr>
        <w:t xml:space="preserve">三、投标文件的编制</w:t>
      </w:r>
      <w:bookmarkEnd w:id="85"/>
      <w:r/>
      <w:bookmarkEnd w:id="86"/>
      <w:r/>
      <w:bookmarkEnd w:id="87"/>
      <w:r/>
      <w:bookmarkEnd w:id="88"/>
      <w:r/>
      <w:bookmarkEnd w:id="89"/>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90" w:name="_Toc16938530"/>
      <w:r/>
      <w:bookmarkStart w:id="91" w:name="_Toc513029214"/>
      <w:r/>
      <w:bookmarkStart w:id="92" w:name="_Toc20823286"/>
      <w:r/>
      <w:bookmarkStart w:id="93" w:name="_Toc462564073"/>
      <w:r>
        <w:rPr>
          <w:rFonts w:hint="eastAsia" w:ascii="方正仿宋_GBK" w:hAnsi="方正仿宋_GBK" w:eastAsia="方正仿宋_GBK" w:cs="方正仿宋_GBK"/>
          <w:bCs/>
          <w:sz w:val="28"/>
          <w:szCs w:val="28"/>
        </w:rPr>
        <w:t xml:space="preserve">8.投标文件的语言及度量衡单位</w:t>
      </w:r>
      <w:bookmarkEnd w:id="90"/>
      <w:r/>
      <w:bookmarkEnd w:id="91"/>
      <w:r/>
      <w:bookmarkEnd w:id="92"/>
      <w:r/>
      <w:bookmarkEnd w:id="93"/>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94" w:name="_Toc20823287"/>
      <w:r/>
      <w:bookmarkStart w:id="95" w:name="_Toc16938531"/>
      <w:r/>
      <w:bookmarkStart w:id="96" w:name="_Toc513029215"/>
      <w:r/>
      <w:bookmarkStart w:id="97" w:name="_Toc462564074"/>
      <w:r>
        <w:rPr>
          <w:rFonts w:hint="eastAsia" w:ascii="方正仿宋_GBK" w:hAnsi="方正仿宋_GBK" w:eastAsia="方正仿宋_GBK" w:cs="方正仿宋_GBK"/>
          <w:bCs/>
          <w:sz w:val="28"/>
          <w:szCs w:val="28"/>
        </w:rPr>
        <w:t xml:space="preserve">9.投标文件构成</w:t>
      </w:r>
      <w:bookmarkEnd w:id="94"/>
      <w:r/>
      <w:bookmarkEnd w:id="95"/>
      <w:r/>
      <w:bookmarkEnd w:id="96"/>
      <w:r/>
      <w:bookmarkEnd w:id="97"/>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98" w:name="_Hlt26668975"/>
      <w:r/>
      <w:bookmarkStart w:id="99" w:name="_Hlt26954838"/>
      <w:r/>
      <w:bookmarkStart w:id="100" w:name="_Hlt26670360"/>
      <w:r/>
      <w:bookmarkStart w:id="101" w:name="_Toc14577357"/>
      <w:r/>
      <w:bookmarkStart w:id="102" w:name="_Toc49090509"/>
      <w:r/>
      <w:bookmarkStart w:id="103" w:name="_Toc513029219"/>
      <w:r/>
      <w:bookmarkStart w:id="104" w:name="_Toc513029216"/>
      <w:r/>
      <w:bookmarkStart w:id="105" w:name="_Toc49090507"/>
      <w:r/>
      <w:bookmarkStart w:id="106" w:name="_Toc14577354"/>
      <w:r/>
      <w:bookmarkStart w:id="107" w:name="_Toc14577355"/>
      <w:r/>
      <w:bookmarkStart w:id="108" w:name="_Toc49090508"/>
      <w:r/>
      <w:bookmarkEnd w:id="98"/>
      <w:r/>
      <w:bookmarkEnd w:id="99"/>
      <w:r/>
      <w:bookmarkEnd w:id="100"/>
      <w:r>
        <w:rPr>
          <w:rFonts w:hint="eastAsia" w:ascii="方正仿宋_GBK" w:hAnsi="方正仿宋_GBK" w:eastAsia="方正仿宋_GBK" w:cs="方正仿宋_GBK"/>
          <w:bCs/>
          <w:sz w:val="28"/>
          <w:szCs w:val="28"/>
        </w:rPr>
        <w:t xml:space="preserve">10.证明投标人及投标标的符合招标文件规定的文件</w:t>
      </w:r>
      <w:bookmarkEnd w:id="101"/>
      <w:r/>
      <w:bookmarkEnd w:id="102"/>
      <w:r/>
      <w:bookmarkEnd w:id="103"/>
      <w:r/>
      <w:bookmarkEnd w:id="104"/>
      <w:r/>
      <w:bookmarkEnd w:id="105"/>
      <w:r/>
      <w:bookmarkEnd w:id="106"/>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bookmarkEnd w:id="107"/>
      <w:r/>
      <w:bookmarkEnd w:id="108"/>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11.投标分项报价表</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109" w:name="_Hlt26954840"/>
      <w:r/>
      <w:bookmarkEnd w:id="109"/>
      <w:r>
        <w:rPr>
          <w:rFonts w:hint="eastAsia" w:ascii="方正仿宋_GBK" w:hAnsi="方正仿宋_GBK" w:eastAsia="方正仿宋_GBK" w:cs="方正仿宋_GBK"/>
          <w:bCs/>
          <w:sz w:val="28"/>
          <w:szCs w:val="28"/>
        </w:rPr>
        <w:t xml:space="preserve">标人按照招标文件规定格式填报投标分项报价表</w:t>
      </w:r>
      <w:bookmarkStart w:id="110" w:name="_Hlt26670399"/>
      <w:r/>
      <w:bookmarkEnd w:id="110"/>
      <w:r>
        <w:rPr>
          <w:rFonts w:hint="eastAsia" w:ascii="方正仿宋_GBK" w:hAnsi="方正仿宋_GBK" w:eastAsia="方正仿宋_GBK" w:cs="方正仿宋_GBK"/>
          <w:bCs/>
          <w:sz w:val="28"/>
          <w:szCs w:val="28"/>
        </w:rPr>
        <w:t xml:space="preserve">。</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11" w:name="_Hlt26954731"/>
      <w:r/>
      <w:bookmarkStart w:id="112" w:name="_Hlt26670482"/>
      <w:r/>
      <w:bookmarkStart w:id="113" w:name="_Hlt26670486"/>
      <w:r/>
      <w:bookmarkStart w:id="114" w:name="_Hlt26954848"/>
      <w:r/>
      <w:bookmarkStart w:id="115" w:name="_Hlt26954846"/>
      <w:r/>
      <w:bookmarkEnd w:id="111"/>
      <w:r/>
      <w:bookmarkEnd w:id="112"/>
      <w:r/>
      <w:bookmarkEnd w:id="113"/>
      <w:r/>
      <w:bookmarkEnd w:id="114"/>
      <w:r/>
      <w:bookmarkEnd w:id="115"/>
      <w:r>
        <w:rPr>
          <w:rFonts w:hint="eastAsia" w:ascii="方正仿宋_GBK" w:hAnsi="方正仿宋_GBK" w:eastAsia="方正仿宋_GBK" w:cs="方正仿宋_GBK"/>
          <w:bCs/>
          <w:sz w:val="28"/>
          <w:szCs w:val="28"/>
        </w:rPr>
        <w:t xml:space="preserve">12.技术要求响应及偏离表、商务要求响应及偏离表</w:t>
      </w:r>
      <w:r/>
    </w:p>
    <w:p>
      <w:pPr>
        <w:ind w:firstLine="560"/>
        <w:spacing w:line="400" w:lineRule="exact"/>
        <w:tabs>
          <w:tab w:val="left" w:pos="900" w:leader="none"/>
        </w:tabs>
        <w:rPr>
          <w:rFonts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p>
    <w:p>
      <w:pPr>
        <w:ind w:firstLine="560"/>
        <w:spacing w:line="400" w:lineRule="exact"/>
        <w:tabs>
          <w:tab w:val="left" w:pos="900" w:leader="none"/>
        </w:tabs>
        <w:rPr>
          <w:rFonts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16" w:name="_Toc49090510"/>
      <w:r/>
      <w:bookmarkStart w:id="117" w:name="_Toc14577359"/>
      <w:r>
        <w:rPr>
          <w:rFonts w:hint="eastAsia" w:ascii="方正仿宋_GBK" w:hAnsi="方正仿宋_GBK" w:eastAsia="方正仿宋_GBK" w:cs="方正仿宋_GBK"/>
          <w:bCs/>
          <w:sz w:val="28"/>
          <w:szCs w:val="28"/>
        </w:rPr>
        <w:t xml:space="preserve">14.投标函和开标一览表</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18" w:name="_Toc14577360"/>
      <w:r/>
      <w:bookmarkStart w:id="119" w:name="_Toc49090511"/>
      <w:r/>
      <w:bookmarkEnd w:id="116"/>
      <w:r/>
      <w:bookmarkEnd w:id="117"/>
      <w:r>
        <w:rPr>
          <w:rFonts w:hint="eastAsia" w:ascii="方正仿宋_GBK" w:hAnsi="方正仿宋_GBK" w:eastAsia="方正仿宋_GBK" w:cs="方正仿宋_GBK"/>
          <w:bCs/>
          <w:sz w:val="28"/>
          <w:szCs w:val="28"/>
        </w:rPr>
        <w:t xml:space="preserve">15.投标有效期</w:t>
      </w:r>
      <w:bookmarkEnd w:id="118"/>
      <w:r/>
      <w:bookmarkEnd w:id="119"/>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16.投标有效期的延长</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560"/>
        <w:keepNext/>
        <w:spacing w:line="400" w:lineRule="exact"/>
        <w:rPr>
          <w:rFonts w:ascii="方正黑体_GBK" w:hAnsi="方正黑体_GBK" w:eastAsia="方正黑体_GBK" w:cs="方正黑体_GBK"/>
          <w:color w:val="000000"/>
          <w:sz w:val="28"/>
          <w:szCs w:val="28"/>
        </w:rPr>
        <w:outlineLvl w:val="0"/>
      </w:pPr>
      <w:r/>
      <w:bookmarkStart w:id="120" w:name="_Hlt26954739"/>
      <w:r/>
      <w:bookmarkStart w:id="121" w:name="_Hlt26954852"/>
      <w:r/>
      <w:bookmarkStart w:id="122" w:name="_Toc20823296"/>
      <w:r/>
      <w:bookmarkStart w:id="123" w:name="_Toc16938540"/>
      <w:r/>
      <w:bookmarkStart w:id="124" w:name="_Toc120614217"/>
      <w:r/>
      <w:bookmarkStart w:id="125" w:name="_Toc513029224"/>
      <w:r/>
      <w:bookmarkEnd w:id="120"/>
      <w:r/>
      <w:bookmarkEnd w:id="121"/>
      <w:r>
        <w:rPr>
          <w:rFonts w:hint="eastAsia" w:ascii="方正黑体_GBK" w:hAnsi="方正黑体_GBK" w:eastAsia="方正黑体_GBK" w:cs="方正黑体_GBK"/>
          <w:color w:val="000000"/>
          <w:sz w:val="28"/>
          <w:szCs w:val="28"/>
        </w:rPr>
        <w:t xml:space="preserve">四、投标文件的递交</w:t>
      </w:r>
      <w:bookmarkEnd w:id="122"/>
      <w:r/>
      <w:bookmarkEnd w:id="123"/>
      <w:r/>
      <w:bookmarkEnd w:id="124"/>
      <w:r/>
      <w:bookmarkEnd w:id="125"/>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26" w:name="_Toc16938541"/>
      <w:r/>
      <w:bookmarkStart w:id="127" w:name="_Toc513029225"/>
      <w:r/>
      <w:bookmarkStart w:id="128" w:name="_Toc462564084"/>
      <w:r/>
      <w:bookmarkStart w:id="129" w:name="_Toc20823297"/>
      <w:r>
        <w:rPr>
          <w:rFonts w:hint="eastAsia" w:ascii="方正仿宋_GBK" w:hAnsi="方正仿宋_GBK" w:eastAsia="方正仿宋_GBK" w:cs="方正仿宋_GBK"/>
          <w:bCs/>
          <w:sz w:val="28"/>
          <w:szCs w:val="28"/>
        </w:rPr>
        <w:t xml:space="preserve">17.电子投标文件</w:t>
      </w:r>
      <w:bookmarkEnd w:id="126"/>
      <w:r/>
      <w:bookmarkEnd w:id="127"/>
      <w:r/>
      <w:bookmarkEnd w:id="128"/>
      <w:r/>
      <w:bookmarkEnd w:id="129"/>
      <w:r>
        <w:rPr>
          <w:rFonts w:hint="eastAsia" w:ascii="方正仿宋_GBK" w:hAnsi="方正仿宋_GBK" w:eastAsia="方正仿宋_GBK" w:cs="方正仿宋_GBK"/>
          <w:bCs/>
          <w:sz w:val="28"/>
          <w:szCs w:val="28"/>
        </w:rPr>
        <w:t xml:space="preserve">的递交</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30" w:name="_Toc16938542"/>
      <w:r/>
      <w:bookmarkStart w:id="131" w:name="_Toc20823298"/>
      <w:r/>
      <w:bookmarkStart w:id="132" w:name="_Toc513029226"/>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18.投标截止日期</w:t>
      </w:r>
      <w:bookmarkEnd w:id="130"/>
      <w:r/>
      <w:bookmarkEnd w:id="131"/>
      <w:r/>
      <w:bookmarkEnd w:id="132"/>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33" w:name="_Toc16938543"/>
      <w:r/>
      <w:bookmarkStart w:id="134" w:name="_Toc513029227"/>
      <w:r/>
      <w:bookmarkStart w:id="135" w:name="_Toc20823299"/>
      <w:r>
        <w:rPr>
          <w:rFonts w:hint="eastAsia" w:ascii="方正仿宋_GBK" w:hAnsi="方正仿宋_GBK" w:eastAsia="方正仿宋_GBK" w:cs="方正仿宋_GBK"/>
          <w:bCs/>
          <w:sz w:val="28"/>
          <w:szCs w:val="28"/>
        </w:rPr>
        <w:t xml:space="preserve">19.投标文件</w:t>
      </w:r>
      <w:bookmarkEnd w:id="133"/>
      <w:r/>
      <w:bookmarkEnd w:id="134"/>
      <w:r/>
      <w:bookmarkEnd w:id="135"/>
      <w:r>
        <w:rPr>
          <w:rFonts w:hint="eastAsia" w:ascii="方正仿宋_GBK" w:hAnsi="方正仿宋_GBK" w:eastAsia="方正仿宋_GBK" w:cs="方正仿宋_GBK"/>
          <w:bCs/>
          <w:sz w:val="28"/>
          <w:szCs w:val="28"/>
        </w:rPr>
        <w:t xml:space="preserve">的拒收</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36" w:name="_Toc16938544"/>
      <w:r/>
      <w:bookmarkStart w:id="137" w:name="_Toc20823300"/>
      <w:r/>
      <w:bookmarkStart w:id="138" w:name="_Toc513029228"/>
      <w:r>
        <w:rPr>
          <w:rFonts w:hint="eastAsia" w:ascii="方正仿宋_GBK" w:hAnsi="方正仿宋_GBK" w:eastAsia="方正仿宋_GBK" w:cs="方正仿宋_GBK"/>
          <w:bCs/>
          <w:sz w:val="28"/>
          <w:szCs w:val="28"/>
        </w:rPr>
        <w:t xml:space="preserve">20.投标文件的撤回和修改</w:t>
      </w:r>
      <w:bookmarkEnd w:id="136"/>
      <w:r/>
      <w:bookmarkEnd w:id="137"/>
      <w:r/>
      <w:bookmarkEnd w:id="138"/>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p>
    <w:p>
      <w:pPr>
        <w:ind w:firstLine="560"/>
        <w:keepNext/>
        <w:spacing w:line="400" w:lineRule="exact"/>
        <w:rPr>
          <w:rFonts w:ascii="方正黑体_GBK" w:hAnsi="方正黑体_GBK" w:eastAsia="方正黑体_GBK" w:cs="方正黑体_GBK"/>
          <w:color w:val="000000"/>
          <w:sz w:val="28"/>
          <w:szCs w:val="28"/>
        </w:rPr>
        <w:outlineLvl w:val="0"/>
      </w:pPr>
      <w:r/>
      <w:bookmarkStart w:id="139" w:name="_Toc513029229"/>
      <w:r/>
      <w:bookmarkStart w:id="140" w:name="_Toc120614218"/>
      <w:r/>
      <w:bookmarkStart w:id="141" w:name="_Toc16938545"/>
      <w:r/>
      <w:bookmarkStart w:id="142" w:name="_Toc20823301"/>
      <w:r>
        <w:rPr>
          <w:rFonts w:hint="eastAsia" w:ascii="方正黑体_GBK" w:hAnsi="方正黑体_GBK" w:eastAsia="方正黑体_GBK" w:cs="方正黑体_GBK"/>
          <w:color w:val="000000"/>
          <w:sz w:val="28"/>
          <w:szCs w:val="28"/>
        </w:rPr>
        <w:t xml:space="preserve">五、开标与评标</w:t>
      </w:r>
      <w:bookmarkEnd w:id="139"/>
      <w:r/>
      <w:bookmarkEnd w:id="140"/>
      <w:r/>
      <w:bookmarkEnd w:id="141"/>
      <w:r/>
      <w:bookmarkEnd w:id="142"/>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43" w:name="_Toc16938546"/>
      <w:r/>
      <w:bookmarkStart w:id="144" w:name="_Toc20823302"/>
      <w:r/>
      <w:bookmarkStart w:id="145" w:name="_Toc513029230"/>
      <w:r>
        <w:rPr>
          <w:rFonts w:hint="eastAsia" w:ascii="方正仿宋_GBK" w:hAnsi="方正仿宋_GBK" w:eastAsia="方正仿宋_GBK" w:cs="方正仿宋_GBK"/>
          <w:bCs/>
          <w:sz w:val="28"/>
          <w:szCs w:val="28"/>
        </w:rPr>
        <w:t xml:space="preserve">21.开标</w:t>
      </w:r>
      <w:bookmarkEnd w:id="143"/>
      <w:r/>
      <w:bookmarkEnd w:id="144"/>
      <w:r/>
      <w:bookmarkEnd w:id="145"/>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46" w:name="_Toc16938547"/>
      <w:r/>
      <w:bookmarkStart w:id="147" w:name="_Toc20823303"/>
      <w:r/>
      <w:bookmarkStart w:id="148" w:name="_Toc513029231"/>
      <w:r>
        <w:rPr>
          <w:rFonts w:hint="eastAsia" w:ascii="方正仿宋_GBK" w:hAnsi="方正仿宋_GBK" w:eastAsia="方正仿宋_GBK" w:cs="方正仿宋_GBK"/>
          <w:bCs/>
          <w:sz w:val="28"/>
          <w:szCs w:val="28"/>
        </w:rPr>
        <w:t xml:space="preserve">22.评标委员会</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评标委员会由采购人代表和有关技术、经济等方面的专家组成，且人员构成符合政府采购有关规定。</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22.3评标委员会独立工作，负责评审所有投标文件并确定中标候选人。</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23.评标过程的保密与公正</w:t>
      </w:r>
      <w:bookmarkEnd w:id="146"/>
      <w:r/>
      <w:bookmarkEnd w:id="147"/>
      <w:r/>
      <w:bookmarkEnd w:id="148"/>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49" w:name="_Toc16938548"/>
      <w:r/>
      <w:bookmarkStart w:id="150" w:name="_Toc20823304"/>
      <w:r/>
      <w:bookmarkStart w:id="151" w:name="_Toc513029232"/>
      <w:r>
        <w:rPr>
          <w:rFonts w:hint="eastAsia" w:ascii="方正仿宋_GBK" w:hAnsi="方正仿宋_GBK" w:eastAsia="方正仿宋_GBK" w:cs="方正仿宋_GBK"/>
          <w:bCs/>
          <w:sz w:val="28"/>
          <w:szCs w:val="28"/>
        </w:rPr>
        <w:t xml:space="preserve">24.投标文件的澄清</w:t>
      </w:r>
      <w:bookmarkEnd w:id="149"/>
      <w:r/>
      <w:bookmarkEnd w:id="150"/>
      <w:r/>
      <w:bookmarkEnd w:id="151"/>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52" w:name="_Toc513029233"/>
      <w:r/>
      <w:bookmarkStart w:id="153" w:name="_Toc16938549"/>
      <w:r/>
      <w:bookmarkStart w:id="154" w:name="_Toc20823305"/>
      <w:r>
        <w:rPr>
          <w:rFonts w:hint="eastAsia" w:ascii="方正仿宋_GBK" w:hAnsi="方正仿宋_GBK" w:eastAsia="方正仿宋_GBK" w:cs="方正仿宋_GBK"/>
          <w:bCs/>
          <w:sz w:val="28"/>
          <w:szCs w:val="28"/>
        </w:rPr>
        <w:t xml:space="preserve">24.1评标期间，评标委员会对投标文件中含义不明确、同类问题表述不一致或者有明显文字和计算错误的内容 ，有权要求投标人作出必要的澄清、说明或者补正。</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接到评标委员会澄清、说明和补正要求的投标人如未按规定做出澄清、说明和补正，其风险由投标人自行承担。</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25.对投标文件的初审</w:t>
      </w:r>
      <w:bookmarkEnd w:id="152"/>
      <w:r/>
      <w:bookmarkEnd w:id="153"/>
      <w:r/>
      <w:bookmarkEnd w:id="154"/>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资格审查：依据法律法规和招标文件的规定，由采购人对投标文件中的资格证明文件进行审查。资格审查的结论，采购人以书面形式向评标委员会进行反馈。</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）查询投标人的信用记录，以确定投标人是否具备投标资格,查询结果留存并归档。</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符合性审查：依据招标文件的规定，由评标委员会从投标文件的有效性、完整性和对招标文件的响应程度进行审查，以确定是否对招标文件的实质性要求作出响应。</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25.3如果投标文件实质上没有响应招标文件的要求，评标委员会将予以拒绝，投标人不得通过修改或撤销不符合要求的偏离或保留而使其投标成为实质性响应的投标。</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25.4评标委员会将对确定为实质性响应的投标进行进一步审核，看其是否有计算上或累加上的算术错误，修正错误的原则如下：</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25.5评标委员会将按上述修正错误的方法调整投标文件中的投标报价，并通过苏采云系统告知投标人，调整后的价格应对投标人具有约束力。如果投标人不接受修正后的价格，则其投标将被拒绝。</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55" w:name="_Toc513029234"/>
      <w:r/>
      <w:bookmarkStart w:id="156" w:name="_Toc20823306"/>
      <w:r/>
      <w:bookmarkStart w:id="157" w:name="_Toc16938550"/>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（1）投标报价低于全部通过符合性审查供应商投标报价平均值50%的，即投标报价&lt;全部通过符合性审查供应商投标报价平均值×50%；</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（2）投标报价低于通过符合性审查的次低报价供应商投标报价50%的，即投标报价&lt;通过符合性审查的次低报价供应商投标报价×50%；</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（3）投标报价低于采购项目最高限价45%的，即投标报价&lt;采购项目最高限价×45%；</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（4）评标委员会基于专业判断，认为供应商报价过低，有可能影响产品质量或者不能诚信履约的其他情形。</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keepNext/>
        <w:spacing w:line="400" w:lineRule="exact"/>
        <w:rPr>
          <w:rFonts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w:t>
      </w:r>
      <w:bookmarkEnd w:id="155"/>
      <w:r/>
      <w:bookmarkEnd w:id="156"/>
      <w:r/>
      <w:bookmarkEnd w:id="157"/>
      <w:r>
        <w:rPr>
          <w:rFonts w:hint="eastAsia" w:ascii="方正仿宋_GBK" w:hAnsi="方正仿宋_GBK" w:eastAsia="方正仿宋_GBK" w:cs="方正仿宋_GBK"/>
          <w:sz w:val="28"/>
          <w:szCs w:val="28"/>
        </w:rPr>
        <w:t xml:space="preserve">6.无效投标条款和废标条款</w:t>
      </w:r>
      <w:bookmarkStart w:id="158" w:name="_Toc20823307"/>
      <w:r/>
      <w:bookmarkStart w:id="159" w:name="_Toc513029235"/>
      <w:r/>
      <w:bookmarkStart w:id="160" w:name="_Toc16938551"/>
      <w:r/>
      <w:r/>
    </w:p>
    <w:p>
      <w:pPr>
        <w:ind w:firstLine="560"/>
        <w:keepLines/>
        <w:keepNext/>
        <w:spacing w:line="400" w:lineRule="exact"/>
        <w:rPr>
          <w:rFonts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26.1无效投标条款</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26.1.2 投标人未按照招标文件</w:t>
      </w:r>
      <w:r>
        <w:rPr>
          <w:rFonts w:hint="eastAsia" w:ascii="方正仿宋_GBK" w:hAnsi="方正仿宋_GBK" w:eastAsia="方正仿宋_GBK" w:cs="方正仿宋_GBK"/>
          <w:bCs/>
          <w:color w:val="000000"/>
          <w:sz w:val="28"/>
          <w:szCs w:val="28"/>
        </w:rPr>
        <w:t xml:space="preserve">要求上传电子投标文件的。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.1.3 投标人</w:t>
      </w:r>
      <w:r>
        <w:rPr>
          <w:rFonts w:hint="eastAsia" w:ascii="方正仿宋_GBK" w:hAnsi="方正仿宋_GBK" w:eastAsia="方正仿宋_GBK" w:cs="方正仿宋_GBK"/>
          <w:bCs/>
          <w:sz w:val="28"/>
          <w:szCs w:val="28"/>
        </w:rPr>
        <w:t xml:space="preserve">同一采购包提</w:t>
      </w:r>
      <w:r>
        <w:rPr>
          <w:rFonts w:hint="eastAsia" w:ascii="方正仿宋_GBK" w:hAnsi="方正仿宋_GBK" w:eastAsia="方正仿宋_GBK" w:cs="方正仿宋_GBK"/>
          <w:bCs/>
          <w:color w:val="000000"/>
          <w:sz w:val="28"/>
          <w:szCs w:val="28"/>
        </w:rPr>
        <w:t xml:space="preserve">交两个（含两个）以上不同的投标报价的。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.1.4投标人不具备招标文件中规定资格要求的。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.1.5投标人的报价超过了采购预算或最高限价的。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.1.6未通过符合性审查的。</w:t>
      </w:r>
      <w:r/>
    </w:p>
    <w:p>
      <w:pPr>
        <w:ind w:firstLine="560"/>
        <w:spacing w:line="400" w:lineRule="exact"/>
        <w:rPr>
          <w:rFonts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.1.8 投标人被“信用中国”网站（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.1.9 投标文件含有采购人不能接受的附加条件的。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.1.12 投标文件未按照招标文件要求加盖CA电子公章的。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26.1.13 投标人所投标产品不符合招标文件中所列国家强制性标准的。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.1.14其他法律、法规及本招标文件规定的属无效投标的情形。</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.2废标条款 </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.2.1符合专业条件的供应商或者对招标文件作实质响应的供应商不足三家的。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26.2.2出现影响采购公正的违法、违规行为的。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.2.3因重大变故，采购任务取消的。</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26.2.4评标委员会认定招标文件存在歧义、重大缺陷导致评审工作无法进行。</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color w:val="000000"/>
          <w:sz w:val="28"/>
          <w:szCs w:val="28"/>
        </w:rPr>
        <w:t xml:space="preserve">26.2</w:t>
      </w:r>
      <w:r>
        <w:rPr>
          <w:rFonts w:hint="eastAsia" w:ascii="方正仿宋_GBK" w:hAnsi="方正仿宋_GBK" w:eastAsia="方正仿宋_GBK" w:cs="方正仿宋_GBK"/>
          <w:bCs/>
          <w:sz w:val="28"/>
          <w:szCs w:val="28"/>
        </w:rPr>
        <w:t xml:space="preserve">.5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  </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26.3 投标截止时间结束后</w:t>
      </w:r>
      <w:r>
        <w:rPr>
          <w:rFonts w:hint="eastAsia" w:ascii="方正仿宋_GBK" w:hAnsi="方正仿宋_GBK" w:eastAsia="方正仿宋_GBK" w:cs="方正仿宋_GBK"/>
          <w:bCs/>
          <w:color w:val="000000"/>
          <w:sz w:val="28"/>
          <w:szCs w:val="28"/>
        </w:rPr>
        <w:t xml:space="preserve">参加投标的供应商不足三家的处理：</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26.3.1如出现投标截止时间结束后参加投标的供应商或者在评标期间对招标文件做出实质响应的供应商不足三家情况，按政府采购相关规定执行。</w:t>
      </w:r>
      <w:r/>
    </w:p>
    <w:p>
      <w:pPr>
        <w:ind w:firstLine="560"/>
        <w:keepNext/>
        <w:spacing w:line="400" w:lineRule="exact"/>
        <w:rPr>
          <w:rFonts w:ascii="方正黑体_GBK" w:hAnsi="方正黑体_GBK" w:eastAsia="方正黑体_GBK" w:cs="方正黑体_GBK"/>
          <w:color w:val="000000"/>
          <w:sz w:val="28"/>
          <w:szCs w:val="28"/>
        </w:rPr>
        <w:outlineLvl w:val="0"/>
      </w:pPr>
      <w:r/>
      <w:bookmarkStart w:id="161" w:name="_Toc120614219"/>
      <w:r>
        <w:rPr>
          <w:rFonts w:hint="eastAsia" w:ascii="方正黑体_GBK" w:hAnsi="方正黑体_GBK" w:eastAsia="方正黑体_GBK" w:cs="方正黑体_GBK"/>
          <w:color w:val="000000"/>
          <w:sz w:val="28"/>
          <w:szCs w:val="28"/>
        </w:rPr>
        <w:t xml:space="preserve">六、</w:t>
      </w:r>
      <w:bookmarkEnd w:id="158"/>
      <w:r/>
      <w:bookmarkEnd w:id="159"/>
      <w:r/>
      <w:bookmarkEnd w:id="160"/>
      <w:r>
        <w:rPr>
          <w:rFonts w:hint="eastAsia" w:ascii="方正黑体_GBK" w:hAnsi="方正黑体_GBK" w:eastAsia="方正黑体_GBK" w:cs="方正黑体_GBK"/>
          <w:color w:val="000000"/>
          <w:sz w:val="28"/>
          <w:szCs w:val="28"/>
        </w:rPr>
        <w:t xml:space="preserve">定标</w:t>
      </w:r>
      <w:bookmarkEnd w:id="161"/>
      <w:r/>
      <w:r/>
    </w:p>
    <w:p>
      <w:pPr>
        <w:ind w:firstLine="560"/>
        <w:keepLines/>
        <w:keepNext/>
        <w:spacing w:line="400" w:lineRule="exact"/>
        <w:rPr>
          <w:rFonts w:ascii="方正仿宋_GBK" w:hAnsi="方正仿宋_GBK" w:eastAsia="方正仿宋_GBK" w:cs="方正仿宋_GBK"/>
          <w:bCs/>
          <w:color w:val="000000"/>
          <w:sz w:val="28"/>
          <w:szCs w:val="28"/>
        </w:rPr>
        <w:outlineLvl w:val="3"/>
      </w:pPr>
      <w:r/>
      <w:bookmarkStart w:id="162" w:name="_Toc513029238"/>
      <w:r/>
      <w:bookmarkStart w:id="163" w:name="_Toc20823310"/>
      <w:r/>
      <w:bookmarkStart w:id="164" w:name="_Toc16938554"/>
      <w:r>
        <w:rPr>
          <w:rFonts w:hint="eastAsia" w:ascii="方正仿宋_GBK" w:hAnsi="方正仿宋_GBK" w:eastAsia="方正仿宋_GBK" w:cs="方正仿宋_GBK"/>
          <w:bCs/>
          <w:color w:val="000000"/>
          <w:sz w:val="28"/>
          <w:szCs w:val="28"/>
        </w:rPr>
        <w:t xml:space="preserve">27</w:t>
      </w:r>
      <w:bookmarkEnd w:id="162"/>
      <w:r>
        <w:rPr>
          <w:rFonts w:hint="eastAsia" w:ascii="方正仿宋_GBK" w:hAnsi="方正仿宋_GBK" w:eastAsia="方正仿宋_GBK" w:cs="方正仿宋_GBK"/>
          <w:bCs/>
          <w:color w:val="000000"/>
          <w:sz w:val="28"/>
          <w:szCs w:val="28"/>
        </w:rPr>
        <w:t xml:space="preserve">.确定</w:t>
      </w:r>
      <w:bookmarkEnd w:id="163"/>
      <w:r/>
      <w:bookmarkEnd w:id="164"/>
      <w:r>
        <w:rPr>
          <w:rFonts w:hint="eastAsia" w:ascii="方正仿宋_GBK" w:hAnsi="方正仿宋_GBK" w:eastAsia="方正仿宋_GBK" w:cs="方正仿宋_GBK"/>
          <w:bCs/>
          <w:color w:val="000000"/>
          <w:sz w:val="28"/>
          <w:szCs w:val="28"/>
        </w:rPr>
        <w:t xml:space="preserve">中标单位</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27.1中标候选人的选取原则和数量见招标文件第五章规定。 </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 采购人应根据评标委员会推荐的中标候选人确定中标供应商。</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 xml:space="preserve">采购中心将在“江苏政府采购网”发布中标公告，公告期限为1个工作日。</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若有充分证据证明，中标供应商出现下列情况之一的，一经查实，将被取消中标资格：</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27.4.1提供虚假材料谋取中标的。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27.4.2向采购人、采购中心行贿或者提供其他不正当利益的。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27.4.3属于本文件规定的无效条件，但在评标过程中又未被评标委员会发现的。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27.4.4与采购人或者其他供应商恶意串通的。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27.4.5采取不正当手段诋毁、排挤其他供应商的。</w:t>
      </w:r>
      <w:r/>
    </w:p>
    <w:p>
      <w:pPr>
        <w:ind w:firstLine="560"/>
        <w:spacing w:line="400" w:lineRule="exact"/>
        <w:rPr>
          <w:rFonts w:ascii="方正仿宋_GBK" w:hAnsi="方正仿宋_GBK" w:eastAsia="方正仿宋_GBK" w:cs="方正仿宋_GBK"/>
          <w:color w:val="000000"/>
          <w:sz w:val="28"/>
          <w:szCs w:val="28"/>
        </w:rPr>
      </w:pPr>
      <w:r/>
      <w:bookmarkStart w:id="165" w:name="_Toc200451960"/>
      <w:r>
        <w:rPr>
          <w:rFonts w:hint="eastAsia" w:ascii="方正仿宋_GBK" w:hAnsi="方正仿宋_GBK" w:eastAsia="方正仿宋_GBK" w:cs="方正仿宋_GBK"/>
          <w:color w:val="000000"/>
          <w:sz w:val="28"/>
          <w:szCs w:val="28"/>
        </w:rPr>
        <w:t xml:space="preserve">27.5 有下列情形之一的，视为投标人串通投标，投标无效：</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27.5.1不同投标人的投标文件由同一单位或者个人编制。</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27.5.2不同投标人委托同一单位或者个人办理投标事宜。</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不同投标人的投标文件载明的项目管理成员或者联系人员为同一人。</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27.5.4不同投标人的投标文件异常一致或者投标报价呈规律性差异。</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28.质疑处理</w:t>
      </w:r>
      <w:bookmarkEnd w:id="165"/>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提出质疑的供应商应当是参与所质疑项目采购活动的供应商。潜在供应商依法获取其可质疑的采购文件的，可以对采购文件提出质疑。</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t xml:space="preserve">　　28.2.2对采购过程提出质疑的，为各采购程序环节结束之日；</w:t>
      </w:r>
      <w:r>
        <w:rPr>
          <w:rFonts w:hint="eastAsia" w:ascii="方正仿宋_GBK" w:hAnsi="方正仿宋_GBK" w:eastAsia="方正仿宋_GBK" w:cs="方正仿宋_GBK"/>
          <w:color w:val="000000"/>
          <w:sz w:val="28"/>
          <w:szCs w:val="28"/>
        </w:rPr>
        <w:br w:type="textWrapping" w:clear="all"/>
        <w:t xml:space="preserve">　　28.2.3对中标或者成交结果提出质疑的，为中标或者成交结果公告期限届满之日。</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采购人及采购中心只接收以纸质原件形式送达的质疑,建议供应商尽量通过邮寄方式提交质疑（采购人和采购中心不接受无快递运单号的快递）。</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采购中心质疑接收部门为质疑处理科（快递运单上的收件人填写“质疑处理科”即可），联系地址：南京市汉中门大街145号省政务中心二期3楼南区3029室，联系电话：025-83668531。</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 以下情形的质疑不予受理</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 内容不符合《政府采购质疑和投诉办法》第十二条规定的质疑。</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 超出政府采购法定期限的质疑。</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 以传真、电子邮件等方式递交的非原件形式的质疑。</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 未参加投标活动的供应商或在投标活动中自身权益未受到损害的供应商所提出的质疑。</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28.5.5供应商组成联合体参加投标，联合体中任何一方或多方未按要求签字、盖章、加盖公章的质疑。</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29.中标通知书</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560"/>
        <w:keepNext/>
        <w:spacing w:line="400" w:lineRule="exact"/>
        <w:rPr>
          <w:rFonts w:ascii="方正黑体_GBK" w:hAnsi="方正黑体_GBK" w:eastAsia="方正黑体_GBK" w:cs="方正黑体_GBK"/>
          <w:color w:val="000000"/>
          <w:sz w:val="28"/>
          <w:szCs w:val="28"/>
        </w:rPr>
        <w:outlineLvl w:val="0"/>
      </w:pPr>
      <w:r/>
      <w:bookmarkStart w:id="166" w:name="_Toc120614220"/>
      <w:r/>
      <w:bookmarkStart w:id="167" w:name="_Toc20823308"/>
      <w:r/>
      <w:bookmarkStart w:id="168" w:name="_Toc16938552"/>
      <w:r/>
      <w:bookmarkStart w:id="169" w:name="_Toc513029236"/>
      <w:r>
        <w:rPr>
          <w:rFonts w:hint="eastAsia" w:ascii="方正黑体_GBK" w:hAnsi="方正黑体_GBK" w:eastAsia="方正黑体_GBK" w:cs="方正黑体_GBK"/>
          <w:color w:val="000000"/>
          <w:sz w:val="28"/>
          <w:szCs w:val="28"/>
        </w:rPr>
        <w:t xml:space="preserve">七、授予合同</w:t>
      </w:r>
      <w:bookmarkEnd w:id="166"/>
      <w:r/>
      <w:r/>
    </w:p>
    <w:p>
      <w:pPr>
        <w:ind w:firstLine="560"/>
        <w:spacing w:line="400" w:lineRule="exact"/>
        <w:rPr>
          <w:rFonts w:ascii="方正仿宋_GBK" w:hAnsi="方正仿宋_GBK" w:eastAsia="方正仿宋_GBK" w:cs="方正仿宋_GBK"/>
          <w:color w:val="000000"/>
          <w:sz w:val="28"/>
          <w:szCs w:val="28"/>
        </w:rPr>
      </w:pPr>
      <w:r/>
      <w:bookmarkStart w:id="170" w:name="_Toc513029237"/>
      <w:r/>
      <w:bookmarkStart w:id="171" w:name="_Toc20823309"/>
      <w:r/>
      <w:bookmarkStart w:id="172" w:name="_Toc16938553"/>
      <w:r/>
      <w:bookmarkEnd w:id="167"/>
      <w:r/>
      <w:bookmarkEnd w:id="168"/>
      <w:r/>
      <w:bookmarkEnd w:id="169"/>
      <w:r>
        <w:rPr>
          <w:rFonts w:hint="eastAsia" w:ascii="方正仿宋_GBK" w:hAnsi="方正仿宋_GBK" w:eastAsia="方正仿宋_GBK" w:cs="方正仿宋_GBK"/>
          <w:color w:val="000000"/>
          <w:sz w:val="28"/>
          <w:szCs w:val="28"/>
        </w:rPr>
        <w:t xml:space="preserve">30.签订合同</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30.l中标供应商应当在中标通知书发出之日起三十日内，按照招标文件确定的事项与采购人签订政府采购合同。</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30.2 招标文件、中标供应商的投标文件及招标过程中有关澄清、承诺文件均应作为合同附件。</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31.货物（包含与货物相关的服务）的追加</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560"/>
        <w:spacing w:line="400" w:lineRule="exact"/>
        <w:rPr>
          <w:rFonts w:ascii="方正仿宋_GBK" w:hAnsi="方正仿宋_GBK" w:eastAsia="方正仿宋_GBK" w:cs="方正仿宋_GBK"/>
          <w:color w:val="000000"/>
          <w:sz w:val="28"/>
          <w:szCs w:val="28"/>
        </w:rPr>
      </w:pPr>
      <w:r/>
      <w:bookmarkStart w:id="173" w:name="_Toc513029242"/>
      <w:r/>
      <w:bookmarkStart w:id="174" w:name="_Toc20823314"/>
      <w:r/>
      <w:bookmarkStart w:id="175" w:name="_Toc16938558"/>
      <w:r/>
      <w:bookmarkStart w:id="176" w:name="_Toc120614221"/>
      <w:r/>
      <w:bookmarkStart w:id="177" w:name="_Toc479757207"/>
      <w:r/>
      <w:bookmarkEnd w:id="170"/>
      <w:r/>
      <w:bookmarkEnd w:id="171"/>
      <w:r/>
      <w:bookmarkEnd w:id="172"/>
      <w:r>
        <w:rPr>
          <w:rFonts w:hint="eastAsia" w:ascii="方正仿宋_GBK" w:hAnsi="方正仿宋_GBK" w:eastAsia="方正仿宋_GBK" w:cs="方正仿宋_GBK"/>
          <w:color w:val="000000"/>
          <w:sz w:val="28"/>
          <w:szCs w:val="28"/>
        </w:rPr>
        <w:t xml:space="preserve">32.政府采购履约资金扶持政策</w:t>
      </w:r>
      <w:r/>
    </w:p>
    <w:p>
      <w:pPr>
        <w:ind w:firstLine="560"/>
        <w:spacing w:line="400" w:lineRule="exact"/>
        <w:rPr>
          <w:rFonts w:ascii="黑体" w:eastAsia="黑体"/>
          <w:bCs/>
          <w:color w:val="000000"/>
          <w:sz w:val="44"/>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ind w:firstLine="2640"/>
        <w:rPr>
          <w:rFonts w:ascii="黑体" w:eastAsia="黑体"/>
          <w:bCs/>
          <w:color w:val="000000"/>
          <w:sz w:val="44"/>
          <w:szCs w:val="28"/>
        </w:rPr>
        <w:outlineLvl w:val="0"/>
      </w:pPr>
      <w:r>
        <w:rPr>
          <w:rFonts w:ascii="黑体" w:eastAsia="黑体"/>
          <w:bCs/>
          <w:color w:val="000000"/>
          <w:sz w:val="44"/>
          <w:szCs w:val="28"/>
        </w:rPr>
      </w:r>
      <w:r/>
    </w:p>
    <w:p>
      <w:pPr>
        <w:jc w:val="center"/>
        <w:keepNext/>
        <w:spacing w:line="660" w:lineRule="exact"/>
        <w:rPr>
          <w:rFonts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73"/>
      <w:r/>
      <w:bookmarkEnd w:id="174"/>
      <w:r/>
      <w:bookmarkEnd w:id="175"/>
      <w:r/>
      <w:bookmarkEnd w:id="176"/>
      <w:r/>
      <w:bookmarkEnd w:id="177"/>
      <w:r>
        <w:rPr>
          <w:rFonts w:hint="eastAsia" w:ascii="方正黑体_GBK" w:hAnsi="方正黑体_GBK" w:eastAsia="方正黑体_GBK" w:cs="方正黑体_GBK"/>
          <w:bCs/>
          <w:color w:val="000000"/>
          <w:sz w:val="28"/>
          <w:szCs w:val="28"/>
        </w:rPr>
        <w:t xml:space="preserve">文本</w:t>
      </w:r>
      <w:r/>
    </w:p>
    <w:p>
      <w:pPr>
        <w:pStyle w:val="891"/>
        <w:jc w:val="center"/>
        <w:spacing w:line="660" w:lineRule="exact"/>
        <w:rPr>
          <w:rFonts w:ascii="方正黑体_GBK" w:hAnsi="方正黑体_GBK" w:eastAsia="方正黑体_GBK" w:cs="方正黑体_GBK"/>
          <w:spacing w:val="-20"/>
        </w:rPr>
      </w:pPr>
      <w:r/>
      <w:bookmarkStart w:id="178" w:name="_Hlt16619350"/>
      <w:r/>
      <w:bookmarkStart w:id="179" w:name="_Toc120614244"/>
      <w:r/>
      <w:bookmarkStart w:id="180" w:name="_Toc20823346"/>
      <w:r/>
      <w:bookmarkStart w:id="181" w:name="_Toc16938590"/>
      <w:r/>
      <w:bookmarkStart w:id="182" w:name="_Toc479757211"/>
      <w:r/>
      <w:bookmarkStart w:id="183" w:name="_Toc462564139"/>
      <w:r>
        <w:rPr>
          <w:rFonts w:hint="eastAsia" w:ascii="方正黑体_GBK" w:hAnsi="方正黑体_GBK" w:eastAsia="方正黑体_GBK" w:cs="方正黑体_GBK"/>
          <w:spacing w:val="-20"/>
        </w:rPr>
        <w:t xml:space="preserve">财政部 政府采购货物买卖合同（试行）</w:t>
      </w:r>
      <w:r/>
    </w:p>
    <w:p>
      <w:pPr>
        <w:pStyle w:val="891"/>
        <w:jc w:val="center"/>
        <w:spacing w:line="660" w:lineRule="exact"/>
        <w:rPr>
          <w:rFonts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范    本</w:t>
      </w:r>
      <w:r/>
    </w:p>
    <w:p>
      <w:pPr>
        <w:spacing w:line="660" w:lineRule="exact"/>
        <w:rPr>
          <w:rFonts w:ascii="宋体" w:hAnsi="宋体" w:cs="宋体"/>
          <w:b/>
          <w:bCs/>
          <w:spacing w:val="-20"/>
          <w:sz w:val="28"/>
          <w:szCs w:val="28"/>
        </w:rPr>
      </w:pPr>
      <w:r>
        <w:rPr>
          <w:rFonts w:ascii="宋体" w:hAnsi="宋体" w:cs="宋体"/>
          <w:b/>
          <w:bCs/>
          <w:spacing w:val="-20"/>
          <w:sz w:val="28"/>
          <w:szCs w:val="28"/>
        </w:rPr>
      </w:r>
      <w:r/>
    </w:p>
    <w:p>
      <w:pPr>
        <w:ind w:left="420"/>
        <w:spacing w:line="66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p>
    <w:p>
      <w:pPr>
        <w:ind w:left="420"/>
        <w:spacing w:line="660" w:lineRule="exact"/>
        <w:rPr>
          <w:rFonts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p>
    <w:p>
      <w:pPr>
        <w:ind w:left="420"/>
        <w:spacing w:line="66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p>
    <w:p>
      <w:pPr>
        <w:ind w:left="420"/>
        <w:spacing w:line="660" w:lineRule="exact"/>
        <w:rPr>
          <w:rFonts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p>
    <w:p>
      <w:pPr>
        <w:ind w:left="420"/>
        <w:spacing w:line="66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p>
    <w:p>
      <w:pPr>
        <w:rPr>
          <w:rFonts w:eastAsia="黑体"/>
          <w:sz w:val="28"/>
          <w:szCs w:val="28"/>
        </w:rPr>
      </w:pPr>
      <w:r>
        <w:rPr>
          <w:rFonts w:eastAsia="黑体"/>
          <w:sz w:val="28"/>
          <w:szCs w:val="28"/>
        </w:rPr>
      </w:r>
      <w:r/>
    </w:p>
    <w:p>
      <w:pPr>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p>
    <w:p>
      <w:pPr>
        <w:ind w:firstLine="560"/>
        <w:spacing w:line="40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p>
    <w:p>
      <w:pPr>
        <w:ind w:firstLine="560"/>
        <w:spacing w:line="400" w:lineRule="exact"/>
        <w:rPr>
          <w:rFonts w:eastAsia="黑体"/>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p>
    <w:p>
      <w:pPr>
        <w:pStyle w:val="873"/>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pStyle w:val="892"/>
        <w:ind w:left="0" w:firstLine="560"/>
        <w:spacing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ind w:firstLine="560"/>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1.项目信息</w:t>
      </w:r>
      <w:r/>
    </w:p>
    <w:p>
      <w:pPr>
        <w:pStyle w:val="892"/>
        <w:numPr>
          <w:ilvl w:val="0"/>
          <w:numId w:val="7"/>
        </w:numPr>
        <w:ind w:left="0" w:firstLine="560"/>
        <w:spacing w:after="0"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p>
    <w:p>
      <w:pPr>
        <w:pStyle w:val="892"/>
        <w:ind w:left="0" w:firstLine="560"/>
        <w:spacing w:after="0" w:line="400" w:lineRule="exact"/>
        <w:tabs>
          <w:tab w:val="left" w:pos="999"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采购项目编号：</w:t>
      </w:r>
      <w:r>
        <w:rPr>
          <w:rFonts w:hint="eastAsia" w:ascii="方正仿宋_GBK" w:hAnsi="方正仿宋_GBK" w:eastAsia="方正仿宋_GBK" w:cs="方正仿宋_GBK"/>
          <w:sz w:val="28"/>
          <w:szCs w:val="28"/>
          <w:u w:val="single"/>
        </w:rPr>
        <w:t xml:space="preserve">                                          </w:t>
      </w:r>
      <w:r/>
    </w:p>
    <w:p>
      <w:pPr>
        <w:pStyle w:val="892"/>
        <w:ind w:left="0" w:firstLine="560"/>
        <w:spacing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p>
    <w:p>
      <w:pPr>
        <w:pStyle w:val="1139"/>
        <w:ind w:firstLine="560"/>
        <w:jc w:val="both"/>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rPr>
          <w:rFonts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p>
    <w:p>
      <w:pPr>
        <w:ind w:firstLine="560"/>
        <w:spacing w:line="400" w:lineRule="exact"/>
        <w:rPr>
          <w:rFonts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p>
    <w:p>
      <w:pPr>
        <w:ind w:firstLine="560"/>
        <w:spacing w:line="400" w:lineRule="exact"/>
        <w:rPr>
          <w:rFonts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pStyle w:val="1139"/>
        <w:ind w:firstLine="560"/>
        <w:jc w:val="both"/>
        <w:tabs>
          <w:tab w:val="left" w:pos="1340" w:leader="none"/>
        </w:tabs>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tabs>
          <w:tab w:val="left" w:pos="74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p>
    <w:p>
      <w:pPr>
        <w:ind w:firstLine="560"/>
        <w:spacing w:line="400" w:lineRule="exact"/>
        <w:tabs>
          <w:tab w:val="left" w:pos="740" w:leader="none"/>
        </w:tabs>
        <w:rPr>
          <w:rFonts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spacing w:line="400" w:lineRule="exact"/>
        <w:tabs>
          <w:tab w:val="left" w:pos="74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tabs>
          <w:tab w:val="left" w:pos="74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p>
    <w:p>
      <w:pPr>
        <w:ind w:firstLine="560"/>
        <w:spacing w:line="400" w:lineRule="exact"/>
        <w:tabs>
          <w:tab w:val="left" w:pos="74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spacing w:line="400" w:lineRule="exact"/>
        <w:tabs>
          <w:tab w:val="left" w:pos="74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是否涉及绿色产品： </w:t>
      </w:r>
      <w:r/>
    </w:p>
    <w:p>
      <w:pPr>
        <w:pStyle w:val="1139"/>
        <w:ind w:firstLine="560"/>
        <w:jc w:val="both"/>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p>
    <w:p>
      <w:pPr>
        <w:pStyle w:val="1139"/>
        <w:ind w:firstLine="560"/>
        <w:jc w:val="both"/>
        <w:rPr>
          <w:rFonts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pStyle w:val="1139"/>
        <w:ind w:firstLine="840"/>
        <w:jc w:val="both"/>
        <w:rPr>
          <w:rFonts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p>
    <w:p>
      <w:pPr>
        <w:ind w:firstLine="560"/>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2.合同金额</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p>
    <w:p>
      <w:pPr>
        <w:ind w:left="42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p>
    <w:p>
      <w:pPr>
        <w:ind w:firstLine="560"/>
        <w:spacing w:line="400" w:lineRule="exact"/>
        <w:rPr>
          <w:sz w:val="28"/>
          <w:szCs w:val="28"/>
        </w:rPr>
      </w:pPr>
      <w:r>
        <w:rPr>
          <w:rFonts w:hint="eastAsia" w:ascii="方正仿宋_GBK" w:hAnsi="方正仿宋_GBK" w:eastAsia="方正仿宋_GBK" w:cs="方正仿宋_GBK"/>
          <w:sz w:val="28"/>
          <w:szCs w:val="28"/>
        </w:rPr>
        <w:t xml:space="preserve">（2）</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（3）付款方式（按项目实际勾选填写）：</w:t>
      </w:r>
      <w:r/>
    </w:p>
    <w:p>
      <w:pPr>
        <w:ind w:firstLine="560"/>
        <w:spacing w:line="400" w:lineRule="exact"/>
        <w:rPr>
          <w:rFonts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（应明确一次性支付合同款项的条件）                    </w:t>
      </w:r>
      <w:r/>
    </w:p>
    <w:p>
      <w:pPr>
        <w:ind w:firstLine="480"/>
        <w:rPr>
          <w:rFonts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分期付款：</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（1）合同签订后15个工作日内，甲方应甲方以银行转账方式向乙方支付合同设备金额的30%作为预付款。</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（2）项目安装调试完成通过验收合格，并收到发票后10个工作日内付清所有合同款。</w:t>
      </w:r>
      <w:r/>
    </w:p>
    <w:p>
      <w:pPr>
        <w:ind w:firstLine="480"/>
        <w:rPr>
          <w:rFonts w:ascii="宋体" w:hAnsi="宋体" w:cs="宋体"/>
          <w:sz w:val="24"/>
        </w:rPr>
      </w:pPr>
      <w:r>
        <w:rPr>
          <w:rFonts w:hint="eastAsia" w:ascii="宋体" w:hAnsi="宋体" w:cs="宋体"/>
          <w:sz w:val="24"/>
        </w:rPr>
        <w:t xml:space="preserve">以上均不计息。</w:t>
      </w:r>
      <w:r/>
    </w:p>
    <w:p>
      <w:pPr>
        <w:ind w:firstLine="560"/>
        <w:spacing w:line="400" w:lineRule="exact"/>
        <w:rPr>
          <w:rFonts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p>
    <w:p>
      <w:pPr>
        <w:ind w:firstLine="560"/>
        <w:spacing w:line="400" w:lineRule="exact"/>
        <w:rPr>
          <w:rFonts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p>
    <w:p>
      <w:pPr>
        <w:ind w:firstLine="560"/>
        <w:spacing w:line="400" w:lineRule="exact"/>
        <w:rPr>
          <w:rFonts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rPr>
        <w:t xml:space="preserve">3.合同履行</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p>
    <w:p>
      <w:pPr>
        <w:ind w:firstLine="560"/>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4.合同验收</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 否</w:t>
      </w:r>
      <w:r/>
    </w:p>
    <w:p>
      <w:pPr>
        <w:ind w:firstLine="560"/>
        <w:spacing w:line="400" w:lineRule="exact"/>
        <w:rPr>
          <w:rFonts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p>
    <w:p>
      <w:pPr>
        <w:ind w:firstLine="560"/>
        <w:spacing w:line="400" w:lineRule="exact"/>
        <w:rPr>
          <w:rFonts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p>
    <w:p>
      <w:pPr>
        <w:ind w:firstLine="560"/>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5.组成合同的文件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p>
    <w:p>
      <w:pPr>
        <w:ind w:firstLine="560"/>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6.合同生效</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p>
    <w:p>
      <w:pPr>
        <w:ind w:firstLine="560"/>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7.合同份数</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p>
    <w:p>
      <w:pPr>
        <w:pStyle w:val="1108"/>
        <w:jc w:val="both"/>
        <w:spacing w:line="400" w:lineRule="exact"/>
        <w:rPr>
          <w:sz w:val="28"/>
          <w:szCs w:val="28"/>
          <w:lang w:eastAsia="zh-CN"/>
        </w:rPr>
      </w:pPr>
      <w:r>
        <w:rPr>
          <w:sz w:val="28"/>
          <w:szCs w:val="28"/>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125"/>
        <w:gridCol w:w="3858"/>
        <w:gridCol w:w="944"/>
        <w:gridCol w:w="3001"/>
      </w:tblGrid>
      <w:tr>
        <w:trPr>
          <w:trHeight w:val="490"/>
        </w:trPr>
        <w:tc>
          <w:tcPr>
            <w:gridSpan w:val="2"/>
            <w:tcW w:w="4983"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p>
        </w:tc>
        <w:tc>
          <w:tcPr>
            <w:gridSpan w:val="2"/>
            <w:tcW w:w="394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p>
        </w:tc>
      </w:tr>
      <w:tr>
        <w:trPr>
          <w:trHeight w:val="917"/>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1171"/>
        </w:trPr>
        <w:tc>
          <w:tcPr>
            <w:tcW w:w="1125" w:type="dxa"/>
            <w:vAlign w:val="center"/>
            <w:vMerge w:val="restart"/>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ind w:firstLine="134"/>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W w:w="1666" w:type="dxa"/>
            <w:vAlign w:val="center"/>
            <w:vMerge w:val="restart"/>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W w:w="1264"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483"/>
        </w:trPr>
        <w:tc>
          <w:tcPr>
            <w:tcW w:w="1125" w:type="dxa"/>
            <w:vAlign w:val="center"/>
            <w:vMerge w:val="continue"/>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6" w:type="dxa"/>
            <w:vAlign w:val="center"/>
            <w:vMerge w:val="continue"/>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p>
        </w:tc>
        <w:tc>
          <w:tcPr>
            <w:tcW w:w="1264" w:type="dxa"/>
            <w:vAlign w:val="center"/>
            <w:textDirection w:val="lrTb"/>
            <w:noWrap w:val="false"/>
          </w:tcPr>
          <w:p>
            <w:pPr>
              <w:spacing w:line="400" w:lineRule="exact"/>
              <w:rPr>
                <w:rFonts w:ascii="方正仿宋_GBK" w:hAnsi="方正仿宋_GBK" w:eastAsia="方正仿宋_GBK" w:cs="方正仿宋_GBK"/>
                <w:spacing w:val="20"/>
                <w:sz w:val="28"/>
                <w:szCs w:val="28"/>
              </w:rPr>
            </w:pPr>
            <w:r>
              <w:rPr>
                <w:rFonts w:ascii="方正仿宋_GBK" w:hAnsi="方正仿宋_GBK" w:eastAsia="方正仿宋_GBK" w:cs="方正仿宋_GBK"/>
                <w:spacing w:val="20"/>
                <w:sz w:val="28"/>
                <w:szCs w:val="28"/>
              </w:rPr>
            </w:r>
            <w:r/>
          </w:p>
        </w:tc>
      </w:tr>
      <w:tr>
        <w:trPr>
          <w:trHeight w:val="586"/>
        </w:trPr>
        <w:tc>
          <w:tcPr>
            <w:gridSpan w:val="4"/>
            <w:tcW w:w="8928" w:type="dxa"/>
            <w:vAlign w:val="center"/>
            <w:textDirection w:val="lrTb"/>
            <w:noWrap w:val="false"/>
          </w:tcPr>
          <w:p>
            <w:pPr>
              <w:pStyle w:val="892"/>
              <w:ind w:left="0"/>
              <w:spacing w:before="156" w:after="0" w:line="400" w:lineRule="exact"/>
              <w:rPr>
                <w:rFonts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p>
        </w:tc>
      </w:tr>
    </w:tbl>
    <w:p>
      <w:pPr>
        <w:pStyle w:val="873"/>
        <w:spacing w:line="400" w:lineRule="exact"/>
        <w:rPr>
          <w:rFonts w:ascii="黑体" w:hAnsi="黑体" w:eastAsia="黑体"/>
          <w:sz w:val="28"/>
          <w:szCs w:val="28"/>
        </w:rPr>
      </w:pPr>
      <w:r>
        <w:rPr>
          <w:rFonts w:ascii="宋体" w:hAnsi="宋体"/>
          <w:sz w:val="28"/>
          <w:szCs w:val="28"/>
          <w:u w:val="single"/>
        </w:rPr>
        <w:br w:type="page" w:clear="all"/>
      </w:r>
      <w:r>
        <w:rPr>
          <w:rFonts w:hint="eastAsia" w:ascii="黑体" w:hAnsi="黑体" w:eastAsia="黑体"/>
          <w:b w:val="0"/>
          <w:bCs w:val="0"/>
          <w:sz w:val="28"/>
          <w:szCs w:val="28"/>
        </w:rPr>
        <w:t xml:space="preserve">第二节 政府采购合同通用条款</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（1）采购人（以下简称甲方）是指使用财政性资金，通过政府采购方式向供应商购买货物及其相关服务的国家机关、事业单位、团体组织。</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（2）供应商（以下简称乙方）是指参加政府采购活动并且中标（成交），向采购人提供合同约定的货物及其相关服务的法人、非法人组织或者自然人。</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合同标的及金额</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6.合同履行</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违约责任</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p>
    <w:p>
      <w:pPr>
        <w:pStyle w:val="1139"/>
        <w:numPr>
          <w:ilvl w:val="0"/>
          <w:numId w:val="8"/>
        </w:numPr>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 经营状况严重恶化；2. 转移财产、抽逃资金，以逃避债务；3. 丧失商业信誉；4. 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pStyle w:val="1139"/>
        <w:numPr>
          <w:ilvl w:val="0"/>
          <w:numId w:val="9"/>
        </w:numPr>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乙方不得将合同转包或分包给其他供应商。</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本合同一方给另一方的通知均应采用书面形式，传真或快递送到本合同中规定的对方的地址和办理签收手续。</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 合同未尽事项</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p>
    <w:p>
      <w:pPr>
        <w:pStyle w:val="1139"/>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p>
    <w:p>
      <w:pPr>
        <w:pStyle w:val="873"/>
        <w:spacing w:line="400" w:lineRule="exact"/>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b w:val="0"/>
          <w:bCs w:val="0"/>
          <w:sz w:val="28"/>
          <w:szCs w:val="28"/>
        </w:rPr>
        <w:t xml:space="preserve">第三节 政府采购合同专用条款</w:t>
      </w:r>
      <w:r/>
    </w:p>
    <w:tbl>
      <w:tblPr>
        <w:tblW w:w="8519"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p>
        </w:tc>
        <w:tc>
          <w:tcPr>
            <w:tcW w:w="3065" w:type="dxa"/>
            <w:vAlign w:val="center"/>
            <w:textDirection w:val="lrTb"/>
            <w:noWrap w:val="false"/>
          </w:tcPr>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1139"/>
              <w:ind w:firstLine="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u w:val="single"/>
              </w:rPr>
            </w:pPr>
            <w:r>
              <w:rPr>
                <w:rFonts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u w:val="single"/>
              </w:rPr>
            </w:pPr>
            <w:r>
              <w:rPr>
                <w:rFonts w:ascii="方正仿宋_GBK" w:hAnsi="方正仿宋_GBK" w:eastAsia="方正仿宋_GBK" w:cs="方正仿宋_GBK"/>
                <w:sz w:val="28"/>
                <w:szCs w:val="28"/>
                <w:u w:val="single"/>
              </w:rPr>
            </w:r>
            <w:r/>
          </w:p>
        </w:tc>
      </w:tr>
      <w:tr>
        <w:trPr>
          <w:trHeight w:val="876"/>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u w:val="single"/>
              </w:rPr>
            </w:pPr>
            <w:r>
              <w:rPr>
                <w:rFonts w:ascii="方正仿宋_GBK" w:hAnsi="方正仿宋_GBK" w:eastAsia="方正仿宋_GBK" w:cs="方正仿宋_GBK"/>
                <w:sz w:val="28"/>
                <w:szCs w:val="28"/>
                <w:u w:val="single"/>
              </w:rPr>
            </w:r>
            <w:r/>
          </w:p>
        </w:tc>
      </w:tr>
      <w:tr>
        <w:trPr>
          <w:trHeight w:val="90"/>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p>
        </w:tc>
        <w:tc>
          <w:tcPr>
            <w:tcW w:w="3065" w:type="dxa"/>
            <w:vAlign w:val="center"/>
            <w:textDirection w:val="lrTb"/>
            <w:noWrap w:val="false"/>
          </w:tcPr>
          <w:p>
            <w:pPr>
              <w:spacing w:line="400" w:lineRule="exact"/>
              <w:rPr>
                <w:rFonts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p>
          <w:p>
            <w:pPr>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p>
        </w:tc>
      </w:tr>
      <w:tr>
        <w:trPr>
          <w:trHeight w:val="770"/>
        </w:trPr>
        <w:tc>
          <w:tcPr>
            <w:tcW w:w="233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pStyle w:val="891"/>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widowControl/>
        <w:rPr>
          <w:rFonts w:ascii="黑体" w:hAnsi="黑体" w:eastAsia="黑体"/>
          <w:b/>
          <w:bCs/>
          <w:sz w:val="28"/>
          <w:szCs w:val="28"/>
        </w:rPr>
      </w:pPr>
      <w:r>
        <w:rPr>
          <w:rFonts w:ascii="黑体" w:hAnsi="Courier New" w:eastAsia="黑体" w:cs="Courier New"/>
          <w:bCs/>
          <w:color w:val="000000"/>
          <w:sz w:val="44"/>
          <w:szCs w:val="21"/>
        </w:rPr>
        <w:br w:type="page" w:clear="all"/>
      </w:r>
      <w:r>
        <w:rPr>
          <w:rFonts w:hint="eastAsia" w:ascii="黑体" w:hAnsi="黑体" w:eastAsia="黑体"/>
          <w:sz w:val="28"/>
          <w:szCs w:val="28"/>
        </w:rPr>
        <w:t xml:space="preserve">第</w:t>
      </w:r>
      <w:bookmarkEnd w:id="178"/>
      <w:r>
        <w:rPr>
          <w:rFonts w:hint="eastAsia" w:ascii="黑体" w:hAnsi="黑体" w:eastAsia="黑体"/>
          <w:sz w:val="28"/>
          <w:szCs w:val="28"/>
        </w:rPr>
        <w:t xml:space="preserve">四章 采购需求</w:t>
      </w:r>
      <w:bookmarkEnd w:id="179"/>
      <w:r/>
      <w:bookmarkEnd w:id="180"/>
      <w:r/>
      <w:bookmarkEnd w:id="181"/>
      <w:r/>
      <w:r/>
    </w:p>
    <w:p>
      <w:pPr>
        <w:pStyle w:val="873"/>
        <w:jc w:val="both"/>
        <w:spacing w:line="400" w:lineRule="exact"/>
        <w:rPr>
          <w:rFonts w:ascii="黑体" w:hAnsi="黑体" w:eastAsia="黑体"/>
          <w:b w:val="0"/>
          <w:bCs w:val="0"/>
          <w:sz w:val="28"/>
          <w:szCs w:val="28"/>
        </w:rPr>
      </w:pPr>
      <w:r/>
      <w:bookmarkStart w:id="184" w:name="_Toc26554093"/>
      <w:r/>
      <w:bookmarkStart w:id="185" w:name="_Toc49090575"/>
      <w:r>
        <w:rPr>
          <w:rFonts w:hint="eastAsia" w:ascii="黑体" w:hAnsi="黑体" w:eastAsia="黑体"/>
          <w:b w:val="0"/>
          <w:bCs w:val="0"/>
          <w:sz w:val="28"/>
          <w:szCs w:val="28"/>
        </w:rPr>
        <w:t xml:space="preserve">一、项目基本情况</w:t>
      </w:r>
      <w:r/>
    </w:p>
    <w:p>
      <w:pPr>
        <w:pStyle w:val="884"/>
        <w:rPr>
          <w:sz w:val="28"/>
          <w:szCs w:val="28"/>
        </w:rPr>
      </w:pPr>
      <w:r>
        <w:rPr>
          <w:rFonts w:hint="eastAsia"/>
          <w:sz w:val="28"/>
          <w:szCs w:val="28"/>
        </w:rPr>
        <w:t xml:space="preserve">1</w:t>
      </w:r>
      <w:r>
        <w:rPr>
          <w:rFonts w:hint="eastAsia"/>
          <w:sz w:val="28"/>
          <w:szCs w:val="28"/>
        </w:rPr>
        <w:t xml:space="preserve">、采购标的清单</w:t>
      </w:r>
      <w:r/>
    </w:p>
    <w:tbl>
      <w:tblPr>
        <w:tblW w:w="81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7"/>
        <w:gridCol w:w="993"/>
        <w:gridCol w:w="3260"/>
        <w:gridCol w:w="2693"/>
      </w:tblGrid>
      <w:tr>
        <w:trPr>
          <w:jc w:val="center"/>
          <w:trHeight w:val="545"/>
        </w:trPr>
        <w:tc>
          <w:tcPr>
            <w:tcW w:w="1157" w:type="dxa"/>
            <w:vAlign w:val="center"/>
            <w:textDirection w:val="lrTb"/>
            <w:noWrap/>
          </w:tcPr>
          <w:p>
            <w:pPr>
              <w:jc w:val="center"/>
              <w:rPr>
                <w:rFonts w:ascii="宋体" w:hAnsi="宋体"/>
                <w:sz w:val="24"/>
                <w:szCs w:val="24"/>
              </w:rPr>
            </w:pPr>
            <w:r>
              <w:rPr>
                <w:rFonts w:hint="eastAsia" w:ascii="宋体" w:hAnsi="宋体"/>
                <w:sz w:val="24"/>
                <w:szCs w:val="24"/>
              </w:rPr>
              <w:t xml:space="preserve">采购包</w:t>
            </w:r>
            <w:r/>
          </w:p>
        </w:tc>
        <w:tc>
          <w:tcPr>
            <w:tcW w:w="993" w:type="dxa"/>
            <w:vAlign w:val="center"/>
            <w:textDirection w:val="lrTb"/>
            <w:noWrap/>
          </w:tcPr>
          <w:p>
            <w:pPr>
              <w:jc w:val="center"/>
              <w:rPr>
                <w:rFonts w:ascii="宋体" w:hAnsi="宋体"/>
                <w:sz w:val="24"/>
                <w:szCs w:val="24"/>
              </w:rPr>
            </w:pPr>
            <w:r>
              <w:rPr>
                <w:rFonts w:hint="eastAsia" w:ascii="宋体" w:hAnsi="宋体"/>
                <w:sz w:val="24"/>
                <w:szCs w:val="24"/>
              </w:rPr>
              <w:t xml:space="preserve">序号</w:t>
            </w:r>
            <w:r/>
          </w:p>
        </w:tc>
        <w:tc>
          <w:tcPr>
            <w:tcW w:w="3260" w:type="dxa"/>
            <w:vAlign w:val="center"/>
            <w:textDirection w:val="lrTb"/>
            <w:noWrap/>
          </w:tcPr>
          <w:p>
            <w:pPr>
              <w:jc w:val="center"/>
              <w:rPr>
                <w:rFonts w:ascii="宋体" w:hAnsi="宋体"/>
                <w:sz w:val="24"/>
                <w:szCs w:val="24"/>
              </w:rPr>
            </w:pPr>
            <w:r>
              <w:rPr>
                <w:rFonts w:hint="eastAsia" w:ascii="宋体" w:hAnsi="宋体"/>
                <w:sz w:val="24"/>
                <w:szCs w:val="24"/>
              </w:rPr>
              <w:t xml:space="preserve">采购标的</w:t>
            </w:r>
            <w:r/>
          </w:p>
        </w:tc>
        <w:tc>
          <w:tcPr>
            <w:tcW w:w="2693" w:type="dxa"/>
            <w:vAlign w:val="center"/>
            <w:textDirection w:val="lrTb"/>
            <w:noWrap/>
          </w:tcPr>
          <w:p>
            <w:pPr>
              <w:jc w:val="center"/>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w:t>
            </w:r>
            <w:r/>
          </w:p>
          <w:p>
            <w:pPr>
              <w:jc w:val="center"/>
              <w:rPr>
                <w:rFonts w:ascii="宋体" w:hAnsi="宋体" w:cs="宋体"/>
                <w:b/>
                <w:bCs/>
                <w:sz w:val="24"/>
                <w:szCs w:val="24"/>
              </w:rPr>
            </w:pPr>
            <w:r>
              <w:rPr>
                <w:rFonts w:ascii="宋体" w:hAnsi="宋体"/>
                <w:sz w:val="24"/>
                <w:szCs w:val="24"/>
              </w:rPr>
              <w:t xml:space="preserve">标准所属行业</w:t>
            </w:r>
            <w:r/>
          </w:p>
        </w:tc>
      </w:tr>
      <w:tr>
        <w:trPr>
          <w:jc w:val="center"/>
          <w:trHeight w:val="454"/>
        </w:trPr>
        <w:tc>
          <w:tcPr>
            <w:tcW w:w="1157" w:type="dxa"/>
            <w:vAlign w:val="center"/>
            <w:vMerge w:val="restart"/>
            <w:textDirection w:val="lrTb"/>
            <w:noWrap/>
          </w:tcPr>
          <w:p>
            <w:pPr>
              <w:ind w:firstLine="240"/>
              <w:rPr>
                <w:rFonts w:ascii="宋体" w:hAnsi="宋体" w:cs="宋体"/>
                <w:sz w:val="24"/>
                <w:szCs w:val="24"/>
              </w:rPr>
            </w:pPr>
            <w:r>
              <w:rPr>
                <w:rFonts w:hint="eastAsia" w:ascii="宋体" w:hAnsi="宋体" w:cs="宋体"/>
                <w:sz w:val="24"/>
                <w:szCs w:val="24"/>
              </w:rPr>
              <w:t xml:space="preserve">1</w:t>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一体化升降黑板A</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一体化升降黑板B</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画框幕</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电动幕</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液晶激光投影机</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多格式信号转换器</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无线协作分享系统</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音频处理器</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阵列麦克风</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颈挂式无线话筒</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无线手持麦克风</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双路充电座</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有线鹅颈话筒</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教学音箱</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数字媒体主机</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触摸控制屏</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智能电源管理器</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灯光墙面控制面板</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录播主机</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教师摄像机A</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教师摄像机B</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学生摄像机</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流媒体存储</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教师机主机（工作站）</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教学驾驶舱（讲台）</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触控书写显示屏</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网络时钟</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电子门牌</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交换机</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无线AP</w:t>
            </w:r>
            <w:r/>
          </w:p>
        </w:tc>
        <w:tc>
          <w:tcPr>
            <w:tcW w:w="2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吸顶空调</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智能门锁</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固定式课桌椅A</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固定式课桌椅B</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r>
        <w:trPr>
          <w:jc w:val="center"/>
          <w:trHeight w:val="454"/>
        </w:trPr>
        <w:tc>
          <w:tcPr>
            <w:tcW w:w="1157" w:type="dxa"/>
            <w:vAlign w:val="center"/>
            <w:vMerge w:val="continue"/>
            <w:textDirection w:val="lrTb"/>
            <w:noWrap/>
          </w:tcPr>
          <w:p>
            <w:pPr>
              <w:rPr>
                <w:rFonts w:ascii="宋体" w:hAnsi="宋体" w:cs="宋体"/>
                <w:sz w:val="24"/>
                <w:szCs w:val="24"/>
              </w:rPr>
            </w:pPr>
            <w:r>
              <w:rPr>
                <w:rFonts w:ascii="宋体" w:hAnsi="宋体" w:cs="宋体"/>
                <w:sz w:val="24"/>
                <w:szCs w:val="24"/>
              </w:rPr>
            </w:r>
            <w:r/>
          </w:p>
        </w:tc>
        <w:tc>
          <w:tcPr>
            <w:tcW w:w="993" w:type="dxa"/>
            <w:vAlign w:val="center"/>
            <w:textDirection w:val="lrTb"/>
            <w:noWrap/>
          </w:tcPr>
          <w:p>
            <w:pPr>
              <w:numPr>
                <w:ilvl w:val="0"/>
                <w:numId w:val="10"/>
              </w:numPr>
              <w:jc w:val="center"/>
              <w:rPr>
                <w:rFonts w:ascii="宋体" w:hAnsi="宋体" w:cs="宋体"/>
                <w:sz w:val="24"/>
                <w:szCs w:val="24"/>
              </w:rPr>
            </w:pPr>
            <w:r>
              <w:rPr>
                <w:rFonts w:ascii="宋体" w:hAnsi="宋体" w:cs="宋体"/>
                <w:sz w:val="24"/>
                <w:szCs w:val="24"/>
              </w:rPr>
            </w:r>
            <w:r/>
          </w:p>
        </w:tc>
        <w:tc>
          <w:tcPr>
            <w:tcW w:w="326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移动教师椅</w:t>
            </w:r>
            <w:r/>
          </w:p>
        </w:tc>
        <w:tc>
          <w:tcPr>
            <w:tcW w:w="269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工业</w:t>
            </w:r>
            <w:r/>
          </w:p>
        </w:tc>
      </w:tr>
    </w:tbl>
    <w:p>
      <w:pPr>
        <w:ind w:firstLine="480"/>
        <w:spacing w:line="0" w:lineRule="atLeast"/>
        <w:rPr>
          <w:rFonts w:ascii="宋体" w:hAnsi="宋体"/>
          <w:b/>
          <w:color w:val="000000"/>
          <w:sz w:val="24"/>
          <w:szCs w:val="24"/>
        </w:rPr>
      </w:pPr>
      <w:r>
        <w:rPr>
          <w:rFonts w:ascii="宋体" w:hAnsi="宋体"/>
          <w:b/>
          <w:color w:val="000000"/>
          <w:sz w:val="24"/>
          <w:szCs w:val="24"/>
        </w:rPr>
      </w:r>
      <w:r/>
    </w:p>
    <w:p>
      <w:pPr>
        <w:ind w:firstLine="241"/>
        <w:spacing w:line="0" w:lineRule="atLeast"/>
        <w:rPr>
          <w:rFonts w:ascii="宋体" w:hAnsi="宋体"/>
          <w:b/>
          <w:color w:val="000000"/>
          <w:sz w:val="24"/>
          <w:szCs w:val="24"/>
        </w:rPr>
      </w:pPr>
      <w:r>
        <w:rPr>
          <w:rFonts w:hint="eastAsia" w:ascii="宋体" w:hAnsi="宋体"/>
          <w:b/>
          <w:color w:val="000000"/>
          <w:sz w:val="24"/>
          <w:szCs w:val="24"/>
        </w:rPr>
        <w:t xml:space="preserve">2、核心产品</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6"/>
        <w:gridCol w:w="3052"/>
      </w:tblGrid>
      <w:tr>
        <w:trPr/>
        <w:tc>
          <w:tcPr>
            <w:tcW w:w="896" w:type="dxa"/>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ascii="宋体" w:hAnsi="宋体"/>
                <w:szCs w:val="21"/>
              </w:rPr>
            </w:pPr>
            <w:r>
              <w:rPr>
                <w:rFonts w:hint="eastAsia" w:ascii="宋体" w:hAnsi="宋体"/>
                <w:szCs w:val="21"/>
              </w:rPr>
              <w:t xml:space="preserve">包号</w:t>
            </w:r>
            <w:r/>
          </w:p>
        </w:tc>
        <w:tc>
          <w:tcPr>
            <w:tcW w:w="3052" w:type="dxa"/>
            <w:vAlign w:val="center"/>
            <w:textDirection w:val="lrTb"/>
            <w:noWrap w:val="false"/>
          </w:tcPr>
          <w:p>
            <w:pPr>
              <w:jc w:val="center"/>
              <w:rPr>
                <w:rFonts w:ascii="宋体" w:hAnsi="宋体"/>
                <w:szCs w:val="21"/>
              </w:rPr>
            </w:pPr>
            <w:r>
              <w:rPr>
                <w:rFonts w:hint="eastAsia" w:ascii="宋体" w:hAnsi="宋体"/>
                <w:szCs w:val="21"/>
              </w:rPr>
              <w:t xml:space="preserve">核心产品</w:t>
            </w:r>
            <w:r/>
          </w:p>
        </w:tc>
      </w:tr>
      <w:tr>
        <w:trPr>
          <w:trHeight w:val="456"/>
        </w:trPr>
        <w:tc>
          <w:tcPr>
            <w:tcW w:w="896"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3052" w:type="dxa"/>
            <w:vAlign w:val="center"/>
            <w:textDirection w:val="lrTb"/>
            <w:noWrap w:val="false"/>
          </w:tcPr>
          <w:p>
            <w:pPr>
              <w:jc w:val="center"/>
              <w:rPr>
                <w:rFonts w:ascii="宋体" w:hAnsi="宋体"/>
                <w:szCs w:val="21"/>
              </w:rPr>
            </w:pPr>
            <w:r>
              <w:rPr>
                <w:rFonts w:hint="eastAsia" w:ascii="宋体" w:hAnsi="宋体" w:cs="宋体"/>
                <w:szCs w:val="21"/>
              </w:rPr>
              <w:t xml:space="preserve">录播主机</w:t>
            </w:r>
            <w:r/>
          </w:p>
        </w:tc>
      </w:tr>
    </w:tbl>
    <w:p>
      <w:pPr>
        <w:spacing w:line="0" w:lineRule="atLeast"/>
        <w:rPr>
          <w:rFonts w:ascii="宋体" w:hAnsi="宋体"/>
          <w:b/>
          <w:color w:val="000000"/>
          <w:sz w:val="24"/>
          <w:szCs w:val="24"/>
        </w:rPr>
      </w:pPr>
      <w:r>
        <w:rPr>
          <w:rFonts w:ascii="宋体" w:hAnsi="宋体"/>
          <w:b/>
          <w:color w:val="000000"/>
          <w:sz w:val="24"/>
          <w:szCs w:val="24"/>
        </w:rPr>
      </w:r>
      <w:r/>
    </w:p>
    <w:p>
      <w:pPr>
        <w:ind w:firstLine="241"/>
        <w:spacing w:line="0" w:lineRule="atLeast"/>
        <w:rPr>
          <w:rFonts w:ascii="宋体" w:hAnsi="宋体"/>
          <w:b/>
          <w:color w:val="000000"/>
          <w:sz w:val="24"/>
          <w:szCs w:val="24"/>
        </w:rPr>
      </w:pPr>
      <w:r>
        <w:rPr>
          <w:rFonts w:hint="eastAsia" w:ascii="宋体" w:hAnsi="宋体"/>
          <w:b/>
          <w:color w:val="000000"/>
          <w:sz w:val="24"/>
          <w:szCs w:val="24"/>
        </w:rPr>
        <w:t xml:space="preserve">3、进口产品投标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6"/>
        <w:gridCol w:w="3052"/>
      </w:tblGrid>
      <w:tr>
        <w:trPr/>
        <w:tc>
          <w:tcPr>
            <w:tcW w:w="896" w:type="dxa"/>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ascii="宋体" w:hAnsi="宋体"/>
                <w:szCs w:val="21"/>
              </w:rPr>
            </w:pPr>
            <w:r>
              <w:rPr>
                <w:rFonts w:hint="eastAsia" w:ascii="宋体" w:hAnsi="宋体"/>
                <w:szCs w:val="21"/>
              </w:rPr>
              <w:t xml:space="preserve">包号</w:t>
            </w:r>
            <w:r/>
          </w:p>
        </w:tc>
        <w:tc>
          <w:tcPr>
            <w:tcW w:w="3052" w:type="dxa"/>
            <w:textDirection w:val="lrTb"/>
            <w:noWrap w:val="false"/>
          </w:tcPr>
          <w:p>
            <w:pPr>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jc w:val="center"/>
              <w:rPr>
                <w:rFonts w:ascii="宋体" w:hAnsi="宋体"/>
                <w:szCs w:val="21"/>
              </w:rPr>
            </w:pPr>
            <w:r>
              <w:rPr>
                <w:rFonts w:hint="eastAsia" w:ascii="宋体" w:hAnsi="宋体"/>
                <w:szCs w:val="21"/>
              </w:rPr>
              <w:t xml:space="preserve">（是/否）</w:t>
            </w:r>
            <w:r/>
          </w:p>
        </w:tc>
      </w:tr>
      <w:tr>
        <w:trPr>
          <w:trHeight w:val="366"/>
        </w:trPr>
        <w:tc>
          <w:tcPr>
            <w:tcW w:w="896"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3052" w:type="dxa"/>
            <w:vAlign w:val="center"/>
            <w:textDirection w:val="lrTb"/>
            <w:noWrap w:val="false"/>
          </w:tcPr>
          <w:p>
            <w:pPr>
              <w:jc w:val="center"/>
              <w:rPr>
                <w:rFonts w:ascii="宋体" w:hAnsi="宋体"/>
                <w:szCs w:val="21"/>
              </w:rPr>
            </w:pPr>
            <w:r>
              <w:rPr>
                <w:rFonts w:hint="eastAsia" w:ascii="宋体" w:hAnsi="宋体"/>
                <w:szCs w:val="21"/>
              </w:rPr>
              <w:t xml:space="preserve">否</w:t>
            </w:r>
            <w:r/>
          </w:p>
        </w:tc>
      </w:tr>
    </w:tbl>
    <w:p>
      <w:pPr>
        <w:spacing w:line="0" w:lineRule="atLeast"/>
        <w:rPr>
          <w:rFonts w:ascii="宋体" w:hAnsi="宋体"/>
          <w:b/>
          <w:color w:val="000000"/>
          <w:sz w:val="24"/>
          <w:szCs w:val="24"/>
        </w:rPr>
      </w:pPr>
      <w:r>
        <w:rPr>
          <w:rFonts w:hint="eastAsia" w:ascii="宋体" w:hAnsi="宋体"/>
          <w:b/>
          <w:color w:val="000000"/>
          <w:sz w:val="24"/>
          <w:szCs w:val="24"/>
        </w:rPr>
        <w:t xml:space="preserve">   </w:t>
      </w:r>
      <w:r/>
    </w:p>
    <w:p>
      <w:pPr>
        <w:ind w:firstLine="241"/>
        <w:spacing w:line="460" w:lineRule="exact"/>
      </w:pPr>
      <w:r>
        <w:rPr>
          <w:rFonts w:hint="eastAsia" w:ascii="宋体" w:hAnsi="宋体"/>
          <w:b/>
          <w:color w:val="000000"/>
          <w:sz w:val="24"/>
          <w:szCs w:val="24"/>
        </w:rPr>
        <w:t xml:space="preserve">4、</w:t>
      </w:r>
      <w:r>
        <w:rPr>
          <w:rFonts w:hint="eastAsia" w:ascii="宋体" w:hAnsi="宋体"/>
          <w:b/>
          <w:i/>
          <w:color w:val="000000"/>
          <w:sz w:val="24"/>
          <w:szCs w:val="24"/>
          <w:u w:val="single"/>
        </w:rPr>
        <w:t xml:space="preserve">本项目预算158万元，最高限价158万元。其中，</w:t>
      </w:r>
      <w:bookmarkStart w:id="186" w:name="OLE_LINK11"/>
      <w:r/>
      <w:bookmarkStart w:id="187" w:name="OLE_LINK10"/>
      <w:r>
        <w:rPr>
          <w:rFonts w:hint="eastAsia" w:ascii="宋体" w:hAnsi="宋体"/>
          <w:b/>
          <w:i/>
          <w:color w:val="000000"/>
          <w:sz w:val="24"/>
          <w:szCs w:val="24"/>
          <w:u w:val="single"/>
        </w:rPr>
        <w:t xml:space="preserve">基础装修限价38.8258</w:t>
      </w:r>
      <w:r>
        <w:rPr>
          <w:rFonts w:ascii="宋体" w:hAnsi="宋体"/>
          <w:b/>
          <w:i/>
          <w:color w:val="000000"/>
          <w:sz w:val="24"/>
          <w:szCs w:val="24"/>
          <w:u w:val="single"/>
        </w:rPr>
        <w:t xml:space="preserve">万元</w:t>
      </w:r>
      <w:bookmarkEnd w:id="186"/>
      <w:r/>
      <w:bookmarkEnd w:id="187"/>
      <w:r>
        <w:rPr>
          <w:rFonts w:ascii="宋体" w:hAnsi="宋体"/>
          <w:b/>
          <w:i/>
          <w:color w:val="000000"/>
          <w:sz w:val="24"/>
          <w:szCs w:val="24"/>
          <w:u w:val="single"/>
        </w:rPr>
        <w:t xml:space="preserve">，超过</w:t>
      </w:r>
      <w:r>
        <w:rPr>
          <w:rFonts w:hint="eastAsia" w:ascii="宋体" w:hAnsi="宋体"/>
          <w:b/>
          <w:i/>
          <w:color w:val="000000"/>
          <w:sz w:val="24"/>
          <w:szCs w:val="24"/>
          <w:u w:val="single"/>
        </w:rPr>
        <w:t xml:space="preserve">限价</w:t>
      </w:r>
      <w:r>
        <w:rPr>
          <w:rFonts w:ascii="宋体" w:hAnsi="宋体"/>
          <w:b/>
          <w:i/>
          <w:color w:val="000000"/>
          <w:sz w:val="24"/>
          <w:szCs w:val="24"/>
          <w:u w:val="single"/>
        </w:rPr>
        <w:t xml:space="preserve">视为无效投标，</w:t>
      </w:r>
      <w:bookmarkStart w:id="188" w:name="OLE_LINK31"/>
      <w:r/>
      <w:bookmarkStart w:id="189" w:name="OLE_LINK30"/>
      <w:r>
        <w:rPr>
          <w:rFonts w:ascii="宋体" w:hAnsi="宋体"/>
          <w:b/>
          <w:i/>
          <w:color w:val="000000"/>
          <w:sz w:val="24"/>
          <w:szCs w:val="24"/>
          <w:u w:val="single"/>
        </w:rPr>
        <w:t xml:space="preserve">投标人须在分项报价表中列明基础装修总价。</w:t>
      </w:r>
      <w:bookmarkEnd w:id="188"/>
      <w:r/>
      <w:bookmarkEnd w:id="189"/>
      <w:r/>
      <w:r/>
    </w:p>
    <w:p>
      <w:pPr>
        <w:pStyle w:val="873"/>
        <w:jc w:val="both"/>
        <w:spacing w:line="400" w:lineRule="exact"/>
        <w:rPr>
          <w:rFonts w:ascii="黑体" w:hAnsi="黑体" w:eastAsia="黑体"/>
          <w:b w:val="0"/>
          <w:bCs w:val="0"/>
          <w:sz w:val="28"/>
          <w:szCs w:val="28"/>
        </w:rPr>
      </w:pPr>
      <w:r>
        <w:rPr>
          <w:rFonts w:hint="eastAsia" w:ascii="黑体" w:hAnsi="黑体" w:eastAsia="黑体"/>
          <w:b w:val="0"/>
          <w:bCs w:val="0"/>
          <w:sz w:val="28"/>
          <w:szCs w:val="28"/>
        </w:rPr>
        <w:t xml:space="preserve">二、政府采购中实施本国产品标准及相关政策</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400" w:lineRule="exact"/>
        <w:rPr>
          <w:rFonts w:ascii="方正仿宋_GBK" w:hAnsi="方正仿宋_GBK" w:eastAsia="方正仿宋_GBK" w:cs="方正仿宋_GBK"/>
          <w:bCs/>
          <w:color w:val="000000"/>
          <w:sz w:val="28"/>
          <w:szCs w:val="28"/>
        </w:rPr>
      </w:pPr>
      <w:r>
        <w:rPr>
          <w:rFonts w:ascii="方正仿宋_GBK" w:hAnsi="方正仿宋_GBK" w:eastAsia="方正仿宋_GBK" w:cs="方正仿宋_GBK"/>
          <w:bCs/>
          <w:color w:val="000000"/>
          <w:sz w:val="28"/>
          <w:szCs w:val="28"/>
        </w:rPr>
      </w:r>
      <w:r/>
    </w:p>
    <w:p>
      <w:pPr>
        <w:ind w:firstLine="560"/>
        <w:spacing w:line="400" w:lineRule="exact"/>
        <w:rPr>
          <w:rFonts w:ascii="宋体" w:hAnsi="宋体" w:cs="方正仿宋_GBK"/>
          <w:b/>
          <w:bCs/>
          <w:color w:val="000000"/>
          <w:sz w:val="28"/>
          <w:szCs w:val="28"/>
        </w:rPr>
      </w:pPr>
      <w:r>
        <w:rPr>
          <w:rFonts w:hint="eastAsia" w:ascii="宋体" w:hAnsi="宋体" w:cs="方正仿宋_GBK"/>
          <w:b/>
          <w:bCs/>
          <w:color w:val="000000"/>
          <w:sz w:val="28"/>
          <w:szCs w:val="28"/>
        </w:rPr>
        <w:t xml:space="preserve">三、</w:t>
      </w:r>
      <w:r>
        <w:rPr>
          <w:rFonts w:hint="eastAsia" w:ascii="宋体" w:hAnsi="宋体"/>
          <w:b/>
          <w:sz w:val="28"/>
          <w:szCs w:val="28"/>
        </w:rPr>
        <w:t xml:space="preserve">技术要求</w:t>
      </w:r>
      <w:r/>
    </w:p>
    <w:p>
      <w:pPr>
        <w:keepLines/>
        <w:keepNext/>
        <w:spacing w:before="120" w:after="100" w:afterAutospacing="1" w:line="415" w:lineRule="auto"/>
        <w:rPr>
          <w:rFonts w:ascii="宋体" w:hAnsi="宋体" w:cs="宋体"/>
          <w:sz w:val="22"/>
        </w:rPr>
        <w:outlineLvl w:val="2"/>
      </w:pPr>
      <w:r>
        <w:rPr>
          <w:rFonts w:hint="eastAsia" w:ascii="宋体" w:hAnsi="宋体" w:cs="宋体"/>
          <w:b/>
          <w:bCs/>
          <w:sz w:val="28"/>
          <w:szCs w:val="28"/>
        </w:rPr>
        <w:t xml:space="preserve">（一）设备部分参数要求</w:t>
      </w:r>
      <w:r/>
    </w:p>
    <w:p>
      <w:pPr>
        <w:ind w:firstLine="480"/>
        <w:spacing w:line="360" w:lineRule="auto"/>
        <w:rPr>
          <w:rFonts w:ascii="宋体" w:hAnsi="宋体" w:cs="宋体"/>
          <w:sz w:val="24"/>
          <w:szCs w:val="24"/>
        </w:rPr>
        <w:outlineLvl w:val="1"/>
      </w:pPr>
      <w:r>
        <w:rPr>
          <w:rFonts w:hint="eastAsia" w:ascii="宋体" w:hAnsi="宋体" w:cs="宋体"/>
          <w:sz w:val="24"/>
          <w:szCs w:val="24"/>
          <w:lang w:val="zh-CN"/>
        </w:rPr>
        <w:t xml:space="preserve">备注：投标产品必须是全新、未使用过的原装合格正品，符合招标文件的要求，达到国家、行业规定的通用标准和强制标准，属于国家强制认证的产品的必须通过认证。</w:t>
      </w:r>
      <w:r>
        <w:rPr>
          <w:rFonts w:hint="eastAsia" w:ascii="宋体" w:hAnsi="宋体" w:cs="宋体"/>
          <w:sz w:val="24"/>
          <w:szCs w:val="24"/>
        </w:rPr>
        <w:t xml:space="preserve">因不同投标人的设备设计原理未必完全相同，投标人可视自身情况配置设备及附件，但应能充分满足采购人所需要的功能及参数要求；投标人应保证提供满足采购人正常使用的必要配置及附件而不再需要花费任何额外的费用，即使采购方在制定招标文件时要求不够具体，投标人也须保证安装后就能正常工作。</w:t>
      </w:r>
      <w:r/>
    </w:p>
    <w:tbl>
      <w:tblPr>
        <w:tblW w:w="8571" w:type="dxa"/>
        <w:jc w:val="center"/>
        <w:tblLayout w:type="fixed"/>
        <w:tblLook w:val="04A0" w:firstRow="1" w:lastRow="0" w:firstColumn="1" w:lastColumn="0" w:noHBand="0" w:noVBand="1"/>
      </w:tblPr>
      <w:tblGrid>
        <w:gridCol w:w="726"/>
        <w:gridCol w:w="1042"/>
        <w:gridCol w:w="560"/>
        <w:gridCol w:w="752"/>
        <w:gridCol w:w="5491"/>
      </w:tblGrid>
      <w:tr>
        <w:trPr>
          <w:jc w:val="center"/>
          <w:trHeight w:val="545"/>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名称</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数量</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单位</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技术参数</w:t>
            </w:r>
            <w:r/>
          </w:p>
        </w:tc>
      </w:tr>
      <w:tr>
        <w:trPr>
          <w:jc w:val="center"/>
          <w:trHeight w:val="1684"/>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一体化升降黑板A</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12"/>
              </w:numPr>
              <w:spacing w:line="0" w:lineRule="atLeast"/>
              <w:rPr>
                <w:rFonts w:ascii="宋体" w:hAnsi="宋体" w:cs="宋体"/>
                <w:sz w:val="20"/>
                <w:szCs w:val="20"/>
              </w:rPr>
            </w:pPr>
            <w:r>
              <w:rPr>
                <w:rFonts w:hint="eastAsia" w:ascii="宋体" w:hAnsi="宋体" w:cs="宋体"/>
                <w:sz w:val="20"/>
                <w:szCs w:val="20"/>
              </w:rPr>
              <w:t xml:space="preserve">整体结构由四块可上下推拉书写板及两侧包边框组成，单块书写板尺寸不小于1600×810mm；</w:t>
            </w:r>
            <w:r/>
          </w:p>
          <w:p>
            <w:pPr>
              <w:numPr>
                <w:ilvl w:val="0"/>
                <w:numId w:val="12"/>
              </w:numPr>
              <w:spacing w:line="0" w:lineRule="atLeast"/>
              <w:rPr>
                <w:rFonts w:ascii="宋体" w:hAnsi="宋体" w:cs="宋体"/>
                <w:sz w:val="20"/>
                <w:szCs w:val="20"/>
              </w:rPr>
            </w:pPr>
            <w:r>
              <w:rPr>
                <w:rFonts w:hint="eastAsia" w:ascii="宋体" w:hAnsi="宋体" w:cs="宋体"/>
                <w:sz w:val="20"/>
                <w:szCs w:val="20"/>
              </w:rPr>
              <w:t xml:space="preserve">书写面板采用优质板面，板面呈墨绿色，面板耐酸、碱性溶剂，面板厚度≥0.30mm，表面漆膜硬度：≥7H。60°光泽度＜12GU，粗糙度</w:t>
            </w:r>
            <w:r>
              <w:rPr>
                <w:rFonts w:ascii="宋体" w:hAnsi="宋体" w:cs="宋体"/>
                <w:sz w:val="20"/>
                <w:szCs w:val="20"/>
              </w:rPr>
              <w:t xml:space="preserve"> Ra 1.6~3.2μm</w:t>
            </w:r>
            <w:r>
              <w:rPr>
                <w:rFonts w:hint="eastAsia" w:ascii="宋体" w:hAnsi="宋体" w:cs="宋体"/>
                <w:sz w:val="20"/>
                <w:szCs w:val="20"/>
              </w:rPr>
              <w:t xml:space="preserve">，滑轮推拉寿命≥3 万次；</w:t>
            </w:r>
            <w:r/>
          </w:p>
          <w:p>
            <w:pPr>
              <w:numPr>
                <w:ilvl w:val="0"/>
                <w:numId w:val="12"/>
              </w:numPr>
              <w:spacing w:line="0" w:lineRule="atLeast"/>
              <w:rPr>
                <w:rFonts w:ascii="宋体" w:hAnsi="宋体" w:cs="宋体"/>
                <w:sz w:val="20"/>
                <w:szCs w:val="20"/>
              </w:rPr>
            </w:pPr>
            <w:r>
              <w:rPr>
                <w:rFonts w:hint="eastAsia" w:ascii="宋体" w:hAnsi="宋体" w:cs="宋体"/>
                <w:sz w:val="20"/>
                <w:szCs w:val="20"/>
              </w:rPr>
              <w:t xml:space="preserve">夹层采用高密度板，厚度≥14mm，背板采用整块防锈镀锌板，厚度≥0.20mm，高压一次成型；</w:t>
            </w:r>
            <w:r/>
          </w:p>
          <w:p>
            <w:pPr>
              <w:numPr>
                <w:ilvl w:val="0"/>
                <w:numId w:val="12"/>
              </w:numPr>
              <w:spacing w:line="0" w:lineRule="atLeast"/>
              <w:rPr>
                <w:rFonts w:ascii="宋体" w:hAnsi="宋体" w:cs="宋体"/>
                <w:sz w:val="20"/>
                <w:szCs w:val="20"/>
              </w:rPr>
            </w:pPr>
            <w:r>
              <w:rPr>
                <w:rFonts w:hint="eastAsia" w:ascii="宋体" w:hAnsi="宋体" w:cs="宋体"/>
                <w:sz w:val="20"/>
                <w:szCs w:val="20"/>
              </w:rPr>
              <w:t xml:space="preserve">外框采用磨砂银白铝合金型材，把书写板和内嵌的130寸、16：10比例的画框幕包入形成一体化整体包边框，无外露安装件，连接部位无工具不可拆卸。</w:t>
            </w:r>
            <w:r/>
          </w:p>
        </w:tc>
      </w:tr>
      <w:tr>
        <w:trPr>
          <w:jc w:val="center"/>
          <w:trHeight w:val="983"/>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一体化升降黑板B</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13"/>
              </w:numPr>
              <w:spacing w:line="0" w:lineRule="atLeast"/>
              <w:rPr>
                <w:rFonts w:ascii="宋体" w:hAnsi="宋体" w:cs="宋体"/>
                <w:sz w:val="20"/>
                <w:szCs w:val="20"/>
              </w:rPr>
            </w:pPr>
            <w:r>
              <w:rPr>
                <w:rFonts w:hint="eastAsia" w:ascii="宋体" w:hAnsi="宋体" w:cs="宋体"/>
                <w:sz w:val="20"/>
                <w:szCs w:val="20"/>
              </w:rPr>
              <w:t xml:space="preserve">整体结构由四块可上下推拉书写板组成，单块书写板尺寸不小于1630×810mm；</w:t>
            </w:r>
            <w:r/>
          </w:p>
          <w:p>
            <w:pPr>
              <w:numPr>
                <w:ilvl w:val="0"/>
                <w:numId w:val="13"/>
              </w:numPr>
              <w:spacing w:line="0" w:lineRule="atLeast"/>
              <w:rPr>
                <w:rFonts w:ascii="宋体" w:hAnsi="宋体" w:cs="宋体"/>
                <w:sz w:val="20"/>
                <w:szCs w:val="20"/>
              </w:rPr>
            </w:pPr>
            <w:r>
              <w:rPr>
                <w:rFonts w:hint="eastAsia" w:ascii="宋体" w:hAnsi="宋体" w:cs="宋体"/>
                <w:sz w:val="20"/>
                <w:szCs w:val="20"/>
              </w:rPr>
              <w:t xml:space="preserve">书写面板采用优质板面，板面呈墨绿色，面板耐酸、碱性溶剂，面板厚度≥0.30mm，表面漆膜硬度：≥7H。60°光泽度＜12GU，粗糙度</w:t>
            </w:r>
            <w:r>
              <w:rPr>
                <w:rFonts w:ascii="宋体" w:hAnsi="宋体" w:cs="宋体"/>
                <w:sz w:val="20"/>
                <w:szCs w:val="20"/>
              </w:rPr>
              <w:t xml:space="preserve"> Ra </w:t>
            </w:r>
            <w:r>
              <w:rPr>
                <w:rFonts w:hint="eastAsia" w:ascii="宋体" w:hAnsi="宋体" w:cs="宋体"/>
                <w:sz w:val="20"/>
                <w:szCs w:val="20"/>
              </w:rPr>
              <w:t xml:space="preserve">1.6~3.2μm，滑轮推拉寿命≥3</w:t>
            </w:r>
            <w:r>
              <w:rPr>
                <w:rFonts w:ascii="宋体" w:hAnsi="宋体" w:cs="宋体"/>
                <w:sz w:val="20"/>
                <w:szCs w:val="20"/>
              </w:rPr>
              <w:t xml:space="preserve"> </w:t>
            </w:r>
            <w:r>
              <w:rPr>
                <w:rFonts w:hint="eastAsia" w:ascii="宋体" w:hAnsi="宋体" w:cs="宋体"/>
                <w:sz w:val="20"/>
                <w:szCs w:val="20"/>
              </w:rPr>
              <w:t xml:space="preserve">万次；</w:t>
            </w:r>
            <w:r/>
          </w:p>
          <w:p>
            <w:pPr>
              <w:numPr>
                <w:ilvl w:val="0"/>
                <w:numId w:val="13"/>
              </w:numPr>
              <w:spacing w:line="0" w:lineRule="atLeast"/>
              <w:rPr>
                <w:rFonts w:ascii="宋体" w:hAnsi="宋体" w:cs="宋体"/>
                <w:sz w:val="20"/>
                <w:szCs w:val="20"/>
              </w:rPr>
            </w:pPr>
            <w:r>
              <w:rPr>
                <w:rFonts w:hint="eastAsia" w:ascii="宋体" w:hAnsi="宋体" w:cs="宋体"/>
                <w:sz w:val="20"/>
                <w:szCs w:val="20"/>
              </w:rPr>
              <w:t xml:space="preserve">夹层采用高密度板，厚度≥14mm，背板采用整块防锈镀锌板，厚度≥0.20mm，高压一次成型；</w:t>
            </w:r>
            <w:r/>
          </w:p>
          <w:p>
            <w:pPr>
              <w:numPr>
                <w:ilvl w:val="0"/>
                <w:numId w:val="13"/>
              </w:numPr>
              <w:spacing w:line="0" w:lineRule="atLeast"/>
              <w:rPr>
                <w:rFonts w:ascii="宋体" w:hAnsi="宋体" w:cs="宋体"/>
                <w:sz w:val="20"/>
                <w:szCs w:val="20"/>
              </w:rPr>
            </w:pPr>
            <w:r>
              <w:rPr>
                <w:rFonts w:hint="eastAsia" w:ascii="宋体" w:hAnsi="宋体" w:cs="宋体"/>
                <w:sz w:val="20"/>
                <w:szCs w:val="20"/>
              </w:rPr>
              <w:t xml:space="preserve">外框采用磨砂银白铝合金型材，把书写板和内嵌的130寸、16：10比例的画框幕包入形成一体化整体包边框，无外露安装件，连接部位无工具不可拆卸。</w:t>
            </w:r>
            <w:r/>
          </w:p>
        </w:tc>
      </w:tr>
      <w:tr>
        <w:trPr>
          <w:jc w:val="center"/>
          <w:trHeight w:val="1684"/>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画框幕</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块</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14"/>
              </w:numPr>
              <w:spacing w:line="0" w:lineRule="atLeast"/>
              <w:rPr>
                <w:rFonts w:ascii="宋体" w:hAnsi="宋体" w:cs="宋体"/>
                <w:sz w:val="20"/>
                <w:szCs w:val="20"/>
              </w:rPr>
            </w:pPr>
            <w:r>
              <w:rPr>
                <w:rFonts w:hint="eastAsia" w:ascii="宋体" w:hAnsi="宋体" w:cs="宋体"/>
                <w:sz w:val="20"/>
                <w:szCs w:val="20"/>
              </w:rPr>
              <w:t xml:space="preserve">幕面尺寸130英寸，16：10比例；</w:t>
            </w:r>
            <w:r/>
          </w:p>
          <w:p>
            <w:pPr>
              <w:numPr>
                <w:ilvl w:val="0"/>
                <w:numId w:val="14"/>
              </w:numPr>
              <w:spacing w:line="0" w:lineRule="atLeast"/>
              <w:rPr>
                <w:rFonts w:ascii="宋体" w:hAnsi="宋体" w:cs="宋体"/>
                <w:sz w:val="20"/>
                <w:szCs w:val="20"/>
              </w:rPr>
            </w:pPr>
            <w:r>
              <w:rPr>
                <w:rFonts w:hint="eastAsia" w:ascii="宋体" w:hAnsi="宋体" w:cs="宋体"/>
                <w:sz w:val="20"/>
                <w:szCs w:val="20"/>
              </w:rPr>
              <w:t xml:space="preserve">高清PVC白软幕，纯聚乙烯幕布材料，防静电，有效散射角≥150°，增益≥1.0；</w:t>
            </w:r>
            <w:r/>
          </w:p>
          <w:p>
            <w:pPr>
              <w:numPr>
                <w:ilvl w:val="0"/>
                <w:numId w:val="14"/>
              </w:numPr>
              <w:spacing w:line="0" w:lineRule="atLeast"/>
              <w:rPr>
                <w:rFonts w:ascii="宋体" w:hAnsi="宋体" w:cs="宋体"/>
                <w:sz w:val="20"/>
                <w:szCs w:val="20"/>
              </w:rPr>
            </w:pPr>
            <w:r>
              <w:rPr>
                <w:rFonts w:hint="eastAsia" w:ascii="宋体" w:hAnsi="宋体" w:cs="宋体"/>
                <w:sz w:val="20"/>
                <w:szCs w:val="20"/>
              </w:rPr>
              <w:t xml:space="preserve">幕面防潮，防霉，阻燃能力。</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电动幕</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块</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rPr>
                <w:rFonts w:ascii="宋体" w:hAnsi="宋体" w:cs="宋体"/>
                <w:sz w:val="20"/>
                <w:szCs w:val="20"/>
              </w:rPr>
            </w:pPr>
            <w:r>
              <w:rPr>
                <w:rFonts w:hint="eastAsia" w:ascii="宋体" w:hAnsi="宋体" w:cs="宋体"/>
                <w:sz w:val="20"/>
                <w:szCs w:val="20"/>
              </w:rPr>
              <w:t xml:space="preserve">1.■高清玻纤全白幕，无黑边，尺寸120英寸，比例16:10，增益：0.8-1.0，可视角≥160°，铝合金外壳，管状马达，内置无线遥控，具备RS485和强电控制。</w:t>
            </w:r>
            <w:r/>
          </w:p>
        </w:tc>
      </w:tr>
      <w:tr>
        <w:trPr>
          <w:jc w:val="center"/>
          <w:trHeight w:val="1684"/>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液晶激光投影机</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15"/>
              </w:numPr>
              <w:spacing w:line="0" w:lineRule="atLeast"/>
              <w:rPr>
                <w:rFonts w:ascii="宋体" w:hAnsi="宋体" w:cs="宋体"/>
                <w:i/>
                <w:iCs/>
                <w:sz w:val="20"/>
                <w:szCs w:val="20"/>
                <w:u w:val="single"/>
              </w:rPr>
            </w:pPr>
            <w:r>
              <w:rPr>
                <w:rFonts w:hint="eastAsia" w:ascii="宋体" w:hAnsi="宋体" w:cs="宋体"/>
                <w:i/>
                <w:iCs/>
                <w:sz w:val="20"/>
                <w:szCs w:val="20"/>
                <w:u w:val="single"/>
              </w:rPr>
              <w:t xml:space="preserve">设备采用3LCD液晶技术，标准亮度≥6000流明；标准物理分辨率1920×1200；（投标人须提供产品彩页、产品说明书、官网截图，且加盖公章，提供其中之一即可。）</w:t>
            </w:r>
            <w:r/>
          </w:p>
          <w:p>
            <w:pPr>
              <w:numPr>
                <w:ilvl w:val="0"/>
                <w:numId w:val="15"/>
              </w:numPr>
              <w:spacing w:line="0" w:lineRule="atLeast"/>
              <w:rPr>
                <w:rFonts w:ascii="宋体" w:hAnsi="宋体" w:cs="宋体"/>
                <w:sz w:val="20"/>
                <w:szCs w:val="20"/>
              </w:rPr>
            </w:pPr>
            <w:r>
              <w:rPr>
                <w:rFonts w:hint="eastAsia" w:ascii="宋体" w:hAnsi="宋体" w:cs="宋体"/>
                <w:sz w:val="20"/>
                <w:szCs w:val="20"/>
              </w:rPr>
              <w:t xml:space="preserve">▲设备镜头投射比范围覆盖0.8-1.1，具备 EDID 自动调整功能，具备≥1路支持网线长距离高清传输接口（HDBaseT或等效接口），≥1路HDMI输入接口，≥1路Audio Out输出接口，≥1路HDMI输出接口，≥1路RS-232C 控制口，≥1路LAN接口；（投标人须提供产品彩页、产品说明书、官网截图，且加盖公章，提供其中之一即可。）</w:t>
            </w:r>
            <w:r/>
          </w:p>
          <w:p>
            <w:pPr>
              <w:numPr>
                <w:ilvl w:val="0"/>
                <w:numId w:val="15"/>
              </w:numPr>
              <w:spacing w:line="0" w:lineRule="atLeast"/>
              <w:rPr>
                <w:rFonts w:ascii="宋体" w:hAnsi="宋体" w:cs="宋体"/>
                <w:sz w:val="20"/>
                <w:szCs w:val="20"/>
              </w:rPr>
            </w:pPr>
            <w:r>
              <w:rPr>
                <w:rFonts w:hint="eastAsia" w:ascii="宋体" w:hAnsi="宋体" w:cs="宋体"/>
                <w:sz w:val="20"/>
                <w:szCs w:val="20"/>
              </w:rPr>
              <w:t xml:space="preserve">■设备具备自定义调节校正功能，支持自定义亮度恒定输出，支持梯形校正、分屏投影、多重投影效果等功能。</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多格式信号转换器</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16"/>
              </w:numPr>
              <w:spacing w:line="0" w:lineRule="atLeast"/>
              <w:rPr>
                <w:rFonts w:ascii="宋体" w:hAnsi="宋体" w:cs="宋体"/>
                <w:sz w:val="20"/>
                <w:szCs w:val="20"/>
              </w:rPr>
            </w:pPr>
            <w:r>
              <w:rPr>
                <w:rFonts w:hint="eastAsia" w:ascii="宋体" w:hAnsi="宋体" w:cs="宋体"/>
                <w:sz w:val="20"/>
                <w:szCs w:val="20"/>
              </w:rPr>
              <w:t xml:space="preserve">具备非外接信号输入接口：HDMI公头连接器、TYPE-C公头连接器器、DP公头连接器、迷你DP公头连接器，非外接信号输出接口：HDMI公头连接器、USB-A公头连接器，信号传输：所有输入接口可直连手机、电脑、不用二次跳线；含安卓、苹果、鸿蒙等系统可以实现正常显示；EDID自动识别信号；</w:t>
            </w:r>
            <w:r/>
          </w:p>
          <w:p>
            <w:pPr>
              <w:numPr>
                <w:ilvl w:val="0"/>
                <w:numId w:val="16"/>
              </w:numPr>
              <w:spacing w:line="0" w:lineRule="atLeast"/>
              <w:rPr>
                <w:rFonts w:ascii="宋体" w:hAnsi="宋体" w:cs="宋体"/>
                <w:sz w:val="20"/>
                <w:szCs w:val="20"/>
              </w:rPr>
            </w:pPr>
            <w:r>
              <w:rPr>
                <w:rFonts w:hint="eastAsia" w:ascii="宋体" w:hAnsi="宋体" w:cs="宋体"/>
                <w:sz w:val="20"/>
                <w:szCs w:val="20"/>
              </w:rPr>
              <w:t xml:space="preserve">设备具备信号放大功能，支持全4K@60Hz分辨率传输，兼容 CEC, DDC和HDCP 2.2标准，线缆长度≥3米。</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无线协作分享系统</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17"/>
              </w:numPr>
              <w:spacing w:line="0" w:lineRule="atLeast"/>
              <w:rPr>
                <w:rFonts w:ascii="宋体" w:hAnsi="宋体" w:cs="宋体"/>
                <w:sz w:val="20"/>
                <w:szCs w:val="20"/>
              </w:rPr>
            </w:pPr>
            <w:r>
              <w:rPr>
                <w:rFonts w:hint="eastAsia" w:ascii="宋体" w:hAnsi="宋体" w:cs="宋体"/>
                <w:sz w:val="20"/>
                <w:szCs w:val="20"/>
              </w:rPr>
              <w:t xml:space="preserve">设备具备2.4G+5G双频无线连接，支持4K高清显示，同时2路无线投屏，支持反向控制，支持扫码投屏和投屏码投屏，提供AP热点覆盖功能，支持BYOD设备（Android、iOS、Mac、Windows）投屏，兼容AirPlay、Miracast、WiDi、Googlecast、BJCast、 Cast+协议。</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音频处理器</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18"/>
              </w:numPr>
              <w:spacing w:line="0" w:lineRule="atLeast"/>
              <w:rPr>
                <w:rFonts w:ascii="宋体" w:hAnsi="宋体" w:cs="宋体"/>
                <w:sz w:val="20"/>
                <w:szCs w:val="20"/>
              </w:rPr>
            </w:pPr>
            <w:r>
              <w:rPr>
                <w:rFonts w:hint="eastAsia" w:ascii="宋体" w:hAnsi="宋体" w:cs="宋体"/>
                <w:sz w:val="20"/>
                <w:szCs w:val="20"/>
              </w:rPr>
              <w:t xml:space="preserve">▲前面板具备中文液晶屏，支持预设和调用≥8个预设场景；处理器集成AI音频处理模块、无线接收模块、≥2×180W 数字功放于一体，支持48V幻象供电；（投标人须提供产品彩页、产品说明书、官网截图，且加盖公章，提供其中之一即可。）</w:t>
            </w:r>
            <w:r/>
          </w:p>
          <w:p>
            <w:pPr>
              <w:numPr>
                <w:ilvl w:val="0"/>
                <w:numId w:val="18"/>
              </w:numPr>
              <w:spacing w:line="0" w:lineRule="atLeast"/>
              <w:rPr>
                <w:rFonts w:ascii="宋体" w:hAnsi="宋体" w:cs="宋体"/>
                <w:i/>
                <w:iCs/>
                <w:sz w:val="20"/>
                <w:szCs w:val="20"/>
                <w:u w:val="single"/>
              </w:rPr>
            </w:pPr>
            <w:r>
              <w:rPr>
                <w:rFonts w:hint="eastAsia" w:ascii="宋体" w:hAnsi="宋体" w:cs="宋体"/>
                <w:i/>
                <w:iCs/>
                <w:sz w:val="20"/>
                <w:szCs w:val="20"/>
                <w:u w:val="single"/>
              </w:rPr>
              <w:t xml:space="preserve">设备支持抑制学生区域环境杂音功能，能准确区分讲台区和学生区，只精准采集讲台区的人声并扩声并屏蔽学生区的声音，支持设置线阵列吊麦选择180°、360°采集角度；（投标人须提供产品彩页、产品说明书、官网截图，且加盖公章，提供其中之一即可。）</w:t>
            </w:r>
            <w:r/>
          </w:p>
          <w:p>
            <w:pPr>
              <w:numPr>
                <w:ilvl w:val="0"/>
                <w:numId w:val="18"/>
              </w:numPr>
              <w:spacing w:line="0" w:lineRule="atLeast"/>
              <w:rPr>
                <w:rFonts w:ascii="宋体" w:hAnsi="宋体" w:cs="宋体"/>
                <w:sz w:val="20"/>
                <w:szCs w:val="20"/>
              </w:rPr>
            </w:pPr>
            <w:r>
              <w:rPr>
                <w:rFonts w:hint="eastAsia" w:ascii="宋体" w:hAnsi="宋体" w:cs="宋体"/>
                <w:sz w:val="20"/>
                <w:szCs w:val="20"/>
              </w:rPr>
              <w:t xml:space="preserve">■处理器具备≥3组通道频道数，支持两支无线话筒和一支翻页笔同时使用，具备≥2路RJ45网口（支持连接吊麦）、≥2路线路输入接口、≥2路有线话筒输入接口、≥2路线路输出接口、≥1路USB数字声卡接口，具备本地扩声和远程互动、话筒优先级功能。</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阵列麦克风</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支</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19"/>
              </w:numPr>
              <w:spacing w:line="0" w:lineRule="atLeast"/>
              <w:rPr>
                <w:rFonts w:ascii="宋体" w:hAnsi="宋体" w:cs="宋体"/>
                <w:sz w:val="20"/>
                <w:szCs w:val="20"/>
              </w:rPr>
            </w:pPr>
            <w:r>
              <w:rPr>
                <w:rFonts w:hint="eastAsia" w:ascii="宋体" w:hAnsi="宋体" w:cs="宋体"/>
                <w:sz w:val="20"/>
                <w:szCs w:val="20"/>
              </w:rPr>
              <w:t xml:space="preserve">阵列式麦克风，内嵌麦克风数量≥6个，有效拾音距离≥8米；</w:t>
            </w:r>
            <w:r/>
          </w:p>
          <w:p>
            <w:pPr>
              <w:numPr>
                <w:ilvl w:val="0"/>
                <w:numId w:val="19"/>
              </w:numPr>
              <w:spacing w:line="0" w:lineRule="atLeast"/>
              <w:rPr>
                <w:rFonts w:ascii="宋体" w:hAnsi="宋体" w:cs="宋体"/>
                <w:sz w:val="20"/>
                <w:szCs w:val="20"/>
              </w:rPr>
            </w:pPr>
            <w:r>
              <w:rPr>
                <w:rFonts w:hint="eastAsia" w:ascii="宋体" w:hAnsi="宋体" w:cs="宋体"/>
                <w:sz w:val="20"/>
                <w:szCs w:val="20"/>
              </w:rPr>
              <w:t xml:space="preserve">灵敏度：-37dB±3dB，频率响应：100-20KHz，信噪比≥70dB，失真度≦0.1%。</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颈挂式无线话筒</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支</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0"/>
              </w:numPr>
              <w:spacing w:line="0" w:lineRule="atLeast"/>
              <w:rPr>
                <w:rFonts w:ascii="宋体" w:hAnsi="宋体" w:cs="宋体"/>
                <w:sz w:val="20"/>
                <w:szCs w:val="20"/>
              </w:rPr>
            </w:pPr>
            <w:r>
              <w:rPr>
                <w:rFonts w:hint="eastAsia" w:ascii="宋体" w:hAnsi="宋体" w:cs="宋体"/>
                <w:sz w:val="20"/>
                <w:szCs w:val="20"/>
              </w:rPr>
              <w:t xml:space="preserve">■电容式驻极体音头，有效传输距离≥26米，支持设定高低两档发射功率，支持外部音源输入，支持可连接手机等移动设备；</w:t>
            </w:r>
            <w:r/>
          </w:p>
          <w:p>
            <w:pPr>
              <w:numPr>
                <w:ilvl w:val="0"/>
                <w:numId w:val="20"/>
              </w:numPr>
              <w:spacing w:line="0" w:lineRule="atLeast"/>
              <w:rPr>
                <w:rFonts w:ascii="宋体" w:hAnsi="宋体" w:cs="宋体"/>
                <w:i/>
                <w:iCs/>
                <w:sz w:val="20"/>
                <w:szCs w:val="20"/>
                <w:u w:val="single"/>
              </w:rPr>
            </w:pPr>
            <w:r>
              <w:rPr>
                <w:rFonts w:hint="eastAsia" w:ascii="宋体" w:hAnsi="宋体" w:cs="宋体"/>
                <w:i/>
                <w:iCs/>
                <w:sz w:val="20"/>
                <w:szCs w:val="20"/>
                <w:u w:val="single"/>
              </w:rPr>
              <w:t xml:space="preserve">话筒同时具备PPT翻页器和绿色激光教鞭功能，采用磁吸充电和有线充电方式，内置锂电池，工作时间≥7小时，可手持、颈挂使用，并配套可调节高度的挂绳；</w:t>
            </w:r>
            <w:r>
              <w:rPr>
                <w:rFonts w:hint="eastAsia" w:ascii="宋体" w:hAnsi="宋体" w:cs="宋体"/>
                <w:i/>
                <w:sz w:val="20"/>
                <w:szCs w:val="20"/>
                <w:u w:val="single"/>
              </w:rPr>
              <w:t xml:space="preserve">（投标人须提供产品彩页、产品说明书、官网截图，且加盖公章，提供其中之一即可。）</w:t>
            </w:r>
            <w:r/>
          </w:p>
          <w:p>
            <w:pPr>
              <w:numPr>
                <w:ilvl w:val="0"/>
                <w:numId w:val="20"/>
              </w:numPr>
              <w:spacing w:line="0" w:lineRule="atLeast"/>
              <w:rPr>
                <w:rFonts w:ascii="宋体" w:hAnsi="宋体" w:cs="宋体"/>
                <w:sz w:val="20"/>
                <w:szCs w:val="20"/>
              </w:rPr>
            </w:pPr>
            <w:r>
              <w:rPr>
                <w:rFonts w:hint="eastAsia" w:ascii="宋体" w:hAnsi="宋体" w:cs="宋体"/>
                <w:sz w:val="20"/>
                <w:szCs w:val="20"/>
              </w:rPr>
              <w:t xml:space="preserve">话筒具备双色指示灯，支持反馈设备电量、音量及使用状态，话筒静置≤2秒后自动进入休眠，拿取时瞬间自动正常工作。</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无线手持麦克风 </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支</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1"/>
              </w:numPr>
              <w:spacing w:line="0" w:lineRule="atLeast"/>
              <w:rPr>
                <w:rFonts w:ascii="宋体" w:hAnsi="宋体" w:cs="宋体"/>
                <w:sz w:val="20"/>
                <w:szCs w:val="20"/>
              </w:rPr>
            </w:pPr>
            <w:r>
              <w:rPr>
                <w:rFonts w:hint="eastAsia" w:ascii="宋体" w:hAnsi="宋体" w:cs="宋体"/>
                <w:sz w:val="20"/>
                <w:szCs w:val="20"/>
              </w:rPr>
              <w:t xml:space="preserve">麦克风管体管身采用铝合金材质，具备防滚跌落设计，内置可充电可拆卸可自行更换锂电池，电池使用时长≥6小时，具备安全电路设计，电池反装、反装充电不会短路，装入性能不匹配电池将不工作、不充电；</w:t>
            </w:r>
            <w:r/>
          </w:p>
          <w:p>
            <w:pPr>
              <w:numPr>
                <w:ilvl w:val="0"/>
                <w:numId w:val="21"/>
              </w:numPr>
              <w:spacing w:line="0" w:lineRule="atLeast"/>
              <w:rPr>
                <w:rFonts w:ascii="宋体" w:hAnsi="宋体" w:cs="宋体"/>
                <w:sz w:val="20"/>
                <w:szCs w:val="20"/>
              </w:rPr>
            </w:pPr>
            <w:r>
              <w:rPr>
                <w:rFonts w:hint="eastAsia" w:ascii="宋体" w:hAnsi="宋体" w:cs="宋体"/>
                <w:sz w:val="20"/>
                <w:szCs w:val="20"/>
              </w:rPr>
              <w:t xml:space="preserve">▲麦克风静置≤2秒后自动断开信号发射和声音采集，拿取时自动打开信号发射并正常工作，支持直插式磁吸桌面充电器充电，话筒旋转360°任意角度都可充电。（投标人须提供产品彩页、产品说明书、官网截图，且加盖公章，提供其中之一即可。）</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双路充电座</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2"/>
              </w:numPr>
              <w:spacing w:line="0" w:lineRule="atLeast"/>
              <w:rPr>
                <w:rFonts w:ascii="宋体" w:hAnsi="宋体" w:cs="宋体"/>
                <w:i/>
                <w:iCs/>
                <w:sz w:val="20"/>
                <w:szCs w:val="20"/>
                <w:u w:val="single"/>
              </w:rPr>
            </w:pPr>
            <w:r>
              <w:rPr>
                <w:rFonts w:hint="eastAsia" w:ascii="宋体" w:hAnsi="宋体" w:cs="宋体"/>
                <w:i/>
                <w:iCs/>
                <w:sz w:val="20"/>
                <w:szCs w:val="20"/>
                <w:u w:val="single"/>
              </w:rPr>
              <w:t xml:space="preserve">充电座具备≥两个充电位，支持不同形状话筒（颈挂式、手持式）及翻页笔充电，且不同形状话筒支持互换充电位充电，具备独立非外扩展的1路Type-C接口和1路4P凤凰插口，且都支持供电和RS-232控制协议，支持通过中控接口反馈充电状态，发送控制指令。</w:t>
            </w:r>
            <w:r>
              <w:rPr>
                <w:rFonts w:hint="eastAsia" w:ascii="宋体" w:hAnsi="宋体" w:cs="宋体"/>
                <w:i/>
                <w:sz w:val="20"/>
                <w:szCs w:val="20"/>
                <w:u w:val="single"/>
              </w:rPr>
              <w:t xml:space="preserve">（投标人须提供产品彩页、产品说明书、官网截图，且加盖公章，提供其中之一即可。）</w:t>
            </w:r>
            <w:r/>
          </w:p>
          <w:p>
            <w:pPr>
              <w:numPr>
                <w:ilvl w:val="0"/>
                <w:numId w:val="22"/>
              </w:numPr>
              <w:spacing w:line="0" w:lineRule="atLeast"/>
              <w:rPr>
                <w:rFonts w:ascii="宋体" w:hAnsi="宋体" w:cs="宋体"/>
                <w:sz w:val="20"/>
                <w:szCs w:val="20"/>
              </w:rPr>
            </w:pPr>
            <w:r>
              <w:rPr>
                <w:rFonts w:hint="eastAsia" w:ascii="宋体" w:hAnsi="宋体" w:cs="宋体"/>
                <w:sz w:val="20"/>
                <w:szCs w:val="20"/>
              </w:rPr>
              <w:t xml:space="preserve">充电座具备充电指示灯，可判断充电情况，在话筒未关闭的情况下以自动断开内部电路并进行充电，支持自动识别是否是充电电池，检测到非充电电池自动断电保护。</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有线鹅颈话筒 </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支</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3"/>
              </w:numPr>
              <w:spacing w:line="0" w:lineRule="atLeast"/>
              <w:rPr>
                <w:rFonts w:ascii="宋体" w:hAnsi="宋体" w:cs="宋体"/>
                <w:sz w:val="20"/>
                <w:szCs w:val="20"/>
              </w:rPr>
            </w:pPr>
            <w:r>
              <w:rPr>
                <w:rFonts w:hint="eastAsia" w:ascii="宋体" w:hAnsi="宋体" w:cs="宋体"/>
                <w:sz w:val="20"/>
                <w:szCs w:val="20"/>
              </w:rPr>
              <w:t xml:space="preserve">电容式话筒，咪管长度：45cm-60cm（可根据现场情况选择），频率响应≥20Hz-20KHz，心型指向性，灵敏度 : -40dB±2dB，支持DC供电或幻象48V供电，具备抗手机、电磁、调频等干扰功能。</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教学音箱</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只</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4"/>
              </w:numPr>
              <w:spacing w:line="0" w:lineRule="atLeast"/>
              <w:rPr>
                <w:rFonts w:ascii="宋体" w:hAnsi="宋体" w:cs="宋体"/>
                <w:sz w:val="20"/>
                <w:szCs w:val="20"/>
              </w:rPr>
            </w:pPr>
            <w:r>
              <w:rPr>
                <w:rFonts w:hint="eastAsia" w:ascii="宋体" w:hAnsi="宋体" w:cs="宋体"/>
                <w:sz w:val="20"/>
                <w:szCs w:val="20"/>
              </w:rPr>
              <w:t xml:space="preserve">■内嵌超广角多阵列式红外信号接收管≥20颗，采用RJ45网口进行红外信号传输，额定功率≥80W，峰值功率≥160W。</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数字媒体主机</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5"/>
              </w:numPr>
              <w:spacing w:line="0" w:lineRule="atLeast"/>
              <w:rPr>
                <w:rFonts w:ascii="宋体" w:hAnsi="宋体" w:cs="宋体"/>
                <w:sz w:val="20"/>
                <w:szCs w:val="20"/>
              </w:rPr>
            </w:pPr>
            <w:r>
              <w:rPr>
                <w:rFonts w:hint="eastAsia" w:ascii="宋体" w:hAnsi="宋体" w:cs="宋体"/>
                <w:sz w:val="20"/>
                <w:szCs w:val="20"/>
              </w:rPr>
              <w:t xml:space="preserve">机柜式终端，标准1U机架式设计，内置LINUX操作系统；</w:t>
            </w:r>
            <w:r/>
          </w:p>
          <w:p>
            <w:pPr>
              <w:numPr>
                <w:ilvl w:val="0"/>
                <w:numId w:val="25"/>
              </w:numPr>
              <w:spacing w:line="0" w:lineRule="atLeast"/>
              <w:rPr>
                <w:rFonts w:ascii="宋体" w:hAnsi="宋体" w:cs="宋体"/>
                <w:sz w:val="20"/>
                <w:szCs w:val="20"/>
              </w:rPr>
            </w:pPr>
            <w:r>
              <w:rPr>
                <w:rFonts w:hint="eastAsia" w:ascii="宋体" w:hAnsi="宋体" w:cs="宋体"/>
                <w:sz w:val="20"/>
                <w:szCs w:val="20"/>
              </w:rPr>
              <w:t xml:space="preserve">集成千兆交换机功能，具备≥4个RJ45网口，具备≥4路RS232通信端口，具备≥1路RS485通信端口，具备≥1路干接点接口，具备≥1路12V/2A输出接口，具备≥2路GPIO接口；</w:t>
            </w:r>
            <w:r/>
          </w:p>
          <w:p>
            <w:pPr>
              <w:numPr>
                <w:ilvl w:val="0"/>
                <w:numId w:val="25"/>
              </w:numPr>
              <w:spacing w:line="0" w:lineRule="atLeast"/>
              <w:rPr>
                <w:rFonts w:ascii="宋体" w:hAnsi="宋体" w:cs="宋体"/>
                <w:sz w:val="20"/>
                <w:szCs w:val="20"/>
              </w:rPr>
            </w:pPr>
            <w:r>
              <w:rPr>
                <w:rFonts w:hint="eastAsia" w:ascii="宋体" w:hAnsi="宋体" w:cs="宋体"/>
                <w:sz w:val="20"/>
                <w:szCs w:val="20"/>
              </w:rPr>
              <w:t xml:space="preserve">▲具备HDMI4*4全交叉无缝矩阵功能,具备≥4路HDMI输入接口，具备≥6路HDMI输出接口，输入和输出接口均支持4K高清分辨率，具备≥1路USB通信接口；支持输出画面冻结功能；（投标人须提供产品彩页、产品说明书、官网截图，且加盖公章，提供其中之一即可。）</w:t>
            </w:r>
            <w:r/>
          </w:p>
          <w:p>
            <w:pPr>
              <w:numPr>
                <w:ilvl w:val="0"/>
                <w:numId w:val="25"/>
              </w:numPr>
              <w:spacing w:line="0" w:lineRule="atLeast"/>
              <w:rPr>
                <w:rFonts w:ascii="宋体" w:hAnsi="宋体" w:cs="宋体"/>
                <w:sz w:val="20"/>
                <w:szCs w:val="20"/>
              </w:rPr>
            </w:pPr>
            <w:r>
              <w:rPr>
                <w:rFonts w:hint="eastAsia" w:ascii="宋体" w:hAnsi="宋体" w:cs="宋体"/>
                <w:sz w:val="20"/>
                <w:szCs w:val="20"/>
              </w:rPr>
              <w:t xml:space="preserve">集成≥2×70W数字功放，具备≥2路3.5mm音频线性输入接口，≥1路3.5mm无线麦克风音频输入接口，具备≥3路3.5mm音频线性输出，具备≥1路48V 幻象供电有线麦克风输入接口，支持配置幻象供电开启或关闭；</w:t>
            </w:r>
            <w:r/>
          </w:p>
          <w:p>
            <w:pPr>
              <w:numPr>
                <w:ilvl w:val="0"/>
                <w:numId w:val="25"/>
              </w:numPr>
              <w:spacing w:line="0" w:lineRule="atLeast"/>
              <w:rPr>
                <w:rFonts w:ascii="宋体" w:hAnsi="宋体" w:cs="宋体"/>
                <w:sz w:val="20"/>
                <w:szCs w:val="20"/>
              </w:rPr>
            </w:pPr>
            <w:r>
              <w:rPr>
                <w:rFonts w:hint="eastAsia" w:ascii="宋体" w:hAnsi="宋体" w:cs="宋体"/>
                <w:sz w:val="20"/>
                <w:szCs w:val="20"/>
              </w:rPr>
              <w:t xml:space="preserve">■具备网络中控功能，支持电教设备的本地或远程控制，集成物联网关功能，支持能耗数据上报，配合系统平台及小程序可远程对终端设备及物联模块进行手动、定时、集控管理；</w:t>
            </w:r>
            <w:r/>
          </w:p>
          <w:p>
            <w:pPr>
              <w:numPr>
                <w:ilvl w:val="0"/>
                <w:numId w:val="25"/>
              </w:numPr>
              <w:spacing w:line="0" w:lineRule="atLeast"/>
              <w:rPr>
                <w:rFonts w:ascii="宋体" w:hAnsi="宋体" w:cs="宋体"/>
                <w:sz w:val="20"/>
                <w:szCs w:val="20"/>
              </w:rPr>
            </w:pPr>
            <w:r>
              <w:rPr>
                <w:rFonts w:hint="eastAsia" w:ascii="宋体" w:hAnsi="宋体" w:cs="宋体"/>
                <w:sz w:val="20"/>
                <w:szCs w:val="20"/>
              </w:rPr>
              <w:t xml:space="preserve">具备音频硬解码能力，具备平台推送的音频广播播放功能，可播放平台定时/手动广播任务，配合系统平台支持0-100级广播级别选择；</w:t>
            </w:r>
            <w:r/>
          </w:p>
          <w:p>
            <w:pPr>
              <w:numPr>
                <w:ilvl w:val="0"/>
                <w:numId w:val="25"/>
              </w:numPr>
              <w:spacing w:line="0" w:lineRule="atLeast"/>
              <w:rPr>
                <w:rFonts w:ascii="宋体" w:hAnsi="宋体" w:cs="宋体"/>
                <w:sz w:val="20"/>
                <w:szCs w:val="20"/>
              </w:rPr>
            </w:pPr>
            <w:r>
              <w:rPr>
                <w:rFonts w:hint="eastAsia" w:ascii="宋体" w:hAnsi="宋体" w:cs="宋体"/>
                <w:sz w:val="20"/>
                <w:szCs w:val="20"/>
              </w:rPr>
              <w:t xml:space="preserve">■支持web配置参数界面，支持开关机场景及自定义场景配置，通过配套触控面板可完成一键开关机设备、音量调节，支持IC卡刷卡或插卡、二维码正/反扫、IP对讲等功能，支持离线状态下启用面板开机功能,待机状态下可显示设备联机网络信息、终端ID信息、运维电话等。</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触摸控制屏</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块</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6"/>
              </w:numPr>
              <w:spacing w:line="0" w:lineRule="atLeast"/>
              <w:rPr>
                <w:rFonts w:ascii="宋体" w:hAnsi="宋体" w:cs="宋体"/>
                <w:sz w:val="20"/>
                <w:szCs w:val="20"/>
              </w:rPr>
            </w:pPr>
            <w:r>
              <w:rPr>
                <w:rFonts w:hint="eastAsia" w:ascii="宋体" w:hAnsi="宋体" w:cs="宋体"/>
                <w:sz w:val="20"/>
                <w:szCs w:val="20"/>
              </w:rPr>
              <w:t xml:space="preserve">■控制面板具备≥10英寸触控屏，支持≥10点触控，物理分辨率1920×1200，亮度≥500nits，集成≥200万像素双目摄像头，集成IC卡读卡器，内置扬声器≥2×2W，具备≥1路RJ45接口。</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智能电源管理器</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7"/>
              </w:numPr>
              <w:spacing w:line="0" w:lineRule="atLeast"/>
              <w:rPr>
                <w:rFonts w:ascii="宋体" w:hAnsi="宋体" w:cs="宋体"/>
                <w:sz w:val="20"/>
                <w:szCs w:val="20"/>
              </w:rPr>
            </w:pPr>
            <w:r>
              <w:rPr>
                <w:rFonts w:hint="eastAsia" w:ascii="宋体" w:hAnsi="宋体" w:cs="宋体"/>
                <w:sz w:val="20"/>
                <w:szCs w:val="20"/>
              </w:rPr>
              <w:t xml:space="preserve">设备具有1路可控制串口、具有行为学习方式编程的功能、支持RS485串口状态输出；</w:t>
            </w:r>
            <w:r/>
          </w:p>
          <w:p>
            <w:pPr>
              <w:numPr>
                <w:ilvl w:val="0"/>
                <w:numId w:val="27"/>
              </w:numPr>
              <w:spacing w:line="0" w:lineRule="atLeast"/>
              <w:rPr>
                <w:rFonts w:ascii="宋体" w:hAnsi="宋体" w:cs="宋体"/>
                <w:sz w:val="20"/>
                <w:szCs w:val="20"/>
              </w:rPr>
            </w:pPr>
            <w:r>
              <w:rPr>
                <w:rFonts w:hint="eastAsia" w:ascii="宋体" w:hAnsi="宋体" w:cs="宋体"/>
                <w:sz w:val="20"/>
                <w:szCs w:val="20"/>
              </w:rPr>
              <w:t xml:space="preserve">支持级联管控，具有12路可编程控制电源输出，1路直通输出，额定输入电压AC220V/50Hz，负载功率：2200W，支持安全时序供电管理，延时时间可调，具有12路国标5孔插座，带净化滤波，提供纯净的用电环境。</w:t>
            </w:r>
            <w:r/>
          </w:p>
        </w:tc>
      </w:tr>
      <w:tr>
        <w:trPr>
          <w:jc w:val="center"/>
          <w:trHeight w:val="1684"/>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灯光墙面控制面板</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8"/>
              </w:numPr>
              <w:spacing w:line="0" w:lineRule="atLeast"/>
              <w:rPr>
                <w:rFonts w:ascii="宋体" w:hAnsi="宋体" w:cs="宋体"/>
                <w:sz w:val="20"/>
                <w:szCs w:val="20"/>
              </w:rPr>
            </w:pPr>
            <w:r>
              <w:rPr>
                <w:rFonts w:hint="eastAsia" w:ascii="宋体" w:hAnsi="宋体" w:cs="宋体"/>
                <w:sz w:val="20"/>
                <w:szCs w:val="20"/>
              </w:rPr>
              <w:t xml:space="preserve">具备2路220VAC独立输出，1路220VAC电源输入，触控按键功能可自定义设置，支持配置2键/6键/8键，可自定义按键控制指令，可一键多用，支持人体感应及情景联动，按键触控具备震动反馈，支持标准86盒安装，支持自定义场景模式，通讯协议：RS485或RS232，面板为铝合金材质，颜色可选，不低于：黑、白、灰、银四种颜色，按键文字可以镂空透光，激光雕刻。</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录播主机</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29"/>
              </w:numPr>
              <w:spacing w:line="0" w:lineRule="atLeast"/>
              <w:rPr>
                <w:rFonts w:ascii="宋体" w:hAnsi="宋体" w:cs="宋体"/>
                <w:sz w:val="20"/>
                <w:szCs w:val="20"/>
              </w:rPr>
            </w:pPr>
            <w:r>
              <w:rPr>
                <w:rFonts w:hint="eastAsia" w:ascii="宋体" w:hAnsi="宋体" w:cs="宋体"/>
                <w:sz w:val="20"/>
                <w:szCs w:val="20"/>
              </w:rPr>
              <w:t xml:space="preserve">■设备采用一体化设计，1U机身，采用嵌入式硬件架构，整机具备≥2个USB接口，其中≥1个UVC/UAC接口；具备≥1路HDMI视频输入接口、≥1路HDMI视频输出接口；具备≥1个RJ45网口并可实现POE供电；具备≥1个MIC IN输入且可实现幻象供电，具备≥1路LINE IN输入，具备≥2个RS232串口；具备集控管理软件，可对设备批量管理，设备整体休眠后超低能耗运行；</w:t>
            </w:r>
            <w:r/>
          </w:p>
          <w:p>
            <w:pPr>
              <w:numPr>
                <w:ilvl w:val="0"/>
                <w:numId w:val="29"/>
              </w:numPr>
              <w:spacing w:line="0" w:lineRule="atLeast"/>
              <w:rPr>
                <w:rFonts w:ascii="宋体" w:hAnsi="宋体" w:cs="宋体"/>
                <w:sz w:val="20"/>
                <w:szCs w:val="20"/>
              </w:rPr>
            </w:pPr>
            <w:r>
              <w:rPr>
                <w:rFonts w:hint="eastAsia" w:ascii="宋体" w:hAnsi="宋体" w:cs="宋体"/>
                <w:sz w:val="20"/>
                <w:szCs w:val="20"/>
              </w:rPr>
              <w:t xml:space="preserve">▲内置≥2TB存储容量，支持U盘和硬盘两种外置盘方式录制课程，支持配置磁盘空间阈值和MP4文件分割策略；设备支持UVC、HDMI OUT两种输出源配置，支持ONVIF、RTSP、RTMP协议设备接入，可兼容符合以上协议规范的第三方摄像机，可实现接入≥4个高清网络摄像机；（投标人须提供产品彩页、产品说明书、官网截图，且加盖公章，提供其中之一即可。）</w:t>
            </w:r>
            <w:r/>
          </w:p>
          <w:p>
            <w:pPr>
              <w:numPr>
                <w:ilvl w:val="0"/>
                <w:numId w:val="29"/>
              </w:numPr>
              <w:spacing w:line="0" w:lineRule="atLeast"/>
              <w:rPr>
                <w:rFonts w:ascii="宋体" w:hAnsi="宋体" w:cs="宋体"/>
                <w:sz w:val="20"/>
                <w:szCs w:val="20"/>
              </w:rPr>
            </w:pPr>
            <w:r>
              <w:rPr>
                <w:rFonts w:hint="eastAsia" w:ascii="宋体" w:hAnsi="宋体" w:cs="宋体"/>
                <w:sz w:val="20"/>
                <w:szCs w:val="20"/>
              </w:rPr>
              <w:t xml:space="preserve">音频编解码应支持AAC_LC、G.711a、G.711u协议，音频采样率应≥48KHz，具备≥4级音频降噪；</w:t>
            </w:r>
            <w:r/>
          </w:p>
          <w:p>
            <w:pPr>
              <w:numPr>
                <w:ilvl w:val="0"/>
                <w:numId w:val="29"/>
              </w:numPr>
              <w:spacing w:line="0" w:lineRule="atLeast"/>
              <w:rPr>
                <w:rFonts w:ascii="宋体" w:hAnsi="宋体" w:cs="宋体"/>
                <w:sz w:val="20"/>
                <w:szCs w:val="20"/>
              </w:rPr>
            </w:pPr>
            <w:r>
              <w:rPr>
                <w:rFonts w:hint="eastAsia" w:ascii="宋体" w:hAnsi="宋体" w:cs="宋体"/>
                <w:sz w:val="20"/>
                <w:szCs w:val="20"/>
              </w:rPr>
              <w:t xml:space="preserve">■录播主机资源模式录制时，同时录制老师、学生、课件单路画面与多路合成画面，且每个视频文件均唇音同步；录播主机支持≥7路RTMP推流直播，可根据场景要求选择不同画面通道，支持对RTMP配置进行添加、删除、修改、推送及停止推送操作；</w:t>
            </w:r>
            <w:r/>
          </w:p>
          <w:p>
            <w:pPr>
              <w:numPr>
                <w:ilvl w:val="0"/>
                <w:numId w:val="29"/>
              </w:numPr>
              <w:spacing w:line="0" w:lineRule="atLeast"/>
              <w:rPr>
                <w:rFonts w:ascii="宋体" w:hAnsi="宋体" w:cs="宋体"/>
                <w:sz w:val="20"/>
                <w:szCs w:val="20"/>
              </w:rPr>
            </w:pPr>
            <w:r>
              <w:rPr>
                <w:rFonts w:hint="eastAsia" w:ascii="宋体" w:hAnsi="宋体" w:cs="宋体"/>
                <w:sz w:val="20"/>
                <w:szCs w:val="20"/>
              </w:rPr>
              <w:t xml:space="preserve">支持对两个网卡进行参数配置，两个网卡可设置不同网段的IP地址，例如一个连接学校多媒体教学网络，另一个组建前端教室单独局域网、设置私有IP地址，可设置的网络参数包括IP地址、子网掩码、默认网关、MTU、首选DNS服务器、备选DNS服务器等。</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教师摄像机A</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0"/>
              </w:numPr>
              <w:spacing w:line="0" w:lineRule="atLeast"/>
              <w:rPr>
                <w:rFonts w:ascii="宋体" w:hAnsi="宋体" w:cs="宋体"/>
                <w:sz w:val="20"/>
                <w:szCs w:val="20"/>
              </w:rPr>
            </w:pPr>
            <w:r>
              <w:rPr>
                <w:rFonts w:hint="eastAsia" w:ascii="宋体" w:hAnsi="宋体" w:cs="宋体"/>
                <w:sz w:val="20"/>
                <w:szCs w:val="20"/>
              </w:rPr>
              <w:t xml:space="preserve">▲采用≥1/1.8英寸高性能图像传感器，最大分辨率支持≥3840*2160，内置≥16倍光学变焦镜头，设备能够输出讲台全景、老师特写、板书画面等3路不同源画面，分辨率≥1920*1080，抠图分辨率可调节，输出的流支持人物抠图隐藏、抠图可设置≥4个区域，支持黑、白、绿等背景上的抠图增强，支持不同颜色的字体增强，1920*1080分辨率下的流增强延迟≤350ms；（投标人须提供产品彩页、产品说明书、官网截图，且加盖公章，提供其中之一即可。）</w:t>
            </w:r>
            <w:r/>
          </w:p>
          <w:p>
            <w:pPr>
              <w:numPr>
                <w:ilvl w:val="0"/>
                <w:numId w:val="30"/>
              </w:numPr>
              <w:spacing w:line="0" w:lineRule="atLeast"/>
              <w:rPr>
                <w:rFonts w:ascii="宋体" w:hAnsi="宋体" w:cs="宋体"/>
                <w:sz w:val="20"/>
                <w:szCs w:val="20"/>
              </w:rPr>
            </w:pPr>
            <w:r>
              <w:rPr>
                <w:rFonts w:hint="eastAsia" w:ascii="宋体" w:hAnsi="宋体" w:cs="宋体"/>
                <w:sz w:val="20"/>
                <w:szCs w:val="20"/>
              </w:rPr>
              <w:t xml:space="preserve">为便于设备安装布线，应具备隐藏式线缆接口，支持无支架壁装方式安装；（提供所投产品的实物无支架壁装照片）</w:t>
            </w:r>
            <w:r/>
          </w:p>
          <w:p>
            <w:pPr>
              <w:numPr>
                <w:ilvl w:val="0"/>
                <w:numId w:val="30"/>
              </w:numPr>
              <w:spacing w:line="0" w:lineRule="atLeast"/>
              <w:rPr>
                <w:rFonts w:ascii="宋体" w:hAnsi="宋体" w:cs="宋体"/>
                <w:sz w:val="20"/>
                <w:szCs w:val="20"/>
              </w:rPr>
            </w:pPr>
            <w:r>
              <w:rPr>
                <w:rFonts w:hint="eastAsia" w:ascii="宋体" w:hAnsi="宋体" w:cs="宋体"/>
                <w:sz w:val="20"/>
                <w:szCs w:val="20"/>
              </w:rPr>
              <w:t xml:space="preserve">■设备具备4路码流输出，其中1路≥3840*2160、3路≥1920*1080；设备支持智能识别教师行为，垂直方向可根据教师身高差异自适应调整景别；</w:t>
            </w:r>
            <w:r/>
          </w:p>
          <w:p>
            <w:pPr>
              <w:numPr>
                <w:ilvl w:val="0"/>
                <w:numId w:val="30"/>
              </w:numPr>
              <w:spacing w:line="0" w:lineRule="atLeast"/>
              <w:rPr>
                <w:rFonts w:ascii="宋体" w:hAnsi="宋体" w:cs="宋体"/>
                <w:sz w:val="20"/>
                <w:szCs w:val="20"/>
              </w:rPr>
            </w:pPr>
            <w:r>
              <w:rPr>
                <w:rFonts w:hint="eastAsia" w:ascii="宋体" w:hAnsi="宋体" w:cs="宋体"/>
                <w:sz w:val="20"/>
                <w:szCs w:val="20"/>
              </w:rPr>
              <w:t xml:space="preserve">音频编码格式支持G.711a、G.711u、G.722、AAC_LC、ADPCM、G.726多种音频编码格式，支持8kHz、16kHz、32kHz、48kHz等多种采样率选择；</w:t>
            </w:r>
            <w:r/>
          </w:p>
          <w:p>
            <w:pPr>
              <w:numPr>
                <w:ilvl w:val="0"/>
                <w:numId w:val="30"/>
              </w:numPr>
              <w:spacing w:line="0" w:lineRule="atLeast"/>
              <w:rPr>
                <w:rFonts w:ascii="宋体" w:hAnsi="宋体" w:cs="宋体"/>
                <w:sz w:val="20"/>
                <w:szCs w:val="20"/>
              </w:rPr>
            </w:pPr>
            <w:r>
              <w:rPr>
                <w:rFonts w:hint="eastAsia" w:ascii="宋体" w:hAnsi="宋体" w:cs="宋体"/>
                <w:sz w:val="20"/>
                <w:szCs w:val="20"/>
              </w:rPr>
              <w:t xml:space="preserve">为确保高亮投影下，教师人脸、黑板板书、投影幕内容清晰可见，教师摄像机支持数字宽动态级别设置，支持0-100可调，调节过程中不同宽动态参数下画面具有明显区别； </w:t>
            </w:r>
            <w:r/>
          </w:p>
          <w:p>
            <w:pPr>
              <w:numPr>
                <w:ilvl w:val="0"/>
                <w:numId w:val="30"/>
              </w:numPr>
              <w:spacing w:line="0" w:lineRule="atLeast"/>
              <w:rPr>
                <w:rFonts w:ascii="宋体" w:hAnsi="宋体" w:cs="宋体"/>
                <w:sz w:val="20"/>
                <w:szCs w:val="20"/>
              </w:rPr>
            </w:pPr>
            <w:r>
              <w:rPr>
                <w:rFonts w:hint="eastAsia" w:ascii="宋体" w:hAnsi="宋体" w:cs="宋体"/>
                <w:sz w:val="20"/>
                <w:szCs w:val="20"/>
              </w:rPr>
              <w:t xml:space="preserve">支持回声抵消功能，在语音对讲时可消除回声，支持混音录像功能，可将音频输入和客户端采集的声音保存至录像文件；</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教师摄像机B</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1"/>
              </w:numPr>
              <w:spacing w:line="0" w:lineRule="atLeast"/>
              <w:rPr>
                <w:rFonts w:ascii="宋体" w:hAnsi="宋体" w:cs="宋体"/>
                <w:sz w:val="20"/>
                <w:szCs w:val="20"/>
              </w:rPr>
            </w:pPr>
            <w:r>
              <w:rPr>
                <w:rFonts w:hint="eastAsia" w:ascii="宋体" w:hAnsi="宋体" w:cs="宋体"/>
                <w:sz w:val="20"/>
                <w:szCs w:val="20"/>
              </w:rPr>
              <w:t xml:space="preserve">采用≥1/2.8英寸高性能图像传感器，最大分辨率支持≥3840*2160，内置自动≥3倍光学变焦镜头，支持自动聚焦；设备编码支持H.265、H.264，支持SIP、ONVIF、视图库协议；设备能够输出讲台全景、老师特写、板书画面等≥3路不同源画面，分辨率≥1920*1080；板书流抠图分辨率可调节，输出的板书流支持人物抠图隐藏、板书增强可设置≥4个板书区域，支持黑、白、绿等背景上的板书增强，支持不同颜色的字体增强，1920*1080分辨率下的板书流增强延迟≤350ms；</w:t>
            </w:r>
            <w:r/>
          </w:p>
          <w:p>
            <w:pPr>
              <w:numPr>
                <w:ilvl w:val="0"/>
                <w:numId w:val="31"/>
              </w:numPr>
              <w:spacing w:line="0" w:lineRule="atLeast"/>
              <w:rPr>
                <w:rFonts w:ascii="宋体" w:hAnsi="宋体" w:cs="宋体"/>
                <w:sz w:val="20"/>
                <w:szCs w:val="20"/>
              </w:rPr>
            </w:pPr>
            <w:r>
              <w:rPr>
                <w:rFonts w:hint="eastAsia" w:ascii="宋体" w:hAnsi="宋体" w:cs="宋体"/>
                <w:sz w:val="20"/>
                <w:szCs w:val="20"/>
              </w:rPr>
              <w:t xml:space="preserve">为便于设备安装布线，具备隐藏式线缆接口，支持无支架壁装方式安装；</w:t>
            </w:r>
            <w:r/>
          </w:p>
          <w:p>
            <w:pPr>
              <w:numPr>
                <w:ilvl w:val="0"/>
                <w:numId w:val="31"/>
              </w:numPr>
              <w:spacing w:line="0" w:lineRule="atLeast"/>
              <w:rPr>
                <w:rFonts w:ascii="宋体" w:hAnsi="宋体" w:cs="宋体"/>
                <w:sz w:val="20"/>
                <w:szCs w:val="20"/>
              </w:rPr>
            </w:pPr>
            <w:r>
              <w:rPr>
                <w:rFonts w:hint="eastAsia" w:ascii="宋体" w:hAnsi="宋体" w:cs="宋体"/>
                <w:sz w:val="20"/>
                <w:szCs w:val="20"/>
              </w:rPr>
              <w:t xml:space="preserve">设备具备4路码流输出，其中1路≥3840*2160、3路≥1920*1080；在输出主码流分辨率3840*2160、帧率30fps、码率2Mbps时，视频图像传输至客户端的延时时间≤250ms；设备支持智能识别教师行为：包括教师所在区域（讲台、板书、学生等）、教师走动、教师上下讲台、教师进出各区域、讲台目标丢失等，垂直方向可根据教师身高差异自适调整景别。</w:t>
            </w:r>
            <w:r/>
          </w:p>
          <w:p>
            <w:pPr>
              <w:numPr>
                <w:ilvl w:val="0"/>
                <w:numId w:val="31"/>
              </w:numPr>
              <w:spacing w:line="0" w:lineRule="atLeast"/>
              <w:rPr>
                <w:rFonts w:ascii="宋体" w:hAnsi="宋体" w:cs="宋体"/>
                <w:sz w:val="20"/>
                <w:szCs w:val="20"/>
              </w:rPr>
            </w:pPr>
            <w:r>
              <w:rPr>
                <w:rFonts w:hint="eastAsia" w:ascii="宋体" w:hAnsi="宋体" w:cs="宋体"/>
                <w:sz w:val="20"/>
                <w:szCs w:val="20"/>
              </w:rPr>
              <w:t xml:space="preserve">音频编码格式支持G.711a、G.711u、G.722、AAC_LC、ADPCM、G.726多种音频编码格式，支持8kHz、16kHz、32kHz、48kHz等多种采样率选择；</w:t>
            </w:r>
            <w:r/>
          </w:p>
          <w:p>
            <w:pPr>
              <w:numPr>
                <w:ilvl w:val="0"/>
                <w:numId w:val="31"/>
              </w:numPr>
              <w:spacing w:line="0" w:lineRule="atLeast"/>
              <w:rPr>
                <w:rFonts w:ascii="宋体" w:hAnsi="宋体" w:cs="宋体"/>
                <w:sz w:val="20"/>
                <w:szCs w:val="20"/>
              </w:rPr>
            </w:pPr>
            <w:r>
              <w:rPr>
                <w:rFonts w:hint="eastAsia" w:ascii="宋体" w:hAnsi="宋体" w:cs="宋体"/>
                <w:sz w:val="20"/>
                <w:szCs w:val="20"/>
              </w:rPr>
              <w:t xml:space="preserve">为确保高亮投影下，教师人脸、黑板板书、投影幕内容清晰可见，教师摄像机支持数字宽动态级别设置，支持0-100可调，调节过程中不同宽动态参数下画面具有明显区别； </w:t>
            </w:r>
            <w:r/>
          </w:p>
          <w:p>
            <w:pPr>
              <w:numPr>
                <w:ilvl w:val="0"/>
                <w:numId w:val="31"/>
              </w:numPr>
              <w:spacing w:line="0" w:lineRule="atLeast"/>
              <w:rPr>
                <w:rFonts w:ascii="宋体" w:hAnsi="宋体" w:cs="宋体"/>
                <w:sz w:val="20"/>
                <w:szCs w:val="20"/>
              </w:rPr>
            </w:pPr>
            <w:r>
              <w:rPr>
                <w:rFonts w:hint="eastAsia" w:ascii="宋体" w:hAnsi="宋体" w:cs="宋体"/>
                <w:sz w:val="20"/>
                <w:szCs w:val="20"/>
              </w:rPr>
              <w:t xml:space="preserve">支持回声抵消功能，在语音对讲时可消除回声，支持混音录像功能，可将音频输入和客户端采集的声音保存至录像文件。</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学生摄像机</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2"/>
              </w:numPr>
              <w:spacing w:line="0" w:lineRule="atLeast"/>
              <w:rPr>
                <w:rFonts w:ascii="宋体" w:hAnsi="宋体" w:cs="宋体"/>
                <w:sz w:val="20"/>
                <w:szCs w:val="20"/>
              </w:rPr>
            </w:pPr>
            <w:r>
              <w:rPr>
                <w:rFonts w:hint="eastAsia" w:ascii="宋体" w:hAnsi="宋体" w:cs="宋体"/>
                <w:sz w:val="20"/>
                <w:szCs w:val="20"/>
              </w:rPr>
              <w:t xml:space="preserve">▲摄像机采用≥1/2.8英寸传感器，图像分辨率≥3840×2160，内置GPU芯片，支持ANR断网续传功能，断网情况下视频码流、抓拍图片可自动存储到本地存储卡并在网络恢复后自动上传；（投标人须提供产品彩页、产品说明书、官网截图，且加盖公章，提供其中之一即可。）</w:t>
            </w:r>
            <w:r/>
          </w:p>
          <w:p>
            <w:pPr>
              <w:numPr>
                <w:ilvl w:val="0"/>
                <w:numId w:val="32"/>
              </w:numPr>
              <w:spacing w:line="0" w:lineRule="atLeast"/>
              <w:rPr>
                <w:rFonts w:ascii="宋体" w:hAnsi="宋体" w:cs="宋体"/>
                <w:sz w:val="20"/>
                <w:szCs w:val="20"/>
              </w:rPr>
            </w:pPr>
            <w:r>
              <w:rPr>
                <w:rFonts w:hint="eastAsia" w:ascii="宋体" w:hAnsi="宋体" w:cs="宋体"/>
                <w:sz w:val="20"/>
                <w:szCs w:val="20"/>
              </w:rPr>
              <w:t xml:space="preserve">■摄像机采用2.8～12mm电动变焦镜头，最低照度≤0.0005Lux（彩色），≤0.0001Lux（黑白），满足图像信噪比≥58dB，动态范围≥120dB，图像水平中心分辨力≥2000TVL，灰度等级≥11级；</w:t>
            </w:r>
            <w:r/>
          </w:p>
          <w:p>
            <w:pPr>
              <w:numPr>
                <w:ilvl w:val="0"/>
                <w:numId w:val="32"/>
              </w:numPr>
              <w:spacing w:line="0" w:lineRule="atLeast"/>
              <w:rPr>
                <w:rFonts w:ascii="宋体" w:hAnsi="宋体" w:cs="宋体"/>
                <w:sz w:val="20"/>
                <w:szCs w:val="20"/>
              </w:rPr>
            </w:pPr>
            <w:r>
              <w:rPr>
                <w:rFonts w:hint="eastAsia" w:ascii="宋体" w:hAnsi="宋体" w:cs="宋体"/>
                <w:sz w:val="20"/>
                <w:szCs w:val="20"/>
              </w:rPr>
              <w:t xml:space="preserve">设备具备1×RJ45、1×RS485、1×LineIn、1×LineOut、1×MIC IN、1×speaker out、2×告警输入、1×告警输出、1×TF卡槽、1×DC12V电源接口、支持POE供电；</w:t>
            </w:r>
            <w:r/>
          </w:p>
          <w:p>
            <w:pPr>
              <w:numPr>
                <w:ilvl w:val="0"/>
                <w:numId w:val="32"/>
              </w:numPr>
              <w:spacing w:line="0" w:lineRule="atLeast"/>
              <w:rPr>
                <w:rFonts w:ascii="宋体" w:hAnsi="宋体" w:cs="宋体"/>
                <w:sz w:val="20"/>
                <w:szCs w:val="20"/>
              </w:rPr>
            </w:pPr>
            <w:r>
              <w:rPr>
                <w:rFonts w:hint="eastAsia" w:ascii="宋体" w:hAnsi="宋体" w:cs="宋体"/>
                <w:sz w:val="20"/>
                <w:szCs w:val="20"/>
              </w:rPr>
              <w:t xml:space="preserve">支持G.711a、G.711u、G.722、AAC_LC、ADPCM音频编码格式，支持AEC回声消除、混音录像功能；支持通过客户端软件或浏览器发起语音对讲，可实现摄像机与客户端之间的双向语音对讲；</w:t>
            </w:r>
            <w:r/>
          </w:p>
          <w:p>
            <w:pPr>
              <w:numPr>
                <w:ilvl w:val="0"/>
                <w:numId w:val="32"/>
              </w:numPr>
              <w:spacing w:line="0" w:lineRule="atLeast"/>
              <w:rPr>
                <w:rFonts w:ascii="宋体" w:hAnsi="宋体" w:cs="宋体"/>
                <w:sz w:val="20"/>
                <w:szCs w:val="20"/>
              </w:rPr>
            </w:pPr>
            <w:r>
              <w:rPr>
                <w:rFonts w:hint="eastAsia" w:ascii="宋体" w:hAnsi="宋体" w:cs="宋体"/>
                <w:sz w:val="20"/>
                <w:szCs w:val="20"/>
              </w:rPr>
              <w:t xml:space="preserve">摄像机支持</w:t>
            </w:r>
            <w:bookmarkStart w:id="190" w:name="OLE_LINK20"/>
            <w:r>
              <w:rPr>
                <w:rFonts w:hint="eastAsia" w:ascii="宋体" w:hAnsi="宋体" w:cs="宋体"/>
                <w:sz w:val="20"/>
                <w:szCs w:val="20"/>
              </w:rPr>
              <w:t xml:space="preserve">国标</w:t>
            </w:r>
            <w:bookmarkStart w:id="191" w:name="OLE_LINK19"/>
            <w:r/>
            <w:bookmarkStart w:id="192" w:name="OLE_LINK17"/>
            <w:r>
              <w:rPr>
                <w:rFonts w:hint="eastAsia" w:ascii="宋体" w:hAnsi="宋体" w:cs="宋体"/>
                <w:sz w:val="20"/>
                <w:szCs w:val="20"/>
              </w:rPr>
              <w:t xml:space="preserve">GB/T 28181</w:t>
            </w:r>
            <w:bookmarkEnd w:id="190"/>
            <w:r/>
            <w:bookmarkEnd w:id="191"/>
            <w:r/>
            <w:bookmarkEnd w:id="192"/>
            <w:r>
              <w:rPr>
                <w:rFonts w:hint="eastAsia" w:ascii="宋体" w:hAnsi="宋体" w:cs="宋体"/>
                <w:sz w:val="20"/>
                <w:szCs w:val="20"/>
              </w:rPr>
              <w:t xml:space="preserve">-2022、Onvif等多种协议，可复用于标考及监控；</w:t>
            </w:r>
            <w:r/>
          </w:p>
          <w:p>
            <w:pPr>
              <w:numPr>
                <w:ilvl w:val="0"/>
                <w:numId w:val="32"/>
              </w:numPr>
              <w:spacing w:line="0" w:lineRule="atLeast"/>
              <w:rPr>
                <w:rFonts w:ascii="宋体" w:hAnsi="宋体" w:cs="宋体"/>
                <w:sz w:val="20"/>
                <w:szCs w:val="20"/>
              </w:rPr>
            </w:pPr>
            <w:r>
              <w:rPr>
                <w:rFonts w:hint="eastAsia" w:ascii="宋体" w:hAnsi="宋体" w:cs="宋体"/>
                <w:sz w:val="20"/>
                <w:szCs w:val="20"/>
              </w:rPr>
              <w:t xml:space="preserve">为复用于夜间监控，设备具备≥30米距离红外夜视，支持SmartIR功能，可根据所摄目标距离自动调节补光辐射功率，使物体不过曝。</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课堂实录直点播应用</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项</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课程管理，可为老师提供课堂实录管理模块，包含观看授权管理、观看记录、助教管理、AI字幕、学生提问等，老师可自助新增课程及排课，课次可上传视频及转播到第三方直播平台。老师可按课程及课次设置校内开放、校外开放权限，支持批量设置开放关闭权限。</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平台支持课程观看记录查询，可查看当前课程所有用户的观看记录并以报表形式导出；</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■平台支持课程AI字幕管理，支持对已生成的字幕进行编辑、导出，可对字幕进行审核后再发布；</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平台支持实时接收站内消息，用户可提交反馈问题、举报信息，支持管理员接收并查看无效课程、举报、反馈等通知信息，支持教师关闭课程后推送消息通知管理员；</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具备浏览器无插件浏览直点播功能：支持双路视频播放（教师画面+课件画面），可切换单双屏、大小屏互换、全屏播放，可实现声道选择与音量总控制，支持一键开启“音频增强”功能，开启后人声更加清晰响亮；支持直点播观看自由选择教师画面、学生画面、板书画面、PPT画面中的一路、二路、三路、四路画面进行观看，支持多种倍速播放，支持清晰度网络自适和用户手动切换清晰度播放；</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平台支持PPT切片索引功能，可对课件视频流进行智能分析并抽帧形成切片索引，可生成时间戳定位，索引在单独模块中展示，点击切片可跳转对位置；</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平台支持OCR识别功能，通过对PPT切片内文字识别，可提取内容关键词并支持对内容进行搜索；</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平台支持鼠标在播放器进度条上移动或拖动时显示视频关键帧，在进度条上方可显示播放量波形图，呈现视频节点热度变化；</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个人中心功能，可在个人中心中查看观看记录、收藏、提问、回复、笔记、设置、消息通知等；其中在观看记录中可显示具体的历史观看资源及对观看进度，点击可直接跳转到对的历史观看位置继续播放；</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平台支持资源质量分析，可根据视频和音频，自动筛选判断图像不清晰、格式不正确、无法播放、视频无有效信息、是否正常上课等视频资源，并提供复核机制；</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为对突发事件，平台支持一键关停所有直播、单个直播功能；支持一键关闭所有、单个点播；</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系统支持资源管理看板，支持查看当前观看人数、当前直播课次、当前点播课次；支持查看近7天、周次、月度、学期、历史等维度的点播、直播、访问量等累计数据；支持查看按学院、按科目维度的课程点击排行榜、课程观看时长排行榜；支持全校Top课程、学生观看排行总榜、用户终端占比雷达图、用户访问时段分布柱状图、用户访问趋势折线图、视频有效性分析雷达图、折线图等；支持按直播、按点播维度的历史观看记录详情数据；</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平台支持视频整体热力图查看，可查看观看该视频所有用户的详细数据，包括用户累计观看时长、平均时长、完播率、用户观看情况热力图、观看记录、拖拽记录等；</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平台支持详细的用配置，支持对平台Logo、页尾版权标识、默认封面、主题样式等进行设置，支持设定播前声明，可配置视频播放前的视频或图片，可设置图片显示时长；</w:t>
            </w:r>
            <w:r/>
          </w:p>
          <w:p>
            <w:pPr>
              <w:numPr>
                <w:ilvl w:val="0"/>
                <w:numId w:val="33"/>
              </w:numPr>
              <w:spacing w:line="0" w:lineRule="atLeast"/>
              <w:rPr>
                <w:rFonts w:ascii="宋体" w:hAnsi="宋体" w:cs="宋体"/>
                <w:sz w:val="20"/>
                <w:szCs w:val="20"/>
              </w:rPr>
            </w:pPr>
            <w:r>
              <w:rPr>
                <w:rFonts w:hint="eastAsia" w:ascii="宋体" w:hAnsi="宋体" w:cs="宋体"/>
                <w:sz w:val="20"/>
                <w:szCs w:val="20"/>
              </w:rPr>
              <w:t xml:space="preserve">平台具备7×24小时不间断运行的高可靠性，同时为保证系统安全可靠地运行，保证相关监测数据保密，维护数据相关方的合法权益，系统具备良好的安全策略，安全手段，安全环境及安全管理措施。</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AI数字化巡课应用</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项</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■系统采用B/S架构设计，所有操作基于浏览器即可完成，无需安装客户端；适配PC、平板、手机等多终端浏览，兼容Windows、MacOS、IOS、安卓、鸿蒙等操作系统；</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系统能够在国产化环境下部署，可达到统信UOS、中标麒麟NeoKylin、欧拉OpenEuler等国产化操作系统的通用兼容性要求及性能、可靠性要求，可兼容主流国产化中间件、数据库、芯片、服务器；</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系统具备在线巡课、预警中心、教室情况统计、系统管理等功能模块，并可根据巡课场景配置不同的视频巡查预案。</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■系统具备教学数据导航面板，支持统计在线教室数量、总教室数、待上课程数、总课程数、上课中教室数、即将上可教室数、无课教室数、异常告警教室数；</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通过勾选“上课中、即将上课、无课、异常”状态快速过滤教室数据，也支持进行综合数据筛选，可筛选的条件包括：楼栋名称、教室名称、课程名称、课程状态、异常状态、教室状态、异常类型、AI指标阈值等，筛选后右侧分页显示相层级下的教室资源；</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系统支持关注面板，支持查看所有已关注的教室，支持教室名称、教学楼模糊搜索关注的教室，支持单个删除或全部清空关注教室；</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系统支持单视角与多视角切换，在4/6/9/10/16/36窗口模式下支持不同的视角方案；切换到不同的多视角后，可根据设置的规则，按组合并显示相同教室的不同视角；</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设置播放器窗口内视频画面填充样式，可选值包括完全填充、水平填充、垂直填充、16:9、4:3、自适填充；系统支持对巡视窗口进行手动视角切换、一键开启/关闭声音、一键全屏、一键关注/取消关注等操作；</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▲系统支持轮巡功能，默认关闭，开启后有超过一页视频窗口时，可按设定时间自动翻页，翻页间隔时间默认60秒，可手动调整，关闭则停止轮巡；支持AI分析，有课时展示学情、教情等 AI分析数据，涵盖选课学生、实到学生等多项指标及学生行为趋势图，预警信息有则显示；支持预警数据统计，可统计今日新增高、中、低预警数量，以及统计时间范围内累计预警数量及待处理/挂起/已处理预警数量，支持按楼栋、学院维度统计；（提供软件功能截图并加盖公章。）</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系统巡视窗口支持展示对教室名称、课程状态、当前播放视角等信息；当该教室有排课信息时，支持通过鼠标悬停的方式显示课程名称、教学班编号、教学班名称、授课老师、课程时间、开课学院等信息；</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在选用WebRTC协议、单路视频流为1080P/2Mbps码流情况下，单路视频源的加载时长≤200ms，36路视频同时加载时长≤2S；（投标人须提供产品彩页、产品说明书、官网截图，且加盖公章，提供其中之一即可。）</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通过巡视面板窗口快速跳转到教室详情页面，有课时顶部显示课程相关信息（课程名称、授课老师、时间、教学班名称等）；支持排课教室数据统计，支持展示课程时间、节次、名称、教室、教学班、授课老师、学生应到/实到/迟到人数、到勤率、前排就坐人数、前排就座率、前排满座率、抬头率、教室座位利用率等数据；无课教室数据统计支持展示时间段划分、教室状态、教室座位数、教室人数、前排上座率、前排空闲率等维数据；</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系统支持在教室详情页自主设置分屏样式，可手动切换单屏、双屏、三屏、四屏，对分屏窗口可自主选择可播放的视角数据源；在多画面模式下，支持通过手动拖拽的方式对调不同分屏的视角数据源；</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系统支持管理员对教室内的摄像头进行PTZ控制，支持方向控制、视野缩放，支持复位操作；为便于运维管理及紧急情况指挥，支持管理员对教室内的摄像机进行反向语音呼叫与教室人员进行沟通；</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预警事件设置，可设置学情、设备维度的预警事件，学情预警事件支持指标名称、预警等级、触发阈值、提醒文案等参数设置；设备预警事件支持指标名称、提醒等级、触发频次、提醒文案等参数设置；支持预警策略设置，预警策略支持策略名称、策略说明参数设置，支持添加已启用的预警事件作为策略内容；</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系统支持展示学情、设备维度的告警分布柱状图，以及每个维度下各个细分类的预警数量及占比圆环图；</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系统支持预警管理，支持以列表的形式展示学情、设备纬度的预警详细数据，支持预警数据导出、单个处理、批量处理等；</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系统支持配置浅色、深色主体的系统LOGO，支持一键切换平台深色或浅色皮肤，适不同显示场景；</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平台支持1/4/9/10/16/36等多种巡视窗口模式切换，具备低内存运行模式，36画面视频加载无延迟卡顿；支持一键全屏、“钉住”悬浮及视频码率全局切换，支持实时音频检测并以动态音量柱形式展示教室声音波动；支持多视窗巡视模式一键展示窗口教室AI学情分析结果无需跳转；支持综合数据筛选（如楼栋、教室、课程名称/状态、预警状态、AI指标阈值等）提升巡视效率；支持空间概览功能，按校区、楼宇可视化展示空间利用率、空闲率、额定容量、使用率及利用率排名；(演示内容)</w:t>
            </w:r>
            <w:r/>
          </w:p>
          <w:p>
            <w:pPr>
              <w:numPr>
                <w:ilvl w:val="0"/>
                <w:numId w:val="34"/>
              </w:numPr>
              <w:spacing w:line="0" w:lineRule="atLeast"/>
              <w:rPr>
                <w:rFonts w:ascii="宋体" w:hAnsi="宋体" w:cs="宋体"/>
                <w:sz w:val="20"/>
                <w:szCs w:val="20"/>
              </w:rPr>
            </w:pPr>
            <w:r>
              <w:rPr>
                <w:rFonts w:hint="eastAsia" w:ascii="宋体" w:hAnsi="宋体" w:cs="宋体"/>
                <w:sz w:val="20"/>
                <w:szCs w:val="20"/>
              </w:rPr>
              <w:t xml:space="preserve">平台支持全域教学数字化巡课驾驶舱，同一界面集成展示教学运行态势，包括今日概况、学情概况、开课数量、空间使用情况、学情教情异常趋势及信息、上课情况、巡课覆盖情况等；平台支持预警策略配置（包括学情、教情、设备、空间等维度），可设置教师迟到、教师早退等预警事件；平台支持自定义创建巡检计划，实现设备自动周期化巡检，可自动识别图像模糊、遮挡、信号丢失、画面歪等异常并生成巡检历史报告。(演示内容)</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督导听评课应用</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项</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采用B/S架构设计，所有操作基于浏览器即可完成，无安装客户端；适配PC、手机等多终端浏览，兼容Windows、MacOS、IOS、安卓、鸿蒙等操作系统；能够在国产化环境下部署，经测试可达到统信UOS、中标麒麟NeoKylin、欧拉OpenEuler等国产化操作系统的通用兼容性要求及性能、可靠性要求，可兼容国产化中间件、数据库、芯片、服务器；</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线上听课和线下听课。线上听课支持接入常态录播，专家查看直播或点播并进行评价。线下听课支持表单填写提交，可分为两种课程匹配模式：①填写课程信息，匹配听课任务和方案②填写上课时间，匹配课程及对听课任务和方案。系统支持未匹配到排课时，手动填写课程信息提交表单；</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■系统支持校级、院级角色（包括但不限于领导、管理员、督导等）分别管理各自的专家、方案、任务、建议及评价数据；</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配置常规任务和专项任务，其中专项任务可设置任务名称、时间、课程来源及归属组织，支持指定任务组长、设置课程能否看直播或回看、设置回看时间，支持按院系、科目、教学班、授课老师、教室等不同维度设置任务范围；（提供软件功能截图并加盖公章。）</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可对接录播系统对课程进行在线直播及点播回看，支持倍速播放，播放器支持加载≥4路视频源，支持接入三率分析，包括到勤率、前排就座率和抬头率，支持学生到勤率管理，剔除重修、免听等人员，支持≥4个摄像头划区管理，支持配置教学行为空间划区；</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系统支持根据筛选条件进行筛选，可根据课程名称、教学班、授课教师、开课学院、教学楼、教室名称、课程状态（直播中、回看、即将开始）、课程来源等不同维度进行筛选；</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教学意见查看，支持校级管理员查看专家提交给所有院系的反馈建议。支持院系管理员查看专家提交给所属院系的反馈建议；支持专家匿名提交给老师或给学院的建议。(管理员可开启或关闭该功能)系统支持手动或自动保存评价内容；</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■系统支持线上听课过程中进行点评标记，可自动截取标记教室视频画面并对课程视频进行打点标记及评价，支持根据打点结果定位视频播放，作为督导的评分依据；</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评价管理，支持对不同视图启用不同的专家匿名逻辑，支持查看评价明细，并导出评价汇总表（excel表）及明细表（word表单），支持对已提交的评价进行退回操作，退回后专家可编辑后再次提交，可修正专家提交的系统内无排课的课程评价；</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系统支持观看记录查看，支持校级管理员查看所有专家的课程观看记录，包括观看时长、观看方式等，支持导出明细。支持校级管理员查看所有用户的无课教室巡查，包括巡查时间、巡查人员、教室及观看时长；</w:t>
            </w:r>
            <w:r/>
          </w:p>
          <w:p>
            <w:pPr>
              <w:numPr>
                <w:ilvl w:val="0"/>
                <w:numId w:val="35"/>
              </w:numPr>
              <w:spacing w:line="0" w:lineRule="atLeast"/>
              <w:rPr>
                <w:rFonts w:ascii="宋体" w:hAnsi="宋体" w:cs="宋体"/>
                <w:sz w:val="20"/>
                <w:szCs w:val="20"/>
              </w:rPr>
            </w:pPr>
            <w:r>
              <w:rPr>
                <w:rFonts w:hint="eastAsia" w:ascii="宋体" w:hAnsi="宋体" w:cs="宋体"/>
                <w:sz w:val="20"/>
                <w:szCs w:val="20"/>
              </w:rPr>
              <w:t xml:space="preserve">系统支持接入多类型（支持GB/T 28181-2022、 Onvif、RTSP、RTMP、HLS、H.323、SIP等协议）、多厂家已建设的精品录播、常态录播、移动录播、监控设备，满足不同场景下的听评课求。</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教育融合视讯中台应用</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项</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采用微服务架构，支持服务注册发现、负载均衡、熔断限流等核心治理功能，服务间通信采用轻量级协议和标准数据格式，支持跨可用区容灾和灰度发布，通过服务网格实现细粒度的流量控制和全链路监控；（投标人须提供产品彩页、产品说明书、官网截图，且加盖公章，提供其中之一即可。）</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采用统一的媒体平台框架，实现微服务的动态部署、加载/卸载和状态管理，支持服务间数据交互与媒体流调度；单服务故障时自动隔离，系统整体可用性≥95%；系统支持集群管理，查看集群名称、版本、状态、描述、节点个数等信息；实现集群创建、接入、脱离、恢复、NTP配置、DNS配置等操作；</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集群式部署，支持集群状况总览，包含实际使用CPU核数，使用内存、集群节点状态、健康状态、可用性等；支持查看集群服务网络流量、集群服务的CPU使用率、内存使用率、节点状态、CEPH存储健康状态等进行实时可视化监控；</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集群跨节点部署，确保业务的高可用性，节点规格可动态调整（升降配），以适业务求变化，并减少单点故障风险；支持查看集群名称、集群版本、节点个数、集群状态、集群描述等信息；支持接入集群、创建集群、集群恢复/脱离、安全组配置、网络模式切换、集群NTP配置、集群DNS配置修改等操作；</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综合数据看板，支持中台接入设备类型分布、资源类型分布、协议类型分布、设备码流分布的数据查看，支持查看集群运行状态，支持实时设备变动滚动播放，支持查看磁阵写入带宽/读取带宽的实时写入数据折线图，支持查看录像计划与异常数据；（提供软件功能截图并加盖公章）。</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服务代理，支持动态路由（随机/权重/Hash算法），与注册中心集成实现服务发现；支持流量控制，支持通过限流保护后端服务，防止过载；支持中间件服务，支持Kafka高吞吐分布式消息队列，支持异步削峰与数据持久化；支持Redis集群化部署，支持数据分片、持久化及热点数；</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系统支持证书管理，支持查看证书名称、DNS域名、命名空间、证书类型、发行人信息、有效截止时间、证书来源等信息，支持查看证书详细信息、删除证书、重签、下载等操作；</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系统支持设备接入管理，支持GB/T 28181-2022、 Onvif、RTSP、RTMP、HLS、H.323、SIP等标准协议的终端/前端编解码器/IP摄像机/网络串流/视频监控平台统一接入；支持设备管理，支持录入、批量导出、批量导入、批量删除等操作，录入设备信息维度包含但不限于设备类型、设备标签、设备名称、设备型号、设备厂商、区域、分辨率、设备接入类型、主辅流、部门编号等信息；</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系统支持平台接入，支持平台类型、编号、区域、平台厂商、平台状态、平台名称、IPV4地址、端口、用户名、口令、是否要同步时间等信息配置；</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媒体录像服务，支持录像计划的管理，支持根据计划启停录像，存储音视频流;支持录像的回放、下载等业务;支持断网补录功能，网络异常恢复后将缺失的录像从摄像机中进行补录；支持设置录制覆盖策略、容量不足告警功能；录像服务支持集群部署，横向扩展媒体录制能力</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系统支持媒体并发浏览服务，支持WebRTC、RTMP、RTSP、HLS、HTTP、HTTPS、HTTP-FLV、srt等协议调用音视频媒体流，用于第三方业务使用；</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标准的码流分发服务，支持智能码流调度，支持根据访问端IP请求等信息调度适合的媒体服务，支持基于WebRTC的数据加密协议，支持视频防盗链、防下载，支持基于TCP的WebRTC传输协议，单端口可承载200路1080P@30fps H.264流媒体（每路2Mbps）并发播放；（投标人须提供产品彩页、产品说明书、官网截图，且加盖公章，提供其中之一即可。）</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系统支持智能适弱网环境，保障多路视频流畅并发播放，兼顾清晰度与实时性，弱网环境下（丢包率≥10%）视频卡顿率≤3%；</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媒体并发浏览服务支持多实例、多集群部署，支持横向扩展流媒体分发能力，便于弹性扩缩容，可扩展至不低于100,000路2Mbps媒体并发浏览能力；</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内置统一权限管理，包统一权限管理，包含部门管理、用户管理、用户分组管理、角色管理、资源管理、黑名单管理、日志管理、认证器管理；支持用户授权，支持绑定角色、绑定项目、绑定资源、设置项目管理等授权操作；</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系统具备统一开放平台，支持第三方对接用户申请入驻，可通过邮件及其他形式向平台管理员申请入驻管理端，通过审核后，管理员会为申请账户开设管理端权限，并将结果以邮件或其他方式通知给申请人；</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支持API的新增、删除、编辑等管理；支持API内容管理包括分组管理、版本管理、版本地址管理、基本信息设置、请求参数设置；支持RSA/AES加密，进行安全性管理；</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支持策略管理，支持对网关的次数限制、流控、降级、插件策略进行配置，支持对网关的系统规则进行配置；支持策略关联，将配置好的网关策略与API关联生效；</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支持查看数据看板，包含注册用户数量、管理端用户数量、已发布API服务数量/全部API服务数量、已发布API数量/全部API数量；支持查看已发布服务数量统计、已发布API数量统计、新增发布服务数量统计、服务申请接入次数统计的趋势折线图；支持服务申请接入频次TOP、服务调用频次TOP、API接口调用频次TOP数据；</w:t>
            </w:r>
            <w:r/>
          </w:p>
          <w:p>
            <w:pPr>
              <w:numPr>
                <w:ilvl w:val="0"/>
                <w:numId w:val="36"/>
              </w:numPr>
              <w:spacing w:line="0" w:lineRule="atLeast"/>
              <w:rPr>
                <w:rFonts w:ascii="宋体" w:hAnsi="宋体" w:cs="宋体"/>
                <w:i/>
                <w:iCs/>
                <w:sz w:val="20"/>
                <w:szCs w:val="20"/>
                <w:u w:val="single"/>
              </w:rPr>
            </w:pPr>
            <w:r>
              <w:rPr>
                <w:rFonts w:hint="eastAsia" w:ascii="宋体" w:hAnsi="宋体" w:cs="宋体"/>
                <w:i/>
                <w:iCs/>
                <w:sz w:val="20"/>
                <w:szCs w:val="20"/>
                <w:u w:val="single"/>
              </w:rPr>
              <w:t xml:space="preserve">系统提供与学校课表系统对接接口、课表数据中间库接口；提供学校统一身份认证系统对接接口：可提供标准</w:t>
            </w:r>
            <w:r>
              <w:rPr>
                <w:rFonts w:ascii="宋体" w:hAnsi="宋体" w:cs="宋体"/>
                <w:i/>
                <w:iCs/>
                <w:sz w:val="20"/>
                <w:szCs w:val="20"/>
                <w:u w:val="single"/>
              </w:rPr>
              <w:t xml:space="preserve">API </w:t>
            </w:r>
            <w:r>
              <w:rPr>
                <w:rFonts w:hint="eastAsia" w:ascii="宋体" w:hAnsi="宋体" w:cs="宋体"/>
                <w:i/>
                <w:iCs/>
                <w:sz w:val="20"/>
                <w:szCs w:val="20"/>
                <w:u w:val="single"/>
              </w:rPr>
              <w:t xml:space="preserve">接口，用于与第三方平台或系统进行对接。</w:t>
            </w:r>
            <w:r>
              <w:rPr>
                <w:rFonts w:ascii="宋体" w:hAnsi="宋体" w:cs="宋体"/>
                <w:i/>
                <w:iCs/>
                <w:sz w:val="20"/>
                <w:szCs w:val="20"/>
                <w:u w:val="single"/>
              </w:rPr>
              <w:t xml:space="preserve">（投标人提供满足</w:t>
            </w:r>
            <w:r>
              <w:rPr>
                <w:rFonts w:hint="eastAsia" w:ascii="宋体" w:hAnsi="宋体" w:cs="宋体"/>
                <w:i/>
                <w:iCs/>
                <w:sz w:val="20"/>
                <w:szCs w:val="20"/>
                <w:u w:val="single"/>
              </w:rPr>
              <w:t xml:space="preserve">对接要求</w:t>
            </w:r>
            <w:r>
              <w:rPr>
                <w:rFonts w:ascii="宋体" w:hAnsi="宋体" w:cs="宋体"/>
                <w:i/>
                <w:iCs/>
                <w:sz w:val="20"/>
                <w:szCs w:val="20"/>
                <w:u w:val="single"/>
              </w:rPr>
              <w:t xml:space="preserve">的承诺</w:t>
            </w:r>
            <w:r>
              <w:rPr>
                <w:rFonts w:hint="eastAsia" w:ascii="宋体" w:hAnsi="宋体" w:cs="宋体"/>
                <w:i/>
                <w:iCs/>
                <w:sz w:val="20"/>
                <w:szCs w:val="20"/>
                <w:u w:val="single"/>
              </w:rPr>
              <w:t xml:space="preserve">，且加盖公章。）</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平台具备7×24小时不间断运行的高可靠性，同时为保证系统安全可靠地运行，保证相关监测数据保密，维护数据相关方的合法权益，系统具备良好的安全策略，安全手段，安全环境及安全管理措施；</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中台能够满足学校大批量教室接入的扩展要求，可对设备进行录入管理。设备录入时可设置设备编码属性，可配置基础属性（包括设备名称、厂商、点位、型号等）、位置属性、管理属性、接入属性等，具备批量导入、导出、编辑等功能，可查询设备信息（包括国标编码、设备名称、区域、厂商、点位类型、功能类型、经纬度等）；(演示内容)</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中台具备后台管理可视化运维大盘，可实现对主机、集群、网关、中间件、服务的可视化管理，主机管理包括可用/不可调用主机、负载/CPU核数异常等主机状态，集群管理能够展示实际使用的CPU核数和内存，呈现集群的各项状态（包括集群CPU和内存的使用率、申请率、分配率、空置率等），支持展示节点、系统组件和CEPH集群的各项状态，具备正常/异常服务的整体数量统计；(演示内容)</w:t>
            </w:r>
            <w:r/>
          </w:p>
          <w:p>
            <w:pPr>
              <w:numPr>
                <w:ilvl w:val="0"/>
                <w:numId w:val="36"/>
              </w:numPr>
              <w:spacing w:line="0" w:lineRule="atLeast"/>
              <w:rPr>
                <w:rFonts w:ascii="宋体" w:hAnsi="宋体" w:cs="宋体"/>
                <w:sz w:val="20"/>
                <w:szCs w:val="20"/>
              </w:rPr>
            </w:pPr>
            <w:r>
              <w:rPr>
                <w:rFonts w:hint="eastAsia" w:ascii="宋体" w:hAnsi="宋体" w:cs="宋体"/>
                <w:sz w:val="20"/>
                <w:szCs w:val="20"/>
              </w:rPr>
              <w:t xml:space="preserve">中台在平台端提供标准化的开放服务API和WEB SDK组件，支持第三方平台直接通过注册、接入申请获取APIKEY从而进行服务接入。提供开放接口数据看板，可显示注册用户/管理端用户数量、已发布API/全部API服务数量、已发布API/全部API数量；支持查看数量统计趋势图（包括已发布服务、新增发布服务、已发布API和服务申请接入次数统计等）；支持TOP数据统计（包括服务申请接入频次、服务调用频次、API接口调用频次等）。(演示内容)</w:t>
            </w:r>
            <w:r/>
          </w:p>
          <w:p>
            <w:pPr>
              <w:spacing w:line="0" w:lineRule="atLeast"/>
              <w:rPr>
                <w:rFonts w:ascii="宋体" w:hAnsi="宋体" w:cs="宋体"/>
                <w:sz w:val="20"/>
                <w:szCs w:val="20"/>
              </w:rPr>
            </w:pPr>
            <w:r>
              <w:rPr>
                <w:rFonts w:ascii="宋体" w:hAnsi="宋体" w:cs="宋体"/>
                <w:sz w:val="20"/>
                <w:szCs w:val="20"/>
              </w:rPr>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流媒体存储</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7"/>
              </w:numPr>
              <w:spacing w:line="0" w:lineRule="atLeast"/>
              <w:rPr>
                <w:rFonts w:ascii="宋体" w:hAnsi="宋体" w:cs="宋体"/>
                <w:sz w:val="20"/>
                <w:szCs w:val="20"/>
              </w:rPr>
            </w:pPr>
            <w:r>
              <w:rPr>
                <w:rFonts w:hint="eastAsia" w:ascii="宋体" w:hAnsi="宋体" w:cs="宋体"/>
                <w:sz w:val="20"/>
                <w:szCs w:val="20"/>
              </w:rPr>
              <w:t xml:space="preserve">■采用≤3U机架式结构，≥24盘位企业级硬盘，采用双冗余电源，冗余风扇，支持电源、BBU电池、主板、风扇可直接插拔，具备≥2个万兆网络接口、≥1个千兆以太网口；</w:t>
            </w:r>
            <w:r/>
          </w:p>
          <w:p>
            <w:pPr>
              <w:numPr>
                <w:ilvl w:val="0"/>
                <w:numId w:val="37"/>
              </w:numPr>
              <w:spacing w:line="0" w:lineRule="atLeast"/>
              <w:rPr>
                <w:rFonts w:ascii="宋体" w:hAnsi="宋体" w:cs="宋体"/>
                <w:sz w:val="20"/>
                <w:szCs w:val="20"/>
              </w:rPr>
            </w:pPr>
            <w:r>
              <w:rPr>
                <w:rFonts w:hint="eastAsia" w:ascii="宋体" w:hAnsi="宋体" w:cs="宋体"/>
                <w:i/>
                <w:iCs/>
                <w:sz w:val="20"/>
                <w:szCs w:val="20"/>
                <w:u w:val="single"/>
              </w:rPr>
              <w:t xml:space="preserve">本次配置的存储硬盘总容量应≥</w:t>
            </w:r>
            <w:r>
              <w:rPr>
                <w:rFonts w:ascii="宋体" w:hAnsi="宋体" w:cs="宋体"/>
                <w:i/>
                <w:iCs/>
                <w:sz w:val="20"/>
                <w:szCs w:val="20"/>
                <w:u w:val="single"/>
              </w:rPr>
              <w:t xml:space="preserve">96TB；（投标人提供满足容量需求的承诺</w:t>
            </w:r>
            <w:r>
              <w:rPr>
                <w:rFonts w:hint="eastAsia" w:ascii="宋体" w:hAnsi="宋体" w:cs="宋体"/>
                <w:i/>
                <w:iCs/>
                <w:sz w:val="20"/>
                <w:szCs w:val="20"/>
                <w:u w:val="single"/>
              </w:rPr>
              <w:t xml:space="preserve">，且加盖公章。）</w:t>
            </w:r>
            <w:r/>
          </w:p>
          <w:p>
            <w:pPr>
              <w:numPr>
                <w:ilvl w:val="0"/>
                <w:numId w:val="37"/>
              </w:numPr>
              <w:spacing w:line="0" w:lineRule="atLeast"/>
              <w:rPr>
                <w:rFonts w:ascii="宋体" w:hAnsi="宋体" w:cs="宋体"/>
                <w:sz w:val="20"/>
                <w:szCs w:val="20"/>
              </w:rPr>
            </w:pPr>
            <w:r>
              <w:rPr>
                <w:rFonts w:hint="eastAsia" w:ascii="宋体" w:hAnsi="宋体" w:cs="宋体"/>
                <w:sz w:val="20"/>
                <w:szCs w:val="20"/>
              </w:rPr>
              <w:t xml:space="preserve">■单台存储节点的读写性能应支持≥16Gbps或≥1000路（码流4Mbps）高清视频流数据的写入，单台设备支持在任意3块以上硬盘同时出现故障（符合校验要求的情况下），数据不丢失、业务不中断，读写不受影响；</w:t>
            </w:r>
            <w:r/>
          </w:p>
          <w:p>
            <w:pPr>
              <w:numPr>
                <w:ilvl w:val="0"/>
                <w:numId w:val="37"/>
              </w:numPr>
              <w:spacing w:line="0" w:lineRule="atLeast"/>
              <w:rPr>
                <w:rFonts w:ascii="宋体" w:hAnsi="宋体" w:cs="宋体"/>
                <w:sz w:val="20"/>
                <w:szCs w:val="20"/>
              </w:rPr>
            </w:pPr>
            <w:r>
              <w:rPr>
                <w:rFonts w:hint="eastAsia" w:ascii="宋体" w:hAnsi="宋体" w:cs="宋体"/>
                <w:sz w:val="20"/>
                <w:szCs w:val="20"/>
              </w:rPr>
              <w:t xml:space="preserve">控制节点支持单台以及多台节点集群，在不同控制节点进行元数据备份；同时在控制节点全部损坏情况下，从已有的存储节点中恢复系统元数据；支持在硬盘出现故障时在系统全局空闲空间内自动恢复数据，数据恢复速度可达到≥6TB/h，数据恢复过程中业务不中断；</w:t>
            </w:r>
            <w:r/>
          </w:p>
          <w:p>
            <w:pPr>
              <w:numPr>
                <w:ilvl w:val="0"/>
                <w:numId w:val="37"/>
              </w:numPr>
              <w:spacing w:line="0" w:lineRule="atLeast"/>
              <w:rPr>
                <w:rFonts w:ascii="宋体" w:hAnsi="宋体" w:cs="宋体"/>
                <w:sz w:val="20"/>
                <w:szCs w:val="20"/>
              </w:rPr>
            </w:pPr>
            <w:r>
              <w:rPr>
                <w:rFonts w:hint="eastAsia" w:ascii="宋体" w:hAnsi="宋体" w:cs="宋体"/>
                <w:sz w:val="20"/>
                <w:szCs w:val="20"/>
              </w:rPr>
              <w:t xml:space="preserve">支持分布存储架构，单台设备可独立配置为控制节点或存储节点，也可配置为控制和存储一体节点，存储方案需支持单台工作模式、非对称式分布存储架构以及对称分布存储架构。支持存储节点、节点内硬盘级别负载均衡；</w:t>
            </w:r>
            <w:r/>
          </w:p>
          <w:p>
            <w:pPr>
              <w:numPr>
                <w:ilvl w:val="0"/>
                <w:numId w:val="37"/>
              </w:numPr>
              <w:spacing w:line="0" w:lineRule="atLeast"/>
              <w:rPr>
                <w:rFonts w:ascii="宋体" w:hAnsi="宋体" w:cs="宋体"/>
                <w:sz w:val="20"/>
                <w:szCs w:val="20"/>
              </w:rPr>
            </w:pPr>
            <w:r>
              <w:rPr>
                <w:rFonts w:hint="eastAsia" w:ascii="宋体" w:hAnsi="宋体" w:cs="宋体"/>
                <w:sz w:val="20"/>
                <w:szCs w:val="20"/>
              </w:rPr>
              <w:t xml:space="preserve">支持通过WEB方式对系统进行管理，实现集群的配置、资源使用状态监控、运行状态、性能监控、在线批量升级、系统日志查询、故障报警及一键升级等功能；</w:t>
            </w:r>
            <w:r/>
          </w:p>
          <w:p>
            <w:pPr>
              <w:numPr>
                <w:ilvl w:val="0"/>
                <w:numId w:val="37"/>
              </w:numPr>
              <w:spacing w:line="0" w:lineRule="atLeast"/>
              <w:rPr>
                <w:rFonts w:ascii="宋体" w:hAnsi="宋体" w:cs="宋体"/>
                <w:sz w:val="20"/>
                <w:szCs w:val="20"/>
              </w:rPr>
            </w:pPr>
            <w:r>
              <w:rPr>
                <w:rFonts w:hint="eastAsia" w:ascii="宋体" w:hAnsi="宋体" w:cs="宋体"/>
                <w:sz w:val="20"/>
                <w:szCs w:val="20"/>
              </w:rPr>
              <w:t xml:space="preserve">▲支持流媒体服务能力，支持前端摄像机的视频流通过国标GB/T 28181-2022协议直接写入存储设备，支持存储配额配置和空间预分配功能，具备逻辑策略和物理机制双重空间管理，防止异常高码率挤占、降低写入延迟、确保负载高峰时的流媒体写入；（投标人须提供产品彩页、产品说明书、官网截图，且加盖公章，提供其中之一即可。）</w:t>
            </w:r>
            <w:r/>
          </w:p>
          <w:p>
            <w:pPr>
              <w:numPr>
                <w:ilvl w:val="0"/>
                <w:numId w:val="37"/>
              </w:numPr>
              <w:spacing w:line="0" w:lineRule="atLeast"/>
              <w:rPr>
                <w:rFonts w:ascii="宋体" w:hAnsi="宋体" w:cs="宋体"/>
                <w:sz w:val="20"/>
                <w:szCs w:val="20"/>
              </w:rPr>
            </w:pPr>
            <w:r>
              <w:rPr>
                <w:rFonts w:hint="eastAsia" w:ascii="宋体" w:hAnsi="宋体" w:cs="宋体"/>
                <w:sz w:val="20"/>
                <w:szCs w:val="20"/>
              </w:rPr>
              <w:t xml:space="preserve">支持不同节点的硬盘随意漫游，漫游过程中，不会造成数据丢失情况，方便运维和管理；</w:t>
            </w:r>
            <w:r/>
          </w:p>
          <w:p>
            <w:pPr>
              <w:numPr>
                <w:ilvl w:val="0"/>
                <w:numId w:val="37"/>
              </w:numPr>
              <w:spacing w:line="0" w:lineRule="atLeast"/>
              <w:rPr>
                <w:rFonts w:ascii="宋体" w:hAnsi="宋体" w:cs="宋体"/>
                <w:sz w:val="20"/>
                <w:szCs w:val="20"/>
              </w:rPr>
            </w:pPr>
            <w:r>
              <w:rPr>
                <w:rFonts w:hint="eastAsia" w:ascii="宋体" w:hAnsi="宋体" w:cs="宋体"/>
                <w:sz w:val="20"/>
                <w:szCs w:val="20"/>
              </w:rPr>
              <w:t xml:space="preserve">存储可与学校原有录播资源分布式存储组成云存储集群，需确保集群存储的稳定性与兼容性。</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教师机主机（工作站）</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8"/>
              </w:numPr>
              <w:spacing w:line="0" w:lineRule="atLeast"/>
              <w:rPr>
                <w:rFonts w:ascii="宋体" w:hAnsi="宋体" w:cs="宋体"/>
                <w:sz w:val="20"/>
                <w:szCs w:val="20"/>
              </w:rPr>
            </w:pPr>
            <w:r>
              <w:rPr>
                <w:rFonts w:hint="eastAsia" w:ascii="宋体" w:hAnsi="宋体" w:cs="宋体"/>
                <w:sz w:val="20"/>
                <w:szCs w:val="20"/>
              </w:rPr>
              <w:t xml:space="preserve">详见其他要求：1.《教师机主机（工作站）采购需求》。</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教学驾驶舱（讲台）</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张</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39"/>
              </w:numPr>
              <w:spacing w:line="0" w:lineRule="atLeast"/>
              <w:rPr>
                <w:rFonts w:ascii="宋体" w:hAnsi="宋体" w:cs="宋体"/>
                <w:sz w:val="20"/>
                <w:szCs w:val="20"/>
              </w:rPr>
            </w:pPr>
            <w:r>
              <w:rPr>
                <w:rFonts w:hint="eastAsia" w:ascii="宋体" w:hAnsi="宋体" w:cs="宋体"/>
                <w:sz w:val="20"/>
                <w:szCs w:val="20"/>
              </w:rPr>
              <w:t xml:space="preserve">桌面板材在老师接触位置为木质桌面，采用E0级免漆板，环保耐磨，厚度≥25mm（±2mm），尺寸≥1600mm×750mm(±10mm）;</w:t>
            </w:r>
            <w:r/>
          </w:p>
          <w:p>
            <w:pPr>
              <w:numPr>
                <w:ilvl w:val="0"/>
                <w:numId w:val="39"/>
              </w:numPr>
              <w:spacing w:line="0" w:lineRule="atLeast"/>
              <w:rPr>
                <w:rFonts w:ascii="宋体" w:hAnsi="宋体" w:cs="宋体"/>
                <w:sz w:val="20"/>
                <w:szCs w:val="20"/>
              </w:rPr>
            </w:pPr>
            <w:r>
              <w:rPr>
                <w:rFonts w:hint="eastAsia" w:ascii="宋体" w:hAnsi="宋体" w:cs="宋体"/>
                <w:sz w:val="20"/>
                <w:szCs w:val="20"/>
              </w:rPr>
              <w:t xml:space="preserve">桌板前部具备高围挡设计，可防止桌面物品滚落，围挡装有高度≥100mm的透明亚克力装饰板，桌面两侧前方有和围挡同色的木凸台，厚度≥20mm，用于放置控制设备、话筒、信息盒和内嵌式水杯槽等；</w:t>
            </w:r>
            <w:r/>
          </w:p>
          <w:p>
            <w:pPr>
              <w:numPr>
                <w:ilvl w:val="0"/>
                <w:numId w:val="39"/>
              </w:numPr>
              <w:spacing w:line="0" w:lineRule="atLeast"/>
              <w:rPr>
                <w:rFonts w:ascii="宋体" w:hAnsi="宋体" w:cs="宋体"/>
                <w:sz w:val="20"/>
                <w:szCs w:val="20"/>
              </w:rPr>
            </w:pPr>
            <w:r>
              <w:rPr>
                <w:rFonts w:hint="eastAsia" w:ascii="宋体" w:hAnsi="宋体" w:cs="宋体"/>
                <w:sz w:val="20"/>
                <w:szCs w:val="20"/>
              </w:rPr>
              <w:t xml:space="preserve">桌架为钢材，表面处理选用静电喷涂技术，颜色灰色，前部具备有完整平面的前挡板设计，可拆卸，方便机柜维护，可粘贴学校的校徽LOGO，下部设计有标准机柜设备安装支架，安装数量≥10U，前后门都可以打开方便维护，前后门都具有散热孔，前门带锁；</w:t>
            </w:r>
            <w:r/>
          </w:p>
          <w:p>
            <w:pPr>
              <w:numPr>
                <w:ilvl w:val="0"/>
                <w:numId w:val="39"/>
              </w:numPr>
              <w:spacing w:line="0" w:lineRule="atLeast"/>
              <w:rPr>
                <w:rFonts w:ascii="宋体" w:hAnsi="宋体" w:cs="宋体"/>
                <w:sz w:val="20"/>
                <w:szCs w:val="20"/>
              </w:rPr>
            </w:pPr>
            <w:r>
              <w:rPr>
                <w:rFonts w:hint="eastAsia" w:ascii="宋体" w:hAnsi="宋体" w:cs="宋体"/>
                <w:sz w:val="20"/>
                <w:szCs w:val="20"/>
              </w:rPr>
              <w:t xml:space="preserve">■讲桌具备电动升降结构，桌面的离地总高度升降范围：715mm~1100mm(±5mm），电动升降立柱采用双电机两节，桌架最大均布载荷100Kg均布，最大速度：25mm/s，控制盒带陀螺仪功能，遇阻回退防夹保护，桌面震动和突然倾斜立刻停止升降。桌面配备一体化的显示器底座，支持安装≥23.8寸的显示器，同时底座具备键鼠收纳空间，用于存放键鼠设备，桌面信息盒具备抽线区和接口区，接口区：≥1个万能5孔220V电源插座 、≥2路USB接口，≥3路抽线孔位。</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触控书写显示屏</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40"/>
              </w:numPr>
              <w:spacing w:line="0" w:lineRule="atLeast"/>
              <w:rPr>
                <w:rFonts w:ascii="宋体" w:hAnsi="宋体" w:cs="宋体"/>
                <w:sz w:val="20"/>
                <w:szCs w:val="20"/>
              </w:rPr>
            </w:pPr>
            <w:r>
              <w:rPr>
                <w:rFonts w:hint="eastAsia" w:ascii="宋体" w:hAnsi="宋体" w:cs="宋体"/>
                <w:sz w:val="20"/>
                <w:szCs w:val="20"/>
              </w:rPr>
              <w:t xml:space="preserve">■触控书写显示屏尺寸≥23英寸，物理分辨率≥1920×1080，书写显示屏具有≥五个功能按键，具备的接口不低于：1路HDMI输入口；1路USB-B型触摸信号输出接口；1路全功能Type-C接口；</w:t>
            </w:r>
            <w:r/>
          </w:p>
          <w:p>
            <w:pPr>
              <w:numPr>
                <w:ilvl w:val="0"/>
                <w:numId w:val="40"/>
              </w:numPr>
              <w:spacing w:line="0" w:lineRule="atLeast"/>
              <w:rPr>
                <w:rFonts w:ascii="宋体" w:hAnsi="宋体" w:cs="宋体"/>
                <w:sz w:val="20"/>
                <w:szCs w:val="20"/>
              </w:rPr>
            </w:pPr>
            <w:r>
              <w:rPr>
                <w:rFonts w:hint="eastAsia" w:ascii="宋体" w:hAnsi="宋体" w:cs="宋体"/>
                <w:sz w:val="20"/>
                <w:szCs w:val="20"/>
              </w:rPr>
              <w:t xml:space="preserve">书写面板玻璃、电容触摸屏、显示屏要求采用无缝隙全贴合技术，支持≥10点电容触摸，响应时间≤5ms；支持电磁书写笔，支持笔划粗细适应及笔锋效果，笔尾端带橡皮擦功能；</w:t>
            </w:r>
            <w:r/>
          </w:p>
          <w:p>
            <w:pPr>
              <w:numPr>
                <w:ilvl w:val="0"/>
                <w:numId w:val="40"/>
              </w:numPr>
              <w:spacing w:line="0" w:lineRule="atLeast"/>
              <w:rPr>
                <w:rFonts w:ascii="宋体" w:hAnsi="宋体" w:cs="宋体"/>
                <w:sz w:val="20"/>
                <w:szCs w:val="20"/>
              </w:rPr>
            </w:pPr>
            <w:r>
              <w:rPr>
                <w:rFonts w:hint="eastAsia" w:ascii="宋体" w:hAnsi="宋体" w:cs="宋体"/>
                <w:sz w:val="20"/>
                <w:szCs w:val="20"/>
              </w:rPr>
              <w:t xml:space="preserve">■书写显示屏具备Windows窗口导航功能，教师可在导航窗口内通过点击缩略图即可实现各类资源在屏幕内的快速切换与显示；</w:t>
            </w:r>
            <w:r/>
          </w:p>
          <w:p>
            <w:pPr>
              <w:numPr>
                <w:ilvl w:val="0"/>
                <w:numId w:val="40"/>
              </w:numPr>
              <w:spacing w:line="0" w:lineRule="atLeast"/>
              <w:rPr>
                <w:rFonts w:ascii="宋体" w:hAnsi="宋体" w:cs="宋体"/>
                <w:sz w:val="20"/>
                <w:szCs w:val="20"/>
              </w:rPr>
            </w:pPr>
            <w:r>
              <w:rPr>
                <w:rFonts w:hint="eastAsia" w:ascii="宋体" w:hAnsi="宋体" w:cs="宋体"/>
                <w:sz w:val="20"/>
                <w:szCs w:val="20"/>
              </w:rPr>
              <w:t xml:space="preserve">书写显示屏可通过手指批注在电脑桌面状态下产生的电子批注轨迹，需支持通过轨迹优化算法，根据手指的书写速度和方向自动调整笔画粗细，逼真还原教师实际的书写效果；</w:t>
            </w:r>
            <w:r/>
          </w:p>
          <w:p>
            <w:pPr>
              <w:numPr>
                <w:ilvl w:val="0"/>
                <w:numId w:val="40"/>
              </w:numPr>
              <w:spacing w:line="0" w:lineRule="atLeast"/>
              <w:rPr>
                <w:rFonts w:ascii="宋体" w:hAnsi="宋体" w:cs="宋体"/>
                <w:sz w:val="20"/>
                <w:szCs w:val="20"/>
              </w:rPr>
            </w:pPr>
            <w:r>
              <w:rPr>
                <w:rFonts w:hint="eastAsia" w:ascii="宋体" w:hAnsi="宋体" w:cs="宋体"/>
                <w:sz w:val="20"/>
                <w:szCs w:val="20"/>
              </w:rPr>
              <w:t xml:space="preserve">书写屏的导航窗口和工具栏窗口需支持自动隐藏功能，若窗口展开后无后续点击操作，导航和工具栏窗口将自动隐藏，尽量避免对当前屏幕内容产生遮挡。</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网络时钟</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41"/>
              </w:numPr>
              <w:spacing w:line="0" w:lineRule="atLeast"/>
              <w:rPr>
                <w:rFonts w:ascii="宋体" w:hAnsi="宋体" w:cs="宋体"/>
                <w:sz w:val="20"/>
                <w:szCs w:val="20"/>
              </w:rPr>
            </w:pPr>
            <w:r>
              <w:rPr>
                <w:rFonts w:hint="eastAsia" w:ascii="宋体" w:hAnsi="宋体" w:cs="宋体"/>
                <w:sz w:val="20"/>
                <w:szCs w:val="20"/>
              </w:rPr>
              <w:t xml:space="preserve">一体化外观设计，采用数码管电子显示屏，可显示年月日、时分秒、星期信息。外形尺寸不小于：</w:t>
            </w:r>
            <w:bookmarkStart w:id="193" w:name="OLE_LINK9"/>
            <w:r>
              <w:rPr>
                <w:rFonts w:hint="eastAsia" w:ascii="宋体" w:hAnsi="宋体" w:cs="宋体"/>
                <w:sz w:val="20"/>
                <w:szCs w:val="20"/>
              </w:rPr>
              <w:t xml:space="preserve">66</w:t>
            </w:r>
            <w:bookmarkEnd w:id="193"/>
            <w:r>
              <w:rPr>
                <w:rFonts w:hint="eastAsia" w:ascii="宋体" w:hAnsi="宋体" w:cs="宋体"/>
                <w:sz w:val="20"/>
                <w:szCs w:val="20"/>
              </w:rPr>
              <w:t xml:space="preserve">0mm×240mm；</w:t>
            </w:r>
            <w:r/>
          </w:p>
          <w:p>
            <w:pPr>
              <w:numPr>
                <w:ilvl w:val="0"/>
                <w:numId w:val="41"/>
              </w:numPr>
              <w:spacing w:line="0" w:lineRule="atLeast"/>
              <w:rPr>
                <w:rFonts w:ascii="宋体" w:hAnsi="宋体" w:cs="宋体"/>
                <w:sz w:val="20"/>
                <w:szCs w:val="20"/>
              </w:rPr>
            </w:pPr>
            <w:r>
              <w:rPr>
                <w:rFonts w:hint="eastAsia" w:ascii="宋体" w:hAnsi="宋体" w:cs="宋体"/>
                <w:sz w:val="20"/>
                <w:szCs w:val="20"/>
              </w:rPr>
              <w:t xml:space="preserve">具备1个百兆以太网口，支持POE受电；</w:t>
            </w:r>
            <w:r/>
          </w:p>
          <w:p>
            <w:pPr>
              <w:numPr>
                <w:ilvl w:val="0"/>
                <w:numId w:val="41"/>
              </w:numPr>
              <w:spacing w:line="0" w:lineRule="atLeast"/>
              <w:rPr>
                <w:rFonts w:ascii="宋体" w:hAnsi="宋体" w:cs="宋体"/>
                <w:sz w:val="20"/>
                <w:szCs w:val="20"/>
              </w:rPr>
            </w:pPr>
            <w:r>
              <w:rPr>
                <w:rFonts w:hint="eastAsia" w:ascii="宋体" w:hAnsi="宋体" w:cs="宋体"/>
                <w:sz w:val="20"/>
                <w:szCs w:val="20"/>
              </w:rPr>
              <w:t xml:space="preserve">支持通过NTP协议自动校准日期和时间；</w:t>
            </w:r>
            <w:r/>
          </w:p>
          <w:p>
            <w:pPr>
              <w:numPr>
                <w:ilvl w:val="0"/>
                <w:numId w:val="41"/>
              </w:numPr>
              <w:spacing w:line="0" w:lineRule="atLeast"/>
              <w:rPr>
                <w:rFonts w:ascii="宋体" w:hAnsi="宋体" w:cs="宋体"/>
                <w:sz w:val="20"/>
                <w:szCs w:val="20"/>
              </w:rPr>
            </w:pPr>
            <w:r>
              <w:rPr>
                <w:rFonts w:hint="eastAsia" w:ascii="宋体" w:hAnsi="宋体" w:cs="宋体"/>
                <w:sz w:val="20"/>
                <w:szCs w:val="20"/>
              </w:rPr>
              <w:t xml:space="preserve">支持web管理，支持设置时区、显示方式、网络配置；</w:t>
            </w:r>
            <w:r/>
          </w:p>
          <w:p>
            <w:pPr>
              <w:numPr>
                <w:ilvl w:val="0"/>
                <w:numId w:val="41"/>
              </w:numPr>
              <w:spacing w:line="0" w:lineRule="atLeast"/>
              <w:rPr>
                <w:rFonts w:ascii="宋体" w:hAnsi="宋体" w:cs="宋体"/>
                <w:sz w:val="20"/>
                <w:szCs w:val="20"/>
              </w:rPr>
            </w:pPr>
            <w:r>
              <w:rPr>
                <w:rFonts w:hint="eastAsia" w:ascii="宋体" w:hAnsi="宋体" w:cs="宋体"/>
                <w:sz w:val="20"/>
                <w:szCs w:val="20"/>
              </w:rPr>
              <w:t xml:space="preserve">配合系统平台可实现手动或定时息屏和亮屏等功能；</w:t>
            </w:r>
            <w:r/>
          </w:p>
          <w:p>
            <w:pPr>
              <w:numPr>
                <w:ilvl w:val="0"/>
                <w:numId w:val="41"/>
              </w:numPr>
              <w:spacing w:line="0" w:lineRule="atLeast"/>
              <w:rPr>
                <w:rFonts w:ascii="宋体" w:hAnsi="宋体" w:cs="宋体"/>
                <w:sz w:val="20"/>
                <w:szCs w:val="20"/>
              </w:rPr>
            </w:pPr>
            <w:r>
              <w:rPr>
                <w:rFonts w:hint="eastAsia" w:ascii="宋体" w:hAnsi="宋体" w:cs="宋体"/>
                <w:sz w:val="20"/>
                <w:szCs w:val="20"/>
              </w:rPr>
              <w:t xml:space="preserve">支持在线升级功能，可直接联网升级新版软件；</w:t>
            </w:r>
            <w:r/>
          </w:p>
          <w:p>
            <w:pPr>
              <w:numPr>
                <w:ilvl w:val="0"/>
                <w:numId w:val="41"/>
              </w:numPr>
              <w:spacing w:line="0" w:lineRule="atLeast"/>
              <w:rPr>
                <w:rFonts w:ascii="宋体" w:hAnsi="宋体" w:cs="宋体"/>
                <w:sz w:val="20"/>
                <w:szCs w:val="20"/>
              </w:rPr>
            </w:pPr>
            <w:r>
              <w:rPr>
                <w:rFonts w:hint="eastAsia" w:ascii="宋体" w:hAnsi="宋体" w:cs="宋体"/>
                <w:sz w:val="20"/>
                <w:szCs w:val="20"/>
              </w:rPr>
              <w:t xml:space="preserve">需支持通过中控系统统一管理。</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电子门牌</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42"/>
              </w:numPr>
              <w:spacing w:line="0" w:lineRule="atLeast"/>
              <w:rPr>
                <w:rFonts w:ascii="宋体" w:hAnsi="宋体" w:cs="宋体"/>
                <w:sz w:val="20"/>
                <w:szCs w:val="20"/>
              </w:rPr>
            </w:pPr>
            <w:r>
              <w:rPr>
                <w:rFonts w:ascii="宋体" w:hAnsi="宋体" w:cs="宋体"/>
                <w:sz w:val="20"/>
                <w:szCs w:val="20"/>
              </w:rPr>
              <w:t xml:space="preserve">设备采用铝型材一体化外框结构，采用全贴合屏幕工艺；≥21.5英寸工业触控屏，</w:t>
            </w:r>
            <w:r>
              <w:rPr>
                <w:rFonts w:hint="eastAsia" w:ascii="宋体" w:hAnsi="宋体" w:cs="宋体"/>
                <w:sz w:val="20"/>
                <w:szCs w:val="20"/>
              </w:rPr>
              <w:t xml:space="preserve">支持</w:t>
            </w:r>
            <w:r>
              <w:rPr>
                <w:rFonts w:ascii="宋体" w:hAnsi="宋体" w:cs="宋体"/>
                <w:sz w:val="20"/>
                <w:szCs w:val="20"/>
              </w:rPr>
              <w:t xml:space="preserve">10点触控、1920×1080分辨率、亮度≥500nits；配备双目摄像头、IC读卡器、双向扬声器与拾音器，具备完整音视频编解码能力；支持POE/DC 12V/4A双供电，标配千兆网口、USB、12V输出、干接点、GPIO等全功能接口</w:t>
            </w:r>
            <w:r>
              <w:rPr>
                <w:rFonts w:hint="eastAsia" w:ascii="宋体" w:hAnsi="宋体" w:cs="宋体"/>
                <w:sz w:val="20"/>
                <w:szCs w:val="20"/>
              </w:rPr>
              <w:t xml:space="preserve">；</w:t>
            </w:r>
            <w:r/>
          </w:p>
          <w:p>
            <w:pPr>
              <w:numPr>
                <w:ilvl w:val="0"/>
                <w:numId w:val="42"/>
              </w:numPr>
              <w:spacing w:line="0" w:lineRule="atLeast"/>
              <w:rPr>
                <w:rFonts w:ascii="宋体" w:hAnsi="宋体" w:cs="宋体"/>
                <w:sz w:val="20"/>
                <w:szCs w:val="20"/>
              </w:rPr>
            </w:pPr>
            <w:r>
              <w:rPr>
                <w:rFonts w:ascii="宋体" w:hAnsi="宋体" w:cs="宋体"/>
                <w:sz w:val="20"/>
                <w:szCs w:val="20"/>
              </w:rPr>
              <w:t xml:space="preserve">内置1.5米人体近场感应功能，支持智能亮熄屏、常亮、息屏三种模式自适应切换；集成红绿双色可编程氛围灯带，可根据设备运行、门禁状态、教室使用情况自动变换灯光颜色与闪烁频率</w:t>
            </w:r>
            <w:r>
              <w:rPr>
                <w:rFonts w:hint="eastAsia" w:ascii="宋体" w:hAnsi="宋体" w:cs="宋体"/>
                <w:sz w:val="20"/>
                <w:szCs w:val="20"/>
              </w:rPr>
              <w:t xml:space="preserve">；</w:t>
            </w:r>
            <w:r/>
          </w:p>
          <w:p>
            <w:pPr>
              <w:numPr>
                <w:ilvl w:val="0"/>
                <w:numId w:val="42"/>
              </w:numPr>
              <w:spacing w:line="0" w:lineRule="atLeast"/>
              <w:rPr>
                <w:rFonts w:ascii="宋体" w:hAnsi="宋体" w:cs="宋体"/>
                <w:sz w:val="20"/>
                <w:szCs w:val="20"/>
              </w:rPr>
            </w:pPr>
            <w:r>
              <w:rPr>
                <w:rFonts w:ascii="宋体" w:hAnsi="宋体" w:cs="宋体"/>
                <w:sz w:val="20"/>
                <w:szCs w:val="20"/>
              </w:rPr>
              <w:t xml:space="preserve">内置1TOPS NPU算力，集成人脸检测、人脸识别、AI人数统计算法及TTS语音播报功能；支持NTP自动校时、时区配置、多语言切换，具备人脸识别活体检测与参数自定义功能，开放设备控制接口，支持界面个性化定制</w:t>
            </w:r>
            <w:r>
              <w:rPr>
                <w:rFonts w:hint="eastAsia" w:ascii="宋体" w:hAnsi="宋体" w:cs="宋体"/>
                <w:sz w:val="20"/>
                <w:szCs w:val="20"/>
              </w:rPr>
              <w:t xml:space="preserve">；</w:t>
            </w:r>
            <w:r/>
          </w:p>
          <w:p>
            <w:pPr>
              <w:numPr>
                <w:ilvl w:val="0"/>
                <w:numId w:val="42"/>
              </w:numPr>
              <w:spacing w:line="0" w:lineRule="atLeast"/>
              <w:rPr>
                <w:rFonts w:ascii="宋体" w:hAnsi="宋体" w:cs="宋体"/>
                <w:sz w:val="20"/>
                <w:szCs w:val="20"/>
              </w:rPr>
            </w:pPr>
            <w:r>
              <w:rPr>
                <w:rFonts w:ascii="宋体" w:hAnsi="宋体" w:cs="宋体"/>
                <w:sz w:val="20"/>
                <w:szCs w:val="20"/>
              </w:rPr>
              <w:t xml:space="preserve">支持展示教室状态、位置信息、系统时间、日程课表、考场安排、自习室数据；可展示本地及未来6天天气、学校LOGO；支持校园图文通知发布、全屏展示、强制推送及无人自动恢复展示，同时支持自习室实时人数与座位预约信息展示</w:t>
            </w:r>
            <w:r>
              <w:rPr>
                <w:rFonts w:hint="eastAsia" w:ascii="宋体" w:hAnsi="宋体" w:cs="宋体"/>
                <w:sz w:val="20"/>
                <w:szCs w:val="20"/>
              </w:rPr>
              <w:t xml:space="preserve">；</w:t>
            </w:r>
            <w:r/>
          </w:p>
          <w:p>
            <w:pPr>
              <w:numPr>
                <w:ilvl w:val="0"/>
                <w:numId w:val="42"/>
              </w:numPr>
              <w:spacing w:line="0" w:lineRule="atLeast"/>
              <w:rPr>
                <w:rFonts w:ascii="宋体" w:hAnsi="宋体" w:cs="宋体"/>
                <w:sz w:val="20"/>
                <w:szCs w:val="20"/>
              </w:rPr>
            </w:pPr>
            <w:r>
              <w:rPr>
                <w:rFonts w:ascii="宋体" w:hAnsi="宋体" w:cs="宋体"/>
                <w:sz w:val="20"/>
                <w:szCs w:val="20"/>
              </w:rPr>
              <w:t xml:space="preserve">支持日/周课表展示、下节课信息预告，支持全校课表查询与手动紧急同步；具备故障教室课程远程调换功能，班牌自动同步更新调课通知；支持课程数据本地离线存储，断网可查看未来14天排课信息</w:t>
            </w:r>
            <w:r>
              <w:rPr>
                <w:rFonts w:hint="eastAsia" w:ascii="宋体" w:hAnsi="宋体" w:cs="宋体"/>
                <w:sz w:val="20"/>
                <w:szCs w:val="20"/>
              </w:rPr>
              <w:t xml:space="preserve">；</w:t>
            </w:r>
            <w:r/>
          </w:p>
          <w:p>
            <w:pPr>
              <w:numPr>
                <w:ilvl w:val="0"/>
                <w:numId w:val="42"/>
              </w:numPr>
              <w:spacing w:line="0" w:lineRule="atLeast"/>
              <w:rPr>
                <w:rFonts w:ascii="宋体" w:hAnsi="宋体" w:cs="宋体"/>
                <w:sz w:val="20"/>
                <w:szCs w:val="20"/>
              </w:rPr>
            </w:pPr>
            <w:r>
              <w:rPr>
                <w:rFonts w:ascii="宋体" w:hAnsi="宋体" w:cs="宋体"/>
                <w:sz w:val="20"/>
                <w:szCs w:val="20"/>
              </w:rPr>
              <w:t xml:space="preserve">支持人脸、IC卡、二维码等多方式签到签退；支持课前/课后30分钟自定义考勤时段、连堂课程自动考勤；实时展示考勤状态，支持自定义签退规则；具备≥14天离线考勤存储能力，联网自动上传数据，支持考勤照片与匹配度数据留存追溯</w:t>
            </w:r>
            <w:r>
              <w:rPr>
                <w:rFonts w:hint="eastAsia" w:ascii="宋体" w:hAnsi="宋体" w:cs="宋体"/>
                <w:sz w:val="20"/>
                <w:szCs w:val="20"/>
              </w:rPr>
              <w:t xml:space="preserve">；</w:t>
            </w:r>
            <w:r/>
          </w:p>
          <w:p>
            <w:pPr>
              <w:numPr>
                <w:ilvl w:val="0"/>
                <w:numId w:val="42"/>
              </w:numPr>
              <w:spacing w:line="0" w:lineRule="atLeast"/>
              <w:rPr>
                <w:rFonts w:ascii="宋体" w:hAnsi="宋体" w:cs="宋体"/>
                <w:sz w:val="20"/>
                <w:szCs w:val="20"/>
              </w:rPr>
            </w:pPr>
            <w:r>
              <w:rPr>
                <w:rFonts w:hint="eastAsia" w:ascii="宋体" w:hAnsi="宋体" w:cs="宋体"/>
                <w:sz w:val="20"/>
                <w:szCs w:val="20"/>
              </w:rPr>
              <w:t xml:space="preserve">■</w:t>
            </w:r>
            <w:r>
              <w:rPr>
                <w:rFonts w:ascii="宋体" w:hAnsi="宋体" w:cs="宋体"/>
                <w:sz w:val="20"/>
                <w:szCs w:val="20"/>
              </w:rPr>
              <w:t xml:space="preserve">支持人脸、刷卡、扫码鉴权，实现教室、自习室线上预约</w:t>
            </w:r>
            <w:r>
              <w:rPr>
                <w:rFonts w:hint="eastAsia" w:ascii="宋体" w:hAnsi="宋体" w:cs="宋体"/>
                <w:sz w:val="20"/>
                <w:szCs w:val="20"/>
              </w:rPr>
              <w:t xml:space="preserve">，</w:t>
            </w:r>
            <w:r>
              <w:rPr>
                <w:rFonts w:ascii="宋体" w:hAnsi="宋体" w:cs="宋体"/>
                <w:sz w:val="20"/>
                <w:szCs w:val="20"/>
              </w:rPr>
              <w:t xml:space="preserve">支持教室实时画面查看、音量调节，内置IP对讲功能，可与后台管理员实时语音对讲，实现远程运维与应急沟通</w:t>
            </w:r>
            <w:r>
              <w:rPr>
                <w:rFonts w:hint="eastAsia" w:ascii="宋体" w:hAnsi="宋体" w:cs="宋体"/>
                <w:sz w:val="20"/>
                <w:szCs w:val="20"/>
              </w:rPr>
              <w:t xml:space="preserve">；</w:t>
            </w:r>
            <w:r/>
          </w:p>
          <w:p>
            <w:pPr>
              <w:numPr>
                <w:ilvl w:val="0"/>
                <w:numId w:val="42"/>
              </w:numPr>
              <w:spacing w:line="0" w:lineRule="atLeast"/>
              <w:rPr>
                <w:rFonts w:ascii="宋体" w:hAnsi="宋体" w:cs="宋体"/>
                <w:sz w:val="20"/>
                <w:szCs w:val="20"/>
              </w:rPr>
            </w:pPr>
            <w:r>
              <w:rPr>
                <w:rFonts w:ascii="宋体" w:hAnsi="宋体" w:cs="宋体"/>
                <w:sz w:val="20"/>
                <w:szCs w:val="20"/>
              </w:rPr>
              <w:t xml:space="preserve">支持多方式登录个人中心，为师生提供个人课表、考勤记录、教室预约记录等个人数据查询服务，实现个人教学日程一体化可视化管理</w:t>
            </w:r>
            <w:r>
              <w:rPr>
                <w:rFonts w:hint="eastAsia" w:ascii="宋体" w:hAnsi="宋体" w:cs="宋体"/>
                <w:sz w:val="20"/>
                <w:szCs w:val="20"/>
              </w:rPr>
              <w:t xml:space="preserve">；</w:t>
            </w:r>
            <w:r/>
          </w:p>
          <w:p>
            <w:pPr>
              <w:numPr>
                <w:ilvl w:val="0"/>
                <w:numId w:val="42"/>
              </w:numPr>
              <w:spacing w:line="0" w:lineRule="atLeast"/>
              <w:rPr>
                <w:rFonts w:ascii="宋体" w:hAnsi="宋体" w:cs="宋体"/>
                <w:sz w:val="20"/>
                <w:szCs w:val="20"/>
              </w:rPr>
            </w:pPr>
            <w:r>
              <w:rPr>
                <w:rFonts w:hint="eastAsia" w:ascii="宋体" w:hAnsi="宋体" w:cs="宋体"/>
                <w:sz w:val="20"/>
                <w:szCs w:val="20"/>
              </w:rPr>
              <w:t xml:space="preserve">需支持通过中控系统统一管理和信息发布功能应用。</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交换机</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spacing w:line="0" w:lineRule="atLeast"/>
              <w:rPr>
                <w:rFonts w:ascii="宋体" w:hAnsi="宋体" w:cs="宋体"/>
                <w:sz w:val="20"/>
                <w:szCs w:val="20"/>
              </w:rPr>
            </w:pPr>
            <w:r>
              <w:rPr>
                <w:rFonts w:hint="eastAsia" w:ascii="宋体" w:hAnsi="宋体" w:cs="宋体"/>
                <w:sz w:val="20"/>
                <w:szCs w:val="20"/>
              </w:rPr>
              <w:t xml:space="preserve">16个10/100/1000BASE-T以太网端口,2个千兆SFP,包转发率26.78Mpps,交换容量36Gbps,MAC:8K,标准机架式安装,金属外壳,具备POE+,输出功率不小于245W。</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无线AP</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台</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spacing w:line="0" w:lineRule="atLeast"/>
              <w:rPr>
                <w:rFonts w:ascii="宋体" w:hAnsi="宋体" w:cs="宋体"/>
                <w:sz w:val="20"/>
                <w:szCs w:val="20"/>
              </w:rPr>
            </w:pPr>
            <w:r>
              <w:rPr>
                <w:rFonts w:hint="eastAsia" w:ascii="宋体" w:hAnsi="宋体" w:cs="宋体"/>
                <w:sz w:val="20"/>
                <w:szCs w:val="20"/>
              </w:rPr>
              <w:t xml:space="preserve">吸顶式安装方式，具备1个上行千兆电口,支持 802.11ax,2+2双频,整机速率2.975Gbps,最大发射功率23dBm,智能天线。</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吸顶空调</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43"/>
              </w:numPr>
              <w:spacing w:line="0" w:lineRule="atLeast"/>
              <w:rPr>
                <w:rFonts w:ascii="宋体" w:hAnsi="宋体" w:cs="宋体"/>
                <w:sz w:val="20"/>
                <w:szCs w:val="20"/>
              </w:rPr>
            </w:pPr>
            <w:r>
              <w:rPr>
                <w:rFonts w:hint="eastAsia" w:ascii="宋体" w:hAnsi="宋体" w:cs="宋体"/>
                <w:sz w:val="20"/>
                <w:szCs w:val="20"/>
              </w:rPr>
              <w:t xml:space="preserve">▲单台机器：制冷量≥12.5kw、制热量≥14kw、功率≤190w、高档风量≥1800cmh；配套4台变频室外机：单台机器：制冷量≥50.4kw、制热量≥56kw、输入功率≤13.65kw、APF值≥4.80,共配套16个液晶线控面板。（投标人须提供产品彩页、产品说明书、官网截图，且加盖公章，提供其中之一即可。）</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left"/>
              <w:rPr>
                <w:rFonts w:ascii="宋体" w:hAnsi="宋体" w:cs="宋体"/>
                <w:sz w:val="20"/>
                <w:szCs w:val="20"/>
              </w:rPr>
            </w:pPr>
            <w:r>
              <w:rPr>
                <w:rFonts w:hint="eastAsia" w:ascii="宋体" w:hAnsi="宋体" w:cs="宋体"/>
                <w:sz w:val="20"/>
                <w:szCs w:val="20"/>
              </w:rPr>
              <w:t xml:space="preserve">智能门锁</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套</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44"/>
              </w:numPr>
              <w:spacing w:line="0" w:lineRule="atLeast"/>
              <w:rPr>
                <w:rFonts w:ascii="宋体" w:hAnsi="宋体" w:cs="宋体"/>
                <w:sz w:val="20"/>
                <w:szCs w:val="20"/>
              </w:rPr>
            </w:pPr>
            <w:r>
              <w:rPr>
                <w:rFonts w:hint="eastAsia" w:ascii="宋体" w:hAnsi="宋体" w:cs="宋体"/>
                <w:sz w:val="20"/>
                <w:szCs w:val="20"/>
              </w:rPr>
              <w:t xml:space="preserve">采用WIFI通讯方式，2.4G无线通讯协议；支持密码、指纹、校园卡、NFC校园卡、远程开门、蓝牙开门、机械钥匙等开门方式；</w:t>
            </w:r>
            <w:r/>
          </w:p>
          <w:p>
            <w:pPr>
              <w:numPr>
                <w:ilvl w:val="0"/>
                <w:numId w:val="44"/>
              </w:numPr>
              <w:spacing w:line="0" w:lineRule="atLeast"/>
              <w:rPr>
                <w:rFonts w:ascii="宋体" w:hAnsi="宋体" w:cs="宋体"/>
                <w:sz w:val="20"/>
                <w:szCs w:val="20"/>
              </w:rPr>
            </w:pPr>
            <w:r>
              <w:rPr>
                <w:rFonts w:hint="eastAsia" w:ascii="宋体" w:hAnsi="宋体" w:cs="宋体"/>
                <w:sz w:val="20"/>
                <w:szCs w:val="20"/>
              </w:rPr>
              <w:t xml:space="preserve">直插C级防盗锁芯，采用国标机械防盗锁体；一体式门锁，读卡器、控制器内置，配机械钥匙；面板主体采用不锈钢材料，触摸按键采用钢化玻璃材质；把手：双快双活，可上提把锁上锁，支持左右把手互换；不提供反扣；面板：主体采用不锈钢材料，电泳、喷粉双层涂覆处理；</w:t>
            </w:r>
            <w:r/>
          </w:p>
          <w:p>
            <w:pPr>
              <w:numPr>
                <w:ilvl w:val="0"/>
                <w:numId w:val="44"/>
              </w:numPr>
              <w:spacing w:line="0" w:lineRule="atLeast"/>
              <w:rPr>
                <w:rFonts w:ascii="宋体" w:hAnsi="宋体" w:cs="宋体"/>
                <w:sz w:val="20"/>
                <w:szCs w:val="20"/>
              </w:rPr>
            </w:pPr>
            <w:r>
              <w:rPr>
                <w:rFonts w:hint="eastAsia" w:ascii="宋体" w:hAnsi="宋体" w:cs="宋体"/>
                <w:sz w:val="20"/>
                <w:szCs w:val="20"/>
              </w:rPr>
              <w:t xml:space="preserve">读卡工作频率13.56MHZ；静态电流约 40uA；抗静电强度≥15KV；抗击电磁攻击强度≥1000V/m；</w:t>
            </w:r>
            <w:r/>
          </w:p>
          <w:p>
            <w:pPr>
              <w:numPr>
                <w:ilvl w:val="0"/>
                <w:numId w:val="44"/>
              </w:numPr>
              <w:spacing w:line="0" w:lineRule="atLeast"/>
              <w:rPr>
                <w:rFonts w:ascii="宋体" w:hAnsi="宋体" w:cs="宋体"/>
                <w:sz w:val="20"/>
                <w:szCs w:val="20"/>
              </w:rPr>
            </w:pPr>
            <w:r>
              <w:rPr>
                <w:rFonts w:hint="eastAsia" w:ascii="宋体" w:hAnsi="宋体" w:cs="宋体"/>
                <w:sz w:val="20"/>
                <w:szCs w:val="20"/>
              </w:rPr>
              <w:t xml:space="preserve">开门密码≥100组，物理卡号≥100个、指纹≥100组、管理员密码≥4组，半小时有效密码≥1组；刷卡记录存储：可扩展到1000 条；</w:t>
            </w:r>
            <w:r/>
          </w:p>
          <w:p>
            <w:pPr>
              <w:numPr>
                <w:ilvl w:val="0"/>
                <w:numId w:val="44"/>
              </w:numPr>
              <w:spacing w:line="0" w:lineRule="atLeast"/>
              <w:rPr>
                <w:rFonts w:ascii="宋体" w:hAnsi="宋体" w:cs="宋体"/>
                <w:sz w:val="20"/>
                <w:szCs w:val="20"/>
              </w:rPr>
            </w:pPr>
            <w:r>
              <w:rPr>
                <w:rFonts w:hint="eastAsia" w:ascii="宋体" w:hAnsi="宋体" w:cs="宋体"/>
                <w:sz w:val="20"/>
                <w:szCs w:val="20"/>
              </w:rPr>
              <w:t xml:space="preserve">常开模式：门锁开启此功能后，无需验证授权，访客可直接室外开门。常开功能可通过设置时间段进行开启与关闭,支持避开节假日。在移动端下发远程开门指令后，现场点击门锁单个字符即可开门，开门数据实时反馈到移动端上，并支持短信实时通知；（提供功能截图）</w:t>
            </w:r>
            <w:r/>
          </w:p>
          <w:p>
            <w:pPr>
              <w:numPr>
                <w:ilvl w:val="0"/>
                <w:numId w:val="44"/>
              </w:numPr>
              <w:spacing w:line="0" w:lineRule="atLeast"/>
              <w:rPr>
                <w:rFonts w:ascii="宋体" w:hAnsi="宋体" w:cs="宋体"/>
                <w:sz w:val="20"/>
                <w:szCs w:val="20"/>
              </w:rPr>
            </w:pPr>
            <w:r>
              <w:rPr>
                <w:rFonts w:hint="eastAsia" w:ascii="宋体" w:hAnsi="宋体" w:cs="宋体"/>
                <w:sz w:val="20"/>
                <w:szCs w:val="20"/>
              </w:rPr>
              <w:t xml:space="preserve">网络异常情况下，门锁可离线使用；开门记录采用循环覆盖方式存储，脱机存储不小于200条；待网络恢复后，数据自动上传服务器； </w:t>
            </w:r>
            <w:r/>
          </w:p>
          <w:p>
            <w:pPr>
              <w:numPr>
                <w:ilvl w:val="0"/>
                <w:numId w:val="44"/>
              </w:numPr>
              <w:spacing w:line="0" w:lineRule="atLeast"/>
              <w:rPr>
                <w:rFonts w:ascii="宋体" w:hAnsi="宋体" w:cs="宋体"/>
                <w:sz w:val="20"/>
                <w:szCs w:val="20"/>
              </w:rPr>
            </w:pPr>
            <w:r>
              <w:rPr>
                <w:rFonts w:hint="eastAsia" w:ascii="宋体" w:hAnsi="宋体" w:cs="宋体"/>
                <w:sz w:val="20"/>
                <w:szCs w:val="20"/>
              </w:rPr>
              <w:t xml:space="preserve">电池电量不足时产生低电量告警，缺电提醒后开门次数不低于100次；具备充电接口，紧急情况可充电宝给门锁供电；支持远程单个或批量升级智能门锁固件。</w:t>
            </w:r>
            <w:r/>
          </w:p>
        </w:tc>
      </w:tr>
      <w:tr>
        <w:trPr>
          <w:jc w:val="center"/>
          <w:trHeight w:val="1885"/>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固定式课桌椅A</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300</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位</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45"/>
              </w:numPr>
              <w:spacing w:line="0" w:lineRule="atLeast"/>
              <w:rPr>
                <w:rFonts w:ascii="宋体" w:hAnsi="宋体" w:cs="宋体"/>
                <w:sz w:val="20"/>
                <w:szCs w:val="20"/>
              </w:rPr>
            </w:pPr>
            <w:r>
              <w:rPr>
                <w:rFonts w:hint="eastAsia" w:ascii="宋体" w:hAnsi="宋体" w:cs="宋体"/>
                <w:sz w:val="20"/>
                <w:szCs w:val="20"/>
              </w:rPr>
              <w:t xml:space="preserve">座板采用多层板经模具热压成型，表面贴放火板精制而成，座板尺寸：长为390±5mm，宽为380±5mm，厚度为15mm；</w:t>
            </w:r>
            <w:r/>
          </w:p>
          <w:p>
            <w:pPr>
              <w:numPr>
                <w:ilvl w:val="0"/>
                <w:numId w:val="45"/>
              </w:numPr>
              <w:spacing w:line="0" w:lineRule="atLeast"/>
              <w:rPr>
                <w:rFonts w:ascii="宋体" w:hAnsi="宋体" w:cs="宋体"/>
                <w:sz w:val="20"/>
                <w:szCs w:val="20"/>
              </w:rPr>
            </w:pPr>
            <w:r>
              <w:rPr>
                <w:rFonts w:hint="eastAsia" w:ascii="宋体" w:hAnsi="宋体" w:cs="宋体"/>
                <w:sz w:val="20"/>
                <w:szCs w:val="20"/>
              </w:rPr>
              <w:t xml:space="preserve">背板采用多层板经模具热压成型，面粘榉木皮或防火板，背板尺寸：长为390±5mm，宽为410±5mm，厚度为15mm；</w:t>
            </w:r>
            <w:r/>
          </w:p>
          <w:p>
            <w:pPr>
              <w:numPr>
                <w:ilvl w:val="0"/>
                <w:numId w:val="45"/>
              </w:numPr>
              <w:spacing w:line="0" w:lineRule="atLeast"/>
              <w:rPr>
                <w:rFonts w:ascii="宋体" w:hAnsi="宋体" w:cs="宋体"/>
                <w:sz w:val="20"/>
                <w:szCs w:val="20"/>
              </w:rPr>
            </w:pPr>
            <w:r>
              <w:rPr>
                <w:rFonts w:hint="eastAsia" w:ascii="宋体" w:hAnsi="宋体" w:cs="宋体"/>
                <w:sz w:val="20"/>
                <w:szCs w:val="20"/>
              </w:rPr>
              <w:t xml:space="preserve">桌板采用刨花板经模具热压成型，面贴榉木皮或高密度防火板，厚度25mm，单人位长：575±50mm，宽：330±5mm，高：750±10mm，后经精制、喷涂、PU封边而成；</w:t>
            </w:r>
            <w:r/>
          </w:p>
          <w:p>
            <w:pPr>
              <w:numPr>
                <w:ilvl w:val="0"/>
                <w:numId w:val="45"/>
              </w:numPr>
              <w:spacing w:line="0" w:lineRule="atLeast"/>
              <w:rPr>
                <w:rFonts w:ascii="宋体" w:hAnsi="宋体" w:cs="宋体"/>
                <w:sz w:val="20"/>
                <w:szCs w:val="20"/>
              </w:rPr>
            </w:pPr>
            <w:r>
              <w:rPr>
                <w:rFonts w:hint="eastAsia" w:ascii="宋体" w:hAnsi="宋体" w:cs="宋体"/>
                <w:sz w:val="20"/>
                <w:szCs w:val="20"/>
              </w:rPr>
              <w:t xml:space="preserve">书网采用直径为4MM铁丝经模具压注，经焊接而成，表面经静电涂喷外理；</w:t>
            </w:r>
            <w:r/>
          </w:p>
          <w:p>
            <w:pPr>
              <w:numPr>
                <w:ilvl w:val="0"/>
                <w:numId w:val="45"/>
              </w:numPr>
              <w:spacing w:line="0" w:lineRule="atLeast"/>
              <w:rPr>
                <w:rFonts w:ascii="宋体" w:hAnsi="宋体" w:cs="宋体"/>
                <w:sz w:val="20"/>
                <w:szCs w:val="20"/>
              </w:rPr>
            </w:pPr>
            <w:r>
              <w:rPr>
                <w:rFonts w:hint="eastAsia" w:ascii="宋体" w:hAnsi="宋体" w:cs="宋体"/>
                <w:sz w:val="20"/>
                <w:szCs w:val="20"/>
              </w:rPr>
              <w:t xml:space="preserve">座板具有回位功能；</w:t>
            </w:r>
            <w:r/>
          </w:p>
          <w:p>
            <w:pPr>
              <w:numPr>
                <w:ilvl w:val="0"/>
                <w:numId w:val="45"/>
              </w:numPr>
              <w:spacing w:line="0" w:lineRule="atLeast"/>
              <w:rPr>
                <w:rFonts w:ascii="宋体" w:hAnsi="宋体" w:cs="宋体"/>
                <w:sz w:val="20"/>
                <w:szCs w:val="20"/>
              </w:rPr>
            </w:pPr>
            <w:r>
              <w:rPr>
                <w:rFonts w:hint="eastAsia" w:ascii="宋体" w:hAnsi="宋体" w:cs="宋体"/>
                <w:sz w:val="20"/>
                <w:szCs w:val="20"/>
              </w:rPr>
              <w:t xml:space="preserve">可以根据现场实际排布和布局定制多人位组合方式。</w:t>
            </w:r>
            <w:r/>
          </w:p>
          <w:p>
            <w:pPr>
              <w:spacing w:line="0" w:lineRule="atLeast"/>
              <w:rPr>
                <w:rFonts w:ascii="宋体" w:hAnsi="宋体" w:cs="宋体"/>
                <w:sz w:val="20"/>
                <w:szCs w:val="20"/>
              </w:rPr>
            </w:pPr>
            <w:r>
              <w:rPr>
                <w:rFonts w:ascii="宋体" w:hAnsi="宋体" w:cs="宋体"/>
                <w:sz w:val="20"/>
                <w:szCs w:val="20"/>
              </w:rPr>
              <mc:AlternateContent>
                <mc:Choice Requires="wpg">
                  <w:drawing>
                    <wp:inline xmlns:wp="http://schemas.openxmlformats.org/drawingml/2006/wordprocessingDrawing" distT="0" distB="0" distL="0" distR="0">
                      <wp:extent cx="3333115" cy="2494280"/>
                      <wp:effectExtent l="0" t="0" r="0" b="0"/>
                      <wp:docPr id="3" name="图片 1" descr="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效果图"/>
                              <pic:cNvPicPr>
                                <a:picLocks noChangeAspect="1"/>
                              </pic:cNvPicPr>
                              <pic:nvPr/>
                            </pic:nvPicPr>
                            <pic:blipFill>
                              <a:blip r:embed="rId14"/>
                              <a:stretch/>
                            </pic:blipFill>
                            <pic:spPr bwMode="auto">
                              <a:xfrm>
                                <a:off x="0" y="0"/>
                                <a:ext cx="3333115" cy="2494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62.4pt;height:196.4pt;mso-wrap-distance-left:0.0pt;mso-wrap-distance-top:0.0pt;mso-wrap-distance-right:0.0pt;mso-wrap-distance-bottom:0.0pt;" stroked="f">
                      <v:path textboxrect="0,0,0,0"/>
                      <v:imagedata r:id="rId14" o:title=""/>
                    </v:shape>
                  </w:pict>
                </mc:Fallback>
              </mc:AlternateContent>
            </w:r>
            <w:r/>
          </w:p>
          <w:p>
            <w:pPr>
              <w:spacing w:line="0" w:lineRule="atLeast"/>
              <w:rPr>
                <w:rFonts w:ascii="宋体" w:hAnsi="宋体" w:cs="宋体"/>
                <w:sz w:val="20"/>
                <w:szCs w:val="20"/>
              </w:rPr>
            </w:pPr>
            <w:r>
              <w:rPr>
                <w:rFonts w:ascii="宋体" w:hAnsi="宋体" w:cs="宋体"/>
                <w:sz w:val="20"/>
                <w:szCs w:val="20"/>
              </w:rPr>
              <mc:AlternateContent>
                <mc:Choice Requires="wpg">
                  <w:drawing>
                    <wp:inline xmlns:wp="http://schemas.openxmlformats.org/drawingml/2006/wordprocessingDrawing" distT="0" distB="0" distL="0" distR="0">
                      <wp:extent cx="3342005" cy="1028700"/>
                      <wp:effectExtent l="0" t="0" r="0" b="0"/>
                      <wp:docPr id="4" name="图片 2" descr="尺寸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尺寸图"/>
                              <pic:cNvPicPr>
                                <a:picLocks noChangeAspect="1"/>
                              </pic:cNvPicPr>
                              <pic:nvPr/>
                            </pic:nvPicPr>
                            <pic:blipFill>
                              <a:blip r:embed="rId15"/>
                              <a:stretch/>
                            </pic:blipFill>
                            <pic:spPr bwMode="auto">
                              <a:xfrm>
                                <a:off x="0" y="0"/>
                                <a:ext cx="3342005"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63.1pt;height:81.0pt;mso-wrap-distance-left:0.0pt;mso-wrap-distance-top:0.0pt;mso-wrap-distance-right:0.0pt;mso-wrap-distance-bottom:0.0pt;" stroked="f">
                      <v:path textboxrect="0,0,0,0"/>
                      <v:imagedata r:id="rId15" o:title=""/>
                    </v:shape>
                  </w:pict>
                </mc:Fallback>
              </mc:AlternateConten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固定式课桌椅B</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208</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位</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座背板材质PA+GF，经模具热压成型，牢固耐用，不裉色，规格：长：450±10mm,宽：450±10mm, 厚度：6±1mm；</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脚架：脚管采用80X30MM厚T2.0MM优质无缝方管、支撑管采用无缝方管80X30MM厚T2.0MM经模具冷拉压弯成型、左右支撑件采用T4.0mm热轧板；底脚板采用T5.0 mm热轧板冲压成型，经地氧化碳焊接而型， 经打磨光滑精制后表面采用防锈静电喷深银油处理；</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台面板采用优质刨花板成型，面粘防火板,厚度25±1mm，后经PU封边精制而成；</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层板采用优质刨花板成型，面粘防火板,厚度15±1mm，后经PU封边精制而成；</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前挡板采用优质多层板经模具热压成型，面粘防火板,厚度为15±1mm，后经PU封边精制而成，牢固耐用，不裉色；</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台脚架：脚管采用80X30MM厚T2.0MM优质无缝方管经二氧化碳焊接成型；支撑件用20X20MM厚T1.8MM优质无缝方管经二氧化碳焊接成型；底脚板采用T5.0 mm优质热轧板冲压成型，经地氧化碳焊接而型，经打磨光滑精制后表面采用防锈静电喷深银油处理；</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座板采用重力回位结构；</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单人位桌板长：600+50mm，宽：350±10mm，高：750±10mm；</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座椅总高：860±10mm，座高：450±10mm ，座宽：445±10mm；</w:t>
            </w:r>
            <w:r/>
          </w:p>
          <w:p>
            <w:pPr>
              <w:numPr>
                <w:ilvl w:val="0"/>
                <w:numId w:val="46"/>
              </w:numPr>
              <w:spacing w:line="0" w:lineRule="atLeast"/>
              <w:rPr>
                <w:rFonts w:ascii="宋体" w:hAnsi="宋体" w:cs="宋体"/>
                <w:sz w:val="20"/>
                <w:szCs w:val="20"/>
              </w:rPr>
            </w:pPr>
            <w:r>
              <w:rPr>
                <w:rFonts w:hint="eastAsia" w:ascii="宋体" w:hAnsi="宋体" w:cs="宋体"/>
                <w:sz w:val="20"/>
                <w:szCs w:val="20"/>
              </w:rPr>
              <w:t xml:space="preserve">可以根据现场实际排布和布局定制多人位组合方式。</w:t>
            </w:r>
            <w:r/>
          </w:p>
          <w:p>
            <w:pPr>
              <w:spacing w:line="0" w:lineRule="atLeast"/>
              <w:rPr>
                <w:rFonts w:ascii="宋体" w:hAnsi="宋体" w:cs="宋体"/>
                <w:sz w:val="20"/>
                <w:szCs w:val="20"/>
              </w:rPr>
            </w:pPr>
            <w:r>
              <w:rPr>
                <w:rFonts w:ascii="宋体" w:hAnsi="宋体" w:cs="宋体"/>
                <w:sz w:val="20"/>
                <w:szCs w:val="20"/>
              </w:rPr>
              <mc:AlternateContent>
                <mc:Choice Requires="wpg">
                  <w:drawing>
                    <wp:inline xmlns:wp="http://schemas.openxmlformats.org/drawingml/2006/wordprocessingDrawing" distT="0" distB="0" distL="0" distR="0">
                      <wp:extent cx="3333115" cy="2494280"/>
                      <wp:effectExtent l="0" t="0" r="0" b="0"/>
                      <wp:docPr id="5" name="图片 3" descr="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效果图"/>
                              <pic:cNvPicPr>
                                <a:picLocks noChangeAspect="1"/>
                              </pic:cNvPicPr>
                              <pic:nvPr/>
                            </pic:nvPicPr>
                            <pic:blipFill>
                              <a:blip r:embed="rId16"/>
                              <a:stretch/>
                            </pic:blipFill>
                            <pic:spPr bwMode="auto">
                              <a:xfrm>
                                <a:off x="0" y="0"/>
                                <a:ext cx="3333115" cy="2494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62.4pt;height:196.4pt;mso-wrap-distance-left:0.0pt;mso-wrap-distance-top:0.0pt;mso-wrap-distance-right:0.0pt;mso-wrap-distance-bottom:0.0pt;" stroked="f">
                      <v:path textboxrect="0,0,0,0"/>
                      <v:imagedata r:id="rId16" o:title=""/>
                    </v:shape>
                  </w:pict>
                </mc:Fallback>
              </mc:AlternateContent>
            </w:r>
            <w:r/>
          </w:p>
          <w:p>
            <w:pPr>
              <w:spacing w:line="0" w:lineRule="atLeast"/>
              <w:rPr>
                <w:rFonts w:ascii="宋体" w:hAnsi="宋体" w:cs="宋体"/>
                <w:sz w:val="20"/>
                <w:szCs w:val="20"/>
              </w:rPr>
            </w:pPr>
            <w:r>
              <w:rPr>
                <w:rFonts w:ascii="宋体" w:hAnsi="宋体" w:cs="宋体"/>
                <w:sz w:val="20"/>
                <w:szCs w:val="20"/>
              </w:rPr>
              <mc:AlternateContent>
                <mc:Choice Requires="wpg">
                  <w:drawing>
                    <wp:inline xmlns:wp="http://schemas.openxmlformats.org/drawingml/2006/wordprocessingDrawing" distT="0" distB="0" distL="0" distR="0">
                      <wp:extent cx="3343275" cy="1648460"/>
                      <wp:effectExtent l="0" t="0" r="0" b="0"/>
                      <wp:docPr id="6" name="图片 4" descr="尺寸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尺寸图"/>
                              <pic:cNvPicPr>
                                <a:picLocks noChangeAspect="1"/>
                              </pic:cNvPicPr>
                              <pic:nvPr/>
                            </pic:nvPicPr>
                            <pic:blipFill>
                              <a:blip r:embed="rId17"/>
                              <a:stretch/>
                            </pic:blipFill>
                            <pic:spPr bwMode="auto">
                              <a:xfrm>
                                <a:off x="0" y="0"/>
                                <a:ext cx="3343275" cy="1648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63.2pt;height:129.8pt;mso-wrap-distance-left:0.0pt;mso-wrap-distance-top:0.0pt;mso-wrap-distance-right:0.0pt;mso-wrap-distance-bottom:0.0pt;" stroked="f">
                      <v:path textboxrect="0,0,0,0"/>
                      <v:imagedata r:id="rId17" o:title=""/>
                    </v:shape>
                  </w:pict>
                </mc:Fallback>
              </mc:AlternateConten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移动教师椅</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把</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numPr>
                <w:ilvl w:val="0"/>
                <w:numId w:val="47"/>
              </w:numPr>
              <w:spacing w:line="0" w:lineRule="atLeast"/>
              <w:rPr>
                <w:rFonts w:ascii="宋体" w:hAnsi="宋体" w:cs="宋体"/>
                <w:sz w:val="20"/>
                <w:szCs w:val="20"/>
              </w:rPr>
            </w:pPr>
            <w:r>
              <w:rPr>
                <w:rFonts w:hint="eastAsia" w:ascii="宋体" w:hAnsi="宋体" w:cs="宋体"/>
                <w:sz w:val="20"/>
                <w:szCs w:val="20"/>
              </w:rPr>
              <w:t xml:space="preserve">椅背及椅座:采用环保注压成型聚丙烯材质，环保无毒无臭无味，耐热，耐腐蚀，易清洁，抗静电；</w:t>
            </w:r>
            <w:r/>
          </w:p>
          <w:p>
            <w:pPr>
              <w:numPr>
                <w:ilvl w:val="0"/>
                <w:numId w:val="47"/>
              </w:numPr>
              <w:spacing w:line="0" w:lineRule="atLeast"/>
              <w:rPr>
                <w:rFonts w:ascii="宋体" w:hAnsi="宋体" w:cs="宋体"/>
                <w:sz w:val="20"/>
                <w:szCs w:val="20"/>
              </w:rPr>
            </w:pPr>
            <w:r>
              <w:rPr>
                <w:rFonts w:hint="eastAsia" w:ascii="宋体" w:hAnsi="宋体" w:cs="宋体"/>
                <w:sz w:val="20"/>
                <w:szCs w:val="20"/>
              </w:rPr>
              <w:t xml:space="preserve">椅背内部内置直径≥4mm厚的合金钢丝，结构加强，防止椅背断裂，椅背内置加强椅背强度耐用支撑结构，满足使用者倾仰休息需求，同时椅背开槽≥5条透气缝工艺处理，透气缝长度≥340mm，椅座配有软包坐垫，坐垫可更换；</w:t>
            </w:r>
            <w:r/>
          </w:p>
          <w:p>
            <w:pPr>
              <w:numPr>
                <w:ilvl w:val="0"/>
                <w:numId w:val="47"/>
              </w:numPr>
              <w:spacing w:line="0" w:lineRule="atLeast"/>
              <w:rPr>
                <w:rFonts w:ascii="宋体" w:hAnsi="宋体" w:cs="宋体"/>
                <w:sz w:val="20"/>
                <w:szCs w:val="20"/>
              </w:rPr>
            </w:pPr>
            <w:r>
              <w:rPr>
                <w:rFonts w:hint="eastAsia" w:ascii="宋体" w:hAnsi="宋体" w:cs="宋体"/>
                <w:sz w:val="20"/>
                <w:szCs w:val="20"/>
              </w:rPr>
              <w:t xml:space="preserve">气压棒承受压力≥250kg，行程80-100mm或更大范围，升降达≥10万次无损；</w:t>
            </w:r>
            <w:r/>
          </w:p>
          <w:p>
            <w:pPr>
              <w:numPr>
                <w:ilvl w:val="0"/>
                <w:numId w:val="47"/>
              </w:numPr>
              <w:spacing w:line="0" w:lineRule="atLeast"/>
              <w:rPr>
                <w:rFonts w:ascii="宋体" w:hAnsi="宋体" w:cs="宋体"/>
                <w:sz w:val="20"/>
                <w:szCs w:val="20"/>
              </w:rPr>
            </w:pPr>
            <w:r>
              <w:rPr>
                <w:rFonts w:hint="eastAsia" w:ascii="宋体" w:hAnsi="宋体" w:cs="宋体"/>
                <w:sz w:val="20"/>
                <w:szCs w:val="20"/>
              </w:rPr>
              <w:t xml:space="preserve">椅轮可选塑胶脚垫或硬质脚轮或软质脚轮，椅脚采用优质塑胶五星脚，承重≥500kg；</w:t>
            </w:r>
            <w:r/>
          </w:p>
          <w:p>
            <w:pPr>
              <w:numPr>
                <w:ilvl w:val="0"/>
                <w:numId w:val="47"/>
              </w:numPr>
              <w:spacing w:line="0" w:lineRule="atLeast"/>
              <w:rPr>
                <w:rFonts w:ascii="宋体" w:hAnsi="宋体" w:cs="宋体"/>
                <w:sz w:val="20"/>
                <w:szCs w:val="20"/>
              </w:rPr>
            </w:pPr>
            <w:r>
              <w:rPr>
                <w:rFonts w:hint="eastAsia" w:ascii="宋体" w:hAnsi="宋体" w:cs="宋体"/>
                <w:sz w:val="20"/>
                <w:szCs w:val="20"/>
              </w:rPr>
              <w:t xml:space="preserve">尺寸不低于：W605mm×D575mm×H985~1235mm，允许偏差范围±5mm。</w:t>
            </w:r>
            <w:r/>
          </w:p>
          <w:p>
            <w:pPr>
              <w:spacing w:line="0" w:lineRule="atLeast"/>
              <w:rPr>
                <w:rFonts w:ascii="宋体" w:hAnsi="宋体" w:cs="宋体"/>
                <w:sz w:val="20"/>
                <w:szCs w:val="20"/>
              </w:rPr>
            </w:pPr>
            <w:r>
              <w:rPr>
                <w:rFonts w:ascii="宋体" w:hAnsi="宋体" w:cs="宋体"/>
                <w:sz w:val="20"/>
                <w:szCs w:val="20"/>
              </w:rPr>
              <mc:AlternateContent>
                <mc:Choice Requires="wpg">
                  <w:drawing>
                    <wp:inline xmlns:wp="http://schemas.openxmlformats.org/drawingml/2006/wordprocessingDrawing" distT="0" distB="0" distL="0" distR="0">
                      <wp:extent cx="3342005" cy="4068445"/>
                      <wp:effectExtent l="0" t="0" r="0" b="0"/>
                      <wp:docPr id="7" name="图片 5" descr="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效果图"/>
                              <pic:cNvPicPr>
                                <a:picLocks noChangeAspect="1"/>
                              </pic:cNvPicPr>
                              <pic:nvPr/>
                            </pic:nvPicPr>
                            <pic:blipFill>
                              <a:blip r:embed="rId18"/>
                              <a:stretch/>
                            </pic:blipFill>
                            <pic:spPr bwMode="auto">
                              <a:xfrm>
                                <a:off x="0" y="0"/>
                                <a:ext cx="3342005" cy="40684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63.1pt;height:320.3pt;mso-wrap-distance-left:0.0pt;mso-wrap-distance-top:0.0pt;mso-wrap-distance-right:0.0pt;mso-wrap-distance-bottom:0.0pt;" stroked="f">
                      <v:path textboxrect="0,0,0,0"/>
                      <v:imagedata r:id="rId18" o:title=""/>
                    </v:shape>
                  </w:pict>
                </mc:Fallback>
              </mc:AlternateContent>
            </w:r>
            <w:r/>
          </w:p>
          <w:p>
            <w:pPr>
              <w:spacing w:line="0" w:lineRule="atLeast"/>
              <w:rPr>
                <w:rFonts w:ascii="宋体" w:hAnsi="宋体" w:cs="宋体"/>
                <w:sz w:val="20"/>
                <w:szCs w:val="20"/>
              </w:rPr>
            </w:pPr>
            <w:r>
              <w:rPr>
                <w:rFonts w:ascii="宋体" w:hAnsi="宋体" w:cs="宋体"/>
                <w:sz w:val="20"/>
                <w:szCs w:val="20"/>
              </w:rPr>
              <mc:AlternateContent>
                <mc:Choice Requires="wpg">
                  <w:drawing>
                    <wp:inline xmlns:wp="http://schemas.openxmlformats.org/drawingml/2006/wordprocessingDrawing" distT="0" distB="0" distL="0" distR="0">
                      <wp:extent cx="3346450" cy="2534920"/>
                      <wp:effectExtent l="0" t="0" r="0" b="0"/>
                      <wp:docPr id="8" name="图片 6" descr="尺寸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尺寸图"/>
                              <pic:cNvPicPr>
                                <a:picLocks noChangeAspect="1"/>
                              </pic:cNvPicPr>
                              <pic:nvPr/>
                            </pic:nvPicPr>
                            <pic:blipFill>
                              <a:blip r:embed="rId19"/>
                              <a:stretch/>
                            </pic:blipFill>
                            <pic:spPr bwMode="auto">
                              <a:xfrm>
                                <a:off x="0" y="0"/>
                                <a:ext cx="3346450" cy="2534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63.5pt;height:199.6pt;mso-wrap-distance-left:0.0pt;mso-wrap-distance-top:0.0pt;mso-wrap-distance-right:0.0pt;mso-wrap-distance-bottom:0.0pt;" stroked="f">
                      <v:path textboxrect="0,0,0,0"/>
                      <v:imagedata r:id="rId19" o:title=""/>
                    </v:shape>
                  </w:pict>
                </mc:Fallback>
              </mc:AlternateConten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numPr>
                <w:ilvl w:val="0"/>
                <w:numId w:val="11"/>
              </w:numPr>
              <w:jc w:val="center"/>
              <w:rPr>
                <w:rFonts w:ascii="宋体" w:hAnsi="宋体" w:cs="宋体"/>
                <w:sz w:val="20"/>
                <w:szCs w:val="20"/>
              </w:rPr>
            </w:pP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left"/>
              <w:rPr>
                <w:rFonts w:ascii="宋体" w:hAnsi="宋体" w:cs="宋体"/>
                <w:sz w:val="20"/>
                <w:szCs w:val="20"/>
              </w:rPr>
            </w:pPr>
            <w:r>
              <w:rPr>
                <w:rFonts w:hint="eastAsia" w:ascii="宋体" w:hAnsi="宋体" w:cs="宋体"/>
                <w:sz w:val="20"/>
                <w:szCs w:val="20"/>
              </w:rPr>
              <w:t xml:space="preserve">综合集成</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宋体"/>
                <w:sz w:val="20"/>
                <w:szCs w:val="20"/>
              </w:rPr>
            </w:pPr>
            <w:r>
              <w:rPr>
                <w:rFonts w:hint="eastAsia" w:ascii="宋体" w:hAnsi="宋体" w:cs="宋体"/>
                <w:sz w:val="20"/>
                <w:szCs w:val="20"/>
              </w:rPr>
              <w:t xml:space="preserve">间</w:t>
            </w:r>
            <w:r/>
          </w:p>
        </w:tc>
        <w:tc>
          <w:tcPr>
            <w:tcBorders>
              <w:top w:val="single" w:color="000000" w:sz="4" w:space="0"/>
              <w:left w:val="single" w:color="000000" w:sz="4" w:space="0"/>
              <w:bottom w:val="single" w:color="000000" w:sz="4" w:space="0"/>
              <w:right w:val="single" w:color="000000" w:sz="4" w:space="0"/>
            </w:tcBorders>
            <w:tcW w:w="5491" w:type="dxa"/>
            <w:vAlign w:val="center"/>
            <w:textDirection w:val="lrTb"/>
            <w:noWrap/>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1.设备安装与调试：中标方须负责清单内所有设备的现场安装（含必要辅材及管线敷设）、系统联调及功能应用，确保设备按技术参数正常运行；</w:t>
            </w:r>
            <w:r/>
          </w:p>
          <w:p>
            <w:pPr>
              <w:spacing w:line="0" w:lineRule="atLeast"/>
              <w:rPr>
                <w:rFonts w:ascii="宋体" w:hAnsi="宋体" w:cs="宋体"/>
                <w:sz w:val="20"/>
                <w:szCs w:val="20"/>
              </w:rPr>
            </w:pPr>
            <w:r>
              <w:rPr>
                <w:rFonts w:hint="eastAsia" w:ascii="宋体" w:hAnsi="宋体" w:cs="宋体"/>
                <w:color w:val="000000"/>
                <w:szCs w:val="21"/>
                <w:lang w:bidi="ar"/>
              </w:rPr>
              <w:t xml:space="preserve">2.旧设备拆除：同步完成原有教学设备的安全拆除及场地清理，拆除过程须符合国家安全规范。</w:t>
            </w:r>
            <w:r/>
          </w:p>
        </w:tc>
      </w:tr>
    </w:tbl>
    <w:p>
      <w:pPr>
        <w:ind w:left="420"/>
        <w:spacing w:line="360" w:lineRule="auto"/>
        <w:rPr>
          <w:rFonts w:ascii="Calibri" w:hAnsi="Calibri"/>
          <w:b/>
          <w:sz w:val="24"/>
          <w:szCs w:val="24"/>
        </w:rPr>
        <w:outlineLvl w:val="1"/>
      </w:pPr>
      <w:r>
        <w:rPr>
          <w:rFonts w:ascii="Calibri" w:hAnsi="Calibri"/>
          <w:b/>
          <w:sz w:val="24"/>
          <w:szCs w:val="24"/>
        </w:rPr>
      </w:r>
      <w:r/>
    </w:p>
    <w:p>
      <w:pPr>
        <w:ind w:left="420"/>
        <w:spacing w:line="360" w:lineRule="auto"/>
        <w:rPr>
          <w:rFonts w:ascii="Calibri" w:hAnsi="Calibri"/>
          <w:b/>
          <w:sz w:val="24"/>
          <w:szCs w:val="24"/>
        </w:rPr>
        <w:outlineLvl w:val="1"/>
      </w:pPr>
      <w:r>
        <w:rPr>
          <w:rFonts w:hint="eastAsia" w:ascii="Calibri" w:hAnsi="Calibri"/>
          <w:b/>
          <w:sz w:val="24"/>
          <w:szCs w:val="24"/>
        </w:rPr>
        <w:t xml:space="preserve">其他要求：</w:t>
      </w:r>
      <w:r/>
    </w:p>
    <w:p>
      <w:pPr>
        <w:ind w:firstLine="560"/>
        <w:spacing w:line="400" w:lineRule="exact"/>
        <w:widowControl/>
        <w:rPr>
          <w:rFonts w:ascii="仿宋" w:hAnsi="仿宋" w:eastAsia="仿宋" w:cs="仿宋"/>
          <w:b/>
          <w:sz w:val="24"/>
          <w:szCs w:val="24"/>
          <w:lang w:bidi="ar"/>
        </w:rPr>
      </w:pPr>
      <w:r>
        <w:rPr>
          <w:rFonts w:hint="eastAsia" w:ascii="仿宋" w:hAnsi="仿宋" w:eastAsia="仿宋" w:cs="仿宋"/>
          <w:b/>
          <w:sz w:val="24"/>
          <w:szCs w:val="24"/>
          <w:lang w:bidi="ar"/>
        </w:rPr>
        <w:t xml:space="preserve">1.《教师机主机（工作站）采购需求》（不</w:t>
      </w:r>
      <w:r>
        <w:rPr>
          <w:rFonts w:ascii="仿宋" w:hAnsi="仿宋" w:eastAsia="仿宋" w:cs="仿宋"/>
          <w:b/>
          <w:sz w:val="24"/>
          <w:szCs w:val="24"/>
          <w:lang w:bidi="ar"/>
        </w:rPr>
        <w:t xml:space="preserve">含</w:t>
      </w:r>
      <w:r>
        <w:rPr>
          <w:rFonts w:hint="eastAsia" w:ascii="仿宋" w:hAnsi="仿宋" w:eastAsia="仿宋" w:cs="仿宋"/>
          <w:b/>
          <w:sz w:val="24"/>
          <w:szCs w:val="24"/>
          <w:lang w:bidi="ar"/>
        </w:rPr>
        <w:t xml:space="preserve">显示器）</w:t>
      </w:r>
      <w:r/>
    </w:p>
    <w:tbl>
      <w:tblPr>
        <w:tblW w:w="8812" w:type="dxa"/>
        <w:jc w:val="center"/>
        <w:tblLook w:val="04A0" w:firstRow="1" w:lastRow="0" w:firstColumn="1" w:lastColumn="0" w:noHBand="0" w:noVBand="1"/>
      </w:tblPr>
      <w:tblGrid>
        <w:gridCol w:w="622"/>
        <w:gridCol w:w="1058"/>
        <w:gridCol w:w="1250"/>
        <w:gridCol w:w="1390"/>
        <w:gridCol w:w="4492"/>
      </w:tblGrid>
      <w:tr>
        <w:trPr>
          <w:jc w:val="center"/>
          <w:trHeight w:val="27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指标分类</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一级指标</w:t>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二级指标</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指标要求</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000000" w:fill="ffffff"/>
            <w:tcBorders>
              <w:top w:val="none" w:color="000000" w:sz="4" w:space="0"/>
              <w:left w:val="none" w:color="000000" w:sz="4" w:space="0"/>
              <w:bottom w:val="non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CPU规格</w:t>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CPU信息</w:t>
            </w:r>
            <w:r/>
          </w:p>
        </w:tc>
        <w:tc>
          <w:tcPr>
            <w:shd w:val="clear" w:color="000000" w:fill="ffffff"/>
            <w:tcBorders>
              <w:top w:val="none" w:color="000000" w:sz="4" w:space="0"/>
              <w:left w:val="none" w:color="000000" w:sz="4" w:space="0"/>
              <w:bottom w:val="none" w:color="000000" w:sz="4" w:space="0"/>
              <w:right w:val="single" w:color="000000" w:sz="4" w:space="0"/>
            </w:tcBorders>
            <w:tcW w:w="4492" w:type="dxa"/>
            <w:vAlign w:val="center"/>
            <w:textDirection w:val="lrTb"/>
            <w:noWrap w:val="false"/>
          </w:tcPr>
          <w:p>
            <w:pPr>
              <w:widowControl/>
              <w:rPr>
                <w:rFonts w:ascii="宋体" w:hAnsi="宋体" w:cs="宋体"/>
                <w:b/>
                <w:bCs/>
                <w:szCs w:val="21"/>
              </w:rPr>
            </w:pPr>
            <w:r>
              <w:rPr>
                <w:rFonts w:hint="eastAsia" w:ascii="宋体" w:hAnsi="宋体" w:cs="宋体"/>
                <w:i/>
                <w:iCs/>
                <w:szCs w:val="21"/>
                <w:u w:val="single"/>
              </w:rPr>
              <w:t xml:space="preserve">物理核心数≥20个；处理器全局最大睿频≥5.</w:t>
            </w:r>
            <w:r>
              <w:rPr>
                <w:rFonts w:ascii="宋体" w:hAnsi="宋体" w:cs="宋体"/>
                <w:i/>
                <w:iCs/>
                <w:szCs w:val="21"/>
                <w:u w:val="single"/>
              </w:rPr>
              <w:t xml:space="preserve">2</w:t>
            </w:r>
            <w:r>
              <w:rPr>
                <w:rFonts w:hint="eastAsia" w:ascii="宋体" w:hAnsi="宋体" w:cs="宋体"/>
                <w:i/>
                <w:iCs/>
                <w:szCs w:val="21"/>
                <w:u w:val="single"/>
              </w:rPr>
              <w:t xml:space="preserve">GHz，线程数≥20个线程；三级缓存≥30MB，二级缓存≥36MB；原生支持内存最高速率 ≥DDR5 6400MT/s，通道数≥2，位宽≥64bit；内置集成核显；基础功耗≤70W，最大睿频功耗≤1</w:t>
            </w:r>
            <w:r>
              <w:rPr>
                <w:rFonts w:ascii="宋体" w:hAnsi="宋体" w:cs="宋体"/>
                <w:i/>
                <w:iCs/>
                <w:szCs w:val="21"/>
                <w:u w:val="single"/>
              </w:rPr>
              <w:t xml:space="preserve">90</w:t>
            </w:r>
            <w:r>
              <w:rPr>
                <w:rFonts w:hint="eastAsia" w:ascii="宋体" w:hAnsi="宋体" w:cs="宋体"/>
                <w:i/>
                <w:iCs/>
                <w:szCs w:val="21"/>
                <w:u w:val="single"/>
              </w:rPr>
              <w:t xml:space="preserve">W；内置独立硬件 NPU 神经网络处理单元，INT8 峰值算力≥30 TOPS；</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ascii="宋体" w:hAnsi="宋体" w:cs="宋体"/>
                <w:szCs w:val="21"/>
              </w:rPr>
            </w:r>
            <w:r/>
          </w:p>
          <w:p>
            <w:pPr>
              <w:jc w:val="center"/>
              <w:widowControl/>
              <w:rPr>
                <w:rFonts w:ascii="宋体" w:hAnsi="宋体" w:cs="宋体"/>
                <w:szCs w:val="21"/>
              </w:rPr>
            </w:pPr>
            <w:r>
              <w:rPr>
                <w:rFonts w:hint="eastAsia" w:ascii="宋体" w:hAnsi="宋体" w:cs="宋体"/>
                <w:szCs w:val="21"/>
              </w:rPr>
              <w:t xml:space="preserve">内存规格</w:t>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内存配置容量</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≥16GB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内存类型</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支持DDR5 4800 及以上内存类型</w:t>
            </w:r>
            <w:r/>
          </w:p>
        </w:tc>
      </w:tr>
      <w:tr>
        <w:trPr>
          <w:jc w:val="center"/>
          <w:trHeight w:val="1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内存条配置数量（板载内存不涉及）</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1</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主板规格</w:t>
            </w:r>
            <w:r/>
          </w:p>
          <w:p>
            <w:pPr>
              <w:jc w:val="center"/>
              <w:widowControl/>
              <w:rPr>
                <w:rFonts w:ascii="宋体" w:hAnsi="宋体" w:cs="宋体"/>
                <w:color w:val="ff0000"/>
                <w:szCs w:val="21"/>
              </w:rPr>
            </w:pPr>
            <w:r>
              <w:rPr>
                <w:rFonts w:ascii="宋体" w:hAnsi="宋体" w:cs="宋体"/>
                <w:color w:val="ff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主板集成模块</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集成资源扩展模块、计算处理模块、音频扩展模块等，主板的互联拓扑可通过处理器或交换电路实现</w:t>
            </w:r>
            <w:r/>
          </w:p>
        </w:tc>
      </w:tr>
      <w:tr>
        <w:trPr>
          <w:jc w:val="center"/>
          <w:trHeight w:val="74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主板支持的CPU和内存情况</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支持第15代酷睿处理器（LGA 1851接口），PCI Express 通道数≥20，原生支持内存最高速率 ≥DDR5 6400MT/s</w:t>
            </w:r>
            <w:r>
              <w:rPr>
                <w:rFonts w:ascii="宋体" w:hAnsi="宋体" w:cs="宋体"/>
                <w:i/>
                <w:iCs/>
                <w:szCs w:val="21"/>
                <w:u w:val="single"/>
              </w:rPr>
              <w:t xml:space="preserve"> </w:t>
            </w:r>
            <w:r/>
          </w:p>
        </w:tc>
      </w:tr>
      <w:tr>
        <w:trPr>
          <w:jc w:val="center"/>
          <w:trHeight w:val="53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主板内置PCIe插槽数量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b/>
                <w:bCs/>
                <w:szCs w:val="21"/>
              </w:rPr>
            </w:pPr>
            <w:r>
              <w:rPr>
                <w:rFonts w:hint="eastAsia" w:ascii="宋体" w:hAnsi="宋体" w:cs="宋体"/>
                <w:szCs w:val="21"/>
                <w:lang w:bidi="ar"/>
              </w:rPr>
              <w:t xml:space="preserve">支持数量≥3，其中至少包括一个PCIex16</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特殊孔位及接口</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a）预留满足 USB3.0 数据传输规范的接口，工作电压5V，最大过电流应不小于 3A；</w:t>
            </w:r>
            <w:r>
              <w:rPr>
                <w:rFonts w:hint="eastAsia" w:ascii="宋体" w:hAnsi="宋体" w:cs="宋体"/>
                <w:szCs w:val="21"/>
                <w:lang w:bidi="ar"/>
              </w:rPr>
              <w:br w:type="textWrapping" w:clear="all"/>
              <w:t xml:space="preserve">b) 预留多功能导入装置板卡安装孔位，采用内置方式与主机一体化集成，容量不小于145mm×125mm×16.5mm（长×宽×高）</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主板其他内置接口</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预留≥2个S</w:t>
            </w:r>
            <w:r>
              <w:rPr>
                <w:rFonts w:ascii="宋体" w:hAnsi="宋体" w:cs="宋体"/>
                <w:i/>
                <w:iCs/>
                <w:szCs w:val="21"/>
                <w:u w:val="single"/>
              </w:rPr>
              <w:t xml:space="preserve">ATA 3.0</w:t>
            </w:r>
            <w:r>
              <w:rPr>
                <w:rFonts w:hint="eastAsia" w:ascii="宋体" w:hAnsi="宋体" w:cs="宋体"/>
                <w:i/>
                <w:iCs/>
                <w:szCs w:val="21"/>
                <w:u w:val="single"/>
              </w:rPr>
              <w:t xml:space="preserve">接口、≥2个M.2（</w:t>
            </w:r>
            <w:r>
              <w:rPr>
                <w:rFonts w:ascii="宋体" w:hAnsi="宋体" w:cs="宋体"/>
                <w:i/>
                <w:iCs/>
                <w:szCs w:val="21"/>
                <w:u w:val="single"/>
              </w:rPr>
              <w:t xml:space="preserve">2280</w:t>
            </w:r>
            <w:r>
              <w:rPr>
                <w:rFonts w:hint="eastAsia" w:ascii="宋体" w:hAnsi="宋体" w:cs="宋体"/>
                <w:i/>
                <w:iCs/>
                <w:szCs w:val="21"/>
                <w:u w:val="single"/>
              </w:rPr>
              <w:t xml:space="preserve">，N</w:t>
            </w:r>
            <w:r>
              <w:rPr>
                <w:rFonts w:ascii="宋体" w:hAnsi="宋体" w:cs="宋体"/>
                <w:i/>
                <w:iCs/>
                <w:szCs w:val="21"/>
                <w:u w:val="single"/>
              </w:rPr>
              <w:t xml:space="preserve">VM</w:t>
            </w:r>
            <w:r>
              <w:rPr>
                <w:rFonts w:hint="eastAsia" w:ascii="宋体" w:hAnsi="宋体" w:cs="宋体"/>
                <w:i/>
                <w:iCs/>
                <w:szCs w:val="21"/>
                <w:u w:val="single"/>
              </w:rPr>
              <w:t xml:space="preserve">e协议）接口，原生USB 接口≥</w:t>
            </w:r>
            <w:r>
              <w:rPr>
                <w:rFonts w:ascii="宋体" w:hAnsi="宋体" w:cs="宋体"/>
                <w:i/>
                <w:iCs/>
                <w:szCs w:val="21"/>
                <w:u w:val="single"/>
              </w:rPr>
              <w:t xml:space="preserve">6</w:t>
            </w:r>
            <w:r>
              <w:rPr>
                <w:rFonts w:hint="eastAsia" w:ascii="宋体" w:hAnsi="宋体" w:cs="宋体"/>
                <w:i/>
                <w:iCs/>
                <w:szCs w:val="21"/>
                <w:u w:val="single"/>
              </w:rPr>
              <w:t xml:space="preserve">个USB接口（其中至少</w:t>
            </w:r>
            <w:r>
              <w:rPr>
                <w:rFonts w:ascii="宋体" w:hAnsi="宋体" w:cs="宋体"/>
                <w:i/>
                <w:iCs/>
                <w:szCs w:val="21"/>
                <w:u w:val="single"/>
              </w:rPr>
              <w:t xml:space="preserve">4</w:t>
            </w:r>
            <w:r>
              <w:rPr>
                <w:rFonts w:hint="eastAsia" w:ascii="宋体" w:hAnsi="宋体" w:cs="宋体"/>
                <w:i/>
                <w:iCs/>
                <w:szCs w:val="21"/>
                <w:u w:val="single"/>
              </w:rPr>
              <w:t xml:space="preserve">个USB 3.</w:t>
            </w:r>
            <w:r>
              <w:rPr>
                <w:rFonts w:ascii="宋体" w:hAnsi="宋体" w:cs="宋体"/>
                <w:i/>
                <w:iCs/>
                <w:szCs w:val="21"/>
                <w:u w:val="single"/>
              </w:rPr>
              <w:t xml:space="preserve">0</w:t>
            </w:r>
            <w:r>
              <w:rPr>
                <w:rFonts w:hint="eastAsia" w:ascii="宋体" w:hAnsi="宋体" w:cs="宋体"/>
                <w:i/>
                <w:iCs/>
                <w:szCs w:val="21"/>
                <w:u w:val="single"/>
              </w:rPr>
              <w:t xml:space="preserve">及以上接口)</w:t>
            </w:r>
            <w:r/>
          </w:p>
        </w:tc>
      </w:tr>
      <w:tr>
        <w:trPr>
          <w:jc w:val="cente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单内存插槽最大可支持容量（板载内存不涉及）</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≥32GB</w:t>
            </w:r>
            <w:r/>
          </w:p>
        </w:tc>
      </w:tr>
      <w:tr>
        <w:trPr>
          <w:jc w:val="center"/>
          <w:trHeight w:val="41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内存插槽满配时提供的最高内存总容量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≥128GB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ascii="宋体" w:hAnsi="宋体" w:cs="宋体"/>
                <w:szCs w:val="21"/>
              </w:rPr>
            </w:r>
            <w:r/>
          </w:p>
          <w:p>
            <w:pPr>
              <w:jc w:val="center"/>
              <w:widowControl/>
              <w:rPr>
                <w:rFonts w:ascii="宋体" w:hAnsi="宋体" w:cs="宋体"/>
                <w:szCs w:val="21"/>
              </w:rPr>
            </w:pPr>
            <w:r>
              <w:rPr>
                <w:rFonts w:hint="eastAsia" w:ascii="宋体" w:hAnsi="宋体" w:cs="宋体"/>
                <w:szCs w:val="21"/>
              </w:rPr>
              <w:t xml:space="preserve">存储设备规格</w:t>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固态盘数量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≥1个</w:t>
            </w:r>
            <w:r/>
          </w:p>
        </w:tc>
      </w:tr>
      <w:tr>
        <w:trPr>
          <w:jc w:val="center"/>
          <w:trHeight w:val="18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固态存储容量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ascii="宋体" w:hAnsi="宋体" w:cs="宋体"/>
                <w:i/>
                <w:iCs/>
                <w:szCs w:val="21"/>
                <w:u w:val="single"/>
              </w:rPr>
              <w:t xml:space="preserve">512</w:t>
            </w:r>
            <w:r>
              <w:rPr>
                <w:rFonts w:hint="eastAsia" w:ascii="宋体" w:hAnsi="宋体" w:cs="宋体"/>
                <w:i/>
                <w:iCs/>
                <w:szCs w:val="21"/>
                <w:u w:val="single"/>
              </w:rPr>
              <w:t xml:space="preserve">GB M.2 NVME 固态硬盘</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机械硬盘数量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≥1个</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机械硬盘总容量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color w:val="ff0000"/>
                <w:szCs w:val="21"/>
                <w:u w:val="single"/>
              </w:rPr>
            </w:pPr>
            <w:r>
              <w:rPr>
                <w:rFonts w:hint="eastAsia" w:ascii="宋体" w:hAnsi="宋体" w:cs="宋体"/>
                <w:i/>
                <w:iCs/>
                <w:szCs w:val="21"/>
                <w:u w:val="single"/>
              </w:rPr>
              <w:t xml:space="preserve">≥1TB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机械硬盘转速</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≥7200rpm</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机械硬盘接口协议</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支持 SATA3.0 及以上或 SAS3.0 及以上</w:t>
            </w:r>
            <w:r/>
          </w:p>
          <w:p>
            <w:pPr>
              <w:jc w:val="left"/>
              <w:widowControl/>
              <w:rPr>
                <w:rFonts w:ascii="宋体" w:hAnsi="宋体" w:cs="宋体"/>
                <w:szCs w:val="21"/>
                <w:lang w:bidi="ar"/>
              </w:rPr>
            </w:pPr>
            <w:r>
              <w:rPr>
                <w:rFonts w:hint="eastAsia" w:ascii="宋体" w:hAnsi="宋体" w:cs="宋体"/>
                <w:szCs w:val="21"/>
                <w:lang w:bidi="ar"/>
              </w:rPr>
              <w:t xml:space="preserve">接口</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机械硬盘形态</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2.5 英寸或 3.5 英寸等</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固态存储接口协议</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UFS/SATA/PCIe/NVMe等类型接口协议</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固态存储形态</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b/>
                <w:bCs/>
                <w:szCs w:val="21"/>
              </w:rPr>
            </w:pPr>
            <w:r>
              <w:rPr>
                <w:rFonts w:hint="eastAsia" w:ascii="宋体" w:hAnsi="宋体" w:cs="宋体"/>
                <w:i/>
                <w:iCs/>
                <w:szCs w:val="21"/>
                <w:u w:val="single"/>
              </w:rPr>
              <w:t xml:space="preserve">采用插卡或板载等形态，可选用符合M.2或2.5寸SATA或mSATA等标准的插卡形态</w:t>
            </w:r>
            <w:r/>
          </w:p>
        </w:tc>
      </w:tr>
      <w:tr>
        <w:trPr>
          <w:jc w:val="center"/>
          <w:trHeight w:val="27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存储设备扩展盘位</w:t>
            </w:r>
            <w:r/>
          </w:p>
        </w:tc>
        <w:tc>
          <w:tcPr>
            <w:shd w:val="clear" w:color="000000" w:fill="ffffff"/>
            <w:tcBorders>
              <w:top w:val="non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w:t>
            </w:r>
            <w:r>
              <w:rPr>
                <w:rFonts w:ascii="宋体" w:hAnsi="宋体" w:cs="宋体"/>
                <w:szCs w:val="21"/>
                <w:lang w:bidi="ar"/>
              </w:rPr>
              <w:t xml:space="preserve">2</w:t>
            </w:r>
            <w:r/>
          </w:p>
        </w:tc>
      </w:tr>
      <w:tr>
        <w:trPr>
          <w:jc w:val="cente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存储设备其他参数要求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a)固态盘应符合SJ/T11654相关规定；</w:t>
            </w:r>
            <w:r>
              <w:rPr>
                <w:rFonts w:hint="eastAsia" w:ascii="宋体" w:hAnsi="宋体" w:cs="宋体"/>
                <w:i/>
                <w:iCs/>
                <w:szCs w:val="21"/>
                <w:u w:val="single"/>
              </w:rPr>
              <w:br w:type="textWrapping" w:clear="all"/>
              <w:t xml:space="preserve">b)机械硬盘准备时间应不大于30s；侧面固定螺丝孔数量可为4孔或6孔；工作状态环境温度应满足5℃~55℃；其它参数应符合GB/T12628相关规定</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显卡规格</w:t>
            </w:r>
            <w:r/>
          </w:p>
          <w:p>
            <w:pPr>
              <w:jc w:val="center"/>
              <w:widowControl/>
              <w:rPr>
                <w:rFonts w:ascii="宋体" w:hAnsi="宋体" w:cs="宋体"/>
                <w:color w:val="ff0000"/>
                <w:szCs w:val="21"/>
              </w:rPr>
            </w:pPr>
            <w:r>
              <w:rPr>
                <w:rFonts w:ascii="宋体" w:hAnsi="宋体" w:cs="宋体"/>
                <w:color w:val="ff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显卡类型</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集成显卡</w:t>
            </w:r>
            <w:r/>
          </w:p>
        </w:tc>
      </w:tr>
      <w:tr>
        <w:trPr>
          <w:jc w:val="center"/>
          <w:trHeight w:val="312"/>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独立显卡显存类型</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无要求（本次购买的是集成显卡）</w:t>
            </w:r>
            <w:r/>
          </w:p>
        </w:tc>
      </w:tr>
      <w:tr>
        <w:trPr>
          <w:jc w:val="center"/>
          <w:trHeight w:val="26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独立显卡显存位宽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无要求（本次购买的是集成显卡）</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独立显卡显存容量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无要求（本次购买的是集成显卡）</w:t>
            </w:r>
            <w:r/>
          </w:p>
        </w:tc>
      </w:tr>
      <w:tr>
        <w:trPr>
          <w:jc w:val="cente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独立显卡接口协议</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rPr>
                <w:rFonts w:hint="eastAsia" w:ascii="宋体" w:hAnsi="宋体" w:cs="宋体"/>
                <w:szCs w:val="21"/>
              </w:rPr>
              <w:t xml:space="preserve">（本次购买的是集成显卡）</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显示设备规格</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显示屏屏占比</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362"/>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显示屏分辨率</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显示屏像素密度</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rPr>
              <w:t xml:space="preserve">无要求</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显示屏可视角度</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rPr>
              <w:t xml:space="preserve">无要求</w:t>
            </w:r>
            <w:r/>
          </w:p>
        </w:tc>
      </w:tr>
      <w:tr>
        <w:trPr>
          <w:jc w:val="center"/>
          <w:trHeight w:val="142"/>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显示屏尺寸</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显示屏屏幕比例</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显示器外观颜色</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111"/>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b/>
                <w:bCs/>
                <w:i/>
                <w:iCs/>
                <w:szCs w:val="21"/>
                <w:u w:val="single"/>
              </w:rPr>
            </w:pPr>
            <w:r>
              <w:rPr>
                <w:rFonts w:hint="eastAsia" w:ascii="宋体" w:hAnsi="宋体" w:cs="宋体"/>
                <w:szCs w:val="21"/>
              </w:rPr>
              <w:t xml:space="preserve">显示屏防蓝光</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显示屏低频闪</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显示屏防炫目</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外设规格</w:t>
            </w:r>
            <w:r/>
          </w:p>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传声器数量</w:t>
            </w:r>
            <w:r/>
          </w:p>
        </w:tc>
        <w:tc>
          <w:tcPr>
            <w:shd w:val="clear" w:color="000000" w:fill="ffffff"/>
            <w:tcBorders>
              <w:top w:val="single" w:color="000000" w:sz="4" w:space="0"/>
              <w:left w:val="none" w:color="000000" w:sz="4" w:space="0"/>
              <w:bottom w:val="non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≥0</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扬声器数量</w:t>
            </w:r>
            <w:r/>
          </w:p>
        </w:tc>
        <w:tc>
          <w:tcPr>
            <w:shd w:val="clear" w:color="000000" w:fill="ffffff"/>
            <w:tcBorders>
              <w:top w:val="single" w:color="000000" w:sz="4" w:space="0"/>
              <w:left w:val="none" w:color="000000" w:sz="4" w:space="0"/>
              <w:bottom w:val="non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w:t>
            </w:r>
            <w:r>
              <w:rPr>
                <w:rFonts w:ascii="宋体" w:hAnsi="宋体" w:cs="宋体"/>
                <w:szCs w:val="21"/>
                <w:lang w:bidi="ar"/>
              </w:rPr>
              <w:t xml:space="preserve">0</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鼠标数量</w:t>
            </w:r>
            <w:r/>
          </w:p>
        </w:tc>
        <w:tc>
          <w:tcPr>
            <w:shd w:val="clear" w:color="000000" w:fill="ffffff"/>
            <w:tcBorders>
              <w:top w:val="single" w:color="000000" w:sz="4" w:space="0"/>
              <w:left w:val="none" w:color="000000" w:sz="4" w:space="0"/>
              <w:bottom w:val="non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≥1个</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键盘数量</w:t>
            </w:r>
            <w:r/>
          </w:p>
        </w:tc>
        <w:tc>
          <w:tcPr>
            <w:shd w:val="clear" w:color="000000" w:fill="ffffff"/>
            <w:tcBorders>
              <w:top w:val="single" w:color="000000" w:sz="4" w:space="0"/>
              <w:left w:val="none" w:color="000000" w:sz="4" w:space="0"/>
              <w:bottom w:val="non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≥1个</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摄像头数量</w:t>
            </w:r>
            <w:r/>
          </w:p>
        </w:tc>
        <w:tc>
          <w:tcPr>
            <w:shd w:val="clear" w:color="000000" w:fill="ffffff"/>
            <w:tcBorders>
              <w:top w:val="single" w:color="000000" w:sz="4" w:space="0"/>
              <w:left w:val="none" w:color="000000" w:sz="4" w:space="0"/>
              <w:bottom w:val="non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≥1个</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w:t>
            </w:r>
            <w:r/>
          </w:p>
        </w:tc>
        <w:tc>
          <w:tcPr>
            <w:shd w:val="clear" w:color="000000" w:fill="ffffff"/>
            <w:tcBorders>
              <w:top w:val="none" w:color="000000" w:sz="4" w:space="0"/>
              <w:left w:val="none" w:color="000000" w:sz="4" w:space="0"/>
              <w:bottom w:val="non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光驱数量</w:t>
            </w:r>
            <w:r/>
          </w:p>
        </w:tc>
        <w:tc>
          <w:tcPr>
            <w:shd w:val="clear" w:color="000000" w:fill="ffffff"/>
            <w:tcBorders>
              <w:top w:val="single" w:color="000000" w:sz="4" w:space="0"/>
              <w:left w:val="none" w:color="000000" w:sz="4" w:space="0"/>
              <w:bottom w:val="non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≥0个</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44</w:t>
            </w:r>
            <w:r/>
          </w:p>
        </w:tc>
        <w:tc>
          <w:tcPr>
            <w:shd w:val="clear" w:color="000000" w:fill="ffffff"/>
            <w:tcBorders>
              <w:top w:val="single" w:color="000000" w:sz="4" w:space="0"/>
              <w:left w:val="none" w:color="000000" w:sz="4" w:space="0"/>
              <w:bottom w:val="non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键盘按键数目</w:t>
            </w:r>
            <w:r/>
          </w:p>
        </w:tc>
        <w:tc>
          <w:tcPr>
            <w:shd w:val="clear" w:color="000000" w:fill="ffffff"/>
            <w:tcBorders>
              <w:top w:val="single" w:color="000000" w:sz="4" w:space="0"/>
              <w:left w:val="none" w:color="000000" w:sz="4" w:space="0"/>
              <w:bottom w:val="non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101键/104键</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摄像头像素</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≥50 万</w:t>
            </w:r>
            <w:r/>
          </w:p>
        </w:tc>
      </w:tr>
      <w:tr>
        <w:trPr>
          <w:jc w:val="center"/>
          <w:trHeight w:val="9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摄像头分辨率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≥800×600</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扬声器功率</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≥1 瓦/个</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扬声器频率范围</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tcPr>
          <w:p>
            <w:pPr>
              <w:widowControl/>
              <w:rPr>
                <w:rFonts w:ascii="宋体" w:hAnsi="宋体" w:cs="宋体"/>
                <w:i/>
                <w:iCs/>
                <w:szCs w:val="21"/>
                <w:u w:val="single"/>
              </w:rPr>
            </w:pPr>
            <w:r>
              <w:rPr>
                <w:rFonts w:hint="eastAsia" w:ascii="宋体" w:hAnsi="宋体" w:cs="宋体"/>
                <w:i/>
                <w:iCs/>
                <w:szCs w:val="21"/>
                <w:u w:val="single"/>
              </w:rPr>
              <w:t xml:space="preserve">不低于（100Hz-8kHz）范围</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扬声器总谐波失真</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tcPr>
          <w:p>
            <w:pPr>
              <w:jc w:val="left"/>
              <w:widowControl/>
              <w:rPr>
                <w:rFonts w:ascii="宋体" w:hAnsi="宋体" w:cs="宋体"/>
                <w:szCs w:val="21"/>
                <w:lang w:bidi="ar"/>
              </w:rPr>
            </w:pPr>
            <w:r>
              <w:rPr>
                <w:rFonts w:hint="eastAsia" w:ascii="宋体" w:hAnsi="宋体" w:cs="宋体"/>
                <w:szCs w:val="21"/>
                <w:lang w:bidi="ar"/>
              </w:rPr>
              <w:t xml:space="preserve">谐波失真在 100Hz-7kHz 频率范围内不</w:t>
            </w:r>
            <w:r/>
          </w:p>
          <w:p>
            <w:pPr>
              <w:jc w:val="left"/>
              <w:widowControl/>
              <w:rPr>
                <w:rFonts w:ascii="宋体" w:hAnsi="宋体" w:cs="宋体"/>
                <w:szCs w:val="21"/>
                <w:lang w:bidi="ar"/>
              </w:rPr>
            </w:pPr>
            <w:r>
              <w:rPr>
                <w:rFonts w:hint="eastAsia" w:ascii="宋体" w:hAnsi="宋体" w:cs="宋体"/>
                <w:szCs w:val="21"/>
                <w:lang w:bidi="ar"/>
              </w:rPr>
              <w:t xml:space="preserve">高于 10%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扬声器最大声压级</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tcPr>
          <w:p>
            <w:pPr>
              <w:jc w:val="left"/>
              <w:widowControl/>
              <w:rPr>
                <w:rFonts w:ascii="宋体" w:hAnsi="宋体" w:cs="宋体"/>
                <w:szCs w:val="21"/>
                <w:lang w:bidi="ar"/>
              </w:rPr>
            </w:pPr>
            <w:r>
              <w:rPr>
                <w:rFonts w:hint="eastAsia" w:ascii="宋体" w:hAnsi="宋体" w:cs="宋体"/>
                <w:szCs w:val="21"/>
                <w:lang w:bidi="ar"/>
              </w:rPr>
              <w:t xml:space="preserve">最大声压级在粉红噪声播放场景下，工作距离处声压级不低于 70dB</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键盘连接方式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有线</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键盘键程</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2.3mm~4.0mm</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键盘按键压力</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按键压力应在0.54N±0.14N</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有线键盘连接线</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≥1.5米</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键盘颜色</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黑色</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键盘其他要求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键盘外观结构、连接方式、主要功能、安全、电磁兼容性、可靠性应符合GB/T14081的相关规定</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鼠标连接方式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有线</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有线鼠标连接线</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≥1.5米</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鼠标DPI分辨率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800~1600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鼠标颜色</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黑色</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鼠标其他要求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其它参数应符合GB/T26245的相关规定</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内置光驱</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支持扩展内置光驱</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网络设备规格</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有线网卡数量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b/>
                <w:bCs/>
                <w:i/>
                <w:iCs/>
                <w:szCs w:val="21"/>
                <w:u w:val="single"/>
              </w:rPr>
            </w:pPr>
            <w:r>
              <w:rPr>
                <w:rFonts w:hint="eastAsia" w:ascii="宋体" w:hAnsi="宋体" w:cs="宋体"/>
                <w:i/>
                <w:iCs/>
                <w:szCs w:val="21"/>
                <w:u w:val="single"/>
              </w:rPr>
              <w:t xml:space="preserve">≥1 </w:t>
            </w:r>
            <w:r/>
          </w:p>
        </w:tc>
      </w:tr>
      <w:tr>
        <w:trPr>
          <w:jc w:val="center"/>
          <w:trHeight w:val="19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无线网卡及天线数量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单无线网卡天线数量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≥0</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外部接口规格</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USB接口数量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i/>
                <w:iCs/>
                <w:szCs w:val="21"/>
                <w:u w:val="single"/>
              </w:rPr>
              <w:t xml:space="preserve">≥9个，机箱前板至少包括：≥3个USB 3.</w:t>
            </w:r>
            <w:r>
              <w:rPr>
                <w:rFonts w:ascii="宋体" w:hAnsi="宋体" w:cs="宋体"/>
                <w:i/>
                <w:iCs/>
                <w:szCs w:val="21"/>
                <w:u w:val="single"/>
              </w:rPr>
              <w:t xml:space="preserve">0</w:t>
            </w:r>
            <w:r>
              <w:rPr>
                <w:rFonts w:hint="eastAsia" w:ascii="宋体" w:hAnsi="宋体" w:cs="宋体"/>
                <w:i/>
                <w:iCs/>
                <w:szCs w:val="21"/>
                <w:u w:val="single"/>
              </w:rPr>
              <w:t xml:space="preserve">及以上接口（其中至少1个USB Type-C）</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USB母座接口要求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机箱前面板额外预留2个专用USB母座接口孔位和1个通用A型USB母座接口孔位，采用横向排列中心间距应不小于27mm</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至少支持VGA、HDMI、DVI、DP、Type-C中2种显示接口</w:t>
            </w:r>
            <w:r/>
          </w:p>
        </w:tc>
      </w:tr>
      <w:tr>
        <w:trPr>
          <w:jc w:val="center"/>
          <w:trHeight w:val="207"/>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音频接口数量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w:t>
            </w:r>
            <w:r>
              <w:rPr>
                <w:rFonts w:ascii="宋体" w:hAnsi="宋体" w:cs="宋体"/>
                <w:i/>
                <w:iCs/>
                <w:szCs w:val="21"/>
                <w:u w:val="single"/>
              </w:rPr>
              <w:t xml:space="preserve">2</w:t>
            </w:r>
            <w:r>
              <w:rPr>
                <w:rFonts w:hint="eastAsia" w:ascii="宋体" w:hAnsi="宋体" w:cs="宋体"/>
                <w:i/>
                <w:iCs/>
                <w:szCs w:val="21"/>
                <w:u w:val="single"/>
              </w:rPr>
              <w:t xml:space="preserve">（前置≥1个）</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70</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存储卡接口数量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≥0</w:t>
            </w:r>
            <w:r/>
          </w:p>
        </w:tc>
      </w:tr>
      <w:tr>
        <w:trPr>
          <w:jc w:val="center"/>
          <w:trHeight w:val="130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71</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整机基础规格</w:t>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整机外观</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a)产品表面不应有凹痕、划伤、裂缝、变形和污染等。表面涂层均匀，不应起泡、龟裂、脱落和磨损，金属零部件无锈蚀及其它机械损伤；</w:t>
            </w:r>
            <w:r/>
          </w:p>
          <w:p>
            <w:pPr>
              <w:widowControl/>
              <w:rPr>
                <w:rFonts w:ascii="宋体" w:hAnsi="宋体" w:cs="宋体"/>
                <w:i/>
                <w:iCs/>
                <w:szCs w:val="21"/>
                <w:u w:val="single"/>
              </w:rPr>
            </w:pPr>
            <w:r>
              <w:rPr>
                <w:rFonts w:hint="eastAsia" w:ascii="宋体" w:hAnsi="宋体" w:cs="宋体"/>
                <w:i/>
                <w:iCs/>
                <w:szCs w:val="21"/>
                <w:u w:val="single"/>
              </w:rPr>
              <w:t xml:space="preserve">b)产品表面说明功能的文字、符号、标志，应清晰、端正、牢固；</w:t>
            </w:r>
            <w:r/>
          </w:p>
          <w:p>
            <w:pPr>
              <w:widowControl/>
              <w:rPr>
                <w:rFonts w:ascii="宋体" w:hAnsi="宋体" w:cs="宋体"/>
                <w:i/>
                <w:iCs/>
                <w:szCs w:val="21"/>
                <w:u w:val="single"/>
              </w:rPr>
            </w:pPr>
            <w:r>
              <w:rPr>
                <w:rFonts w:hint="eastAsia" w:ascii="宋体" w:hAnsi="宋体" w:cs="宋体"/>
                <w:i/>
                <w:iCs/>
                <w:szCs w:val="21"/>
                <w:u w:val="single"/>
              </w:rPr>
              <w:t xml:space="preserve">c)宜在产品显著位置提供运行状态指示功能，并由供应商提供详细参数</w:t>
            </w:r>
            <w:r/>
          </w:p>
        </w:tc>
      </w:tr>
      <w:tr>
        <w:trPr>
          <w:jc w:val="center"/>
          <w:trHeight w:val="86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rPr>
                <w:rFonts w:ascii="宋体" w:hAnsi="宋体" w:cs="宋体"/>
                <w:szCs w:val="21"/>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整机结构</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a)机箱应符合GB/T4208、GB/T26246的相关规定；</w:t>
            </w:r>
            <w:r/>
          </w:p>
          <w:p>
            <w:pPr>
              <w:widowControl/>
              <w:rPr>
                <w:rFonts w:ascii="宋体" w:hAnsi="宋体" w:cs="宋体"/>
                <w:i/>
                <w:iCs/>
                <w:szCs w:val="21"/>
                <w:u w:val="single"/>
              </w:rPr>
            </w:pPr>
            <w:r>
              <w:rPr>
                <w:rFonts w:hint="eastAsia" w:ascii="宋体" w:hAnsi="宋体" w:cs="宋体"/>
                <w:i/>
                <w:iCs/>
                <w:szCs w:val="21"/>
                <w:u w:val="single"/>
              </w:rPr>
              <w:t xml:space="preserve">b)产品内部结构应符合通用部件的安装需求；</w:t>
            </w:r>
            <w:r/>
          </w:p>
          <w:p>
            <w:pPr>
              <w:widowControl/>
              <w:rPr>
                <w:rFonts w:ascii="宋体" w:hAnsi="宋体" w:cs="宋体"/>
                <w:i/>
                <w:iCs/>
                <w:szCs w:val="21"/>
                <w:u w:val="single"/>
              </w:rPr>
            </w:pPr>
            <w:r>
              <w:rPr>
                <w:rFonts w:hint="eastAsia" w:ascii="宋体" w:hAnsi="宋体" w:cs="宋体"/>
                <w:i/>
                <w:iCs/>
                <w:szCs w:val="21"/>
                <w:u w:val="single"/>
              </w:rPr>
              <w:t xml:space="preserve">c)所有输入输出接口应符合相关国家或行业标准；</w:t>
            </w:r>
            <w:r/>
          </w:p>
          <w:p>
            <w:pPr>
              <w:widowControl/>
              <w:rPr>
                <w:rFonts w:ascii="宋体" w:hAnsi="宋体" w:cs="宋体"/>
                <w:i/>
                <w:iCs/>
                <w:szCs w:val="21"/>
                <w:u w:val="single"/>
              </w:rPr>
            </w:pPr>
            <w:r>
              <w:rPr>
                <w:rFonts w:hint="eastAsia" w:ascii="宋体" w:hAnsi="宋体" w:cs="宋体"/>
                <w:i/>
                <w:iCs/>
                <w:szCs w:val="21"/>
                <w:u w:val="single"/>
              </w:rPr>
              <w:t xml:space="preserve">d)产品零部件应紧固无松动，可插拔部件应可靠连接，开关、按钮和其它控制部件应灵活可靠，布局应方便使用；</w:t>
            </w:r>
            <w:r/>
          </w:p>
          <w:p>
            <w:pPr>
              <w:widowControl/>
              <w:rPr>
                <w:rFonts w:ascii="宋体" w:hAnsi="宋体" w:cs="宋体"/>
                <w:i/>
                <w:iCs/>
                <w:szCs w:val="21"/>
                <w:u w:val="single"/>
              </w:rPr>
            </w:pPr>
            <w:r>
              <w:rPr>
                <w:rFonts w:hint="eastAsia" w:ascii="宋体" w:hAnsi="宋体" w:cs="宋体"/>
                <w:i/>
                <w:iCs/>
                <w:szCs w:val="21"/>
                <w:u w:val="single"/>
              </w:rPr>
              <w:t xml:space="preserve">e)所有I/O连接器及需插接线缆的部位应预留采购人操作空间，方便插拔解锁与插拔线缆；</w:t>
            </w:r>
            <w:r/>
          </w:p>
          <w:p>
            <w:pPr>
              <w:widowControl/>
              <w:rPr>
                <w:rFonts w:ascii="宋体" w:hAnsi="宋体" w:cs="宋体"/>
                <w:i/>
                <w:iCs/>
                <w:szCs w:val="21"/>
                <w:u w:val="single"/>
              </w:rPr>
            </w:pPr>
            <w:r>
              <w:rPr>
                <w:rFonts w:hint="eastAsia" w:ascii="宋体" w:hAnsi="宋体" w:cs="宋体"/>
                <w:i/>
                <w:iCs/>
                <w:szCs w:val="21"/>
                <w:u w:val="single"/>
              </w:rPr>
              <w:t xml:space="preserve">f)可插拔板卡插槽部位应预留安装、拆卸或更换板卡空间；</w:t>
            </w:r>
            <w:r/>
          </w:p>
          <w:p>
            <w:pPr>
              <w:widowControl/>
              <w:rPr>
                <w:rFonts w:ascii="宋体" w:hAnsi="宋体" w:cs="宋体"/>
                <w:i/>
                <w:iCs/>
                <w:szCs w:val="21"/>
                <w:u w:val="single"/>
              </w:rPr>
            </w:pPr>
            <w:r>
              <w:rPr>
                <w:rFonts w:hint="eastAsia" w:ascii="宋体" w:hAnsi="宋体" w:cs="宋体"/>
                <w:i/>
                <w:iCs/>
                <w:szCs w:val="21"/>
                <w:u w:val="single"/>
              </w:rPr>
              <w:t xml:space="preserve">g)拆装可能接触到的金属剪口或金属尖角部位应做防划伤处理，以保证安全；</w:t>
            </w:r>
            <w:r/>
          </w:p>
          <w:p>
            <w:pPr>
              <w:widowControl/>
              <w:rPr>
                <w:rFonts w:ascii="宋体" w:hAnsi="宋体" w:cs="宋体"/>
                <w:i/>
                <w:iCs/>
                <w:szCs w:val="21"/>
                <w:u w:val="single"/>
              </w:rPr>
            </w:pPr>
            <w:r>
              <w:rPr>
                <w:rFonts w:hint="eastAsia" w:ascii="宋体" w:hAnsi="宋体" w:cs="宋体"/>
                <w:i/>
                <w:iCs/>
                <w:szCs w:val="21"/>
                <w:u w:val="single"/>
              </w:rPr>
              <w:t xml:space="preserve">h)整机内部走线应规整，固线结构和位置要合理可靠并做防割线处理，需便于理线和插拔操作，走线应不影响系统各主要部件组装和拆卸；</w:t>
            </w:r>
            <w:r/>
          </w:p>
          <w:p>
            <w:pPr>
              <w:widowControl/>
              <w:rPr>
                <w:rFonts w:ascii="宋体" w:hAnsi="宋体" w:cs="宋体"/>
                <w:i/>
                <w:iCs/>
                <w:szCs w:val="21"/>
                <w:u w:val="single"/>
              </w:rPr>
            </w:pPr>
            <w:r>
              <w:rPr>
                <w:rFonts w:hint="eastAsia" w:ascii="宋体" w:hAnsi="宋体" w:cs="宋体"/>
                <w:i/>
                <w:iCs/>
                <w:szCs w:val="21"/>
                <w:u w:val="single"/>
              </w:rPr>
              <w:t xml:space="preserve">i)如需通过孔走线，过线孔应做防割线处理；</w:t>
            </w:r>
            <w:r/>
          </w:p>
          <w:p>
            <w:pPr>
              <w:widowControl/>
              <w:rPr>
                <w:rFonts w:ascii="宋体" w:hAnsi="宋体" w:cs="宋体"/>
                <w:i/>
                <w:iCs/>
                <w:szCs w:val="21"/>
                <w:u w:val="single"/>
              </w:rPr>
            </w:pPr>
            <w:r>
              <w:rPr>
                <w:rFonts w:hint="eastAsia" w:ascii="宋体" w:hAnsi="宋体" w:cs="宋体"/>
                <w:i/>
                <w:iCs/>
                <w:szCs w:val="21"/>
                <w:u w:val="single"/>
              </w:rPr>
              <w:t xml:space="preserve">j)各插头位置和插拔方向应合理，应做到插拔无障碍设计，具备防呆设计，有效避免误操作；</w:t>
            </w:r>
            <w:r/>
          </w:p>
          <w:p>
            <w:pPr>
              <w:widowControl/>
              <w:rPr>
                <w:rFonts w:ascii="宋体" w:hAnsi="宋体" w:cs="宋体"/>
                <w:i/>
                <w:iCs/>
                <w:szCs w:val="21"/>
                <w:u w:val="single"/>
              </w:rPr>
            </w:pPr>
            <w:r>
              <w:rPr>
                <w:rFonts w:hint="eastAsia" w:ascii="宋体" w:hAnsi="宋体" w:cs="宋体"/>
                <w:i/>
                <w:iCs/>
                <w:szCs w:val="21"/>
                <w:u w:val="single"/>
              </w:rPr>
              <w:t xml:space="preserve">k)各主要部件拆装无障碍，使用常规工具拆装，无特殊拆装工具需求；</w:t>
            </w:r>
            <w:r/>
          </w:p>
          <w:p>
            <w:pPr>
              <w:widowControl/>
              <w:rPr>
                <w:rFonts w:ascii="宋体" w:hAnsi="宋体" w:cs="宋体"/>
                <w:i/>
                <w:iCs/>
                <w:szCs w:val="21"/>
                <w:u w:val="single"/>
              </w:rPr>
            </w:pPr>
            <w:r>
              <w:rPr>
                <w:rFonts w:hint="eastAsia" w:ascii="宋体" w:hAnsi="宋体" w:cs="宋体"/>
                <w:i/>
                <w:iCs/>
                <w:szCs w:val="21"/>
                <w:u w:val="single"/>
              </w:rPr>
              <w:t xml:space="preserve">l)各主要部件拆装步骤要少，各自拆装需避免相互干扰；</w:t>
            </w:r>
            <w:r/>
          </w:p>
          <w:p>
            <w:pPr>
              <w:widowControl/>
              <w:rPr>
                <w:rFonts w:ascii="宋体" w:hAnsi="宋体" w:cs="宋体"/>
                <w:i/>
                <w:iCs/>
                <w:szCs w:val="21"/>
                <w:u w:val="single"/>
              </w:rPr>
            </w:pPr>
            <w:r>
              <w:rPr>
                <w:rFonts w:hint="eastAsia" w:ascii="宋体" w:hAnsi="宋体" w:cs="宋体"/>
                <w:i/>
                <w:iCs/>
                <w:szCs w:val="21"/>
                <w:u w:val="single"/>
              </w:rPr>
              <w:t xml:space="preserve">m)对于整机或零部件外表面为高亮面的，应粘贴保护膜，保护膜需粘贴牢固，运输、组装等过程不易脱落，撕下无残留；</w:t>
            </w:r>
            <w:r/>
          </w:p>
          <w:p>
            <w:pPr>
              <w:widowControl/>
              <w:rPr>
                <w:rFonts w:ascii="宋体" w:hAnsi="宋体" w:cs="宋体"/>
                <w:i/>
                <w:iCs/>
                <w:szCs w:val="21"/>
                <w:u w:val="single"/>
              </w:rPr>
            </w:pPr>
            <w:r>
              <w:rPr>
                <w:rFonts w:hint="eastAsia" w:ascii="宋体" w:hAnsi="宋体" w:cs="宋体"/>
                <w:i/>
                <w:iCs/>
                <w:szCs w:val="21"/>
                <w:u w:val="single"/>
              </w:rPr>
              <w:t xml:space="preserve">n)其它要求应符合GB/T9813.1的相关规定</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机箱防护要求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机箱应符合GB/T4208中IP20防护要求</w:t>
            </w:r>
            <w:r/>
          </w:p>
        </w:tc>
      </w:tr>
      <w:tr>
        <w:trPr>
          <w:jc w:val="center"/>
          <w:trHeight w:val="55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74</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整机噪音</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产品工作在空闲状态下，产品的声功率级应不超过4.5 Bel</w:t>
            </w:r>
            <w:r/>
          </w:p>
        </w:tc>
      </w:tr>
      <w:tr>
        <w:trPr>
          <w:jc w:val="center"/>
          <w:trHeight w:val="18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75</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整机散热</w:t>
            </w:r>
            <w:r>
              <w:rPr>
                <w:color w:val="000000" w:themeColor="text1"/>
              </w:rPr>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在环境温度25℃及处理器满载情况下，产品表面温度应符合如下要求：</w:t>
            </w:r>
            <w:r>
              <w:rPr>
                <w:color w:val="000000" w:themeColor="text1"/>
              </w:rPr>
            </w:r>
            <w:r/>
          </w:p>
          <w:p>
            <w:pPr>
              <w:jc w:val="left"/>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a)出风口在机箱后面板情况下，出风口温度不高于55℃；</w:t>
            </w:r>
            <w:r>
              <w:rPr>
                <w:color w:val="000000" w:themeColor="text1"/>
              </w:rPr>
            </w:r>
            <w:r/>
          </w:p>
          <w:p>
            <w:pPr>
              <w:jc w:val="left"/>
              <w:rPr>
                <w:rFonts w:ascii="Calibri" w:hAnsi="Calibri"/>
                <w:color w:val="000000" w:themeColor="text1"/>
                <w:szCs w:val="21"/>
              </w:rPr>
            </w:pPr>
            <w:r>
              <w:rPr>
                <w:rFonts w:hint="eastAsia" w:ascii="宋体" w:hAnsi="宋体" w:cs="宋体"/>
                <w:i/>
                <w:iCs/>
                <w:color w:val="000000" w:themeColor="text1"/>
                <w:szCs w:val="21"/>
                <w:u w:val="single"/>
              </w:rPr>
              <w:t xml:space="preserve">b)可触及面温度不高于45℃；</w:t>
            </w:r>
            <w:r>
              <w:rPr>
                <w:color w:val="000000" w:themeColor="text1"/>
              </w:rPr>
            </w:r>
            <w:r/>
          </w:p>
          <w:p>
            <w:pPr>
              <w:jc w:val="left"/>
              <w:rPr>
                <w:rFonts w:ascii="Calibri" w:hAnsi="Calibri"/>
                <w:color w:val="000000" w:themeColor="text1"/>
                <w:szCs w:val="21"/>
              </w:rPr>
            </w:pPr>
            <w:r>
              <w:rPr>
                <w:rFonts w:hint="eastAsia" w:ascii="Calibri" w:hAnsi="Calibri"/>
                <w:color w:val="000000" w:themeColor="text1"/>
                <w:szCs w:val="21"/>
              </w:rPr>
              <w:t xml:space="preserve">（注：本项目工作站只有主机，未配置显示器，因此对“显示器表面温度”不做要求）</w:t>
            </w:r>
            <w:r>
              <w:rPr>
                <w:color w:val="000000" w:themeColor="text1"/>
              </w:rPr>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76</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整机能效限定值</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产品能效限定值应达到GB28380-2012标准中能效等级2级及以上</w:t>
            </w:r>
            <w:r/>
          </w:p>
        </w:tc>
      </w:tr>
      <w:tr>
        <w:trPr>
          <w:jc w:val="center"/>
          <w:trHeight w:val="9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机身材质</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金属</w:t>
            </w:r>
            <w:r/>
          </w:p>
        </w:tc>
      </w:tr>
      <w:tr>
        <w:trPr>
          <w:jc w:val="center"/>
          <w:trHeight w:val="22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机身颜色</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灰色/黑色等商务色系</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机箱尺寸容量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机箱体积应不大于40L</w:t>
            </w:r>
            <w:r/>
          </w:p>
        </w:tc>
      </w:tr>
      <w:tr>
        <w:trPr>
          <w:jc w:val="center"/>
          <w:trHeight w:val="327"/>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color w:val="ff0000"/>
                <w:szCs w:val="21"/>
              </w:rPr>
            </w:pPr>
            <w:r>
              <w:rPr>
                <w:rFonts w:hint="eastAsia" w:ascii="宋体" w:hAnsi="宋体" w:cs="宋体"/>
                <w:szCs w:val="21"/>
              </w:rPr>
              <w:t xml:space="preserve">CPU性能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CPU物理核数</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≥20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CPU主频</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性能核基础频率≥2.4GHz，能效核基础频率≥1.8GHz</w:t>
            </w:r>
            <w:r/>
          </w:p>
        </w:tc>
      </w:tr>
      <w:tr>
        <w:trPr>
          <w:jc w:val="center"/>
          <w:trHeight w:val="102"/>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CPU末级缓存容量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≥3</w:t>
            </w:r>
            <w:r>
              <w:rPr>
                <w:rFonts w:ascii="宋体" w:hAnsi="宋体" w:cs="宋体"/>
                <w:i/>
                <w:iCs/>
                <w:szCs w:val="21"/>
                <w:u w:val="single"/>
              </w:rPr>
              <w:t xml:space="preserve">0</w:t>
            </w:r>
            <w:r>
              <w:rPr>
                <w:rFonts w:hint="eastAsia" w:ascii="宋体" w:hAnsi="宋体" w:cs="宋体"/>
                <w:i/>
                <w:iCs/>
                <w:szCs w:val="21"/>
                <w:u w:val="single"/>
              </w:rPr>
              <w:t xml:space="preserve">MB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CPU支持的内存最高速率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≥6400MT/s</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内存性能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内存读写速率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i/>
                <w:iCs/>
                <w:szCs w:val="21"/>
                <w:u w:val="single"/>
                <w:lang w:bidi="ar"/>
              </w:rPr>
            </w:pPr>
            <w:r>
              <w:rPr>
                <w:rFonts w:hint="eastAsia" w:ascii="宋体" w:hAnsi="宋体" w:cs="宋体"/>
                <w:i/>
                <w:iCs/>
                <w:szCs w:val="21"/>
                <w:u w:val="single"/>
                <w:lang w:bidi="ar"/>
              </w:rPr>
              <w:t xml:space="preserve">≥4800MT/s</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显卡性能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显示分辨率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≥2560×1440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显卡显示芯片核心频率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ascii="宋体" w:hAnsi="宋体" w:cs="宋体"/>
                <w:i/>
                <w:iCs/>
                <w:szCs w:val="21"/>
                <w:u w:val="single"/>
              </w:rPr>
              <w:t xml:space="preserve">≥800MHz</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显存等效频率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ascii="宋体" w:hAnsi="宋体" w:cs="宋体"/>
                <w:i/>
                <w:iCs/>
                <w:szCs w:val="21"/>
                <w:u w:val="single"/>
              </w:rPr>
              <w:t xml:space="preserve">≥1600MT/s</w:t>
            </w:r>
            <w:r/>
          </w:p>
        </w:tc>
      </w:tr>
      <w:tr>
        <w:trPr>
          <w:jc w:val="center"/>
          <w:trHeight w:val="2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显卡可支持多屏同时显示数量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ascii="宋体" w:hAnsi="宋体" w:cs="宋体"/>
                <w:i/>
                <w:iCs/>
                <w:szCs w:val="21"/>
                <w:u w:val="single"/>
              </w:rPr>
              <w:t xml:space="preserve">支持2块屏幕同时显示，分辨率应不低 于2560×1440</w:t>
            </w:r>
            <w:r/>
          </w:p>
        </w:tc>
      </w:tr>
      <w:tr>
        <w:trPr>
          <w:jc w:val="center"/>
          <w:trHeight w:val="2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显示设备性能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显示屏刷新率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显示屏位深</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显示屏色域</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显示屏色准</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显示屏响应时间</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显示屏亮度</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显示屏亮度一致性</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18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显示屏对比度</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显示屏其他参数</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网络设备性能</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有线网卡速率</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最高速率应不低于1000Mbps，应支持10Mbps、100Mbps、1000Mbps速率自适应</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支持无线网络通信技术协议</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无线网卡频宽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11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主板功能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内存扩展接口(板载内存不涉及)</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≥4个</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存储扩展接口(板载存储不涉及)</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支持存储设备扩展接口≥2 个，如UFS3.0、SATA3.0、SAS3.0、M.2 等接口类型</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主板USB瞬间过流保护</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支持有瞬间过流保护功能</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主板防静电保护</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支持防静电保护功能</w:t>
            </w:r>
            <w:r/>
          </w:p>
        </w:tc>
      </w:tr>
      <w:tr>
        <w:trPr>
          <w:jc w:val="center"/>
          <w:trHeight w:val="15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I/O接口功能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106</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singl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显卡功能</w:t>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显卡外接显示接口</w:t>
            </w:r>
            <w:r/>
          </w:p>
        </w:tc>
        <w:tc>
          <w:tcPr>
            <w:shd w:val="clear" w:color="000000" w:fill="ffffff"/>
            <w:tcBorders>
              <w:top w:val="non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显卡至少支持VGA、HDMI、DVI、DP、Type-C中2种显示接口</w:t>
            </w:r>
            <w:r/>
          </w:p>
        </w:tc>
      </w:tr>
      <w:tr>
        <w:trPr>
          <w:jc w:val="center"/>
          <w:trHeight w:val="26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107</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独立显卡数量</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0</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108</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显示设备功能</w:t>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显示器接口</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显示器支架</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显示器参数调节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szCs w:val="21"/>
              </w:rPr>
            </w:pPr>
            <w:r>
              <w:rPr>
                <w:rFonts w:hint="eastAsia" w:ascii="宋体" w:hAnsi="宋体" w:cs="宋体"/>
                <w:szCs w:val="21"/>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外设功能</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摄像头物理隐私保护开关</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传声器降噪</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支持降噪功能</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键盘背光</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支持键盘背光</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光驱功能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通过SATA固态存储/PCIe固态存储/UFS固态存储/SATA硬磁盘等存储部件提供存储功能</w:t>
            </w:r>
            <w:r/>
          </w:p>
        </w:tc>
      </w:tr>
      <w:tr>
        <w:trPr>
          <w:jc w:val="center"/>
          <w:trHeight w:val="10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内置控制器固态存储加密</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固态存储通过内置控制器硬件支持加密，不依赖处理器，保障数据安全性，但不得影响存储性能。</w:t>
            </w:r>
            <w:r/>
          </w:p>
          <w:p>
            <w:pPr>
              <w:jc w:val="left"/>
              <w:widowControl/>
              <w:rPr>
                <w:rFonts w:ascii="宋体" w:hAnsi="宋体" w:cs="宋体"/>
                <w:szCs w:val="21"/>
                <w:lang w:bidi="ar"/>
              </w:rPr>
            </w:pPr>
            <w:r>
              <w:rPr>
                <w:rFonts w:hint="eastAsia" w:ascii="宋体" w:hAnsi="宋体" w:cs="宋体"/>
                <w:szCs w:val="21"/>
                <w:lang w:bidi="ar"/>
              </w:rPr>
              <w:t xml:space="preserve">a)支持加密功能，且加密功能开启不影响SSD读写性能；</w:t>
            </w:r>
            <w:r/>
          </w:p>
          <w:p>
            <w:pPr>
              <w:jc w:val="left"/>
              <w:widowControl/>
              <w:rPr>
                <w:rFonts w:ascii="宋体" w:hAnsi="宋体" w:cs="宋体"/>
                <w:szCs w:val="21"/>
                <w:lang w:bidi="ar"/>
              </w:rPr>
            </w:pPr>
            <w:r>
              <w:rPr>
                <w:rFonts w:hint="eastAsia" w:ascii="宋体" w:hAnsi="宋体" w:cs="宋体"/>
                <w:szCs w:val="21"/>
                <w:lang w:bidi="ar"/>
              </w:rPr>
              <w:t xml:space="preserve">b)支持固件加密、安全启动和安全升级；</w:t>
            </w:r>
            <w:r/>
          </w:p>
          <w:p>
            <w:pPr>
              <w:jc w:val="left"/>
              <w:widowControl/>
              <w:rPr>
                <w:rFonts w:ascii="宋体" w:hAnsi="宋体" w:cs="宋体"/>
                <w:szCs w:val="21"/>
                <w:lang w:bidi="ar"/>
              </w:rPr>
            </w:pPr>
            <w:r>
              <w:rPr>
                <w:rFonts w:hint="eastAsia" w:ascii="宋体" w:hAnsi="宋体" w:cs="宋体"/>
                <w:szCs w:val="21"/>
                <w:lang w:bidi="ar"/>
              </w:rPr>
              <w:t xml:space="preserve">c)支持数据的安全擦除</w:t>
            </w:r>
            <w:r/>
          </w:p>
          <w:p>
            <w:pPr>
              <w:jc w:val="left"/>
              <w:widowControl/>
              <w:rPr>
                <w:rFonts w:ascii="宋体" w:hAnsi="宋体" w:cs="宋体"/>
                <w:szCs w:val="21"/>
                <w:lang w:bidi="ar"/>
              </w:rPr>
            </w:pPr>
            <w:r>
              <w:rPr>
                <w:rFonts w:ascii="宋体" w:hAnsi="宋体" w:cs="宋体"/>
                <w:szCs w:val="21"/>
                <w:lang w:bidi="ar"/>
              </w:rPr>
              <w:t xml:space="preserve">d)具有存储状态指示灯，并可通过不同显示方式给出数据读写状态</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网络设备功能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网络功能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a)支持网络连接、网络开启/关闭功能；</w:t>
            </w:r>
            <w:r/>
          </w:p>
          <w:p>
            <w:pPr>
              <w:widowControl/>
              <w:rPr>
                <w:rFonts w:ascii="宋体" w:hAnsi="宋体" w:cs="宋体"/>
                <w:i/>
                <w:iCs/>
                <w:szCs w:val="21"/>
                <w:u w:val="single"/>
              </w:rPr>
            </w:pPr>
            <w:r>
              <w:rPr>
                <w:rFonts w:hint="eastAsia" w:ascii="宋体" w:hAnsi="宋体" w:cs="宋体"/>
                <w:i/>
                <w:iCs/>
                <w:szCs w:val="21"/>
                <w:u w:val="single"/>
              </w:rPr>
              <w:t xml:space="preserve">b)支持访问网络和数据交换功能</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无线网卡频段</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物理开关</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数据传输</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支持数据传输能力，并提供数据流量和异常日志记录功能</w:t>
            </w:r>
            <w:r/>
          </w:p>
        </w:tc>
      </w:tr>
      <w:tr>
        <w:trPr>
          <w:jc w:val="center"/>
          <w:trHeight w:val="10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蓝牙协议</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有线网卡接口类型</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支持RJ45接口</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无线网卡标准</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若配备无线网卡，产品应符合GB15629.11所有部分</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网络设备拆装</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网络设备支持物理拆装，包括无线网卡和蓝牙模块等</w:t>
            </w:r>
            <w:r/>
          </w:p>
        </w:tc>
      </w:tr>
      <w:tr>
        <w:trPr>
          <w:jc w:val="center"/>
          <w:trHeight w:val="9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外部接口功能</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音频接口类型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支持3.5mm孔径3段式或4段式接口</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126</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视频接口类型</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至少支持VGA、HDMI、DVI、DP、Type-C中2种显示接口</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127</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HDMI、DP、Type-C显示接口要求</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若提供HDMI或DP或Type-C作为显示接口，应支持音频和视频同步输出</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其他接口</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a)支持串行接口，可实现GB/T6107的功能；</w:t>
            </w:r>
            <w:r/>
          </w:p>
          <w:p>
            <w:pPr>
              <w:jc w:val="left"/>
              <w:widowControl/>
              <w:rPr>
                <w:rFonts w:ascii="宋体" w:hAnsi="宋体" w:cs="宋体"/>
                <w:szCs w:val="21"/>
                <w:lang w:bidi="ar"/>
              </w:rPr>
            </w:pPr>
            <w:r>
              <w:rPr>
                <w:rFonts w:hint="eastAsia" w:ascii="宋体" w:hAnsi="宋体" w:cs="宋体"/>
                <w:szCs w:val="21"/>
                <w:lang w:bidi="ar"/>
              </w:rPr>
              <w:t xml:space="preserve">b)支持并行接口，可实现GB/T18235.1的功能</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存储卡接口类型</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电源功能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电源线适配能力</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电源适配器电线组件应符合GB/T15934的要求，电源≥</w:t>
            </w:r>
            <w:r>
              <w:rPr>
                <w:rFonts w:ascii="宋体" w:hAnsi="宋体" w:cs="宋体"/>
                <w:i/>
                <w:iCs/>
                <w:szCs w:val="21"/>
                <w:u w:val="single"/>
              </w:rPr>
              <w:t xml:space="preserve">50</w:t>
            </w:r>
            <w:r>
              <w:rPr>
                <w:rFonts w:hint="eastAsia" w:ascii="宋体" w:hAnsi="宋体" w:cs="宋体"/>
                <w:i/>
                <w:iCs/>
                <w:szCs w:val="21"/>
                <w:u w:val="single"/>
              </w:rPr>
              <w:t xml:space="preserve">0W</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操作系统及软件功能</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中文信息处理要求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符合GB18030的相关规定</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操作系统备份及还原功能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支持操作系统备份及还原功能</w:t>
            </w:r>
            <w:r/>
          </w:p>
        </w:tc>
      </w:tr>
      <w:tr>
        <w:trPr>
          <w:jc w:val="center"/>
          <w:trHeight w:val="18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固件备份还原能力</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支持备份及还原固件的功能</w:t>
            </w:r>
            <w:r/>
          </w:p>
        </w:tc>
      </w:tr>
      <w:tr>
        <w:trPr>
          <w:jc w:val="center"/>
          <w:trHeight w:val="36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操作系统及驱动升级</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支持通过网络、闪存盘等方式对操作系统、驱动进行升级</w:t>
            </w:r>
            <w:r/>
          </w:p>
        </w:tc>
      </w:tr>
      <w:tr>
        <w:trPr>
          <w:jc w:val="center"/>
          <w:trHeight w:val="31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135</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固件升级</w:t>
            </w:r>
            <w:r/>
          </w:p>
        </w:tc>
        <w:tc>
          <w:tcPr>
            <w:shd w:val="clear" w:color="000000" w:fill="ffffff"/>
            <w:tcBorders>
              <w:top w:val="none" w:color="000000" w:sz="4" w:space="0"/>
              <w:left w:val="singl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支持通过网络、闪存盘等方式对固件进行升级</w:t>
            </w:r>
            <w:r/>
          </w:p>
        </w:tc>
      </w:tr>
      <w:tr>
        <w:trPr>
          <w:jc w:val="center"/>
          <w:trHeight w:val="198"/>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136</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BIOS支持关闭通讯接口</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支持BIOS关闭以太网及USB接口</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137</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固件查看信息</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支持查看固件版本、内存信息、主板信息、处理器信息和系统时间信息等功能</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固件设置启动顺序</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支持设置启动顺序功能，并按照设置的启动顺序启动</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固件设置口令</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支持设置口令、修改口令、验证口令功能</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固件设置网络引导</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支持网络引导启动和关闭功能</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生物识别功能</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指纹识别</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无要求</w:t>
            </w:r>
            <w:r/>
          </w:p>
        </w:tc>
      </w:tr>
      <w:tr>
        <w:trPr>
          <w:jc w:val="center"/>
          <w:trHeight w:val="12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人脸识别</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无要求</w:t>
            </w:r>
            <w:r/>
          </w:p>
        </w:tc>
      </w:tr>
      <w:tr>
        <w:trPr>
          <w:jc w:val="center"/>
          <w:trHeight w:val="11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静脉识别</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硬件加速功能</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NPU/GPU等AI加速模块</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支持NPU/GPU等AI加速模块</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视频编解码加速模块</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影像处理加速模块</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无要求</w:t>
            </w:r>
            <w:r/>
          </w:p>
        </w:tc>
      </w:tr>
      <w:tr>
        <w:trPr>
          <w:jc w:val="center"/>
          <w:trHeight w:val="301"/>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存储设备可靠性</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固态存储寿命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TBW≥</w:t>
            </w:r>
            <w:r>
              <w:rPr>
                <w:rFonts w:ascii="宋体" w:hAnsi="宋体" w:cs="宋体"/>
                <w:i/>
                <w:iCs/>
                <w:szCs w:val="21"/>
                <w:u w:val="single"/>
              </w:rPr>
              <w:t xml:space="preserve">15</w:t>
            </w:r>
            <w:r>
              <w:rPr>
                <w:rFonts w:hint="eastAsia" w:ascii="宋体" w:hAnsi="宋体" w:cs="宋体"/>
                <w:i/>
                <w:iCs/>
                <w:szCs w:val="21"/>
                <w:u w:val="single"/>
              </w:rPr>
              <w:t xml:space="preserve">0TB（条件：5</w:t>
            </w:r>
            <w:r>
              <w:rPr>
                <w:rFonts w:ascii="宋体" w:hAnsi="宋体" w:cs="宋体"/>
                <w:i/>
                <w:iCs/>
                <w:szCs w:val="21"/>
                <w:u w:val="single"/>
              </w:rPr>
              <w:t xml:space="preserve">12</w:t>
            </w:r>
            <w:r>
              <w:rPr>
                <w:rFonts w:hint="eastAsia" w:ascii="宋体" w:hAnsi="宋体" w:cs="宋体"/>
                <w:i/>
                <w:iCs/>
                <w:szCs w:val="21"/>
                <w:u w:val="single"/>
              </w:rPr>
              <w:t xml:space="preserve">GB硬盘容量）</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机械硬盘寿命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rPr>
                <w:rFonts w:ascii="宋体" w:hAnsi="宋体" w:cs="宋体"/>
                <w:i/>
                <w:iCs/>
                <w:szCs w:val="21"/>
                <w:u w:val="single"/>
              </w:rPr>
            </w:pPr>
            <w:r>
              <w:rPr>
                <w:rFonts w:hint="eastAsia" w:ascii="宋体" w:hAnsi="宋体" w:cs="宋体"/>
                <w:i/>
                <w:iCs/>
                <w:szCs w:val="21"/>
                <w:u w:val="single"/>
              </w:rPr>
              <w:t xml:space="preserve">通电时间≥5万小时</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显示屏屏幕失效点</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szCs w:val="21"/>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外设可靠性</w:t>
            </w:r>
            <w:r/>
          </w:p>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键盘按键寿命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≥1000万次</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鼠标按键寿命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≥500万次</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键盘鼠标线材寿命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键盘鼠标所用线材经±60°弯折不低于3000次，功能、外观完好</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风扇寿命</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bookmarkStart w:id="194" w:name="OLE_LINK4"/>
            <w:r/>
            <w:bookmarkStart w:id="195" w:name="OLE_LINK3"/>
            <w:r>
              <w:rPr>
                <w:rFonts w:hint="eastAsia" w:ascii="宋体" w:hAnsi="宋体" w:cs="宋体"/>
                <w:i/>
                <w:iCs/>
                <w:szCs w:val="21"/>
                <w:u w:val="single"/>
              </w:rPr>
              <w:t xml:space="preserve">≥</w:t>
            </w:r>
            <w:bookmarkEnd w:id="194"/>
            <w:r/>
            <w:bookmarkEnd w:id="195"/>
            <w:r>
              <w:rPr>
                <w:rFonts w:hint="eastAsia" w:ascii="宋体" w:hAnsi="宋体" w:cs="宋体"/>
                <w:i/>
                <w:iCs/>
                <w:szCs w:val="21"/>
                <w:u w:val="single"/>
              </w:rPr>
              <w:t xml:space="preserve">4万小时</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154</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single" w:color="000000" w:sz="4" w:space="0"/>
              <w:left w:val="singl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整机可靠性要求</w:t>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电磁兼容性要求的抗扰度</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符合GB/T9254.2的规定</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155</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环境条件要求的气候环境适应性</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符合GB/T9813.1中规定</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环境条件要求的振动适应性</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符合GB/T9813.1中规定</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环境条件要求的冲击适应性</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符合GB/T9813.1中规定</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环境条件要求的碰撞适应性</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符合GB/T9813.1中规定</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环境条件要求的运输包装件跌落适应性</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符合GB/T9813.1中规定</w:t>
            </w:r>
            <w:r/>
          </w:p>
        </w:tc>
      </w:tr>
      <w:tr>
        <w:trPr>
          <w:jc w:val="center"/>
          <w:trHeight w:val="36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MTBF测试</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MTBF(m1)≥</w:t>
            </w:r>
            <w:r>
              <w:rPr>
                <w:rFonts w:ascii="宋体" w:hAnsi="宋体" w:cs="宋体"/>
                <w:i/>
                <w:iCs/>
                <w:szCs w:val="21"/>
                <w:u w:val="single"/>
              </w:rPr>
              <w:t xml:space="preserve">3</w:t>
            </w:r>
            <w:r>
              <w:rPr>
                <w:rFonts w:hint="eastAsia" w:ascii="宋体" w:hAnsi="宋体" w:cs="宋体"/>
                <w:i/>
                <w:iCs/>
                <w:szCs w:val="21"/>
                <w:u w:val="single"/>
              </w:rPr>
              <w:t xml:space="preserve">万小时</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兼容要求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兼容要求</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常用软件兼容</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支持流式软件、版式软件、浏览器、邮件采购人端、解压软件、多媒体、图形图像处理等常用软件</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兼容要求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数据库兼容</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兼容3个及以上厂商的数据库产品</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兼容要求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中间件兼容</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兼容3个及以上厂商中间件产品</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兼容要求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平台软件兼容</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兼容3个及以上厂商云计算及大数据平台</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包装及运输要求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标志、包装、运输和贮存</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符合GB/T9813.1和商品包装政府采购需求标准的相关规定</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配置检查工具</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供应商提供经自检测试工具</w:t>
            </w:r>
            <w:r/>
          </w:p>
        </w:tc>
      </w:tr>
      <w:tr>
        <w:trPr>
          <w:jc w:val="center"/>
          <w:trHeight w:val="45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服务响应</w:t>
            </w:r>
            <w:r/>
          </w:p>
        </w:tc>
        <w:tc>
          <w:tcPr>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提供产品</w:t>
            </w:r>
            <w:r>
              <w:rPr>
                <w:rFonts w:ascii="宋体" w:hAnsi="宋体" w:cs="宋体"/>
                <w:i/>
                <w:iCs/>
                <w:szCs w:val="21"/>
                <w:u w:val="single"/>
              </w:rPr>
              <w:t xml:space="preserve">5</w:t>
            </w:r>
            <w:r>
              <w:rPr>
                <w:rFonts w:hint="eastAsia" w:ascii="宋体" w:hAnsi="宋体" w:cs="宋体"/>
                <w:i/>
                <w:iCs/>
                <w:szCs w:val="21"/>
                <w:u w:val="single"/>
              </w:rPr>
              <w:t xml:space="preserve"> 年维保及上门服务（满足同城4 小时、异地 12 小时响应要求）；</w:t>
            </w:r>
            <w:r/>
          </w:p>
          <w:p>
            <w:pPr>
              <w:widowControl/>
              <w:rPr>
                <w:rFonts w:ascii="宋体" w:hAnsi="宋体" w:cs="宋体"/>
                <w:i/>
                <w:iCs/>
                <w:szCs w:val="21"/>
                <w:u w:val="single"/>
              </w:rPr>
            </w:pPr>
            <w:r>
              <w:rPr>
                <w:rFonts w:hint="eastAsia" w:ascii="宋体" w:hAnsi="宋体" w:cs="宋体"/>
                <w:i/>
                <w:iCs/>
                <w:szCs w:val="21"/>
                <w:u w:val="single"/>
              </w:rPr>
              <w:t xml:space="preserve">提供政企专线 7*24 在线服务；</w:t>
            </w:r>
            <w:r/>
          </w:p>
          <w:p>
            <w:pPr>
              <w:widowControl/>
              <w:rPr>
                <w:rFonts w:ascii="宋体" w:hAnsi="宋体" w:cs="宋体"/>
                <w:i/>
                <w:iCs/>
                <w:szCs w:val="21"/>
                <w:u w:val="single"/>
              </w:rPr>
            </w:pPr>
            <w:r>
              <w:rPr>
                <w:rFonts w:hint="eastAsia" w:ascii="宋体" w:hAnsi="宋体" w:cs="宋体"/>
                <w:i/>
                <w:iCs/>
                <w:szCs w:val="21"/>
                <w:u w:val="single"/>
              </w:rPr>
              <w:t xml:space="preserve">现场保障技术服务团队员，国内上门服务地级市覆盖率达 100%</w:t>
            </w:r>
            <w:r/>
          </w:p>
        </w:tc>
      </w:tr>
      <w:tr>
        <w:trPr>
          <w:jc w:val="center"/>
          <w:trHeight w:val="63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168</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服务周期</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支持产品延保≥3 年,提供每年延保服务报价,提供备件服务能力≥6 年（自购买之日起）</w:t>
            </w:r>
            <w:r/>
          </w:p>
        </w:tc>
      </w:tr>
      <w:tr>
        <w:trPr>
          <w:jc w:val="center"/>
          <w:trHeight w:val="362"/>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169</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预装操作系统</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预装符合桌面操作系统政府采购需求标准的正版操作系统</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170</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培训服务</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供应商提供培训材料、产品手册、培训视频等培训相关内容</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典型问题解决手册</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供应商提供典型问题解决说明文档或视频</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厂家升级软件与扩容服务</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供应商提供上门升级部件/软件与扩容的增值服务</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整机质量服务要求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中标后提供免费服务周期（含换件和维修）应不小于</w:t>
            </w:r>
            <w:r>
              <w:rPr>
                <w:rFonts w:ascii="宋体" w:hAnsi="宋体" w:cs="宋体"/>
                <w:i/>
                <w:iCs/>
                <w:szCs w:val="21"/>
                <w:u w:val="single"/>
              </w:rPr>
              <w:t xml:space="preserve">5</w:t>
            </w:r>
            <w:r>
              <w:rPr>
                <w:rFonts w:hint="eastAsia" w:ascii="宋体" w:hAnsi="宋体" w:cs="宋体"/>
                <w:i/>
                <w:iCs/>
                <w:szCs w:val="21"/>
                <w:u w:val="single"/>
              </w:rPr>
              <w:t xml:space="preserve">年</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合格证书要求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供应商提供产品合格证</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开箱组装/使用指导要求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供应商提供开箱组装/使用指导</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驱动下载服务要求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供应商提供驱动光盘或下载方式</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兼容适配软件下载服务要求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供应商提供兼容适配软件下载渠道（光盘、网站）</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跨架构平台应用兼容</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供应商提供跨架构平台的应用兼容工具，支持一种或者一种以上不同架构平台的应用</w:t>
            </w:r>
            <w:r/>
          </w:p>
        </w:tc>
      </w:tr>
      <w:tr>
        <w:trPr>
          <w:jc w:val="center"/>
          <w:trHeight w:val="7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供应保障要求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供应链合规性</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color w:val="ff0000"/>
                <w:szCs w:val="21"/>
              </w:rPr>
            </w:pPr>
            <w:r>
              <w:rPr>
                <w:rFonts w:hint="eastAsia" w:ascii="宋体" w:hAnsi="宋体" w:cs="宋体"/>
                <w:szCs w:val="21"/>
              </w:rPr>
              <w:t xml:space="preserve">产品部件保障</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供应商保障产品主要部件，提供6年的备件服务能力（自购买之日起），或提供可兼容原设备的升级换代产品</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供应保障要求</w:t>
            </w:r>
            <w:r/>
          </w:p>
        </w:tc>
        <w:tc>
          <w:tcPr>
            <w:shd w:val="clear" w:color="000000" w:fill="ffffff"/>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供应链质量</w:t>
            </w:r>
            <w:r/>
          </w:p>
        </w:tc>
        <w:tc>
          <w:tcPr>
            <w:shd w:val="clear" w:color="000000" w:fill="ffffff"/>
            <w:tcBorders>
              <w:top w:val="non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抗干扰性</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当产品部件出现供应风险时，供应商应通知采购人并提供风险应对方案确保产品的服务保障</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供应保障要求</w:t>
            </w:r>
            <w:r/>
          </w:p>
        </w:tc>
        <w:tc>
          <w:tcPr>
            <w:shd w:val="clear" w:color="000000" w:fill="ffffff"/>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供应能力证明</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供应商提供供应链稳定承诺，确保产品的部件在产品服务周期内稳定供货</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CPU和操作系统等关键部件应当符合安全可靠测评要求</w:t>
            </w:r>
            <w:r/>
          </w:p>
        </w:tc>
      </w:tr>
      <w:tr>
        <w:trPr>
          <w:jc w:val="center"/>
          <w:trHeight w:val="33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整机安全性要求</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密码算法实现</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CPU芯片应符合GM/T0008的相关规定，或芯片密码模块应符合GB/T 37092或GM/T 0028 的相关规定</w:t>
            </w:r>
            <w:r/>
          </w:p>
        </w:tc>
      </w:tr>
      <w:tr>
        <w:trPr>
          <w:jc w:val="center"/>
          <w:trHeight w:val="641"/>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USB端口管控</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支持USB端口管控</w:t>
            </w:r>
            <w:r/>
          </w:p>
        </w:tc>
      </w:tr>
      <w:tr>
        <w:trPr>
          <w:jc w:val="center"/>
          <w:trHeight w:val="12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安全物理锁</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支持安全物理锁</w:t>
            </w:r>
            <w:r/>
          </w:p>
        </w:tc>
      </w:tr>
      <w:tr>
        <w:trPr>
          <w:jc w:val="center"/>
          <w:trHeight w:val="69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信息安全基本要求</w:t>
            </w:r>
            <w:r/>
          </w:p>
        </w:tc>
        <w:tc>
          <w:tcPr>
            <w:shd w:val="clear" w:color="000000" w:fill="ffffff"/>
            <w:tcBorders>
              <w:top w:val="non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a) 应符合GB/T 39276的5.2的规定；</w:t>
            </w:r>
            <w:r/>
          </w:p>
          <w:p>
            <w:pPr>
              <w:widowControl/>
              <w:rPr>
                <w:rFonts w:ascii="宋体" w:hAnsi="宋体" w:cs="宋体"/>
                <w:i/>
                <w:iCs/>
                <w:szCs w:val="21"/>
                <w:u w:val="single"/>
              </w:rPr>
            </w:pPr>
            <w:r>
              <w:rPr>
                <w:rFonts w:hint="eastAsia" w:ascii="宋体" w:hAnsi="宋体" w:cs="宋体"/>
                <w:i/>
                <w:iCs/>
                <w:szCs w:val="21"/>
                <w:u w:val="single"/>
              </w:rPr>
              <w:t xml:space="preserve">b) 生产厂商应建立漏洞跟踪表，保证产品版本涉及到的漏洞(如驱动程序等)可查看；</w:t>
            </w:r>
            <w:r/>
          </w:p>
          <w:p>
            <w:pPr>
              <w:widowControl/>
              <w:rPr>
                <w:rFonts w:ascii="宋体" w:hAnsi="宋体" w:cs="宋体"/>
                <w:i/>
                <w:iCs/>
                <w:szCs w:val="21"/>
                <w:u w:val="single"/>
              </w:rPr>
            </w:pPr>
            <w:r>
              <w:rPr>
                <w:rFonts w:hint="eastAsia" w:ascii="宋体" w:hAnsi="宋体" w:cs="宋体"/>
                <w:i/>
                <w:iCs/>
                <w:szCs w:val="21"/>
                <w:u w:val="single"/>
              </w:rPr>
              <w:t xml:space="preserve">c) 产品不得包含已知的恶意代码或漏洞，不存在未声明的指令、功能、接口</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187</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固件安全启动</w:t>
            </w:r>
            <w:r/>
          </w:p>
        </w:tc>
        <w:tc>
          <w:tcPr>
            <w:shd w:val="clear" w:color="000000" w:fill="ffffff"/>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支持固件安全启动功能，固件启动过程中只有通过启动校验才能正常启动</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188</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安全要求</w:t>
            </w:r>
            <w:r/>
          </w:p>
        </w:tc>
        <w:tc>
          <w:tcPr>
            <w:shd w:val="clear" w:color="000000" w:fill="ffffff"/>
            <w:tcBorders>
              <w:top w:val="none" w:color="000000" w:sz="4" w:space="0"/>
              <w:left w:val="non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限用物质的限量要求</w:t>
            </w:r>
            <w:r/>
          </w:p>
        </w:tc>
        <w:tc>
          <w:tcPr>
            <w:shd w:val="clear" w:color="000000" w:fill="ffffff"/>
            <w:tcBorders>
              <w:top w:val="single" w:color="000000" w:sz="4" w:space="0"/>
              <w:left w:val="none" w:color="000000" w:sz="4" w:space="0"/>
              <w:bottom w:val="single" w:color="000000" w:sz="4" w:space="0"/>
              <w:right w:val="single" w:color="000000" w:sz="4" w:space="0"/>
            </w:tcBorders>
            <w:tcW w:w="4492" w:type="dxa"/>
            <w:vAlign w:val="center"/>
            <w:textDirection w:val="lrTb"/>
            <w:noWrap w:val="false"/>
          </w:tcPr>
          <w:p>
            <w:pPr>
              <w:widowControl/>
              <w:rPr>
                <w:rFonts w:ascii="宋体" w:hAnsi="宋体" w:cs="宋体"/>
                <w:i/>
                <w:iCs/>
                <w:szCs w:val="21"/>
                <w:u w:val="single"/>
              </w:rPr>
            </w:pPr>
            <w:r>
              <w:rPr>
                <w:rFonts w:hint="eastAsia" w:ascii="宋体" w:hAnsi="宋体" w:cs="宋体"/>
                <w:i/>
                <w:iCs/>
                <w:szCs w:val="21"/>
                <w:u w:val="single"/>
              </w:rPr>
              <w:t xml:space="preserve">符合GB/T26572中规定</w:t>
            </w:r>
            <w:r/>
          </w:p>
        </w:tc>
      </w:tr>
    </w:tbl>
    <w:p>
      <w:pPr>
        <w:ind w:firstLine="422"/>
        <w:rPr>
          <w:rFonts w:ascii="宋体" w:hAnsi="宋体" w:cs="宋体"/>
          <w:sz w:val="24"/>
        </w:rPr>
      </w:pPr>
      <w:r>
        <w:rPr>
          <w:rFonts w:hint="eastAsia" w:ascii="宋体" w:hAnsi="宋体" w:cs="宋体"/>
          <w:b/>
          <w:bCs/>
          <w:iCs/>
          <w:color w:val="000000"/>
          <w:szCs w:val="21"/>
        </w:rPr>
        <w:t xml:space="preserve">说明：本次采购工作站只有主机，不采购配置显示器,故对“显示设备规格”、“显示设备性能”、“显示设备功能”、“显示设备可靠性”指标无指标要求。</w:t>
      </w:r>
      <w:r/>
    </w:p>
    <w:p>
      <w:pPr>
        <w:ind w:firstLine="482"/>
        <w:rPr>
          <w:rFonts w:ascii="宋体" w:hAnsi="宋体" w:cs="宋体"/>
          <w:b/>
          <w:bCs/>
          <w:sz w:val="24"/>
        </w:rPr>
      </w:pPr>
      <w:r>
        <w:rPr>
          <w:rFonts w:hint="eastAsia" w:ascii="宋体" w:hAnsi="宋体" w:cs="宋体"/>
          <w:b/>
          <w:bCs/>
          <w:sz w:val="24"/>
        </w:rPr>
        <w:t xml:space="preserve">（二）设备部分建设要求</w:t>
      </w:r>
      <w:r/>
    </w:p>
    <w:p>
      <w:pPr>
        <w:ind w:firstLine="480"/>
        <w:rPr>
          <w:rFonts w:ascii="宋体" w:hAnsi="宋体" w:cs="宋体"/>
          <w:sz w:val="24"/>
          <w:lang w:val="zh-CN"/>
        </w:rPr>
      </w:pPr>
      <w:r>
        <w:rPr>
          <w:rFonts w:hint="eastAsia" w:ascii="宋体" w:hAnsi="宋体" w:cs="宋体"/>
          <w:sz w:val="24"/>
          <w:lang w:val="zh-CN"/>
        </w:rPr>
        <w:t xml:space="preserve">本项目为交钥匙工程，包工包料。在项目整体移交校方之前，设备安全、人员安全等均由投标人自行负责。投标人应按照校方要求，将设备分类安装调试到指定教室。所有涉及到工程的安装、辅材及调试等费用均由投标人负责承担。</w:t>
      </w:r>
      <w:r/>
    </w:p>
    <w:p>
      <w:pPr>
        <w:ind w:firstLine="480"/>
        <w:rPr>
          <w:rFonts w:ascii="宋体" w:hAnsi="宋体" w:cs="宋体"/>
          <w:sz w:val="24"/>
        </w:rPr>
      </w:pPr>
      <w:r>
        <w:rPr>
          <w:rFonts w:hint="eastAsia" w:ascii="宋体" w:hAnsi="宋体" w:cs="宋体"/>
          <w:sz w:val="24"/>
          <w:lang w:val="zh-CN"/>
        </w:rPr>
        <w:t xml:space="preserve">本项目的实施过程中，不得存有安全隐患。所有线路均需穿管</w:t>
      </w:r>
      <w:r>
        <w:rPr>
          <w:rFonts w:hint="eastAsia" w:ascii="宋体" w:hAnsi="宋体" w:cs="宋体"/>
          <w:sz w:val="24"/>
        </w:rPr>
        <w:t xml:space="preserve">/</w:t>
      </w:r>
      <w:r>
        <w:rPr>
          <w:rFonts w:hint="eastAsia" w:ascii="宋体" w:hAnsi="宋体" w:cs="宋体"/>
          <w:sz w:val="24"/>
          <w:lang w:val="zh-CN"/>
        </w:rPr>
        <w:t xml:space="preserve">线槽敷设，施工要求统一规范，走线美观。</w:t>
      </w:r>
      <w:r>
        <w:rPr>
          <w:rFonts w:hint="eastAsia" w:ascii="宋体" w:hAnsi="宋体" w:cs="宋体"/>
          <w:sz w:val="24"/>
        </w:rPr>
        <w:t xml:space="preserve">施工过程</w:t>
      </w:r>
      <w:r>
        <w:rPr>
          <w:rFonts w:hint="eastAsia" w:ascii="宋体" w:hAnsi="宋体" w:cs="宋体"/>
          <w:sz w:val="24"/>
          <w:lang w:val="zh-CN"/>
        </w:rPr>
        <w:t xml:space="preserve">中损坏、污染的</w:t>
      </w:r>
      <w:r>
        <w:rPr>
          <w:rFonts w:hint="eastAsia" w:ascii="宋体" w:hAnsi="宋体" w:cs="宋体"/>
          <w:sz w:val="24"/>
        </w:rPr>
        <w:t xml:space="preserve">建筑装修面层</w:t>
      </w:r>
      <w:r>
        <w:rPr>
          <w:rFonts w:hint="eastAsia" w:ascii="宋体" w:hAnsi="宋体" w:cs="宋体"/>
          <w:sz w:val="24"/>
          <w:lang w:val="zh-CN"/>
        </w:rPr>
        <w:t xml:space="preserve">，必须恢复出新。</w:t>
      </w:r>
      <w:r/>
    </w:p>
    <w:p>
      <w:pPr>
        <w:ind w:firstLine="480"/>
        <w:rPr>
          <w:rFonts w:ascii="宋体" w:hAnsi="宋体" w:cs="宋体"/>
          <w:sz w:val="24"/>
          <w:lang w:val="zh-CN"/>
        </w:rPr>
      </w:pPr>
      <w:r>
        <w:rPr>
          <w:rFonts w:hint="eastAsia" w:ascii="宋体" w:hAnsi="宋体" w:cs="宋体"/>
          <w:sz w:val="24"/>
          <w:lang w:val="zh-CN"/>
        </w:rPr>
        <w:t xml:space="preserve">其他未尽事宜在施工过程中以校方要求为准。</w:t>
      </w:r>
      <w:r/>
    </w:p>
    <w:p>
      <w:pPr>
        <w:ind w:firstLine="482"/>
        <w:rPr>
          <w:rFonts w:ascii="宋体" w:hAnsi="宋体" w:cs="宋体"/>
          <w:b/>
          <w:bCs/>
          <w:sz w:val="24"/>
        </w:rPr>
      </w:pPr>
      <w:r>
        <w:rPr>
          <w:rFonts w:hint="eastAsia" w:ascii="宋体" w:hAnsi="宋体" w:cs="宋体"/>
          <w:b/>
          <w:bCs/>
          <w:sz w:val="24"/>
        </w:rPr>
        <w:t xml:space="preserve">（三）基础装修部分实施要求</w:t>
      </w:r>
      <w:r/>
    </w:p>
    <w:p>
      <w:pPr>
        <w:ind w:firstLine="480"/>
        <w:jc w:val="left"/>
        <w:rPr>
          <w:rFonts w:ascii="宋体" w:hAnsi="宋体" w:cs="宋体"/>
          <w:sz w:val="24"/>
        </w:rPr>
      </w:pPr>
      <w:r>
        <w:rPr>
          <w:rFonts w:hint="eastAsia" w:ascii="宋体" w:hAnsi="宋体" w:cs="宋体"/>
          <w:sz w:val="24"/>
        </w:rPr>
        <w:t xml:space="preserve">本项目含知善楼4间教室的基础装修。主要包含PVC地胶铺设、室内墙面及顶面吊顶制作（石膏板、铝方通、仿木纹碳晶板）、阶梯台阶新建、讲台地台新建、窗帘、照明更新及相关拆除内容等。</w:t>
      </w:r>
      <w:r/>
    </w:p>
    <w:p>
      <w:pPr>
        <w:ind w:firstLine="482"/>
        <w:jc w:val="left"/>
        <w:rPr>
          <w:rFonts w:ascii="宋体" w:hAnsi="宋体" w:cs="宋体"/>
          <w:b/>
          <w:bCs/>
          <w:sz w:val="24"/>
        </w:rPr>
      </w:pPr>
      <w:r>
        <w:rPr>
          <w:rFonts w:hint="eastAsia" w:ascii="宋体" w:hAnsi="宋体" w:cs="宋体"/>
          <w:b/>
          <w:bCs/>
          <w:sz w:val="24"/>
        </w:rPr>
        <w:t xml:space="preserve">具体详见设计图和《工程量清单》（见采购公告附件）。</w:t>
      </w:r>
      <w:r/>
    </w:p>
    <w:p>
      <w:pPr>
        <w:ind w:firstLine="482"/>
        <w:jc w:val="left"/>
        <w:rPr>
          <w:rFonts w:ascii="宋体" w:hAnsi="宋体" w:cs="宋体"/>
          <w:b/>
          <w:bCs/>
          <w:sz w:val="24"/>
          <w:lang w:val="zh-CN"/>
        </w:rPr>
      </w:pPr>
      <w:r>
        <w:rPr>
          <w:rFonts w:ascii="宋体" w:hAnsi="宋体" w:cs="宋体"/>
          <w:b/>
          <w:bCs/>
          <w:sz w:val="24"/>
          <w:lang w:val="zh-CN"/>
        </w:rPr>
      </w:r>
      <w:r/>
    </w:p>
    <w:p>
      <w:pPr>
        <w:ind w:firstLine="562"/>
        <w:spacing w:line="360" w:lineRule="auto"/>
        <w:rPr>
          <w:b/>
          <w:sz w:val="28"/>
          <w:szCs w:val="28"/>
        </w:rPr>
        <w:outlineLvl w:val="1"/>
      </w:pPr>
      <w:r>
        <w:rPr>
          <w:rFonts w:hint="eastAsia"/>
          <w:b/>
          <w:sz w:val="28"/>
          <w:szCs w:val="28"/>
        </w:rPr>
        <w:t xml:space="preserve">四、商务要求</w:t>
      </w:r>
      <w:r/>
    </w:p>
    <w:p>
      <w:pPr>
        <w:ind w:firstLine="480"/>
        <w:rPr>
          <w:rFonts w:ascii="宋体" w:hAnsi="宋体" w:cs="宋体"/>
          <w:sz w:val="24"/>
        </w:rPr>
      </w:pPr>
      <w:r>
        <w:rPr>
          <w:rFonts w:hint="eastAsia" w:ascii="宋体" w:hAnsi="宋体" w:cs="宋体"/>
          <w:b/>
          <w:bCs/>
          <w:sz w:val="24"/>
        </w:rPr>
        <w:t xml:space="preserve">1.合同履行期限</w:t>
      </w:r>
      <w:r>
        <w:rPr>
          <w:rFonts w:hint="eastAsia" w:ascii="宋体" w:hAnsi="宋体" w:cs="宋体"/>
          <w:sz w:val="24"/>
        </w:rPr>
        <w:t xml:space="preserve">（交付时间/完成时间）：</w:t>
      </w:r>
      <w:bookmarkStart w:id="196" w:name="OLE_LINK23"/>
      <w:r/>
      <w:bookmarkStart w:id="197" w:name="OLE_LINK24"/>
      <w:r>
        <w:rPr>
          <w:rFonts w:hint="eastAsia" w:ascii="宋体" w:hAnsi="宋体" w:cs="宋体"/>
          <w:sz w:val="24"/>
        </w:rPr>
        <w:t xml:space="preserve">合同签订后45日历天内安装调试完成。</w:t>
      </w:r>
      <w:bookmarkEnd w:id="196"/>
      <w:r/>
      <w:bookmarkEnd w:id="197"/>
      <w:r/>
      <w:r/>
    </w:p>
    <w:p>
      <w:pPr>
        <w:ind w:firstLine="480"/>
        <w:rPr>
          <w:rFonts w:ascii="宋体" w:hAnsi="宋体" w:cs="宋体"/>
          <w:sz w:val="24"/>
        </w:rPr>
      </w:pPr>
      <w:r>
        <w:rPr>
          <w:rFonts w:hint="eastAsia" w:ascii="宋体" w:hAnsi="宋体" w:cs="宋体"/>
          <w:b/>
          <w:bCs/>
          <w:sz w:val="24"/>
        </w:rPr>
        <w:t xml:space="preserve">2.交付地点</w:t>
      </w:r>
      <w:r>
        <w:rPr>
          <w:rFonts w:hint="eastAsia" w:ascii="宋体" w:hAnsi="宋体" w:cs="宋体"/>
          <w:sz w:val="24"/>
        </w:rPr>
        <w:t xml:space="preserve">：南京信息职业技术学院。</w:t>
      </w:r>
      <w:r/>
    </w:p>
    <w:p>
      <w:pPr>
        <w:ind w:firstLine="480"/>
        <w:rPr>
          <w:rFonts w:ascii="宋体" w:hAnsi="宋体" w:cs="宋体"/>
          <w:sz w:val="24"/>
        </w:rPr>
      </w:pPr>
      <w:r>
        <w:rPr>
          <w:rFonts w:hint="eastAsia" w:ascii="宋体" w:hAnsi="宋体" w:cs="宋体"/>
          <w:b/>
          <w:bCs/>
          <w:sz w:val="24"/>
        </w:rPr>
        <w:t xml:space="preserve">3.投标报价</w:t>
      </w:r>
      <w:r>
        <w:rPr>
          <w:rFonts w:hint="eastAsia" w:ascii="宋体" w:hAnsi="宋体" w:cs="宋体"/>
          <w:sz w:val="24"/>
        </w:rPr>
        <w:t xml:space="preserve">：人民币。</w:t>
      </w:r>
      <w:r/>
    </w:p>
    <w:p>
      <w:pPr>
        <w:ind w:firstLine="480"/>
        <w:rPr>
          <w:rFonts w:ascii="宋体" w:hAnsi="宋体" w:cs="宋体"/>
          <w:sz w:val="24"/>
        </w:rPr>
      </w:pPr>
      <w:r>
        <w:rPr>
          <w:rFonts w:hint="eastAsia" w:ascii="宋体" w:hAnsi="宋体" w:cs="宋体"/>
          <w:b/>
          <w:bCs/>
          <w:sz w:val="24"/>
        </w:rPr>
        <w:t xml:space="preserve">4.付款条件</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（1）合同签订后十五个工作日内，甲方以银行转账方式向乙方支付合同设备金额的30%作为预付款。</w:t>
      </w:r>
      <w:r/>
    </w:p>
    <w:p>
      <w:pPr>
        <w:ind w:firstLine="480"/>
        <w:rPr>
          <w:rFonts w:ascii="宋体" w:hAnsi="宋体" w:cs="宋体"/>
          <w:sz w:val="24"/>
        </w:rPr>
      </w:pPr>
      <w:r>
        <w:rPr>
          <w:rFonts w:hint="eastAsia" w:ascii="宋体" w:hAnsi="宋体" w:cs="宋体"/>
          <w:sz w:val="24"/>
        </w:rPr>
        <w:t xml:space="preserve">（2）项目整体通过验收合格后，甲方收到乙方发票10个工作日内以银行转账方式付清尾款。</w:t>
      </w:r>
      <w:r/>
    </w:p>
    <w:p>
      <w:pPr>
        <w:ind w:firstLine="480"/>
        <w:rPr>
          <w:rFonts w:ascii="宋体" w:hAnsi="宋体" w:cs="宋体"/>
          <w:sz w:val="24"/>
        </w:rPr>
      </w:pPr>
      <w:r>
        <w:rPr>
          <w:rFonts w:hint="eastAsia" w:ascii="宋体" w:hAnsi="宋体" w:cs="宋体"/>
          <w:sz w:val="24"/>
        </w:rPr>
        <w:t xml:space="preserve">以上均不计息。</w:t>
      </w:r>
      <w:r/>
    </w:p>
    <w:p>
      <w:pPr>
        <w:ind w:firstLine="482"/>
        <w:rPr>
          <w:rFonts w:ascii="宋体" w:hAnsi="宋体" w:cs="宋体"/>
          <w:sz w:val="24"/>
        </w:rPr>
      </w:pPr>
      <w:r>
        <w:rPr>
          <w:rFonts w:hint="eastAsia" w:ascii="宋体" w:hAnsi="宋体" w:cs="宋体"/>
          <w:b/>
          <w:bCs/>
          <w:sz w:val="24"/>
        </w:rPr>
        <w:t xml:space="preserve">5.包装和运输要求</w:t>
      </w:r>
      <w:r>
        <w:rPr>
          <w:rFonts w:hint="eastAsia" w:ascii="宋体" w:hAnsi="宋体" w:cs="宋体"/>
          <w:sz w:val="24"/>
        </w:rPr>
        <w:t xml:space="preserve">：所有产品需采用防震、防潮包装，并通过可靠物流确保运输全程安全无损、准时送达。</w:t>
      </w:r>
      <w:r/>
    </w:p>
    <w:p>
      <w:pPr>
        <w:ind w:firstLine="482"/>
        <w:rPr>
          <w:rFonts w:ascii="宋体" w:hAnsi="宋体" w:cs="宋体"/>
          <w:b/>
          <w:bCs/>
          <w:sz w:val="24"/>
        </w:rPr>
      </w:pPr>
      <w:r>
        <w:rPr>
          <w:rFonts w:hint="eastAsia" w:ascii="宋体" w:hAnsi="宋体" w:cs="宋体"/>
          <w:b/>
          <w:bCs/>
          <w:sz w:val="24"/>
        </w:rPr>
        <w:t xml:space="preserve">6.项目方案</w:t>
      </w:r>
      <w:r/>
    </w:p>
    <w:p>
      <w:pPr>
        <w:ind w:firstLine="482"/>
        <w:rPr>
          <w:rFonts w:ascii="宋体" w:hAnsi="宋体" w:cs="宋体"/>
          <w:sz w:val="24"/>
        </w:rPr>
      </w:pPr>
      <w:r>
        <w:rPr>
          <w:rFonts w:hint="eastAsia" w:ascii="宋体" w:hAnsi="宋体" w:cs="宋体"/>
          <w:b/>
          <w:bCs/>
          <w:sz w:val="24"/>
        </w:rPr>
        <w:t xml:space="preserve">6.1实施方案</w:t>
      </w:r>
      <w:r/>
    </w:p>
    <w:p>
      <w:pPr>
        <w:ind w:firstLine="480"/>
        <w:rPr>
          <w:rFonts w:ascii="宋体" w:hAnsi="宋体" w:cs="宋体"/>
          <w:bCs/>
          <w:sz w:val="24"/>
        </w:rPr>
      </w:pPr>
      <w:r>
        <w:rPr>
          <w:rFonts w:hint="eastAsia" w:ascii="宋体" w:hAnsi="宋体" w:cs="宋体"/>
          <w:bCs/>
          <w:sz w:val="24"/>
        </w:rPr>
        <w:t xml:space="preserve">以下为实施方案基本内容，投标人根据实地勘察情况，细化方案。</w:t>
      </w:r>
      <w:r/>
    </w:p>
    <w:p>
      <w:pPr>
        <w:ind w:firstLine="480"/>
        <w:rPr>
          <w:rFonts w:ascii="宋体" w:hAnsi="宋体" w:cs="宋体"/>
          <w:bCs/>
          <w:sz w:val="24"/>
        </w:rPr>
      </w:pPr>
      <w:r>
        <w:rPr>
          <w:rFonts w:hint="eastAsia" w:ascii="宋体" w:hAnsi="宋体" w:cs="宋体"/>
          <w:b/>
          <w:bCs/>
          <w:sz w:val="24"/>
        </w:rPr>
        <w:t xml:space="preserve">6.1</w:t>
      </w:r>
      <w:r>
        <w:rPr>
          <w:rFonts w:ascii="宋体" w:hAnsi="宋体" w:cs="宋体"/>
          <w:b/>
          <w:bCs/>
          <w:sz w:val="24"/>
        </w:rPr>
        <w:t xml:space="preserve">.1 </w:t>
      </w:r>
      <w:r>
        <w:rPr>
          <w:rFonts w:hint="eastAsia" w:ascii="宋体" w:hAnsi="宋体" w:cs="宋体"/>
          <w:b/>
          <w:bCs/>
          <w:sz w:val="24"/>
        </w:rPr>
        <w:t xml:space="preserve">项目概况与需求分析</w:t>
      </w:r>
      <w:r>
        <w:rPr>
          <w:rFonts w:hint="eastAsia" w:ascii="宋体" w:hAnsi="宋体" w:cs="宋体"/>
          <w:bCs/>
          <w:sz w:val="24"/>
        </w:rPr>
        <w:t xml:space="preserve">：</w:t>
      </w:r>
      <w:r/>
    </w:p>
    <w:p>
      <w:pPr>
        <w:ind w:firstLine="480"/>
        <w:rPr>
          <w:rFonts w:ascii="宋体" w:hAnsi="宋体" w:cs="宋体"/>
          <w:bCs/>
          <w:sz w:val="24"/>
        </w:rPr>
      </w:pPr>
      <w:r>
        <w:rPr>
          <w:rFonts w:hint="eastAsia" w:ascii="宋体" w:hAnsi="宋体" w:cs="宋体"/>
          <w:bCs/>
          <w:sz w:val="24"/>
        </w:rPr>
        <w:t xml:space="preserve">南京信息职业技术学院知善楼4间阶梯教室，经长期高强度使用，投影机、计算机等教学设备老化严重、性能不稳，直接影响教学体验与课堂质量。同时，现有单机版中控系统功能简单，无法集中管控，难以适配学校智慧化、规模化教学管理需求。</w:t>
      </w:r>
      <w:r/>
    </w:p>
    <w:p>
      <w:pPr>
        <w:ind w:firstLine="480"/>
        <w:rPr>
          <w:rFonts w:ascii="宋体" w:hAnsi="宋体" w:cs="宋体"/>
          <w:bCs/>
          <w:sz w:val="24"/>
        </w:rPr>
      </w:pPr>
      <w:r>
        <w:rPr>
          <w:rFonts w:hint="eastAsia" w:ascii="宋体" w:hAnsi="宋体" w:cs="宋体"/>
          <w:bCs/>
          <w:sz w:val="24"/>
        </w:rPr>
        <w:t xml:space="preserve">为解决场地布局不合理、设施老旧、管理低效等痛点，学校拟对4间阶梯教室实施智能化改造，进行基础装修改造，更新教学桌椅与智能教学设备，配套搭建智能巡课平台。通过环境升级、设备更新、智能监管、督导闭环建设，构建智慧教学治理体系，适配新时代职教人才培养与教育评价改革需求，打造集“高清显示、智能中控、常态化录播”于一体的智慧教学空间。</w:t>
      </w:r>
      <w:r/>
    </w:p>
    <w:p>
      <w:pPr>
        <w:ind w:firstLine="480"/>
        <w:rPr>
          <w:rFonts w:ascii="宋体" w:hAnsi="宋体" w:cs="宋体"/>
          <w:b/>
          <w:sz w:val="24"/>
        </w:rPr>
      </w:pPr>
      <w:r>
        <w:rPr>
          <w:rFonts w:hint="eastAsia" w:ascii="宋体" w:hAnsi="宋体" w:cs="宋体"/>
          <w:b/>
          <w:sz w:val="24"/>
        </w:rPr>
        <w:t xml:space="preserve">6</w:t>
      </w:r>
      <w:r>
        <w:rPr>
          <w:rFonts w:ascii="宋体" w:hAnsi="宋体" w:cs="宋体"/>
          <w:b/>
          <w:sz w:val="24"/>
        </w:rPr>
        <w:t xml:space="preserve">.1.2</w:t>
      </w:r>
      <w:r>
        <w:rPr>
          <w:rFonts w:hint="eastAsia" w:ascii="宋体" w:hAnsi="宋体" w:cs="宋体"/>
          <w:b/>
          <w:sz w:val="24"/>
        </w:rPr>
        <w:t xml:space="preserve">建设范围及建设内容</w:t>
      </w:r>
      <w:r/>
    </w:p>
    <w:p>
      <w:pPr>
        <w:ind w:left="360" w:firstLine="480"/>
        <w:rPr>
          <w:rFonts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建设范围：知善楼1</w:t>
      </w:r>
      <w:r>
        <w:rPr>
          <w:rFonts w:ascii="宋体" w:hAnsi="宋体" w:cs="宋体"/>
          <w:sz w:val="24"/>
        </w:rPr>
        <w:t xml:space="preserve">01.102.201.202</w:t>
      </w:r>
      <w:r>
        <w:rPr>
          <w:rFonts w:hint="eastAsia" w:ascii="宋体" w:hAnsi="宋体" w:cs="宋体"/>
          <w:sz w:val="24"/>
        </w:rPr>
        <w:t xml:space="preserve">四间阶梯教室。</w:t>
      </w:r>
      <w:r/>
    </w:p>
    <w:p>
      <w:pPr>
        <w:ind w:left="360" w:firstLine="480"/>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主要建设内容：</w:t>
      </w:r>
      <w:r/>
    </w:p>
    <w:p>
      <w:pPr>
        <w:ind w:left="780" w:firstLine="480"/>
        <w:rPr>
          <w:rFonts w:ascii="宋体" w:hAnsi="宋体" w:cs="宋体"/>
          <w:sz w:val="24"/>
        </w:rPr>
      </w:pPr>
      <w:r>
        <w:rPr>
          <w:rFonts w:ascii="宋体" w:hAnsi="宋体" w:cs="宋体"/>
          <w:sz w:val="24"/>
        </w:rPr>
        <w:t xml:space="preserve">a.</w:t>
      </w:r>
      <w:r>
        <w:rPr>
          <w:rFonts w:hint="eastAsia" w:ascii="宋体" w:hAnsi="宋体" w:cs="宋体"/>
          <w:sz w:val="24"/>
        </w:rPr>
        <w:t xml:space="preserve">拆除原有老旧教学设备、桌椅。</w:t>
      </w:r>
      <w:r/>
    </w:p>
    <w:p>
      <w:pPr>
        <w:ind w:left="780" w:firstLine="480"/>
        <w:rPr>
          <w:rFonts w:ascii="宋体" w:hAnsi="宋体" w:cs="宋体"/>
          <w:sz w:val="24"/>
        </w:rPr>
      </w:pPr>
      <w:r>
        <w:rPr>
          <w:rFonts w:hint="eastAsia" w:ascii="宋体" w:hAnsi="宋体" w:cs="宋体"/>
          <w:sz w:val="24"/>
        </w:rPr>
        <w:t xml:space="preserve">b</w:t>
      </w:r>
      <w:r>
        <w:rPr>
          <w:rFonts w:ascii="宋体" w:hAnsi="宋体" w:cs="宋体"/>
          <w:sz w:val="24"/>
        </w:rPr>
        <w:t xml:space="preserve">.</w:t>
      </w:r>
      <w:r>
        <w:rPr>
          <w:rFonts w:hint="eastAsia" w:ascii="宋体" w:hAnsi="宋体" w:cs="宋体"/>
          <w:sz w:val="24"/>
        </w:rPr>
        <w:t xml:space="preserve">基础装修改造、强弱电改造。</w:t>
      </w:r>
      <w:r/>
    </w:p>
    <w:p>
      <w:pPr>
        <w:ind w:left="780" w:firstLine="480"/>
        <w:rPr>
          <w:rFonts w:ascii="宋体" w:hAnsi="宋体" w:cs="宋体"/>
          <w:sz w:val="24"/>
        </w:rPr>
      </w:pPr>
      <w:r>
        <w:rPr>
          <w:rFonts w:hint="eastAsia" w:ascii="宋体" w:hAnsi="宋体" w:cs="宋体"/>
          <w:sz w:val="24"/>
        </w:rPr>
        <w:t xml:space="preserve">c</w:t>
      </w:r>
      <w:r>
        <w:rPr>
          <w:rFonts w:ascii="宋体" w:hAnsi="宋体" w:cs="宋体"/>
          <w:sz w:val="24"/>
        </w:rPr>
        <w:t xml:space="preserve">.</w:t>
      </w:r>
      <w:r>
        <w:rPr>
          <w:rFonts w:hint="eastAsia" w:ascii="宋体" w:hAnsi="宋体" w:cs="宋体"/>
          <w:sz w:val="24"/>
        </w:rPr>
        <w:t xml:space="preserve">安装教学桌椅。</w:t>
      </w:r>
      <w:r/>
    </w:p>
    <w:p>
      <w:pPr>
        <w:ind w:left="780" w:firstLine="480"/>
        <w:rPr>
          <w:rFonts w:ascii="宋体" w:hAnsi="宋体" w:cs="宋体"/>
          <w:sz w:val="24"/>
        </w:rPr>
      </w:pPr>
      <w:r>
        <w:rPr>
          <w:rFonts w:hint="eastAsia" w:ascii="宋体" w:hAnsi="宋体" w:cs="宋体"/>
          <w:sz w:val="24"/>
        </w:rPr>
        <w:t xml:space="preserve">d</w:t>
      </w:r>
      <w:r>
        <w:rPr>
          <w:rFonts w:ascii="宋体" w:hAnsi="宋体" w:cs="宋体"/>
          <w:sz w:val="24"/>
        </w:rPr>
        <w:t xml:space="preserve">.</w:t>
      </w:r>
      <w:r>
        <w:rPr>
          <w:rFonts w:hint="eastAsia" w:ascii="宋体" w:hAnsi="宋体" w:cs="宋体"/>
          <w:sz w:val="24"/>
        </w:rPr>
        <w:t xml:space="preserve">安装投影设备、扩声设备、中控设备、录播设备等设备。</w:t>
      </w:r>
      <w:r/>
    </w:p>
    <w:p>
      <w:pPr>
        <w:ind w:left="780" w:firstLine="480"/>
        <w:rPr>
          <w:rFonts w:ascii="宋体" w:hAnsi="宋体" w:cs="宋体"/>
          <w:sz w:val="24"/>
        </w:rPr>
      </w:pPr>
      <w:r>
        <w:rPr>
          <w:rFonts w:hint="eastAsia" w:ascii="宋体" w:hAnsi="宋体" w:cs="宋体"/>
          <w:sz w:val="24"/>
        </w:rPr>
        <w:t xml:space="preserve">e</w:t>
      </w:r>
      <w:r>
        <w:rPr>
          <w:rFonts w:ascii="宋体" w:hAnsi="宋体" w:cs="宋体"/>
          <w:sz w:val="24"/>
        </w:rPr>
        <w:t xml:space="preserve">.</w:t>
      </w:r>
      <w:r>
        <w:rPr>
          <w:rFonts w:hint="eastAsia" w:ascii="宋体" w:hAnsi="宋体" w:cs="宋体"/>
          <w:sz w:val="24"/>
        </w:rPr>
        <w:t xml:space="preserve">建设巡课软件平台。</w:t>
      </w:r>
      <w:r/>
    </w:p>
    <w:p>
      <w:pPr>
        <w:ind w:left="300" w:firstLine="480"/>
        <w:rPr>
          <w:rFonts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难点分析与对策：</w:t>
      </w:r>
      <w:r/>
    </w:p>
    <w:p>
      <w:pPr>
        <w:ind w:left="780" w:firstLine="480"/>
        <w:rPr>
          <w:rFonts w:ascii="宋体" w:hAnsi="宋体" w:cs="宋体"/>
          <w:sz w:val="24"/>
        </w:rPr>
      </w:pPr>
      <w:r>
        <w:rPr>
          <w:rFonts w:hint="eastAsia" w:ascii="宋体" w:hAnsi="宋体" w:cs="宋体"/>
          <w:sz w:val="24"/>
        </w:rPr>
        <w:t xml:space="preserve">a</w:t>
      </w:r>
      <w:r>
        <w:rPr>
          <w:rFonts w:ascii="宋体" w:hAnsi="宋体" w:cs="宋体"/>
          <w:sz w:val="24"/>
        </w:rPr>
        <w:t xml:space="preserve">.</w:t>
      </w:r>
      <w:r>
        <w:rPr>
          <w:rFonts w:hint="eastAsia" w:ascii="宋体" w:hAnsi="宋体" w:cs="宋体"/>
          <w:sz w:val="24"/>
        </w:rPr>
        <w:t xml:space="preserve">施工期间不影响正常教学。</w:t>
      </w:r>
      <w:r/>
    </w:p>
    <w:p>
      <w:pPr>
        <w:ind w:left="780" w:firstLine="480"/>
        <w:rPr>
          <w:rFonts w:ascii="宋体" w:hAnsi="宋体" w:cs="宋体"/>
          <w:sz w:val="24"/>
        </w:rPr>
      </w:pPr>
      <w:r>
        <w:rPr>
          <w:rFonts w:hint="eastAsia" w:ascii="宋体" w:hAnsi="宋体" w:cs="宋体"/>
          <w:sz w:val="24"/>
        </w:rPr>
        <w:t xml:space="preserve">对策：暑假期间抓紧时间施工，开学后采用“分批次滚动施工”策略，利用周末及夜间进行高噪音作业；设置临时静音隔离区。</w:t>
      </w:r>
      <w:r/>
    </w:p>
    <w:p>
      <w:pPr>
        <w:ind w:left="780" w:firstLine="480"/>
        <w:rPr>
          <w:rFonts w:ascii="宋体" w:hAnsi="宋体" w:cs="宋体"/>
          <w:sz w:val="24"/>
        </w:rPr>
      </w:pPr>
      <w:r>
        <w:rPr>
          <w:rFonts w:hint="eastAsia" w:ascii="宋体" w:hAnsi="宋体" w:cs="宋体"/>
          <w:sz w:val="24"/>
        </w:rPr>
        <w:t xml:space="preserve">b</w:t>
      </w:r>
      <w:r>
        <w:rPr>
          <w:rFonts w:ascii="宋体" w:hAnsi="宋体" w:cs="宋体"/>
          <w:sz w:val="24"/>
        </w:rPr>
        <w:t xml:space="preserve">.</w:t>
      </w:r>
      <w:r>
        <w:rPr>
          <w:rFonts w:hint="eastAsia" w:ascii="宋体" w:hAnsi="宋体" w:cs="宋体"/>
          <w:sz w:val="24"/>
        </w:rPr>
        <w:t xml:space="preserve">多系统联动稳定性。</w:t>
      </w:r>
      <w:r/>
    </w:p>
    <w:p>
      <w:pPr>
        <w:ind w:left="780" w:firstLine="480"/>
        <w:rPr>
          <w:rFonts w:ascii="宋体" w:hAnsi="宋体" w:cs="宋体"/>
          <w:sz w:val="24"/>
        </w:rPr>
      </w:pPr>
      <w:r>
        <w:rPr>
          <w:rFonts w:hint="eastAsia" w:ascii="宋体" w:hAnsi="宋体" w:cs="宋体"/>
          <w:sz w:val="24"/>
        </w:rPr>
        <w:t xml:space="preserve">对策：选用同一品牌或经过兼容性认证的生态链产品，并在安装前进行集成测试。</w:t>
      </w:r>
      <w:r/>
    </w:p>
    <w:p>
      <w:pPr>
        <w:ind w:firstLine="480"/>
        <w:rPr>
          <w:rFonts w:ascii="宋体" w:hAnsi="宋体" w:cs="宋体"/>
          <w:b/>
          <w:sz w:val="24"/>
        </w:rPr>
      </w:pPr>
      <w:r>
        <w:rPr>
          <w:rFonts w:hint="eastAsia" w:ascii="宋体" w:hAnsi="宋体" w:cs="宋体"/>
          <w:b/>
          <w:sz w:val="24"/>
        </w:rPr>
        <w:t xml:space="preserve">6</w:t>
      </w:r>
      <w:r>
        <w:rPr>
          <w:rFonts w:ascii="宋体" w:hAnsi="宋体" w:cs="宋体"/>
          <w:b/>
          <w:sz w:val="24"/>
        </w:rPr>
        <w:t xml:space="preserve">.1.</w:t>
      </w:r>
      <w:r>
        <w:rPr>
          <w:rFonts w:hint="eastAsia" w:ascii="宋体" w:hAnsi="宋体" w:cs="宋体"/>
          <w:b/>
          <w:sz w:val="24"/>
        </w:rPr>
        <w:t xml:space="preserve">3施工组织与管理</w:t>
      </w:r>
      <w:r/>
    </w:p>
    <w:p>
      <w:pPr>
        <w:ind w:left="360" w:firstLine="480"/>
        <w:rPr>
          <w:rFonts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人员配置：配置项目经理、技术负责人、装修施工负责人、强弱电工程师、装修技工等项目组人员，具有相应的资格证书，具有丰富的实施施工经验，明确人员工作职责；</w:t>
      </w:r>
      <w:r/>
    </w:p>
    <w:p>
      <w:pPr>
        <w:ind w:left="360" w:firstLine="480"/>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项目管理：</w:t>
      </w:r>
      <w:r/>
    </w:p>
    <w:p>
      <w:pPr>
        <w:ind w:left="780" w:firstLine="480"/>
        <w:rPr>
          <w:rFonts w:ascii="宋体" w:hAnsi="宋体" w:cs="宋体"/>
          <w:sz w:val="24"/>
        </w:rPr>
      </w:pPr>
      <w:r>
        <w:rPr>
          <w:rFonts w:hint="eastAsia" w:ascii="宋体" w:hAnsi="宋体" w:cs="宋体"/>
          <w:sz w:val="24"/>
        </w:rPr>
        <w:t xml:space="preserve">a</w:t>
      </w:r>
      <w:r>
        <w:rPr>
          <w:rFonts w:ascii="宋体" w:hAnsi="宋体" w:cs="宋体"/>
          <w:sz w:val="24"/>
        </w:rPr>
        <w:t xml:space="preserve">.</w:t>
      </w:r>
      <w:r>
        <w:rPr>
          <w:rFonts w:hint="eastAsia" w:ascii="宋体" w:hAnsi="宋体" w:cs="宋体"/>
          <w:sz w:val="24"/>
        </w:rPr>
        <w:t xml:space="preserve">每日晨会制度：布置当日任务，强调安全施工事项。</w:t>
      </w:r>
      <w:r/>
    </w:p>
    <w:p>
      <w:pPr>
        <w:ind w:left="780" w:firstLine="480"/>
        <w:rPr>
          <w:rFonts w:ascii="宋体" w:hAnsi="宋体" w:cs="宋体"/>
          <w:sz w:val="24"/>
        </w:rPr>
      </w:pPr>
      <w:r>
        <w:rPr>
          <w:rFonts w:hint="eastAsia" w:ascii="宋体" w:hAnsi="宋体" w:cs="宋体"/>
          <w:sz w:val="24"/>
        </w:rPr>
        <w:t xml:space="preserve">b</w:t>
      </w:r>
      <w:r>
        <w:rPr>
          <w:rFonts w:ascii="宋体" w:hAnsi="宋体" w:cs="宋体"/>
          <w:sz w:val="24"/>
        </w:rPr>
        <w:t xml:space="preserve">.</w:t>
      </w:r>
      <w:r>
        <w:rPr>
          <w:rFonts w:hint="eastAsia" w:ascii="宋体" w:hAnsi="宋体" w:cs="宋体"/>
          <w:sz w:val="24"/>
        </w:rPr>
        <w:t xml:space="preserve">周报制度：每周五提交《项目进度周报》，对照进度计划，总结本周完成情况、下周计划、风险预警等。</w:t>
      </w:r>
      <w:r/>
    </w:p>
    <w:p>
      <w:pPr>
        <w:ind w:left="780" w:firstLine="480"/>
        <w:rPr>
          <w:rFonts w:ascii="宋体" w:hAnsi="宋体" w:cs="宋体"/>
          <w:sz w:val="24"/>
        </w:rPr>
      </w:pPr>
      <w:r>
        <w:rPr>
          <w:rFonts w:hint="eastAsia" w:ascii="宋体" w:hAnsi="宋体" w:cs="宋体"/>
          <w:sz w:val="24"/>
        </w:rPr>
        <w:t xml:space="preserve">c</w:t>
      </w:r>
      <w:r>
        <w:rPr>
          <w:rFonts w:ascii="宋体" w:hAnsi="宋体" w:cs="宋体"/>
          <w:sz w:val="24"/>
        </w:rPr>
        <w:t xml:space="preserve">.</w:t>
      </w:r>
      <w:r>
        <w:rPr>
          <w:rFonts w:hint="eastAsia" w:ascii="宋体" w:hAnsi="宋体" w:cs="宋体"/>
          <w:sz w:val="24"/>
        </w:rPr>
        <w:t xml:space="preserve">变更管理：任何涉及设计变更、点位移动、材料或施工工艺变动，必须填写《工程变更签证单》，经校方确认签字后实施。</w:t>
      </w:r>
      <w:r/>
    </w:p>
    <w:p>
      <w:pPr>
        <w:ind w:firstLine="480"/>
        <w:rPr>
          <w:rFonts w:ascii="宋体" w:hAnsi="宋体" w:cs="宋体"/>
          <w:b/>
          <w:sz w:val="24"/>
        </w:rPr>
      </w:pPr>
      <w:r>
        <w:rPr>
          <w:rFonts w:hint="eastAsia" w:ascii="宋体" w:hAnsi="宋体" w:cs="宋体"/>
          <w:b/>
          <w:sz w:val="24"/>
        </w:rPr>
        <w:t xml:space="preserve">6</w:t>
      </w:r>
      <w:r>
        <w:rPr>
          <w:rFonts w:ascii="宋体" w:hAnsi="宋体" w:cs="宋体"/>
          <w:b/>
          <w:sz w:val="24"/>
        </w:rPr>
        <w:t xml:space="preserve">.1.</w:t>
      </w:r>
      <w:r>
        <w:rPr>
          <w:rFonts w:hint="eastAsia" w:ascii="宋体" w:hAnsi="宋体" w:cs="宋体"/>
          <w:b/>
          <w:sz w:val="24"/>
        </w:rPr>
        <w:t xml:space="preserve">4详细施工方案（装修、布线、设备安装）</w:t>
      </w:r>
      <w:r/>
    </w:p>
    <w:p>
      <w:pPr>
        <w:ind w:left="360" w:firstLine="480"/>
        <w:rPr>
          <w:rFonts w:ascii="宋体" w:hAnsi="宋体" w:cs="宋体"/>
          <w:sz w:val="24"/>
        </w:rPr>
      </w:pPr>
      <w:r>
        <w:rPr>
          <w:rFonts w:hint="eastAsia" w:ascii="宋体" w:hAnsi="宋体" w:cs="宋体"/>
          <w:sz w:val="24"/>
        </w:rPr>
        <w:t xml:space="preserve">根据以下类别工程，拟定详细施工方案，在实际施工中落实方案。</w:t>
      </w:r>
      <w:r/>
    </w:p>
    <w:p>
      <w:pPr>
        <w:ind w:left="360" w:firstLine="480"/>
        <w:rPr>
          <w:rFonts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拆除与清理工程：原有线路保护、强电保护、桌椅设备拆除、地台拆除、垃圾清运、</w:t>
      </w:r>
      <w:r/>
    </w:p>
    <w:p>
      <w:pPr>
        <w:ind w:left="360" w:firstLine="480"/>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强弱电布线工程：管路敷设、线缆选型、标签标识。</w:t>
      </w:r>
      <w:r/>
    </w:p>
    <w:p>
      <w:pPr>
        <w:ind w:left="360" w:firstLine="480"/>
        <w:rPr>
          <w:rFonts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基础装修工程：地台制作、地面工程、墙顶面工程等。</w:t>
      </w:r>
      <w:r/>
    </w:p>
    <w:p>
      <w:pPr>
        <w:ind w:left="360" w:firstLine="480"/>
        <w:rPr>
          <w:rFonts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桌椅安装：</w:t>
      </w:r>
      <w:r/>
    </w:p>
    <w:p>
      <w:pPr>
        <w:ind w:left="360" w:firstLine="480"/>
        <w:rPr>
          <w:rFonts w:ascii="宋体" w:hAnsi="宋体" w:cs="宋体"/>
          <w:sz w:val="24"/>
        </w:rPr>
      </w:pPr>
      <w:r>
        <w:rPr>
          <w:rFonts w:hint="eastAsia" w:ascii="宋体" w:hAnsi="宋体" w:cs="宋体"/>
          <w:sz w:val="24"/>
        </w:rPr>
        <w:t xml:space="preserve">5</w:t>
      </w:r>
      <w:r>
        <w:rPr>
          <w:rFonts w:ascii="宋体" w:hAnsi="宋体" w:cs="宋体"/>
          <w:sz w:val="24"/>
        </w:rPr>
        <w:t xml:space="preserve">.</w:t>
      </w:r>
      <w:r>
        <w:rPr>
          <w:rFonts w:hint="eastAsia" w:ascii="宋体" w:hAnsi="宋体" w:cs="宋体"/>
          <w:sz w:val="24"/>
        </w:rPr>
        <w:t xml:space="preserve">设备安装工程：</w:t>
      </w:r>
      <w:r/>
    </w:p>
    <w:p>
      <w:pPr>
        <w:ind w:firstLine="480"/>
        <w:rPr>
          <w:rFonts w:ascii="宋体" w:hAnsi="宋体" w:cs="宋体"/>
          <w:b/>
          <w:sz w:val="24"/>
        </w:rPr>
      </w:pPr>
      <w:r>
        <w:rPr>
          <w:rFonts w:hint="eastAsia" w:ascii="宋体" w:hAnsi="宋体" w:cs="宋体"/>
          <w:b/>
          <w:sz w:val="24"/>
        </w:rPr>
        <w:t xml:space="preserve">6</w:t>
      </w:r>
      <w:r>
        <w:rPr>
          <w:rFonts w:ascii="宋体" w:hAnsi="宋体" w:cs="宋体"/>
          <w:b/>
          <w:sz w:val="24"/>
        </w:rPr>
        <w:t xml:space="preserve">.1.</w:t>
      </w:r>
      <w:r>
        <w:rPr>
          <w:rFonts w:hint="eastAsia" w:ascii="宋体" w:hAnsi="宋体" w:cs="宋体"/>
          <w:b/>
          <w:sz w:val="24"/>
        </w:rPr>
        <w:t xml:space="preserve">5系统集成与调试方案</w:t>
      </w:r>
      <w:r/>
    </w:p>
    <w:p>
      <w:pPr>
        <w:ind w:left="360" w:firstLine="480"/>
        <w:rPr>
          <w:rFonts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调试装备：确认所有接线准确、牢固。与校方协调，规划各设备IP地址，避免冲突。</w:t>
      </w:r>
      <w:r/>
    </w:p>
    <w:p>
      <w:pPr>
        <w:ind w:left="360" w:firstLine="480"/>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投影设备调试</w:t>
      </w:r>
      <w:r/>
    </w:p>
    <w:p>
      <w:pPr>
        <w:ind w:left="360" w:firstLine="480"/>
        <w:rPr>
          <w:rFonts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扩声系统调试</w:t>
      </w:r>
      <w:r/>
    </w:p>
    <w:p>
      <w:pPr>
        <w:ind w:left="360" w:firstLine="480"/>
        <w:rPr>
          <w:rFonts w:ascii="宋体" w:hAnsi="宋体" w:cs="宋体"/>
          <w:sz w:val="24"/>
        </w:rPr>
      </w:pPr>
      <w:r>
        <w:rPr>
          <w:rFonts w:ascii="宋体" w:hAnsi="宋体" w:cs="宋体"/>
          <w:sz w:val="24"/>
        </w:rPr>
        <w:t xml:space="preserve">4.</w:t>
      </w:r>
      <w:r>
        <w:rPr>
          <w:rFonts w:hint="eastAsia" w:ascii="宋体" w:hAnsi="宋体" w:cs="宋体"/>
          <w:sz w:val="24"/>
        </w:rPr>
        <w:t xml:space="preserve">中控物联网调试</w:t>
      </w:r>
      <w:r/>
    </w:p>
    <w:p>
      <w:pPr>
        <w:ind w:left="360" w:firstLine="480"/>
        <w:rPr>
          <w:rFonts w:ascii="宋体" w:hAnsi="宋体" w:cs="宋体"/>
          <w:sz w:val="24"/>
        </w:rPr>
      </w:pPr>
      <w:r>
        <w:rPr>
          <w:rFonts w:hint="eastAsia" w:ascii="宋体" w:hAnsi="宋体" w:cs="宋体"/>
          <w:sz w:val="24"/>
        </w:rPr>
        <w:t xml:space="preserve">5</w:t>
      </w:r>
      <w:r>
        <w:rPr>
          <w:rFonts w:ascii="宋体" w:hAnsi="宋体" w:cs="宋体"/>
          <w:sz w:val="24"/>
        </w:rPr>
        <w:t xml:space="preserve">.</w:t>
      </w:r>
      <w:r>
        <w:rPr>
          <w:rFonts w:hint="eastAsia" w:ascii="宋体" w:hAnsi="宋体" w:cs="宋体"/>
          <w:sz w:val="24"/>
        </w:rPr>
        <w:t xml:space="preserve">录播系统调试</w:t>
      </w:r>
      <w:r/>
    </w:p>
    <w:p>
      <w:pPr>
        <w:ind w:left="360" w:firstLine="480"/>
        <w:rPr>
          <w:rFonts w:ascii="宋体" w:hAnsi="宋体" w:cs="宋体"/>
          <w:sz w:val="24"/>
        </w:rPr>
      </w:pPr>
      <w:r>
        <w:rPr>
          <w:rFonts w:hint="eastAsia" w:ascii="宋体" w:hAnsi="宋体" w:cs="宋体"/>
          <w:sz w:val="24"/>
        </w:rPr>
        <w:t xml:space="preserve">6</w:t>
      </w:r>
      <w:r>
        <w:rPr>
          <w:rFonts w:ascii="宋体" w:hAnsi="宋体" w:cs="宋体"/>
          <w:sz w:val="24"/>
        </w:rPr>
        <w:t xml:space="preserve">.</w:t>
      </w:r>
      <w:r>
        <w:rPr>
          <w:rFonts w:hint="eastAsia" w:ascii="宋体" w:hAnsi="宋体" w:cs="宋体"/>
          <w:sz w:val="24"/>
        </w:rPr>
        <w:t xml:space="preserve">联调联试</w:t>
      </w:r>
      <w:r/>
    </w:p>
    <w:p>
      <w:pPr>
        <w:ind w:firstLine="480"/>
        <w:rPr>
          <w:rFonts w:ascii="宋体" w:hAnsi="宋体" w:cs="宋体"/>
          <w:b/>
          <w:sz w:val="24"/>
        </w:rPr>
      </w:pPr>
      <w:r>
        <w:rPr>
          <w:rFonts w:hint="eastAsia" w:ascii="宋体" w:hAnsi="宋体" w:cs="宋体"/>
          <w:b/>
          <w:sz w:val="24"/>
        </w:rPr>
        <w:t xml:space="preserve">6</w:t>
      </w:r>
      <w:r>
        <w:rPr>
          <w:rFonts w:ascii="宋体" w:hAnsi="宋体" w:cs="宋体"/>
          <w:b/>
          <w:sz w:val="24"/>
        </w:rPr>
        <w:t xml:space="preserve">.1.</w:t>
      </w:r>
      <w:r>
        <w:rPr>
          <w:rFonts w:hint="eastAsia" w:ascii="宋体" w:hAnsi="宋体" w:cs="宋体"/>
          <w:b/>
          <w:sz w:val="24"/>
        </w:rPr>
        <w:t xml:space="preserve">6进度计划与保障措施</w:t>
      </w:r>
      <w:r/>
    </w:p>
    <w:p>
      <w:pPr>
        <w:ind w:left="420" w:firstLine="480"/>
        <w:rPr>
          <w:rFonts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施工进度计划：按照整体4</w:t>
      </w:r>
      <w:r>
        <w:rPr>
          <w:rFonts w:ascii="宋体" w:hAnsi="宋体" w:cs="宋体"/>
          <w:sz w:val="24"/>
        </w:rPr>
        <w:t xml:space="preserve">5</w:t>
      </w:r>
      <w:r>
        <w:rPr>
          <w:rFonts w:hint="eastAsia" w:ascii="宋体" w:hAnsi="宋体" w:cs="宋体"/>
          <w:sz w:val="24"/>
        </w:rPr>
        <w:t xml:space="preserve">个日历日的工期，科学合理的安排施工进度，尽量提前完成各项施工，提供具体的施工进度计划（甘特图）。</w:t>
      </w:r>
      <w:r/>
    </w:p>
    <w:p>
      <w:pPr>
        <w:ind w:left="360" w:firstLine="480"/>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工期保障：</w:t>
      </w:r>
      <w:r/>
    </w:p>
    <w:p>
      <w:pPr>
        <w:ind w:left="780" w:firstLine="480"/>
        <w:rPr>
          <w:rFonts w:ascii="宋体" w:hAnsi="宋体" w:cs="宋体"/>
          <w:sz w:val="24"/>
        </w:rPr>
      </w:pPr>
      <w:r>
        <w:rPr>
          <w:rFonts w:hint="eastAsia" w:ascii="宋体" w:hAnsi="宋体" w:cs="宋体"/>
          <w:sz w:val="24"/>
        </w:rPr>
        <w:t xml:space="preserve">a</w:t>
      </w:r>
      <w:r>
        <w:rPr>
          <w:rFonts w:ascii="宋体" w:hAnsi="宋体" w:cs="宋体"/>
          <w:sz w:val="24"/>
        </w:rPr>
        <w:t xml:space="preserve">.</w:t>
      </w:r>
      <w:r>
        <w:rPr>
          <w:rFonts w:hint="eastAsia" w:ascii="宋体" w:hAnsi="宋体" w:cs="宋体"/>
          <w:sz w:val="24"/>
        </w:rPr>
        <w:t xml:space="preserve">人员保障：保持充足施工人员，并做好</w:t>
      </w:r>
      <w:r>
        <w:rPr>
          <w:rFonts w:ascii="宋体" w:hAnsi="宋体" w:cs="宋体"/>
          <w:sz w:val="24"/>
        </w:rPr>
        <w:t xml:space="preserve">20%</w:t>
      </w:r>
      <w:r>
        <w:rPr>
          <w:rFonts w:hint="eastAsia" w:ascii="宋体" w:hAnsi="宋体" w:cs="宋体"/>
          <w:sz w:val="24"/>
        </w:rPr>
        <w:t xml:space="preserve">的人员储备，应对突发增员需求。</w:t>
      </w:r>
      <w:r/>
    </w:p>
    <w:p>
      <w:pPr>
        <w:ind w:left="780" w:firstLine="480"/>
        <w:rPr>
          <w:rFonts w:ascii="宋体" w:hAnsi="宋体" w:cs="宋体"/>
          <w:sz w:val="24"/>
        </w:rPr>
      </w:pPr>
      <w:r>
        <w:rPr>
          <w:rFonts w:hint="eastAsia" w:ascii="宋体" w:hAnsi="宋体" w:cs="宋体"/>
          <w:sz w:val="24"/>
        </w:rPr>
        <w:t xml:space="preserve">b</w:t>
      </w:r>
      <w:r>
        <w:rPr>
          <w:rFonts w:ascii="宋体" w:hAnsi="宋体" w:cs="宋体"/>
          <w:sz w:val="24"/>
        </w:rPr>
        <w:t xml:space="preserve">.</w:t>
      </w:r>
      <w:r>
        <w:rPr>
          <w:rFonts w:hint="eastAsia" w:ascii="宋体" w:hAnsi="宋体" w:cs="宋体"/>
          <w:sz w:val="24"/>
        </w:rPr>
        <w:t xml:space="preserve">物料保障：做好物料的提前准备，根据施工计划做好物料的提前下单、提前进场；</w:t>
      </w:r>
      <w:r/>
    </w:p>
    <w:p>
      <w:pPr>
        <w:ind w:left="780" w:firstLine="480"/>
        <w:rPr>
          <w:rFonts w:ascii="宋体" w:hAnsi="宋体" w:cs="宋体"/>
          <w:sz w:val="24"/>
        </w:rPr>
      </w:pPr>
      <w:r>
        <w:rPr>
          <w:rFonts w:hint="eastAsia" w:ascii="宋体" w:hAnsi="宋体" w:cs="宋体"/>
          <w:sz w:val="24"/>
        </w:rPr>
        <w:t xml:space="preserve">c</w:t>
      </w:r>
      <w:r>
        <w:rPr>
          <w:rFonts w:ascii="宋体" w:hAnsi="宋体" w:cs="宋体"/>
          <w:sz w:val="24"/>
        </w:rPr>
        <w:t xml:space="preserve">.</w:t>
      </w:r>
      <w:r>
        <w:rPr>
          <w:rFonts w:hint="eastAsia" w:ascii="宋体" w:hAnsi="宋体" w:cs="宋体"/>
          <w:sz w:val="24"/>
        </w:rPr>
        <w:t xml:space="preserve">加班机制：在施工工艺允许和确保施工安全的情况下，准备好加班计划，确保施工效率。</w:t>
      </w:r>
      <w:r/>
    </w:p>
    <w:p>
      <w:pPr>
        <w:ind w:firstLine="480"/>
        <w:rPr>
          <w:rFonts w:ascii="宋体" w:hAnsi="宋体" w:cs="宋体"/>
          <w:b/>
          <w:sz w:val="24"/>
        </w:rPr>
      </w:pPr>
      <w:r>
        <w:rPr>
          <w:rFonts w:hint="eastAsia" w:ascii="宋体" w:hAnsi="宋体" w:cs="宋体"/>
          <w:b/>
          <w:sz w:val="24"/>
        </w:rPr>
        <w:t xml:space="preserve">6</w:t>
      </w:r>
      <w:r>
        <w:rPr>
          <w:rFonts w:ascii="宋体" w:hAnsi="宋体" w:cs="宋体"/>
          <w:b/>
          <w:sz w:val="24"/>
        </w:rPr>
        <w:t xml:space="preserve">.1.</w:t>
      </w:r>
      <w:r>
        <w:rPr>
          <w:rFonts w:hint="eastAsia" w:ascii="宋体" w:hAnsi="宋体" w:cs="宋体"/>
          <w:b/>
          <w:sz w:val="24"/>
        </w:rPr>
        <w:t xml:space="preserve">7质量保障与安全文明施工</w:t>
      </w:r>
      <w:r/>
    </w:p>
    <w:p>
      <w:pPr>
        <w:ind w:left="360" w:firstLine="480"/>
        <w:rPr>
          <w:rFonts w:ascii="宋体" w:hAnsi="宋体" w:cs="宋体"/>
          <w:sz w:val="24"/>
        </w:rPr>
      </w:pPr>
      <w:r>
        <w:rPr>
          <w:rFonts w:ascii="宋体" w:hAnsi="宋体" w:cs="宋体"/>
          <w:sz w:val="24"/>
        </w:rPr>
        <w:t xml:space="preserve">1.</w:t>
      </w:r>
      <w:r>
        <w:rPr>
          <w:rFonts w:hint="eastAsia" w:ascii="宋体" w:hAnsi="宋体" w:cs="宋体"/>
          <w:sz w:val="24"/>
        </w:rPr>
        <w:t xml:space="preserve">质量控制：</w:t>
      </w:r>
      <w:r/>
    </w:p>
    <w:p>
      <w:pPr>
        <w:ind w:left="360" w:firstLine="480"/>
        <w:rPr>
          <w:rFonts w:ascii="宋体" w:hAnsi="宋体" w:cs="宋体"/>
          <w:sz w:val="24"/>
        </w:rPr>
      </w:pPr>
      <w:r>
        <w:rPr>
          <w:rFonts w:ascii="宋体" w:hAnsi="宋体" w:cs="宋体"/>
          <w:sz w:val="24"/>
        </w:rPr>
        <w:t xml:space="preserve">2.</w:t>
      </w:r>
      <w:r>
        <w:rPr>
          <w:rFonts w:hint="eastAsia" w:ascii="宋体" w:hAnsi="宋体" w:cs="宋体"/>
          <w:sz w:val="24"/>
        </w:rPr>
        <w:t xml:space="preserve">安全措施：</w:t>
      </w:r>
      <w:r/>
    </w:p>
    <w:p>
      <w:pPr>
        <w:ind w:left="360" w:firstLine="480"/>
        <w:rPr>
          <w:rFonts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文明施工：</w:t>
      </w:r>
      <w:r/>
    </w:p>
    <w:p>
      <w:pPr>
        <w:ind w:firstLine="480"/>
        <w:rPr>
          <w:rFonts w:ascii="宋体" w:hAnsi="宋体" w:cs="宋体"/>
          <w:b/>
          <w:sz w:val="24"/>
        </w:rPr>
      </w:pPr>
      <w:r>
        <w:rPr>
          <w:rFonts w:hint="eastAsia" w:ascii="宋体" w:hAnsi="宋体" w:cs="宋体"/>
          <w:b/>
          <w:sz w:val="24"/>
        </w:rPr>
        <w:t xml:space="preserve">6</w:t>
      </w:r>
      <w:r>
        <w:rPr>
          <w:rFonts w:ascii="宋体" w:hAnsi="宋体" w:cs="宋体"/>
          <w:b/>
          <w:sz w:val="24"/>
        </w:rPr>
        <w:t xml:space="preserve">.1.</w:t>
      </w:r>
      <w:r>
        <w:rPr>
          <w:rFonts w:hint="eastAsia" w:ascii="宋体" w:hAnsi="宋体" w:cs="宋体"/>
          <w:b/>
          <w:sz w:val="24"/>
        </w:rPr>
        <w:t xml:space="preserve">8验收标准与交付清单</w:t>
      </w:r>
      <w:r/>
    </w:p>
    <w:p>
      <w:pPr>
        <w:ind w:left="360" w:firstLine="480"/>
        <w:rPr>
          <w:rFonts w:ascii="宋体" w:hAnsi="宋体" w:cs="宋体"/>
          <w:sz w:val="24"/>
        </w:rPr>
      </w:pPr>
      <w:r>
        <w:rPr>
          <w:rFonts w:ascii="宋体" w:hAnsi="宋体" w:cs="宋体"/>
          <w:sz w:val="24"/>
        </w:rPr>
        <w:t xml:space="preserve">1.</w:t>
      </w:r>
      <w:r>
        <w:rPr>
          <w:rFonts w:hint="eastAsia" w:ascii="宋体" w:hAnsi="宋体" w:cs="宋体"/>
          <w:sz w:val="24"/>
        </w:rPr>
        <w:t xml:space="preserve">验收标准：</w:t>
      </w:r>
      <w:r/>
    </w:p>
    <w:p>
      <w:pPr>
        <w:ind w:left="360" w:firstLine="480"/>
        <w:rPr>
          <w:rFonts w:ascii="宋体" w:hAnsi="宋体" w:cs="宋体"/>
          <w:sz w:val="24"/>
        </w:rPr>
      </w:pPr>
      <w:r>
        <w:rPr>
          <w:rFonts w:ascii="宋体" w:hAnsi="宋体" w:cs="宋体"/>
          <w:sz w:val="24"/>
        </w:rPr>
        <w:t xml:space="preserve">2.</w:t>
      </w:r>
      <w:r>
        <w:rPr>
          <w:rFonts w:hint="eastAsia" w:ascii="宋体" w:hAnsi="宋体" w:cs="宋体"/>
          <w:sz w:val="24"/>
        </w:rPr>
        <w:t xml:space="preserve">交付清单：</w:t>
      </w:r>
      <w:r/>
    </w:p>
    <w:p>
      <w:pPr>
        <w:ind w:left="780" w:firstLine="480"/>
        <w:rPr>
          <w:rFonts w:ascii="宋体" w:hAnsi="宋体" w:cs="宋体"/>
          <w:sz w:val="24"/>
        </w:rPr>
      </w:pPr>
      <w:r>
        <w:rPr>
          <w:rFonts w:hint="eastAsia" w:ascii="宋体" w:hAnsi="宋体" w:cs="宋体"/>
          <w:sz w:val="24"/>
        </w:rPr>
        <w:t xml:space="preserve">a</w:t>
      </w:r>
      <w:r>
        <w:rPr>
          <w:rFonts w:ascii="宋体" w:hAnsi="宋体" w:cs="宋体"/>
          <w:sz w:val="24"/>
        </w:rPr>
        <w:t xml:space="preserve">.</w:t>
      </w:r>
      <w:r>
        <w:rPr>
          <w:rFonts w:hint="eastAsia" w:ascii="宋体" w:hAnsi="宋体" w:cs="宋体"/>
          <w:sz w:val="24"/>
        </w:rPr>
        <w:t xml:space="preserve">《竣工图纸》，含点位图、系统图、接线图等纸质及电子版。</w:t>
      </w:r>
      <w:r/>
    </w:p>
    <w:p>
      <w:pPr>
        <w:ind w:left="780" w:firstLine="480"/>
        <w:rPr>
          <w:rFonts w:ascii="宋体" w:hAnsi="宋体" w:cs="宋体"/>
          <w:sz w:val="24"/>
        </w:rPr>
      </w:pPr>
      <w:r>
        <w:rPr>
          <w:rFonts w:hint="eastAsia" w:ascii="宋体" w:hAnsi="宋体" w:cs="宋体"/>
          <w:sz w:val="24"/>
        </w:rPr>
        <w:t xml:space="preserve">b</w:t>
      </w:r>
      <w:r>
        <w:rPr>
          <w:rFonts w:ascii="宋体" w:hAnsi="宋体" w:cs="宋体"/>
          <w:sz w:val="24"/>
        </w:rPr>
        <w:t xml:space="preserve">.</w:t>
      </w:r>
      <w:r>
        <w:rPr>
          <w:rFonts w:hint="eastAsia" w:ascii="宋体" w:hAnsi="宋体" w:cs="宋体"/>
          <w:sz w:val="24"/>
        </w:rPr>
        <w:t xml:space="preserve">《设备说明书》、《保修卡》、《合格证》原件。</w:t>
      </w:r>
      <w:r/>
    </w:p>
    <w:p>
      <w:pPr>
        <w:ind w:left="780" w:firstLine="480"/>
        <w:rPr>
          <w:rFonts w:ascii="宋体" w:hAnsi="宋体" w:cs="宋体"/>
          <w:sz w:val="24"/>
        </w:rPr>
      </w:pPr>
      <w:r>
        <w:rPr>
          <w:rFonts w:hint="eastAsia" w:ascii="宋体" w:hAnsi="宋体" w:cs="宋体"/>
          <w:sz w:val="24"/>
        </w:rPr>
        <w:t xml:space="preserve">c</w:t>
      </w:r>
      <w:r>
        <w:rPr>
          <w:rFonts w:ascii="宋体" w:hAnsi="宋体" w:cs="宋体"/>
          <w:sz w:val="24"/>
        </w:rPr>
        <w:t xml:space="preserve">.</w:t>
      </w:r>
      <w:r>
        <w:rPr>
          <w:rFonts w:hint="eastAsia" w:ascii="宋体" w:hAnsi="宋体" w:cs="宋体"/>
          <w:sz w:val="24"/>
        </w:rPr>
        <w:t xml:space="preserve">《用户操作手册》，针对授课教师的简易版。</w:t>
      </w:r>
      <w:r/>
    </w:p>
    <w:p>
      <w:pPr>
        <w:ind w:left="780" w:firstLine="480"/>
        <w:rPr>
          <w:rFonts w:ascii="宋体" w:hAnsi="宋体" w:cs="宋体"/>
          <w:sz w:val="24"/>
        </w:rPr>
      </w:pPr>
      <w:r>
        <w:rPr>
          <w:rFonts w:hint="eastAsia" w:ascii="宋体" w:hAnsi="宋体" w:cs="宋体"/>
          <w:sz w:val="24"/>
        </w:rPr>
        <w:t xml:space="preserve">d</w:t>
      </w:r>
      <w:r>
        <w:rPr>
          <w:rFonts w:ascii="宋体" w:hAnsi="宋体" w:cs="宋体"/>
          <w:sz w:val="24"/>
        </w:rPr>
        <w:t xml:space="preserve">.</w:t>
      </w:r>
      <w:r>
        <w:rPr>
          <w:rFonts w:hint="eastAsia" w:ascii="宋体" w:hAnsi="宋体" w:cs="宋体"/>
          <w:sz w:val="24"/>
        </w:rPr>
        <w:t xml:space="preserve">《管理员操作手册》，针对管理人员及运维工程师的详细版。</w:t>
      </w:r>
      <w:r/>
    </w:p>
    <w:p>
      <w:pPr>
        <w:ind w:left="780" w:firstLine="480"/>
        <w:rPr>
          <w:rFonts w:ascii="宋体" w:hAnsi="宋体" w:cs="宋体"/>
          <w:sz w:val="24"/>
        </w:rPr>
      </w:pPr>
      <w:r>
        <w:rPr>
          <w:rFonts w:hint="eastAsia" w:ascii="宋体" w:hAnsi="宋体" w:cs="宋体"/>
          <w:sz w:val="24"/>
        </w:rPr>
        <w:t xml:space="preserve">e</w:t>
      </w:r>
      <w:r>
        <w:rPr>
          <w:rFonts w:ascii="宋体" w:hAnsi="宋体" w:cs="宋体"/>
          <w:sz w:val="24"/>
        </w:rPr>
        <w:t xml:space="preserve">.</w:t>
      </w:r>
      <w:r>
        <w:rPr>
          <w:rFonts w:hint="eastAsia" w:ascii="宋体" w:hAnsi="宋体" w:cs="宋体"/>
          <w:sz w:val="24"/>
        </w:rPr>
        <w:t xml:space="preserve">《工程验收报告》。</w:t>
      </w:r>
      <w:r/>
    </w:p>
    <w:p>
      <w:pPr>
        <w:ind w:left="780" w:firstLine="480"/>
        <w:rPr>
          <w:rFonts w:ascii="宋体" w:hAnsi="宋体" w:cs="宋体"/>
          <w:sz w:val="24"/>
        </w:rPr>
      </w:pPr>
      <w:r>
        <w:rPr>
          <w:rFonts w:hint="eastAsia" w:ascii="宋体" w:hAnsi="宋体" w:cs="宋体"/>
          <w:sz w:val="24"/>
        </w:rPr>
        <w:t xml:space="preserve">f</w:t>
      </w:r>
      <w:r>
        <w:rPr>
          <w:rFonts w:ascii="宋体" w:hAnsi="宋体" w:cs="宋体"/>
          <w:sz w:val="24"/>
        </w:rPr>
        <w:t xml:space="preserve">.</w:t>
      </w:r>
      <w:r>
        <w:rPr>
          <w:rFonts w:hint="eastAsia" w:ascii="宋体" w:hAnsi="宋体" w:cs="宋体"/>
          <w:sz w:val="24"/>
        </w:rPr>
        <w:t xml:space="preserve">软件系统管理员账号、密码清单。</w:t>
      </w:r>
      <w:r/>
    </w:p>
    <w:p>
      <w:pPr>
        <w:ind w:firstLine="480"/>
        <w:rPr>
          <w:rFonts w:ascii="宋体" w:hAnsi="宋体" w:cs="宋体"/>
          <w:b/>
          <w:sz w:val="24"/>
        </w:rPr>
      </w:pPr>
      <w:r>
        <w:rPr>
          <w:rFonts w:hint="eastAsia" w:ascii="宋体" w:hAnsi="宋体" w:cs="宋体"/>
          <w:b/>
          <w:sz w:val="24"/>
        </w:rPr>
        <w:t xml:space="preserve">6</w:t>
      </w:r>
      <w:r>
        <w:rPr>
          <w:rFonts w:ascii="宋体" w:hAnsi="宋体" w:cs="宋体"/>
          <w:b/>
          <w:sz w:val="24"/>
        </w:rPr>
        <w:t xml:space="preserve">.2</w:t>
      </w:r>
      <w:r>
        <w:rPr>
          <w:rFonts w:hint="eastAsia" w:ascii="宋体" w:hAnsi="宋体" w:cs="宋体"/>
          <w:b/>
          <w:sz w:val="24"/>
        </w:rPr>
        <w:t xml:space="preserve">培训方案：</w:t>
      </w:r>
      <w:r/>
    </w:p>
    <w:p>
      <w:pPr>
        <w:ind w:firstLine="480"/>
        <w:rPr>
          <w:rFonts w:ascii="宋体" w:hAnsi="宋体" w:cs="宋体"/>
          <w:bCs/>
          <w:sz w:val="24"/>
        </w:rPr>
      </w:pPr>
      <w:r>
        <w:rPr>
          <w:rFonts w:hint="eastAsia" w:ascii="宋体" w:hAnsi="宋体" w:cs="宋体"/>
          <w:bCs/>
          <w:sz w:val="24"/>
        </w:rPr>
        <w:t xml:space="preserve">投标人须针对本项目采购项目所涉及的软硬件，为校方管理人员、授课教师、运维人员提供免费专项操作及运维培训，确保相关人员熟练掌握设备及平台使用技能。方案中包含但不限于：详细的培训计划、时间、内容、次数安排等，根据方案完善合理程度等。</w:t>
      </w:r>
      <w:r/>
    </w:p>
    <w:p>
      <w:pPr>
        <w:ind w:firstLine="480"/>
        <w:rPr>
          <w:rFonts w:ascii="宋体" w:hAnsi="宋体" w:cs="宋体"/>
          <w:bCs/>
          <w:sz w:val="24"/>
        </w:rPr>
      </w:pPr>
      <w:r>
        <w:rPr>
          <w:rFonts w:ascii="宋体" w:hAnsi="宋体" w:cs="宋体"/>
          <w:b/>
          <w:bCs/>
          <w:sz w:val="24"/>
        </w:rPr>
        <w:t xml:space="preserve">6.2.1</w:t>
      </w:r>
      <w:r>
        <w:rPr>
          <w:rFonts w:hint="eastAsia" w:ascii="宋体" w:hAnsi="宋体" w:cs="宋体"/>
          <w:b/>
          <w:bCs/>
          <w:sz w:val="24"/>
        </w:rPr>
        <w:t xml:space="preserve">培训对象</w:t>
      </w:r>
      <w:r>
        <w:rPr>
          <w:rFonts w:hint="eastAsia" w:ascii="宋体" w:hAnsi="宋体" w:cs="宋体"/>
          <w:bCs/>
          <w:sz w:val="24"/>
        </w:rPr>
        <w:t xml:space="preserve">：校方管理人员、授课教师、运维工程师。</w:t>
      </w:r>
      <w:r/>
    </w:p>
    <w:p>
      <w:pPr>
        <w:ind w:firstLine="480"/>
        <w:rPr>
          <w:rFonts w:ascii="宋体" w:hAnsi="宋体" w:cs="宋体"/>
          <w:bCs/>
          <w:sz w:val="24"/>
        </w:rPr>
      </w:pPr>
      <w:r>
        <w:rPr>
          <w:rFonts w:ascii="宋体" w:hAnsi="宋体" w:cs="宋体"/>
          <w:b/>
          <w:bCs/>
          <w:sz w:val="24"/>
        </w:rPr>
        <w:t xml:space="preserve">6.2.2</w:t>
      </w:r>
      <w:r>
        <w:rPr>
          <w:rFonts w:hint="eastAsia" w:ascii="宋体" w:hAnsi="宋体" w:cs="宋体"/>
          <w:b/>
          <w:bCs/>
          <w:sz w:val="24"/>
        </w:rPr>
        <w:t xml:space="preserve">培训内容</w:t>
      </w:r>
      <w:r>
        <w:rPr>
          <w:rFonts w:hint="eastAsia" w:ascii="宋体" w:hAnsi="宋体" w:cs="宋体"/>
          <w:bCs/>
          <w:sz w:val="24"/>
        </w:rPr>
        <w:t xml:space="preserve">：需要全面且具有针对性，通常包含:硬件操作、软件应用、故障排除、安全使用、应急预案等。针对不同培训对象，培训内容的侧重点有所不同。针对普通授课教师，重点在于日常教学操作（如开关设备、教学设备的日常使用、基本软件使用等），要求简单易懂、上手快。针对管理人员及运维工程师，重点在于巡课系统管理和配置维护、硬件设备的日常维护和故障排查、应急情况处置。</w:t>
      </w:r>
      <w:r/>
    </w:p>
    <w:p>
      <w:pPr>
        <w:ind w:firstLine="480"/>
        <w:rPr>
          <w:rFonts w:ascii="宋体" w:hAnsi="宋体" w:cs="宋体"/>
          <w:bCs/>
          <w:sz w:val="24"/>
        </w:rPr>
      </w:pPr>
      <w:r>
        <w:rPr>
          <w:rFonts w:ascii="宋体" w:hAnsi="宋体" w:cs="宋体"/>
          <w:b/>
          <w:bCs/>
          <w:sz w:val="24"/>
        </w:rPr>
        <w:t xml:space="preserve">6.2.3</w:t>
      </w:r>
      <w:r>
        <w:rPr>
          <w:rFonts w:hint="eastAsia" w:ascii="宋体" w:hAnsi="宋体" w:cs="宋体"/>
          <w:b/>
          <w:bCs/>
          <w:sz w:val="24"/>
        </w:rPr>
        <w:t xml:space="preserve">培训方式</w:t>
      </w:r>
      <w:r>
        <w:rPr>
          <w:rFonts w:hint="eastAsia" w:ascii="宋体" w:hAnsi="宋体" w:cs="宋体"/>
          <w:bCs/>
          <w:sz w:val="24"/>
        </w:rPr>
        <w:t xml:space="preserve">：采用多样化、灵活性的培训方式。采用现场集中培训（现场实操教学+集中讲解+答疑指导相结合）、一对一指导、线上培训（视频教程）、图文资料（教学设备旁张贴简洁明了的《快速使用指南》）等多种方式，结合教室实际设备开展培训，保证培训效果落地。</w:t>
      </w:r>
      <w:r/>
    </w:p>
    <w:p>
      <w:pPr>
        <w:ind w:firstLine="480"/>
        <w:rPr>
          <w:rFonts w:ascii="宋体" w:hAnsi="宋体" w:cs="宋体"/>
          <w:bCs/>
          <w:sz w:val="24"/>
        </w:rPr>
      </w:pPr>
      <w:r>
        <w:rPr>
          <w:rFonts w:ascii="宋体" w:hAnsi="宋体" w:cs="宋体"/>
          <w:b/>
          <w:bCs/>
          <w:sz w:val="24"/>
        </w:rPr>
        <w:t xml:space="preserve">6.2.4</w:t>
      </w:r>
      <w:r>
        <w:rPr>
          <w:rFonts w:hint="eastAsia" w:ascii="宋体" w:hAnsi="宋体" w:cs="宋体"/>
          <w:b/>
          <w:bCs/>
          <w:sz w:val="24"/>
        </w:rPr>
        <w:t xml:space="preserve">培训时间与频次</w:t>
      </w:r>
      <w:r>
        <w:rPr>
          <w:rFonts w:hint="eastAsia" w:ascii="宋体" w:hAnsi="宋体" w:cs="宋体"/>
          <w:bCs/>
          <w:sz w:val="24"/>
        </w:rPr>
        <w:t xml:space="preserve">：针对授课教师，开展不少于2次线下培训，每次时间不少于1小时。其中验收前开展首轮全员培训。根据试用情况对部分未掌握使用技巧的老师或新入职老师开张第二轮强化培训。针对管理人员及运维工程师在质保期内开展多种方式、无固定次数的培训及指导，保障软硬件设备的正常使用。如遇到招标人更换管理人员和运维工程师，投保人也应进行持续的培训及指导。</w:t>
      </w:r>
      <w:r/>
    </w:p>
    <w:p>
      <w:pPr>
        <w:ind w:firstLine="480"/>
        <w:rPr>
          <w:rFonts w:ascii="宋体" w:hAnsi="宋体" w:cs="宋体"/>
          <w:bCs/>
          <w:sz w:val="24"/>
        </w:rPr>
      </w:pPr>
      <w:r>
        <w:rPr>
          <w:rFonts w:ascii="宋体" w:hAnsi="宋体" w:cs="宋体"/>
          <w:b/>
          <w:bCs/>
          <w:sz w:val="24"/>
        </w:rPr>
        <w:t xml:space="preserve">6.2.5</w:t>
      </w:r>
      <w:r>
        <w:rPr>
          <w:rFonts w:hint="eastAsia" w:ascii="宋体" w:hAnsi="宋体" w:cs="宋体"/>
          <w:b/>
          <w:bCs/>
          <w:sz w:val="24"/>
        </w:rPr>
        <w:t xml:space="preserve">培训成果要求</w:t>
      </w:r>
      <w:r>
        <w:rPr>
          <w:rFonts w:hint="eastAsia" w:ascii="宋体" w:hAnsi="宋体" w:cs="宋体"/>
          <w:bCs/>
          <w:sz w:val="24"/>
        </w:rPr>
        <w:t xml:space="preserve">：培训完成后，须确保授课教师可独立完成日常教学设备操作、场景模式切换、设备启停使用；运维人员可独立完成日常巡检、故障排查与调试，保障系统常态化稳定教学使用。管理人员能够保障巡课系统的管理及配置，保障日常正常使用。</w:t>
      </w:r>
      <w:r/>
    </w:p>
    <w:p>
      <w:pPr>
        <w:ind w:firstLine="480"/>
        <w:rPr>
          <w:rFonts w:ascii="宋体" w:hAnsi="宋体" w:cs="宋体"/>
          <w:sz w:val="24"/>
        </w:rPr>
      </w:pPr>
      <w:r>
        <w:rPr>
          <w:rFonts w:ascii="宋体" w:hAnsi="宋体" w:cs="宋体"/>
          <w:b/>
          <w:bCs/>
          <w:sz w:val="24"/>
        </w:rPr>
        <w:t xml:space="preserve">6.2.6</w:t>
      </w:r>
      <w:r>
        <w:rPr>
          <w:rFonts w:hint="eastAsia" w:ascii="宋体" w:hAnsi="宋体" w:cs="宋体"/>
          <w:b/>
          <w:bCs/>
          <w:sz w:val="24"/>
        </w:rPr>
        <w:t xml:space="preserve">培训资料交付</w:t>
      </w:r>
      <w:r>
        <w:rPr>
          <w:rFonts w:hint="eastAsia" w:ascii="宋体" w:hAnsi="宋体" w:cs="宋体"/>
          <w:bCs/>
          <w:sz w:val="24"/>
        </w:rPr>
        <w:t xml:space="preserve">：投标人须同步提供完整的纸质及电子版操作手册、运维说明书，内容通俗易懂、步骤清晰，方便校方后续学习与留存使用。</w:t>
      </w:r>
      <w:r/>
    </w:p>
    <w:p>
      <w:pPr>
        <w:ind w:firstLine="480"/>
        <w:rPr>
          <w:rFonts w:ascii="宋体" w:hAnsi="宋体" w:cs="宋体"/>
          <w:b/>
          <w:bCs/>
          <w:sz w:val="24"/>
        </w:rPr>
      </w:pPr>
      <w:r>
        <w:rPr>
          <w:rFonts w:hint="eastAsia" w:ascii="宋体" w:hAnsi="宋体" w:cs="宋体"/>
          <w:b/>
          <w:bCs/>
          <w:sz w:val="24"/>
        </w:rPr>
        <w:t xml:space="preserve">6</w:t>
      </w:r>
      <w:r>
        <w:rPr>
          <w:rFonts w:ascii="宋体" w:hAnsi="宋体" w:cs="宋体"/>
          <w:b/>
          <w:bCs/>
          <w:sz w:val="24"/>
        </w:rPr>
        <w:t xml:space="preserve">.3</w:t>
      </w:r>
      <w:r>
        <w:rPr>
          <w:rFonts w:hint="eastAsia" w:ascii="宋体" w:hAnsi="宋体" w:cs="宋体"/>
          <w:b/>
          <w:bCs/>
          <w:sz w:val="24"/>
        </w:rPr>
        <w:t xml:space="preserve">售后服务方案</w:t>
      </w:r>
      <w:r/>
    </w:p>
    <w:p>
      <w:pPr>
        <w:ind w:firstLine="480"/>
        <w:rPr>
          <w:rFonts w:ascii="宋体" w:hAnsi="宋体" w:cs="宋体"/>
          <w:i/>
          <w:iCs/>
          <w:sz w:val="24"/>
        </w:rPr>
      </w:pPr>
      <w:r>
        <w:rPr>
          <w:rFonts w:hint="eastAsia" w:ascii="宋体" w:hAnsi="宋体" w:cs="宋体"/>
          <w:b/>
          <w:bCs/>
          <w:sz w:val="24"/>
        </w:rPr>
        <w:t xml:space="preserve">6</w:t>
      </w:r>
      <w:r>
        <w:rPr>
          <w:rFonts w:ascii="宋体" w:hAnsi="宋体" w:cs="宋体"/>
          <w:b/>
          <w:bCs/>
          <w:sz w:val="24"/>
        </w:rPr>
        <w:t xml:space="preserve">.3.1</w:t>
      </w:r>
      <w:r>
        <w:rPr>
          <w:rFonts w:hint="eastAsia" w:ascii="宋体" w:hAnsi="宋体" w:cs="宋体"/>
          <w:b/>
          <w:bCs/>
          <w:sz w:val="24"/>
        </w:rPr>
        <w:t xml:space="preserve">质保期服务</w:t>
      </w:r>
      <w:r>
        <w:rPr>
          <w:rFonts w:hint="eastAsia" w:ascii="宋体" w:hAnsi="宋体" w:cs="宋体"/>
          <w:sz w:val="24"/>
        </w:rPr>
        <w:t xml:space="preserve">：明确质保期限，质保期内提供上门质保服务的具体内容范围。</w:t>
      </w:r>
      <w:r/>
    </w:p>
    <w:p>
      <w:pPr>
        <w:ind w:firstLine="480"/>
        <w:rPr>
          <w:rFonts w:ascii="宋体" w:hAnsi="宋体" w:cs="宋体"/>
          <w:sz w:val="24"/>
        </w:rPr>
      </w:pPr>
      <w:r>
        <w:rPr>
          <w:rFonts w:hint="eastAsia" w:ascii="宋体" w:hAnsi="宋体" w:cs="宋体"/>
          <w:b/>
          <w:bCs/>
          <w:sz w:val="24"/>
        </w:rPr>
        <w:t xml:space="preserve">6</w:t>
      </w:r>
      <w:r>
        <w:rPr>
          <w:rFonts w:ascii="宋体" w:hAnsi="宋体" w:cs="宋体"/>
          <w:b/>
          <w:bCs/>
          <w:sz w:val="24"/>
        </w:rPr>
        <w:t xml:space="preserve">.3.2</w:t>
      </w:r>
      <w:r>
        <w:rPr>
          <w:rFonts w:hint="eastAsia" w:ascii="宋体" w:hAnsi="宋体" w:cs="宋体"/>
          <w:b/>
          <w:bCs/>
          <w:sz w:val="24"/>
        </w:rPr>
        <w:t xml:space="preserve">售后服务人员及电话</w:t>
      </w:r>
      <w:r>
        <w:rPr>
          <w:rFonts w:hint="eastAsia" w:ascii="宋体" w:hAnsi="宋体" w:cs="宋体"/>
          <w:sz w:val="24"/>
        </w:rPr>
        <w:t xml:space="preserve">：明确为本项目提供的售后服务人员及电话</w:t>
      </w:r>
      <w:r/>
    </w:p>
    <w:p>
      <w:pPr>
        <w:ind w:firstLine="480"/>
        <w:rPr>
          <w:rFonts w:ascii="宋体" w:hAnsi="宋体" w:cs="宋体"/>
          <w:sz w:val="24"/>
        </w:rPr>
      </w:pPr>
      <w:r>
        <w:rPr>
          <w:rFonts w:hint="eastAsia" w:ascii="宋体" w:hAnsi="宋体" w:cs="宋体"/>
          <w:b/>
          <w:bCs/>
          <w:sz w:val="24"/>
        </w:rPr>
        <w:t xml:space="preserve">6</w:t>
      </w:r>
      <w:r>
        <w:rPr>
          <w:rFonts w:ascii="宋体" w:hAnsi="宋体" w:cs="宋体"/>
          <w:b/>
          <w:bCs/>
          <w:sz w:val="24"/>
        </w:rPr>
        <w:t xml:space="preserve">.3.3</w:t>
      </w:r>
      <w:r>
        <w:rPr>
          <w:rFonts w:hint="eastAsia" w:ascii="宋体" w:hAnsi="宋体" w:cs="宋体"/>
          <w:b/>
          <w:bCs/>
          <w:sz w:val="24"/>
        </w:rPr>
        <w:t xml:space="preserve">维修服务</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（1）电话响应：</w:t>
      </w:r>
      <w:r>
        <w:rPr>
          <w:rFonts w:ascii="Segoe UI" w:hAnsi="Segoe UI" w:cs="Segoe UI"/>
          <w:color w:val="1d2129"/>
          <w:sz w:val="20"/>
          <w:szCs w:val="20"/>
          <w:shd w:val="clear" w:color="auto" w:fill="ffffff"/>
        </w:rPr>
        <w:t xml:space="preserve">&lt; 10</w:t>
      </w:r>
      <w:r>
        <w:rPr>
          <w:rFonts w:ascii="Segoe UI" w:hAnsi="Segoe UI" w:cs="Segoe UI"/>
          <w:color w:val="1d2129"/>
          <w:sz w:val="20"/>
          <w:szCs w:val="20"/>
          <w:shd w:val="clear" w:color="auto" w:fill="ffffff"/>
        </w:rPr>
        <w:t xml:space="preserve">分钟。</w:t>
      </w:r>
      <w:r/>
    </w:p>
    <w:p>
      <w:pPr>
        <w:ind w:firstLine="480"/>
        <w:rPr>
          <w:rFonts w:ascii="宋体" w:hAnsi="宋体" w:cs="宋体"/>
          <w:sz w:val="24"/>
        </w:rPr>
      </w:pPr>
      <w:r>
        <w:rPr>
          <w:rFonts w:hint="eastAsia" w:ascii="宋体" w:hAnsi="宋体" w:cs="宋体"/>
          <w:sz w:val="24"/>
        </w:rPr>
        <w:t xml:space="preserve">（2）现场维修到达：</w:t>
      </w:r>
      <w:r>
        <w:rPr>
          <w:rFonts w:ascii="Segoe UI" w:hAnsi="Segoe UI" w:cs="Segoe UI"/>
          <w:color w:val="1d2129"/>
          <w:sz w:val="20"/>
          <w:szCs w:val="20"/>
          <w:shd w:val="clear" w:color="auto" w:fill="ffffff"/>
        </w:rPr>
        <w:t xml:space="preserve">&lt; 2</w:t>
      </w:r>
      <w:r>
        <w:rPr>
          <w:rFonts w:ascii="Segoe UI" w:hAnsi="Segoe UI" w:cs="Segoe UI"/>
          <w:color w:val="1d2129"/>
          <w:sz w:val="20"/>
          <w:szCs w:val="20"/>
          <w:shd w:val="clear" w:color="auto" w:fill="ffffff"/>
        </w:rPr>
        <w:t xml:space="preserve">小时（同城）。</w:t>
      </w:r>
      <w:r/>
    </w:p>
    <w:p>
      <w:pPr>
        <w:ind w:firstLine="480"/>
        <w:rPr>
          <w:rFonts w:ascii="宋体" w:hAnsi="宋体" w:cs="宋体"/>
          <w:sz w:val="24"/>
        </w:rPr>
      </w:pPr>
      <w:r>
        <w:rPr>
          <w:rFonts w:hint="eastAsia" w:ascii="宋体" w:hAnsi="宋体" w:cs="宋体"/>
          <w:sz w:val="24"/>
        </w:rPr>
        <w:t xml:space="preserve">（3）故障解决：</w:t>
      </w:r>
      <w:r>
        <w:rPr>
          <w:rFonts w:ascii="Segoe UI" w:hAnsi="Segoe UI" w:cs="Segoe UI"/>
          <w:color w:val="1d2129"/>
          <w:sz w:val="20"/>
          <w:szCs w:val="20"/>
          <w:shd w:val="clear" w:color="auto" w:fill="ffffff"/>
        </w:rPr>
        <w:t xml:space="preserve">&lt; 24</w:t>
      </w:r>
      <w:r>
        <w:rPr>
          <w:rFonts w:ascii="Segoe UI" w:hAnsi="Segoe UI" w:cs="Segoe UI"/>
          <w:color w:val="1d2129"/>
          <w:sz w:val="20"/>
          <w:szCs w:val="20"/>
          <w:shd w:val="clear" w:color="auto" w:fill="ffffff"/>
        </w:rPr>
        <w:t xml:space="preserve">小时。</w:t>
      </w:r>
      <w:r/>
    </w:p>
    <w:p>
      <w:pPr>
        <w:ind w:firstLine="480"/>
        <w:rPr>
          <w:rFonts w:ascii="宋体" w:hAnsi="宋体" w:cs="宋体"/>
          <w:i/>
          <w:iCs/>
          <w:sz w:val="24"/>
        </w:rPr>
      </w:pPr>
      <w:r>
        <w:rPr>
          <w:rFonts w:hint="eastAsia" w:ascii="宋体" w:hAnsi="宋体" w:cs="宋体"/>
          <w:sz w:val="24"/>
        </w:rPr>
        <w:t xml:space="preserve">在质保期内接到报修电话后，在远程检测无法排除故障的情况下，检修人员及时到达现场处理。具体维修响应时间：</w:t>
      </w:r>
      <w:r>
        <w:rPr>
          <w:rFonts w:ascii="宋体" w:hAnsi="宋体" w:cs="宋体"/>
          <w:sz w:val="24"/>
        </w:rPr>
        <w:t xml:space="preserve">10分钟以内</w:t>
      </w:r>
      <w:r>
        <w:rPr>
          <w:rFonts w:hint="eastAsia" w:ascii="宋体" w:hAnsi="宋体" w:cs="宋体"/>
          <w:sz w:val="24"/>
        </w:rPr>
        <w:t xml:space="preserve">电话响应，</w:t>
      </w:r>
      <w:r>
        <w:rPr>
          <w:rFonts w:ascii="宋体" w:hAnsi="宋体" w:cs="宋体"/>
          <w:sz w:val="24"/>
        </w:rPr>
        <w:t xml:space="preserve">2小时内到达现场</w:t>
      </w:r>
      <w:r>
        <w:rPr>
          <w:rFonts w:hint="eastAsia" w:ascii="宋体" w:hAnsi="宋体" w:cs="宋体"/>
          <w:sz w:val="24"/>
        </w:rPr>
        <w:t xml:space="preserve">进行故障检修。一般故障的排除故障时间（自报修响应开始计算）控制在</w:t>
      </w:r>
      <w:r>
        <w:rPr>
          <w:rFonts w:ascii="宋体" w:hAnsi="宋体" w:cs="宋体"/>
          <w:sz w:val="24"/>
        </w:rPr>
        <w:t xml:space="preserve">24小时内，确保</w:t>
      </w:r>
      <w:r>
        <w:rPr>
          <w:rFonts w:hint="eastAsia" w:ascii="宋体" w:hAnsi="宋体" w:cs="宋体"/>
          <w:sz w:val="24"/>
        </w:rPr>
        <w:t xml:space="preserve">招标人的正常教学运行。</w:t>
      </w:r>
      <w:r/>
    </w:p>
    <w:p>
      <w:pPr>
        <w:ind w:firstLine="480"/>
        <w:rPr>
          <w:rFonts w:ascii="宋体" w:hAnsi="宋体" w:cs="宋体"/>
          <w:sz w:val="24"/>
        </w:rPr>
      </w:pPr>
      <w:r>
        <w:rPr>
          <w:rFonts w:ascii="宋体" w:hAnsi="宋体" w:cs="宋体"/>
          <w:b/>
          <w:bCs/>
          <w:sz w:val="24"/>
        </w:rPr>
        <w:t xml:space="preserve">6.3.4</w:t>
      </w:r>
      <w:r>
        <w:rPr>
          <w:rFonts w:hint="eastAsia" w:ascii="宋体" w:hAnsi="宋体" w:cs="宋体"/>
          <w:b/>
          <w:bCs/>
          <w:sz w:val="24"/>
        </w:rPr>
        <w:t xml:space="preserve">备机服务</w:t>
      </w:r>
      <w:r>
        <w:rPr>
          <w:rFonts w:hint="eastAsia" w:ascii="宋体" w:hAnsi="宋体" w:cs="宋体"/>
          <w:sz w:val="24"/>
        </w:rPr>
        <w:t xml:space="preserve">：若设备</w:t>
      </w:r>
      <w:r>
        <w:rPr>
          <w:rFonts w:ascii="宋体" w:hAnsi="宋体" w:cs="宋体"/>
          <w:sz w:val="24"/>
        </w:rPr>
        <w:t xml:space="preserve">24</w:t>
      </w:r>
      <w:r>
        <w:rPr>
          <w:rFonts w:hint="eastAsia" w:ascii="宋体" w:hAnsi="宋体" w:cs="宋体"/>
          <w:sz w:val="24"/>
        </w:rPr>
        <w:t xml:space="preserve">小时内（自报修响应开始计算）依然无法完成维修，投标人应将在最短时间内更换同档次性能的备用机，确保招标人的正常教学运行。</w:t>
      </w:r>
      <w:r/>
    </w:p>
    <w:p>
      <w:pPr>
        <w:ind w:firstLine="480"/>
        <w:rPr>
          <w:rFonts w:ascii="宋体" w:hAnsi="宋体" w:cs="宋体"/>
          <w:sz w:val="24"/>
        </w:rPr>
      </w:pPr>
      <w:r>
        <w:rPr>
          <w:rFonts w:ascii="宋体" w:hAnsi="宋体" w:cs="宋体"/>
          <w:b/>
          <w:bCs/>
          <w:sz w:val="24"/>
        </w:rPr>
        <w:t xml:space="preserve">6.3.5</w:t>
      </w:r>
      <w:r>
        <w:rPr>
          <w:rFonts w:hint="eastAsia" w:ascii="宋体" w:hAnsi="宋体" w:cs="宋体"/>
          <w:b/>
          <w:bCs/>
          <w:sz w:val="24"/>
        </w:rPr>
        <w:t xml:space="preserve">巡检服务</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（1）巡检服务期限：质保期内，中标供应商须于每学期开学前一周，对本项目全部软硬件设备实施全覆盖上门巡检服务。</w:t>
      </w:r>
      <w:r/>
    </w:p>
    <w:p>
      <w:pPr>
        <w:ind w:firstLine="480"/>
        <w:rPr>
          <w:rFonts w:ascii="宋体" w:hAnsi="宋体" w:cs="宋体"/>
          <w:sz w:val="24"/>
        </w:rPr>
      </w:pPr>
      <w:r>
        <w:rPr>
          <w:rFonts w:hint="eastAsia" w:ascii="宋体" w:hAnsi="宋体" w:cs="宋体"/>
          <w:sz w:val="24"/>
        </w:rPr>
        <w:t xml:space="preserve">（2）巡检范围：本次采购所有硬件设备、配套软件系统、布线辅材及配套附属设施；</w:t>
      </w:r>
      <w:r/>
    </w:p>
    <w:p>
      <w:pPr>
        <w:ind w:firstLine="480"/>
        <w:rPr>
          <w:rFonts w:ascii="宋体" w:hAnsi="宋体" w:cs="宋体"/>
          <w:sz w:val="24"/>
        </w:rPr>
      </w:pPr>
      <w:r>
        <w:rPr>
          <w:rFonts w:hint="eastAsia" w:ascii="宋体" w:hAnsi="宋体" w:cs="宋体"/>
          <w:sz w:val="24"/>
        </w:rPr>
        <w:t xml:space="preserve">（3）巡检内容：设备外观、供电线路、运行工况、散热、接口紧固、设备除尘、系统功能测试、日志核查、配置备份、隐患排查、音视频信号调试等；</w:t>
      </w:r>
      <w:r/>
    </w:p>
    <w:p>
      <w:pPr>
        <w:ind w:firstLine="480"/>
        <w:rPr>
          <w:rFonts w:ascii="宋体" w:hAnsi="宋体" w:cs="宋体"/>
          <w:sz w:val="24"/>
        </w:rPr>
      </w:pPr>
      <w:r>
        <w:rPr>
          <w:rFonts w:hint="eastAsia" w:ascii="宋体" w:hAnsi="宋体" w:cs="宋体"/>
          <w:sz w:val="24"/>
        </w:rPr>
        <w:t xml:space="preserve">（4）成果交付：每次巡检完成后</w:t>
      </w:r>
      <w:r>
        <w:rPr>
          <w:rFonts w:ascii="宋体" w:hAnsi="宋体" w:cs="宋体"/>
          <w:sz w:val="24"/>
        </w:rPr>
        <w:t xml:space="preserve">3</w:t>
      </w:r>
      <w:r>
        <w:rPr>
          <w:rFonts w:hint="eastAsia" w:ascii="宋体" w:hAnsi="宋体" w:cs="宋体"/>
          <w:sz w:val="24"/>
        </w:rPr>
        <w:t xml:space="preserve">个工作日内，提交加盖供应商公章的正式巡检报告，列明设备状态、隐患问题、整改方案及现场佐证照片；</w:t>
      </w:r>
      <w:r/>
    </w:p>
    <w:p>
      <w:pPr>
        <w:ind w:firstLine="480"/>
        <w:rPr>
          <w:rFonts w:ascii="宋体" w:hAnsi="宋体" w:cs="宋体"/>
          <w:sz w:val="24"/>
        </w:rPr>
      </w:pPr>
      <w:r>
        <w:rPr>
          <w:rFonts w:hint="eastAsia" w:ascii="宋体" w:hAnsi="宋体" w:cs="宋体"/>
          <w:sz w:val="24"/>
        </w:rPr>
        <w:t xml:space="preserve">故障处置：巡检发现故障及安全隐患须现场处置，无法当场修复的，质保期内免费提供维修、更换配件、调试服务，免收人工、耗材、差旅等一切费用；</w:t>
      </w:r>
      <w:r/>
    </w:p>
    <w:p>
      <w:pPr>
        <w:ind w:firstLine="480"/>
        <w:rPr>
          <w:rFonts w:ascii="宋体" w:hAnsi="宋体" w:cs="宋体"/>
          <w:sz w:val="24"/>
        </w:rPr>
      </w:pPr>
      <w:r>
        <w:rPr>
          <w:rFonts w:hint="eastAsia" w:ascii="宋体" w:hAnsi="宋体" w:cs="宋体"/>
          <w:sz w:val="24"/>
        </w:rPr>
        <w:t xml:space="preserve">（6）服务配合：巡检前主动与采购人对接上门时间，安排专业技术人员到场作业，配合校方管理人员现场验收。</w:t>
      </w:r>
      <w:r/>
    </w:p>
    <w:p>
      <w:pPr>
        <w:rPr>
          <w:rFonts w:ascii="宋体" w:hAnsi="宋体" w:cs="宋体"/>
          <w:sz w:val="24"/>
        </w:rPr>
      </w:pPr>
      <w:r>
        <w:rPr>
          <w:rFonts w:ascii="宋体" w:hAnsi="宋体" w:cs="宋体"/>
          <w:sz w:val="24"/>
        </w:rPr>
      </w:r>
      <w:r/>
    </w:p>
    <w:p>
      <w:pPr>
        <w:ind w:firstLine="482"/>
        <w:rPr>
          <w:rFonts w:ascii="宋体" w:hAnsi="宋体" w:cs="宋体"/>
          <w:b/>
          <w:bCs/>
          <w:sz w:val="24"/>
        </w:rPr>
      </w:pPr>
      <w:r>
        <w:rPr>
          <w:rFonts w:hint="eastAsia" w:ascii="宋体" w:hAnsi="宋体" w:cs="宋体"/>
          <w:b/>
          <w:bCs/>
          <w:sz w:val="24"/>
        </w:rPr>
        <w:t xml:space="preserve">7.质保要求：</w:t>
      </w:r>
      <w:r/>
    </w:p>
    <w:p>
      <w:pPr>
        <w:ind w:firstLine="480"/>
        <w:rPr>
          <w:b/>
          <w:bCs/>
          <w:i/>
          <w:iCs/>
          <w:sz w:val="24"/>
          <w:szCs w:val="24"/>
          <w:u w:val="single"/>
        </w:rPr>
      </w:pPr>
      <w:r>
        <w:rPr>
          <w:rFonts w:hint="eastAsia" w:ascii="宋体" w:hAnsi="宋体" w:cs="宋体"/>
          <w:sz w:val="24"/>
        </w:rPr>
        <w:t xml:space="preserve">质保期为</w:t>
      </w:r>
      <w:r>
        <w:rPr>
          <w:rFonts w:hint="eastAsia" w:ascii="宋体" w:hAnsi="宋体" w:cs="宋体"/>
          <w:b/>
          <w:bCs/>
          <w:i/>
          <w:iCs/>
          <w:sz w:val="24"/>
          <w:u w:val="single"/>
        </w:rPr>
        <w:t xml:space="preserve">验收合格后不少于3年，</w:t>
      </w:r>
      <w:r>
        <w:rPr>
          <w:b/>
          <w:bCs/>
          <w:i/>
          <w:iCs/>
          <w:sz w:val="24"/>
          <w:szCs w:val="24"/>
          <w:u w:val="single"/>
        </w:rPr>
        <w:t xml:space="preserve">自项目最终验收合格之日起计算。</w:t>
      </w:r>
      <w:r>
        <w:rPr>
          <w:rFonts w:hint="eastAsia"/>
          <w:b/>
          <w:bCs/>
          <w:i/>
          <w:iCs/>
          <w:sz w:val="24"/>
          <w:szCs w:val="24"/>
          <w:u w:val="single"/>
        </w:rPr>
        <w:t xml:space="preserve">质保期内提供上门维修、更换配件、调试服务所发生的人工、耗材、维修配件等费用均包含在投保人报价中，招标人不额外支付费用。（提供书面承诺）</w:t>
      </w:r>
      <w:r/>
    </w:p>
    <w:p>
      <w:pPr>
        <w:ind w:firstLine="480"/>
        <w:widowControl/>
        <w:rPr>
          <w:b/>
          <w:bCs/>
          <w:i/>
          <w:iCs/>
          <w:sz w:val="24"/>
          <w:szCs w:val="24"/>
          <w:u w:val="single"/>
        </w:rPr>
      </w:pPr>
      <w:r>
        <w:rPr>
          <w:rFonts w:hint="eastAsia" w:ascii="宋体" w:hAnsi="宋体" w:cs="宋体"/>
          <w:b/>
          <w:sz w:val="24"/>
          <w:szCs w:val="24"/>
        </w:rPr>
        <w:t xml:space="preserve">质保服务范围：</w:t>
      </w:r>
      <w:r>
        <w:rPr>
          <w:rFonts w:ascii="宋体" w:hAnsi="宋体" w:cs="宋体"/>
          <w:sz w:val="24"/>
          <w:szCs w:val="24"/>
        </w:rPr>
        <w:t xml:space="preserve">所有</w:t>
      </w:r>
      <w:r>
        <w:rPr>
          <w:rFonts w:hint="eastAsia" w:ascii="宋体" w:hAnsi="宋体" w:cs="宋体"/>
          <w:sz w:val="24"/>
          <w:szCs w:val="24"/>
        </w:rPr>
        <w:t xml:space="preserve">投影机、计算机、服务器、</w:t>
      </w:r>
      <w:r>
        <w:rPr>
          <w:rFonts w:ascii="宋体" w:hAnsi="宋体" w:cs="宋体"/>
          <w:sz w:val="24"/>
          <w:szCs w:val="24"/>
        </w:rPr>
        <w:t xml:space="preserve">多媒体音视频及控制设备提供整机质保服务，质保范围覆盖所有硬件整机及内置零部件。在质保期限内，凡属产品自身质量问题，供方免费提供零配件更换、整机维修服务，免费上门现场处置。配套系统管理软件提供质保期内免费版本迭代、故障修复与远程技术支持。对于故障设备，执行备件先行更换服务，缩短停机时间。</w:t>
      </w:r>
      <w:r/>
    </w:p>
    <w:p>
      <w:pPr>
        <w:ind w:firstLine="480"/>
        <w:rPr>
          <w:rFonts w:ascii="宋体" w:hAnsi="宋体" w:cs="宋体"/>
          <w:b/>
          <w:bCs/>
          <w:sz w:val="32"/>
          <w:szCs w:val="28"/>
        </w:rPr>
      </w:pPr>
      <w:r>
        <w:rPr>
          <w:rFonts w:hint="eastAsia" w:ascii="宋体" w:hAnsi="宋体" w:cs="宋体"/>
          <w:b/>
          <w:bCs/>
          <w:sz w:val="24"/>
        </w:rPr>
        <w:t xml:space="preserve">8. </w:t>
      </w:r>
      <w:r>
        <w:rPr>
          <w:rFonts w:ascii="宋体" w:hAnsi="宋体" w:cs="宋体"/>
          <w:b/>
          <w:bCs/>
          <w:sz w:val="24"/>
        </w:rPr>
        <w:t xml:space="preserve">项目质量与验收要求</w:t>
      </w:r>
      <w:r>
        <w:rPr>
          <w:rFonts w:hint="eastAsia" w:ascii="宋体" w:hAnsi="宋体" w:cs="宋体"/>
          <w:b/>
          <w:bCs/>
          <w:sz w:val="24"/>
        </w:rPr>
        <w:t xml:space="preserve">：</w:t>
      </w:r>
      <w:r/>
    </w:p>
    <w:p>
      <w:pPr>
        <w:ind w:firstLine="480"/>
        <w:widowControl/>
        <w:rPr>
          <w:rFonts w:ascii="宋体" w:hAnsi="宋体" w:cs="宋体"/>
          <w:sz w:val="24"/>
        </w:rPr>
      </w:pPr>
      <w:r>
        <w:rPr>
          <w:rFonts w:hint="eastAsia" w:ascii="宋体" w:hAnsi="宋体" w:cs="宋体"/>
          <w:sz w:val="24"/>
        </w:rPr>
        <w:t xml:space="preserve">（1）本项目所有设备、材料必须为原厂全新正品，无翻新、拆机、贴牌产品，产品技术参数响应招标文件要求，符合国家现行音视频、弱电工程相关规范标准。</w:t>
      </w:r>
      <w:r/>
    </w:p>
    <w:p>
      <w:pPr>
        <w:ind w:firstLine="480"/>
        <w:widowControl/>
        <w:rPr>
          <w:rFonts w:ascii="宋体" w:hAnsi="宋体" w:cs="宋体"/>
          <w:sz w:val="24"/>
        </w:rPr>
      </w:pPr>
      <w:r>
        <w:rPr>
          <w:rFonts w:hint="eastAsia" w:ascii="宋体" w:hAnsi="宋体" w:cs="宋体"/>
          <w:sz w:val="24"/>
        </w:rPr>
        <w:t xml:space="preserve">（2）系统布线、设备安装、接线调试严格按照施工工艺规范执行，线路标识清晰，供电稳定，音视频信号传输稳定无干扰，中控系统联动操作流畅，无卡顿、无失灵现象。</w:t>
      </w:r>
      <w:r/>
    </w:p>
    <w:p>
      <w:pPr>
        <w:ind w:firstLine="480"/>
        <w:widowControl/>
        <w:rPr>
          <w:rFonts w:ascii="宋体" w:hAnsi="宋体" w:cs="宋体"/>
          <w:sz w:val="24"/>
        </w:rPr>
      </w:pPr>
      <w:r>
        <w:rPr>
          <w:rFonts w:hint="eastAsia" w:ascii="宋体" w:hAnsi="宋体" w:cs="宋体"/>
          <w:sz w:val="24"/>
        </w:rPr>
        <w:t xml:space="preserve">（3）整体系统具备长期稳定运行能力，软硬件相互兼容，国产操作系统适配正常，各项功能均可正常启用。</w:t>
      </w:r>
      <w:r/>
    </w:p>
    <w:p>
      <w:pPr>
        <w:ind w:firstLine="480"/>
        <w:jc w:val="left"/>
        <w:spacing w:line="360" w:lineRule="atLeast"/>
        <w:widowControl/>
        <w:rPr>
          <w:rFonts w:ascii="Calibri" w:hAnsi="Calibri"/>
          <w:color w:val="000000"/>
          <w:sz w:val="24"/>
          <w:szCs w:val="24"/>
        </w:rPr>
      </w:pPr>
      <w:r>
        <w:rPr>
          <w:rFonts w:ascii="Symbol" w:hAnsi="Symbol" w:cs="Symbol"/>
          <w:sz w:val="24"/>
        </w:rPr>
        <w:t xml:space="preserve">（</w:t>
      </w:r>
      <w:r>
        <w:rPr>
          <w:rFonts w:ascii="Symbol" w:hAnsi="Symbol" w:cs="Symbol"/>
          <w:sz w:val="24"/>
        </w:rPr>
        <w:t xml:space="preserve"></w:t>
      </w:r>
      <w:r>
        <w:rPr>
          <w:rFonts w:ascii="Symbol" w:hAnsi="Symbol" w:cs="Symbol"/>
          <w:sz w:val="24"/>
        </w:rPr>
        <w:t xml:space="preserve">）</w:t>
      </w:r>
      <w:r>
        <w:rPr>
          <w:rFonts w:ascii="Calibri" w:hAnsi="Calibri"/>
          <w:color w:val="000000"/>
          <w:sz w:val="24"/>
          <w:szCs w:val="24"/>
        </w:rPr>
        <w:t xml:space="preserve">所有设备供货到位并安装调试完毕，整套多媒体控制系统、扩声系统、信号切换系统</w:t>
      </w:r>
      <w:r>
        <w:rPr>
          <w:rFonts w:hint="eastAsia" w:ascii="Calibri" w:hAnsi="Calibri"/>
          <w:color w:val="000000"/>
          <w:sz w:val="24"/>
          <w:szCs w:val="24"/>
        </w:rPr>
        <w:t xml:space="preserve">等</w:t>
      </w:r>
      <w:r>
        <w:rPr>
          <w:rFonts w:ascii="Calibri" w:hAnsi="Calibri"/>
          <w:color w:val="000000"/>
          <w:sz w:val="24"/>
          <w:szCs w:val="24"/>
        </w:rPr>
        <w:t xml:space="preserve">全部功能正常。</w:t>
      </w:r>
      <w:r/>
    </w:p>
    <w:p>
      <w:pPr>
        <w:ind w:firstLine="480"/>
        <w:jc w:val="left"/>
        <w:spacing w:line="360" w:lineRule="atLeast"/>
        <w:widowControl/>
        <w:rPr>
          <w:rFonts w:ascii="Calibri" w:hAnsi="Calibri"/>
          <w:color w:val="000000"/>
          <w:sz w:val="24"/>
          <w:szCs w:val="24"/>
        </w:rPr>
      </w:pPr>
      <w:r>
        <w:rPr>
          <w:rFonts w:hint="eastAsia" w:ascii="Calibri" w:hAnsi="Calibri"/>
          <w:color w:val="000000"/>
          <w:sz w:val="24"/>
          <w:szCs w:val="24"/>
        </w:rPr>
        <w:t xml:space="preserve">（</w:t>
      </w:r>
      <w:r>
        <w:rPr>
          <w:rFonts w:hint="eastAsia" w:ascii="Calibri" w:hAnsi="Calibri"/>
          <w:color w:val="000000"/>
          <w:sz w:val="24"/>
          <w:szCs w:val="24"/>
        </w:rPr>
        <w:t xml:space="preserve">5</w:t>
      </w:r>
      <w:r>
        <w:rPr>
          <w:rFonts w:hint="eastAsia" w:ascii="Calibri" w:hAnsi="Calibri"/>
          <w:color w:val="000000"/>
          <w:sz w:val="24"/>
          <w:szCs w:val="24"/>
        </w:rPr>
        <w:t xml:space="preserve">）</w:t>
      </w:r>
      <w:r>
        <w:rPr>
          <w:rFonts w:ascii="Calibri" w:hAnsi="Calibri"/>
          <w:color w:val="000000"/>
          <w:sz w:val="24"/>
          <w:szCs w:val="24"/>
        </w:rPr>
        <w:t xml:space="preserve">供方完成现场操作培训，采购人管理人员能够独立完成设备开关机、信号切换、场景调用、故障简单排查。</w:t>
      </w:r>
      <w:r/>
    </w:p>
    <w:p>
      <w:pPr>
        <w:ind w:firstLine="480"/>
        <w:jc w:val="left"/>
        <w:spacing w:line="360" w:lineRule="atLeast"/>
        <w:widowControl/>
        <w:rPr>
          <w:rFonts w:ascii="Calibri" w:hAnsi="Calibri"/>
          <w:color w:val="000000"/>
          <w:sz w:val="24"/>
          <w:szCs w:val="24"/>
        </w:rPr>
      </w:pPr>
      <w:r>
        <w:rPr>
          <w:rFonts w:hint="eastAsia" w:ascii="Calibri" w:hAnsi="Calibri"/>
          <w:color w:val="000000"/>
          <w:sz w:val="24"/>
          <w:szCs w:val="24"/>
        </w:rPr>
        <w:t xml:space="preserve">（</w:t>
      </w:r>
      <w:r>
        <w:rPr>
          <w:rFonts w:hint="eastAsia" w:ascii="Calibri" w:hAnsi="Calibri"/>
          <w:color w:val="000000"/>
          <w:sz w:val="24"/>
          <w:szCs w:val="24"/>
        </w:rPr>
        <w:t xml:space="preserve">6</w:t>
      </w:r>
      <w:r>
        <w:rPr>
          <w:rFonts w:hint="eastAsia" w:ascii="Calibri" w:hAnsi="Calibri"/>
          <w:color w:val="000000"/>
          <w:sz w:val="24"/>
          <w:szCs w:val="24"/>
        </w:rPr>
        <w:t xml:space="preserve">）</w:t>
      </w:r>
      <w:r>
        <w:rPr>
          <w:rFonts w:ascii="Calibri" w:hAnsi="Calibri"/>
          <w:color w:val="000000"/>
          <w:sz w:val="24"/>
          <w:szCs w:val="24"/>
        </w:rPr>
        <w:t xml:space="preserve">竣工资料完整齐全，证书资料与投标文件保持一致。</w:t>
      </w:r>
      <w:r/>
    </w:p>
    <w:p>
      <w:pPr>
        <w:ind w:firstLine="480"/>
        <w:jc w:val="left"/>
        <w:spacing w:line="360" w:lineRule="atLeast"/>
        <w:widowControl/>
        <w:rPr>
          <w:rFonts w:ascii="宋体" w:hAnsi="宋体" w:cs="宋体"/>
          <w:b/>
          <w:bCs/>
          <w:sz w:val="32"/>
          <w:szCs w:val="28"/>
        </w:rPr>
      </w:pPr>
      <w:r>
        <w:rPr>
          <w:rFonts w:hint="eastAsia" w:ascii="宋体" w:hAnsi="宋体" w:cs="宋体"/>
          <w:b/>
          <w:bCs/>
          <w:sz w:val="24"/>
          <w:szCs w:val="21"/>
        </w:rPr>
        <w:t xml:space="preserve"> 9.</w:t>
      </w:r>
      <w:r>
        <w:rPr>
          <w:rFonts w:hint="eastAsia" w:ascii="宋体" w:hAnsi="宋体" w:cs="宋体"/>
          <w:b/>
          <w:bCs/>
          <w:sz w:val="24"/>
        </w:rPr>
        <w:t xml:space="preserve">演示要求</w:t>
      </w:r>
      <w:r/>
    </w:p>
    <w:p>
      <w:pPr>
        <w:ind w:firstLine="480"/>
        <w:rPr>
          <w:rFonts w:ascii="宋体" w:hAnsi="宋体"/>
          <w:sz w:val="24"/>
          <w:szCs w:val="21"/>
        </w:rPr>
      </w:pPr>
      <w:r>
        <w:rPr>
          <w:rFonts w:hint="eastAsia" w:ascii="方正仿宋_GBK" w:hAnsi="方正仿宋_GBK" w:eastAsia="方正仿宋_GBK" w:cs="方正仿宋_GBK"/>
          <w:bCs/>
          <w:sz w:val="28"/>
          <w:szCs w:val="28"/>
        </w:rPr>
        <w:t xml:space="preserve">本次招标产品为成熟、稳定、易用的产品，投标人按招标文件中相关要求自行准备演示环境，投标人需按照招标文件规定的演示内容制作演示视频文件，视频文件的格式为</w:t>
      </w:r>
      <w:r>
        <w:rPr>
          <w:rFonts w:hint="eastAsia" w:eastAsia="方正仿宋_GBK"/>
          <w:sz w:val="28"/>
          <w:szCs w:val="28"/>
        </w:rPr>
        <w:t xml:space="preserve">X.mp4</w:t>
      </w:r>
      <w:r>
        <w:rPr>
          <w:rFonts w:hint="eastAsia" w:ascii="方正仿宋_GBK" w:hAnsi="方正仿宋_GBK" w:eastAsia="方正仿宋_GBK" w:cs="方正仿宋_GBK"/>
          <w:bCs/>
          <w:sz w:val="28"/>
          <w:szCs w:val="28"/>
        </w:rPr>
        <w:t xml:space="preserve">或</w:t>
      </w:r>
      <w:r>
        <w:rPr>
          <w:rFonts w:hint="eastAsia" w:eastAsia="方正仿宋_GBK"/>
          <w:sz w:val="28"/>
          <w:szCs w:val="28"/>
        </w:rPr>
        <w:t xml:space="preserve">X.avi</w:t>
      </w:r>
      <w:r>
        <w:rPr>
          <w:rFonts w:hint="eastAsia" w:ascii="方正仿宋_GBK" w:hAnsi="方正仿宋_GBK" w:eastAsia="方正仿宋_GBK" w:cs="方正仿宋_GBK"/>
          <w:bCs/>
          <w:sz w:val="28"/>
          <w:szCs w:val="28"/>
        </w:rPr>
        <w:t xml:space="preserve">，投标人须将视频文件分段压缩为</w:t>
      </w:r>
      <w:r>
        <w:rPr>
          <w:rFonts w:hint="eastAsia" w:eastAsia="方正仿宋_GBK"/>
          <w:sz w:val="28"/>
          <w:szCs w:val="28"/>
        </w:rPr>
        <w:t xml:space="preserve">X.zip</w:t>
      </w:r>
      <w:r>
        <w:rPr>
          <w:rFonts w:hint="eastAsia" w:ascii="方正仿宋_GBK" w:hAnsi="方正仿宋_GBK" w:eastAsia="方正仿宋_GBK" w:cs="方正仿宋_GBK"/>
          <w:bCs/>
          <w:sz w:val="28"/>
          <w:szCs w:val="28"/>
        </w:rPr>
        <w:t xml:space="preserve">文件上传（单个文件不得大于</w:t>
      </w:r>
      <w:r>
        <w:rPr>
          <w:rFonts w:hint="eastAsia" w:eastAsia="方正仿宋_GBK"/>
          <w:sz w:val="28"/>
          <w:szCs w:val="28"/>
        </w:rPr>
        <w:t xml:space="preserve">50M</w:t>
      </w:r>
      <w:r>
        <w:rPr>
          <w:rFonts w:hint="eastAsia" w:ascii="方正仿宋_GBK" w:hAnsi="方正仿宋_GBK" w:eastAsia="方正仿宋_GBK" w:cs="方正仿宋_GBK"/>
          <w:bCs/>
          <w:sz w:val="28"/>
          <w:szCs w:val="28"/>
        </w:rPr>
        <w:t xml:space="preserve">，所有文件总共不得大于</w:t>
      </w:r>
      <w:r>
        <w:rPr>
          <w:rFonts w:hint="eastAsia" w:eastAsia="方正仿宋_GBK"/>
          <w:sz w:val="28"/>
          <w:szCs w:val="28"/>
        </w:rPr>
        <w:t xml:space="preserve">300M</w:t>
      </w:r>
      <w:r>
        <w:rPr>
          <w:rFonts w:hint="eastAsia" w:ascii="方正仿宋_GBK" w:hAnsi="方正仿宋_GBK" w:eastAsia="方正仿宋_GBK" w:cs="方正仿宋_GBK"/>
          <w:bCs/>
          <w:sz w:val="28"/>
          <w:szCs w:val="28"/>
        </w:rPr>
        <w:t xml:space="preserve">）。文件上传方式见《操作手册》规定，上传的演示视频将作为投标文件的组成部分，视频时长总计不超过15分钟。</w:t>
      </w:r>
      <w:r/>
    </w:p>
    <w:p>
      <w:pPr>
        <w:ind w:firstLine="480"/>
        <w:rPr>
          <w:rFonts w:ascii="宋体" w:hAnsi="宋体"/>
          <w:sz w:val="24"/>
          <w:szCs w:val="21"/>
        </w:rPr>
      </w:pPr>
      <w:r>
        <w:rPr>
          <w:rFonts w:hint="eastAsia" w:ascii="宋体" w:hAnsi="宋体"/>
          <w:sz w:val="24"/>
          <w:szCs w:val="21"/>
        </w:rPr>
        <w:t xml:space="preserve">软件系统用真实项目现场环境进行逐项功能演示</w:t>
      </w:r>
      <w:r/>
    </w:p>
    <w:p>
      <w:pPr>
        <w:ind w:firstLine="480"/>
        <w:rPr>
          <w:rFonts w:ascii="宋体" w:hAnsi="宋体"/>
          <w:b/>
          <w:bCs/>
          <w:sz w:val="24"/>
          <w:szCs w:val="24"/>
        </w:rPr>
      </w:pPr>
      <w:r>
        <w:rPr>
          <w:rFonts w:hint="eastAsia" w:ascii="宋体" w:hAnsi="宋体"/>
          <w:b/>
          <w:bCs/>
          <w:sz w:val="24"/>
          <w:szCs w:val="21"/>
        </w:rPr>
        <w:t xml:space="preserve">演示内容如下：</w:t>
      </w:r>
      <w:r/>
    </w:p>
    <w:p>
      <w:pPr>
        <w:ind w:firstLine="480"/>
        <w:widowControl/>
        <w:rPr>
          <w:rFonts w:ascii="宋体" w:hAnsi="宋体" w:cs="宋体"/>
          <w:b/>
          <w:bCs/>
          <w:sz w:val="24"/>
        </w:rPr>
      </w:pPr>
      <w:r>
        <w:rPr>
          <w:rFonts w:hint="eastAsia" w:ascii="宋体" w:hAnsi="宋体" w:cs="宋体"/>
          <w:b/>
          <w:bCs/>
          <w:sz w:val="24"/>
        </w:rPr>
        <w:t xml:space="preserve">9.1教育融合视讯中台：</w:t>
      </w:r>
      <w:r/>
    </w:p>
    <w:p>
      <w:pPr>
        <w:ind w:firstLine="480"/>
        <w:widowControl/>
        <w:rPr>
          <w:rFonts w:ascii="宋体" w:hAnsi="宋体" w:cs="宋体"/>
          <w:sz w:val="24"/>
        </w:rPr>
      </w:pPr>
      <w:r>
        <w:rPr>
          <w:rFonts w:hint="eastAsia" w:ascii="宋体" w:hAnsi="宋体" w:cs="宋体"/>
          <w:sz w:val="24"/>
        </w:rPr>
        <w:t xml:space="preserve">9.1.1中台能够满足学校大批量教室接入的扩展要求，可对设备进行录入管理。设备录入时可设置设备编码属性，可配置基础属性（包括设备名称、厂商、点位、型号等）、位置属性、管理属性、接入属性等，具备批量导入、导出、编辑等功能，可查询设备信息（包括国标编码、设备名称、区域、厂商、点位类型、功能类型、经纬度等）。</w:t>
      </w:r>
      <w:r/>
    </w:p>
    <w:p>
      <w:pPr>
        <w:ind w:firstLine="480"/>
        <w:widowControl/>
        <w:rPr>
          <w:rFonts w:ascii="宋体" w:hAnsi="宋体" w:cs="宋体"/>
          <w:sz w:val="24"/>
        </w:rPr>
      </w:pPr>
      <w:r>
        <w:rPr>
          <w:rFonts w:hint="eastAsia" w:ascii="宋体" w:hAnsi="宋体" w:cs="宋体"/>
          <w:sz w:val="24"/>
        </w:rPr>
        <w:t xml:space="preserve">9.1.2中台具备后台管理可视化运维大盘，可实现对主机、集群、网关、中间件、服务的可视化管理，主机管理包括可用/不可调用主机、负载/CPU核数异常等主机状态，集群管理能够展示实际使用的CPU核数和内存，呈现集群的各项状态（包括集群CPU和内存的使用率、申请率、分配率、空置率等），支持展示节点、系统组件和CEPH集群的各项状态，具备正常/异常服务的整体数量统计。</w:t>
      </w:r>
      <w:r/>
    </w:p>
    <w:p>
      <w:pPr>
        <w:ind w:firstLine="480"/>
        <w:widowControl/>
        <w:rPr>
          <w:rFonts w:ascii="宋体" w:hAnsi="宋体" w:cs="宋体"/>
          <w:sz w:val="24"/>
        </w:rPr>
      </w:pPr>
      <w:r>
        <w:rPr>
          <w:rFonts w:hint="eastAsia" w:ascii="宋体" w:hAnsi="宋体" w:cs="宋体"/>
          <w:sz w:val="24"/>
        </w:rPr>
        <w:t xml:space="preserve">9.1.3中台在平台端提供标准化的开放服务API和WEB SDK组件，支持第三方平台直接通过注册、接入申请获取APIKEY从而进行服务接入。提供开放接口数据看板，可显示注册用户/管理端用户数量、已发布API/全部API服务数量、已发布API/全部API数量；支持查看数量统计趋势图（包括已发布服务、新增发布服务、已发布API和服务申请接入次数统计等）；支持TOP数据统计（包括服务申请接入频次、服务调用频次、API接口调用频次等）。</w:t>
      </w:r>
      <w:r/>
    </w:p>
    <w:p>
      <w:pPr>
        <w:ind w:firstLine="480"/>
        <w:widowControl/>
        <w:rPr>
          <w:rFonts w:ascii="宋体" w:hAnsi="宋体" w:cs="宋体"/>
          <w:b/>
          <w:bCs/>
          <w:sz w:val="24"/>
        </w:rPr>
      </w:pPr>
      <w:r>
        <w:rPr>
          <w:rFonts w:hint="eastAsia" w:ascii="宋体" w:hAnsi="宋体" w:cs="宋体"/>
          <w:b/>
          <w:bCs/>
          <w:sz w:val="24"/>
        </w:rPr>
        <w:t xml:space="preserve">9.2数字化巡课平台：</w:t>
      </w:r>
      <w:r/>
    </w:p>
    <w:p>
      <w:pPr>
        <w:ind w:firstLine="480"/>
        <w:widowControl/>
        <w:rPr>
          <w:rFonts w:ascii="宋体" w:hAnsi="宋体" w:cs="宋体"/>
          <w:sz w:val="24"/>
        </w:rPr>
      </w:pPr>
      <w:r>
        <w:rPr>
          <w:rFonts w:hint="eastAsia" w:ascii="宋体" w:hAnsi="宋体" w:cs="宋体"/>
          <w:sz w:val="24"/>
        </w:rPr>
        <w:t xml:space="preserve">9.2.1平台支持1/4/9/10/16/36等多种巡视窗口模式切换，具备低内存运行模式，36画面视频加载无延迟卡顿；支持一键全屏、“钉住”悬浮及视频码率全局切换，支持实时音频检测并以动态音量柱形式展示教室声音波动；支持多视窗巡视模式一键展示窗口教室AI学情分析结果无需跳转；支持综合数据筛选（如楼栋、教室、课程名称/状态、预警状态、AI指标阈值等）提升巡视效率；支持空间概览功能，按校区、楼宇可视化展示空间利用率、空闲率、额定容量、使用率及利用率排名。</w:t>
      </w:r>
      <w:r/>
    </w:p>
    <w:p>
      <w:pPr>
        <w:ind w:firstLine="480"/>
        <w:widowControl/>
        <w:rPr>
          <w:rFonts w:ascii="宋体" w:hAnsi="宋体" w:cs="宋体"/>
          <w:sz w:val="24"/>
        </w:rPr>
      </w:pPr>
      <w:r>
        <w:rPr>
          <w:rFonts w:hint="eastAsia" w:ascii="宋体" w:hAnsi="宋体" w:cs="宋体"/>
          <w:sz w:val="24"/>
        </w:rPr>
        <w:t xml:space="preserve">9.2.2平台支持全域教学数字化巡课驾驶舱，同一界面集成展示教学运行态势，包括今日概况、学情概况、开课数量、空间使用情况、学情教情异常趋势及信息、上课情况、巡课覆盖情况等；平台支持预警策略配置（包括学情、教情、设备、空间等维度），可设置教师迟到、教师早退等预警事件；平台支持自定义创建巡检计划，实现设备自动周期化巡检，可自动识别图像模糊、遮挡、信号丢失、画面歪等异常并生成巡检历史报告。</w:t>
      </w:r>
      <w:r/>
    </w:p>
    <w:p>
      <w:pPr>
        <w:spacing w:line="79" w:lineRule="atLeast"/>
        <w:rPr>
          <w:rFonts w:ascii="宋体" w:hAnsi="宋体" w:cs="宋体"/>
          <w:color w:val="000000"/>
          <w:sz w:val="20"/>
        </w:rPr>
      </w:pPr>
      <w:r>
        <w:rPr>
          <w:rFonts w:ascii="宋体" w:hAnsi="宋体" w:cs="宋体"/>
          <w:color w:val="000000"/>
          <w:sz w:val="20"/>
        </w:rPr>
      </w:r>
      <w:r/>
    </w:p>
    <w:p>
      <w:pPr>
        <w:ind w:firstLine="480"/>
        <w:rPr>
          <w:rFonts w:ascii="宋体" w:hAnsi="宋体" w:cs="宋体"/>
          <w:b/>
          <w:sz w:val="24"/>
        </w:rPr>
      </w:pPr>
      <w:r>
        <w:rPr>
          <w:rFonts w:ascii="宋体" w:hAnsi="宋体" w:cs="宋体"/>
          <w:b/>
          <w:sz w:val="24"/>
        </w:rPr>
        <w:t xml:space="preserve">10.企业资质</w:t>
      </w:r>
      <w:r/>
    </w:p>
    <w:p>
      <w:pPr>
        <w:ind w:firstLine="480"/>
        <w:rPr>
          <w:rFonts w:ascii="宋体" w:hAnsi="宋体" w:cs="宋体"/>
          <w:bCs/>
          <w:sz w:val="24"/>
        </w:rPr>
      </w:pPr>
      <w:r>
        <w:rPr>
          <w:rFonts w:hint="eastAsia" w:ascii="宋体" w:hAnsi="宋体" w:cs="宋体"/>
          <w:bCs/>
          <w:sz w:val="24"/>
        </w:rPr>
        <w:t xml:space="preserve">10</w:t>
      </w:r>
      <w:r>
        <w:rPr>
          <w:rFonts w:ascii="宋体" w:hAnsi="宋体" w:cs="宋体"/>
          <w:bCs/>
          <w:sz w:val="24"/>
        </w:rPr>
        <w:t xml:space="preserve">.1 投标人须具备ISO90001质量管理体系认证、ISO14001环境管理体系认证、ISO45001职业健康安全管理体系认证</w:t>
      </w:r>
      <w:r>
        <w:rPr>
          <w:rFonts w:hint="eastAsia" w:ascii="宋体" w:hAnsi="宋体" w:cs="宋体"/>
          <w:bCs/>
          <w:sz w:val="24"/>
        </w:rPr>
        <w:t xml:space="preserve">。</w:t>
      </w:r>
      <w:r/>
    </w:p>
    <w:p>
      <w:pPr>
        <w:ind w:firstLine="480"/>
        <w:rPr>
          <w:rFonts w:ascii="宋体" w:hAnsi="宋体" w:cs="宋体"/>
          <w:bCs/>
          <w:sz w:val="24"/>
        </w:rPr>
      </w:pPr>
      <w:r>
        <w:rPr>
          <w:rFonts w:hint="eastAsia" w:ascii="宋体" w:hAnsi="宋体" w:cs="宋体"/>
          <w:bCs/>
          <w:sz w:val="24"/>
        </w:rPr>
        <w:t xml:space="preserve">10</w:t>
      </w:r>
      <w:r>
        <w:rPr>
          <w:rFonts w:ascii="宋体" w:hAnsi="宋体" w:cs="宋体"/>
          <w:bCs/>
          <w:sz w:val="24"/>
        </w:rPr>
        <w:t xml:space="preserve">.2 投标人联合体成员中至少1名成员具有符合国家标准GB/T27922-2011售后服务认证证书(证书认证范围包含计算机信息系统集成及电子与智能化工程专业承包)</w:t>
      </w:r>
      <w:r/>
    </w:p>
    <w:p>
      <w:pPr>
        <w:ind w:firstLine="480"/>
        <w:rPr>
          <w:rFonts w:ascii="Calibri" w:hAnsi="Calibri"/>
          <w:szCs w:val="21"/>
        </w:rPr>
      </w:pPr>
      <w:r>
        <w:rPr>
          <w:rFonts w:ascii="宋体" w:hAnsi="宋体" w:cs="宋体"/>
          <w:bCs/>
          <w:sz w:val="24"/>
        </w:rPr>
        <w:t xml:space="preserve"> </w:t>
      </w:r>
      <w:r>
        <w:rPr>
          <w:rFonts w:hint="eastAsia" w:ascii="宋体" w:hAnsi="宋体" w:cs="宋体"/>
          <w:bCs/>
          <w:sz w:val="24"/>
        </w:rPr>
        <w:t xml:space="preserve">10</w:t>
      </w:r>
      <w:r>
        <w:rPr>
          <w:rFonts w:ascii="宋体" w:hAnsi="宋体" w:cs="宋体"/>
          <w:bCs/>
          <w:sz w:val="24"/>
        </w:rPr>
        <w:t xml:space="preserve">.3 </w:t>
      </w:r>
      <w:r>
        <w:rPr>
          <w:rFonts w:ascii="宋体" w:hAnsi="宋体" w:cs="宋体"/>
          <w:bCs/>
          <w:sz w:val="24"/>
          <w:lang w:val="zh-CN"/>
        </w:rPr>
        <w:t xml:space="preserve">投标人拟派的项目经理（</w:t>
      </w:r>
      <w:r>
        <w:rPr>
          <w:rFonts w:ascii="宋体" w:hAnsi="宋体" w:cs="宋体"/>
          <w:bCs/>
          <w:sz w:val="24"/>
        </w:rPr>
        <w:t xml:space="preserve">1人）</w:t>
      </w:r>
      <w:r>
        <w:rPr>
          <w:rFonts w:ascii="宋体" w:hAnsi="宋体" w:cs="宋体"/>
          <w:bCs/>
          <w:sz w:val="24"/>
          <w:lang w:val="zh-CN"/>
        </w:rPr>
        <w:t xml:space="preserve">具有</w:t>
      </w:r>
      <w:r>
        <w:rPr>
          <w:rFonts w:hint="eastAsia" w:ascii="宋体" w:hAnsi="宋体" w:cs="宋体"/>
          <w:bCs/>
          <w:sz w:val="24"/>
        </w:rPr>
        <w:t xml:space="preserve">电子信息类专业</w:t>
      </w:r>
      <w:r>
        <w:rPr>
          <w:rFonts w:ascii="宋体" w:hAnsi="宋体" w:cs="宋体"/>
          <w:bCs/>
          <w:sz w:val="24"/>
          <w:lang w:val="zh-CN"/>
        </w:rPr>
        <w:t xml:space="preserve">高级工程师</w:t>
      </w:r>
      <w:r>
        <w:rPr>
          <w:rFonts w:ascii="宋体" w:hAnsi="宋体" w:cs="宋体"/>
          <w:bCs/>
          <w:sz w:val="24"/>
        </w:rPr>
        <w:t xml:space="preserve">职称</w:t>
      </w:r>
      <w:r>
        <w:rPr>
          <w:rFonts w:ascii="宋体" w:hAnsi="宋体" w:cs="宋体"/>
          <w:bCs/>
          <w:sz w:val="24"/>
          <w:lang w:val="zh-CN"/>
        </w:rPr>
        <w:t xml:space="preserve">证书</w:t>
      </w:r>
      <w:r>
        <w:rPr>
          <w:rFonts w:ascii="宋体" w:hAnsi="宋体" w:cs="宋体"/>
          <w:bCs/>
          <w:sz w:val="24"/>
        </w:rPr>
        <w:t xml:space="preserve">或</w:t>
      </w:r>
      <w:r>
        <w:rPr>
          <w:rFonts w:ascii="宋体" w:hAnsi="宋体" w:cs="宋体"/>
          <w:bCs/>
          <w:sz w:val="24"/>
          <w:lang w:val="zh-CN"/>
        </w:rPr>
        <w:t xml:space="preserve">信息系统项目管理师证书</w:t>
      </w:r>
      <w:r>
        <w:rPr>
          <w:rFonts w:hint="eastAsia" w:ascii="宋体" w:hAnsi="宋体" w:cs="宋体"/>
          <w:bCs/>
          <w:sz w:val="24"/>
          <w:lang w:val="zh-CN"/>
        </w:rPr>
        <w:t xml:space="preserve">。</w:t>
      </w:r>
      <w:r>
        <w:rPr>
          <w:rFonts w:ascii="宋体" w:hAnsi="宋体" w:cs="宋体"/>
          <w:bCs/>
          <w:sz w:val="24"/>
          <w:lang w:val="zh-CN"/>
        </w:rPr>
        <w:t xml:space="preserve">（提供证书原件</w:t>
      </w:r>
      <w:r>
        <w:rPr>
          <w:rFonts w:ascii="宋体" w:hAnsi="宋体" w:cs="宋体"/>
          <w:bCs/>
          <w:sz w:val="24"/>
        </w:rPr>
        <w:t xml:space="preserve">的复印或</w:t>
      </w:r>
      <w:r>
        <w:rPr>
          <w:rFonts w:ascii="宋体" w:hAnsi="宋体" w:cs="宋体"/>
          <w:bCs/>
          <w:sz w:val="24"/>
          <w:lang w:val="zh-CN"/>
        </w:rPr>
        <w:t xml:space="preserve">扫描件</w:t>
      </w:r>
      <w:r>
        <w:rPr>
          <w:rFonts w:ascii="宋体" w:hAnsi="宋体" w:cs="宋体"/>
          <w:bCs/>
          <w:sz w:val="24"/>
        </w:rPr>
        <w:t xml:space="preserve">加盖公章</w:t>
      </w:r>
      <w:r>
        <w:rPr>
          <w:rFonts w:ascii="宋体" w:hAnsi="宋体" w:cs="宋体"/>
          <w:bCs/>
          <w:sz w:val="24"/>
          <w:lang w:val="zh-CN"/>
        </w:rPr>
        <w:t xml:space="preserve">。）</w:t>
      </w:r>
      <w:r/>
    </w:p>
    <w:p>
      <w:pPr>
        <w:ind w:firstLine="480"/>
        <w:jc w:val="left"/>
        <w:widowControl/>
        <w:rPr>
          <w:rFonts w:ascii="宋体" w:hAnsi="宋体" w:cs="宋体"/>
          <w:b/>
          <w:sz w:val="24"/>
        </w:rPr>
      </w:pPr>
      <w:r>
        <w:rPr>
          <w:rFonts w:ascii="宋体" w:hAnsi="宋体" w:cs="宋体"/>
          <w:b/>
          <w:sz w:val="24"/>
        </w:rPr>
        <w:t xml:space="preserve">11.企业业绩</w:t>
      </w:r>
      <w:r/>
    </w:p>
    <w:p>
      <w:pPr>
        <w:rPr>
          <w:rFonts w:ascii="Calibri" w:hAnsi="Calibri"/>
        </w:rPr>
      </w:pPr>
      <w:r>
        <w:rPr>
          <w:rFonts w:hint="eastAsia" w:ascii="宋体" w:hAnsi="宋体" w:cs="宋体"/>
          <w:bCs/>
          <w:sz w:val="24"/>
        </w:rPr>
        <w:t xml:space="preserve">投标人联合体成员中至少1名成员须提供 2023 年1月1日以来完成的类似项目业绩（类似业绩是指含多媒体教室或智慧教室等相关建设内容，不含单纯装修项目）</w:t>
      </w:r>
      <w:r/>
    </w:p>
    <w:p>
      <w:pPr>
        <w:ind w:firstLine="482"/>
        <w:jc w:val="left"/>
        <w:widowControl/>
        <w:rPr>
          <w:rFonts w:ascii="宋体" w:hAnsi="宋体" w:cs="宋体"/>
          <w:b/>
          <w:sz w:val="24"/>
        </w:rPr>
      </w:pPr>
      <w:r>
        <w:rPr>
          <w:rFonts w:hint="eastAsia" w:ascii="宋体" w:hAnsi="宋体" w:cs="宋体"/>
          <w:b/>
          <w:sz w:val="24"/>
        </w:rPr>
        <w:t xml:space="preserve">12.节能环保</w:t>
      </w:r>
      <w:r/>
    </w:p>
    <w:p>
      <w:pPr>
        <w:ind w:firstLine="480"/>
        <w:rPr>
          <w:rFonts w:ascii="宋体" w:hAnsi="宋体" w:cs="宋体"/>
          <w:bCs/>
          <w:sz w:val="24"/>
          <w:lang w:bidi="ar"/>
        </w:rPr>
      </w:pPr>
      <w:r>
        <w:rPr>
          <w:rFonts w:hint="eastAsia" w:ascii="宋体" w:hAnsi="宋体" w:cs="宋体"/>
          <w:bCs/>
          <w:sz w:val="24"/>
          <w:lang w:bidi="ar"/>
        </w:rPr>
        <w:t xml:space="preserve">12.1投标产品属于财政部、生态环境部公布的《环境标志产品政府采购品目清单》内的产品且具有国家确定的认证机构出具的、处于有效期之内的环境标志产品认证证书，提供认证证书复印件并加盖公章。</w:t>
      </w:r>
      <w:r/>
    </w:p>
    <w:p>
      <w:pPr>
        <w:ind w:firstLine="480"/>
        <w:jc w:val="left"/>
        <w:widowControl/>
        <w:rPr>
          <w:rFonts w:ascii="宋体" w:hAnsi="宋体" w:cs="宋体"/>
          <w:bCs/>
          <w:sz w:val="24"/>
        </w:rPr>
      </w:pPr>
      <w:r>
        <w:rPr>
          <w:rFonts w:hint="eastAsia" w:ascii="宋体" w:hAnsi="宋体" w:cs="宋体"/>
          <w:bCs/>
          <w:sz w:val="24"/>
          <w:lang w:bidi="ar"/>
        </w:rPr>
        <w:t xml:space="preserve">12.2 投标产品属于财政部、发展改革委公布的《节能产品政府采购品目清单》内的产品且具有国家确定的认证机构出具的、处于有效期之内的节能产品认证证书，提供认证证书复印件并加盖公章。</w:t>
      </w:r>
      <w:r/>
    </w:p>
    <w:p>
      <w:pPr>
        <w:ind w:firstLine="643"/>
        <w:rPr>
          <w:rFonts w:ascii="宋体" w:hAnsi="宋体" w:cs="宋体"/>
          <w:b/>
          <w:bCs/>
          <w:sz w:val="32"/>
          <w:szCs w:val="28"/>
        </w:rPr>
      </w:pPr>
      <w:r>
        <w:rPr>
          <w:rFonts w:hint="eastAsia" w:ascii="宋体" w:hAnsi="宋体" w:cs="宋体"/>
          <w:b/>
          <w:bCs/>
          <w:sz w:val="32"/>
          <w:szCs w:val="28"/>
        </w:rPr>
        <w:t xml:space="preserve">五、现场勘察要求：</w:t>
      </w:r>
      <w:r/>
    </w:p>
    <w:p>
      <w:pPr>
        <w:ind w:firstLine="480"/>
        <w:rPr>
          <w:rFonts w:ascii="宋体" w:hAnsi="宋体" w:cs="宋体"/>
          <w:sz w:val="24"/>
        </w:rPr>
      </w:pPr>
      <w:r>
        <w:rPr>
          <w:rFonts w:hint="eastAsia" w:ascii="宋体" w:hAnsi="宋体" w:cs="宋体"/>
          <w:sz w:val="24"/>
        </w:rPr>
        <w:t xml:space="preserve">1.勘察时间：2026年9月3日9:00-11:00</w:t>
      </w:r>
      <w:r/>
    </w:p>
    <w:p>
      <w:pPr>
        <w:ind w:firstLine="480"/>
        <w:rPr>
          <w:rFonts w:ascii="宋体" w:hAnsi="宋体" w:cs="宋体"/>
          <w:sz w:val="24"/>
        </w:rPr>
      </w:pPr>
      <w:r>
        <w:rPr>
          <w:rFonts w:hint="eastAsia" w:ascii="宋体" w:hAnsi="宋体" w:cs="宋体"/>
          <w:sz w:val="24"/>
        </w:rPr>
        <w:t xml:space="preserve">地点：南京信息职业技术学院（南京市栖霞区文澜路99号）</w:t>
      </w:r>
      <w:r/>
    </w:p>
    <w:p>
      <w:pPr>
        <w:ind w:firstLine="480"/>
        <w:rPr>
          <w:rFonts w:ascii="宋体" w:hAnsi="宋体" w:cs="宋体"/>
          <w:sz w:val="24"/>
        </w:rPr>
      </w:pPr>
      <w:r>
        <w:rPr>
          <w:rFonts w:hint="eastAsia" w:ascii="宋体" w:hAnsi="宋体" w:cs="宋体"/>
          <w:sz w:val="24"/>
        </w:rPr>
        <w:t xml:space="preserve">联系人：郭老师</w:t>
      </w:r>
      <w:r/>
    </w:p>
    <w:p>
      <w:pPr>
        <w:ind w:firstLine="480"/>
        <w:rPr>
          <w:rFonts w:ascii="宋体" w:hAnsi="宋体" w:cs="宋体"/>
          <w:sz w:val="24"/>
          <w:szCs w:val="24"/>
        </w:rPr>
      </w:pPr>
      <w:r>
        <w:rPr>
          <w:rFonts w:hint="eastAsia" w:ascii="宋体" w:hAnsi="宋体" w:cs="宋体"/>
          <w:sz w:val="24"/>
        </w:rPr>
        <w:t xml:space="preserve">联系电话：18952046612</w:t>
      </w:r>
      <w:r/>
    </w:p>
    <w:p>
      <w:pPr>
        <w:ind w:firstLine="480"/>
        <w:rPr>
          <w:rFonts w:ascii="宋体" w:hAnsi="宋体" w:cs="宋体"/>
          <w:sz w:val="24"/>
        </w:rPr>
      </w:pPr>
      <w:r>
        <w:rPr>
          <w:rFonts w:hint="eastAsia" w:ascii="宋体" w:hAnsi="宋体" w:cs="宋体"/>
          <w:sz w:val="24"/>
        </w:rPr>
        <w:t xml:space="preserve">2.供应商携带资料：</w:t>
      </w:r>
      <w:r/>
    </w:p>
    <w:p>
      <w:pPr>
        <w:ind w:firstLine="480"/>
        <w:rPr>
          <w:rFonts w:ascii="宋体" w:hAnsi="宋体" w:cs="宋体"/>
          <w:sz w:val="24"/>
        </w:rPr>
      </w:pPr>
      <w:r>
        <w:rPr>
          <w:rFonts w:hint="eastAsia" w:ascii="宋体" w:hAnsi="宋体" w:cs="宋体"/>
          <w:sz w:val="24"/>
        </w:rPr>
        <w:t xml:space="preserve">（1）企业法人营业执照副本复印件（加盖单位公章）；</w:t>
      </w:r>
      <w:r/>
    </w:p>
    <w:p>
      <w:pPr>
        <w:ind w:firstLine="480"/>
        <w:rPr>
          <w:rFonts w:ascii="宋体" w:hAnsi="宋体" w:cs="宋体"/>
          <w:sz w:val="24"/>
        </w:rPr>
      </w:pPr>
      <w:r>
        <w:rPr>
          <w:rFonts w:hint="eastAsia" w:ascii="宋体" w:hAnsi="宋体" w:cs="宋体"/>
          <w:sz w:val="24"/>
        </w:rPr>
        <w:t xml:space="preserve">（2）法定代表人身份证或法定代表人授权委托书、委托代理人身份证。</w:t>
      </w:r>
      <w:r/>
    </w:p>
    <w:p>
      <w:pPr>
        <w:ind w:firstLine="480"/>
        <w:rPr>
          <w:rFonts w:ascii="宋体" w:hAnsi="宋体" w:cs="宋体"/>
          <w:sz w:val="24"/>
        </w:rPr>
      </w:pPr>
      <w:r>
        <w:rPr>
          <w:rFonts w:hint="eastAsia" w:ascii="宋体" w:hAnsi="宋体" w:cs="宋体"/>
          <w:sz w:val="24"/>
        </w:rPr>
        <w:t xml:space="preserve">3.其他</w:t>
      </w:r>
      <w:r/>
    </w:p>
    <w:p>
      <w:pPr>
        <w:ind w:firstLine="480"/>
        <w:rPr>
          <w:rFonts w:ascii="宋体" w:hAnsi="宋体" w:cs="宋体"/>
          <w:sz w:val="24"/>
        </w:rPr>
      </w:pPr>
      <w:r>
        <w:rPr>
          <w:rFonts w:hint="eastAsia" w:ascii="宋体" w:hAnsi="宋体" w:cs="宋体"/>
          <w:sz w:val="24"/>
        </w:rPr>
        <w:t xml:space="preserve">（1）供应商请在规定的时间参加勘察。</w:t>
      </w:r>
      <w:r/>
    </w:p>
    <w:p>
      <w:pPr>
        <w:ind w:firstLine="480"/>
        <w:rPr>
          <w:rFonts w:ascii="宋体" w:hAnsi="宋体" w:cs="宋体"/>
          <w:sz w:val="24"/>
        </w:rPr>
      </w:pPr>
      <w:r>
        <w:rPr>
          <w:rFonts w:hint="eastAsia" w:ascii="宋体" w:hAnsi="宋体" w:cs="宋体"/>
          <w:sz w:val="24"/>
        </w:rPr>
        <w:t xml:space="preserve">（2）供应商请务必对项目现场和周围环境进行仔细认真地查勘，在随后的投标中，对现场资料和数据所作出的推论、解释和结论及由此造成的后果由供应商负责。</w:t>
      </w:r>
      <w:r/>
    </w:p>
    <w:p>
      <w:pPr>
        <w:ind w:firstLine="480"/>
        <w:rPr>
          <w:rFonts w:ascii="宋体" w:hAnsi="宋体" w:cs="宋体"/>
          <w:sz w:val="24"/>
        </w:rPr>
      </w:pPr>
      <w:r>
        <w:rPr>
          <w:rFonts w:hint="eastAsia" w:ascii="宋体" w:hAnsi="宋体" w:cs="宋体"/>
          <w:sz w:val="24"/>
        </w:rPr>
        <w:t xml:space="preserve">（3）未勘察现场或勘察工作不详细的供应商成交后，不得以不完全了解现场情况为理由而向采购人提出任何索赔或其他要求，对此采购人不承担任何责任并将不作任何答复。</w:t>
      </w:r>
      <w:r/>
    </w:p>
    <w:p>
      <w:pPr>
        <w:ind w:left="420"/>
        <w:spacing w:line="360" w:lineRule="auto"/>
        <w:rPr>
          <w:rFonts w:ascii="Calibri" w:hAnsi="Calibri"/>
          <w:b/>
          <w:sz w:val="24"/>
          <w:szCs w:val="24"/>
        </w:rPr>
        <w:outlineLvl w:val="1"/>
      </w:pPr>
      <w:r>
        <w:rPr>
          <w:rFonts w:ascii="Calibri" w:hAnsi="Calibri"/>
          <w:b/>
          <w:sz w:val="24"/>
          <w:szCs w:val="24"/>
        </w:rPr>
      </w:r>
      <w:r/>
    </w:p>
    <w:p>
      <w:pPr>
        <w:ind w:firstLine="560"/>
        <w:spacing w:line="400" w:lineRule="exact"/>
        <w:rPr>
          <w:rFonts w:ascii="方正仿宋_GBK" w:hAnsi="方正仿宋_GBK" w:eastAsia="方正仿宋_GBK" w:cs="方正仿宋_GBK"/>
          <w:b/>
          <w:i/>
          <w:sz w:val="28"/>
          <w:szCs w:val="28"/>
          <w:u w:val="single"/>
        </w:rPr>
      </w:pPr>
      <w:r>
        <w:rPr>
          <w:rFonts w:hint="eastAsia" w:ascii="宋体" w:hAnsi="宋体" w:cs="宋体"/>
          <w:b/>
          <w:i/>
          <w:sz w:val="24"/>
          <w:szCs w:val="24"/>
          <w:u w:val="single"/>
          <w:lang w:val="zh-CN" w:bidi="ar"/>
        </w:rPr>
        <w:t xml:space="preserve">本项目采购需求中所有实质性要求（即标有斜体下划线的内容）</w:t>
      </w:r>
      <w:r>
        <w:rPr>
          <w:rFonts w:hint="eastAsia" w:ascii="宋体" w:hAnsi="宋体" w:cs="宋体"/>
          <w:b/>
          <w:i/>
          <w:sz w:val="24"/>
          <w:szCs w:val="24"/>
          <w:u w:val="single"/>
        </w:rPr>
        <w:t xml:space="preserve">必须满足，否则视为无效投标</w:t>
      </w:r>
      <w:r>
        <w:rPr>
          <w:rFonts w:hint="eastAsia" w:ascii="宋体" w:hAnsi="宋体" w:cs="宋体"/>
          <w:b/>
          <w:i/>
          <w:sz w:val="24"/>
          <w:szCs w:val="24"/>
          <w:u w:val="single"/>
          <w:lang w:val="zh-CN"/>
        </w:rPr>
        <w:t xml:space="preserve">。</w:t>
      </w:r>
      <w:r/>
    </w:p>
    <w:p>
      <w:pPr>
        <w:jc w:val="left"/>
        <w:widowControl/>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br w:type="page" w:clear="all"/>
      </w:r>
      <w:bookmarkEnd w:id="182"/>
      <w:r/>
      <w:bookmarkEnd w:id="183"/>
      <w:r/>
      <w:bookmarkEnd w:id="184"/>
      <w:r/>
      <w:bookmarkEnd w:id="185"/>
      <w:r/>
      <w:r/>
    </w:p>
    <w:p>
      <w:pPr>
        <w:pStyle w:val="873"/>
        <w:spacing w:line="400" w:lineRule="exact"/>
        <w:rPr>
          <w:rFonts w:ascii="黑体" w:hAnsi="黑体" w:eastAsia="黑体"/>
          <w:b w:val="0"/>
          <w:bCs w:val="0"/>
          <w:sz w:val="28"/>
          <w:szCs w:val="28"/>
        </w:rPr>
      </w:pPr>
      <w:r>
        <w:rPr>
          <w:rFonts w:hint="eastAsia" w:ascii="黑体" w:hAnsi="黑体" w:eastAsia="黑体"/>
          <w:b w:val="0"/>
          <w:bCs w:val="0"/>
          <w:sz w:val="28"/>
          <w:szCs w:val="28"/>
        </w:rPr>
        <w:t xml:space="preserve">第五章  评标方法与评标标准</w:t>
      </w:r>
      <w:r/>
    </w:p>
    <w:p>
      <w:pPr>
        <w:ind w:firstLine="560"/>
        <w:spacing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71"/>
        <w:gridCol w:w="2183"/>
        <w:gridCol w:w="5063"/>
      </w:tblGrid>
      <w:tr>
        <w:trPr/>
        <w:tc>
          <w:tcPr>
            <w:tcW w:w="1671"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063"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7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063"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政府采购政策功能落实</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p>
    <w:p>
      <w:pPr>
        <w:ind w:firstLine="420"/>
        <w:spacing w:before="120" w:after="120"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（1）本项目对小型和微型企业产品给予10%的扣除价格，用扣除后的价格参与评审。</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p>
    <w:p>
      <w:pPr>
        <w:ind w:firstLine="560"/>
        <w:spacing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p>
    <w:p>
      <w:pPr>
        <w:ind w:firstLine="560"/>
        <w:spacing w:line="400" w:lineRule="exact"/>
        <w:rPr>
          <w:rFonts w:ascii="华文新魏" w:hAnsi="宋体" w:eastAsia="华文新魏"/>
          <w:color w:val="000000"/>
          <w:sz w:val="28"/>
          <w:szCs w:val="28"/>
        </w:rPr>
      </w:pPr>
      <w:r>
        <w:rPr>
          <w:rFonts w:hint="eastAsia" w:ascii="方正仿宋_GBK" w:hAnsi="方正仿宋_GBK" w:eastAsia="方正仿宋_GBK" w:cs="方正仿宋_GBK"/>
          <w:color w:val="000000"/>
          <w:sz w:val="28"/>
          <w:szCs w:val="28"/>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560"/>
        <w:spacing w:before="120" w:after="120"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7.采购本国产品的支持政策</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7.3 供应商需按照招标文件的要求提供《关于符合本国产品标准的声明函》（以下简称《声明函》），如不提供将不享受本国产品价格评审优惠。</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供应商需在《声明函》中逐一、准确填写产品名称、厂名、生产厂址三项信息（《声明函》中标注“ </w:t>
      </w:r>
      <w:r>
        <w:rPr>
          <w:rFonts w:hint="eastAsia" w:ascii="方正仿宋_GBK" w:hAnsi="方正仿宋_GBK" w:eastAsia="方正仿宋_GBK" w:cs="方正仿宋_GBK"/>
          <w:color w:val="000000"/>
          <w:sz w:val="28"/>
          <w:szCs w:val="28"/>
          <w:u w:val="single"/>
        </w:rPr>
        <w:t xml:space="preserve"> / </w:t>
      </w:r>
      <w:r>
        <w:rPr>
          <w:rFonts w:hint="eastAsia" w:ascii="方正仿宋_GBK" w:hAnsi="方正仿宋_GBK" w:eastAsia="方正仿宋_GBK" w:cs="方正仿宋_GBK"/>
          <w:color w:val="000000"/>
          <w:sz w:val="28"/>
          <w:szCs w:val="28"/>
        </w:rPr>
        <w:t xml:space="preserve"> ”的地方无需填写），三项信息中任意一项未填写的视为该项产品不符合本国产品标准，不享受本国产品价格评审优惠。</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before="120" w:after="120" w:line="400" w:lineRule="exact"/>
        <w:rPr>
          <w:rFonts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p>
    <w:tbl>
      <w:tblPr>
        <w:tblpPr w:horzAnchor="page" w:tblpXSpec="center" w:vertAnchor="text" w:tblpY="413" w:leftFromText="180" w:topFromText="0" w:rightFromText="180" w:bottomFromText="0"/>
        <w:tblW w:w="0" w:type="auto"/>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534"/>
        <w:gridCol w:w="1417"/>
        <w:gridCol w:w="6533"/>
        <w:gridCol w:w="534"/>
      </w:tblGrid>
      <w:tr>
        <w:trPr>
          <w:trHeight w:val="618"/>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rPr>
                <w:rFonts w:ascii="Calibri" w:hAnsi="Calibri"/>
                <w:szCs w:val="21"/>
              </w:rPr>
            </w:pPr>
            <w:r>
              <w:rPr>
                <w:rFonts w:hint="eastAsia" w:ascii="宋体" w:hAnsi="宋体" w:cs="宋体"/>
                <w:b/>
                <w:color w:val="000000"/>
                <w:szCs w:val="21"/>
              </w:rPr>
              <w:t xml:space="preserve">序号</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rPr>
                <w:rFonts w:ascii="Calibri" w:hAnsi="Calibri"/>
                <w:szCs w:val="21"/>
              </w:rPr>
            </w:pPr>
            <w:r>
              <w:rPr>
                <w:rFonts w:hint="eastAsia" w:ascii="宋体" w:hAnsi="宋体" w:cs="宋体"/>
                <w:b/>
                <w:color w:val="000000"/>
                <w:szCs w:val="21"/>
              </w:rPr>
              <w:t xml:space="preserve">评分</w:t>
            </w:r>
            <w:r/>
          </w:p>
          <w:p>
            <w:pPr>
              <w:jc w:val="center"/>
              <w:rPr>
                <w:rFonts w:ascii="Calibri" w:hAnsi="Calibri"/>
                <w:szCs w:val="21"/>
              </w:rPr>
            </w:pPr>
            <w:r>
              <w:rPr>
                <w:rFonts w:hint="eastAsia" w:ascii="宋体" w:hAnsi="宋体" w:cs="宋体"/>
                <w:b/>
                <w:color w:val="000000"/>
                <w:szCs w:val="21"/>
              </w:rPr>
              <w:t xml:space="preserve">因素</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jc w:val="center"/>
              <w:rPr>
                <w:rFonts w:ascii="Calibri" w:hAnsi="Calibri"/>
                <w:szCs w:val="21"/>
              </w:rPr>
            </w:pPr>
            <w:r>
              <w:rPr>
                <w:rFonts w:hint="eastAsia" w:ascii="宋体" w:hAnsi="宋体" w:cs="宋体"/>
                <w:b/>
                <w:color w:val="000000"/>
                <w:szCs w:val="21"/>
              </w:rPr>
              <w:t xml:space="preserve">评审标准</w:t>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rPr>
                <w:rFonts w:ascii="Calibri" w:hAnsi="Calibri"/>
                <w:szCs w:val="21"/>
              </w:rPr>
            </w:pPr>
            <w:r>
              <w:rPr>
                <w:rFonts w:hint="eastAsia" w:ascii="宋体" w:hAnsi="宋体" w:cs="宋体"/>
                <w:b/>
                <w:color w:val="000000"/>
                <w:szCs w:val="21"/>
              </w:rPr>
              <w:t xml:space="preserve">分值</w:t>
            </w:r>
            <w:r/>
          </w:p>
        </w:tc>
      </w:tr>
      <w:tr>
        <w:trPr>
          <w:trHeight w:val="1474"/>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1</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价格</w:t>
            </w:r>
            <w:r/>
          </w:p>
          <w:p>
            <w:pPr>
              <w:jc w:val="center"/>
              <w:spacing w:line="79" w:lineRule="atLeast"/>
              <w:rPr>
                <w:rFonts w:ascii="Calibri" w:hAnsi="Calibri"/>
                <w:szCs w:val="21"/>
              </w:rPr>
            </w:pPr>
            <w:r>
              <w:rPr>
                <w:rFonts w:hint="eastAsia" w:ascii="宋体" w:hAnsi="宋体" w:cs="宋体"/>
                <w:b/>
                <w:color w:val="000000"/>
                <w:szCs w:val="21"/>
              </w:rPr>
              <w:t xml:space="preserve">（30分）</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spacing w:line="79" w:lineRule="atLeast"/>
              <w:rPr>
                <w:rFonts w:ascii="Calibri" w:hAnsi="Calibri"/>
                <w:szCs w:val="21"/>
              </w:rPr>
            </w:pPr>
            <w:r>
              <w:rPr>
                <w:rFonts w:hint="eastAsia" w:ascii="宋体" w:hAnsi="宋体" w:cs="宋体"/>
                <w:b/>
                <w:color w:val="000000"/>
                <w:szCs w:val="21"/>
              </w:rPr>
              <w:t xml:space="preserve">1.1</w:t>
            </w:r>
            <w:r>
              <w:rPr>
                <w:rFonts w:hint="eastAsia" w:ascii="宋体" w:hAnsi="宋体" w:cs="宋体"/>
                <w:color w:val="000000"/>
                <w:szCs w:val="21"/>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2位。</w:t>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30</w:t>
            </w:r>
            <w:r/>
          </w:p>
        </w:tc>
      </w:tr>
      <w:tr>
        <w:trPr>
          <w:trHeight w:val="90"/>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2</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2.投标产品技术指标</w:t>
            </w:r>
            <w:r/>
          </w:p>
          <w:p>
            <w:pPr>
              <w:jc w:val="center"/>
              <w:spacing w:line="79" w:lineRule="atLeast"/>
              <w:rPr>
                <w:rFonts w:ascii="Calibri" w:hAnsi="Calibri"/>
                <w:szCs w:val="21"/>
              </w:rPr>
            </w:pPr>
            <w:r>
              <w:rPr>
                <w:rFonts w:hint="eastAsia" w:ascii="宋体" w:hAnsi="宋体" w:cs="宋体"/>
                <w:b/>
                <w:color w:val="000000"/>
                <w:szCs w:val="21"/>
              </w:rPr>
              <w:t xml:space="preserve">（30分）</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spacing w:line="79" w:lineRule="atLeast"/>
              <w:rPr>
                <w:rFonts w:ascii="宋体" w:hAnsi="宋体" w:cs="宋体"/>
                <w:szCs w:val="21"/>
              </w:rPr>
            </w:pPr>
            <w:r>
              <w:rPr>
                <w:rFonts w:hint="eastAsia" w:ascii="宋体" w:hAnsi="宋体" w:cs="宋体"/>
                <w:szCs w:val="21"/>
              </w:rPr>
              <w:t xml:space="preserve">完全满足招标文件技术参数要求的得满分35分；</w:t>
            </w:r>
            <w:r>
              <w:rPr>
                <w:rFonts w:hint="eastAsia" w:ascii="宋体" w:hAnsi="宋体" w:cs="宋体"/>
                <w:i/>
                <w:szCs w:val="21"/>
                <w:u w:val="single"/>
              </w:rPr>
              <w:t xml:space="preserve">本招标文件中斜体且有下划线部分为实质性要求</w:t>
            </w:r>
            <w:r>
              <w:rPr>
                <w:rFonts w:hint="eastAsia" w:ascii="宋体" w:hAnsi="宋体" w:cs="宋体"/>
                <w:szCs w:val="21"/>
              </w:rPr>
              <w:t xml:space="preserve">，必须满足，有一项负偏离即视作无效投标。</w:t>
            </w:r>
            <w:r/>
          </w:p>
          <w:p>
            <w:pPr>
              <w:spacing w:line="79" w:lineRule="atLeast"/>
              <w:rPr>
                <w:rFonts w:ascii="宋体" w:hAnsi="宋体" w:cs="宋体"/>
                <w:szCs w:val="21"/>
              </w:rPr>
            </w:pPr>
            <w:r>
              <w:rPr>
                <w:rFonts w:hint="eastAsia" w:ascii="宋体" w:hAnsi="宋体" w:cs="宋体"/>
                <w:szCs w:val="21"/>
              </w:rPr>
              <w:t xml:space="preserve">2.1加“</w:t>
            </w:r>
            <w:bookmarkStart w:id="198" w:name="OLE_LINK13"/>
            <w:r/>
            <w:bookmarkStart w:id="199" w:name="OLE_LINK14"/>
            <w:r>
              <w:rPr>
                <w:rFonts w:hint="eastAsia" w:ascii="宋体" w:hAnsi="宋体" w:cs="宋体"/>
                <w:szCs w:val="21"/>
              </w:rPr>
              <w:t xml:space="preserve">▲</w:t>
            </w:r>
            <w:bookmarkEnd w:id="198"/>
            <w:r/>
            <w:bookmarkEnd w:id="199"/>
            <w:r>
              <w:rPr>
                <w:rFonts w:hint="eastAsia" w:ascii="宋体" w:hAnsi="宋体" w:cs="宋体"/>
                <w:szCs w:val="21"/>
              </w:rPr>
              <w:t xml:space="preserve">”号指标为重要技术参数（15分），共15项，有一项负偏离扣1分；</w:t>
            </w:r>
            <w:r/>
          </w:p>
          <w:p>
            <w:pPr>
              <w:spacing w:line="79" w:lineRule="atLeast"/>
              <w:rPr>
                <w:rFonts w:ascii="宋体" w:hAnsi="宋体" w:cs="宋体"/>
                <w:szCs w:val="21"/>
              </w:rPr>
            </w:pPr>
            <w:r>
              <w:rPr>
                <w:rFonts w:hint="eastAsia" w:ascii="宋体" w:hAnsi="宋体" w:cs="宋体"/>
                <w:szCs w:val="21"/>
              </w:rPr>
              <w:t xml:space="preserve">2.2加“■”号指标为一般技术参数（15分），共30项，有一项负偏离扣0.5分；扣完为止。</w:t>
            </w:r>
            <w:r/>
          </w:p>
          <w:p>
            <w:pPr>
              <w:spacing w:line="79" w:lineRule="atLeast"/>
              <w:rPr>
                <w:rFonts w:ascii="宋体" w:hAnsi="宋体" w:cs="宋体"/>
                <w:szCs w:val="21"/>
              </w:rPr>
            </w:pPr>
            <w:r>
              <w:rPr>
                <w:rFonts w:hint="eastAsia" w:ascii="宋体" w:hAnsi="宋体" w:cs="宋体"/>
                <w:b/>
                <w:bCs/>
                <w:szCs w:val="21"/>
              </w:rPr>
              <w:t xml:space="preserve">注：所有技术参数中要求提供证明材料的，均须按要求提供具体支撑证明资料，投标人应认真填写《技术要求响应与偏离表》并注明支撑资料具体位置（如页码或序号）。</w:t>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szCs w:val="21"/>
              </w:rPr>
              <w:t xml:space="preserve">30</w:t>
            </w:r>
            <w:r/>
          </w:p>
        </w:tc>
      </w:tr>
      <w:tr>
        <w:trPr>
          <w:trHeight w:val="505"/>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3</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项目方案</w:t>
            </w:r>
            <w:r/>
          </w:p>
          <w:p>
            <w:pPr>
              <w:jc w:val="center"/>
              <w:spacing w:line="79" w:lineRule="atLeast"/>
              <w:rPr>
                <w:rFonts w:ascii="Calibri" w:hAnsi="Calibri"/>
                <w:szCs w:val="21"/>
              </w:rPr>
            </w:pPr>
            <w:r>
              <w:rPr>
                <w:rFonts w:hint="eastAsia" w:ascii="宋体" w:hAnsi="宋体" w:cs="宋体"/>
                <w:b/>
                <w:color w:val="000000"/>
                <w:szCs w:val="21"/>
              </w:rPr>
              <w:t xml:space="preserve">（</w:t>
            </w:r>
            <w:r>
              <w:rPr>
                <w:rFonts w:ascii="宋体" w:hAnsi="宋体" w:cs="宋体"/>
                <w:b/>
                <w:color w:val="000000"/>
                <w:szCs w:val="21"/>
              </w:rPr>
              <w:t xml:space="preserve">15</w:t>
            </w:r>
            <w:r>
              <w:rPr>
                <w:rFonts w:hint="eastAsia" w:ascii="宋体" w:hAnsi="宋体" w:cs="宋体"/>
                <w:b/>
                <w:color w:val="000000"/>
                <w:szCs w:val="21"/>
              </w:rPr>
              <w:t xml:space="preserve">分）</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spacing w:line="79" w:lineRule="atLeast"/>
              <w:rPr>
                <w:rFonts w:ascii="Calibri" w:hAnsi="Calibri"/>
                <w:szCs w:val="21"/>
              </w:rPr>
            </w:pPr>
            <w:r>
              <w:rPr>
                <w:rFonts w:hint="eastAsia" w:ascii="宋体" w:hAnsi="宋体" w:cs="宋体"/>
                <w:color w:val="000000"/>
                <w:szCs w:val="21"/>
              </w:rPr>
              <w:t xml:space="preserve">投标人结合招标文件或现场勘察情况，提供设计（包括但不限于系统图、施工图、效果图）和实施方案。</w:t>
            </w:r>
            <w:r/>
          </w:p>
          <w:p>
            <w:pPr>
              <w:spacing w:line="79" w:lineRule="atLeast"/>
              <w:rPr>
                <w:rFonts w:ascii="宋体" w:hAnsi="宋体" w:cs="宋体"/>
                <w:color w:val="000000"/>
                <w:szCs w:val="21"/>
              </w:rPr>
            </w:pPr>
            <w:r>
              <w:rPr>
                <w:rFonts w:hint="eastAsia" w:ascii="宋体" w:hAnsi="宋体" w:cs="宋体"/>
                <w:b/>
                <w:color w:val="000000"/>
                <w:szCs w:val="21"/>
              </w:rPr>
              <w:t xml:space="preserve">3.1实施方案（</w:t>
            </w:r>
            <w:r>
              <w:rPr>
                <w:rFonts w:ascii="宋体" w:hAnsi="宋体" w:cs="宋体"/>
                <w:b/>
                <w:color w:val="000000"/>
                <w:szCs w:val="21"/>
              </w:rPr>
              <w:t xml:space="preserve">5</w:t>
            </w:r>
            <w:r>
              <w:rPr>
                <w:rFonts w:hint="eastAsia" w:ascii="宋体" w:hAnsi="宋体" w:cs="宋体"/>
                <w:b/>
                <w:color w:val="000000"/>
                <w:szCs w:val="21"/>
              </w:rPr>
              <w:t xml:space="preserve">分）。</w:t>
            </w:r>
            <w:r>
              <w:rPr>
                <w:rFonts w:hint="eastAsia" w:ascii="宋体" w:hAnsi="宋体" w:cs="宋体"/>
                <w:color w:val="000000"/>
                <w:szCs w:val="21"/>
              </w:rPr>
              <w:t xml:space="preserve">评委根据投标文件对招标文件第四章“采购需求”中“</w:t>
            </w:r>
            <w:bookmarkStart w:id="200" w:name="OLE_LINK26"/>
            <w:r/>
            <w:bookmarkStart w:id="201" w:name="OLE_LINK25"/>
            <w:r>
              <w:rPr>
                <w:rFonts w:hint="eastAsia" w:ascii="宋体" w:hAnsi="宋体" w:cs="宋体"/>
                <w:color w:val="000000"/>
                <w:szCs w:val="21"/>
              </w:rPr>
              <w:t xml:space="preserve">实施方案</w:t>
            </w:r>
            <w:bookmarkEnd w:id="200"/>
            <w:r/>
            <w:bookmarkEnd w:id="201"/>
            <w:r>
              <w:rPr>
                <w:rFonts w:hint="eastAsia" w:ascii="宋体" w:hAnsi="宋体" w:cs="宋体"/>
                <w:color w:val="000000"/>
                <w:szCs w:val="21"/>
              </w:rPr>
              <w:t xml:space="preserve">”要求的响应情况进行评审：</w:t>
            </w:r>
            <w:r/>
          </w:p>
          <w:p>
            <w:pPr>
              <w:spacing w:line="79" w:lineRule="atLeast"/>
              <w:rPr>
                <w:rFonts w:ascii="宋体" w:hAnsi="宋体" w:cs="宋体"/>
                <w:color w:val="000000"/>
                <w:szCs w:val="21"/>
              </w:rPr>
            </w:pPr>
            <w:r>
              <w:rPr>
                <w:rFonts w:hint="eastAsia" w:ascii="宋体" w:hAnsi="宋体" w:cs="宋体"/>
                <w:color w:val="000000"/>
                <w:szCs w:val="21"/>
              </w:rPr>
              <w:t xml:space="preserve">（1）</w:t>
            </w:r>
            <w:bookmarkStart w:id="202" w:name="OLE_LINK27"/>
            <w:r/>
            <w:bookmarkStart w:id="203" w:name="OLE_LINK28"/>
            <w:r>
              <w:rPr>
                <w:rFonts w:hint="eastAsia" w:ascii="宋体" w:hAnsi="宋体" w:cs="宋体"/>
                <w:color w:val="000000"/>
                <w:szCs w:val="21"/>
              </w:rPr>
              <w:t xml:space="preserve">投标</w:t>
            </w:r>
            <w:bookmarkEnd w:id="202"/>
            <w:r/>
            <w:bookmarkEnd w:id="203"/>
            <w:r>
              <w:rPr>
                <w:rFonts w:hint="eastAsia" w:ascii="宋体" w:hAnsi="宋体" w:cs="宋体"/>
                <w:color w:val="000000"/>
                <w:szCs w:val="21"/>
              </w:rPr>
              <w:t xml:space="preserve">文件未符合“实施方案”中全部条款要求的，视为不符合采购文件，本项得0分。</w:t>
            </w:r>
            <w:r/>
          </w:p>
          <w:p>
            <w:pPr>
              <w:spacing w:line="79" w:lineRule="atLeast"/>
              <w:rPr>
                <w:rFonts w:ascii="宋体" w:hAnsi="宋体" w:cs="宋体"/>
                <w:color w:val="000000"/>
                <w:szCs w:val="21"/>
              </w:rPr>
            </w:pPr>
            <w:r>
              <w:rPr>
                <w:rFonts w:hint="eastAsia" w:ascii="宋体" w:hAnsi="宋体" w:cs="宋体"/>
                <w:color w:val="000000"/>
                <w:szCs w:val="21"/>
              </w:rPr>
              <w:t xml:space="preserve">（2）投标文件符合“实施方案”中全部条款要求的，视为符合采购文件，本项得3分。</w:t>
            </w:r>
            <w:r/>
          </w:p>
          <w:p>
            <w:pPr>
              <w:spacing w:line="79" w:lineRule="atLeast"/>
              <w:rPr>
                <w:rFonts w:ascii="宋体" w:hAnsi="宋体" w:cs="宋体"/>
                <w:color w:val="000000"/>
                <w:szCs w:val="21"/>
              </w:rPr>
            </w:pPr>
            <w:r>
              <w:rPr>
                <w:rFonts w:hint="eastAsia" w:ascii="宋体" w:hAnsi="宋体" w:cs="宋体"/>
                <w:color w:val="000000"/>
                <w:szCs w:val="21"/>
              </w:rPr>
              <w:t xml:space="preserve">（3）投标文件对“实施方案”中“施工组织与管理”、“详细施工方案”、“进度计划与保障措施”三项要求的响应内容全部优于招标文件要求的（前提是投标文件对“实施方案”中除“施工组织与管理”、“详细施工方案”、“进度计划与保障措施”外其他要求响应内容符合招标文件要求），本项得</w:t>
            </w:r>
            <w:r>
              <w:rPr>
                <w:rFonts w:ascii="宋体" w:hAnsi="宋体" w:cs="宋体"/>
                <w:color w:val="000000"/>
                <w:szCs w:val="21"/>
              </w:rPr>
              <w:t xml:space="preserve">5</w:t>
            </w:r>
            <w:r>
              <w:rPr>
                <w:rFonts w:hint="eastAsia" w:ascii="宋体" w:hAnsi="宋体" w:cs="宋体"/>
                <w:color w:val="000000"/>
                <w:szCs w:val="21"/>
              </w:rPr>
              <w:t xml:space="preserve">分。</w:t>
            </w:r>
            <w:r/>
          </w:p>
          <w:p>
            <w:pPr>
              <w:spacing w:line="79" w:lineRule="atLeast"/>
              <w:rPr>
                <w:rFonts w:ascii="宋体" w:hAnsi="宋体" w:cs="宋体"/>
                <w:color w:val="000000"/>
                <w:szCs w:val="21"/>
              </w:rPr>
            </w:pPr>
            <w:r>
              <w:rPr>
                <w:rFonts w:hint="eastAsia" w:ascii="宋体" w:hAnsi="宋体" w:cs="宋体"/>
                <w:b/>
                <w:color w:val="000000"/>
                <w:szCs w:val="21"/>
              </w:rPr>
              <w:t xml:space="preserve">3.2培训方案（</w:t>
            </w:r>
            <w:r>
              <w:rPr>
                <w:rFonts w:ascii="宋体" w:hAnsi="宋体" w:cs="宋体"/>
                <w:b/>
                <w:color w:val="000000"/>
                <w:szCs w:val="21"/>
              </w:rPr>
              <w:t xml:space="preserve">5</w:t>
            </w:r>
            <w:r>
              <w:rPr>
                <w:rFonts w:hint="eastAsia" w:ascii="宋体" w:hAnsi="宋体" w:cs="宋体"/>
                <w:b/>
                <w:color w:val="000000"/>
                <w:szCs w:val="21"/>
              </w:rPr>
              <w:t xml:space="preserve">分）。</w:t>
            </w:r>
            <w:r>
              <w:rPr>
                <w:rFonts w:hint="eastAsia" w:ascii="宋体" w:hAnsi="宋体" w:cs="宋体"/>
                <w:color w:val="000000"/>
                <w:szCs w:val="21"/>
              </w:rPr>
              <w:t xml:space="preserve">评委根据投标文件对招标文件第四章“采购需求”中“培训方案”要求的响应情况进行评审：</w:t>
            </w:r>
            <w:r/>
          </w:p>
          <w:p>
            <w:pPr>
              <w:spacing w:line="79" w:lineRule="atLeast"/>
              <w:rPr>
                <w:rFonts w:ascii="宋体" w:hAnsi="宋体" w:cs="宋体"/>
                <w:color w:val="000000"/>
                <w:szCs w:val="21"/>
              </w:rPr>
            </w:pPr>
            <w:r>
              <w:rPr>
                <w:rFonts w:hint="eastAsia" w:ascii="宋体" w:hAnsi="宋体" w:cs="宋体"/>
                <w:color w:val="000000"/>
                <w:szCs w:val="21"/>
              </w:rPr>
              <w:t xml:space="preserve">（1）投标文件未符合“培训方案”中全部条款要求的，视为不符合采购文件，本项得0分。</w:t>
            </w:r>
            <w:r/>
          </w:p>
          <w:p>
            <w:pPr>
              <w:spacing w:line="79" w:lineRule="atLeast"/>
              <w:rPr>
                <w:rFonts w:ascii="宋体" w:hAnsi="宋体" w:cs="宋体"/>
                <w:color w:val="000000"/>
                <w:szCs w:val="21"/>
              </w:rPr>
            </w:pPr>
            <w:r>
              <w:rPr>
                <w:rFonts w:hint="eastAsia" w:ascii="宋体" w:hAnsi="宋体" w:cs="宋体"/>
                <w:color w:val="000000"/>
                <w:szCs w:val="21"/>
              </w:rPr>
              <w:t xml:space="preserve">（2）投标文件符合“培训方案”中全部条款要求的，视为符合采购文件，本项得3分。</w:t>
            </w:r>
            <w:r/>
          </w:p>
          <w:p>
            <w:pPr>
              <w:spacing w:line="79" w:lineRule="atLeast"/>
              <w:rPr>
                <w:rFonts w:ascii="Calibri" w:hAnsi="Calibri"/>
                <w:szCs w:val="21"/>
              </w:rPr>
            </w:pPr>
            <w:r>
              <w:rPr>
                <w:rFonts w:hint="eastAsia" w:ascii="宋体" w:hAnsi="宋体" w:cs="宋体"/>
                <w:color w:val="000000"/>
                <w:szCs w:val="21"/>
              </w:rPr>
              <w:t xml:space="preserve">（3）投标文件对“培训方案”中“培训内容”、“培训方式”、“培训时间与频次”三项要求的响应内容全部优于招标文件要求的（前提是投标文件对“培训方案”中除“培训内容”、“培训方式”、“培训时间与频次”外其他要求响应内容符合招标文件要求），本项得</w:t>
            </w:r>
            <w:r>
              <w:rPr>
                <w:rFonts w:ascii="宋体" w:hAnsi="宋体" w:cs="宋体"/>
                <w:color w:val="000000"/>
                <w:szCs w:val="21"/>
              </w:rPr>
              <w:t xml:space="preserve">5</w:t>
            </w:r>
            <w:r>
              <w:rPr>
                <w:rFonts w:hint="eastAsia" w:ascii="宋体" w:hAnsi="宋体" w:cs="宋体"/>
                <w:color w:val="000000"/>
                <w:szCs w:val="21"/>
              </w:rPr>
              <w:t xml:space="preserve">分。</w:t>
            </w:r>
            <w:r/>
          </w:p>
          <w:p>
            <w:pPr>
              <w:spacing w:line="79" w:lineRule="atLeast"/>
              <w:rPr>
                <w:rFonts w:ascii="宋体" w:hAnsi="宋体" w:cs="宋体"/>
                <w:color w:val="000000"/>
                <w:szCs w:val="21"/>
              </w:rPr>
            </w:pPr>
            <w:r>
              <w:rPr>
                <w:rFonts w:hint="eastAsia" w:ascii="宋体" w:hAnsi="宋体" w:cs="宋体"/>
                <w:b/>
                <w:color w:val="000000"/>
                <w:szCs w:val="21"/>
              </w:rPr>
              <w:t xml:space="preserve">3.3 售后服务方案（</w:t>
            </w:r>
            <w:r>
              <w:rPr>
                <w:rFonts w:ascii="宋体" w:hAnsi="宋体" w:cs="宋体"/>
                <w:b/>
                <w:color w:val="000000"/>
                <w:szCs w:val="21"/>
              </w:rPr>
              <w:t xml:space="preserve">5</w:t>
            </w:r>
            <w:r>
              <w:rPr>
                <w:rFonts w:hint="eastAsia" w:ascii="宋体" w:hAnsi="宋体" w:cs="宋体"/>
                <w:b/>
                <w:color w:val="000000"/>
                <w:szCs w:val="21"/>
              </w:rPr>
              <w:t xml:space="preserve">分）。</w:t>
            </w:r>
            <w:r>
              <w:rPr>
                <w:rFonts w:hint="eastAsia" w:ascii="宋体" w:hAnsi="宋体" w:cs="宋体"/>
                <w:color w:val="000000"/>
                <w:szCs w:val="21"/>
              </w:rPr>
              <w:t xml:space="preserve">评委根据投标文件对招标文件第四章“采购需求”中“售后服务方案”要求的响应情况进行评审：</w:t>
            </w:r>
            <w:r/>
          </w:p>
          <w:p>
            <w:pPr>
              <w:spacing w:line="79" w:lineRule="atLeast"/>
              <w:rPr>
                <w:rFonts w:ascii="宋体" w:hAnsi="宋体" w:cs="宋体"/>
                <w:color w:val="000000"/>
                <w:szCs w:val="21"/>
              </w:rPr>
            </w:pPr>
            <w:r>
              <w:rPr>
                <w:rFonts w:hint="eastAsia" w:ascii="宋体" w:hAnsi="宋体" w:cs="宋体"/>
                <w:color w:val="000000"/>
                <w:szCs w:val="21"/>
              </w:rPr>
              <w:t xml:space="preserve">（1）投标文件未符合“售后服务方案”中全部条款要求的，视为不符合采购文件，本项得0分。</w:t>
            </w:r>
            <w:r/>
          </w:p>
          <w:p>
            <w:pPr>
              <w:spacing w:line="79" w:lineRule="atLeast"/>
              <w:rPr>
                <w:rFonts w:ascii="宋体" w:hAnsi="宋体" w:cs="宋体"/>
                <w:color w:val="000000"/>
                <w:szCs w:val="21"/>
              </w:rPr>
            </w:pPr>
            <w:r>
              <w:rPr>
                <w:rFonts w:hint="eastAsia" w:ascii="宋体" w:hAnsi="宋体" w:cs="宋体"/>
                <w:color w:val="000000"/>
                <w:szCs w:val="21"/>
              </w:rPr>
              <w:t xml:space="preserve">（2）投标文件符合“售后服务方案”中全部条款要求的，视为符合采购文件，本项得3分。</w:t>
            </w:r>
            <w:r/>
          </w:p>
          <w:p>
            <w:pPr>
              <w:spacing w:line="79" w:lineRule="atLeast"/>
              <w:rPr>
                <w:rFonts w:ascii="Calibri" w:hAnsi="Calibri"/>
                <w:szCs w:val="21"/>
              </w:rPr>
            </w:pPr>
            <w:r>
              <w:rPr>
                <w:rFonts w:hint="eastAsia" w:ascii="宋体" w:hAnsi="宋体" w:cs="宋体"/>
                <w:color w:val="000000"/>
                <w:szCs w:val="21"/>
              </w:rPr>
              <w:t xml:space="preserve">（3）投标文件对“售后服务方案”中“维修服务”、“备机服务”、“巡检服务”三项要求的响应内容全部优于招标文件要求的（前提是投标文件对“售后服务方案”中除“维修服务”、“备机服务”、“巡检服务”外其他要求响应内容符合招标文件要求），本项得</w:t>
            </w:r>
            <w:r>
              <w:rPr>
                <w:rFonts w:ascii="宋体" w:hAnsi="宋体" w:cs="宋体"/>
                <w:color w:val="000000"/>
                <w:szCs w:val="21"/>
              </w:rPr>
              <w:t xml:space="preserve">5</w:t>
            </w:r>
            <w:r>
              <w:rPr>
                <w:rFonts w:hint="eastAsia" w:ascii="宋体" w:hAnsi="宋体" w:cs="宋体"/>
                <w:color w:val="000000"/>
                <w:szCs w:val="21"/>
              </w:rPr>
              <w:t xml:space="preserve">分。</w:t>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ascii="宋体" w:hAnsi="宋体" w:cs="宋体"/>
                <w:b/>
                <w:color w:val="000000"/>
                <w:szCs w:val="21"/>
              </w:rPr>
              <w:t xml:space="preserve">15</w:t>
            </w:r>
            <w:r/>
          </w:p>
        </w:tc>
      </w:tr>
      <w:tr>
        <w:trPr>
          <w:trHeight w:val="420"/>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4</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rPr>
                <w:rFonts w:ascii="Calibri" w:hAnsi="Calibri"/>
                <w:szCs w:val="21"/>
              </w:rPr>
            </w:pPr>
            <w:r>
              <w:rPr>
                <w:rFonts w:hint="eastAsia" w:ascii="宋体" w:hAnsi="宋体" w:cs="宋体"/>
                <w:b/>
                <w:color w:val="000000"/>
                <w:szCs w:val="21"/>
              </w:rPr>
              <w:t xml:space="preserve">质保（3分）</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spacing w:line="79" w:lineRule="atLeast"/>
              <w:rPr>
                <w:rFonts w:ascii="Calibri" w:hAnsi="Calibri"/>
                <w:szCs w:val="21"/>
              </w:rPr>
            </w:pPr>
            <w:r>
              <w:rPr>
                <w:rFonts w:hint="eastAsia" w:ascii="宋体" w:hAnsi="宋体" w:cs="宋体"/>
                <w:color w:val="000000"/>
                <w:szCs w:val="21"/>
              </w:rPr>
              <w:t xml:space="preserve">满足质保期3年不得分，在此基础上，每增加1年得1分，最多得3分。</w:t>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3</w:t>
            </w:r>
            <w:r/>
          </w:p>
        </w:tc>
      </w:tr>
      <w:tr>
        <w:trPr>
          <w:trHeight w:val="90"/>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5</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rPr>
                <w:rFonts w:ascii="Calibri" w:hAnsi="Calibri"/>
                <w:szCs w:val="21"/>
              </w:rPr>
            </w:pPr>
            <w:r>
              <w:rPr>
                <w:rFonts w:hint="eastAsia" w:ascii="宋体" w:hAnsi="宋体" w:cs="宋体"/>
                <w:b/>
                <w:color w:val="000000"/>
                <w:szCs w:val="21"/>
              </w:rPr>
              <w:t xml:space="preserve">系统功能演示（5分）</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spacing w:line="79" w:lineRule="atLeast"/>
              <w:rPr>
                <w:rFonts w:ascii="宋体" w:hAnsi="宋体" w:cs="宋体"/>
                <w:b/>
                <w:color w:val="000000"/>
                <w:szCs w:val="21"/>
              </w:rPr>
            </w:pPr>
            <w:r>
              <w:rPr>
                <w:rFonts w:hint="eastAsia" w:ascii="宋体" w:hAnsi="宋体" w:cs="宋体"/>
                <w:color w:val="000000"/>
                <w:szCs w:val="21"/>
                <w:lang w:val="zh-CN"/>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cs="宋体"/>
                <w:color w:val="000000"/>
                <w:szCs w:val="21"/>
              </w:rPr>
              <w:t xml:space="preserve">演示使用真实产品录制视频演示的完全符合要求得满分，未演示或演示不符合要求不得分。演示内容如下</w:t>
            </w:r>
            <w:r/>
          </w:p>
          <w:p>
            <w:pPr>
              <w:spacing w:line="79" w:lineRule="atLeast"/>
              <w:rPr>
                <w:rFonts w:ascii="Calibri" w:hAnsi="Calibri"/>
                <w:szCs w:val="21"/>
              </w:rPr>
            </w:pPr>
            <w:r>
              <w:rPr>
                <w:rFonts w:hint="eastAsia" w:ascii="宋体" w:hAnsi="宋体" w:cs="宋体"/>
                <w:b/>
                <w:color w:val="000000"/>
                <w:szCs w:val="21"/>
              </w:rPr>
              <w:t xml:space="preserve">5.1  </w:t>
            </w:r>
            <w:bookmarkStart w:id="204" w:name="OLE_LINK18"/>
            <w:r>
              <w:rPr>
                <w:rFonts w:hint="eastAsia" w:ascii="宋体" w:hAnsi="宋体" w:cs="宋体"/>
                <w:b/>
                <w:color w:val="000000"/>
                <w:szCs w:val="21"/>
              </w:rPr>
              <w:t xml:space="preserve">教育融合视讯中台</w:t>
            </w:r>
            <w:bookmarkEnd w:id="204"/>
            <w:r>
              <w:rPr>
                <w:rFonts w:hint="eastAsia" w:ascii="宋体" w:hAnsi="宋体" w:cs="宋体"/>
                <w:b/>
                <w:color w:val="000000"/>
                <w:szCs w:val="21"/>
              </w:rPr>
              <w:t xml:space="preserve">应用 （满分3分）：</w:t>
            </w:r>
            <w:r/>
          </w:p>
          <w:p>
            <w:pPr>
              <w:spacing w:line="79" w:lineRule="atLeast"/>
              <w:rPr>
                <w:rFonts w:ascii="Calibri" w:hAnsi="Calibri"/>
                <w:szCs w:val="21"/>
              </w:rPr>
            </w:pPr>
            <w:r>
              <w:rPr>
                <w:rFonts w:hint="eastAsia" w:ascii="宋体" w:hAnsi="宋体" w:cs="宋体"/>
                <w:b/>
                <w:color w:val="000000"/>
                <w:szCs w:val="21"/>
              </w:rPr>
              <w:t xml:space="preserve">5.1.1 </w:t>
            </w:r>
            <w:r>
              <w:rPr>
                <w:rFonts w:hint="eastAsia" w:ascii="宋体" w:hAnsi="宋体" w:cs="宋体"/>
                <w:color w:val="000000"/>
                <w:szCs w:val="21"/>
              </w:rPr>
              <w:t xml:space="preserve">中台能够满足学校大批量教室接入的扩展要求，可对设备进行录入管理。设备录入时可设置设备编码属性，可配置基础属性（包括设备名称、厂商、点位、型号等）、位置属性、管理属性、接入属性等，具备批量导入、导出、编辑等功能，可查询设备信息（包括国标编码、设备名称、区域、厂商、点位类型、功能类型、经纬度等）。（演示完全满足要求得1分，不完全满足不得分）</w:t>
            </w:r>
            <w:r/>
          </w:p>
          <w:p>
            <w:pPr>
              <w:spacing w:line="79" w:lineRule="atLeast"/>
              <w:rPr>
                <w:rFonts w:ascii="宋体" w:hAnsi="宋体" w:cs="宋体"/>
                <w:color w:val="000000"/>
                <w:szCs w:val="21"/>
              </w:rPr>
            </w:pPr>
            <w:r>
              <w:rPr>
                <w:rFonts w:hint="eastAsia" w:ascii="宋体" w:hAnsi="宋体" w:cs="宋体"/>
                <w:b/>
                <w:color w:val="000000"/>
                <w:szCs w:val="21"/>
              </w:rPr>
              <w:t xml:space="preserve">5.1.2 </w:t>
            </w:r>
            <w:r>
              <w:rPr>
                <w:rFonts w:hint="eastAsia" w:ascii="宋体" w:hAnsi="宋体" w:cs="宋体"/>
                <w:color w:val="000000"/>
                <w:szCs w:val="21"/>
              </w:rPr>
              <w:t xml:space="preserve">中台具备后台管理可视化运维大盘，可实现对主机、集群、网关、中间件、服务的可视化管理，主机管理包括可用/不可调用主机、负载/CPU核数异常等主机状态，集群管理能够展示实际使用的CPU核数和内存，呈现集群的各项状态（包括集群CPU和内存的使用率、申请率、分配率、空置率等），支持展示节点、系统组件和CEPH集群的各项状态，具备正常/异常服务的整体数量统计。（演示完全满足要求得1分，不完全满足不得分）</w:t>
            </w:r>
            <w:r/>
          </w:p>
          <w:p>
            <w:pPr>
              <w:spacing w:line="79" w:lineRule="atLeast"/>
              <w:rPr>
                <w:rFonts w:ascii="宋体" w:hAnsi="宋体" w:cs="宋体"/>
                <w:color w:val="000000"/>
                <w:szCs w:val="21"/>
              </w:rPr>
            </w:pPr>
            <w:r>
              <w:rPr>
                <w:rFonts w:hint="eastAsia" w:ascii="宋体" w:hAnsi="宋体" w:cs="宋体"/>
                <w:b/>
                <w:color w:val="000000"/>
                <w:szCs w:val="21"/>
              </w:rPr>
              <w:t xml:space="preserve">5.1.3 </w:t>
            </w:r>
            <w:r>
              <w:rPr>
                <w:rFonts w:hint="eastAsia" w:ascii="宋体" w:hAnsi="宋体" w:cs="宋体"/>
                <w:color w:val="000000"/>
                <w:szCs w:val="21"/>
              </w:rPr>
              <w:t xml:space="preserve">中台在平台端提供标准化的开放服务API和WEB SDK组件，支持第三方平台直接通过注册、接入申请获取APIKEY从而进行服务接入。提供开放接口数据看板，可显示注册用户/管理端用户数量、已发布API/全部API服务数量、已发布API/全部API数量；支持查看数量统计趋势图（包括已发布服务、新增发布服务、已发布API和服务申请接入次数统计等）；支持TOP数据统计（包括服务申请接入频次、服务调用频次、API接口调用频次等）。（演示完全满足要求得1分，不完全满足不得分）</w:t>
            </w:r>
            <w:r/>
          </w:p>
          <w:p>
            <w:pPr>
              <w:spacing w:line="79" w:lineRule="atLeast"/>
              <w:rPr>
                <w:rFonts w:ascii="Calibri" w:hAnsi="Calibri"/>
                <w:szCs w:val="21"/>
              </w:rPr>
            </w:pPr>
            <w:r>
              <w:rPr>
                <w:rFonts w:hint="eastAsia" w:ascii="宋体" w:hAnsi="宋体" w:cs="宋体"/>
                <w:b/>
                <w:color w:val="000000"/>
                <w:szCs w:val="21"/>
              </w:rPr>
              <w:t xml:space="preserve">5.2  数字化巡课平台（满分2分）：</w:t>
            </w:r>
            <w:r/>
          </w:p>
          <w:p>
            <w:pPr>
              <w:spacing w:line="79" w:lineRule="atLeast"/>
              <w:rPr>
                <w:rFonts w:ascii="Calibri" w:hAnsi="Calibri"/>
                <w:szCs w:val="21"/>
              </w:rPr>
            </w:pPr>
            <w:r>
              <w:rPr>
                <w:rFonts w:hint="eastAsia" w:ascii="宋体" w:hAnsi="宋体" w:cs="宋体"/>
                <w:b/>
                <w:color w:val="000000"/>
                <w:szCs w:val="21"/>
              </w:rPr>
              <w:t xml:space="preserve">5.2.1 </w:t>
            </w:r>
            <w:r>
              <w:rPr>
                <w:rFonts w:hint="eastAsia" w:ascii="宋体" w:hAnsi="宋体" w:cs="宋体"/>
                <w:color w:val="000000"/>
                <w:szCs w:val="21"/>
              </w:rPr>
              <w:t xml:space="preserve">平台支持1/4/9/10/16/36等多种巡视窗口模式切换，具备低内存运行模式，36画面视频加载无延迟卡顿；支持一键全屏、“钉住”悬浮及视频码率全局切换，支持实时音频检测并以动态音量柱形式展示教室声音波动；支持多视窗巡视模式一键展示窗口教室AI学情分析结果无需跳转；支持综合数据筛选（如楼栋、教室、课程名称/状态、预警状态、AI指标阈值等）提升巡视效率；支持空间概览功能，按校区、楼宇可视化展示空间利用率、空闲率、额定容量、使用率及利用率排名。（演示完全满足要求得1分，不完全满足不得分）</w:t>
            </w:r>
            <w:r/>
          </w:p>
          <w:p>
            <w:pPr>
              <w:spacing w:line="79" w:lineRule="atLeast"/>
              <w:rPr>
                <w:rFonts w:ascii="宋体" w:hAnsi="宋体" w:cs="宋体"/>
                <w:color w:val="000000"/>
                <w:szCs w:val="21"/>
              </w:rPr>
            </w:pPr>
            <w:r>
              <w:rPr>
                <w:rFonts w:hint="eastAsia" w:ascii="宋体" w:hAnsi="宋体" w:cs="宋体"/>
                <w:b/>
                <w:color w:val="000000"/>
                <w:szCs w:val="21"/>
              </w:rPr>
              <w:t xml:space="preserve">5.2.2 </w:t>
            </w:r>
            <w:r>
              <w:rPr>
                <w:rFonts w:hint="eastAsia" w:ascii="宋体" w:hAnsi="宋体" w:cs="宋体"/>
                <w:color w:val="000000"/>
                <w:szCs w:val="21"/>
              </w:rPr>
              <w:t xml:space="preserve">平台支持全域教学数字化巡课驾驶舱，同一界面集成展示教学运行态势，包括今日概况、学情概况、开课数量、空间使用情况、学情教情异常趋势及信息、上课情况、巡课覆盖情况等；平台支持预警策略配置（包括学情、教情、设备、空间等维度），可设置教师迟到、教师早退等预警事件；平台支持自定义创建巡检计划，实现设备自动周期化巡检，可自动识别图像模糊、遮挡、信号丢失、画面歪等异常并生成巡检历史报告。（演示完全满足要求得1分，不完全满足不得分）</w:t>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5</w:t>
            </w:r>
            <w:r/>
          </w:p>
        </w:tc>
      </w:tr>
      <w:tr>
        <w:trPr>
          <w:trHeight w:val="90"/>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6</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企业资质（8分）</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spacing w:line="79" w:lineRule="atLeast"/>
              <w:rPr>
                <w:rFonts w:ascii="宋体" w:hAnsi="宋体" w:cs="宋体"/>
                <w:color w:val="000000"/>
                <w:szCs w:val="21"/>
                <w:lang w:val="zh-CN"/>
              </w:rPr>
            </w:pPr>
            <w:r>
              <w:rPr>
                <w:rFonts w:hint="eastAsia" w:ascii="宋体" w:hAnsi="宋体" w:cs="宋体"/>
                <w:color w:val="000000"/>
                <w:szCs w:val="21"/>
              </w:rPr>
              <w:t xml:space="preserve">6.1 </w:t>
            </w:r>
            <w:r>
              <w:rPr>
                <w:rFonts w:hint="eastAsia" w:ascii="宋体" w:hAnsi="宋体" w:cs="宋体"/>
                <w:szCs w:val="21"/>
              </w:rPr>
              <w:t xml:space="preserve">投标人具备ISO90001质量管理体系认证</w:t>
            </w:r>
            <w:r>
              <w:rPr>
                <w:rFonts w:hint="eastAsia" w:ascii="宋体" w:hAnsi="宋体" w:cs="宋体"/>
                <w:szCs w:val="21"/>
              </w:rPr>
              <w:t xml:space="preserve">、</w:t>
            </w:r>
            <w:r>
              <w:rPr>
                <w:rFonts w:hint="eastAsia" w:ascii="宋体" w:hAnsi="宋体" w:cs="宋体"/>
                <w:szCs w:val="21"/>
              </w:rPr>
              <w:t xml:space="preserve">ISO14001环境管理体系认证</w:t>
            </w:r>
            <w:r>
              <w:rPr>
                <w:rFonts w:hint="eastAsia" w:ascii="宋体" w:hAnsi="宋体" w:cs="宋体"/>
                <w:szCs w:val="21"/>
              </w:rPr>
              <w:t xml:space="preserve">、</w:t>
            </w:r>
            <w:r>
              <w:rPr>
                <w:rFonts w:hint="eastAsia" w:ascii="宋体" w:hAnsi="宋体" w:cs="宋体"/>
                <w:szCs w:val="21"/>
              </w:rPr>
              <w:t xml:space="preserve">ISO45001职业健康安全管理体系认证，每提供1项得1分，共3分，提供证书复印件证明材料加盖公章，否则不得分。</w:t>
            </w:r>
            <w:r>
              <w:rPr>
                <w:rFonts w:hint="eastAsia" w:ascii="宋体" w:hAnsi="宋体" w:cs="宋体"/>
                <w:color w:val="000000"/>
                <w:szCs w:val="21"/>
                <w:lang w:val="zh-CN"/>
              </w:rPr>
              <w:t xml:space="preserve">）</w:t>
            </w:r>
            <w:r/>
          </w:p>
          <w:p>
            <w:pPr>
              <w:spacing w:line="79" w:lineRule="atLeast"/>
              <w:rPr>
                <w:rFonts w:ascii="宋体" w:hAnsi="宋体" w:cs="宋体"/>
                <w:color w:val="000000"/>
                <w:szCs w:val="21"/>
              </w:rPr>
            </w:pPr>
            <w:r>
              <w:rPr>
                <w:rFonts w:hint="eastAsia" w:ascii="宋体" w:hAnsi="宋体" w:cs="宋体"/>
                <w:color w:val="000000"/>
                <w:szCs w:val="21"/>
              </w:rPr>
              <w:t xml:space="preserve">6.2 投标人具有符合国家标准</w:t>
            </w:r>
            <w:bookmarkStart w:id="205" w:name="OLE_LINK15"/>
            <w:r/>
            <w:bookmarkStart w:id="206" w:name="OLE_LINK16"/>
            <w:r>
              <w:rPr>
                <w:rFonts w:hint="eastAsia" w:ascii="宋体" w:hAnsi="宋体" w:cs="宋体"/>
                <w:color w:val="000000"/>
                <w:szCs w:val="21"/>
              </w:rPr>
              <w:t xml:space="preserve">GB/T27922-2011</w:t>
            </w:r>
            <w:bookmarkEnd w:id="205"/>
            <w:r/>
            <w:bookmarkEnd w:id="206"/>
            <w:r>
              <w:rPr>
                <w:rFonts w:hint="eastAsia" w:ascii="宋体" w:hAnsi="宋体" w:cs="宋体"/>
                <w:color w:val="000000"/>
                <w:szCs w:val="21"/>
              </w:rPr>
              <w:t xml:space="preserve">售后服务认证证书(证书认证范围包含计算机信息系统集成或电子与智能化工程专业承包)得3分。(注:投标文件中需提供证书扫描件，证书需在有效期内，缺失、认证范围不全、失效或不提供者，对应项不得分)</w:t>
            </w:r>
            <w:r/>
          </w:p>
          <w:p>
            <w:pPr>
              <w:spacing w:line="79" w:lineRule="atLeast"/>
              <w:rPr>
                <w:rFonts w:ascii="宋体" w:hAnsi="宋体" w:cs="宋体"/>
                <w:color w:val="000000"/>
                <w:szCs w:val="21"/>
              </w:rPr>
            </w:pPr>
            <w:r>
              <w:rPr>
                <w:rFonts w:hint="eastAsia" w:ascii="宋体" w:hAnsi="宋体" w:cs="宋体"/>
                <w:color w:val="000000"/>
                <w:szCs w:val="21"/>
              </w:rPr>
              <w:t xml:space="preserve">6.3 </w:t>
            </w:r>
            <w:r>
              <w:rPr>
                <w:rFonts w:hint="eastAsia" w:ascii="宋体" w:hAnsi="宋体" w:cs="宋体"/>
                <w:color w:val="000000"/>
                <w:szCs w:val="21"/>
                <w:lang w:val="zh-CN"/>
              </w:rPr>
              <w:t xml:space="preserve">投标人拟派的项目经理（</w:t>
            </w:r>
            <w:r>
              <w:rPr>
                <w:rFonts w:hint="eastAsia" w:ascii="宋体" w:hAnsi="宋体" w:cs="宋体"/>
                <w:color w:val="000000"/>
                <w:szCs w:val="21"/>
              </w:rPr>
              <w:t xml:space="preserve">1人）</w:t>
            </w:r>
            <w:r>
              <w:rPr>
                <w:rFonts w:hint="eastAsia" w:ascii="宋体" w:hAnsi="宋体" w:cs="宋体"/>
                <w:color w:val="000000"/>
                <w:szCs w:val="21"/>
                <w:lang w:val="zh-CN"/>
              </w:rPr>
              <w:t xml:space="preserve">具有电子信息类专业高级工程师</w:t>
            </w:r>
            <w:r>
              <w:rPr>
                <w:rFonts w:hint="eastAsia" w:ascii="宋体" w:hAnsi="宋体" w:cs="宋体"/>
                <w:color w:val="000000"/>
                <w:szCs w:val="21"/>
              </w:rPr>
              <w:t xml:space="preserve">职称</w:t>
            </w:r>
            <w:r>
              <w:rPr>
                <w:rFonts w:hint="eastAsia" w:ascii="宋体" w:hAnsi="宋体" w:cs="宋体"/>
                <w:color w:val="000000"/>
                <w:szCs w:val="21"/>
                <w:lang w:val="zh-CN"/>
              </w:rPr>
              <w:t xml:space="preserve">证书</w:t>
            </w:r>
            <w:r>
              <w:rPr>
                <w:rFonts w:hint="eastAsia" w:ascii="宋体" w:hAnsi="宋体" w:cs="宋体"/>
                <w:color w:val="000000"/>
                <w:szCs w:val="21"/>
              </w:rPr>
              <w:t xml:space="preserve">或</w:t>
            </w:r>
            <w:r>
              <w:rPr>
                <w:rFonts w:hint="eastAsia" w:ascii="宋体" w:hAnsi="宋体" w:cs="宋体"/>
                <w:color w:val="000000"/>
                <w:szCs w:val="21"/>
                <w:lang w:val="zh-CN"/>
              </w:rPr>
              <w:t xml:space="preserve">信息系统项目管理师证书的，</w:t>
            </w:r>
            <w:r>
              <w:rPr>
                <w:rFonts w:hint="eastAsia" w:ascii="宋体" w:hAnsi="宋体" w:cs="宋体"/>
                <w:color w:val="000000"/>
                <w:szCs w:val="21"/>
              </w:rPr>
              <w:t xml:space="preserve">得2分</w:t>
            </w:r>
            <w:r>
              <w:rPr>
                <w:rFonts w:hint="eastAsia" w:ascii="宋体" w:hAnsi="宋体" w:cs="宋体"/>
                <w:color w:val="000000"/>
                <w:szCs w:val="21"/>
                <w:lang w:val="zh-CN"/>
              </w:rPr>
              <w:t xml:space="preserve">，</w:t>
            </w:r>
            <w:r>
              <w:rPr>
                <w:rFonts w:hint="eastAsia" w:ascii="宋体" w:hAnsi="宋体" w:cs="宋体"/>
                <w:color w:val="000000"/>
                <w:szCs w:val="21"/>
              </w:rPr>
              <w:t xml:space="preserve">没有</w:t>
            </w:r>
            <w:r>
              <w:rPr>
                <w:rFonts w:hint="eastAsia" w:ascii="宋体" w:hAnsi="宋体" w:cs="宋体"/>
                <w:color w:val="000000"/>
                <w:szCs w:val="21"/>
                <w:lang w:val="zh-CN"/>
              </w:rPr>
              <w:t xml:space="preserve">不得分。（提供证书原件</w:t>
            </w:r>
            <w:r>
              <w:rPr>
                <w:rFonts w:hint="eastAsia" w:ascii="宋体" w:hAnsi="宋体" w:cs="宋体"/>
                <w:color w:val="000000"/>
                <w:szCs w:val="21"/>
              </w:rPr>
              <w:t xml:space="preserve">的复印或</w:t>
            </w:r>
            <w:r>
              <w:rPr>
                <w:rFonts w:hint="eastAsia" w:ascii="宋体" w:hAnsi="宋体" w:cs="宋体"/>
                <w:color w:val="000000"/>
                <w:szCs w:val="21"/>
                <w:lang w:val="zh-CN"/>
              </w:rPr>
              <w:t xml:space="preserve">扫描件</w:t>
            </w:r>
            <w:r>
              <w:rPr>
                <w:rFonts w:hint="eastAsia" w:ascii="宋体" w:hAnsi="宋体" w:cs="宋体"/>
                <w:color w:val="000000"/>
                <w:szCs w:val="21"/>
              </w:rPr>
              <w:t xml:space="preserve">加盖公章</w:t>
            </w:r>
            <w:r>
              <w:rPr>
                <w:rFonts w:hint="eastAsia" w:ascii="宋体" w:hAnsi="宋体" w:cs="宋体"/>
                <w:color w:val="000000"/>
                <w:szCs w:val="21"/>
                <w:lang w:val="zh-CN"/>
              </w:rPr>
              <w:t xml:space="preserve">。）</w:t>
            </w:r>
            <w:r>
              <w:rPr>
                <w:rFonts w:hint="eastAsia" w:ascii="宋体" w:hAnsi="宋体" w:cs="宋体"/>
                <w:color w:val="000000"/>
                <w:szCs w:val="21"/>
              </w:rPr>
              <w:t xml:space="preserve">。</w:t>
            </w:r>
            <w:r/>
          </w:p>
          <w:p>
            <w:pPr>
              <w:rPr>
                <w:b/>
              </w:rPr>
            </w:pPr>
            <w:r/>
            <w:bookmarkStart w:id="207" w:name="OLE_LINK41"/>
            <w:r/>
            <w:bookmarkStart w:id="208" w:name="OLE_LINK42"/>
            <w:r>
              <w:rPr>
                <w:b/>
              </w:rPr>
              <w:t xml:space="preserve">注：如是联合体参与投标，以上</w:t>
            </w:r>
            <w:r>
              <w:rPr>
                <w:rFonts w:hint="eastAsia"/>
                <w:b/>
              </w:rPr>
              <w:t xml:space="preserve">6.1</w:t>
            </w:r>
            <w:r>
              <w:rPr>
                <w:rFonts w:hint="eastAsia"/>
                <w:b/>
              </w:rPr>
              <w:t xml:space="preserve">、</w:t>
            </w:r>
            <w:r>
              <w:rPr>
                <w:rFonts w:hint="eastAsia"/>
                <w:b/>
              </w:rPr>
              <w:t xml:space="preserve">6.2</w:t>
            </w:r>
            <w:r>
              <w:rPr>
                <w:b/>
              </w:rPr>
              <w:t xml:space="preserve">由负责智慧教室建设（非装修）的供应商提供，否则不得分。</w:t>
            </w:r>
            <w:bookmarkEnd w:id="207"/>
            <w:r/>
            <w:bookmarkEnd w:id="208"/>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8</w:t>
            </w:r>
            <w:r/>
          </w:p>
        </w:tc>
      </w:tr>
      <w:tr>
        <w:trPr>
          <w:trHeight w:val="90"/>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7</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企业业绩（</w:t>
            </w:r>
            <w:r>
              <w:rPr>
                <w:rFonts w:ascii="宋体" w:hAnsi="宋体" w:cs="宋体"/>
                <w:b/>
                <w:color w:val="000000"/>
                <w:szCs w:val="21"/>
              </w:rPr>
              <w:t xml:space="preserve">8</w:t>
            </w:r>
            <w:r>
              <w:rPr>
                <w:rFonts w:hint="eastAsia" w:ascii="宋体" w:hAnsi="宋体" w:cs="宋体"/>
                <w:b/>
                <w:color w:val="000000"/>
                <w:szCs w:val="21"/>
              </w:rPr>
              <w:t xml:space="preserve">分）</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spacing w:line="79" w:lineRule="atLeast"/>
              <w:rPr>
                <w:rFonts w:ascii="宋体" w:hAnsi="宋体" w:cs="宋体"/>
                <w:color w:val="000000"/>
                <w:szCs w:val="21"/>
              </w:rPr>
            </w:pPr>
            <w:r>
              <w:rPr>
                <w:rFonts w:hint="eastAsia" w:ascii="宋体" w:hAnsi="宋体" w:cs="宋体"/>
                <w:color w:val="000000"/>
                <w:szCs w:val="21"/>
              </w:rPr>
              <w:t xml:space="preserve">7.1 投标人提供 2023 年 1 月 1 日以来完成的类似项目业绩（类似业绩是指多媒体教室或智慧教室等相关建设内容，不含单纯装修项目），每提供1份完成的业绩得</w:t>
            </w:r>
            <w:r>
              <w:rPr>
                <w:rFonts w:ascii="宋体" w:hAnsi="宋体" w:cs="宋体"/>
                <w:color w:val="000000"/>
                <w:szCs w:val="21"/>
              </w:rPr>
              <w:t xml:space="preserve">2</w:t>
            </w:r>
            <w:r>
              <w:rPr>
                <w:rFonts w:hint="eastAsia" w:ascii="宋体" w:hAnsi="宋体" w:cs="宋体"/>
                <w:color w:val="000000"/>
                <w:szCs w:val="21"/>
              </w:rPr>
              <w:t xml:space="preserve">分，最多得</w:t>
            </w:r>
            <w:r>
              <w:rPr>
                <w:rFonts w:ascii="宋体" w:hAnsi="宋体" w:cs="宋体"/>
                <w:color w:val="000000"/>
                <w:szCs w:val="21"/>
              </w:rPr>
              <w:t xml:space="preserve">8</w:t>
            </w:r>
            <w:r>
              <w:rPr>
                <w:rFonts w:hint="eastAsia" w:ascii="宋体" w:hAnsi="宋体" w:cs="宋体"/>
                <w:color w:val="000000"/>
                <w:szCs w:val="21"/>
              </w:rPr>
              <w:t xml:space="preserve">分。</w:t>
            </w:r>
            <w:r/>
          </w:p>
          <w:p>
            <w:pPr>
              <w:spacing w:line="79" w:lineRule="atLeast"/>
              <w:rPr>
                <w:rFonts w:ascii="宋体" w:hAnsi="宋体" w:cs="宋体"/>
                <w:color w:val="000000"/>
                <w:szCs w:val="21"/>
              </w:rPr>
            </w:pPr>
            <w:r>
              <w:rPr>
                <w:rFonts w:hint="eastAsia" w:ascii="宋体" w:hAnsi="宋体" w:cs="宋体"/>
                <w:color w:val="000000"/>
                <w:szCs w:val="21"/>
              </w:rPr>
              <w:t xml:space="preserve">注：需提供项目合同、验收报告（时间以合同签订时间为准，提供材料复印件或扫描件加盖单位公章），如合同中不能反映项目内容的，还需提供由用户盖章的相关证明材料。</w:t>
            </w:r>
            <w:r/>
          </w:p>
          <w:p>
            <w:pPr>
              <w:spacing w:line="79" w:lineRule="atLeast"/>
              <w:rPr>
                <w:rFonts w:ascii="Calibri" w:hAnsi="Calibri"/>
                <w:b/>
                <w:szCs w:val="21"/>
              </w:rPr>
            </w:pPr>
            <w:r>
              <w:rPr>
                <w:rFonts w:hint="eastAsia" w:ascii="Calibri" w:hAnsi="Calibri"/>
                <w:b/>
                <w:szCs w:val="21"/>
              </w:rPr>
              <w:t xml:space="preserve">注：如是联合体参与投标，该业绩由负责智慧教室建设（非装修）的供应商提供，否则不得分。</w:t>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ascii="宋体" w:hAnsi="宋体" w:cs="宋体"/>
                <w:b/>
                <w:color w:val="000000"/>
                <w:szCs w:val="21"/>
              </w:rPr>
              <w:t xml:space="preserve">8</w:t>
            </w:r>
            <w:r/>
          </w:p>
        </w:tc>
      </w:tr>
      <w:tr>
        <w:trPr>
          <w:trHeight w:val="90"/>
        </w:trPr>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8</w:t>
            </w:r>
            <w:r/>
          </w:p>
        </w:tc>
        <w:tc>
          <w:tcPr>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节能环保（1分）</w:t>
            </w:r>
            <w:r/>
          </w:p>
        </w:tc>
        <w:tc>
          <w:tcPr>
            <w:tcBorders>
              <w:top w:val="single" w:color="auto" w:sz="8" w:space="0"/>
              <w:left w:val="single" w:color="auto" w:sz="8" w:space="0"/>
              <w:bottom w:val="single" w:color="auto" w:sz="8" w:space="0"/>
              <w:right w:val="single" w:color="auto" w:sz="8" w:space="0"/>
            </w:tcBorders>
            <w:tcW w:w="6533" w:type="dxa"/>
            <w:vAlign w:val="center"/>
            <w:textDirection w:val="lrTb"/>
            <w:noWrap w:val="false"/>
          </w:tcPr>
          <w:p>
            <w:pPr>
              <w:spacing w:line="79" w:lineRule="atLeast"/>
              <w:rPr>
                <w:rFonts w:ascii="宋体" w:hAnsi="宋体" w:cs="宋体"/>
                <w:szCs w:val="21"/>
                <w:lang w:bidi="ar"/>
              </w:rPr>
            </w:pPr>
            <w:r>
              <w:rPr>
                <w:rFonts w:hint="eastAsia" w:ascii="宋体" w:hAnsi="宋体" w:cs="宋体"/>
                <w:szCs w:val="21"/>
                <w:lang w:bidi="ar"/>
              </w:rPr>
              <w:t xml:space="preserve">8.1投标产品属于财政部、生态环境部公布的《环境标志产品政府采购品目清单》内的产品且具有国家确定的认证机构出具的、处于有效期之内的环境标志产品认证证书的，每有一类产品加0.5分，最高得0.5分。提供认证证书复印件，否则不得分。</w:t>
            </w:r>
            <w:r/>
          </w:p>
          <w:p>
            <w:pPr>
              <w:spacing w:line="79" w:lineRule="atLeast"/>
              <w:rPr>
                <w:rFonts w:ascii="Calibri" w:hAnsi="Calibri"/>
                <w:szCs w:val="21"/>
              </w:rPr>
            </w:pPr>
            <w:r>
              <w:rPr>
                <w:rFonts w:hint="eastAsia" w:ascii="宋体" w:hAnsi="宋体" w:cs="宋体"/>
                <w:szCs w:val="21"/>
                <w:lang w:bidi="ar"/>
              </w:rPr>
              <w:t xml:space="preserve">8.2 投标产品属于财政部、发展改革委公布的《节能产品政府采购品目清单》内的产品且具有国家确定的认证机构出具的、处于有效期之内的节能产品认证证书的，每有一类产品加0.5分，最高得0.5分。提供认证证书复印件，否则不得分。 </w:t>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1</w:t>
            </w:r>
            <w:r/>
          </w:p>
        </w:tc>
      </w:tr>
      <w:tr>
        <w:trPr>
          <w:trHeight w:val="681"/>
        </w:trPr>
        <w:tc>
          <w:tcPr>
            <w:gridSpan w:val="3"/>
            <w:tcBorders>
              <w:top w:val="single" w:color="auto" w:sz="8" w:space="0"/>
              <w:left w:val="single" w:color="auto" w:sz="8" w:space="0"/>
              <w:bottom w:val="single" w:color="auto" w:sz="8" w:space="0"/>
              <w:right w:val="single" w:color="auto" w:sz="8" w:space="0"/>
            </w:tcBorders>
            <w:tcW w:w="848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合计总分</w:t>
            </w:r>
            <w:r/>
          </w:p>
        </w:tc>
        <w:tc>
          <w:tcPr>
            <w:tcBorders>
              <w:top w:val="single" w:color="auto" w:sz="8" w:space="0"/>
              <w:left w:val="single" w:color="auto" w:sz="8" w:space="0"/>
              <w:bottom w:val="single" w:color="auto" w:sz="8" w:space="0"/>
              <w:right w:val="single" w:color="auto" w:sz="8" w:space="0"/>
            </w:tcBorders>
            <w:tcW w:w="534" w:type="dxa"/>
            <w:vAlign w:val="center"/>
            <w:textDirection w:val="lrTb"/>
            <w:noWrap w:val="false"/>
          </w:tcPr>
          <w:p>
            <w:pPr>
              <w:jc w:val="center"/>
              <w:spacing w:line="79" w:lineRule="atLeast"/>
              <w:rPr>
                <w:rFonts w:ascii="Calibri" w:hAnsi="Calibri"/>
                <w:szCs w:val="21"/>
              </w:rPr>
            </w:pPr>
            <w:r>
              <w:rPr>
                <w:rFonts w:hint="eastAsia" w:ascii="宋体" w:hAnsi="宋体" w:cs="宋体"/>
                <w:b/>
                <w:color w:val="000000"/>
                <w:szCs w:val="21"/>
              </w:rPr>
              <w:t xml:space="preserve">100</w:t>
            </w:r>
            <w:r/>
          </w:p>
        </w:tc>
      </w:tr>
    </w:tbl>
    <w:p>
      <w:r/>
      <w:r/>
    </w:p>
    <w:p>
      <w:r/>
      <w:r/>
    </w:p>
    <w:p>
      <w:r>
        <w:br w:type="page" w:clear="all"/>
      </w:r>
      <w:r/>
    </w:p>
    <w:p>
      <w:pPr>
        <w:pStyle w:val="873"/>
        <w:spacing w:line="400" w:lineRule="exact"/>
        <w:rPr>
          <w:rFonts w:ascii="黑体" w:hAnsi="黑体" w:eastAsia="黑体"/>
          <w:b w:val="0"/>
          <w:bCs w:val="0"/>
          <w:sz w:val="28"/>
          <w:szCs w:val="28"/>
        </w:rPr>
      </w:pPr>
      <w:r>
        <w:rPr>
          <w:rFonts w:hint="eastAsia" w:ascii="黑体" w:hAnsi="黑体" w:eastAsia="黑体"/>
          <w:b w:val="0"/>
          <w:bCs w:val="0"/>
          <w:sz w:val="28"/>
          <w:szCs w:val="28"/>
        </w:rPr>
        <w:t xml:space="preserve">第六章  投标文件格式</w:t>
      </w:r>
      <w:r/>
    </w:p>
    <w:p>
      <w:pPr>
        <w:jc w:val="center"/>
        <w:spacing w:line="400" w:lineRule="exact"/>
        <w:rPr>
          <w:rFonts w:ascii="宋体" w:hAnsi="宋体"/>
          <w:b/>
          <w:color w:val="000000"/>
          <w:sz w:val="28"/>
          <w:szCs w:val="28"/>
        </w:rPr>
      </w:pPr>
      <w:r/>
      <w:bookmarkStart w:id="209" w:name="_Hlt26955039"/>
      <w:r/>
      <w:bookmarkStart w:id="210" w:name="_Hlt26671244"/>
      <w:r/>
      <w:bookmarkStart w:id="211" w:name="_Toc49090576"/>
      <w:r/>
      <w:bookmarkStart w:id="212" w:name="_Toc120614282"/>
      <w:r/>
      <w:bookmarkStart w:id="213" w:name="_Toc26554094"/>
      <w:r/>
      <w:bookmarkEnd w:id="209"/>
      <w:r/>
      <w:bookmarkEnd w:id="210"/>
      <w:r/>
      <w:r/>
    </w:p>
    <w:p>
      <w:pPr>
        <w:jc w:val="center"/>
        <w:spacing w:line="400" w:lineRule="exact"/>
        <w:rPr>
          <w:rFonts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投  标  文  件</w:t>
      </w:r>
      <w:r/>
    </w:p>
    <w:p>
      <w:pPr>
        <w:spacing w:line="400" w:lineRule="exact"/>
        <w:rPr>
          <w:rFonts w:ascii="宋体" w:hAnsi="宋体"/>
          <w:b/>
          <w:color w:val="000000"/>
          <w:sz w:val="28"/>
          <w:szCs w:val="28"/>
        </w:rPr>
      </w:pPr>
      <w:r>
        <w:rPr>
          <w:rFonts w:ascii="宋体" w:hAnsi="宋体"/>
          <w:b/>
          <w:color w:val="000000"/>
          <w:sz w:val="28"/>
          <w:szCs w:val="28"/>
        </w:rPr>
      </w:r>
      <w:r/>
    </w:p>
    <w:p>
      <w:pPr>
        <w:spacing w:line="400" w:lineRule="exact"/>
        <w:rPr>
          <w:rFonts w:ascii="宋体" w:hAnsi="宋体"/>
          <w:b/>
          <w:color w:val="000000"/>
          <w:sz w:val="28"/>
          <w:szCs w:val="28"/>
        </w:rPr>
      </w:pPr>
      <w:r>
        <w:rPr>
          <w:rFonts w:ascii="宋体" w:hAnsi="宋体"/>
          <w:b/>
          <w:color w:val="000000"/>
          <w:sz w:val="28"/>
          <w:szCs w:val="28"/>
        </w:rPr>
      </w:r>
      <w:r/>
    </w:p>
    <w:p>
      <w:pPr>
        <w:spacing w:line="400" w:lineRule="exact"/>
        <w:rPr>
          <w:rFonts w:ascii="宋体" w:hAnsi="宋体"/>
          <w:b/>
          <w:color w:val="000000"/>
          <w:sz w:val="28"/>
          <w:szCs w:val="28"/>
        </w:rPr>
      </w:pPr>
      <w:r>
        <w:rPr>
          <w:rFonts w:ascii="宋体" w:hAnsi="宋体"/>
          <w:b/>
          <w:color w:val="000000"/>
          <w:sz w:val="28"/>
          <w:szCs w:val="28"/>
        </w:rPr>
      </w:r>
      <w:r/>
    </w:p>
    <w:p>
      <w:pPr>
        <w:ind w:firstLine="840"/>
        <w:spacing w:line="400" w:lineRule="exact"/>
        <w:rPr>
          <w:rFonts w:ascii="方正黑体_GBK" w:hAnsi="方正黑体_GBK" w:eastAsia="方正黑体_GBK" w:cs="方正黑体_GBK"/>
          <w:bCs/>
          <w:color w:val="000000"/>
          <w:sz w:val="28"/>
          <w:szCs w:val="28"/>
        </w:rPr>
      </w:pPr>
      <w:r>
        <w:rPr>
          <w:rFonts w:ascii="方正黑体_GBK" w:hAnsi="方正黑体_GBK" w:eastAsia="方正黑体_GBK" w:cs="方正黑体_GBK"/>
          <w:bCs/>
          <w:color w:val="000000"/>
          <w:sz w:val="28"/>
          <w:szCs w:val="28"/>
        </w:rPr>
      </w:r>
      <w:r/>
    </w:p>
    <w:p>
      <w:pPr>
        <w:ind w:firstLine="840"/>
        <w:spacing w:line="400" w:lineRule="exact"/>
        <w:rPr>
          <w:rFonts w:ascii="方正黑体_GBK" w:hAnsi="方正黑体_GBK" w:eastAsia="方正黑体_GBK" w:cs="方正黑体_GBK"/>
          <w:bCs/>
          <w:color w:val="000000"/>
          <w:sz w:val="28"/>
          <w:szCs w:val="28"/>
        </w:rPr>
      </w:pPr>
      <w:r>
        <w:rPr>
          <w:rFonts w:ascii="方正黑体_GBK" w:hAnsi="方正黑体_GBK" w:eastAsia="方正黑体_GBK" w:cs="方正黑体_GBK"/>
          <w:bCs/>
          <w:color w:val="000000"/>
          <w:sz w:val="28"/>
          <w:szCs w:val="28"/>
        </w:rPr>
      </w:r>
      <w:r/>
    </w:p>
    <w:p>
      <w:pPr>
        <w:ind w:firstLine="840"/>
        <w:spacing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项 目 名 称：</w:t>
      </w:r>
      <w:r>
        <w:rPr>
          <w:rFonts w:hint="eastAsia" w:ascii="方正黑体_GBK" w:hAnsi="方正黑体_GBK" w:eastAsia="方正黑体_GBK" w:cs="方正黑体_GBK"/>
          <w:bCs/>
          <w:color w:val="000000"/>
          <w:sz w:val="28"/>
          <w:szCs w:val="28"/>
          <w:u w:val="single"/>
        </w:rPr>
        <w:t xml:space="preserve">               </w:t>
      </w:r>
      <w:r/>
    </w:p>
    <w:p>
      <w:pPr>
        <w:ind w:firstLine="840"/>
        <w:spacing w:line="400" w:lineRule="exact"/>
        <w:rPr>
          <w:rFonts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采 购 编 号：</w:t>
      </w:r>
      <w:r>
        <w:rPr>
          <w:rFonts w:hint="eastAsia" w:ascii="方正黑体_GBK" w:hAnsi="方正黑体_GBK" w:eastAsia="方正黑体_GBK" w:cs="方正黑体_GBK"/>
          <w:bCs/>
          <w:color w:val="000000"/>
          <w:sz w:val="28"/>
          <w:szCs w:val="28"/>
          <w:u w:val="single"/>
        </w:rPr>
        <w:t xml:space="preserve">               </w:t>
      </w:r>
      <w:r/>
    </w:p>
    <w:p>
      <w:pPr>
        <w:spacing w:line="400" w:lineRule="exact"/>
        <w:rPr>
          <w:rFonts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投标人名称 ：</w:t>
      </w:r>
      <w:r>
        <w:rPr>
          <w:rFonts w:hint="eastAsia" w:ascii="方正黑体_GBK" w:hAnsi="方正黑体_GBK" w:eastAsia="方正黑体_GBK" w:cs="方正黑体_GBK"/>
          <w:bCs/>
          <w:color w:val="000000"/>
          <w:sz w:val="28"/>
          <w:szCs w:val="28"/>
          <w:u w:val="single"/>
        </w:rPr>
        <w:t xml:space="preserve">（如是联合体投标，请完整写明所有联合体各方投标人名称，加盖牵头人CA电子公章）</w:t>
      </w:r>
      <w:r/>
    </w:p>
    <w:p>
      <w:pPr>
        <w:spacing w:line="400" w:lineRule="exact"/>
        <w:rPr>
          <w:rFonts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日      期 ：</w:t>
      </w:r>
      <w:r>
        <w:rPr>
          <w:rFonts w:hint="eastAsia" w:ascii="方正黑体_GBK" w:hAnsi="方正黑体_GBK" w:eastAsia="方正黑体_GBK" w:cs="方正黑体_GBK"/>
          <w:bCs/>
          <w:color w:val="000000"/>
          <w:sz w:val="28"/>
          <w:szCs w:val="28"/>
          <w:u w:val="single"/>
        </w:rPr>
        <w:t xml:space="preserve">               </w:t>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tabs>
          <w:tab w:val="left" w:pos="7492" w:leader="none"/>
        </w:tabs>
        <w:rPr>
          <w:rFonts w:ascii="宋体" w:hAnsi="宋体"/>
          <w:b/>
          <w:bCs/>
          <w:color w:val="000000"/>
          <w:sz w:val="32"/>
          <w:szCs w:val="32"/>
        </w:rPr>
      </w:pPr>
      <w:r>
        <w:rPr>
          <w:rFonts w:hint="eastAsia" w:ascii="宋体" w:hAnsi="宋体"/>
          <w:b/>
          <w:bCs/>
          <w:color w:val="000000"/>
          <w:sz w:val="32"/>
          <w:szCs w:val="32"/>
        </w:rPr>
        <w:tab/>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br w:type="page" w:clear="all"/>
      </w:r>
      <w:r/>
    </w:p>
    <w:p>
      <w:pPr>
        <w:jc w:val="center"/>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p>
    <w:p>
      <w:pPr>
        <w:spacing w:line="400" w:lineRule="exact"/>
        <w:rPr>
          <w:rFonts w:ascii="宋体" w:hAnsi="宋体"/>
          <w:b/>
          <w:bCs/>
          <w:sz w:val="28"/>
          <w:szCs w:val="28"/>
        </w:rPr>
      </w:pPr>
      <w:r>
        <w:rPr>
          <w:rFonts w:ascii="宋体" w:hAnsi="宋体"/>
          <w:b/>
          <w:bCs/>
          <w:sz w:val="28"/>
          <w:szCs w:val="28"/>
        </w:rPr>
      </w:r>
      <w:r/>
    </w:p>
    <w:p>
      <w:pPr>
        <w:ind w:firstLine="560"/>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p>
    <w:p>
      <w:pPr>
        <w:ind w:firstLine="560"/>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eastAsia="方正仿宋_GBK"/>
          <w:color w:val="000000"/>
          <w:sz w:val="28"/>
          <w:szCs w:val="28"/>
        </w:rPr>
        <w:t xml:space="preserve">（</w:t>
      </w:r>
      <w:r>
        <w:rPr>
          <w:rFonts w:eastAsia="方正仿宋_GBK"/>
          <w:sz w:val="28"/>
          <w:szCs w:val="28"/>
        </w:rPr>
        <w:t xml:space="preserve">www.creditchina.gov.cn</w:t>
      </w:r>
      <w:r>
        <w:rPr>
          <w:rFonts w:eastAsia="方正仿宋_GBK"/>
          <w:color w:val="000000"/>
          <w:sz w:val="28"/>
          <w:szCs w:val="28"/>
        </w:rPr>
        <w:t xml:space="preserve">）</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w:t>
      </w:r>
      <w:bookmarkStart w:id="214" w:name="OLE_LINK2"/>
      <w:r/>
      <w:bookmarkStart w:id="215" w:name="OLE_LINK1"/>
      <w:r>
        <w:rPr>
          <w:rFonts w:hint="eastAsia" w:ascii="方正仿宋_GBK" w:hAnsi="方正仿宋_GBK" w:eastAsia="方正仿宋_GBK" w:cs="方正仿宋_GBK"/>
          <w:color w:val="000000"/>
          <w:sz w:val="28"/>
          <w:szCs w:val="28"/>
        </w:rPr>
        <w:t xml:space="preserve">（格式见附件8）</w:t>
      </w:r>
      <w:bookmarkEnd w:id="214"/>
      <w:r/>
      <w:bookmarkEnd w:id="215"/>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10.联合体协议（格式见附件11）</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总备注：上述“资格审查内容”中1—6条、8、9条投标人必须在投标文件中提供相关材料，否则作无效投标处理；10条如投标人为联合体则必须提供，否则作无效投标处理。</w:t>
      </w:r>
      <w:r/>
    </w:p>
    <w:p>
      <w:pPr>
        <w:ind w:firstLine="560"/>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p>
    <w:p>
      <w:pPr>
        <w:ind w:firstLine="560"/>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p>
    <w:p>
      <w:pPr>
        <w:ind w:firstLine="480"/>
        <w:spacing w:line="400" w:lineRule="exact"/>
        <w:rPr>
          <w:rFonts w:ascii="宋体" w:hAnsi="宋体"/>
          <w:sz w:val="24"/>
          <w:szCs w:val="21"/>
        </w:rPr>
      </w:pPr>
      <w:r>
        <w:rPr>
          <w:rFonts w:ascii="宋体" w:hAnsi="宋体"/>
          <w:sz w:val="24"/>
          <w:szCs w:val="21"/>
        </w:rPr>
      </w:r>
      <w:r/>
    </w:p>
    <w:p>
      <w:pPr>
        <w:ind w:left="480"/>
        <w:spacing w:line="400" w:lineRule="exact"/>
        <w:rPr>
          <w:rFonts w:ascii="宋体" w:hAnsi="宋体"/>
          <w:b/>
          <w:sz w:val="28"/>
          <w:szCs w:val="28"/>
        </w:rPr>
      </w:pPr>
      <w:r>
        <w:rPr>
          <w:rFonts w:ascii="宋体" w:hAnsi="宋体"/>
          <w:b/>
          <w:sz w:val="28"/>
          <w:szCs w:val="28"/>
        </w:rPr>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开标一览表</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gridSpan w:val="2"/>
            <w:tcW w:w="8886"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r>
        <w:trPr>
          <w:cantSplit/>
          <w:trHeight w:val="505"/>
        </w:trPr>
        <w:tc>
          <w:tcPr>
            <w:tcW w:w="2481"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p>
        </w:tc>
        <w:tc>
          <w:tcPr>
            <w:tcW w:w="640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spacing w:line="400" w:lineRule="exact"/>
        <w:rPr>
          <w:rFonts w:ascii="宋体" w:hAnsi="宋体"/>
          <w:sz w:val="28"/>
          <w:szCs w:val="28"/>
        </w:rPr>
      </w:pPr>
      <w:r>
        <w:rPr>
          <w:rFonts w:ascii="宋体" w:hAnsi="宋体"/>
          <w:sz w:val="28"/>
          <w:szCs w:val="28"/>
        </w:rPr>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投标分项报价表（采购包号：XX）</w:t>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900"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728"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38"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38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92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1008"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966"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57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900"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p>
        </w:tc>
        <w:tc>
          <w:tcPr>
            <w:tcW w:w="728"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938"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106"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38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p>
        </w:tc>
        <w:tc>
          <w:tcPr>
            <w:tcW w:w="92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1008"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966"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57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0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72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3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0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385" w:type="dxa"/>
            <w:vAlign w:val="center"/>
            <w:textDirection w:val="lrTb"/>
            <w:noWrap w:val="false"/>
          </w:tcPr>
          <w:p>
            <w:pPr>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tc>
        <w:tc>
          <w:tcPr>
            <w:tcW w:w="924"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0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0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72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3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0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38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24"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0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90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72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3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0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38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24"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0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00"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基础装修</w:t>
            </w:r>
            <w:r/>
          </w:p>
        </w:tc>
        <w:tc>
          <w:tcPr>
            <w:tcW w:w="72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3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0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38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24"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0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900"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72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3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0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38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24"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0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0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72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3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10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385"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24"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08"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66" w:type="dxa"/>
            <w:vAlign w:val="center"/>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434"/>
        </w:trPr>
        <w:tc>
          <w:tcPr>
            <w:gridSpan w:val="10"/>
            <w:tcW w:w="9514" w:type="dxa"/>
            <w:textDirection w:val="lrTb"/>
            <w:noWrap w:val="false"/>
          </w:tcPr>
          <w:p>
            <w:pPr>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67"/>
        </w:trPr>
        <w:tc>
          <w:tcPr>
            <w:gridSpan w:val="10"/>
            <w:tcW w:w="9514" w:type="dxa"/>
            <w:textDirection w:val="lrTb"/>
            <w:noWrap w:val="false"/>
          </w:tcPr>
          <w:p>
            <w:pPr>
              <w:pStyle w:val="915"/>
              <w:jc w:val="both"/>
              <w:spacing w:before="0" w:beforeAutospacing="0" w:after="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p>
        </w:tc>
      </w:tr>
    </w:tbl>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装修、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2"/>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投标人须在分项报价表中列明基础装修总价。</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4.投标人需认真填写本报价表，尤其注意规格型号的准确填写。</w:t>
      </w:r>
      <w:r/>
    </w:p>
    <w:p>
      <w:pPr>
        <w:spacing w:line="400" w:lineRule="exact"/>
        <w:rPr>
          <w:rFonts w:ascii="宋体" w:hAnsi="宋体"/>
          <w:b/>
          <w:sz w:val="28"/>
          <w:szCs w:val="28"/>
        </w:rPr>
      </w:pPr>
      <w:r>
        <w:rPr>
          <w:rFonts w:ascii="宋体" w:hAnsi="宋体"/>
          <w:b/>
          <w:sz w:val="28"/>
          <w:szCs w:val="28"/>
        </w:rPr>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191"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063"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spacing w:line="400" w:lineRule="exact"/>
        <w:rPr>
          <w:rFonts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附件4 商务要求响应及偏离表（采购包号：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p>
        </w:tc>
        <w:tc>
          <w:tcPr>
            <w:tcW w:w="3191"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191"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063"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spacing w:line="400" w:lineRule="exact"/>
        <w:rPr>
          <w:rFonts w:ascii="宋体" w:hAnsi="宋体"/>
          <w:b/>
          <w:color w:val="000000"/>
          <w:sz w:val="28"/>
          <w:szCs w:val="28"/>
        </w:rPr>
      </w:pPr>
      <w:r>
        <w:rPr>
          <w:rFonts w:ascii="宋体" w:hAnsi="宋体"/>
          <w:b/>
          <w:color w:val="000000"/>
          <w:sz w:val="28"/>
          <w:szCs w:val="28"/>
        </w:rPr>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spacing w:line="400" w:lineRule="exact"/>
        <w:rPr>
          <w:rFonts w:ascii="宋体" w:hAnsi="宋体"/>
          <w:bCs/>
          <w:color w:val="000000"/>
          <w:sz w:val="28"/>
          <w:szCs w:val="28"/>
        </w:rPr>
      </w:pPr>
      <w:r>
        <w:rPr>
          <w:rFonts w:hint="eastAsia" w:ascii="宋体" w:hAnsi="宋体"/>
          <w:bCs/>
          <w:color w:val="000000"/>
          <w:sz w:val="28"/>
          <w:szCs w:val="28"/>
        </w:rPr>
        <w:t xml:space="preserve">                                     </w:t>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Start w:id="216" w:name="_Toc120614284"/>
      <w:r/>
      <w:bookmarkEnd w:id="211"/>
      <w:r/>
      <w:bookmarkEnd w:id="212"/>
      <w:r/>
      <w:bookmarkEnd w:id="213"/>
      <w:r/>
      <w:r/>
    </w:p>
    <w:p>
      <w:pPr>
        <w:spacing w:line="400" w:lineRule="exact"/>
        <w:rPr>
          <w:rFonts w:ascii="宋体" w:hAnsi="宋体"/>
          <w:b/>
          <w:color w:val="000000"/>
          <w:sz w:val="28"/>
          <w:szCs w:val="28"/>
        </w:rPr>
      </w:pPr>
      <w:r>
        <w:rPr>
          <w:rFonts w:ascii="宋体" w:hAnsi="宋体"/>
          <w:b/>
          <w:color w:val="000000"/>
          <w:sz w:val="28"/>
          <w:szCs w:val="28"/>
        </w:rPr>
      </w:r>
      <w:r/>
    </w:p>
    <w:p>
      <w:pPr>
        <w:ind w:firstLine="480"/>
        <w:spacing w:line="400" w:lineRule="exact"/>
        <w:rPr>
          <w:rFonts w:ascii="宋体" w:hAnsi="宋体"/>
          <w:b/>
          <w:color w:val="000000"/>
          <w:sz w:val="28"/>
          <w:szCs w:val="28"/>
        </w:rPr>
      </w:pPr>
      <w:r>
        <w:rPr>
          <w:rFonts w:ascii="宋体" w:hAnsi="宋体"/>
          <w:b/>
          <w:color w:val="000000"/>
          <w:sz w:val="28"/>
          <w:szCs w:val="28"/>
        </w:rPr>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ind w:firstLine="560"/>
        <w:spacing w:line="400" w:lineRule="exact"/>
        <w:tabs>
          <w:tab w:val="left" w:pos="360" w:leader="none"/>
        </w:tabs>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ind w:firstLine="560"/>
        <w:spacing w:line="400" w:lineRule="exact"/>
        <w:tabs>
          <w:tab w:val="left" w:pos="360" w:leader="none"/>
        </w:tabs>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p>
    <w:p>
      <w:pPr>
        <w:ind w:firstLine="560"/>
        <w:spacing w:line="400" w:lineRule="exact"/>
        <w:tabs>
          <w:tab w:val="left" w:pos="360" w:leader="none"/>
        </w:tabs>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p>
    <w:p>
      <w:pPr>
        <w:ind w:firstLine="560"/>
        <w:spacing w:line="400" w:lineRule="exact"/>
        <w:tabs>
          <w:tab w:val="left" w:pos="360" w:leader="none"/>
        </w:tabs>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p>
    <w:p>
      <w:pPr>
        <w:ind w:firstLine="560"/>
        <w:spacing w:line="400" w:lineRule="exact"/>
        <w:tabs>
          <w:tab w:val="left" w:pos="360" w:leader="none"/>
        </w:tabs>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p>
    <w:p>
      <w:pPr>
        <w:ind w:firstLine="560"/>
        <w:spacing w:line="400" w:lineRule="exact"/>
        <w:tabs>
          <w:tab w:val="left" w:pos="360" w:leader="none"/>
        </w:tabs>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217" w:name="_格式3__银行出具的资信证明"/>
      <w:r/>
      <w:bookmarkStart w:id="218" w:name="_Hlt26671380"/>
      <w:r/>
      <w:bookmarkStart w:id="219" w:name="_Hlt26955070"/>
      <w:r/>
      <w:bookmarkEnd w:id="217"/>
      <w:r/>
      <w:bookmarkEnd w:id="218"/>
      <w:r/>
      <w:bookmarkEnd w:id="219"/>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p>
    <w:p>
      <w:pPr>
        <w:ind w:firstLine="420"/>
        <w:spacing w:line="400" w:lineRule="exact"/>
        <w:rPr>
          <w:color w:val="000000"/>
          <w:sz w:val="28"/>
          <w:szCs w:val="28"/>
        </w:rPr>
      </w:pPr>
      <w:r>
        <w:rPr>
          <w:color w:val="000000"/>
          <w:sz w:val="28"/>
          <w:szCs w:val="28"/>
        </w:rPr>
      </w:r>
      <w:r/>
    </w:p>
    <w:p>
      <w:pPr>
        <w:spacing w:line="400" w:lineRule="exact"/>
        <w:rPr>
          <w:rFonts w:ascii="黑体" w:hAnsi="黑体" w:eastAsia="黑体"/>
          <w:b/>
          <w:i/>
          <w:color w:val="000000"/>
          <w:sz w:val="28"/>
          <w:szCs w:val="28"/>
          <w:u w:val="single"/>
        </w:rPr>
      </w:pPr>
      <w:r>
        <w:rPr>
          <w:rFonts w:hint="eastAsia" w:ascii="方正黑体_GBK" w:hAnsi="方正黑体_GBK" w:eastAsia="方正黑体_GBK" w:cs="方正黑体_GBK"/>
          <w:bCs/>
          <w:sz w:val="28"/>
          <w:szCs w:val="28"/>
        </w:rPr>
        <w:t xml:space="preserve">附件8                    投标函</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w:t>
      </w:r>
      <w:r>
        <w:rPr>
          <w:rFonts w:hint="eastAsia" w:ascii="方正仿宋_GBK" w:hAnsi="方正仿宋_GBK" w:eastAsia="方正仿宋_GBK" w:cs="方正仿宋_GBK"/>
          <w:color w:val="000000"/>
          <w:sz w:val="28"/>
          <w:szCs w:val="28"/>
        </w:rPr>
        <w:t xml:space="preserve">的招标文件，正式授权下述签字人</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(姓名)代表我方</w:t>
      </w:r>
      <w:r>
        <w:rPr>
          <w:rFonts w:eastAsia="方正仿宋_GBK"/>
          <w:sz w:val="28"/>
          <w:szCs w:val="28"/>
          <w:u w:val="single"/>
        </w:rPr>
        <w:t xml:space="preserve">XX</w:t>
      </w:r>
      <w:r>
        <w:rPr>
          <w:rFonts w:hint="eastAsia" w:ascii="方正仿宋_GBK" w:hAnsi="方正仿宋_GBK" w:eastAsia="方正仿宋_GBK" w:cs="方正仿宋_GBK"/>
          <w:color w:val="000000"/>
          <w:sz w:val="28"/>
          <w:szCs w:val="28"/>
        </w:rPr>
        <w:t xml:space="preserve">（投标人的名称），全权处理本次项目投标的有关事宜。</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签字人兹宣布同意如下：</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1.按招标文件规定的各项要求，向买方提供所需货物（包含与货物相关的服务）。</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6.一旦我方中标,我方将根据招标文件的规定，严格履行合同的责任和义务,并保证在招标文件规定的时间内完成项目，交付买方验收、使用。</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p>
    <w:p>
      <w:pPr>
        <w:ind w:left="420" w:firstLine="560"/>
        <w:spacing w:line="400" w:lineRule="exact"/>
        <w:rPr>
          <w:rFonts w:ascii="宋体" w:hAnsi="宋体"/>
          <w:sz w:val="28"/>
          <w:szCs w:val="28"/>
        </w:rPr>
      </w:pPr>
      <w:r>
        <w:rPr>
          <w:rFonts w:ascii="宋体" w:hAnsi="宋体"/>
          <w:sz w:val="28"/>
          <w:szCs w:val="28"/>
        </w:rPr>
      </w:r>
      <w:r/>
    </w:p>
    <w:p>
      <w:pPr>
        <w:ind w:left="383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p>
    <w:p>
      <w:pPr>
        <w:ind w:left="3830"/>
        <w:spacing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p>
    <w:p>
      <w:pPr>
        <w:ind w:firstLine="280"/>
        <w:spacing w:line="400" w:lineRule="exact"/>
        <w:rPr>
          <w:rFonts w:ascii="宋体" w:hAnsi="宋体"/>
          <w:bCs/>
          <w:color w:val="000000"/>
          <w:sz w:val="28"/>
          <w:szCs w:val="28"/>
        </w:rPr>
      </w:pPr>
      <w:r>
        <w:rPr>
          <w:rFonts w:ascii="宋体" w:hAnsi="宋体"/>
          <w:bCs/>
          <w:color w:val="000000"/>
          <w:sz w:val="28"/>
          <w:szCs w:val="28"/>
        </w:rPr>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中小微企业声明函（货物类项目）（采购包号：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（采购单位名称）采购编号为</w:t>
      </w:r>
      <w:r>
        <w:rPr>
          <w:rFonts w:eastAsia="方正仿宋_GBK"/>
          <w:color w:val="000000"/>
          <w:sz w:val="28"/>
          <w:szCs w:val="28"/>
        </w:rPr>
        <w:t xml:space="preserve">JSZC-320000-SCZX-G20XX-XXXX</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p>
    <w:p>
      <w:pPr>
        <w:ind w:firstLine="560"/>
        <w:spacing w:line="400" w:lineRule="exact"/>
        <w:rPr>
          <w:rFonts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400" w:lineRule="exact"/>
        <w:rPr>
          <w:rFonts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180"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p>
    <w:p>
      <w:pPr>
        <w:ind w:right="480" w:firstLine="364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color w:val="000000"/>
          <w:sz w:val="28"/>
          <w:szCs w:val="28"/>
        </w:rPr>
        <w:t xml:space="preserve">___年____月____日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spacing w:line="400" w:lineRule="exact"/>
        <w:rPr>
          <w:rFonts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rPr>
        <w:t xml:space="preserve">                            </w:t>
      </w:r>
      <w:r>
        <w:rPr>
          <w:rFonts w:ascii="宋体" w:hAnsi="宋体"/>
          <w:color w:val="ff0000"/>
          <w:sz w:val="28"/>
          <w:szCs w:val="28"/>
        </w:rPr>
        <w:t xml:space="preserve">        </w:t>
      </w:r>
      <w:r/>
    </w:p>
    <w:p>
      <w:pPr>
        <w:ind w:firstLine="560"/>
        <w:spacing w:line="400" w:lineRule="exact"/>
        <w:rPr>
          <w:rFonts w:ascii="宋体" w:hAnsi="宋体"/>
          <w:color w:val="ff0000"/>
          <w:sz w:val="28"/>
          <w:szCs w:val="28"/>
        </w:rPr>
      </w:pPr>
      <w:r>
        <w:rPr>
          <w:rFonts w:ascii="宋体" w:hAnsi="宋体"/>
          <w:color w:val="ff0000"/>
          <w:sz w:val="28"/>
          <w:szCs w:val="28"/>
        </w:rPr>
      </w:r>
      <w:r/>
    </w:p>
    <w:p>
      <w:pPr>
        <w:ind w:firstLine="560"/>
        <w:spacing w:line="400" w:lineRule="exact"/>
        <w:rPr>
          <w:rFonts w:ascii="宋体" w:hAnsi="宋体"/>
          <w:color w:val="ff0000"/>
          <w:sz w:val="28"/>
          <w:szCs w:val="28"/>
        </w:rPr>
      </w:pPr>
      <w:r>
        <w:rPr>
          <w:rFonts w:ascii="宋体" w:hAnsi="宋体"/>
          <w:color w:val="ff0000"/>
          <w:sz w:val="28"/>
          <w:szCs w:val="28"/>
        </w:rPr>
      </w:r>
      <w:r/>
    </w:p>
    <w:p>
      <w:pPr>
        <w:ind w:firstLine="560"/>
        <w:spacing w:line="400" w:lineRule="exact"/>
        <w:rPr>
          <w:rFonts w:ascii="宋体" w:hAnsi="宋体"/>
          <w:color w:val="ff0000"/>
          <w:sz w:val="28"/>
          <w:szCs w:val="28"/>
        </w:rPr>
      </w:pPr>
      <w:r>
        <w:rPr>
          <w:rFonts w:hint="eastAsia" w:ascii="方正黑体_GBK" w:hAnsi="方正黑体_GBK" w:eastAsia="方正黑体_GBK" w:cs="方正黑体_GBK"/>
          <w:bCs/>
          <w:sz w:val="28"/>
          <w:szCs w:val="28"/>
        </w:rPr>
        <w:t xml:space="preserve">附件10残疾人福利性单位声明函（货物类项目）（采购包号：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eastAsia="方正仿宋_GBK"/>
          <w:color w:val="000000"/>
          <w:sz w:val="28"/>
          <w:szCs w:val="28"/>
        </w:rPr>
        <w:t xml:space="preserve">JSZC-320000-SCZX-G20XX-XXXX</w:t>
      </w:r>
      <w:r>
        <w:rPr>
          <w:rFonts w:eastAsia="方正仿宋_GBK"/>
          <w:sz w:val="28"/>
          <w:szCs w:val="28"/>
        </w:rPr>
        <w:t xml:space="preserve">，</w:t>
      </w:r>
      <w:r>
        <w:rPr>
          <w:rFonts w:hint="eastAsia" w:ascii="方正仿宋_GBK" w:hAnsi="方正仿宋_GBK" w:eastAsia="方正仿宋_GBK" w:cs="方正仿宋_GBK"/>
          <w:sz w:val="28"/>
          <w:szCs w:val="28"/>
          <w:u w:val="single"/>
        </w:rPr>
        <w:t xml:space="preserve">      </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firstLine="584"/>
        <w:spacing w:line="400" w:lineRule="exact"/>
        <w:rPr>
          <w:rFonts w:ascii="仿宋_GB2312" w:eastAsia="仿宋_GB2312"/>
          <w:spacing w:val="6"/>
          <w:sz w:val="28"/>
          <w:szCs w:val="28"/>
        </w:rPr>
      </w:pPr>
      <w:r>
        <w:rPr>
          <w:rFonts w:ascii="仿宋_GB2312" w:eastAsia="仿宋_GB2312"/>
          <w:spacing w:val="6"/>
          <w:sz w:val="28"/>
          <w:szCs w:val="28"/>
        </w:rPr>
      </w:r>
      <w:r/>
    </w:p>
    <w:p>
      <w:pPr>
        <w:ind w:right="180" w:firstLine="584"/>
        <w:spacing w:line="400" w:lineRule="exact"/>
        <w:rPr>
          <w:rFonts w:ascii="方正仿宋_GBK" w:hAnsi="方正仿宋_GBK" w:eastAsia="方正仿宋_GBK" w:cs="方正仿宋_GBK"/>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ind w:right="180"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期：___年____月____日 </w:t>
      </w:r>
      <w:r/>
    </w:p>
    <w:p>
      <w:pPr>
        <w:spacing w:line="400" w:lineRule="exact"/>
        <w:rPr>
          <w:rFonts w:ascii="黑体" w:hAnsi="黑体" w:eastAsia="黑体"/>
          <w:b/>
          <w:sz w:val="28"/>
          <w:szCs w:val="28"/>
        </w:rPr>
      </w:pPr>
      <w:r>
        <w:rPr>
          <w:rFonts w:ascii="黑体" w:hAnsi="黑体" w:eastAsia="黑体"/>
          <w:b/>
          <w:sz w:val="28"/>
          <w:szCs w:val="28"/>
        </w:rPr>
      </w:r>
      <w:r/>
    </w:p>
    <w:p>
      <w:pPr>
        <w:spacing w:line="400" w:lineRule="exact"/>
        <w:rPr>
          <w:rFonts w:ascii="黑体" w:hAnsi="黑体" w:eastAsia="黑体"/>
          <w:b/>
          <w:sz w:val="28"/>
          <w:szCs w:val="28"/>
        </w:rPr>
      </w:pPr>
      <w:r>
        <w:rPr>
          <w:rFonts w:ascii="黑体" w:hAnsi="黑体" w:eastAsia="黑体"/>
          <w:b/>
          <w:sz w:val="28"/>
          <w:szCs w:val="28"/>
        </w:rPr>
      </w:r>
      <w:r/>
    </w:p>
    <w:p>
      <w:pPr>
        <w:ind w:firstLine="560"/>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w:t>
      </w:r>
      <w:r/>
    </w:p>
    <w:p>
      <w:pPr>
        <w:spacing w:line="400" w:lineRule="exact"/>
        <w:rPr>
          <w:rFonts w:ascii="宋体" w:hAnsi="宋体"/>
          <w:sz w:val="28"/>
          <w:szCs w:val="28"/>
        </w:rPr>
      </w:pPr>
      <w:r>
        <w:rPr>
          <w:rFonts w:ascii="宋体" w:hAnsi="宋体"/>
          <w:sz w:val="28"/>
          <w:szCs w:val="28"/>
        </w:rPr>
        <w:t xml:space="preserve">      </w:t>
      </w:r>
      <w:r>
        <w:rPr>
          <w:rFonts w:hint="eastAsia" w:ascii="宋体" w:hAnsi="宋体"/>
          <w:sz w:val="28"/>
          <w:szCs w:val="28"/>
        </w:rPr>
        <w:t xml:space="preserve">            </w:t>
      </w:r>
      <w:r/>
    </w:p>
    <w:p>
      <w:pPr>
        <w:ind w:right="180" w:firstLine="420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ind w:right="180"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p>
    <w:p>
      <w:pPr>
        <w:ind w:firstLine="645"/>
        <w:spacing w:line="400" w:lineRule="exact"/>
        <w:rPr>
          <w:rFonts w:ascii="宋体" w:hAnsi="宋体"/>
          <w:sz w:val="28"/>
          <w:szCs w:val="28"/>
        </w:rPr>
      </w:pPr>
      <w:r>
        <w:rPr>
          <w:rFonts w:ascii="宋体" w:hAnsi="宋体"/>
          <w:sz w:val="28"/>
          <w:szCs w:val="28"/>
        </w:rPr>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备注：1、联合体各成员单位均须在联合体协议上加盖公章。</w:t>
      </w:r>
      <w:r/>
    </w:p>
    <w:p>
      <w:pPr>
        <w:ind w:firstLine="140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2、本招标文件中要求加盖CA电子签章的地方，仅需加盖牵头单位的CA电子签章。</w:t>
      </w:r>
      <w:r/>
    </w:p>
    <w:p>
      <w:pPr>
        <w:ind w:firstLine="645"/>
        <w:spacing w:line="400" w:lineRule="exact"/>
        <w:rPr>
          <w:rFonts w:ascii="宋体" w:hAnsi="宋体"/>
          <w:color w:val="000000"/>
          <w:sz w:val="28"/>
          <w:szCs w:val="28"/>
        </w:rPr>
      </w:pPr>
      <w:r>
        <w:rPr>
          <w:rFonts w:ascii="宋体" w:hAnsi="宋体"/>
          <w:color w:val="000000"/>
          <w:sz w:val="28"/>
          <w:szCs w:val="28"/>
        </w:rPr>
      </w:r>
      <w:r/>
    </w:p>
    <w:p>
      <w:pPr>
        <w:ind w:firstLine="645"/>
        <w:spacing w:line="400" w:lineRule="exact"/>
        <w:rPr>
          <w:rFonts w:ascii="宋体" w:hAnsi="宋体"/>
          <w:color w:val="000000"/>
          <w:sz w:val="28"/>
          <w:szCs w:val="28"/>
        </w:rPr>
      </w:pPr>
      <w:r>
        <w:rPr>
          <w:rFonts w:ascii="宋体" w:hAnsi="宋体"/>
          <w:color w:val="000000"/>
          <w:sz w:val="28"/>
          <w:szCs w:val="28"/>
        </w:rPr>
      </w:r>
      <w:r/>
    </w:p>
    <w:p>
      <w:pPr>
        <w:ind w:firstLine="560"/>
        <w:spacing w:line="400" w:lineRule="exact"/>
        <w:rPr>
          <w:rFonts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附件12实质性要求响应及偏离表（采购包号：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p>
        </w:tc>
        <w:tc>
          <w:tcPr>
            <w:tcW w:w="3317"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317"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317"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609" w:type="dxa"/>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spacing w:line="400" w:lineRule="exact"/>
        <w:rPr>
          <w:rFonts w:ascii="宋体" w:hAnsi="宋体"/>
          <w:sz w:val="28"/>
          <w:szCs w:val="28"/>
        </w:rPr>
      </w:pPr>
      <w:r>
        <w:rPr>
          <w:rFonts w:ascii="宋体" w:hAnsi="宋体"/>
          <w:sz w:val="28"/>
          <w:szCs w:val="28"/>
        </w:rPr>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spacing w:line="400" w:lineRule="exact"/>
        <w:rPr>
          <w:rFonts w:ascii="宋体" w:hAnsi="宋体"/>
          <w:sz w:val="28"/>
          <w:szCs w:val="28"/>
        </w:rPr>
      </w:pPr>
      <w:r>
        <w:rPr>
          <w:rFonts w:ascii="宋体" w:hAnsi="宋体"/>
          <w:sz w:val="28"/>
          <w:szCs w:val="28"/>
        </w:rPr>
      </w:r>
      <w:r/>
    </w:p>
    <w:p>
      <w:pPr>
        <w:ind w:firstLine="280"/>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915"/>
        <w:ind w:firstLine="560"/>
        <w:jc w:val="both"/>
        <w:spacing w:before="0" w:beforeAutospacing="0" w:after="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5"/>
        <w:ind w:firstLine="560"/>
        <w:jc w:val="both"/>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925"/>
          <w:rFonts w:hint="eastAsia" w:ascii="方正仿宋_GBK" w:hAnsi="方正仿宋_GBK" w:eastAsia="方正仿宋_GBK" w:cs="方正仿宋_GBK"/>
          <w:i w:val="0"/>
          <w:sz w:val="28"/>
          <w:szCs w:val="28"/>
          <w:u w:val="single"/>
          <w:shd w:val="clear" w:color="auto" w:fill="ffffff"/>
        </w:rPr>
        <w:t xml:space="preserve">（产品名称1）</w:t>
      </w:r>
      <w:r>
        <w:rPr>
          <w:rStyle w:val="925"/>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925"/>
          <w:rFonts w:hint="eastAsia" w:ascii="方正仿宋_GBK" w:hAnsi="方正仿宋_GBK" w:eastAsia="方正仿宋_GBK" w:cs="方正仿宋_GBK"/>
          <w:i w:val="0"/>
          <w:sz w:val="28"/>
          <w:szCs w:val="28"/>
          <w:u w:val="single"/>
          <w:shd w:val="clear" w:color="auto" w:fill="ffffff"/>
        </w:rPr>
        <w:t xml:space="preserve">（厂名）</w:t>
      </w:r>
      <w:r>
        <w:rPr>
          <w:rStyle w:val="925"/>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925"/>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25"/>
          <w:rFonts w:hint="eastAsia" w:ascii="方正仿宋_GBK" w:hAnsi="方正仿宋_GBK" w:eastAsia="方正仿宋_GBK" w:cs="方正仿宋_GBK"/>
          <w:i w:val="0"/>
          <w:sz w:val="28"/>
          <w:szCs w:val="28"/>
          <w:u w:val="single"/>
          <w:shd w:val="clear" w:color="auto" w:fill="ffffff"/>
        </w:rPr>
        <w:t xml:space="preserve">/  </w:t>
      </w:r>
      <w:r>
        <w:rPr>
          <w:rStyle w:val="925"/>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25"/>
          <w:rFonts w:hint="eastAsia" w:ascii="方正仿宋_GBK" w:hAnsi="方正仿宋_GBK" w:eastAsia="方正仿宋_GBK" w:cs="方正仿宋_GBK"/>
          <w:i w:val="0"/>
          <w:sz w:val="28"/>
          <w:szCs w:val="28"/>
          <w:u w:val="single"/>
          <w:shd w:val="clear" w:color="auto" w:fill="ffffff"/>
        </w:rPr>
        <w:t xml:space="preserve">/  </w:t>
      </w:r>
      <w:r>
        <w:rPr>
          <w:rStyle w:val="925"/>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25"/>
          <w:rFonts w:hint="eastAsia" w:ascii="方正仿宋_GBK" w:hAnsi="方正仿宋_GBK" w:eastAsia="方正仿宋_GBK" w:cs="方正仿宋_GBK"/>
          <w:i w:val="0"/>
          <w:sz w:val="28"/>
          <w:szCs w:val="28"/>
          <w:u w:val="single"/>
          <w:shd w:val="clear" w:color="auto" w:fill="ffffff"/>
        </w:rPr>
        <w:t xml:space="preserve">/  </w:t>
      </w:r>
      <w:r>
        <w:rPr>
          <w:rStyle w:val="925"/>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p>
    <w:p>
      <w:pPr>
        <w:pStyle w:val="915"/>
        <w:ind w:firstLine="560"/>
        <w:jc w:val="both"/>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925"/>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925"/>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925"/>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p>
    <w:p>
      <w:pPr>
        <w:pStyle w:val="915"/>
        <w:ind w:firstLine="560"/>
        <w:jc w:val="both"/>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p>
    <w:p>
      <w:pPr>
        <w:pStyle w:val="915"/>
        <w:ind w:firstLine="560"/>
        <w:jc w:val="both"/>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p>
    <w:p>
      <w:pPr>
        <w:pStyle w:val="915"/>
        <w:jc w:val="both"/>
        <w:spacing w:before="30" w:beforeAutospacing="0" w:after="30" w:afterAutospacing="0" w:line="400" w:lineRule="exact"/>
        <w:rPr>
          <w:sz w:val="28"/>
          <w:szCs w:val="28"/>
        </w:rPr>
      </w:pPr>
      <w:r>
        <w:rPr>
          <w:sz w:val="28"/>
          <w:szCs w:val="28"/>
        </w:rPr>
      </w:r>
      <w:r/>
    </w:p>
    <w:p>
      <w:pPr>
        <w:pStyle w:val="915"/>
        <w:ind w:firstLine="560"/>
        <w:jc w:val="both"/>
        <w:spacing w:before="30" w:beforeAutospacing="0" w:after="30" w:afterAutospacing="0" w:line="400" w:lineRule="exact"/>
        <w:rPr>
          <w:sz w:val="28"/>
          <w:szCs w:val="28"/>
        </w:rPr>
      </w:pPr>
      <w:r>
        <w:rPr>
          <w:rFonts w:hint="eastAsia"/>
          <w:sz w:val="28"/>
          <w:szCs w:val="28"/>
          <w:shd w:val="clear" w:color="auto" w:fill="ffffff"/>
        </w:rPr>
        <w:t xml:space="preserve">  </w:t>
      </w:r>
      <w:r>
        <w:rPr>
          <w:rFonts w:hint="eastAsia" w:ascii="方正仿宋_GBK" w:hAnsi="方正仿宋_GBK" w:eastAsia="方正仿宋_GBK" w:cs="方正仿宋_GBK"/>
          <w:sz w:val="28"/>
          <w:szCs w:val="28"/>
          <w:shd w:val="clear" w:color="auto" w:fill="ffffff"/>
        </w:rPr>
        <w:t xml:space="preserve">                   公司（单位）名称（加盖CA电子公章）：　  日期：___年____月____日   </w:t>
      </w:r>
      <w:r>
        <w:rPr>
          <w:rFonts w:hint="eastAsia"/>
          <w:sz w:val="28"/>
          <w:szCs w:val="28"/>
          <w:shd w:val="clear" w:color="auto" w:fill="ffffff"/>
        </w:rPr>
        <w:t xml:space="preserve">     </w:t>
      </w:r>
      <w:r/>
    </w:p>
    <w:p>
      <w:pPr>
        <w:pStyle w:val="915"/>
        <w:jc w:val="both"/>
        <w:spacing w:before="30" w:beforeAutospacing="0" w:after="30" w:afterAutospacing="0" w:line="400" w:lineRule="exact"/>
        <w:rPr>
          <w:sz w:val="28"/>
          <w:szCs w:val="28"/>
        </w:rPr>
      </w:pPr>
      <w:r>
        <w:rPr>
          <w:rFonts w:hint="eastAsia"/>
          <w:sz w:val="28"/>
          <w:szCs w:val="28"/>
          <w:shd w:val="clear" w:color="auto" w:fill="ffffff"/>
        </w:rPr>
        <w:t xml:space="preserve">__________________</w:t>
      </w:r>
      <w:r/>
    </w:p>
    <w:p>
      <w:pPr>
        <w:pStyle w:val="915"/>
        <w:jc w:val="both"/>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p>
    <w:p>
      <w:pPr>
        <w:pStyle w:val="915"/>
        <w:jc w:val="both"/>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p>
    <w:p>
      <w:pPr>
        <w:pStyle w:val="915"/>
        <w:jc w:val="both"/>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p>
    <w:p>
      <w:pPr>
        <w:pStyle w:val="915"/>
        <w:jc w:val="both"/>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p>
    <w:p>
      <w:pPr>
        <w:pStyle w:val="915"/>
        <w:jc w:val="both"/>
        <w:spacing w:before="30" w:beforeAutospacing="0" w:after="30" w:afterAutospacing="0" w:line="400" w:lineRule="exact"/>
        <w:rPr>
          <w:rFonts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915"/>
        <w:jc w:val="both"/>
        <w:spacing w:before="30" w:beforeAutospacing="0" w:after="30" w:afterAutospacing="0" w:line="400" w:lineRule="exact"/>
        <w:rPr>
          <w:rFonts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9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bookmarkEnd w:id="216"/>
      <w:r/>
      <w:r/>
    </w:p>
    <w:p>
      <w:pPr>
        <w:jc w:val="center"/>
        <w:spacing w:line="400" w:lineRule="exact"/>
        <w:rPr>
          <w:rFonts w:ascii="方正黑体_GBK" w:hAnsi="方正黑体_GBK" w:eastAsia="方正黑体_GBK" w:cs="方正黑体_GBK"/>
          <w:bCs/>
          <w:sz w:val="28"/>
          <w:szCs w:val="28"/>
        </w:rPr>
      </w:pPr>
      <w:r>
        <w:rPr>
          <w:rFonts w:ascii="黑体" w:hAnsi="黑体" w:eastAsia="黑体"/>
          <w:b/>
          <w:color w:val="000000"/>
          <w:sz w:val="28"/>
          <w:szCs w:val="28"/>
        </w:rPr>
        <w:br w:type="page" w:clear="all"/>
      </w:r>
      <w:r>
        <w:rPr>
          <w:rFonts w:hint="eastAsia" w:ascii="方正黑体_GBK" w:hAnsi="方正黑体_GBK" w:eastAsia="方正黑体_GBK" w:cs="方正黑体_GBK"/>
          <w:bCs/>
          <w:sz w:val="28"/>
          <w:szCs w:val="28"/>
        </w:rPr>
        <w:t xml:space="preserve">质疑函范本</w:t>
      </w:r>
      <w:r/>
    </w:p>
    <w:p>
      <w:pPr>
        <w:spacing w:before="312"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p>
    <w:p>
      <w:pPr>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p>
    <w:p>
      <w:pPr>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p>
    <w:p>
      <w:pPr>
        <w:ind w:firstLine="560"/>
        <w:spacing w:line="400" w:lineRule="exact"/>
        <w:rPr>
          <w:rFonts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p>
    <w:p>
      <w:pPr>
        <w:ind w:firstLine="560"/>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p>
    <w:p>
      <w:pPr>
        <w:ind w:firstLine="560"/>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p>
    <w:p>
      <w:pPr>
        <w:ind w:firstLine="560"/>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p>
    <w:p>
      <w:pPr>
        <w:ind w:firstLine="560"/>
        <w:spacing w:line="400" w:lineRule="exac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p>
    <w:p>
      <w:pPr>
        <w:ind w:firstLine="560"/>
        <w:spacing w:line="400" w:lineRule="exact"/>
        <w:widowControl/>
        <w:rPr>
          <w:rFonts w:ascii="宋体" w:hAnsi="宋体" w:cs="宋体"/>
          <w:b/>
          <w:bCs/>
          <w:spacing w:val="-20"/>
          <w:sz w:val="32"/>
          <w:szCs w:val="32"/>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w:panose1 w:val="020B0502040204020203"/>
  </w:font>
  <w:font w:name="仿宋">
    <w:panose1 w:val="02010609060101010101"/>
  </w:font>
  <w:font w:name="方正楷体_GBK">
    <w:panose1 w:val="020B05030202020202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749935" cy="38417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49935" cy="384175"/>
                      </a:xfrm>
                      <a:prstGeom prst="rect">
                        <a:avLst/>
                      </a:prstGeom>
                      <a:noFill/>
                      <a:ln>
                        <a:noFill/>
                      </a:ln>
                    </wps:spPr>
                    <wps:txbx>
                      <w:txbxContent>
                        <w:p>
                          <w:pPr>
                            <w:pStyle w:val="90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59.0pt;height:30.2pt;mso-wrap-distance-left:9.0pt;mso-wrap-distance-top:0.0pt;mso-wrap-distance-right:9.0pt;mso-wrap-distance-bottom:0.0pt;visibility:visible;" filled="f" stroked="f">
              <v:textbox inset="0,0,0,0">
                <w:txbxContent>
                  <w:p>
                    <w:pPr>
                      <w:pStyle w:val="90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p>
  <w:p>
    <w:pPr>
      <w:pStyle w:val="9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38835" cy="38417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838835" cy="384175"/>
                      </a:xfrm>
                      <a:prstGeom prst="rect">
                        <a:avLst/>
                      </a:prstGeom>
                      <a:noFill/>
                      <a:ln>
                        <a:noFill/>
                      </a:ln>
                    </wps:spPr>
                    <wps:txbx>
                      <w:txbxContent>
                        <w:p>
                          <w:pPr>
                            <w:pStyle w:val="90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66.0pt;height:30.2pt;mso-wrap-distance-left:9.0pt;mso-wrap-distance-top:0.0pt;mso-wrap-distance-right:9.0pt;mso-wrap-distance-bottom:0.0pt;visibility:visible;" filled="f" stroked="f">
              <v:textbox inset="0,0,0,0">
                <w:txbxContent>
                  <w:p>
                    <w:pPr>
                      <w:pStyle w:val="902"/>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rStyle w:val="924"/>
      </w:rPr>
      <w:framePr w:wrap="around" w:vAnchor="text" w:hAnchor="margin" w:xAlign="center" w:y="1"/>
    </w:pPr>
    <w:r>
      <w:fldChar w:fldCharType="begin"/>
    </w:r>
    <w:r>
      <w:rPr>
        <w:rStyle w:val="924"/>
      </w:rPr>
      <w:instrText xml:space="preserve">PAGE  </w:instrText>
    </w:r>
    <w:r>
      <w:fldChar w:fldCharType="separate"/>
    </w:r>
    <w:r>
      <w:rPr>
        <w:rStyle w:val="924"/>
      </w:rPr>
      <w:t xml:space="preserve">1</w:t>
    </w:r>
    <w:r>
      <w:fldChar w:fldCharType="end"/>
    </w:r>
    <w:r/>
  </w:p>
  <w:p>
    <w:pPr>
      <w:pStyle w:val="9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upperLetter"/>
      <w:pStyle w:val="110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0">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7">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8">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0">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1">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2">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3">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4">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7"/>
      <w:isLgl w:val="false"/>
      <w:suff w:val="nothing"/>
      <w:lvlText w:val=""/>
      <w:lvlJc w:val="left"/>
      <w:pPr>
        <w:ind w:left="0" w:firstLine="0"/>
      </w:pPr>
      <w:rPr>
        <w:rFonts w:hint="eastAsia"/>
      </w:rPr>
    </w:lvl>
    <w:lvl w:ilvl="6">
      <w:start w:val="1"/>
      <w:numFmt w:val="decimal"/>
      <w:pStyle w:val="878"/>
      <w:isLgl w:val="false"/>
      <w:suff w:val="nothing"/>
      <w:lvlText w:val=""/>
      <w:lvlJc w:val="left"/>
      <w:pPr>
        <w:ind w:left="0" w:firstLine="0"/>
      </w:pPr>
      <w:rPr>
        <w:rFonts w:hint="eastAsia"/>
      </w:rPr>
    </w:lvl>
    <w:lvl w:ilvl="7">
      <w:start w:val="1"/>
      <w:numFmt w:val="decimal"/>
      <w:pStyle w:val="879"/>
      <w:isLgl w:val="false"/>
      <w:suff w:val="nothing"/>
      <w:lvlText w:val=""/>
      <w:lvlJc w:val="left"/>
      <w:pPr>
        <w:ind w:left="0" w:firstLine="0"/>
      </w:pPr>
      <w:rPr>
        <w:rFonts w:hint="eastAsia"/>
      </w:rPr>
    </w:lvl>
    <w:lvl w:ilvl="8">
      <w:start w:val="1"/>
      <w:numFmt w:val="decimal"/>
      <w:pStyle w:val="880"/>
      <w:isLgl w:val="false"/>
      <w:suff w:val="nothing"/>
      <w:lvlText w:val=""/>
      <w:lvlJc w:val="left"/>
      <w:pPr>
        <w:ind w:left="0" w:firstLine="0"/>
      </w:pPr>
      <w:rPr>
        <w:rFonts w:hint="eastAsia"/>
      </w:rPr>
    </w:lvl>
  </w:abstractNum>
  <w:abstractNum w:abstractNumId="36">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9">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0">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1">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2">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3">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4">
    <w:multiLevelType w:val="hybridMultilevel"/>
    <w:lvl w:ilvl="0">
      <w:start w:val="1"/>
      <w:numFmt w:val="decimalEnclosedCircleChinese"/>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pStyle w:val="112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6">
    <w:multiLevelType w:val="hybridMultilevel"/>
    <w:lvl w:ilvl="0">
      <w:start w:val="1"/>
      <w:numFmt w:val="decimal"/>
      <w:isLgl w:val="false"/>
      <w:suff w:val="nothing"/>
      <w:lvlText w:val="%1."/>
      <w:lvlJc w:val="left"/>
      <w:pPr>
        <w:ind w:left="189" w:hanging="189"/>
      </w:pPr>
      <w:rPr>
        <w:rFonts w:hint="default"/>
        <w:b w:val="0"/>
        <w:bCs w:val="0"/>
        <w:sz w:val="20"/>
        <w:szCs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35"/>
  </w:num>
  <w:num w:numId="2">
    <w:abstractNumId w:val="14"/>
  </w:num>
  <w:num w:numId="3">
    <w:abstractNumId w:val="45"/>
  </w:num>
  <w:num w:numId="4">
    <w:abstractNumId w:val="44"/>
    <w:lvlOverride w:ilvl="0">
      <w:startOverride w:val="1"/>
    </w:lvlOverride>
  </w:num>
  <w:num w:numId="5">
    <w:abstractNumId w:val="25"/>
  </w:num>
  <w:num w:numId="6">
    <w:abstractNumId w:val="18"/>
  </w:num>
  <w:num w:numId="7">
    <w:abstractNumId w:val="37"/>
  </w:num>
  <w:num w:numId="8">
    <w:abstractNumId w:val="21"/>
  </w:num>
  <w:num w:numId="9">
    <w:abstractNumId w:val="28"/>
  </w:num>
  <w:num w:numId="10">
    <w:abstractNumId w:val="23"/>
  </w:num>
  <w:num w:numId="11">
    <w:abstractNumId w:val="36"/>
  </w:num>
  <w:num w:numId="12">
    <w:abstractNumId w:val="24"/>
  </w:num>
  <w:num w:numId="13">
    <w:abstractNumId w:val="4"/>
  </w:num>
  <w:num w:numId="14">
    <w:abstractNumId w:val="20"/>
  </w:num>
  <w:num w:numId="15">
    <w:abstractNumId w:val="1"/>
  </w:num>
  <w:num w:numId="16">
    <w:abstractNumId w:val="39"/>
  </w:num>
  <w:num w:numId="17">
    <w:abstractNumId w:val="40"/>
  </w:num>
  <w:num w:numId="18">
    <w:abstractNumId w:val="19"/>
  </w:num>
  <w:num w:numId="19">
    <w:abstractNumId w:val="27"/>
  </w:num>
  <w:num w:numId="20">
    <w:abstractNumId w:val="42"/>
  </w:num>
  <w:num w:numId="21">
    <w:abstractNumId w:val="31"/>
  </w:num>
  <w:num w:numId="22">
    <w:abstractNumId w:val="10"/>
  </w:num>
  <w:num w:numId="23">
    <w:abstractNumId w:val="22"/>
  </w:num>
  <w:num w:numId="24">
    <w:abstractNumId w:val="8"/>
  </w:num>
  <w:num w:numId="25">
    <w:abstractNumId w:val="3"/>
  </w:num>
  <w:num w:numId="26">
    <w:abstractNumId w:val="46"/>
  </w:num>
  <w:num w:numId="27">
    <w:abstractNumId w:val="5"/>
  </w:num>
  <w:num w:numId="28">
    <w:abstractNumId w:val="13"/>
  </w:num>
  <w:num w:numId="29">
    <w:abstractNumId w:val="29"/>
  </w:num>
  <w:num w:numId="30">
    <w:abstractNumId w:val="17"/>
  </w:num>
  <w:num w:numId="31">
    <w:abstractNumId w:val="33"/>
  </w:num>
  <w:num w:numId="32">
    <w:abstractNumId w:val="7"/>
  </w:num>
  <w:num w:numId="33">
    <w:abstractNumId w:val="26"/>
  </w:num>
  <w:num w:numId="34">
    <w:abstractNumId w:val="30"/>
  </w:num>
  <w:num w:numId="35">
    <w:abstractNumId w:val="41"/>
  </w:num>
  <w:num w:numId="36">
    <w:abstractNumId w:val="16"/>
  </w:num>
  <w:num w:numId="37">
    <w:abstractNumId w:val="12"/>
  </w:num>
  <w:num w:numId="38">
    <w:abstractNumId w:val="2"/>
  </w:num>
  <w:num w:numId="39">
    <w:abstractNumId w:val="43"/>
  </w:num>
  <w:num w:numId="40">
    <w:abstractNumId w:val="38"/>
  </w:num>
  <w:num w:numId="41">
    <w:abstractNumId w:val="11"/>
  </w:num>
  <w:num w:numId="42">
    <w:abstractNumId w:val="0"/>
  </w:num>
  <w:num w:numId="43">
    <w:abstractNumId w:val="9"/>
  </w:num>
  <w:num w:numId="44">
    <w:abstractNumId w:val="15"/>
  </w:num>
  <w:num w:numId="45">
    <w:abstractNumId w:val="6"/>
  </w:num>
  <w:num w:numId="46">
    <w:abstractNumId w:val="32"/>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5">
    <w:name w:val="Title Char"/>
    <w:basedOn w:val="881"/>
    <w:link w:val="917"/>
    <w:uiPriority w:val="10"/>
    <w:rPr>
      <w:sz w:val="48"/>
      <w:szCs w:val="48"/>
    </w:rPr>
  </w:style>
  <w:style w:type="character" w:styleId="846">
    <w:name w:val="Subtitle Char"/>
    <w:basedOn w:val="881"/>
    <w:link w:val="906"/>
    <w:uiPriority w:val="11"/>
    <w:rPr>
      <w:sz w:val="24"/>
      <w:szCs w:val="24"/>
    </w:rPr>
  </w:style>
  <w:style w:type="character" w:styleId="847">
    <w:name w:val="Quote Char"/>
    <w:link w:val="942"/>
    <w:uiPriority w:val="29"/>
    <w:rPr>
      <w:i/>
    </w:rPr>
  </w:style>
  <w:style w:type="character" w:styleId="848">
    <w:name w:val="Intense Quote Char"/>
    <w:link w:val="944"/>
    <w:uiPriority w:val="30"/>
    <w:rPr>
      <w:i/>
    </w:rPr>
  </w:style>
  <w:style w:type="table" w:styleId="849">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4">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5">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6">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9">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8">
    <w:name w:val="Footnote Text Char"/>
    <w:link w:val="908"/>
    <w:uiPriority w:val="99"/>
    <w:rPr>
      <w:sz w:val="18"/>
    </w:rPr>
  </w:style>
  <w:style w:type="character" w:styleId="869">
    <w:name w:val="Endnote Text Char"/>
    <w:link w:val="900"/>
    <w:uiPriority w:val="99"/>
    <w:rPr>
      <w:sz w:val="20"/>
    </w:rPr>
  </w:style>
  <w:style w:type="paragraph" w:styleId="870">
    <w:name w:val="TOC Heading"/>
    <w:uiPriority w:val="39"/>
    <w:unhideWhenUsed/>
  </w:style>
  <w:style w:type="paragraph" w:styleId="871" w:default="1">
    <w:name w:val="Normal"/>
    <w:qFormat/>
    <w:pPr>
      <w:jc w:val="both"/>
      <w:widowControl w:val="off"/>
    </w:pPr>
    <w:rPr>
      <w:sz w:val="21"/>
      <w:szCs w:val="22"/>
    </w:rPr>
  </w:style>
  <w:style w:type="paragraph" w:styleId="872">
    <w:name w:val="Heading 1"/>
    <w:basedOn w:val="871"/>
    <w:next w:val="871"/>
    <w:link w:val="1077"/>
    <w:uiPriority w:val="9"/>
    <w:qFormat/>
    <w:pPr>
      <w:jc w:val="center"/>
      <w:keepNext/>
      <w:outlineLvl w:val="0"/>
    </w:pPr>
    <w:rPr>
      <w:rFonts w:ascii="楷体_GB2312" w:eastAsia="楷体_GB2312"/>
      <w:sz w:val="28"/>
      <w:szCs w:val="28"/>
    </w:rPr>
  </w:style>
  <w:style w:type="paragraph" w:styleId="873">
    <w:name w:val="Heading 2"/>
    <w:basedOn w:val="871"/>
    <w:next w:val="884"/>
    <w:link w:val="1078"/>
    <w:qFormat/>
    <w:pPr>
      <w:jc w:val="center"/>
      <w:keepLines/>
      <w:keepNext/>
      <w:spacing w:before="260" w:after="260" w:line="416" w:lineRule="auto"/>
      <w:outlineLvl w:val="1"/>
    </w:pPr>
    <w:rPr>
      <w:rFonts w:ascii="Arial" w:hAnsi="Arial" w:eastAsia="幼圆" w:cs="Arial"/>
      <w:b/>
      <w:bCs/>
      <w:sz w:val="44"/>
      <w:szCs w:val="44"/>
    </w:rPr>
  </w:style>
  <w:style w:type="paragraph" w:styleId="874">
    <w:name w:val="Heading 3"/>
    <w:basedOn w:val="871"/>
    <w:next w:val="871"/>
    <w:link w:val="1080"/>
    <w:uiPriority w:val="9"/>
    <w:qFormat/>
    <w:pPr>
      <w:keepLines/>
      <w:keepNext/>
      <w:spacing w:before="260" w:after="260" w:line="416" w:lineRule="auto"/>
      <w:outlineLvl w:val="2"/>
    </w:pPr>
    <w:rPr>
      <w:b/>
      <w:bCs/>
      <w:sz w:val="32"/>
      <w:szCs w:val="32"/>
    </w:rPr>
  </w:style>
  <w:style w:type="paragraph" w:styleId="875">
    <w:name w:val="Heading 4"/>
    <w:basedOn w:val="871"/>
    <w:next w:val="884"/>
    <w:link w:val="1081"/>
    <w:uiPriority w:val="9"/>
    <w:qFormat/>
    <w:pPr>
      <w:keepLines/>
      <w:keepNext/>
      <w:spacing w:before="280" w:after="290" w:line="376" w:lineRule="auto"/>
      <w:outlineLvl w:val="3"/>
    </w:pPr>
    <w:rPr>
      <w:rFonts w:ascii="Arial" w:hAnsi="Arial" w:eastAsia="黑体" w:cs="Arial"/>
      <w:b/>
      <w:bCs/>
      <w:sz w:val="28"/>
      <w:szCs w:val="28"/>
    </w:rPr>
  </w:style>
  <w:style w:type="paragraph" w:styleId="876">
    <w:name w:val="Heading 5"/>
    <w:basedOn w:val="871"/>
    <w:next w:val="884"/>
    <w:link w:val="1082"/>
    <w:uiPriority w:val="9"/>
    <w:qFormat/>
    <w:pPr>
      <w:keepNext/>
      <w:outlineLvl w:val="4"/>
    </w:pPr>
    <w:rPr>
      <w:rFonts w:ascii="宋体"/>
      <w:color w:val="000000"/>
      <w:sz w:val="28"/>
      <w:szCs w:val="28"/>
    </w:rPr>
  </w:style>
  <w:style w:type="paragraph" w:styleId="877">
    <w:name w:val="Heading 6"/>
    <w:basedOn w:val="871"/>
    <w:next w:val="871"/>
    <w:link w:val="1083"/>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Heading 7"/>
    <w:basedOn w:val="871"/>
    <w:next w:val="871"/>
    <w:link w:val="1084"/>
    <w:uiPriority w:val="9"/>
    <w:qFormat/>
    <w:pPr>
      <w:numPr>
        <w:ilvl w:val="6"/>
        <w:numId w:val="1"/>
      </w:numPr>
      <w:keepLines/>
      <w:keepNext/>
      <w:spacing w:before="240" w:after="64" w:line="320" w:lineRule="auto"/>
      <w:outlineLvl w:val="6"/>
    </w:pPr>
    <w:rPr>
      <w:b/>
      <w:bCs/>
      <w:sz w:val="24"/>
      <w:szCs w:val="24"/>
    </w:rPr>
  </w:style>
  <w:style w:type="paragraph" w:styleId="879">
    <w:name w:val="Heading 8"/>
    <w:basedOn w:val="871"/>
    <w:next w:val="871"/>
    <w:link w:val="1085"/>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Heading 9"/>
    <w:basedOn w:val="871"/>
    <w:next w:val="871"/>
    <w:link w:val="1086"/>
    <w:uiPriority w:val="9"/>
    <w:qFormat/>
    <w:pPr>
      <w:numPr>
        <w:ilvl w:val="8"/>
        <w:numId w:val="1"/>
      </w:numPr>
      <w:keepLines/>
      <w:keepNext/>
      <w:spacing w:before="240" w:after="64" w:line="320" w:lineRule="auto"/>
      <w:outlineLvl w:val="8"/>
    </w:pPr>
    <w:rPr>
      <w:rFonts w:ascii="Arial" w:hAnsi="Arial" w:eastAsia="黑体"/>
      <w:szCs w:val="21"/>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name w:val="Normal Indent"/>
    <w:basedOn w:val="871"/>
    <w:link w:val="1079"/>
    <w:qFormat/>
    <w:pPr>
      <w:ind w:firstLine="420"/>
    </w:pPr>
    <w:rPr>
      <w:szCs w:val="21"/>
    </w:rPr>
  </w:style>
  <w:style w:type="paragraph" w:styleId="885">
    <w:name w:val="List 3"/>
    <w:basedOn w:val="871"/>
    <w:qFormat/>
    <w:pPr>
      <w:ind w:left="100" w:hanging="200"/>
    </w:pPr>
    <w:rPr>
      <w:szCs w:val="21"/>
    </w:rPr>
  </w:style>
  <w:style w:type="paragraph" w:styleId="886">
    <w:name w:val="toc 7"/>
    <w:basedOn w:val="871"/>
    <w:next w:val="871"/>
    <w:uiPriority w:val="39"/>
    <w:qFormat/>
    <w:pPr>
      <w:ind w:left="1260"/>
      <w:jc w:val="left"/>
    </w:pPr>
    <w:rPr>
      <w:szCs w:val="21"/>
    </w:rPr>
  </w:style>
  <w:style w:type="paragraph" w:styleId="887">
    <w:name w:val="Caption"/>
    <w:basedOn w:val="871"/>
    <w:next w:val="871"/>
    <w:uiPriority w:val="35"/>
    <w:unhideWhenUsed/>
    <w:qFormat/>
    <w:pPr>
      <w:spacing w:line="276" w:lineRule="auto"/>
    </w:pPr>
    <w:rPr>
      <w:b/>
      <w:bCs/>
      <w:color w:val="4f81bd"/>
      <w:sz w:val="18"/>
      <w:szCs w:val="18"/>
    </w:rPr>
  </w:style>
  <w:style w:type="paragraph" w:styleId="888">
    <w:name w:val="Document Map"/>
    <w:basedOn w:val="871"/>
    <w:link w:val="1087"/>
    <w:semiHidden/>
    <w:qFormat/>
    <w:pPr>
      <w:shd w:val="clear" w:color="auto" w:fill="000080"/>
    </w:pPr>
    <w:rPr>
      <w:szCs w:val="21"/>
    </w:rPr>
  </w:style>
  <w:style w:type="paragraph" w:styleId="889">
    <w:name w:val="annotation text"/>
    <w:basedOn w:val="871"/>
    <w:link w:val="1088"/>
    <w:unhideWhenUsed/>
    <w:qFormat/>
    <w:pPr>
      <w:jc w:val="left"/>
    </w:pPr>
  </w:style>
  <w:style w:type="paragraph" w:styleId="890">
    <w:name w:val="Body Text 3"/>
    <w:basedOn w:val="871"/>
    <w:link w:val="1089"/>
    <w:qFormat/>
    <w:rPr>
      <w:rFonts w:ascii="仿宋_GB2312" w:hAnsi="Arial" w:eastAsia="仿宋_GB2312"/>
      <w:sz w:val="32"/>
      <w:szCs w:val="32"/>
    </w:rPr>
  </w:style>
  <w:style w:type="paragraph" w:styleId="891">
    <w:name w:val="Body Text"/>
    <w:basedOn w:val="871"/>
    <w:link w:val="1090"/>
    <w:qFormat/>
    <w:rPr>
      <w:rFonts w:ascii="楷体_GB2312" w:hAnsi="Arial" w:eastAsia="楷体_GB2312"/>
      <w:sz w:val="28"/>
      <w:szCs w:val="28"/>
    </w:rPr>
  </w:style>
  <w:style w:type="paragraph" w:styleId="892">
    <w:name w:val="Body Text Indent"/>
    <w:basedOn w:val="871"/>
    <w:link w:val="1091"/>
    <w:unhideWhenUsed/>
    <w:qFormat/>
    <w:pPr>
      <w:ind w:left="420"/>
      <w:spacing w:after="120"/>
    </w:pPr>
  </w:style>
  <w:style w:type="paragraph" w:styleId="893">
    <w:name w:val="List 2"/>
    <w:basedOn w:val="871"/>
    <w:qFormat/>
    <w:pPr>
      <w:ind w:left="100" w:hanging="200"/>
    </w:pPr>
    <w:rPr>
      <w:szCs w:val="21"/>
    </w:rPr>
  </w:style>
  <w:style w:type="paragraph" w:styleId="894">
    <w:name w:val="toc 5"/>
    <w:basedOn w:val="871"/>
    <w:next w:val="871"/>
    <w:uiPriority w:val="39"/>
    <w:qFormat/>
    <w:pPr>
      <w:ind w:left="840"/>
      <w:jc w:val="left"/>
    </w:pPr>
    <w:rPr>
      <w:szCs w:val="21"/>
    </w:rPr>
  </w:style>
  <w:style w:type="paragraph" w:styleId="895">
    <w:name w:val="toc 3"/>
    <w:basedOn w:val="871"/>
    <w:next w:val="871"/>
    <w:uiPriority w:val="39"/>
    <w:qFormat/>
    <w:pPr>
      <w:ind w:left="420"/>
      <w:jc w:val="left"/>
    </w:pPr>
    <w:rPr>
      <w:i/>
      <w:iCs/>
      <w:szCs w:val="24"/>
    </w:rPr>
  </w:style>
  <w:style w:type="paragraph" w:styleId="896">
    <w:name w:val="Plain Text"/>
    <w:basedOn w:val="871"/>
    <w:link w:val="1092"/>
    <w:qFormat/>
    <w:rPr>
      <w:rFonts w:ascii="宋体" w:hAnsi="Courier New" w:cs="Courier New"/>
      <w:szCs w:val="21"/>
    </w:rPr>
  </w:style>
  <w:style w:type="paragraph" w:styleId="897">
    <w:name w:val="toc 8"/>
    <w:basedOn w:val="871"/>
    <w:next w:val="871"/>
    <w:uiPriority w:val="39"/>
    <w:qFormat/>
    <w:pPr>
      <w:ind w:left="1470"/>
      <w:jc w:val="left"/>
    </w:pPr>
    <w:rPr>
      <w:szCs w:val="21"/>
    </w:rPr>
  </w:style>
  <w:style w:type="paragraph" w:styleId="898">
    <w:name w:val="Date"/>
    <w:basedOn w:val="871"/>
    <w:next w:val="871"/>
    <w:link w:val="1093"/>
    <w:qFormat/>
    <w:rPr>
      <w:sz w:val="24"/>
      <w:szCs w:val="24"/>
    </w:rPr>
  </w:style>
  <w:style w:type="paragraph" w:styleId="899">
    <w:name w:val="Body Text Indent 2"/>
    <w:basedOn w:val="871"/>
    <w:link w:val="1094"/>
    <w:qFormat/>
    <w:pPr>
      <w:ind w:left="630" w:firstLine="645"/>
    </w:pPr>
    <w:rPr>
      <w:rFonts w:ascii="Arial" w:hAnsi="Arial" w:eastAsia="仿宋_GB2312" w:cs="Arial"/>
      <w:sz w:val="32"/>
      <w:szCs w:val="32"/>
    </w:rPr>
  </w:style>
  <w:style w:type="paragraph" w:styleId="900">
    <w:name w:val="endnote text"/>
    <w:basedOn w:val="871"/>
    <w:link w:val="1075"/>
    <w:uiPriority w:val="99"/>
    <w:unhideWhenUsed/>
    <w:qFormat/>
    <w:rPr>
      <w:sz w:val="20"/>
    </w:rPr>
  </w:style>
  <w:style w:type="paragraph" w:styleId="901">
    <w:name w:val="Balloon Text"/>
    <w:basedOn w:val="871"/>
    <w:link w:val="1095"/>
    <w:uiPriority w:val="99"/>
    <w:qFormat/>
    <w:rPr>
      <w:sz w:val="18"/>
      <w:szCs w:val="18"/>
    </w:rPr>
  </w:style>
  <w:style w:type="paragraph" w:styleId="902">
    <w:name w:val="Footer"/>
    <w:basedOn w:val="871"/>
    <w:link w:val="1096"/>
    <w:uiPriority w:val="99"/>
    <w:qFormat/>
    <w:pPr>
      <w:jc w:val="left"/>
      <w:tabs>
        <w:tab w:val="center" w:pos="4153" w:leader="none"/>
        <w:tab w:val="right" w:pos="8306" w:leader="none"/>
      </w:tabs>
    </w:pPr>
    <w:rPr>
      <w:sz w:val="18"/>
      <w:szCs w:val="18"/>
    </w:rPr>
  </w:style>
  <w:style w:type="paragraph" w:styleId="903">
    <w:name w:val="Header"/>
    <w:basedOn w:val="871"/>
    <w:link w:val="1097"/>
    <w:uiPriority w:val="99"/>
    <w:qFormat/>
    <w:pPr>
      <w:jc w:val="center"/>
      <w:tabs>
        <w:tab w:val="center" w:pos="4153" w:leader="none"/>
        <w:tab w:val="right" w:pos="8306" w:leader="none"/>
      </w:tabs>
      <w:pBdr>
        <w:bottom w:val="single" w:color="000000" w:sz="6" w:space="1"/>
      </w:pBdr>
    </w:pPr>
    <w:rPr>
      <w:sz w:val="18"/>
      <w:szCs w:val="18"/>
    </w:rPr>
  </w:style>
  <w:style w:type="paragraph" w:styleId="904">
    <w:name w:val="toc 1"/>
    <w:basedOn w:val="871"/>
    <w:next w:val="871"/>
    <w:uiPriority w:val="39"/>
    <w:qFormat/>
    <w:pPr>
      <w:jc w:val="left"/>
      <w:spacing w:before="120" w:after="120" w:line="400" w:lineRule="exact"/>
      <w:tabs>
        <w:tab w:val="right" w:pos="8720" w:leader="dot"/>
      </w:tabs>
    </w:pPr>
    <w:rPr>
      <w:rFonts w:ascii="宋体" w:hAnsi="宋体"/>
      <w:caps/>
      <w:sz w:val="24"/>
      <w:szCs w:val="24"/>
    </w:rPr>
  </w:style>
  <w:style w:type="paragraph" w:styleId="905">
    <w:name w:val="toc 4"/>
    <w:basedOn w:val="871"/>
    <w:next w:val="871"/>
    <w:uiPriority w:val="39"/>
    <w:qFormat/>
    <w:pPr>
      <w:ind w:left="630"/>
      <w:jc w:val="left"/>
    </w:pPr>
    <w:rPr>
      <w:szCs w:val="21"/>
    </w:rPr>
  </w:style>
  <w:style w:type="paragraph" w:styleId="906">
    <w:name w:val="Subtitle"/>
    <w:basedOn w:val="871"/>
    <w:next w:val="871"/>
    <w:link w:val="941"/>
    <w:uiPriority w:val="11"/>
    <w:qFormat/>
    <w:pPr>
      <w:spacing w:before="200" w:after="200"/>
    </w:pPr>
    <w:rPr>
      <w:sz w:val="24"/>
      <w:szCs w:val="24"/>
    </w:rPr>
  </w:style>
  <w:style w:type="paragraph" w:styleId="907">
    <w:name w:val="List"/>
    <w:basedOn w:val="871"/>
    <w:qFormat/>
    <w:pPr>
      <w:ind w:left="200" w:hanging="200"/>
    </w:pPr>
    <w:rPr>
      <w:szCs w:val="21"/>
    </w:rPr>
  </w:style>
  <w:style w:type="paragraph" w:styleId="908">
    <w:name w:val="footnote text"/>
    <w:basedOn w:val="871"/>
    <w:link w:val="1074"/>
    <w:uiPriority w:val="99"/>
    <w:unhideWhenUsed/>
    <w:qFormat/>
    <w:pPr>
      <w:spacing w:after="40"/>
    </w:pPr>
    <w:rPr>
      <w:sz w:val="18"/>
    </w:rPr>
  </w:style>
  <w:style w:type="paragraph" w:styleId="909">
    <w:name w:val="toc 6"/>
    <w:basedOn w:val="871"/>
    <w:next w:val="871"/>
    <w:uiPriority w:val="39"/>
    <w:qFormat/>
    <w:pPr>
      <w:ind w:left="1050"/>
      <w:jc w:val="left"/>
    </w:pPr>
    <w:rPr>
      <w:szCs w:val="21"/>
    </w:rPr>
  </w:style>
  <w:style w:type="paragraph" w:styleId="910">
    <w:name w:val="Body Text Indent 3"/>
    <w:basedOn w:val="871"/>
    <w:link w:val="1098"/>
    <w:qFormat/>
    <w:pPr>
      <w:ind w:left="645" w:firstLine="645"/>
    </w:pPr>
    <w:rPr>
      <w:rFonts w:ascii="Arial" w:hAnsi="Arial" w:eastAsia="仿宋_GB2312" w:cs="Arial"/>
      <w:color w:val="ffff00"/>
      <w:sz w:val="32"/>
      <w:szCs w:val="32"/>
    </w:rPr>
  </w:style>
  <w:style w:type="paragraph" w:styleId="911">
    <w:name w:val="table of figures"/>
    <w:basedOn w:val="871"/>
    <w:next w:val="871"/>
    <w:uiPriority w:val="99"/>
    <w:qFormat/>
    <w:pPr>
      <w:ind w:left="840" w:hanging="420"/>
    </w:pPr>
    <w:rPr>
      <w:szCs w:val="21"/>
    </w:rPr>
  </w:style>
  <w:style w:type="paragraph" w:styleId="912">
    <w:name w:val="toc 2"/>
    <w:basedOn w:val="871"/>
    <w:next w:val="871"/>
    <w:uiPriority w:val="39"/>
    <w:qFormat/>
    <w:pPr>
      <w:ind w:left="210"/>
      <w:jc w:val="left"/>
    </w:pPr>
    <w:rPr>
      <w:smallCaps/>
      <w:szCs w:val="24"/>
    </w:rPr>
  </w:style>
  <w:style w:type="paragraph" w:styleId="913">
    <w:name w:val="toc 9"/>
    <w:basedOn w:val="871"/>
    <w:next w:val="871"/>
    <w:uiPriority w:val="39"/>
    <w:qFormat/>
    <w:pPr>
      <w:ind w:left="1680"/>
      <w:jc w:val="left"/>
    </w:pPr>
    <w:rPr>
      <w:szCs w:val="21"/>
    </w:rPr>
  </w:style>
  <w:style w:type="paragraph" w:styleId="914">
    <w:name w:val="Body Text 2"/>
    <w:basedOn w:val="871"/>
    <w:link w:val="1099"/>
    <w:qFormat/>
    <w:pPr>
      <w:jc w:val="center"/>
      <w:widowControl/>
    </w:pPr>
    <w:rPr>
      <w:rFonts w:ascii="楷体_GB2312" w:eastAsia="楷体_GB2312"/>
      <w:sz w:val="28"/>
      <w:szCs w:val="28"/>
    </w:rPr>
  </w:style>
  <w:style w:type="paragraph" w:styleId="915">
    <w:name w:val="Normal (Web)"/>
    <w:basedOn w:val="871"/>
    <w:uiPriority w:val="99"/>
    <w:qFormat/>
    <w:pPr>
      <w:jc w:val="left"/>
      <w:spacing w:before="100" w:beforeAutospacing="1" w:after="100" w:afterAutospacing="1"/>
      <w:widowControl/>
    </w:pPr>
    <w:rPr>
      <w:rFonts w:ascii="宋体" w:hAnsi="宋体" w:cs="宋体"/>
      <w:sz w:val="24"/>
      <w:szCs w:val="24"/>
    </w:rPr>
  </w:style>
  <w:style w:type="paragraph" w:styleId="916">
    <w:name w:val="index 1"/>
    <w:basedOn w:val="871"/>
    <w:next w:val="871"/>
    <w:semiHidden/>
    <w:qFormat/>
    <w:pPr>
      <w:spacing w:line="240" w:lineRule="atLeast"/>
    </w:pPr>
    <w:rPr>
      <w:b/>
      <w:bCs/>
      <w:szCs w:val="21"/>
    </w:rPr>
  </w:style>
  <w:style w:type="paragraph" w:styleId="917">
    <w:name w:val="Title"/>
    <w:basedOn w:val="871"/>
    <w:next w:val="871"/>
    <w:link w:val="940"/>
    <w:uiPriority w:val="10"/>
    <w:qFormat/>
    <w:pPr>
      <w:contextualSpacing/>
      <w:spacing w:before="300" w:after="200"/>
    </w:pPr>
    <w:rPr>
      <w:sz w:val="48"/>
      <w:szCs w:val="48"/>
    </w:rPr>
  </w:style>
  <w:style w:type="paragraph" w:styleId="918">
    <w:name w:val="annotation subject"/>
    <w:basedOn w:val="889"/>
    <w:next w:val="889"/>
    <w:link w:val="1100"/>
    <w:uiPriority w:val="99"/>
    <w:qFormat/>
    <w:rPr>
      <w:b/>
      <w:bCs/>
      <w:szCs w:val="21"/>
    </w:rPr>
  </w:style>
  <w:style w:type="paragraph" w:styleId="919">
    <w:name w:val="Body Text First Indent"/>
    <w:basedOn w:val="871"/>
    <w:link w:val="1101"/>
    <w:qFormat/>
    <w:pPr>
      <w:ind w:firstLine="200"/>
      <w:spacing w:line="360" w:lineRule="auto"/>
    </w:pPr>
    <w:rPr>
      <w:rFonts w:ascii="仿宋_GB2312" w:eastAsia="仿宋_GB2312"/>
      <w:sz w:val="30"/>
      <w:szCs w:val="30"/>
    </w:rPr>
  </w:style>
  <w:style w:type="paragraph" w:styleId="920">
    <w:name w:val="Body Text First Indent 2"/>
    <w:basedOn w:val="892"/>
    <w:link w:val="1102"/>
    <w:qFormat/>
    <w:pPr>
      <w:ind w:left="0" w:firstLine="420"/>
      <w:spacing w:after="0" w:line="360" w:lineRule="auto"/>
    </w:pPr>
    <w:rPr>
      <w:rFonts w:ascii="宋体" w:hAnsi="宋体"/>
      <w:szCs w:val="20"/>
    </w:rPr>
  </w:style>
  <w:style w:type="table" w:styleId="921">
    <w:name w:val="Table Grid"/>
    <w:basedOn w:val="88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2">
    <w:name w:val="Strong"/>
    <w:qFormat/>
    <w:rPr>
      <w:b/>
      <w:bCs/>
    </w:rPr>
  </w:style>
  <w:style w:type="character" w:styleId="923">
    <w:name w:val="endnote reference"/>
    <w:uiPriority w:val="99"/>
    <w:unhideWhenUsed/>
    <w:qFormat/>
    <w:rPr>
      <w:vertAlign w:val="superscript"/>
    </w:rPr>
  </w:style>
  <w:style w:type="character" w:styleId="924">
    <w:name w:val="page number"/>
    <w:qFormat/>
  </w:style>
  <w:style w:type="character" w:styleId="925">
    <w:name w:val="Emphasis"/>
    <w:qFormat/>
    <w:rPr>
      <w:i/>
    </w:rPr>
  </w:style>
  <w:style w:type="character" w:styleId="926">
    <w:name w:val="Hyperlink"/>
    <w:uiPriority w:val="99"/>
    <w:qFormat/>
    <w:rPr>
      <w:color w:val="0000ff"/>
      <w:u w:val="single"/>
    </w:rPr>
  </w:style>
  <w:style w:type="character" w:styleId="927">
    <w:name w:val="annotation reference"/>
    <w:qFormat/>
    <w:rPr>
      <w:sz w:val="21"/>
      <w:szCs w:val="21"/>
    </w:rPr>
  </w:style>
  <w:style w:type="character" w:styleId="928">
    <w:name w:val="footnote reference"/>
    <w:uiPriority w:val="99"/>
    <w:unhideWhenUsed/>
    <w:qFormat/>
    <w:rPr>
      <w:vertAlign w:val="superscript"/>
    </w:rPr>
  </w:style>
  <w:style w:type="character" w:styleId="929" w:customStyle="1">
    <w:name w:val="Heading 1 Char"/>
    <w:uiPriority w:val="9"/>
    <w:qFormat/>
    <w:rPr>
      <w:rFonts w:ascii="Arial" w:hAnsi="Arial" w:eastAsia="Arial" w:cs="Arial"/>
      <w:sz w:val="40"/>
      <w:szCs w:val="40"/>
    </w:rPr>
  </w:style>
  <w:style w:type="character" w:styleId="930" w:customStyle="1">
    <w:name w:val="Heading 2 Char"/>
    <w:uiPriority w:val="9"/>
    <w:qFormat/>
    <w:rPr>
      <w:rFonts w:ascii="Arial" w:hAnsi="Arial" w:eastAsia="Arial" w:cs="Arial"/>
      <w:sz w:val="34"/>
    </w:rPr>
  </w:style>
  <w:style w:type="character" w:styleId="931" w:customStyle="1">
    <w:name w:val="Heading 3 Char"/>
    <w:uiPriority w:val="9"/>
    <w:qFormat/>
    <w:rPr>
      <w:rFonts w:ascii="Arial" w:hAnsi="Arial" w:eastAsia="Arial" w:cs="Arial"/>
      <w:sz w:val="30"/>
      <w:szCs w:val="30"/>
    </w:rPr>
  </w:style>
  <w:style w:type="character" w:styleId="932" w:customStyle="1">
    <w:name w:val="Heading 4 Char"/>
    <w:uiPriority w:val="9"/>
    <w:qFormat/>
    <w:rPr>
      <w:rFonts w:ascii="Arial" w:hAnsi="Arial" w:eastAsia="Arial" w:cs="Arial"/>
      <w:b/>
      <w:bCs/>
      <w:sz w:val="26"/>
      <w:szCs w:val="26"/>
    </w:rPr>
  </w:style>
  <w:style w:type="character" w:styleId="933" w:customStyle="1">
    <w:name w:val="Heading 5 Char"/>
    <w:uiPriority w:val="9"/>
    <w:qFormat/>
    <w:rPr>
      <w:rFonts w:ascii="Arial" w:hAnsi="Arial" w:eastAsia="Arial" w:cs="Arial"/>
      <w:b/>
      <w:bCs/>
      <w:sz w:val="24"/>
      <w:szCs w:val="24"/>
    </w:rPr>
  </w:style>
  <w:style w:type="character" w:styleId="934" w:customStyle="1">
    <w:name w:val="Heading 6 Char"/>
    <w:uiPriority w:val="9"/>
    <w:qFormat/>
    <w:rPr>
      <w:rFonts w:ascii="Arial" w:hAnsi="Arial" w:eastAsia="Arial" w:cs="Arial"/>
      <w:b/>
      <w:bCs/>
      <w:sz w:val="22"/>
      <w:szCs w:val="22"/>
    </w:rPr>
  </w:style>
  <w:style w:type="character" w:styleId="935" w:customStyle="1">
    <w:name w:val="Heading 7 Char"/>
    <w:uiPriority w:val="9"/>
    <w:qFormat/>
    <w:rPr>
      <w:rFonts w:ascii="Arial" w:hAnsi="Arial" w:eastAsia="Arial" w:cs="Arial"/>
      <w:b/>
      <w:bCs/>
      <w:i/>
      <w:iCs/>
      <w:sz w:val="22"/>
      <w:szCs w:val="22"/>
    </w:rPr>
  </w:style>
  <w:style w:type="character" w:styleId="936" w:customStyle="1">
    <w:name w:val="Heading 8 Char"/>
    <w:uiPriority w:val="9"/>
    <w:qFormat/>
    <w:rPr>
      <w:rFonts w:ascii="Arial" w:hAnsi="Arial" w:eastAsia="Arial" w:cs="Arial"/>
      <w:i/>
      <w:iCs/>
      <w:sz w:val="22"/>
      <w:szCs w:val="22"/>
    </w:rPr>
  </w:style>
  <w:style w:type="character" w:styleId="937" w:customStyle="1">
    <w:name w:val="Heading 9 Char"/>
    <w:uiPriority w:val="9"/>
    <w:qFormat/>
    <w:rPr>
      <w:rFonts w:ascii="Arial" w:hAnsi="Arial" w:eastAsia="Arial" w:cs="Arial"/>
      <w:i/>
      <w:iCs/>
      <w:sz w:val="21"/>
      <w:szCs w:val="21"/>
    </w:rPr>
  </w:style>
  <w:style w:type="paragraph" w:styleId="938">
    <w:name w:val="List Paragraph"/>
    <w:basedOn w:val="871"/>
    <w:uiPriority w:val="34"/>
    <w:qFormat/>
    <w:pPr>
      <w:contextualSpacing/>
      <w:ind w:left="720"/>
    </w:pPr>
  </w:style>
  <w:style w:type="paragraph" w:styleId="939">
    <w:name w:val="No Spacing"/>
    <w:uiPriority w:val="1"/>
    <w:qFormat/>
    <w:pPr>
      <w:jc w:val="both"/>
      <w:widowControl w:val="off"/>
    </w:pPr>
    <w:rPr>
      <w:sz w:val="21"/>
      <w:szCs w:val="21"/>
    </w:rPr>
  </w:style>
  <w:style w:type="character" w:styleId="940" w:customStyle="1">
    <w:name w:val="标题 Char"/>
    <w:link w:val="917"/>
    <w:uiPriority w:val="10"/>
    <w:qFormat/>
    <w:rPr>
      <w:sz w:val="48"/>
      <w:szCs w:val="48"/>
    </w:rPr>
  </w:style>
  <w:style w:type="character" w:styleId="941" w:customStyle="1">
    <w:name w:val="副标题 Char"/>
    <w:link w:val="906"/>
    <w:uiPriority w:val="11"/>
    <w:qFormat/>
    <w:rPr>
      <w:sz w:val="24"/>
      <w:szCs w:val="24"/>
    </w:rPr>
  </w:style>
  <w:style w:type="paragraph" w:styleId="942">
    <w:name w:val="Quote"/>
    <w:basedOn w:val="871"/>
    <w:next w:val="871"/>
    <w:link w:val="943"/>
    <w:uiPriority w:val="29"/>
    <w:qFormat/>
    <w:pPr>
      <w:ind w:left="720" w:right="720"/>
    </w:pPr>
    <w:rPr>
      <w:i/>
    </w:rPr>
  </w:style>
  <w:style w:type="character" w:styleId="943" w:customStyle="1">
    <w:name w:val="引用 Char"/>
    <w:link w:val="942"/>
    <w:uiPriority w:val="29"/>
    <w:qFormat/>
    <w:rPr>
      <w:i/>
    </w:rPr>
  </w:style>
  <w:style w:type="paragraph" w:styleId="944">
    <w:name w:val="Intense Quote"/>
    <w:basedOn w:val="871"/>
    <w:next w:val="871"/>
    <w:link w:val="9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customStyle="1">
    <w:name w:val="明显引用 Char"/>
    <w:link w:val="944"/>
    <w:uiPriority w:val="30"/>
    <w:qFormat/>
    <w:rPr>
      <w:i/>
    </w:rPr>
  </w:style>
  <w:style w:type="character" w:styleId="946" w:customStyle="1">
    <w:name w:val="Header Char"/>
    <w:uiPriority w:val="99"/>
    <w:qFormat/>
  </w:style>
  <w:style w:type="character" w:styleId="947" w:customStyle="1">
    <w:name w:val="Footer Char"/>
    <w:uiPriority w:val="99"/>
    <w:qFormat/>
  </w:style>
  <w:style w:type="character" w:styleId="948" w:customStyle="1">
    <w:name w:val="Caption Char"/>
    <w:uiPriority w:val="99"/>
    <w:qFormat/>
  </w:style>
  <w:style w:type="table" w:styleId="94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0" w:customStyle="1">
    <w:name w:val="无格式表格 11"/>
    <w:basedOn w:val="88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Helvetica" w:hAnsi="Helvetica"/>
        <w:b/>
        <w:color w:val="404040"/>
        <w:sz w:val="22"/>
      </w:rPr>
    </w:tblStylePr>
    <w:tblStylePr w:type="firstRow">
      <w:rPr>
        <w:rFonts w:ascii="Helvetica" w:hAnsi="Helvetica"/>
        <w:b/>
        <w:color w:val="404040"/>
        <w:sz w:val="22"/>
      </w:rPr>
    </w:tblStylePr>
    <w:tblStylePr w:type="lastCol">
      <w:rPr>
        <w:rFonts w:ascii="Helvetica" w:hAnsi="Helvetica"/>
        <w:b/>
        <w:color w:val="404040"/>
        <w:sz w:val="22"/>
      </w:rPr>
    </w:tblStylePr>
    <w:tblStylePr w:type="lastRow">
      <w:rPr>
        <w:rFonts w:ascii="Helvetica" w:hAnsi="Helvetica"/>
        <w:b/>
        <w:color w:val="404040"/>
        <w:sz w:val="22"/>
      </w:rPr>
    </w:tblStylePr>
  </w:style>
  <w:style w:type="table" w:styleId="951" w:customStyle="1">
    <w:name w:val="无格式表格 21"/>
    <w:basedOn w:val="882"/>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blStylePr>
  </w:style>
  <w:style w:type="table" w:styleId="952" w:customStyle="1">
    <w:name w:val="无格式表格 31"/>
    <w:basedOn w:val="882"/>
    <w:uiPriority w:val="99"/>
    <w:qFormat/>
    <w:tblPr>
      <w:tblCellMar>
        <w:left w:w="0" w:type="dxa"/>
        <w:right w:w="0" w:type="dxa"/>
      </w:tblCellMar>
    </w:tblPr>
    <w:tblStylePr w:type="band1Horz">
      <w:rPr>
        <w:rFonts w:ascii="Helvetica" w:hAnsi="Helvetica"/>
        <w:color w:val="404040"/>
        <w:sz w:val="22"/>
      </w:rPr>
      <w:tcPr>
        <w:shd w:val="clear" w:color="f2f2f2" w:fill="f2f2f2"/>
      </w:tcPr>
    </w:tblStylePr>
    <w:tblStylePr w:type="band1Vert">
      <w:rPr>
        <w:rFonts w:ascii="Helvetica" w:hAnsi="Helvetica"/>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53" w:customStyle="1">
    <w:name w:val="无格式表格 41"/>
    <w:basedOn w:val="882"/>
    <w:uiPriority w:val="99"/>
    <w:qFormat/>
    <w:tblPr>
      <w:tblCellMar>
        <w:left w:w="0" w:type="dxa"/>
        <w:right w:w="0" w:type="dxa"/>
      </w:tblCellMar>
    </w:tblPr>
    <w:tblStylePr w:type="band1Horz">
      <w:rPr>
        <w:rFonts w:ascii="Helvetica" w:hAnsi="Helvetica"/>
        <w:color w:val="404040"/>
        <w:sz w:val="22"/>
      </w:rPr>
      <w:tcPr>
        <w:shd w:val="clear" w:color="f2f2f2" w:fill="f2f2f2"/>
      </w:tcPr>
    </w:tblStylePr>
    <w:tblStylePr w:type="band1Vert">
      <w:rPr>
        <w:rFonts w:ascii="Helvetica" w:hAnsi="Helvetica"/>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4" w:customStyle="1">
    <w:name w:val="无格式表格 51"/>
    <w:basedOn w:val="882"/>
    <w:uiPriority w:val="99"/>
    <w:qFormat/>
    <w:tblPr>
      <w:tblCellMar>
        <w:left w:w="0" w:type="dxa"/>
        <w:right w:w="0" w:type="dxa"/>
      </w:tblCellMar>
    </w:tblPr>
    <w:tblStylePr w:type="band1Horz">
      <w:rPr>
        <w:rFonts w:ascii="Helvetica" w:hAnsi="Helvetica"/>
        <w:color w:val="404040"/>
        <w:sz w:val="22"/>
      </w:rPr>
      <w:tcPr>
        <w:shd w:val="clear" w:color="f2f2f2" w:fill="f2f2f2"/>
      </w:tcPr>
    </w:tblStylePr>
    <w:tblStylePr w:type="band1Vert">
      <w:rPr>
        <w:rFonts w:ascii="Helvetica" w:hAnsi="Helvetica"/>
        <w:color w:val="404040"/>
        <w:sz w:val="22"/>
      </w:rPr>
      <w:tcPr>
        <w:shd w:val="clear" w:color="f2f2f2"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网格表 1 浅色1"/>
    <w:basedOn w:val="88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Helvetica" w:hAnsi="Helvetica"/>
        <w:color w:val="404040"/>
        <w:sz w:val="22"/>
      </w:rPr>
      <w:tcPr>
        <w:tcBorders>
          <w:top w:val="single" w:color="989898" w:sz="4" w:space="0"/>
          <w:left w:val="single" w:color="989898" w:sz="4" w:space="0"/>
          <w:bottom w:val="single" w:color="989898" w:sz="4" w:space="0"/>
          <w:right w:val="single" w:color="989898"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A6A6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62" w:customStyle="1">
    <w:name w:val="网格表 21"/>
    <w:basedOn w:val="882"/>
    <w:uiPriority w:val="99"/>
    <w:qFormat/>
    <w:tblPr>
      <w:tblBorders>
        <w:bottom w:val="single" w:color="6A6A6A" w:sz="4" w:space="0"/>
        <w:insideH w:val="single" w:color="6A6A6A" w:sz="4" w:space="0"/>
        <w:insideV w:val="single" w:color="6A6A6A" w:sz="4" w:space="0"/>
      </w:tblBorders>
    </w:tblPr>
    <w:tblStylePr w:type="band1Horz">
      <w:rPr>
        <w:rFonts w:ascii="Helvetica" w:hAnsi="Helvetica"/>
        <w:color w:val="404040"/>
        <w:sz w:val="22"/>
      </w:rPr>
      <w:tcPr>
        <w:shd w:val="clear" w:color="cbcbcb" w:fill="cbcbcb"/>
      </w:tcPr>
    </w:tblStylePr>
    <w:tblStylePr w:type="band1Vert">
      <w:rPr>
        <w:rFonts w:ascii="Helvetica" w:hAnsi="Helvetica"/>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9" w:customStyle="1">
    <w:name w:val="网格表 31"/>
    <w:basedOn w:val="882"/>
    <w:uiPriority w:val="99"/>
    <w:qFormat/>
    <w:tblPr>
      <w:tblBorders>
        <w:bottom w:val="single" w:color="6A6A6A" w:sz="4" w:space="0"/>
        <w:insideH w:val="single" w:color="6A6A6A" w:sz="4" w:space="0"/>
        <w:insideV w:val="single" w:color="6A6A6A" w:sz="4" w:space="0"/>
      </w:tblBorders>
    </w:tblPr>
    <w:tblStylePr w:type="band1Horz">
      <w:rPr>
        <w:rFonts w:ascii="Helvetica" w:hAnsi="Helvetica"/>
        <w:color w:val="404040"/>
        <w:sz w:val="22"/>
      </w:rPr>
      <w:tcPr>
        <w:shd w:val="clear" w:color="cbcbcb" w:fill="cbcbcb"/>
      </w:tcPr>
    </w:tblStylePr>
    <w:tblStylePr w:type="band1Vert">
      <w:rPr>
        <w:rFonts w:ascii="Helvetica" w:hAnsi="Helvetica"/>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6" w:customStyle="1">
    <w:name w:val="网格表 41"/>
    <w:basedOn w:val="88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Helvetica" w:hAnsi="Helvetica"/>
        <w:color w:val="404040"/>
        <w:sz w:val="22"/>
      </w:rPr>
      <w:tcPr>
        <w:shd w:val="clear" w:color="cbcbcb" w:fill="cbcbcb"/>
      </w:tcPr>
    </w:tblStylePr>
    <w:tblStylePr w:type="band1Vert">
      <w:rPr>
        <w:rFonts w:ascii="Helvetica" w:hAnsi="Helvetica"/>
        <w:color w:val="404040"/>
        <w:sz w:val="22"/>
      </w:rPr>
      <w:tcPr>
        <w:shd w:val="clear" w:color="cbcbcb" w:fill="cbcbcb"/>
      </w:tcPr>
    </w:tblStylePr>
    <w:tblStylePr w:type="firstCol">
      <w:rPr>
        <w:b/>
        <w:color w:val="404040"/>
      </w:rPr>
    </w:tblStylePr>
    <w:tblStylePr w:type="firstRow">
      <w:rPr>
        <w:rFonts w:ascii="Helvetica" w:hAnsi="Helvetica"/>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7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7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8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8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3" w:customStyle="1">
    <w:name w:val="网格表 5 深色1"/>
    <w:basedOn w:val="88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Helvetica" w:hAnsi="Helvetica"/>
        <w:b/>
        <w:color w:val="ffffff"/>
        <w:sz w:val="22"/>
      </w:rPr>
      <w:tcPr>
        <w:shd w:val="clear" w:color="000000" w:fill="000000"/>
      </w:tcPr>
    </w:tblStylePr>
    <w:tblStylePr w:type="firstRow">
      <w:rPr>
        <w:rFonts w:ascii="Helvetica" w:hAnsi="Helvetica"/>
        <w:b/>
        <w:color w:val="ffffff"/>
        <w:sz w:val="22"/>
      </w:rPr>
      <w:tcPr>
        <w:shd w:val="clear" w:color="000000" w:fill="000000"/>
      </w:tcPr>
    </w:tblStylePr>
    <w:tblStylePr w:type="lastCol">
      <w:rPr>
        <w:rFonts w:ascii="Helvetica" w:hAnsi="Helvetica"/>
        <w:b/>
        <w:color w:val="ffffff"/>
        <w:sz w:val="22"/>
      </w:rPr>
      <w:tcPr>
        <w:shd w:val="clear" w:color="000000" w:fill="000000"/>
      </w:tcPr>
    </w:tblStylePr>
    <w:tblStylePr w:type="lastRow">
      <w:rPr>
        <w:rFonts w:ascii="Helvetica" w:hAnsi="Helvetica"/>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0" w:customStyle="1">
    <w:name w:val="网格表 6 彩色1"/>
    <w:basedOn w:val="88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Helvetica" w:hAnsi="Helvetica"/>
        <w:color w:val="000000"/>
        <w:sz w:val="22"/>
      </w:rPr>
      <w:tcPr>
        <w:shd w:val="clear" w:color="cbcbcb" w:fill="cbcbcb"/>
      </w:tcPr>
    </w:tblStylePr>
    <w:tblStylePr w:type="band1Vert">
      <w:tcPr>
        <w:shd w:val="clear" w:color="cbcbcb" w:fill="cbcbcb"/>
      </w:tcPr>
    </w:tblStylePr>
    <w:tblStylePr w:type="band2Horz">
      <w:rPr>
        <w:rFonts w:ascii="Helvetica" w:hAnsi="Helvetica"/>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F7F7F" w:sz="12"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blStylePr>
  </w:style>
  <w:style w:type="table" w:styleId="99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7" w:customStyle="1">
    <w:name w:val="网格表 7 彩色1"/>
    <w:basedOn w:val="882"/>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Helvetica" w:hAnsi="Helvetica"/>
        <w:color w:val="000000"/>
        <w:sz w:val="22"/>
      </w:rPr>
      <w:tcPr>
        <w:shd w:val="clear" w:color="f2f2f2" w:fill="f2f2f2"/>
      </w:tcPr>
    </w:tblStylePr>
    <w:tblStylePr w:type="band1Vert">
      <w:tcPr>
        <w:shd w:val="clear" w:color="f2f2f2" w:fill="f2f2f2"/>
      </w:tcPr>
    </w:tblStylePr>
    <w:tblStylePr w:type="band2Horz">
      <w:rPr>
        <w:rFonts w:ascii="Helvetica" w:hAnsi="Helvetica"/>
        <w:color w:val="000000"/>
        <w:sz w:val="22"/>
      </w:rPr>
    </w:tblStylePr>
    <w:tblStylePr w:type="firstCol">
      <w:rPr>
        <w:rFonts w:ascii="Helvetica" w:hAnsi="Helvetica"/>
        <w:i/>
        <w:color w:val="000000"/>
        <w:sz w:val="22"/>
      </w:rPr>
      <w:pPr>
        <w:jc w:val="right"/>
      </w:pPr>
      <w:tcPr>
        <w:shd w:val="clear" w:color="ffffff" w:fill="auto"/>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rFonts w:ascii="Helvetica" w:hAnsi="Helvetica"/>
        <w:b/>
        <w:color w:val="000000"/>
        <w:sz w:val="22"/>
      </w:rPr>
      <w:tcPr>
        <w:shd w:val="clear" w:color="ffffff" w:fill="ffffff"/>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rFonts w:ascii="Helvetica" w:hAnsi="Helvetica"/>
        <w:i/>
        <w:color w:val="000000"/>
        <w:sz w:val="22"/>
      </w:rPr>
      <w:tcPr>
        <w:shd w:val="clear" w:color="ffffff" w:fill="auto"/>
        <w:tcBorders>
          <w:top w:val="none" w:color="000000" w:sz="4" w:space="0"/>
          <w:left w:val="single" w:color="7F7F7F"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000000"/>
        <w:sz w:val="22"/>
      </w:rPr>
      <w:tcPr>
        <w:shd w:val="clear" w:color="ffffff" w:fill="ffffff"/>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0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04" w:customStyle="1">
    <w:name w:val="清单表 1 浅色1"/>
    <w:basedOn w:val="882"/>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5" w:customStyle="1">
    <w:name w:val="List Table 1 Light - Accent 1"/>
    <w:uiPriority w:val="99"/>
    <w:qFormat/>
    <w:tblPr>
      <w:tblCellMar>
        <w:left w:w="0" w:type="dxa"/>
        <w:top w:w="0" w:type="dxa"/>
        <w:right w:w="0" w:type="dxa"/>
        <w:bottom w:w="0" w:type="dxa"/>
      </w:tblCellMar>
    </w:tblPr>
  </w:style>
  <w:style w:type="table" w:styleId="1006" w:customStyle="1">
    <w:name w:val="List Table 1 Light - Accent 2"/>
    <w:uiPriority w:val="99"/>
    <w:qFormat/>
    <w:tblPr>
      <w:tblCellMar>
        <w:left w:w="0" w:type="dxa"/>
        <w:top w:w="0" w:type="dxa"/>
        <w:right w:w="0" w:type="dxa"/>
        <w:bottom w:w="0" w:type="dxa"/>
      </w:tblCellMar>
    </w:tblPr>
  </w:style>
  <w:style w:type="table" w:styleId="1007" w:customStyle="1">
    <w:name w:val="List Table 1 Light - Accent 3"/>
    <w:uiPriority w:val="99"/>
    <w:qFormat/>
    <w:tblPr>
      <w:tblCellMar>
        <w:left w:w="0" w:type="dxa"/>
        <w:top w:w="0" w:type="dxa"/>
        <w:right w:w="0" w:type="dxa"/>
        <w:bottom w:w="0" w:type="dxa"/>
      </w:tblCellMar>
    </w:tblPr>
  </w:style>
  <w:style w:type="table" w:styleId="1008" w:customStyle="1">
    <w:name w:val="List Table 1 Light - Accent 4"/>
    <w:uiPriority w:val="99"/>
    <w:qFormat/>
    <w:tblPr>
      <w:tblCellMar>
        <w:left w:w="0" w:type="dxa"/>
        <w:top w:w="0" w:type="dxa"/>
        <w:right w:w="0" w:type="dxa"/>
        <w:bottom w:w="0" w:type="dxa"/>
      </w:tblCellMar>
    </w:tblPr>
  </w:style>
  <w:style w:type="table" w:styleId="1009" w:customStyle="1">
    <w:name w:val="List Table 1 Light - Accent 5"/>
    <w:uiPriority w:val="99"/>
    <w:qFormat/>
    <w:tblPr>
      <w:tblCellMar>
        <w:left w:w="0" w:type="dxa"/>
        <w:top w:w="0" w:type="dxa"/>
        <w:right w:w="0" w:type="dxa"/>
        <w:bottom w:w="0" w:type="dxa"/>
      </w:tblCellMar>
    </w:tblPr>
  </w:style>
  <w:style w:type="table" w:styleId="1010" w:customStyle="1">
    <w:name w:val="List Table 1 Light - Accent 6"/>
    <w:uiPriority w:val="99"/>
    <w:qFormat/>
    <w:tblPr>
      <w:tblCellMar>
        <w:left w:w="0" w:type="dxa"/>
        <w:top w:w="0" w:type="dxa"/>
        <w:right w:w="0" w:type="dxa"/>
        <w:bottom w:w="0" w:type="dxa"/>
      </w:tblCellMar>
    </w:tblPr>
  </w:style>
  <w:style w:type="table" w:styleId="1011" w:customStyle="1">
    <w:name w:val="清单表 21"/>
    <w:basedOn w:val="882"/>
    <w:uiPriority w:val="99"/>
    <w:qFormat/>
    <w:tblPr>
      <w:tblBorders>
        <w:top w:val="single" w:color="6F6F6F" w:sz="4" w:space="0"/>
        <w:bottom w:val="single" w:color="6F6F6F" w:sz="4" w:space="0"/>
        <w:insideH w:val="single" w:color="6F6F6F" w:sz="4" w:space="0"/>
      </w:tblBorders>
    </w:tblPr>
    <w:tblStylePr w:type="band1Horz">
      <w:rPr>
        <w:rFonts w:ascii="Helvetica" w:hAnsi="Helvetica"/>
        <w:color w:val="404040"/>
        <w:sz w:val="22"/>
      </w:rPr>
      <w:tcPr>
        <w:shd w:val="clear" w:color="bfbfbf" w:fill="bfbfbf"/>
      </w:tcPr>
    </w:tblStylePr>
    <w:tblStylePr w:type="band1Vert">
      <w:rPr>
        <w:rFonts w:ascii="Helvetica" w:hAnsi="Helvetica"/>
        <w:color w:val="404040"/>
        <w:sz w:val="22"/>
      </w:rPr>
      <w:tcPr>
        <w:shd w:val="clear" w:color="bfbfbf" w:fill="bfbfbf"/>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6F6F6F" w:sz="4" w:space="0"/>
          <w:left w:val="none" w:color="000000" w:sz="4" w:space="0"/>
          <w:bottom w:val="single" w:color="6F6F6F"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6F6F6F" w:sz="4" w:space="0"/>
          <w:left w:val="none" w:color="000000" w:sz="4" w:space="0"/>
          <w:bottom w:val="single" w:color="6F6F6F" w:sz="4" w:space="0"/>
          <w:right w:val="none" w:color="000000" w:sz="4" w:space="0"/>
          <w:insideH w:val="none" w:color="000000" w:sz="4" w:space="0"/>
          <w:insideV w:val="none" w:color="000000" w:sz="4" w:space="0"/>
        </w:tcBorders>
      </w:tcPr>
    </w:tblStylePr>
  </w:style>
  <w:style w:type="table" w:styleId="101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1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1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1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1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1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18" w:customStyle="1">
    <w:name w:val="清单表 31"/>
    <w:basedOn w:val="882"/>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Helvetica" w:hAnsi="Helvetica"/>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000000" w:fill="000000"/>
      </w:tcPr>
    </w:tblStylePr>
    <w:tblStylePr w:type="lastCol">
      <w:rPr>
        <w:b/>
        <w:color w:val="404040"/>
      </w:rPr>
    </w:tblStylePr>
    <w:tblStylePr w:type="lastRow">
      <w:rPr>
        <w:b/>
        <w:color w:val="404040"/>
      </w:rPr>
    </w:tblStylePr>
  </w:style>
  <w:style w:type="table" w:styleId="101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2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2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2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2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2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25" w:customStyle="1">
    <w:name w:val="清单表 41"/>
    <w:basedOn w:val="88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Helvetica" w:hAnsi="Helvetica"/>
        <w:color w:val="404040"/>
        <w:sz w:val="22"/>
      </w:rPr>
      <w:tcPr>
        <w:shd w:val="clear" w:color="bfbfbf" w:fill="bfbfbf"/>
      </w:tcPr>
    </w:tblStylePr>
    <w:tblStylePr w:type="band1Vert">
      <w:rPr>
        <w:rFonts w:ascii="Helvetica" w:hAnsi="Helvetica"/>
        <w:color w:val="404040"/>
        <w:sz w:val="22"/>
      </w:rPr>
      <w:tcPr>
        <w:shd w:val="clear" w:color="bfbfbf" w:fill="bfbfbf"/>
      </w:tcPr>
    </w:tblStylePr>
    <w:tblStylePr w:type="firstCol">
      <w:rPr>
        <w:b/>
        <w:color w:val="404040"/>
      </w:rPr>
    </w:tblStylePr>
    <w:tblStylePr w:type="firstRow">
      <w:rPr>
        <w:rFonts w:ascii="Helvetica" w:hAnsi="Helvetica"/>
        <w:b/>
        <w:color w:val="ffffff"/>
        <w:sz w:val="22"/>
      </w:rPr>
      <w:tcPr>
        <w:shd w:val="clear" w:color="000000" w:fill="000000"/>
      </w:tcPr>
    </w:tblStylePr>
    <w:tblStylePr w:type="lastCol">
      <w:rPr>
        <w:b/>
        <w:color w:val="404040"/>
      </w:rPr>
    </w:tblStylePr>
    <w:tblStylePr w:type="lastRow">
      <w:rPr>
        <w:b/>
        <w:color w:val="404040"/>
      </w:rPr>
    </w:tblStylePr>
  </w:style>
  <w:style w:type="table" w:styleId="102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2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2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2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3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3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32" w:customStyle="1">
    <w:name w:val="清单表 5 深色1"/>
    <w:basedOn w:val="882"/>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f7f7f" w:fill="7f7f7f"/>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f7f7f" w:fill="7f7f7f"/>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7F7F7F"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7f7f7f" w:fill="7f7f7f"/>
        <w:tcBorders>
          <w:top w:val="single" w:color="7F7F7F"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F7F7F"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103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3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3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3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3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3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39" w:customStyle="1">
    <w:name w:val="清单表 6 彩色1"/>
    <w:basedOn w:val="882"/>
    <w:uiPriority w:val="99"/>
    <w:qFormat/>
    <w:tblPr>
      <w:tblBorders>
        <w:top w:val="single" w:color="7F7F7F" w:sz="4" w:space="0"/>
        <w:bottom w:val="single" w:color="7F7F7F" w:sz="4" w:space="0"/>
      </w:tblBorders>
    </w:tblPr>
    <w:tblStylePr w:type="band1Horz">
      <w:rPr>
        <w:rFonts w:ascii="Helvetica" w:hAnsi="Helvetica"/>
        <w:color w:val="000000"/>
        <w:sz w:val="22"/>
      </w:rPr>
      <w:tcPr>
        <w:shd w:val="clear" w:color="bfbfbf" w:fill="bfbfbf"/>
      </w:tcPr>
    </w:tblStylePr>
    <w:tblStylePr w:type="band1Vert">
      <w:tcPr>
        <w:shd w:val="clear" w:color="bfbfbf" w:fill="bfbfbf"/>
      </w:tcPr>
    </w:tblStylePr>
    <w:tblStylePr w:type="band2Horz">
      <w:rPr>
        <w:rFonts w:ascii="Helvetica" w:hAnsi="Helvetica"/>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4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4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4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4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4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46" w:customStyle="1">
    <w:name w:val="清单表 7 彩色1"/>
    <w:basedOn w:val="882"/>
    <w:uiPriority w:val="99"/>
    <w:qFormat/>
    <w:tblPr>
      <w:tblBorders>
        <w:right w:val="single" w:color="7F7F7F" w:sz="4" w:space="0"/>
      </w:tblBorders>
    </w:tblPr>
    <w:tblStylePr w:type="band1Horz">
      <w:rPr>
        <w:rFonts w:ascii="Helvetica" w:hAnsi="Helvetica"/>
        <w:color w:val="000000"/>
        <w:sz w:val="22"/>
      </w:rPr>
      <w:tcPr>
        <w:shd w:val="clear" w:color="bfbfbf" w:fill="bfbfbf"/>
      </w:tcPr>
    </w:tblStylePr>
    <w:tblStylePr w:type="band1Vert">
      <w:tcPr>
        <w:shd w:val="clear" w:color="bfbfbf" w:fill="bfbfbf"/>
      </w:tcPr>
    </w:tblStylePr>
    <w:tblStylePr w:type="band2Horz">
      <w:rPr>
        <w:rFonts w:ascii="Helvetica" w:hAnsi="Helvetica"/>
        <w:color w:val="000000"/>
        <w:sz w:val="22"/>
      </w:rPr>
    </w:tblStylePr>
    <w:tblStylePr w:type="firstCol">
      <w:rPr>
        <w:rFonts w:ascii="Helvetica" w:hAnsi="Helvetica"/>
        <w:i/>
        <w:color w:val="000000"/>
        <w:sz w:val="22"/>
      </w:rPr>
      <w:pPr>
        <w:jc w:val="right"/>
      </w:pPr>
      <w:tcPr>
        <w:shd w:val="clear" w:color="ffffff" w:fill="auto"/>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rFonts w:ascii="Helvetica" w:hAnsi="Helvetica"/>
        <w:i/>
        <w:color w:val="000000"/>
        <w:sz w:val="22"/>
      </w:rPr>
      <w:tcPr>
        <w:shd w:val="clear" w:color="ffffff" w:fill="ffffff"/>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rFonts w:ascii="Helvetica" w:hAnsi="Helvetica"/>
        <w:i/>
        <w:color w:val="000000"/>
        <w:sz w:val="22"/>
      </w:rPr>
      <w:tcPr>
        <w:shd w:val="clear" w:color="ffffff" w:fill="auto"/>
        <w:tcBorders>
          <w:top w:val="none" w:color="000000" w:sz="4" w:space="0"/>
          <w:left w:val="single" w:color="7F7F7F"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000000"/>
        <w:sz w:val="22"/>
      </w:rPr>
      <w:tcPr>
        <w:shd w:val="clear" w:color="ffffff" w:fill="ffffff"/>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4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4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5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5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5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53" w:customStyle="1">
    <w:name w:val="Lined - Accent"/>
    <w:uiPriority w:val="99"/>
    <w:qFormat/>
    <w:rPr>
      <w:color w:val="404040"/>
    </w:rPr>
    <w:tblPr>
      <w:tblCellMar>
        <w:left w:w="0" w:type="dxa"/>
        <w:top w:w="0" w:type="dxa"/>
        <w:right w:w="0" w:type="dxa"/>
        <w:bottom w:w="0" w:type="dxa"/>
      </w:tblCellMar>
    </w:tblPr>
  </w:style>
  <w:style w:type="table" w:styleId="1054" w:customStyle="1">
    <w:name w:val="Lined - Accent 1"/>
    <w:uiPriority w:val="99"/>
    <w:qFormat/>
    <w:rPr>
      <w:color w:val="404040"/>
    </w:rPr>
    <w:tblPr>
      <w:tblCellMar>
        <w:left w:w="0" w:type="dxa"/>
        <w:top w:w="0" w:type="dxa"/>
        <w:right w:w="0" w:type="dxa"/>
        <w:bottom w:w="0" w:type="dxa"/>
      </w:tblCellMar>
    </w:tblPr>
  </w:style>
  <w:style w:type="table" w:styleId="1055" w:customStyle="1">
    <w:name w:val="Lined - Accent 2"/>
    <w:uiPriority w:val="99"/>
    <w:qFormat/>
    <w:rPr>
      <w:color w:val="404040"/>
    </w:rPr>
    <w:tblPr>
      <w:tblCellMar>
        <w:left w:w="0" w:type="dxa"/>
        <w:top w:w="0" w:type="dxa"/>
        <w:right w:w="0" w:type="dxa"/>
        <w:bottom w:w="0" w:type="dxa"/>
      </w:tblCellMar>
    </w:tblPr>
  </w:style>
  <w:style w:type="table" w:styleId="1056" w:customStyle="1">
    <w:name w:val="Lined - Accent 3"/>
    <w:uiPriority w:val="99"/>
    <w:qFormat/>
    <w:rPr>
      <w:color w:val="404040"/>
    </w:rPr>
    <w:tblPr>
      <w:tblCellMar>
        <w:left w:w="0" w:type="dxa"/>
        <w:top w:w="0" w:type="dxa"/>
        <w:right w:w="0" w:type="dxa"/>
        <w:bottom w:w="0" w:type="dxa"/>
      </w:tblCellMar>
    </w:tblPr>
  </w:style>
  <w:style w:type="table" w:styleId="1057" w:customStyle="1">
    <w:name w:val="Lined - Accent 4"/>
    <w:uiPriority w:val="99"/>
    <w:qFormat/>
    <w:rPr>
      <w:color w:val="404040"/>
    </w:rPr>
    <w:tblPr>
      <w:tblCellMar>
        <w:left w:w="0" w:type="dxa"/>
        <w:top w:w="0" w:type="dxa"/>
        <w:right w:w="0" w:type="dxa"/>
        <w:bottom w:w="0" w:type="dxa"/>
      </w:tblCellMar>
    </w:tblPr>
  </w:style>
  <w:style w:type="table" w:styleId="1058" w:customStyle="1">
    <w:name w:val="Lined - Accent 5"/>
    <w:uiPriority w:val="99"/>
    <w:qFormat/>
    <w:rPr>
      <w:color w:val="404040"/>
    </w:rPr>
    <w:tblPr>
      <w:tblCellMar>
        <w:left w:w="0" w:type="dxa"/>
        <w:top w:w="0" w:type="dxa"/>
        <w:right w:w="0" w:type="dxa"/>
        <w:bottom w:w="0" w:type="dxa"/>
      </w:tblCellMar>
    </w:tblPr>
  </w:style>
  <w:style w:type="table" w:styleId="1059" w:customStyle="1">
    <w:name w:val="Lined - Accent 6"/>
    <w:uiPriority w:val="99"/>
    <w:qFormat/>
    <w:rPr>
      <w:color w:val="404040"/>
    </w:rPr>
    <w:tblPr>
      <w:tblCellMar>
        <w:left w:w="0" w:type="dxa"/>
        <w:top w:w="0" w:type="dxa"/>
        <w:right w:w="0" w:type="dxa"/>
        <w:bottom w:w="0" w:type="dxa"/>
      </w:tblCellMar>
    </w:tblPr>
  </w:style>
  <w:style w:type="table" w:styleId="106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6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6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6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6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6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6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6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6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6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7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7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7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7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74" w:customStyle="1">
    <w:name w:val="脚注文本 Char"/>
    <w:link w:val="908"/>
    <w:uiPriority w:val="99"/>
    <w:qFormat/>
    <w:rPr>
      <w:sz w:val="18"/>
    </w:rPr>
  </w:style>
  <w:style w:type="character" w:styleId="1075" w:customStyle="1">
    <w:name w:val="尾注文本 Char"/>
    <w:link w:val="900"/>
    <w:uiPriority w:val="99"/>
    <w:qFormat/>
    <w:rPr>
      <w:sz w:val="20"/>
    </w:rPr>
  </w:style>
  <w:style w:type="paragraph" w:styleId="1076" w:customStyle="1">
    <w:name w:val="TOC 标题1"/>
    <w:uiPriority w:val="39"/>
    <w:unhideWhenUsed/>
    <w:qFormat/>
  </w:style>
  <w:style w:type="character" w:styleId="1077" w:customStyle="1">
    <w:name w:val="标题 1 Char"/>
    <w:link w:val="872"/>
    <w:uiPriority w:val="9"/>
    <w:qFormat/>
    <w:rPr>
      <w:rFonts w:ascii="楷体_GB2312" w:hAnsi="Times New Roman" w:eastAsia="楷体_GB2312" w:cs="Times New Roman"/>
      <w:sz w:val="28"/>
      <w:szCs w:val="28"/>
    </w:rPr>
  </w:style>
  <w:style w:type="character" w:styleId="1078" w:customStyle="1">
    <w:name w:val="标题 2 Char"/>
    <w:link w:val="873"/>
    <w:uiPriority w:val="9"/>
    <w:qFormat/>
    <w:rPr>
      <w:rFonts w:ascii="Arial" w:hAnsi="Arial" w:eastAsia="幼圆" w:cs="Arial"/>
      <w:b/>
      <w:bCs/>
      <w:sz w:val="44"/>
      <w:szCs w:val="44"/>
    </w:rPr>
  </w:style>
  <w:style w:type="character" w:styleId="1079" w:customStyle="1">
    <w:name w:val="正文缩进 Char"/>
    <w:link w:val="884"/>
    <w:qFormat/>
    <w:rPr>
      <w:szCs w:val="21"/>
    </w:rPr>
  </w:style>
  <w:style w:type="character" w:styleId="1080" w:customStyle="1">
    <w:name w:val="标题 3 Char"/>
    <w:link w:val="874"/>
    <w:uiPriority w:val="9"/>
    <w:qFormat/>
    <w:rPr>
      <w:rFonts w:ascii="Times New Roman" w:hAnsi="Times New Roman" w:eastAsia="宋体" w:cs="Times New Roman"/>
      <w:b/>
      <w:bCs/>
      <w:sz w:val="32"/>
      <w:szCs w:val="32"/>
    </w:rPr>
  </w:style>
  <w:style w:type="character" w:styleId="1081" w:customStyle="1">
    <w:name w:val="标题 4 Char"/>
    <w:link w:val="875"/>
    <w:uiPriority w:val="9"/>
    <w:qFormat/>
    <w:rPr>
      <w:rFonts w:ascii="Arial" w:hAnsi="Arial" w:eastAsia="黑体" w:cs="Arial"/>
      <w:b/>
      <w:bCs/>
      <w:sz w:val="28"/>
      <w:szCs w:val="28"/>
    </w:rPr>
  </w:style>
  <w:style w:type="character" w:styleId="1082" w:customStyle="1">
    <w:name w:val="标题 5 Char"/>
    <w:link w:val="876"/>
    <w:uiPriority w:val="9"/>
    <w:qFormat/>
    <w:rPr>
      <w:rFonts w:ascii="宋体" w:hAnsi="Times New Roman" w:eastAsia="宋体" w:cs="Times New Roman"/>
      <w:color w:val="000000"/>
      <w:sz w:val="28"/>
      <w:szCs w:val="28"/>
    </w:rPr>
  </w:style>
  <w:style w:type="character" w:styleId="1083" w:customStyle="1">
    <w:name w:val="标题 6 Char"/>
    <w:link w:val="877"/>
    <w:uiPriority w:val="9"/>
    <w:qFormat/>
    <w:rPr>
      <w:rFonts w:ascii="Arial" w:hAnsi="Arial" w:eastAsia="黑体"/>
      <w:b/>
      <w:bCs/>
      <w:sz w:val="24"/>
      <w:szCs w:val="24"/>
    </w:rPr>
  </w:style>
  <w:style w:type="character" w:styleId="1084" w:customStyle="1">
    <w:name w:val="标题 7 Char"/>
    <w:link w:val="878"/>
    <w:uiPriority w:val="9"/>
    <w:qFormat/>
    <w:rPr>
      <w:b/>
      <w:bCs/>
      <w:sz w:val="24"/>
      <w:szCs w:val="24"/>
    </w:rPr>
  </w:style>
  <w:style w:type="character" w:styleId="1085" w:customStyle="1">
    <w:name w:val="标题 8 Char"/>
    <w:link w:val="879"/>
    <w:uiPriority w:val="9"/>
    <w:qFormat/>
    <w:rPr>
      <w:rFonts w:ascii="Arial" w:hAnsi="Arial" w:eastAsia="黑体"/>
      <w:sz w:val="24"/>
      <w:szCs w:val="24"/>
    </w:rPr>
  </w:style>
  <w:style w:type="character" w:styleId="1086" w:customStyle="1">
    <w:name w:val="标题 9 Char"/>
    <w:link w:val="880"/>
    <w:uiPriority w:val="9"/>
    <w:qFormat/>
    <w:rPr>
      <w:rFonts w:ascii="Arial" w:hAnsi="Arial" w:eastAsia="黑体"/>
      <w:sz w:val="21"/>
      <w:szCs w:val="21"/>
    </w:rPr>
  </w:style>
  <w:style w:type="character" w:styleId="1087" w:customStyle="1">
    <w:name w:val="文档结构图 Char"/>
    <w:link w:val="888"/>
    <w:semiHidden/>
    <w:qFormat/>
    <w:rPr>
      <w:rFonts w:ascii="Times New Roman" w:hAnsi="Times New Roman" w:eastAsia="宋体" w:cs="Times New Roman"/>
      <w:szCs w:val="21"/>
      <w:shd w:val="clear" w:color="auto" w:fill="000080"/>
    </w:rPr>
  </w:style>
  <w:style w:type="character" w:styleId="1088" w:customStyle="1">
    <w:name w:val="批注文字 Char"/>
    <w:link w:val="889"/>
    <w:qFormat/>
  </w:style>
  <w:style w:type="character" w:styleId="1089" w:customStyle="1">
    <w:name w:val="正文文本 3 Char"/>
    <w:link w:val="890"/>
    <w:qFormat/>
    <w:rPr>
      <w:rFonts w:ascii="仿宋_GB2312" w:hAnsi="Arial" w:eastAsia="仿宋_GB2312" w:cs="Times New Roman"/>
      <w:sz w:val="32"/>
      <w:szCs w:val="32"/>
    </w:rPr>
  </w:style>
  <w:style w:type="character" w:styleId="1090" w:customStyle="1">
    <w:name w:val="正文文本 Char"/>
    <w:link w:val="891"/>
    <w:qFormat/>
    <w:rPr>
      <w:rFonts w:ascii="楷体_GB2312" w:hAnsi="Arial" w:eastAsia="楷体_GB2312" w:cs="Times New Roman"/>
      <w:sz w:val="28"/>
      <w:szCs w:val="28"/>
    </w:rPr>
  </w:style>
  <w:style w:type="character" w:styleId="1091" w:customStyle="1">
    <w:name w:val="正文文本缩进 Char"/>
    <w:link w:val="892"/>
    <w:uiPriority w:val="99"/>
    <w:semiHidden/>
    <w:qFormat/>
  </w:style>
  <w:style w:type="character" w:styleId="1092" w:customStyle="1">
    <w:name w:val="纯文本 Char"/>
    <w:link w:val="896"/>
    <w:qFormat/>
    <w:rPr>
      <w:rFonts w:ascii="宋体" w:hAnsi="Courier New" w:eastAsia="宋体" w:cs="Courier New"/>
      <w:szCs w:val="21"/>
    </w:rPr>
  </w:style>
  <w:style w:type="character" w:styleId="1093" w:customStyle="1">
    <w:name w:val="日期 Char"/>
    <w:link w:val="898"/>
    <w:qFormat/>
    <w:rPr>
      <w:rFonts w:ascii="Times New Roman" w:hAnsi="Times New Roman" w:eastAsia="宋体" w:cs="Times New Roman"/>
      <w:sz w:val="24"/>
      <w:szCs w:val="24"/>
    </w:rPr>
  </w:style>
  <w:style w:type="character" w:styleId="1094" w:customStyle="1">
    <w:name w:val="正文文本缩进 2 Char"/>
    <w:link w:val="899"/>
    <w:qFormat/>
    <w:rPr>
      <w:rFonts w:ascii="Arial" w:hAnsi="Arial" w:eastAsia="仿宋_GB2312" w:cs="Arial"/>
      <w:sz w:val="32"/>
      <w:szCs w:val="32"/>
    </w:rPr>
  </w:style>
  <w:style w:type="character" w:styleId="1095" w:customStyle="1">
    <w:name w:val="批注框文本 Char"/>
    <w:link w:val="901"/>
    <w:uiPriority w:val="99"/>
    <w:semiHidden/>
    <w:qFormat/>
    <w:rPr>
      <w:rFonts w:ascii="Times New Roman" w:hAnsi="Times New Roman" w:eastAsia="宋体" w:cs="Times New Roman"/>
      <w:sz w:val="18"/>
      <w:szCs w:val="18"/>
    </w:rPr>
  </w:style>
  <w:style w:type="character" w:styleId="1096" w:customStyle="1">
    <w:name w:val="页脚 Char"/>
    <w:link w:val="902"/>
    <w:uiPriority w:val="99"/>
    <w:qFormat/>
    <w:rPr>
      <w:rFonts w:ascii="Times New Roman" w:hAnsi="Times New Roman" w:eastAsia="宋体" w:cs="Times New Roman"/>
      <w:sz w:val="18"/>
      <w:szCs w:val="18"/>
    </w:rPr>
  </w:style>
  <w:style w:type="character" w:styleId="1097" w:customStyle="1">
    <w:name w:val="页眉 Char"/>
    <w:link w:val="903"/>
    <w:uiPriority w:val="99"/>
    <w:qFormat/>
    <w:rPr>
      <w:rFonts w:ascii="Times New Roman" w:hAnsi="Times New Roman" w:eastAsia="宋体" w:cs="Times New Roman"/>
      <w:sz w:val="18"/>
      <w:szCs w:val="18"/>
    </w:rPr>
  </w:style>
  <w:style w:type="character" w:styleId="1098" w:customStyle="1">
    <w:name w:val="正文文本缩进 3 Char"/>
    <w:link w:val="910"/>
    <w:qFormat/>
    <w:rPr>
      <w:rFonts w:ascii="Arial" w:hAnsi="Arial" w:eastAsia="仿宋_GB2312" w:cs="Arial"/>
      <w:color w:val="ffff00"/>
      <w:sz w:val="32"/>
      <w:szCs w:val="32"/>
    </w:rPr>
  </w:style>
  <w:style w:type="character" w:styleId="1099" w:customStyle="1">
    <w:name w:val="正文文本 2 Char"/>
    <w:link w:val="914"/>
    <w:qFormat/>
    <w:rPr>
      <w:rFonts w:ascii="楷体_GB2312" w:hAnsi="Times New Roman" w:eastAsia="楷体_GB2312" w:cs="Times New Roman"/>
      <w:sz w:val="28"/>
      <w:szCs w:val="28"/>
    </w:rPr>
  </w:style>
  <w:style w:type="character" w:styleId="1100" w:customStyle="1">
    <w:name w:val="批注主题 Char"/>
    <w:link w:val="918"/>
    <w:uiPriority w:val="99"/>
    <w:semiHidden/>
    <w:qFormat/>
    <w:rPr>
      <w:rFonts w:ascii="Times New Roman" w:hAnsi="Times New Roman" w:eastAsia="宋体" w:cs="Times New Roman"/>
      <w:b/>
      <w:bCs/>
      <w:szCs w:val="21"/>
    </w:rPr>
  </w:style>
  <w:style w:type="character" w:styleId="1101" w:customStyle="1">
    <w:name w:val="正文首行缩进 Char"/>
    <w:link w:val="919"/>
    <w:qFormat/>
    <w:rPr>
      <w:rFonts w:ascii="仿宋_GB2312" w:hAnsi="Times New Roman" w:eastAsia="仿宋_GB2312" w:cs="Times New Roman"/>
      <w:sz w:val="30"/>
      <w:szCs w:val="30"/>
    </w:rPr>
  </w:style>
  <w:style w:type="character" w:styleId="1102" w:customStyle="1">
    <w:name w:val="正文首行缩进 2 Char"/>
    <w:link w:val="920"/>
    <w:qFormat/>
    <w:rPr>
      <w:rFonts w:ascii="宋体" w:hAnsi="宋体" w:eastAsia="宋体" w:cs="Times New Roman"/>
      <w:szCs w:val="20"/>
    </w:rPr>
  </w:style>
  <w:style w:type="character" w:styleId="1103" w:customStyle="1">
    <w:name w:val="已访问的超链接1"/>
    <w:qFormat/>
    <w:rPr>
      <w:color w:val="800080"/>
      <w:u w:val="single"/>
    </w:rPr>
  </w:style>
  <w:style w:type="character" w:styleId="1104" w:customStyle="1">
    <w:name w:val="font5 Char"/>
    <w:qFormat/>
    <w:rPr>
      <w:rFonts w:ascii="宋体" w:hAnsi="宋体" w:eastAsia="宋体"/>
      <w:sz w:val="28"/>
      <w:szCs w:val="28"/>
      <w:lang w:val="en-US" w:eastAsia="zh-CN" w:bidi="ar-SA"/>
    </w:rPr>
  </w:style>
  <w:style w:type="character" w:styleId="1105" w:customStyle="1">
    <w:name w:val="二级目录 Char"/>
    <w:link w:val="1106"/>
    <w:qFormat/>
    <w:rPr>
      <w:b/>
      <w:sz w:val="30"/>
      <w:szCs w:val="28"/>
    </w:rPr>
  </w:style>
  <w:style w:type="paragraph" w:styleId="1106" w:customStyle="1">
    <w:name w:val="二级目录"/>
    <w:next w:val="871"/>
    <w:link w:val="1105"/>
    <w:qFormat/>
    <w:pPr>
      <w:numPr>
        <w:numId w:val="2"/>
      </w:numPr>
      <w:tabs>
        <w:tab w:val="left" w:pos="1145" w:leader="none"/>
      </w:tabs>
      <w:outlineLvl w:val="1"/>
    </w:pPr>
    <w:rPr>
      <w:b/>
      <w:sz w:val="30"/>
      <w:szCs w:val="28"/>
    </w:rPr>
  </w:style>
  <w:style w:type="character" w:styleId="1107" w:customStyle="1">
    <w:name w:val="列出段落 Char"/>
    <w:link w:val="1108"/>
    <w:qFormat/>
    <w:rPr>
      <w:rFonts w:ascii="Calibri" w:hAnsi="Calibri"/>
      <w:sz w:val="24"/>
      <w:szCs w:val="24"/>
      <w:lang w:eastAsia="en-US" w:bidi="en-US"/>
    </w:rPr>
  </w:style>
  <w:style w:type="paragraph" w:styleId="1108" w:customStyle="1">
    <w:name w:val="列出段落1"/>
    <w:basedOn w:val="871"/>
    <w:link w:val="1107"/>
    <w:qFormat/>
    <w:pPr>
      <w:contextualSpacing/>
      <w:ind w:left="720"/>
      <w:jc w:val="left"/>
      <w:widowControl/>
    </w:pPr>
    <w:rPr>
      <w:rFonts w:ascii="Calibri" w:hAnsi="Calibri"/>
      <w:sz w:val="24"/>
      <w:szCs w:val="24"/>
      <w:lang w:eastAsia="en-US" w:bidi="en-US"/>
    </w:rPr>
  </w:style>
  <w:style w:type="paragraph" w:styleId="1109" w:customStyle="1">
    <w:name w:val="Body Text(ch)"/>
    <w:basedOn w:val="871"/>
    <w:next w:val="891"/>
    <w:qFormat/>
    <w:pPr>
      <w:spacing w:after="120"/>
    </w:pPr>
    <w:rPr>
      <w:rFonts w:ascii="宋体" w:hAnsi="Arial"/>
      <w:bCs/>
      <w:iCs/>
      <w:szCs w:val="24"/>
    </w:rPr>
  </w:style>
  <w:style w:type="paragraph" w:styleId="1110" w:customStyle="1">
    <w:name w:val="xl27"/>
    <w:basedOn w:val="87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1" w:customStyle="1">
    <w:name w:val="xl26"/>
    <w:basedOn w:val="8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2" w:customStyle="1">
    <w:name w:val="Char"/>
    <w:basedOn w:val="871"/>
    <w:qFormat/>
    <w:pPr>
      <w:ind w:firstLine="200"/>
      <w:tabs>
        <w:tab w:val="left" w:pos="360" w:leader="none"/>
      </w:tabs>
    </w:pPr>
    <w:rPr>
      <w:sz w:val="28"/>
      <w:szCs w:val="30"/>
    </w:rPr>
  </w:style>
  <w:style w:type="paragraph" w:styleId="1113" w:customStyle="1">
    <w:name w:val="Char1"/>
    <w:basedOn w:val="888"/>
    <w:qFormat/>
    <w:rPr>
      <w:rFonts w:ascii="Tahoma" w:hAnsi="Tahoma"/>
      <w:sz w:val="24"/>
      <w:szCs w:val="24"/>
    </w:rPr>
  </w:style>
  <w:style w:type="paragraph" w:styleId="1114" w:customStyle="1">
    <w:name w:val="普通正文"/>
    <w:basedOn w:val="871"/>
    <w:qFormat/>
    <w:pPr>
      <w:ind w:firstLine="480"/>
      <w:jc w:val="left"/>
      <w:spacing w:before="120" w:after="120" w:line="360" w:lineRule="auto"/>
    </w:pPr>
    <w:rPr>
      <w:rFonts w:ascii="Arial" w:hAnsi="Arial"/>
      <w:sz w:val="24"/>
      <w:szCs w:val="24"/>
    </w:rPr>
  </w:style>
  <w:style w:type="paragraph" w:styleId="1115" w:customStyle="1">
    <w:name w:val="table_lines"/>
    <w:basedOn w:val="871"/>
    <w:qFormat/>
    <w:pPr>
      <w:jc w:val="left"/>
      <w:widowControl/>
    </w:pPr>
    <w:rPr>
      <w:sz w:val="20"/>
      <w:szCs w:val="20"/>
      <w:lang w:val="de-DE" w:eastAsia="de-DE"/>
    </w:rPr>
  </w:style>
  <w:style w:type="paragraph" w:styleId="1116" w:customStyle="1">
    <w:name w:val="附录1"/>
    <w:qFormat/>
    <w:pPr>
      <w:ind w:left="907" w:hanging="907"/>
      <w:spacing w:before="240" w:line="600" w:lineRule="atLeast"/>
      <w:tabs>
        <w:tab w:val="left" w:pos="907" w:leader="none"/>
      </w:tabs>
    </w:pPr>
    <w:rPr>
      <w:b/>
      <w:i/>
      <w:sz w:val="28"/>
    </w:rPr>
  </w:style>
  <w:style w:type="paragraph" w:styleId="1117" w:customStyle="1">
    <w:name w:val="font7"/>
    <w:basedOn w:val="871"/>
    <w:qFormat/>
    <w:pPr>
      <w:jc w:val="left"/>
      <w:spacing w:before="100" w:beforeAutospacing="1" w:after="100" w:afterAutospacing="1"/>
      <w:widowControl/>
    </w:pPr>
    <w:rPr>
      <w:rFonts w:hint="eastAsia" w:ascii="宋体" w:hAnsi="宋体"/>
      <w:sz w:val="18"/>
      <w:szCs w:val="18"/>
    </w:rPr>
  </w:style>
  <w:style w:type="paragraph" w:styleId="1118" w:customStyle="1">
    <w:name w:val="Char Char Char Char"/>
    <w:basedOn w:val="888"/>
    <w:qFormat/>
    <w:pPr>
      <w:spacing w:line="360" w:lineRule="auto"/>
    </w:pPr>
    <w:rPr>
      <w:rFonts w:ascii="Tahoma" w:hAnsi="Tahoma"/>
      <w:sz w:val="24"/>
      <w:szCs w:val="24"/>
    </w:rPr>
  </w:style>
  <w:style w:type="paragraph" w:styleId="1119" w:customStyle="1">
    <w:name w:val="列表段落1"/>
    <w:basedOn w:val="871"/>
    <w:qFormat/>
    <w:pPr>
      <w:contextualSpacing/>
      <w:ind w:left="720"/>
      <w:jc w:val="left"/>
      <w:widowControl/>
    </w:pPr>
    <w:rPr>
      <w:rFonts w:ascii="Calibri" w:hAnsi="Calibri"/>
      <w:sz w:val="24"/>
      <w:szCs w:val="24"/>
      <w:lang w:eastAsia="en-US" w:bidi="en-US"/>
    </w:rPr>
  </w:style>
  <w:style w:type="paragraph" w:styleId="1120" w:customStyle="1">
    <w:name w:val="4"/>
    <w:basedOn w:val="871"/>
    <w:next w:val="910"/>
    <w:qFormat/>
    <w:pPr>
      <w:ind w:firstLine="420"/>
      <w:spacing w:line="360" w:lineRule="auto"/>
    </w:pPr>
    <w:rPr>
      <w:color w:val="ff0000"/>
      <w:sz w:val="24"/>
      <w:szCs w:val="24"/>
    </w:rPr>
  </w:style>
  <w:style w:type="paragraph" w:styleId="1121" w:customStyle="1">
    <w:name w:val="普通 (Web)"/>
    <w:basedOn w:val="871"/>
    <w:qFormat/>
    <w:pPr>
      <w:jc w:val="left"/>
      <w:spacing w:before="100" w:beforeAutospacing="1" w:after="100" w:afterAutospacing="1"/>
      <w:widowControl/>
    </w:pPr>
    <w:rPr>
      <w:rFonts w:ascii="宋体" w:hAnsi="宋体"/>
      <w:sz w:val="24"/>
      <w:szCs w:val="24"/>
    </w:rPr>
  </w:style>
  <w:style w:type="paragraph" w:styleId="1122" w:customStyle="1">
    <w:name w:val="Char Char Char Char Char Char Char Char Char Char"/>
    <w:basedOn w:val="871"/>
    <w:qFormat/>
    <w:pPr>
      <w:spacing w:line="360" w:lineRule="auto"/>
    </w:pPr>
    <w:rPr>
      <w:sz w:val="24"/>
      <w:szCs w:val="20"/>
    </w:rPr>
  </w:style>
  <w:style w:type="paragraph" w:styleId="1123" w:customStyle="1">
    <w:name w:val="样式1"/>
    <w:basedOn w:val="871"/>
    <w:qFormat/>
    <w:pPr>
      <w:numPr>
        <w:numId w:val="3"/>
      </w:numPr>
    </w:pPr>
    <w:rPr>
      <w:rFonts w:ascii="宋体" w:hAnsi="宋体"/>
      <w:szCs w:val="21"/>
    </w:rPr>
  </w:style>
  <w:style w:type="paragraph" w:styleId="1124" w:customStyle="1">
    <w:name w:val="font6"/>
    <w:basedOn w:val="871"/>
    <w:qFormat/>
    <w:pPr>
      <w:jc w:val="left"/>
      <w:spacing w:before="100" w:beforeAutospacing="1" w:after="100" w:afterAutospacing="1"/>
      <w:widowControl/>
    </w:pPr>
    <w:rPr>
      <w:rFonts w:hint="eastAsia" w:ascii="宋体" w:hAnsi="宋体"/>
      <w:sz w:val="28"/>
      <w:szCs w:val="28"/>
      <w:u w:val="single"/>
    </w:rPr>
  </w:style>
  <w:style w:type="paragraph" w:styleId="1125" w:customStyle="1">
    <w:name w:val="xl25"/>
    <w:basedOn w:val="87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6" w:customStyle="1">
    <w:name w:val="图标"/>
    <w:basedOn w:val="871"/>
    <w:next w:val="87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7" w:customStyle="1">
    <w:name w:val="标题3"/>
    <w:basedOn w:val="871"/>
    <w:next w:val="871"/>
    <w:qFormat/>
    <w:pPr>
      <w:ind w:firstLine="624"/>
      <w:spacing w:line="590" w:lineRule="atLeast"/>
    </w:pPr>
    <w:rPr>
      <w:rFonts w:ascii="方正黑体_GBK" w:eastAsia="方正黑体_GBK"/>
      <w:sz w:val="32"/>
      <w:szCs w:val="32"/>
    </w:rPr>
  </w:style>
  <w:style w:type="paragraph" w:styleId="1128" w:customStyle="1">
    <w:name w:val="xl24"/>
    <w:basedOn w:val="87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9" w:customStyle="1">
    <w:name w:val="xl29"/>
    <w:basedOn w:val="87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0" w:customStyle="1">
    <w:name w:val="Char Char Char Char Char Char Char Char"/>
    <w:basedOn w:val="871"/>
    <w:qFormat/>
    <w:pPr>
      <w:jc w:val="left"/>
      <w:spacing w:after="160" w:line="240" w:lineRule="exact"/>
      <w:widowControl/>
    </w:pPr>
    <w:rPr>
      <w:rFonts w:ascii="Verdana" w:hAnsi="Verdana"/>
      <w:sz w:val="20"/>
      <w:szCs w:val="20"/>
      <w:lang w:eastAsia="en-US"/>
    </w:rPr>
  </w:style>
  <w:style w:type="paragraph" w:styleId="1131" w:customStyle="1">
    <w:name w:val="xl28"/>
    <w:basedOn w:val="87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2" w:customStyle="1">
    <w:name w:val="Char Char Char Char Char Char Char Char1"/>
    <w:basedOn w:val="871"/>
    <w:qFormat/>
    <w:pPr>
      <w:jc w:val="left"/>
      <w:spacing w:after="160" w:line="240" w:lineRule="exact"/>
      <w:widowControl/>
    </w:pPr>
    <w:rPr>
      <w:rFonts w:ascii="Verdana" w:hAnsi="Verdana"/>
      <w:sz w:val="20"/>
      <w:szCs w:val="20"/>
      <w:lang w:eastAsia="en-US"/>
    </w:rPr>
  </w:style>
  <w:style w:type="paragraph" w:styleId="1133" w:customStyle="1">
    <w:name w:val="xl30"/>
    <w:basedOn w:val="871"/>
    <w:qFormat/>
    <w:pPr>
      <w:jc w:val="center"/>
      <w:spacing w:before="100" w:beforeAutospacing="1" w:after="100" w:afterAutospacing="1"/>
      <w:widowControl/>
    </w:pPr>
    <w:rPr>
      <w:rFonts w:ascii="宋体" w:hAnsi="宋体"/>
      <w:b/>
      <w:bCs/>
      <w:sz w:val="36"/>
      <w:szCs w:val="36"/>
    </w:rPr>
  </w:style>
  <w:style w:type="paragraph" w:styleId="1134" w:customStyle="1">
    <w:name w:val="Char Char Char Char1"/>
    <w:basedOn w:val="888"/>
    <w:pPr>
      <w:spacing w:line="360" w:lineRule="auto"/>
    </w:pPr>
    <w:rPr>
      <w:rFonts w:ascii="Tahoma" w:hAnsi="Tahoma"/>
      <w:sz w:val="24"/>
      <w:szCs w:val="24"/>
    </w:rPr>
  </w:style>
  <w:style w:type="paragraph" w:styleId="1135" w:customStyle="1">
    <w:name w:val="table_1stline"/>
    <w:basedOn w:val="871"/>
    <w:qFormat/>
    <w:pPr>
      <w:jc w:val="left"/>
      <w:spacing w:before="120"/>
      <w:widowControl/>
    </w:pPr>
    <w:rPr>
      <w:bCs/>
      <w:sz w:val="20"/>
      <w:szCs w:val="20"/>
      <w:lang w:val="de-DE" w:eastAsia="de-DE"/>
    </w:rPr>
  </w:style>
  <w:style w:type="paragraph" w:styleId="1136" w:customStyle="1">
    <w:name w:val="font5"/>
    <w:basedOn w:val="871"/>
    <w:pPr>
      <w:jc w:val="left"/>
      <w:spacing w:before="100" w:beforeAutospacing="1" w:after="100" w:afterAutospacing="1"/>
      <w:widowControl/>
    </w:pPr>
    <w:rPr>
      <w:rFonts w:hint="eastAsia" w:ascii="宋体" w:hAnsi="宋体"/>
      <w:sz w:val="28"/>
      <w:szCs w:val="28"/>
    </w:rPr>
  </w:style>
  <w:style w:type="paragraph" w:styleId="1137" w:customStyle="1">
    <w:name w:val="标题1"/>
    <w:basedOn w:val="871"/>
    <w:next w:val="87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8" w:customStyle="1">
    <w:name w:val="修订1"/>
    <w:uiPriority w:val="99"/>
    <w:semiHidden/>
    <w:qFormat/>
    <w:rPr>
      <w:sz w:val="21"/>
      <w:szCs w:val="21"/>
    </w:rPr>
  </w:style>
  <w:style w:type="paragraph" w:styleId="1139" w:customStyle="1">
    <w:name w:val="AONormal"/>
    <w:qFormat/>
    <w:pPr>
      <w:ind w:firstLine="440"/>
      <w:spacing w:line="400" w:lineRule="exact"/>
    </w:pPr>
    <w:rPr>
      <w:rFonts w:ascii="华文楷体" w:hAnsi="华文楷体" w:eastAsia="华文楷体" w:cs="华文楷体"/>
      <w:sz w:val="22"/>
      <w:szCs w:val="21"/>
    </w:rPr>
  </w:style>
  <w:style w:type="character" w:styleId="1140" w:customStyle="1">
    <w:name w:val="font31"/>
    <w:qFormat/>
    <w:rPr>
      <w:rFonts w:hint="eastAsia" w:ascii="宋体" w:hAnsi="宋体" w:eastAsia="宋体" w:cs="宋体"/>
      <w:color w:val="000000"/>
      <w:sz w:val="21"/>
      <w:szCs w:val="21"/>
      <w:u w:val="none"/>
    </w:rPr>
  </w:style>
  <w:style w:type="paragraph" w:styleId="1141" w:customStyle="1">
    <w:name w:val="页眉1"/>
    <w:basedOn w:val="871"/>
    <w:qFormat/>
    <w:pPr>
      <w:jc w:val="center"/>
      <w:tabs>
        <w:tab w:val="center" w:pos="4153" w:leader="none"/>
        <w:tab w:val="right" w:pos="8306" w:leader="none"/>
      </w:tabs>
      <w:pBdr>
        <w:bottom w:val="single" w:color="000000" w:sz="6" w:space="1"/>
      </w:pBdr>
    </w:pPr>
    <w:rPr>
      <w:sz w:val="18"/>
      <w:szCs w:val="18"/>
    </w:rPr>
  </w:style>
  <w:style w:type="paragraph" w:styleId="1142" w:customStyle="1">
    <w:name w:val="页脚1"/>
    <w:basedOn w:val="871"/>
    <w:uiPriority w:val="99"/>
    <w:qFormat/>
    <w:pPr>
      <w:jc w:val="left"/>
      <w:tabs>
        <w:tab w:val="center" w:pos="4153" w:leader="none"/>
        <w:tab w:val="right" w:pos="8306" w:leader="none"/>
      </w:tabs>
    </w:pPr>
    <w:rPr>
      <w:sz w:val="18"/>
      <w:szCs w:val="18"/>
    </w:rPr>
  </w:style>
  <w:style w:type="character" w:styleId="1143" w:customStyle="1">
    <w:name w:val="页码1"/>
    <w:qFormat/>
  </w:style>
  <w:style w:type="paragraph" w:styleId="1144" w:customStyle="1">
    <w:name w:val="Table Text"/>
    <w:basedOn w:val="871"/>
    <w:semiHidden/>
    <w:qFormat/>
    <w:rPr>
      <w:rFonts w:ascii="黑体" w:hAnsi="黑体" w:eastAsia="黑体" w:cs="黑体"/>
      <w:sz w:val="18"/>
      <w:szCs w:val="18"/>
    </w:rPr>
  </w:style>
  <w:style w:type="table" w:styleId="1145" w:customStyle="1">
    <w:name w:val="Table Normal"/>
    <w:unhideWhenUsed/>
    <w:qFormat/>
    <w:tblPr>
      <w:tblCellMar>
        <w:left w:w="0" w:type="dxa"/>
        <w:top w:w="0" w:type="dxa"/>
        <w:right w:w="0" w:type="dxa"/>
        <w:bottom w:w="0" w:type="dxa"/>
      </w:tblCellMar>
    </w:tblPr>
  </w:style>
  <w:style w:type="table" w:styleId="1146" w:customStyle="1">
    <w:name w:val="网格型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47" w:customStyle="1">
    <w:name w:val="Grid Table 1 Light - Accent 11"/>
    <w:basedOn w:val="882"/>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Helvetica" w:hAnsi="Helvetica"/>
        <w:color w:val="404040"/>
        <w:sz w:val="22"/>
      </w:rPr>
      <w:tcPr>
        <w:tcBorders>
          <w:top w:val="single" w:color="B5C6EA" w:sz="4" w:space="0"/>
          <w:left w:val="single" w:color="B5C6EA" w:sz="4" w:space="0"/>
          <w:bottom w:val="single" w:color="B5C6EA" w:sz="4" w:space="0"/>
          <w:right w:val="single" w:color="B5C6E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4ADE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148" w:customStyle="1">
    <w:name w:val="Grid Table 1 Light - Accent 21"/>
    <w:basedOn w:val="882"/>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Helvetica" w:hAnsi="Helvetica"/>
        <w:color w:val="404040"/>
        <w:sz w:val="22"/>
      </w:rPr>
      <w:tcPr>
        <w:tcBorders>
          <w:top w:val="single" w:color="F8CCAA" w:sz="4" w:space="0"/>
          <w:left w:val="single" w:color="F8CCAA" w:sz="4" w:space="0"/>
          <w:bottom w:val="single" w:color="F8CCAA" w:sz="4" w:space="0"/>
          <w:right w:val="single" w:color="F8CCA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5B5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149" w:customStyle="1">
    <w:name w:val="Grid Table 1 Light - Accent 31"/>
    <w:basedOn w:val="882"/>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Helvetica" w:hAnsi="Helvetica"/>
        <w:color w:val="404040"/>
        <w:sz w:val="22"/>
      </w:rPr>
      <w:tcPr>
        <w:tcBorders>
          <w:top w:val="single" w:color="FEE594" w:sz="4" w:space="0"/>
          <w:left w:val="single" w:color="FEE594" w:sz="4" w:space="0"/>
          <w:bottom w:val="single" w:color="FEE594" w:sz="4" w:space="0"/>
          <w:right w:val="single" w:color="FEE59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DD9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150" w:customStyle="1">
    <w:name w:val="Grid Table 1 Light - Accent 41"/>
    <w:basedOn w:val="882"/>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Helvetica" w:hAnsi="Helvetica"/>
        <w:color w:val="404040"/>
        <w:sz w:val="22"/>
      </w:rPr>
      <w:tcPr>
        <w:tcBorders>
          <w:top w:val="single" w:color="C7E4B2" w:sz="4" w:space="0"/>
          <w:left w:val="single" w:color="C7E4B2" w:sz="4" w:space="0"/>
          <w:bottom w:val="single" w:color="C7E4B2" w:sz="4" w:space="0"/>
          <w:right w:val="single" w:color="C7E4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ED8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151" w:customStyle="1">
    <w:name w:val="Grid Table 1 Light - Accent 51"/>
    <w:basedOn w:val="882"/>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Helvetica" w:hAnsi="Helvetica"/>
        <w:color w:val="404040"/>
        <w:sz w:val="22"/>
      </w:rPr>
      <w:tcPr>
        <w:tcBorders>
          <w:top w:val="single" w:color="A7E9E3" w:sz="4" w:space="0"/>
          <w:left w:val="single" w:color="A7E9E3" w:sz="4" w:space="0"/>
          <w:bottom w:val="single" w:color="A7E9E3" w:sz="4" w:space="0"/>
          <w:right w:val="single" w:color="A7E9E3"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80DFD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152" w:customStyle="1">
    <w:name w:val="Grid Table 1 Light - Accent 61"/>
    <w:basedOn w:val="882"/>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Helvetica" w:hAnsi="Helvetica"/>
        <w:color w:val="404040"/>
        <w:sz w:val="22"/>
      </w:rPr>
      <w:tcPr>
        <w:tcBorders>
          <w:top w:val="single" w:color="F4B6BD" w:sz="4" w:space="0"/>
          <w:left w:val="single" w:color="F4B6BD" w:sz="4" w:space="0"/>
          <w:bottom w:val="single" w:color="F4B6BD" w:sz="4" w:space="0"/>
          <w:right w:val="single" w:color="F4B6BD"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EF96A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153" w:customStyle="1">
    <w:name w:val="Grid Table 2 - Accent 11"/>
    <w:basedOn w:val="882"/>
    <w:uiPriority w:val="99"/>
    <w:qFormat/>
    <w:tblPr>
      <w:tblBorders>
        <w:bottom w:val="single" w:color="577FCF" w:sz="4" w:space="0"/>
        <w:insideH w:val="single" w:color="577FCF" w:sz="4" w:space="0"/>
        <w:insideV w:val="single" w:color="577FCF" w:sz="4" w:space="0"/>
      </w:tblBorders>
    </w:tblPr>
    <w:tblStylePr w:type="band1Horz">
      <w:rPr>
        <w:rFonts w:ascii="Helvetica" w:hAnsi="Helvetica"/>
        <w:color w:val="404040"/>
        <w:sz w:val="22"/>
      </w:rPr>
      <w:tcPr>
        <w:shd w:val="clear" w:color="d9e2f4" w:fill="d9e2f4"/>
      </w:tcPr>
    </w:tblStylePr>
    <w:tblStylePr w:type="band1Vert">
      <w:rPr>
        <w:rFonts w:ascii="Helvetica" w:hAnsi="Helvetica"/>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4" w:customStyle="1">
    <w:name w:val="Grid Table 2 - Accent 21"/>
    <w:basedOn w:val="882"/>
    <w:uiPriority w:val="99"/>
    <w:qFormat/>
    <w:tblPr>
      <w:tblBorders>
        <w:bottom w:val="single" w:color="F5B483" w:sz="4" w:space="0"/>
        <w:insideH w:val="single" w:color="F5B483" w:sz="4" w:space="0"/>
        <w:insideV w:val="single" w:color="F5B483" w:sz="4" w:space="0"/>
      </w:tblBorders>
    </w:tblPr>
    <w:tblStylePr w:type="band1Horz">
      <w:rPr>
        <w:rFonts w:ascii="Helvetica" w:hAnsi="Helvetica"/>
        <w:color w:val="404040"/>
        <w:sz w:val="22"/>
      </w:rPr>
      <w:tcPr>
        <w:shd w:val="clear" w:color="fbe6d6" w:fill="fbe6d6"/>
      </w:tcPr>
    </w:tblStylePr>
    <w:tblStylePr w:type="band1Vert">
      <w:rPr>
        <w:rFonts w:ascii="Helvetica" w:hAnsi="Helvetica"/>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5" w:customStyle="1">
    <w:name w:val="Grid Table 2 - Accent 31"/>
    <w:basedOn w:val="882"/>
    <w:uiPriority w:val="99"/>
    <w:qFormat/>
    <w:tblPr>
      <w:tblBorders>
        <w:bottom w:val="single" w:color="F2BA02" w:sz="4" w:space="0"/>
        <w:insideH w:val="single" w:color="F2BA02" w:sz="4" w:space="0"/>
        <w:insideV w:val="single" w:color="F2BA02" w:sz="4" w:space="0"/>
      </w:tblBorders>
    </w:tblPr>
    <w:tblStylePr w:type="band1Horz">
      <w:rPr>
        <w:rFonts w:ascii="Helvetica" w:hAnsi="Helvetica"/>
        <w:color w:val="404040"/>
        <w:sz w:val="22"/>
      </w:rPr>
      <w:tcPr>
        <w:shd w:val="clear" w:color="fef2c9" w:fill="fef2c9"/>
      </w:tcPr>
    </w:tblStylePr>
    <w:tblStylePr w:type="band1Vert">
      <w:rPr>
        <w:rFonts w:ascii="Helvetica" w:hAnsi="Helvetica"/>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6" w:customStyle="1">
    <w:name w:val="Grid Table 2 - Accent 41"/>
    <w:basedOn w:val="882"/>
    <w:uiPriority w:val="99"/>
    <w:qFormat/>
    <w:tblPr>
      <w:tblBorders>
        <w:bottom w:val="single" w:color="ABD78C" w:sz="4" w:space="0"/>
        <w:insideH w:val="single" w:color="ABD78C" w:sz="4" w:space="0"/>
        <w:insideV w:val="single" w:color="ABD78C" w:sz="4" w:space="0"/>
      </w:tblBorders>
    </w:tblPr>
    <w:tblStylePr w:type="band1Horz">
      <w:rPr>
        <w:rFonts w:ascii="Helvetica" w:hAnsi="Helvetica"/>
        <w:color w:val="404040"/>
        <w:sz w:val="22"/>
      </w:rPr>
      <w:tcPr>
        <w:shd w:val="clear" w:color="e2f1d8" w:fill="e2f1d8"/>
      </w:tcPr>
    </w:tblStylePr>
    <w:tblStylePr w:type="band1Vert">
      <w:rPr>
        <w:rFonts w:ascii="Helvetica" w:hAnsi="Helvetica"/>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7" w:customStyle="1">
    <w:name w:val="Grid Table 2 - Accent 51"/>
    <w:basedOn w:val="882"/>
    <w:uiPriority w:val="99"/>
    <w:qFormat/>
    <w:tblPr>
      <w:tblBorders>
        <w:bottom w:val="single" w:color="30C0B4" w:sz="4" w:space="0"/>
        <w:insideH w:val="single" w:color="30C0B4" w:sz="4" w:space="0"/>
        <w:insideV w:val="single" w:color="30C0B4" w:sz="4" w:space="0"/>
      </w:tblBorders>
    </w:tblPr>
    <w:tblStylePr w:type="band1Horz">
      <w:rPr>
        <w:rFonts w:ascii="Helvetica" w:hAnsi="Helvetica"/>
        <w:color w:val="404040"/>
        <w:sz w:val="22"/>
      </w:rPr>
      <w:tcPr>
        <w:shd w:val="clear" w:color="d2f4f1" w:fill="d2f4f1"/>
      </w:tcPr>
    </w:tblStylePr>
    <w:tblStylePr w:type="band1Vert">
      <w:rPr>
        <w:rFonts w:ascii="Helvetica" w:hAnsi="Helvetica"/>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8" w:customStyle="1">
    <w:name w:val="Grid Table 2 - Accent 61"/>
    <w:basedOn w:val="882"/>
    <w:uiPriority w:val="99"/>
    <w:qFormat/>
    <w:tblPr>
      <w:tblBorders>
        <w:bottom w:val="single" w:color="E54C5E" w:sz="4" w:space="0"/>
        <w:insideH w:val="single" w:color="E54C5E" w:sz="4" w:space="0"/>
        <w:insideV w:val="single" w:color="E54C5E" w:sz="4" w:space="0"/>
      </w:tblBorders>
    </w:tblPr>
    <w:tblStylePr w:type="band1Horz">
      <w:rPr>
        <w:rFonts w:ascii="Helvetica" w:hAnsi="Helvetica"/>
        <w:color w:val="404040"/>
        <w:sz w:val="22"/>
      </w:rPr>
      <w:tcPr>
        <w:shd w:val="clear" w:color="f9dade" w:fill="f9dade"/>
      </w:tcPr>
    </w:tblStylePr>
    <w:tblStylePr w:type="band1Vert">
      <w:rPr>
        <w:rFonts w:ascii="Helvetica" w:hAnsi="Helvetica"/>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59" w:customStyle="1">
    <w:name w:val="Grid Table 3 - Accent 11"/>
    <w:basedOn w:val="882"/>
    <w:uiPriority w:val="99"/>
    <w:qFormat/>
    <w:tblPr>
      <w:tblBorders>
        <w:bottom w:val="single" w:color="577FCF" w:sz="4" w:space="0"/>
        <w:insideH w:val="single" w:color="577FCF" w:sz="4" w:space="0"/>
        <w:insideV w:val="single" w:color="577FCF" w:sz="4" w:space="0"/>
      </w:tblBorders>
    </w:tblPr>
    <w:tblStylePr w:type="band1Horz">
      <w:rPr>
        <w:rFonts w:ascii="Helvetica" w:hAnsi="Helvetica"/>
        <w:color w:val="404040"/>
        <w:sz w:val="22"/>
      </w:rPr>
      <w:tcPr>
        <w:shd w:val="clear" w:color="d9e2f4" w:fill="d9e2f4"/>
      </w:tcPr>
    </w:tblStylePr>
    <w:tblStylePr w:type="band1Vert">
      <w:rPr>
        <w:rFonts w:ascii="Helvetica" w:hAnsi="Helvetica"/>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0" w:customStyle="1">
    <w:name w:val="Grid Table 3 - Accent 21"/>
    <w:basedOn w:val="882"/>
    <w:uiPriority w:val="99"/>
    <w:qFormat/>
    <w:tblPr>
      <w:tblBorders>
        <w:bottom w:val="single" w:color="F5B483" w:sz="4" w:space="0"/>
        <w:insideH w:val="single" w:color="F5B483" w:sz="4" w:space="0"/>
        <w:insideV w:val="single" w:color="F5B483" w:sz="4" w:space="0"/>
      </w:tblBorders>
    </w:tblPr>
    <w:tblStylePr w:type="band1Horz">
      <w:rPr>
        <w:rFonts w:ascii="Helvetica" w:hAnsi="Helvetica"/>
        <w:color w:val="404040"/>
        <w:sz w:val="22"/>
      </w:rPr>
      <w:tcPr>
        <w:shd w:val="clear" w:color="fbe6d6" w:fill="fbe6d6"/>
      </w:tcPr>
    </w:tblStylePr>
    <w:tblStylePr w:type="band1Vert">
      <w:rPr>
        <w:rFonts w:ascii="Helvetica" w:hAnsi="Helvetica"/>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1" w:customStyle="1">
    <w:name w:val="Grid Table 3 - Accent 31"/>
    <w:basedOn w:val="882"/>
    <w:uiPriority w:val="99"/>
    <w:qFormat/>
    <w:tblPr>
      <w:tblBorders>
        <w:bottom w:val="single" w:color="F2BA02" w:sz="4" w:space="0"/>
        <w:insideH w:val="single" w:color="F2BA02" w:sz="4" w:space="0"/>
        <w:insideV w:val="single" w:color="F2BA02" w:sz="4" w:space="0"/>
      </w:tblBorders>
    </w:tblPr>
    <w:tblStylePr w:type="band1Horz">
      <w:rPr>
        <w:rFonts w:ascii="Helvetica" w:hAnsi="Helvetica"/>
        <w:color w:val="404040"/>
        <w:sz w:val="22"/>
      </w:rPr>
      <w:tcPr>
        <w:shd w:val="clear" w:color="fef2c9" w:fill="fef2c9"/>
      </w:tcPr>
    </w:tblStylePr>
    <w:tblStylePr w:type="band1Vert">
      <w:rPr>
        <w:rFonts w:ascii="Helvetica" w:hAnsi="Helvetica"/>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2" w:customStyle="1">
    <w:name w:val="Grid Table 3 - Accent 41"/>
    <w:basedOn w:val="882"/>
    <w:uiPriority w:val="99"/>
    <w:qFormat/>
    <w:tblPr>
      <w:tblBorders>
        <w:bottom w:val="single" w:color="ABD78C" w:sz="4" w:space="0"/>
        <w:insideH w:val="single" w:color="ABD78C" w:sz="4" w:space="0"/>
        <w:insideV w:val="single" w:color="ABD78C" w:sz="4" w:space="0"/>
      </w:tblBorders>
    </w:tblPr>
    <w:tblStylePr w:type="band1Horz">
      <w:rPr>
        <w:rFonts w:ascii="Helvetica" w:hAnsi="Helvetica"/>
        <w:color w:val="404040"/>
        <w:sz w:val="22"/>
      </w:rPr>
      <w:tcPr>
        <w:shd w:val="clear" w:color="e2f1d8" w:fill="e2f1d8"/>
      </w:tcPr>
    </w:tblStylePr>
    <w:tblStylePr w:type="band1Vert">
      <w:rPr>
        <w:rFonts w:ascii="Helvetica" w:hAnsi="Helvetica"/>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3" w:customStyle="1">
    <w:name w:val="Grid Table 3 - Accent 51"/>
    <w:basedOn w:val="882"/>
    <w:uiPriority w:val="99"/>
    <w:qFormat/>
    <w:tblPr>
      <w:tblBorders>
        <w:bottom w:val="single" w:color="30C0B4" w:sz="4" w:space="0"/>
        <w:insideH w:val="single" w:color="30C0B4" w:sz="4" w:space="0"/>
        <w:insideV w:val="single" w:color="30C0B4" w:sz="4" w:space="0"/>
      </w:tblBorders>
    </w:tblPr>
    <w:tblStylePr w:type="band1Horz">
      <w:rPr>
        <w:rFonts w:ascii="Helvetica" w:hAnsi="Helvetica"/>
        <w:color w:val="404040"/>
        <w:sz w:val="22"/>
      </w:rPr>
      <w:tcPr>
        <w:shd w:val="clear" w:color="d2f4f1" w:fill="d2f4f1"/>
      </w:tcPr>
    </w:tblStylePr>
    <w:tblStylePr w:type="band1Vert">
      <w:rPr>
        <w:rFonts w:ascii="Helvetica" w:hAnsi="Helvetica"/>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4" w:customStyle="1">
    <w:name w:val="Grid Table 3 - Accent 61"/>
    <w:basedOn w:val="882"/>
    <w:uiPriority w:val="99"/>
    <w:qFormat/>
    <w:tblPr>
      <w:tblBorders>
        <w:bottom w:val="single" w:color="E54C5E" w:sz="4" w:space="0"/>
        <w:insideH w:val="single" w:color="E54C5E" w:sz="4" w:space="0"/>
        <w:insideV w:val="single" w:color="E54C5E" w:sz="4" w:space="0"/>
      </w:tblBorders>
    </w:tblPr>
    <w:tblStylePr w:type="band1Horz">
      <w:rPr>
        <w:rFonts w:ascii="Helvetica" w:hAnsi="Helvetica"/>
        <w:color w:val="404040"/>
        <w:sz w:val="22"/>
      </w:rPr>
      <w:tcPr>
        <w:shd w:val="clear" w:color="f9dade" w:fill="f9dade"/>
      </w:tcPr>
    </w:tblStylePr>
    <w:tblStylePr w:type="band1Vert">
      <w:rPr>
        <w:rFonts w:ascii="Helvetica" w:hAnsi="Helvetica"/>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5" w:customStyle="1">
    <w:name w:val="Grid Table 4 - Accent 11"/>
    <w:basedOn w:val="882"/>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Helvetica" w:hAnsi="Helvetica"/>
        <w:color w:val="404040"/>
        <w:sz w:val="22"/>
      </w:rPr>
      <w:tcPr>
        <w:shd w:val="clear" w:color="dae3f4" w:fill="dae3f4"/>
      </w:tcPr>
    </w:tblStylePr>
    <w:tblStylePr w:type="band1Vert">
      <w:rPr>
        <w:rFonts w:ascii="Helvetica" w:hAnsi="Helvetica"/>
        <w:color w:val="404040"/>
        <w:sz w:val="22"/>
      </w:rPr>
      <w:tcPr>
        <w:shd w:val="clear" w:color="dae3f4" w:fill="dae3f4"/>
      </w:tcPr>
    </w:tblStylePr>
    <w:tblStylePr w:type="firstCol">
      <w:rPr>
        <w:b/>
        <w:color w:val="404040"/>
      </w:rPr>
    </w:tblStylePr>
    <w:tblStylePr w:type="firstRow">
      <w:rPr>
        <w:rFonts w:ascii="Helvetica" w:hAnsi="Helvetica"/>
        <w:b/>
        <w:color w:val="ffffff"/>
        <w:sz w:val="22"/>
      </w:rPr>
      <w:tcPr>
        <w:shd w:val="clear" w:color="577fcf" w:fill="577fcf"/>
        <w:tcBorders>
          <w:top w:val="single" w:color="577FCF" w:sz="4" w:space="0"/>
          <w:left w:val="single" w:color="577FCF" w:sz="4" w:space="0"/>
          <w:bottom w:val="single" w:color="577FCF" w:sz="4" w:space="0"/>
          <w:right w:val="single" w:color="577FCF"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77F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6" w:customStyle="1">
    <w:name w:val="Grid Table 4 - Accent 21"/>
    <w:basedOn w:val="882"/>
    <w:uiPriority w:val="59"/>
    <w:qFormat/>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Helvetica" w:hAnsi="Helvetica"/>
        <w:color w:val="404040"/>
        <w:sz w:val="22"/>
      </w:rPr>
      <w:tcPr>
        <w:shd w:val="clear" w:color="fbe6d6" w:fill="fbe6d6"/>
      </w:tcPr>
    </w:tblStylePr>
    <w:tblStylePr w:type="band1Vert">
      <w:rPr>
        <w:rFonts w:ascii="Helvetica" w:hAnsi="Helvetica"/>
        <w:color w:val="404040"/>
        <w:sz w:val="22"/>
      </w:rPr>
      <w:tcPr>
        <w:shd w:val="clear" w:color="fbe6d6" w:fill="fbe6d6"/>
      </w:tcPr>
    </w:tblStylePr>
    <w:tblStylePr w:type="firstCol">
      <w:rPr>
        <w:b/>
        <w:color w:val="404040"/>
      </w:rPr>
    </w:tblStylePr>
    <w:tblStylePr w:type="firstRow">
      <w:rPr>
        <w:rFonts w:ascii="Helvetica" w:hAnsi="Helvetica"/>
        <w:b/>
        <w:color w:val="ffffff"/>
        <w:sz w:val="22"/>
      </w:rPr>
      <w:tcPr>
        <w:shd w:val="clear" w:color="f5b483" w:fill="f5b483"/>
        <w:tcBorders>
          <w:top w:val="single" w:color="F5B483" w:sz="4" w:space="0"/>
          <w:left w:val="single" w:color="F5B483" w:sz="4" w:space="0"/>
          <w:bottom w:val="single" w:color="F5B483" w:sz="4" w:space="0"/>
          <w:right w:val="single" w:color="F5B483"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7" w:customStyle="1">
    <w:name w:val="Grid Table 4 - Accent 31"/>
    <w:basedOn w:val="882"/>
    <w:uiPriority w:val="59"/>
    <w:qFormat/>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Helvetica" w:hAnsi="Helvetica"/>
        <w:color w:val="404040"/>
        <w:sz w:val="22"/>
      </w:rPr>
      <w:tcPr>
        <w:shd w:val="clear" w:color="fef2c9" w:fill="fef2c9"/>
      </w:tcPr>
    </w:tblStylePr>
    <w:tblStylePr w:type="band1Vert">
      <w:rPr>
        <w:rFonts w:ascii="Helvetica" w:hAnsi="Helvetica"/>
        <w:color w:val="404040"/>
        <w:sz w:val="22"/>
      </w:rPr>
      <w:tcPr>
        <w:shd w:val="clear" w:color="fef2c9" w:fill="fef2c9"/>
      </w:tcPr>
    </w:tblStylePr>
    <w:tblStylePr w:type="firstCol">
      <w:rPr>
        <w:b/>
        <w:color w:val="404040"/>
      </w:rPr>
    </w:tblStylePr>
    <w:tblStylePr w:type="firstRow">
      <w:rPr>
        <w:rFonts w:ascii="Helvetica" w:hAnsi="Helvetica"/>
        <w:b/>
        <w:color w:val="ffffff"/>
        <w:sz w:val="22"/>
      </w:rPr>
      <w:tcPr>
        <w:shd w:val="clear" w:color="f2ba02" w:fill="f2ba02"/>
        <w:tcBorders>
          <w:top w:val="single" w:color="F2BA02" w:sz="4" w:space="0"/>
          <w:left w:val="single" w:color="F2BA02" w:sz="4" w:space="0"/>
          <w:bottom w:val="single" w:color="F2BA02" w:sz="4" w:space="0"/>
          <w:right w:val="single" w:color="F2BA0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8" w:customStyle="1">
    <w:name w:val="Grid Table 4 - Accent 41"/>
    <w:basedOn w:val="882"/>
    <w:uiPriority w:val="59"/>
    <w:qFormat/>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Helvetica" w:hAnsi="Helvetica"/>
        <w:color w:val="404040"/>
        <w:sz w:val="22"/>
      </w:rPr>
      <w:tcPr>
        <w:shd w:val="clear" w:color="e2f1d8" w:fill="e2f1d8"/>
      </w:tcPr>
    </w:tblStylePr>
    <w:tblStylePr w:type="band1Vert">
      <w:rPr>
        <w:rFonts w:ascii="Helvetica" w:hAnsi="Helvetica"/>
        <w:color w:val="404040"/>
        <w:sz w:val="22"/>
      </w:rPr>
      <w:tcPr>
        <w:shd w:val="clear" w:color="e2f1d8" w:fill="e2f1d8"/>
      </w:tcPr>
    </w:tblStylePr>
    <w:tblStylePr w:type="firstCol">
      <w:rPr>
        <w:b/>
        <w:color w:val="404040"/>
      </w:rPr>
    </w:tblStylePr>
    <w:tblStylePr w:type="firstRow">
      <w:rPr>
        <w:rFonts w:ascii="Helvetica" w:hAnsi="Helvetica"/>
        <w:b/>
        <w:color w:val="ffffff"/>
        <w:sz w:val="22"/>
      </w:rPr>
      <w:tcPr>
        <w:shd w:val="clear" w:color="abd78c" w:fill="abd78c"/>
        <w:tcBorders>
          <w:top w:val="single" w:color="ABD78C" w:sz="4" w:space="0"/>
          <w:left w:val="single" w:color="ABD78C" w:sz="4" w:space="0"/>
          <w:bottom w:val="single" w:color="ABD78C" w:sz="4" w:space="0"/>
          <w:right w:val="single" w:color="ABD78C"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9" w:customStyle="1">
    <w:name w:val="Grid Table 4 - Accent 51"/>
    <w:basedOn w:val="882"/>
    <w:uiPriority w:val="59"/>
    <w:qFormat/>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Helvetica" w:hAnsi="Helvetica"/>
        <w:color w:val="404040"/>
        <w:sz w:val="22"/>
      </w:rPr>
      <w:tcPr>
        <w:shd w:val="clear" w:color="d2f4f1" w:fill="d2f4f1"/>
      </w:tcPr>
    </w:tblStylePr>
    <w:tblStylePr w:type="band1Vert">
      <w:rPr>
        <w:rFonts w:ascii="Helvetica" w:hAnsi="Helvetica"/>
        <w:color w:val="404040"/>
        <w:sz w:val="22"/>
      </w:rPr>
      <w:tcPr>
        <w:shd w:val="clear" w:color="d2f4f1" w:fill="d2f4f1"/>
      </w:tcPr>
    </w:tblStylePr>
    <w:tblStylePr w:type="firstCol">
      <w:rPr>
        <w:b/>
        <w:color w:val="404040"/>
      </w:rPr>
    </w:tblStylePr>
    <w:tblStylePr w:type="firstRow">
      <w:rPr>
        <w:rFonts w:ascii="Helvetica" w:hAnsi="Helvetica"/>
        <w:b/>
        <w:color w:val="ffffff"/>
        <w:sz w:val="22"/>
      </w:rPr>
      <w:tcPr>
        <w:shd w:val="clear" w:color="30c0b4" w:fill="30c0b4"/>
        <w:tcBorders>
          <w:top w:val="single" w:color="30C0B4" w:sz="4" w:space="0"/>
          <w:left w:val="single" w:color="30C0B4" w:sz="4" w:space="0"/>
          <w:bottom w:val="single" w:color="30C0B4" w:sz="4" w:space="0"/>
          <w:right w:val="single" w:color="30C0B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0" w:customStyle="1">
    <w:name w:val="Grid Table 4 - Accent 61"/>
    <w:basedOn w:val="882"/>
    <w:uiPriority w:val="59"/>
    <w:qFormat/>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Helvetica" w:hAnsi="Helvetica"/>
        <w:color w:val="404040"/>
        <w:sz w:val="22"/>
      </w:rPr>
      <w:tcPr>
        <w:shd w:val="clear" w:color="f9dade" w:fill="f9dade"/>
      </w:tcPr>
    </w:tblStylePr>
    <w:tblStylePr w:type="band1Vert">
      <w:rPr>
        <w:rFonts w:ascii="Helvetica" w:hAnsi="Helvetica"/>
        <w:color w:val="404040"/>
        <w:sz w:val="22"/>
      </w:rPr>
      <w:tcPr>
        <w:shd w:val="clear" w:color="f9dade" w:fill="f9dade"/>
      </w:tcPr>
    </w:tblStylePr>
    <w:tblStylePr w:type="firstCol">
      <w:rPr>
        <w:b/>
        <w:color w:val="404040"/>
      </w:rPr>
    </w:tblStylePr>
    <w:tblStylePr w:type="firstRow">
      <w:rPr>
        <w:rFonts w:ascii="Helvetica" w:hAnsi="Helvetica"/>
        <w:b/>
        <w:color w:val="ffffff"/>
        <w:sz w:val="22"/>
      </w:rPr>
      <w:tcPr>
        <w:shd w:val="clear" w:color="e54c5e" w:fill="e54c5e"/>
        <w:tcBorders>
          <w:top w:val="single" w:color="E54C5E" w:sz="4" w:space="0"/>
          <w:left w:val="single" w:color="E54C5E" w:sz="4" w:space="0"/>
          <w:bottom w:val="single" w:color="E54C5E" w:sz="4" w:space="0"/>
          <w:right w:val="single" w:color="E54C5E"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1" w:customStyle="1">
    <w:name w:val="Grid Table 5 Dark- Accent 11"/>
    <w:basedOn w:val="88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Helvetica" w:hAnsi="Helvetica"/>
        <w:b/>
        <w:color w:val="ffffff"/>
        <w:sz w:val="22"/>
      </w:rPr>
      <w:tcPr>
        <w:shd w:val="clear" w:color="4874cb" w:fill="4874cb"/>
      </w:tcPr>
    </w:tblStylePr>
    <w:tblStylePr w:type="firstRow">
      <w:rPr>
        <w:rFonts w:ascii="Helvetica" w:hAnsi="Helvetica"/>
        <w:b/>
        <w:color w:val="ffffff"/>
        <w:sz w:val="22"/>
      </w:rPr>
      <w:tcPr>
        <w:shd w:val="clear" w:color="4874cb" w:fill="4874cb"/>
      </w:tcPr>
    </w:tblStylePr>
    <w:tblStylePr w:type="lastCol">
      <w:rPr>
        <w:rFonts w:ascii="Helvetica" w:hAnsi="Helvetica"/>
        <w:b/>
        <w:color w:val="ffffff"/>
        <w:sz w:val="22"/>
      </w:rPr>
      <w:tcPr>
        <w:shd w:val="clear" w:color="4874cb" w:fill="4874cb"/>
      </w:tcPr>
    </w:tblStylePr>
    <w:tblStylePr w:type="lastRow">
      <w:rPr>
        <w:rFonts w:ascii="Helvetica" w:hAnsi="Helvetica"/>
        <w:b/>
        <w:color w:val="ffffff"/>
        <w:sz w:val="22"/>
      </w:rPr>
      <w:tcPr>
        <w:shd w:val="clear" w:color="4874cb" w:fill="4874cb"/>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2" w:customStyle="1">
    <w:name w:val="Grid Table 5 Dark - Accent 21"/>
    <w:basedOn w:val="88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Helvetica" w:hAnsi="Helvetica"/>
        <w:b/>
        <w:color w:val="ffffff"/>
        <w:sz w:val="22"/>
      </w:rPr>
      <w:tcPr>
        <w:shd w:val="clear" w:color="ee822f" w:fill="ee822f"/>
      </w:tcPr>
    </w:tblStylePr>
    <w:tblStylePr w:type="firstRow">
      <w:rPr>
        <w:rFonts w:ascii="Helvetica" w:hAnsi="Helvetica"/>
        <w:b/>
        <w:color w:val="ffffff"/>
        <w:sz w:val="22"/>
      </w:rPr>
      <w:tcPr>
        <w:shd w:val="clear" w:color="ee822f" w:fill="ee822f"/>
      </w:tcPr>
    </w:tblStylePr>
    <w:tblStylePr w:type="lastCol">
      <w:rPr>
        <w:rFonts w:ascii="Helvetica" w:hAnsi="Helvetica"/>
        <w:b/>
        <w:color w:val="ffffff"/>
        <w:sz w:val="22"/>
      </w:rPr>
      <w:tcPr>
        <w:shd w:val="clear" w:color="ee822f" w:fill="ee822f"/>
      </w:tcPr>
    </w:tblStylePr>
    <w:tblStylePr w:type="lastRow">
      <w:rPr>
        <w:rFonts w:ascii="Helvetica" w:hAnsi="Helvetica"/>
        <w:b/>
        <w:color w:val="ffffff"/>
        <w:sz w:val="22"/>
      </w:rPr>
      <w:tcPr>
        <w:shd w:val="clear" w:color="ee822f" w:fill="ee822f"/>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3" w:customStyle="1">
    <w:name w:val="Grid Table 5 Dark - Accent 31"/>
    <w:basedOn w:val="88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Helvetica" w:hAnsi="Helvetica"/>
        <w:b/>
        <w:color w:val="ffffff"/>
        <w:sz w:val="22"/>
      </w:rPr>
      <w:tcPr>
        <w:shd w:val="clear" w:color="f2ba02" w:fill="f2ba02"/>
      </w:tcPr>
    </w:tblStylePr>
    <w:tblStylePr w:type="firstRow">
      <w:rPr>
        <w:rFonts w:ascii="Helvetica" w:hAnsi="Helvetica"/>
        <w:b/>
        <w:color w:val="ffffff"/>
        <w:sz w:val="22"/>
      </w:rPr>
      <w:tcPr>
        <w:shd w:val="clear" w:color="f2ba02" w:fill="f2ba02"/>
      </w:tcPr>
    </w:tblStylePr>
    <w:tblStylePr w:type="lastCol">
      <w:rPr>
        <w:rFonts w:ascii="Helvetica" w:hAnsi="Helvetica"/>
        <w:b/>
        <w:color w:val="ffffff"/>
        <w:sz w:val="22"/>
      </w:rPr>
      <w:tcPr>
        <w:shd w:val="clear" w:color="f2ba02" w:fill="f2ba02"/>
      </w:tcPr>
    </w:tblStylePr>
    <w:tblStylePr w:type="lastRow">
      <w:rPr>
        <w:rFonts w:ascii="Helvetica" w:hAnsi="Helvetica"/>
        <w:b/>
        <w:color w:val="ffffff"/>
        <w:sz w:val="22"/>
      </w:rPr>
      <w:tcPr>
        <w:shd w:val="clear" w:color="f2ba02" w:fill="f2ba0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4" w:customStyle="1">
    <w:name w:val="Grid Table 5 Dark- Accent 41"/>
    <w:basedOn w:val="88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Helvetica" w:hAnsi="Helvetica"/>
        <w:b/>
        <w:color w:val="ffffff"/>
        <w:sz w:val="22"/>
      </w:rPr>
      <w:tcPr>
        <w:shd w:val="clear" w:color="75bd42" w:fill="75bd42"/>
      </w:tcPr>
    </w:tblStylePr>
    <w:tblStylePr w:type="firstRow">
      <w:rPr>
        <w:rFonts w:ascii="Helvetica" w:hAnsi="Helvetica"/>
        <w:b/>
        <w:color w:val="ffffff"/>
        <w:sz w:val="22"/>
      </w:rPr>
      <w:tcPr>
        <w:shd w:val="clear" w:color="75bd42" w:fill="75bd42"/>
      </w:tcPr>
    </w:tblStylePr>
    <w:tblStylePr w:type="lastCol">
      <w:rPr>
        <w:rFonts w:ascii="Helvetica" w:hAnsi="Helvetica"/>
        <w:b/>
        <w:color w:val="ffffff"/>
        <w:sz w:val="22"/>
      </w:rPr>
      <w:tcPr>
        <w:shd w:val="clear" w:color="75bd42" w:fill="75bd42"/>
      </w:tcPr>
    </w:tblStylePr>
    <w:tblStylePr w:type="lastRow">
      <w:rPr>
        <w:rFonts w:ascii="Helvetica" w:hAnsi="Helvetica"/>
        <w:b/>
        <w:color w:val="ffffff"/>
        <w:sz w:val="22"/>
      </w:rPr>
      <w:tcPr>
        <w:shd w:val="clear" w:color="75bd42" w:fill="75bd4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5" w:customStyle="1">
    <w:name w:val="Grid Table 5 Dark - Accent 51"/>
    <w:basedOn w:val="88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Helvetica" w:hAnsi="Helvetica"/>
        <w:b/>
        <w:color w:val="ffffff"/>
        <w:sz w:val="22"/>
      </w:rPr>
      <w:tcPr>
        <w:shd w:val="clear" w:color="30c0b4" w:fill="30c0b4"/>
      </w:tcPr>
    </w:tblStylePr>
    <w:tblStylePr w:type="firstRow">
      <w:rPr>
        <w:rFonts w:ascii="Helvetica" w:hAnsi="Helvetica"/>
        <w:b/>
        <w:color w:val="ffffff"/>
        <w:sz w:val="22"/>
      </w:rPr>
      <w:tcPr>
        <w:shd w:val="clear" w:color="30c0b4" w:fill="30c0b4"/>
      </w:tcPr>
    </w:tblStylePr>
    <w:tblStylePr w:type="lastCol">
      <w:rPr>
        <w:rFonts w:ascii="Helvetica" w:hAnsi="Helvetica"/>
        <w:b/>
        <w:color w:val="ffffff"/>
        <w:sz w:val="22"/>
      </w:rPr>
      <w:tcPr>
        <w:shd w:val="clear" w:color="30c0b4" w:fill="30c0b4"/>
      </w:tcPr>
    </w:tblStylePr>
    <w:tblStylePr w:type="lastRow">
      <w:rPr>
        <w:rFonts w:ascii="Helvetica" w:hAnsi="Helvetica"/>
        <w:b/>
        <w:color w:val="ffffff"/>
        <w:sz w:val="22"/>
      </w:rPr>
      <w:tcPr>
        <w:shd w:val="clear" w:color="30c0b4" w:fill="30c0b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6" w:customStyle="1">
    <w:name w:val="Grid Table 5 Dark - Accent 61"/>
    <w:basedOn w:val="88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Helvetica" w:hAnsi="Helvetica"/>
        <w:b/>
        <w:color w:val="ffffff"/>
        <w:sz w:val="22"/>
      </w:rPr>
      <w:tcPr>
        <w:shd w:val="clear" w:color="e54c5e" w:fill="e54c5e"/>
      </w:tcPr>
    </w:tblStylePr>
    <w:tblStylePr w:type="firstRow">
      <w:rPr>
        <w:rFonts w:ascii="Helvetica" w:hAnsi="Helvetica"/>
        <w:b/>
        <w:color w:val="ffffff"/>
        <w:sz w:val="22"/>
      </w:rPr>
      <w:tcPr>
        <w:shd w:val="clear" w:color="e54c5e" w:fill="e54c5e"/>
      </w:tcPr>
    </w:tblStylePr>
    <w:tblStylePr w:type="lastCol">
      <w:rPr>
        <w:rFonts w:ascii="Helvetica" w:hAnsi="Helvetica"/>
        <w:b/>
        <w:color w:val="ffffff"/>
        <w:sz w:val="22"/>
      </w:rPr>
      <w:tcPr>
        <w:shd w:val="clear" w:color="e54c5e" w:fill="e54c5e"/>
      </w:tcPr>
    </w:tblStylePr>
    <w:tblStylePr w:type="lastRow">
      <w:rPr>
        <w:rFonts w:ascii="Helvetica" w:hAnsi="Helvetica"/>
        <w:b/>
        <w:color w:val="ffffff"/>
        <w:sz w:val="22"/>
      </w:rPr>
      <w:tcPr>
        <w:shd w:val="clear" w:color="e54c5e" w:fill="e54c5e"/>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77" w:customStyle="1">
    <w:name w:val="Grid Table 6 Colorful - Accent 11"/>
    <w:basedOn w:val="882"/>
    <w:uiPriority w:val="99"/>
    <w:qFormat/>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Helvetica" w:hAnsi="Helvetica"/>
        <w:color w:val="4874cb"/>
        <w:sz w:val="22"/>
      </w:rPr>
      <w:tcPr>
        <w:shd w:val="clear" w:color="d9e2f4" w:fill="d9e2f4"/>
      </w:tcPr>
    </w:tblStylePr>
    <w:tblStylePr w:type="band1Vert">
      <w:tcPr>
        <w:shd w:val="clear" w:color="d9e2f4" w:fill="d9e2f4"/>
      </w:tcPr>
    </w:tblStylePr>
    <w:tblStylePr w:type="band2Horz">
      <w:rPr>
        <w:rFonts w:ascii="Helvetica" w:hAnsi="Helvetica"/>
        <w:color w:val="4874cb"/>
        <w:sz w:val="22"/>
      </w:rPr>
    </w:tblStylePr>
    <w:tblStylePr w:type="firstCol">
      <w:rPr>
        <w:b/>
        <w:color w:val="4874cb"/>
      </w:rPr>
    </w:tblStylePr>
    <w:tblStylePr w:type="firstRow">
      <w:rPr>
        <w:b/>
        <w:color w:val="4874cb"/>
      </w:rPr>
      <w:tcPr>
        <w:tcBorders>
          <w:top w:val="none" w:color="000000" w:sz="4" w:space="0"/>
          <w:left w:val="none" w:color="000000" w:sz="4" w:space="0"/>
          <w:bottom w:val="single" w:color="A3B9E5" w:sz="12" w:space="0"/>
          <w:right w:val="none" w:color="000000" w:sz="4" w:space="0"/>
          <w:insideH w:val="none" w:color="000000" w:sz="4" w:space="0"/>
          <w:insideV w:val="none" w:color="000000" w:sz="4" w:space="0"/>
        </w:tcBorders>
      </w:tcPr>
    </w:tblStylePr>
    <w:tblStylePr w:type="lastCol">
      <w:rPr>
        <w:b/>
        <w:color w:val="4874cb"/>
      </w:rPr>
    </w:tblStylePr>
    <w:tblStylePr w:type="lastRow">
      <w:rPr>
        <w:b/>
        <w:color w:val="4874cb"/>
      </w:rPr>
    </w:tblStylePr>
  </w:style>
  <w:style w:type="table" w:styleId="1178" w:customStyle="1">
    <w:name w:val="Grid Table 6 Colorful - Accent 21"/>
    <w:basedOn w:val="882"/>
    <w:uiPriority w:val="99"/>
    <w:qFormat/>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Helvetica" w:hAnsi="Helvetica"/>
        <w:color w:val="ee822f"/>
        <w:sz w:val="22"/>
      </w:rPr>
      <w:tcPr>
        <w:shd w:val="clear" w:color="fbe6d6" w:fill="fbe6d6"/>
      </w:tcPr>
    </w:tblStylePr>
    <w:tblStylePr w:type="band1Vert">
      <w:tcPr>
        <w:shd w:val="clear" w:color="fbe6d6" w:fill="fbe6d6"/>
      </w:tcPr>
    </w:tblStylePr>
    <w:tblStylePr w:type="band2Horz">
      <w:rPr>
        <w:rFonts w:ascii="Helvetica" w:hAnsi="Helvetica"/>
        <w:color w:val="ee822f"/>
        <w:sz w:val="22"/>
      </w:rPr>
    </w:tblStylePr>
    <w:tblStylePr w:type="firstCol">
      <w:rPr>
        <w:b/>
        <w:color w:val="ee822f"/>
      </w:rPr>
    </w:tblStylePr>
    <w:tblStylePr w:type="firstRow">
      <w:rPr>
        <w:b/>
        <w:color w:val="ee822f"/>
      </w:rPr>
      <w:tcPr>
        <w:tcBorders>
          <w:top w:val="none" w:color="000000" w:sz="4" w:space="0"/>
          <w:left w:val="none" w:color="000000" w:sz="4" w:space="0"/>
          <w:bottom w:val="single" w:color="F5B483" w:sz="12" w:space="0"/>
          <w:right w:val="none" w:color="000000" w:sz="4" w:space="0"/>
          <w:insideH w:val="none" w:color="000000" w:sz="4" w:space="0"/>
          <w:insideV w:val="none" w:color="000000" w:sz="4" w:space="0"/>
        </w:tcBorders>
      </w:tcPr>
    </w:tblStylePr>
    <w:tblStylePr w:type="lastCol">
      <w:rPr>
        <w:b/>
        <w:color w:val="ee822f"/>
      </w:rPr>
    </w:tblStylePr>
    <w:tblStylePr w:type="lastRow">
      <w:rPr>
        <w:b/>
        <w:color w:val="ee822f"/>
      </w:rPr>
    </w:tblStylePr>
  </w:style>
  <w:style w:type="table" w:styleId="1179" w:customStyle="1">
    <w:name w:val="Grid Table 6 Colorful - Accent 31"/>
    <w:basedOn w:val="882"/>
    <w:uiPriority w:val="99"/>
    <w:qFormat/>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Helvetica" w:hAnsi="Helvetica"/>
        <w:color w:val="f2ba02"/>
        <w:sz w:val="22"/>
      </w:rPr>
      <w:tcPr>
        <w:shd w:val="clear" w:color="fef2c9" w:fill="fef2c9"/>
      </w:tcPr>
    </w:tblStylePr>
    <w:tblStylePr w:type="band1Vert">
      <w:tcPr>
        <w:shd w:val="clear" w:color="fef2c9" w:fill="fef2c9"/>
      </w:tcPr>
    </w:tblStylePr>
    <w:tblStylePr w:type="band2Horz">
      <w:rPr>
        <w:rFonts w:ascii="Helvetica" w:hAnsi="Helvetica"/>
        <w:color w:val="f2ba02"/>
        <w:sz w:val="22"/>
      </w:rPr>
    </w:tblStylePr>
    <w:tblStylePr w:type="firstCol">
      <w:rPr>
        <w:b/>
        <w:color w:val="f2ba02"/>
      </w:rPr>
    </w:tblStylePr>
    <w:tblStylePr w:type="firstRow">
      <w:rPr>
        <w:b/>
        <w:color w:val="f2ba02"/>
      </w:rPr>
      <w:tcPr>
        <w:tcBorders>
          <w:top w:val="none" w:color="000000" w:sz="4" w:space="0"/>
          <w:left w:val="none" w:color="000000" w:sz="4" w:space="0"/>
          <w:bottom w:val="single" w:color="F2BA02" w:sz="12" w:space="0"/>
          <w:right w:val="none" w:color="000000" w:sz="4" w:space="0"/>
          <w:insideH w:val="none" w:color="000000" w:sz="4" w:space="0"/>
          <w:insideV w:val="none" w:color="000000" w:sz="4" w:space="0"/>
        </w:tcBorders>
      </w:tcPr>
    </w:tblStylePr>
    <w:tblStylePr w:type="lastCol">
      <w:rPr>
        <w:b/>
        <w:color w:val="f2ba02"/>
      </w:rPr>
    </w:tblStylePr>
    <w:tblStylePr w:type="lastRow">
      <w:rPr>
        <w:b/>
        <w:color w:val="f2ba02"/>
      </w:rPr>
    </w:tblStylePr>
  </w:style>
  <w:style w:type="table" w:styleId="1180" w:customStyle="1">
    <w:name w:val="Grid Table 6 Colorful - Accent 41"/>
    <w:basedOn w:val="882"/>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Helvetica" w:hAnsi="Helvetica"/>
        <w:color w:val="75bd42"/>
        <w:sz w:val="22"/>
      </w:rPr>
      <w:tcPr>
        <w:shd w:val="clear" w:color="e2f1d8" w:fill="e2f1d8"/>
      </w:tcPr>
    </w:tblStylePr>
    <w:tblStylePr w:type="band1Vert">
      <w:tcPr>
        <w:shd w:val="clear" w:color="e2f1d8" w:fill="e2f1d8"/>
      </w:tcPr>
    </w:tblStylePr>
    <w:tblStylePr w:type="band2Horz">
      <w:rPr>
        <w:rFonts w:ascii="Helvetica" w:hAnsi="Helvetica"/>
        <w:color w:val="75bd42"/>
        <w:sz w:val="22"/>
      </w:rPr>
    </w:tblStylePr>
    <w:tblStylePr w:type="firstCol">
      <w:rPr>
        <w:b/>
        <w:color w:val="75bd42"/>
      </w:rPr>
    </w:tblStylePr>
    <w:tblStylePr w:type="firstRow">
      <w:rPr>
        <w:b/>
        <w:color w:val="75bd42"/>
      </w:rPr>
      <w:tcPr>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b/>
        <w:color w:val="75bd42"/>
      </w:rPr>
    </w:tblStylePr>
    <w:tblStylePr w:type="lastRow">
      <w:rPr>
        <w:b/>
        <w:color w:val="75bd42"/>
      </w:rPr>
    </w:tblStylePr>
  </w:style>
  <w:style w:type="table" w:styleId="1181" w:customStyle="1">
    <w:name w:val="Grid Table 6 Colorful - Accent 51"/>
    <w:basedOn w:val="882"/>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Helvetica" w:hAnsi="Helvetica"/>
        <w:color w:val="1b6f67"/>
        <w:sz w:val="22"/>
      </w:rPr>
      <w:tcPr>
        <w:shd w:val="clear" w:color="d2f4f1" w:fill="d2f4f1"/>
      </w:tcPr>
    </w:tblStylePr>
    <w:tblStylePr w:type="band1Vert">
      <w:tcPr>
        <w:shd w:val="clear" w:color="d2f4f1" w:fill="d2f4f1"/>
      </w:tcPr>
    </w:tblStylePr>
    <w:tblStylePr w:type="band2Horz">
      <w:rPr>
        <w:rFonts w:ascii="Helvetica" w:hAnsi="Helvetica"/>
        <w:color w:val="1b6f67"/>
        <w:sz w:val="22"/>
      </w:rPr>
    </w:tblStylePr>
    <w:tblStylePr w:type="firstCol">
      <w:rPr>
        <w:b/>
        <w:color w:val="1b6f67"/>
      </w:rPr>
    </w:tblStylePr>
    <w:tblStylePr w:type="firstRow">
      <w:rPr>
        <w:b/>
        <w:color w:val="1b6f67"/>
      </w:rPr>
      <w:tcPr>
        <w:tcBorders>
          <w:top w:val="none" w:color="000000" w:sz="4" w:space="0"/>
          <w:left w:val="none" w:color="000000" w:sz="4" w:space="0"/>
          <w:bottom w:val="single" w:color="30C0B4" w:sz="12" w:space="0"/>
          <w:right w:val="none" w:color="000000" w:sz="4" w:space="0"/>
          <w:insideH w:val="none" w:color="000000" w:sz="4" w:space="0"/>
          <w:insideV w:val="none" w:color="000000" w:sz="4" w:space="0"/>
        </w:tcBorders>
      </w:tcPr>
    </w:tblStylePr>
    <w:tblStylePr w:type="lastCol">
      <w:rPr>
        <w:b/>
        <w:color w:val="1b6f67"/>
      </w:rPr>
    </w:tblStylePr>
    <w:tblStylePr w:type="lastRow">
      <w:rPr>
        <w:b/>
        <w:color w:val="1b6f67"/>
      </w:rPr>
    </w:tblStylePr>
  </w:style>
  <w:style w:type="table" w:styleId="1182" w:customStyle="1">
    <w:name w:val="Grid Table 6 Colorful - Accent 61"/>
    <w:basedOn w:val="882"/>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Helvetica" w:hAnsi="Helvetica"/>
        <w:color w:val="1b6f67"/>
        <w:sz w:val="22"/>
      </w:rPr>
      <w:tcPr>
        <w:shd w:val="clear" w:color="f9dade" w:fill="f9dade"/>
      </w:tcPr>
    </w:tblStylePr>
    <w:tblStylePr w:type="band1Vert">
      <w:tcPr>
        <w:shd w:val="clear" w:color="f9dade" w:fill="f9dade"/>
      </w:tcPr>
    </w:tblStylePr>
    <w:tblStylePr w:type="band2Horz">
      <w:rPr>
        <w:rFonts w:ascii="Helvetica" w:hAnsi="Helvetica"/>
        <w:color w:val="1b6f67"/>
        <w:sz w:val="22"/>
      </w:rPr>
    </w:tblStylePr>
    <w:tblStylePr w:type="firstCol">
      <w:rPr>
        <w:b/>
        <w:color w:val="1b6f67"/>
      </w:rPr>
    </w:tblStylePr>
    <w:tblStylePr w:type="firstRow">
      <w:rPr>
        <w:b/>
        <w:color w:val="1b6f67"/>
      </w:rPr>
      <w:tcPr>
        <w:tcBorders>
          <w:top w:val="none" w:color="000000" w:sz="4" w:space="0"/>
          <w:left w:val="none" w:color="000000" w:sz="4" w:space="0"/>
          <w:bottom w:val="single" w:color="E54C5E" w:sz="12" w:space="0"/>
          <w:right w:val="none" w:color="000000" w:sz="4" w:space="0"/>
          <w:insideH w:val="none" w:color="000000" w:sz="4" w:space="0"/>
          <w:insideV w:val="none" w:color="000000" w:sz="4" w:space="0"/>
        </w:tcBorders>
      </w:tcPr>
    </w:tblStylePr>
    <w:tblStylePr w:type="lastCol">
      <w:rPr>
        <w:b/>
        <w:color w:val="1b6f67"/>
      </w:rPr>
    </w:tblStylePr>
    <w:tblStylePr w:type="lastRow">
      <w:rPr>
        <w:b/>
        <w:color w:val="1b6f67"/>
      </w:rPr>
    </w:tblStylePr>
  </w:style>
  <w:style w:type="table" w:styleId="1183" w:customStyle="1">
    <w:name w:val="Grid Table 7 Colorful - Accent 11"/>
    <w:basedOn w:val="882"/>
    <w:uiPriority w:val="99"/>
    <w:qFormat/>
    <w:tblPr>
      <w:tblBorders>
        <w:bottom w:val="single" w:color="A3B9E5" w:sz="4" w:space="0"/>
        <w:right w:val="single" w:color="A3B9E5" w:sz="4" w:space="0"/>
        <w:insideH w:val="single" w:color="A3B9E5" w:sz="4" w:space="0"/>
        <w:insideV w:val="single" w:color="A3B9E5" w:sz="4" w:space="0"/>
      </w:tblBorders>
    </w:tblPr>
    <w:tblStylePr w:type="band1Horz">
      <w:rPr>
        <w:rFonts w:ascii="Helvetica" w:hAnsi="Helvetica"/>
        <w:color w:val="4874cb"/>
        <w:sz w:val="22"/>
      </w:rPr>
      <w:tcPr>
        <w:shd w:val="clear" w:color="d9e2f4" w:fill="d9e2f4"/>
      </w:tcPr>
    </w:tblStylePr>
    <w:tblStylePr w:type="band1Vert">
      <w:tcPr>
        <w:shd w:val="clear" w:color="d9e2f4" w:fill="d9e2f4"/>
      </w:tcPr>
    </w:tblStylePr>
    <w:tblStylePr w:type="band2Horz">
      <w:rPr>
        <w:rFonts w:ascii="Helvetica" w:hAnsi="Helvetica"/>
        <w:color w:val="4874cb"/>
        <w:sz w:val="22"/>
      </w:rPr>
    </w:tblStylePr>
    <w:tblStylePr w:type="firstCol">
      <w:rPr>
        <w:rFonts w:ascii="Helvetica" w:hAnsi="Helvetica"/>
        <w:i/>
        <w:color w:val="4874cb"/>
        <w:sz w:val="22"/>
      </w:rPr>
      <w:pPr>
        <w:jc w:val="right"/>
      </w:pPr>
      <w:tcPr>
        <w:shd w:val="clear" w:color="ffffff" w:fill="auto"/>
        <w:tcBorders>
          <w:top w:val="none" w:color="000000" w:sz="4" w:space="0"/>
          <w:left w:val="none" w:color="000000" w:sz="4" w:space="0"/>
          <w:bottom w:val="none" w:color="000000" w:sz="4" w:space="0"/>
          <w:right w:val="single" w:color="A3B9E5" w:sz="4" w:space="0"/>
          <w:insideH w:val="none" w:color="000000" w:sz="4" w:space="0"/>
          <w:insideV w:val="none" w:color="000000" w:sz="4" w:space="0"/>
        </w:tcBorders>
      </w:tcPr>
    </w:tblStylePr>
    <w:tblStylePr w:type="firstRow">
      <w:rPr>
        <w:rFonts w:ascii="Helvetica" w:hAnsi="Helvetica"/>
        <w:b/>
        <w:color w:val="4874cb"/>
        <w:sz w:val="22"/>
      </w:rPr>
      <w:tcPr>
        <w:shd w:val="clear" w:color="ffffff" w:fill="ffffff"/>
        <w:tcBorders>
          <w:top w:val="none" w:color="000000" w:sz="4" w:space="0"/>
          <w:left w:val="none" w:color="000000" w:sz="4" w:space="0"/>
          <w:bottom w:val="single" w:color="A3B9E5" w:sz="4" w:space="0"/>
          <w:right w:val="none" w:color="000000" w:sz="4" w:space="0"/>
          <w:insideH w:val="none" w:color="000000" w:sz="4" w:space="0"/>
          <w:insideV w:val="none" w:color="000000" w:sz="4" w:space="0"/>
        </w:tcBorders>
      </w:tcPr>
    </w:tblStylePr>
    <w:tblStylePr w:type="lastCol">
      <w:rPr>
        <w:rFonts w:ascii="Helvetica" w:hAnsi="Helvetica"/>
        <w:i/>
        <w:color w:val="4874cb"/>
        <w:sz w:val="22"/>
      </w:rPr>
      <w:tcPr>
        <w:shd w:val="clear" w:color="ffffff" w:fill="auto"/>
        <w:tcBorders>
          <w:top w:val="none" w:color="000000" w:sz="4" w:space="0"/>
          <w:left w:val="single" w:color="A3B9E5"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4874cb"/>
        <w:sz w:val="22"/>
      </w:rPr>
      <w:tcPr>
        <w:shd w:val="clear" w:color="ffffff" w:fill="ffffff"/>
        <w:tcBorders>
          <w:top w:val="single" w:color="A3B9E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4" w:customStyle="1">
    <w:name w:val="Grid Table 7 Colorful - Accent 21"/>
    <w:basedOn w:val="882"/>
    <w:uiPriority w:val="99"/>
    <w:qFormat/>
    <w:tblPr>
      <w:tblBorders>
        <w:bottom w:val="single" w:color="F5B483" w:sz="4" w:space="0"/>
        <w:right w:val="single" w:color="F5B483" w:sz="4" w:space="0"/>
        <w:insideH w:val="single" w:color="F5B483" w:sz="4" w:space="0"/>
        <w:insideV w:val="single" w:color="F5B483" w:sz="4" w:space="0"/>
      </w:tblBorders>
    </w:tblPr>
    <w:tblStylePr w:type="band1Horz">
      <w:rPr>
        <w:rFonts w:ascii="Helvetica" w:hAnsi="Helvetica"/>
        <w:color w:val="ee822f"/>
        <w:sz w:val="22"/>
      </w:rPr>
      <w:tcPr>
        <w:shd w:val="clear" w:color="fbe6d6" w:fill="fbe6d6"/>
      </w:tcPr>
    </w:tblStylePr>
    <w:tblStylePr w:type="band1Vert">
      <w:tcPr>
        <w:shd w:val="clear" w:color="fbe6d6" w:fill="fbe6d6"/>
      </w:tcPr>
    </w:tblStylePr>
    <w:tblStylePr w:type="band2Horz">
      <w:rPr>
        <w:rFonts w:ascii="Helvetica" w:hAnsi="Helvetica"/>
        <w:color w:val="ee822f"/>
        <w:sz w:val="22"/>
      </w:rPr>
    </w:tblStylePr>
    <w:tblStylePr w:type="firstCol">
      <w:rPr>
        <w:rFonts w:ascii="Helvetica" w:hAnsi="Helvetica"/>
        <w:i/>
        <w:color w:val="ee822f"/>
        <w:sz w:val="22"/>
      </w:rPr>
      <w:pPr>
        <w:jc w:val="right"/>
      </w:pPr>
      <w:tcPr>
        <w:shd w:val="clear" w:color="ffffff" w:fill="auto"/>
        <w:tcBorders>
          <w:top w:val="none" w:color="000000" w:sz="4" w:space="0"/>
          <w:left w:val="none" w:color="000000" w:sz="4" w:space="0"/>
          <w:bottom w:val="none" w:color="000000" w:sz="4" w:space="0"/>
          <w:right w:val="single" w:color="F5B483" w:sz="4" w:space="0"/>
          <w:insideH w:val="none" w:color="000000" w:sz="4" w:space="0"/>
          <w:insideV w:val="none" w:color="000000" w:sz="4" w:space="0"/>
        </w:tcBorders>
      </w:tcPr>
    </w:tblStylePr>
    <w:tblStylePr w:type="firstRow">
      <w:rPr>
        <w:rFonts w:ascii="Helvetica" w:hAnsi="Helvetica"/>
        <w:b/>
        <w:color w:val="ee822f"/>
        <w:sz w:val="22"/>
      </w:rPr>
      <w:tcPr>
        <w:shd w:val="clear" w:color="ffffff" w:fill="ffffff"/>
        <w:tcBorders>
          <w:top w:val="none" w:color="000000" w:sz="4" w:space="0"/>
          <w:left w:val="none" w:color="000000" w:sz="4" w:space="0"/>
          <w:bottom w:val="single" w:color="F5B483" w:sz="4" w:space="0"/>
          <w:right w:val="none" w:color="000000" w:sz="4" w:space="0"/>
          <w:insideH w:val="none" w:color="000000" w:sz="4" w:space="0"/>
          <w:insideV w:val="none" w:color="000000" w:sz="4" w:space="0"/>
        </w:tcBorders>
      </w:tcPr>
    </w:tblStylePr>
    <w:tblStylePr w:type="lastCol">
      <w:rPr>
        <w:rFonts w:ascii="Helvetica" w:hAnsi="Helvetica"/>
        <w:i/>
        <w:color w:val="ee822f"/>
        <w:sz w:val="22"/>
      </w:rPr>
      <w:tcPr>
        <w:shd w:val="clear" w:color="ffffff" w:fill="auto"/>
        <w:tcBorders>
          <w:top w:val="none" w:color="000000" w:sz="4" w:space="0"/>
          <w:left w:val="single" w:color="F5B483"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ee822f"/>
        <w:sz w:val="22"/>
      </w:rPr>
      <w:tcPr>
        <w:shd w:val="clear" w:color="ffffff" w:fill="ffffff"/>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5" w:customStyle="1">
    <w:name w:val="Grid Table 7 Colorful - Accent 31"/>
    <w:basedOn w:val="882"/>
    <w:uiPriority w:val="99"/>
    <w:qFormat/>
    <w:tblPr>
      <w:tblBorders>
        <w:bottom w:val="single" w:color="F2BA02" w:sz="4" w:space="0"/>
        <w:right w:val="single" w:color="F2BA02" w:sz="4" w:space="0"/>
        <w:insideH w:val="single" w:color="F2BA02" w:sz="4" w:space="0"/>
        <w:insideV w:val="single" w:color="F2BA02" w:sz="4" w:space="0"/>
      </w:tblBorders>
    </w:tblPr>
    <w:tblStylePr w:type="band1Horz">
      <w:rPr>
        <w:rFonts w:ascii="Helvetica" w:hAnsi="Helvetica"/>
        <w:color w:val="f2ba02"/>
        <w:sz w:val="22"/>
      </w:rPr>
      <w:tcPr>
        <w:shd w:val="clear" w:color="fef2c9" w:fill="fef2c9"/>
      </w:tcPr>
    </w:tblStylePr>
    <w:tblStylePr w:type="band1Vert">
      <w:tcPr>
        <w:shd w:val="clear" w:color="fef2c9" w:fill="fef2c9"/>
      </w:tcPr>
    </w:tblStylePr>
    <w:tblStylePr w:type="band2Horz">
      <w:rPr>
        <w:rFonts w:ascii="Helvetica" w:hAnsi="Helvetica"/>
        <w:color w:val="f2ba02"/>
        <w:sz w:val="22"/>
      </w:rPr>
    </w:tblStylePr>
    <w:tblStylePr w:type="firstCol">
      <w:rPr>
        <w:rFonts w:ascii="Helvetica" w:hAnsi="Helvetica"/>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insideH w:val="none" w:color="000000" w:sz="4" w:space="0"/>
          <w:insideV w:val="none" w:color="000000" w:sz="4" w:space="0"/>
        </w:tcBorders>
      </w:tcPr>
    </w:tblStylePr>
    <w:tblStylePr w:type="firstRow">
      <w:rPr>
        <w:rFonts w:ascii="Helvetica" w:hAnsi="Helvetica"/>
        <w:b/>
        <w:color w:val="f2ba02"/>
        <w:sz w:val="22"/>
      </w:rPr>
      <w:tcPr>
        <w:shd w:val="clear" w:color="ffffff" w:fill="ffffff"/>
        <w:tcBorders>
          <w:top w:val="none" w:color="000000" w:sz="4" w:space="0"/>
          <w:left w:val="none" w:color="000000" w:sz="4" w:space="0"/>
          <w:bottom w:val="single" w:color="F2BA02" w:sz="4" w:space="0"/>
          <w:right w:val="none" w:color="000000" w:sz="4" w:space="0"/>
          <w:insideH w:val="none" w:color="000000" w:sz="4" w:space="0"/>
          <w:insideV w:val="none" w:color="000000" w:sz="4" w:space="0"/>
        </w:tcBorders>
      </w:tcPr>
    </w:tblStylePr>
    <w:tblStylePr w:type="lastCol">
      <w:rPr>
        <w:rFonts w:ascii="Helvetica" w:hAnsi="Helvetica"/>
        <w:i/>
        <w:color w:val="f2ba02"/>
        <w:sz w:val="22"/>
      </w:rPr>
      <w:tcPr>
        <w:shd w:val="clear" w:color="ffffff" w:fill="auto"/>
        <w:tcBorders>
          <w:top w:val="none" w:color="000000" w:sz="4" w:space="0"/>
          <w:left w:val="single" w:color="F2BA02"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f2ba02"/>
        <w:sz w:val="22"/>
      </w:rPr>
      <w:tcPr>
        <w:shd w:val="clear" w:color="ffffff" w:fill="ffffff"/>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6" w:customStyle="1">
    <w:name w:val="Grid Table 7 Colorful - Accent 41"/>
    <w:basedOn w:val="882"/>
    <w:uiPriority w:val="99"/>
    <w:qFormat/>
    <w:tblPr>
      <w:tblBorders>
        <w:bottom w:val="single" w:color="ABD78C" w:sz="4" w:space="0"/>
        <w:right w:val="single" w:color="ABD78C" w:sz="4" w:space="0"/>
        <w:insideH w:val="single" w:color="ABD78C" w:sz="4" w:space="0"/>
        <w:insideV w:val="single" w:color="ABD78C" w:sz="4" w:space="0"/>
      </w:tblBorders>
    </w:tblPr>
    <w:tblStylePr w:type="band1Horz">
      <w:rPr>
        <w:rFonts w:ascii="Helvetica" w:hAnsi="Helvetica"/>
        <w:color w:val="75bd42"/>
        <w:sz w:val="22"/>
      </w:rPr>
      <w:tcPr>
        <w:shd w:val="clear" w:color="e2f1d8" w:fill="e2f1d8"/>
      </w:tcPr>
    </w:tblStylePr>
    <w:tblStylePr w:type="band1Vert">
      <w:tcPr>
        <w:shd w:val="clear" w:color="e2f1d8" w:fill="e2f1d8"/>
      </w:tcPr>
    </w:tblStylePr>
    <w:tblStylePr w:type="band2Horz">
      <w:rPr>
        <w:rFonts w:ascii="Helvetica" w:hAnsi="Helvetica"/>
        <w:color w:val="75bd42"/>
        <w:sz w:val="22"/>
      </w:rPr>
    </w:tblStylePr>
    <w:tblStylePr w:type="firstCol">
      <w:rPr>
        <w:rFonts w:ascii="Helvetica" w:hAnsi="Helvetica"/>
        <w:i/>
        <w:color w:val="75bd42"/>
        <w:sz w:val="22"/>
      </w:rPr>
      <w:pPr>
        <w:jc w:val="right"/>
      </w:pPr>
      <w:tcPr>
        <w:shd w:val="clear" w:color="ffffff" w:fill="auto"/>
        <w:tcBorders>
          <w:top w:val="none" w:color="000000" w:sz="4" w:space="0"/>
          <w:left w:val="none" w:color="000000" w:sz="4" w:space="0"/>
          <w:bottom w:val="none" w:color="000000" w:sz="4" w:space="0"/>
          <w:right w:val="single" w:color="ABD78C" w:sz="4" w:space="0"/>
          <w:insideH w:val="none" w:color="000000" w:sz="4" w:space="0"/>
          <w:insideV w:val="none" w:color="000000" w:sz="4" w:space="0"/>
        </w:tcBorders>
      </w:tcPr>
    </w:tblStylePr>
    <w:tblStylePr w:type="firstRow">
      <w:rPr>
        <w:rFonts w:ascii="Helvetica" w:hAnsi="Helvetica"/>
        <w:b/>
        <w:color w:val="75bd42"/>
        <w:sz w:val="22"/>
      </w:rPr>
      <w:tcPr>
        <w:shd w:val="clear" w:color="ffffff" w:fill="ffffff"/>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rFonts w:ascii="Helvetica" w:hAnsi="Helvetica"/>
        <w:i/>
        <w:color w:val="75bd42"/>
        <w:sz w:val="22"/>
      </w:rPr>
      <w:tcPr>
        <w:shd w:val="clear" w:color="ffffff" w:fill="auto"/>
        <w:tcBorders>
          <w:top w:val="none" w:color="000000" w:sz="4" w:space="0"/>
          <w:left w:val="single" w:color="ABD78C"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75bd42"/>
        <w:sz w:val="22"/>
      </w:rPr>
      <w:tcPr>
        <w:shd w:val="clear" w:color="ffffff" w:fill="ffffff"/>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7" w:customStyle="1">
    <w:name w:val="Grid Table 7 Colorful - Accent 51"/>
    <w:basedOn w:val="882"/>
    <w:uiPriority w:val="99"/>
    <w:qFormat/>
    <w:tblPr>
      <w:tblBorders>
        <w:bottom w:val="single" w:color="84E0D8" w:sz="4" w:space="0"/>
        <w:right w:val="single" w:color="84E0D8" w:sz="4" w:space="0"/>
        <w:insideH w:val="single" w:color="84E0D8" w:sz="4" w:space="0"/>
        <w:insideV w:val="single" w:color="84E0D8" w:sz="4" w:space="0"/>
      </w:tblBorders>
    </w:tblPr>
    <w:tblStylePr w:type="band1Horz">
      <w:rPr>
        <w:rFonts w:ascii="Helvetica" w:hAnsi="Helvetica"/>
        <w:color w:val="1b6f67"/>
        <w:sz w:val="22"/>
      </w:rPr>
      <w:tcPr>
        <w:shd w:val="clear" w:color="d2f4f1" w:fill="d2f4f1"/>
      </w:tcPr>
    </w:tblStylePr>
    <w:tblStylePr w:type="band1Vert">
      <w:tcPr>
        <w:shd w:val="clear" w:color="d2f4f1" w:fill="d2f4f1"/>
      </w:tcPr>
    </w:tblStylePr>
    <w:tblStylePr w:type="band2Horz">
      <w:rPr>
        <w:rFonts w:ascii="Helvetica" w:hAnsi="Helvetica"/>
        <w:color w:val="1b6f67"/>
        <w:sz w:val="22"/>
      </w:rPr>
    </w:tblStylePr>
    <w:tblStylePr w:type="firstCol">
      <w:rPr>
        <w:rFonts w:ascii="Helvetica" w:hAnsi="Helvetica"/>
        <w:i/>
        <w:color w:val="1b6f67"/>
        <w:sz w:val="22"/>
      </w:rPr>
      <w:pPr>
        <w:jc w:val="right"/>
      </w:pPr>
      <w:tcPr>
        <w:shd w:val="clear" w:color="ffffff" w:fill="auto"/>
        <w:tcBorders>
          <w:top w:val="none" w:color="000000" w:sz="4" w:space="0"/>
          <w:left w:val="none" w:color="000000" w:sz="4" w:space="0"/>
          <w:bottom w:val="none" w:color="000000" w:sz="4" w:space="0"/>
          <w:right w:val="single" w:color="84E0D8" w:sz="4" w:space="0"/>
          <w:insideH w:val="none" w:color="000000" w:sz="4" w:space="0"/>
          <w:insideV w:val="none" w:color="000000" w:sz="4" w:space="0"/>
        </w:tcBorders>
      </w:tcPr>
    </w:tblStylePr>
    <w:tblStylePr w:type="firstRow">
      <w:rPr>
        <w:rFonts w:ascii="Helvetica" w:hAnsi="Helvetica"/>
        <w:b/>
        <w:color w:val="1b6f67"/>
        <w:sz w:val="22"/>
      </w:rPr>
      <w:tcPr>
        <w:shd w:val="clear" w:color="ffffff" w:fill="ffffff"/>
        <w:tcBorders>
          <w:top w:val="none" w:color="000000" w:sz="4" w:space="0"/>
          <w:left w:val="none" w:color="000000" w:sz="4" w:space="0"/>
          <w:bottom w:val="single" w:color="84E0D8" w:sz="4" w:space="0"/>
          <w:right w:val="none" w:color="000000" w:sz="4" w:space="0"/>
          <w:insideH w:val="none" w:color="000000" w:sz="4" w:space="0"/>
          <w:insideV w:val="none" w:color="000000" w:sz="4" w:space="0"/>
        </w:tcBorders>
      </w:tcPr>
    </w:tblStylePr>
    <w:tblStylePr w:type="lastCol">
      <w:rPr>
        <w:rFonts w:ascii="Helvetica" w:hAnsi="Helvetica"/>
        <w:i/>
        <w:color w:val="1b6f67"/>
        <w:sz w:val="22"/>
      </w:rPr>
      <w:tcPr>
        <w:shd w:val="clear" w:color="ffffff" w:fill="auto"/>
        <w:tcBorders>
          <w:top w:val="none" w:color="000000" w:sz="4" w:space="0"/>
          <w:left w:val="single" w:color="84E0D8"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1b6f67"/>
        <w:sz w:val="22"/>
      </w:rPr>
      <w:tcPr>
        <w:shd w:val="clear" w:color="ffffff" w:fill="ffffff"/>
        <w:tcBorders>
          <w:top w:val="single" w:color="84E0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8" w:customStyle="1">
    <w:name w:val="Grid Table 7 Colorful - Accent 61"/>
    <w:basedOn w:val="882"/>
    <w:uiPriority w:val="99"/>
    <w:qFormat/>
    <w:tblPr>
      <w:tblBorders>
        <w:bottom w:val="single" w:color="F099A3" w:sz="4" w:space="0"/>
        <w:right w:val="single" w:color="F099A3" w:sz="4" w:space="0"/>
        <w:insideH w:val="single" w:color="F099A3" w:sz="4" w:space="0"/>
        <w:insideV w:val="single" w:color="F099A3" w:sz="4" w:space="0"/>
      </w:tblBorders>
    </w:tblPr>
    <w:tblStylePr w:type="band1Horz">
      <w:rPr>
        <w:rFonts w:ascii="Helvetica" w:hAnsi="Helvetica"/>
        <w:color w:val="9a1626"/>
        <w:sz w:val="22"/>
      </w:rPr>
      <w:tcPr>
        <w:shd w:val="clear" w:color="f9dade" w:fill="f9dade"/>
      </w:tcPr>
    </w:tblStylePr>
    <w:tblStylePr w:type="band1Vert">
      <w:tcPr>
        <w:shd w:val="clear" w:color="f9dade" w:fill="f9dade"/>
      </w:tcPr>
    </w:tblStylePr>
    <w:tblStylePr w:type="band2Horz">
      <w:rPr>
        <w:rFonts w:ascii="Helvetica" w:hAnsi="Helvetica"/>
        <w:color w:val="9a1626"/>
        <w:sz w:val="22"/>
      </w:rPr>
    </w:tblStylePr>
    <w:tblStylePr w:type="firstCol">
      <w:rPr>
        <w:rFonts w:ascii="Helvetica" w:hAnsi="Helvetica"/>
        <w:i/>
        <w:color w:val="9a1626"/>
        <w:sz w:val="22"/>
      </w:rPr>
      <w:pPr>
        <w:jc w:val="right"/>
      </w:pPr>
      <w:tcPr>
        <w:shd w:val="clear" w:color="ffffff" w:fill="auto"/>
        <w:tcBorders>
          <w:top w:val="none" w:color="000000" w:sz="4" w:space="0"/>
          <w:left w:val="none" w:color="000000" w:sz="4" w:space="0"/>
          <w:bottom w:val="none" w:color="000000" w:sz="4" w:space="0"/>
          <w:right w:val="single" w:color="F099A3" w:sz="4" w:space="0"/>
          <w:insideH w:val="none" w:color="000000" w:sz="4" w:space="0"/>
          <w:insideV w:val="none" w:color="000000" w:sz="4" w:space="0"/>
        </w:tcBorders>
      </w:tcPr>
    </w:tblStylePr>
    <w:tblStylePr w:type="firstRow">
      <w:rPr>
        <w:rFonts w:ascii="Helvetica" w:hAnsi="Helvetica"/>
        <w:b/>
        <w:color w:val="9a1626"/>
        <w:sz w:val="22"/>
      </w:rPr>
      <w:tcPr>
        <w:shd w:val="clear" w:color="ffffff" w:fill="ffffff"/>
        <w:tcBorders>
          <w:top w:val="none" w:color="000000" w:sz="4" w:space="0"/>
          <w:left w:val="none" w:color="000000" w:sz="4" w:space="0"/>
          <w:bottom w:val="single" w:color="F099A3" w:sz="4" w:space="0"/>
          <w:right w:val="none" w:color="000000" w:sz="4" w:space="0"/>
          <w:insideH w:val="none" w:color="000000" w:sz="4" w:space="0"/>
          <w:insideV w:val="none" w:color="000000" w:sz="4" w:space="0"/>
        </w:tcBorders>
      </w:tcPr>
    </w:tblStylePr>
    <w:tblStylePr w:type="lastCol">
      <w:rPr>
        <w:rFonts w:ascii="Helvetica" w:hAnsi="Helvetica"/>
        <w:i/>
        <w:color w:val="9a1626"/>
        <w:sz w:val="22"/>
      </w:rPr>
      <w:tcPr>
        <w:shd w:val="clear" w:color="ffffff" w:fill="auto"/>
        <w:tcBorders>
          <w:top w:val="none" w:color="000000" w:sz="4" w:space="0"/>
          <w:left w:val="single" w:color="F099A3"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b/>
        <w:color w:val="9a1626"/>
        <w:sz w:val="22"/>
      </w:rPr>
      <w:tcPr>
        <w:shd w:val="clear" w:color="ffffff" w:fill="ffffff"/>
        <w:tcBorders>
          <w:top w:val="single" w:color="F099A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89" w:customStyle="1">
    <w:name w:val="List Table 1 Light - Accent 11"/>
    <w:basedOn w:val="882"/>
    <w:uiPriority w:val="99"/>
    <w:qFormat/>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90" w:customStyle="1">
    <w:name w:val="List Table 1 Light - Accent 21"/>
    <w:basedOn w:val="882"/>
    <w:uiPriority w:val="99"/>
    <w:qFormat/>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91" w:customStyle="1">
    <w:name w:val="List Table 1 Light - Accent 31"/>
    <w:basedOn w:val="882"/>
    <w:uiPriority w:val="99"/>
    <w:qFormat/>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92" w:customStyle="1">
    <w:name w:val="List Table 1 Light - Accent 41"/>
    <w:basedOn w:val="882"/>
    <w:uiPriority w:val="99"/>
    <w:qFormat/>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93" w:customStyle="1">
    <w:name w:val="List Table 1 Light - Accent 51"/>
    <w:basedOn w:val="882"/>
    <w:uiPriority w:val="99"/>
    <w:qFormat/>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94" w:customStyle="1">
    <w:name w:val="List Table 1 Light - Accent 61"/>
    <w:basedOn w:val="882"/>
    <w:uiPriority w:val="99"/>
    <w:qFormat/>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95" w:customStyle="1">
    <w:name w:val="List Table 2 - Accent 11"/>
    <w:basedOn w:val="882"/>
    <w:uiPriority w:val="99"/>
    <w:qFormat/>
    <w:tblPr>
      <w:tblBorders>
        <w:top w:val="single" w:color="97B0E1" w:sz="4" w:space="0"/>
        <w:bottom w:val="single" w:color="97B0E1" w:sz="4" w:space="0"/>
        <w:insideH w:val="single" w:color="97B0E1" w:sz="4" w:space="0"/>
      </w:tblBorders>
    </w:tblPr>
    <w:tblStylePr w:type="band1Horz">
      <w:rPr>
        <w:rFonts w:ascii="Helvetica" w:hAnsi="Helvetica"/>
        <w:color w:val="404040"/>
        <w:sz w:val="22"/>
      </w:rPr>
      <w:tcPr>
        <w:shd w:val="clear" w:color="d1dcf2" w:fill="d1dcf2"/>
      </w:tcPr>
    </w:tblStylePr>
    <w:tblStylePr w:type="band1Vert">
      <w:rPr>
        <w:rFonts w:ascii="Helvetica" w:hAnsi="Helvetica"/>
        <w:color w:val="404040"/>
        <w:sz w:val="22"/>
      </w:rPr>
      <w:tcPr>
        <w:shd w:val="clear" w:color="d1dcf2" w:fill="d1dcf2"/>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97B0E1" w:sz="4" w:space="0"/>
          <w:left w:val="none" w:color="000000" w:sz="4" w:space="0"/>
          <w:bottom w:val="single" w:color="97B0E1"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97B0E1" w:sz="4" w:space="0"/>
          <w:left w:val="none" w:color="000000" w:sz="4" w:space="0"/>
          <w:bottom w:val="single" w:color="97B0E1" w:sz="4" w:space="0"/>
          <w:right w:val="none" w:color="000000" w:sz="4" w:space="0"/>
          <w:insideH w:val="none" w:color="000000" w:sz="4" w:space="0"/>
          <w:insideV w:val="none" w:color="000000" w:sz="4" w:space="0"/>
        </w:tcBorders>
      </w:tcPr>
    </w:tblStylePr>
  </w:style>
  <w:style w:type="table" w:styleId="1196" w:customStyle="1">
    <w:name w:val="List Table 2 - Accent 21"/>
    <w:basedOn w:val="882"/>
    <w:uiPriority w:val="99"/>
    <w:qFormat/>
    <w:tblPr>
      <w:tblBorders>
        <w:top w:val="single" w:color="F5B789" w:sz="4" w:space="0"/>
        <w:bottom w:val="single" w:color="F5B789" w:sz="4" w:space="0"/>
        <w:insideH w:val="single" w:color="F5B789" w:sz="4" w:space="0"/>
      </w:tblBorders>
    </w:tblPr>
    <w:tblStylePr w:type="band1Horz">
      <w:rPr>
        <w:rFonts w:ascii="Helvetica" w:hAnsi="Helvetica"/>
        <w:color w:val="404040"/>
        <w:sz w:val="22"/>
      </w:rPr>
      <w:tcPr>
        <w:shd w:val="clear" w:color="fadfca" w:fill="fadfca"/>
      </w:tcPr>
    </w:tblStylePr>
    <w:tblStylePr w:type="band1Vert">
      <w:rPr>
        <w:rFonts w:ascii="Helvetica" w:hAnsi="Helvetica"/>
        <w:color w:val="404040"/>
        <w:sz w:val="22"/>
      </w:rPr>
      <w:tcPr>
        <w:shd w:val="clear" w:color="fadfca" w:fill="fadfca"/>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F5B789" w:sz="4" w:space="0"/>
          <w:left w:val="none" w:color="000000" w:sz="4" w:space="0"/>
          <w:bottom w:val="single" w:color="F5B789"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F5B789" w:sz="4" w:space="0"/>
          <w:left w:val="none" w:color="000000" w:sz="4" w:space="0"/>
          <w:bottom w:val="single" w:color="F5B789" w:sz="4" w:space="0"/>
          <w:right w:val="none" w:color="000000" w:sz="4" w:space="0"/>
          <w:insideH w:val="none" w:color="000000" w:sz="4" w:space="0"/>
          <w:insideV w:val="none" w:color="000000" w:sz="4" w:space="0"/>
        </w:tcBorders>
      </w:tcPr>
    </w:tblStylePr>
  </w:style>
  <w:style w:type="table" w:styleId="1197" w:customStyle="1">
    <w:name w:val="List Table 2 - Accent 31"/>
    <w:basedOn w:val="882"/>
    <w:uiPriority w:val="99"/>
    <w:qFormat/>
    <w:tblPr>
      <w:tblBorders>
        <w:top w:val="single" w:color="FDDB69" w:sz="4" w:space="0"/>
        <w:bottom w:val="single" w:color="FDDB69" w:sz="4" w:space="0"/>
        <w:insideH w:val="single" w:color="FDDB69" w:sz="4" w:space="0"/>
      </w:tblBorders>
    </w:tblPr>
    <w:tblStylePr w:type="band1Horz">
      <w:rPr>
        <w:rFonts w:ascii="Helvetica" w:hAnsi="Helvetica"/>
        <w:color w:val="404040"/>
        <w:sz w:val="22"/>
      </w:rPr>
      <w:tcPr>
        <w:shd w:val="clear" w:color="feeebc" w:fill="feeebc"/>
      </w:tcPr>
    </w:tblStylePr>
    <w:tblStylePr w:type="band1Vert">
      <w:rPr>
        <w:rFonts w:ascii="Helvetica" w:hAnsi="Helvetica"/>
        <w:color w:val="404040"/>
        <w:sz w:val="22"/>
      </w:rPr>
      <w:tcPr>
        <w:shd w:val="clear" w:color="feeebc" w:fill="feeebc"/>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FDDB69" w:sz="4" w:space="0"/>
          <w:left w:val="none" w:color="000000" w:sz="4" w:space="0"/>
          <w:bottom w:val="single" w:color="FDDB69"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FDDB69" w:sz="4" w:space="0"/>
          <w:left w:val="none" w:color="000000" w:sz="4" w:space="0"/>
          <w:bottom w:val="single" w:color="FDDB69" w:sz="4" w:space="0"/>
          <w:right w:val="none" w:color="000000" w:sz="4" w:space="0"/>
          <w:insideH w:val="none" w:color="000000" w:sz="4" w:space="0"/>
          <w:insideV w:val="none" w:color="000000" w:sz="4" w:space="0"/>
        </w:tcBorders>
      </w:tcPr>
    </w:tblStylePr>
  </w:style>
  <w:style w:type="table" w:styleId="1198" w:customStyle="1">
    <w:name w:val="List Table 2 - Accent 41"/>
    <w:basedOn w:val="882"/>
    <w:uiPriority w:val="99"/>
    <w:qFormat/>
    <w:tblPr>
      <w:tblBorders>
        <w:top w:val="single" w:color="B0D994" w:sz="4" w:space="0"/>
        <w:bottom w:val="single" w:color="B0D994" w:sz="4" w:space="0"/>
        <w:insideH w:val="single" w:color="B0D994" w:sz="4" w:space="0"/>
      </w:tblBorders>
    </w:tblPr>
    <w:tblStylePr w:type="band1Horz">
      <w:rPr>
        <w:rFonts w:ascii="Helvetica" w:hAnsi="Helvetica"/>
        <w:color w:val="404040"/>
        <w:sz w:val="22"/>
      </w:rPr>
      <w:tcPr>
        <w:shd w:val="clear" w:color="dceecf" w:fill="dceecf"/>
      </w:tcPr>
    </w:tblStylePr>
    <w:tblStylePr w:type="band1Vert">
      <w:rPr>
        <w:rFonts w:ascii="Helvetica" w:hAnsi="Helvetica"/>
        <w:color w:val="404040"/>
        <w:sz w:val="22"/>
      </w:rPr>
      <w:tcPr>
        <w:shd w:val="clear" w:color="dceecf" w:fill="dceecf"/>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B0D994" w:sz="4" w:space="0"/>
          <w:left w:val="none" w:color="000000" w:sz="4" w:space="0"/>
          <w:bottom w:val="single" w:color="B0D994"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B0D994" w:sz="4" w:space="0"/>
          <w:left w:val="none" w:color="000000" w:sz="4" w:space="0"/>
          <w:bottom w:val="single" w:color="B0D994" w:sz="4" w:space="0"/>
          <w:right w:val="none" w:color="000000" w:sz="4" w:space="0"/>
          <w:insideH w:val="none" w:color="000000" w:sz="4" w:space="0"/>
          <w:insideV w:val="none" w:color="000000" w:sz="4" w:space="0"/>
        </w:tcBorders>
      </w:tcPr>
    </w:tblStylePr>
  </w:style>
  <w:style w:type="table" w:styleId="1199" w:customStyle="1">
    <w:name w:val="List Table 2 - Accent 51"/>
    <w:basedOn w:val="882"/>
    <w:uiPriority w:val="99"/>
    <w:qFormat/>
    <w:tblPr>
      <w:tblBorders>
        <w:top w:val="single" w:color="84E0D8" w:sz="4" w:space="0"/>
        <w:bottom w:val="single" w:color="84E0D8" w:sz="4" w:space="0"/>
        <w:insideH w:val="single" w:color="84E0D8" w:sz="4" w:space="0"/>
      </w:tblBorders>
    </w:tblPr>
    <w:tblStylePr w:type="band1Horz">
      <w:rPr>
        <w:rFonts w:ascii="Helvetica" w:hAnsi="Helvetica"/>
        <w:color w:val="404040"/>
        <w:sz w:val="22"/>
      </w:rPr>
      <w:tcPr>
        <w:shd w:val="clear" w:color="c8f1ed" w:fill="c8f1ed"/>
      </w:tcPr>
    </w:tblStylePr>
    <w:tblStylePr w:type="band1Vert">
      <w:rPr>
        <w:rFonts w:ascii="Helvetica" w:hAnsi="Helvetica"/>
        <w:color w:val="404040"/>
        <w:sz w:val="22"/>
      </w:rPr>
      <w:tcPr>
        <w:shd w:val="clear" w:color="c8f1ed" w:fill="c8f1ed"/>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84E0D8" w:sz="4" w:space="0"/>
          <w:left w:val="none" w:color="000000" w:sz="4" w:space="0"/>
          <w:bottom w:val="single" w:color="84E0D8"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84E0D8" w:sz="4" w:space="0"/>
          <w:left w:val="none" w:color="000000" w:sz="4" w:space="0"/>
          <w:bottom w:val="single" w:color="84E0D8" w:sz="4" w:space="0"/>
          <w:right w:val="none" w:color="000000" w:sz="4" w:space="0"/>
          <w:insideH w:val="none" w:color="000000" w:sz="4" w:space="0"/>
          <w:insideV w:val="none" w:color="000000" w:sz="4" w:space="0"/>
        </w:tcBorders>
      </w:tcPr>
    </w:tblStylePr>
  </w:style>
  <w:style w:type="table" w:styleId="1200" w:customStyle="1">
    <w:name w:val="List Table 2 - Accent 61"/>
    <w:basedOn w:val="882"/>
    <w:uiPriority w:val="99"/>
    <w:qFormat/>
    <w:tblPr>
      <w:tblBorders>
        <w:top w:val="single" w:color="F099A3" w:sz="4" w:space="0"/>
        <w:bottom w:val="single" w:color="F099A3" w:sz="4" w:space="0"/>
        <w:insideH w:val="single" w:color="F099A3" w:sz="4" w:space="0"/>
      </w:tblBorders>
    </w:tblPr>
    <w:tblStylePr w:type="band1Horz">
      <w:rPr>
        <w:rFonts w:ascii="Helvetica" w:hAnsi="Helvetica"/>
        <w:color w:val="404040"/>
        <w:sz w:val="22"/>
      </w:rPr>
      <w:tcPr>
        <w:shd w:val="clear" w:color="f8d1d6" w:fill="f8d1d6"/>
      </w:tcPr>
    </w:tblStylePr>
    <w:tblStylePr w:type="band1Vert">
      <w:rPr>
        <w:rFonts w:ascii="Helvetica" w:hAnsi="Helvetica"/>
        <w:color w:val="404040"/>
        <w:sz w:val="22"/>
      </w:rPr>
      <w:tcPr>
        <w:shd w:val="clear" w:color="f8d1d6" w:fill="f8d1d6"/>
      </w:tcPr>
    </w:tblStylePr>
    <w:tblStylePr w:type="firstCol">
      <w:rPr>
        <w:rFonts w:ascii="Helvetica" w:hAnsi="Helvetica"/>
        <w:b/>
        <w:color w:val="404040"/>
        <w:sz w:val="22"/>
      </w:rPr>
    </w:tblStylePr>
    <w:tblStylePr w:type="firstRow">
      <w:rPr>
        <w:rFonts w:ascii="Helvetica" w:hAnsi="Helvetica"/>
        <w:b/>
        <w:color w:val="404040"/>
        <w:sz w:val="22"/>
      </w:rPr>
      <w:tcPr>
        <w:tcBorders>
          <w:top w:val="single" w:color="F099A3" w:sz="4" w:space="0"/>
          <w:left w:val="none" w:color="000000" w:sz="4" w:space="0"/>
          <w:bottom w:val="single" w:color="F099A3" w:sz="4" w:space="0"/>
          <w:right w:val="none" w:color="000000" w:sz="4" w:space="0"/>
          <w:insideH w:val="none" w:color="000000" w:sz="4" w:space="0"/>
          <w:insideV w:val="none" w:color="000000" w:sz="4" w:space="0"/>
        </w:tcBorders>
      </w:tcPr>
    </w:tblStylePr>
    <w:tblStylePr w:type="lastCol">
      <w:rPr>
        <w:rFonts w:ascii="Helvetica" w:hAnsi="Helvetica"/>
        <w:b/>
        <w:color w:val="404040"/>
        <w:sz w:val="22"/>
      </w:rPr>
    </w:tblStylePr>
    <w:tblStylePr w:type="lastRow">
      <w:rPr>
        <w:rFonts w:ascii="Helvetica" w:hAnsi="Helvetica"/>
        <w:b/>
        <w:color w:val="404040"/>
        <w:sz w:val="22"/>
      </w:rPr>
      <w:tcPr>
        <w:tcBorders>
          <w:top w:val="single" w:color="F099A3" w:sz="4" w:space="0"/>
          <w:left w:val="none" w:color="000000" w:sz="4" w:space="0"/>
          <w:bottom w:val="single" w:color="F099A3" w:sz="4" w:space="0"/>
          <w:right w:val="none" w:color="000000" w:sz="4" w:space="0"/>
          <w:insideH w:val="none" w:color="000000" w:sz="4" w:space="0"/>
          <w:insideV w:val="none" w:color="000000" w:sz="4" w:space="0"/>
        </w:tcBorders>
      </w:tcPr>
    </w:tblStylePr>
  </w:style>
  <w:style w:type="table" w:styleId="1201" w:customStyle="1">
    <w:name w:val="List Table 3 - Accent 11"/>
    <w:basedOn w:val="882"/>
    <w:uiPriority w:val="99"/>
    <w:qFormat/>
    <w:tblPr>
      <w:tblBorders>
        <w:top w:val="single" w:color="4874CB" w:sz="4" w:space="0"/>
        <w:left w:val="single" w:color="4874CB" w:sz="4" w:space="0"/>
        <w:bottom w:val="single" w:color="4874CB" w:sz="4" w:space="0"/>
        <w:right w:val="single" w:color="4874CB" w:sz="4" w:space="0"/>
      </w:tblBorders>
    </w:tblPr>
    <w:tblStylePr w:type="band1Horz">
      <w:rPr>
        <w:rFonts w:ascii="Helvetica" w:hAnsi="Helvetica"/>
        <w:color w:val="404040"/>
        <w:sz w:val="22"/>
      </w:rPr>
      <w:tcPr>
        <w:tcBorders>
          <w:top w:val="single" w:color="4874CB" w:sz="4" w:space="0"/>
          <w:left w:val="none" w:color="000000" w:sz="4" w:space="0"/>
          <w:bottom w:val="single" w:color="4874CB"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4874CB" w:sz="4" w:space="0"/>
          <w:bottom w:val="none" w:color="000000" w:sz="4" w:space="0"/>
          <w:right w:val="single" w:color="4874CB"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4874cb" w:fill="4874cb"/>
      </w:tcPr>
    </w:tblStylePr>
    <w:tblStylePr w:type="lastCol">
      <w:rPr>
        <w:b/>
        <w:color w:val="404040"/>
      </w:rPr>
    </w:tblStylePr>
    <w:tblStylePr w:type="lastRow">
      <w:rPr>
        <w:b/>
        <w:color w:val="404040"/>
      </w:rPr>
    </w:tblStylePr>
  </w:style>
  <w:style w:type="table" w:styleId="1202" w:customStyle="1">
    <w:name w:val="List Table 3 - Accent 21"/>
    <w:basedOn w:val="882"/>
    <w:uiPriority w:val="99"/>
    <w:qFormat/>
    <w:tblPr>
      <w:tblBorders>
        <w:top w:val="single" w:color="F5B483" w:sz="4" w:space="0"/>
        <w:left w:val="single" w:color="F5B483" w:sz="4" w:space="0"/>
        <w:bottom w:val="single" w:color="F5B483" w:sz="4" w:space="0"/>
        <w:right w:val="single" w:color="F5B483" w:sz="4" w:space="0"/>
      </w:tblBorders>
    </w:tblPr>
    <w:tblStylePr w:type="band1Horz">
      <w:rPr>
        <w:rFonts w:ascii="Helvetica" w:hAnsi="Helvetica"/>
        <w:color w:val="404040"/>
        <w:sz w:val="22"/>
      </w:rPr>
      <w:tcPr>
        <w:tcBorders>
          <w:top w:val="single" w:color="F5B483" w:sz="4" w:space="0"/>
          <w:left w:val="none" w:color="000000" w:sz="4" w:space="0"/>
          <w:bottom w:val="single" w:color="F5B483"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F5B483" w:sz="4" w:space="0"/>
          <w:bottom w:val="none" w:color="000000" w:sz="4" w:space="0"/>
          <w:right w:val="single" w:color="F5B483"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f5b483" w:fill="f5b483"/>
      </w:tcPr>
    </w:tblStylePr>
    <w:tblStylePr w:type="lastCol">
      <w:rPr>
        <w:b/>
        <w:color w:val="404040"/>
      </w:rPr>
    </w:tblStylePr>
    <w:tblStylePr w:type="lastRow">
      <w:rPr>
        <w:b/>
        <w:color w:val="404040"/>
      </w:rPr>
    </w:tblStylePr>
  </w:style>
  <w:style w:type="table" w:styleId="1203" w:customStyle="1">
    <w:name w:val="List Table 3 - Accent 31"/>
    <w:basedOn w:val="882"/>
    <w:uiPriority w:val="99"/>
    <w:qFormat/>
    <w:tblPr>
      <w:tblBorders>
        <w:top w:val="single" w:color="FDD861" w:sz="4" w:space="0"/>
        <w:left w:val="single" w:color="FDD861" w:sz="4" w:space="0"/>
        <w:bottom w:val="single" w:color="FDD861" w:sz="4" w:space="0"/>
        <w:right w:val="single" w:color="FDD861" w:sz="4" w:space="0"/>
      </w:tblBorders>
    </w:tblPr>
    <w:tblStylePr w:type="band1Horz">
      <w:rPr>
        <w:rFonts w:ascii="Helvetica" w:hAnsi="Helvetica"/>
        <w:color w:val="404040"/>
        <w:sz w:val="22"/>
      </w:rPr>
      <w:tcPr>
        <w:tcBorders>
          <w:top w:val="single" w:color="FDD861" w:sz="4" w:space="0"/>
          <w:left w:val="none" w:color="000000" w:sz="4" w:space="0"/>
          <w:bottom w:val="single" w:color="FDD861"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FDD861" w:sz="4" w:space="0"/>
          <w:bottom w:val="none" w:color="000000" w:sz="4" w:space="0"/>
          <w:right w:val="single" w:color="FDD861"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fdd861" w:fill="fdd861"/>
      </w:tcPr>
    </w:tblStylePr>
    <w:tblStylePr w:type="lastCol">
      <w:rPr>
        <w:b/>
        <w:color w:val="404040"/>
      </w:rPr>
    </w:tblStylePr>
    <w:tblStylePr w:type="lastRow">
      <w:rPr>
        <w:b/>
        <w:color w:val="404040"/>
      </w:rPr>
    </w:tblStylePr>
  </w:style>
  <w:style w:type="table" w:styleId="1204" w:customStyle="1">
    <w:name w:val="List Table 3 - Accent 41"/>
    <w:basedOn w:val="882"/>
    <w:uiPriority w:val="99"/>
    <w:qFormat/>
    <w:tblPr>
      <w:tblBorders>
        <w:top w:val="single" w:color="ABD78C" w:sz="4" w:space="0"/>
        <w:left w:val="single" w:color="ABD78C" w:sz="4" w:space="0"/>
        <w:bottom w:val="single" w:color="ABD78C" w:sz="4" w:space="0"/>
        <w:right w:val="single" w:color="ABD78C" w:sz="4" w:space="0"/>
      </w:tblBorders>
    </w:tblPr>
    <w:tblStylePr w:type="band1Horz">
      <w:rPr>
        <w:rFonts w:ascii="Helvetica" w:hAnsi="Helvetica"/>
        <w:color w:val="404040"/>
        <w:sz w:val="22"/>
      </w:rPr>
      <w:tcPr>
        <w:tcBorders>
          <w:top w:val="single" w:color="ABD78C" w:sz="4" w:space="0"/>
          <w:left w:val="none" w:color="000000" w:sz="4" w:space="0"/>
          <w:bottom w:val="single" w:color="ABD78C"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ABD78C" w:sz="4" w:space="0"/>
          <w:bottom w:val="none" w:color="000000" w:sz="4" w:space="0"/>
          <w:right w:val="single" w:color="ABD78C"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abd78c" w:fill="abd78c"/>
      </w:tcPr>
    </w:tblStylePr>
    <w:tblStylePr w:type="lastCol">
      <w:rPr>
        <w:b/>
        <w:color w:val="404040"/>
      </w:rPr>
    </w:tblStylePr>
    <w:tblStylePr w:type="lastRow">
      <w:rPr>
        <w:b/>
        <w:color w:val="404040"/>
      </w:rPr>
    </w:tblStylePr>
  </w:style>
  <w:style w:type="table" w:styleId="1205" w:customStyle="1">
    <w:name w:val="List Table 3 - Accent 51"/>
    <w:basedOn w:val="882"/>
    <w:uiPriority w:val="99"/>
    <w:qFormat/>
    <w:tblPr>
      <w:tblBorders>
        <w:top w:val="single" w:color="7CDED5" w:sz="4" w:space="0"/>
        <w:left w:val="single" w:color="7CDED5" w:sz="4" w:space="0"/>
        <w:bottom w:val="single" w:color="7CDED5" w:sz="4" w:space="0"/>
        <w:right w:val="single" w:color="7CDED5" w:sz="4" w:space="0"/>
      </w:tblBorders>
    </w:tblPr>
    <w:tblStylePr w:type="band1Horz">
      <w:rPr>
        <w:rFonts w:ascii="Helvetica" w:hAnsi="Helvetica"/>
        <w:color w:val="404040"/>
        <w:sz w:val="22"/>
      </w:rPr>
      <w:tcPr>
        <w:tcBorders>
          <w:top w:val="single" w:color="7CDED5" w:sz="4" w:space="0"/>
          <w:left w:val="none" w:color="000000" w:sz="4" w:space="0"/>
          <w:bottom w:val="single" w:color="7CDED5"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7CDED5" w:sz="4" w:space="0"/>
          <w:bottom w:val="none" w:color="000000" w:sz="4" w:space="0"/>
          <w:right w:val="single" w:color="7CDED5"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7cded5" w:fill="7cded5"/>
      </w:tcPr>
    </w:tblStylePr>
    <w:tblStylePr w:type="lastCol">
      <w:rPr>
        <w:b/>
        <w:color w:val="404040"/>
      </w:rPr>
    </w:tblStylePr>
    <w:tblStylePr w:type="lastRow">
      <w:rPr>
        <w:b/>
        <w:color w:val="404040"/>
      </w:rPr>
    </w:tblStylePr>
  </w:style>
  <w:style w:type="table" w:styleId="1206" w:customStyle="1">
    <w:name w:val="List Table 3 - Accent 61"/>
    <w:basedOn w:val="882"/>
    <w:uiPriority w:val="99"/>
    <w:qFormat/>
    <w:tblPr>
      <w:tblBorders>
        <w:top w:val="single" w:color="EF949E" w:sz="4" w:space="0"/>
        <w:left w:val="single" w:color="EF949E" w:sz="4" w:space="0"/>
        <w:bottom w:val="single" w:color="EF949E" w:sz="4" w:space="0"/>
        <w:right w:val="single" w:color="EF949E" w:sz="4" w:space="0"/>
      </w:tblBorders>
    </w:tblPr>
    <w:tblStylePr w:type="band1Horz">
      <w:rPr>
        <w:rFonts w:ascii="Helvetica" w:hAnsi="Helvetica"/>
        <w:color w:val="404040"/>
        <w:sz w:val="22"/>
      </w:rPr>
      <w:tcPr>
        <w:tcBorders>
          <w:top w:val="single" w:color="EF949E" w:sz="4" w:space="0"/>
          <w:left w:val="none" w:color="000000" w:sz="4" w:space="0"/>
          <w:bottom w:val="single" w:color="EF949E" w:sz="4" w:space="0"/>
          <w:right w:val="none" w:color="000000" w:sz="4" w:space="0"/>
          <w:insideH w:val="none" w:color="000000" w:sz="4" w:space="0"/>
          <w:insideV w:val="none" w:color="000000" w:sz="4" w:space="0"/>
        </w:tcBorders>
      </w:tcPr>
    </w:tblStylePr>
    <w:tblStylePr w:type="band1Vert">
      <w:rPr>
        <w:rFonts w:ascii="Helvetica" w:hAnsi="Helvetica"/>
        <w:color w:val="404040"/>
        <w:sz w:val="22"/>
      </w:rPr>
      <w:tcPr>
        <w:tcBorders>
          <w:top w:val="none" w:color="000000" w:sz="4" w:space="0"/>
          <w:left w:val="single" w:color="EF949E" w:sz="4" w:space="0"/>
          <w:bottom w:val="none" w:color="000000" w:sz="4" w:space="0"/>
          <w:right w:val="single" w:color="EF949E" w:sz="4" w:space="0"/>
          <w:insideH w:val="none" w:color="000000" w:sz="4" w:space="0"/>
          <w:insideV w:val="none" w:color="000000" w:sz="4" w:space="0"/>
        </w:tcBorders>
      </w:tcPr>
    </w:tblStylePr>
    <w:tblStylePr w:type="firstCol">
      <w:rPr>
        <w:b/>
        <w:color w:val="404040"/>
      </w:rPr>
    </w:tblStylePr>
    <w:tblStylePr w:type="firstRow">
      <w:rPr>
        <w:rFonts w:ascii="Helvetica" w:hAnsi="Helvetica"/>
        <w:b/>
        <w:color w:val="ffffff"/>
        <w:sz w:val="22"/>
      </w:rPr>
      <w:tcPr>
        <w:shd w:val="clear" w:color="ef949e" w:fill="ef949e"/>
      </w:tcPr>
    </w:tblStylePr>
    <w:tblStylePr w:type="lastCol">
      <w:rPr>
        <w:b/>
        <w:color w:val="404040"/>
      </w:rPr>
    </w:tblStylePr>
    <w:tblStylePr w:type="lastRow">
      <w:rPr>
        <w:b/>
        <w:color w:val="404040"/>
      </w:rPr>
    </w:tblStylePr>
  </w:style>
  <w:style w:type="table" w:styleId="1207" w:customStyle="1">
    <w:name w:val="List Table 4 - Accent 11"/>
    <w:basedOn w:val="882"/>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Helvetica" w:hAnsi="Helvetica"/>
        <w:color w:val="404040"/>
        <w:sz w:val="22"/>
      </w:rPr>
      <w:tcPr>
        <w:shd w:val="clear" w:color="d1dcf2" w:fill="d1dcf2"/>
      </w:tcPr>
    </w:tblStylePr>
    <w:tblStylePr w:type="band1Vert">
      <w:rPr>
        <w:rFonts w:ascii="Helvetica" w:hAnsi="Helvetica"/>
        <w:color w:val="404040"/>
        <w:sz w:val="22"/>
      </w:rPr>
      <w:tcPr>
        <w:shd w:val="clear" w:color="d1dcf2" w:fill="d1dcf2"/>
      </w:tcPr>
    </w:tblStylePr>
    <w:tblStylePr w:type="firstCol">
      <w:rPr>
        <w:b/>
        <w:color w:val="404040"/>
      </w:rPr>
    </w:tblStylePr>
    <w:tblStylePr w:type="firstRow">
      <w:rPr>
        <w:rFonts w:ascii="Helvetica" w:hAnsi="Helvetica"/>
        <w:b/>
        <w:color w:val="ffffff"/>
        <w:sz w:val="22"/>
      </w:rPr>
      <w:tcPr>
        <w:shd w:val="clear" w:color="4874cb" w:fill="4874cb"/>
      </w:tcPr>
    </w:tblStylePr>
    <w:tblStylePr w:type="lastCol">
      <w:rPr>
        <w:b/>
        <w:color w:val="404040"/>
      </w:rPr>
    </w:tblStylePr>
    <w:tblStylePr w:type="lastRow">
      <w:rPr>
        <w:b/>
        <w:color w:val="404040"/>
      </w:rPr>
    </w:tblStylePr>
  </w:style>
  <w:style w:type="table" w:styleId="1208" w:customStyle="1">
    <w:name w:val="List Table 4 - Accent 21"/>
    <w:basedOn w:val="882"/>
    <w:uiPriority w:val="99"/>
    <w:qFormat/>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Helvetica" w:hAnsi="Helvetica"/>
        <w:color w:val="404040"/>
        <w:sz w:val="22"/>
      </w:rPr>
      <w:tcPr>
        <w:shd w:val="clear" w:color="fadfca" w:fill="fadfca"/>
      </w:tcPr>
    </w:tblStylePr>
    <w:tblStylePr w:type="band1Vert">
      <w:rPr>
        <w:rFonts w:ascii="Helvetica" w:hAnsi="Helvetica"/>
        <w:color w:val="404040"/>
        <w:sz w:val="22"/>
      </w:rPr>
      <w:tcPr>
        <w:shd w:val="clear" w:color="fadfca" w:fill="fadfca"/>
      </w:tcPr>
    </w:tblStylePr>
    <w:tblStylePr w:type="firstCol">
      <w:rPr>
        <w:b/>
        <w:color w:val="404040"/>
      </w:rPr>
    </w:tblStylePr>
    <w:tblStylePr w:type="firstRow">
      <w:rPr>
        <w:rFonts w:ascii="Helvetica" w:hAnsi="Helvetica"/>
        <w:b/>
        <w:color w:val="ffffff"/>
        <w:sz w:val="22"/>
      </w:rPr>
      <w:tcPr>
        <w:shd w:val="clear" w:color="ee822f" w:fill="ee822f"/>
      </w:tcPr>
    </w:tblStylePr>
    <w:tblStylePr w:type="lastCol">
      <w:rPr>
        <w:b/>
        <w:color w:val="404040"/>
      </w:rPr>
    </w:tblStylePr>
    <w:tblStylePr w:type="lastRow">
      <w:rPr>
        <w:b/>
        <w:color w:val="404040"/>
      </w:rPr>
    </w:tblStylePr>
  </w:style>
  <w:style w:type="table" w:styleId="1209" w:customStyle="1">
    <w:name w:val="List Table 4 - Accent 31"/>
    <w:basedOn w:val="882"/>
    <w:uiPriority w:val="99"/>
    <w:qFormat/>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Helvetica" w:hAnsi="Helvetica"/>
        <w:color w:val="404040"/>
        <w:sz w:val="22"/>
      </w:rPr>
      <w:tcPr>
        <w:shd w:val="clear" w:color="feeebc" w:fill="feeebc"/>
      </w:tcPr>
    </w:tblStylePr>
    <w:tblStylePr w:type="band1Vert">
      <w:rPr>
        <w:rFonts w:ascii="Helvetica" w:hAnsi="Helvetica"/>
        <w:color w:val="404040"/>
        <w:sz w:val="22"/>
      </w:rPr>
      <w:tcPr>
        <w:shd w:val="clear" w:color="feeebc" w:fill="feeebc"/>
      </w:tcPr>
    </w:tblStylePr>
    <w:tblStylePr w:type="firstCol">
      <w:rPr>
        <w:b/>
        <w:color w:val="404040"/>
      </w:rPr>
    </w:tblStylePr>
    <w:tblStylePr w:type="firstRow">
      <w:rPr>
        <w:rFonts w:ascii="Helvetica" w:hAnsi="Helvetica"/>
        <w:b/>
        <w:color w:val="ffffff"/>
        <w:sz w:val="22"/>
      </w:rPr>
      <w:tcPr>
        <w:shd w:val="clear" w:color="f2ba02" w:fill="f2ba02"/>
      </w:tcPr>
    </w:tblStylePr>
    <w:tblStylePr w:type="lastCol">
      <w:rPr>
        <w:b/>
        <w:color w:val="404040"/>
      </w:rPr>
    </w:tblStylePr>
    <w:tblStylePr w:type="lastRow">
      <w:rPr>
        <w:b/>
        <w:color w:val="404040"/>
      </w:rPr>
    </w:tblStylePr>
  </w:style>
  <w:style w:type="table" w:styleId="1210" w:customStyle="1">
    <w:name w:val="List Table 4 - Accent 41"/>
    <w:basedOn w:val="882"/>
    <w:uiPriority w:val="99"/>
    <w:qFormat/>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Helvetica" w:hAnsi="Helvetica"/>
        <w:color w:val="404040"/>
        <w:sz w:val="22"/>
      </w:rPr>
      <w:tcPr>
        <w:shd w:val="clear" w:color="dceecf" w:fill="dceecf"/>
      </w:tcPr>
    </w:tblStylePr>
    <w:tblStylePr w:type="band1Vert">
      <w:rPr>
        <w:rFonts w:ascii="Helvetica" w:hAnsi="Helvetica"/>
        <w:color w:val="404040"/>
        <w:sz w:val="22"/>
      </w:rPr>
      <w:tcPr>
        <w:shd w:val="clear" w:color="dceecf" w:fill="dceecf"/>
      </w:tcPr>
    </w:tblStylePr>
    <w:tblStylePr w:type="firstCol">
      <w:rPr>
        <w:b/>
        <w:color w:val="404040"/>
      </w:rPr>
    </w:tblStylePr>
    <w:tblStylePr w:type="firstRow">
      <w:rPr>
        <w:rFonts w:ascii="Helvetica" w:hAnsi="Helvetica"/>
        <w:b/>
        <w:color w:val="ffffff"/>
        <w:sz w:val="22"/>
      </w:rPr>
      <w:tcPr>
        <w:shd w:val="clear" w:color="75bd42" w:fill="75bd42"/>
      </w:tcPr>
    </w:tblStylePr>
    <w:tblStylePr w:type="lastCol">
      <w:rPr>
        <w:b/>
        <w:color w:val="404040"/>
      </w:rPr>
    </w:tblStylePr>
    <w:tblStylePr w:type="lastRow">
      <w:rPr>
        <w:b/>
        <w:color w:val="404040"/>
      </w:rPr>
    </w:tblStylePr>
  </w:style>
  <w:style w:type="table" w:styleId="1211" w:customStyle="1">
    <w:name w:val="List Table 4 - Accent 51"/>
    <w:basedOn w:val="882"/>
    <w:uiPriority w:val="99"/>
    <w:qFormat/>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Helvetica" w:hAnsi="Helvetica"/>
        <w:color w:val="404040"/>
        <w:sz w:val="22"/>
      </w:rPr>
      <w:tcPr>
        <w:shd w:val="clear" w:color="c8f1ed" w:fill="c8f1ed"/>
      </w:tcPr>
    </w:tblStylePr>
    <w:tblStylePr w:type="band1Vert">
      <w:rPr>
        <w:rFonts w:ascii="Helvetica" w:hAnsi="Helvetica"/>
        <w:color w:val="404040"/>
        <w:sz w:val="22"/>
      </w:rPr>
      <w:tcPr>
        <w:shd w:val="clear" w:color="c8f1ed" w:fill="c8f1ed"/>
      </w:tcPr>
    </w:tblStylePr>
    <w:tblStylePr w:type="firstCol">
      <w:rPr>
        <w:b/>
        <w:color w:val="404040"/>
      </w:rPr>
    </w:tblStylePr>
    <w:tblStylePr w:type="firstRow">
      <w:rPr>
        <w:rFonts w:ascii="Helvetica" w:hAnsi="Helvetica"/>
        <w:b/>
        <w:color w:val="ffffff"/>
        <w:sz w:val="22"/>
      </w:rPr>
      <w:tcPr>
        <w:shd w:val="clear" w:color="30c0b4" w:fill="30c0b4"/>
      </w:tcPr>
    </w:tblStylePr>
    <w:tblStylePr w:type="lastCol">
      <w:rPr>
        <w:b/>
        <w:color w:val="404040"/>
      </w:rPr>
    </w:tblStylePr>
    <w:tblStylePr w:type="lastRow">
      <w:rPr>
        <w:b/>
        <w:color w:val="404040"/>
      </w:rPr>
    </w:tblStylePr>
  </w:style>
  <w:style w:type="table" w:styleId="1212" w:customStyle="1">
    <w:name w:val="List Table 4 - Accent 61"/>
    <w:basedOn w:val="882"/>
    <w:uiPriority w:val="99"/>
    <w:qFormat/>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Helvetica" w:hAnsi="Helvetica"/>
        <w:color w:val="404040"/>
        <w:sz w:val="22"/>
      </w:rPr>
      <w:tcPr>
        <w:shd w:val="clear" w:color="f8d1d6" w:fill="f8d1d6"/>
      </w:tcPr>
    </w:tblStylePr>
    <w:tblStylePr w:type="band1Vert">
      <w:rPr>
        <w:rFonts w:ascii="Helvetica" w:hAnsi="Helvetica"/>
        <w:color w:val="404040"/>
        <w:sz w:val="22"/>
      </w:rPr>
      <w:tcPr>
        <w:shd w:val="clear" w:color="f8d1d6" w:fill="f8d1d6"/>
      </w:tcPr>
    </w:tblStylePr>
    <w:tblStylePr w:type="firstCol">
      <w:rPr>
        <w:b/>
        <w:color w:val="404040"/>
      </w:rPr>
    </w:tblStylePr>
    <w:tblStylePr w:type="firstRow">
      <w:rPr>
        <w:rFonts w:ascii="Helvetica" w:hAnsi="Helvetica"/>
        <w:b/>
        <w:color w:val="ffffff"/>
        <w:sz w:val="22"/>
      </w:rPr>
      <w:tcPr>
        <w:shd w:val="clear" w:color="e54c5e" w:fill="e54c5e"/>
      </w:tcPr>
    </w:tblStylePr>
    <w:tblStylePr w:type="lastCol">
      <w:rPr>
        <w:b/>
        <w:color w:val="404040"/>
      </w:rPr>
    </w:tblStylePr>
    <w:tblStylePr w:type="lastRow">
      <w:rPr>
        <w:b/>
        <w:color w:val="404040"/>
      </w:rPr>
    </w:tblStylePr>
  </w:style>
  <w:style w:type="table" w:styleId="1213" w:customStyle="1">
    <w:name w:val="List Table 5 Dark - Accent 11"/>
    <w:basedOn w:val="882"/>
    <w:uiPriority w:val="99"/>
    <w:qFormat/>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874cb" w:fill="4874c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874cb" w:fill="4874c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4874CB"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4874cb" w:fill="4874cb"/>
        <w:tcBorders>
          <w:top w:val="single" w:color="4874C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874CB"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1214" w:customStyle="1">
    <w:name w:val="List Table 5 Dark - Accent 21"/>
    <w:basedOn w:val="882"/>
    <w:uiPriority w:val="99"/>
    <w:qFormat/>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5b483" w:fill="f5b483"/>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5b483" w:fill="f5b483"/>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F5B483"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f5b483" w:fill="f5b483"/>
        <w:tcBorders>
          <w:top w:val="single" w:color="F5B483"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5B483"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1215" w:customStyle="1">
    <w:name w:val="List Table 5 Dark - Accent 31"/>
    <w:basedOn w:val="882"/>
    <w:uiPriority w:val="99"/>
    <w:qFormat/>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dd861" w:fill="fdd861"/>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dd861" w:fill="fdd861"/>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FDD861"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fdd861" w:fill="fdd861"/>
        <w:tcBorders>
          <w:top w:val="single" w:color="FDD861"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DD861"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1216" w:customStyle="1">
    <w:name w:val="List Table 5 Dark - Accent 41"/>
    <w:basedOn w:val="882"/>
    <w:uiPriority w:val="99"/>
    <w:qFormat/>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bd78c" w:fill="abd78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bd78c" w:fill="abd78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ABD78C"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abd78c" w:fill="abd78c"/>
        <w:tcBorders>
          <w:top w:val="single" w:color="ABD78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BD78C"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1217" w:customStyle="1">
    <w:name w:val="List Table 5 Dark - Accent 51"/>
    <w:basedOn w:val="882"/>
    <w:uiPriority w:val="99"/>
    <w:qFormat/>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cded5" w:fill="7cded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cded5" w:fill="7cde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7CDED5"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7cded5" w:fill="7cded5"/>
        <w:tcBorders>
          <w:top w:val="single" w:color="7CDED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CDED5"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1218" w:customStyle="1">
    <w:name w:val="List Table 5 Dark - Accent 61"/>
    <w:basedOn w:val="882"/>
    <w:uiPriority w:val="99"/>
    <w:qFormat/>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ef949e" w:fill="ef949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ef949e" w:fill="ef949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Helvetica" w:hAnsi="Helvetica"/>
        <w:b/>
        <w:color w:val="ffffff"/>
        <w:sz w:val="22"/>
      </w:rPr>
      <w:tcPr>
        <w:tcBorders>
          <w:top w:val="none" w:color="000000" w:sz="4" w:space="0"/>
          <w:left w:val="single" w:color="EF949E" w:sz="32" w:space="0"/>
          <w:bottom w:val="none" w:color="000000" w:sz="4" w:space="0"/>
          <w:right w:val="single" w:color="FFFFFF" w:sz="4" w:space="0"/>
          <w:insideH w:val="none" w:color="000000" w:sz="4" w:space="0"/>
          <w:insideV w:val="none" w:color="000000" w:sz="4" w:space="0"/>
        </w:tcBorders>
      </w:tcPr>
    </w:tblStylePr>
    <w:tblStylePr w:type="firstRow">
      <w:rPr>
        <w:rFonts w:ascii="Helvetica" w:hAnsi="Helvetica"/>
        <w:b/>
        <w:color w:val="ffffff"/>
        <w:sz w:val="22"/>
      </w:rPr>
      <w:tcPr>
        <w:shd w:val="clear" w:color="ef949e" w:fill="ef949e"/>
        <w:tcBorders>
          <w:top w:val="single" w:color="EF949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EF949E" w:sz="32" w:space="0"/>
          <w:insideH w:val="none" w:color="000000" w:sz="4" w:space="0"/>
          <w:insideV w:val="none" w:color="000000" w:sz="4" w:space="0"/>
        </w:tcBorders>
      </w:tcPr>
    </w:tblStylePr>
    <w:tblStylePr w:type="lastRow">
      <w:rPr>
        <w:rFonts w:ascii="Helvetica" w:hAnsi="Helvetica"/>
        <w:b/>
        <w:color w:val="ffffff"/>
        <w:sz w:val="22"/>
      </w:rPr>
    </w:tblStylePr>
  </w:style>
  <w:style w:type="table" w:styleId="1219" w:customStyle="1">
    <w:name w:val="List Table 6 Colorful - Accent 11"/>
    <w:basedOn w:val="882"/>
    <w:uiPriority w:val="99"/>
    <w:qFormat/>
    <w:tblPr>
      <w:tblBorders>
        <w:top w:val="single" w:color="4874CB" w:sz="4" w:space="0"/>
        <w:bottom w:val="single" w:color="4874CB" w:sz="4" w:space="0"/>
      </w:tblBorders>
    </w:tblPr>
    <w:tblStylePr w:type="band1Horz">
      <w:rPr>
        <w:rFonts w:ascii="Helvetica" w:hAnsi="Helvetica"/>
        <w:color w:val="23407c"/>
        <w:sz w:val="22"/>
      </w:rPr>
      <w:tcPr>
        <w:shd w:val="clear" w:color="d1dcf2" w:fill="d1dcf2"/>
      </w:tcPr>
    </w:tblStylePr>
    <w:tblStylePr w:type="band1Vert">
      <w:tcPr>
        <w:shd w:val="clear" w:color="d1dcf2" w:fill="d1dcf2"/>
      </w:tcPr>
    </w:tblStylePr>
    <w:tblStylePr w:type="band2Horz">
      <w:rPr>
        <w:rFonts w:ascii="Helvetica" w:hAnsi="Helvetica"/>
        <w:color w:val="23407c"/>
        <w:sz w:val="22"/>
      </w:rPr>
    </w:tblStylePr>
    <w:tblStylePr w:type="firstCol">
      <w:rPr>
        <w:b/>
        <w:color w:val="23407c"/>
      </w:rPr>
    </w:tblStylePr>
    <w:tblStylePr w:type="firstRow">
      <w:rPr>
        <w:b/>
        <w:color w:val="23407c"/>
      </w:rPr>
      <w:tcPr>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b/>
        <w:color w:val="23407c"/>
      </w:rPr>
    </w:tblStylePr>
    <w:tblStylePr w:type="lastRow">
      <w:rPr>
        <w:b/>
        <w:color w:val="23407c"/>
      </w:rPr>
      <w:tcPr>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0" w:customStyle="1">
    <w:name w:val="List Table 6 Colorful - Accent 21"/>
    <w:basedOn w:val="882"/>
    <w:uiPriority w:val="99"/>
    <w:qFormat/>
    <w:tblPr>
      <w:tblBorders>
        <w:top w:val="single" w:color="F5B483" w:sz="4" w:space="0"/>
        <w:bottom w:val="single" w:color="F5B483" w:sz="4" w:space="0"/>
      </w:tblBorders>
    </w:tblPr>
    <w:tblStylePr w:type="band1Horz">
      <w:rPr>
        <w:rFonts w:ascii="Helvetica" w:hAnsi="Helvetica"/>
        <w:color w:val="ee822f"/>
        <w:sz w:val="22"/>
      </w:rPr>
      <w:tcPr>
        <w:shd w:val="clear" w:color="fadfca" w:fill="fadfca"/>
      </w:tcPr>
    </w:tblStylePr>
    <w:tblStylePr w:type="band1Vert">
      <w:tcPr>
        <w:shd w:val="clear" w:color="fadfca" w:fill="fadfca"/>
      </w:tcPr>
    </w:tblStylePr>
    <w:tblStylePr w:type="band2Horz">
      <w:rPr>
        <w:rFonts w:ascii="Helvetica" w:hAnsi="Helvetica"/>
        <w:color w:val="ee822f"/>
        <w:sz w:val="22"/>
      </w:rPr>
    </w:tblStylePr>
    <w:tblStylePr w:type="firstCol">
      <w:rPr>
        <w:b/>
        <w:color w:val="ee822f"/>
      </w:rPr>
    </w:tblStylePr>
    <w:tblStylePr w:type="firstRow">
      <w:rPr>
        <w:b/>
        <w:color w:val="ee822f"/>
      </w:rPr>
      <w:tcPr>
        <w:tcBorders>
          <w:top w:val="none" w:color="000000" w:sz="4" w:space="0"/>
          <w:left w:val="none" w:color="000000" w:sz="4" w:space="0"/>
          <w:bottom w:val="single" w:color="F5B483" w:sz="4" w:space="0"/>
          <w:right w:val="none" w:color="000000" w:sz="4" w:space="0"/>
          <w:insideH w:val="none" w:color="000000" w:sz="4" w:space="0"/>
          <w:insideV w:val="none" w:color="000000" w:sz="4" w:space="0"/>
        </w:tcBorders>
      </w:tcPr>
    </w:tblStylePr>
    <w:tblStylePr w:type="lastCol">
      <w:rPr>
        <w:b/>
        <w:color w:val="ee822f"/>
      </w:rPr>
    </w:tblStylePr>
    <w:tblStylePr w:type="lastRow">
      <w:rPr>
        <w:b/>
        <w:color w:val="ee822f"/>
      </w:rPr>
      <w:tcPr>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1" w:customStyle="1">
    <w:name w:val="List Table 6 Colorful - Accent 31"/>
    <w:basedOn w:val="882"/>
    <w:uiPriority w:val="99"/>
    <w:qFormat/>
    <w:tblPr>
      <w:tblBorders>
        <w:top w:val="single" w:color="FDD861" w:sz="4" w:space="0"/>
        <w:bottom w:val="single" w:color="FDD861" w:sz="4" w:space="0"/>
      </w:tblBorders>
    </w:tblPr>
    <w:tblStylePr w:type="band1Horz">
      <w:rPr>
        <w:rFonts w:ascii="Helvetica" w:hAnsi="Helvetica"/>
        <w:color w:val="f2ba02"/>
        <w:sz w:val="22"/>
      </w:rPr>
      <w:tcPr>
        <w:shd w:val="clear" w:color="feeebc" w:fill="feeebc"/>
      </w:tcPr>
    </w:tblStylePr>
    <w:tblStylePr w:type="band1Vert">
      <w:tcPr>
        <w:shd w:val="clear" w:color="feeebc" w:fill="feeebc"/>
      </w:tcPr>
    </w:tblStylePr>
    <w:tblStylePr w:type="band2Horz">
      <w:rPr>
        <w:rFonts w:ascii="Helvetica" w:hAnsi="Helvetica"/>
        <w:color w:val="f2ba02"/>
        <w:sz w:val="22"/>
      </w:rPr>
    </w:tblStylePr>
    <w:tblStylePr w:type="firstCol">
      <w:rPr>
        <w:b/>
        <w:color w:val="f2ba02"/>
      </w:rPr>
    </w:tblStylePr>
    <w:tblStylePr w:type="firstRow">
      <w:rPr>
        <w:b/>
        <w:color w:val="f2ba02"/>
      </w:rPr>
      <w:tcPr>
        <w:tcBorders>
          <w:top w:val="none" w:color="000000" w:sz="4" w:space="0"/>
          <w:left w:val="none" w:color="000000" w:sz="4" w:space="0"/>
          <w:bottom w:val="single" w:color="FDD861" w:sz="4" w:space="0"/>
          <w:right w:val="none" w:color="000000" w:sz="4" w:space="0"/>
          <w:insideH w:val="none" w:color="000000" w:sz="4" w:space="0"/>
          <w:insideV w:val="none" w:color="000000" w:sz="4" w:space="0"/>
        </w:tcBorders>
      </w:tcPr>
    </w:tblStylePr>
    <w:tblStylePr w:type="lastCol">
      <w:rPr>
        <w:b/>
        <w:color w:val="f2ba02"/>
      </w:rPr>
    </w:tblStylePr>
    <w:tblStylePr w:type="lastRow">
      <w:rPr>
        <w:b/>
        <w:color w:val="f2ba02"/>
      </w:rPr>
      <w:tcPr>
        <w:tcBorders>
          <w:top w:val="single" w:color="FDD86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2" w:customStyle="1">
    <w:name w:val="List Table 6 Colorful - Accent 41"/>
    <w:basedOn w:val="882"/>
    <w:uiPriority w:val="99"/>
    <w:qFormat/>
    <w:tblPr>
      <w:tblBorders>
        <w:top w:val="single" w:color="ABD78C" w:sz="4" w:space="0"/>
        <w:bottom w:val="single" w:color="ABD78C" w:sz="4" w:space="0"/>
      </w:tblBorders>
    </w:tblPr>
    <w:tblStylePr w:type="band1Horz">
      <w:rPr>
        <w:rFonts w:ascii="Helvetica" w:hAnsi="Helvetica"/>
        <w:color w:val="75bd42"/>
        <w:sz w:val="22"/>
      </w:rPr>
      <w:tcPr>
        <w:shd w:val="clear" w:color="dceecf" w:fill="dceecf"/>
      </w:tcPr>
    </w:tblStylePr>
    <w:tblStylePr w:type="band1Vert">
      <w:tcPr>
        <w:shd w:val="clear" w:color="dceecf" w:fill="dceecf"/>
      </w:tcPr>
    </w:tblStylePr>
    <w:tblStylePr w:type="band2Horz">
      <w:rPr>
        <w:rFonts w:ascii="Helvetica" w:hAnsi="Helvetica"/>
        <w:color w:val="75bd42"/>
        <w:sz w:val="22"/>
      </w:rPr>
    </w:tblStylePr>
    <w:tblStylePr w:type="firstCol">
      <w:rPr>
        <w:b/>
        <w:color w:val="75bd42"/>
      </w:rPr>
    </w:tblStylePr>
    <w:tblStylePr w:type="firstRow">
      <w:rPr>
        <w:b/>
        <w:color w:val="75bd42"/>
      </w:rPr>
      <w:tcPr>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b/>
        <w:color w:val="75bd42"/>
      </w:rPr>
    </w:tblStylePr>
    <w:tblStylePr w:type="lastRow">
      <w:rPr>
        <w:b/>
        <w:color w:val="75bd42"/>
      </w:rPr>
      <w:tcPr>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3" w:customStyle="1">
    <w:name w:val="List Table 6 Colorful - Accent 51"/>
    <w:basedOn w:val="882"/>
    <w:uiPriority w:val="99"/>
    <w:qFormat/>
    <w:tblPr>
      <w:tblBorders>
        <w:top w:val="single" w:color="7CDED5" w:sz="4" w:space="0"/>
        <w:bottom w:val="single" w:color="7CDED5" w:sz="4" w:space="0"/>
      </w:tblBorders>
    </w:tblPr>
    <w:tblStylePr w:type="band1Horz">
      <w:rPr>
        <w:rFonts w:ascii="Helvetica" w:hAnsi="Helvetica"/>
        <w:color w:val="30c0b4"/>
        <w:sz w:val="22"/>
      </w:rPr>
      <w:tcPr>
        <w:shd w:val="clear" w:color="c8f1ed" w:fill="c8f1ed"/>
      </w:tcPr>
    </w:tblStylePr>
    <w:tblStylePr w:type="band1Vert">
      <w:tcPr>
        <w:shd w:val="clear" w:color="c8f1ed" w:fill="c8f1ed"/>
      </w:tcPr>
    </w:tblStylePr>
    <w:tblStylePr w:type="band2Horz">
      <w:rPr>
        <w:rFonts w:ascii="Helvetica" w:hAnsi="Helvetica"/>
        <w:color w:val="30c0b4"/>
        <w:sz w:val="22"/>
      </w:rPr>
    </w:tblStylePr>
    <w:tblStylePr w:type="firstCol">
      <w:rPr>
        <w:b/>
        <w:color w:val="30c0b4"/>
      </w:rPr>
    </w:tblStylePr>
    <w:tblStylePr w:type="firstRow">
      <w:rPr>
        <w:b/>
        <w:color w:val="30c0b4"/>
      </w:rPr>
      <w:tcPr>
        <w:tcBorders>
          <w:top w:val="none" w:color="000000" w:sz="4" w:space="0"/>
          <w:left w:val="none" w:color="000000" w:sz="4" w:space="0"/>
          <w:bottom w:val="single" w:color="7CDED5" w:sz="4" w:space="0"/>
          <w:right w:val="none" w:color="000000" w:sz="4" w:space="0"/>
          <w:insideH w:val="none" w:color="000000" w:sz="4" w:space="0"/>
          <w:insideV w:val="none" w:color="000000" w:sz="4" w:space="0"/>
        </w:tcBorders>
      </w:tcPr>
    </w:tblStylePr>
    <w:tblStylePr w:type="lastCol">
      <w:rPr>
        <w:b/>
        <w:color w:val="30c0b4"/>
      </w:rPr>
    </w:tblStylePr>
    <w:tblStylePr w:type="lastRow">
      <w:rPr>
        <w:b/>
        <w:color w:val="30c0b4"/>
      </w:rPr>
      <w:tcPr>
        <w:tcBorders>
          <w:top w:val="single" w:color="7CDE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4" w:customStyle="1">
    <w:name w:val="List Table 6 Colorful - Accent 61"/>
    <w:basedOn w:val="882"/>
    <w:uiPriority w:val="99"/>
    <w:qFormat/>
    <w:tblPr>
      <w:tblBorders>
        <w:top w:val="single" w:color="EF949E" w:sz="4" w:space="0"/>
        <w:bottom w:val="single" w:color="EF949E" w:sz="4" w:space="0"/>
      </w:tblBorders>
    </w:tblPr>
    <w:tblStylePr w:type="band1Horz">
      <w:rPr>
        <w:rFonts w:ascii="Helvetica" w:hAnsi="Helvetica"/>
        <w:color w:val="e54c5e"/>
        <w:sz w:val="22"/>
      </w:rPr>
      <w:tcPr>
        <w:shd w:val="clear" w:color="f8d1d6" w:fill="f8d1d6"/>
      </w:tcPr>
    </w:tblStylePr>
    <w:tblStylePr w:type="band1Vert">
      <w:tcPr>
        <w:shd w:val="clear" w:color="f8d1d6" w:fill="f8d1d6"/>
      </w:tcPr>
    </w:tblStylePr>
    <w:tblStylePr w:type="band2Horz">
      <w:rPr>
        <w:rFonts w:ascii="Helvetica" w:hAnsi="Helvetica"/>
        <w:color w:val="e54c5e"/>
        <w:sz w:val="22"/>
      </w:rPr>
    </w:tblStylePr>
    <w:tblStylePr w:type="firstCol">
      <w:rPr>
        <w:b/>
        <w:color w:val="e54c5e"/>
      </w:rPr>
    </w:tblStylePr>
    <w:tblStylePr w:type="firstRow">
      <w:rPr>
        <w:b/>
        <w:color w:val="e54c5e"/>
      </w:rPr>
      <w:tcPr>
        <w:tcBorders>
          <w:top w:val="none" w:color="000000" w:sz="4" w:space="0"/>
          <w:left w:val="none" w:color="000000" w:sz="4" w:space="0"/>
          <w:bottom w:val="single" w:color="EF949E" w:sz="4" w:space="0"/>
          <w:right w:val="none" w:color="000000" w:sz="4" w:space="0"/>
          <w:insideH w:val="none" w:color="000000" w:sz="4" w:space="0"/>
          <w:insideV w:val="none" w:color="000000" w:sz="4" w:space="0"/>
        </w:tcBorders>
      </w:tcPr>
    </w:tblStylePr>
    <w:tblStylePr w:type="lastCol">
      <w:rPr>
        <w:b/>
        <w:color w:val="e54c5e"/>
      </w:rPr>
    </w:tblStylePr>
    <w:tblStylePr w:type="lastRow">
      <w:rPr>
        <w:b/>
        <w:color w:val="e54c5e"/>
      </w:rPr>
      <w:tcPr>
        <w:tcBorders>
          <w:top w:val="single" w:color="EF949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5" w:customStyle="1">
    <w:name w:val="List Table 7 Colorful - Accent 11"/>
    <w:basedOn w:val="882"/>
    <w:uiPriority w:val="99"/>
    <w:qFormat/>
    <w:tblPr>
      <w:tblBorders>
        <w:right w:val="single" w:color="4874CB" w:sz="4" w:space="0"/>
      </w:tblBorders>
    </w:tblPr>
    <w:tblStylePr w:type="band1Horz">
      <w:rPr>
        <w:rFonts w:ascii="Helvetica" w:hAnsi="Helvetica"/>
        <w:color w:val="23407c"/>
        <w:sz w:val="22"/>
      </w:rPr>
      <w:tcPr>
        <w:shd w:val="clear" w:color="d1dcf2" w:fill="d1dcf2"/>
      </w:tcPr>
    </w:tblStylePr>
    <w:tblStylePr w:type="band1Vert">
      <w:tcPr>
        <w:shd w:val="clear" w:color="d1dcf2" w:fill="d1dcf2"/>
      </w:tcPr>
    </w:tblStylePr>
    <w:tblStylePr w:type="band2Horz">
      <w:rPr>
        <w:rFonts w:ascii="Helvetica" w:hAnsi="Helvetica"/>
        <w:color w:val="23407c"/>
        <w:sz w:val="22"/>
      </w:rPr>
    </w:tblStylePr>
    <w:tblStylePr w:type="firstCol">
      <w:rPr>
        <w:rFonts w:ascii="Helvetica" w:hAnsi="Helvetica"/>
        <w:i/>
        <w:color w:val="23407c"/>
        <w:sz w:val="22"/>
      </w:rPr>
      <w:pPr>
        <w:jc w:val="right"/>
      </w:pPr>
      <w:tcPr>
        <w:shd w:val="clear" w:color="ffffff" w:fill="auto"/>
        <w:tcBorders>
          <w:top w:val="none" w:color="000000" w:sz="4" w:space="0"/>
          <w:left w:val="none" w:color="000000" w:sz="4" w:space="0"/>
          <w:bottom w:val="none" w:color="000000" w:sz="4" w:space="0"/>
          <w:right w:val="single" w:color="4874CB" w:sz="4" w:space="0"/>
          <w:insideH w:val="none" w:color="000000" w:sz="4" w:space="0"/>
          <w:insideV w:val="none" w:color="000000" w:sz="4" w:space="0"/>
        </w:tcBorders>
      </w:tcPr>
    </w:tblStylePr>
    <w:tblStylePr w:type="firstRow">
      <w:rPr>
        <w:rFonts w:ascii="Helvetica" w:hAnsi="Helvetica"/>
        <w:i/>
        <w:color w:val="23407c"/>
        <w:sz w:val="22"/>
      </w:rPr>
      <w:tcPr>
        <w:shd w:val="clear" w:color="ffffff" w:fill="ffffff"/>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rFonts w:ascii="Helvetica" w:hAnsi="Helvetica"/>
        <w:i/>
        <w:color w:val="23407c"/>
        <w:sz w:val="22"/>
      </w:rPr>
      <w:tcPr>
        <w:shd w:val="clear" w:color="ffffff" w:fill="auto"/>
        <w:tcBorders>
          <w:top w:val="none" w:color="000000" w:sz="4" w:space="0"/>
          <w:left w:val="single" w:color="4874CB"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23407c"/>
        <w:sz w:val="22"/>
      </w:rPr>
      <w:tcPr>
        <w:shd w:val="clear" w:color="ffffff" w:fill="ffffff"/>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6" w:customStyle="1">
    <w:name w:val="List Table 7 Colorful - Accent 21"/>
    <w:basedOn w:val="882"/>
    <w:uiPriority w:val="99"/>
    <w:qFormat/>
    <w:tblPr>
      <w:tblBorders>
        <w:right w:val="single" w:color="F5B483" w:sz="4" w:space="0"/>
      </w:tblBorders>
    </w:tblPr>
    <w:tblStylePr w:type="band1Horz">
      <w:rPr>
        <w:rFonts w:ascii="Helvetica" w:hAnsi="Helvetica"/>
        <w:color w:val="ee822f"/>
        <w:sz w:val="22"/>
      </w:rPr>
      <w:tcPr>
        <w:shd w:val="clear" w:color="fadfca" w:fill="fadfca"/>
      </w:tcPr>
    </w:tblStylePr>
    <w:tblStylePr w:type="band1Vert">
      <w:tcPr>
        <w:shd w:val="clear" w:color="fadfca" w:fill="fadfca"/>
      </w:tcPr>
    </w:tblStylePr>
    <w:tblStylePr w:type="band2Horz">
      <w:rPr>
        <w:rFonts w:ascii="Helvetica" w:hAnsi="Helvetica"/>
        <w:color w:val="ee822f"/>
        <w:sz w:val="22"/>
      </w:rPr>
    </w:tblStylePr>
    <w:tblStylePr w:type="firstCol">
      <w:rPr>
        <w:rFonts w:ascii="Helvetica" w:hAnsi="Helvetica"/>
        <w:i/>
        <w:color w:val="ee822f"/>
        <w:sz w:val="22"/>
      </w:rPr>
      <w:pPr>
        <w:jc w:val="right"/>
      </w:pPr>
      <w:tcPr>
        <w:shd w:val="clear" w:color="ffffff" w:fill="auto"/>
        <w:tcBorders>
          <w:top w:val="none" w:color="000000" w:sz="4" w:space="0"/>
          <w:left w:val="none" w:color="000000" w:sz="4" w:space="0"/>
          <w:bottom w:val="none" w:color="000000" w:sz="4" w:space="0"/>
          <w:right w:val="single" w:color="F5B483" w:sz="4" w:space="0"/>
          <w:insideH w:val="none" w:color="000000" w:sz="4" w:space="0"/>
          <w:insideV w:val="none" w:color="000000" w:sz="4" w:space="0"/>
        </w:tcBorders>
      </w:tcPr>
    </w:tblStylePr>
    <w:tblStylePr w:type="firstRow">
      <w:rPr>
        <w:rFonts w:ascii="Helvetica" w:hAnsi="Helvetica"/>
        <w:i/>
        <w:color w:val="ee822f"/>
        <w:sz w:val="22"/>
      </w:rPr>
      <w:tcPr>
        <w:shd w:val="clear" w:color="ffffff" w:fill="ffffff"/>
        <w:tcBorders>
          <w:top w:val="none" w:color="000000" w:sz="4" w:space="0"/>
          <w:left w:val="none" w:color="000000" w:sz="4" w:space="0"/>
          <w:bottom w:val="single" w:color="F5B483" w:sz="4" w:space="0"/>
          <w:right w:val="none" w:color="000000" w:sz="4" w:space="0"/>
          <w:insideH w:val="none" w:color="000000" w:sz="4" w:space="0"/>
          <w:insideV w:val="none" w:color="000000" w:sz="4" w:space="0"/>
        </w:tcBorders>
      </w:tcPr>
    </w:tblStylePr>
    <w:tblStylePr w:type="lastCol">
      <w:rPr>
        <w:rFonts w:ascii="Helvetica" w:hAnsi="Helvetica"/>
        <w:i/>
        <w:color w:val="ee822f"/>
        <w:sz w:val="22"/>
      </w:rPr>
      <w:tcPr>
        <w:shd w:val="clear" w:color="ffffff" w:fill="auto"/>
        <w:tcBorders>
          <w:top w:val="none" w:color="000000" w:sz="4" w:space="0"/>
          <w:left w:val="single" w:color="F5B483"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ee822f"/>
        <w:sz w:val="22"/>
      </w:rPr>
      <w:tcPr>
        <w:shd w:val="clear" w:color="ffffff" w:fill="ffffff"/>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7" w:customStyle="1">
    <w:name w:val="List Table 7 Colorful - Accent 31"/>
    <w:basedOn w:val="882"/>
    <w:uiPriority w:val="99"/>
    <w:qFormat/>
    <w:tblPr>
      <w:tblBorders>
        <w:right w:val="single" w:color="FDD861" w:sz="4" w:space="0"/>
      </w:tblBorders>
    </w:tblPr>
    <w:tblStylePr w:type="band1Horz">
      <w:rPr>
        <w:rFonts w:ascii="Helvetica" w:hAnsi="Helvetica"/>
        <w:color w:val="f2ba02"/>
        <w:sz w:val="22"/>
      </w:rPr>
      <w:tcPr>
        <w:shd w:val="clear" w:color="feeebc" w:fill="feeebc"/>
      </w:tcPr>
    </w:tblStylePr>
    <w:tblStylePr w:type="band1Vert">
      <w:tcPr>
        <w:shd w:val="clear" w:color="feeebc" w:fill="feeebc"/>
      </w:tcPr>
    </w:tblStylePr>
    <w:tblStylePr w:type="band2Horz">
      <w:rPr>
        <w:rFonts w:ascii="Helvetica" w:hAnsi="Helvetica"/>
        <w:color w:val="f2ba02"/>
        <w:sz w:val="22"/>
      </w:rPr>
    </w:tblStylePr>
    <w:tblStylePr w:type="firstCol">
      <w:rPr>
        <w:rFonts w:ascii="Helvetica" w:hAnsi="Helvetica"/>
        <w:i/>
        <w:color w:val="f2ba02"/>
        <w:sz w:val="22"/>
      </w:rPr>
      <w:pPr>
        <w:jc w:val="right"/>
      </w:pPr>
      <w:tcPr>
        <w:shd w:val="clear" w:color="ffffff" w:fill="auto"/>
        <w:tcBorders>
          <w:top w:val="none" w:color="000000" w:sz="4" w:space="0"/>
          <w:left w:val="none" w:color="000000" w:sz="4" w:space="0"/>
          <w:bottom w:val="none" w:color="000000" w:sz="4" w:space="0"/>
          <w:right w:val="single" w:color="FDD861" w:sz="4" w:space="0"/>
          <w:insideH w:val="none" w:color="000000" w:sz="4" w:space="0"/>
          <w:insideV w:val="none" w:color="000000" w:sz="4" w:space="0"/>
        </w:tcBorders>
      </w:tcPr>
    </w:tblStylePr>
    <w:tblStylePr w:type="firstRow">
      <w:rPr>
        <w:rFonts w:ascii="Helvetica" w:hAnsi="Helvetica"/>
        <w:i/>
        <w:color w:val="f2ba02"/>
        <w:sz w:val="22"/>
      </w:rPr>
      <w:tcPr>
        <w:shd w:val="clear" w:color="ffffff" w:fill="ffffff"/>
        <w:tcBorders>
          <w:top w:val="none" w:color="000000" w:sz="4" w:space="0"/>
          <w:left w:val="none" w:color="000000" w:sz="4" w:space="0"/>
          <w:bottom w:val="single" w:color="FDD861" w:sz="4" w:space="0"/>
          <w:right w:val="none" w:color="000000" w:sz="4" w:space="0"/>
          <w:insideH w:val="none" w:color="000000" w:sz="4" w:space="0"/>
          <w:insideV w:val="none" w:color="000000" w:sz="4" w:space="0"/>
        </w:tcBorders>
      </w:tcPr>
    </w:tblStylePr>
    <w:tblStylePr w:type="lastCol">
      <w:rPr>
        <w:rFonts w:ascii="Helvetica" w:hAnsi="Helvetica"/>
        <w:i/>
        <w:color w:val="f2ba02"/>
        <w:sz w:val="22"/>
      </w:rPr>
      <w:tcPr>
        <w:shd w:val="clear" w:color="ffffff" w:fill="auto"/>
        <w:tcBorders>
          <w:top w:val="none" w:color="000000" w:sz="4" w:space="0"/>
          <w:left w:val="single" w:color="FDD861"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f2ba02"/>
        <w:sz w:val="22"/>
      </w:rPr>
      <w:tcPr>
        <w:shd w:val="clear" w:color="ffffff" w:fill="ffffff"/>
        <w:tcBorders>
          <w:top w:val="single" w:color="FDD86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8" w:customStyle="1">
    <w:name w:val="List Table 7 Colorful - Accent 41"/>
    <w:basedOn w:val="882"/>
    <w:uiPriority w:val="99"/>
    <w:qFormat/>
    <w:tblPr>
      <w:tblBorders>
        <w:right w:val="single" w:color="ABD78C" w:sz="4" w:space="0"/>
      </w:tblBorders>
    </w:tblPr>
    <w:tblStylePr w:type="band1Horz">
      <w:rPr>
        <w:rFonts w:ascii="Helvetica" w:hAnsi="Helvetica"/>
        <w:color w:val="75bd42"/>
        <w:sz w:val="22"/>
      </w:rPr>
      <w:tcPr>
        <w:shd w:val="clear" w:color="dceecf" w:fill="dceecf"/>
      </w:tcPr>
    </w:tblStylePr>
    <w:tblStylePr w:type="band1Vert">
      <w:tcPr>
        <w:shd w:val="clear" w:color="dceecf" w:fill="dceecf"/>
      </w:tcPr>
    </w:tblStylePr>
    <w:tblStylePr w:type="band2Horz">
      <w:rPr>
        <w:rFonts w:ascii="Helvetica" w:hAnsi="Helvetica"/>
        <w:color w:val="75bd42"/>
        <w:sz w:val="22"/>
      </w:rPr>
    </w:tblStylePr>
    <w:tblStylePr w:type="firstCol">
      <w:rPr>
        <w:rFonts w:ascii="Helvetica" w:hAnsi="Helvetica"/>
        <w:i/>
        <w:color w:val="75bd42"/>
        <w:sz w:val="22"/>
      </w:rPr>
      <w:pPr>
        <w:jc w:val="right"/>
      </w:pPr>
      <w:tcPr>
        <w:shd w:val="clear" w:color="ffffff" w:fill="auto"/>
        <w:tcBorders>
          <w:top w:val="none" w:color="000000" w:sz="4" w:space="0"/>
          <w:left w:val="none" w:color="000000" w:sz="4" w:space="0"/>
          <w:bottom w:val="none" w:color="000000" w:sz="4" w:space="0"/>
          <w:right w:val="single" w:color="ABD78C" w:sz="4" w:space="0"/>
          <w:insideH w:val="none" w:color="000000" w:sz="4" w:space="0"/>
          <w:insideV w:val="none" w:color="000000" w:sz="4" w:space="0"/>
        </w:tcBorders>
      </w:tcPr>
    </w:tblStylePr>
    <w:tblStylePr w:type="firstRow">
      <w:rPr>
        <w:rFonts w:ascii="Helvetica" w:hAnsi="Helvetica"/>
        <w:i/>
        <w:color w:val="75bd42"/>
        <w:sz w:val="22"/>
      </w:rPr>
      <w:tcPr>
        <w:shd w:val="clear" w:color="ffffff" w:fill="ffffff"/>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rFonts w:ascii="Helvetica" w:hAnsi="Helvetica"/>
        <w:i/>
        <w:color w:val="75bd42"/>
        <w:sz w:val="22"/>
      </w:rPr>
      <w:tcPr>
        <w:shd w:val="clear" w:color="ffffff" w:fill="auto"/>
        <w:tcBorders>
          <w:top w:val="none" w:color="000000" w:sz="4" w:space="0"/>
          <w:left w:val="single" w:color="ABD78C"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75bd42"/>
        <w:sz w:val="22"/>
      </w:rPr>
      <w:tcPr>
        <w:shd w:val="clear" w:color="ffffff" w:fill="ffffff"/>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9" w:customStyle="1">
    <w:name w:val="List Table 7 Colorful - Accent 51"/>
    <w:basedOn w:val="882"/>
    <w:uiPriority w:val="99"/>
    <w:qFormat/>
    <w:tblPr>
      <w:tblBorders>
        <w:right w:val="single" w:color="7CDED5" w:sz="4" w:space="0"/>
      </w:tblBorders>
    </w:tblPr>
    <w:tblStylePr w:type="band1Horz">
      <w:rPr>
        <w:rFonts w:ascii="Helvetica" w:hAnsi="Helvetica"/>
        <w:color w:val="30c0b4"/>
        <w:sz w:val="22"/>
      </w:rPr>
      <w:tcPr>
        <w:shd w:val="clear" w:color="c8f1ed" w:fill="c8f1ed"/>
      </w:tcPr>
    </w:tblStylePr>
    <w:tblStylePr w:type="band1Vert">
      <w:tcPr>
        <w:shd w:val="clear" w:color="c8f1ed" w:fill="c8f1ed"/>
      </w:tcPr>
    </w:tblStylePr>
    <w:tblStylePr w:type="band2Horz">
      <w:rPr>
        <w:rFonts w:ascii="Helvetica" w:hAnsi="Helvetica"/>
        <w:color w:val="30c0b4"/>
        <w:sz w:val="22"/>
      </w:rPr>
    </w:tblStylePr>
    <w:tblStylePr w:type="firstCol">
      <w:rPr>
        <w:rFonts w:ascii="Helvetica" w:hAnsi="Helvetica"/>
        <w:i/>
        <w:color w:val="30c0b4"/>
        <w:sz w:val="22"/>
      </w:rPr>
      <w:pPr>
        <w:jc w:val="right"/>
      </w:pPr>
      <w:tcPr>
        <w:shd w:val="clear" w:color="ffffff" w:fill="auto"/>
        <w:tcBorders>
          <w:top w:val="none" w:color="000000" w:sz="4" w:space="0"/>
          <w:left w:val="none" w:color="000000" w:sz="4" w:space="0"/>
          <w:bottom w:val="none" w:color="000000" w:sz="4" w:space="0"/>
          <w:right w:val="single" w:color="7CDED5" w:sz="4" w:space="0"/>
          <w:insideH w:val="none" w:color="000000" w:sz="4" w:space="0"/>
          <w:insideV w:val="none" w:color="000000" w:sz="4" w:space="0"/>
        </w:tcBorders>
      </w:tcPr>
    </w:tblStylePr>
    <w:tblStylePr w:type="firstRow">
      <w:rPr>
        <w:rFonts w:ascii="Helvetica" w:hAnsi="Helvetica"/>
        <w:i/>
        <w:color w:val="30c0b4"/>
        <w:sz w:val="22"/>
      </w:rPr>
      <w:tcPr>
        <w:shd w:val="clear" w:color="ffffff" w:fill="ffffff"/>
        <w:tcBorders>
          <w:top w:val="none" w:color="000000" w:sz="4" w:space="0"/>
          <w:left w:val="none" w:color="000000" w:sz="4" w:space="0"/>
          <w:bottom w:val="single" w:color="7CDED5" w:sz="4" w:space="0"/>
          <w:right w:val="none" w:color="000000" w:sz="4" w:space="0"/>
          <w:insideH w:val="none" w:color="000000" w:sz="4" w:space="0"/>
          <w:insideV w:val="none" w:color="000000" w:sz="4" w:space="0"/>
        </w:tcBorders>
      </w:tcPr>
    </w:tblStylePr>
    <w:tblStylePr w:type="lastCol">
      <w:rPr>
        <w:rFonts w:ascii="Helvetica" w:hAnsi="Helvetica"/>
        <w:i/>
        <w:color w:val="30c0b4"/>
        <w:sz w:val="22"/>
      </w:rPr>
      <w:tcPr>
        <w:shd w:val="clear" w:color="ffffff" w:fill="auto"/>
        <w:tcBorders>
          <w:top w:val="none" w:color="000000" w:sz="4" w:space="0"/>
          <w:left w:val="single" w:color="7CDED5"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30c0b4"/>
        <w:sz w:val="22"/>
      </w:rPr>
      <w:tcPr>
        <w:shd w:val="clear" w:color="ffffff" w:fill="ffffff"/>
        <w:tcBorders>
          <w:top w:val="single" w:color="7CDE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30" w:customStyle="1">
    <w:name w:val="List Table 7 Colorful - Accent 61"/>
    <w:basedOn w:val="882"/>
    <w:uiPriority w:val="99"/>
    <w:qFormat/>
    <w:tblPr>
      <w:tblBorders>
        <w:right w:val="single" w:color="EF949E" w:sz="4" w:space="0"/>
      </w:tblBorders>
    </w:tblPr>
    <w:tblStylePr w:type="band1Horz">
      <w:rPr>
        <w:rFonts w:ascii="Helvetica" w:hAnsi="Helvetica"/>
        <w:color w:val="e54c5e"/>
        <w:sz w:val="22"/>
      </w:rPr>
      <w:tcPr>
        <w:shd w:val="clear" w:color="f8d1d6" w:fill="f8d1d6"/>
      </w:tcPr>
    </w:tblStylePr>
    <w:tblStylePr w:type="band1Vert">
      <w:tcPr>
        <w:shd w:val="clear" w:color="f8d1d6" w:fill="f8d1d6"/>
      </w:tcPr>
    </w:tblStylePr>
    <w:tblStylePr w:type="band2Horz">
      <w:rPr>
        <w:rFonts w:ascii="Helvetica" w:hAnsi="Helvetica"/>
        <w:color w:val="e54c5e"/>
        <w:sz w:val="22"/>
      </w:rPr>
    </w:tblStylePr>
    <w:tblStylePr w:type="firstCol">
      <w:rPr>
        <w:rFonts w:ascii="Helvetica" w:hAnsi="Helvetica"/>
        <w:i/>
        <w:color w:val="e54c5e"/>
        <w:sz w:val="22"/>
      </w:rPr>
      <w:pPr>
        <w:jc w:val="right"/>
      </w:pPr>
      <w:tcPr>
        <w:shd w:val="clear" w:color="ffffff" w:fill="auto"/>
        <w:tcBorders>
          <w:top w:val="none" w:color="000000" w:sz="4" w:space="0"/>
          <w:left w:val="none" w:color="000000" w:sz="4" w:space="0"/>
          <w:bottom w:val="none" w:color="000000" w:sz="4" w:space="0"/>
          <w:right w:val="single" w:color="EF949E" w:sz="4" w:space="0"/>
          <w:insideH w:val="none" w:color="000000" w:sz="4" w:space="0"/>
          <w:insideV w:val="none" w:color="000000" w:sz="4" w:space="0"/>
        </w:tcBorders>
      </w:tcPr>
    </w:tblStylePr>
    <w:tblStylePr w:type="firstRow">
      <w:rPr>
        <w:rFonts w:ascii="Helvetica" w:hAnsi="Helvetica"/>
        <w:i/>
        <w:color w:val="e54c5e"/>
        <w:sz w:val="22"/>
      </w:rPr>
      <w:tcPr>
        <w:shd w:val="clear" w:color="ffffff" w:fill="ffffff"/>
        <w:tcBorders>
          <w:top w:val="none" w:color="000000" w:sz="4" w:space="0"/>
          <w:left w:val="none" w:color="000000" w:sz="4" w:space="0"/>
          <w:bottom w:val="single" w:color="EF949E" w:sz="4" w:space="0"/>
          <w:right w:val="none" w:color="000000" w:sz="4" w:space="0"/>
          <w:insideH w:val="none" w:color="000000" w:sz="4" w:space="0"/>
          <w:insideV w:val="none" w:color="000000" w:sz="4" w:space="0"/>
        </w:tcBorders>
      </w:tcPr>
    </w:tblStylePr>
    <w:tblStylePr w:type="lastCol">
      <w:rPr>
        <w:rFonts w:ascii="Helvetica" w:hAnsi="Helvetica"/>
        <w:i/>
        <w:color w:val="e54c5e"/>
        <w:sz w:val="22"/>
      </w:rPr>
      <w:tcPr>
        <w:shd w:val="clear" w:color="ffffff" w:fill="auto"/>
        <w:tcBorders>
          <w:top w:val="none" w:color="000000" w:sz="4" w:space="0"/>
          <w:left w:val="single" w:color="EF949E" w:sz="4"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i/>
        <w:color w:val="e54c5e"/>
        <w:sz w:val="22"/>
      </w:rPr>
      <w:tcPr>
        <w:shd w:val="clear" w:color="ffffff" w:fill="ffffff"/>
        <w:tcBorders>
          <w:top w:val="single" w:color="EF949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31" w:customStyle="1">
    <w:name w:val="Lined - Accent 1"/>
    <w:basedOn w:val="882"/>
    <w:uiPriority w:val="99"/>
    <w:qFormat/>
    <w:rPr>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2f2f2" w:fill="f2f2f2"/>
      </w:tcPr>
    </w:tblStylePr>
    <w:tblStylePr w:type="band2Vert">
      <w:rPr>
        <w:rFonts w:ascii="Helvetica" w:hAnsi="Helvetica"/>
        <w:color w:val="404040"/>
        <w:sz w:val="22"/>
      </w:rPr>
      <w:tcPr>
        <w:shd w:val="clear" w:color="f2f2f2" w:fill="f2f2f2"/>
      </w:tcPr>
    </w:tblStylePr>
    <w:tblStylePr w:type="firstCol">
      <w:rPr>
        <w:rFonts w:ascii="Helvetica" w:hAnsi="Helvetica"/>
        <w:color w:val="f2f2f2"/>
        <w:sz w:val="22"/>
      </w:rPr>
      <w:tcPr>
        <w:shd w:val="clear" w:color="7f7f7f" w:fill="7f7f7f"/>
      </w:tcPr>
    </w:tblStylePr>
    <w:tblStylePr w:type="firstRow">
      <w:rPr>
        <w:rFonts w:ascii="Helvetica" w:hAnsi="Helvetica"/>
        <w:color w:val="f2f2f2"/>
        <w:sz w:val="22"/>
      </w:rPr>
      <w:tcPr>
        <w:shd w:val="clear" w:color="7f7f7f" w:fill="7f7f7f"/>
      </w:tcPr>
    </w:tblStylePr>
    <w:tblStylePr w:type="lastCol">
      <w:rPr>
        <w:rFonts w:ascii="Helvetica" w:hAnsi="Helvetica"/>
        <w:color w:val="f2f2f2"/>
        <w:sz w:val="22"/>
      </w:rPr>
      <w:tcPr>
        <w:shd w:val="clear" w:color="7f7f7f" w:fill="7f7f7f"/>
      </w:tcPr>
    </w:tblStylePr>
    <w:tblStylePr w:type="lastRow">
      <w:rPr>
        <w:rFonts w:ascii="Helvetica" w:hAnsi="Helvetica"/>
        <w:color w:val="f2f2f2"/>
        <w:sz w:val="22"/>
      </w:rPr>
      <w:tcPr>
        <w:shd w:val="clear" w:color="7f7f7f" w:fill="7f7f7f"/>
      </w:tcPr>
    </w:tblStylePr>
  </w:style>
  <w:style w:type="table" w:styleId="1232" w:customStyle="1">
    <w:name w:val="Lined - Accent 11"/>
    <w:basedOn w:val="882"/>
    <w:uiPriority w:val="99"/>
    <w:qFormat/>
    <w:rPr>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c5d3ee" w:fill="c5d3ee"/>
      </w:tcPr>
    </w:tblStylePr>
    <w:tblStylePr w:type="band2Vert">
      <w:rPr>
        <w:rFonts w:ascii="Helvetica" w:hAnsi="Helvetica"/>
        <w:color w:val="404040"/>
        <w:sz w:val="22"/>
      </w:rPr>
      <w:tcPr>
        <w:shd w:val="clear" w:color="c5d3ee" w:fill="c5d3ee"/>
      </w:tcPr>
    </w:tblStylePr>
    <w:tblStylePr w:type="firstCol">
      <w:rPr>
        <w:rFonts w:ascii="Helvetica" w:hAnsi="Helvetica"/>
        <w:color w:val="f2f2f2"/>
        <w:sz w:val="22"/>
      </w:rPr>
      <w:tcPr>
        <w:shd w:val="clear" w:color="577fcf" w:fill="577fcf"/>
      </w:tcPr>
    </w:tblStylePr>
    <w:tblStylePr w:type="firstRow">
      <w:rPr>
        <w:rFonts w:ascii="Helvetica" w:hAnsi="Helvetica"/>
        <w:color w:val="f2f2f2"/>
        <w:sz w:val="22"/>
      </w:rPr>
      <w:tcPr>
        <w:shd w:val="clear" w:color="577fcf" w:fill="577fcf"/>
      </w:tcPr>
    </w:tblStylePr>
    <w:tblStylePr w:type="lastCol">
      <w:rPr>
        <w:rFonts w:ascii="Helvetica" w:hAnsi="Helvetica"/>
        <w:color w:val="f2f2f2"/>
        <w:sz w:val="22"/>
      </w:rPr>
      <w:tcPr>
        <w:shd w:val="clear" w:color="577fcf" w:fill="577fcf"/>
      </w:tcPr>
    </w:tblStylePr>
    <w:tblStylePr w:type="lastRow">
      <w:rPr>
        <w:rFonts w:ascii="Helvetica" w:hAnsi="Helvetica"/>
        <w:color w:val="f2f2f2"/>
        <w:sz w:val="22"/>
      </w:rPr>
      <w:tcPr>
        <w:shd w:val="clear" w:color="577fcf" w:fill="577fcf"/>
      </w:tcPr>
    </w:tblStylePr>
  </w:style>
  <w:style w:type="table" w:styleId="1233" w:customStyle="1">
    <w:name w:val="Lined - Accent 21"/>
    <w:basedOn w:val="882"/>
    <w:uiPriority w:val="99"/>
    <w:qFormat/>
    <w:rPr>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be6d6" w:fill="fbe6d6"/>
      </w:tcPr>
    </w:tblStylePr>
    <w:tblStylePr w:type="band2Vert">
      <w:rPr>
        <w:rFonts w:ascii="Helvetica" w:hAnsi="Helvetica"/>
        <w:color w:val="404040"/>
        <w:sz w:val="22"/>
      </w:rPr>
      <w:tcPr>
        <w:shd w:val="clear" w:color="fbe6d6" w:fill="fbe6d6"/>
      </w:tcPr>
    </w:tblStylePr>
    <w:tblStylePr w:type="firstCol">
      <w:rPr>
        <w:rFonts w:ascii="Helvetica" w:hAnsi="Helvetica"/>
        <w:color w:val="f2f2f2"/>
        <w:sz w:val="22"/>
      </w:rPr>
      <w:tcPr>
        <w:shd w:val="clear" w:color="f5b483" w:fill="f5b483"/>
      </w:tcPr>
    </w:tblStylePr>
    <w:tblStylePr w:type="firstRow">
      <w:rPr>
        <w:rFonts w:ascii="Helvetica" w:hAnsi="Helvetica"/>
        <w:color w:val="f2f2f2"/>
        <w:sz w:val="22"/>
      </w:rPr>
      <w:tcPr>
        <w:shd w:val="clear" w:color="f5b483" w:fill="f5b483"/>
      </w:tcPr>
    </w:tblStylePr>
    <w:tblStylePr w:type="lastCol">
      <w:rPr>
        <w:rFonts w:ascii="Helvetica" w:hAnsi="Helvetica"/>
        <w:color w:val="f2f2f2"/>
        <w:sz w:val="22"/>
      </w:rPr>
      <w:tcPr>
        <w:shd w:val="clear" w:color="f5b483" w:fill="f5b483"/>
      </w:tcPr>
    </w:tblStylePr>
    <w:tblStylePr w:type="lastRow">
      <w:rPr>
        <w:rFonts w:ascii="Helvetica" w:hAnsi="Helvetica"/>
        <w:color w:val="f2f2f2"/>
        <w:sz w:val="22"/>
      </w:rPr>
      <w:tcPr>
        <w:shd w:val="clear" w:color="f5b483" w:fill="f5b483"/>
      </w:tcPr>
    </w:tblStylePr>
  </w:style>
  <w:style w:type="table" w:styleId="1234" w:customStyle="1">
    <w:name w:val="Lined - Accent 31"/>
    <w:basedOn w:val="882"/>
    <w:uiPriority w:val="99"/>
    <w:qFormat/>
    <w:rPr>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ef2c9" w:fill="fef2c9"/>
      </w:tcPr>
    </w:tblStylePr>
    <w:tblStylePr w:type="band2Vert">
      <w:rPr>
        <w:rFonts w:ascii="Helvetica" w:hAnsi="Helvetica"/>
        <w:color w:val="404040"/>
        <w:sz w:val="22"/>
      </w:rPr>
      <w:tcPr>
        <w:shd w:val="clear" w:color="fef2c9" w:fill="fef2c9"/>
      </w:tcPr>
    </w:tblStylePr>
    <w:tblStylePr w:type="firstCol">
      <w:rPr>
        <w:rFonts w:ascii="Helvetica" w:hAnsi="Helvetica"/>
        <w:color w:val="f2f2f2"/>
        <w:sz w:val="22"/>
      </w:rPr>
      <w:tcPr>
        <w:shd w:val="clear" w:color="f2ba02" w:fill="f2ba02"/>
      </w:tcPr>
    </w:tblStylePr>
    <w:tblStylePr w:type="firstRow">
      <w:rPr>
        <w:rFonts w:ascii="Helvetica" w:hAnsi="Helvetica"/>
        <w:color w:val="f2f2f2"/>
        <w:sz w:val="22"/>
      </w:rPr>
      <w:tcPr>
        <w:shd w:val="clear" w:color="f2ba02" w:fill="f2ba02"/>
      </w:tcPr>
    </w:tblStylePr>
    <w:tblStylePr w:type="lastCol">
      <w:rPr>
        <w:rFonts w:ascii="Helvetica" w:hAnsi="Helvetica"/>
        <w:color w:val="f2f2f2"/>
        <w:sz w:val="22"/>
      </w:rPr>
      <w:tcPr>
        <w:shd w:val="clear" w:color="f2ba02" w:fill="f2ba02"/>
      </w:tcPr>
    </w:tblStylePr>
    <w:tblStylePr w:type="lastRow">
      <w:rPr>
        <w:rFonts w:ascii="Helvetica" w:hAnsi="Helvetica"/>
        <w:color w:val="f2f2f2"/>
        <w:sz w:val="22"/>
      </w:rPr>
      <w:tcPr>
        <w:shd w:val="clear" w:color="f2ba02" w:fill="f2ba02"/>
      </w:tcPr>
    </w:tblStylePr>
  </w:style>
  <w:style w:type="table" w:styleId="1235" w:customStyle="1">
    <w:name w:val="Lined - Accent 41"/>
    <w:basedOn w:val="882"/>
    <w:uiPriority w:val="99"/>
    <w:qFormat/>
    <w:rPr>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e2f1d8" w:fill="e2f1d8"/>
      </w:tcPr>
    </w:tblStylePr>
    <w:tblStylePr w:type="band2Vert">
      <w:rPr>
        <w:rFonts w:ascii="Helvetica" w:hAnsi="Helvetica"/>
        <w:color w:val="404040"/>
        <w:sz w:val="22"/>
      </w:rPr>
      <w:tcPr>
        <w:shd w:val="clear" w:color="e2f1d8" w:fill="e2f1d8"/>
      </w:tcPr>
    </w:tblStylePr>
    <w:tblStylePr w:type="firstCol">
      <w:rPr>
        <w:rFonts w:ascii="Helvetica" w:hAnsi="Helvetica"/>
        <w:color w:val="f2f2f2"/>
        <w:sz w:val="22"/>
      </w:rPr>
      <w:tcPr>
        <w:shd w:val="clear" w:color="abd78c" w:fill="abd78c"/>
      </w:tcPr>
    </w:tblStylePr>
    <w:tblStylePr w:type="firstRow">
      <w:rPr>
        <w:rFonts w:ascii="Helvetica" w:hAnsi="Helvetica"/>
        <w:color w:val="f2f2f2"/>
        <w:sz w:val="22"/>
      </w:rPr>
      <w:tcPr>
        <w:shd w:val="clear" w:color="abd78c" w:fill="abd78c"/>
      </w:tcPr>
    </w:tblStylePr>
    <w:tblStylePr w:type="lastCol">
      <w:rPr>
        <w:rFonts w:ascii="Helvetica" w:hAnsi="Helvetica"/>
        <w:color w:val="f2f2f2"/>
        <w:sz w:val="22"/>
      </w:rPr>
      <w:tcPr>
        <w:shd w:val="clear" w:color="abd78c" w:fill="abd78c"/>
      </w:tcPr>
    </w:tblStylePr>
    <w:tblStylePr w:type="lastRow">
      <w:rPr>
        <w:rFonts w:ascii="Helvetica" w:hAnsi="Helvetica"/>
        <w:color w:val="f2f2f2"/>
        <w:sz w:val="22"/>
      </w:rPr>
      <w:tcPr>
        <w:shd w:val="clear" w:color="abd78c" w:fill="abd78c"/>
      </w:tcPr>
    </w:tblStylePr>
  </w:style>
  <w:style w:type="table" w:styleId="1236" w:customStyle="1">
    <w:name w:val="Lined - Accent 51"/>
    <w:basedOn w:val="882"/>
    <w:uiPriority w:val="99"/>
    <w:qFormat/>
    <w:rPr>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d2f4f1" w:fill="d2f4f1"/>
      </w:tcPr>
    </w:tblStylePr>
    <w:tblStylePr w:type="band2Vert">
      <w:rPr>
        <w:rFonts w:ascii="Helvetica" w:hAnsi="Helvetica"/>
        <w:color w:val="404040"/>
        <w:sz w:val="22"/>
      </w:rPr>
      <w:tcPr>
        <w:shd w:val="clear" w:color="d2f4f1" w:fill="d2f4f1"/>
      </w:tcPr>
    </w:tblStylePr>
    <w:tblStylePr w:type="firstCol">
      <w:rPr>
        <w:rFonts w:ascii="Helvetica" w:hAnsi="Helvetica"/>
        <w:color w:val="f2f2f2"/>
        <w:sz w:val="22"/>
      </w:rPr>
      <w:tcPr>
        <w:shd w:val="clear" w:color="30c0b4" w:fill="30c0b4"/>
      </w:tcPr>
    </w:tblStylePr>
    <w:tblStylePr w:type="firstRow">
      <w:rPr>
        <w:rFonts w:ascii="Helvetica" w:hAnsi="Helvetica"/>
        <w:color w:val="f2f2f2"/>
        <w:sz w:val="22"/>
      </w:rPr>
      <w:tcPr>
        <w:shd w:val="clear" w:color="30c0b4" w:fill="30c0b4"/>
      </w:tcPr>
    </w:tblStylePr>
    <w:tblStylePr w:type="lastCol">
      <w:rPr>
        <w:rFonts w:ascii="Helvetica" w:hAnsi="Helvetica"/>
        <w:color w:val="f2f2f2"/>
        <w:sz w:val="22"/>
      </w:rPr>
      <w:tcPr>
        <w:shd w:val="clear" w:color="30c0b4" w:fill="30c0b4"/>
      </w:tcPr>
    </w:tblStylePr>
    <w:tblStylePr w:type="lastRow">
      <w:rPr>
        <w:rFonts w:ascii="Helvetica" w:hAnsi="Helvetica"/>
        <w:color w:val="f2f2f2"/>
        <w:sz w:val="22"/>
      </w:rPr>
      <w:tcPr>
        <w:shd w:val="clear" w:color="30c0b4" w:fill="30c0b4"/>
      </w:tcPr>
    </w:tblStylePr>
  </w:style>
  <w:style w:type="table" w:styleId="1237" w:customStyle="1">
    <w:name w:val="Lined - Accent 61"/>
    <w:basedOn w:val="882"/>
    <w:uiPriority w:val="99"/>
    <w:qFormat/>
    <w:rPr>
      <w:color w:val="404040"/>
    </w:rPr>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9dade" w:fill="f9dade"/>
      </w:tcPr>
    </w:tblStylePr>
    <w:tblStylePr w:type="band2Vert">
      <w:rPr>
        <w:rFonts w:ascii="Helvetica" w:hAnsi="Helvetica"/>
        <w:color w:val="404040"/>
        <w:sz w:val="22"/>
      </w:rPr>
      <w:tcPr>
        <w:shd w:val="clear" w:color="f9dade" w:fill="f9dade"/>
      </w:tcPr>
    </w:tblStylePr>
    <w:tblStylePr w:type="firstCol">
      <w:rPr>
        <w:rFonts w:ascii="Helvetica" w:hAnsi="Helvetica"/>
        <w:color w:val="f2f2f2"/>
        <w:sz w:val="22"/>
      </w:rPr>
      <w:tcPr>
        <w:shd w:val="clear" w:color="e54c5e" w:fill="e54c5e"/>
      </w:tcPr>
    </w:tblStylePr>
    <w:tblStylePr w:type="firstRow">
      <w:rPr>
        <w:rFonts w:ascii="Helvetica" w:hAnsi="Helvetica"/>
        <w:color w:val="f2f2f2"/>
        <w:sz w:val="22"/>
      </w:rPr>
      <w:tcPr>
        <w:shd w:val="clear" w:color="e54c5e" w:fill="e54c5e"/>
      </w:tcPr>
    </w:tblStylePr>
    <w:tblStylePr w:type="lastCol">
      <w:rPr>
        <w:rFonts w:ascii="Helvetica" w:hAnsi="Helvetica"/>
        <w:color w:val="f2f2f2"/>
        <w:sz w:val="22"/>
      </w:rPr>
      <w:tcPr>
        <w:shd w:val="clear" w:color="e54c5e" w:fill="e54c5e"/>
      </w:tcPr>
    </w:tblStylePr>
    <w:tblStylePr w:type="lastRow">
      <w:rPr>
        <w:rFonts w:ascii="Helvetica" w:hAnsi="Helvetica"/>
        <w:color w:val="f2f2f2"/>
        <w:sz w:val="22"/>
      </w:rPr>
      <w:tcPr>
        <w:shd w:val="clear" w:color="e54c5e" w:fill="e54c5e"/>
      </w:tcPr>
    </w:tblStylePr>
  </w:style>
  <w:style w:type="table" w:styleId="1238" w:customStyle="1">
    <w:name w:val="Bordered &amp; Lined - Accent 1"/>
    <w:basedOn w:val="882"/>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2f2f2" w:fill="f2f2f2"/>
      </w:tcPr>
    </w:tblStylePr>
    <w:tblStylePr w:type="band2Vert">
      <w:rPr>
        <w:rFonts w:ascii="Helvetica" w:hAnsi="Helvetica"/>
        <w:color w:val="404040"/>
        <w:sz w:val="22"/>
      </w:rPr>
      <w:tcPr>
        <w:shd w:val="clear" w:color="f2f2f2" w:fill="f2f2f2"/>
      </w:tcPr>
    </w:tblStylePr>
    <w:tblStylePr w:type="firstCol">
      <w:rPr>
        <w:rFonts w:ascii="Helvetica" w:hAnsi="Helvetica"/>
        <w:color w:val="f2f2f2"/>
        <w:sz w:val="22"/>
      </w:rPr>
      <w:tcPr>
        <w:shd w:val="clear" w:color="7f7f7f" w:fill="7f7f7f"/>
      </w:tcPr>
    </w:tblStylePr>
    <w:tblStylePr w:type="firstRow">
      <w:rPr>
        <w:rFonts w:ascii="Helvetica" w:hAnsi="Helvetica"/>
        <w:color w:val="f2f2f2"/>
        <w:sz w:val="22"/>
      </w:rPr>
      <w:tcPr>
        <w:shd w:val="clear" w:color="7f7f7f" w:fill="7f7f7f"/>
      </w:tcPr>
    </w:tblStylePr>
    <w:tblStylePr w:type="lastCol">
      <w:rPr>
        <w:rFonts w:ascii="Helvetica" w:hAnsi="Helvetica"/>
        <w:color w:val="f2f2f2"/>
        <w:sz w:val="22"/>
      </w:rPr>
      <w:tcPr>
        <w:shd w:val="clear" w:color="7f7f7f" w:fill="7f7f7f"/>
      </w:tcPr>
    </w:tblStylePr>
    <w:tblStylePr w:type="lastRow">
      <w:rPr>
        <w:rFonts w:ascii="Helvetica" w:hAnsi="Helvetica"/>
        <w:color w:val="f2f2f2"/>
        <w:sz w:val="22"/>
      </w:rPr>
      <w:tcPr>
        <w:shd w:val="clear" w:color="7f7f7f" w:fill="7f7f7f"/>
      </w:tcPr>
    </w:tblStylePr>
  </w:style>
  <w:style w:type="table" w:styleId="1239" w:customStyle="1">
    <w:name w:val="Bordered &amp; Lined - Accent 11"/>
    <w:basedOn w:val="882"/>
    <w:uiPriority w:val="99"/>
    <w:qFormat/>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c5d3ee" w:fill="c5d3ee"/>
      </w:tcPr>
    </w:tblStylePr>
    <w:tblStylePr w:type="band2Vert">
      <w:rPr>
        <w:rFonts w:ascii="Helvetica" w:hAnsi="Helvetica"/>
        <w:color w:val="404040"/>
        <w:sz w:val="22"/>
      </w:rPr>
      <w:tcPr>
        <w:shd w:val="clear" w:color="c5d3ee" w:fill="c5d3ee"/>
      </w:tcPr>
    </w:tblStylePr>
    <w:tblStylePr w:type="firstCol">
      <w:rPr>
        <w:rFonts w:ascii="Helvetica" w:hAnsi="Helvetica"/>
        <w:color w:val="f2f2f2"/>
        <w:sz w:val="22"/>
      </w:rPr>
      <w:tcPr>
        <w:shd w:val="clear" w:color="577fcf" w:fill="577fcf"/>
      </w:tcPr>
    </w:tblStylePr>
    <w:tblStylePr w:type="firstRow">
      <w:rPr>
        <w:rFonts w:ascii="Helvetica" w:hAnsi="Helvetica"/>
        <w:color w:val="f2f2f2"/>
        <w:sz w:val="22"/>
      </w:rPr>
      <w:tcPr>
        <w:shd w:val="clear" w:color="577fcf" w:fill="577fcf"/>
      </w:tcPr>
    </w:tblStylePr>
    <w:tblStylePr w:type="lastCol">
      <w:rPr>
        <w:rFonts w:ascii="Helvetica" w:hAnsi="Helvetica"/>
        <w:color w:val="f2f2f2"/>
        <w:sz w:val="22"/>
      </w:rPr>
      <w:tcPr>
        <w:shd w:val="clear" w:color="577fcf" w:fill="577fcf"/>
      </w:tcPr>
    </w:tblStylePr>
    <w:tblStylePr w:type="lastRow">
      <w:rPr>
        <w:rFonts w:ascii="Helvetica" w:hAnsi="Helvetica"/>
        <w:color w:val="f2f2f2"/>
        <w:sz w:val="22"/>
      </w:rPr>
      <w:tcPr>
        <w:shd w:val="clear" w:color="577fcf" w:fill="577fcf"/>
      </w:tcPr>
    </w:tblStylePr>
  </w:style>
  <w:style w:type="table" w:styleId="1240" w:customStyle="1">
    <w:name w:val="Bordered &amp; Lined - Accent 21"/>
    <w:basedOn w:val="882"/>
    <w:uiPriority w:val="99"/>
    <w:qFormat/>
    <w:rPr>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be6d6" w:fill="fbe6d6"/>
      </w:tcPr>
    </w:tblStylePr>
    <w:tblStylePr w:type="band2Vert">
      <w:rPr>
        <w:rFonts w:ascii="Helvetica" w:hAnsi="Helvetica"/>
        <w:color w:val="404040"/>
        <w:sz w:val="22"/>
      </w:rPr>
      <w:tcPr>
        <w:shd w:val="clear" w:color="fbe6d6" w:fill="fbe6d6"/>
      </w:tcPr>
    </w:tblStylePr>
    <w:tblStylePr w:type="firstCol">
      <w:rPr>
        <w:rFonts w:ascii="Helvetica" w:hAnsi="Helvetica"/>
        <w:color w:val="f2f2f2"/>
        <w:sz w:val="22"/>
      </w:rPr>
      <w:tcPr>
        <w:shd w:val="clear" w:color="f5b483" w:fill="f5b483"/>
      </w:tcPr>
    </w:tblStylePr>
    <w:tblStylePr w:type="firstRow">
      <w:rPr>
        <w:rFonts w:ascii="Helvetica" w:hAnsi="Helvetica"/>
        <w:color w:val="f2f2f2"/>
        <w:sz w:val="22"/>
      </w:rPr>
      <w:tcPr>
        <w:shd w:val="clear" w:color="f5b483" w:fill="f5b483"/>
      </w:tcPr>
    </w:tblStylePr>
    <w:tblStylePr w:type="lastCol">
      <w:rPr>
        <w:rFonts w:ascii="Helvetica" w:hAnsi="Helvetica"/>
        <w:color w:val="f2f2f2"/>
        <w:sz w:val="22"/>
      </w:rPr>
      <w:tcPr>
        <w:shd w:val="clear" w:color="f5b483" w:fill="f5b483"/>
      </w:tcPr>
    </w:tblStylePr>
    <w:tblStylePr w:type="lastRow">
      <w:rPr>
        <w:rFonts w:ascii="Helvetica" w:hAnsi="Helvetica"/>
        <w:color w:val="f2f2f2"/>
        <w:sz w:val="22"/>
      </w:rPr>
      <w:tcPr>
        <w:shd w:val="clear" w:color="f5b483" w:fill="f5b483"/>
      </w:tcPr>
    </w:tblStylePr>
  </w:style>
  <w:style w:type="table" w:styleId="1241" w:customStyle="1">
    <w:name w:val="Bordered &amp; Lined - Accent 31"/>
    <w:basedOn w:val="882"/>
    <w:uiPriority w:val="99"/>
    <w:qFormat/>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ef2c9" w:fill="fef2c9"/>
      </w:tcPr>
    </w:tblStylePr>
    <w:tblStylePr w:type="band2Vert">
      <w:rPr>
        <w:rFonts w:ascii="Helvetica" w:hAnsi="Helvetica"/>
        <w:color w:val="404040"/>
        <w:sz w:val="22"/>
      </w:rPr>
      <w:tcPr>
        <w:shd w:val="clear" w:color="fef2c9" w:fill="fef2c9"/>
      </w:tcPr>
    </w:tblStylePr>
    <w:tblStylePr w:type="firstCol">
      <w:rPr>
        <w:rFonts w:ascii="Helvetica" w:hAnsi="Helvetica"/>
        <w:color w:val="f2f2f2"/>
        <w:sz w:val="22"/>
      </w:rPr>
      <w:tcPr>
        <w:shd w:val="clear" w:color="f2ba02" w:fill="f2ba02"/>
      </w:tcPr>
    </w:tblStylePr>
    <w:tblStylePr w:type="firstRow">
      <w:rPr>
        <w:rFonts w:ascii="Helvetica" w:hAnsi="Helvetica"/>
        <w:color w:val="f2f2f2"/>
        <w:sz w:val="22"/>
      </w:rPr>
      <w:tcPr>
        <w:shd w:val="clear" w:color="f2ba02" w:fill="f2ba02"/>
      </w:tcPr>
    </w:tblStylePr>
    <w:tblStylePr w:type="lastCol">
      <w:rPr>
        <w:rFonts w:ascii="Helvetica" w:hAnsi="Helvetica"/>
        <w:color w:val="f2f2f2"/>
        <w:sz w:val="22"/>
      </w:rPr>
      <w:tcPr>
        <w:shd w:val="clear" w:color="f2ba02" w:fill="f2ba02"/>
      </w:tcPr>
    </w:tblStylePr>
    <w:tblStylePr w:type="lastRow">
      <w:rPr>
        <w:rFonts w:ascii="Helvetica" w:hAnsi="Helvetica"/>
        <w:color w:val="f2f2f2"/>
        <w:sz w:val="22"/>
      </w:rPr>
      <w:tcPr>
        <w:shd w:val="clear" w:color="f2ba02" w:fill="f2ba02"/>
      </w:tcPr>
    </w:tblStylePr>
  </w:style>
  <w:style w:type="table" w:styleId="1242" w:customStyle="1">
    <w:name w:val="Bordered &amp; Lined - Accent 41"/>
    <w:basedOn w:val="882"/>
    <w:uiPriority w:val="99"/>
    <w:qFormat/>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e2f1d8" w:fill="e2f1d8"/>
      </w:tcPr>
    </w:tblStylePr>
    <w:tblStylePr w:type="band2Vert">
      <w:rPr>
        <w:rFonts w:ascii="Helvetica" w:hAnsi="Helvetica"/>
        <w:color w:val="404040"/>
        <w:sz w:val="22"/>
      </w:rPr>
      <w:tcPr>
        <w:shd w:val="clear" w:color="e2f1d8" w:fill="e2f1d8"/>
      </w:tcPr>
    </w:tblStylePr>
    <w:tblStylePr w:type="firstCol">
      <w:rPr>
        <w:rFonts w:ascii="Helvetica" w:hAnsi="Helvetica"/>
        <w:color w:val="f2f2f2"/>
        <w:sz w:val="22"/>
      </w:rPr>
      <w:tcPr>
        <w:shd w:val="clear" w:color="abd78c" w:fill="abd78c"/>
      </w:tcPr>
    </w:tblStylePr>
    <w:tblStylePr w:type="firstRow">
      <w:rPr>
        <w:rFonts w:ascii="Helvetica" w:hAnsi="Helvetica"/>
        <w:color w:val="f2f2f2"/>
        <w:sz w:val="22"/>
      </w:rPr>
      <w:tcPr>
        <w:shd w:val="clear" w:color="abd78c" w:fill="abd78c"/>
      </w:tcPr>
    </w:tblStylePr>
    <w:tblStylePr w:type="lastCol">
      <w:rPr>
        <w:rFonts w:ascii="Helvetica" w:hAnsi="Helvetica"/>
        <w:color w:val="f2f2f2"/>
        <w:sz w:val="22"/>
      </w:rPr>
      <w:tcPr>
        <w:shd w:val="clear" w:color="abd78c" w:fill="abd78c"/>
      </w:tcPr>
    </w:tblStylePr>
    <w:tblStylePr w:type="lastRow">
      <w:rPr>
        <w:rFonts w:ascii="Helvetica" w:hAnsi="Helvetica"/>
        <w:color w:val="f2f2f2"/>
        <w:sz w:val="22"/>
      </w:rPr>
      <w:tcPr>
        <w:shd w:val="clear" w:color="abd78c" w:fill="abd78c"/>
      </w:tcPr>
    </w:tblStylePr>
  </w:style>
  <w:style w:type="table" w:styleId="1243" w:customStyle="1">
    <w:name w:val="Bordered &amp; Lined - Accent 51"/>
    <w:basedOn w:val="882"/>
    <w:uiPriority w:val="99"/>
    <w:qFormat/>
    <w:rPr>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d2f4f1" w:fill="d2f4f1"/>
      </w:tcPr>
    </w:tblStylePr>
    <w:tblStylePr w:type="band2Vert">
      <w:rPr>
        <w:rFonts w:ascii="Helvetica" w:hAnsi="Helvetica"/>
        <w:color w:val="404040"/>
        <w:sz w:val="22"/>
      </w:rPr>
      <w:tcPr>
        <w:shd w:val="clear" w:color="d2f4f1" w:fill="d2f4f1"/>
      </w:tcPr>
    </w:tblStylePr>
    <w:tblStylePr w:type="firstCol">
      <w:rPr>
        <w:rFonts w:ascii="Helvetica" w:hAnsi="Helvetica"/>
        <w:color w:val="f2f2f2"/>
        <w:sz w:val="22"/>
      </w:rPr>
      <w:tcPr>
        <w:shd w:val="clear" w:color="30c0b4" w:fill="30c0b4"/>
      </w:tcPr>
    </w:tblStylePr>
    <w:tblStylePr w:type="firstRow">
      <w:rPr>
        <w:rFonts w:ascii="Helvetica" w:hAnsi="Helvetica"/>
        <w:color w:val="f2f2f2"/>
        <w:sz w:val="22"/>
      </w:rPr>
      <w:tcPr>
        <w:shd w:val="clear" w:color="30c0b4" w:fill="30c0b4"/>
      </w:tcPr>
    </w:tblStylePr>
    <w:tblStylePr w:type="lastCol">
      <w:rPr>
        <w:rFonts w:ascii="Helvetica" w:hAnsi="Helvetica"/>
        <w:color w:val="f2f2f2"/>
        <w:sz w:val="22"/>
      </w:rPr>
      <w:tcPr>
        <w:shd w:val="clear" w:color="30c0b4" w:fill="30c0b4"/>
      </w:tcPr>
    </w:tblStylePr>
    <w:tblStylePr w:type="lastRow">
      <w:rPr>
        <w:rFonts w:ascii="Helvetica" w:hAnsi="Helvetica"/>
        <w:color w:val="f2f2f2"/>
        <w:sz w:val="22"/>
      </w:rPr>
      <w:tcPr>
        <w:shd w:val="clear" w:color="30c0b4" w:fill="30c0b4"/>
      </w:tcPr>
    </w:tblStylePr>
  </w:style>
  <w:style w:type="table" w:styleId="1244" w:customStyle="1">
    <w:name w:val="Bordered &amp; Lined - Accent 61"/>
    <w:basedOn w:val="882"/>
    <w:uiPriority w:val="99"/>
    <w:qFormat/>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Helvetica" w:hAnsi="Helvetica"/>
        <w:color w:val="404040"/>
        <w:sz w:val="22"/>
      </w:rPr>
    </w:tblStylePr>
    <w:tblStylePr w:type="band1Vert">
      <w:rPr>
        <w:rFonts w:ascii="Helvetica" w:hAnsi="Helvetica"/>
        <w:color w:val="404040"/>
        <w:sz w:val="22"/>
      </w:rPr>
    </w:tblStylePr>
    <w:tblStylePr w:type="band2Horz">
      <w:rPr>
        <w:rFonts w:ascii="Helvetica" w:hAnsi="Helvetica"/>
        <w:color w:val="404040"/>
        <w:sz w:val="22"/>
      </w:rPr>
      <w:tcPr>
        <w:shd w:val="clear" w:color="f9dade" w:fill="f9dade"/>
      </w:tcPr>
    </w:tblStylePr>
    <w:tblStylePr w:type="band2Vert">
      <w:rPr>
        <w:rFonts w:ascii="Helvetica" w:hAnsi="Helvetica"/>
        <w:color w:val="404040"/>
        <w:sz w:val="22"/>
      </w:rPr>
      <w:tcPr>
        <w:shd w:val="clear" w:color="f9dade" w:fill="f9dade"/>
      </w:tcPr>
    </w:tblStylePr>
    <w:tblStylePr w:type="firstCol">
      <w:rPr>
        <w:rFonts w:ascii="Helvetica" w:hAnsi="Helvetica"/>
        <w:color w:val="f2f2f2"/>
        <w:sz w:val="22"/>
      </w:rPr>
      <w:tcPr>
        <w:shd w:val="clear" w:color="e54c5e" w:fill="e54c5e"/>
      </w:tcPr>
    </w:tblStylePr>
    <w:tblStylePr w:type="firstRow">
      <w:rPr>
        <w:rFonts w:ascii="Helvetica" w:hAnsi="Helvetica"/>
        <w:color w:val="f2f2f2"/>
        <w:sz w:val="22"/>
      </w:rPr>
      <w:tcPr>
        <w:shd w:val="clear" w:color="e54c5e" w:fill="e54c5e"/>
      </w:tcPr>
    </w:tblStylePr>
    <w:tblStylePr w:type="lastCol">
      <w:rPr>
        <w:rFonts w:ascii="Helvetica" w:hAnsi="Helvetica"/>
        <w:color w:val="f2f2f2"/>
        <w:sz w:val="22"/>
      </w:rPr>
      <w:tcPr>
        <w:shd w:val="clear" w:color="e54c5e" w:fill="e54c5e"/>
      </w:tcPr>
    </w:tblStylePr>
    <w:tblStylePr w:type="lastRow">
      <w:rPr>
        <w:rFonts w:ascii="Helvetica" w:hAnsi="Helvetica"/>
        <w:color w:val="f2f2f2"/>
        <w:sz w:val="22"/>
      </w:rPr>
      <w:tcPr>
        <w:shd w:val="clear" w:color="e54c5e" w:fill="e54c5e"/>
      </w:tcPr>
    </w:tblStylePr>
  </w:style>
  <w:style w:type="table" w:styleId="1245" w:customStyle="1">
    <w:name w:val="Bordered1"/>
    <w:basedOn w:val="882"/>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Helvetica" w:hAnsi="Helvetica"/>
        <w:color w:val="404040"/>
        <w:sz w:val="22"/>
      </w:rPr>
      <w:tcPr>
        <w:tcBorders>
          <w:top w:val="single" w:color="D9D9D9" w:sz="4" w:space="0"/>
          <w:left w:val="single" w:color="D9D9D9" w:sz="4" w:space="0"/>
          <w:bottom w:val="single" w:color="D9D9D9" w:sz="4" w:space="0"/>
          <w:right w:val="single" w:color="D9D9D9"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7F7F7F"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7F7F7F"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7F7F7F"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46" w:customStyle="1">
    <w:name w:val="Bordered - Accent 11"/>
    <w:basedOn w:val="882"/>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Helvetica" w:hAnsi="Helvetica"/>
        <w:color w:val="404040"/>
        <w:sz w:val="22"/>
      </w:rPr>
      <w:tcPr>
        <w:tcBorders>
          <w:top w:val="single" w:color="B5C6EA" w:sz="4" w:space="0"/>
          <w:left w:val="single" w:color="B5C6EA" w:sz="4" w:space="0"/>
          <w:bottom w:val="single" w:color="B5C6EA" w:sz="4" w:space="0"/>
          <w:right w:val="single" w:color="B5C6EA"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4874CB"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4874CB"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4874C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47" w:customStyle="1">
    <w:name w:val="Bordered - Accent 21"/>
    <w:basedOn w:val="882"/>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Helvetica" w:hAnsi="Helvetica"/>
        <w:color w:val="404040"/>
        <w:sz w:val="22"/>
      </w:rPr>
      <w:tcPr>
        <w:tcBorders>
          <w:top w:val="single" w:color="F8CCAA" w:sz="4" w:space="0"/>
          <w:left w:val="single" w:color="F8CCAA" w:sz="4" w:space="0"/>
          <w:bottom w:val="single" w:color="F8CCAA" w:sz="4" w:space="0"/>
          <w:right w:val="single" w:color="F8CCAA"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F5B483"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F5B483"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F5B483"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48" w:customStyle="1">
    <w:name w:val="Bordered - Accent 31"/>
    <w:basedOn w:val="882"/>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Helvetica" w:hAnsi="Helvetica"/>
        <w:color w:val="404040"/>
        <w:sz w:val="22"/>
      </w:rPr>
      <w:tcPr>
        <w:tcBorders>
          <w:top w:val="single" w:color="FEE594" w:sz="4" w:space="0"/>
          <w:left w:val="single" w:color="FEE594" w:sz="4" w:space="0"/>
          <w:bottom w:val="single" w:color="FEE594" w:sz="4" w:space="0"/>
          <w:right w:val="single" w:color="FEE594"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FDD861"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FDD861"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FDD861"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49" w:customStyle="1">
    <w:name w:val="Bordered - Accent 41"/>
    <w:basedOn w:val="882"/>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Helvetica" w:hAnsi="Helvetica"/>
        <w:color w:val="404040"/>
        <w:sz w:val="22"/>
      </w:rPr>
      <w:tcPr>
        <w:tcBorders>
          <w:top w:val="single" w:color="C7E4B2" w:sz="4" w:space="0"/>
          <w:left w:val="single" w:color="C7E4B2" w:sz="4" w:space="0"/>
          <w:bottom w:val="single" w:color="C7E4B2" w:sz="4" w:space="0"/>
          <w:right w:val="single" w:color="C7E4B2"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ABD78C"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ABD78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50" w:customStyle="1">
    <w:name w:val="Bordered - Accent 51"/>
    <w:basedOn w:val="882"/>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Helvetica" w:hAnsi="Helvetica"/>
        <w:color w:val="404040"/>
        <w:sz w:val="22"/>
      </w:rPr>
      <w:tcPr>
        <w:tcBorders>
          <w:top w:val="single" w:color="A7E9E3" w:sz="4" w:space="0"/>
          <w:left w:val="single" w:color="A7E9E3" w:sz="4" w:space="0"/>
          <w:bottom w:val="single" w:color="A7E9E3" w:sz="4" w:space="0"/>
          <w:right w:val="single" w:color="A7E9E3"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7CDED5"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7CDED5"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7CDE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51" w:customStyle="1">
    <w:name w:val="Bordered - Accent 61"/>
    <w:basedOn w:val="882"/>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Helvetica" w:hAnsi="Helvetica"/>
        <w:color w:val="404040"/>
        <w:sz w:val="22"/>
      </w:rPr>
      <w:tcPr>
        <w:tcBorders>
          <w:top w:val="single" w:color="F4B6BD" w:sz="4" w:space="0"/>
          <w:left w:val="single" w:color="F4B6BD" w:sz="4" w:space="0"/>
          <w:bottom w:val="single" w:color="F4B6BD" w:sz="4" w:space="0"/>
          <w:right w:val="single" w:color="F4B6BD" w:sz="4" w:space="0"/>
          <w:insideH w:val="none" w:color="000000" w:sz="4" w:space="0"/>
          <w:insideV w:val="none" w:color="000000" w:sz="4" w:space="0"/>
        </w:tcBorders>
      </w:tcPr>
    </w:tblStylePr>
    <w:tblStylePr w:type="firstCol">
      <w:rPr>
        <w:rFonts w:ascii="Helvetica" w:hAnsi="Helvetica"/>
        <w:color w:val="404040"/>
        <w:sz w:val="22"/>
      </w:rPr>
    </w:tblStylePr>
    <w:tblStylePr w:type="firstRow">
      <w:rPr>
        <w:rFonts w:ascii="Helvetica" w:hAnsi="Helvetica"/>
        <w:color w:val="404040"/>
        <w:sz w:val="22"/>
      </w:rPr>
      <w:tcPr>
        <w:tcBorders>
          <w:top w:val="none" w:color="000000" w:sz="4" w:space="0"/>
          <w:left w:val="none" w:color="000000" w:sz="4" w:space="0"/>
          <w:bottom w:val="single" w:color="EF949E" w:sz="12" w:space="0"/>
          <w:right w:val="none" w:color="000000" w:sz="4" w:space="0"/>
          <w:insideH w:val="none" w:color="000000" w:sz="4" w:space="0"/>
          <w:insideV w:val="none" w:color="000000" w:sz="4" w:space="0"/>
        </w:tcBorders>
      </w:tcPr>
    </w:tblStylePr>
    <w:tblStylePr w:type="lastCol">
      <w:rPr>
        <w:rFonts w:ascii="Helvetica" w:hAnsi="Helvetica"/>
        <w:color w:val="404040"/>
        <w:sz w:val="22"/>
      </w:rPr>
      <w:tcPr>
        <w:tcBorders>
          <w:top w:val="none" w:color="000000" w:sz="4" w:space="0"/>
          <w:left w:val="single" w:color="EF949E" w:sz="12" w:space="0"/>
          <w:bottom w:val="none" w:color="000000" w:sz="4" w:space="0"/>
          <w:right w:val="none" w:color="000000" w:sz="4" w:space="0"/>
          <w:insideH w:val="none" w:color="000000" w:sz="4" w:space="0"/>
          <w:insideV w:val="none" w:color="000000" w:sz="4" w:space="0"/>
        </w:tcBorders>
      </w:tcPr>
    </w:tblStylePr>
    <w:tblStylePr w:type="lastRow">
      <w:rPr>
        <w:rFonts w:ascii="Helvetica" w:hAnsi="Helvetica"/>
        <w:color w:val="404040"/>
        <w:sz w:val="22"/>
      </w:rPr>
      <w:tcPr>
        <w:tcBorders>
          <w:top w:val="single" w:color="EF949E"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252" w:customStyle="1">
    <w:name w:val="TOC 标题11"/>
    <w:uiPriority w:val="39"/>
    <w:unhideWhenUsed/>
    <w:qFormat/>
  </w:style>
  <w:style w:type="paragraph" w:styleId="1253" w:customStyle="1">
    <w:name w:val="正文（文本）"/>
    <w:qFormat/>
    <w:pPr>
      <w:jc w:val="center"/>
      <w:spacing w:line="360" w:lineRule="auto"/>
      <w:widowControl w:val="off"/>
    </w:pPr>
    <w:rPr>
      <w:rFonts w:hAnsi="宋体"/>
      <w:sz w:val="28"/>
      <w:szCs w:val="28"/>
    </w:rPr>
  </w:style>
  <w:style w:type="paragraph" w:styleId="1254" w:customStyle="1">
    <w:name w:val="Z二级标"/>
    <w:next w:val="871"/>
    <w:qFormat/>
    <w:pPr>
      <w:spacing w:before="100" w:after="100" w:line="500" w:lineRule="exact"/>
      <w:outlineLvl w:val="1"/>
    </w:pPr>
    <w:rPr>
      <w:rFonts w:ascii="微软雅黑" w:hAnsi="微软雅黑" w:eastAsia="微软雅黑"/>
      <w:sz w:val="32"/>
      <w:szCs w:val="22"/>
    </w:rPr>
  </w:style>
  <w:style w:type="paragraph" w:styleId="1255" w:customStyle="1">
    <w:name w:val="标题 31"/>
    <w:basedOn w:val="871"/>
    <w:next w:val="871"/>
    <w:qFormat/>
    <w:pPr>
      <w:keepLines/>
      <w:keepNext/>
      <w:spacing w:before="260" w:after="260" w:line="416" w:lineRule="auto"/>
      <w:outlineLvl w:val="2"/>
    </w:pPr>
    <w:rPr>
      <w:b/>
      <w:bCs/>
      <w:sz w:val="32"/>
      <w:szCs w:val="32"/>
    </w:rPr>
  </w:style>
  <w:style w:type="paragraph" w:styleId="1256" w:customStyle="1">
    <w:name w:val="批注文字1"/>
    <w:basedOn w:val="871"/>
    <w:unhideWhenUsed/>
    <w:qFormat/>
    <w:pPr>
      <w:jc w:val="left"/>
    </w:pPr>
    <w:rPr>
      <w:rFonts w:ascii="Calibri" w:hAnsi="Calibri"/>
    </w:rPr>
  </w:style>
  <w:style w:type="character" w:styleId="1257" w:customStyle="1">
    <w:name w:val="批注引用1"/>
    <w:semiHidden/>
    <w:qFormat/>
    <w:rPr>
      <w:rFonts w:ascii="Calibri" w:hAnsi="Calibri" w:eastAsia="宋体" w:cs="Times New Roman"/>
      <w:sz w:val="21"/>
      <w:szCs w:val="22"/>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png"/><Relationship Id="rId16" Type="http://schemas.openxmlformats.org/officeDocument/2006/relationships/image" Target="media/image3.jp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张文怡</cp:lastModifiedBy>
  <cp:revision>25</cp:revision>
  <dcterms:created xsi:type="dcterms:W3CDTF">2026-08-21T03:06:00Z</dcterms:created>
  <dcterms:modified xsi:type="dcterms:W3CDTF">2026-08-27T07:31:14Z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eyJoZGlkIjoiZTY1NDY3Mzk3ZGY2NzkzM2ZjMjM3ODBiOGNiMTY1MjkiLCJ1c2VySWQiOiIxNjk2ODkxNDg0In0=</vt:lpwstr>
  </property>
  <property fmtid="{D5CDD505-2E9C-101B-9397-08002B2CF9AE}" pid="3" name="KSOProductBuildVer">
    <vt:lpwstr>2052-12.1.0.28043</vt:lpwstr>
  </property>
  <property fmtid="{D5CDD505-2E9C-101B-9397-08002B2CF9AE}" pid="4" name="ICV">
    <vt:lpwstr>AFA9BC90570B402F8C8D2A1C5BCE72D1_13</vt:lpwstr>
  </property>
</Properties>
</file>