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6587D">
      <w:pPr>
        <w:widowControl/>
        <w:spacing w:line="336" w:lineRule="auto"/>
        <w:jc w:val="center"/>
        <w:rPr>
          <w:rFonts w:hint="eastAsia" w:ascii="Times New Roman" w:hAnsi="Times New Roman" w:eastAsia="宋体" w:cs="Times New Roman"/>
          <w:color w:val="auto"/>
          <w:sz w:val="36"/>
          <w:szCs w:val="36"/>
          <w:highlight w:val="none"/>
          <w:lang w:val="en-US" w:eastAsia="zh-CN"/>
        </w:rPr>
      </w:pPr>
    </w:p>
    <w:p w14:paraId="1F5C0EB4">
      <w:pPr>
        <w:widowControl/>
        <w:spacing w:line="336" w:lineRule="auto"/>
        <w:jc w:val="center"/>
        <w:rPr>
          <w:rFonts w:hint="eastAsia" w:ascii="Times New Roman" w:hAnsi="Times New Roman" w:eastAsia="宋体" w:cs="Times New Roman"/>
          <w:color w:val="auto"/>
          <w:sz w:val="36"/>
          <w:szCs w:val="36"/>
          <w:highlight w:val="none"/>
          <w:lang w:val="en-US" w:eastAsia="zh-CN"/>
        </w:rPr>
      </w:pPr>
    </w:p>
    <w:p w14:paraId="3BEA636B">
      <w:pPr>
        <w:widowControl/>
        <w:spacing w:line="336" w:lineRule="auto"/>
        <w:jc w:val="center"/>
        <w:rPr>
          <w:rFonts w:hint="eastAsia" w:ascii="Times New Roman" w:hAnsi="Times New Roman" w:eastAsia="宋体" w:cs="Times New Roman"/>
          <w:color w:val="auto"/>
          <w:sz w:val="36"/>
          <w:szCs w:val="36"/>
          <w:highlight w:val="none"/>
          <w:lang w:val="en-US" w:eastAsia="zh-CN"/>
        </w:rPr>
      </w:pPr>
    </w:p>
    <w:p w14:paraId="1242CC9C">
      <w:pPr>
        <w:widowControl/>
        <w:spacing w:line="336" w:lineRule="auto"/>
        <w:jc w:val="center"/>
        <w:rPr>
          <w:rFonts w:hint="eastAsia" w:ascii="Times New Roman" w:hAnsi="Times New Roman" w:eastAsia="宋体" w:cs="Times New Roman"/>
          <w:color w:val="auto"/>
          <w:sz w:val="36"/>
          <w:szCs w:val="36"/>
          <w:highlight w:val="none"/>
          <w:lang w:val="en-US" w:eastAsia="zh-CN"/>
        </w:rPr>
      </w:pPr>
    </w:p>
    <w:p w14:paraId="1433754E">
      <w:pPr>
        <w:widowControl/>
        <w:spacing w:line="336" w:lineRule="auto"/>
        <w:jc w:val="center"/>
        <w:rPr>
          <w:rFonts w:hint="eastAsia" w:ascii="Times New Roman" w:hAnsi="Times New Roman" w:eastAsia="宋体" w:cs="Times New Roman"/>
          <w:color w:val="auto"/>
          <w:sz w:val="44"/>
          <w:szCs w:val="44"/>
          <w:highlight w:val="none"/>
          <w:lang w:val="en-US" w:eastAsia="zh-CN"/>
        </w:rPr>
      </w:pPr>
      <w:r>
        <w:rPr>
          <w:rFonts w:hint="eastAsia" w:ascii="Times New Roman" w:hAnsi="Times New Roman" w:eastAsia="宋体" w:cs="Times New Roman"/>
          <w:color w:val="auto"/>
          <w:sz w:val="44"/>
          <w:szCs w:val="44"/>
          <w:highlight w:val="none"/>
          <w:lang w:val="en-US" w:eastAsia="zh-CN"/>
        </w:rPr>
        <w:t>江苏省政府采购合同</w:t>
      </w:r>
    </w:p>
    <w:p w14:paraId="2964A620">
      <w:pPr>
        <w:widowControl/>
        <w:spacing w:line="336" w:lineRule="auto"/>
        <w:ind w:firstLine="720" w:firstLineChars="200"/>
        <w:rPr>
          <w:rFonts w:hint="eastAsia" w:ascii="Times New Roman" w:hAnsi="Times New Roman" w:eastAsia="宋体" w:cs="Times New Roman"/>
          <w:color w:val="auto"/>
          <w:sz w:val="36"/>
          <w:szCs w:val="36"/>
          <w:highlight w:val="none"/>
          <w:lang w:val="en-US" w:eastAsia="zh-CN"/>
        </w:rPr>
      </w:pPr>
    </w:p>
    <w:p w14:paraId="379D5519">
      <w:pPr>
        <w:widowControl/>
        <w:spacing w:line="336" w:lineRule="auto"/>
        <w:ind w:firstLine="720" w:firstLineChars="200"/>
        <w:rPr>
          <w:rFonts w:hint="eastAsia" w:ascii="Times New Roman" w:hAnsi="Times New Roman" w:eastAsia="宋体" w:cs="Times New Roman"/>
          <w:color w:val="auto"/>
          <w:sz w:val="36"/>
          <w:szCs w:val="36"/>
          <w:highlight w:val="none"/>
          <w:lang w:val="en-US" w:eastAsia="zh-CN"/>
        </w:rPr>
      </w:pPr>
    </w:p>
    <w:p w14:paraId="1BDE676C">
      <w:pPr>
        <w:widowControl/>
        <w:spacing w:line="336" w:lineRule="auto"/>
        <w:ind w:firstLine="720" w:firstLineChars="200"/>
        <w:rPr>
          <w:rFonts w:hint="eastAsia" w:ascii="Times New Roman" w:hAnsi="Times New Roman" w:eastAsia="宋体" w:cs="Times New Roman"/>
          <w:color w:val="auto"/>
          <w:sz w:val="36"/>
          <w:szCs w:val="36"/>
          <w:highlight w:val="none"/>
          <w:lang w:val="en-US" w:eastAsia="zh-CN"/>
        </w:rPr>
      </w:pPr>
    </w:p>
    <w:p w14:paraId="710AC205">
      <w:pPr>
        <w:keepNext w:val="0"/>
        <w:keepLines w:val="0"/>
        <w:pageBreakBefore w:val="0"/>
        <w:widowControl/>
        <w:kinsoku/>
        <w:wordWrap/>
        <w:overflowPunct/>
        <w:topLinePunct w:val="0"/>
        <w:autoSpaceDE/>
        <w:autoSpaceDN/>
        <w:bidi w:val="0"/>
        <w:adjustRightInd/>
        <w:snapToGrid/>
        <w:spacing w:line="720" w:lineRule="auto"/>
        <w:ind w:left="1600" w:hanging="1600" w:hangingChars="500"/>
        <w:jc w:val="left"/>
        <w:textAlignment w:val="auto"/>
        <w:rPr>
          <w:rFonts w:hint="default" w:ascii="Times New Roman" w:hAnsi="Times New Roman" w:eastAsia="宋体" w:cs="Times New Roman"/>
          <w:color w:val="auto"/>
          <w:sz w:val="32"/>
          <w:szCs w:val="32"/>
          <w:highlight w:val="none"/>
          <w:lang w:val="en-US" w:eastAsia="zh-CN"/>
        </w:rPr>
      </w:pPr>
      <w:r>
        <w:rPr>
          <w:rFonts w:hint="eastAsia" w:ascii="Times New Roman" w:hAnsi="Times New Roman" w:eastAsia="宋体" w:cs="Times New Roman"/>
          <w:color w:val="auto"/>
          <w:sz w:val="32"/>
          <w:szCs w:val="32"/>
          <w:highlight w:val="none"/>
          <w:lang w:val="en-US" w:eastAsia="zh-CN"/>
        </w:rPr>
        <w:t>项目名称：</w:t>
      </w:r>
      <w:r>
        <w:rPr>
          <w:rFonts w:hint="eastAsia" w:ascii="Times New Roman" w:hAnsi="Times New Roman" w:eastAsia="宋体" w:cs="Times New Roman"/>
          <w:color w:val="auto"/>
          <w:sz w:val="32"/>
          <w:szCs w:val="32"/>
          <w:highlight w:val="none"/>
          <w:u w:val="single"/>
          <w:lang w:val="en-US" w:eastAsia="zh-CN"/>
        </w:rPr>
        <w:t xml:space="preserve">2026年度功模代表休养活动  </w:t>
      </w:r>
    </w:p>
    <w:p w14:paraId="0C326B2A">
      <w:pPr>
        <w:keepNext w:val="0"/>
        <w:keepLines w:val="0"/>
        <w:pageBreakBefore w:val="0"/>
        <w:widowControl/>
        <w:kinsoku/>
        <w:wordWrap/>
        <w:overflowPunct/>
        <w:topLinePunct w:val="0"/>
        <w:autoSpaceDE/>
        <w:autoSpaceDN/>
        <w:bidi w:val="0"/>
        <w:adjustRightInd/>
        <w:snapToGrid/>
        <w:spacing w:line="720" w:lineRule="auto"/>
        <w:ind w:left="1600" w:hanging="1600" w:hangingChars="500"/>
        <w:jc w:val="left"/>
        <w:textAlignment w:val="auto"/>
        <w:rPr>
          <w:rFonts w:hint="default" w:ascii="Times New Roman" w:hAnsi="Times New Roman" w:eastAsia="宋体" w:cs="Times New Roman"/>
          <w:color w:val="auto"/>
          <w:sz w:val="32"/>
          <w:szCs w:val="32"/>
          <w:highlight w:val="none"/>
          <w:lang w:val="en-US" w:eastAsia="zh-CN"/>
        </w:rPr>
      </w:pPr>
      <w:r>
        <w:rPr>
          <w:rFonts w:hint="eastAsia" w:ascii="Times New Roman" w:hAnsi="Times New Roman" w:eastAsia="宋体" w:cs="Times New Roman"/>
          <w:color w:val="auto"/>
          <w:sz w:val="32"/>
          <w:szCs w:val="32"/>
          <w:highlight w:val="none"/>
          <w:lang w:val="en-US" w:eastAsia="zh-CN"/>
        </w:rPr>
        <w:t>采购人：</w:t>
      </w:r>
      <w:r>
        <w:rPr>
          <w:rFonts w:hint="eastAsia" w:ascii="Times New Roman" w:hAnsi="Times New Roman" w:eastAsia="宋体" w:cs="Times New Roman"/>
          <w:color w:val="auto"/>
          <w:sz w:val="32"/>
          <w:szCs w:val="32"/>
          <w:highlight w:val="none"/>
          <w:u w:val="single"/>
          <w:lang w:val="en-US" w:eastAsia="zh-CN"/>
        </w:rPr>
        <w:t xml:space="preserve">江苏省公安厅  </w:t>
      </w:r>
    </w:p>
    <w:p w14:paraId="2D284F64">
      <w:pPr>
        <w:keepNext w:val="0"/>
        <w:keepLines w:val="0"/>
        <w:pageBreakBefore w:val="0"/>
        <w:widowControl/>
        <w:kinsoku/>
        <w:wordWrap/>
        <w:overflowPunct/>
        <w:topLinePunct w:val="0"/>
        <w:autoSpaceDE/>
        <w:autoSpaceDN/>
        <w:bidi w:val="0"/>
        <w:adjustRightInd/>
        <w:snapToGrid/>
        <w:spacing w:line="720" w:lineRule="auto"/>
        <w:ind w:left="1600" w:hanging="1600" w:hangingChars="500"/>
        <w:jc w:val="left"/>
        <w:textAlignment w:val="auto"/>
        <w:rPr>
          <w:rFonts w:hint="default" w:ascii="Times New Roman" w:hAnsi="Times New Roman" w:eastAsia="宋体" w:cs="Times New Roman"/>
          <w:color w:val="auto"/>
          <w:sz w:val="32"/>
          <w:szCs w:val="32"/>
          <w:highlight w:val="none"/>
          <w:lang w:val="en-US" w:eastAsia="zh-CN"/>
        </w:rPr>
      </w:pPr>
      <w:r>
        <w:rPr>
          <w:rFonts w:hint="eastAsia" w:ascii="Times New Roman" w:hAnsi="Times New Roman" w:eastAsia="宋体" w:cs="Times New Roman"/>
          <w:color w:val="auto"/>
          <w:sz w:val="32"/>
          <w:szCs w:val="32"/>
          <w:highlight w:val="none"/>
          <w:lang w:val="en-US" w:eastAsia="zh-CN"/>
        </w:rPr>
        <w:t>供应商：</w:t>
      </w:r>
      <w:r>
        <w:rPr>
          <w:rFonts w:hint="eastAsia" w:ascii="Times New Roman" w:hAnsi="Times New Roman" w:eastAsia="宋体" w:cs="Times New Roman"/>
          <w:color w:val="auto"/>
          <w:sz w:val="32"/>
          <w:szCs w:val="32"/>
          <w:highlight w:val="none"/>
          <w:u w:val="single"/>
          <w:lang w:val="en-US" w:eastAsia="zh-CN"/>
        </w:rPr>
        <w:t xml:space="preserve">中国国旅（江苏）国际旅行社有限公司 </w:t>
      </w:r>
      <w:r>
        <w:rPr>
          <w:rFonts w:hint="eastAsia" w:ascii="Times New Roman" w:hAnsi="Times New Roman" w:eastAsia="宋体" w:cs="Times New Roman"/>
          <w:color w:val="auto"/>
          <w:sz w:val="32"/>
          <w:szCs w:val="32"/>
          <w:highlight w:val="none"/>
          <w:lang w:val="en-US" w:eastAsia="zh-CN"/>
        </w:rPr>
        <w:t xml:space="preserve"> </w:t>
      </w:r>
    </w:p>
    <w:p w14:paraId="2B3E06A5">
      <w:pPr>
        <w:keepNext w:val="0"/>
        <w:keepLines w:val="0"/>
        <w:pageBreakBefore w:val="0"/>
        <w:widowControl/>
        <w:kinsoku/>
        <w:wordWrap/>
        <w:overflowPunct/>
        <w:topLinePunct w:val="0"/>
        <w:autoSpaceDE/>
        <w:autoSpaceDN/>
        <w:bidi w:val="0"/>
        <w:adjustRightInd/>
        <w:snapToGrid/>
        <w:spacing w:line="720" w:lineRule="auto"/>
        <w:ind w:left="1600" w:hanging="1600" w:hangingChars="500"/>
        <w:jc w:val="left"/>
        <w:textAlignment w:val="auto"/>
        <w:rPr>
          <w:rFonts w:hint="default" w:ascii="Times New Roman" w:hAnsi="Times New Roman" w:eastAsia="宋体" w:cs="Times New Roman"/>
          <w:color w:val="auto"/>
          <w:sz w:val="32"/>
          <w:szCs w:val="32"/>
          <w:highlight w:val="none"/>
          <w:lang w:val="en-US" w:eastAsia="zh-CN"/>
        </w:rPr>
      </w:pPr>
      <w:r>
        <w:rPr>
          <w:rFonts w:hint="eastAsia" w:ascii="Times New Roman" w:hAnsi="Times New Roman" w:eastAsia="宋体" w:cs="Times New Roman"/>
          <w:color w:val="auto"/>
          <w:sz w:val="32"/>
          <w:szCs w:val="32"/>
          <w:highlight w:val="none"/>
          <w:lang w:val="en-US" w:eastAsia="zh-CN"/>
        </w:rPr>
        <w:t>签订日期：</w:t>
      </w:r>
      <w:r>
        <w:rPr>
          <w:rFonts w:hint="eastAsia" w:ascii="Times New Roman" w:hAnsi="Times New Roman" w:eastAsia="宋体" w:cs="Times New Roman"/>
          <w:color w:val="auto"/>
          <w:sz w:val="32"/>
          <w:szCs w:val="32"/>
          <w:highlight w:val="none"/>
          <w:u w:val="single"/>
          <w:lang w:val="en-US" w:eastAsia="zh-CN"/>
        </w:rPr>
        <w:t xml:space="preserve">2026年08月12日  </w:t>
      </w:r>
    </w:p>
    <w:p w14:paraId="2E4864C9">
      <w:pPr>
        <w:widowControl/>
        <w:spacing w:line="336" w:lineRule="auto"/>
        <w:ind w:firstLine="480" w:firstLineChars="200"/>
        <w:rPr>
          <w:rFonts w:hint="eastAsia" w:ascii="Times New Roman" w:hAnsi="Times New Roman" w:eastAsia="宋体" w:cs="Times New Roman"/>
          <w:color w:val="auto"/>
          <w:sz w:val="24"/>
          <w:szCs w:val="24"/>
          <w:highlight w:val="none"/>
          <w:lang w:eastAsia="zh-CN"/>
        </w:rPr>
      </w:pPr>
    </w:p>
    <w:p w14:paraId="641B9877">
      <w:pPr>
        <w:widowControl/>
        <w:spacing w:line="336" w:lineRule="auto"/>
        <w:ind w:firstLine="480"/>
        <w:rPr>
          <w:rFonts w:hint="eastAsia" w:ascii="Times New Roman" w:hAnsi="Times New Roman" w:eastAsia="宋体" w:cs="Times New Roman"/>
          <w:color w:val="auto"/>
          <w:sz w:val="21"/>
          <w:szCs w:val="21"/>
          <w:highlight w:val="none"/>
          <w:lang w:eastAsia="zh-CN"/>
        </w:rPr>
      </w:pPr>
      <w:bookmarkStart w:id="25" w:name="_GoBack"/>
      <w:bookmarkEnd w:id="25"/>
    </w:p>
    <w:p w14:paraId="09C8CAC9">
      <w:pPr>
        <w:widowControl/>
        <w:spacing w:line="336" w:lineRule="auto"/>
        <w:ind w:firstLine="480"/>
        <w:rPr>
          <w:rFonts w:hint="eastAsia" w:ascii="Times New Roman" w:hAnsi="Times New Roman" w:eastAsia="宋体" w:cs="Times New Roman"/>
          <w:color w:val="auto"/>
          <w:sz w:val="21"/>
          <w:szCs w:val="21"/>
          <w:highlight w:val="none"/>
          <w:lang w:eastAsia="zh-CN"/>
        </w:rPr>
      </w:pPr>
    </w:p>
    <w:p w14:paraId="1FDFEE15">
      <w:pPr>
        <w:widowControl/>
        <w:spacing w:line="336" w:lineRule="auto"/>
        <w:ind w:firstLine="480"/>
        <w:rPr>
          <w:rFonts w:hint="eastAsia" w:ascii="Times New Roman" w:hAnsi="Times New Roman" w:eastAsia="宋体" w:cs="Times New Roman"/>
          <w:color w:val="auto"/>
          <w:sz w:val="21"/>
          <w:szCs w:val="21"/>
          <w:highlight w:val="none"/>
          <w:lang w:eastAsia="zh-CN"/>
        </w:rPr>
      </w:pPr>
    </w:p>
    <w:p w14:paraId="23B76192">
      <w:pPr>
        <w:widowControl/>
        <w:spacing w:line="336" w:lineRule="auto"/>
        <w:ind w:firstLine="480"/>
        <w:rPr>
          <w:rFonts w:hint="eastAsia" w:ascii="Times New Roman" w:hAnsi="Times New Roman" w:eastAsia="宋体" w:cs="Times New Roman"/>
          <w:color w:val="auto"/>
          <w:sz w:val="21"/>
          <w:szCs w:val="21"/>
          <w:highlight w:val="none"/>
          <w:lang w:eastAsia="zh-CN"/>
        </w:rPr>
      </w:pPr>
    </w:p>
    <w:p w14:paraId="33FA3CD2">
      <w:pPr>
        <w:widowControl/>
        <w:spacing w:line="336" w:lineRule="auto"/>
        <w:ind w:firstLine="480"/>
        <w:rPr>
          <w:rFonts w:hint="eastAsia" w:ascii="Times New Roman" w:hAnsi="Times New Roman" w:eastAsia="宋体" w:cs="Times New Roman"/>
          <w:color w:val="auto"/>
          <w:sz w:val="21"/>
          <w:szCs w:val="21"/>
          <w:highlight w:val="none"/>
          <w:lang w:eastAsia="zh-CN"/>
        </w:rPr>
      </w:pPr>
    </w:p>
    <w:p w14:paraId="343868FC">
      <w:pPr>
        <w:widowControl/>
        <w:spacing w:line="336" w:lineRule="auto"/>
        <w:ind w:firstLine="480"/>
        <w:rPr>
          <w:rFonts w:hint="eastAsia" w:ascii="Times New Roman" w:hAnsi="Times New Roman" w:eastAsia="宋体" w:cs="Times New Roman"/>
          <w:color w:val="auto"/>
          <w:sz w:val="21"/>
          <w:szCs w:val="21"/>
          <w:highlight w:val="none"/>
          <w:lang w:eastAsia="zh-CN"/>
        </w:rPr>
      </w:pPr>
    </w:p>
    <w:p w14:paraId="42E103A8">
      <w:pPr>
        <w:widowControl/>
        <w:spacing w:line="336" w:lineRule="auto"/>
        <w:ind w:firstLine="480"/>
        <w:rPr>
          <w:rFonts w:hint="eastAsia" w:ascii="Times New Roman" w:hAnsi="Times New Roman" w:eastAsia="宋体" w:cs="Times New Roman"/>
          <w:color w:val="auto"/>
          <w:sz w:val="21"/>
          <w:szCs w:val="21"/>
          <w:highlight w:val="none"/>
          <w:lang w:eastAsia="zh-CN"/>
        </w:rPr>
      </w:pPr>
    </w:p>
    <w:p w14:paraId="35F51BE6">
      <w:pPr>
        <w:widowControl/>
        <w:spacing w:line="336" w:lineRule="auto"/>
        <w:ind w:firstLine="480"/>
        <w:rPr>
          <w:rFonts w:hint="eastAsia" w:ascii="Times New Roman" w:hAnsi="Times New Roman" w:eastAsia="宋体" w:cs="Times New Roman"/>
          <w:color w:val="auto"/>
          <w:sz w:val="21"/>
          <w:szCs w:val="21"/>
          <w:highlight w:val="none"/>
          <w:lang w:eastAsia="zh-CN"/>
        </w:rPr>
      </w:pPr>
    </w:p>
    <w:p w14:paraId="50805B0B">
      <w:pPr>
        <w:widowControl/>
        <w:spacing w:line="336" w:lineRule="auto"/>
        <w:ind w:firstLine="480"/>
        <w:rPr>
          <w:rFonts w:hint="eastAsia" w:ascii="Times New Roman" w:hAnsi="Times New Roman" w:eastAsia="宋体" w:cs="Times New Roman"/>
          <w:color w:val="auto"/>
          <w:sz w:val="21"/>
          <w:szCs w:val="21"/>
          <w:highlight w:val="none"/>
          <w:lang w:eastAsia="zh-CN"/>
        </w:rPr>
      </w:pPr>
    </w:p>
    <w:p w14:paraId="2AD85A92">
      <w:pPr>
        <w:widowControl/>
        <w:spacing w:line="336" w:lineRule="auto"/>
        <w:ind w:firstLine="480"/>
        <w:rPr>
          <w:rFonts w:hint="eastAsia" w:ascii="Times New Roman" w:hAnsi="Times New Roman" w:eastAsia="宋体" w:cs="Times New Roman"/>
          <w:color w:val="auto"/>
          <w:sz w:val="21"/>
          <w:szCs w:val="21"/>
          <w:highlight w:val="none"/>
          <w:lang w:eastAsia="zh-CN"/>
        </w:rPr>
      </w:pPr>
    </w:p>
    <w:p w14:paraId="39A7E369">
      <w:pPr>
        <w:widowControl/>
        <w:spacing w:line="336" w:lineRule="auto"/>
        <w:rPr>
          <w:rFonts w:hint="eastAsia" w:ascii="Times New Roman" w:hAnsi="Times New Roman" w:eastAsia="宋体" w:cs="Times New Roman"/>
          <w:color w:val="auto"/>
          <w:sz w:val="21"/>
          <w:szCs w:val="21"/>
          <w:highlight w:val="none"/>
          <w:lang w:eastAsia="zh-CN"/>
        </w:rPr>
      </w:pPr>
    </w:p>
    <w:p w14:paraId="0485B273">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项目名称：</w:t>
      </w:r>
      <w:r>
        <w:rPr>
          <w:rFonts w:hint="eastAsia" w:ascii="宋体" w:hAnsi="宋体" w:eastAsia="宋体" w:cs="宋体"/>
          <w:b/>
          <w:bCs/>
          <w:color w:val="auto"/>
          <w:sz w:val="24"/>
          <w:szCs w:val="24"/>
          <w:highlight w:val="none"/>
          <w:lang w:eastAsia="zh-CN"/>
        </w:rPr>
        <w:t xml:space="preserve">2026年度功模代表休养活动  </w:t>
      </w:r>
      <w:r>
        <w:rPr>
          <w:rFonts w:hint="eastAsia" w:ascii="宋体" w:hAnsi="宋体" w:eastAsia="宋体" w:cs="宋体"/>
          <w:color w:val="auto"/>
          <w:sz w:val="24"/>
          <w:szCs w:val="24"/>
          <w:highlight w:val="none"/>
          <w:lang w:eastAsia="zh-CN"/>
        </w:rPr>
        <w:t xml:space="preserve">                  </w:t>
      </w:r>
    </w:p>
    <w:p w14:paraId="2CFBFFBB">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项目编号：</w:t>
      </w:r>
      <w:r>
        <w:rPr>
          <w:rFonts w:hint="eastAsia" w:ascii="宋体" w:hAnsi="宋体" w:eastAsia="宋体" w:cs="宋体"/>
          <w:b/>
          <w:bCs/>
          <w:color w:val="auto"/>
          <w:sz w:val="24"/>
          <w:szCs w:val="24"/>
          <w:highlight w:val="none"/>
          <w:lang w:eastAsia="zh-CN"/>
        </w:rPr>
        <w:t xml:space="preserve">JSZC-320000-JYCS-G2026-0005  </w:t>
      </w:r>
    </w:p>
    <w:p w14:paraId="075BBE7E">
      <w:pPr>
        <w:widowControl/>
        <w:spacing w:line="336" w:lineRule="auto"/>
        <w:ind w:firstLine="480"/>
        <w:rPr>
          <w:rFonts w:hint="eastAsia" w:ascii="宋体" w:hAnsi="宋体" w:eastAsia="宋体" w:cs="宋体"/>
          <w:color w:val="auto"/>
          <w:sz w:val="24"/>
          <w:szCs w:val="24"/>
          <w:highlight w:val="none"/>
          <w:lang w:eastAsia="zh-CN"/>
        </w:rPr>
      </w:pPr>
      <w:bookmarkStart w:id="0" w:name="tip_risk_bookmark_1"/>
      <w:r>
        <w:rPr>
          <w:rFonts w:hint="eastAsia" w:ascii="宋体" w:hAnsi="宋体" w:eastAsia="宋体" w:cs="宋体"/>
          <w:color w:val="auto"/>
          <w:sz w:val="24"/>
          <w:szCs w:val="24"/>
          <w:highlight w:val="none"/>
          <w:lang w:eastAsia="zh-CN"/>
        </w:rPr>
        <w:t>合同编号：</w:t>
      </w:r>
      <w:bookmarkEnd w:id="0"/>
      <w:r>
        <w:rPr>
          <w:rFonts w:hint="eastAsia" w:ascii="宋体" w:hAnsi="宋体" w:eastAsia="宋体" w:cs="宋体"/>
          <w:color w:val="auto"/>
          <w:sz w:val="24"/>
          <w:szCs w:val="24"/>
          <w:highlight w:val="none"/>
          <w:lang w:eastAsia="zh-CN"/>
        </w:rPr>
        <w:t xml:space="preserve">         </w:t>
      </w:r>
    </w:p>
    <w:p w14:paraId="05278973">
      <w:pPr>
        <w:widowControl/>
        <w:spacing w:line="336" w:lineRule="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甲方：（买方/采购人）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lang w:val="en-US" w:eastAsia="zh-CN"/>
        </w:rPr>
        <w:t xml:space="preserve">江苏省公安厅 </w:t>
      </w:r>
      <w:r>
        <w:rPr>
          <w:rFonts w:hint="eastAsia" w:ascii="宋体" w:hAnsi="宋体" w:eastAsia="宋体" w:cs="宋体"/>
          <w:color w:val="auto"/>
          <w:sz w:val="24"/>
          <w:szCs w:val="24"/>
          <w:highlight w:val="none"/>
          <w:u w:val="single"/>
          <w:lang w:val="en-US" w:eastAsia="zh-CN"/>
        </w:rPr>
        <w:t xml:space="preserve"> </w:t>
      </w:r>
    </w:p>
    <w:p w14:paraId="769AD4AE">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乙方：（卖方/中标供应商）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lang w:val="en-US" w:eastAsia="zh-CN"/>
        </w:rPr>
        <w:t>中国国旅（江苏）国际旅行社有限公司</w:t>
      </w:r>
    </w:p>
    <w:p w14:paraId="3C316C53">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lang w:eastAsia="zh-CN"/>
        </w:rPr>
        <w:t>乙双方根据</w:t>
      </w:r>
      <w:r>
        <w:rPr>
          <w:rFonts w:hint="eastAsia" w:ascii="宋体" w:hAnsi="宋体" w:eastAsia="宋体" w:cs="宋体"/>
          <w:color w:val="auto"/>
          <w:sz w:val="24"/>
          <w:szCs w:val="24"/>
          <w:highlight w:val="none"/>
          <w:lang w:val="en-US" w:eastAsia="zh-CN"/>
        </w:rPr>
        <w:t>江苏金永诚建设投资管理咨询有限公司</w:t>
      </w:r>
      <w:r>
        <w:rPr>
          <w:rFonts w:hint="eastAsia" w:ascii="宋体" w:hAnsi="宋体" w:eastAsia="宋体" w:cs="宋体"/>
          <w:color w:val="auto"/>
          <w:sz w:val="24"/>
          <w:szCs w:val="24"/>
          <w:highlight w:val="none"/>
          <w:lang w:eastAsia="zh-CN"/>
        </w:rPr>
        <w:t>（招标代理机构）</w:t>
      </w:r>
      <w:r>
        <w:rPr>
          <w:rFonts w:hint="eastAsia" w:ascii="宋体" w:hAnsi="宋体" w:eastAsia="宋体" w:cs="宋体"/>
          <w:b/>
          <w:bCs/>
          <w:color w:val="auto"/>
          <w:sz w:val="24"/>
          <w:szCs w:val="24"/>
          <w:highlight w:val="none"/>
          <w:u w:val="single"/>
          <w:lang w:eastAsia="zh-CN"/>
        </w:rPr>
        <w:t>2026年度功模代表休养活动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项目公开招标的结果，签署本合同。</w:t>
      </w:r>
    </w:p>
    <w:p w14:paraId="51865A5B">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一、合同内容</w:t>
      </w:r>
    </w:p>
    <w:p w14:paraId="3BB04C2F">
      <w:pPr>
        <w:widowControl/>
        <w:spacing w:line="336" w:lineRule="auto"/>
        <w:ind w:firstLine="480"/>
        <w:rPr>
          <w:rFonts w:hint="eastAsia" w:ascii="宋体" w:hAnsi="宋体" w:eastAsia="宋体" w:cs="宋体"/>
          <w:color w:val="auto"/>
          <w:sz w:val="24"/>
          <w:szCs w:val="24"/>
          <w:highlight w:val="none"/>
          <w:lang w:eastAsia="zh-CN"/>
        </w:rPr>
      </w:pPr>
      <w:bookmarkStart w:id="1" w:name="auto_fouce_2"/>
      <w:r>
        <w:rPr>
          <w:rFonts w:hint="eastAsia" w:ascii="宋体" w:hAnsi="宋体" w:eastAsia="宋体" w:cs="宋体"/>
          <w:color w:val="auto"/>
          <w:sz w:val="24"/>
          <w:szCs w:val="24"/>
          <w:highlight w:val="none"/>
          <w:lang w:eastAsia="zh-CN"/>
        </w:rPr>
        <w:t>1.1 标的名称：2026年度功模代表休养活动，具体服务内容、要求、质量等详见本合同附件明确列明的招标文件、中标人的投标文件及采购过程中双方共同签章确认的澄清、承诺文件，未作为本合同附件列明的文件不得作为约束乙方的依据。</w:t>
      </w:r>
      <w:bookmarkEnd w:id="1"/>
    </w:p>
    <w:p w14:paraId="6AD53CBD">
      <w:pPr>
        <w:widowControl/>
        <w:spacing w:line="336" w:lineRule="auto"/>
        <w:ind w:firstLine="480"/>
        <w:rPr>
          <w:rFonts w:hint="eastAsia" w:ascii="宋体" w:hAnsi="宋体" w:eastAsia="宋体" w:cs="宋体"/>
          <w:color w:val="auto"/>
          <w:sz w:val="24"/>
          <w:szCs w:val="24"/>
          <w:highlight w:val="none"/>
          <w:lang w:eastAsia="zh-CN"/>
        </w:rPr>
      </w:pPr>
      <w:bookmarkStart w:id="2" w:name="auto_fouce_3"/>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 xml:space="preserve"> 履行时间（期限）：</w:t>
      </w:r>
      <w:r>
        <w:rPr>
          <w:rFonts w:hint="eastAsia" w:ascii="宋体" w:hAnsi="宋体" w:eastAsia="宋体" w:cs="宋体"/>
          <w:b/>
          <w:bCs/>
          <w:color w:val="auto"/>
          <w:sz w:val="24"/>
          <w:szCs w:val="24"/>
          <w:highlight w:val="none"/>
          <w:lang w:eastAsia="zh-CN"/>
        </w:rPr>
        <w:t>自</w:t>
      </w:r>
      <w:r>
        <w:rPr>
          <w:rFonts w:hint="eastAsia" w:ascii="宋体" w:hAnsi="宋体" w:eastAsia="宋体" w:cs="宋体"/>
          <w:b/>
          <w:bCs/>
          <w:color w:val="auto"/>
          <w:sz w:val="24"/>
          <w:szCs w:val="24"/>
          <w:highlight w:val="none"/>
          <w:lang w:val="en-US" w:eastAsia="zh-CN"/>
        </w:rPr>
        <w:t>合同签订之日起</w:t>
      </w:r>
      <w:r>
        <w:rPr>
          <w:rFonts w:hint="eastAsia" w:ascii="宋体" w:hAnsi="宋体" w:eastAsia="宋体" w:cs="宋体"/>
          <w:b/>
          <w:bCs/>
          <w:color w:val="auto"/>
          <w:sz w:val="24"/>
          <w:szCs w:val="24"/>
          <w:highlight w:val="none"/>
          <w:lang w:eastAsia="zh-CN"/>
        </w:rPr>
        <w:t>至</w:t>
      </w:r>
      <w:r>
        <w:rPr>
          <w:rFonts w:hint="eastAsia" w:ascii="宋体" w:hAnsi="宋体" w:eastAsia="宋体" w:cs="宋体"/>
          <w:b/>
          <w:bCs/>
          <w:color w:val="auto"/>
          <w:sz w:val="24"/>
          <w:szCs w:val="24"/>
          <w:highlight w:val="none"/>
          <w:lang w:val="en-US" w:eastAsia="zh-CN"/>
        </w:rPr>
        <w:t>2026</w:t>
      </w:r>
      <w:r>
        <w:rPr>
          <w:rFonts w:hint="eastAsia" w:ascii="宋体" w:hAnsi="宋体" w:eastAsia="宋体" w:cs="宋体"/>
          <w:b/>
          <w:bCs/>
          <w:color w:val="auto"/>
          <w:sz w:val="24"/>
          <w:szCs w:val="24"/>
          <w:highlight w:val="none"/>
          <w:lang w:eastAsia="zh-CN"/>
        </w:rPr>
        <w:t>年</w:t>
      </w:r>
      <w:r>
        <w:rPr>
          <w:rFonts w:hint="eastAsia" w:ascii="宋体" w:hAnsi="宋体" w:eastAsia="宋体" w:cs="宋体"/>
          <w:b/>
          <w:bCs/>
          <w:color w:val="auto"/>
          <w:sz w:val="24"/>
          <w:szCs w:val="24"/>
          <w:highlight w:val="none"/>
          <w:lang w:val="en-US" w:eastAsia="zh-CN"/>
        </w:rPr>
        <w:t>11</w:t>
      </w:r>
      <w:r>
        <w:rPr>
          <w:rFonts w:hint="eastAsia" w:ascii="宋体" w:hAnsi="宋体" w:eastAsia="宋体" w:cs="宋体"/>
          <w:b/>
          <w:bCs/>
          <w:color w:val="auto"/>
          <w:sz w:val="24"/>
          <w:szCs w:val="24"/>
          <w:highlight w:val="none"/>
          <w:lang w:eastAsia="zh-CN"/>
        </w:rPr>
        <w:t>月</w:t>
      </w:r>
      <w:r>
        <w:rPr>
          <w:rFonts w:hint="eastAsia" w:ascii="宋体" w:hAnsi="宋体" w:eastAsia="宋体" w:cs="宋体"/>
          <w:b/>
          <w:bCs/>
          <w:color w:val="auto"/>
          <w:sz w:val="24"/>
          <w:szCs w:val="24"/>
          <w:highlight w:val="none"/>
          <w:lang w:val="en-US" w:eastAsia="zh-CN"/>
        </w:rPr>
        <w:t>30</w:t>
      </w:r>
      <w:r>
        <w:rPr>
          <w:rFonts w:hint="eastAsia" w:ascii="宋体" w:hAnsi="宋体" w:eastAsia="宋体" w:cs="宋体"/>
          <w:b/>
          <w:bCs/>
          <w:color w:val="auto"/>
          <w:sz w:val="24"/>
          <w:szCs w:val="24"/>
          <w:highlight w:val="none"/>
          <w:lang w:eastAsia="zh-CN"/>
        </w:rPr>
        <w:t>日</w:t>
      </w:r>
      <w:r>
        <w:rPr>
          <w:rFonts w:hint="eastAsia" w:ascii="宋体" w:hAnsi="宋体" w:eastAsia="宋体" w:cs="宋体"/>
          <w:color w:val="auto"/>
          <w:sz w:val="24"/>
          <w:szCs w:val="24"/>
          <w:highlight w:val="none"/>
          <w:lang w:eastAsia="zh-CN"/>
        </w:rPr>
        <w:t>，具体以甲方要求为准。</w:t>
      </w:r>
      <w:bookmarkEnd w:id="2"/>
    </w:p>
    <w:p w14:paraId="1E350800">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本项目采购文件、成交供应商的响应文件及采购过程中有关澄清、承诺文件均为本合同有效附件，是本合同不可分割的组成部分，与本合同具有同等法律效力。</w:t>
      </w:r>
    </w:p>
    <w:p w14:paraId="78D39B94">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二、合同金额</w:t>
      </w:r>
    </w:p>
    <w:p w14:paraId="68565FC3">
      <w:pPr>
        <w:pStyle w:val="3"/>
        <w:keepNext w:val="0"/>
        <w:keepLines w:val="0"/>
        <w:pageBreakBefore w:val="0"/>
        <w:widowControl w:val="0"/>
        <w:spacing w:line="360" w:lineRule="auto"/>
        <w:ind w:firstLine="480"/>
        <w:rPr>
          <w:rFonts w:hint="eastAsia" w:ascii="宋体" w:hAnsi="宋体" w:eastAsia="宋体" w:cs="宋体"/>
          <w:color w:val="auto"/>
          <w:sz w:val="24"/>
          <w:szCs w:val="24"/>
          <w:highlight w:val="none"/>
          <w:lang w:val="en-US" w:eastAsia="zh-CN"/>
        </w:rPr>
      </w:pPr>
      <w:bookmarkStart w:id="3" w:name="auto_fouce_4"/>
      <w:r>
        <w:rPr>
          <w:rFonts w:hint="eastAsia" w:ascii="宋体" w:hAnsi="宋体" w:eastAsia="宋体" w:cs="宋体"/>
          <w:color w:val="auto"/>
          <w:sz w:val="24"/>
          <w:szCs w:val="24"/>
          <w:highlight w:val="none"/>
          <w:lang w:eastAsia="zh-CN"/>
        </w:rPr>
        <w:t>2.1 本合同金额为（大写）：</w:t>
      </w:r>
      <w:r>
        <w:rPr>
          <w:rFonts w:hint="eastAsia" w:ascii="宋体" w:hAnsi="宋体" w:eastAsia="宋体" w:cs="宋体"/>
          <w:b/>
          <w:bCs/>
          <w:color w:val="auto"/>
          <w:sz w:val="24"/>
          <w:szCs w:val="24"/>
          <w:highlight w:val="none"/>
          <w:u w:val="single"/>
          <w:lang w:eastAsia="zh-CN"/>
        </w:rPr>
        <w:t>壹佰零伍万玖仟贰佰捌拾圆整</w:t>
      </w:r>
      <w:r>
        <w:rPr>
          <w:rFonts w:hint="eastAsia" w:ascii="宋体" w:hAnsi="宋体" w:eastAsia="宋体" w:cs="宋体"/>
          <w:color w:val="auto"/>
          <w:sz w:val="24"/>
          <w:szCs w:val="24"/>
          <w:highlight w:val="none"/>
          <w:lang w:eastAsia="zh-CN"/>
        </w:rPr>
        <w:t>（小写</w:t>
      </w:r>
      <w:r>
        <w:rPr>
          <w:rFonts w:hint="eastAsia" w:ascii="宋体" w:hAnsi="宋体" w:eastAsia="宋体" w:cs="宋体"/>
          <w:b/>
          <w:bCs/>
          <w:color w:val="auto"/>
          <w:sz w:val="24"/>
          <w:szCs w:val="24"/>
          <w:highlight w:val="none"/>
          <w:u w:val="single"/>
          <w:lang w:val="en-US" w:eastAsia="zh-CN"/>
        </w:rPr>
        <w:t>1059280</w:t>
      </w:r>
      <w:r>
        <w:rPr>
          <w:rFonts w:hint="eastAsia" w:ascii="宋体" w:hAnsi="宋体" w:eastAsia="宋体" w:cs="宋体"/>
          <w:color w:val="auto"/>
          <w:sz w:val="24"/>
          <w:szCs w:val="24"/>
          <w:highlight w:val="none"/>
          <w:lang w:eastAsia="zh-CN"/>
        </w:rPr>
        <w:t>元）人民币。具体价格详见附件</w:t>
      </w:r>
      <w:r>
        <w:rPr>
          <w:rFonts w:hint="eastAsia" w:ascii="宋体" w:hAnsi="宋体" w:eastAsia="宋体" w:cs="宋体"/>
          <w:color w:val="auto"/>
          <w:sz w:val="24"/>
          <w:szCs w:val="24"/>
          <w:highlight w:val="none"/>
          <w:lang w:val="en-US" w:eastAsia="zh-CN"/>
        </w:rPr>
        <w:t>分项报价单。</w:t>
      </w:r>
      <w:bookmarkEnd w:id="3"/>
    </w:p>
    <w:p w14:paraId="197D2638">
      <w:pPr>
        <w:pStyle w:val="3"/>
        <w:keepNext w:val="0"/>
        <w:keepLines w:val="0"/>
        <w:pageBreakBefore w:val="0"/>
        <w:widowControl w:val="0"/>
        <w:spacing w:line="360" w:lineRule="auto"/>
        <w:ind w:firstLine="480"/>
        <w:rPr>
          <w:rFonts w:hint="eastAsia" w:ascii="宋体" w:hAnsi="宋体" w:eastAsia="宋体" w:cs="宋体"/>
          <w:color w:val="auto"/>
          <w:sz w:val="24"/>
          <w:szCs w:val="24"/>
          <w:highlight w:val="none"/>
        </w:rPr>
      </w:pPr>
      <w:bookmarkStart w:id="4" w:name="tip_risk_bookmark_5"/>
      <w:r>
        <w:rPr>
          <w:rFonts w:hint="eastAsia" w:ascii="宋体" w:hAnsi="宋体" w:eastAsia="宋体" w:cs="宋体"/>
          <w:color w:val="auto"/>
          <w:sz w:val="24"/>
          <w:szCs w:val="24"/>
          <w:highlight w:val="none"/>
          <w:lang w:eastAsia="zh-CN"/>
        </w:rPr>
        <w:t>上述金额包括</w:t>
      </w:r>
      <w:r>
        <w:rPr>
          <w:rFonts w:hint="eastAsia" w:ascii="宋体" w:hAnsi="宋体" w:eastAsia="宋体" w:cs="宋体"/>
          <w:color w:val="auto"/>
          <w:sz w:val="24"/>
          <w:szCs w:val="24"/>
          <w:highlight w:val="none"/>
        </w:rPr>
        <w:t>完成项目所需的人工费、材料费、服务费（餐饮、住宿、交通、游览景点门票等）、管理费、人员培训、保险（</w:t>
      </w:r>
      <w:r>
        <w:rPr>
          <w:rFonts w:hint="eastAsia" w:ascii="宋体" w:hAnsi="宋体" w:eastAsia="宋体" w:cs="宋体"/>
          <w:color w:val="auto"/>
          <w:sz w:val="24"/>
          <w:szCs w:val="24"/>
          <w:highlight w:val="none"/>
          <w:lang w:val="en-US" w:eastAsia="zh-CN"/>
        </w:rPr>
        <w:t>意外</w:t>
      </w:r>
      <w:r>
        <w:rPr>
          <w:rFonts w:hint="eastAsia" w:ascii="宋体" w:hAnsi="宋体" w:eastAsia="宋体" w:cs="宋体"/>
          <w:color w:val="auto"/>
          <w:sz w:val="24"/>
          <w:szCs w:val="24"/>
          <w:highlight w:val="none"/>
        </w:rPr>
        <w:t>保险额每人不低于10万元</w:t>
      </w:r>
      <w:r>
        <w:rPr>
          <w:rFonts w:hint="eastAsia" w:ascii="宋体" w:hAnsi="宋体" w:eastAsia="宋体" w:cs="宋体"/>
          <w:color w:val="auto"/>
          <w:sz w:val="24"/>
          <w:szCs w:val="24"/>
          <w:highlight w:val="none"/>
          <w:lang w:val="en-US" w:eastAsia="zh-CN"/>
        </w:rPr>
        <w:t>，实际根据中标人投标文件确定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、利润、税金、撰写策划方案、法律咨询、政策性文件规定及合同包含的所有风险、责任等各项应有费用。</w:t>
      </w:r>
      <w:bookmarkEnd w:id="4"/>
    </w:p>
    <w:p w14:paraId="6533D9E5">
      <w:pPr>
        <w:pStyle w:val="3"/>
        <w:keepNext w:val="0"/>
        <w:keepLines w:val="0"/>
        <w:pageBreakBefore w:val="0"/>
        <w:widowControl w:val="0"/>
        <w:spacing w:line="360" w:lineRule="auto"/>
        <w:ind w:firstLine="480"/>
        <w:rPr>
          <w:rFonts w:hint="eastAsia" w:ascii="宋体" w:hAnsi="宋体" w:eastAsia="宋体" w:cs="宋体"/>
          <w:color w:val="auto"/>
          <w:sz w:val="24"/>
          <w:szCs w:val="24"/>
          <w:highlight w:val="none"/>
          <w:lang w:val="en-US" w:eastAsia="zh-CN"/>
        </w:rPr>
      </w:pPr>
      <w:bookmarkStart w:id="5" w:name="auto_fouce_6"/>
      <w:r>
        <w:rPr>
          <w:rFonts w:hint="eastAsia" w:ascii="宋体" w:hAnsi="宋体" w:eastAsia="宋体" w:cs="宋体"/>
          <w:color w:val="auto"/>
          <w:sz w:val="24"/>
          <w:szCs w:val="24"/>
          <w:highlight w:val="none"/>
          <w:lang w:val="en-US" w:eastAsia="zh-CN"/>
        </w:rPr>
        <w:t>2.2中标后，甲方将与乙方按线路优化确定每条线路具体的服务方案、合同价格并签订合同；本次招标的中标价格为合同最高限价，采购人可以根据每条线路的实际参加人数、行程安排等与承办商就实际价格在合同最高限价以下进行协商确定。</w:t>
      </w:r>
      <w:bookmarkEnd w:id="5"/>
    </w:p>
    <w:p w14:paraId="534826BC">
      <w:pPr>
        <w:widowControl/>
        <w:numPr>
          <w:ilvl w:val="0"/>
          <w:numId w:val="1"/>
        </w:numPr>
        <w:spacing w:line="336" w:lineRule="auto"/>
        <w:ind w:firstLine="48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履约保证</w:t>
      </w:r>
    </w:p>
    <w:p w14:paraId="7B6F9008">
      <w:pPr>
        <w:widowControl/>
        <w:spacing w:line="336" w:lineRule="auto"/>
        <w:ind w:firstLine="480"/>
        <w:rPr>
          <w:rFonts w:hint="eastAsia" w:ascii="宋体" w:hAnsi="宋体" w:eastAsia="宋体" w:cs="宋体"/>
          <w:color w:val="auto"/>
          <w:sz w:val="24"/>
          <w:szCs w:val="24"/>
          <w:highlight w:val="none"/>
          <w:lang w:val="en-US" w:eastAsia="zh-CN"/>
        </w:rPr>
      </w:pPr>
      <w:bookmarkStart w:id="6" w:name="auto_fouce_8"/>
      <w:r>
        <w:rPr>
          <w:rFonts w:hint="eastAsia" w:ascii="宋体" w:hAnsi="宋体" w:eastAsia="宋体" w:cs="宋体"/>
          <w:color w:val="auto"/>
          <w:sz w:val="24"/>
          <w:szCs w:val="24"/>
          <w:highlight w:val="none"/>
          <w:lang w:val="en-US" w:eastAsia="zh-CN"/>
        </w:rPr>
        <w:t>3.1 服务过程中，乙方应采取必要且合理的安全措施，以避免对人身和财产造成损害。因乙方故意或重大过失造成人身伤害或财产损失的，乙方在依法扣除保险赔付金额后承担相应赔偿责任；因甲方及其成员/休养人员自身过错、第三方原因或不可抗力造成的损害，乙方不承担责任，但应配合甲方做好必要的救助及证据留存工作。</w:t>
      </w:r>
      <w:bookmarkEnd w:id="6"/>
    </w:p>
    <w:p w14:paraId="7BAB513B">
      <w:pPr>
        <w:widowControl/>
        <w:spacing w:line="336" w:lineRule="auto"/>
        <w:ind w:firstLine="480"/>
        <w:rPr>
          <w:rFonts w:hint="eastAsia" w:ascii="宋体" w:hAnsi="宋体" w:eastAsia="宋体" w:cs="宋体"/>
          <w:color w:val="auto"/>
          <w:sz w:val="24"/>
          <w:szCs w:val="24"/>
          <w:highlight w:val="none"/>
          <w:lang w:val="en-US" w:eastAsia="zh-CN"/>
        </w:rPr>
      </w:pPr>
      <w:bookmarkStart w:id="7" w:name="auto_fouce_9"/>
      <w:r>
        <w:rPr>
          <w:rFonts w:hint="eastAsia" w:ascii="宋体" w:hAnsi="宋体" w:eastAsia="宋体" w:cs="宋体"/>
          <w:color w:val="auto"/>
          <w:sz w:val="24"/>
          <w:szCs w:val="24"/>
          <w:highlight w:val="none"/>
          <w:lang w:val="en-US" w:eastAsia="zh-CN"/>
        </w:rPr>
        <w:t>3.2 乙方对服务质量和结果承担最终责任。确因乙方故意或重大过失，致使回访结果与经双方确认的采购需求不符的，乙方仅承担甲方因此遭受的直接实际损失，不承担预期利益、商誉损失等间接损失。</w:t>
      </w:r>
      <w:bookmarkEnd w:id="7"/>
    </w:p>
    <w:p w14:paraId="63EE6BCD">
      <w:pPr>
        <w:widowControl/>
        <w:spacing w:line="336" w:lineRule="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3.3乙方应配合甲方进行跟踪服务，确保回访过程或记录可查询、可追溯。</w:t>
      </w:r>
    </w:p>
    <w:p w14:paraId="08C64834">
      <w:pPr>
        <w:widowControl/>
        <w:spacing w:line="336" w:lineRule="auto"/>
        <w:ind w:firstLine="480"/>
        <w:rPr>
          <w:rFonts w:hint="eastAsia" w:ascii="宋体" w:hAnsi="宋体" w:eastAsia="宋体" w:cs="宋体"/>
          <w:color w:val="auto"/>
          <w:sz w:val="24"/>
          <w:szCs w:val="24"/>
          <w:highlight w:val="none"/>
          <w:lang w:val="en-US" w:eastAsia="zh-CN"/>
        </w:rPr>
      </w:pPr>
      <w:bookmarkStart w:id="8" w:name="tip_risk_bookmark_10"/>
      <w:r>
        <w:rPr>
          <w:rFonts w:hint="eastAsia" w:ascii="宋体" w:hAnsi="宋体" w:eastAsia="宋体" w:cs="宋体"/>
          <w:color w:val="auto"/>
          <w:sz w:val="24"/>
          <w:szCs w:val="24"/>
          <w:highlight w:val="none"/>
          <w:lang w:val="en-US" w:eastAsia="zh-CN"/>
        </w:rPr>
        <w:t>3.4乙方须为甲方成员购买旅游意外险（意外保险额每人不低于10万元，实际根据中标人投标文件确定），费用由乙方承担。</w:t>
      </w:r>
      <w:bookmarkEnd w:id="8"/>
    </w:p>
    <w:p w14:paraId="57A12BDF">
      <w:pPr>
        <w:widowControl/>
        <w:spacing w:line="336" w:lineRule="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3.5乙方应提前告知甲方成员具体行程安排和有关具体事项，具体事项包括但不限于所到目的地的重要规定、风俗习惯；休养活动中的安全注意事项和安全避险措施；应急联络方式及其他应告知的事项。</w:t>
      </w:r>
      <w:bookmarkStart w:id="9" w:name="auto_fouce_11"/>
    </w:p>
    <w:p w14:paraId="688C82C9">
      <w:pPr>
        <w:widowControl/>
        <w:spacing w:line="336" w:lineRule="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甲方应向乙方提供参与休养活动人员的健康状况、特殊禁忌等必要信息，因甲方未提供或提供信息不实导致的人身损害，乙方不承担责任。</w:t>
      </w:r>
      <w:bookmarkEnd w:id="9"/>
    </w:p>
    <w:p w14:paraId="2625BBFE">
      <w:pPr>
        <w:widowControl/>
        <w:spacing w:line="336" w:lineRule="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3.6乙方应根据投标文件内容建立应急危机处理机制，甲方成员人身、财产受到损害时，应当采取合理必要的保护和救助措施。</w:t>
      </w:r>
    </w:p>
    <w:p w14:paraId="7737CCB2">
      <w:pPr>
        <w:widowControl/>
        <w:spacing w:line="336" w:lineRule="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3.7乙方全程选择当地四星级及以上酒店（包含四星级），每人一间。早餐使用酒店自助餐，中晚餐使用酒店自助餐或统一安排桌餐，按照每人每餐不低于100元标准。</w:t>
      </w:r>
    </w:p>
    <w:p w14:paraId="2A99F655">
      <w:pPr>
        <w:widowControl/>
        <w:spacing w:line="336" w:lineRule="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乙方不得指定具体购物场所、不得安排购物等活动，休养期间所有景点门票、景区交通、游船、环保车、索道缆车、观光电梯、空调旅游车以及歌舞表演项目等费用均由乙方承担，无额外需甲方成员个人支付的费用。</w:t>
      </w:r>
    </w:p>
    <w:p w14:paraId="74ED0DBA">
      <w:pPr>
        <w:widowControl/>
        <w:spacing w:line="336" w:lineRule="auto"/>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3.9严格遵守中央八项规定精神，严禁安排甲方成员饮酒，严禁组织迷信活动，或与甲方成员身份不符的娱乐活动。</w:t>
      </w:r>
    </w:p>
    <w:p w14:paraId="776A827E">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eastAsia="zh-CN"/>
        </w:rPr>
        <w:t>、合同转包或分包</w:t>
      </w:r>
    </w:p>
    <w:p w14:paraId="4B4DD132">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.1乙方不得将合同标的转包给他人履行。</w:t>
      </w:r>
    </w:p>
    <w:p w14:paraId="3DAF7D5B">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.2乙方不得将合同标的分包给他人履行。</w:t>
      </w:r>
    </w:p>
    <w:p w14:paraId="25CE197F">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.3乙方如有转包或分包行为，甲方有权解除合同。同时，乙方应当立即退回已收取的全部款项并向甲方支付本合同总价款30%的违约金，该违约金不足以弥补甲方损失的，乙方应赔偿甲方的所有损失。</w:t>
      </w:r>
    </w:p>
    <w:p w14:paraId="7A28E425">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lang w:eastAsia="zh-CN"/>
        </w:rPr>
        <w:t>、合同款项支付</w:t>
      </w:r>
    </w:p>
    <w:p w14:paraId="50E25B46">
      <w:pPr>
        <w:keepNext w:val="0"/>
        <w:keepLines w:val="0"/>
        <w:pageBreakBefore w:val="0"/>
        <w:numPr>
          <w:ilvl w:val="0"/>
          <w:numId w:val="0"/>
        </w:numPr>
        <w:spacing w:line="360" w:lineRule="auto"/>
        <w:ind w:firstLine="480"/>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（1）甲方分期向乙方支付合同约定的费用：</w:t>
      </w:r>
    </w:p>
    <w:p w14:paraId="013593D0">
      <w:pPr>
        <w:keepNext w:val="0"/>
        <w:keepLines w:val="0"/>
        <w:pageBreakBefore w:val="0"/>
        <w:numPr>
          <w:ilvl w:val="0"/>
          <w:numId w:val="0"/>
        </w:numPr>
        <w:spacing w:line="360" w:lineRule="auto"/>
        <w:ind w:firstLine="480"/>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首付款：在本合同签订并生效，且收到乙方开具的相应金额的、符合国家规定的增值税发票后[30]日内，甲方向乙方支付本合同费用总额的30％。</w:t>
      </w:r>
    </w:p>
    <w:p w14:paraId="38F7561C">
      <w:pPr>
        <w:keepNext w:val="0"/>
        <w:keepLines w:val="0"/>
        <w:pageBreakBefore w:val="0"/>
        <w:widowControl/>
        <w:numPr>
          <w:ilvl w:val="0"/>
          <w:numId w:val="0"/>
        </w:numPr>
        <w:spacing w:before="0" w:after="0" w:line="360" w:lineRule="auto"/>
        <w:ind w:left="0" w:right="0" w:firstLine="480"/>
        <w:jc w:val="left"/>
        <w:outlineLvl w:val="9"/>
        <w:rPr>
          <w:rFonts w:hint="eastAsia" w:ascii="宋体" w:hAnsi="宋体" w:eastAsia="宋体" w:cs="宋体"/>
          <w:color w:val="auto"/>
          <w:sz w:val="24"/>
          <w:szCs w:val="24"/>
          <w:highlight w:val="none"/>
          <w:lang w:val="en-US" w:eastAsia="zh-CN"/>
        </w:rPr>
      </w:pPr>
      <w:bookmarkStart w:id="10" w:name="auto_fouce_12"/>
      <w:r>
        <w:rPr>
          <w:rFonts w:hint="eastAsia" w:ascii="宋体" w:hAnsi="宋体" w:eastAsia="宋体" w:cs="宋体"/>
          <w:color w:val="auto"/>
          <w:sz w:val="24"/>
          <w:szCs w:val="24"/>
          <w:highlight w:val="none"/>
          <w:lang w:val="en-US" w:eastAsia="zh-CN"/>
        </w:rPr>
        <w:t>尾款：乙方完成本合同约定的全部服务内容并根据甲方实际使用情况及考核情况据实结算</w:t>
      </w:r>
      <w:r>
        <w:rPr>
          <w:rFonts w:hint="eastAsia" w:ascii="宋体" w:hAnsi="宋体" w:eastAsia="宋体" w:cs="宋体"/>
          <w:color w:val="auto"/>
          <w:sz w:val="24"/>
          <w:szCs w:val="24"/>
          <w:highlight w:val="none"/>
          <w:lang w:eastAsia="zh-CN"/>
        </w:rPr>
        <w:t>（如</w:t>
      </w:r>
      <w:r>
        <w:rPr>
          <w:rFonts w:hint="eastAsia" w:ascii="宋体" w:hAnsi="宋体" w:eastAsia="宋体" w:cs="宋体"/>
          <w:b w:val="0"/>
          <w:bCs w:val="0"/>
          <w:color w:val="auto"/>
          <w:sz w:val="24"/>
          <w:szCs w:val="24"/>
          <w:highlight w:val="none"/>
          <w:lang w:val="en-US" w:eastAsia="zh-CN"/>
        </w:rPr>
        <w:t>部分景点对持警察证或退役军人证的人员实行免票或门票优惠政策，且乙方实际未支出该笔门票费用的，结算时按乙方实际未支出的金额予以扣减</w:t>
      </w:r>
      <w:r>
        <w:rPr>
          <w:rFonts w:hint="eastAsia" w:ascii="宋体" w:hAnsi="宋体" w:eastAsia="宋体" w:cs="宋体"/>
          <w:color w:val="auto"/>
          <w:sz w:val="24"/>
          <w:szCs w:val="24"/>
          <w:highlight w:val="none"/>
          <w:lang w:val="en-US" w:eastAsia="zh-CN"/>
        </w:rPr>
        <w:t>。经甲方收到乙方开具的相应金额的、符合国家规定的增值税发票后[30]日内，甲方向乙方付清剩余款项。</w:t>
      </w:r>
      <w:bookmarkEnd w:id="10"/>
    </w:p>
    <w:p w14:paraId="7CA441FE">
      <w:pPr>
        <w:keepNext w:val="0"/>
        <w:keepLines w:val="0"/>
        <w:pageBreakBefore w:val="0"/>
        <w:widowControl/>
        <w:numPr>
          <w:ilvl w:val="0"/>
          <w:numId w:val="0"/>
        </w:numPr>
        <w:spacing w:before="0" w:after="0" w:line="360" w:lineRule="auto"/>
        <w:ind w:left="0" w:right="0" w:firstLine="480"/>
        <w:jc w:val="left"/>
        <w:outlineLvl w:val="9"/>
        <w:rPr>
          <w:rFonts w:hint="eastAsia" w:ascii="宋体" w:hAnsi="宋体" w:eastAsia="宋体" w:cs="宋体"/>
          <w:color w:val="auto"/>
          <w:sz w:val="24"/>
          <w:szCs w:val="24"/>
          <w:highlight w:val="none"/>
          <w:lang w:val="en-US" w:eastAsia="zh-CN"/>
        </w:rPr>
      </w:pPr>
      <w:bookmarkStart w:id="11" w:name="auto_fouce_13"/>
      <w:r>
        <w:rPr>
          <w:rFonts w:hint="eastAsia" w:ascii="宋体" w:hAnsi="宋体" w:eastAsia="宋体" w:cs="宋体"/>
          <w:color w:val="auto"/>
          <w:sz w:val="24"/>
          <w:szCs w:val="24"/>
          <w:highlight w:val="none"/>
          <w:lang w:val="en-US" w:eastAsia="zh-CN"/>
        </w:rPr>
        <w:t>如因财政资金拨付不到位导致延迟付款的，甲方应提前15日向乙方提供财政部门出具的相关证明文件，双方可协商延迟付款，但延迟期限最长不超过60日；逾期超过60日的，甲方应立即向乙方支付到期应付款项，并按全国银行间同业拆借中心公布的一年期贷款市场报价利率（LPR）计付逾期利息。</w:t>
      </w:r>
      <w:bookmarkEnd w:id="11"/>
    </w:p>
    <w:p w14:paraId="0B9203E3">
      <w:pPr>
        <w:pStyle w:val="3"/>
        <w:keepNext w:val="0"/>
        <w:keepLines w:val="0"/>
        <w:pageBreakBefore w:val="0"/>
        <w:widowControl w:val="0"/>
        <w:spacing w:line="360" w:lineRule="auto"/>
        <w:ind w:firstLine="48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（2）考核管理</w:t>
      </w:r>
    </w:p>
    <w:p w14:paraId="04175EAE">
      <w:pPr>
        <w:pStyle w:val="3"/>
        <w:keepNext w:val="0"/>
        <w:keepLines w:val="0"/>
        <w:pageBreakBefore w:val="0"/>
        <w:widowControl w:val="0"/>
        <w:spacing w:line="360" w:lineRule="auto"/>
        <w:ind w:firstLine="48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1.为规范对乙方的管理，甲方将依据相关法律法规制定相应的管理制度，实行动态管理方式，乙方须接受项目采购人的监督。</w:t>
      </w:r>
    </w:p>
    <w:p w14:paraId="5F822AB3">
      <w:pPr>
        <w:pStyle w:val="3"/>
        <w:keepNext w:val="0"/>
        <w:keepLines w:val="0"/>
        <w:pageBreakBefore w:val="0"/>
        <w:widowControl w:val="0"/>
        <w:spacing w:line="360" w:lineRule="auto"/>
        <w:ind w:firstLine="480"/>
        <w:rPr>
          <w:rFonts w:hint="eastAsia" w:ascii="宋体" w:hAnsi="宋体" w:eastAsia="宋体" w:cs="宋体"/>
          <w:color w:val="auto"/>
          <w:sz w:val="24"/>
          <w:szCs w:val="24"/>
          <w:highlight w:val="none"/>
          <w:lang w:val="en-US" w:eastAsia="zh-CN" w:bidi="ar-SA"/>
        </w:rPr>
      </w:pPr>
      <w:bookmarkStart w:id="12" w:name="auto_fouce_14"/>
      <w:r>
        <w:rPr>
          <w:rFonts w:hint="eastAsia" w:ascii="宋体" w:hAnsi="宋体" w:eastAsia="宋体" w:cs="宋体"/>
          <w:color w:val="auto"/>
          <w:sz w:val="24"/>
          <w:szCs w:val="24"/>
          <w:highlight w:val="none"/>
          <w:lang w:val="en-US" w:eastAsia="zh-CN" w:bidi="ar-SA"/>
        </w:rPr>
        <w:t>每批次活动完成后，甲方发放实名制《满意度反馈表》（见附件</w:t>
      </w:r>
      <w:r>
        <w:rPr>
          <w:rFonts w:hint="eastAsia" w:hAnsi="宋体" w:cs="宋体"/>
          <w:color w:val="auto"/>
          <w:sz w:val="24"/>
          <w:szCs w:val="24"/>
          <w:highlight w:val="none"/>
          <w:lang w:val="en-US" w:eastAsia="zh-CN" w:bidi="ar-SA"/>
        </w:rPr>
        <w:t>一</w:t>
      </w:r>
      <w:r>
        <w:rPr>
          <w:rFonts w:hint="eastAsia" w:ascii="宋体" w:hAnsi="宋体" w:eastAsia="宋体" w:cs="宋体"/>
          <w:color w:val="auto"/>
          <w:sz w:val="24"/>
          <w:szCs w:val="24"/>
          <w:highlight w:val="none"/>
          <w:lang w:val="en-US" w:eastAsia="zh-CN" w:bidi="ar-SA"/>
        </w:rPr>
        <w:t>），出行人员对本次出行计划、酒店、就餐等情况进行满意度评分并填写《满意度反馈表》（调查表选项填写不全或赋分不在设定范围的无效），满意度调查结果由甲方反馈给乙方，甲方将根据满意度反馈表平均分确认当批次费用。</w:t>
      </w:r>
    </w:p>
    <w:p w14:paraId="208C7AB3">
      <w:pPr>
        <w:pStyle w:val="3"/>
        <w:keepNext w:val="0"/>
        <w:keepLines w:val="0"/>
        <w:pageBreakBefore w:val="0"/>
        <w:widowControl w:val="0"/>
        <w:spacing w:line="360" w:lineRule="auto"/>
        <w:ind w:firstLine="48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考核标准：当次满意度平均分高于85分（含），支付当批次费用的100%；当次满意度平均分高于75分（含）低于85分，扣减当批次费用的5%；当次满意度平均分低于75分，扣减当批次费用的10%。</w:t>
      </w:r>
      <w:bookmarkEnd w:id="12"/>
    </w:p>
    <w:p w14:paraId="08F9E724">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六</w:t>
      </w:r>
      <w:r>
        <w:rPr>
          <w:rFonts w:hint="eastAsia" w:ascii="宋体" w:hAnsi="宋体" w:eastAsia="宋体" w:cs="宋体"/>
          <w:b/>
          <w:bCs/>
          <w:color w:val="auto"/>
          <w:sz w:val="24"/>
          <w:szCs w:val="24"/>
          <w:highlight w:val="none"/>
          <w:lang w:eastAsia="zh-CN"/>
        </w:rPr>
        <w:t>、税费</w:t>
      </w:r>
    </w:p>
    <w:p w14:paraId="169EED5E">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.1本合同执行中相关的一切税费均由乙方负担。</w:t>
      </w:r>
    </w:p>
    <w:p w14:paraId="36477C1C">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eastAsia="zh-CN"/>
        </w:rPr>
        <w:t>、违约责任（</w:t>
      </w:r>
      <w:r>
        <w:rPr>
          <w:rFonts w:hint="eastAsia" w:ascii="宋体" w:hAnsi="宋体" w:eastAsia="宋体" w:cs="宋体"/>
          <w:b/>
          <w:bCs/>
          <w:color w:val="auto"/>
          <w:sz w:val="24"/>
          <w:szCs w:val="24"/>
          <w:highlight w:val="none"/>
          <w:lang w:val="en-US" w:eastAsia="zh-CN"/>
        </w:rPr>
        <w:t>采购人</w:t>
      </w:r>
      <w:r>
        <w:rPr>
          <w:rFonts w:hint="eastAsia" w:ascii="宋体" w:hAnsi="宋体" w:eastAsia="宋体" w:cs="宋体"/>
          <w:b/>
          <w:bCs/>
          <w:color w:val="auto"/>
          <w:sz w:val="24"/>
          <w:szCs w:val="24"/>
          <w:highlight w:val="none"/>
          <w:lang w:eastAsia="zh-CN"/>
        </w:rPr>
        <w:t>可根据实际项目情况增加）</w:t>
      </w:r>
    </w:p>
    <w:p w14:paraId="23B335F9">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.1 甲方无正当理由拒绝接受乙方提供服务的，甲方向乙方偿付拒绝接受服务合同价款总值</w:t>
      </w:r>
      <w:r>
        <w:rPr>
          <w:rFonts w:hint="eastAsia" w:ascii="宋体" w:hAnsi="宋体" w:eastAsia="宋体" w:cs="宋体"/>
          <w:color w:val="auto"/>
          <w:sz w:val="24"/>
          <w:szCs w:val="24"/>
          <w:highlight w:val="none"/>
          <w:u w:val="single"/>
          <w:lang w:eastAsia="zh-CN"/>
        </w:rPr>
        <w:t xml:space="preserve"> 百分之</w:t>
      </w:r>
      <w:r>
        <w:rPr>
          <w:rFonts w:hint="eastAsia" w:ascii="宋体" w:hAnsi="宋体" w:eastAsia="宋体" w:cs="宋体"/>
          <w:color w:val="auto"/>
          <w:sz w:val="24"/>
          <w:szCs w:val="24"/>
          <w:highlight w:val="none"/>
          <w:u w:val="single"/>
          <w:lang w:val="en-US" w:eastAsia="zh-CN"/>
        </w:rPr>
        <w:t>十</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 xml:space="preserve"> 的违约金。</w:t>
      </w:r>
    </w:p>
    <w:p w14:paraId="63CBEF85">
      <w:pPr>
        <w:widowControl/>
        <w:spacing w:line="336" w:lineRule="auto"/>
        <w:ind w:firstLine="480"/>
        <w:rPr>
          <w:rFonts w:hint="eastAsia" w:ascii="宋体" w:hAnsi="宋体" w:eastAsia="宋体" w:cs="宋体"/>
          <w:color w:val="auto"/>
          <w:sz w:val="24"/>
          <w:szCs w:val="24"/>
          <w:highlight w:val="none"/>
          <w:lang w:eastAsia="zh-CN"/>
        </w:rPr>
      </w:pPr>
      <w:bookmarkStart w:id="13" w:name="auto_fouce_17"/>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.2 乙方逾期提供服务的，乙方应根据逾期天数，每日按合同总额万分之五向甲方支付违约金，由甲方从待付合同款项中扣除。逾期超过甲方书面通知的服务日期10个工作日不能提供服务的，甲方可解除本合同。乙方因逾期提供服务或因其他违约行为导致甲方解除合同的，乙方应向甲方支付合同价款总额10%的违约金，如造成甲方损失超过违约金的，超出部分由乙方继续承担赔偿责任。</w:t>
      </w:r>
      <w:bookmarkEnd w:id="13"/>
      <w:r>
        <w:rPr>
          <w:rFonts w:hint="eastAsia" w:ascii="宋体" w:hAnsi="宋体" w:eastAsia="宋体" w:cs="宋体"/>
          <w:color w:val="auto"/>
          <w:sz w:val="24"/>
          <w:szCs w:val="24"/>
          <w:highlight w:val="none"/>
          <w:lang w:eastAsia="zh-CN"/>
        </w:rPr>
        <w:t xml:space="preserve"> </w:t>
      </w:r>
    </w:p>
    <w:p w14:paraId="5122523B">
      <w:pPr>
        <w:pStyle w:val="3"/>
        <w:keepNext w:val="0"/>
        <w:keepLines w:val="0"/>
        <w:pageBreakBefore w:val="0"/>
        <w:widowControl w:val="0"/>
        <w:spacing w:line="360" w:lineRule="auto"/>
        <w:ind w:firstLine="480"/>
        <w:rPr>
          <w:rFonts w:hint="eastAsia" w:ascii="宋体" w:hAnsi="宋体" w:eastAsia="宋体" w:cs="宋体"/>
          <w:color w:val="auto"/>
          <w:sz w:val="24"/>
          <w:szCs w:val="24"/>
          <w:highlight w:val="none"/>
          <w:lang w:eastAsia="zh-CN"/>
        </w:rPr>
      </w:pPr>
      <w:bookmarkStart w:id="14" w:name="auto_fouce_18"/>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 xml:space="preserve">.3 </w:t>
      </w:r>
      <w:r>
        <w:rPr>
          <w:rFonts w:hint="eastAsia" w:hAnsi="宋体" w:cs="宋体"/>
          <w:color w:val="auto"/>
          <w:sz w:val="24"/>
          <w:szCs w:val="24"/>
          <w:highlight w:val="none"/>
          <w:lang w:eastAsia="zh-CN"/>
        </w:rPr>
        <w:t>如经有权机关认定</w:t>
      </w:r>
      <w:r>
        <w:rPr>
          <w:rFonts w:hint="eastAsia" w:ascii="宋体" w:hAnsi="宋体" w:eastAsia="宋体" w:cs="宋体"/>
          <w:color w:val="auto"/>
          <w:sz w:val="24"/>
          <w:szCs w:val="24"/>
          <w:highlight w:val="none"/>
          <w:lang w:val="en-US" w:eastAsia="zh-CN"/>
        </w:rPr>
        <w:t>乙方</w:t>
      </w:r>
      <w:r>
        <w:rPr>
          <w:rFonts w:hint="eastAsia" w:hAnsi="宋体" w:cs="宋体"/>
          <w:color w:val="auto"/>
          <w:sz w:val="24"/>
          <w:szCs w:val="24"/>
          <w:highlight w:val="none"/>
          <w:lang w:val="en-US" w:eastAsia="zh-CN"/>
        </w:rPr>
        <w:t>存在</w:t>
      </w:r>
      <w:r>
        <w:rPr>
          <w:rFonts w:hint="eastAsia" w:ascii="宋体" w:hAnsi="宋体" w:eastAsia="宋体" w:cs="宋体"/>
          <w:color w:val="auto"/>
          <w:sz w:val="24"/>
          <w:szCs w:val="24"/>
          <w:highlight w:val="none"/>
          <w:lang w:val="en-US" w:eastAsia="zh-CN"/>
        </w:rPr>
        <w:t>餐饮回扣现象</w:t>
      </w:r>
      <w:r>
        <w:rPr>
          <w:rFonts w:hint="eastAsia" w:hAnsi="宋体" w:cs="宋体"/>
          <w:color w:val="auto"/>
          <w:sz w:val="24"/>
          <w:szCs w:val="24"/>
          <w:highlight w:val="none"/>
          <w:lang w:val="en-US" w:eastAsia="zh-CN"/>
        </w:rPr>
        <w:t>的，</w:t>
      </w:r>
      <w:r>
        <w:rPr>
          <w:rFonts w:hint="eastAsia" w:ascii="宋体" w:hAnsi="宋体" w:eastAsia="宋体" w:cs="宋体"/>
          <w:color w:val="auto"/>
          <w:sz w:val="24"/>
          <w:szCs w:val="24"/>
          <w:highlight w:val="none"/>
          <w:lang w:val="en-US" w:eastAsia="zh-CN"/>
        </w:rPr>
        <w:t>按照当批次住宿或餐费金额的2倍处罚</w:t>
      </w:r>
      <w:r>
        <w:rPr>
          <w:rFonts w:hint="eastAsia" w:hAnsi="宋体" w:cs="宋体"/>
          <w:color w:val="auto"/>
          <w:sz w:val="24"/>
          <w:szCs w:val="24"/>
          <w:highlight w:val="none"/>
          <w:lang w:val="en-US" w:eastAsia="zh-CN"/>
        </w:rPr>
        <w:t>；如乙方未经甲方书面同意</w:t>
      </w:r>
      <w:r>
        <w:rPr>
          <w:rFonts w:hint="eastAsia" w:ascii="宋体" w:hAnsi="宋体" w:eastAsia="宋体" w:cs="宋体"/>
          <w:color w:val="auto"/>
          <w:sz w:val="24"/>
          <w:szCs w:val="24"/>
          <w:highlight w:val="none"/>
          <w:lang w:val="en-US" w:eastAsia="zh-CN"/>
        </w:rPr>
        <w:t>私自删除景点行程的，</w:t>
      </w:r>
      <w:r>
        <w:rPr>
          <w:rFonts w:hint="eastAsia" w:hAnsi="宋体" w:cs="宋体"/>
          <w:color w:val="auto"/>
          <w:sz w:val="24"/>
          <w:szCs w:val="24"/>
          <w:highlight w:val="none"/>
          <w:lang w:val="en-US" w:eastAsia="zh-CN"/>
        </w:rPr>
        <w:t>乙方按该门票费用</w:t>
      </w:r>
      <w:r>
        <w:rPr>
          <w:rFonts w:hint="eastAsia" w:ascii="宋体" w:hAnsi="宋体" w:eastAsia="宋体" w:cs="宋体"/>
          <w:color w:val="auto"/>
          <w:sz w:val="24"/>
          <w:szCs w:val="24"/>
          <w:highlight w:val="none"/>
          <w:lang w:val="en-US" w:eastAsia="zh-CN"/>
        </w:rPr>
        <w:t>的</w:t>
      </w:r>
      <w:r>
        <w:rPr>
          <w:rFonts w:hint="eastAsia"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倍</w:t>
      </w:r>
      <w:r>
        <w:rPr>
          <w:rFonts w:hint="eastAsia" w:hAnsi="宋体" w:cs="宋体"/>
          <w:color w:val="auto"/>
          <w:sz w:val="24"/>
          <w:szCs w:val="24"/>
          <w:highlight w:val="none"/>
          <w:lang w:val="en-US" w:eastAsia="zh-CN"/>
        </w:rPr>
        <w:t>向甲方支付违约金；如乙方未经甲方书面同意</w:t>
      </w:r>
      <w:r>
        <w:rPr>
          <w:rFonts w:hint="eastAsia" w:ascii="宋体" w:hAnsi="宋体" w:eastAsia="宋体" w:cs="宋体"/>
          <w:color w:val="auto"/>
          <w:sz w:val="24"/>
          <w:szCs w:val="24"/>
          <w:highlight w:val="none"/>
          <w:lang w:val="en-US" w:eastAsia="zh-CN"/>
        </w:rPr>
        <w:t>增加购物点的，按当批次休养费用的</w:t>
      </w:r>
      <w:r>
        <w:rPr>
          <w:rFonts w:hint="eastAsia"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w:t>
      </w:r>
      <w:r>
        <w:rPr>
          <w:rFonts w:hint="eastAsia" w:hAnsi="宋体" w:cs="宋体"/>
          <w:color w:val="auto"/>
          <w:sz w:val="24"/>
          <w:szCs w:val="24"/>
          <w:highlight w:val="none"/>
          <w:lang w:val="en-US" w:eastAsia="zh-CN"/>
        </w:rPr>
        <w:t>向甲方支付违约金；如乙方</w:t>
      </w:r>
      <w:r>
        <w:rPr>
          <w:rFonts w:hint="eastAsia" w:ascii="宋体" w:hAnsi="宋体" w:eastAsia="宋体" w:cs="宋体"/>
          <w:color w:val="auto"/>
          <w:sz w:val="24"/>
          <w:szCs w:val="24"/>
          <w:highlight w:val="none"/>
          <w:lang w:val="en-US" w:eastAsia="zh-CN"/>
        </w:rPr>
        <w:t>未经甲方</w:t>
      </w:r>
      <w:r>
        <w:rPr>
          <w:rFonts w:hint="eastAsia" w:hAnsi="宋体" w:cs="宋体"/>
          <w:color w:val="auto"/>
          <w:sz w:val="24"/>
          <w:szCs w:val="24"/>
          <w:highlight w:val="none"/>
          <w:lang w:val="en-US" w:eastAsia="zh-CN"/>
        </w:rPr>
        <w:t>书面</w:t>
      </w:r>
      <w:r>
        <w:rPr>
          <w:rFonts w:hint="eastAsia" w:ascii="宋体" w:hAnsi="宋体" w:eastAsia="宋体" w:cs="宋体"/>
          <w:color w:val="auto"/>
          <w:sz w:val="24"/>
          <w:szCs w:val="24"/>
          <w:highlight w:val="none"/>
          <w:lang w:val="en-US" w:eastAsia="zh-CN"/>
        </w:rPr>
        <w:t>同意擅自更换投标配备人员的，按当批次</w:t>
      </w:r>
      <w:r>
        <w:rPr>
          <w:rFonts w:hint="eastAsia" w:hAnsi="宋体" w:cs="宋体"/>
          <w:color w:val="auto"/>
          <w:sz w:val="24"/>
          <w:szCs w:val="24"/>
          <w:highlight w:val="none"/>
          <w:lang w:val="en-US" w:eastAsia="zh-CN"/>
        </w:rPr>
        <w:t>对应人员服务</w:t>
      </w:r>
      <w:r>
        <w:rPr>
          <w:rFonts w:hint="eastAsia" w:ascii="宋体" w:hAnsi="宋体" w:eastAsia="宋体" w:cs="宋体"/>
          <w:color w:val="auto"/>
          <w:sz w:val="24"/>
          <w:szCs w:val="24"/>
          <w:highlight w:val="none"/>
          <w:lang w:val="en-US" w:eastAsia="zh-CN"/>
        </w:rPr>
        <w:t>费用的20%</w:t>
      </w:r>
      <w:r>
        <w:rPr>
          <w:rFonts w:hint="eastAsia" w:hAnsi="宋体" w:cs="宋体"/>
          <w:color w:val="auto"/>
          <w:sz w:val="24"/>
          <w:szCs w:val="24"/>
          <w:highlight w:val="none"/>
          <w:lang w:val="en-US" w:eastAsia="zh-CN"/>
        </w:rPr>
        <w:t>向甲方支付违约金</w:t>
      </w:r>
      <w:r>
        <w:rPr>
          <w:rFonts w:hint="eastAsia" w:ascii="宋体" w:hAnsi="宋体" w:eastAsia="宋体" w:cs="宋体"/>
          <w:color w:val="auto"/>
          <w:sz w:val="24"/>
          <w:szCs w:val="24"/>
          <w:highlight w:val="none"/>
          <w:lang w:val="en-US" w:eastAsia="zh-CN"/>
        </w:rPr>
        <w:t>，如因特殊原因经采购人书面同意更换的，更换后人员资质条件不得低于原服务人员。</w:t>
      </w:r>
      <w:bookmarkEnd w:id="14"/>
    </w:p>
    <w:p w14:paraId="50B178F6">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.4 中标后，中标人投标文件中承诺的人员或服务事项不能兑现的，甲方有权决定是否继续履行合同。若甲方决定解除合同，在采购人未招标确定下一家供应商之前，该中标人应继续按原约定标准进行服务。</w:t>
      </w:r>
    </w:p>
    <w:p w14:paraId="73D9A1F2">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.5乙方在服务过程中向甲方提交虚假材料，不如实告知服务具体情况，致使甲方产生损失的，甲方有权终止本合同，</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lang w:eastAsia="zh-CN"/>
        </w:rPr>
        <w:t>还应向甲方支付本合同总价款30%的违约金，违约金不足以弥补甲方损失的，乙方应</w:t>
      </w:r>
      <w:r>
        <w:rPr>
          <w:rFonts w:hint="eastAsia" w:ascii="宋体" w:hAnsi="宋体" w:eastAsia="宋体" w:cs="宋体"/>
          <w:color w:val="auto"/>
          <w:sz w:val="24"/>
          <w:szCs w:val="24"/>
          <w:highlight w:val="none"/>
          <w:lang w:val="en-US" w:eastAsia="zh-CN"/>
        </w:rPr>
        <w:t>继续承担赔偿责任</w:t>
      </w:r>
      <w:r>
        <w:rPr>
          <w:rFonts w:hint="eastAsia" w:ascii="宋体" w:hAnsi="宋体" w:eastAsia="宋体" w:cs="宋体"/>
          <w:color w:val="auto"/>
          <w:sz w:val="24"/>
          <w:szCs w:val="24"/>
          <w:highlight w:val="none"/>
          <w:lang w:eastAsia="zh-CN"/>
        </w:rPr>
        <w:t>。</w:t>
      </w:r>
    </w:p>
    <w:p w14:paraId="68FF412B">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eastAsia="zh-CN"/>
        </w:rPr>
        <w:t>、廉政廉洁条款</w:t>
      </w:r>
    </w:p>
    <w:p w14:paraId="7D9CEFB2">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1采购过程中如发现乙方围标、串标，或向甲方行贿等违法违规行为的，一经查实，甲方有权终止合同，并不再支付乙方剩余合同款，乙方退回已支付合同款，同时，承诺不再参加甲方后三年组织的政府采购活动。</w:t>
      </w:r>
    </w:p>
    <w:p w14:paraId="78E99E8F">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eastAsia="zh-CN"/>
        </w:rPr>
        <w:t>、保密条款</w:t>
      </w:r>
    </w:p>
    <w:p w14:paraId="42E975A6">
      <w:pPr>
        <w:widowControl/>
        <w:spacing w:line="336" w:lineRule="auto"/>
        <w:ind w:firstLine="480"/>
        <w:rPr>
          <w:rFonts w:hint="eastAsia" w:ascii="宋体" w:hAnsi="宋体" w:eastAsia="宋体" w:cs="宋体"/>
          <w:color w:val="FF0000"/>
          <w:sz w:val="24"/>
          <w:szCs w:val="24"/>
          <w:highlight w:val="none"/>
          <w:lang w:eastAsia="zh-CN"/>
        </w:rPr>
      </w:pPr>
      <w:bookmarkStart w:id="15" w:name="auto_fouce_20"/>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.1 甲乙双方对在合作过程中知悉的对方保密信息承担保密义务。保密信息包括对方以书面形式明确标注为“保密”的</w:t>
      </w:r>
      <w:r>
        <w:rPr>
          <w:rFonts w:hint="eastAsia" w:ascii="宋体" w:hAnsi="宋体" w:eastAsia="宋体" w:cs="宋体"/>
          <w:color w:val="auto"/>
          <w:sz w:val="24"/>
          <w:szCs w:val="24"/>
          <w:highlight w:val="none"/>
          <w:lang w:val="en-US" w:eastAsia="zh-CN"/>
        </w:rPr>
        <w:t>信息</w:t>
      </w:r>
      <w:r>
        <w:rPr>
          <w:rFonts w:hint="eastAsia" w:ascii="宋体" w:hAnsi="宋体" w:eastAsia="宋体" w:cs="宋体"/>
          <w:color w:val="auto"/>
          <w:sz w:val="24"/>
          <w:szCs w:val="24"/>
          <w:highlight w:val="none"/>
          <w:lang w:eastAsia="zh-CN"/>
        </w:rPr>
        <w:t>，或虽未标注但依其性质及披露情形应当合理认定为保密的信息；涉及个人信息的，双方应按适用法律法规要求处理并仅为履行本合同之目的使用。未经对方事先书面同意，任何一方不得向第三方披露、使用或许可第三方使用保密信息，但为履行本合同之目的向其员工、关联方或受托服务机构披露且该等人员/机构承担不低于本条约定的保密义务的除外。</w:t>
      </w:r>
    </w:p>
    <w:p w14:paraId="695D31DE">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保密义务不适用于：(1)非因接收方原因已为公众所知的信息；(2)接收方在披露前已合法知悉的信息；(3)接收方从无保密义务的第三方合法取得的信息；(4)接收方依法令、司法机关或监管机构要求必须披露的信息（在法律允许范围内应及时通知对方并仅在必要范围内披露）。</w:t>
      </w:r>
    </w:p>
    <w:p w14:paraId="7EAEE782">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若乙方因故意或重大过失违反本条约定造成甲方损失的，乙方在其实际收取的对应服务费用总额30%的标准向甲方支付泄密范围内承担违约金及损失赔偿责任；因甲方或第三方原因导致的泄密，乙方不承担责任。乙方因履行本合同形成的服务流程优化方案、线路设计等成果及其相关权利归乙方所有。</w:t>
      </w:r>
      <w:bookmarkEnd w:id="15"/>
    </w:p>
    <w:p w14:paraId="322D29A5">
      <w:pPr>
        <w:widowControl/>
        <w:spacing w:line="336" w:lineRule="auto"/>
        <w:ind w:firstLine="480"/>
        <w:rPr>
          <w:rFonts w:hint="eastAsia" w:ascii="宋体" w:hAnsi="宋体" w:eastAsia="宋体" w:cs="宋体"/>
          <w:color w:val="auto"/>
          <w:sz w:val="24"/>
          <w:szCs w:val="24"/>
          <w:highlight w:val="none"/>
          <w:lang w:eastAsia="zh-CN"/>
        </w:rPr>
      </w:pPr>
      <w:bookmarkStart w:id="16" w:name="auto_fouce_21"/>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.2无论本合同是否变更、解除或终止，合同的保密条款不受其限制而继续有效，双方都应继续承担保密条款约定的保密义务。保密义务的期限为自信息知悉之日起3年，法律另有规定的从其规定。</w:t>
      </w:r>
      <w:bookmarkEnd w:id="16"/>
    </w:p>
    <w:p w14:paraId="5819B588">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lang w:eastAsia="zh-CN"/>
        </w:rPr>
        <w:t>、不可抗力事件处理</w:t>
      </w:r>
    </w:p>
    <w:p w14:paraId="61AE9FE3">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lang w:eastAsia="zh-CN"/>
        </w:rPr>
        <w:t>.1 在合同有效期内，任何一方因不可抗力事件导致不能履行合同，则合同履行期可延长，其延长期与不可抗力影响期相同。</w:t>
      </w:r>
    </w:p>
    <w:p w14:paraId="350156F8">
      <w:pPr>
        <w:widowControl/>
        <w:spacing w:line="336" w:lineRule="auto"/>
        <w:ind w:firstLine="480"/>
        <w:rPr>
          <w:rFonts w:hint="eastAsia" w:ascii="宋体" w:hAnsi="宋体" w:eastAsia="宋体" w:cs="宋体"/>
          <w:color w:val="auto"/>
          <w:sz w:val="24"/>
          <w:szCs w:val="24"/>
          <w:highlight w:val="none"/>
          <w:lang w:eastAsia="zh-CN"/>
        </w:rPr>
      </w:pPr>
      <w:bookmarkStart w:id="17" w:name="auto_fouce_22"/>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lang w:eastAsia="zh-CN"/>
        </w:rPr>
        <w:t>.2 不可抗力事件发生后，受影响方应于24小时内通知对方，并于事件发生后7个工作日内寄送有关权威机构出具的证明。</w:t>
      </w:r>
      <w:bookmarkEnd w:id="17"/>
    </w:p>
    <w:p w14:paraId="124E11CD">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lang w:eastAsia="zh-CN"/>
        </w:rPr>
        <w:t>.3 不可抗力事件延续120天以上，双方应通过友好协商，确定是否继续履行合同。</w:t>
      </w:r>
    </w:p>
    <w:p w14:paraId="4CB06D84">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十</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lang w:eastAsia="zh-CN"/>
        </w:rPr>
        <w:t>、解决争议的方法</w:t>
      </w:r>
    </w:p>
    <w:p w14:paraId="4360C955">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.1双方在签订、履行合同中所发生的一切争议，应通过友好协商解决。如协商不成，由甲方住所地人民法院管辖。</w:t>
      </w:r>
    </w:p>
    <w:p w14:paraId="3BA22297">
      <w:pPr>
        <w:widowControl/>
        <w:spacing w:line="336" w:lineRule="auto"/>
        <w:ind w:firstLine="48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十</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eastAsia="zh-CN"/>
        </w:rPr>
        <w:t>、合同生效及其它</w:t>
      </w:r>
    </w:p>
    <w:p w14:paraId="6EBCB2E8">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.1 合同经双方法定代表人或授权代表签字并加盖单位公章后生效。</w:t>
      </w:r>
    </w:p>
    <w:p w14:paraId="0D455A15">
      <w:pPr>
        <w:widowControl/>
        <w:spacing w:line="336" w:lineRule="auto"/>
        <w:ind w:firstLine="480"/>
        <w:rPr>
          <w:rFonts w:hint="eastAsia" w:ascii="宋体" w:hAnsi="宋体" w:eastAsia="宋体" w:cs="宋体"/>
          <w:color w:val="auto"/>
          <w:sz w:val="24"/>
          <w:szCs w:val="24"/>
          <w:highlight w:val="none"/>
          <w:lang w:eastAsia="zh-CN"/>
        </w:rPr>
      </w:pPr>
      <w:bookmarkStart w:id="18" w:name="auto_fouce_24"/>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2乙方转让债权应当提前7日书面通知甲方，未经通知的债权转让对甲方不发生法律效力，甲方仍有权按照合同约定账户支付费用。若乙方将对甲方的债权擅自转让给第三人，则乙方承担转让债权金额10%的违约金，同时甲方有权单方面解除本合同。第三人因债权转让起诉的，甲方因此次诉讼而产生的案件诉讼费、第三人主张的违约金、利息损失、律师费、保全费、保函费、鉴定费等均由乙方承担。</w:t>
      </w:r>
      <w:bookmarkEnd w:id="18"/>
    </w:p>
    <w:p w14:paraId="0781962D">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.3本合同未尽事宜，</w:t>
      </w:r>
      <w:r>
        <w:rPr>
          <w:rFonts w:hint="eastAsia" w:ascii="宋体" w:hAnsi="宋体" w:eastAsia="宋体" w:cs="宋体"/>
          <w:color w:val="auto"/>
          <w:sz w:val="24"/>
          <w:szCs w:val="24"/>
          <w:highlight w:val="none"/>
          <w:lang w:val="en-US" w:eastAsia="zh-CN"/>
        </w:rPr>
        <w:t>由双方友好协商并</w:t>
      </w:r>
      <w:r>
        <w:rPr>
          <w:rFonts w:hint="eastAsia" w:ascii="宋体" w:hAnsi="宋体" w:eastAsia="宋体" w:cs="宋体"/>
          <w:color w:val="auto"/>
          <w:sz w:val="24"/>
          <w:szCs w:val="24"/>
          <w:highlight w:val="none"/>
          <w:lang w:eastAsia="zh-CN"/>
        </w:rPr>
        <w:t>遵照中华人民共和国现行法律法规有关条文执行。</w:t>
      </w:r>
    </w:p>
    <w:p w14:paraId="133F440A">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.4 本合同正本一式</w:t>
      </w:r>
      <w:r>
        <w:rPr>
          <w:rFonts w:hint="eastAsia" w:ascii="宋体" w:hAnsi="宋体" w:eastAsia="宋体" w:cs="宋体"/>
          <w:color w:val="auto"/>
          <w:sz w:val="24"/>
          <w:szCs w:val="24"/>
          <w:highlight w:val="none"/>
          <w:lang w:val="en-US" w:eastAsia="zh-CN"/>
        </w:rPr>
        <w:t>肆</w:t>
      </w:r>
      <w:r>
        <w:rPr>
          <w:rFonts w:hint="eastAsia" w:ascii="宋体" w:hAnsi="宋体" w:eastAsia="宋体" w:cs="宋体"/>
          <w:color w:val="auto"/>
          <w:sz w:val="24"/>
          <w:szCs w:val="24"/>
          <w:highlight w:val="none"/>
          <w:lang w:eastAsia="zh-CN"/>
        </w:rPr>
        <w:t>份，具有同等法律效力，甲方、乙方各执</w:t>
      </w:r>
      <w:r>
        <w:rPr>
          <w:rFonts w:hint="eastAsia" w:ascii="宋体" w:hAnsi="宋体" w:eastAsia="宋体" w:cs="宋体"/>
          <w:color w:val="auto"/>
          <w:sz w:val="24"/>
          <w:szCs w:val="24"/>
          <w:highlight w:val="none"/>
          <w:lang w:val="en-US" w:eastAsia="zh-CN"/>
        </w:rPr>
        <w:t>贰</w:t>
      </w:r>
      <w:r>
        <w:rPr>
          <w:rFonts w:hint="eastAsia" w:ascii="宋体" w:hAnsi="宋体" w:eastAsia="宋体" w:cs="宋体"/>
          <w:color w:val="auto"/>
          <w:sz w:val="24"/>
          <w:szCs w:val="24"/>
          <w:highlight w:val="none"/>
          <w:lang w:eastAsia="zh-CN"/>
        </w:rPr>
        <w:t>份。</w:t>
      </w:r>
    </w:p>
    <w:p w14:paraId="665E7E42">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.5 进场前乙方应配合甲方对所有人员进行背景审查。</w:t>
      </w:r>
    </w:p>
    <w:p w14:paraId="7C9F343A">
      <w:pPr>
        <w:widowControl/>
        <w:spacing w:line="336" w:lineRule="auto"/>
        <w:ind w:firstLine="480"/>
        <w:rPr>
          <w:rFonts w:hint="eastAsia" w:ascii="宋体" w:hAnsi="宋体" w:eastAsia="宋体" w:cs="宋体"/>
          <w:color w:val="auto"/>
          <w:sz w:val="24"/>
          <w:szCs w:val="24"/>
          <w:highlight w:val="none"/>
          <w:lang w:eastAsia="zh-CN"/>
        </w:rPr>
      </w:pPr>
      <w:bookmarkStart w:id="19" w:name="auto_fouce_25"/>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.6 如发生安全事故，由责任方根据其过错程度承担相应责任。乙方仅在因乙方原因（包括乙方故意或重大过失）导致安全事故并造成人身伤害或财产损失的范围内承担相应责任；已由保险赔付的部分，乙方不再重复承担。因甲方或休养人员自身过错、第三方原因或不可抗力等非乙方原因造成的损失，乙方不承担责任。</w:t>
      </w:r>
      <w:bookmarkEnd w:id="19"/>
    </w:p>
    <w:p w14:paraId="29235EBB">
      <w:pPr>
        <w:widowControl/>
        <w:spacing w:line="336" w:lineRule="auto"/>
        <w:ind w:firstLine="480"/>
        <w:rPr>
          <w:rFonts w:hint="eastAsia" w:ascii="宋体" w:hAnsi="宋体" w:eastAsia="宋体" w:cs="宋体"/>
          <w:color w:val="auto"/>
          <w:sz w:val="24"/>
          <w:szCs w:val="24"/>
          <w:highlight w:val="none"/>
          <w:lang w:eastAsia="zh-CN"/>
        </w:rPr>
      </w:pPr>
    </w:p>
    <w:p w14:paraId="572BFE39">
      <w:pPr>
        <w:widowControl/>
        <w:spacing w:line="336" w:lineRule="auto"/>
        <w:ind w:firstLine="480"/>
        <w:rPr>
          <w:rFonts w:hint="eastAsia" w:ascii="宋体" w:hAnsi="宋体" w:eastAsia="宋体" w:cs="宋体"/>
          <w:color w:val="auto"/>
          <w:sz w:val="24"/>
          <w:szCs w:val="24"/>
          <w:highlight w:val="none"/>
          <w:lang w:eastAsia="zh-CN"/>
        </w:rPr>
      </w:pPr>
    </w:p>
    <w:p w14:paraId="5C37837F">
      <w:pPr>
        <w:widowControl/>
        <w:spacing w:line="336" w:lineRule="auto"/>
        <w:ind w:firstLine="480"/>
        <w:rPr>
          <w:rFonts w:hint="eastAsia" w:ascii="宋体" w:hAnsi="宋体" w:eastAsia="宋体" w:cs="宋体"/>
          <w:color w:val="auto"/>
          <w:sz w:val="24"/>
          <w:szCs w:val="24"/>
          <w:highlight w:val="none"/>
          <w:lang w:eastAsia="zh-CN"/>
        </w:rPr>
      </w:pPr>
    </w:p>
    <w:p w14:paraId="5B9936B0">
      <w:pPr>
        <w:widowControl/>
        <w:spacing w:line="336" w:lineRule="auto"/>
        <w:ind w:firstLine="480"/>
        <w:rPr>
          <w:rFonts w:hint="eastAsia" w:ascii="宋体" w:hAnsi="宋体" w:eastAsia="宋体" w:cs="宋体"/>
          <w:color w:val="auto"/>
          <w:sz w:val="24"/>
          <w:szCs w:val="24"/>
          <w:highlight w:val="none"/>
          <w:lang w:eastAsia="zh-CN"/>
        </w:rPr>
      </w:pPr>
    </w:p>
    <w:p w14:paraId="0ED3A50C">
      <w:pPr>
        <w:widowControl/>
        <w:spacing w:line="336" w:lineRule="auto"/>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w:t>
      </w:r>
    </w:p>
    <w:p w14:paraId="2D925F03">
      <w:pPr>
        <w:widowControl/>
        <w:spacing w:line="240" w:lineRule="auto"/>
        <w:ind w:left="5040" w:leftChars="0" w:hanging="5040" w:hangingChars="2100"/>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 xml:space="preserve">甲方： </w:t>
      </w:r>
      <w:r>
        <w:rPr>
          <w:rFonts w:hint="eastAsia" w:ascii="Times New Roman" w:hAnsi="Times New Roman" w:eastAsia="宋体" w:cs="Times New Roman"/>
          <w:color w:val="auto"/>
          <w:sz w:val="24"/>
          <w:szCs w:val="24"/>
          <w:highlight w:val="none"/>
          <w:lang w:val="en-US" w:eastAsia="zh-CN"/>
        </w:rPr>
        <w:t>江苏省公安厅</w:t>
      </w:r>
      <w:r>
        <w:rPr>
          <w:rFonts w:hint="eastAsia" w:ascii="Times New Roman" w:hAnsi="Times New Roman" w:eastAsia="宋体" w:cs="Times New Roman"/>
          <w:color w:val="auto"/>
          <w:sz w:val="24"/>
          <w:szCs w:val="24"/>
          <w:highlight w:val="none"/>
          <w:lang w:eastAsia="zh-CN"/>
        </w:rPr>
        <w:t xml:space="preserve">              </w:t>
      </w:r>
      <w:r>
        <w:rPr>
          <w:rFonts w:hint="eastAsia" w:ascii="Times New Roman" w:hAnsi="Times New Roman" w:eastAsia="宋体"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eastAsia="zh-CN"/>
        </w:rPr>
        <w:t xml:space="preserve">乙方：中国国旅（江苏）国际旅行社有限公司 </w:t>
      </w:r>
    </w:p>
    <w:p w14:paraId="320D96F9">
      <w:pPr>
        <w:widowControl/>
        <w:spacing w:line="336" w:lineRule="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地址：</w:t>
      </w:r>
      <w:r>
        <w:rPr>
          <w:rFonts w:hint="eastAsia" w:ascii="Times New Roman" w:hAnsi="Times New Roman" w:eastAsia="宋体" w:cs="Times New Roman"/>
          <w:color w:val="auto"/>
          <w:sz w:val="24"/>
          <w:szCs w:val="24"/>
          <w:highlight w:val="none"/>
          <w:lang w:val="en-US" w:eastAsia="zh-CN"/>
        </w:rPr>
        <w:t>南京市鼓楼区扬州路1号</w:t>
      </w:r>
      <w:r>
        <w:rPr>
          <w:rFonts w:hint="eastAsia" w:ascii="Times New Roman" w:hAnsi="Times New Roman" w:eastAsia="宋体" w:cs="Times New Roman"/>
          <w:color w:val="auto"/>
          <w:sz w:val="24"/>
          <w:szCs w:val="24"/>
          <w:highlight w:val="none"/>
          <w:lang w:eastAsia="zh-CN"/>
        </w:rPr>
        <w:t xml:space="preserve">       地址：南京市中山北路202-1号 </w:t>
      </w:r>
    </w:p>
    <w:p w14:paraId="0FF87438">
      <w:pPr>
        <w:widowControl/>
        <w:spacing w:line="336" w:lineRule="auto"/>
        <w:rPr>
          <w:rFonts w:hint="eastAsia" w:ascii="Times New Roman" w:hAnsi="Times New Roman" w:eastAsia="宋体" w:cs="Times New Roman"/>
          <w:color w:val="auto"/>
          <w:sz w:val="24"/>
          <w:szCs w:val="24"/>
          <w:highlight w:val="none"/>
          <w:lang w:eastAsia="zh-CN"/>
        </w:rPr>
      </w:pPr>
    </w:p>
    <w:p w14:paraId="085E5F27">
      <w:pPr>
        <w:widowControl/>
        <w:spacing w:line="336" w:lineRule="auto"/>
        <w:rPr>
          <w:rFonts w:hint="eastAsia" w:ascii="Times New Roman" w:hAnsi="Times New Roman" w:eastAsia="宋体" w:cs="Times New Roman"/>
          <w:color w:val="auto"/>
          <w:sz w:val="24"/>
          <w:szCs w:val="24"/>
          <w:highlight w:val="none"/>
          <w:lang w:eastAsia="zh-CN"/>
        </w:rPr>
      </w:pPr>
      <w:bookmarkStart w:id="20" w:name="tip_risk_bookmark_26"/>
      <w:r>
        <w:rPr>
          <w:rFonts w:hint="eastAsia" w:ascii="Times New Roman" w:hAnsi="Times New Roman" w:eastAsia="宋体" w:cs="Times New Roman"/>
          <w:color w:val="auto"/>
          <w:sz w:val="24"/>
          <w:szCs w:val="24"/>
          <w:highlight w:val="none"/>
          <w:lang w:eastAsia="zh-CN"/>
        </w:rPr>
        <w:t xml:space="preserve">法定代表人或授权代表：        </w:t>
      </w:r>
      <w:r>
        <w:rPr>
          <w:rFonts w:hint="eastAsia" w:ascii="Times New Roman" w:hAnsi="Times New Roman" w:eastAsia="宋体"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eastAsia="zh-CN"/>
        </w:rPr>
        <w:t>法定代表人或授权代表：</w:t>
      </w:r>
      <w:bookmarkEnd w:id="20"/>
    </w:p>
    <w:p w14:paraId="2676344D">
      <w:pPr>
        <w:widowControl/>
        <w:spacing w:line="336" w:lineRule="auto"/>
        <w:rPr>
          <w:rFonts w:hint="eastAsia" w:ascii="Times New Roman" w:hAnsi="Times New Roman" w:eastAsia="宋体" w:cs="Times New Roman"/>
          <w:color w:val="auto"/>
          <w:sz w:val="24"/>
          <w:szCs w:val="24"/>
          <w:highlight w:val="none"/>
          <w:lang w:eastAsia="zh-CN"/>
        </w:rPr>
      </w:pPr>
    </w:p>
    <w:p w14:paraId="170F5320">
      <w:pPr>
        <w:widowControl/>
        <w:spacing w:line="336" w:lineRule="auto"/>
        <w:rPr>
          <w:rFonts w:hint="eastAsia" w:ascii="Times New Roman" w:hAnsi="Times New Roman" w:eastAsia="宋体" w:cs="Times New Roman"/>
          <w:color w:val="auto"/>
          <w:sz w:val="24"/>
          <w:szCs w:val="24"/>
          <w:highlight w:val="none"/>
          <w:lang w:eastAsia="zh-CN"/>
        </w:rPr>
      </w:pPr>
      <w:bookmarkStart w:id="21" w:name="tip_risk_bookmark_27"/>
      <w:r>
        <w:rPr>
          <w:rFonts w:hint="eastAsia" w:ascii="Times New Roman" w:hAnsi="Times New Roman" w:eastAsia="宋体" w:cs="Times New Roman"/>
          <w:color w:val="auto"/>
          <w:sz w:val="24"/>
          <w:szCs w:val="24"/>
          <w:highlight w:val="none"/>
          <w:lang w:eastAsia="zh-CN"/>
        </w:rPr>
        <w:t xml:space="preserve">联系电话：                    </w:t>
      </w:r>
      <w:r>
        <w:rPr>
          <w:rFonts w:hint="eastAsia" w:ascii="Times New Roman" w:hAnsi="Times New Roman" w:eastAsia="宋体"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eastAsia="zh-CN"/>
        </w:rPr>
        <w:t>联系电话：</w:t>
      </w:r>
      <w:bookmarkEnd w:id="21"/>
      <w:r>
        <w:rPr>
          <w:rFonts w:hint="eastAsia" w:ascii="Times New Roman" w:hAnsi="Times New Roman" w:eastAsia="宋体" w:cs="Times New Roman"/>
          <w:color w:val="auto"/>
          <w:sz w:val="24"/>
          <w:szCs w:val="24"/>
          <w:highlight w:val="none"/>
          <w:lang w:val="en-US" w:eastAsia="zh-CN"/>
        </w:rPr>
        <w:t>13813355517</w:t>
      </w:r>
      <w:r>
        <w:rPr>
          <w:rFonts w:hint="eastAsia" w:ascii="Times New Roman" w:hAnsi="Times New Roman" w:eastAsia="宋体" w:cs="Times New Roman"/>
          <w:color w:val="auto"/>
          <w:sz w:val="24"/>
          <w:szCs w:val="24"/>
          <w:highlight w:val="none"/>
          <w:lang w:eastAsia="zh-CN"/>
        </w:rPr>
        <w:t xml:space="preserve">          </w:t>
      </w:r>
    </w:p>
    <w:p w14:paraId="29278C14">
      <w:pPr>
        <w:widowControl/>
        <w:spacing w:line="336" w:lineRule="auto"/>
        <w:rPr>
          <w:rFonts w:hint="eastAsia" w:ascii="Times New Roman" w:hAnsi="Times New Roman" w:eastAsia="宋体" w:cs="Times New Roman"/>
          <w:color w:val="auto"/>
          <w:sz w:val="24"/>
          <w:szCs w:val="24"/>
          <w:highlight w:val="none"/>
          <w:lang w:eastAsia="zh-CN"/>
        </w:rPr>
      </w:pPr>
    </w:p>
    <w:p w14:paraId="155E9EEB">
      <w:pPr>
        <w:widowControl/>
        <w:spacing w:line="336" w:lineRule="auto"/>
        <w:jc w:val="both"/>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签订日期：</w:t>
      </w:r>
      <w:r>
        <w:rPr>
          <w:rFonts w:hint="eastAsia" w:ascii="Times New Roman" w:hAnsi="Times New Roman" w:eastAsia="宋体" w:cs="Times New Roman"/>
          <w:color w:val="auto"/>
          <w:sz w:val="24"/>
          <w:szCs w:val="24"/>
          <w:highlight w:val="none"/>
          <w:lang w:val="en-US" w:eastAsia="zh-CN"/>
        </w:rPr>
        <w:t>2026</w:t>
      </w:r>
      <w:r>
        <w:rPr>
          <w:rFonts w:hint="eastAsia" w:ascii="Times New Roman" w:hAnsi="Times New Roman" w:eastAsia="宋体" w:cs="Times New Roman"/>
          <w:color w:val="auto"/>
          <w:sz w:val="24"/>
          <w:szCs w:val="24"/>
          <w:highlight w:val="none"/>
          <w:lang w:eastAsia="zh-CN"/>
        </w:rPr>
        <w:t>年</w:t>
      </w:r>
      <w:r>
        <w:rPr>
          <w:rFonts w:hint="eastAsia" w:ascii="Times New Roman" w:hAnsi="Times New Roman" w:eastAsia="宋体" w:cs="Times New Roman"/>
          <w:color w:val="auto"/>
          <w:sz w:val="24"/>
          <w:szCs w:val="24"/>
          <w:highlight w:val="none"/>
          <w:lang w:val="en-US" w:eastAsia="zh-CN"/>
        </w:rPr>
        <w:t>08</w:t>
      </w:r>
      <w:r>
        <w:rPr>
          <w:rFonts w:hint="eastAsia" w:ascii="Times New Roman" w:hAnsi="Times New Roman" w:eastAsia="宋体" w:cs="Times New Roman"/>
          <w:color w:val="auto"/>
          <w:sz w:val="24"/>
          <w:szCs w:val="24"/>
          <w:highlight w:val="none"/>
          <w:lang w:eastAsia="zh-CN"/>
        </w:rPr>
        <w:t>月</w:t>
      </w:r>
      <w:r>
        <w:rPr>
          <w:rFonts w:hint="eastAsia" w:ascii="Times New Roman" w:hAnsi="Times New Roman" w:eastAsia="宋体" w:cs="Times New Roman"/>
          <w:color w:val="auto"/>
          <w:sz w:val="24"/>
          <w:szCs w:val="24"/>
          <w:highlight w:val="none"/>
          <w:lang w:val="en-US" w:eastAsia="zh-CN"/>
        </w:rPr>
        <w:t>12</w:t>
      </w:r>
      <w:r>
        <w:rPr>
          <w:rFonts w:hint="eastAsia" w:ascii="Times New Roman" w:hAnsi="Times New Roman" w:eastAsia="宋体" w:cs="Times New Roman"/>
          <w:color w:val="auto"/>
          <w:sz w:val="24"/>
          <w:szCs w:val="24"/>
          <w:highlight w:val="none"/>
          <w:lang w:eastAsia="zh-CN"/>
        </w:rPr>
        <w:t>日</w:t>
      </w:r>
      <w:r>
        <w:rPr>
          <w:rFonts w:hint="eastAsia" w:ascii="Times New Roman" w:hAnsi="Times New Roman" w:eastAsia="宋体"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eastAsia="zh-CN"/>
        </w:rPr>
        <w:t>签订日期：</w:t>
      </w:r>
      <w:r>
        <w:rPr>
          <w:rFonts w:hint="eastAsia" w:ascii="Times New Roman" w:hAnsi="Times New Roman" w:eastAsia="宋体" w:cs="Times New Roman"/>
          <w:color w:val="auto"/>
          <w:sz w:val="24"/>
          <w:szCs w:val="24"/>
          <w:highlight w:val="none"/>
          <w:lang w:val="en-US" w:eastAsia="zh-CN"/>
        </w:rPr>
        <w:t>2026</w:t>
      </w:r>
      <w:r>
        <w:rPr>
          <w:rFonts w:hint="eastAsia" w:ascii="Times New Roman" w:hAnsi="Times New Roman" w:eastAsia="宋体" w:cs="Times New Roman"/>
          <w:color w:val="auto"/>
          <w:sz w:val="24"/>
          <w:szCs w:val="24"/>
          <w:highlight w:val="none"/>
          <w:lang w:eastAsia="zh-CN"/>
        </w:rPr>
        <w:t>年</w:t>
      </w:r>
      <w:r>
        <w:rPr>
          <w:rFonts w:hint="eastAsia" w:ascii="Times New Roman" w:hAnsi="Times New Roman" w:eastAsia="宋体" w:cs="Times New Roman"/>
          <w:color w:val="auto"/>
          <w:sz w:val="24"/>
          <w:szCs w:val="24"/>
          <w:highlight w:val="none"/>
          <w:lang w:val="en-US" w:eastAsia="zh-CN"/>
        </w:rPr>
        <w:t>08</w:t>
      </w:r>
      <w:r>
        <w:rPr>
          <w:rFonts w:hint="eastAsia" w:ascii="Times New Roman" w:hAnsi="Times New Roman" w:eastAsia="宋体" w:cs="Times New Roman"/>
          <w:color w:val="auto"/>
          <w:sz w:val="24"/>
          <w:szCs w:val="24"/>
          <w:highlight w:val="none"/>
          <w:lang w:eastAsia="zh-CN"/>
        </w:rPr>
        <w:t>月</w:t>
      </w:r>
      <w:r>
        <w:rPr>
          <w:rFonts w:hint="eastAsia" w:ascii="Times New Roman" w:hAnsi="Times New Roman" w:eastAsia="宋体" w:cs="Times New Roman"/>
          <w:color w:val="auto"/>
          <w:sz w:val="24"/>
          <w:szCs w:val="24"/>
          <w:highlight w:val="none"/>
          <w:lang w:val="en-US" w:eastAsia="zh-CN"/>
        </w:rPr>
        <w:t>12</w:t>
      </w:r>
      <w:r>
        <w:rPr>
          <w:rFonts w:hint="eastAsia" w:ascii="Times New Roman" w:hAnsi="Times New Roman" w:eastAsia="宋体" w:cs="Times New Roman"/>
          <w:color w:val="auto"/>
          <w:sz w:val="24"/>
          <w:szCs w:val="24"/>
          <w:highlight w:val="none"/>
          <w:lang w:eastAsia="zh-CN"/>
        </w:rPr>
        <w:t>日</w:t>
      </w:r>
    </w:p>
    <w:p w14:paraId="24905453">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14:paraId="44117EEB">
      <w:pPr>
        <w:pStyle w:val="2"/>
        <w:ind w:left="0" w:firstLine="0"/>
        <w:rPr>
          <w:rFonts w:hint="default" w:cs="宋体"/>
          <w:b/>
          <w:bCs/>
          <w:color w:val="auto"/>
          <w:sz w:val="21"/>
          <w:szCs w:val="21"/>
          <w:highlight w:val="none"/>
          <w:lang w:val="en-US" w:eastAsia="zh-CN"/>
        </w:rPr>
      </w:pPr>
      <w:r>
        <w:rPr>
          <w:rFonts w:hint="eastAsia" w:cs="宋体"/>
          <w:b/>
          <w:bCs/>
          <w:color w:val="auto"/>
          <w:sz w:val="21"/>
          <w:szCs w:val="21"/>
          <w:highlight w:val="none"/>
          <w:lang w:val="en-US" w:eastAsia="zh-CN"/>
        </w:rPr>
        <w:t>附件一、2026年度功模代表休养活动满意度反馈表</w:t>
      </w:r>
    </w:p>
    <w:tbl>
      <w:tblPr>
        <w:tblStyle w:val="7"/>
        <w:tblW w:w="506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27"/>
        <w:gridCol w:w="4000"/>
        <w:gridCol w:w="972"/>
        <w:gridCol w:w="972"/>
        <w:gridCol w:w="972"/>
        <w:gridCol w:w="981"/>
      </w:tblGrid>
      <w:tr w14:paraId="46B54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5000" w:type="pct"/>
            <w:gridSpan w:val="6"/>
            <w:noWrap w:val="0"/>
            <w:vAlign w:val="center"/>
          </w:tcPr>
          <w:p w14:paraId="2A462142">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b/>
                <w:bCs/>
                <w:color w:val="auto"/>
                <w:spacing w:val="0"/>
                <w:sz w:val="21"/>
                <w:szCs w:val="21"/>
                <w:highlight w:val="none"/>
              </w:rPr>
              <w:t>2026年度功模代表休养活动满意度反馈表</w:t>
            </w:r>
          </w:p>
        </w:tc>
      </w:tr>
      <w:tr w14:paraId="12EAC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5000" w:type="pct"/>
            <w:gridSpan w:val="6"/>
            <w:noWrap w:val="0"/>
            <w:vAlign w:val="center"/>
          </w:tcPr>
          <w:p w14:paraId="36143729">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感谢您对旅行社的服务情况进行评分反馈。希望您能认真、详实地填写。同时为耽误您的宝贵时间表示歉意。</w:t>
            </w:r>
          </w:p>
        </w:tc>
      </w:tr>
      <w:tr w14:paraId="2CBA1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5000" w:type="pct"/>
            <w:gridSpan w:val="6"/>
            <w:noWrap w:val="0"/>
            <w:vAlign w:val="center"/>
          </w:tcPr>
          <w:p w14:paraId="1D8CC01E">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bookmarkStart w:id="22" w:name="tip_risk_bookmark_28"/>
            <w:r>
              <w:rPr>
                <w:rFonts w:hint="eastAsia" w:ascii="宋体" w:hAnsi="宋体" w:eastAsia="宋体" w:cs="宋体"/>
                <w:color w:val="auto"/>
                <w:spacing w:val="0"/>
                <w:sz w:val="21"/>
                <w:szCs w:val="21"/>
                <w:highlight w:val="none"/>
              </w:rPr>
              <w:t xml:space="preserve">为您服务的旅行社名称：               </w:t>
            </w:r>
            <w:r>
              <w:rPr>
                <w:rFonts w:hint="eastAsia" w:ascii="宋体" w:hAnsi="宋体" w:eastAsia="宋体" w:cs="宋体"/>
                <w:color w:val="auto"/>
                <w:spacing w:val="0"/>
                <w:sz w:val="21"/>
                <w:szCs w:val="21"/>
                <w:highlight w:val="none"/>
                <w:lang w:val="en-US" w:eastAsia="zh-CN"/>
              </w:rPr>
              <w:t xml:space="preserve">         </w:t>
            </w:r>
            <w:r>
              <w:rPr>
                <w:rFonts w:hint="eastAsia" w:ascii="宋体" w:hAnsi="宋体" w:eastAsia="宋体" w:cs="宋体"/>
                <w:color w:val="auto"/>
                <w:spacing w:val="0"/>
                <w:sz w:val="21"/>
                <w:szCs w:val="21"/>
                <w:highlight w:val="none"/>
                <w:u w:val="none"/>
              </w:rPr>
              <w:t>休养线路：</w:t>
            </w:r>
            <w:bookmarkEnd w:id="22"/>
          </w:p>
        </w:tc>
      </w:tr>
      <w:tr w14:paraId="2B02E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000" w:type="pct"/>
            <w:gridSpan w:val="6"/>
            <w:noWrap w:val="0"/>
            <w:vAlign w:val="center"/>
          </w:tcPr>
          <w:p w14:paraId="1F753F7D">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请根据您的实际感受对以下各项进行评分：</w:t>
            </w:r>
          </w:p>
        </w:tc>
      </w:tr>
      <w:tr w14:paraId="1FD37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687" w:type="pct"/>
            <w:gridSpan w:val="2"/>
            <w:vMerge w:val="restart"/>
            <w:noWrap w:val="0"/>
            <w:vAlign w:val="center"/>
          </w:tcPr>
          <w:p w14:paraId="082BE3D8">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评价内容</w:t>
            </w:r>
          </w:p>
        </w:tc>
        <w:tc>
          <w:tcPr>
            <w:tcW w:w="2312" w:type="pct"/>
            <w:gridSpan w:val="4"/>
            <w:noWrap w:val="0"/>
            <w:vAlign w:val="center"/>
          </w:tcPr>
          <w:p w14:paraId="19134D2D">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满意度评分(0-100分)</w:t>
            </w:r>
          </w:p>
        </w:tc>
      </w:tr>
      <w:tr w14:paraId="44473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2687" w:type="pct"/>
            <w:gridSpan w:val="2"/>
            <w:vMerge w:val="continue"/>
            <w:noWrap w:val="0"/>
            <w:vAlign w:val="center"/>
          </w:tcPr>
          <w:p w14:paraId="3FD6EBB1">
            <w:pPr>
              <w:pStyle w:val="8"/>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p>
        </w:tc>
        <w:tc>
          <w:tcPr>
            <w:tcW w:w="577" w:type="pct"/>
            <w:noWrap w:val="0"/>
            <w:vAlign w:val="center"/>
          </w:tcPr>
          <w:p w14:paraId="19FEA834">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非常满意</w:t>
            </w:r>
          </w:p>
        </w:tc>
        <w:tc>
          <w:tcPr>
            <w:tcW w:w="577" w:type="pct"/>
            <w:noWrap w:val="0"/>
            <w:vAlign w:val="center"/>
          </w:tcPr>
          <w:p w14:paraId="3B7629CC">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满意</w:t>
            </w:r>
          </w:p>
        </w:tc>
        <w:tc>
          <w:tcPr>
            <w:tcW w:w="577" w:type="pct"/>
            <w:noWrap w:val="0"/>
            <w:vAlign w:val="center"/>
          </w:tcPr>
          <w:p w14:paraId="49086408">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一般</w:t>
            </w:r>
          </w:p>
        </w:tc>
        <w:tc>
          <w:tcPr>
            <w:tcW w:w="581" w:type="pct"/>
            <w:noWrap w:val="0"/>
            <w:vAlign w:val="center"/>
          </w:tcPr>
          <w:p w14:paraId="4F7E5823">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不满意</w:t>
            </w:r>
          </w:p>
        </w:tc>
      </w:tr>
      <w:tr w14:paraId="73806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687" w:type="pct"/>
            <w:gridSpan w:val="2"/>
            <w:noWrap w:val="0"/>
            <w:vAlign w:val="center"/>
          </w:tcPr>
          <w:p w14:paraId="55A4C4DE">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分值</w:t>
            </w:r>
          </w:p>
        </w:tc>
        <w:tc>
          <w:tcPr>
            <w:tcW w:w="577" w:type="pct"/>
            <w:noWrap w:val="0"/>
            <w:vAlign w:val="center"/>
          </w:tcPr>
          <w:p w14:paraId="43578E2E">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5</w:t>
            </w:r>
          </w:p>
        </w:tc>
        <w:tc>
          <w:tcPr>
            <w:tcW w:w="577" w:type="pct"/>
            <w:noWrap w:val="0"/>
            <w:vAlign w:val="center"/>
          </w:tcPr>
          <w:p w14:paraId="368D688F">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w:t>
            </w:r>
          </w:p>
        </w:tc>
        <w:tc>
          <w:tcPr>
            <w:tcW w:w="577" w:type="pct"/>
            <w:noWrap w:val="0"/>
            <w:vAlign w:val="center"/>
          </w:tcPr>
          <w:p w14:paraId="07DB1EF0">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w:t>
            </w:r>
          </w:p>
        </w:tc>
        <w:tc>
          <w:tcPr>
            <w:tcW w:w="581" w:type="pct"/>
            <w:noWrap w:val="0"/>
            <w:vAlign w:val="center"/>
          </w:tcPr>
          <w:p w14:paraId="2B3F32D7">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0</w:t>
            </w:r>
          </w:p>
        </w:tc>
      </w:tr>
      <w:tr w14:paraId="12284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313" w:type="pct"/>
            <w:vMerge w:val="restart"/>
            <w:noWrap w:val="0"/>
            <w:vAlign w:val="center"/>
          </w:tcPr>
          <w:p w14:paraId="428B65F6">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交通 安排</w:t>
            </w:r>
          </w:p>
        </w:tc>
        <w:tc>
          <w:tcPr>
            <w:tcW w:w="2373" w:type="pct"/>
            <w:noWrap w:val="0"/>
            <w:vAlign w:val="center"/>
          </w:tcPr>
          <w:p w14:paraId="486A5929">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车况及性能</w:t>
            </w:r>
          </w:p>
        </w:tc>
        <w:tc>
          <w:tcPr>
            <w:tcW w:w="577" w:type="pct"/>
            <w:noWrap w:val="0"/>
            <w:vAlign w:val="center"/>
          </w:tcPr>
          <w:p w14:paraId="40027061">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20174A3C">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64AD12F5">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34736C9D">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00E38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313" w:type="pct"/>
            <w:vMerge w:val="continue"/>
            <w:noWrap w:val="0"/>
            <w:vAlign w:val="center"/>
          </w:tcPr>
          <w:p w14:paraId="1A1FE53A">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45F9FAFF">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到点准时</w:t>
            </w:r>
          </w:p>
        </w:tc>
        <w:tc>
          <w:tcPr>
            <w:tcW w:w="577" w:type="pct"/>
            <w:noWrap w:val="0"/>
            <w:vAlign w:val="center"/>
          </w:tcPr>
          <w:p w14:paraId="68BF057C">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0C810E01">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08F7E9EF">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7C7C19C5">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5987B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313" w:type="pct"/>
            <w:vMerge w:val="continue"/>
            <w:noWrap w:val="0"/>
            <w:vAlign w:val="center"/>
          </w:tcPr>
          <w:p w14:paraId="3B968389">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65B5FE06">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司机态度及技术</w:t>
            </w:r>
          </w:p>
        </w:tc>
        <w:tc>
          <w:tcPr>
            <w:tcW w:w="577" w:type="pct"/>
            <w:noWrap w:val="0"/>
            <w:vAlign w:val="center"/>
          </w:tcPr>
          <w:p w14:paraId="104896B0">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5A423AA9">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4293228F">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65CC3555">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0C048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313" w:type="pct"/>
            <w:vMerge w:val="continue"/>
            <w:noWrap w:val="0"/>
            <w:vAlign w:val="center"/>
          </w:tcPr>
          <w:p w14:paraId="40689958">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66F4FAF4">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全程交通衔接及总体满意程度</w:t>
            </w:r>
          </w:p>
        </w:tc>
        <w:tc>
          <w:tcPr>
            <w:tcW w:w="577" w:type="pct"/>
            <w:noWrap w:val="0"/>
            <w:vAlign w:val="center"/>
          </w:tcPr>
          <w:p w14:paraId="34392584">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32F8D5FC">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13E77883">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218892C0">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23687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313" w:type="pct"/>
            <w:vMerge w:val="restart"/>
            <w:noWrap w:val="0"/>
            <w:vAlign w:val="center"/>
          </w:tcPr>
          <w:p w14:paraId="13A037C6">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住宿 安排</w:t>
            </w:r>
          </w:p>
        </w:tc>
        <w:tc>
          <w:tcPr>
            <w:tcW w:w="2373" w:type="pct"/>
            <w:noWrap w:val="0"/>
            <w:vAlign w:val="center"/>
          </w:tcPr>
          <w:p w14:paraId="58B41664">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周边环境安全，客房卫生整洁</w:t>
            </w:r>
          </w:p>
        </w:tc>
        <w:tc>
          <w:tcPr>
            <w:tcW w:w="577" w:type="pct"/>
            <w:noWrap w:val="0"/>
            <w:vAlign w:val="center"/>
          </w:tcPr>
          <w:p w14:paraId="7FEC110A">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7A37071B">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2E6F5FBC">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480EA700">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01A0B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313" w:type="pct"/>
            <w:vMerge w:val="continue"/>
            <w:noWrap w:val="0"/>
            <w:vAlign w:val="center"/>
          </w:tcPr>
          <w:p w14:paraId="625F7130">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2E1875DD">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住宿地点交通便捷</w:t>
            </w:r>
          </w:p>
        </w:tc>
        <w:tc>
          <w:tcPr>
            <w:tcW w:w="577" w:type="pct"/>
            <w:noWrap w:val="0"/>
            <w:vAlign w:val="center"/>
          </w:tcPr>
          <w:p w14:paraId="1BD594DB">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51295A2F">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5A3753E4">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2A2F2A75">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112DB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313" w:type="pct"/>
            <w:vMerge w:val="continue"/>
            <w:noWrap w:val="0"/>
            <w:vAlign w:val="center"/>
          </w:tcPr>
          <w:p w14:paraId="1C02F3D0">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009DEC5D">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宾馆设施及使用性能</w:t>
            </w:r>
          </w:p>
        </w:tc>
        <w:tc>
          <w:tcPr>
            <w:tcW w:w="577" w:type="pct"/>
            <w:noWrap w:val="0"/>
            <w:vAlign w:val="center"/>
          </w:tcPr>
          <w:p w14:paraId="364FEEF2">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1735CB0B">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1F331CB5">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1084C24B">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43468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313" w:type="pct"/>
            <w:vMerge w:val="continue"/>
            <w:noWrap w:val="0"/>
            <w:vAlign w:val="center"/>
          </w:tcPr>
          <w:p w14:paraId="6252C279">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3C216DCC">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服务水平及态度</w:t>
            </w:r>
          </w:p>
        </w:tc>
        <w:tc>
          <w:tcPr>
            <w:tcW w:w="577" w:type="pct"/>
            <w:noWrap w:val="0"/>
            <w:vAlign w:val="center"/>
          </w:tcPr>
          <w:p w14:paraId="57C933F2">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27567204">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0F03B860">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4D7EEE98">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05C2A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313" w:type="pct"/>
            <w:vMerge w:val="continue"/>
            <w:noWrap w:val="0"/>
            <w:vAlign w:val="center"/>
          </w:tcPr>
          <w:p w14:paraId="674B5C5F">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2576A743">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住宿安排总体满意程度</w:t>
            </w:r>
          </w:p>
        </w:tc>
        <w:tc>
          <w:tcPr>
            <w:tcW w:w="577" w:type="pct"/>
            <w:noWrap w:val="0"/>
            <w:vAlign w:val="center"/>
          </w:tcPr>
          <w:p w14:paraId="6AEEB1F1">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547EC889">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782C290F">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048959FA">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3FB52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313" w:type="pct"/>
            <w:vMerge w:val="restart"/>
            <w:noWrap w:val="0"/>
            <w:vAlign w:val="center"/>
          </w:tcPr>
          <w:p w14:paraId="5156FB34">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餐饮 安排</w:t>
            </w:r>
          </w:p>
        </w:tc>
        <w:tc>
          <w:tcPr>
            <w:tcW w:w="2373" w:type="pct"/>
            <w:noWrap w:val="0"/>
            <w:vAlign w:val="center"/>
          </w:tcPr>
          <w:p w14:paraId="0AA6E52F">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就餐环境</w:t>
            </w:r>
          </w:p>
        </w:tc>
        <w:tc>
          <w:tcPr>
            <w:tcW w:w="577" w:type="pct"/>
            <w:noWrap w:val="0"/>
            <w:vAlign w:val="center"/>
          </w:tcPr>
          <w:p w14:paraId="52C4F2DD">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2D71D89F">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556EBD94">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7B0AC44F">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6DB19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13" w:type="pct"/>
            <w:vMerge w:val="continue"/>
            <w:noWrap w:val="0"/>
            <w:vAlign w:val="center"/>
          </w:tcPr>
          <w:p w14:paraId="770402B9">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4BFF53C9">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菜肴卫生</w:t>
            </w:r>
          </w:p>
        </w:tc>
        <w:tc>
          <w:tcPr>
            <w:tcW w:w="577" w:type="pct"/>
            <w:noWrap w:val="0"/>
            <w:vAlign w:val="center"/>
          </w:tcPr>
          <w:p w14:paraId="75F280DE">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69A3AF0E">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26FF3F81">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3D3A06CF">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10E33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313" w:type="pct"/>
            <w:vMerge w:val="continue"/>
            <w:noWrap w:val="0"/>
            <w:vAlign w:val="center"/>
          </w:tcPr>
          <w:p w14:paraId="10046EB9">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4025AA8B">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餐饮安排总体满意程度</w:t>
            </w:r>
          </w:p>
        </w:tc>
        <w:tc>
          <w:tcPr>
            <w:tcW w:w="577" w:type="pct"/>
            <w:noWrap w:val="0"/>
            <w:vAlign w:val="center"/>
          </w:tcPr>
          <w:p w14:paraId="3F4D4118">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590ACB5D">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7355FA9F">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4326E52A">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297E2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313" w:type="pct"/>
            <w:vMerge w:val="restart"/>
            <w:noWrap w:val="0"/>
            <w:vAlign w:val="center"/>
          </w:tcPr>
          <w:p w14:paraId="61C68865">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景点 安排</w:t>
            </w:r>
          </w:p>
        </w:tc>
        <w:tc>
          <w:tcPr>
            <w:tcW w:w="2373" w:type="pct"/>
            <w:noWrap w:val="0"/>
            <w:vAlign w:val="center"/>
          </w:tcPr>
          <w:p w14:paraId="5D63F379">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景点地方特色</w:t>
            </w:r>
          </w:p>
        </w:tc>
        <w:tc>
          <w:tcPr>
            <w:tcW w:w="577" w:type="pct"/>
            <w:noWrap w:val="0"/>
            <w:vAlign w:val="center"/>
          </w:tcPr>
          <w:p w14:paraId="6B12F8D9">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0C3C734E">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7F3A2F2E">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15B686A0">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7B828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313" w:type="pct"/>
            <w:vMerge w:val="continue"/>
            <w:noWrap w:val="0"/>
            <w:vAlign w:val="center"/>
          </w:tcPr>
          <w:p w14:paraId="1B8D3C1A">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13D6A387">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讲解内容完整</w:t>
            </w:r>
          </w:p>
        </w:tc>
        <w:tc>
          <w:tcPr>
            <w:tcW w:w="577" w:type="pct"/>
            <w:noWrap w:val="0"/>
            <w:vAlign w:val="center"/>
          </w:tcPr>
          <w:p w14:paraId="6791746E">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2D0A7866">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437F9874">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45F5CAC8">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6B1DE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313" w:type="pct"/>
            <w:vMerge w:val="continue"/>
            <w:noWrap w:val="0"/>
            <w:vAlign w:val="center"/>
          </w:tcPr>
          <w:p w14:paraId="06ECDB40">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70A44E6B">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讲解语言美感</w:t>
            </w:r>
          </w:p>
        </w:tc>
        <w:tc>
          <w:tcPr>
            <w:tcW w:w="577" w:type="pct"/>
            <w:noWrap w:val="0"/>
            <w:vAlign w:val="center"/>
          </w:tcPr>
          <w:p w14:paraId="7EBAB286">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6B632FA0">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79064F72">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3792A415">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7AC0B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13" w:type="pct"/>
            <w:vMerge w:val="continue"/>
            <w:noWrap w:val="0"/>
            <w:vAlign w:val="center"/>
          </w:tcPr>
          <w:p w14:paraId="625A3954">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3CE1B3A2">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景点内时间安排合理</w:t>
            </w:r>
          </w:p>
        </w:tc>
        <w:tc>
          <w:tcPr>
            <w:tcW w:w="577" w:type="pct"/>
            <w:noWrap w:val="0"/>
            <w:vAlign w:val="center"/>
          </w:tcPr>
          <w:p w14:paraId="1A9C90C3">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1FAC13CE">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08CF6D74">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340FC119">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4AD45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313" w:type="pct"/>
            <w:vMerge w:val="restart"/>
            <w:noWrap w:val="0"/>
            <w:vAlign w:val="center"/>
          </w:tcPr>
          <w:p w14:paraId="679A5DF3">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导游 服务</w:t>
            </w:r>
          </w:p>
        </w:tc>
        <w:tc>
          <w:tcPr>
            <w:tcW w:w="2373" w:type="pct"/>
            <w:noWrap w:val="0"/>
            <w:vAlign w:val="center"/>
          </w:tcPr>
          <w:p w14:paraId="4F748056">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佩戴有效证件</w:t>
            </w:r>
            <w:r>
              <w:rPr>
                <w:rFonts w:hint="eastAsia" w:ascii="宋体" w:hAnsi="宋体" w:eastAsia="宋体" w:cs="宋体"/>
                <w:color w:val="auto"/>
                <w:spacing w:val="0"/>
                <w:sz w:val="21"/>
                <w:szCs w:val="21"/>
                <w:highlight w:val="none"/>
              </w:rPr>
              <w:t>上岗，全程服务不迟到早退</w:t>
            </w:r>
          </w:p>
        </w:tc>
        <w:tc>
          <w:tcPr>
            <w:tcW w:w="577" w:type="pct"/>
            <w:noWrap w:val="0"/>
            <w:vAlign w:val="center"/>
          </w:tcPr>
          <w:p w14:paraId="47FC060E">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15FBC6D4">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3E4F6202">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6337CB19">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0E33D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313" w:type="pct"/>
            <w:vMerge w:val="continue"/>
            <w:noWrap w:val="0"/>
            <w:vAlign w:val="center"/>
          </w:tcPr>
          <w:p w14:paraId="09B310F1">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4FABFFBA">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无擅自增减旅游项目</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lang w:val="en-US" w:eastAsia="zh-CN"/>
              </w:rPr>
              <w:t>无</w:t>
            </w:r>
            <w:r>
              <w:rPr>
                <w:rFonts w:hint="eastAsia" w:ascii="宋体" w:hAnsi="宋体" w:eastAsia="宋体" w:cs="宋体"/>
                <w:color w:val="auto"/>
                <w:spacing w:val="0"/>
                <w:sz w:val="21"/>
                <w:szCs w:val="21"/>
                <w:highlight w:val="none"/>
              </w:rPr>
              <w:t>擅自终止导游活动</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无推销产品</w:t>
            </w:r>
          </w:p>
        </w:tc>
        <w:tc>
          <w:tcPr>
            <w:tcW w:w="577" w:type="pct"/>
            <w:noWrap w:val="0"/>
            <w:vAlign w:val="center"/>
          </w:tcPr>
          <w:p w14:paraId="2FDE396E">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203CB8E6">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4D9A2271">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1FADABCA">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78C24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313" w:type="pct"/>
            <w:vMerge w:val="continue"/>
            <w:noWrap w:val="0"/>
            <w:vAlign w:val="center"/>
          </w:tcPr>
          <w:p w14:paraId="7E029DC6">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5BF4C47C">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对可预见的情况有警示说明及防范措施</w:t>
            </w:r>
          </w:p>
        </w:tc>
        <w:tc>
          <w:tcPr>
            <w:tcW w:w="577" w:type="pct"/>
            <w:noWrap w:val="0"/>
            <w:vAlign w:val="center"/>
          </w:tcPr>
          <w:p w14:paraId="793712DB">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22C386A1">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1E79EF2B">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4C8CC3C8">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5F5D2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313" w:type="pct"/>
            <w:vMerge w:val="continue"/>
            <w:noWrap w:val="0"/>
            <w:vAlign w:val="center"/>
          </w:tcPr>
          <w:p w14:paraId="59CA9DA5">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2373" w:type="pct"/>
            <w:noWrap w:val="0"/>
            <w:vAlign w:val="center"/>
          </w:tcPr>
          <w:p w14:paraId="37DBB192">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语言表达能力、沟通能力及专业知识掌握</w:t>
            </w:r>
          </w:p>
        </w:tc>
        <w:tc>
          <w:tcPr>
            <w:tcW w:w="577" w:type="pct"/>
            <w:noWrap w:val="0"/>
            <w:vAlign w:val="center"/>
          </w:tcPr>
          <w:p w14:paraId="25B71943">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64F3D0A7">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41D0E3CA">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6A1DA891">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7915F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2687" w:type="pct"/>
            <w:gridSpan w:val="2"/>
            <w:noWrap w:val="0"/>
            <w:vAlign w:val="center"/>
          </w:tcPr>
          <w:p w14:paraId="768EBA75">
            <w:pPr>
              <w:keepNext w:val="0"/>
              <w:keepLines w:val="0"/>
              <w:pageBreakBefore w:val="0"/>
              <w:widowControl w:val="0"/>
              <w:spacing w:line="24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合计</w:t>
            </w:r>
          </w:p>
        </w:tc>
        <w:tc>
          <w:tcPr>
            <w:tcW w:w="577" w:type="pct"/>
            <w:noWrap w:val="0"/>
            <w:vAlign w:val="center"/>
          </w:tcPr>
          <w:p w14:paraId="0FA35879">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6D8EB655">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77" w:type="pct"/>
            <w:noWrap w:val="0"/>
            <w:vAlign w:val="center"/>
          </w:tcPr>
          <w:p w14:paraId="50D51501">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c>
          <w:tcPr>
            <w:tcW w:w="581" w:type="pct"/>
            <w:noWrap w:val="0"/>
            <w:vAlign w:val="center"/>
          </w:tcPr>
          <w:p w14:paraId="53F4BD63">
            <w:pPr>
              <w:pStyle w:val="8"/>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tc>
      </w:tr>
      <w:tr w14:paraId="1F2C3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4" w:hRule="atLeast"/>
        </w:trPr>
        <w:tc>
          <w:tcPr>
            <w:tcW w:w="5000" w:type="pct"/>
            <w:gridSpan w:val="6"/>
            <w:noWrap w:val="0"/>
            <w:vAlign w:val="center"/>
          </w:tcPr>
          <w:p w14:paraId="01EA20CD">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您需要补充的意见和建议：</w:t>
            </w:r>
          </w:p>
          <w:p w14:paraId="2140B140">
            <w:pPr>
              <w:keepNext w:val="0"/>
              <w:keepLines w:val="0"/>
              <w:pageBreakBefore w:val="0"/>
              <w:widowControl w:val="0"/>
              <w:spacing w:line="240" w:lineRule="auto"/>
              <w:ind w:left="0" w:right="0" w:firstLine="0"/>
              <w:rPr>
                <w:rFonts w:hint="eastAsia" w:ascii="宋体" w:hAnsi="宋体" w:eastAsia="宋体" w:cs="宋体"/>
                <w:color w:val="auto"/>
                <w:spacing w:val="0"/>
                <w:sz w:val="21"/>
                <w:szCs w:val="21"/>
                <w:highlight w:val="none"/>
              </w:rPr>
            </w:pPr>
          </w:p>
          <w:p w14:paraId="19F5AF9D">
            <w:pPr>
              <w:keepNext w:val="0"/>
              <w:keepLines w:val="0"/>
              <w:pageBreakBefore w:val="0"/>
              <w:widowControl w:val="0"/>
              <w:spacing w:line="240" w:lineRule="auto"/>
              <w:ind w:left="0" w:right="0" w:firstLine="0"/>
              <w:jc w:val="right"/>
              <w:rPr>
                <w:rFonts w:hint="eastAsia" w:ascii="宋体" w:hAnsi="宋体" w:eastAsia="宋体" w:cs="宋体"/>
                <w:color w:val="auto"/>
                <w:spacing w:val="0"/>
                <w:sz w:val="21"/>
                <w:szCs w:val="21"/>
                <w:highlight w:val="none"/>
                <w:lang w:val="en-US" w:eastAsia="zh-CN"/>
              </w:rPr>
            </w:pPr>
            <w:bookmarkStart w:id="23" w:name="tip_risk_bookmark_29"/>
            <w:r>
              <w:rPr>
                <w:rFonts w:hint="eastAsia" w:ascii="宋体" w:hAnsi="宋体" w:eastAsia="宋体" w:cs="宋体"/>
                <w:color w:val="auto"/>
                <w:spacing w:val="0"/>
                <w:sz w:val="21"/>
                <w:szCs w:val="21"/>
                <w:highlight w:val="none"/>
                <w:lang w:val="en-US" w:eastAsia="zh-CN"/>
              </w:rPr>
              <w:t>填表人：</w:t>
            </w:r>
            <w:bookmarkEnd w:id="23"/>
            <w:r>
              <w:rPr>
                <w:rFonts w:hint="eastAsia" w:ascii="宋体" w:hAnsi="宋体" w:eastAsia="宋体" w:cs="宋体"/>
                <w:color w:val="auto"/>
                <w:spacing w:val="0"/>
                <w:sz w:val="21"/>
                <w:szCs w:val="21"/>
                <w:highlight w:val="none"/>
                <w:lang w:val="en-US" w:eastAsia="zh-CN"/>
              </w:rPr>
              <w:t xml:space="preserve">                  </w:t>
            </w:r>
          </w:p>
        </w:tc>
      </w:tr>
    </w:tbl>
    <w:p w14:paraId="07CA4F34">
      <w:pPr>
        <w:rPr>
          <w:rFonts w:hint="eastAsia" w:ascii="宋体" w:hAnsi="宋体" w:eastAsia="宋体" w:cs="宋体"/>
          <w:color w:val="auto"/>
          <w:sz w:val="21"/>
          <w:szCs w:val="21"/>
          <w:highlight w:val="none"/>
          <w:lang w:eastAsia="zh-CN"/>
        </w:rPr>
      </w:pPr>
    </w:p>
    <w:p w14:paraId="47162C28">
      <w:pPr>
        <w:spacing w:line="360" w:lineRule="auto"/>
        <w:rPr>
          <w:rFonts w:ascii="Times New Roman" w:hAnsi="Times New Roman"/>
          <w:color w:val="auto"/>
          <w:sz w:val="21"/>
          <w:szCs w:val="21"/>
          <w:highlight w:val="none"/>
          <w:lang w:val="zh-CN" w:eastAsia="zh-CN"/>
        </w:rPr>
      </w:pPr>
      <w:r>
        <w:rPr>
          <w:rFonts w:hint="eastAsia" w:ascii="宋体" w:hAnsi="宋体" w:eastAsia="宋体" w:cs="宋体"/>
          <w:b/>
          <w:color w:val="auto"/>
          <w:sz w:val="21"/>
          <w:szCs w:val="21"/>
          <w:highlight w:val="none"/>
          <w:lang w:eastAsia="zh-CN"/>
        </w:rPr>
        <w:t>附</w:t>
      </w:r>
      <w:r>
        <w:rPr>
          <w:rFonts w:ascii="Times New Roman" w:hAnsi="Times New Roman"/>
          <w:b/>
          <w:color w:val="auto"/>
          <w:sz w:val="21"/>
          <w:szCs w:val="21"/>
          <w:highlight w:val="none"/>
          <w:lang w:eastAsia="zh-CN"/>
        </w:rPr>
        <w:t>件</w:t>
      </w:r>
      <w:r>
        <w:rPr>
          <w:rFonts w:hint="eastAsia" w:ascii="Times New Roman" w:hAnsi="Times New Roman"/>
          <w:b/>
          <w:color w:val="auto"/>
          <w:sz w:val="21"/>
          <w:szCs w:val="21"/>
          <w:highlight w:val="none"/>
          <w:lang w:val="en-US" w:eastAsia="zh-CN"/>
        </w:rPr>
        <w:t>二</w:t>
      </w:r>
      <w:r>
        <w:rPr>
          <w:rFonts w:ascii="Times New Roman" w:hAnsi="Times New Roman"/>
          <w:b/>
          <w:color w:val="auto"/>
          <w:sz w:val="21"/>
          <w:szCs w:val="21"/>
          <w:highlight w:val="none"/>
          <w:lang w:eastAsia="zh-CN"/>
        </w:rPr>
        <w:t>、保密承诺书</w:t>
      </w:r>
    </w:p>
    <w:p w14:paraId="366285F9">
      <w:pPr>
        <w:spacing w:line="360" w:lineRule="auto"/>
        <w:rPr>
          <w:rFonts w:ascii="Times New Roman" w:hAnsi="Times New Roman"/>
          <w:color w:val="auto"/>
          <w:sz w:val="21"/>
          <w:szCs w:val="21"/>
          <w:highlight w:val="none"/>
          <w:lang w:val="zh-CN" w:eastAsia="zh-CN"/>
        </w:rPr>
      </w:pPr>
    </w:p>
    <w:p w14:paraId="4C1CAE29">
      <w:pPr>
        <w:spacing w:line="360" w:lineRule="auto"/>
        <w:ind w:firstLine="482"/>
        <w:jc w:val="center"/>
        <w:rPr>
          <w:rFonts w:ascii="Times New Roman" w:hAnsi="Times New Roman"/>
          <w:b/>
          <w:bCs/>
          <w:color w:val="auto"/>
          <w:spacing w:val="15"/>
          <w:sz w:val="24"/>
          <w:szCs w:val="24"/>
          <w:highlight w:val="none"/>
          <w:lang w:eastAsia="zh-CN"/>
        </w:rPr>
      </w:pPr>
      <w:r>
        <w:rPr>
          <w:rFonts w:ascii="Times New Roman" w:hAnsi="Times New Roman"/>
          <w:b/>
          <w:bCs/>
          <w:color w:val="auto"/>
          <w:spacing w:val="15"/>
          <w:sz w:val="24"/>
          <w:szCs w:val="24"/>
          <w:highlight w:val="none"/>
          <w:lang w:eastAsia="zh-CN"/>
        </w:rPr>
        <w:t>保 密 承 诺 书</w:t>
      </w:r>
    </w:p>
    <w:p w14:paraId="4A68F129">
      <w:pPr>
        <w:spacing w:line="360" w:lineRule="auto"/>
        <w:ind w:firstLine="420"/>
        <w:rPr>
          <w:rFonts w:ascii="Times New Roman" w:hAnsi="Times New Roman" w:eastAsia="宋体"/>
          <w:b/>
          <w:bCs/>
          <w:color w:val="auto"/>
          <w:sz w:val="24"/>
          <w:szCs w:val="24"/>
          <w:highlight w:val="none"/>
          <w:u w:val="single"/>
          <w:lang w:val="zh-CN" w:eastAsia="zh-CN"/>
        </w:rPr>
      </w:pPr>
      <w:r>
        <w:rPr>
          <w:rFonts w:ascii="Times New Roman" w:hAnsi="Times New Roman" w:eastAsia="宋体"/>
          <w:b/>
          <w:bCs/>
          <w:color w:val="auto"/>
          <w:sz w:val="24"/>
          <w:szCs w:val="24"/>
          <w:highlight w:val="none"/>
          <w:u w:val="single"/>
          <w:lang w:val="zh-CN" w:eastAsia="zh-CN"/>
        </w:rPr>
        <w:t>江苏省公安厅：</w:t>
      </w:r>
    </w:p>
    <w:p w14:paraId="532892AB">
      <w:pPr>
        <w:spacing w:line="360" w:lineRule="auto"/>
        <w:ind w:firstLine="420"/>
        <w:rPr>
          <w:rFonts w:ascii="Times New Roman" w:hAnsi="Times New Roman" w:eastAsia="宋体"/>
          <w:color w:val="auto"/>
          <w:sz w:val="24"/>
          <w:szCs w:val="24"/>
          <w:highlight w:val="none"/>
          <w:lang w:val="zh-CN" w:eastAsia="zh-CN"/>
        </w:rPr>
      </w:pPr>
      <w:r>
        <w:rPr>
          <w:rFonts w:ascii="Times New Roman" w:hAnsi="Times New Roman" w:eastAsia="宋体"/>
          <w:color w:val="auto"/>
          <w:sz w:val="24"/>
          <w:szCs w:val="24"/>
          <w:highlight w:val="none"/>
          <w:lang w:val="zh-CN" w:eastAsia="zh-CN"/>
        </w:rPr>
        <w:t>我公司现向贵</w:t>
      </w:r>
      <w:r>
        <w:rPr>
          <w:rFonts w:hint="eastAsia" w:ascii="Times New Roman" w:hAnsi="Times New Roman" w:eastAsia="宋体"/>
          <w:color w:val="auto"/>
          <w:sz w:val="24"/>
          <w:szCs w:val="24"/>
          <w:highlight w:val="none"/>
          <w:lang w:val="en-US" w:eastAsia="zh-CN"/>
        </w:rPr>
        <w:t>单位</w:t>
      </w:r>
      <w:r>
        <w:rPr>
          <w:rFonts w:ascii="Times New Roman" w:hAnsi="Times New Roman" w:eastAsia="宋体"/>
          <w:color w:val="auto"/>
          <w:sz w:val="24"/>
          <w:szCs w:val="24"/>
          <w:highlight w:val="none"/>
          <w:lang w:val="zh-CN" w:eastAsia="zh-CN"/>
        </w:rPr>
        <w:t>承诺，我公司在</w:t>
      </w:r>
      <w:r>
        <w:rPr>
          <w:rFonts w:hint="eastAsia" w:ascii="Times New Roman" w:hAnsi="Times New Roman" w:eastAsia="宋体"/>
          <w:color w:val="auto"/>
          <w:sz w:val="24"/>
          <w:szCs w:val="24"/>
          <w:highlight w:val="none"/>
          <w:lang w:val="zh-CN" w:eastAsia="zh-CN"/>
        </w:rPr>
        <w:t>2026年度功模代表休养活动</w:t>
      </w:r>
      <w:r>
        <w:rPr>
          <w:rFonts w:ascii="Times New Roman" w:hAnsi="Times New Roman" w:eastAsia="宋体"/>
          <w:color w:val="auto"/>
          <w:sz w:val="24"/>
          <w:szCs w:val="24"/>
          <w:highlight w:val="none"/>
          <w:lang w:val="zh-CN" w:eastAsia="zh-CN"/>
        </w:rPr>
        <w:t>项目实施过程中，保证按国家法律法规要求做好保密工作，并依法承担相关责任。</w:t>
      </w:r>
    </w:p>
    <w:p w14:paraId="33365D1B">
      <w:pPr>
        <w:spacing w:line="360" w:lineRule="auto"/>
        <w:ind w:firstLine="420"/>
        <w:rPr>
          <w:rFonts w:ascii="Times New Roman" w:hAnsi="Times New Roman" w:eastAsia="宋体"/>
          <w:color w:val="auto"/>
          <w:sz w:val="24"/>
          <w:szCs w:val="24"/>
          <w:highlight w:val="none"/>
          <w:lang w:val="zh-CN" w:eastAsia="zh-CN"/>
        </w:rPr>
      </w:pPr>
    </w:p>
    <w:p w14:paraId="3922165F">
      <w:pPr>
        <w:spacing w:line="360" w:lineRule="auto"/>
        <w:ind w:firstLine="420"/>
        <w:rPr>
          <w:rFonts w:ascii="Times New Roman" w:hAnsi="Times New Roman" w:eastAsia="宋体"/>
          <w:color w:val="auto"/>
          <w:sz w:val="24"/>
          <w:szCs w:val="24"/>
          <w:highlight w:val="none"/>
          <w:lang w:val="zh-CN" w:eastAsia="zh-CN"/>
        </w:rPr>
      </w:pPr>
      <w:r>
        <w:rPr>
          <w:rFonts w:ascii="Times New Roman" w:hAnsi="Times New Roman" w:eastAsia="宋体"/>
          <w:color w:val="auto"/>
          <w:sz w:val="24"/>
          <w:szCs w:val="24"/>
          <w:highlight w:val="none"/>
          <w:lang w:val="zh-CN" w:eastAsia="zh-CN"/>
        </w:rPr>
        <w:t>承诺单位（公章）</w:t>
      </w:r>
      <w:r>
        <w:rPr>
          <w:rFonts w:hint="eastAsia" w:ascii="Times New Roman" w:hAnsi="Times New Roman" w:eastAsia="宋体"/>
          <w:color w:val="auto"/>
          <w:sz w:val="24"/>
          <w:szCs w:val="24"/>
          <w:highlight w:val="none"/>
          <w:lang w:val="zh-CN" w:eastAsia="zh-CN"/>
        </w:rPr>
        <w:t xml:space="preserve">：中国国旅（江苏）国际旅行社有限公司 </w:t>
      </w:r>
    </w:p>
    <w:p w14:paraId="516E5829">
      <w:pPr>
        <w:spacing w:line="360" w:lineRule="auto"/>
        <w:ind w:firstLine="420"/>
        <w:rPr>
          <w:rFonts w:hint="default" w:ascii="Times New Roman" w:hAnsi="Times New Roman" w:eastAsia="宋体"/>
          <w:color w:val="auto"/>
          <w:sz w:val="24"/>
          <w:szCs w:val="24"/>
          <w:highlight w:val="none"/>
          <w:lang w:val="en-US" w:eastAsia="zh-CN"/>
        </w:rPr>
      </w:pPr>
      <w:bookmarkStart w:id="24" w:name="tip_risk_bookmark_30"/>
      <w:r>
        <w:rPr>
          <w:rFonts w:ascii="Times New Roman" w:hAnsi="Times New Roman" w:eastAsia="宋体"/>
          <w:color w:val="auto"/>
          <w:sz w:val="24"/>
          <w:szCs w:val="24"/>
          <w:highlight w:val="none"/>
          <w:lang w:val="zh-CN" w:eastAsia="zh-CN"/>
        </w:rPr>
        <w:t>法定代表人（签字或盖章）</w:t>
      </w:r>
      <w:r>
        <w:rPr>
          <w:rFonts w:hint="eastAsia" w:ascii="Times New Roman" w:hAnsi="Times New Roman" w:eastAsia="宋体"/>
          <w:color w:val="auto"/>
          <w:sz w:val="24"/>
          <w:szCs w:val="24"/>
          <w:highlight w:val="none"/>
          <w:lang w:val="en-US" w:eastAsia="zh-CN"/>
        </w:rPr>
        <w:t>:</w:t>
      </w:r>
    </w:p>
    <w:p w14:paraId="7F1D7CC2">
      <w:pPr>
        <w:spacing w:line="360" w:lineRule="auto"/>
        <w:ind w:firstLine="420"/>
        <w:rPr>
          <w:rFonts w:hint="default" w:ascii="Times New Roman" w:hAnsi="Times New Roman" w:eastAsia="宋体"/>
          <w:color w:val="auto"/>
          <w:sz w:val="24"/>
          <w:szCs w:val="24"/>
          <w:highlight w:val="none"/>
          <w:lang w:val="en-US" w:eastAsia="zh-CN"/>
        </w:rPr>
      </w:pPr>
      <w:r>
        <w:rPr>
          <w:rFonts w:ascii="Times New Roman" w:hAnsi="Times New Roman" w:eastAsia="宋体"/>
          <w:color w:val="auto"/>
          <w:sz w:val="24"/>
          <w:szCs w:val="24"/>
          <w:highlight w:val="none"/>
          <w:lang w:val="zh-CN" w:eastAsia="zh-CN"/>
        </w:rPr>
        <w:t>代理人（签字或盖章）</w:t>
      </w:r>
      <w:bookmarkEnd w:id="24"/>
      <w:r>
        <w:rPr>
          <w:rFonts w:hint="eastAsia" w:ascii="Times New Roman" w:hAnsi="Times New Roman" w:eastAsia="宋体"/>
          <w:color w:val="auto"/>
          <w:sz w:val="24"/>
          <w:szCs w:val="24"/>
          <w:highlight w:val="none"/>
          <w:lang w:val="en-US" w:eastAsia="zh-CN"/>
        </w:rPr>
        <w:t>:</w:t>
      </w:r>
    </w:p>
    <w:p w14:paraId="66CC8341"/>
    <w:p w14:paraId="71DD3981">
      <w:pPr>
        <w:rPr>
          <w:rFonts w:hint="eastAsia" w:ascii="宋体" w:hAnsi="宋体" w:eastAsia="宋体" w:cs="宋体"/>
          <w:b/>
          <w:color w:val="auto"/>
          <w:sz w:val="21"/>
          <w:szCs w:val="21"/>
          <w:highlight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62ECE"/>
    <w:multiLevelType w:val="multilevel"/>
    <w:tmpl w:val="03D62ECE"/>
    <w:lvl w:ilvl="0" w:tentative="0">
      <w:start w:val="3"/>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F42D45"/>
    <w:rsid w:val="0D05242D"/>
    <w:rsid w:val="22A55B47"/>
    <w:rsid w:val="296E332C"/>
    <w:rsid w:val="2E7BF553"/>
    <w:rsid w:val="3F6FC961"/>
    <w:rsid w:val="452604DE"/>
    <w:rsid w:val="47FF80CA"/>
    <w:rsid w:val="501E283F"/>
    <w:rsid w:val="51BFE051"/>
    <w:rsid w:val="534C79E2"/>
    <w:rsid w:val="579422EE"/>
    <w:rsid w:val="58E45447"/>
    <w:rsid w:val="5FAF8B0C"/>
    <w:rsid w:val="6BEC7A32"/>
    <w:rsid w:val="75DB3F10"/>
    <w:rsid w:val="7BD7B4B2"/>
    <w:rsid w:val="7DFDB5FF"/>
    <w:rsid w:val="7F3557A0"/>
    <w:rsid w:val="7FFD9609"/>
    <w:rsid w:val="7FFFE82E"/>
    <w:rsid w:val="9FEF3C6C"/>
    <w:rsid w:val="A7DD1E25"/>
    <w:rsid w:val="AF6FA66D"/>
    <w:rsid w:val="B2FF162F"/>
    <w:rsid w:val="B7F733C3"/>
    <w:rsid w:val="BBFF9504"/>
    <w:rsid w:val="BDFFAED1"/>
    <w:rsid w:val="BE75F28C"/>
    <w:rsid w:val="CD9ECE8D"/>
    <w:rsid w:val="D7EB0530"/>
    <w:rsid w:val="D7F3E4DD"/>
    <w:rsid w:val="E73DFCE4"/>
    <w:rsid w:val="EF3CC8F6"/>
    <w:rsid w:val="EF754E05"/>
    <w:rsid w:val="F81B9662"/>
    <w:rsid w:val="FE570F48"/>
    <w:rsid w:val="FEFEBCF8"/>
    <w:rsid w:val="FF6F5E18"/>
    <w:rsid w:val="FFBFDDD0"/>
    <w:rsid w:val="FFEE3D3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宋体"/>
      <w:lang w:val="zh-CN"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3">
    <w:name w:val="Plain Text"/>
    <w:basedOn w:val="1"/>
    <w:qFormat/>
    <w:uiPriority w:val="0"/>
    <w:rPr>
      <w:rFonts w:ascii="宋体" w:hAnsi="Courier New" w:eastAsia="宋体" w:cstheme="minorBidi"/>
      <w:kern w:val="2"/>
      <w:sz w:val="21"/>
      <w:szCs w:val="22"/>
      <w:lang w:val="en-US"/>
    </w:rPr>
  </w:style>
  <w:style w:type="character" w:styleId="6">
    <w:name w:val="annotation reference"/>
    <w:basedOn w:val="5"/>
    <w:qFormat/>
    <w:uiPriority w:val="0"/>
    <w:rPr>
      <w:sz w:val="16"/>
      <w:szCs w:val="16"/>
    </w:rPr>
  </w:style>
  <w:style w:type="table" w:customStyle="1" w:styleId="7">
    <w:name w:val="Table Normal_0"/>
    <w:unhideWhenUsed/>
    <w:qFormat/>
    <w:uiPriority w:val="2"/>
    <w:rPr>
      <w:lang w:val="en-US" w:eastAsia="zh-CN" w:bidi="ar-SA"/>
    </w:rPr>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4828</Words>
  <Characters>5053</Characters>
  <Lines>0</Lines>
  <Paragraphs>0</Paragraphs>
  <TotalTime>2</TotalTime>
  <ScaleCrop>false</ScaleCrop>
  <LinksUpToDate>false</LinksUpToDate>
  <CharactersWithSpaces>5256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2026-07-29T07:38:00Z</dcterms:created>
  <dc:creator>刘洋</dc:creator>
  <cp:lastModifiedBy>南京海外旅游&amp;捷迅航空13813355517</cp:lastModifiedBy>
  <dcterms:modified xsi:type="dcterms:W3CDTF">2026-08-12T08:06:37Z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B802BABBF70440A89C6F54553E32DA47_13</vt:lpwstr>
  </property>
  <property fmtid="{D5CDD505-2E9C-101B-9397-08002B2CF9AE}" pid="3" name="KSOProductBuildVer">
    <vt:lpwstr>2052-12.1.0.28043</vt:lpwstr>
  </property>
  <property fmtid="{D5CDD505-2E9C-101B-9397-08002B2CF9AE}" pid="4" name="KSOTemplateDocerSaveRecord">
    <vt:lpwstr>eyJoZGlkIjoiMzEwNTM5NzYwMDRjMzkwZTVkZjY2ODkwMGIxNGU0OTUiLCJ1c2VySWQiOiI0MDc2MTIzNDcifQ==</vt:lpwstr>
  </property>
</Properties>
</file>