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项目名称：2026年度浦口区公共体育设施全民健身路径更新采购</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项目编号：JSZC-320111-NJZZ-G2026-0031</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采购人：南京市浦口区文化和旅游局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8</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市浦口区文化和旅游局（采购单位）委托，南京众智工程咨询有限公司（以下简称“招标代理机构”）就2026年度浦口区公共体育设施全民健身路径更新采购（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1.项目编号：JSZC-320111-NJZZ-G2026-0031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2.项目名称：2026年度浦口区公共体育设施全民健身路径更新采购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3.预算金额：142.8万元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4.最高限价：本项目最高限价142.8万元（每套不超过34000元），各分包预算如下：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分包一：合计26套，预算：88.4万元；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分包二：合计16套，预算：54.4万元；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分设2个分包，评审时按照分包一、分包二的顺序依次评审，供应商投标多个分包的，一旦供应商确定为分包1综合得分排名第一的拟中标人，仍可参加后续所投分包的评审，但即使该供应商在分包2评审时总分排名第一，亦不作为拟中标人推荐，由排名第二的供应商递补，以此规则和顺序依次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5.采购需求（简介）：为进一步提升体育设施智慧化水平，满足群众科学、安全、高效的健身需求，本项目为2026年度浦口区公共体育设施全民健身路径更新采购。（详细内容见本招标文件第四章）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6.合同履行期限：合同签订之日起至60日内按采购人要求完成供货及安装调试。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（一）满足《中华人民共和国政府采购法》第二十二条规定，并提供下列材料：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5.有依法缴纳税收和社会保障资金的良好记录（提供参加本次政府采购活动前一年内（至少一个月）依法缴纳税收和社会保障资金的相关材料扫描件加盖供应商公章）；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本项目为非预留份额的采购项目或采购包，执行价格扣除优惠政策，具体详见第五章评审办法与标准。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1.提交投标文件截止时间、开标时间：2026年08月26日14时00分（北京时间）。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的规定，申请人的资格要求涉及的证明材料，供应商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2"/>
            <w:rFonts w:ascii="SimSun" w:hAnsi="SimSun" w:eastAsia="SimSun" w:cs="SimSun"/>
            <w:color w:val="0000ee"/>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8.报价响应人应充分考虑网络环境、网络带宽等因素可能对投标产生的影响，如因供应商自身原因造成的电子投标文件上传不成功的，作无效响应文件处理。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9.招标代理公司可以按照规定，通过修改招标文件酌情延长投标截止时间，在此情况下，供应商的所有权利和义务均以延长后新的截止时间为准。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10.有关本次招标的事项若存在变动或修改，敬请及时关注“江苏政府采购网”（www.ccgp-jiangsu.gov.cn）发布的信息更正公告。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11.中标人在领取中标通知书时应提供与苏采云系统中一致的投标文件 2份，交采购代理机构归档使用。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名称：南京市浦口区文化和旅游局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地址：江苏省南京市浦口区凤滁路48号服贸大厦22层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联系人：徐先生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rPr>
        <w:t xml:space="preserve">025-58117091</w:t>
      </w:r>
      <w:r>
        <w:rPr>
          <w:rFonts w:ascii="SimSun" w:hAnsi="SimSun" w:eastAsia="SimSun" w:cs="SimSun"/>
          <w:color w:val="000000"/>
          <w:sz w:val="21"/>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联系方式：朱工 025-52896520-20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17.投标文件</w:t>
      </w:r>
      <w:r>
        <w:rPr>
          <w:rFonts w:ascii="SimSun" w:hAnsi="SimSun" w:eastAsia="SimSun" w:cs="SimSun"/>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w:t>
      </w:r>
      <w:r>
        <w:rPr>
          <w:rFonts w:ascii="SimSun" w:hAnsi="SimSun" w:eastAsia="SimSun" w:cs="SimSun"/>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w:t>
      </w:r>
      <w:r>
        <w:rPr>
          <w:rFonts w:ascii="SimSun" w:hAnsi="SimSun" w:eastAsia="SimSun" w:cs="SimSun"/>
          <w:b/>
          <w:color w:val="000000"/>
          <w:sz w:val="21"/>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③投标（响应）报价低于采购项目最高限价65%的，即投标（响应）报价&lt;采购项目最高限价×45%；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本招标文件中斜体且有下划线部分，或者打“★”内容为实质性要求和条件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35.《质疑函》接收部门为本次招标代理机构注明的联系地址和联系方式。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1"/>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43.1为贯彻落实《国务院办公厅关于在政府采购中实施本国产品标准及相关政策的通知》（国办发〔2025〕34号），在政府采购中实施本国产品标准及相关政策。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44.代理服务费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 本次采购的代理服务费由中标供应商承担；参照《江苏省政府采购代理服务收费指导意见》苏政采协【2024】20号文招标收费基准费率计算。开具增值税普通发票。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 中标供应商向采购代理机构支付所有费用后到采购代理机构领取中标通知书。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以下为本项目的合同条款，合同双方不得对招标、投标文件内容作实质性修改。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政府采购合同（货物）</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甲、乙双方根据南京众智工程咨询有限公司组织的____________________项目公开招标结果，签署本合同。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标的质量：按采购文件及响应文件执行。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履行方式：按采购文件及响应文件执行。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包装方式：按采购文件及响应文件执行。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本合同金额为（大写）：____________________圆（____________________元）人民币。</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2"/>
        <w:gridCol w:w="542"/>
        <w:gridCol w:w="542"/>
        <w:gridCol w:w="542"/>
        <w:gridCol w:w="542"/>
        <w:gridCol w:w="1091"/>
        <w:gridCol w:w="4399"/>
        <w:gridCol w:w="10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备注：以上价格含包装、装卸、运输、保险、安装、税费等所有费用。</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乙方应按招标文件规定的时间向甲方提供使用货物(包含与货物相关的服务)的有关技术资料。</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乙方保证所供产品、服务质量合格，不得弄虚作假、不得提供假冒伪劣产品、不合格服务或任意提供合同（协议）外产品、服务。</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乙方向甲方提供营业执照扫描件、信用报告、个人授权书、质量承诺书等相关证件，并加盖公章。</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乙方保证所交付的货物（包含与货物相关的服务）的所有权完全属于乙方且无任何抵押、查封等产权瑕疵。</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本项目乙方无需缴纳履约保证金。</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1、合同签定生效后，甲方向乙方支付合同总额的30%作为预付款；</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2、所有设备安装调试完毕并经甲方验收合格可正常使用后一个月内，甲方向乙方支付合同总额的70%。</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注：以上每次付款前，乙方均应提供符合甲方要求的同等金额的合法有效发票。否则，甲方有权顺延付款时间，且不承担任何违约或赔偿责任。付款进度以财政资金下款时间为准</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 满足合同约定支付条件的，甲方收到乙方发票后10个工作日内，将资金支付到合同约定的乙方账户。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根据工业和信息化部关于印发《保障中小企业款项支付投诉处理暂行办法》的通知（工信部企业〔2021〕224 号），甲方未按合同约定支付款项的，乙方可以向有关部门投诉。</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当采购数量与实际使用数量不一致时，乙方应根据实际使用量供货，合同的最终结算金额按实际使用量乘以中标单价进行计算。</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十、质量保修范围和保修期及售后服务</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乙方应按招标文件规定的货物性能、技术要求、质量标准向甲方提供未经使用的全新产品。</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乙方提供的货物在质保期内因货物本身的质量问题发生故障，乙方应负责免费更换。对达不到技术要求者，根据实际情况，经双方协商可按以下方式处理：</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更换：由乙方承担所发生的全部费用。</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贬值处理：由甲乙双方合议定价。</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退货处理：乙方应退还甲方支付的合同款，同时应承担该货物的直接费用（运输、保险、检验、货款利息及银行手续费等）。</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如在使用过程中发生质量问题，乙方应在接到甲方通知后     小时内到达甲方现场。</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质保期内，乙方应对货物出现的质量及安全问题负责处理解决并承担一切费用。</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质保期为自交货验收合格之日起     年，因人为因素出现的故障不在质保范围内。超过质保期的乙方负责终生维修，维修时只收取部件成本费。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十一、项目验收</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甲方依法组织履约验收工作。</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对于实际使用人和甲方分离的项目，甲方邀请实际使用人参与验收。</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如有必要，甲方可邀请参加本项目投标的其他供应商或第三方专业机构及专家参与验收，相关意见将作为验收结论的参考。</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十二、货物的包装、发运及运输</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使用说明书、质量检验证明书、随配附件和工具以及清单一并附于货物内。</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乙方在货物发运手续办理完毕后24小时内或货到甲方48小时前通知甲方，以准备接货。</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货物在交付甲方前发生的风险均由乙方负责。</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货物在规定的交付期限内由乙方送达甲方指定的地点视为交付，乙方同时需通知甲方货物已送达。</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甲方无正当理由拒收货物的，应向乙方偿付拒收货物总价款    的违约金。</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甲方无故逾期验收和办理货款支付手续的，应按逾期付款总额每日     向乙方支付违约金。</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乙方逾期交付货物的，应按逾期交货总额每日    向甲方支付违约金，由甲方从待付货款中扣除。逾期超过约定日期10个工作日不能交货的，甲方可解除本合同。乙方因逾期交货或因其他违约行为导致甲方解除合同的，应向甲方支付合同总价    的违约金。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十四、不可抗力事件处理</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在合同有效期内，任何一方因不可抗力事件导致不能履行合同，则合同履行期可延长，其延长期与不可抗力影响期相同。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不可抗力事件发生后，应立即通知对方并寄送有关权威机构出具的证明。</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不可抗力事件延续120天以上，双方应通过友好协商确定是否继续履行合同。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十五、解决争议的方法</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甲乙双方因合同签订、履行而发生的一切争议，应通过友好协商解决。协商不成的由甲方住所地人民法院管辖。</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十六、合同生效及其它</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本合同经双方加盖单位公章后生效。</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本合同未尽事宜，遵照《中华人民共和国民法典》《中华人民共和国政府采购法》有关条文执行。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本合同正本一式两份，具有同等法律效力，甲方、乙方各执一份。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如遇采购文件及合同未约定事项，双方可友好协商签订补充协议。</w:t>
      </w:r>
      <w:r/>
    </w:p>
    <w:p>
      <w:pPr>
        <w:ind w:left="0" w:right="0" w:firstLine="44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44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2026年度浦口区公共体育设施全民健身路径更新采购。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（1）本项目标的的所属行业：工业；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（3）《室外健身器材的安全通用要求》强制性国家标准（GB 19272-2024）。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（4）招标文件中要求的产品品牌或型号，是采购人根据项目所要实现的功能及考量后推荐的品牌或型号，供应商可以采用其他品牌的产品进行投标，但是，所有功能必须能满足采购项目整体性能的实现。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（5）如供应商提供的产品属于政府强制采购节能产品的，供应商应当选择经过认证的节能产品响应，并提供对应有效的节能产品认证证书。</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二、产品清单（不低于以下配置）</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2322"/>
        <w:gridCol w:w="1074"/>
        <w:gridCol w:w="894"/>
        <w:gridCol w:w="1507"/>
        <w:gridCol w:w="1415"/>
        <w:gridCol w:w="1342"/>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双位漫步机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双位漫步机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器材应配有完整的说明书，应包含三图（安装示意图、安装跌落空间图、碰撞区域图）、三表（器材安装检查表、器材定期检查表、易损件明细表）、器材安全使用寿命、器材维护保养注意事项、及寿命周期内对易损件及时更换的承诺等内容；（适用于所有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2.器材安全警示应采用图示方式提示使用者可能存在风险；（适用于所有分包）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3.各件器材铭牌需有安装时间，同时有省局二维码及报修二维码；（适用于所有分包）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★4.为保证全民健身路径健身器材统一、管理规范化，投标供应商所有健身器材的品牌必须要求一致，不得出现多个不同品牌产品，否则，作无效投标处理。（适用于所有分包）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
        <w:gridCol w:w="741"/>
        <w:gridCol w:w="7042"/>
        <w:gridCol w:w="594"/>
        <w:gridCol w:w="5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规格及参数要求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告示牌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外形尺寸不小于806mm×123mm×1313mm；</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主要承载立柱尺寸不小于φ120mm×80mm×3mm钢、铝，塑木结构不小于120mm×120mm；</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主要承载横梁尺寸不小于40mm×40mm×2mm；</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5、告示牌面板需采用不锈钢材质，厚度不小于1mm，面板边缘及尖角不得翘起，图样及字样蚀刻处理。不存在和使用功能无关的凸出物；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多功能训练器（腹肌架）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1、外形尺寸不小于720mm×1137mm×2215mm；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2、主要承载立柱尺寸不小于φ120mm×80mm×3mm钢、铝，塑木结构不小于120mm×120mm；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3、主要承载横梁尺寸不小于φ76mm×3mm；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双位漫步机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1、外形尺寸不小于2166mm×589mm×1210mm；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2、主要承载立柱尺寸不小于φ120mm×80mm×3mm钢、铝，塑木结构不小于120mm×120mm；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3、主要承载横梁尺寸不小于φ60mm×3mm、40mm×80mm×3mm；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上肢牵引器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1、外形尺寸不小于856mm×818mm×2404mm；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2、主要承载立柱尺寸不小于φ120mm×80mm×3mm钢、铝，塑木结构不小于120mm×120mm；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3、主要承载横梁尺寸不小于φ76mm×3mm；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弹振压腿器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1、外形尺寸不小于2202mm×123mm×1000mm；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2、主要承载立柱尺寸不小于φ120mm×80mm×3mm钢、铝，塑木结构不小于120mm×120mm；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3、主要承载横梁尺寸不小于φ42mm×3mm；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太极揉推器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1、外形尺寸不小于1269mm×1450mm×1433mm；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2、主要承载立柱尺寸不小于φ120mm×80mm×3mm钢、铝，塑木结构不小于120mm×120mm；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3、主要承载横梁尺寸不小于φ60mm×3mm；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0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双人蹬力器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1、外形尺寸不小于2149mm×422mm×1513mm；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2、主要承载立柱尺寸不小于φ120mm×80mm×3mm钢、铝，塑木结构不小于120mm×120mm；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3、主要承载横梁尺寸不小于φ60mm×3mm；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仰卧起坐板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1、外形尺寸不小于1540mm×496mm×512mm；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2、主要承载立柱尺寸不小于φ120mm×80mm×3mm钢、铝，塑木结构不小于120mm×120mm；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3、主要承载横梁尺寸不小于φ76mm×3mm；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推举训练器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1、外形尺寸不小于1580mm×1519mm×1327mm；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2、主要承载立柱尺寸不小于φ76mm×3mm钢管结构；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3、主要承载横梁尺寸不小于φ76mm×3mm；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5、主体框架需由φ76×3.0钢管40×80×2.5平椭圆管组焊；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6、摆动焊件需由129限位及φ60×3.0、φ32×3.0钢管组焊。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7、配重托架需采用φ25不锈钢；活动部件需使用深沟球轴承6005，活动主轴为φ25，限位轴φ20；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坐式踢腿训练器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1、外形尺寸不小于1665mm×1248mm×1271mm；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2、主要承载立柱尺寸不小于φ76mm×3mm钢管结构；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3、主要承载横梁尺寸不小于φ76mm×3mm；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4、主要材质：钢管；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5、主体框架需由φ76×3.0钢管、40×80×3.0矩形管；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6、摆动焊件需由129限位、φ48×3.0及φ60×3.0钢管组焊。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7、配重托架需采用φ25不锈钢；活动部件需使用深沟球轴承6005，活动主轴为φ25，限位轴φ20；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8、不存在和使用功能无关的凸出物；器材各支撑人体的表面所有棱边和尖角半径≥3.0mm，使用者或第三者易接触的零部件的其他所有棱边进行圆滑过渡；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9、需完全满足器材的使用强度。焊接件需采用混合气体保护焊接；表面需采用静电喷塑，表面光滑平整，色泽均匀，结合牢固。表面喷塑颜色需保证五年不褪色、八年不脱落；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注：对加“★”和“▲”项必须在响应文件中提供技术支持资料（如白皮书、彩页、手册、检测报告等）。未提供技术支持资料的，评审时不予认可。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8"/>
        <w:gridCol w:w="720"/>
        <w:gridCol w:w="6785"/>
        <w:gridCol w:w="637"/>
        <w:gridCol w:w="7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规格及参数要求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告示牌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2、主要功能：路径区内有关训练和锻炼方法及注意内容等事项；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3、外形尺寸（长×宽×高）：≥800×110×1200（mm）；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5、主要承载结构尺寸：≥30×20×2（mm）矩形管或直径32×3（mm）钢管；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6、版面需采用横式不锈钢牌面，牌面尺寸≥600×800mm，板材厚度不小于1mm，图样及字样蚀刻处理，人体易接触区域无钩挂、缠绕结构；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双位漫步机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2、主要功能：提高身体协调性，平衡能力和有氧能力；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3、外形尺寸（长×宽×高）：≥1900×400×1100（mm）；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5、主要承载结构尺寸：≥直径60×3（mm）钢管或40×40×3（mm）矩形管；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6、需具有两个运动位结构；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上肢牵引器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2、主要功能：锻炼手腕、手臂肌肉，促进上肢灵活性；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3、外形尺寸（长×宽×高）：≥700×600×2300（mm）；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5、主要承载结构尺寸：≥直径48×3（mm）钢管；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6、器材需具有两个运动位结构；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腿部按摩器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2、主要功能：拉伸按摩腿部肌肉，增加腿部柔韧性；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3、外形尺寸（长×宽×高）：≥600×120×1200（mm）；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5、主要承载结构尺寸：≥直径60×3（mm）钢管；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6、器材需具有两个运动位结构；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太极揉推器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2、主要功能：增强肩肘髋膝等部位的活动能力；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3、外形尺寸（长×宽×高）：≥1000×1000×1200（mm）；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5、主要承载结构尺寸：≥直径60×3（mm）钢管或40×40×3（mm）矩形管；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6、器材需具有两个运动位结构；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8、整机无勾挂，无挤压点，无剪切点，无卡夹处；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坐蹬器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2、主要功能：锻炼大腿肌肉，增强腰部力量；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3、外形尺寸（长×宽×高）：≥1900×400×1500（mm）；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5、主要承载结构尺寸：≥80×80×3（mm）矩形管或直径60×3（mm）钢管；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6、器材需具有两个运动位结构；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腹肌板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2、主要功能：锻炼腹部肌肉，改善身体平衡性和柔韧性；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3、外形尺寸（长×宽×高）：≥1100×400×400（mm）；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5、主要承载结构尺寸：≥直径38×3（mm）钢管；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6、器材需具有一个运动位结构；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2、主要功能：主要锻炼腰、髋部、增强腰部的灵活性和柔韧性；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3、外形尺寸（长×宽×高）：≥1300×1100×1100（mm）；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5、主要承载结构尺寸：≥直径32×2.5（mm）钢管；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6、器材需具有三个运动位结构；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背肌引体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2、主要功能：锻炼上肢、背部肌肉力量，增强上肢、背部、肩带肌群力量及柔韧性；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3、外形尺寸（长×宽×高）：≥1000×850×2100（mm）；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5、主要承载结构尺寸：≥60×3（mm）钢管；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6、器材需具有两个运动位结构；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腰背按摩器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1、产品主要材质：镀锌钢管、钢管、塑木；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2、主要功能：两人可同时使用，主要锻炼腰、背部肌肉，缓解腰、背部疲劳；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3、外形尺寸（长×宽×高）：≥800×700×1300（mm）；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4、主立柱尺寸：≥100×80×3（mm）矩形管；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5、主要承载结构尺寸：≥直径42×3（mm）钢管或40×40×3（mm）矩形管；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6、器材需具有两个运动位结构；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7、安装方式：需采用直埋式；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★8、器材需符合GB19272-2024《室外健身器材的通用安全要求》中的规定要求并提供有效期内带有CMA 或 CNAS 标识的检测报告并加盖供应商公章；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▲9、器材需通过经国家批准的体育器材质量认证机构的产品质量认证，提供有效期内的认证证书及确认函并加盖供应商公章。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注：对加“★”和“▲”项必须在响应文件中提供技术支持资料（如白皮书、彩页、手册、检测报告等）。未提供技术支持资料的，评审时不予认可。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三、实施要求（供应商需完全响应，在响应文件中提供承诺函，不接受负偏离）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为“交钥匙”项目（含旧器材的拆除），货物安装验收交付使用后，两年内完全免费质保（非人为故意损坏），投入使用两年后至八年提供配件由第三方维修，若维护器材的第三方无法维修时中标供应商需提供维修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2.货物的使用质保周期为八年（含）以上。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3.服务时间的承诺：响应文件中须明确响应供货的时间要求。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4.供应商所提供的货物开箱后，如采购人发现有任何问题（如外观有损伤），供应商必须立即以同样型号的设备在采购人商定的时间内更换，确保其使用。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须投入不少于4人的专业售后服务团队，如货物在质保期内发生故障，供应商应在接到采购人报修电话后4小时内予以响应，24小时内赶赴现场修复。否则采购人将自行采取必要的措施，由此产生风险和费用应由供应商承担，供应商提供的报修电话，必须24小时开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6.在货物的设计使用寿命周期内，供应商应能保证采购人更换到原厂正宗的备件材料，确保货物的正常使用。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7.供应商须在响应文件中承诺，中标后向采购人提供投标货物的原厂保修。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的货物（含配件）应是全新、未使用过的原装合格正品，并保证所提供货物的开箱合格率为100%，外观和内在质量都不得有任何问题。在规定的质保期内供应商应对设计、工艺或材料的缺陷或故障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2.供应商所提供的货物开箱后，如采购人发现有任何问题（如外观有损伤），供应商需立即以同样型号的货物在采购人商定的时间内更换，确保其使用。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技术资料完整正确，包括数据和资料。技术资料包括但不限于：产品验收标准（含产品合格证验收清单等）；技术说明书；使用说明书；用户手册（中文）；及合同中要求的其他文件资料。在未验收前，货物保管、安全均由供应商负责，货物送到采购人指定地点，并负责办理运输和装卸，费用由中标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4.供应商所提供货物需明确材质品牌、材质型号、及产地等有可能影响货物质量的相关要素。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5.供应商要求提供的备件：保证货物正常运行的标准配置的附件及专用工具，均应包含在响应报价中。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6.供应商需明确所提供货物的最低使用期限，在此期限内不应发生非人为操作原因的重大故障，否则采购人有权追溯供应商的责任。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7.供应商需按照采购人指定地点将货物送达指定地点并安装好，同时保证通过采购人组织的有资质的第三方验收。中标供应商所提供的货物或部件在货物交货时，应同时提供货物产品合格书。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中标后，采购人有权对中标产品进行功能性测试，如果测试结果与采购文件及响应时所述有所偏差，未能达到合同要求，采购人有权退货并要求供应商赔偿损失，并追究中标供应商相关责任，同时中标供应商需承担由此发生的相关测试费用及其他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9.按时完成安装，在未验收前，货物保管、安全均由供应商负责。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10.采购人使用该货物的任何一部分，当受第三方提出的侵犯其专利权、商标权或工业设计权的投诉时，一切后果由供应商负责。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标供应商根据招标要求进行产品的安装，由采购人或采购人聘请技术专家或专业检测机构进行验收（验收内容包括但不限于器材质量、编码是否已印制在告示牌和器材上并激活等其它采购人要求的内容），因此支出的相关费用（包括但不限于检测费用及出具质量检测报告费用）均由中标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12.如验收不合格，未能达到采购文件及响应文件的要求，采购人有权退货并要求供应商赔偿损失。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13.供应商需承担旧器材的拆除费用和安装新器材后场地恢复到旧器材拆除前的原样的费用。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需包括货物价款、途中运输费、装卸费、损耗费、加工费、安装费、测试费、技术资料费、保险费、税费、招标代理费及合同中明示或暗示的所有一般风险、责任和政策性文件规定以及不可竞争费等所需的全部费用，投标报价中若有漏项、缺项、少算部分，视同分摊至其中，结算时不予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五、商务部分要求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1.交付使用时间：合同签订之日起至60日内按采购人要求完成供货及安装调试。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及到货地点：供应商应将货物送到采购人指定地点，并负责办理运输和装卸，费用由供应商负责，由采购人组织验收，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3.报价要求：供应商所报总价仅用于本项目价格评审，中标全费用综合单价在合同实施期间不因市场变化因素而变动，按实际套数结算，具体结算方式按合同约定进行。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1.合同签定生效后，采购人向中标人支付合同总额的30%作为预付款；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2.所有设备安装调试完毕并经采购人验收合格可正常使用后一个月内，采购人向中标供应商支付合同总额的70%。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注：以上每次付款前，中标供应商均应提供符合采购人要求的同等金额的合法有效发票。否则，采购人有权顺延付款时间，且不承担任何违约或赔偿责任。付款进度以财政资金下款时间为准</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九、评标标准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1"/>
        <w:gridCol w:w="1450"/>
        <w:gridCol w:w="5077"/>
        <w:gridCol w:w="611"/>
        <w:gridCol w:w="78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采用低价优先法计算，即满足招标文件要求且评审价格最低的报价为评标基准价，其价格分为满分。其他供应商的价格分统一按照下列公式计算（小数点后保留二位）：价格分=（评标基准价/供应商报价）×30分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产品性能、配置响应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参数偏离表》进行评分，设备技术参数全部满足招标要求的得满分23分；打★号指标为必须满足项，如有负偏离将作为无效投标；打▲号指标有一项负偏离扣2分，其他参数，有一项负偏离扣1分，扣完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样品：提供双位漫步机-50cm主立柱小样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（1）工艺：样品油漆表面无异味，外观质感及边缘处理完善的得2分；样品油漆表面异味较小，外观质感及边缘处理较完善的得1分；其他不得分。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（2）美观：样品表面平整度及光泽度高的得2分；样品表面平整度及光泽度较高的得1分；其他不得分。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（3）强度：样品稳定性和强度高的得2分；样品稳定性和强度较高的得1分；其他不得分。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（4）未提供样品的不得分。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样品递交时间及地点：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1.时间：2026年08月26日13点10分至2026年08月26日13点30分完成样品递交，逾期不再接收，逾期的评审时视作未提供样品处理；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2.地点：南京市鼓楼区郑和中路18号中海广场A座602室；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3.各家供应商的样品不能出现制造厂商或供应商的标志、标记，否则样品评审时风险自行承担；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4.各家供应商的样品将由采购代理机构编号登记，评委以编号为单位进行独立评定；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5.评标结束后，供应商请及时带走样品。样品所有费用由供应商自行承担，中标供应商的样品将做封样处理，作为验收的依据。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评委根据供应商提供的实施组织方案（包含但不限于时间进度安排、项目安全措施、质量控制措施等实施方案和验收方案等）进行综合评分：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（1）时间进度安排合理、项目安全措施、质量控制措施完善合理，可行性高，针对性强的，得8分；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（2）时间进度安排较合理、项目安全措施、质量控制措施较完善合理，可行性较高，针对性较强的，得5分；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（3）时间进度安排基本合理、项目安全措施、质量控制措施基本完整，合理性一般，可行性一般，针对性一般的，得2分；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评委根据供应商提供的项目运输配送方案（包含但不限于运输方案、运输要求、运输安全保障等）进行综合评分：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（1）运输配送方案满足项目要求、合理、可行针对性强的，得8分；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（2）运输配送方案较满足项目要求、较合理、可行针对性较强的，得5分；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（3）运输配送方案基本满足项目需求的，得2分；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评委根据供应商提供的售后服务方案（包括但不限于服务体系、服务内容、故障解决方案、专业技术人员保障及服务电话等）进行综合评分：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（1）服务内容及响应全面、专业、服务保障体系完善、合理高效，服务方案切实可行，能够完全满足采购人要求的，得8分；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（2）服务内容及响应基本全面、服务保障体系基本完善，方案可行，符合采购人要求的，得5分；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（3）服务内容及响应简单粗糙、服务保障体系不太合理，欠缺可行性的，得2分；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6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评委根据供应商提供的培训方案（包括但不限于器材的使用教学、设备操作、设备维护及简单的设备维修等)进行综合评分: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（1）方案内容全面、科学合理、描述清晰，流程节点明确、灵活度好，操作性高，执行高效，完全满足本项目需求，能够确保为采购人提供符合项目需求的优质培训服务的，得8分；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（2）方案内容基本完整合理、描述较清晰，具有一定操作性，执行较有效，能够基本满足本项目需求，能够为采购人提供符合项目需求的培训服务，但整体方案细节待完善的，得5分；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（3）方案内容欠完整、描述欠清晰、灵活度不够好、操作性不够高，执行有困难，整体方案待优化，待改进加强的，得2分；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或所投产品制造商自2023年01月01日以来（以合同签订时间为准）承担过符合国标的室外健身路径器材业绩单项合同每份得2分，最多得6分。（提供合同及中标采购清单扫描件，加盖供应商公章，缺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供应商所投产品已投保或承诺中标后投保产品质量险、产品责任险、公众责任险的，得1分。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投保的提供有效期内的保单证书扫描件加盖供应商公章；投标时未投保但承诺中标后投保的提供承诺书扫描件加盖供应商公章，并于签订合同时提供保单，否则合同不予以签订，且将按虚假承诺谋取中标处理。未按以上要求提供证明材料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（投标文件内附证明材料原件扫描件并加盖供应商公章，缺项或不符不得分）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承诺拟投入不少4人的售后服务团队的基础上，承诺每增加一人得1分，最多得2分（提供承诺函扫描件及供应商为其缴纳的近半年内任意1个月的社保证明材料扫描件加盖供应商公章）。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注：承诺函需包括人员配置详细清单（包括姓名、手机号码、岗位职责等）。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
        <w:gridCol w:w="1281"/>
        <w:gridCol w:w="7231"/>
        <w:gridCol w:w="181"/>
        <w:gridCol w:w="233"/>
      </w:tblGrid>
      <w:tr>
        <w:trPr>
          <w:trHeight w:val="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采用低价优先法计算，即满足招标文件要求且评审价格最低的报价为评标基准价，其价格分为满分。其他供应商的价格分统一按照下列公式计算（小数点后保留二位）：价格分=（评标基准价/供应商报价）×30分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27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18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产品性能、配置响应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参数偏离表》进行评分，设备技术参数全部满足招标要求的得满分22分；打★号指标为必须满足项，如有负偏离将作为无效投标；打▲号指标有一项负偏离扣2分，其他参数，有一项负偏离扣1分，扣完为止。严重负偏离影响设备性能的经半数以上评委认定，本项得零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样品：提供双位漫步机-50cm主立柱小样。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（1）工艺：样品油漆表面无异味，外观质感及边缘处理完善的，得2分；样品油漆表面异味较小，外观质感及边缘处理较完善的，得1分；其他不得分。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（2）美观：样品表面平整度及光泽度高的，得2分；样品表面平整度及光泽度较高的，得1分；其他不得分。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（3）强度：样品稳定性和强度高的，得2分；样品稳定性和强度较高的，得1分；其他不得分。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（4）未提供样品的不得分。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样品递交时间及地点：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1.时间：2026年08月26日13点10分至2026年08月26日13点30分完成样品递交，逾期不再接收，逾期的评审时视作未提供样品处理；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2.地点：南京市鼓楼区郑和中路18号中海广场A座602室；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3.各家供应商的样品不能出现制造厂商或供应商的标志、标记，否则样品评审时风险自行承担；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4.各家供应商的样品将由采购代理机构编号登记，评委以编号为单位进行独立评定；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5.评标结束后，供应商请及时带走样品。样品所有费用由供应商自行承担，中标供应商的样品将做封样处理，作为验收的依据。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室外健身器材立柱金属涂饰件耐候性与耐腐蚀性能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为验证器材在户外环境下的长期耐久性，供应商需提供具有CNAS或CMA标识的第三方检测机构出具的检验报告扫描件并加盖供应商公章，报告内容及结果须同时满足以下全部要求，得3分，否则不得分：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（1）耐人工气候老化性能：按GB/T 1865-2009《色漆和清漆人工气候老化和人工辐射曝露滤过的氙弧辐射》进行试验，累计暴露时间不低于800小时；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（2）耐湿热性能：完成上述800小时老化试验后，再按GB/T 1740-2007《漆膜耐湿热测定法》进行不低于400小时的耐湿热测试；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（3）涂饰层外观评定：按GB/T 1766-2008《色漆和清漆涂层老化的评级方法》对试验后的试件进行评级，结果需同时达到：生锈等级：0级（SO）、起泡等级：0级（SO）、开裂等级：0级（SO）、变色程度：很轻微变色。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注：所提供检测报告与评分细则规定不同时，应提供符合上述要求内容（功能）的说明及关键信息，否则不予认可。为方便评委评审，功能参数可用箭头、标红或下划线等进行明显标注。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评委根据供应商提供的项目实施方案（包含但不限于项目组织管理、进度管理、施工安装方案、项目测试方案、验收方案等）进行综合评分：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（1）项目实施方案内容完整，合理性及可操作性强的，得7分；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（2）项目实施方案内容较完整，合理性及可操作性一般的，得4分；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（3）项目实施方案内容不完整，合理性及可操作性较差的，得1分；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生产与产品质量控制能力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评委根据供应商生产与产品质量控制能力进行综合评分：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（1）有具体的质量控制措施，措施合理、可实施性强，生产设备和检测设备齐全、先进的，得7分；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（2）有质量控制措施，措施基本合理、有一定的实施性，生产设备和检测设备满足项目需求的，得4分；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（3）没有质量控制措施或措施不合理、没有可实施性，生产设备和检测设备落后的，得1分；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（需提供生产设备、检测设备清单并加盖供应商公章）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评委根据供应商提供的售后服务方案（包含但不限于培训体系及培训方案、服务体系、服务内容、故障解决方案及服务车辆等）进行综合评分。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（1）售后服务方案内容全面、科学合理、可操作性强的，得7分；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（2）售后服务方案内容较为全面、较为科学合理、可操作性一般的，得4分；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（3）售后服务方案内容全面性、科学合理性、可操作性较差的，得1分；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评委根据供应商提供的项目运输配送方案（运输方案、运输要求、运输安全保障等）进行综合评分：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（1）运输配送方案满足项目要求、合理、可行针对性强的，得6分；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（2）运输配送方案较满足项目要求、较合理、可行针对性较强的，得4分；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（3）运输配送方案基本满足项目需求的，得2分；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或所投产品制造商自2023年01月01日以来（以合同签订时间为准）承担过符合国标的室外健身路径器材业绩单项合同每份得3分，最多得9分。（提供合同及中标采购清单扫描件，加盖供应商公章，缺项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供应商所投产品已投保或承诺中标后投保产品质量险、产品责任险、公众责任险的，得1分。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投保的提供有效期内的保单证书扫描件加盖供应商公章；投标时未投保但承诺中标后投保的提供承诺书扫描件加盖供应商公章，并于签订合同时提供保单，否则合同不予以签订，且将按虚假承诺谋取中标处理。未按以上要求提供证明材料的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（投标文件内附证明材料原件扫描件并加盖供应商公章，缺项或不符不得分）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承诺拟投入不少4人的售后服务团队的基础上，承诺每增加一人得1分，最多得2分（提供承诺函扫描件及供应商为其缴纳的近半年内任意1个月的社保证明材料扫描件加盖供应商公章）。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注：承诺函需包括人员配置详细清单（包括姓名、手机号码、岗位职责等）。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3359"/>
        <w:gridCol w:w="1941"/>
        <w:gridCol w:w="2149"/>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1332"/>
        <w:gridCol w:w="2430"/>
        <w:gridCol w:w="1057"/>
        <w:gridCol w:w="781"/>
        <w:gridCol w:w="1332"/>
        <w:gridCol w:w="781"/>
        <w:gridCol w:w="78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1.供应商所投产品须与“第四章-产品清单”中的产品一一对应，如有缺项、漏项或者超出报价上限的，视为无效投标。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供应商如不提供此声明函，不得参加专门面向中小企业采购项目或者不得享受小微企业价格扣除政策。此声明函将随中标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2">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3">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4</cp:revision>
  <dcterms:created xsi:type="dcterms:W3CDTF">2026-07-31T02:25:28Z</dcterms:created>
  <dcterms:modified xsi:type="dcterms:W3CDTF">2026-08-03T08:24:01Z</dcterms:modified>
</cp:coreProperties>
</file>