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宋体"/>
        </w:rPr>
      </w:pPr>
      <w:r>
        <w:rPr>
          <w:rFonts w:eastAsia="宋体"/>
        </w:rPr>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707"/>
        <w:tblW w:w="0" w:type="auto"/>
        <w:tblInd w:w="4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17"/>
        <w:gridCol w:w="5415"/>
      </w:tblGrid>
      <w:tr>
        <w:trPr/>
        <w:tc>
          <w:tcPr>
            <w:tcW w:w="1917"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5415" w:type="dxa"/>
            <w:textDirection w:val="lrTb"/>
            <w:noWrap w:val="false"/>
          </w:tcPr>
          <w:p>
            <w:pPr>
              <w:jc w:val="left"/>
              <w:spacing w:line="480" w:lineRule="auto"/>
              <w:rPr>
                <w:rFonts w:hint="eastAsia" w:ascii="Arial" w:hAnsi="Arial" w:eastAsia="宋体" w:cs="Times New Roman"/>
                <w:b/>
                <w:bCs/>
                <w:color w:val="000000"/>
                <w:sz w:val="32"/>
                <w:szCs w:val="24"/>
                <w:lang w:eastAsia="zh-CN"/>
              </w:rPr>
            </w:pPr>
            <w:r/>
            <w:bookmarkStart w:id="40" w:name="_GoBack"/>
            <w:r/>
            <w:bookmarkEnd w:id="40"/>
            <w:r>
              <w:rPr>
                <w:rFonts w:hint="eastAsia" w:ascii="Arial" w:hAnsi="Arial" w:eastAsia="宋体" w:cs="Times New Roman"/>
                <w:b/>
                <w:bCs/>
                <w:color w:val="000000"/>
                <w:sz w:val="32"/>
                <w:szCs w:val="24"/>
                <w:lang w:eastAsia="zh-CN"/>
              </w:rPr>
              <w:t xml:space="preserve">连云港市区基础测绘更新项目（非专门面向中小企业）</w:t>
            </w:r>
            <w:r/>
          </w:p>
        </w:tc>
      </w:tr>
      <w:tr>
        <w:trPr/>
        <w:tc>
          <w:tcPr>
            <w:tcW w:w="1917"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sz w:val="32"/>
                <w:szCs w:val="24"/>
              </w:rPr>
              <w:t xml:space="preserve">项目编号：</w:t>
            </w:r>
            <w:r/>
          </w:p>
        </w:tc>
        <w:tc>
          <w:tcPr>
            <w:tcW w:w="5415" w:type="dxa"/>
            <w:textDirection w:val="lrTb"/>
            <w:noWrap w:val="false"/>
          </w:tcPr>
          <w:p>
            <w:pPr>
              <w:jc w:val="left"/>
              <w:spacing w:line="48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 xml:space="preserve">JSZC-320700-XHZX-G2026-0030</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采   购   人：连云港市自然资源和规划局</w:t>
      </w:r>
      <w:r/>
    </w:p>
    <w:p>
      <w:pPr>
        <w:jc w:val="center"/>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采购代理机构：江苏协鸿工程咨询有限公司</w:t>
      </w:r>
      <w:r/>
    </w:p>
    <w:p>
      <w:pPr>
        <w:jc w:val="center"/>
        <w:spacing w:line="480" w:lineRule="auto"/>
        <w:rPr>
          <w:rFonts w:asciiTheme="minorEastAsia" w:hAnsiTheme="minorEastAsia"/>
          <w:sz w:val="24"/>
        </w:rPr>
      </w:pPr>
      <w:r>
        <w:rPr>
          <w:rFonts w:hint="eastAsia" w:ascii="Arial" w:hAnsi="Arial" w:eastAsia="宋体" w:cs="Times New Roman"/>
          <w:b/>
          <w:bCs/>
          <w:color w:val="000000"/>
          <w:sz w:val="32"/>
          <w:szCs w:val="24"/>
        </w:rPr>
        <w:t xml:space="preserve">2026年8月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697"/>
        <w:rPr>
          <w:sz w:val="28"/>
        </w:rPr>
      </w:pPr>
      <w:r>
        <w:rPr>
          <w:sz w:val="28"/>
        </w:rPr>
      </w:r>
      <w:r/>
    </w:p>
    <w:p>
      <w:pPr>
        <w:pStyle w:val="697"/>
        <w:rPr>
          <w:sz w:val="28"/>
        </w:rPr>
      </w:pPr>
      <w:r>
        <w:rPr>
          <w:rFonts w:hint="eastAsia"/>
          <w:sz w:val="28"/>
        </w:rPr>
        <w:t xml:space="preserve">第一章</w:t>
      </w:r>
      <w:r>
        <w:rPr>
          <w:sz w:val="28"/>
        </w:rPr>
        <w:t xml:space="preserve">  </w:t>
      </w:r>
      <w:r>
        <w:rPr>
          <w:rFonts w:hint="eastAsia"/>
          <w:sz w:val="28"/>
        </w:rPr>
        <w:t xml:space="preserve">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697"/>
        <w:rPr>
          <w:sz w:val="28"/>
        </w:rPr>
      </w:pPr>
      <w:r>
        <w:rPr>
          <w:rFonts w:hint="eastAsia"/>
          <w:sz w:val="28"/>
        </w:rPr>
        <w:t xml:space="preserve">第二章</w:t>
      </w:r>
      <w:r>
        <w:rPr>
          <w:sz w:val="28"/>
        </w:rPr>
        <w:t xml:space="preserve">  </w:t>
      </w:r>
      <w:r>
        <w:rPr>
          <w:rFonts w:hint="eastAsia"/>
          <w:sz w:val="28"/>
        </w:rPr>
        <w:t xml:space="preserve">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697"/>
        <w:rPr>
          <w:sz w:val="28"/>
        </w:rPr>
      </w:pPr>
      <w:r>
        <w:rPr>
          <w:rFonts w:hint="eastAsia"/>
          <w:sz w:val="28"/>
        </w:rPr>
        <w:t xml:space="preserve">第三章</w:t>
      </w:r>
      <w:r>
        <w:rPr>
          <w:sz w:val="28"/>
        </w:rPr>
        <w:t xml:space="preserve">  </w:t>
      </w:r>
      <w:r>
        <w:rPr>
          <w:rFonts w:hint="eastAsia"/>
          <w:sz w:val="28"/>
        </w:rPr>
        <w:t xml:space="preserve">合同文本.................................................................................</w:t>
      </w:r>
      <w:r>
        <w:rPr>
          <w:sz w:val="28"/>
        </w:rPr>
        <w:fldChar w:fldCharType="begin"/>
      </w:r>
      <w:r>
        <w:rPr>
          <w:sz w:val="28"/>
        </w:rPr>
        <w:instrText xml:space="preserve"> PAGEREF _Toc162361612 \h </w:instrText>
      </w:r>
      <w:r>
        <w:rPr>
          <w:sz w:val="28"/>
        </w:rPr>
        <w:fldChar w:fldCharType="separate"/>
      </w:r>
      <w:r>
        <w:rPr>
          <w:sz w:val="28"/>
        </w:rPr>
        <w:t xml:space="preserve">23</w:t>
      </w:r>
      <w:r>
        <w:rPr>
          <w:sz w:val="28"/>
        </w:rPr>
        <w:fldChar w:fldCharType="end"/>
      </w:r>
      <w:r/>
    </w:p>
    <w:p>
      <w:pPr>
        <w:pStyle w:val="697"/>
        <w:rPr>
          <w:sz w:val="28"/>
        </w:rPr>
      </w:pPr>
      <w:r>
        <w:rPr>
          <w:rFonts w:hint="eastAsia"/>
          <w:sz w:val="28"/>
        </w:rPr>
        <w:t xml:space="preserve">第四章</w:t>
      </w:r>
      <w:r>
        <w:rPr>
          <w:sz w:val="28"/>
        </w:rPr>
        <w:t xml:space="preserve">  </w:t>
      </w:r>
      <w:r>
        <w:rPr>
          <w:rFonts w:hint="eastAsia"/>
          <w:sz w:val="28"/>
        </w:rPr>
        <w:t xml:space="preserve">采购需求.................................................................................</w:t>
      </w:r>
      <w:r>
        <w:rPr>
          <w:sz w:val="28"/>
        </w:rPr>
        <w:fldChar w:fldCharType="begin"/>
      </w:r>
      <w:r>
        <w:rPr>
          <w:sz w:val="28"/>
        </w:rPr>
        <w:instrText xml:space="preserve"> PAGEREF _Toc162361613 \h </w:instrText>
      </w:r>
      <w:r>
        <w:rPr>
          <w:sz w:val="28"/>
        </w:rPr>
        <w:fldChar w:fldCharType="separate"/>
      </w:r>
      <w:r>
        <w:rPr>
          <w:sz w:val="28"/>
        </w:rPr>
        <w:t xml:space="preserve">29</w:t>
      </w:r>
      <w:r>
        <w:rPr>
          <w:sz w:val="28"/>
        </w:rPr>
        <w:fldChar w:fldCharType="end"/>
      </w:r>
      <w:r/>
    </w:p>
    <w:p>
      <w:pPr>
        <w:pStyle w:val="697"/>
        <w:rPr>
          <w:sz w:val="28"/>
        </w:rPr>
      </w:pPr>
      <w:r>
        <w:rPr>
          <w:rFonts w:hint="eastAsia"/>
          <w:sz w:val="28"/>
        </w:rPr>
        <w:t xml:space="preserve">第五章</w:t>
      </w:r>
      <w:r>
        <w:rPr>
          <w:sz w:val="28"/>
        </w:rPr>
        <w:t xml:space="preserve">  </w:t>
      </w:r>
      <w:r>
        <w:rPr>
          <w:rFonts w:hint="eastAsia"/>
          <w:sz w:val="28"/>
        </w:rPr>
        <w:t xml:space="preserve">评标方法与评标标准.............................................................</w:t>
      </w:r>
      <w:r>
        <w:rPr>
          <w:sz w:val="28"/>
        </w:rPr>
        <w:t xml:space="preserve">40</w:t>
      </w:r>
      <w:r/>
    </w:p>
    <w:p>
      <w:pPr>
        <w:pStyle w:val="697"/>
        <w:rPr>
          <w:sz w:val="28"/>
        </w:rPr>
      </w:pPr>
      <w:r>
        <w:rPr>
          <w:rFonts w:hint="eastAsia"/>
          <w:sz w:val="28"/>
        </w:rPr>
        <w:t xml:space="preserve">第六章</w:t>
      </w:r>
      <w:r>
        <w:rPr>
          <w:sz w:val="28"/>
        </w:rPr>
        <w:t xml:space="preserve">  </w:t>
      </w:r>
      <w:r>
        <w:rPr>
          <w:rFonts w:hint="eastAsia"/>
          <w:sz w:val="28"/>
        </w:rPr>
        <w:t xml:space="preserve">投标文件格式.........................................................................</w:t>
      </w:r>
      <w:r>
        <w:rPr>
          <w:sz w:val="28"/>
        </w:rPr>
        <w:fldChar w:fldCharType="begin"/>
      </w:r>
      <w:r>
        <w:rPr>
          <w:sz w:val="28"/>
        </w:rPr>
        <w:instrText xml:space="preserve"> PAGEREF _Toc162361615 \h </w:instrText>
      </w:r>
      <w:r>
        <w:rPr>
          <w:sz w:val="28"/>
        </w:rPr>
        <w:fldChar w:fldCharType="separate"/>
      </w:r>
      <w:r>
        <w:rPr>
          <w:sz w:val="28"/>
        </w:rPr>
        <w:t xml:space="preserve">46</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673"/>
        <w:jc w:val="center"/>
        <w:spacing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73"/>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受连云港市自然资源和规划局的委托，江苏协鸿工程咨询有限公司就</w:t>
      </w:r>
      <w:r>
        <w:rPr>
          <w:rFonts w:hint="eastAsia" w:ascii="宋体" w:hAnsi="宋体" w:eastAsia="宋体" w:cs="宋体"/>
          <w:sz w:val="24"/>
          <w:szCs w:val="24"/>
          <w:lang w:eastAsia="zh-CN"/>
        </w:rPr>
        <w:t xml:space="preserve">连云港市区基础测绘更新项目（非专门面向中小企业）</w:t>
      </w: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JSZC-320700-XHZX-G2026-0030</w:t>
      </w:r>
      <w:r>
        <w:rPr>
          <w:rFonts w:hint="eastAsia" w:ascii="宋体" w:hAnsi="宋体" w:eastAsia="宋体" w:cs="宋体"/>
          <w:sz w:val="24"/>
          <w:szCs w:val="24"/>
        </w:rPr>
        <w:t xml:space="preserve">）项目进行公开招标采购，欢迎符合条件的供应商投标。</w:t>
      </w:r>
      <w:r/>
    </w:p>
    <w:tbl>
      <w:tblPr>
        <w:tblStyle w:val="707"/>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eastAsia="宋体" w:asciiTheme="minorEastAsia" w:hAnsiTheme="minorEastAsia"/>
                <w:b/>
                <w:bCs/>
                <w:sz w:val="24"/>
                <w:szCs w:val="24"/>
                <w:u w:val="single"/>
                <w:lang w:eastAsia="zh-CN"/>
              </w:rPr>
              <w:t xml:space="preserve">连云港市区基础测绘更新项目（非专门面向中小企业）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2026年9月20日</w:t>
            </w:r>
            <w:r>
              <w:rPr>
                <w:rFonts w:hint="eastAsia" w:eastAsia="宋体" w:asciiTheme="minorEastAsia" w:hAnsiTheme="minorEastAsia"/>
                <w:b/>
                <w:sz w:val="24"/>
                <w:szCs w:val="24"/>
                <w:u w:val="single"/>
              </w:rPr>
              <w:t xml:space="preserve">9</w:t>
            </w:r>
            <w:r>
              <w:rPr>
                <w:rFonts w:hint="eastAsia" w:asciiTheme="minorEastAsia" w:hAnsiTheme="minorEastAsia"/>
                <w:b/>
                <w:sz w:val="24"/>
                <w:szCs w:val="24"/>
                <w:u w:val="single"/>
              </w:rPr>
              <w:t xml:space="preserve">:</w:t>
            </w:r>
            <w:r>
              <w:rPr>
                <w:rFonts w:hint="eastAsia" w:eastAsia="宋体" w:asciiTheme="minorEastAsia" w:hAnsiTheme="minorEastAsia"/>
                <w:b/>
                <w:sz w:val="24"/>
                <w:szCs w:val="24"/>
                <w:u w:val="single"/>
              </w:rPr>
              <w:t xml:space="preserve">0</w:t>
            </w:r>
            <w:r>
              <w:rPr>
                <w:rFonts w:hint="eastAsia" w:asciiTheme="minorEastAsia" w:hAnsiTheme="minorEastAsia"/>
                <w:b/>
                <w:sz w:val="24"/>
                <w:szCs w:val="24"/>
                <w:u w:val="single"/>
              </w:rPr>
              <w:t xml:space="preserve">0:00</w:t>
            </w:r>
            <w:r>
              <w:rPr>
                <w:rFonts w:hint="eastAsia" w:asciiTheme="minorEastAsia" w:hAnsiTheme="minorEastAsia"/>
                <w:sz w:val="24"/>
                <w:szCs w:val="24"/>
              </w:rPr>
              <w:t xml:space="preserve">（北京时间）前递交（上传）投标文件。</w:t>
            </w:r>
            <w:r/>
          </w:p>
        </w:tc>
      </w:tr>
    </w:tbl>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项目编号：</w:t>
      </w:r>
      <w:r>
        <w:rPr>
          <w:rFonts w:hint="eastAsia" w:eastAsia="宋体" w:asciiTheme="minorEastAsia" w:hAnsiTheme="minorEastAsia"/>
          <w:sz w:val="24"/>
          <w:szCs w:val="24"/>
          <w:lang w:eastAsia="zh-CN"/>
        </w:rPr>
        <w:t xml:space="preserve">JSZC-320700-XHZX-G2026-0030</w:t>
      </w:r>
      <w:r/>
    </w:p>
    <w:p>
      <w:pPr>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项目名称：</w:t>
      </w:r>
      <w:r>
        <w:rPr>
          <w:rFonts w:hint="eastAsia" w:eastAsia="宋体" w:asciiTheme="minorEastAsia" w:hAnsiTheme="minorEastAsia"/>
          <w:sz w:val="24"/>
          <w:szCs w:val="24"/>
          <w:lang w:eastAsia="zh-CN"/>
        </w:rPr>
        <w:t xml:space="preserve">连云港市区基础测绘更新项目（非专门面向中小企业）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预算金额：人民币285万元，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Cs/>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开展市区基础地理实体协同更新、城市级实景三维模型更新，按需制作重点地标建筑、大型构筑物、立交桥梁、地下空间等单体化三维模型；同步实施全市永久性测量标志普查，更新维护测量标志管理信息系统等。详见第四部分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宋体" w:hAnsi="宋体"/>
          <w:color w:val="000000"/>
          <w:sz w:val="24"/>
        </w:rPr>
      </w:pPr>
      <w:r>
        <w:rPr>
          <w:rFonts w:hint="eastAsia" w:asciiTheme="minorEastAsia" w:hAnsiTheme="minorEastAsia"/>
          <w:sz w:val="24"/>
          <w:szCs w:val="24"/>
        </w:rPr>
        <w:t xml:space="preserve">合同履行期限：</w:t>
      </w:r>
      <w:r>
        <w:rPr>
          <w:rFonts w:hint="eastAsia" w:ascii="宋体" w:hAnsi="宋体" w:eastAsia="宋体"/>
          <w:color w:val="000000"/>
          <w:sz w:val="24"/>
        </w:rPr>
        <w:t xml:space="preserve">合同签订之日起至2027年12月31日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bCs/>
          <w:sz w:val="24"/>
          <w:szCs w:val="24"/>
        </w:rPr>
      </w:pPr>
      <w:r>
        <w:rPr>
          <w:rFonts w:hint="eastAsia" w:asciiTheme="minorEastAsia" w:hAnsiTheme="minorEastAsia"/>
          <w:bCs/>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7.资格审查现场查询信用中国、中国政府采购网，投</w:t>
      </w:r>
      <w:r>
        <w:rPr>
          <w:rFonts w:hint="eastAsia" w:asciiTheme="minorEastAsia" w:hAnsiTheme="minorEastAsia"/>
          <w:sz w:val="24"/>
          <w:szCs w:val="24"/>
        </w:rPr>
        <w:t xml:space="preserve">标人被</w:t>
      </w:r>
      <w:r>
        <w:rPr>
          <w:rFonts w:hint="eastAsia" w:cs="Times New Roman" w:asciiTheme="minorEastAsia" w:hAnsiTheme="minorEastAsia"/>
          <w:sz w:val="24"/>
          <w:szCs w:val="24"/>
        </w:rPr>
        <w:t xml:space="preserve">列入失信被执行人、</w:t>
      </w:r>
      <w:r>
        <w:rPr>
          <w:rFonts w:hint="eastAsia" w:eastAsia="宋体" w:cs="Times New Roman" w:asciiTheme="minorEastAsia" w:hAnsiTheme="minorEastAsia"/>
          <w:sz w:val="24"/>
          <w:szCs w:val="24"/>
        </w:rPr>
        <w:t xml:space="preserve">重大</w:t>
      </w:r>
      <w:r>
        <w:rPr>
          <w:rFonts w:cs="Times New Roman" w:asciiTheme="minorEastAsia" w:hAnsiTheme="minorEastAsia"/>
          <w:sz w:val="24"/>
          <w:szCs w:val="24"/>
        </w:rPr>
        <w:t xml:space="preserve">税收违法</w:t>
      </w:r>
      <w:r>
        <w:rPr>
          <w:rFonts w:hint="eastAsia" w:eastAsia="宋体" w:cs="Times New Roman" w:asciiTheme="minorEastAsia" w:hAnsiTheme="minorEastAsia"/>
          <w:sz w:val="24"/>
          <w:szCs w:val="24"/>
        </w:rPr>
        <w:t xml:space="preserve">失信主体</w:t>
      </w:r>
      <w:r>
        <w:rPr>
          <w:rFonts w:cs="Times New Roman" w:asciiTheme="minorEastAsia" w:hAnsiTheme="minorEastAsia"/>
          <w:sz w:val="24"/>
          <w:szCs w:val="24"/>
        </w:rPr>
        <w:t xml:space="preserve">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eastAsia="宋体" w:asciiTheme="minorEastAsia" w:hAnsiTheme="minorEastAsia"/>
          <w:sz w:val="24"/>
          <w:szCs w:val="24"/>
          <w:highlight w:val="red"/>
        </w:rPr>
      </w:pPr>
      <w:r>
        <w:rPr>
          <w:rFonts w:hint="eastAsia" w:asciiTheme="minorEastAsia" w:hAnsiTheme="minorEastAsia"/>
          <w:sz w:val="24"/>
          <w:szCs w:val="24"/>
        </w:rPr>
        <w:t xml:space="preserve">（二）落实政府采购政策需满足的资格要求：无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w:t>
      </w:r>
      <w:r>
        <w:rPr>
          <w:rFonts w:ascii="Times New Roman" w:hAnsi="Times New Roman" w:cs="Times New Roman"/>
          <w:b/>
          <w:bCs/>
          <w:sz w:val="24"/>
          <w:szCs w:val="24"/>
        </w:rPr>
        <w:t xml:space="preserve">投标人须具备</w:t>
      </w:r>
      <w:r>
        <w:rPr>
          <w:rFonts w:hint="eastAsia" w:ascii="Times New Roman" w:hAnsi="Times New Roman" w:cs="Times New Roman"/>
          <w:b/>
          <w:bCs/>
          <w:sz w:val="24"/>
          <w:szCs w:val="24"/>
        </w:rPr>
        <w:t xml:space="preserve">行政主管部门</w:t>
      </w:r>
      <w:r>
        <w:rPr>
          <w:rFonts w:ascii="Times New Roman" w:hAnsi="Times New Roman" w:cs="Times New Roman"/>
          <w:b/>
          <w:bCs/>
          <w:sz w:val="24"/>
          <w:szCs w:val="24"/>
        </w:rPr>
        <w:t xml:space="preserve">颁发的有效期内的测绘资质证书，</w:t>
      </w:r>
      <w:r>
        <w:rPr>
          <w:rFonts w:hint="eastAsia" w:ascii="Times New Roman" w:hAnsi="Times New Roman" w:eastAsia="宋体" w:cs="Times New Roman"/>
          <w:b/>
          <w:bCs/>
          <w:sz w:val="24"/>
          <w:szCs w:val="24"/>
        </w:rPr>
        <w:t xml:space="preserve">专业类别</w:t>
      </w:r>
      <w:r>
        <w:rPr>
          <w:rFonts w:ascii="Times New Roman" w:hAnsi="Times New Roman" w:cs="Times New Roman"/>
          <w:b/>
          <w:bCs/>
          <w:sz w:val="24"/>
          <w:szCs w:val="24"/>
        </w:rPr>
        <w:t xml:space="preserve">须同时包含：</w:t>
      </w:r>
      <w:r>
        <w:rPr>
          <w:rFonts w:hint="eastAsia" w:ascii="Times New Roman" w:hAnsi="Times New Roman" w:cs="Times New Roman"/>
          <w:b/>
          <w:bCs/>
          <w:sz w:val="24"/>
          <w:szCs w:val="24"/>
        </w:rPr>
        <w:t xml:space="preserve">测绘航空摄影、工程测量、地理信息系统工程</w:t>
      </w:r>
      <w:r>
        <w:rPr>
          <w:rFonts w:ascii="Times New Roman" w:hAnsi="Times New Roman" w:cs="Times New Roman"/>
          <w:b/>
          <w:bCs/>
          <w:sz w:val="24"/>
          <w:szCs w:val="24"/>
        </w:rPr>
        <w:t xml:space="preserve">。</w:t>
      </w:r>
      <w:r/>
    </w:p>
    <w:p>
      <w:pPr>
        <w:pStyle w:val="67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时间：自招标公告发布之日起至2026年9月4日（北京时间）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7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提交投标文件截止时间：2026年9月20日9:</w:t>
      </w:r>
      <w:r>
        <w:rPr>
          <w:rFonts w:hint="eastAsia" w:eastAsia="宋体" w:asciiTheme="minorEastAsia" w:hAnsiTheme="minorEastAsia"/>
          <w:sz w:val="24"/>
          <w:szCs w:val="24"/>
        </w:rPr>
        <w:t xml:space="preserve">0</w:t>
      </w:r>
      <w:r>
        <w:rPr>
          <w:rFonts w:hint="eastAsia" w:asciiTheme="minorEastAsia" w:hAnsiTheme="minorEastAsia"/>
          <w:sz w:val="24"/>
          <w:szCs w:val="24"/>
        </w:rPr>
        <w:t xml:space="preserve">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开标时间：2026年9月20日</w:t>
      </w:r>
      <w:r>
        <w:rPr>
          <w:rFonts w:hint="eastAsia" w:eastAsia="宋体" w:asciiTheme="minorEastAsia" w:hAnsiTheme="minorEastAsia"/>
          <w:sz w:val="24"/>
          <w:szCs w:val="24"/>
        </w:rPr>
        <w:t xml:space="preserve">9</w:t>
      </w:r>
      <w:r>
        <w:rPr>
          <w:rFonts w:hint="eastAsia" w:asciiTheme="minorEastAsia" w:hAnsiTheme="minorEastAsia"/>
          <w:sz w:val="24"/>
          <w:szCs w:val="24"/>
        </w:rPr>
        <w:t xml:space="preserve">:</w:t>
      </w:r>
      <w:r>
        <w:rPr>
          <w:rFonts w:hint="eastAsia" w:eastAsia="宋体" w:asciiTheme="minorEastAsia" w:hAnsiTheme="minorEastAsia"/>
          <w:sz w:val="24"/>
          <w:szCs w:val="24"/>
        </w:rPr>
        <w:t xml:space="preserve">0</w:t>
      </w:r>
      <w:r>
        <w:rPr>
          <w:rFonts w:hint="eastAsia" w:asciiTheme="minorEastAsia" w:hAnsiTheme="minorEastAsia"/>
          <w:sz w:val="24"/>
          <w:szCs w:val="24"/>
        </w:rPr>
        <w:t xml:space="preserve">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7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7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2"/>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7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称：连云港市自然资源和规划局</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w:t>
      </w:r>
      <w:r>
        <w:rPr>
          <w:rFonts w:ascii="Times New Roman" w:hAnsi="Times New Roman" w:cs="Times New Roman"/>
          <w:sz w:val="24"/>
          <w:szCs w:val="24"/>
        </w:rPr>
        <w:t xml:space="preserve">连云港市海州区朝阳中路21号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联系方式：</w:t>
      </w:r>
      <w:r>
        <w:rPr>
          <w:rFonts w:asciiTheme="minorEastAsia" w:hAnsiTheme="minorEastAsia"/>
          <w:sz w:val="24"/>
          <w:szCs w:val="24"/>
        </w:rPr>
        <w:t xml:space="preserve">0518-85528587</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t xml:space="preserve">名    称：江苏协鸿工程咨询有限公司</w:t>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t xml:space="preserve">地    址：连云港市海州区秦东门大街兴亿达大厦西厅14楼</w:t>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t xml:space="preserve">联系方式：陈工  0518-82341968</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项目联系人：吴先生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话：0518-85528587</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673"/>
        <w:jc w:val="left"/>
        <w:spacing w:line="360" w:lineRule="auto"/>
      </w:pPr>
      <w:r>
        <w:t xml:space="preserve">         </w:t>
      </w:r>
      <w:r/>
    </w:p>
    <w:p>
      <w:r>
        <w:br w:type="page" w:clear="all"/>
      </w:r>
      <w:r/>
    </w:p>
    <w:p>
      <w:pPr>
        <w:pStyle w:val="673"/>
        <w:jc w:val="center"/>
        <w:spacing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投标人应自行承担所有与参加投标有关的费用，无论投标过程中的做法和结果如何，江苏协鸿工程咨询有限公司（以下简称</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供应商投标时报价须当包含代理费（供应商在投标报价时可综合考虑此费用，不单列）。依据本项目委托代理协议约定，本项目采购代理费为人民币</w:t>
      </w:r>
      <w:r>
        <w:rPr>
          <w:rFonts w:hint="eastAsia" w:eastAsia="宋体"/>
          <w:sz w:val="24"/>
          <w:szCs w:val="24"/>
        </w:rPr>
        <w:t xml:space="preserve">贰万元</w:t>
      </w:r>
      <w:r>
        <w:rPr>
          <w:rFonts w:hint="eastAsia" w:asciiTheme="minorEastAsia" w:hAnsiTheme="minorEastAsia"/>
          <w:sz w:val="24"/>
          <w:szCs w:val="24"/>
        </w:rPr>
        <w:t xml:space="preserve">，由中标供应商支付。支付方式：电汇、网银、现金。</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eastAsia="宋体" w:cs="宋体"/>
          <w:bCs/>
          <w:color w:val="000000"/>
          <w:sz w:val="24"/>
          <w:szCs w:val="24"/>
          <w:highlight w:val="yellow"/>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w:t>
      </w:r>
      <w:r>
        <w:rPr>
          <w:rFonts w:hint="eastAsia" w:eastAsia="宋体" w:asciiTheme="minorEastAsia" w:hAnsiTheme="minorEastAsia"/>
          <w:sz w:val="24"/>
          <w:szCs w:val="24"/>
        </w:rPr>
        <w:t xml:space="preserve">招标文件</w:t>
      </w:r>
      <w:r>
        <w:rPr>
          <w:rFonts w:hint="eastAsia" w:asciiTheme="minorEastAsia" w:hAnsiTheme="minorEastAsia"/>
          <w:sz w:val="24"/>
          <w:szCs w:val="24"/>
        </w:rPr>
        <w:t xml:space="preserve">规定的开标之日后</w:t>
      </w:r>
      <w:r>
        <w:rPr>
          <w:rFonts w:hint="eastAsia" w:eastAsia="宋体" w:asciiTheme="minorEastAsia" w:hAnsiTheme="minorEastAsia"/>
          <w:sz w:val="24"/>
          <w:szCs w:val="24"/>
        </w:rPr>
        <w:t xml:space="preserve">一百二十</w:t>
      </w:r>
      <w:r>
        <w:rPr>
          <w:rFonts w:hint="eastAsia" w:asciiTheme="minorEastAsia" w:hAnsiTheme="minorEastAsia"/>
          <w:sz w:val="24"/>
          <w:szCs w:val="24"/>
        </w:rPr>
        <w:t xml:space="preserve">（</w:t>
      </w:r>
      <w:r>
        <w:rPr>
          <w:rFonts w:hint="eastAsia" w:eastAsia="宋体" w:asciiTheme="minorEastAsia" w:hAnsiTheme="minorEastAsia"/>
          <w:sz w:val="24"/>
          <w:szCs w:val="24"/>
        </w:rPr>
        <w:t xml:space="preserve">120</w:t>
      </w:r>
      <w:r>
        <w:rPr>
          <w:rFonts w:hint="eastAsia" w:asciiTheme="minorEastAsia" w:hAnsiTheme="minorEastAsia"/>
          <w:sz w:val="24"/>
          <w:szCs w:val="24"/>
        </w:rPr>
        <w:t xml:space="preserve">）天。投标有效期比规定短的将被视为未实质性响应招标文件而予以拒绝。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w:t>
      </w:r>
      <w:r>
        <w:rPr>
          <w:rFonts w:hint="eastAsia" w:eastAsia="宋体" w:asciiTheme="minorEastAsia" w:hAnsiTheme="minorEastAsia"/>
          <w:sz w:val="24"/>
          <w:szCs w:val="24"/>
        </w:rPr>
        <w:t xml:space="preserve">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eastAsia="宋体" w:asciiTheme="minorEastAsia" w:hAnsiTheme="minorEastAsia"/>
          <w:sz w:val="24"/>
          <w:szCs w:val="24"/>
        </w:rPr>
        <w:t xml:space="preserve">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w:t>
      </w:r>
      <w:r>
        <w:rPr>
          <w:rFonts w:hint="eastAsia" w:eastAsia="宋体" w:asciiTheme="minorEastAsia" w:hAnsiTheme="minorEastAsia"/>
          <w:sz w:val="24"/>
          <w:szCs w:val="24"/>
        </w:rPr>
        <w:t xml:space="preserve">采购人、代理机构</w:t>
      </w:r>
      <w:r>
        <w:rPr>
          <w:rFonts w:hint="eastAsia" w:asciiTheme="minorEastAsia" w:hAnsiTheme="minorEastAsia"/>
          <w:sz w:val="24"/>
          <w:szCs w:val="24"/>
        </w:rPr>
        <w:t xml:space="preserve">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2"/>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2"/>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3.投标报价低于采购项目最高限价45%的，即投标报价&lt;采购项目最高限价×45%；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w:t>
      </w:r>
      <w:r>
        <w:rPr>
          <w:rFonts w:hint="eastAsia" w:eastAsia="宋体" w:asciiTheme="minorEastAsia" w:hAnsiTheme="minorEastAsia"/>
          <w:sz w:val="24"/>
          <w:szCs w:val="24"/>
        </w:rPr>
        <w:t xml:space="preserve">代理机构</w:t>
      </w:r>
      <w:r>
        <w:rPr>
          <w:rFonts w:hint="eastAsia" w:ascii="宋体" w:hAnsi="宋体" w:eastAsia="宋体" w:cs="Times New Roman"/>
          <w:sz w:val="24"/>
          <w:szCs w:val="24"/>
        </w:rPr>
        <w:t xml:space="preserve">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采用综合评分法的采购项目，评审得分相同的，由评委会按照招标文件规定的方式确定一个投标人获得中标人推荐资格，招标文件未规定的采取随机抽取方式确定。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eastAsia="宋体" w:asciiTheme="minorEastAsia" w:hAnsiTheme="minorEastAsia"/>
          <w:sz w:val="24"/>
          <w:szCs w:val="24"/>
        </w:rPr>
        <w:t xml:space="preserve">2</w:t>
      </w:r>
      <w:r>
        <w:rPr>
          <w:rFonts w:hint="eastAsia" w:asciiTheme="minorEastAsia" w:hAnsiTheme="minorEastAsia"/>
          <w:sz w:val="24"/>
          <w:szCs w:val="24"/>
        </w:rPr>
        <w:t xml:space="preserve">.1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eastAsia="宋体" w:asciiTheme="minorEastAsia" w:hAnsiTheme="minorEastAsia"/>
          <w:sz w:val="24"/>
          <w:szCs w:val="24"/>
        </w:rPr>
        <w:t xml:space="preserve">3</w:t>
      </w:r>
      <w:r>
        <w:rPr>
          <w:rFonts w:hint="eastAsia" w:asciiTheme="minorEastAsia" w:hAnsiTheme="minorEastAsia"/>
          <w:sz w:val="24"/>
          <w:szCs w:val="24"/>
        </w:rPr>
        <w:t xml:space="preserve">.1 中标人可凭政府采购合同办理融资贷款，详情请见江苏政府采购网“政采贷”专栏。</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eastAsia="宋体" w:asciiTheme="minorEastAsia" w:hAnsiTheme="minorEastAsia"/>
          <w:sz w:val="24"/>
          <w:szCs w:val="24"/>
        </w:rPr>
        <w:t xml:space="preserve">4</w:t>
      </w:r>
      <w:r>
        <w:rPr>
          <w:rFonts w:hint="eastAsia" w:asciiTheme="minorEastAsia" w:hAnsiTheme="minorEastAsia"/>
          <w:sz w:val="24"/>
          <w:szCs w:val="24"/>
        </w:rPr>
        <w:t xml:space="preserve">.1 供应商对政府采购活动事项有疑问的，可以提出询问，采购人或者</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应当在3个工作日内对投标人依法提出的询问作出答复，但答复的内容不得涉及商业秘密。供应商提出的询问超出采购人对</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委托授权范围的，</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。采购人、</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w:t>
      </w:r>
      <w:r>
        <w:rPr>
          <w:rFonts w:hint="eastAsia" w:eastAsia="宋体" w:asciiTheme="minorEastAsia" w:hAnsiTheme="minorEastAsia"/>
          <w:sz w:val="24"/>
          <w:szCs w:val="24"/>
        </w:rPr>
        <w:t xml:space="preserve">代理机构</w:t>
      </w:r>
      <w:r>
        <w:rPr>
          <w:rFonts w:hint="eastAsia" w:asciiTheme="minorEastAsia" w:hAnsiTheme="minorEastAsia"/>
          <w:sz w:val="24"/>
          <w:szCs w:val="24"/>
        </w:rPr>
        <w:t xml:space="preserve">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highlight w:val="red"/>
        </w:rPr>
      </w:pPr>
      <w:r>
        <w:rPr>
          <w:rFonts w:hint="eastAsia" w:asciiTheme="minorEastAsia" w:hAnsiTheme="minorEastAsia"/>
          <w:sz w:val="24"/>
          <w:szCs w:val="24"/>
        </w:rPr>
        <w:t xml:space="preserve">38.1 本</w:t>
      </w:r>
      <w:r>
        <w:rPr>
          <w:rFonts w:hint="eastAsia" w:asciiTheme="minorEastAsia" w:hAnsiTheme="minorEastAsia"/>
          <w:sz w:val="24"/>
          <w:szCs w:val="24"/>
        </w:rPr>
        <w:t xml:space="preserve">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本项目对提供的</w:t>
      </w:r>
      <w:r>
        <w:rPr>
          <w:rFonts w:hint="eastAsia" w:eastAsia="宋体" w:asciiTheme="minorEastAsia" w:hAnsiTheme="minorEastAsia"/>
          <w:sz w:val="24"/>
          <w:szCs w:val="24"/>
        </w:rPr>
        <w:t xml:space="preserve">服务</w:t>
      </w:r>
      <w:r>
        <w:rPr>
          <w:rFonts w:hint="eastAsia" w:asciiTheme="minorEastAsia" w:hAnsiTheme="minorEastAsia"/>
          <w:sz w:val="24"/>
          <w:szCs w:val="24"/>
        </w:rPr>
        <w:t xml:space="preserve">全部由小型企业、微型企业、残疾人福利性单位和监狱企业</w:t>
      </w:r>
      <w:r>
        <w:rPr>
          <w:rFonts w:hint="eastAsia" w:eastAsia="宋体" w:asciiTheme="minorEastAsia" w:hAnsiTheme="minorEastAsia"/>
          <w:sz w:val="24"/>
          <w:szCs w:val="24"/>
        </w:rPr>
        <w:t xml:space="preserve">提供</w:t>
      </w:r>
      <w:r>
        <w:rPr>
          <w:rFonts w:hint="eastAsia" w:asciiTheme="minorEastAsia" w:hAnsiTheme="minorEastAsia"/>
          <w:sz w:val="24"/>
          <w:szCs w:val="24"/>
        </w:rPr>
        <w:t xml:space="preserve">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w:t>
      </w:r>
      <w:r>
        <w:rPr>
          <w:rFonts w:hint="eastAsia"/>
          <w:sz w:val="24"/>
        </w:rPr>
        <w:t xml:space="preserve">参加本项目政府采购活动的供应商享受价格评审优惠的应当提供的材料</w:t>
      </w:r>
      <w:r>
        <w:rPr>
          <w:rFonts w:hint="eastAsia" w:asciiTheme="minorEastAsia" w:hAnsiTheme="minorEastAsia"/>
          <w:sz w:val="24"/>
          <w:szCs w:val="24"/>
        </w:rPr>
        <w:t xml:space="preserve">：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享受扶持政策获得政府采购合同的，小微企业不得将合同分包给大中型企业，中型企业不得将合同分包给大型企业。</w:t>
      </w:r>
      <w:r/>
    </w:p>
    <w:p>
      <w:pPr>
        <w:ind w:firstLine="482"/>
        <w:spacing w:line="500" w:lineRule="exact"/>
        <w:rPr>
          <w:rFonts w:eastAsia="宋体" w:asciiTheme="minorEastAsia" w:hAnsiTheme="minorEastAsia"/>
          <w:b/>
          <w:sz w:val="24"/>
        </w:rPr>
      </w:pPr>
      <w:r>
        <w:rPr>
          <w:rFonts w:hint="eastAsia" w:eastAsia="宋体" w:asciiTheme="minorEastAsia" w:hAnsiTheme="minorEastAsia"/>
          <w:b/>
          <w:sz w:val="24"/>
        </w:rPr>
        <w:t xml:space="preserve">39政府采购中实施本国产品标准及相关政策</w:t>
      </w:r>
      <w:r/>
    </w:p>
    <w:p>
      <w:pPr>
        <w:ind w:firstLine="480"/>
        <w:spacing w:line="500" w:lineRule="exact"/>
        <w:rPr>
          <w:rFonts w:eastAsia="宋体" w:asciiTheme="minorEastAsia" w:hAnsiTheme="minorEastAsia"/>
          <w:b/>
          <w:sz w:val="24"/>
        </w:rPr>
      </w:pPr>
      <w:r>
        <w:rPr>
          <w:rFonts w:hint="eastAsia" w:asciiTheme="minorEastAsia" w:hAnsiTheme="minorEastAsia"/>
          <w:sz w:val="24"/>
          <w:szCs w:val="24"/>
        </w:rPr>
        <w:t xml:space="preserve">根据《国务院办公厅关于在政府采购中实施本国产品标准及相关政策的通知》（国办发〔2025〕34号），本项目不涉及货物，不执行本国产品价格评审优惠。</w:t>
      </w:r>
      <w:r/>
    </w:p>
    <w:p>
      <w:pPr>
        <w:ind w:firstLine="482"/>
        <w:spacing w:line="500" w:lineRule="exact"/>
        <w:rPr>
          <w:rFonts w:asciiTheme="minorEastAsia" w:hAnsiTheme="minorEastAsia"/>
          <w:b/>
          <w:sz w:val="24"/>
        </w:rPr>
      </w:pPr>
      <w:r>
        <w:rPr>
          <w:rFonts w:hint="eastAsia" w:eastAsia="宋体" w:asciiTheme="minorEastAsia" w:hAnsiTheme="minorEastAsia"/>
          <w:b/>
          <w:sz w:val="24"/>
        </w:rPr>
        <w:t xml:space="preserve">40</w:t>
      </w:r>
      <w:r>
        <w:rPr>
          <w:rFonts w:hint="eastAsia" w:asciiTheme="minorEastAsia" w:hAnsiTheme="minorEastAsia"/>
          <w:b/>
          <w:sz w:val="24"/>
        </w:rPr>
        <w:t xml:space="preserve">.支持绿色发展</w:t>
      </w:r>
      <w:r/>
    </w:p>
    <w:p>
      <w:pPr>
        <w:ind w:firstLine="480"/>
        <w:spacing w:line="500" w:lineRule="exact"/>
        <w:rPr>
          <w:rFonts w:asciiTheme="minorEastAsia" w:hAnsiTheme="minorEastAsia"/>
          <w:sz w:val="24"/>
          <w:szCs w:val="24"/>
        </w:rPr>
      </w:pPr>
      <w:r>
        <w:rPr>
          <w:rFonts w:hint="eastAsia" w:eastAsia="宋体" w:asciiTheme="minorEastAsia" w:hAnsiTheme="minorEastAsia"/>
          <w:sz w:val="24"/>
          <w:szCs w:val="24"/>
        </w:rPr>
        <w:t xml:space="preserve">40</w:t>
      </w:r>
      <w:r>
        <w:rPr>
          <w:rFonts w:hint="eastAsia" w:asciiTheme="minorEastAsia" w:hAnsiTheme="minor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eastAsia="宋体" w:asciiTheme="minorEastAsia" w:hAnsiTheme="minorEastAsia"/>
          <w:sz w:val="24"/>
          <w:szCs w:val="24"/>
        </w:rPr>
        <w:t xml:space="preserve">40</w:t>
      </w:r>
      <w:r>
        <w:rPr>
          <w:rFonts w:hint="eastAsia" w:asciiTheme="minorEastAsia" w:hAnsiTheme="minor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eastAsia="宋体" w:asciiTheme="minorEastAsia" w:hAnsiTheme="minorEastAsia"/>
          <w:sz w:val="24"/>
        </w:rPr>
        <w:t xml:space="preserve">40</w:t>
      </w:r>
      <w:r>
        <w:rPr>
          <w:rFonts w:hint="eastAsia" w:asciiTheme="minorEastAsia" w:hAnsiTheme="minorEastAsia"/>
          <w:sz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w:t>
      </w:r>
      <w:r>
        <w:rPr>
          <w:rFonts w:hint="eastAsia" w:eastAsia="宋体" w:asciiTheme="minorEastAsia" w:hAnsiTheme="minorEastAsia"/>
          <w:b/>
          <w:sz w:val="24"/>
        </w:rPr>
        <w:t xml:space="preserve">1</w:t>
      </w:r>
      <w:r>
        <w:rPr>
          <w:rFonts w:hint="eastAsia" w:asciiTheme="minorEastAsia" w:hAnsiTheme="minorEastAsia"/>
          <w:b/>
          <w:sz w:val="24"/>
        </w:rPr>
        <w:t xml:space="preserve">.政府采购需求标准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w:t>
      </w:r>
      <w:r>
        <w:rPr>
          <w:rFonts w:hint="eastAsia" w:eastAsia="宋体" w:asciiTheme="minorEastAsia" w:hAnsiTheme="minorEastAsia"/>
          <w:sz w:val="24"/>
          <w:szCs w:val="24"/>
        </w:rPr>
        <w:t xml:space="preserve">1</w:t>
      </w:r>
      <w:r>
        <w:rPr>
          <w:rFonts w:hint="eastAsia" w:asciiTheme="minorEastAsia" w:hAnsiTheme="minorEastAsia"/>
          <w:sz w:val="24"/>
          <w:szCs w:val="24"/>
        </w:rPr>
        <w:t xml:space="preserve">.1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73"/>
        <w:jc w:val="center"/>
        <w:spacing w:line="360" w:lineRule="auto"/>
        <w:rPr>
          <w:sz w:val="24"/>
          <w:szCs w:val="24"/>
        </w:rPr>
      </w:pPr>
      <w:r/>
      <w:bookmarkStart w:id="4" w:name="_Toc162361612"/>
      <w:r>
        <w:rPr>
          <w:rFonts w:hint="eastAsia" w:ascii="黑体" w:hAnsi="黑体" w:eastAsia="黑体"/>
          <w:b w:val="0"/>
        </w:rPr>
        <w:t xml:space="preserve">第三章  合同文本</w:t>
      </w:r>
      <w:bookmarkEnd w:id="4"/>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5" w:name="OLE_LINK155"/>
      <w:r/>
      <w:bookmarkStart w:id="6"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2"/>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eastAsia="宋体"/>
          <w:sz w:val="24"/>
          <w:szCs w:val="24"/>
        </w:rPr>
        <w:t xml:space="preserve">12.2</w:t>
      </w:r>
      <w:r>
        <w:rPr>
          <w:rFonts w:hint="eastAsia"/>
          <w:sz w:val="24"/>
          <w:szCs w:val="24"/>
        </w:rPr>
        <w:t xml:space="preserve">乙方为服务本项目的人员签订合同，缴纳社会保险，足额发放劳动报酬，并采取各项措施保证乙方服务安全，由此产生的一切责任及费用均由乙方承担。</w:t>
      </w:r>
      <w:r/>
    </w:p>
    <w:p>
      <w:pPr>
        <w:ind w:firstLine="480"/>
        <w:jc w:val="left"/>
        <w:spacing w:line="500" w:lineRule="exact"/>
        <w:rPr>
          <w:sz w:val="24"/>
          <w:szCs w:val="24"/>
        </w:rPr>
      </w:pPr>
      <w:r>
        <w:rPr>
          <w:rFonts w:hint="eastAsia" w:eastAsia="宋体"/>
          <w:sz w:val="24"/>
          <w:szCs w:val="24"/>
        </w:rPr>
        <w:t xml:space="preserve">12.3</w:t>
      </w:r>
      <w:r>
        <w:rPr>
          <w:rFonts w:hint="eastAsia"/>
          <w:sz w:val="24"/>
          <w:szCs w:val="24"/>
        </w:rPr>
        <w:t xml:space="preserve">乙方应自己负责实施合同期间其工作人员的食宿、通讯、差旅、交通水电、资料收集等产生的一切费用以及工作使用的计算机等相关软硬件设备。</w:t>
      </w:r>
      <w:r/>
    </w:p>
    <w:p>
      <w:pPr>
        <w:ind w:firstLine="480"/>
        <w:jc w:val="left"/>
        <w:spacing w:line="500" w:lineRule="exact"/>
        <w:rPr>
          <w:sz w:val="24"/>
          <w:szCs w:val="24"/>
        </w:rPr>
      </w:pPr>
      <w:r>
        <w:rPr>
          <w:rFonts w:hint="eastAsia" w:eastAsia="宋体"/>
          <w:sz w:val="24"/>
          <w:szCs w:val="24"/>
        </w:rPr>
        <w:t xml:space="preserve">12.4</w:t>
      </w:r>
      <w:r>
        <w:rPr>
          <w:rFonts w:hint="eastAsia"/>
          <w:sz w:val="24"/>
          <w:szCs w:val="24"/>
        </w:rPr>
        <w:t xml:space="preserve">乙方应按合同约定的技术规范、标准、规程及甲方提出的技术要求进行作业，按合同规定的进度要求提交质量合格的项目资料，并对其负责。</w:t>
      </w:r>
      <w:r/>
    </w:p>
    <w:p>
      <w:pPr>
        <w:ind w:firstLine="480"/>
        <w:jc w:val="left"/>
        <w:spacing w:line="500" w:lineRule="exact"/>
        <w:rPr>
          <w:sz w:val="24"/>
          <w:szCs w:val="24"/>
        </w:rPr>
      </w:pPr>
      <w:r>
        <w:rPr>
          <w:rFonts w:hint="eastAsia" w:eastAsia="宋体"/>
          <w:sz w:val="24"/>
          <w:szCs w:val="24"/>
        </w:rPr>
        <w:t xml:space="preserve">12.5</w:t>
      </w:r>
      <w:r>
        <w:rPr>
          <w:rFonts w:hint="eastAsia"/>
          <w:sz w:val="24"/>
          <w:szCs w:val="24"/>
        </w:rPr>
        <w:t xml:space="preserve">乙方按合同要求及时向甲方交付资料及文件。</w:t>
      </w:r>
      <w:r/>
    </w:p>
    <w:p>
      <w:pPr>
        <w:ind w:firstLine="480"/>
        <w:jc w:val="left"/>
        <w:spacing w:line="500" w:lineRule="exact"/>
        <w:rPr>
          <w:sz w:val="24"/>
          <w:szCs w:val="24"/>
        </w:rPr>
      </w:pPr>
      <w:r>
        <w:rPr>
          <w:rFonts w:hint="eastAsia" w:eastAsia="宋体"/>
          <w:sz w:val="24"/>
          <w:szCs w:val="24"/>
        </w:rPr>
        <w:t xml:space="preserve">12.6</w:t>
      </w:r>
      <w:r>
        <w:rPr>
          <w:rFonts w:hint="eastAsia"/>
          <w:sz w:val="24"/>
          <w:szCs w:val="24"/>
        </w:rPr>
        <w:t xml:space="preserve">乙方交付测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p>
    <w:p>
      <w:pPr>
        <w:ind w:firstLine="480"/>
        <w:jc w:val="left"/>
        <w:spacing w:line="500" w:lineRule="exact"/>
        <w:rPr>
          <w:sz w:val="24"/>
          <w:szCs w:val="24"/>
        </w:rPr>
      </w:pPr>
      <w:r>
        <w:rPr>
          <w:rFonts w:hint="eastAsia" w:eastAsia="宋体"/>
          <w:sz w:val="24"/>
          <w:szCs w:val="24"/>
        </w:rPr>
        <w:t xml:space="preserve">12.7</w:t>
      </w:r>
      <w:r>
        <w:rPr>
          <w:rFonts w:hint="eastAsia"/>
          <w:sz w:val="24"/>
          <w:szCs w:val="24"/>
        </w:rPr>
        <w:t xml:space="preserve">本项目所产生的原始数据、中间数据、成果数据产权，及与该项目相关的图纸和技术资料均甲方独享，并且乙方负有保证第三人不得向甲方主张任何权利的义务。乙方未经甲方书面允许，不得对第三方提供项目中的任何数据资料，如发生以上情况并给甲方造成经济损失，甲方有权向乙方索赔。</w:t>
      </w:r>
      <w:r/>
    </w:p>
    <w:p>
      <w:pPr>
        <w:ind w:firstLine="480"/>
        <w:jc w:val="left"/>
        <w:spacing w:line="500" w:lineRule="exact"/>
        <w:rPr>
          <w:sz w:val="24"/>
          <w:szCs w:val="24"/>
        </w:rPr>
      </w:pPr>
      <w:r>
        <w:rPr>
          <w:rFonts w:hint="eastAsia" w:eastAsia="宋体"/>
          <w:sz w:val="24"/>
          <w:szCs w:val="24"/>
        </w:rPr>
        <w:t xml:space="preserve">12.8</w:t>
      </w:r>
      <w:r>
        <w:rPr>
          <w:rFonts w:hint="eastAsia"/>
          <w:sz w:val="24"/>
          <w:szCs w:val="24"/>
        </w:rPr>
        <w:t xml:space="preserve">该合同所涉及图纸、技术资料以及测绘成果的所有权、使用权和著作权归甲方所有。</w:t>
      </w:r>
      <w:r/>
    </w:p>
    <w:p>
      <w:pPr>
        <w:ind w:firstLine="480"/>
        <w:jc w:val="left"/>
        <w:spacing w:line="500" w:lineRule="exact"/>
        <w:rPr>
          <w:sz w:val="24"/>
          <w:szCs w:val="24"/>
        </w:rPr>
      </w:pPr>
      <w:r>
        <w:rPr>
          <w:rFonts w:hint="eastAsia" w:eastAsia="宋体"/>
          <w:sz w:val="24"/>
          <w:szCs w:val="24"/>
        </w:rPr>
        <w:t xml:space="preserve">12.9</w:t>
      </w:r>
      <w:r>
        <w:rPr>
          <w:rFonts w:hint="eastAsia"/>
          <w:sz w:val="24"/>
          <w:szCs w:val="24"/>
        </w:rPr>
        <w:t xml:space="preserve">未经过甲方允许，乙方不得将合同的全部或部分转包给第三方。</w:t>
      </w:r>
      <w:r/>
    </w:p>
    <w:p>
      <w:pPr>
        <w:ind w:firstLine="480"/>
        <w:jc w:val="left"/>
        <w:spacing w:line="500" w:lineRule="exact"/>
        <w:rPr>
          <w:sz w:val="24"/>
          <w:szCs w:val="24"/>
        </w:rPr>
      </w:pPr>
      <w:r>
        <w:rPr>
          <w:rFonts w:hint="eastAsia" w:eastAsia="宋体"/>
          <w:sz w:val="24"/>
          <w:szCs w:val="24"/>
        </w:rPr>
        <w:t xml:space="preserve">12.10</w:t>
      </w:r>
      <w:r>
        <w:rPr>
          <w:rFonts w:hint="eastAsia"/>
          <w:sz w:val="24"/>
          <w:szCs w:val="24"/>
        </w:rPr>
        <w:t xml:space="preserve">项目技术设计论证、项目评审、验收费用由乙方承担。</w:t>
      </w:r>
      <w:r/>
    </w:p>
    <w:p>
      <w:pPr>
        <w:ind w:firstLine="480"/>
        <w:jc w:val="left"/>
        <w:spacing w:line="500" w:lineRule="exact"/>
        <w:rPr>
          <w:sz w:val="24"/>
          <w:szCs w:val="24"/>
        </w:rPr>
      </w:pPr>
      <w:r>
        <w:rPr>
          <w:rFonts w:hint="eastAsia"/>
          <w:sz w:val="24"/>
          <w:szCs w:val="24"/>
        </w:rPr>
        <w:t xml:space="preserve">12.</w:t>
      </w:r>
      <w:r>
        <w:rPr>
          <w:rFonts w:hint="eastAsia" w:eastAsia="宋体"/>
          <w:sz w:val="24"/>
          <w:szCs w:val="24"/>
        </w:rPr>
        <w:t xml:space="preserve">11</w:t>
      </w:r>
      <w:r>
        <w:rPr>
          <w:rFonts w:hint="eastAsia"/>
          <w:sz w:val="24"/>
          <w:szCs w:val="24"/>
        </w:rPr>
        <w:t xml:space="preserve">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w:t>
      </w:r>
      <w:r>
        <w:rPr>
          <w:rFonts w:hint="eastAsia" w:eastAsia="宋体"/>
          <w:sz w:val="24"/>
          <w:szCs w:val="24"/>
        </w:rPr>
        <w:t xml:space="preserve">12</w:t>
      </w:r>
      <w:r>
        <w:rPr>
          <w:rFonts w:hint="eastAsia"/>
          <w:sz w:val="24"/>
          <w:szCs w:val="24"/>
        </w:rPr>
        <w:t xml:space="preserve">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w:t>
      </w:r>
      <w:r>
        <w:rPr>
          <w:rFonts w:hint="eastAsia" w:eastAsia="宋体"/>
          <w:sz w:val="24"/>
          <w:szCs w:val="24"/>
        </w:rPr>
        <w:t xml:space="preserve">13</w:t>
      </w:r>
      <w:r>
        <w:rPr>
          <w:rFonts w:hint="eastAsia"/>
          <w:sz w:val="24"/>
          <w:szCs w:val="24"/>
        </w:rPr>
        <w:t xml:space="preserve">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（2）</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（2）向合同签订地法院起诉，合同签订地在此约定为连云港市海州区，。</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5"/>
      <w:r/>
      <w:bookmarkEnd w:id="6"/>
      <w:r/>
      <w:r/>
    </w:p>
    <w:p>
      <w:pPr>
        <w:jc w:val="left"/>
        <w:widowControl/>
        <w:rPr>
          <w:sz w:val="24"/>
          <w:szCs w:val="24"/>
        </w:rPr>
      </w:pPr>
      <w:r>
        <w:rPr>
          <w:sz w:val="24"/>
          <w:szCs w:val="24"/>
        </w:rPr>
        <w:br w:type="page" w:clear="all"/>
      </w:r>
      <w:r/>
    </w:p>
    <w:p>
      <w:pPr>
        <w:pStyle w:val="673"/>
        <w:jc w:val="center"/>
        <w:spacing w:line="360" w:lineRule="auto"/>
        <w:rPr>
          <w:rFonts w:ascii="黑体" w:hAnsi="黑体" w:eastAsia="黑体"/>
          <w:b w:val="0"/>
        </w:rPr>
      </w:pPr>
      <w:r/>
      <w:bookmarkStart w:id="7" w:name="_Toc162361613"/>
      <w:r>
        <w:rPr>
          <w:rFonts w:hint="eastAsia" w:ascii="黑体" w:hAnsi="黑体" w:eastAsia="黑体"/>
          <w:b w:val="0"/>
        </w:rPr>
        <w:t xml:space="preserve">第四章  </w:t>
      </w:r>
      <w:bookmarkStart w:id="8" w:name="OLE_LINK1"/>
      <w:r>
        <w:rPr>
          <w:rFonts w:hint="eastAsia" w:ascii="黑体" w:hAnsi="黑体" w:eastAsia="黑体"/>
          <w:b w:val="0"/>
        </w:rPr>
        <w:t xml:space="preserve">采购需求</w:t>
      </w:r>
      <w:bookmarkEnd w:id="7"/>
      <w:r/>
      <w:bookmarkEnd w:id="8"/>
      <w:r/>
      <w:r/>
    </w:p>
    <w:p>
      <w:pPr>
        <w:ind w:firstLine="482"/>
        <w:spacing w:line="500" w:lineRule="exact"/>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说明：本项目属性为服务，采购标的对应的中小企业划分标准所属行业为：</w:t>
      </w:r>
      <w:r>
        <w:rPr>
          <w:rFonts w:hint="eastAsia" w:ascii="宋体" w:hAnsi="宋体" w:eastAsia="宋体" w:cs="宋体"/>
          <w:b/>
          <w:sz w:val="24"/>
          <w:szCs w:val="24"/>
          <w:u w:val="single"/>
        </w:rPr>
        <w:t xml:space="preserve">其他未列明行业</w:t>
      </w:r>
      <w:r>
        <w:rPr>
          <w:rFonts w:hint="eastAsia" w:ascii="宋体" w:hAnsi="宋体" w:eastAsia="宋体" w:cs="宋体"/>
          <w:b/>
          <w:sz w:val="24"/>
          <w:szCs w:val="24"/>
        </w:rPr>
        <w:t xml:space="preserve">。</w:t>
      </w:r>
      <w:r/>
    </w:p>
    <w:p>
      <w:pPr>
        <w:ind w:firstLine="482"/>
        <w:spacing w:line="360" w:lineRule="auto"/>
        <w:rPr>
          <w:rFonts w:ascii="宋体" w:hAnsi="宋体" w:eastAsia="宋体" w:cs="宋体"/>
          <w:b/>
          <w:sz w:val="24"/>
          <w:szCs w:val="24"/>
          <w:lang w:bidi="ar"/>
        </w:rPr>
      </w:pPr>
      <w:r>
        <w:rPr>
          <w:rFonts w:hint="eastAsia" w:ascii="宋体" w:hAnsi="宋体" w:eastAsia="宋体" w:cs="宋体"/>
          <w:b/>
          <w:sz w:val="24"/>
          <w:szCs w:val="24"/>
          <w:lang w:bidi="ar"/>
        </w:rPr>
        <w:t xml:space="preserve">本项目所属行业其他未列明行业，依据《关于印发中小企业划型标准规定的通知》（工信部联企业〔2011〕300号）行业划型标准如下：从业人员300人以下的为中小微型企业。其中，从业人员100人及以上的为中型企业；从业人员10人及以上的为小型企业；从业人员10人以下的为微型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360" w:lineRule="auto"/>
        <w:rPr>
          <w:sz w:val="24"/>
          <w:szCs w:val="24"/>
        </w:rPr>
      </w:pPr>
      <w:r>
        <w:rPr>
          <w:rFonts w:hint="eastAsia" w:ascii="宋体" w:hAnsi="宋体" w:eastAsia="宋体" w:cs="宋体"/>
          <w:sz w:val="24"/>
          <w:szCs w:val="24"/>
        </w:rPr>
        <w:t xml:space="preserve">2.本招标文件中斜体且有下划线部分为实质性要求和条件，由采购人根据实际情况设置，投标人必须逐条明确作出满足实质性要求和条件的响应，否则将按无效投标处理。</w:t>
      </w:r>
      <w:r/>
    </w:p>
    <w:tbl>
      <w:tblPr>
        <w:tblStyle w:val="70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Bdr>
                <w:top w:val="none" w:color="auto" w:sz="0" w:space="1"/>
                <w:left w:val="none" w:color="auto" w:sz="0" w:space="4"/>
                <w:bottom w:val="none" w:color="auto" w:sz="0" w:space="1"/>
                <w:right w:val="none" w:color="auto" w:sz="0" w:space="4"/>
              </w:pBd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Bdr>
                <w:top w:val="none" w:color="auto" w:sz="0" w:space="1"/>
                <w:left w:val="none" w:color="auto" w:sz="0" w:space="4"/>
                <w:bottom w:val="none" w:color="auto" w:sz="0" w:space="1"/>
                <w:right w:val="none" w:color="auto" w:sz="0" w:space="4"/>
              </w:pBdr>
            </w:pPr>
            <w:r>
              <w:rPr>
                <w:b/>
                <w:sz w:val="24"/>
                <w:szCs w:val="24"/>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w:t>
            </w:r>
            <w:r/>
          </w:p>
        </w:tc>
        <w:tc>
          <w:tcPr>
            <w:tcBorders>
              <w:top w:val="single" w:color="auto" w:sz="4" w:space="0"/>
            </w:tcBorders>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eastAsia="宋体" w:cs="宋体"/>
                <w:b/>
                <w:bCs/>
                <w:i/>
                <w:iCs/>
                <w:sz w:val="24"/>
                <w:u w:val="single"/>
              </w:rPr>
              <w:t xml:space="preserve">服务期限：合同签订之日起至2027年12月31日。</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eastAsia="宋体"/>
                <w:sz w:val="24"/>
                <w:szCs w:val="24"/>
              </w:rPr>
              <w:t xml:space="preserve">2</w:t>
            </w:r>
            <w:r/>
          </w:p>
        </w:tc>
        <w:tc>
          <w:tcPr>
            <w:tcBorders>
              <w:top w:val="single" w:color="auto" w:sz="4" w:space="0"/>
            </w:tcBorders>
            <w:tcW w:w="7689" w:type="dxa"/>
            <w:textDirection w:val="lrTb"/>
            <w:noWrap w:val="false"/>
          </w:tcPr>
          <w:p>
            <w:pPr>
              <w:jc w:val="left"/>
              <w:spacing w:line="360" w:lineRule="auto"/>
              <w:rPr>
                <w:rFonts w:ascii="宋体" w:hAnsi="宋体" w:eastAsia="宋体" w:cs="宋体"/>
                <w:b/>
                <w:bCs/>
                <w:i/>
                <w:iCs/>
                <w:sz w:val="24"/>
                <w:u w:val="single"/>
              </w:rPr>
            </w:pPr>
            <w:r>
              <w:rPr>
                <w:rFonts w:hint="eastAsia" w:ascii="宋体" w:hAnsi="宋体" w:cs="宋体"/>
                <w:b/>
                <w:bCs/>
                <w:i/>
                <w:iCs/>
                <w:sz w:val="24"/>
                <w:szCs w:val="24"/>
                <w:u w:val="single"/>
              </w:rPr>
              <w:t xml:space="preserve">项目技术设计书、检查报告等技术文件应当由注册测绘师审核签字并加盖执业印章。</w:t>
            </w:r>
            <w:r/>
          </w:p>
        </w:tc>
      </w:tr>
      <w:tr>
        <w:trPr>
          <w:jc w:val="center"/>
        </w:trPr>
        <w:tc>
          <w:tcPr>
            <w:shd w:val="clear" w:color="auto" w:fill="auto"/>
            <w:tcW w:w="816" w:type="dxa"/>
            <w:vAlign w:val="center"/>
            <w:textDirection w:val="lrTb"/>
            <w:noWrap w:val="false"/>
          </w:tcPr>
          <w:p>
            <w:pPr>
              <w:jc w:val="center"/>
              <w:spacing w:line="500" w:lineRule="exact"/>
              <w:rPr>
                <w:rFonts w:eastAsia="宋体"/>
                <w:sz w:val="24"/>
                <w:szCs w:val="24"/>
              </w:rPr>
              <w:pBdr>
                <w:top w:val="none" w:color="auto" w:sz="0" w:space="1"/>
                <w:left w:val="none" w:color="auto" w:sz="0" w:space="4"/>
                <w:bottom w:val="none" w:color="auto" w:sz="0" w:space="1"/>
                <w:right w:val="none" w:color="auto" w:sz="0" w:space="4"/>
              </w:pBdr>
            </w:pPr>
            <w:r>
              <w:rPr>
                <w:rFonts w:hint="eastAsia" w:eastAsia="宋体"/>
                <w:sz w:val="24"/>
                <w:szCs w:val="24"/>
              </w:rPr>
              <w:t xml:space="preserve">3</w:t>
            </w:r>
            <w:r/>
          </w:p>
        </w:tc>
        <w:tc>
          <w:tcPr>
            <w:tcW w:w="7689" w:type="dxa"/>
            <w:textDirection w:val="lrTb"/>
            <w:noWrap w:val="false"/>
          </w:tcPr>
          <w:p>
            <w:pPr>
              <w:jc w:val="left"/>
              <w:spacing w:line="360" w:lineRule="auto"/>
              <w:rPr>
                <w:rFonts w:ascii="宋体" w:hAnsi="宋体" w:cs="宋体"/>
                <w:b/>
                <w:bCs/>
                <w:i/>
                <w:iCs/>
                <w:sz w:val="24"/>
                <w:szCs w:val="24"/>
                <w:u w:val="single"/>
              </w:rPr>
            </w:pPr>
            <w:r/>
            <w:bookmarkStart w:id="9" w:name="OLE_LINK18"/>
            <w:r/>
            <w:bookmarkStart w:id="10" w:name="OLE_LINK17"/>
            <w:r>
              <w:rPr>
                <w:rFonts w:hint="eastAsia" w:ascii="宋体" w:hAnsi="宋体" w:eastAsia="宋体" w:cs="宋体"/>
                <w:b/>
                <w:bCs/>
                <w:i/>
                <w:iCs/>
                <w:sz w:val="24"/>
                <w:u w:val="single"/>
              </w:rPr>
              <w:t xml:space="preserve">项目技术设计书通过专家组评审后，支付合同金额的30%；2026年基础地理实体和大比例尺地形图协同更新成果、城市级实景三维连云港数据更新成果、测量标志普查成果通过测绘成果质量监督检验机构质检后，支付合同金额的30%；2027年基础地理实体和大比例尺地形图协同更新成果、城市级实景三维连云港数据更新成果通过测绘成果质量监督检验机构质检且项目全部成果通过专家组验收后，支付合同金额的40%。</w:t>
            </w:r>
            <w:bookmarkEnd w:id="9"/>
            <w:r/>
            <w:bookmarkEnd w:id="10"/>
            <w:r/>
            <w:r/>
          </w:p>
        </w:tc>
      </w:tr>
    </w:tbl>
    <w:p>
      <w:pPr>
        <w:ind w:firstLine="482"/>
        <w:spacing w:line="360" w:lineRule="auto"/>
        <w:rPr>
          <w:rFonts w:ascii="宋体" w:hAnsi="宋体" w:eastAsia="宋体" w:cs="宋体"/>
          <w:b/>
          <w:bCs/>
          <w:sz w:val="24"/>
          <w:szCs w:val="24"/>
        </w:rPr>
      </w:pPr>
      <w:r>
        <w:rPr>
          <w:rFonts w:ascii="宋体" w:hAnsi="宋体" w:eastAsia="宋体" w:cs="宋体"/>
          <w:b/>
          <w:bCs/>
          <w:sz w:val="24"/>
          <w:szCs w:val="24"/>
        </w:rPr>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一、项目概况</w:t>
      </w:r>
      <w:r/>
    </w:p>
    <w:p>
      <w:pPr>
        <w:ind w:firstLine="480"/>
        <w:spacing w:line="360" w:lineRule="auto"/>
        <w:rPr>
          <w:rFonts w:ascii="宋体" w:hAnsi="宋体" w:eastAsia="宋体" w:cs="宋体"/>
          <w:sz w:val="24"/>
        </w:rPr>
      </w:pPr>
      <w:r>
        <w:rPr>
          <w:rFonts w:hint="eastAsia" w:ascii="宋体" w:hAnsi="宋体" w:eastAsia="宋体" w:cs="宋体"/>
          <w:sz w:val="24"/>
        </w:rPr>
        <w:t xml:space="preserve">根据省自然资源厅《关于</w:t>
      </w:r>
      <w:r>
        <w:rPr>
          <w:rFonts w:hint="eastAsia" w:ascii="宋体" w:hAnsi="宋体" w:eastAsia="宋体" w:cs="宋体"/>
          <w:sz w:val="24"/>
        </w:rPr>
        <w:t xml:space="preserve">推进2026年度实景三维数据省市县协同更新工作的通知》（苏自然资函﹝2026〕368号）和市发改委《关于印发&lt;连云港市加快推动低空经济高质量发展2026年工作清单&gt;的通知》（连发改工业发﹝2026〕158号）要求，开展市区基础地理实体协同更新、城市级实景三维模型更新，按需制作重点地标建筑、大型构筑物、立交桥梁、地下空间等单体化三维模型；同步实施全市永久性测量标志普查，更新维护测量标志管理信息系统等。持续提升基础测绘成果的现势性、精细度和丰富度，为经济建设、国防建设、社会发展和生态保护提供坚实的数据底座支撑。</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二、服务技术要求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1.服务内容</w:t>
      </w:r>
      <w:r/>
    </w:p>
    <w:p>
      <w:pPr>
        <w:ind w:firstLine="480"/>
        <w:spacing w:line="360" w:lineRule="auto"/>
        <w:rPr>
          <w:rFonts w:ascii="Times New Roman" w:hAnsi="Times New Roman" w:cs="Times New Roman"/>
          <w:sz w:val="24"/>
        </w:rPr>
      </w:pPr>
      <w:r/>
      <w:bookmarkStart w:id="11" w:name="OLE_LINK19"/>
      <w:r>
        <w:rPr>
          <w:rFonts w:hint="eastAsia" w:ascii="Times New Roman" w:hAnsi="Times New Roman" w:cs="Times New Roman"/>
          <w:sz w:val="24"/>
        </w:rPr>
        <w:t xml:space="preserve">1.1 基础地理实体和大比例尺地形图协同更新。根据《江苏省实景三维数据省市县协同更新实施方案》，2026年和2027年分年度开展市区约400平方千米（具体范围详见下图，可根据实际情况作适当调整）基础地理实体和大比例尺地形图协同更新，同步开展基础地理实体派生1∶2000地形图关键技术研究。</w:t>
      </w:r>
      <w:bookmarkEnd w:id="11"/>
      <w:r/>
      <w:r/>
    </w:p>
    <w:p>
      <w:pPr>
        <w:ind w:firstLine="480"/>
        <w:jc w:val="left"/>
        <w:spacing w:line="360" w:lineRule="auto"/>
        <w:rPr>
          <w:rFonts w:ascii="Times New Roman" w:hAnsi="Times New Roman" w:cs="Times New Roman"/>
          <w:sz w:val="24"/>
        </w:rPr>
      </w:pPr>
      <w:r/>
      <w:bookmarkStart w:id="12" w:name="OLE_LINK20"/>
      <w:r/>
      <w:bookmarkStart w:id="13" w:name="OLE_LINK21"/>
      <w:r>
        <w:rPr>
          <w:rFonts w:ascii="Times New Roman" w:hAnsi="Times New Roman"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-18415</wp:posOffset>
                </wp:positionH>
                <wp:positionV relativeFrom="paragraph">
                  <wp:posOffset>-2540</wp:posOffset>
                </wp:positionV>
                <wp:extent cx="5274310" cy="3662045"/>
                <wp:effectExtent l="0" t="0" r="2540" b="0"/>
                <wp:wrapTight wrapText="bothSides">
                  <wp:wrapPolygon edited="1">
                    <wp:start x="0" y="0"/>
                    <wp:lineTo x="0" y="21461"/>
                    <wp:lineTo x="21532" y="21461"/>
                    <wp:lineTo x="21532"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5274310" cy="36620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4pt;mso-position-horizontal:absolute;mso-position-vertical-relative:text;margin-top:-0.2pt;mso-position-vertical:absolute;width:415.3pt;height:288.3pt;mso-wrap-distance-left:9.0pt;mso-wrap-distance-top:0.0pt;mso-wrap-distance-right:9.0pt;mso-wrap-distance-bottom:0.0pt;" wrapcoords="0 0 0 99356 99685 99356 99685 0 0 0" stroked="false">
                <v:path textboxrect="0,0,0,0"/>
                <w10:wrap type="tight"/>
                <v:imagedata r:id="rId11" o:title=""/>
              </v:shape>
            </w:pict>
          </mc:Fallback>
        </mc:AlternateContent>
      </w:r>
      <w:r>
        <w:rPr>
          <w:rFonts w:hint="eastAsia" w:ascii="Times New Roman" w:hAnsi="Times New Roman" w:cs="Times New Roman"/>
          <w:sz w:val="24"/>
        </w:rPr>
        <w:t xml:space="preserve">1.2 城市级实景三维连云港数据更新。根据《江苏省实景三维数据省市县协同更新实施方案》，</w:t>
      </w:r>
      <w:bookmarkStart w:id="14" w:name="OLE_LINK15"/>
      <w:r/>
      <w:bookmarkStart w:id="15" w:name="OLE_LINK14"/>
      <w:r>
        <w:rPr>
          <w:rFonts w:hint="eastAsia" w:ascii="Times New Roman" w:hAnsi="Times New Roman" w:cs="Times New Roman"/>
          <w:sz w:val="24"/>
        </w:rPr>
        <w:t xml:space="preserve">2026年和2027年分年度开展市区约250平方千米（具体范围详见下图，可根据实际情况作适当调整）</w:t>
      </w:r>
      <w:bookmarkStart w:id="16" w:name="OLE_LINK8"/>
      <w:r>
        <w:rPr>
          <w:rFonts w:hint="eastAsia" w:ascii="Times New Roman" w:hAnsi="Times New Roman" w:cs="Times New Roman"/>
          <w:sz w:val="24"/>
        </w:rPr>
        <w:t xml:space="preserve">存量城市级</w:t>
      </w:r>
      <w:bookmarkStart w:id="17" w:name="OLE_LINK9"/>
      <w:r>
        <w:rPr>
          <w:rFonts w:hint="eastAsia" w:ascii="Times New Roman" w:hAnsi="Times New Roman" w:cs="Times New Roman"/>
          <w:sz w:val="24"/>
        </w:rPr>
        <w:t xml:space="preserve">实景三维连云港数据更新，同步完成实景三维连云港数据轻量化</w:t>
      </w:r>
      <w:bookmarkEnd w:id="16"/>
      <w:r/>
      <w:bookmarkEnd w:id="17"/>
      <w:r>
        <w:rPr>
          <w:rFonts w:hint="eastAsia" w:ascii="Times New Roman" w:hAnsi="Times New Roman" w:cs="Times New Roman"/>
          <w:sz w:val="24"/>
        </w:rPr>
        <w:t xml:space="preserve">处理。</w:t>
      </w:r>
      <w:bookmarkStart w:id="18" w:name="OLE_LINK12"/>
      <w:r/>
      <w:bookmarkStart w:id="19" w:name="OLE_LINK13"/>
      <w:r>
        <w:rPr>
          <w:rFonts w:hint="eastAsia" w:ascii="Times New Roman" w:hAnsi="Times New Roman" w:cs="Times New Roman"/>
          <w:sz w:val="24"/>
        </w:rPr>
        <w:t xml:space="preserve">项目实施期间，完成不少于30处的重点地标建筑、大型构筑物、立交桥梁、地下空间等单体化三维模型制作。</w:t>
      </w:r>
      <w:bookmarkEnd w:id="12"/>
      <w:r/>
      <w:bookmarkEnd w:id="13"/>
      <w:r/>
      <w:bookmarkEnd w:id="14"/>
      <w:r/>
      <w:bookmarkEnd w:id="15"/>
      <w:r/>
      <w:bookmarkEnd w:id="18"/>
      <w:r/>
      <w:bookmarkEnd w:id="19"/>
      <w:r/>
      <w:r/>
    </w:p>
    <w:p>
      <w:pPr>
        <w:spacing w:line="360" w:lineRule="auto"/>
        <w:rPr>
          <w:rFonts w:ascii="Times New Roman" w:hAnsi="Times New Roman" w:cs="Times New Roman"/>
          <w:sz w:val="24"/>
        </w:rPr>
      </w:pPr>
      <w:r>
        <mc:AlternateContent>
          <mc:Choice Requires="wpg">
            <w:drawing>
              <wp:inline xmlns:wp="http://schemas.openxmlformats.org/drawingml/2006/wordprocessingDrawing" distT="0" distB="0" distL="0" distR="0">
                <wp:extent cx="5274310" cy="363982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5274310" cy="363981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286.6pt;mso-wrap-distance-left:0.0pt;mso-wrap-distance-top:0.0pt;mso-wrap-distance-right:0.0pt;mso-wrap-distance-bottom:0.0pt;" stroked="false">
                <v:path textboxrect="0,0,0,0"/>
                <v:imagedata r:id="rId12" o:title=""/>
              </v:shape>
            </w:pict>
          </mc:Fallback>
        </mc:AlternateContent>
      </w:r>
      <w:r/>
    </w:p>
    <w:p>
      <w:pPr>
        <w:ind w:firstLine="480"/>
        <w:spacing w:line="360" w:lineRule="auto"/>
        <w:rPr>
          <w:rFonts w:ascii="Times New Roman" w:hAnsi="Times New Roman" w:cs="Times New Roman"/>
          <w:sz w:val="24"/>
        </w:rPr>
      </w:pPr>
      <w:r/>
      <w:bookmarkStart w:id="20" w:name="OLE_LINK22"/>
      <w:r/>
      <w:bookmarkStart w:id="21" w:name="OLE_LINK23"/>
      <w:r>
        <w:rPr>
          <w:rFonts w:hint="eastAsia" w:ascii="Times New Roman" w:hAnsi="Times New Roman" w:cs="Times New Roman"/>
          <w:sz w:val="24"/>
        </w:rPr>
        <w:t xml:space="preserve">1.3 全市永久性测量标志普查。对全市纳入保护范围的永久性测量标志逐点进行实地核查，查清永久性测量标志现状，完成点之记更新、数据库信息维护等工作。</w:t>
      </w:r>
      <w:bookmarkEnd w:id="20"/>
      <w:r/>
      <w:bookmarkEnd w:id="21"/>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2.服务技术要求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2.1时空基准</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（1）坐标系统：采用2000国家大地坐标系。</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（2）高程基准：采用1985国家高程基准。</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（3）地图投影及分带：采用高斯-克吕格投影，3度分带，中央子午线120度。</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（4）时间基准：日期采用公历纪元，时间采用北京时间（UTC+08:00）。</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2.2执行技术标准和文件</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（1）《中华人民共和国测绘法》；</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（2）《中华人民共和国测量标志保护条例》；</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（3）《江苏省测绘地理信息条例》；</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（4）《江苏省测绘地理信息基础设施管理规定》；</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（5）GB 35650-2017《国家基本比例尺地图测绘基本技术规定》；</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（6）GB/T 15967-2024《1∶500 1∶1000 1∶2000地形图数字航空摄影测量测图规范》；</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（7）GB/T 12897-2006《国家一、二等水准测量规范》；</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（8）GB/T 12898-2009《国家三、四等水准测量规范》；</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（9）GB/T 14912-2017《1∶500 1∶1000 1∶2000外业数字测图规程》；</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（10）GB/T 17796-2009《行政区域界线测绘规范》；</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（11）GB/T 17942-2000《国家三角测量规范》；</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（12）GB/T 18314-2024《全球导航卫星系统（GNSS）测量规范》；</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（13）GB/T 18316-2008《数字测绘成果质量检查与验收》；</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（14）GB/T 20257.1-2017《国家基本比例尺地图图式 第1部分：1∶500 1∶1000 1∶2000 地形图图式》；</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（15）GB/T 23705-2009 《数字城市地理信息公共平台地名/地址编码规则》；</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（16）GB/T 24356-2023《测绘成果质量检查与验收》；</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（17）GB/T 33176-2016 《国家基本比例尺地图 1∶500 1∶1 000 1∶2 000 地形图》；</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（18）GB/T 33453-2016《基础地理信息数据库建设规范》；</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（19）CH/T 1004-2005《测绘技术设计规定》；</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（20）CH/T 1001-2005《测绘技术总结编写规定》；</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（21）CH/Z 1001-2007《测绘成果质量检验报告编写基本规定》；</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（22）CJJ/T 8-2011《城市测量规范》；</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（23）DB32/T 3867-2020《三维地理信息数据服务规范》；</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（24）DB32/T 4156-2021《实景三维地理信息元数据规范》；</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w:t>
      </w:r>
      <w:r>
        <w:rPr>
          <w:rFonts w:ascii="Times New Roman" w:hAnsi="Times New Roman" w:cs="Times New Roman"/>
          <w:sz w:val="24"/>
        </w:rPr>
        <w:t xml:space="preserve">25</w:t>
      </w:r>
      <w:r>
        <w:rPr>
          <w:rFonts w:hint="eastAsia" w:ascii="Times New Roman" w:hAnsi="Times New Roman" w:cs="Times New Roman"/>
          <w:sz w:val="24"/>
        </w:rPr>
        <w:t xml:space="preserve">）</w:t>
      </w:r>
      <w:r>
        <w:rPr>
          <w:rFonts w:ascii="Times New Roman" w:hAnsi="Times New Roman" w:cs="Times New Roman"/>
          <w:sz w:val="24"/>
        </w:rPr>
        <w:t xml:space="preserve">DB32/T 5420‑2026</w:t>
      </w:r>
      <w:r>
        <w:rPr>
          <w:rFonts w:hint="eastAsia" w:ascii="Times New Roman" w:hAnsi="Times New Roman" w:cs="Times New Roman"/>
          <w:sz w:val="24"/>
        </w:rPr>
        <w:t xml:space="preserve">《基础地理实体数据库规范》；</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（26）《全国测量标志管理信息系统数据交换规范》（试行），自然资源部，2022年7月；</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（27）《关于推进2026年度实景三维数据省市县协同更新工作的通知》（苏自然资函〔2026〕368号）；</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（28）《江苏省地理场景数据成果规范》（试行），江苏省自然资源厅，2024年12月；</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（29）《江苏省基础地理实体数据成果规范》（试行），江苏省自然资源厅，2024年12月；</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（30）《江苏省倾斜摄影建模及更新规范》（试行），江苏省自然资源厅，2024年12月；</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（31）《江苏省基础地理实体数据生产技术规程》（试行），江苏省自然资源厅，2024年12月；</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（32）《江苏省基础地理实体数据更新规范》（试行），江苏省自然资源厅，2024年12月；</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（33）《实景三维江苏建设成果质量控制方案》（修订），江苏省自然资源厅，2024年12月；</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（34）《江苏省基础地理实体分类、粒度及精度基本要求》（修订），江苏省自然资源厅，2024年12月；</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（35）《江苏省1∶500 1∶1000 1∶2000基础地理信息地形要素数据规范》，原江苏省测绘地理信息局，2016年1月；</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（36）《关于印发&lt;连云港市加快推动低空经济高质量发展2026年工作清单&gt;的通知》（连发改工业发〔2026〕158号）；</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（37）其他相关国家、行业技术标准规范。</w:t>
      </w:r>
      <w:r/>
    </w:p>
    <w:p>
      <w:pPr>
        <w:ind w:firstLine="480"/>
        <w:spacing w:line="360" w:lineRule="auto"/>
        <w:rPr>
          <w:rFonts w:hint="eastAsia" w:ascii="Times New Roman" w:hAnsi="Times New Roman" w:cs="Times New Roman"/>
          <w:sz w:val="24"/>
        </w:rPr>
      </w:pPr>
      <w:r>
        <w:rPr>
          <w:rFonts w:hint="eastAsia" w:ascii="Times New Roman" w:hAnsi="Times New Roman" w:cs="Times New Roman"/>
          <w:sz w:val="24"/>
        </w:rPr>
        <w:t xml:space="preserve">项目实施过程中，上述标准有更新的，执行最新标准。</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w:t>
      </w:r>
      <w:r>
        <w:rPr>
          <w:rFonts w:ascii="Times New Roman" w:hAnsi="Times New Roman" w:cs="Times New Roman"/>
          <w:sz w:val="24"/>
        </w:rPr>
        <w:t xml:space="preserve">.3</w:t>
      </w:r>
      <w:r>
        <w:rPr>
          <w:rFonts w:hint="eastAsia" w:ascii="Times New Roman" w:hAnsi="Times New Roman" w:cs="Times New Roman"/>
          <w:sz w:val="24"/>
        </w:rPr>
        <w:t xml:space="preserve"> 技术要求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2.3.1数字线划图（DLG）技术指标要求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（1）成果比例尺</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地形图比例尺为1∶500和1∶2000。</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（2）分幅及编号</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制图数据应采用50厘米×50厘米规格标准分幅，图号以图廓西南角坐标编号，X坐标在前，Y坐标在后，以X-Y形式表示。1∶500比例尺取整千米数小数点前三位和小数点后两位（如：575.00-552.00），1∶2000比例尺取整千米数小数点前三位（如：575-552）。</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（3）图名</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图名应选用所在图幅内主要居民地名称或主要企事业及行政单位名称，全测区不应重名或同名。图内无名可取时，以相邻图幅的东、南、西、北四个方位命名，方位加括号，如**村（东）。加方位命名仍无法取图名时，以图号作图名。</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（4）平面精度要求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依据CJJ/T 8-2011《城市测量规范》要求，地物点相对于邻近平面控制点的点位中误差与地物点相对于邻近地物点的间距中误差精度指标见下表。</w:t>
      </w:r>
      <w:r/>
    </w:p>
    <w:tbl>
      <w:tblPr>
        <w:tblStyle w:val="683"/>
        <w:tblW w:w="82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49"/>
        <w:gridCol w:w="3089"/>
        <w:gridCol w:w="3084"/>
      </w:tblGrid>
      <w:tr>
        <w:trPr>
          <w:jc w:val="center"/>
          <w:trHeight w:val="340"/>
        </w:trPr>
        <w:tc>
          <w:tcPr>
            <w:shd w:val="clear" w:color="auto" w:fill="auto"/>
            <w:tcW w:w="204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地形类别</w:t>
            </w:r>
            <w:r/>
          </w:p>
        </w:tc>
        <w:tc>
          <w:tcPr>
            <w:shd w:val="clear" w:color="auto" w:fill="auto"/>
            <w:tcW w:w="30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地物点相对于邻近平面控制点的点位中误差（图上mm）</w:t>
            </w:r>
            <w:r/>
          </w:p>
        </w:tc>
        <w:tc>
          <w:tcPr>
            <w:shd w:val="clear" w:color="auto" w:fill="auto"/>
            <w:tcW w:w="30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地物点相对于邻近地物点的间距中误差（图上mm）</w:t>
            </w:r>
            <w:r/>
          </w:p>
        </w:tc>
      </w:tr>
      <w:tr>
        <w:trPr>
          <w:jc w:val="center"/>
          <w:trHeight w:val="340"/>
        </w:trPr>
        <w:tc>
          <w:tcPr>
            <w:tcW w:w="204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平地、丘陵地</w:t>
            </w:r>
            <w:r/>
          </w:p>
        </w:tc>
        <w:tc>
          <w:tcPr>
            <w:tcW w:w="30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≤0.50</w:t>
            </w:r>
            <w:r/>
          </w:p>
        </w:tc>
        <w:tc>
          <w:tcPr>
            <w:tcW w:w="30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≤0.40</w:t>
            </w:r>
            <w:r/>
          </w:p>
        </w:tc>
      </w:tr>
      <w:tr>
        <w:trPr>
          <w:jc w:val="center"/>
          <w:trHeight w:val="340"/>
        </w:trPr>
        <w:tc>
          <w:tcPr>
            <w:tcW w:w="204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山地、高山地</w:t>
            </w:r>
            <w:r/>
          </w:p>
        </w:tc>
        <w:tc>
          <w:tcPr>
            <w:tcW w:w="30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≤0.75</w:t>
            </w:r>
            <w:r/>
          </w:p>
        </w:tc>
        <w:tc>
          <w:tcPr>
            <w:tcW w:w="30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≤0.60</w:t>
            </w:r>
            <w:r/>
          </w:p>
        </w:tc>
      </w:tr>
    </w:tbl>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（5）基本等高距</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平地用0.5米等高距，山地用1.0米等高距。平坦地区等高线不超过2条时不绘等高线。</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（6）高程注记点</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铺装路面、硬化地表等区域图上高程注记点相对于邻近高程控制点的高程中误差不应大于0.15米，困难地区可按地形类别适当放宽，一般不超过规定值的0.5倍。1∶500高程注记至0.01米、1∶2000高程注记至0.1米。一般地区高程注记点图上每平方分米10～12个,乡镇和居民地密集区及水稻田平坦地区每平方分米8～10个。</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（7）属性精度</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DLG数据的属性项及其名称、类型、长度、顺序以及属性值、分类等内容应完整正确，要素分类与代码应符合《江苏省1∶500</w:t>
      </w: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1∶1000</w:t>
      </w: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1∶2000基础地理信息地形要素数据规范》的要求。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（8）数据完整性</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DLG要素层及要素层内要素应正确、完整，不应存在遗漏或重复现象。</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（9）逻辑一致性</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DLG数据拓扑关系、概念、数据格式应保持一致。</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（10）数据库要求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对生产的地形图应进行入库，通过数据标准、空间关系、拓扑关系、等高线、注记、扩展属性和接边等检查工作，确保数据数学基础正确、图形无误、数据完整、位置精度符合要求和属性规范。</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2.3.2基础地理实体技术指标要求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本项目基础地理实体技术指标要求如下：</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（1）基础地理实体数据的几何精度包括平面精度和高程精度，精度指标以中误差作为衡量指标，二倍中误差作为极限指标。</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（2）基础地理实体几何精度要求见下表。</w:t>
      </w:r>
      <w:r/>
    </w:p>
    <w:tbl>
      <w:tblPr>
        <w:tblStyle w:val="683"/>
        <w:tblW w:w="82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49"/>
        <w:gridCol w:w="3089"/>
        <w:gridCol w:w="3084"/>
      </w:tblGrid>
      <w:tr>
        <w:trPr>
          <w:jc w:val="center"/>
          <w:trHeight w:val="340"/>
        </w:trPr>
        <w:tc>
          <w:tcPr>
            <w:shd w:val="clear" w:color="auto" w:fill="auto"/>
            <w:tcW w:w="2049"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等级</w:t>
            </w:r>
            <w:r/>
          </w:p>
        </w:tc>
        <w:tc>
          <w:tcPr>
            <w:gridSpan w:val="2"/>
            <w:shd w:val="clear" w:color="auto" w:fill="auto"/>
            <w:tcW w:w="6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精度值（m）</w:t>
            </w:r>
            <w:r/>
          </w:p>
        </w:tc>
      </w:tr>
      <w:tr>
        <w:trPr>
          <w:jc w:val="center"/>
          <w:trHeight w:val="340"/>
        </w:trPr>
        <w:tc>
          <w:tcPr>
            <w:tcW w:w="2049" w:type="dxa"/>
            <w:vAlign w:val="center"/>
            <w:vMerge w:val="continue"/>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W w:w="30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平面位置中误差</w:t>
            </w:r>
            <w:r/>
          </w:p>
        </w:tc>
        <w:tc>
          <w:tcPr>
            <w:tcW w:w="30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高程中误差</w:t>
            </w:r>
            <w:r/>
          </w:p>
        </w:tc>
      </w:tr>
      <w:tr>
        <w:trPr>
          <w:jc w:val="center"/>
          <w:trHeight w:val="340"/>
        </w:trPr>
        <w:tc>
          <w:tcPr>
            <w:tcW w:w="204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Ⅰ级</w:t>
            </w:r>
            <w:r/>
          </w:p>
        </w:tc>
        <w:tc>
          <w:tcPr>
            <w:tcW w:w="30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0.3-0.4</w:t>
            </w:r>
            <w:r/>
          </w:p>
        </w:tc>
        <w:tc>
          <w:tcPr>
            <w:tcW w:w="30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0.25-1.0</w:t>
            </w:r>
            <w:r/>
          </w:p>
        </w:tc>
      </w:tr>
      <w:tr>
        <w:trPr>
          <w:jc w:val="center"/>
          <w:trHeight w:val="340"/>
        </w:trPr>
        <w:tc>
          <w:tcPr>
            <w:tcW w:w="204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Ⅱ级</w:t>
            </w:r>
            <w:r/>
          </w:p>
        </w:tc>
        <w:tc>
          <w:tcPr>
            <w:tcW w:w="30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1.2-1.6</w:t>
            </w:r>
            <w:r/>
          </w:p>
        </w:tc>
        <w:tc>
          <w:tcPr>
            <w:tcW w:w="30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0.5-2.0</w:t>
            </w:r>
            <w:r/>
          </w:p>
        </w:tc>
      </w:tr>
      <w:tr>
        <w:trPr>
          <w:jc w:val="center"/>
          <w:trHeight w:val="340"/>
        </w:trPr>
        <w:tc>
          <w:tcPr>
            <w:gridSpan w:val="3"/>
            <w:tcW w:w="8222"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注：（1）在条件较好的区域，根据客观实际参考本表设置几何精度。</w:t>
            </w:r>
            <w:r/>
          </w:p>
          <w:p>
            <w:pPr>
              <w:ind w:firstLine="480"/>
              <w:widowControl/>
              <w:rPr>
                <w:rFonts w:ascii="宋体" w:hAnsi="宋体" w:eastAsia="宋体" w:cs="宋体"/>
                <w:sz w:val="24"/>
                <w:szCs w:val="24"/>
              </w:rPr>
            </w:pPr>
            <w:r>
              <w:rPr>
                <w:rFonts w:hint="eastAsia" w:ascii="宋体" w:hAnsi="宋体" w:eastAsia="宋体" w:cs="宋体"/>
                <w:sz w:val="24"/>
                <w:szCs w:val="24"/>
              </w:rPr>
              <w:t xml:space="preserve">（2）在生态空间或特殊困难区域，几何精度在原有精度基础上放宽0.5倍。</w:t>
            </w:r>
            <w:r/>
          </w:p>
          <w:p>
            <w:pPr>
              <w:ind w:firstLine="480"/>
              <w:widowControl/>
              <w:rPr>
                <w:rFonts w:ascii="宋体" w:hAnsi="宋体" w:eastAsia="宋体" w:cs="宋体"/>
                <w:sz w:val="24"/>
                <w:szCs w:val="24"/>
              </w:rPr>
            </w:pPr>
            <w:r>
              <w:rPr>
                <w:rFonts w:hint="eastAsia" w:ascii="宋体" w:hAnsi="宋体" w:eastAsia="宋体" w:cs="宋体"/>
                <w:sz w:val="24"/>
                <w:szCs w:val="24"/>
              </w:rPr>
              <w:t xml:space="preserve">（3）行政区划单元数据几何精度应参考GB/T 17796确定。</w:t>
            </w:r>
            <w:r/>
          </w:p>
          <w:p>
            <w:pPr>
              <w:ind w:firstLine="480"/>
              <w:widowControl/>
              <w:rPr>
                <w:rFonts w:ascii="宋体" w:hAnsi="宋体" w:eastAsia="宋体" w:cs="宋体"/>
                <w:sz w:val="24"/>
                <w:szCs w:val="24"/>
              </w:rPr>
            </w:pPr>
            <w:r>
              <w:rPr>
                <w:rFonts w:hint="eastAsia" w:ascii="宋体" w:hAnsi="宋体" w:eastAsia="宋体" w:cs="宋体"/>
                <w:sz w:val="24"/>
                <w:szCs w:val="24"/>
              </w:rPr>
              <w:t xml:space="preserve">（4）地名地址数据的地理位置确定方法可参考GB/T 23705确定，几何精度不作限定。</w:t>
            </w:r>
            <w:r/>
          </w:p>
          <w:p>
            <w:pPr>
              <w:ind w:firstLine="480"/>
              <w:widowControl/>
              <w:rPr>
                <w:rFonts w:ascii="宋体" w:hAnsi="宋体" w:eastAsia="宋体" w:cs="宋体"/>
                <w:color w:val="ff0000"/>
                <w:sz w:val="24"/>
                <w:szCs w:val="24"/>
              </w:rPr>
            </w:pPr>
            <w:r>
              <w:rPr>
                <w:rFonts w:hint="eastAsia" w:ascii="宋体" w:hAnsi="宋体" w:eastAsia="宋体" w:cs="宋体"/>
                <w:sz w:val="24"/>
                <w:szCs w:val="24"/>
              </w:rPr>
              <w:t xml:space="preserve">（5）国土空间规划单元和其他管理单元数据的几何精度根据相关部门要求规定。</w:t>
            </w:r>
            <w:r/>
          </w:p>
        </w:tc>
      </w:tr>
    </w:tbl>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3）基础地理实体质量要求：基于存量地理信息转换生产的地理实体数据应结合提供的最新影像图对于发生变化的区域实施二维图元的采集更新，同时完成基本属性的同步采集更新；基础地理信息要素数据与基础地理实体存在映射关系的应转尽转，不存在映射关系的要素可归为制图要素数据集。地理实体生产应保证分类正确、几</w:t>
      </w:r>
      <w:r>
        <w:rPr>
          <w:rFonts w:hint="eastAsia" w:ascii="Times New Roman" w:hAnsi="Times New Roman" w:eastAsia="宋体" w:cs="Times New Roman"/>
          <w:sz w:val="24"/>
        </w:rPr>
        <w:t xml:space="preserve">何类型和拓扑关系正确，属性、时间和关系信息准确、完整；地理实体在采集、编辑过程中，不得错漏、移位、变形，同一种类地理实体之间不应存在重叠、压盖，不同种类地理实体空间范围有重叠时，不得平移避让、综合取舍；地理实体语义必须按照地理实体数据模型设计要求填写准确、完整，属性项值符合数据字典规定；水系实体、交通实体生产时应保证其连通性；地理实体数据生产完成后，应进行数据质量检查，检查内容包括完整性、拓扑一致性、逻辑一致性、空间精度、属性精度等，拓扑一致性要求相邻地理实体无压盖、同类地理实体无重复、面状地理实体闭合等。</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2.3.3实景三维模型技术指标要求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（1）位置精度</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三维模型数据成果平面中误差0.3米，高程中误差0.25米；二维矢量数据成果平面中误差0.3米；激光点云数据成果平面中误差0.35米，高程中误差0.35米。</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（2）航摄要求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航摄影像地面分辨率等于或优于0.03米（下视）；镜头影像须清晰、反差适中、色彩鲜明、颜色饱和、相同地物的色彩基调基本一致、有较丰富的层次和能辨别与地面分辨率相适应的细小地物影像。</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（3）倾斜摄影三维模型成果要求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模型纹理色调一致、均匀、无镶嵌痕迹，建筑物建模效果优良，模型分明，不能有明显变形、不平整、与实际不符情况。需对水系、交通、建筑、独立物、植被、地形等进行修饰，修饰后模型应维持修饰前模型的目录、命名和文件结构，不得随意新增瓦片文件，禁止在瓦片内部直接新增无细节层次（LOD）结构的补丁模型。</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（4）二维矢量图元形式基础地理实体数据要求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数据坐标必须与给定的坐标保持一致，平面、高程与倾斜摄影模型保持一致，准确反映现状。数据的基底、顶部绝对高程信息必须与倾斜摄影模型保持一致，可以重建还原建筑物体块模型数据。实体的转换、采集、语义化处理符合《江苏省基础地理实体数据生产技术规程》（试行）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（5）三维矢量图元形式建（构）筑物实体数据要求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必须与给定的坐标保持一致，三维图元矢量结构线的平面、高程与倾斜摄影模型保持一致，准确反映现状。数据的精细度须达到CityGML LOD2或以上级别。数据的基底、顶部结构、立面轮廓结构与建筑高度须准确，矢量结构线必须可以重建还原带纹理的建（构）筑物单体模型数据。实体的采集和语义化处理符合《江苏省基础地理实体数据生产技术规程》（试行）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（6）重建三维模型单体形式实体数据要求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数据的坐标必须与给定的坐标保持一致，建筑模型平面、高程与倾斜摄影模型保持一致，准确反映现状。所有单体模型均采用建筑分栋（幢）独立建模的方式进行模型制作，不得将</w:t>
      </w:r>
      <w:r>
        <w:rPr>
          <w:rFonts w:hint="eastAsia" w:ascii="Times New Roman" w:hAnsi="Times New Roman" w:eastAsia="宋体" w:cs="Times New Roman"/>
          <w:sz w:val="24"/>
        </w:rPr>
        <w:t xml:space="preserve">多个建筑物模型结合在一起。模型应真实反映建筑物的外观形态和细节特征，对于建筑附属结构，如屋檐和立面突出物等结构超过0.3米的要做出结构，应避免整个墙面一张贴图导致损失模型立体效果。数据的基底、立面轮廓结构与建筑高度须准确，纹理拼接过渡自然，不得有漏缝、交叉点、废点、废线等现象，模型与模型之间不得出现裂缝、漏面和反面。模型的面数、段数、曲面必须进行精简优化，删除模型之间的相交面、底面。保证单体建筑的墙面、房顶面等在一个平面内，除开柱状建筑，一般不出现曲面形状。模型与周边倾斜摄影三维模型在平面、高程上无缝融合。</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（7）TDOM技术要求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平面中误差优于0.</w:t>
      </w:r>
      <w:r>
        <w:rPr>
          <w:rFonts w:hint="eastAsia" w:ascii="Times New Roman" w:hAnsi="Times New Roman" w:eastAsia="宋体" w:cs="Times New Roman"/>
          <w:sz w:val="24"/>
        </w:rPr>
        <w:t xml:space="preserve">3米。图幅内影像清晰，反差适中，色彩及色调均匀、无噪声，影像无模糊错位、扭曲、拉花等现象。图幅镶嵌线附近色调视觉上基本一致（大面积田块及大面积树林覆盖区域除外），不应有明显的灰度（或色彩）改变。地物地貌应真实，无扭曲变形、无噪声、云影等缺陷。同时期摄影的TDOM之间应完全接边，不允许在接边处出现错位、色彩、色调不接的现象；由于航摄时间不同造成的影像颜色差异，应尽量使同一线状或面状地物的颜色及纹理特征保持一致。不应该有阴云、大团云阴影与烟雾。不得有任何单块云、密云阴影或烟雾使地物变得模糊的面积超过影像的3%。</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2.3.4测量标志普查技术要求</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（1）实地普查</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对点位周围的杂草及井内的深水进行清理，使点位周边环境整洁；核查标石和标志是否完好，核对测量标志的点名、点号是否与点之记一致；点之记的内容如点位略图、地名、交通路线图、标石类型、标志类型等是否与现场一致；测量标志的保护井、标志盖和保护盘是否完整；标志附近有无指示桩、碑、宣传牌等；核对测量标志的点位信息；现场核查测量标志保管员的姓名、电话号码是否准确。</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（2）点之记制作</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点之记严格按照规范或模板要求制作，不得自行增加或删除行、列；点名严格按照资料执行，不得自行更改；水准点和三角点所在图幅采用标准的1∶10万图幅号，GNSS点所在图幅采用标准的1∶5万图幅号。</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（3）照片拍摄</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实地应拍摄远景、近景照片至少各两张。远景照片应能反映点位周围重要地物、单位名称等，近景照片应垂直标石面拍摄，尽量反映标志、保护井的现状以及标石、保护盘上文字的内容。</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（4）普查统计表制作</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根据普查情况，按县、区为行政区域，将控制点的普查情况全部汇总，实地填写控制点普查情况统计表并交由地方自然资源所签字盖章。</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（5）控制点分布图制作</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以各县、区最新的行政图为底图，绘制《县、区的测量标志分布图》。</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（6）测量标志管理系统更新</w:t>
      </w:r>
      <w:r/>
    </w:p>
    <w:p>
      <w:pPr>
        <w:ind w:firstLine="480"/>
        <w:spacing w:line="360" w:lineRule="auto"/>
        <w:rPr>
          <w:rFonts w:ascii="Times New Roman" w:hAnsi="Times New Roman" w:cs="Times New Roman"/>
          <w:sz w:val="24"/>
        </w:rPr>
      </w:pPr>
      <w:r>
        <w:rPr>
          <w:rFonts w:hint="eastAsia" w:ascii="Times New Roman" w:hAnsi="Times New Roman" w:eastAsia="宋体" w:cs="Times New Roman"/>
          <w:sz w:val="24"/>
        </w:rPr>
        <w:t xml:space="preserve">按照省自然资源厅要求，采用最新的普查成果，制作数据交换文件，更新测量标志管理信息系统。</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2.4提交成果</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2.4.1数字线划图（DLG）数据相关成果</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（1）1∶500、1∶2000DLG分幅图数据（DWG格式）各1套；</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（2）1∶500、1∶2000DLG图幅接合表（DWG格式）各1套；</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（3）1∶500、1∶2000DLG数据库数据（GDB格式）各1套；</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（4）1∶500、1∶2000DLG数据库元数据（GDB格式）各1套。</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2.4.2基础地理实体数据相关成果</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（1）基础地理实体数据库（GDB格式）1套；</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（2）基础地理实体数据库元数据（GDB格式）1套。</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2.4.3三维模型相关成果</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（1）分辨率优于0.05米TDOM（TIF格式）1套；</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（2）分辨率优于0.05米Mesh三维模型（OSGB和3DTiles格式）1套；</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（3）LOD3级单体化三维模型（OSGB和OBJ格式）1套。</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2.4.4测量标志普查相关成果</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（1）测量标志点之记（电子、纸质各1份）；</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（2）测量标志实景照片（电子1份）；</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（3）测量标志分布图（电子、纸质各1份）；</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（4）测量标志普查情况统计表（电子、纸质各1份）；</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（5）测量标志矢量数据库（GDB格式）1套。</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2.4.5文档资料</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技术设计书、技术总结、检查报告、检验报告、仪器检定证书等（电子、纸质各1份）；</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三、人员配备要求</w:t>
      </w:r>
      <w:r/>
    </w:p>
    <w:p>
      <w:pPr>
        <w:ind w:firstLine="482"/>
        <w:spacing w:line="360" w:lineRule="auto"/>
        <w:rPr>
          <w:rFonts w:ascii="宋体" w:hAnsi="宋体" w:eastAsia="宋体" w:cs="Times New Roman"/>
          <w:bCs/>
          <w:color w:val="000000"/>
          <w:sz w:val="24"/>
        </w:rPr>
      </w:pPr>
      <w:r>
        <w:rPr>
          <w:rFonts w:hint="eastAsia" w:ascii="宋体" w:hAnsi="宋体" w:eastAsia="宋体" w:cs="Times New Roman"/>
          <w:bCs/>
          <w:color w:val="000000"/>
          <w:sz w:val="24"/>
        </w:rPr>
        <w:t xml:space="preserve">1.供应商须保证有充足的专业技术人员，拟投入本项目的项目组人员（含项目负责人1名、技术负责人1名）不少于15人。并根据项目实施实际需要，派驻驻场技术人员开展工作。</w:t>
      </w:r>
      <w:r/>
    </w:p>
    <w:p>
      <w:pPr>
        <w:ind w:firstLine="482"/>
        <w:spacing w:line="360" w:lineRule="auto"/>
        <w:rPr>
          <w:rFonts w:ascii="宋体" w:hAnsi="宋体" w:eastAsia="宋体" w:cs="宋体"/>
          <w:sz w:val="24"/>
          <w:szCs w:val="24"/>
        </w:rPr>
      </w:pPr>
      <w:r>
        <w:rPr>
          <w:rFonts w:hint="eastAsia" w:ascii="宋体" w:hAnsi="宋体" w:eastAsia="宋体" w:cs="Times New Roman"/>
          <w:iCs/>
          <w:color w:val="000000"/>
          <w:sz w:val="24"/>
        </w:rPr>
        <w:t xml:space="preserve">2.</w:t>
      </w:r>
      <w:r>
        <w:rPr>
          <w:rFonts w:hint="eastAsia" w:ascii="宋体" w:hAnsi="宋体" w:eastAsia="宋体" w:cs="Times New Roman"/>
          <w:bCs/>
          <w:color w:val="000000"/>
          <w:sz w:val="24"/>
        </w:rPr>
        <w:t xml:space="preserve">成交后未经采购人同意不得随意调整。</w:t>
      </w:r>
      <w:r/>
    </w:p>
    <w:p>
      <w:pPr>
        <w:ind w:firstLine="482"/>
        <w:spacing w:line="360" w:lineRule="auto"/>
        <w:rPr>
          <w:rFonts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四、服务期限</w:t>
      </w:r>
      <w:r/>
    </w:p>
    <w:p>
      <w:pPr>
        <w:ind w:firstLine="482"/>
        <w:spacing w:line="360" w:lineRule="auto"/>
        <w:rPr>
          <w:rFonts w:ascii="宋体" w:hAnsi="宋体" w:eastAsia="宋体" w:cs="宋体"/>
          <w:b/>
          <w:bCs/>
          <w:sz w:val="24"/>
        </w:rPr>
      </w:pPr>
      <w:r>
        <w:rPr>
          <w:rFonts w:hint="eastAsia" w:ascii="宋体" w:hAnsi="宋体" w:eastAsia="宋体" w:cs="宋体"/>
          <w:b/>
          <w:bCs/>
          <w:i/>
          <w:iCs/>
          <w:sz w:val="24"/>
          <w:u w:val="single"/>
        </w:rPr>
        <w:t xml:space="preserve">服务期限：合同签订之日起至2027年12月31日。</w:t>
      </w:r>
      <w:r/>
    </w:p>
    <w:p>
      <w:pPr>
        <w:ind w:firstLine="480"/>
        <w:spacing w:line="360" w:lineRule="auto"/>
        <w:rPr>
          <w:rFonts w:ascii="宋体" w:hAnsi="宋体" w:eastAsia="宋体" w:cs="宋体"/>
          <w:b/>
          <w:bCs/>
          <w:sz w:val="24"/>
        </w:rPr>
      </w:pPr>
      <w:r>
        <w:rPr>
          <w:rFonts w:hint="eastAsia" w:ascii="宋体" w:hAnsi="宋体" w:eastAsia="宋体" w:cs="宋体"/>
          <w:b/>
          <w:bCs/>
          <w:sz w:val="24"/>
        </w:rPr>
        <w:t xml:space="preserve">五、履约验收</w:t>
      </w:r>
      <w:r/>
    </w:p>
    <w:p>
      <w:pPr>
        <w:ind w:firstLine="480"/>
        <w:spacing w:line="360" w:lineRule="auto"/>
        <w:rPr>
          <w:rFonts w:ascii="宋体" w:hAnsi="宋体" w:cs="宋体"/>
          <w:b/>
          <w:bCs/>
          <w:i/>
          <w:iCs/>
          <w:sz w:val="24"/>
          <w:szCs w:val="24"/>
          <w:u w:val="single"/>
        </w:rPr>
      </w:pPr>
      <w:r>
        <w:rPr>
          <w:rFonts w:hint="eastAsia" w:ascii="宋体" w:hAnsi="宋体" w:cs="宋体"/>
          <w:sz w:val="24"/>
          <w:szCs w:val="24"/>
        </w:rPr>
        <w:t xml:space="preserve">1.</w:t>
      </w:r>
      <w:r>
        <w:rPr>
          <w:rFonts w:hint="eastAsia" w:ascii="宋体" w:hAnsi="宋体" w:cs="宋体"/>
          <w:b/>
          <w:bCs/>
          <w:i/>
          <w:iCs/>
          <w:sz w:val="24"/>
          <w:szCs w:val="24"/>
          <w:u w:val="single"/>
        </w:rPr>
        <w:t xml:space="preserve">项目技术设计书、检查报告等技术文件应当由注册测绘师审核签字并加盖执业印章。</w:t>
      </w:r>
      <w:r/>
    </w:p>
    <w:p>
      <w:pPr>
        <w:ind w:firstLine="480"/>
        <w:spacing w:line="360" w:lineRule="auto"/>
        <w:rPr>
          <w:rFonts w:ascii="宋体" w:hAnsi="宋体" w:eastAsia="宋体" w:cs="宋体"/>
          <w:sz w:val="24"/>
        </w:rPr>
      </w:pPr>
      <w:r>
        <w:rPr>
          <w:rFonts w:hint="eastAsia" w:ascii="宋体" w:hAnsi="宋体" w:eastAsia="宋体" w:cs="宋体"/>
          <w:sz w:val="24"/>
        </w:rPr>
        <w:t xml:space="preserve">2.合同履行期间的具体内容按实际要求为准，具体按采购人要求，由项目需求单位验收签字。</w:t>
      </w:r>
      <w:r/>
    </w:p>
    <w:p>
      <w:pPr>
        <w:ind w:firstLine="480"/>
        <w:spacing w:line="360" w:lineRule="auto"/>
        <w:rPr>
          <w:rFonts w:ascii="宋体" w:hAnsi="宋体" w:eastAsia="宋体" w:cs="宋体"/>
          <w:b/>
          <w:bCs/>
          <w:sz w:val="24"/>
        </w:rPr>
      </w:pPr>
      <w:r>
        <w:rPr>
          <w:rFonts w:hint="eastAsia" w:ascii="宋体" w:hAnsi="宋体" w:eastAsia="宋体" w:cs="宋体"/>
          <w:b/>
          <w:bCs/>
          <w:sz w:val="24"/>
        </w:rPr>
        <w:t xml:space="preserve">六、付款方式与履约保证金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1.付款方式：</w:t>
      </w:r>
      <w:r>
        <w:rPr>
          <w:rFonts w:hint="eastAsia" w:ascii="宋体" w:hAnsi="宋体" w:eastAsia="宋体" w:cs="宋体"/>
          <w:b/>
          <w:bCs/>
          <w:i/>
          <w:iCs/>
          <w:sz w:val="24"/>
          <w:u w:val="single"/>
        </w:rPr>
        <w:t xml:space="preserve">项目技术设计书通过专家组评审后，支付合同金额的30%；2026年基础地理实体和大比例尺地形图协同更新成果、城市级实景三维连云港数据更新成果、测量标志普查成果通过测绘成果质量监督检验机构质检后，支付合同金额的30%；2027年基础地理实体和大比例尺地形图协同更新成果、城市级实景三维连云港数据更新成果通过测绘成果质量监督检验机构质检且项目全部成果通过专家组验收后，支付合同金额的40%。</w:t>
      </w:r>
      <w:r/>
    </w:p>
    <w:p>
      <w:pPr>
        <w:ind w:firstLine="480"/>
        <w:spacing w:line="360" w:lineRule="auto"/>
        <w:rPr>
          <w:rFonts w:ascii="宋体" w:hAnsi="宋体" w:eastAsia="宋体" w:cs="宋体"/>
          <w:sz w:val="24"/>
        </w:rPr>
      </w:pPr>
      <w:r>
        <w:rPr>
          <w:rFonts w:hint="eastAsia" w:ascii="宋体" w:hAnsi="宋体" w:eastAsia="宋体" w:cs="宋体"/>
          <w:sz w:val="24"/>
        </w:rPr>
        <w:t xml:space="preserve">注：供应商须按采购人要求提供发票，否则迟延付款的责任由供应商自行承担。最终结算金额以实际发生为准，但不得超过本项目预算金额。</w:t>
      </w:r>
      <w:r/>
    </w:p>
    <w:p>
      <w:pPr>
        <w:ind w:firstLine="480"/>
        <w:spacing w:line="360" w:lineRule="auto"/>
        <w:rPr>
          <w:rFonts w:ascii="宋体" w:hAnsi="宋体" w:eastAsia="宋体" w:cs="宋体"/>
          <w:sz w:val="24"/>
        </w:rPr>
      </w:pPr>
      <w:r>
        <w:rPr>
          <w:rFonts w:hint="eastAsia" w:ascii="宋体" w:hAnsi="宋体" w:eastAsia="宋体" w:cs="宋体"/>
          <w:sz w:val="24"/>
        </w:rPr>
        <w:t xml:space="preserve">2.履约保证金：本项目不收取履约保证金。</w:t>
      </w:r>
      <w:r/>
    </w:p>
    <w:p>
      <w:pPr>
        <w:ind w:firstLine="480"/>
        <w:spacing w:line="360" w:lineRule="auto"/>
        <w:rPr>
          <w:rFonts w:ascii="宋体" w:hAnsi="宋体" w:eastAsia="宋体" w:cs="宋体"/>
          <w:b/>
          <w:bCs/>
          <w:sz w:val="24"/>
        </w:rPr>
      </w:pPr>
      <w:r>
        <w:rPr>
          <w:rFonts w:hint="eastAsia" w:ascii="宋体" w:hAnsi="宋体" w:eastAsia="宋体" w:cs="宋体"/>
          <w:b/>
          <w:bCs/>
          <w:sz w:val="24"/>
        </w:rPr>
        <w:t xml:space="preserve">七、其他</w:t>
      </w:r>
      <w:r/>
    </w:p>
    <w:p>
      <w:pPr>
        <w:ind w:firstLine="480"/>
        <w:spacing w:line="360" w:lineRule="auto"/>
        <w:rPr>
          <w:rFonts w:ascii="宋体" w:hAnsi="宋体" w:eastAsia="宋体" w:cs="宋体"/>
          <w:sz w:val="24"/>
        </w:rPr>
      </w:pPr>
      <w:r>
        <w:rPr>
          <w:rFonts w:hint="eastAsia" w:ascii="宋体" w:hAnsi="宋体" w:eastAsia="宋体" w:cs="宋体"/>
          <w:sz w:val="24"/>
        </w:rPr>
        <w:t xml:space="preserve">本次采购项目中所涉及的全部资料、电子数据等相关信息，成交供应商应严格执行保密的相关规定，未经采购人同意不得以任何方式向任何第三人披露、泄露或许可第三人使用，由此产生的法律责任由成交人自行承担，采购人追究其相应法律责任。</w:t>
      </w:r>
      <w:r/>
    </w:p>
    <w:p>
      <w:pPr>
        <w:pStyle w:val="673"/>
        <w:jc w:val="center"/>
        <w:spacing w:line="360" w:lineRule="auto"/>
        <w:rPr>
          <w:rFonts w:ascii="黑体" w:hAnsi="黑体" w:eastAsia="黑体"/>
          <w:b w:val="0"/>
        </w:rPr>
      </w:pPr>
      <w:r/>
      <w:bookmarkStart w:id="22"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22"/>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（2）技术分（</w:t>
      </w:r>
      <w:r>
        <w:rPr>
          <w:rFonts w:hint="eastAsia" w:eastAsia="宋体"/>
          <w:sz w:val="24"/>
          <w:szCs w:val="24"/>
        </w:rPr>
        <w:t xml:space="preserve">40</w:t>
      </w:r>
      <w:r>
        <w:rPr>
          <w:rFonts w:hint="eastAsia"/>
          <w:sz w:val="24"/>
          <w:szCs w:val="24"/>
        </w:rPr>
        <w:t xml:space="preserve">分）</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技术方案</w:t>
            </w:r>
            <w:r/>
          </w:p>
          <w:p>
            <w:pPr>
              <w:jc w:val="center"/>
              <w:spacing w:line="360" w:lineRule="auto"/>
              <w:rPr>
                <w:rFonts w:ascii="宋体" w:hAnsi="宋体" w:eastAsia="宋体" w:cs="宋体"/>
                <w:sz w:val="24"/>
                <w:szCs w:val="24"/>
              </w:rPr>
            </w:pPr>
            <w:r>
              <w:rPr>
                <w:rFonts w:hint="eastAsia" w:ascii="宋体" w:hAnsi="宋体" w:eastAsia="宋体" w:cs="宋体"/>
                <w:b/>
                <w:sz w:val="24"/>
                <w:szCs w:val="24"/>
              </w:rPr>
              <w:t xml:space="preserve">（8分）</w:t>
            </w:r>
            <w:r/>
          </w:p>
        </w:tc>
        <w:tc>
          <w:tcPr>
            <w:tcW w:w="6845" w:type="dxa"/>
            <w:vAlign w:val="center"/>
            <w:textDirection w:val="lrTb"/>
            <w:noWrap w:val="false"/>
          </w:tcPr>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响应文件提供技术方案，包括但不限于对项目需求的理解程度、总体思路、工作内容及技术路线等内容。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技术方案内容完整，对项目需求了解透彻、总体思路清晰、工作内容切合实际、技术路线科学合理得8分；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技术方案内容比较完整，对项目需求比较了解、总体思路比较清晰、工作内容能切合实际、技术路线比较合理得6分；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技术方案内容简单，对项目需求了解一般、总体思路基本清晰、工作内容基本满足招标需求、技术路线简单得4分；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技术方案内容简单，对项目需求了解一般、总体思路出现偏离、工作内容出现偏离、技术路线简单得2分。</w:t>
            </w:r>
            <w:r/>
          </w:p>
          <w:p>
            <w:pPr>
              <w:ind w:firstLine="482"/>
              <w:spacing w:line="360" w:lineRule="auto"/>
              <w:rPr>
                <w:rFonts w:ascii="宋体" w:hAnsi="宋体" w:eastAsia="宋体" w:cs="宋体"/>
                <w:b/>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项目管理</w:t>
            </w:r>
            <w:r/>
          </w:p>
          <w:p>
            <w:pPr>
              <w:jc w:val="center"/>
              <w:spacing w:line="360" w:lineRule="auto"/>
              <w:rPr>
                <w:rFonts w:ascii="宋体" w:hAnsi="宋体" w:eastAsia="宋体" w:cs="宋体"/>
                <w:sz w:val="24"/>
                <w:szCs w:val="24"/>
              </w:rPr>
            </w:pPr>
            <w:r>
              <w:rPr>
                <w:rFonts w:hint="eastAsia" w:ascii="宋体" w:hAnsi="宋体" w:eastAsia="宋体" w:cs="宋体"/>
                <w:b/>
                <w:sz w:val="24"/>
                <w:szCs w:val="24"/>
              </w:rPr>
              <w:t xml:space="preserve">（8分）</w:t>
            </w:r>
            <w:r/>
          </w:p>
        </w:tc>
        <w:tc>
          <w:tcPr>
            <w:tcW w:w="6845" w:type="dxa"/>
            <w:vAlign w:val="center"/>
            <w:textDirection w:val="lrTb"/>
            <w:noWrap w:val="false"/>
          </w:tcPr>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响应文件提供项目管理方案，包括但不限于组织机构、人员配置、管理制度体系、进度计划及人员稳定措施等内容。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项目管理内容详尽完善，组织机构科学完善、人员配置合理、管理制度体系健全、进度计划优于招标需求、人员稳定措施可操作性强的得8分；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项目管理内容比较详尽，组织机构比较完善、人员配置比较合理、管理制度体系比较健全、进度计划满足招标需求、人员稳定措施可操作性较强的得6分；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项目管理内容简单粗糙，组织机构简单、人员配置合理性一般、管理制度体系健全度一般、进度计划基本满足招标需求，人员稳定措施可操作性一般的得4分；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项目管理内容简单粗糙，组织机构简单、人员配置合理性一般、管理制度体系简陋、进度计划不全，人员稳定措施可操作性一般的得2分。</w:t>
            </w:r>
            <w:r/>
          </w:p>
          <w:p>
            <w:pPr>
              <w:ind w:firstLine="482"/>
              <w:spacing w:line="360" w:lineRule="auto"/>
              <w:rPr>
                <w:rFonts w:ascii="宋体" w:hAnsi="宋体" w:eastAsia="宋体" w:cs="宋体"/>
                <w:b/>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质量管理</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（8分）</w:t>
            </w:r>
            <w:r/>
          </w:p>
        </w:tc>
        <w:tc>
          <w:tcPr>
            <w:tcW w:w="6845" w:type="dxa"/>
            <w:vAlign w:val="center"/>
            <w:textDirection w:val="lrTb"/>
            <w:noWrap w:val="false"/>
          </w:tcPr>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响应文件提供质量管理方案，包括但不限于质量要求、质量管理体系及质量保证措施。</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质量管理内容科学完整，质量要求清晰明确、质量管理体系科学合理、质量保证措施可行性强的得8分；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质量管理内容比较完整，质量要求较明确、质量管理体系比较合理、质量保证措施可行性较强的得6分；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质量管理内容有缺项，质量要求基本明确、质量管理体系合理性一般、质量保证措施基本可行性的得4分；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质量管理内容、质量要求有缺项、质量管理体系合理性一般、质量保证措施可行性一般的得2分。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安全保密措施</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（8分）</w:t>
            </w:r>
            <w:r/>
          </w:p>
        </w:tc>
        <w:tc>
          <w:tcPr>
            <w:tcW w:w="6845" w:type="dxa"/>
            <w:vAlign w:val="center"/>
            <w:textDirection w:val="lrTb"/>
            <w:noWrap w:val="false"/>
          </w:tcPr>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响应文件提供安全保密措施，包括但不限于安全责任制度、保证措施、应急响应方案及数据保密制度等内容。 </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措施包含上述内容，安全责任制度明确、保证措施及应急响应方案合理得当、数据保密制度充分的得8分；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措施包含上述内容，安全责任制度较明确、保证措施及应急响应方案较合理得当、数据保密制度较充分的得6分；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措施内容一般，安全责任制度、保证措施及应急响应方案、数据保密制度一般得4分；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措施内容、安全责任制度、保证措施及应急响应方案、数据保密制度有缺陷得2分；</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重难点分析和合理化建议</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（8分）</w:t>
            </w:r>
            <w:r/>
          </w:p>
        </w:tc>
        <w:tc>
          <w:tcPr>
            <w:tcW w:w="6845" w:type="dxa"/>
            <w:vAlign w:val="center"/>
            <w:textDirection w:val="lrTb"/>
            <w:noWrap w:val="false"/>
          </w:tcPr>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响应文件提供针对本项目的重点、难点、合理化建议和技术支持，包括但不限于地图精度控制、数据一致性、整体质量控制等内容。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对本项目重难点分析全面明确、建议合理、技术支持措施可行性强的得8分；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对本项目重难点分析较明确，建议较合理、技术支持措施可行性较强的得6分；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对本项目重难点分析一般，建议合理性一般、技术支持措施可行性一般的得4分；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对本项目重难点分析，建议合理性、技术支持措施可行性有缺陷的得2分；</w:t>
            </w:r>
            <w:r/>
          </w:p>
          <w:p>
            <w:pPr>
              <w:ind w:firstLine="482"/>
              <w:spacing w:line="360" w:lineRule="auto"/>
              <w:rPr>
                <w:rFonts w:ascii="宋体" w:hAnsi="宋体" w:eastAsia="宋体" w:cs="宋体"/>
                <w:b/>
                <w:sz w:val="24"/>
                <w:szCs w:val="24"/>
              </w:rPr>
            </w:pPr>
            <w:r>
              <w:rPr>
                <w:rFonts w:hint="eastAsia" w:ascii="宋体" w:hAnsi="宋体" w:eastAsia="宋体" w:cs="宋体"/>
                <w:b/>
                <w:bCs/>
                <w:sz w:val="24"/>
                <w:szCs w:val="24"/>
              </w:rPr>
              <w:t xml:space="preserve">未见阐述不得分。</w:t>
            </w:r>
            <w:r/>
          </w:p>
        </w:tc>
      </w:tr>
    </w:tbl>
    <w:p>
      <w:pPr>
        <w:ind w:firstLine="480"/>
        <w:jc w:val="left"/>
        <w:spacing w:line="500" w:lineRule="exact"/>
        <w:rPr>
          <w:sz w:val="24"/>
          <w:szCs w:val="24"/>
        </w:rPr>
      </w:pPr>
      <w:r>
        <w:rPr>
          <w:rFonts w:hint="eastAsia"/>
          <w:sz w:val="24"/>
          <w:szCs w:val="24"/>
        </w:rPr>
        <w:t xml:space="preserve">（3）商务分（5</w:t>
      </w:r>
      <w:r>
        <w:rPr>
          <w:rFonts w:hint="eastAsia" w:eastAsia="宋体"/>
          <w:sz w:val="24"/>
          <w:szCs w:val="24"/>
        </w:rPr>
        <w:t xml:space="preserve">0</w:t>
      </w:r>
      <w:r>
        <w:rPr>
          <w:rFonts w:hint="eastAsia"/>
          <w:sz w:val="24"/>
          <w:szCs w:val="24"/>
        </w:rPr>
        <w:t xml:space="preserve">分）</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260"/>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单位业绩</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（18分）</w:t>
            </w:r>
            <w:r/>
          </w:p>
        </w:tc>
        <w:tc>
          <w:tcPr>
            <w:tcW w:w="684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（1）2023年1月1日以来（以合同签订日期为准）承担过大比例尺地形图测绘项目的，每有一个项目得3分，本项最多得6分。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（2）2023年1月1日以来（以合同签订日期为准）承担过基础地理实体生产项目的，每有一个项目得3分，本项最多得6分。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（3）2023年1月1日以来（以合同签订日期为准）承担过实景三维项目的，每有一个项目得3分，本项最多得6分。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注：1.提供项目合同并加盖供应商公章，未提供不得分。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2.同一项目合同，同时包含两项及以上内容的，不可重复计分，只计算一次。</w:t>
            </w:r>
            <w:r/>
          </w:p>
          <w:p>
            <w:pPr>
              <w:spacing w:line="360" w:lineRule="auto"/>
              <w:rPr>
                <w:rFonts w:ascii="宋体" w:hAnsi="宋体" w:eastAsia="宋体" w:cs="宋体"/>
                <w:sz w:val="24"/>
                <w:szCs w:val="24"/>
              </w:rPr>
            </w:pPr>
            <w:r>
              <w:rPr>
                <w:rFonts w:hint="eastAsia" w:ascii="宋体" w:hAnsi="宋体" w:eastAsia="宋体" w:cs="宋体"/>
                <w:b/>
                <w:sz w:val="24"/>
                <w:szCs w:val="24"/>
              </w:rPr>
              <w:t xml:space="preserve">3.转包和分包合同无效。</w:t>
            </w:r>
            <w:r/>
          </w:p>
        </w:tc>
      </w:tr>
      <w:tr>
        <w:trPr>
          <w:jc w:val="center"/>
          <w:trHeight w:val="1520"/>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单位实力</w:t>
            </w:r>
            <w:r/>
          </w:p>
          <w:p>
            <w:pPr>
              <w:jc w:val="center"/>
              <w:spacing w:line="360" w:lineRule="auto"/>
              <w:rPr>
                <w:rFonts w:ascii="宋体" w:hAnsi="宋体" w:eastAsia="宋体" w:cs="宋体"/>
                <w:sz w:val="24"/>
                <w:szCs w:val="24"/>
              </w:rPr>
            </w:pPr>
            <w:r>
              <w:rPr>
                <w:rFonts w:hint="eastAsia" w:ascii="宋体" w:hAnsi="宋体" w:eastAsia="宋体" w:cs="宋体"/>
                <w:b/>
                <w:sz w:val="24"/>
                <w:szCs w:val="24"/>
              </w:rPr>
              <w:t xml:space="preserve">（12分）</w:t>
            </w:r>
            <w:r/>
          </w:p>
        </w:tc>
        <w:tc>
          <w:tcPr>
            <w:tcW w:w="6845" w:type="dxa"/>
            <w:vAlign w:val="center"/>
            <w:textDirection w:val="lrTb"/>
            <w:noWrap w:val="false"/>
          </w:tcPr>
          <w:p>
            <w:pPr>
              <w:spacing w:line="360" w:lineRule="auto"/>
              <w:rPr>
                <w:rFonts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自202</w:t>
            </w:r>
            <w:r>
              <w:rPr>
                <w:rFonts w:hint="eastAsia" w:ascii="宋体" w:hAnsi="宋体" w:eastAsia="宋体" w:cs="宋体"/>
                <w:sz w:val="24"/>
                <w:szCs w:val="24"/>
                <w:highlight w:val="none"/>
                <w:lang w:bidi="zh-CN"/>
              </w:rPr>
              <w:t xml:space="preserve">3</w:t>
            </w:r>
            <w:r>
              <w:rPr>
                <w:rFonts w:hint="eastAsia" w:ascii="宋体" w:hAnsi="宋体" w:eastAsia="宋体" w:cs="宋体"/>
                <w:sz w:val="24"/>
                <w:szCs w:val="24"/>
                <w:highlight w:val="none"/>
                <w:lang w:val="zh-CN" w:bidi="zh-CN"/>
              </w:rPr>
              <w:t xml:space="preserve">年1月1日以来获得</w:t>
            </w:r>
            <w:bookmarkStart w:id="23" w:name="OLE_LINK2"/>
            <w:r>
              <w:rPr>
                <w:rFonts w:hint="eastAsia" w:ascii="宋体" w:hAnsi="宋体" w:eastAsia="宋体" w:cs="宋体"/>
                <w:sz w:val="24"/>
                <w:szCs w:val="24"/>
                <w:highlight w:val="none"/>
                <w:lang w:val="zh-CN" w:bidi="zh-CN"/>
              </w:rPr>
              <w:t xml:space="preserve">政府部门或行业学会</w:t>
            </w:r>
            <w:r>
              <w:rPr>
                <w:rFonts w:hint="eastAsia" w:ascii="宋体" w:hAnsi="宋体" w:eastAsia="宋体" w:cs="宋体"/>
                <w:sz w:val="24"/>
                <w:szCs w:val="24"/>
                <w:highlight w:val="none"/>
                <w:lang w:val="en-US" w:bidi="zh-CN"/>
              </w:rPr>
              <w:t xml:space="preserve">或</w:t>
            </w:r>
            <w:r>
              <w:rPr>
                <w:rFonts w:hint="eastAsia" w:ascii="宋体" w:hAnsi="宋体" w:eastAsia="宋体" w:cs="宋体"/>
                <w:sz w:val="24"/>
                <w:szCs w:val="24"/>
                <w:highlight w:val="none"/>
                <w:lang w:val="zh-CN" w:bidi="zh-CN"/>
              </w:rPr>
              <w:t xml:space="preserve">协会</w:t>
            </w:r>
            <w:bookmarkEnd w:id="23"/>
            <w:r>
              <w:rPr>
                <w:rFonts w:hint="eastAsia" w:ascii="宋体" w:hAnsi="宋体" w:eastAsia="宋体" w:cs="宋体"/>
                <w:sz w:val="24"/>
                <w:szCs w:val="24"/>
                <w:highlight w:val="none"/>
                <w:lang w:val="en-US" w:bidi="zh-CN"/>
              </w:rPr>
              <w:t xml:space="preserve">颁发的</w:t>
            </w:r>
            <w:r>
              <w:rPr>
                <w:rFonts w:hint="eastAsia" w:ascii="宋体" w:hAnsi="宋体" w:eastAsia="宋体" w:cs="宋体"/>
                <w:sz w:val="24"/>
                <w:szCs w:val="24"/>
                <w:highlight w:val="none"/>
                <w:lang w:val="zh-CN" w:bidi="zh-CN"/>
              </w:rPr>
              <w:t xml:space="preserve">测绘地理信息相关</w:t>
            </w:r>
            <w:bookmarkStart w:id="24" w:name="OLE_LINK3"/>
            <w:r>
              <w:rPr>
                <w:rFonts w:hint="eastAsia" w:ascii="宋体" w:hAnsi="宋体" w:eastAsia="宋体" w:cs="宋体"/>
                <w:sz w:val="24"/>
                <w:szCs w:val="24"/>
                <w:highlight w:val="none"/>
                <w:lang w:val="zh-CN" w:bidi="zh-CN"/>
              </w:rPr>
              <w:t xml:space="preserve">国家级奖项</w:t>
            </w:r>
            <w:bookmarkEnd w:id="24"/>
            <w:r>
              <w:rPr>
                <w:rFonts w:hint="eastAsia" w:ascii="宋体" w:hAnsi="宋体" w:eastAsia="宋体" w:cs="宋体"/>
                <w:sz w:val="24"/>
                <w:szCs w:val="24"/>
                <w:highlight w:val="none"/>
                <w:lang w:val="zh-CN" w:bidi="zh-CN"/>
              </w:rPr>
              <w:t xml:space="preserve">的，每有一项得3分；获得政府部门或行业学会</w:t>
            </w:r>
            <w:r>
              <w:rPr>
                <w:rFonts w:hint="eastAsia" w:ascii="宋体" w:hAnsi="宋体" w:eastAsia="宋体" w:cs="宋体"/>
                <w:sz w:val="24"/>
                <w:szCs w:val="24"/>
                <w:highlight w:val="none"/>
                <w:lang w:val="en-US" w:bidi="zh-CN"/>
              </w:rPr>
              <w:t xml:space="preserve">或</w:t>
            </w:r>
            <w:r>
              <w:rPr>
                <w:rFonts w:hint="eastAsia" w:ascii="宋体" w:hAnsi="宋体" w:eastAsia="宋体" w:cs="宋体"/>
                <w:sz w:val="24"/>
                <w:szCs w:val="24"/>
                <w:highlight w:val="none"/>
                <w:lang w:val="zh-CN" w:bidi="zh-CN"/>
              </w:rPr>
              <w:t xml:space="preserve">协会</w:t>
            </w:r>
            <w:r>
              <w:rPr>
                <w:rFonts w:hint="eastAsia" w:ascii="宋体" w:hAnsi="宋体" w:eastAsia="宋体" w:cs="宋体"/>
                <w:sz w:val="24"/>
                <w:szCs w:val="24"/>
                <w:highlight w:val="none"/>
                <w:lang w:val="en-US" w:bidi="zh-CN"/>
              </w:rPr>
              <w:t xml:space="preserve">颁发的</w:t>
            </w:r>
            <w:r>
              <w:rPr>
                <w:rFonts w:hint="eastAsia" w:ascii="宋体" w:hAnsi="宋体" w:eastAsia="宋体" w:cs="宋体"/>
                <w:sz w:val="24"/>
                <w:szCs w:val="24"/>
                <w:highlight w:val="none"/>
                <w:lang w:val="zh-CN" w:bidi="zh-CN"/>
              </w:rPr>
              <w:t xml:space="preserve">测绘地理信息相关省级奖项的，每有一项得2分；获得政府部门或行业学会</w:t>
            </w:r>
            <w:r>
              <w:rPr>
                <w:rFonts w:hint="eastAsia" w:ascii="宋体" w:hAnsi="宋体" w:eastAsia="宋体" w:cs="宋体"/>
                <w:sz w:val="24"/>
                <w:szCs w:val="24"/>
                <w:highlight w:val="none"/>
                <w:lang w:val="en-US" w:bidi="zh-CN"/>
              </w:rPr>
              <w:t xml:space="preserve">或</w:t>
            </w:r>
            <w:r>
              <w:rPr>
                <w:rFonts w:hint="eastAsia" w:ascii="宋体" w:hAnsi="宋体" w:eastAsia="宋体" w:cs="宋体"/>
                <w:sz w:val="24"/>
                <w:szCs w:val="24"/>
                <w:highlight w:val="none"/>
                <w:lang w:val="zh-CN" w:bidi="zh-CN"/>
              </w:rPr>
              <w:t xml:space="preserve">协会</w:t>
            </w:r>
            <w:r>
              <w:rPr>
                <w:rFonts w:hint="eastAsia" w:ascii="宋体" w:hAnsi="宋体" w:eastAsia="宋体" w:cs="宋体"/>
                <w:sz w:val="24"/>
                <w:szCs w:val="24"/>
                <w:highlight w:val="none"/>
                <w:lang w:val="en-US" w:bidi="zh-CN"/>
              </w:rPr>
              <w:t xml:space="preserve">颁发的</w:t>
            </w:r>
            <w:r>
              <w:rPr>
                <w:rFonts w:hint="eastAsia" w:ascii="宋体" w:hAnsi="宋体" w:eastAsia="宋体" w:cs="宋体"/>
                <w:sz w:val="24"/>
                <w:szCs w:val="24"/>
                <w:highlight w:val="none"/>
                <w:lang w:val="zh-CN" w:bidi="zh-CN"/>
              </w:rPr>
              <w:t xml:space="preserve">测绘地理信息相关</w:t>
            </w:r>
            <w:r>
              <w:rPr>
                <w:rFonts w:hint="eastAsia" w:ascii="宋体" w:hAnsi="宋体" w:eastAsia="宋体" w:cs="宋体"/>
                <w:sz w:val="24"/>
                <w:szCs w:val="24"/>
                <w:highlight w:val="none"/>
                <w:lang w:bidi="zh-CN"/>
              </w:rPr>
              <w:t xml:space="preserve">地级市</w:t>
            </w:r>
            <w:r>
              <w:rPr>
                <w:rFonts w:hint="eastAsia" w:ascii="宋体" w:hAnsi="宋体" w:eastAsia="宋体" w:cs="宋体"/>
                <w:sz w:val="24"/>
                <w:szCs w:val="24"/>
                <w:highlight w:val="none"/>
                <w:lang w:val="zh-CN" w:bidi="zh-CN"/>
              </w:rPr>
              <w:t xml:space="preserve">奖项的，每有一项得1分；获得政府部门或行业学会</w:t>
            </w:r>
            <w:r>
              <w:rPr>
                <w:rFonts w:hint="eastAsia" w:ascii="宋体" w:hAnsi="宋体" w:eastAsia="宋体" w:cs="宋体"/>
                <w:sz w:val="24"/>
                <w:szCs w:val="24"/>
                <w:highlight w:val="none"/>
                <w:lang w:val="en-US" w:bidi="zh-CN"/>
              </w:rPr>
              <w:t xml:space="preserve">或</w:t>
            </w:r>
            <w:r>
              <w:rPr>
                <w:rFonts w:hint="eastAsia" w:ascii="宋体" w:hAnsi="宋体" w:eastAsia="宋体" w:cs="宋体"/>
                <w:sz w:val="24"/>
                <w:szCs w:val="24"/>
                <w:highlight w:val="none"/>
                <w:lang w:val="zh-CN" w:bidi="zh-CN"/>
              </w:rPr>
              <w:t xml:space="preserve">协会</w:t>
            </w:r>
            <w:r>
              <w:rPr>
                <w:rFonts w:hint="eastAsia" w:ascii="宋体" w:hAnsi="宋体" w:eastAsia="宋体" w:cs="宋体"/>
                <w:sz w:val="24"/>
                <w:szCs w:val="24"/>
                <w:highlight w:val="none"/>
                <w:lang w:val="en-US" w:bidi="zh-CN"/>
              </w:rPr>
              <w:t xml:space="preserve">颁发的</w:t>
            </w:r>
            <w:r>
              <w:rPr>
                <w:rFonts w:hint="eastAsia" w:ascii="宋体" w:hAnsi="宋体" w:eastAsia="宋体" w:cs="宋体"/>
                <w:sz w:val="24"/>
                <w:szCs w:val="24"/>
                <w:highlight w:val="none"/>
                <w:lang w:val="zh-CN" w:bidi="zh-CN"/>
              </w:rPr>
              <w:t xml:space="preserve">测绘地理信息相关</w:t>
            </w:r>
            <w:r>
              <w:rPr>
                <w:rFonts w:hint="eastAsia" w:ascii="宋体" w:hAnsi="宋体" w:eastAsia="宋体" w:cs="宋体"/>
                <w:sz w:val="24"/>
                <w:szCs w:val="24"/>
                <w:highlight w:val="none"/>
                <w:lang w:bidi="zh-CN"/>
              </w:rPr>
              <w:t xml:space="preserve">区县级</w:t>
            </w:r>
            <w:r>
              <w:rPr>
                <w:rFonts w:hint="eastAsia" w:ascii="宋体" w:hAnsi="宋体" w:eastAsia="宋体" w:cs="宋体"/>
                <w:sz w:val="24"/>
                <w:szCs w:val="24"/>
                <w:highlight w:val="none"/>
                <w:lang w:val="zh-CN" w:bidi="zh-CN"/>
              </w:rPr>
              <w:t xml:space="preserve">奖项的，每有一项得</w:t>
            </w:r>
            <w:r>
              <w:rPr>
                <w:rFonts w:hint="eastAsia" w:ascii="宋体" w:hAnsi="宋体" w:eastAsia="宋体" w:cs="宋体"/>
                <w:sz w:val="24"/>
                <w:szCs w:val="24"/>
                <w:highlight w:val="none"/>
                <w:lang w:bidi="zh-CN"/>
              </w:rPr>
              <w:t xml:space="preserve">0.5</w:t>
            </w:r>
            <w:r>
              <w:rPr>
                <w:rFonts w:hint="eastAsia" w:ascii="宋体" w:hAnsi="宋体" w:eastAsia="宋体" w:cs="宋体"/>
                <w:sz w:val="24"/>
                <w:szCs w:val="24"/>
                <w:highlight w:val="none"/>
                <w:lang w:val="zh-CN" w:bidi="zh-CN"/>
              </w:rPr>
              <w:t xml:space="preserve">分。本项最多得</w:t>
            </w:r>
            <w:r>
              <w:rPr>
                <w:rFonts w:hint="eastAsia" w:ascii="宋体" w:hAnsi="宋体" w:eastAsia="宋体" w:cs="宋体"/>
                <w:sz w:val="24"/>
                <w:szCs w:val="24"/>
                <w:highlight w:val="none"/>
                <w:lang w:bidi="zh-CN"/>
              </w:rPr>
              <w:t xml:space="preserve">12</w:t>
            </w:r>
            <w:r>
              <w:rPr>
                <w:rFonts w:hint="eastAsia" w:ascii="宋体" w:hAnsi="宋体" w:eastAsia="宋体" w:cs="宋体"/>
                <w:sz w:val="24"/>
                <w:szCs w:val="24"/>
                <w:highlight w:val="none"/>
                <w:lang w:val="zh-CN" w:bidi="zh-CN"/>
              </w:rPr>
              <w:t xml:space="preserve">分。同一项目以最高奖为准，不重复计分。</w:t>
            </w:r>
            <w:r/>
          </w:p>
          <w:p>
            <w:pPr>
              <w:spacing w:line="360" w:lineRule="auto"/>
              <w:rPr>
                <w:rFonts w:ascii="宋体" w:hAnsi="宋体" w:eastAsia="宋体" w:cs="宋体"/>
                <w:b/>
                <w:sz w:val="24"/>
                <w:szCs w:val="24"/>
              </w:rPr>
            </w:pPr>
            <w:r>
              <w:rPr>
                <w:rFonts w:hint="eastAsia" w:ascii="宋体" w:hAnsi="宋体" w:eastAsia="宋体" w:cs="宋体"/>
                <w:b/>
                <w:sz w:val="24"/>
                <w:szCs w:val="24"/>
                <w:lang w:val="zh-CN" w:bidi="zh-CN"/>
              </w:rPr>
              <w:t xml:space="preserve">注：响应文件需提供相关材料并加盖供应商公章，否则不得分。</w:t>
            </w:r>
            <w:r/>
          </w:p>
        </w:tc>
      </w:tr>
      <w:tr>
        <w:trPr>
          <w:jc w:val="center"/>
          <w:trHeight w:val="435"/>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项目人员</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b/>
                <w:sz w:val="24"/>
                <w:szCs w:val="24"/>
              </w:rPr>
              <w:t xml:space="preserve">（16分）</w:t>
            </w:r>
            <w:r/>
          </w:p>
        </w:tc>
        <w:tc>
          <w:tcPr>
            <w:tcW w:w="6845" w:type="dxa"/>
            <w:vAlign w:val="center"/>
            <w:textDirection w:val="lrTb"/>
            <w:noWrap w:val="false"/>
          </w:tcPr>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（1）拟派项目负责人同时具备测绘专业高级及以上职称和注册测绘师资格证书的得3分。</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（2）拟派技术负责人同时具备测绘专业高级及以上职称和注册测绘师资格证书的得3分。</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（3）拟派项目组成员（除项目负责人、技术负责人以外）具有测绘专业高级及以上职称的，每有一人得2分，具有测绘专业中级职称的，每有一人得1分，本项最多得10分。</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注：项目负责人、技术负责人须由不同人分别担任；上述（1）-（3）项提供相关证书证明材料以及2026年3月至今任意一个月由供应商为其缴纳的社保证明材料，否则不得分。</w:t>
            </w:r>
            <w:r/>
          </w:p>
        </w:tc>
      </w:tr>
      <w:tr>
        <w:trPr>
          <w:jc w:val="center"/>
          <w:trHeight w:val="2700"/>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服务保障</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（4分）</w:t>
            </w:r>
            <w:r/>
          </w:p>
        </w:tc>
        <w:tc>
          <w:tcPr>
            <w:tcW w:w="6845" w:type="dxa"/>
            <w:vAlign w:val="center"/>
            <w:textDirection w:val="lrTb"/>
            <w:noWrap w:val="false"/>
          </w:tcPr>
          <w:p>
            <w:pPr>
              <w:spacing w:line="360" w:lineRule="auto"/>
              <w:rPr>
                <w:rFonts w:ascii="宋体" w:hAnsi="宋体" w:eastAsia="宋体" w:cs="宋体"/>
                <w:bCs/>
                <w:sz w:val="24"/>
                <w:szCs w:val="24"/>
              </w:rPr>
            </w:pPr>
            <w:r/>
            <w:bookmarkStart w:id="25" w:name="OLE_LINK5"/>
            <w:r>
              <w:rPr>
                <w:rFonts w:hint="eastAsia" w:ascii="宋体" w:hAnsi="宋体" w:eastAsia="宋体" w:cs="宋体"/>
                <w:bCs/>
                <w:sz w:val="24"/>
                <w:szCs w:val="24"/>
              </w:rPr>
              <w:t xml:space="preserve">1.承诺服从采购人提出更换现场不称职技术人员要求的，积极配合采购人并无条件提供技术服务的，得2分；</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2.为保证后期跟踪服务效率，承诺提供24小时不间断售后服务的，得2分。</w:t>
            </w:r>
            <w:bookmarkEnd w:id="25"/>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注：响应文件提供承诺函并加盖供应商公章，格式自拟。</w:t>
            </w:r>
            <w:r/>
          </w:p>
        </w:tc>
      </w:tr>
    </w:tbl>
    <w:p>
      <w:pPr>
        <w:jc w:val="left"/>
        <w:spacing w:line="360" w:lineRule="auto"/>
        <w:widowControl/>
        <w:rPr>
          <w:sz w:val="24"/>
          <w:szCs w:val="24"/>
        </w:rPr>
      </w:pPr>
      <w:r>
        <w:rPr>
          <w:sz w:val="24"/>
          <w:szCs w:val="24"/>
        </w:rPr>
      </w:r>
      <w:r/>
    </w:p>
    <w:p>
      <w:pPr>
        <w:jc w:val="left"/>
        <w:widowControl/>
        <w:rPr>
          <w:sz w:val="24"/>
          <w:szCs w:val="24"/>
        </w:rPr>
      </w:pPr>
      <w:r>
        <w:rPr>
          <w:sz w:val="24"/>
          <w:szCs w:val="24"/>
        </w:rPr>
        <w:br w:type="page" w:clear="all"/>
      </w:r>
      <w:r/>
    </w:p>
    <w:p>
      <w:pPr>
        <w:pStyle w:val="673"/>
        <w:jc w:val="center"/>
        <w:spacing w:line="360" w:lineRule="auto"/>
        <w:rPr>
          <w:rFonts w:ascii="黑体" w:hAnsi="黑体" w:eastAsia="黑体"/>
          <w:b w:val="0"/>
        </w:rPr>
      </w:pPr>
      <w:r/>
      <w:bookmarkStart w:id="26" w:name="_Toc162361615"/>
      <w:r>
        <w:rPr>
          <w:rFonts w:hint="eastAsia" w:ascii="黑体" w:hAnsi="黑体" w:eastAsia="黑体"/>
          <w:b w:val="0"/>
        </w:rPr>
        <w:t xml:space="preserve">第六章  投标文件格式</w:t>
      </w:r>
      <w:bookmarkEnd w:id="26"/>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致：采购人名称</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十三、投标分项报价表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683"/>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pPr>
        <w:ind w:firstLine="482"/>
        <w:spacing w:line="360" w:lineRule="auto"/>
        <w:rPr>
          <w:b/>
        </w:rPr>
      </w:pPr>
      <w:r>
        <w:rPr>
          <w:rFonts w:hint="eastAsia" w:ascii="宋体" w:hAnsi="宋体" w:eastAsia="宋体" w:cs="Times New Roman"/>
          <w:b/>
          <w:color w:val="000000"/>
          <w:sz w:val="24"/>
          <w:szCs w:val="24"/>
        </w:rPr>
        <w:t xml:space="preserve">特别提醒：上述表格为模板，可调整。投标人应按照文件要求采用分项报价最终汇总的方式进行，标明拟提供服务的单价和总价，分析各项费用组成。如若中标，将作为后期履约付款依据。如投标人投标分项报价表只提供一个总价，未列明拟提供服务的单价和总价（分项报价），投标无效。</w:t>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83"/>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27" w:name="_Hlt26955054"/>
      <w:r/>
      <w:bookmarkEnd w:id="27"/>
      <w:r>
        <w:rPr>
          <w:rFonts w:hint="eastAsia" w:ascii="Arial" w:hAnsi="Arial" w:eastAsia="宋体" w:cs="Arial"/>
          <w:b/>
          <w:iCs/>
          <w:sz w:val="36"/>
        </w:rPr>
        <w:t xml:space="preserve">十五、商务要求响应及偏离表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83"/>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28" w:name="_Hlt26671343"/>
            <w:r/>
            <w:bookmarkEnd w:id="28"/>
            <w:r/>
            <w:bookmarkStart w:id="29" w:name="_Hlt26955056"/>
            <w:r/>
            <w:bookmarkEnd w:id="29"/>
            <w:r/>
            <w:bookmarkStart w:id="30" w:name="_Hlt26782999"/>
            <w:r/>
            <w:bookmarkEnd w:id="30"/>
            <w:r/>
            <w:bookmarkStart w:id="31" w:name="_Hlt26671372"/>
            <w:r/>
            <w:bookmarkEnd w:id="31"/>
            <w:r/>
            <w:bookmarkStart w:id="32" w:name="_Hlt26580838"/>
            <w:r/>
            <w:bookmarkEnd w:id="32"/>
            <w:r/>
            <w:bookmarkStart w:id="33" w:name="_Hlt26955064"/>
            <w:r/>
            <w:bookmarkEnd w:id="33"/>
            <w:r/>
            <w:bookmarkStart w:id="34" w:name="_Hlt26609391"/>
            <w:r/>
            <w:bookmarkEnd w:id="34"/>
            <w:r/>
            <w:bookmarkStart w:id="35" w:name="_Hlt24879081"/>
            <w:r/>
            <w:bookmarkEnd w:id="35"/>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36" w:name="_格式2__法定代表人授权书"/>
      <w:r/>
      <w:bookmarkEnd w:id="36"/>
      <w:r/>
      <w:bookmarkStart w:id="37" w:name="_Hlt26609389"/>
      <w:r/>
      <w:bookmarkEnd w:id="37"/>
      <w:r/>
      <w:bookmarkStart w:id="38" w:name="_Hlt26671374"/>
      <w:r/>
      <w:bookmarkEnd w:id="38"/>
      <w:r/>
      <w:bookmarkStart w:id="39" w:name="_Hlt26955066"/>
      <w:r/>
      <w:bookmarkEnd w:id="39"/>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十六、类似项目业绩一览表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83"/>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83"/>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r/>
            <w:r/>
          </w:p>
        </w:tc>
        <w:tc>
          <w:tcPr>
            <w:tcW w:w="1338" w:type="dxa"/>
            <w:vAlign w:val="center"/>
            <w:textDirection w:val="lrTb"/>
            <w:noWrap w:val="false"/>
          </w:tcPr>
          <w:p>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pPr>
        <w:jc w:val="left"/>
        <w:keepLines/>
        <w:keepNext/>
        <w:spacing w:before="360" w:after="200" w:line="360" w:lineRule="auto"/>
        <w:rPr>
          <w:rFonts w:ascii="Arial" w:hAnsi="Arial" w:eastAsia="宋体" w:cs="Arial"/>
          <w:b/>
          <w:sz w:val="36"/>
        </w:rPr>
        <w:outlineLvl w:val="1"/>
      </w:pPr>
      <w:r>
        <w:rPr>
          <w:rFonts w:ascii="Arial" w:hAnsi="Arial" w:eastAsia="宋体" w:cs="Arial"/>
          <w:b/>
          <w:sz w:val="36"/>
        </w:rPr>
      </w:r>
      <w:r/>
    </w:p>
    <w:p>
      <w:pPr>
        <w:jc w:val="left"/>
        <w:keepLines/>
        <w:keepNext/>
        <w:spacing w:before="360" w:after="200" w:line="360" w:lineRule="auto"/>
        <w:rPr>
          <w:rFonts w:ascii="Arial" w:hAnsi="Arial" w:eastAsia="宋体" w:cs="Arial"/>
          <w:b/>
          <w:sz w:val="36"/>
        </w:rPr>
        <w:outlineLvl w:val="1"/>
      </w:pPr>
      <w:r>
        <w:rPr>
          <w:rFonts w:ascii="Arial" w:hAnsi="Arial" w:eastAsia="宋体" w:cs="Arial"/>
          <w:b/>
          <w:sz w:val="36"/>
        </w:rPr>
      </w:r>
      <w:r/>
    </w:p>
    <w:p>
      <w:pPr>
        <w:jc w:val="left"/>
        <w:keepLines/>
        <w:keepNext/>
        <w:spacing w:before="360" w:after="200" w:line="360" w:lineRule="auto"/>
        <w:rPr>
          <w:rFonts w:ascii="Arial" w:hAnsi="Arial" w:eastAsia="宋体" w:cs="Arial"/>
          <w:b/>
          <w:sz w:val="36"/>
        </w:rPr>
        <w:outlineLvl w:val="1"/>
      </w:pPr>
      <w:r>
        <w:rPr>
          <w:rFonts w:ascii="Arial" w:hAnsi="Arial" w:eastAsia="宋体" w:cs="Arial"/>
          <w:b/>
          <w:sz w:val="36"/>
        </w:rPr>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十八、开标一览表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70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690"/>
      </w:pPr>
      <w:r/>
      <w:r/>
    </w:p>
    <w:p>
      <w:pPr>
        <w:ind w:firstLine="480"/>
        <w:jc w:val="left"/>
        <w:spacing w:line="500" w:lineRule="exact"/>
        <w:widowControl/>
        <w:rPr>
          <w:sz w:val="24"/>
          <w:szCs w:val="24"/>
        </w:rPr>
      </w:pPr>
      <w:r>
        <w:rPr>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r/>
  </w:p>
  <w:p>
    <w:pPr>
      <w:pStyle w:val="6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95"/>
          <w:jc w:val="center"/>
        </w:pPr>
        <w:r>
          <w:fldChar w:fldCharType="begin"/>
        </w:r>
        <w:r>
          <w:instrText xml:space="preserve"> PAGE   \* MERGEFORMAT </w:instrText>
        </w:r>
        <w:r>
          <w:fldChar w:fldCharType="separate"/>
        </w:r>
        <w:r>
          <w:rPr>
            <w:lang w:val="zh-CN"/>
          </w:rPr>
          <w:t xml:space="preserve">33</w:t>
        </w:r>
        <w:r>
          <w:rPr>
            <w:lang w:val="zh-CN"/>
          </w:rPr>
          <w:fldChar w:fldCharType="end"/>
        </w:r>
        <w:r/>
      </w:p>
    </w:sdtContent>
  </w:sdt>
  <w:p>
    <w:pPr>
      <w:pStyle w:val="6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73">
    <w:name w:val="Heading 1"/>
    <w:basedOn w:val="672"/>
    <w:next w:val="672"/>
    <w:link w:val="874"/>
    <w:uiPriority w:val="9"/>
    <w:qFormat/>
    <w:pPr>
      <w:keepLines/>
      <w:keepNext/>
      <w:spacing w:before="340" w:after="330" w:line="578" w:lineRule="auto"/>
      <w:outlineLvl w:val="0"/>
    </w:pPr>
    <w:rPr>
      <w:b/>
      <w:bCs/>
      <w:sz w:val="44"/>
      <w:szCs w:val="44"/>
    </w:rPr>
  </w:style>
  <w:style w:type="paragraph" w:styleId="674">
    <w:name w:val="Heading 2"/>
    <w:basedOn w:val="672"/>
    <w:next w:val="672"/>
    <w:link w:val="87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5">
    <w:name w:val="Heading 3"/>
    <w:basedOn w:val="672"/>
    <w:next w:val="672"/>
    <w:link w:val="877"/>
    <w:uiPriority w:val="9"/>
    <w:unhideWhenUsed/>
    <w:qFormat/>
    <w:pPr>
      <w:keepLines/>
      <w:keepNext/>
      <w:spacing w:before="260" w:after="260" w:line="416" w:lineRule="auto"/>
      <w:outlineLvl w:val="2"/>
    </w:pPr>
    <w:rPr>
      <w:b/>
      <w:bCs/>
      <w:sz w:val="32"/>
      <w:szCs w:val="32"/>
    </w:rPr>
  </w:style>
  <w:style w:type="paragraph" w:styleId="676">
    <w:name w:val="Heading 4"/>
    <w:basedOn w:val="672"/>
    <w:next w:val="672"/>
    <w:link w:val="728"/>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29"/>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30"/>
    <w:uiPriority w:val="9"/>
    <w:unhideWhenUsed/>
    <w:qFormat/>
    <w:pPr>
      <w:keepLines/>
      <w:keepNext/>
      <w:spacing w:before="320" w:after="200"/>
      <w:outlineLvl w:val="5"/>
    </w:pPr>
    <w:rPr>
      <w:rFonts w:ascii="Arial" w:hAnsi="Arial" w:eastAsia="Arial" w:cs="Arial"/>
      <w:b/>
      <w:bCs/>
      <w:sz w:val="22"/>
    </w:rPr>
  </w:style>
  <w:style w:type="paragraph" w:styleId="679">
    <w:name w:val="Heading 7"/>
    <w:basedOn w:val="672"/>
    <w:next w:val="672"/>
    <w:link w:val="731"/>
    <w:uiPriority w:val="9"/>
    <w:unhideWhenUsed/>
    <w:qFormat/>
    <w:pPr>
      <w:keepLines/>
      <w:keepNext/>
      <w:spacing w:before="320" w:after="200"/>
      <w:outlineLvl w:val="6"/>
    </w:pPr>
    <w:rPr>
      <w:rFonts w:ascii="Arial" w:hAnsi="Arial" w:eastAsia="Arial" w:cs="Arial"/>
      <w:b/>
      <w:bCs/>
      <w:i/>
      <w:iCs/>
      <w:sz w:val="22"/>
    </w:rPr>
  </w:style>
  <w:style w:type="paragraph" w:styleId="680">
    <w:name w:val="Heading 8"/>
    <w:basedOn w:val="672"/>
    <w:next w:val="672"/>
    <w:link w:val="732"/>
    <w:uiPriority w:val="9"/>
    <w:unhideWhenUsed/>
    <w:qFormat/>
    <w:pPr>
      <w:keepLines/>
      <w:keepNext/>
      <w:spacing w:before="320" w:after="200"/>
      <w:outlineLvl w:val="7"/>
    </w:pPr>
    <w:rPr>
      <w:rFonts w:ascii="Arial" w:hAnsi="Arial" w:eastAsia="Arial" w:cs="Arial"/>
      <w:i/>
      <w:iCs/>
      <w:sz w:val="22"/>
    </w:rPr>
  </w:style>
  <w:style w:type="paragraph" w:styleId="681">
    <w:name w:val="Heading 9"/>
    <w:basedOn w:val="672"/>
    <w:next w:val="672"/>
    <w:link w:val="733"/>
    <w:uiPriority w:val="9"/>
    <w:unhideWhenUsed/>
    <w:qFormat/>
    <w:pPr>
      <w:keepLines/>
      <w:keepNext/>
      <w:spacing w:before="320" w:after="200"/>
      <w:outlineLvl w:val="8"/>
    </w:pPr>
    <w:rPr>
      <w:rFonts w:ascii="Arial" w:hAnsi="Arial" w:eastAsia="Arial" w:cs="Arial"/>
      <w:i/>
      <w:iCs/>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Document Map"/>
    <w:basedOn w:val="672"/>
    <w:link w:val="875"/>
    <w:uiPriority w:val="99"/>
    <w:semiHidden/>
    <w:unhideWhenUsed/>
    <w:qFormat/>
    <w:rPr>
      <w:rFonts w:ascii="宋体" w:eastAsia="宋体"/>
      <w:sz w:val="18"/>
      <w:szCs w:val="18"/>
    </w:rPr>
  </w:style>
  <w:style w:type="paragraph" w:styleId="687">
    <w:name w:val="annotation text"/>
    <w:basedOn w:val="672"/>
    <w:link w:val="879"/>
    <w:uiPriority w:val="0"/>
    <w:qFormat/>
    <w:pPr>
      <w:ind w:firstLine="922"/>
      <w:jc w:val="left"/>
      <w:spacing w:line="360" w:lineRule="auto"/>
    </w:pPr>
    <w:rPr>
      <w:rFonts w:ascii="Times New Roman" w:hAnsi="Times New Roman" w:eastAsia="宋体" w:cs="Times New Roman"/>
      <w:szCs w:val="24"/>
    </w:rPr>
  </w:style>
  <w:style w:type="paragraph" w:styleId="688">
    <w:name w:val="toc 5"/>
    <w:basedOn w:val="672"/>
    <w:next w:val="672"/>
    <w:uiPriority w:val="39"/>
    <w:unhideWhenUsed/>
    <w:qFormat/>
    <w:pPr>
      <w:ind w:left="1134"/>
      <w:spacing w:after="57"/>
    </w:pPr>
  </w:style>
  <w:style w:type="paragraph" w:styleId="689">
    <w:name w:val="toc 3"/>
    <w:basedOn w:val="672"/>
    <w:next w:val="672"/>
    <w:uiPriority w:val="39"/>
    <w:unhideWhenUsed/>
    <w:qFormat/>
    <w:pPr>
      <w:ind w:left="567"/>
      <w:spacing w:after="57"/>
    </w:pPr>
  </w:style>
  <w:style w:type="paragraph" w:styleId="690">
    <w:name w:val="Plain Text"/>
    <w:basedOn w:val="672"/>
    <w:link w:val="883"/>
    <w:uiPriority w:val="0"/>
    <w:qFormat/>
    <w:rPr>
      <w:rFonts w:ascii="宋体" w:hAnsi="Courier New" w:eastAsia="宋体" w:cs="Times New Roman"/>
      <w:szCs w:val="20"/>
    </w:rPr>
  </w:style>
  <w:style w:type="paragraph" w:styleId="691">
    <w:name w:val="toc 8"/>
    <w:basedOn w:val="672"/>
    <w:next w:val="672"/>
    <w:uiPriority w:val="39"/>
    <w:unhideWhenUsed/>
    <w:qFormat/>
    <w:pPr>
      <w:ind w:left="1984"/>
      <w:spacing w:after="57"/>
    </w:pPr>
  </w:style>
  <w:style w:type="paragraph" w:styleId="692">
    <w:name w:val="Date"/>
    <w:basedOn w:val="672"/>
    <w:next w:val="672"/>
    <w:link w:val="878"/>
    <w:uiPriority w:val="99"/>
    <w:semiHidden/>
    <w:unhideWhenUsed/>
    <w:qFormat/>
    <w:pPr>
      <w:ind w:left="100"/>
    </w:pPr>
  </w:style>
  <w:style w:type="paragraph" w:styleId="693">
    <w:name w:val="endnote text"/>
    <w:basedOn w:val="672"/>
    <w:link w:val="870"/>
    <w:uiPriority w:val="99"/>
    <w:semiHidden/>
    <w:unhideWhenUsed/>
    <w:qFormat/>
    <w:rPr>
      <w:sz w:val="20"/>
    </w:rPr>
  </w:style>
  <w:style w:type="paragraph" w:styleId="694">
    <w:name w:val="Balloon Text"/>
    <w:basedOn w:val="672"/>
    <w:link w:val="880"/>
    <w:uiPriority w:val="99"/>
    <w:semiHidden/>
    <w:unhideWhenUsed/>
    <w:qFormat/>
    <w:rPr>
      <w:sz w:val="18"/>
      <w:szCs w:val="18"/>
    </w:rPr>
  </w:style>
  <w:style w:type="paragraph" w:styleId="695">
    <w:name w:val="Footer"/>
    <w:basedOn w:val="672"/>
    <w:link w:val="873"/>
    <w:uiPriority w:val="99"/>
    <w:unhideWhenUsed/>
    <w:qFormat/>
    <w:pPr>
      <w:jc w:val="left"/>
      <w:tabs>
        <w:tab w:val="center" w:pos="4153" w:leader="none"/>
        <w:tab w:val="right" w:pos="8306" w:leader="none"/>
      </w:tabs>
    </w:pPr>
    <w:rPr>
      <w:sz w:val="18"/>
      <w:szCs w:val="18"/>
    </w:rPr>
  </w:style>
  <w:style w:type="paragraph" w:styleId="696">
    <w:name w:val="Header"/>
    <w:basedOn w:val="672"/>
    <w:link w:val="87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72"/>
    <w:next w:val="672"/>
    <w:uiPriority w:val="39"/>
    <w:unhideWhenUsed/>
    <w:qFormat/>
    <w:pPr>
      <w:jc w:val="center"/>
      <w:spacing w:line="360" w:lineRule="auto"/>
      <w:tabs>
        <w:tab w:val="right" w:pos="9628" w:leader="dot"/>
      </w:tabs>
    </w:pPr>
    <w:rPr>
      <w:sz w:val="32"/>
    </w:rPr>
  </w:style>
  <w:style w:type="paragraph" w:styleId="698">
    <w:name w:val="toc 4"/>
    <w:basedOn w:val="672"/>
    <w:next w:val="672"/>
    <w:uiPriority w:val="39"/>
    <w:unhideWhenUsed/>
    <w:qFormat/>
    <w:pPr>
      <w:ind w:left="850"/>
      <w:spacing w:after="57"/>
    </w:pPr>
  </w:style>
  <w:style w:type="paragraph" w:styleId="699">
    <w:name w:val="Subtitle"/>
    <w:basedOn w:val="672"/>
    <w:next w:val="672"/>
    <w:link w:val="736"/>
    <w:uiPriority w:val="11"/>
    <w:qFormat/>
    <w:pPr>
      <w:spacing w:before="200" w:after="200"/>
    </w:pPr>
    <w:rPr>
      <w:sz w:val="24"/>
      <w:szCs w:val="24"/>
    </w:rPr>
  </w:style>
  <w:style w:type="paragraph" w:styleId="700">
    <w:name w:val="footnote text"/>
    <w:basedOn w:val="672"/>
    <w:link w:val="869"/>
    <w:uiPriority w:val="99"/>
    <w:semiHidden/>
    <w:unhideWhenUsed/>
    <w:qFormat/>
    <w:pPr>
      <w:spacing w:after="40"/>
    </w:pPr>
    <w:rPr>
      <w:sz w:val="18"/>
    </w:rPr>
  </w:style>
  <w:style w:type="paragraph" w:styleId="701">
    <w:name w:val="toc 6"/>
    <w:basedOn w:val="672"/>
    <w:next w:val="672"/>
    <w:uiPriority w:val="39"/>
    <w:unhideWhenUsed/>
    <w:qFormat/>
    <w:pPr>
      <w:ind w:left="1417"/>
      <w:spacing w:after="57"/>
    </w:pPr>
  </w:style>
  <w:style w:type="paragraph" w:styleId="702">
    <w:name w:val="table of figures"/>
    <w:basedOn w:val="672"/>
    <w:next w:val="672"/>
    <w:uiPriority w:val="99"/>
    <w:unhideWhenUsed/>
    <w:qFormat/>
  </w:style>
  <w:style w:type="paragraph" w:styleId="703">
    <w:name w:val="toc 2"/>
    <w:basedOn w:val="672"/>
    <w:next w:val="672"/>
    <w:uiPriority w:val="39"/>
    <w:unhideWhenUsed/>
    <w:qFormat/>
    <w:pPr>
      <w:ind w:left="283"/>
      <w:spacing w:after="57"/>
    </w:pPr>
  </w:style>
  <w:style w:type="paragraph" w:styleId="704">
    <w:name w:val="toc 9"/>
    <w:basedOn w:val="672"/>
    <w:next w:val="672"/>
    <w:uiPriority w:val="39"/>
    <w:unhideWhenUsed/>
    <w:qFormat/>
    <w:pPr>
      <w:ind w:left="2268"/>
      <w:spacing w:after="57"/>
    </w:pPr>
  </w:style>
  <w:style w:type="paragraph" w:styleId="705">
    <w:name w:val="Normal (Web)"/>
    <w:basedOn w:val="67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06">
    <w:name w:val="Title"/>
    <w:basedOn w:val="672"/>
    <w:next w:val="672"/>
    <w:link w:val="735"/>
    <w:uiPriority w:val="10"/>
    <w:qFormat/>
    <w:pPr>
      <w:contextualSpacing/>
      <w:spacing w:before="300" w:after="200"/>
    </w:pPr>
    <w:rPr>
      <w:sz w:val="48"/>
      <w:szCs w:val="48"/>
    </w:rPr>
  </w:style>
  <w:style w:type="table" w:styleId="707">
    <w:name w:val="Table Grid"/>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endnote reference"/>
    <w:basedOn w:val="682"/>
    <w:uiPriority w:val="99"/>
    <w:semiHidden/>
    <w:unhideWhenUsed/>
    <w:qFormat/>
    <w:rPr>
      <w:vertAlign w:val="superscript"/>
    </w:rPr>
  </w:style>
  <w:style w:type="character" w:styleId="709">
    <w:name w:val="Hyperlink"/>
    <w:uiPriority w:val="99"/>
    <w:qFormat/>
    <w:rPr>
      <w:color w:val="0000ff"/>
      <w:u w:val="none"/>
    </w:rPr>
  </w:style>
  <w:style w:type="character" w:styleId="710">
    <w:name w:val="annotation reference"/>
    <w:uiPriority w:val="0"/>
    <w:qFormat/>
    <w:rPr>
      <w:sz w:val="21"/>
      <w:szCs w:val="21"/>
    </w:rPr>
  </w:style>
  <w:style w:type="character" w:styleId="711">
    <w:name w:val="footnote reference"/>
    <w:basedOn w:val="682"/>
    <w:uiPriority w:val="99"/>
    <w:unhideWhenUsed/>
    <w:qFormat/>
    <w:rPr>
      <w:vertAlign w:val="superscript"/>
    </w:rPr>
  </w:style>
  <w:style w:type="character" w:styleId="712" w:customStyle="1">
    <w:name w:val="Heading 4 Char"/>
    <w:basedOn w:val="682"/>
    <w:uiPriority w:val="9"/>
    <w:rPr>
      <w:rFonts w:ascii="Arial" w:hAnsi="Arial" w:eastAsia="Arial" w:cs="Arial"/>
      <w:b/>
      <w:bCs/>
      <w:sz w:val="26"/>
      <w:szCs w:val="26"/>
    </w:rPr>
  </w:style>
  <w:style w:type="character" w:styleId="713" w:customStyle="1">
    <w:name w:val="Heading 5 Char"/>
    <w:basedOn w:val="682"/>
    <w:uiPriority w:val="9"/>
    <w:rPr>
      <w:rFonts w:ascii="Arial" w:hAnsi="Arial" w:eastAsia="Arial" w:cs="Arial"/>
      <w:b/>
      <w:bCs/>
      <w:sz w:val="24"/>
      <w:szCs w:val="24"/>
    </w:rPr>
  </w:style>
  <w:style w:type="character" w:styleId="714" w:customStyle="1">
    <w:name w:val="Heading 6 Char"/>
    <w:basedOn w:val="682"/>
    <w:uiPriority w:val="9"/>
    <w:rPr>
      <w:rFonts w:ascii="Arial" w:hAnsi="Arial" w:eastAsia="Arial" w:cs="Arial"/>
      <w:b/>
      <w:bCs/>
      <w:sz w:val="22"/>
      <w:szCs w:val="22"/>
    </w:rPr>
  </w:style>
  <w:style w:type="character" w:styleId="715" w:customStyle="1">
    <w:name w:val="Heading 7 Char"/>
    <w:basedOn w:val="682"/>
    <w:uiPriority w:val="9"/>
    <w:rPr>
      <w:rFonts w:ascii="Arial" w:hAnsi="Arial" w:eastAsia="Arial" w:cs="Arial"/>
      <w:b/>
      <w:bCs/>
      <w:i/>
      <w:iCs/>
      <w:sz w:val="22"/>
      <w:szCs w:val="22"/>
    </w:rPr>
  </w:style>
  <w:style w:type="character" w:styleId="716" w:customStyle="1">
    <w:name w:val="Heading 8 Char"/>
    <w:basedOn w:val="682"/>
    <w:uiPriority w:val="9"/>
    <w:qFormat/>
    <w:rPr>
      <w:rFonts w:ascii="Arial" w:hAnsi="Arial" w:eastAsia="Arial" w:cs="Arial"/>
      <w:i/>
      <w:iCs/>
      <w:sz w:val="22"/>
      <w:szCs w:val="22"/>
    </w:rPr>
  </w:style>
  <w:style w:type="character" w:styleId="717" w:customStyle="1">
    <w:name w:val="Heading 9 Char"/>
    <w:basedOn w:val="682"/>
    <w:uiPriority w:val="9"/>
    <w:qFormat/>
    <w:rPr>
      <w:rFonts w:ascii="Arial" w:hAnsi="Arial" w:eastAsia="Arial" w:cs="Arial"/>
      <w:i/>
      <w:iCs/>
      <w:sz w:val="21"/>
      <w:szCs w:val="21"/>
    </w:rPr>
  </w:style>
  <w:style w:type="character" w:styleId="718" w:customStyle="1">
    <w:name w:val="Title Char"/>
    <w:basedOn w:val="682"/>
    <w:uiPriority w:val="10"/>
    <w:qFormat/>
    <w:rPr>
      <w:sz w:val="48"/>
      <w:szCs w:val="48"/>
    </w:rPr>
  </w:style>
  <w:style w:type="character" w:styleId="719" w:customStyle="1">
    <w:name w:val="Subtitle Char"/>
    <w:basedOn w:val="682"/>
    <w:uiPriority w:val="11"/>
    <w:qFormat/>
    <w:rPr>
      <w:sz w:val="24"/>
      <w:szCs w:val="24"/>
    </w:rPr>
  </w:style>
  <w:style w:type="character" w:styleId="720" w:customStyle="1">
    <w:name w:val="Quote Char"/>
    <w:uiPriority w:val="29"/>
    <w:qFormat/>
    <w:rPr>
      <w:i/>
    </w:rPr>
  </w:style>
  <w:style w:type="character" w:styleId="721" w:customStyle="1">
    <w:name w:val="Intense Quote Char"/>
    <w:uiPriority w:val="30"/>
    <w:qFormat/>
    <w:rPr>
      <w:i/>
    </w:rPr>
  </w:style>
  <w:style w:type="character" w:styleId="722" w:customStyle="1">
    <w:name w:val="Footnote Text Char"/>
    <w:uiPriority w:val="99"/>
    <w:qFormat/>
    <w:rPr>
      <w:sz w:val="18"/>
    </w:rPr>
  </w:style>
  <w:style w:type="character" w:styleId="723" w:customStyle="1">
    <w:name w:val="Endnote Text Char"/>
    <w:uiPriority w:val="99"/>
    <w:qFormat/>
    <w:rPr>
      <w:sz w:val="20"/>
    </w:rPr>
  </w:style>
  <w:style w:type="paragraph" w:styleId="724" w:customStyle="1">
    <w:name w:val="TOC Heading"/>
    <w:uiPriority w:val="39"/>
    <w:unhideWhenUsed/>
    <w:qFormat/>
    <w:rPr>
      <w:rFonts w:hint="default" w:ascii="Times New Roman" w:hAnsi="Times New Roman" w:eastAsia="宋体" w:cs="Times New Roman"/>
    </w:rPr>
  </w:style>
  <w:style w:type="character" w:styleId="725" w:customStyle="1">
    <w:name w:val="Heading 1 Char"/>
    <w:basedOn w:val="682"/>
    <w:uiPriority w:val="9"/>
    <w:qFormat/>
    <w:rPr>
      <w:rFonts w:ascii="Arial" w:hAnsi="Arial" w:eastAsia="Arial" w:cs="Arial"/>
      <w:sz w:val="40"/>
      <w:szCs w:val="40"/>
    </w:rPr>
  </w:style>
  <w:style w:type="character" w:styleId="726" w:customStyle="1">
    <w:name w:val="Heading 2 Char"/>
    <w:basedOn w:val="682"/>
    <w:uiPriority w:val="9"/>
    <w:qFormat/>
    <w:rPr>
      <w:rFonts w:ascii="Arial" w:hAnsi="Arial" w:eastAsia="Arial" w:cs="Arial"/>
      <w:sz w:val="34"/>
    </w:rPr>
  </w:style>
  <w:style w:type="character" w:styleId="727" w:customStyle="1">
    <w:name w:val="Heading 3 Char"/>
    <w:basedOn w:val="682"/>
    <w:uiPriority w:val="9"/>
    <w:qFormat/>
    <w:rPr>
      <w:rFonts w:ascii="Arial" w:hAnsi="Arial" w:eastAsia="Arial" w:cs="Arial"/>
      <w:sz w:val="30"/>
      <w:szCs w:val="30"/>
    </w:rPr>
  </w:style>
  <w:style w:type="character" w:styleId="728" w:customStyle="1">
    <w:name w:val="标题 4 Char"/>
    <w:basedOn w:val="682"/>
    <w:link w:val="676"/>
    <w:uiPriority w:val="9"/>
    <w:qFormat/>
    <w:rPr>
      <w:rFonts w:ascii="Arial" w:hAnsi="Arial" w:eastAsia="Arial" w:cs="Arial"/>
      <w:b/>
      <w:bCs/>
      <w:sz w:val="26"/>
      <w:szCs w:val="26"/>
    </w:rPr>
  </w:style>
  <w:style w:type="character" w:styleId="729" w:customStyle="1">
    <w:name w:val="标题 5 Char"/>
    <w:basedOn w:val="682"/>
    <w:link w:val="677"/>
    <w:uiPriority w:val="9"/>
    <w:qFormat/>
    <w:rPr>
      <w:rFonts w:ascii="Arial" w:hAnsi="Arial" w:eastAsia="Arial" w:cs="Arial"/>
      <w:b/>
      <w:bCs/>
      <w:sz w:val="24"/>
      <w:szCs w:val="24"/>
    </w:rPr>
  </w:style>
  <w:style w:type="character" w:styleId="730" w:customStyle="1">
    <w:name w:val="标题 6 Char"/>
    <w:basedOn w:val="682"/>
    <w:link w:val="678"/>
    <w:uiPriority w:val="9"/>
    <w:qFormat/>
    <w:rPr>
      <w:rFonts w:ascii="Arial" w:hAnsi="Arial" w:eastAsia="Arial" w:cs="Arial"/>
      <w:b/>
      <w:bCs/>
      <w:sz w:val="22"/>
      <w:szCs w:val="22"/>
    </w:rPr>
  </w:style>
  <w:style w:type="character" w:styleId="731" w:customStyle="1">
    <w:name w:val="标题 7 Char"/>
    <w:basedOn w:val="682"/>
    <w:link w:val="679"/>
    <w:uiPriority w:val="9"/>
    <w:qFormat/>
    <w:rPr>
      <w:rFonts w:ascii="Arial" w:hAnsi="Arial" w:eastAsia="Arial" w:cs="Arial"/>
      <w:b/>
      <w:bCs/>
      <w:i/>
      <w:iCs/>
      <w:sz w:val="22"/>
      <w:szCs w:val="22"/>
    </w:rPr>
  </w:style>
  <w:style w:type="character" w:styleId="732" w:customStyle="1">
    <w:name w:val="标题 8 Char"/>
    <w:basedOn w:val="682"/>
    <w:link w:val="680"/>
    <w:uiPriority w:val="9"/>
    <w:qFormat/>
    <w:rPr>
      <w:rFonts w:ascii="Arial" w:hAnsi="Arial" w:eastAsia="Arial" w:cs="Arial"/>
      <w:i/>
      <w:iCs/>
      <w:sz w:val="22"/>
      <w:szCs w:val="22"/>
    </w:rPr>
  </w:style>
  <w:style w:type="character" w:styleId="733" w:customStyle="1">
    <w:name w:val="标题 9 Char"/>
    <w:basedOn w:val="682"/>
    <w:link w:val="681"/>
    <w:uiPriority w:val="9"/>
    <w:qFormat/>
    <w:rPr>
      <w:rFonts w:ascii="Arial" w:hAnsi="Arial" w:eastAsia="Arial" w:cs="Arial"/>
      <w:i/>
      <w:iCs/>
      <w:sz w:val="21"/>
      <w:szCs w:val="21"/>
    </w:rPr>
  </w:style>
  <w:style w:type="paragraph" w:styleId="734">
    <w:name w:val="No Spacing"/>
    <w:uiPriority w:val="1"/>
    <w:qFormat/>
    <w:rPr>
      <w:rFonts w:hint="default" w:ascii="Times New Roman" w:hAnsi="Times New Roman" w:eastAsia="宋体" w:cs="Times New Roman"/>
      <w:lang w:val="en-US" w:eastAsia="zh-CN" w:bidi="ar-SA"/>
    </w:rPr>
  </w:style>
  <w:style w:type="character" w:styleId="735" w:customStyle="1">
    <w:name w:val="标题 Char"/>
    <w:basedOn w:val="682"/>
    <w:link w:val="706"/>
    <w:uiPriority w:val="10"/>
    <w:qFormat/>
    <w:rPr>
      <w:sz w:val="48"/>
      <w:szCs w:val="48"/>
    </w:rPr>
  </w:style>
  <w:style w:type="character" w:styleId="736" w:customStyle="1">
    <w:name w:val="副标题 Char"/>
    <w:basedOn w:val="682"/>
    <w:link w:val="699"/>
    <w:uiPriority w:val="11"/>
    <w:qFormat/>
    <w:rPr>
      <w:sz w:val="24"/>
      <w:szCs w:val="24"/>
    </w:rPr>
  </w:style>
  <w:style w:type="paragraph" w:styleId="737">
    <w:name w:val="Quote"/>
    <w:basedOn w:val="672"/>
    <w:next w:val="672"/>
    <w:link w:val="738"/>
    <w:uiPriority w:val="29"/>
    <w:qFormat/>
    <w:pPr>
      <w:ind w:left="720" w:right="720"/>
    </w:pPr>
    <w:rPr>
      <w:i/>
    </w:rPr>
  </w:style>
  <w:style w:type="character" w:styleId="738" w:customStyle="1">
    <w:name w:val="引用 Char"/>
    <w:link w:val="737"/>
    <w:uiPriority w:val="29"/>
    <w:qFormat/>
    <w:rPr>
      <w:i/>
    </w:rPr>
  </w:style>
  <w:style w:type="paragraph" w:styleId="739">
    <w:name w:val="Intense Quote"/>
    <w:basedOn w:val="672"/>
    <w:next w:val="672"/>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Char"/>
    <w:link w:val="739"/>
    <w:uiPriority w:val="30"/>
    <w:qFormat/>
    <w:rPr>
      <w:i/>
    </w:rPr>
  </w:style>
  <w:style w:type="character" w:styleId="741" w:customStyle="1">
    <w:name w:val="Header Char"/>
    <w:basedOn w:val="682"/>
    <w:uiPriority w:val="99"/>
    <w:qFormat/>
  </w:style>
  <w:style w:type="character" w:styleId="742" w:customStyle="1">
    <w:name w:val="Footer Char"/>
    <w:basedOn w:val="682"/>
    <w:uiPriority w:val="99"/>
    <w:qFormat/>
  </w:style>
  <w:style w:type="character" w:styleId="743" w:customStyle="1">
    <w:name w:val="Caption Char"/>
    <w:uiPriority w:val="99"/>
    <w:qFormat/>
  </w:style>
  <w:style w:type="table" w:styleId="744" w:customStyle="1">
    <w:name w:val="Table Grid Light"/>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68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68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6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6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68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6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68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68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68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6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68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68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68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68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68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6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68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68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6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68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basedOn w:val="68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basedOn w:val="68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basedOn w:val="68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basedOn w:val="68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basedOn w:val="68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basedOn w:val="6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basedOn w:val="68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8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8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9" w:customStyle="1">
    <w:name w:val="Grid Table 6 Colorful - Accent 4"/>
    <w:basedOn w:val="6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8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basedOn w:val="68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basedOn w:val="6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68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68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68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68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68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68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68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68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68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68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68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68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68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basedOn w:val="6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basedOn w:val="68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basedOn w:val="68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basedOn w:val="68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basedOn w:val="68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basedOn w:val="68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basedOn w:val="68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68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basedOn w:val="68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8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8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8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68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basedOn w:val="68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basedOn w:val="68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basedOn w:val="68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basedOn w:val="68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basedOn w:val="68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basedOn w:val="6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basedOn w:val="68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basedOn w:val="68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basedOn w:val="68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basedOn w:val="68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basedOn w:val="68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basedOn w:val="68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68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basedOn w:val="68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basedOn w:val="68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basedOn w:val="68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basedOn w:val="68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basedOn w:val="68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basedOn w:val="68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basedOn w:val="68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68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8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8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8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8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8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basedOn w:val="6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68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basedOn w:val="68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basedOn w:val="68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basedOn w:val="68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basedOn w:val="68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basedOn w:val="68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basedOn w:val="6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68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basedOn w:val="68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basedOn w:val="6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basedOn w:val="6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basedOn w:val="68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basedOn w:val="6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脚注文本 Char"/>
    <w:link w:val="700"/>
    <w:uiPriority w:val="99"/>
    <w:qFormat/>
    <w:rPr>
      <w:sz w:val="18"/>
    </w:rPr>
  </w:style>
  <w:style w:type="character" w:styleId="870" w:customStyle="1">
    <w:name w:val="尾注文本 Char"/>
    <w:link w:val="693"/>
    <w:uiPriority w:val="99"/>
    <w:qFormat/>
    <w:rPr>
      <w:sz w:val="20"/>
    </w:rPr>
  </w:style>
  <w:style w:type="paragraph" w:styleId="871" w:customStyle="1">
    <w:name w:val="TOC 标题1"/>
    <w:uiPriority w:val="39"/>
    <w:unhideWhenUsed/>
    <w:qFormat/>
    <w:rPr>
      <w:rFonts w:hint="default" w:ascii="Times New Roman" w:hAnsi="Times New Roman" w:eastAsia="宋体" w:cs="Times New Roman"/>
      <w:lang w:val="en-US" w:eastAsia="zh-CN" w:bidi="ar-SA"/>
    </w:rPr>
  </w:style>
  <w:style w:type="character" w:styleId="872" w:customStyle="1">
    <w:name w:val="页眉 Char"/>
    <w:basedOn w:val="682"/>
    <w:link w:val="696"/>
    <w:uiPriority w:val="99"/>
    <w:qFormat/>
    <w:rPr>
      <w:sz w:val="18"/>
      <w:szCs w:val="18"/>
    </w:rPr>
  </w:style>
  <w:style w:type="character" w:styleId="873" w:customStyle="1">
    <w:name w:val="页脚 Char"/>
    <w:basedOn w:val="682"/>
    <w:link w:val="695"/>
    <w:uiPriority w:val="99"/>
    <w:qFormat/>
    <w:rPr>
      <w:sz w:val="18"/>
      <w:szCs w:val="18"/>
    </w:rPr>
  </w:style>
  <w:style w:type="character" w:styleId="874" w:customStyle="1">
    <w:name w:val="标题 1 Char"/>
    <w:basedOn w:val="682"/>
    <w:link w:val="673"/>
    <w:uiPriority w:val="9"/>
    <w:qFormat/>
    <w:rPr>
      <w:b/>
      <w:bCs/>
      <w:sz w:val="44"/>
      <w:szCs w:val="44"/>
    </w:rPr>
  </w:style>
  <w:style w:type="character" w:styleId="875" w:customStyle="1">
    <w:name w:val="文档结构图 Char"/>
    <w:basedOn w:val="682"/>
    <w:link w:val="686"/>
    <w:uiPriority w:val="99"/>
    <w:semiHidden/>
    <w:qFormat/>
    <w:rPr>
      <w:rFonts w:ascii="宋体" w:eastAsia="宋体"/>
      <w:sz w:val="18"/>
      <w:szCs w:val="18"/>
    </w:rPr>
  </w:style>
  <w:style w:type="character" w:styleId="876" w:customStyle="1">
    <w:name w:val="标题 2 Char"/>
    <w:basedOn w:val="682"/>
    <w:link w:val="674"/>
    <w:uiPriority w:val="9"/>
    <w:qFormat/>
    <w:rPr>
      <w:rFonts w:asciiTheme="majorHAnsi" w:hAnsiTheme="majorHAnsi" w:eastAsiaTheme="majorEastAsia" w:cstheme="majorBidi"/>
      <w:b/>
      <w:bCs/>
      <w:sz w:val="32"/>
      <w:szCs w:val="32"/>
    </w:rPr>
  </w:style>
  <w:style w:type="character" w:styleId="877" w:customStyle="1">
    <w:name w:val="标题 3 Char"/>
    <w:basedOn w:val="682"/>
    <w:link w:val="675"/>
    <w:uiPriority w:val="9"/>
    <w:qFormat/>
    <w:rPr>
      <w:b/>
      <w:bCs/>
      <w:sz w:val="32"/>
      <w:szCs w:val="32"/>
    </w:rPr>
  </w:style>
  <w:style w:type="character" w:styleId="878" w:customStyle="1">
    <w:name w:val="日期 Char"/>
    <w:basedOn w:val="682"/>
    <w:link w:val="692"/>
    <w:uiPriority w:val="99"/>
    <w:semiHidden/>
    <w:qFormat/>
  </w:style>
  <w:style w:type="character" w:styleId="879" w:customStyle="1">
    <w:name w:val="批注文字 Char"/>
    <w:basedOn w:val="682"/>
    <w:link w:val="687"/>
    <w:uiPriority w:val="0"/>
    <w:qFormat/>
    <w:rPr>
      <w:rFonts w:ascii="Times New Roman" w:hAnsi="Times New Roman" w:eastAsia="宋体" w:cs="Times New Roman"/>
      <w:szCs w:val="24"/>
    </w:rPr>
  </w:style>
  <w:style w:type="character" w:styleId="880" w:customStyle="1">
    <w:name w:val="批注框文本 Char"/>
    <w:basedOn w:val="682"/>
    <w:link w:val="694"/>
    <w:uiPriority w:val="99"/>
    <w:semiHidden/>
    <w:qFormat/>
    <w:rPr>
      <w:sz w:val="18"/>
      <w:szCs w:val="18"/>
    </w:rPr>
  </w:style>
  <w:style w:type="paragraph" w:styleId="881" w:customStyle="1">
    <w:name w:val="Default"/>
    <w:link w:val="882"/>
    <w:uiPriority w:val="99"/>
    <w:qFormat/>
    <w:pPr>
      <w:widowControl w:val="off"/>
    </w:pPr>
    <w:rPr>
      <w:rFonts w:hint="default" w:ascii="MS Mincho" w:hAnsi="Calibri" w:eastAsia="宋体" w:cs="Times New Roman"/>
      <w:color w:val="000000"/>
      <w:sz w:val="21"/>
      <w:szCs w:val="24"/>
      <w:lang w:val="en-US" w:eastAsia="zh-CN" w:bidi="ar-SA"/>
    </w:rPr>
  </w:style>
  <w:style w:type="character" w:styleId="882" w:customStyle="1">
    <w:name w:val="Default Char"/>
    <w:link w:val="881"/>
    <w:uiPriority w:val="99"/>
    <w:qFormat/>
    <w:rPr>
      <w:rFonts w:ascii="MS Mincho" w:hAnsi="Calibri" w:eastAsia="宋体" w:cs="Times New Roman"/>
      <w:color w:val="000000"/>
      <w:szCs w:val="24"/>
    </w:rPr>
  </w:style>
  <w:style w:type="character" w:styleId="883" w:customStyle="1">
    <w:name w:val="纯文本 Char"/>
    <w:basedOn w:val="682"/>
    <w:link w:val="690"/>
    <w:uiPriority w:val="0"/>
    <w:qFormat/>
    <w:rPr>
      <w:rFonts w:ascii="宋体" w:hAnsi="Courier New" w:eastAsia="宋体" w:cs="Times New Roman"/>
      <w:szCs w:val="20"/>
    </w:rPr>
  </w:style>
  <w:style w:type="paragraph" w:styleId="884">
    <w:name w:val="List Paragraph"/>
    <w:basedOn w:val="672"/>
    <w:uiPriority w:val="34"/>
    <w:qFormat/>
    <w:pPr>
      <w:ind w:firstLine="420"/>
    </w:pPr>
  </w:style>
  <w:style w:type="paragraph" w:styleId="885" w:customStyle="1">
    <w:name w:val="Table Text"/>
    <w:basedOn w:val="672"/>
    <w:uiPriority w:val="0"/>
    <w:semiHidden/>
    <w:qFormat/>
    <w:rPr>
      <w:rFonts w:ascii="宋体" w:hAnsi="宋体" w:eastAsia="宋体" w:cs="宋体"/>
      <w:sz w:val="24"/>
      <w:szCs w:val="24"/>
      <w:lang w:eastAsia="en-US"/>
    </w:rPr>
  </w:style>
  <w:style w:type="table" w:styleId="886" w:customStyle="1">
    <w:name w:val="Table Normal"/>
    <w:uiPriority w:val="0"/>
    <w:semiHidden/>
    <w:unhideWhenUsed/>
    <w:qFormat/>
    <w:tblPr>
      <w:tblCellMar>
        <w:left w:w="0" w:type="dxa"/>
        <w:top w:w="0" w:type="dxa"/>
        <w:right w:w="0" w:type="dxa"/>
        <w:bottom w:w="0" w:type="dxa"/>
      </w:tblCellMar>
    </w:tblPr>
  </w:style>
  <w:style w:type="paragraph" w:styleId="887" w:customStyle="1">
    <w:name w:val="Table Paragraph"/>
    <w:basedOn w:val="672"/>
    <w:uiPriority w:val="1"/>
    <w:qFormat/>
    <w:rPr>
      <w:rFonts w:ascii="宋体" w:hAnsi="宋体" w:eastAsia="宋体" w:cs="宋体"/>
      <w:lang w:val="zh-CN" w:bidi="zh-CN"/>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297C5D-71BE-4457-911A-7F3BFB90DB40}"/>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陈岩</cp:lastModifiedBy>
  <cp:revision>188</cp:revision>
  <dcterms:created xsi:type="dcterms:W3CDTF">2024-01-04T03:50:00Z</dcterms:created>
  <dcterms:modified xsi:type="dcterms:W3CDTF">2026-08-28T08:10:32Z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F3559B941F204AB781278EE67C9E4E7A_13</vt:lpwstr>
  </property>
</Properties>
</file>