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江苏海事职业技术学院</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r>
      <w:r>
        <w:rPr>
          <w:rFonts w:ascii="SimSun" w:hAnsi="SimSun" w:eastAsia="SimSun" w:cs="SimSun"/>
          <w:b/>
          <w:color w:val="000000"/>
          <w:sz w:val="48"/>
        </w:rPr>
        <w:t xml:space="preserve">中高压电力推进实训平台采购</w:t>
      </w:r>
      <w:r>
        <w:rPr>
          <w:rFonts w:ascii="SimSun" w:hAnsi="SimSun" w:eastAsia="SimSun" w:cs="SimSun"/>
          <w:b/>
          <w:color w:val="000000"/>
          <w:sz w:val="48"/>
        </w:rPr>
        <w:br/>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209800" cy="18859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308670" name=""/>
                        <pic:cNvPicPr>
                          <a:picLocks noChangeAspect="1"/>
                        </pic:cNvPicPr>
                        <pic:nvPr/>
                      </pic:nvPicPr>
                      <pic:blipFill>
                        <a:blip/>
                        <a:stretch/>
                      </pic:blipFill>
                      <pic:spPr bwMode="auto">
                        <a:xfrm>
                          <a:off x="0" y="0"/>
                          <a:ext cx="2209799" cy="18859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4.0pt;height:148.5pt;mso-wrap-distance-left:0.0pt;mso-wrap-distance-top:0.0pt;mso-wrap-distance-right:0.0pt;mso-wrap-distance-bottom:0.0pt;" stroked="false">
                <v:path textboxrect="0,0,0,0"/>
              </v:shape>
            </w:pict>
          </mc:Fallback>
        </mc:AlternateContent>
      </w:r>
      <w:r>
        <w:rPr>
          <w:rFonts w:ascii="SimSun" w:hAnsi="SimSun" w:eastAsia="SimSun" w:cs="SimSun"/>
          <w:b/>
          <w:color w:val="000000"/>
          <w:sz w:val="72"/>
        </w:rPr>
        <w:t xml:space="preserve">招 标 文 件</w:t>
        <w:br/>
      </w:r>
      <w:r>
        <w:rPr>
          <w:rFonts w:ascii="SimSun" w:hAnsi="SimSun" w:eastAsia="SimSun" w:cs="SimSun"/>
          <w:b/>
          <w:color w:val="000000"/>
          <w:sz w:val="32"/>
        </w:rPr>
        <w:t xml:space="preserve">项目编号：JSZC-320000-ZZGJ-G2026-0027 </w:t>
      </w:r>
      <w:r/>
    </w:p>
    <w:p>
      <w:pPr>
        <w:ind w:left="0" w:right="0" w:firstLine="0"/>
        <w:jc w:val="center"/>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0"/>
        <w:jc w:val="both"/>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258"/>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258"/>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 购 人：江苏海事职业技术学院</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采购代理机构：正中国际项目管理集团有限公司</w:t>
      </w:r>
      <w:r/>
    </w:p>
    <w:p>
      <w:pPr>
        <w:ind w:left="0" w:right="0" w:firstLine="1258"/>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日期：2026年8月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34"/>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招标公告</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项目概况：</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r>
            <w:r>
              <w:rPr>
                <w:rFonts w:ascii="SimSun" w:hAnsi="SimSun" w:eastAsia="SimSun" w:cs="SimSun"/>
                <w:color w:val="000000"/>
                <w:sz w:val="21"/>
                <w:u w:val="single"/>
              </w:rPr>
              <w:t xml:space="preserve">中高压电力推进实训平台采购</w:t>
            </w:r>
            <w:r>
              <w:rPr>
                <w:rFonts w:ascii="SimSun" w:hAnsi="SimSun" w:eastAsia="SimSun" w:cs="SimSun"/>
                <w:color w:val="000000"/>
                <w:sz w:val="21"/>
                <w:u w:val="single"/>
              </w:rPr>
              <w:t xml:space="preserve">JSZC-320000-ZZGJ-G2026-0027 </w:t>
            </w:r>
            <w:r>
              <w:rPr>
                <w:rFonts w:ascii="SimSun" w:hAnsi="SimSun" w:eastAsia="SimSun" w:cs="SimSun"/>
                <w:color w:val="000000"/>
                <w:sz w:val="21"/>
              </w:rPr>
              <w:t xml:space="preserve">招标项目的潜在供应商可在</w:t>
            </w:r>
            <w:r>
              <w:rPr>
                <w:rFonts w:ascii="SimSun" w:hAnsi="SimSun" w:eastAsia="SimSun" w:cs="SimSun"/>
                <w:color w:val="000000"/>
                <w:sz w:val="21"/>
                <w:u w:val="single"/>
              </w:rPr>
              <w:t xml:space="preserve">“江苏政府采购网”自行免费下载</w:t>
            </w:r>
            <w:r>
              <w:rPr>
                <w:rFonts w:ascii="SimSun" w:hAnsi="SimSun" w:eastAsia="SimSun" w:cs="SimSun"/>
                <w:color w:val="000000"/>
                <w:sz w:val="21"/>
              </w:rPr>
              <w:t xml:space="preserve">招标文件，并于</w:t>
            </w:r>
            <w:r>
              <w:rPr>
                <w:rFonts w:ascii="SimSun" w:hAnsi="SimSun" w:eastAsia="SimSun" w:cs="SimSun"/>
                <w:color w:val="000000"/>
                <w:sz w:val="21"/>
                <w:u w:val="single"/>
              </w:rPr>
              <w:t xml:space="preserve">2026年9月10日14点30分（</w:t>
            </w:r>
            <w:r>
              <w:rPr>
                <w:rFonts w:ascii="SimSun" w:hAnsi="SimSun" w:eastAsia="SimSun" w:cs="SimSun"/>
                <w:color w:val="000000"/>
                <w:sz w:val="21"/>
              </w:rPr>
              <w:t xml:space="preserve">北京时间）前递交投标文件。</w:t>
            </w:r>
            <w:r/>
          </w:p>
        </w:tc>
      </w:tr>
    </w:tbl>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1.项目编号：JSZC-320000-ZZGJ-G2026-0027</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校内编号：JSHY2026161</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w:t>
      </w:r>
      <w:r>
        <w:rPr>
          <w:rFonts w:ascii="Arial" w:hAnsi="Arial" w:eastAsia="Arial" w:cs="Arial"/>
          <w:color w:val="000000"/>
          <w:sz w:val="21"/>
          <w:highlight w:val="white"/>
        </w:rPr>
        <w:t xml:space="preserve">中高压电力推进实训平台采购</w:t>
      </w:r>
      <w:r>
        <w:rPr>
          <w:rFonts w:ascii="SimSun" w:hAnsi="SimSun" w:eastAsia="SimSun" w:cs="SimSun"/>
          <w:color w:val="000000"/>
          <w:sz w:val="21"/>
        </w:rPr>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3.预算金额：197.50万元人民币</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4.最高限价：197.50万元人民币（供应商投标报价不得超过最高限价总价，否则视为无效投标）</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5.采购需求：购置搭建一套符合海事局电子电气员培训设备核验标准、兼具教学实训、实操评估、科研创新与社会化服务于一体的现代化中高压船舶电力推进系统实训平台，具体详见招标文件采购需求。</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6.合同履行期限：自合同正式签订</w:t>
      </w:r>
      <w:r>
        <w:rPr>
          <w:rFonts w:ascii="SimSun" w:hAnsi="SimSun" w:eastAsia="SimSun" w:cs="SimSun"/>
          <w:color w:val="000000"/>
          <w:sz w:val="21"/>
        </w:rPr>
        <w:t xml:space="preserve">之日</w:t>
      </w:r>
      <w:r>
        <w:rPr>
          <w:rFonts w:ascii="SimSun" w:hAnsi="SimSun" w:eastAsia="SimSun" w:cs="SimSun"/>
          <w:color w:val="000000"/>
          <w:sz w:val="21"/>
        </w:rPr>
        <w:t xml:space="preserve">起，90个日历天内供货安装调试完成。</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7.本项目是否接受联合体投标：否</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2.1参加政府采购活动的供应商应当具备政府采购法第二十二条第一款规定的条件，并依照政府采购法实施条例第十七条规定提供材料：</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（1）具有独立承担民事责任的能力（法人或者其他组织提供营业执照或法人证书或组织机构代码证，自然人提供身份证，提供证明材料扫描件加盖供应商公章）；</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距投标响应文件提交截止时间六个月内任意一月份的财务状况报告（至少包括资产负债表和利润表）（法人或者其他组织成立未满三个月的可以不提供）或银行出具的资信证书（复印件）（投标前六个月内），或其经审计的2025年度审计报告复印件，加盖供应商公章）；</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（3）具有履行合同所必需的设备和专业技术能力（根据项目需求提供履行合同所必需的设备和专业技术能力的证明材料加盖供应商公章）；</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距开标时间六个月内（2026年2月-2026年7月）任一月份的纳税证明文件扫描件加盖公章（依法免税的应提供相应文件说明）和距开标时间六个月内（2026年2月-2026年7月）任一月份的依法缴纳社会保障资金的证明材料扫描件加盖供应商公章（证明材料可以是缴费的银行单据、专用收据、社会保险缴纳清单或者所在社保机构开具的证明等，自行编写无效，依法不需要缴纳社会保障资金的应提供相应文件说明）；</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（5）参加本次政府采购活动前三年内，在经营活动中没有重大违法记录（提供参加本次采购活动前三年内在经营活动中没有重大违法记录的书面声明加盖公章）；</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（6）法律、行政法规规定的其他条件：无。</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2.2落实政府采购政策需满足的资格要求：</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本项目按照以下第(4)种方式落实政府采购促进中小企业发展的要求：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（1）本项目整体专门面向中小企业采购货物。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（2）本项目整体专门面向小微企业采购货物。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（3）本项目通过以下第（ ） 种方式预留部分采购份额采购中小企业货物：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①要求供应商以联合体形式参加，企业合同金额应当达到的比例为/%。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②要求供应商进行合同分包，企业合同金额应当达到的比例为/%。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（4）本项目为非预留份额的采购项目或采购包，执行价格扣除优惠政策，具体详见“评标办法与标准”。</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2.3本项目的特定资格要求：无。</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2.4拒绝下列供应商参加本次采购活动：</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（2）为采购项目提供整体设计、规范编制或者项目管理、监理、检测等服务的供应商，不得再参加本项目的采购活动。</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被“信用中国”网站(www.creditchina.gov.cn)或中国政府采购网(www.ccgp.gov.cn)列入失信被执行人、重大税收违法案件当事人、政府采购严重违法失信行为记录名单的。（供应商无需提供网站截图或其他相关证明材料，由代理机构在线查询信用记录并保存）</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（4）第2.1（5）条所称重大违法记录，是指供应商因违法经营受到刑事处罚或者责令停产停业、吊销许可证或者执照、较大数额罚款等行政处罚。</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（5）供应商在参加政府采购活动前3年内因违法经营被禁止在一定期限内参加政府采购活动，期限届满的，可以参加政府采购活动。</w:t>
      </w:r>
      <w:r/>
    </w:p>
    <w:p>
      <w:pPr>
        <w:ind w:left="0" w:right="0" w:firstLine="42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时间：自招标文件公告发布之日起5个工作日</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地点：江苏政府采购网</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方式：登录江苏政府采购网，点击"苏采云"使用CA锁登录系统(新用户应进行"平台用户注册")，点击"项目参与"进行登记，在"可参与项目"中选择"我要参与"，参与成功后到"已参与项目"界面中找到该项目下载文件</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四、提交投标文件截止时间、开标时间和地点</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投标文件截止时间、开标时间：2026年9月10日14点30分（北京时间）</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地点：江苏省政府采购交易系统（苏采云系统）网上开标大厅</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6.1本公告在江苏政府采购网(http://www.ccgp-jiangsu.gov.cn/)公示发布，敬请各供应商关注。</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6.2若有关本次采购存在变动或修改，敬请各供应商及时关注江苏政府采购网(http://www.ccgp-jiangsu.gov.cn/)发布的关于本项目的信息更正公告。</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6.3勘察现场或答疑：采购人不统一组织现场勘察；具体要求详见招标文件第四章。</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6.4供应商应当从采购代理机构合法获得招标项目的招标文件。</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6.5本项目异常低价审查程序执行《关于推动解决政府采购异常低价问题的通知》财库〔2026〕2号。</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6.6潜在供应商访问政府采购管理交易系统（苏采云）的网络地址和方法：</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政府采购管理交易系统（苏采云）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（2）“CA数字证书”的获取：供应商需办理CA锁，“苏采云”系统目前仅支持“苏采云”系统下的政务CA，省内各地区办理的“苏采云”系统下的政务CA全省通用。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（3）“CA数字证书”的办理材料以及供应商操作手册详见：</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http://jsxcmm.com/help/gys.html。</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（4）潜在供应商访问“苏采云”系统的网络地址和方法：“苏采云”系统的网址：http://jszfcg.jsczt.cn/jszc/login。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（5）招标文件（后缀名为“.kedt”）、供应商操作手册及政府采购客户端工具也可通过“苏采云”系统--已报名项目--报名详情页面内相应链接进行下载。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（6）招标代理机构（采购代理机构）将数据电文形式的招标文件加载至“苏采云”系统，供潜在供应商下载或者查阅。</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（7）“苏采云”南京地区客服热线025-83633744、025-83633743。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本项目为不见面开标项目，参与投标的单位代表必须使用CA证书至开标大厅解密。在开标、评标过程中供应商代表须在网上不见面开标系统中保持在线状态，请供应商确保电脑、系统及其他设备（视频输入输出设备等）无误，直至项目结束始终保持系统在线状态。解密完成后及时关注开标大厅，等待答疑澄清（如有）等提示。由于供应商代表不在线所造成的一切后果由供应商自行承担。</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w:t>
      </w:r>
      <w:r>
        <w:rPr>
          <w:rFonts w:ascii="SimSun" w:hAnsi="SimSun" w:eastAsia="SimSun" w:cs="SimSun"/>
          <w:color w:val="000000"/>
          <w:sz w:val="21"/>
        </w:rPr>
        <w:t xml:space="preserve">0633ce9.html。</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供应商也可前往“江苏政务服务网”（www.jszwfw.gov.cn），在“一企来办”专栏下“政府采购”模块详细了解关于CA办理、标书制作、开标投标指引等事宜。</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如果“江苏政府采购网”（www.ccgp-jiangsu.gov.cn）信息与“江苏政务服务网” （www.jszwfw.gov.cn），“一企来办”专栏下“政府采购”模块中信息不一致，以“江苏政府采购网”信息为准。</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七、对本次招标提出询问，请按以下方式联系。</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7.1采购人信息</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名称：江苏海事职业技术学院</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联系人：吴老师</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联系方式：13913399797</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地址：南京江宁区格致路309号</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7.2采购代理机构信息</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名称：正中国际项目管理集团有限公司</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地址：南京市建邺区嘉陵江东街18号1栋17层</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联系人：骆工</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联系方式：15380838653</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7.3项目联系方式</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联系人：骆工</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联系方式：15380838653</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pStyle w:val="634"/>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供应商须知</w:t>
      </w:r>
      <w:r/>
    </w:p>
    <w:p>
      <w:pPr>
        <w:ind w:left="0" w:right="-609" w:firstLine="3253"/>
        <w:jc w:val="both"/>
        <w:spacing w:before="210" w:after="21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供应商须知前附表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0"/>
        <w:gridCol w:w="2278"/>
        <w:gridCol w:w="6157"/>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编列内容规定</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名称：江苏海事职业技术学院</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联系人：吴老师</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联系方式：13913399797</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地址：南京江宁区格致路309号</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名称：正中国际项目管理集团有限公司</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地址：南京市建邺区嘉陵江东街18号1栋17层</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联系人：骆工</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联系方式：15380838653</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本项目执行的政府采购政策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详见招标文件第一章《招标公告》</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现场勘察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不组织</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■不召开</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本项目的非主体、非关键性工作是否允许分包：■不允许</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■本项目要求样品：不要求</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采购预算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详见招标文件第一章《招标公告》</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本项目设定的最高限价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详见招标文件第一章《招标公告》</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供应商资格条件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详见招标文件第一章《招标公告》</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1、</w:t>
            </w:r>
            <w:r>
              <w:rPr>
                <w:rFonts w:ascii="SimSun" w:hAnsi="SimSun" w:eastAsia="SimSun" w:cs="SimSun"/>
                <w:color w:val="000000"/>
                <w:sz w:val="22"/>
              </w:rPr>
              <w:t xml:space="preserve">本项目投标报价应包括人工费、材料费、现场改造费，机械设备费、运输费、验收费、技术服务费（包括、安装调试、技术资料、图纸提供等）、保险费、措施费、规费及税金等一切费用（即报价内容均涵盖报价要求之一切费用和伴随服务），供应商应充分考虑所有可能影响到报价的价格及政策等风险因素，一旦中标，一律不予调整。</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2、在项目整体移交采购人之前，设备安全、人员安全等均由供应商自行负责。供应商应按照采购人要求，将设备分类安装调试到指定教室。所有涉及到工程的安装、辅材及调试等费用均由供应商负责承担。</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自提交响应文件的截止之日起算90日历天</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响应文件份数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不适用</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响应文件的密封和标记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不适用</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提交响应文件的截止时间、地点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截止时间：详见招标文件第一章《招标公告》</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递交地点：详见招标文件第一章《招标公告》</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开标时间、地点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详见招标文件第一章《招标公告》</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进行资格性审查的同时，采购人或采购代理机构将在“信用中国”网站（www.creditchina.gov.cn）、“中国政府采购网”（www.ccgp.gov.cn）对供应商是否被列入失信被执行人、重大税收违法案件当事人名单、政府采购严重违法失信行为记录名单的情况进行查询，以确定投标供应商是否具备投标资格。（供应商无需提供网站截图或其他相关证明材料，由代理机构在线查询信用记录并保存）</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5人及以上单数。</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模拟高压主配电板、实船高压配电屏、（模型端软件、二维端软件和三维端软件）</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确定中标单位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1、从评标报告中响应文件满足招标文件全部实质性要求，按“第三章 评标标准 ”推荐综合总得分最高的供应商为排名第一。</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2、如最终综合总得分相同的，按以下方式排序：</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①如综合总得分相同的，按投标报价得分由高到低排列；</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②如综合总得分且投标报价得分相同的，按技术方案得分排列；</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③如综合总得分、投标报价、技术方案得分均相同的，由评标小组随机抽签决定。</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公告媒体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江苏政府采购网</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■不要求</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供应商对招标文件的询问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时间：2026年**月**日17:00前</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形式：以书面形式（盖</w:t>
            </w:r>
            <w:r>
              <w:rPr>
                <w:rFonts w:ascii="SimSun" w:hAnsi="SimSun" w:eastAsia="SimSun" w:cs="SimSun"/>
                <w:color w:val="000000"/>
                <w:sz w:val="21"/>
                <w:u w:val="single"/>
              </w:rPr>
              <w:t xml:space="preserve">章扫描件及WORD兼容格式文件发至17749517836@163.com</w:t>
            </w:r>
            <w:r>
              <w:rPr>
                <w:rFonts w:ascii="SimSun" w:hAnsi="SimSun" w:eastAsia="SimSun" w:cs="SimSun"/>
                <w:color w:val="000000"/>
                <w:sz w:val="21"/>
              </w:rPr>
              <w:t xml:space="preserve">邮箱）通知采购人或采购代理机构。</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供应商对招标文件提出的质疑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形式：以书面形式通知采购人或采购代理机构。</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招标代理服务费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本次招标，代理服务费用由中标供应商承担，以中标价为计费基数，招标代理服务费按计价格[2002]1980号文收费标准的52%计取。中标供应商须在向代理机构领取中标通知书前支付上述费用。</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l、采购方式</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1.1本次采购采用公开招标方式，本招标文件仅适用于招标公告中所述项目。</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2、合格的供应商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2.1满足招标公告中供应商资质要求的规定。</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满足本文件实质性条款的规定。</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3.1促进中小企业发展政策：</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根据《政府采购促进中小企业发展管理办法》，在政府采购活动中，供应商提供的货物、工程或者服务符合下列情形的，享受本办法规定的中小企业扶持政策：</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（一）在货物采购项目中，货物由中小企业制造，即货物由中小企业生产且使用该中小企业商号或者注册商标；</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（二）在工程采购项目中，工程由中小企业承建，即工程施工单位为中小企业；</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3.2节能产品、环境标志产品政策</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（1）政府采购节能产品、环境标志产品实施品目清单管理。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（2）拟采购产品属于节能产品、环境标志产品品目清单规定必须强制采购的，实行强制采购。</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（3）拟采购产品属于节能产品、环境标志产品品目清单规定优先采购的，在性能、技术、服务等指标同等条件下，实行优先采购，优先采购的评审标准详见本招标文件第三章。</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（4）参加政府采购活动的节能产品、环境标志产品供应商应当提供国家确定的认证机构出具的、处于有效期之内的节能产品、环境标志产品认证证书。</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3.3采购本国产品的支持政策</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投标文件格式”中的“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（3）供应商需按照招标文件的要求提供《关于符合本国产品标准的声明函》（以下简称《声明函》），如不提供将不享受本国产品价格评审优惠。</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（4）供应商需在《声明函》中逐一、准确填写产品名称、厂名、生产厂址三项信息（《声明函》中标注“  /  ”的地方无需填写），三项信息中任意一项未填写的视为该项产品不符合本国产品标准，不享受本国产品价格评审优惠。</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4、投标费用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4.1供应商应自行承担所有参与投标有关费用，无论投标过程中的做法和结果如何，采购人和代理机构在任何情况下均无义务和责任承担这些费用。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本项目招标代理服务费，供应商根据实际中标金额计算，考虑到投标报价当中。本次采购限价已包含招标代理服务费，代理服务费用由中标供应商承担，以中标价为计费基数，招标代理服务费按计价格[2002]1980号文收费标准的52%计取。中标供应商须在向代理机构领取中标通知书前支付上述费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5、招标文件的约束力</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5.1供应商一旦下载了本招标文件并参与投标，即被认为接受了本招标文件中的所有条件和规定。</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6、招标文件的构成</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6.1招标文件由以下部分组成：</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（1）招标公告</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（2）供应商须知</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（3）合同条款及格式</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（4）项目需求</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（5）评标方法与评标标准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请仔细检查招标文件是否齐全，如有缺漏请立即与联系解决。</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7、招标文件的澄清</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任何要求对招标文件进行澄清的供应商，均应在投标截止期前十五日前以书面形式通知代理机构。</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8、招标文件的修改</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8.l在投标截止日期前，无论何种原因，采购人均可主动或在解答供应商提出的澄清问题时对招标文件进行修改。</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8.2招标文件的修改将在江苏政府采购网上公布，并对所有供应商具有约束力。</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8.3为使供应商编写标书有充分时间对标书文件的修改部分进行分析、研究，采购人有权推迟投标截止日期和开标日期，并将此变更书面通知所有购买招标文件的供应商。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9、投标语言及度量衡单位</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9.1供应商提供的投标文件以及供应商与采购人就有关投标的所有来往通知、函件和文件均使用简体中文。</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9.2除技术性能另有规定外，投标文件所使用的度量衡单位，均采用国家法定计量单位。</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10、投标文件的构成</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供应商编写的投标文件应包括下列部分：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10.1投标文件目录；</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10.2投标函：须含供应商的开户名称、开户银行、账号、电话、传真、E-mail等联系方式；</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10.3供应商资格证明材料；</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（1）法人或者其他组织的营业执照等证明文件（扫描件）；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（2）相关资质证明材料（扫描件）；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（3）法人授权委托书（扫描件）；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（4）法定代表人的身份证扫描件；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（5）授权代表的身份证扫描件；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（6）具有项目必须的技术条件或经营能力的书面声明；</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（7）无违法违规记录声明；</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（8）招标文件中的其他资格性要求（详见招标公告第二条供应商资格要求）。</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上述文件均应加盖公章。</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10.4开标一览表：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（1）供应商应按照招标文件中提供的格式完整、正确地填写开标一览表。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采用分项报价最终汇总的方式进行，按照招标文件要求报价，在表中标明所提供的设备品牌、规格型号和原产地，主要部件型号及其功能的中文说明，供货期等；每项货物和服务只允许有一个报价，任何有选择的报价将不予接受（如有备选配件，备选配件的报价不属于选择的报价）。</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报价采用固定总价方式，供应商的报价应包括但不限于所投产品全部费用、安装调试费、安装中的相关费用、运行维护费用、全部税金、培训、售后服务及其他有关的为完成本项目发生的所有费用，招标文件中另有规定的除外。</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（4）开标一览表中的价格应与投标文件中的报价表中价格一致，如不一致，评标时一律按开标一览表中价格为准。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（5）报价必须充分考虑所有可能影响到报价的价格因素，一旦投标结束最终成交，总价将包定，合同期内不予调整。如发生漏、缺、少项，都将被认为是中标人的报价让利行为。</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供应商参照投标文件中技术条款对本项目所投产品的技术指标响应进行准确描述，并附《技术参数响应及偏离表》；技术部分是证明供应商提供的产品和服务是合格的、并符合招标文件要求的证明文件，以及对投标报价表中的服务的详细说明，这些文件可以是文字资料、图纸（表）和数据等；若技术性能无特殊说明，则按国家有关部门最新颁布的标准及规范为准；提供的产品和服务如与招标文件要求有不符之处，应说明其差别之所在，并在《技术参数响应及偏离表》中逐条予以说明。</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10.6供应商按照投标文件中商务条款提供交货安装、工期保证等方案以及产品售后服务和质量承诺，并附《商务条款响应及偏离表》；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10.7供应商的业绩情况；</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10.8供应商认为有必要提供的文件材料；</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10.9如标书制作工具中格式和内容与“江苏政府采购网”发布的招标文件不一致，请以“江苏政府采购网”发布的招标文件为准。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11、其它费用处理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招标文件未列明，而投标单位认为必需的费用也需列入报价。投标供应商应承担所有与准备和参加投标有关的费用，无论采购结果如何，代理机构和采购人在任何情况下均无义务和责任承担这些费用。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12、投标保证金</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本项目无投标保证金。</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12.1在开标时，对于未按要求提交投标保证金的投标无效。</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12.2投标保证金是为了保护采购人免遭因供应商的不良行为而蒙受的损失，采购人在因供应商的行为遭受损失时，可根据第12.4条的规定没收供应商的投标保证金。</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12.3未中标的供应商的投标保证金，将在中标通知书发出之日起5个工作日内退还，但不计利息。</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12.4下列任何情况发生时，投标保证金将被没收：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(1)供应商在投标有效期内撤回其投标；</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(2)供应商提供的有关资料、资格证明文件被确认是不真实的；</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(3)供应商之间被证实有串通（统一哄抬价格）、欺诈行为；</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(4)供应商被证明有妨碍其他人公平竞争、损害采购人或者其他供应商合法权益的；</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(5)中标人在规定期限内未能按本规定签订合同；</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(6)中标人在规定期限内不同意交纳履约保证金。</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13、投标有效期</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为采购人规定的开标之日后九十(90)天内有效。如果采购人在有效期之内，可向供应商提出延长投标有效期的要求。要求与答复均应采用书面形式。供应商可以拒绝采购人的这一要求而放弃投标，采购人在接到供应商书面答复后，将在原投标有效期满后五日内无息退还其投标保证金。同意延长投标有效期的供应商既不能要求也不允许修改其投标文件。第12条有关投标保证金的没收和退还的规定在延长期内继续有效，同时受投标有效期约束的所有权利与义务均延长至新的有效期。</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供应商应当按照《操作手册》规定，在投标截止时间前制作并上传电子投标文件。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16、投标截止日期</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（1）供应商上传电子投标文件的时间不得迟于招标公告中规定的投标截止时间。</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供应商应充分考虑到网络环境、网络带宽等风险因素，如因供应商自身原因造成的电子投标文件上传不成功的做无效投标处理。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（2）代理机构可以按照规定，通过修改招标文件酌情延长投标截止日期，在此情况下，供应商的所有权利和义务以及供应商受制的截止日期均应以延长后新的截止日期为准。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17、投标文件的拒收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代理机构拒绝接收在其规定的投标截止时间后上传的任何投标文件。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18、投标文件的修改和撤回</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18.1投标文件的撤回</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18.1.1电子投标文件的撤回：供应商可在投标截止时间前，撤回其电子投标文件，具体操作方法见《操作手册》。</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18.1.2供应商撤回电子投标文件，则认为其不再参与本项目投标活动。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18.2投标文件的修改</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18.2.1供应商可在投标截止时间前，对其电子投标文件进行修改，具体操作方法见《操作手册》。</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18.2.2在投标截止时间之后，供应商不得对其电子投标文件作任何修改。</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18.3在投标截止时间至招标文件中规定的投标有效期满之间的这段时间内，供应商不得撤回其投标。</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五、开标与评标</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19、开标</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19.1代理机构将在招标公告中规定的时间和地点组织公开开标。供应商应当按照《操作手册》规定，参加开标活动和在苏采云系统规定的时间内对投标文件进行解密。</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19.2开标仪式由代理机构组织。苏采云系统将自动对项目进行开标，并宣布各供应商名称和投标价格。</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19.3供应商在开标过程中涉及到的投标文件解密、开标结果确认等工作，应按照《操作手册》规定执行。</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19.4供应商如果对开标过程和开标记录有疑义，应当根据《操作手册》规定提出，如苏采云系统中《开标记录表》宣布后5分钟内未提出的，视同认可开标结果。</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20、评标委员会</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20.1开标后，代理机构将立即组织评标委员会（以下简称评委会）进行评标。</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评委会由采购人代表和有关技术、经济等方面的专家组成，且人员构成符合政府采购有关规定。</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20.3评委会独立工作，负责评审所有投标文件并确定中标候选人。</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21、评标过程的保密与公正</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21.1凡是与审查、澄清、评价和比较投标的有关资料以及授标建议等，采购人、评委、代理机构均不得向供应商或与评标无关的其他人员透露。</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21.2在评标过程中，供应商不得以任何行为影响评标过程，否则其投标文件将被作为无效投标文件。</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代理机构和评标委员会不向未中标的供应商解释未中标原因，也不公布评标过程中的相关细节。</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采用综合评分法的项目，未中标的供应商可于中标结果公告期限届满之日起通过苏采云系统查看自己的评审得分及排序情况。</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22、投标的澄清</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22.1评标期间，评委会对投标文件中含义不明确、同类问题表述不一致或者有明显文字和计算错误的内容 ，有权要求供应商作出必要的澄清、说明或者补正。</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供应商的澄清、说明或者补正不得超出投标文件的范围或者改变投标文件的实质性内容。</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评标委员会并非对每个供应商都做澄清要求。</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 接到评委会澄清、说明和补正要求的供应商如未按规定做出澄清、说明和补正，其风险由供应商自行承担。</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23、对投标文件的初审</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23.1投标文件初审分为资格审查和符合性审查。</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23.1.1 资格审查：依据法律法规和招标文件的规定，由采购人对投标文件中的资格证明文件进行审查。资格审查的结论，采购人以书面形式向评委会进行反馈。</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采购人在进行资格性审查的同时，将在“信用中国”网站（www.creditchina.gov.cn）查询供应商的信用记录，以确定供应商是否具备投标资格，查询结果留存并归档。</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23.1.2 符合性审查：依据招标文件的规定，由评委会从投标文件的有效性、完整性和对招标文件的响应程度进行审查，以确定是否对招标文件的实质性要求作出响应。</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23.1.3 未通过资格审查或符合性审查的供应商，代理机构将在苏采云系统中告知未通过资格审查或符合性审查的原因，评审结束后，代理机构将不再告知未通过资格审查或符合性审查的原因。</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招标文件规定的实质性要求存在负偏离，或者在实质上与招标文件不一致，而且限制了合同中买方和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23.3如果投标文件实质上没有响应招标文件的要求，评委会将予以拒绝，供应商不得通过修改或撤销不符合要求的偏离或保留而使其投标成为实质性响应的投标。</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23.4评委会将对确定为实质性响应的投标进行进一步审核，看其是否有计算上或累加上的算术错误，修正错误的原则如下：</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（1）投标文件中开标一览表内容与投标文件中相应内容不一致的，以开标一览表为准。</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同时出现两种以上错误的，按照前款规定的顺序修正。</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23.5评委会将按上述修正错误的方法调整投标文件中的投标报价，并通过苏采云系统告知供应商，调整后的价格应对供应商具有约束力。如果供应商不接受修正后的价格，则其投标将被拒绝。</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采用最低评标价法的采购项目，提供相同品牌产品的不同供应商参加同一合同项下投标的，以其中通过资格审查、符合性审查且报价最低的参加评标；报价相同的，由评标委员会按照招标文件规定的方式（招标文件未规定的通过随机抽取的方式）确定一个参加评标的供应商，其他投标无效。</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由评标委员会根据招标文件规定的方式（招标文件未规定的采取随机抽取的方式）确定一个中标候选人，其他同品牌供应商不作为中标候选人。</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非单一产品采购项目，招标文件中将载明其中的核心产品。多家供应商提供的核心产品品牌相同的，按前两款规定处理。</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23.7供应商在开、评标全过程中应保持通讯畅通，及时登录苏采云系统查阅、答复相关信息，并安排专人与代理机构及评标委员会联系。</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23.8 异常低价投标审查</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23.8.1 政府采购评审中出现下列情形之一的，评审委员会应当启动异常低价投标（响应）审查程序：</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1.投标（响应）报价低于全部通过符合性审查供应商投标（响应）报价平均值50%的，即投标（响应）报价&lt;全部通过符合性审查供应商投标（响应）&gt;报价平均值×50%；</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2.投标（响应）报价低于通过符合性审查的次低报价供应商投标（响应）报价50%的，即投标（响应）报价&lt;通过符合性审查的次低报价供应商投标（响应）&gt;报价×50%；</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3.投标（响应）报价低于采购项目最高限价45%的，即投标（响应）报价&lt;采购项目最高限价&gt;×45%；</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采购人可以结合具体项目实际情况，提高上述第1项至第3项中启动异常低价投标（响应）审查的数值标准，但是最高不得超过65%。</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相关法律法规对供应商报价有规定的，从其规定。</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2"/>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24、无效投标条款和废标条款</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24.1无效投标条款：</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 供应商在苏采云系统规定的时间内未成功解密电子投标文件的。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24.1.2 供应商未按照招标文件要求上传电子投标文件的。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24.1.3 供应商同一采购包提交两个（含两个）以上不同的投标报价的。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24.1.4供应商不具备招标文件中规定资格要求的。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24.1.5供应商的报价超过了采购预算或最高限价的。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24.1.6未通过符合性审查的。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24.1.7不符合招标文件中规定的实质性要求的（本招标文件中斜体且有下划线部分或加★、*号条款为实质性要求）</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24.1.9  投标文件含有采购人不能接受的附加条件的。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24.1.10 评标委员会按照本招标文件规定对供应商进行异常低价投标审查后，认为供应商不能证明其报价合理性的。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24.1.11 如本项目采购产品被财政部、国家发改委列入“节能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24.1.12 投标文件未按照招标文件要求加盖CA电子公章的。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24.1.13 供应商所投标产品不符合招标文件中所列国家强制性标准的。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24.1.14其他法律、法规及本招标文件规定的属于无效投标的情形。</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24.2废标条款</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24.2.1符合专业条件的供应商或者对招标文件作实质响应的供应商不足三家的。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24.2.2出现影响采购公正的违法、违规行为的。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24.2.3因重大变故，采购任务取消的。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24.2.4评标委员会认定招标文件存在歧义、重大缺陷导致评审工作无法进</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24.2.5 因苏采云系统故障原因造成开标不成功的。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 投标截止时间结束后参加投标的供应商不足三家的处理：</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24.3.1如出现投标截止时间结束后参加投标的供应商或者在评标期间对招标文件做出实质响应的供应商不足三家情况，按政府采购相关规定执行。</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六、定标</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25、确定中标单位</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25.1评标工作组首先对所有合格供应商按评标办法进行打分，根据综合得分，由高到低排列，向采购人推荐中标候选人。采购人应根据评标工作组推荐的中标候选人确定中标人。</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25.2代理机构将在“江苏政府采购网”发布中标公告，公告期限为1个工作日。</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25.3若有充分证据证明，中标人出现下列情况之一的，一经查实，将被取消中标资格：</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（1）提供虚假材料谋取中标的；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（2）与评审专家、采购人或者其他供应商恶意串通的；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（3）向评审专家、采购人行贿或者提供其它不正当利益的；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（4）恶意竞争，投标总报价明显低于其自身合理成本且又无法提供证明的；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（5）不满足本招标文件规定的实质性要求，但在评标过程中又未被评标工作组发现的；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（6）不符合法律、法规的规定的其它情形。</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25.4有下列情形之一的，视为供应商串通投标，投标无效：</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（1）不同供应商的投标文件由同一单位或者个人编制。</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（2）不同供应商委托同一单位或者个人办理投标事宜。</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（3）不同供应商的投标文件载明的项目管理成员或者联系人员为同一人。</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（4）不同供应商的投标文件异常一致或者投标报价呈规律性差异。</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26、质疑处理</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提出质疑的供应商应当是参与所质疑项目采购活动的供应商。潜在供应商依法获取其可质疑的采购文件的，可以对采购文件提出质疑。</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供应商认为采购文件、采购过程和采购结果使自己的权益受到损害的，可以在知道或应知其权益受到损害之日起七个工作日内，以书面形式根据下述26.4条款的规定向代理机构或采购人提出质疑。上述应知其权益受到损害之日，是指：</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26.2.1对可以质疑的采购文件提出质疑的，为收到采购文件之日或者采购文件公告期限届满之日；</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26.2.2对采购过程提出质疑的，为各采购程序环节结束之日；</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26.2.3对中标或者成交结果提出质疑的，为中标或者成交结果公告期限届满之日。</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 供应商（含潜在供应商）对采购方式、招标文件中采购需求、供应商资格条件、评标方法与评标标准、合同文本及资格审查结果的询问、质疑请向采购人提出，由采购人负责答复。供应商对其他事项的询问、质疑请向代理机构提出，由代理机构负责答复。</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采购人及代理机构只接收以纸质原件形式送达的质疑，建议供应商尽量通过邮寄方式提交质疑（采购人和代理机构不接受无快递运单号的快递）。</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质疑接收单位为正中国际项目管理集团有限公司，联系地址：南京市建邺区嘉陵江东街18号1栋17层，联系电话：15380838653。</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采购人质疑接收人及联系方式见招标文件第一章。</w:t>
      </w:r>
      <w:r/>
    </w:p>
    <w:p>
      <w:pPr>
        <w:ind w:left="0" w:right="0" w:firstLine="47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27、中标通知书</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l中标结果确定后，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27.2中标通知书将是合同的一个组成部分。对采购人和中标供应商均具有法律效力。中标通知书发出后，采购人改变中标结果的，或者中标供应商放弃中标项目的，应当依法承担法律责任。</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七、授予合同</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28、签订合同</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28.1中标人在中标通知书发出之日起30日内派代表前来与采购人具体商谈签订合同，若因中标人延误签订合同并由此给采购人造成损失的，中标人应承担赔偿责任。</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28.2招标文件、中标人的投标文件及澄清文件等，均为签订合同的依据。</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28.3签订合同后，</w:t>
      </w:r>
      <w:r>
        <w:rPr>
          <w:rFonts w:ascii="SimSun" w:hAnsi="SimSun" w:eastAsia="SimSun" w:cs="SimSun"/>
          <w:b/>
          <w:color w:val="000000"/>
          <w:sz w:val="21"/>
        </w:rPr>
        <w:t xml:space="preserve">中标人不得将相关服务进行全部或部分转包。</w:t>
      </w:r>
      <w:r>
        <w:rPr>
          <w:rFonts w:ascii="SimSun" w:hAnsi="SimSun" w:eastAsia="SimSun" w:cs="SimSun"/>
          <w:color w:val="000000"/>
          <w:sz w:val="21"/>
        </w:rPr>
        <w:t xml:space="preserve">未经采购人同意，中标人也不得采用分包的形式履行合同，否则采购人有权终止合同，中标人的履约保证金将不予退还。转包或分包造成采购人损失的，中标人应承担相应赔偿责任。</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29、服务的追加和减少</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29.1采购合同履行中，采购人需追加与合同标的相同的货物（包含与货物相关的服务）的，在不改变价格水平、合同及其它条款的前提下，采购人可以与中标人协商签订补充合同，追加量不得超过合同总额的10%。</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28.2采购结束后，采购人若由于各种客观原因，必须对采购项目所牵涉的服务进行适当的减少时，在双方协商一致的前提下，可以按照中标时价格水平做相应的调减，并据此签订补充合同。</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30.政府采购履约资金扶持政策</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中标供应商可凭政府采购合同办理融资贷款，详情请见江苏政府采购网“政采贷”专栏。</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pStyle w:val="634"/>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评分标准</w:t>
      </w:r>
      <w:r/>
    </w:p>
    <w:p>
      <w:pPr>
        <w:ind w:left="0" w:right="0" w:firstLine="420"/>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本项目采用综合评分法确定中标候选人。评标委员会将按下列评分具体办法和标准进行打分，总分值为 100 分，小数点后保留两位。具体评分办法如下：</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39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一、价格分（60分）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价格</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采购文件要求且报价最低的供应商报价为评标基准价，其价格分为满分60分，其它供应商的价格分统一按照以下公式计算：投标报价得分=（评标基准价/该供应商的投标报价）×60分。分值保留小数点后2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60</w:t>
            </w:r>
            <w:r/>
          </w:p>
        </w:tc>
      </w:tr>
      <w:tr>
        <w:trPr>
          <w:trHeight w:val="39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二、商务部分（5分）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企业业绩（4分）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40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供应商自2021年8月1日（含）以来，承担过并已完成类似项目业绩的，每提供1个得1分，最多得4分。</w:t>
            </w:r>
            <w:r/>
          </w:p>
          <w:p>
            <w:pPr>
              <w:ind w:left="0" w:right="0" w:firstLine="40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【提供合同扫描件、发票扫描件上传至响应文件中并加盖供应商公章；合同须能体现签订单位信息、签订时间、标的物、盖章签字部分等相关信息，时间以签订时间为准；否则视为无效合同不予计分】</w:t>
            </w:r>
            <w:r/>
          </w:p>
          <w:p>
            <w:pPr>
              <w:ind w:left="0" w:right="0" w:firstLine="40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提供的相关证明材料需反映相关信息，如无法反映上述内容，视为无效，本项不予计分；评标委员会不承担无法判断相关信息的责任。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质保期</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40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满足免费质保期五年要求后，每增加一年免费质保期得0.5分，最多得1分。</w:t>
            </w:r>
            <w:r/>
          </w:p>
          <w:p>
            <w:pPr>
              <w:ind w:left="0" w:right="0" w:firstLine="40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【提供承诺函原件扫描件上传至响应文件中并加盖供应商公章，格式自拟，内容含糊不清的作未提供处理，未提供不得分】</w:t>
            </w:r>
            <w:r/>
          </w:p>
          <w:p>
            <w:pPr>
              <w:ind w:left="0" w:right="0" w:firstLine="42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提供的相关证明材料需反映相关信息，如无法反映上述内容，视为无效，本项不予计分；评标委员会不承担无法判断相关信息的责任。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r>
      <w:tr>
        <w:trPr>
          <w:trHeight w:val="39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二、技术部分1（14分）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技术指标</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评委根据“第四章 采购项目需求”中三、技术参数要求进行评分，供应商完全满足招标文件的得满分14分；加“★”号指标为必须满足项，有一项负偏离即视作无效投标。</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标有“▲”的地方被视为关键技术指标，有一项负偏离或不满足要求的，扣0.4分；</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未标“▲”的地方被视为一般技术指标，有一项负偏离或不满足要求的，扣0.07分。</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扣完为止。供应商需在“技术参数响应及偏离表”中如实详细填列所投产品的参数，同时在投标文件中注明具体位置如页码或序号。技术参数性能等偏离不能改变采购产品使用的质量和功能，严重负偏离且影响设备性能的，经半数以上评委认定，本项不得分。）</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注“★、▲”的指标必须提供相应的有效证明材料（供应商提供证明本次所投产品能够实现本次采购文件要求的功能或参数的证明材料即可，如白皮书、设备生产厂家证明原件、彩页、手册、检测报告等材料），未附有效证明材料或者所附的证明材料由评标委员会认为不能佐证技术指标的有效性的，则同样视为负偏离；提供的材料只要能证明该设备能够实现文件要求的功能或参数即可。</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未标注“▲”的指标中需要提供有效证明材料的供应商应按其要求提供相关证明材料，否则不予计分。</w:t>
            </w:r>
            <w:r/>
          </w:p>
          <w:p>
            <w:pPr>
              <w:ind w:left="0" w:right="0" w:firstLine="42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提供的相关证明材料需反映相关信息，如无法反映上述内容，视为无效，本项不予计分；评标委员会不承担无法判断相关信息的责任。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w:t>
            </w:r>
            <w:r/>
          </w:p>
        </w:tc>
      </w:tr>
      <w:tr>
        <w:trPr>
          <w:trHeight w:val="39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二、技术部分2（21分）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vMerge w:val="restart"/>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实施、供货方案</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项目整体实施方案进行综合评分，包括但不限于：项目的整体实施过程、设备安装方案、计划进度、货源保障、生产排期、物流配送、质量管控、工期保障、应急供货、到货验收、备品备件服务等：</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项目整体实施方案内容完整详实、逻辑清晰有序，贴合项目实际需求，针对性、可行性强，全面覆盖项目实施全流程及各项保障场景，可充分保障项目高效、合规落地实施，得 7 分；</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项目整体实施方案内容较为详实、整体逻辑有序，具备一定的项目适配性与可操作性，核心实施流程、保障措施均有明确规划，可基本满足项目实施落地需求，得 4 分；</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项目整体实施方案内容存在缺漏、逻辑不完善，部分实施环节、保障机制缺失，方案针对性与可行性不足，无法有效保障项目实施，得 1 分；</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未提供本项方案的，不得分。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w:t>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质量保证方案</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评委根据供应商提交的质量保证方案（包含但不限于：质量管理制度、全过程质量管控流程、运输质量防护、现场安装质量把控、质量问题整改、质保期服务保障等内容）进行综合评分：</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质量保证方案内容完整详实、逻辑清晰有序，贴合项目质量管控要求，针对性、可行性强，全面覆盖项目全流程质量管控场景，可充分保障项目质量，得 7 分；</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质量保证方案内容较为详实、整体逻辑有序，具备一定的实操性与适配性，核心质量管控环节均有对应保障措施，可基本满足项目质量管控需求，得 4 分；</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质量保证方案内容存在缺漏、逻辑不完善，部分质量管控环节、保障机制缺失，方案针对性与可行性不足，难以有效保障项目质量，得 1 分；</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未提供本项方案的，不得分。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w:t>
            </w:r>
            <w:r/>
          </w:p>
        </w:tc>
      </w:tr>
      <w:tr>
        <w:trPr>
          <w:trHeight w:val="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售后服务方案</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售后服务方案进行综合评分，方案包括但不限于故障响应速度、售后服务内容、故障处置方案、响应次数、响应时限、软件升级服务、专业技术人员、售后技术装备保障、培训内容、培训时长、培训实施形式、专属培训团队配置、培训效果保障等内容：</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售后服务方案内容完整详实、逻辑清晰有序，贴合项目售后保障需求，针对性、可行性强，全面覆盖售后响应、故障处置、技术升级、人员装备、培训保障等全维度场景，可充分满足项目售后服务保障需求，得 7 分；</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售后服务方案内容较为详实、整体逻辑有序，具备一定的实操性与适配性，核心售后服务及培训保障环节均有对应措施，可基本满足项目售后服务保障需求，得 4 分；</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售后服务方案内容存在缺漏、逻辑不完善，部分售后保障、培训服务相关内容缺失，方案针对性与可行性不足，难以有效保障项目售后服务工作落地，得 1 分；</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未提供本项方案的，不得分。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w:t>
            </w:r>
            <w:r/>
          </w:p>
        </w:tc>
      </w:tr>
      <w:tr>
        <w:trPr>
          <w:trHeight w:val="39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合计总分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p>
        </w:tc>
      </w:tr>
    </w:tbl>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1、供应商应将所有有效清晰的证明文件编辑在投标文件中；若评标委员会对递交资料（如业绩、证书等）的真实性存在疑问时，供应商须提供原件备查。</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2.1对于专门面向中小企业或小型、微型企业的项目，只面向中小企业或小型、微型企业采购。不执行价格评审优惠的扶持政策。</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对于非专门面向中小企业的项目，对小型和微型企业的价格给予10%的扣除，用扣除后的价格参与评审。</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监狱企业、残疾人福利性单位属于小型、微型企业的，不重复享受政策。</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6.本国产品的支持政策</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7.异常低价投标审查</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政府采购评审中出现下列情形之一的，评审委员会应当启动异常低价投标（响应）审查程序：</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1.投标（响应）报价低于全部通过符合性审查供应商投标（响应）报价平均值50%的，即投标（响应）报价&lt;全部通过符合性审查供应商投标（响应）&gt;报价平均值×50%；</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2.投标（响应）报价低于通过符合性审查的次低报价供应商投标（响应）报价50%的，即投标（响应）报价&lt;通过符合性审查的次低报价供应商投标（响应）&gt;报价×50%；</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3.投标（响应）报价低于采购项目最高限价45%的，即投标（响应）报价&lt;采购项目最高限价&gt;×45%；</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采购人可以结合具体项目实际情况，提高上述第1项至第3项中启动异常低价投标（响应）审查的数值标准，但是最高不得超过65%。</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相关法律法规对供应商报价有规定的，从其规定。</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8.提供的相关证明材料需反映相关信息，如无法反映相关内容，视为无效，本项不予计分（或视为资格审查不通过）；评标委员会不承担无法判断相关信息的责任。</w:t>
        <w:br w:type="page" w:clear="all"/>
      </w:r>
      <w:r/>
    </w:p>
    <w:p>
      <w:pPr>
        <w:pStyle w:val="634"/>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项目需求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一、项目名称</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中高压电力推进实训平台采购</w:t>
      </w:r>
      <w:r>
        <w:rPr>
          <w:rFonts w:ascii="SimSun" w:hAnsi="SimSun" w:eastAsia="SimSun" w:cs="SimSun"/>
          <w:color w:val="000000"/>
          <w:sz w:val="24"/>
        </w:rPr>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二、供货需求清单和产品技术要求</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9"/>
        <w:gridCol w:w="1169"/>
        <w:gridCol w:w="1169"/>
        <w:gridCol w:w="1169"/>
        <w:gridCol w:w="1169"/>
        <w:gridCol w:w="1169"/>
        <w:gridCol w:w="1169"/>
        <w:gridCol w:w="1169"/>
      </w:tblGrid>
      <w:tr>
        <w:trPr>
          <w:trHeight w:val="540"/>
        </w:trPr>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技术要求</w:t>
            </w:r>
            <w:r/>
          </w:p>
        </w:tc>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产品要求</w:t>
            </w:r>
            <w:r/>
          </w:p>
        </w:tc>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核心</w:t>
            </w:r>
            <w:r/>
          </w:p>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产品</w:t>
            </w:r>
            <w:r/>
          </w:p>
        </w:tc>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60"/>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船舶电力推进模拟集控台</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至少包括仿实船电力推进控制单元，控制位选择，操作和功能仿实船。2屏</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满足中华人民共和国海事局船员培训管理规则和《中华人民共和国海船船员适任评估规范（2024版）》</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360"/>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船舶电力推进模拟驾控台</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至少包括仿实船电力推进控制单元，驾控台的长度不小于1000mm</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满足中华人民共和国海事局船员培训管理规则和《中华人民共和国海船船员适任评估规范（2024版）》</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360"/>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模拟高压主配电板</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仿实船，配有模拟高压配电板，共10屏，对电力吊舱推进发电、配电的控制，半实物型。要求采用实物仪表与面板完成船舶高压配电板的模拟，其中的功能、显示与操作要求满足轮机模拟器的行业标准。</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满足中华人民共和国海事局船员培训管理规则和《中华人民共和国海船船员适任评估规范（2024版）》</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360"/>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模拟发电原动机本地控制箱</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个模拟发电原动机本地控制箱。具体为：发电原动机机旁控制箱，与实船的发电原动机机旁控制箱功能一致。机旁控制箱带有本地/远程选择开关、启动按钮、停止按钮以及主发电原动机转速、滑油压力、冷却水温度等参数显示仪表。</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满足中华人民共和国海事局船员培训管理规则和《中华人民共和国海船船员适任评估规范（2024版）》</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360"/>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模拟全回转电力推进本地控制柜</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模拟全回转电力推进本地控制柜（至少包含全回转电力推进电机变频器控制单元及附属装置模拟），控制柜能实现与电力推进控制台、吊舱电机联动。</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满足中华人民共和国海事局船员培训管理规则和《中华人民共和国海船船员适任评估规范（2024版）》</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360"/>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电力推进吊舱</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力推进吊舱，1套，半实物型。使用工程塑料与钢板等合成制作。选择与实际吊舱进行一定比例缩放的物理模型，模型配有调速电机，模拟成比例可动螺旋桨实物，吊舱模型可以与电力推进模拟控制台、本地控制柜实现软硬件联动。预留接口，可以实现双重功能，作为电池动力船舶推进电机使用。</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满足中华人民共和国海事局船员培训管理规则和《中华人民共和国海船船员适任评估规范（2024版）》</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360"/>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实船高压配电屏</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物高压配电屏1屏，按6.6kV、50Hz、3000kW配置铭牌与仪表显示，配有双针电压表，双针电流表，功率表，功率因数表，频率表等，高压综合保护装置，带电显示器，带灯的合闸按钮、带灯的分闸按钮、加减速调节开关、电压表选择开关、电流表选择开关，复位，空间加热旋钮与指示灯，照明灯等；内部包括主开关，接地开关，隔离开关</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屏</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满足中华人民共和国海事局船员培训管理规则和《中华人民共和国海船船员适任评估规范（2024版）》</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360"/>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大液晶触控站+三维操作站</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大液晶触摸屏用于吊舱推进器三维演示和电力推进船机电模拟软件的操作与显示。大液晶触摸屏需要配置立柜，采用嵌入式安装，每套含有1个</w:t>
            </w:r>
            <w:r>
              <w:rPr>
                <w:rFonts w:ascii="SimSun" w:hAnsi="SimSun" w:eastAsia="SimSun" w:cs="SimSun"/>
                <w:color w:val="000000"/>
                <w:sz w:val="22"/>
              </w:rPr>
              <w:t xml:space="preserve">≥86英寸可触控的显示终端和1台OPS控制终端</w:t>
            </w:r>
            <w:r>
              <w:rPr>
                <w:rFonts w:ascii="SimSun" w:hAnsi="SimSun" w:eastAsia="SimSun" w:cs="SimSun"/>
                <w:color w:val="000000"/>
                <w:sz w:val="21"/>
              </w:rPr>
              <w:t xml:space="preserve">控制。</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满足中华人民共和国海事局船员培训管理规则和《中华人民共和国海船船员适任评估规范（2024版）》</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360"/>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模型端软件、二维端软件和三维端软件</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配套提供电力推进系统仿真软件二维版与三维版，以大型远洋船舶为母型船，建立有电力吊舱推进的高压电力推进仿真系统。软件能够根据实际应用升级。</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满足中华人民共和国海事局船员培训管理规则和《中华人民共和国海船船员适任评估规范（2024版）》</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软件和信息技术服务业</w:t>
            </w:r>
            <w:r/>
          </w:p>
        </w:tc>
      </w:tr>
      <w:tr>
        <w:trPr>
          <w:trHeight w:val="1400"/>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桌面版船舶高压电力推进模拟器</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桌面版船舶高压电力推进模拟器40套，每套提供2个大于23英寸2K人机交互界面及工位，可灵活配置二维、三维软件的显示与交互。</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满足中华人民共和国海事局船员培训管理规则和《中华人民共和国海船船员适任评估规范（2024版）》</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6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bl>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三、技术参数要求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1. 项目功能要求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中高压电力推进平台主要用于海船轮机员、电子电气员适任评估和教学训练，适用于“电力推进”、“中高压电站”等评估项目。</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除了明确说明或规定以外，该平台要求所有设备均需满足下列各项要求。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 相关规范要求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满足《中华人民共和国船员培训管理规则》(最新修订版)的有关规定。满足中华人民共和国海事局2025年1月7日颁发的《〈中华人民共和国船员培训管理规则〉实施办法》中有关船舶电站和船舶电力推进实物或等效模型的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满足中华人民共和国交通运输行业标准《海船船员培训模拟器技术要求》第2部分轮机模拟器的A级要求。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满足中华人民共和国交通运输行业标准《海船船员培训模拟器训练要求》第2部分轮机模拟器的A级要求。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满足《中华人民共和国海船船员适任评估规范（2024版）》(文号：海船员函〔2024〕2690号)的相关要求。轮机专业和船舶电子电气技术专业中设备的评估功能要求。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5）所有设备满足中国船级社《钢质海船入级规范》中相关的技术标准。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注：所有规范、规则均指签订合同前的最新版本，包括修改通报。</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 各层次评估要求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轮机人员进行基本的机舱操作的训练与评估、高级的应急操作和故障处理的训练与评估、船舶运行优化操作、燃油经济性和节能方面的训练与评估。为了完成上述要求，轮机模拟软件应该具有考评机制，能够完成下列工作，但不限于这些内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能够对轮机人员进行基本及高级的培训和训练，从而使轮机人员达到适任资格要求并成为高素质的合格轮机人员，并能够对相关的专业能力进行量化的评估与考试。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能够对轮机人员进行机舱资源管理和轮机模拟器的培训和训练，并能够对相关的专业技能进行量化的评估。</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能够进行故障设置和解除，对学员进行故障判断、查找与解除的培训和训练，正确表现出对系统运行的影响，能够对相应能力进行量化的评估与考试。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能够进行性能退化参数设置和解除，对学员进行性能退化判断、查找与解除的培训和训练，正确表现出对系统运行的影响，能够对相应能力进行量化的评估与考试。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能够针对恶劣海况、主机故障、全船失电等情况进行机舱设备安全操作和应急反应培训和训练，能够对相关的专业技能进行量化的评估与考试。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 能够对有实践经验的轮机人员进行知识更新培训和训练，能够对相应知识掌握程度进行量化的评估与考试。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 能够对整个船舶的燃油经济性进行研究，能够对相关原理、规则与应用的掌握程度进行量化的评估与考试。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8)能够对指定设备或系统在不同工况下的运行状态进行深入研究，能够对相关设备或系统的工作原理和运行特性的掌握程度进行量化的评估与考试。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 主要性能要求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评估设备及相关器件均应（如按钮、开关、工具等等）选用主流品牌；评估设备整体平均无故障间隔时间应≥180天；平均维修时间一般≤120分钟；使用寿命≥15年。</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模拟系统所有操作和关联响应符合实际。模拟系统运行流畅稳定，无阻滞和死机现象。机电设备及系统的模拟性能指标，要求参照母型船，应满足中国船级社《钢质海船入级规范》的要求。以下列举了部分性能指标但不局限于这些内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仿真系统模型计算处理速度：满足模拟系统所有软硬件、二维和三维操作和关联响应符合实际。</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逻辑控制系统功能：与母型船相同。</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发动机转速控制精度：≯0.5％。</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仿真船舶电站并车性能指标：</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自动并车方式：完全按实船设置，满足Δf＜0.2Hz，ΔΦ＜5°要求。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手动准同步方式：完全按实船设置，满足Δf＜0.2Hz，ΔΦ＜10°要求。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参数集中监测报警系统性能：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监测报警点数：与实船的相同。</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PID控制器：与实船的相同。</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 报警记录记忆能力：＞500条报警记录。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系统运行性能指标：全负荷连续运行12小时应稳定无死机现象。</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 系统中所需的控制终端，要求设可配双显示器的显卡。如接23英寸或以上显示设备时，则须采用1920*1080或以上显示分辨率；如接32英寸或以上显示设备时，则须采用3840*2160显示分辨率。</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7)系统配置应达到软界面显示清晰的程度。当正常视力人员在所配置的各显示器前长期触摸操作与观察时，不应有模糊、辨认不清等问题的存在。</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 总体功能要求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模拟软件</w:t>
      </w:r>
      <w:r>
        <w:rPr>
          <w:rFonts w:ascii="SimSun" w:hAnsi="SimSun" w:eastAsia="SimSun" w:cs="SimSun"/>
          <w:color w:val="000000"/>
          <w:sz w:val="21"/>
        </w:rPr>
        <w:t xml:space="preserve">（模型端软件、二维端软件和三维端软件）</w:t>
      </w:r>
      <w:r>
        <w:rPr>
          <w:rFonts w:ascii="SimSun" w:hAnsi="SimSun" w:eastAsia="SimSun" w:cs="SimSun"/>
          <w:color w:val="000000"/>
          <w:sz w:val="22"/>
        </w:rPr>
        <w:t xml:space="preserve">应能完成中高压电力系统及电力推进系统任务训练和评估内容。如果用于训练，学员可以快速而有效地掌握中高压电力系统和电力推进系统的组成、功能、基本操作、故障处理、运行优化和节约能源等知识和技能。如果用于实操评估，则可以正确、客观、公正地反应出考生的专业素质与能力。</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的模拟操作包括正常操作、应急和紧急操作、故障模拟设置以及排除的操作。模拟器须满足《中华人民共和国海船船员适任评估规范（2024版）》对船员培训及实操评估的需求，可对学员进行全方位的系统培训和评估，掌握轮机系统知识。功能如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用于熟悉系统组成，并观察各项设备的动态工作状况。</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用于评估各项设备及系统的启动、停止操作程序。</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用于测试及调整各控制回路。</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用于熟悉评估系统的性能及维持系统的最佳运行状态。</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用于训练识别系统的异常现象，找出故障所在及训练适当的应急处理方法。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仿真精度、系统完整性和用户体验方面需达到中华人民共和国交通运输行业标准《海船船员培训模拟器技术要求》第</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部分轮机模拟器的</w:t>
      </w: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级要求。应当高逼真地模拟实船的运行和操作，科学地表现实船的机电系统动态过程，形象地展现应急情景和故障现象，再现实船的综合操作演练与处置环境，提供合理的处置与处理手段。</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总体功能的一些关键要求列举如下：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1"/>
        </w:rPr>
        <w:t xml:space="preserve"> </w:t>
      </w:r>
      <w:r>
        <w:rPr>
          <w:rFonts w:ascii="SimSun" w:hAnsi="SimSun" w:eastAsia="SimSun" w:cs="SimSun"/>
          <w:color w:val="000000"/>
          <w:sz w:val="22"/>
        </w:rPr>
        <w:t xml:space="preserve"> 能完成船舶高压电力系统的发电机备机顺序选择，手动、自动、半自动起停、分合闸、同步、调频调压调载、负载转移、解列、停机；模拟电网负载的增减变化实现高压发电机的自动增减机功能、过载保护和报警、发电机停止后灭磁操作等功能。</w:t>
      </w:r>
      <w:r>
        <w:rPr>
          <w:rFonts w:ascii="SimSun" w:hAnsi="SimSun" w:eastAsia="SimSun" w:cs="SimSun"/>
          <w:b/>
          <w:color w:val="000000"/>
          <w:sz w:val="22"/>
        </w:rPr>
        <w:t xml:space="preserve">（供应商须承诺满足</w:t>
      </w:r>
      <w:r>
        <w:rPr>
          <w:rFonts w:ascii="SimSun" w:hAnsi="SimSun" w:eastAsia="SimSun" w:cs="SimSun"/>
          <w:b/>
          <w:color w:val="000000"/>
          <w:sz w:val="21"/>
        </w:rPr>
        <w:t xml:space="preserve">中华人民共和国海船船员适任评估规范（2024版）中关于轮机长、大管轮、三管轮、电子电气员职务关于船舶高压电力系统和电力推进系统的评估的所有功能要求，能为采购人提供考试训练，不能达到要求给采购人造成的损失的，全部由供应商承担。</w:t>
      </w:r>
      <w:r>
        <w:rPr>
          <w:rFonts w:ascii="SimSun" w:hAnsi="SimSun" w:eastAsia="SimSun" w:cs="SimSun"/>
          <w:b/>
          <w:color w:val="000000"/>
          <w:sz w:val="22"/>
        </w:rPr>
        <w:t xml:space="preserve">提供承诺函原件扫描件上传至响应文件中并加盖供应商公章</w:t>
      </w:r>
      <w:r>
        <w:rPr>
          <w:rFonts w:ascii="SimSun" w:hAnsi="SimSun" w:eastAsia="SimSun" w:cs="SimSun"/>
          <w:b/>
          <w:color w:val="000000"/>
          <w:sz w:val="21"/>
        </w:rPr>
        <w:t xml:space="preserve">，承诺函内容不得含糊不清，含糊不清作未提供处理。</w:t>
      </w:r>
      <w:r>
        <w:rPr>
          <w:rFonts w:ascii="SimSun" w:hAnsi="SimSun" w:eastAsia="SimSun" w:cs="SimSun"/>
          <w:b/>
          <w:color w:val="000000"/>
          <w:sz w:val="22"/>
        </w:rPr>
        <w:t xml:space="preserve">）</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要求提供母型船的轮机与电气系统图，除了明确列出范围以外，通常至少具备下面列出的系统或设备的模拟功能（如母型船具备此功能）：主推进发动机；压缩空气系统；冷却水系统；燃油系统；燃气系统；滑油系统；蒸汽系统；船舶发电系统；船舶配电系统；机舱监测报警系统等。</w:t>
      </w:r>
      <w:r>
        <w:rPr>
          <w:rFonts w:ascii="SimSun" w:hAnsi="SimSun" w:eastAsia="SimSun" w:cs="SimSun"/>
          <w:b/>
          <w:color w:val="000000"/>
          <w:sz w:val="22"/>
        </w:rPr>
        <w:t xml:space="preserve">（提供软件系统功能界面截图加盖供应商公章上传至响应文件中）</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要求正确反映用电负荷与变化，给出各轮机主要用电设备的瞬时电流，能够表现出起动时冲击负载的变化。</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主要用电设备、用气设备要与来源相关联。用电设备在没有电源时不应出现有电时才有的现象。</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主发电机、应急发电机应可以进行出厂试验时的突加、突缷负载测试，曲线应与实船的接近。</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 重要的系统图要求在软件中完整体现，包括阀门、泵、设备、控制器、检测点等的相对位置与数量。</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 要求用规范性颜色标记管路。轮机模拟软件上的各参数需统一单位，例如温度采用℃，压力采用MPa，部分压力可沿用船用习惯采用bar，水等流量采用Ton/H等。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 系统中各舱柜与容器的容量合理，其中各种物质、能量的产生与消耗，流入流出的数量关系与变化过程要求正确。</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 管路系统中压力、温度等参数显示点要求不少于实船的数量，在二维界面中根据实船检测仪表或传感器安装的相对位置来设置状态或数值的显示点。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 各检测点的数值显示和变化要符合流体力学、热力学等相关规律，并考虑管径大小、管路长短、位置高低等因素的影响。</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管路中的流体流动方向要求能够通过流量值或管路流向状态得到辨认。</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 单个设备、阀门等的操作及参数设置结果应得到正确响应，并逼真地体现与相关系统的正确实时影响关系。</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 各系统之间相互关联，要求正确模拟出相关系统之间的逻辑与数量关系。</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 系统中各泵要求能根据转速及所在管路系统的阻力变化调整流量与压力值，其中的流量、压力、热量、功率、效率、转速之间关系要求符合实船或教学典型性。</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 PID调节器要具有操作面板及PID参数调节、曲线显示。被控对象的参数曲线符合PID参数调试的正确趋势。</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 人机交互界面中各泵及阀件的开关、启停状态指示要求明显；机带泵、电动泵以及不同种类的泵和阀应采用不同的图形进行直观区分。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 系统阀件、控制调节及泵浦操作应简单、明确，不易导致误操作。</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 一些特殊需要的阀门、自动控制用的调节阀要设计为开度可调，其他可按开、关双位控制来简化模拟。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 控制箱上的手动及自动选择、逻辑连锁、工作时序、仪表读数变化都要符合实船并具有教学典型性。</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 整个轮机与电气系统参数选配要求正确，各种工况下的数量关系要求科学合理，符合实船。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盘台形式及操作过程、逻辑运行原理应与母型船高度一致。能对其中的操纵杆、阀件、旋钮、按钮、开关、控制面板和触控屏进行仿实船的操作与参数设置，并给出正确响应。</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 可设置常见及重要的故障，合理科学体现故障触发和故障排除的过程变化和现象。配备具有足够数量的设备和系统的常见故障设置训练功能和教学训练案例。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 要求具有变量值即时设置、个别系统仿真速度可调等功能，以便教学、训练和评估。</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 系统应具有特殊情景及综合评估功能，情景及评估项目可以灵活定制、保存、加载、复制和移动。</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 在系统中集成丰富逼真的设备操作与运行音响，能够至少按实船制作应急发电机、主发电机、重要泵的启停与运行声音。声音的强弱与频率应能随状态仿实船高逼真地变化。</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 重要的动态变化过程要求数量合理、动态正确。</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 评估功能要求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模型端软件（</w:t>
      </w:r>
      <w:r>
        <w:rPr>
          <w:rFonts w:ascii="SimSun" w:hAnsi="SimSun" w:eastAsia="SimSun" w:cs="SimSun"/>
          <w:color w:val="000000"/>
          <w:sz w:val="21"/>
        </w:rPr>
        <w:t xml:space="preserve">模型端软件、二维端软件和三维端软件</w:t>
      </w:r>
      <w:r>
        <w:rPr>
          <w:rFonts w:ascii="SimSun" w:hAnsi="SimSun" w:eastAsia="SimSun" w:cs="SimSun"/>
          <w:color w:val="000000"/>
          <w:sz w:val="22"/>
        </w:rPr>
        <w:t xml:space="preserve">）要求具有实操评估功能，并通过基于网络的训练与考评平台，实现基于网络分布式终端的实操评估管理，综合应具有下列评估管理功能。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1.5.1 评估管理功能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主要功能应包括初始环境设置、系统启动/停止、冻结/运行、运行方式选择、运行状态监视、过程隔离、考核和评估、记录和打印，可随时保存当前系统的全息运行状态并命名标记，在需要的时候可加载该状态。</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还应具有以下功能：改变训练场景。 选择操作初始状态。变量与故障设置。 快照。操作历史回放。调节模拟器运行的速度（相对于真实的时间）。声响控制。 报警闭锁。 过程隔离。</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为了特殊培训任务的需要，应该具备系统隔离的能力，应至少包括如下隔离功能： 压缩空气供应的隔离。 蒸汽供应的隔离。 电力供应的隔离。 重要液位的隔离。</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故障检索与设置：故障应分组列表供检索、可对故障进行设置和复位。</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教练员能够设置各种不同的模拟故障，既可以在线设置，也可以预先编制于任务里自动产生。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教练员可以引入故障或设置异常状态，应至少能进行下列类型的故障设置： 单个故障。 连串系列的故障。 单个故障的启动或消除。</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教练员应能够设置各种故障，并在设定的时间段内产生。部分故障可在0％到100％之间渐变。</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1.5.2 智能评估功能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在开始训练任务前，教练员能够建立初始条件和评估场景，也可以在训练过程中改变评估场景的内容。在训练活动中教练员应该能够方便地实现但不限于以下内容：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与评估中心管理平台软件进行数据交互。调用、运行、暂停和停止任务。监视和控制模拟评估过程。操作的记录和回放。对系统状态可以进行设置，例如：泵浦启停、电气开关、气候条件、船舶负载、响应速度等。考核评估：主要包括出题、选题、自动记录、自动评分等。考核标准应基于考生在评估操作过程中的表现和结果，并给出相应的加分或罚分，最终计算出总分。评估的结果都必须能够单独存储为一个文件，考核评估的过程应能回放。具有保存操作记录数据和历史数据的功能。对于题库中的每一道题应提供初始操作状态（有的含情景文件）。评估对象进行当前题的考</w:t>
      </w:r>
      <w:r>
        <w:rPr>
          <w:rFonts w:ascii="SimSun" w:hAnsi="SimSun" w:eastAsia="SimSun" w:cs="SimSun"/>
          <w:color w:val="000000"/>
          <w:sz w:val="22"/>
        </w:rPr>
        <w:t xml:space="preserve">试评估时，应能自动加载初始状态（有的含情景文件），以减少不必要的操作与时间消耗。针对关键性操作步骤有先后顺序限制，如操作先后顺序错误，则判定该操作为无效操作。评分功能要求采用智能算法实现。</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 软件及显示要求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★所提供的轮机模拟软件（</w:t>
      </w:r>
      <w:r>
        <w:rPr>
          <w:rFonts w:ascii="SimSun" w:hAnsi="SimSun" w:eastAsia="SimSun" w:cs="SimSun"/>
          <w:color w:val="000000"/>
          <w:sz w:val="21"/>
        </w:rPr>
        <w:t xml:space="preserve">模型端软件、二维端软件和三维端软件</w:t>
      </w:r>
      <w:r>
        <w:rPr>
          <w:rFonts w:ascii="SimSun" w:hAnsi="SimSun" w:eastAsia="SimSun" w:cs="SimSun"/>
          <w:color w:val="000000"/>
          <w:sz w:val="22"/>
        </w:rPr>
        <w:t xml:space="preserve">）应具有自主知识产权或具有正版授权，不存在知识产权纠纷等问题。</w:t>
      </w:r>
      <w:r>
        <w:rPr>
          <w:rFonts w:ascii="SimSun" w:hAnsi="SimSun" w:eastAsia="SimSun" w:cs="SimSun"/>
          <w:b/>
          <w:color w:val="000000"/>
          <w:sz w:val="22"/>
        </w:rPr>
        <w:t xml:space="preserve">（提供承诺函原件扫描件上传至响应文件中并加盖供应商公章，提供的承诺函内容不得含糊不清，含糊不清做未提供处理，未提供做无效响应处理。）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轮机模拟软件要求能自动适应显示器各分辨率下(包括3840*2160，2560*1440和1920*1080分辨率)满屏显示的需要。</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轮机模拟器各控制终端上安装的轮机模拟软件要求是同一个软件包，针对不同应用环境只是软件中配置不同。轮机模拟软件运行时要求能在1920*1080显示分辨率的双显示器或更多显示器中分别同时非镜像式自动适应满屏显示。</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 输入输出板卡要求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轮机模拟器中需要使用输入输出板卡。为了便于管理与维护，要求使用同一种规格型号的输入输出板卡。板卡要求具有网络远程自动升级，IP配置，时间同步，IO状态查询，历史数据查询，故障报警和管理等功能。板卡要求具有TCP/IP通讯接口。可以支持网络化管理，实现远程升级。</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 基础条件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中高压电力推进实训平台部署在采购人指定场所，面积大约150平方米。对于实际使用所需的防静电地板、分配电箱等则由供应商提供及完成。</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 与建筑的接口要求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建筑房间由采购人提供三相五线制380V动力供电。房间的供电总容量不低于30kW。</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房间由采购人预留网络接口，提供有线网络、无线网络接入条件。电源接驳点、通讯端口之后至本项目所有设备之间的线缆采购、布线、端接、调试工作，由供应商负责实施，供应商考虑在响应报价中，采购人不再另行支付。</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 设施设备技术规格要求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 船舶电力推进模拟集控台</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模拟集控台2屏；台体材质为冷轧钢板；长度≥900mm，高度≥1400mm；1屏安装有左右推进器的控制手柄、应急车钟集控室接收器车钟、转速表，1个机舱声光报警指示器，舵角表与负载表；另1屏嵌入式安装32英寸4K触控屏，实现电力推进船实船集控台其它屏切换操作，也可用于机舱监视系统；模拟实船的控制面板和操作流程，满足培训训练要求。</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▲②实现对吊舱推进器的控制及参数显示以及辅助设备的控制、报警、参数设定等功能。</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③集控台屏内的数据采集与输出板卡采用TCP/IP接口，通过网络交换机汇接后与教练员控制终端或其他设备连接。屏内安装LED检修灯。</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 船舶电力推进模拟驾控台；</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仿实船电力推进控制单元，长度≥1000mm；安装有左推进的转速表、舵角表与负载表至少各有1个；右推进的转速表、舵角表与负载表各有1个；至少2个主推进系统紧急停止按钮；至少1个发电原动机模式指示板；至少1个机舱声光报警指示器；至少1个22英寸触摸屏；至少1个应急车钟发送器；至少1个发电原动机主机及主推模式选择开关；至少2套全回转车钟和至少1个声力电话。</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 模拟高压主配电板</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①仿实船，配有模拟高压配电板，共10屏；对电力吊舱推进发电、配电的控制；半实物型；</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②采用实物仪表与面板完成下列屏的模拟：1＃日用变压器屏，1＃主推进屏，1＃主发电机屏，母联屏1屏，母联提升屏＆GPT1屏，2＃主发电机屏， 2＃主推进屏，2＃日用变压器屏，1＃低压进线屏1屏，1＃低压负载屏1屏；功能、显示与操作要求满足轮机模拟器的行业标准。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w:t>
      </w:r>
      <w:r>
        <w:rPr>
          <w:rFonts w:ascii="SimSun" w:hAnsi="SimSun" w:eastAsia="SimSun" w:cs="SimSun"/>
          <w:color w:val="000000"/>
          <w:sz w:val="21"/>
        </w:rPr>
        <w:t xml:space="preserve">发电机屏满足以下要求: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w:t>
      </w:r>
      <w:r>
        <w:rPr>
          <w:rFonts w:ascii="SimSun" w:hAnsi="SimSun" w:eastAsia="SimSun" w:cs="SimSun"/>
          <w:color w:val="000000"/>
          <w:sz w:val="22"/>
        </w:rPr>
        <w:t xml:space="preserve">2个主发电机屏上配有实物型的双针电压表，双针频率表，电流表，功率表，功率因数表，同步表等;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B)高压综合保护装置（仿实船，实现人机交互）；</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C)高压带电显示器，带灯的合闸按钮、带灯的分闸按钮、加减速、电压表选择开关、电流表选择开关，复位，空间加热旋钮与指示灯等开关按钮和指示灯；</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D)主开关，接地开关，隔离开关仿实船模拟,应有相应的主开关位置指示和连锁指示。</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（供应商须承诺满足</w:t>
      </w:r>
      <w:r>
        <w:rPr>
          <w:rFonts w:ascii="SimSun" w:hAnsi="SimSun" w:eastAsia="SimSun" w:cs="SimSun"/>
          <w:b/>
          <w:color w:val="000000"/>
          <w:sz w:val="21"/>
        </w:rPr>
        <w:t xml:space="preserve">中华人民共和国海船船员适任评估规范（2024版）要求，能为采购人提供考试训练，不能达到要求给采购人造成的损失的，全部由供应商承担。提供承诺函原件扫描件上传至响应文件中并加盖供应商公章，承诺函内容不得含糊不清，含糊不清作未提供处理。</w:t>
      </w:r>
      <w:r>
        <w:rPr>
          <w:rFonts w:ascii="SimSun" w:hAnsi="SimSun" w:eastAsia="SimSun" w:cs="SimSun"/>
          <w:b/>
          <w:color w:val="000000"/>
          <w:sz w:val="22"/>
        </w:rPr>
        <w:t xml:space="preserve">）</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▲④其他各屏需仿实船配有相应的开关，按钮、指示仪表、高压综合保护装置等。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⑤模拟高压配电板屏内包括断路器、开关电源、保险丝、交换机、信号采集单元、继电器等。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⑥模拟低压进线屏和低压负载屏仿实船制作，与实船配电屏仪表、开关、指示灯等一致，至少包含绝缘监视兆欧表、地气灯等，负载屏上模拟负载开关≥10个，含有6个及以上起动控制箱；</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⑦低压屏采用模拟液晶屏可以通过一个屏切换不同屏的界面，实现其他低压部分的模拟功能。包括应急发电机屏、岸电屏和低压负载屏等。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▲⑧实现发电机的遥控起动与停止，手动和自动准同步并车与解列、调压、调频调载、负载转移、停机。模拟电网负载的增减变化实现高压发电机的自动增减机功能、过载保护和报警。</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★⑩实现船舶高压电力系统日用变压器的切换，高压配电板母排之间的连接或断开的操作，分段母线故障分段隔离等满足2024版评估规范要求的评估操作功能。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b/>
          <w:color w:val="000000"/>
          <w:sz w:val="22"/>
        </w:rPr>
        <w:t xml:space="preserve">供应商须承诺满足</w:t>
      </w:r>
      <w:r>
        <w:rPr>
          <w:rFonts w:ascii="SimSun" w:hAnsi="SimSun" w:eastAsia="SimSun" w:cs="SimSun"/>
          <w:b/>
          <w:color w:val="000000"/>
          <w:sz w:val="21"/>
        </w:rPr>
        <w:t xml:space="preserve">中华人民共和国海船船员适任评估规范（2024版）要求，不能达到要求给采购人造成的损失的，全部由供应商承担。提供承诺函原件扫描件上传至响应文件中并加盖供应商公章，承诺函内容不得含糊不清，含糊不清作未提供处理。</w:t>
      </w:r>
      <w:r>
        <w:rPr>
          <w:rFonts w:ascii="SimSun" w:hAnsi="SimSun" w:eastAsia="SimSun" w:cs="SimSun"/>
          <w:b/>
          <w:color w:val="000000"/>
          <w:sz w:val="22"/>
        </w:rPr>
        <w:t xml:space="preserve">）</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★⑪实现重载询问、绝缘检测，能够实现各种报警如重载、轻载、发电机组高温、合闸失败、逆功率、优先卸载、分级脱扣、应急切断、绝缘监视等模拟功能满足2024版评估规范要求的评估操作功能。</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（供应商须承诺满足</w:t>
      </w:r>
      <w:r>
        <w:rPr>
          <w:rFonts w:ascii="SimSun" w:hAnsi="SimSun" w:eastAsia="SimSun" w:cs="SimSun"/>
          <w:b/>
          <w:color w:val="000000"/>
          <w:sz w:val="21"/>
        </w:rPr>
        <w:t xml:space="preserve">中华人民共和国海船船员适任评估规范（2024版）要求，不能达到要求给采购人造成的损失的，全部由供应商承担。提供承诺函原件扫描件上传至响应文件中并加盖供应商公章，承诺函内容不得含糊不清，含糊不清作未提供处理。</w:t>
      </w:r>
      <w:r>
        <w:rPr>
          <w:rFonts w:ascii="SimSun" w:hAnsi="SimSun" w:eastAsia="SimSun" w:cs="SimSun"/>
          <w:b/>
          <w:color w:val="000000"/>
          <w:sz w:val="22"/>
        </w:rPr>
        <w:t xml:space="preserve">）</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 模拟发电原动机本地控制箱</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模拟发电原动机本地控制箱至少2个，与实船的发电原动机机旁控制箱功能一致；机旁控制箱带有本地/远程选择开关、启动按钮、停止按钮以及主发电原动机转速、滑油压力、冷却水温度等参数显示仪表；当控制位置选择到机旁时，可在机旁控制箱上控制发电机起、停；当控制位置选择到遥控时，可在配电板上完成发电机起、停控制；当发电机运行时，要求机旁控制箱上的仪表都能够显示对应参数，各参数值要求与实船值一致；</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 模拟全回转电力推进本地控制柜</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包含全回转电力推进电机变频器控制单元及附属装置模拟，控制柜能实现与电力推进控制台、吊舱电机联动。屏中嵌入式安装有1个≥32英寸4K触控屏。</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2.6电力推进吊舱</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①电力推进吊舱，1套，半实物型；使用工程塑料与钢板等合成制作；</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★②提供与实际吊舱进行一定比例缩放的物理模型，模型配有调速电机，模拟成比例可动螺旋桨实物，吊舱模型可以与电力推进模拟控制台、模拟全回转电力推进本地控制柜实现软硬件联动；</w:t>
      </w:r>
      <w:r>
        <w:rPr>
          <w:rFonts w:ascii="SimSun" w:hAnsi="SimSun" w:eastAsia="SimSun" w:cs="SimSun"/>
          <w:b/>
          <w:color w:val="000000"/>
          <w:sz w:val="22"/>
        </w:rPr>
        <w:t xml:space="preserve">（提供承诺函原件扫描件上传至响应文件中并加盖供应商公章，承诺函内容不得含糊不清，含糊不清作未提供处理，未提供作无效响应处理。）</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★③半实物模型可以进行旋转和回转操作,调速电机由电力推进控制系统控制，可以进行起动、调速、停车、旋转等操作；</w:t>
      </w:r>
      <w:r>
        <w:rPr>
          <w:rFonts w:ascii="SimSun" w:hAnsi="SimSun" w:eastAsia="SimSun" w:cs="SimSun"/>
          <w:b/>
          <w:color w:val="000000"/>
          <w:sz w:val="22"/>
        </w:rPr>
        <w:t xml:space="preserve">（提供承诺函原件扫描件上传至响应文件中并加盖供应商公章，承诺函内容不得含糊不清，含糊不清作未提供处理，未提供作无效响应处理。）</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④制作有2个吊舱推进器，按实船成比例制作，单个吊舱长度≥1000 mm，钢质；安装的推进电机、旋转电机功率≥0.55KW，推进电动机为交流变频电动机；</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▲⑤预留接口，可以实现双重功能，作为电池动力船舶推进电机使用。</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 实船高压配电屏</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①实物高压配电屏1屏，按6.6kV、50Hz、3000kW配置铭牌与仪表显示，配有双针电压表，双针电流表，功率表，功率因数表，频率表等；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配有高压综合保护装置，带电显示器，带灯的合闸按钮、带灯的分闸按钮、加减速调节开关、电压表选择开关、电流表选择开关，复位，空间加热旋钮与指示灯，照明灯等；高压综合保护装置与实船类似，高压综合保护装置满足2024版评估规范功能要求，具有参数查询，修改和测试等功能；带电显示器须满足2024版评估规范功能要求，能实现高压带电显示器相关的评估操作。</w:t>
      </w:r>
      <w:r>
        <w:rPr>
          <w:rFonts w:ascii="SimSun" w:hAnsi="SimSun" w:eastAsia="SimSun" w:cs="SimSun"/>
          <w:b/>
          <w:color w:val="000000"/>
          <w:sz w:val="22"/>
        </w:rPr>
        <w:t xml:space="preserve">（供应商须承诺满足</w:t>
      </w:r>
      <w:r>
        <w:rPr>
          <w:rFonts w:ascii="SimSun" w:hAnsi="SimSun" w:eastAsia="SimSun" w:cs="SimSun"/>
          <w:b/>
          <w:color w:val="000000"/>
          <w:sz w:val="21"/>
        </w:rPr>
        <w:t xml:space="preserve">中华人民共和国海船船员适任评估规范（2024版）要求，不能达到要求给采购人造成损失的，全部由供应商承担。提供承诺函原件扫描件上传至响应文件中并加盖供应商公章，承诺函内容不得含糊不清，含糊不清作未提供处理。</w:t>
      </w:r>
      <w:r>
        <w:rPr>
          <w:rFonts w:ascii="SimSun" w:hAnsi="SimSun" w:eastAsia="SimSun" w:cs="SimSun"/>
          <w:b/>
          <w:color w:val="000000"/>
          <w:sz w:val="22"/>
        </w:rPr>
        <w:t xml:space="preserve">）</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★③内部包括主开关，接地开关，隔离开关；实际供电380V，50Hz，模拟6.6kV，50Hz，指示所有仪器仪表按照6.6kV，50Hz的规格标注；选择对应合适的电压和电流互感器。</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★④每个屏内配有主流品牌的真空断路器1个、接地开关1个，主开关与接地开关有机械的联锁，在主开关脱开母排时，接地开关需接地，并实现五防措施。功能能够按照2024版评估规范要求实现相应的操作功能。</w:t>
      </w:r>
      <w:r>
        <w:rPr>
          <w:rFonts w:ascii="SimSun" w:hAnsi="SimSun" w:eastAsia="SimSun" w:cs="SimSun"/>
          <w:b/>
          <w:color w:val="000000"/>
          <w:sz w:val="22"/>
        </w:rPr>
        <w:t xml:space="preserve">（供应商须承诺满足</w:t>
      </w:r>
      <w:r>
        <w:rPr>
          <w:rFonts w:ascii="SimSun" w:hAnsi="SimSun" w:eastAsia="SimSun" w:cs="SimSun"/>
          <w:b/>
          <w:color w:val="000000"/>
          <w:sz w:val="21"/>
        </w:rPr>
        <w:t xml:space="preserve">中华人民共和国海船船员适任评估规范（2024版）要求，不能达到要求给采购人造成的损失的，全部由供应商承担。提供承诺函原件扫描件上传至响应文件中并加盖供应商公章，承诺函内容不得含糊不清，含糊不清作未提供处理。</w:t>
      </w:r>
      <w:r>
        <w:rPr>
          <w:rFonts w:ascii="SimSun" w:hAnsi="SimSun" w:eastAsia="SimSun" w:cs="SimSun"/>
          <w:b/>
          <w:color w:val="000000"/>
          <w:sz w:val="22"/>
        </w:rPr>
        <w:t xml:space="preserve">）</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⑤配有下列指示仪表，规格：96*96mm，至少包括1个：频率表、有功功率表、功率因数表、同步表、电流表、双针电压表、带电显示器、温度控制器；指示灯至少包括1个：A/B/C项绝缘指示，电源、接地开关合闸、接地开关分闸、发电机备车、发电机故障、VCB合闸、VCB分闸、VCB储能指示、VCB工作位置、VCB试验位置、加热器；控制按钮至少包括1个：发电机运行、发电机停止、VCB合闸、VCB分闸；转换开关3个，包括电流测量转换、电压测量转换、发电机调试。</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⑥配有高压兆欧表、验电器、接地棒、绝缘防护用具等相关设备。配断路器检修小车至少1个。</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⑦能进行绝缘检测和绝缘低故障模拟功能。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 大液晶触控站+三维操作站</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①用于吊舱推进器三维演示和电力推进船机电模拟软件的操作与显示；配置立柜，采用嵌入式安装，含有1个≥86英寸可触控的显示终端和1台OPS控制终端，可灵活配置二维的显示与控制；</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②具体配置：4K分辨率+ 4K触摸屏，HDMI 2.0接口，支持3840×2160 @60HZ信号刷新率，20触点。三维操作站1套，由1台控制终端主机+2个23.8英寸显示终端组成。</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其中控制终端的最低配置要求为：14核心20线程，主频2.1Ghz，24MB缓存的CPU；内存32G；512 GB固态硬盘；配键鼠，耳麦，鼠标垫。</w:t>
      </w:r>
      <w:r/>
    </w:p>
    <w:p>
      <w:pPr>
        <w:ind w:left="0" w:right="181"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③系统配置应达到软界面显示清晰的程度。当正常视力人员在所配置的各显示器前长期触摸操作与观察时，不应有模糊、辨认不清等问题的存在。</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 模型端软件、二维端软件和三维虚拟机舱软件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2.9.1 模型端软件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1）仿真内容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模拟软件中仿真模型程序简称模型端，用于模拟实船机舱运行的机理与逻辑，对操作进行响应。模型端要求依据母型船的设备与系统，完工资料（含轮机与电气系统图）和照片制作，并完成下面明确列出且实船具备的系统或设备的内在逻辑与数学关系的模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双燃料发电机系统；推进器系统；推进控制系统；发电机冷却水系统；发电机压缩空气系统；锅炉油、水和汽系统；燃油系统；滑油系统；中高压电力系统(包括主配电板、应急配电板、岸电)；日用淡海水系统；防海生物污染系统；强制电流阴极保护系统；火灾检测报警系统；机舱局部细水雾系统；机舱通风系统；检测报警系统、LNG液货系统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为了达到既定的设计、训练和考评要求，轮机模拟软件仿真数学模型应该基于实时动态模式进行编程，要真实反映整个机舱的动态过程，以及机舱各个子系统之间的相互作用。轮机模拟软件中所有的系统仿真数学模型都应是高度逼真的，能够正确地反应系统的热工状态和动态响应过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③主推进及其他仿真模型应该能够对应各种不同的船舶操作和外部条件的变化做出动态响应，而船舶运动数学模型也应该对应于推进模型、当时设定的天气与海况的变化做出相应的响应和变化。</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 双燃料发电机系统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母型船发电机技术参数和实际运行性能指标，建立发电机动态数学模型，运行动态显示等完整模拟仿真；发电机的启动、停机、燃料切换、滑油系统、空气系统、控制系统、调速与动态过程要求符合实船；发电机工况参数与母型船台架或试航数据基本一致。</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应建立以下模型：A.发电机数学模型。B.发电机启动及停机模型。C.启动空气及仪表空气系统模型。D.盘车机模型。E.滑油润滑系统模型。F.废气通风系统模型。G.增压系统动态模型。H.额定工况模型。I.超负荷工况模型。G.变负荷动态模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(2)推进器系统、推进控制系统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根据母型船特性及螺旋桨特性，建立主推进器模拟系统，船机桨动力学表现与母型船试航数据基本一致；能模拟恶劣海况、污底、不同吃水与航区等影响下的船舶推进状况。</w:t>
      </w:r>
      <w:r/>
    </w:p>
    <w:p>
      <w:pPr>
        <w:ind w:left="0" w:right="181" w:firstLine="480"/>
        <w:spacing w:before="0" w:after="0" w:line="315" w:lineRule="atLeast"/>
        <w:tabs>
          <w:tab w:val="left" w:pos="5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具体应建立以下模型：A.推进器系统模型。B.船机桨数学模型。C.推进控制系统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套与母型船一致，或更先进，或更市场化的推进控制系统，其中的原理、时序、逻辑与功能与实船一致。具有正确的主推进电机启动、停车、换向和调速规律，具有准确的安保功能，安保点数依据母型船设置，驾控、集控、本地控制操作与指示面板与母型船一致，可以完整地设置推进控制系统的参数和典型故障。</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w:t>
      </w:r>
      <w:r>
        <w:rPr>
          <w:rFonts w:ascii="SimSun" w:hAnsi="SimSun" w:eastAsia="SimSun" w:cs="SimSun"/>
          <w:color w:val="000000"/>
          <w:sz w:val="22"/>
        </w:rPr>
        <w:t xml:space="preserve"> 发电机压缩空气系统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压缩空气系统分为主起动空气系统、控制空气系统和日用空气系统。要求实现各系统之间的流入流出关系模型，让空气瓶压力、凝水量能够模拟实船的变化关系，体现正确的空压机控制逻辑与控制过程。实船上有显示仪表，检测传感器的地方都要求给出量化的模拟与显示。重要轮机设备的分支管路要求画出并模拟。关键管路要求计算并显示出空气流量，以强化量化关系。</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至少应包含以下仿真模型：A. 空压机的空气压缩与排出模型。B. 空气瓶的充放气模型。C. 空气瓶的残水积存与放残模型。D. 安全阀的启闭模型。E. 空压机的控制逻辑模型。F. 空压机的主备切换模型。G. 空压机的本地与远程切换模型。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 冷却水系统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冷却水系统包括海水冷却系统、低温淡水冷却系统、发电机高温淡水冷却系统。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系统要求严格、完整地按照母型船的系统原理图模拟，要求数量关系正确。其中膨胀水箱可以进行补水、集气，设有液位指示与低位报警。高低温系统要求画出发电柴油机内的原理图，实时显示相关检测点的值。暖缸系统要求可以如实船操作，系统中流量，流向和暖缸效应要求正确。多台泵之间的备用，自动切换功能要求完整合理。应急舱底水吸口可以打开，相关运行过程的数量关系与动态过程正确。要有实时关联计算高低位海底门的海水静压、海水温度与当时所处的航行环境、船体吃水等的影响。</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A.发电机高温淡水系统 主要仿真模型包括：a)发电机高温淡水膨胀水箱模型。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b)发电机高温淡水泵模型。c)发电机缸套水预热器（蒸汽或电加热）模型。d)高温淡水PID温度调节器模型。e)阀件逻辑控制数学模型。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B.低温淡水系统（包括发电机高温淡水系统） 主要仿真模型包括：a)阀件逻辑控制模型。b)中央冷却器（包括PID温度调节器）模型。c)发电机空冷器模型。d)发电机滑油冷却器模型。e)低温淡水泵模型。f)低温淡水系统管网模型。g)膨胀水箱模型。h)发电柴油机缸套水PID温度调节器模型。i)滑油冷却器PID温度调节器模型。j)发电柴油机空冷器冷却水PID温度调节器模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C.海水系统 主要仿真模型包括：a)主海水泵模型。b)阀件逻辑控制模型。c)海水系统管网模型。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w:t>
      </w:r>
      <w:r>
        <w:rPr>
          <w:rFonts w:ascii="SimSun" w:hAnsi="SimSun" w:eastAsia="SimSun" w:cs="SimSun"/>
          <w:b/>
          <w:color w:val="000000"/>
          <w:sz w:val="21"/>
        </w:rPr>
        <w:t xml:space="preserve">锅炉油、水和汽系统</w:t>
      </w:r>
      <w:r/>
    </w:p>
    <w:p>
      <w:pPr>
        <w:ind w:left="0" w:right="0" w:firstLine="420"/>
        <w:spacing w:before="0" w:after="0" w:line="315" w:lineRule="atLeast"/>
        <w:tabs>
          <w:tab w:val="left" w:pos="13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燃油锅炉、废气锅炉和蒸汽分配器及各类蒸汽管路等，锅炉具有水位、蒸汽压力、风/油比的连续自动调节功能，可以实现手动/自动点炉和停炉操作。软件仿真锅炉控制箱操作面板与实船基本相同。锅炉点火和燃烧有动画显示；仿真效果符合实船数据资料。各用汽设备或系统应完整画出，并可仿实船操作训练。</w:t>
      </w:r>
      <w:r/>
    </w:p>
    <w:p>
      <w:pPr>
        <w:ind w:left="0" w:right="0" w:firstLine="420"/>
        <w:spacing w:before="0" w:after="0" w:line="315" w:lineRule="atLeast"/>
        <w:tabs>
          <w:tab w:val="left" w:pos="13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主要仿真模型包括：A.辅锅炉系统管路模型；B.燃烧控制系统数学模型；C.水位控制系统数学模型；D.蒸汽消耗量及蒸汽压力变化数学模型。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(7)燃油系统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燃油加注和驳运系统、燃油净化系统、燃油供给系统(发电机供油系统)等。要求能够模拟实船的日常操作，状态和参数显示及控制变化过程要求与实船一致。实时显示油柜液位，油柜温度(不需加热油柜可不显示)；可以进行油柜加热模拟操作；燃油加装模拟操作，油料调驳模拟操作，粘度调节与燃油切换。分油机控制箱要求能按母型船的具体型号进行控制功能模拟操作，分油机控制系统参数显示及设置，分油机报警信息显示及处理，分油机的主要故障模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主要仿真模型包括：A.燃油驳运系统模型。B.燃油净化系统模型。C.燃油供给系统模型。D.燃油舱柜模型。E.燃油粘度控制模型。F.燃油分油机模型。G.柴油分油机模型。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 滑油系统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滑油系统包括滑油加注和驳运系统、滑油净化系统，滑油供给系统(包括发电机滑油供给等)、艉管滑油系统等。要求能够完成实船主要日常模拟操作。状态参数显示及控制变化过程要求与实船一致。可以进行泵的启停及自动控制；压力、液位，温度显示(不需加热油柜可不显示)；滑油柜加热模拟操作(不需加热油柜可不设置此项)；滑油加装模拟操作；油柜间油料调驳模拟操作；滑油温度自动控制；温度控制器模拟操作和参数调节；分油机控制箱要求能按母型船的具体型号进行控制功能模拟操作，分油机控制系统参数显示及设置，分油机报警信息显示及处理，分油机的主</w:t>
      </w:r>
      <w:r>
        <w:rPr>
          <w:rFonts w:ascii="SimSun" w:hAnsi="SimSun" w:eastAsia="SimSun" w:cs="SimSun"/>
          <w:color w:val="000000"/>
          <w:sz w:val="22"/>
        </w:rPr>
        <w:t xml:space="preserve">要故障模拟。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主要仿真模型包括：A. 发电机滑油日用系统模型。B. 艉轴管滑油系统管网模型。C. 滑油净化系统模型。D. 滑油分油机和控制系统模型。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（9）中高压电力系统(包括主配电板、应急配电板、岸电)</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有功能完整的主配电板(含岸电接入)与应急配电板，具有自动电站管理功能，其中的逻辑、时序与功能要求符合实船情况。具有发电机、主开关、负载开关的故障模拟功能。要有配套齐全的负载屏和组合起动屏、照明负载屏。在主配电板上能动态显示电压、功率、功率因数、频率和电流等数据，要求体现发电机组的手自动启停、并车与解列、手自动调频调载与调压；负载分级脱扣，应急切断等功能，具有短路、过载和逆功率等保护，具有岸电与船电的连锁关系，可以进行应急发电机的手动、自动操作和模拟试验，具有应急电网和主电网间的连锁功能。A.电站控制单元模</w:t>
      </w:r>
      <w:r>
        <w:rPr>
          <w:rFonts w:ascii="SimSun" w:hAnsi="SimSun" w:eastAsia="SimSun" w:cs="SimSun"/>
          <w:color w:val="000000"/>
          <w:sz w:val="22"/>
        </w:rPr>
        <w:t xml:space="preserve">型；B.发电机控制屏、并车屏和组合起动屏模型；C.建立船舶电力系统数学模型；D.岸电供电系统。E.发电机数学模型；F.应急发电机水箱；</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G.应急发电机滑油系统；H.应急发电机本地/遥控切换；I.应急发电机安保系统；J.应急发电机监视报警系统；K.应急发电机本地起停、调速、高低速切换；L.应急配电板；M.应急电站控制系统。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 日用海淡水系统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画出完整的管路图，含泵，阀，淡水舱，水雾水舱，日用海水柜，日用淡水压力柜、热水柜等。日用淡（海）水压力柜要求含补气功能，并给出日用淡（海）水柜的控制面板，具有手自动补水操作、指示与报警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日用淡水系统主要仿真模型包括：A. 日用淡水泵模型。B. 日用淡水泵自动起停逻辑控制模型。C. 日用淡水柜水气消耗模型。D. 日用淡水舱驳运模型。E. 日用淡水柜补气模型。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日用海水系统主要仿真模型包括：A. 日用海水泵模型。B. 日用海水泵自动起停逻辑控制模型。C. 日用海水柜水气消耗模型。D. 日用海水供水模型。E. 日用海水柜补气模型。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 检测报警系统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模拟母型船安装的或更先进的集中监测系统，监测报警点数达到母型船实际安装的点数，实现系统图形和参数的显示、设置、打印、面板操作、延伸报警及分组、报警点闭锁、测点表等的模拟。测点数据来自各个子系统模型，可以切换不同的显示画面，并可以进行消音、停闪等应答机制，并可将相应报警延伸至指定位置。参数显示分为列表显示、柱状图显示、趋势图显示等多种显示方式，并可以进行报警分组、查询、打印、存储等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具有延伸报警，轮机员安全与值班召唤系统的功能模拟。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可以选用有别于母型船的典型系统进行模拟。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 强制电流阴极保护系统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电极、控制单元、轴接地系统的模拟。能够展示出强制电流阴极保护系统的原理；给出强制电流阴极保护系统的电极电流控制过程模拟；给出强制电流阴极保护系统电极故障模拟；给出轴接地系统故障设置与排除模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 防海生物污染系统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包括保护单元等，能够展示防海生物污染系统原理，防海生物污染系统的投入工作操作模拟。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 火灾检测报警系统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模拟的火灾报警控制器、火灾探测器要具有典型的教学意义；系统探测点要求覆盖主机舱，集控室，辅机舱及危险区域等报警区域，模拟的火灾探测点数量≥15个；能够正确地模拟火灾检测，报警，消音，复位等操作。可以选用有别于母型船的典型系统进行模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 机舱通风系统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依据母型船技术资料，完成机舱通风系统工作原理模拟；完成机舱通风系统启动/停用操作模拟。应该包括机舱通风、集控室通风和分油机间通风等的模拟。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 机舱细水雾系统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在发电机组，分油机和辅锅炉上面布设有细水雾喷洒装置。系统释放方式有三种：就地手动释放、主控制板遥控释放、自动释放。机舱细水雾系统要求给出完整的模拟。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每个区域是由2 个探头监控的，当一个探头监测到火警信号的时候，设备能够提供预报警。当2 个探头同时监测到信号的时候，应该有此区域的水雾释放。</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2）故障模拟要求：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（1）模拟的故障类型应涵盖设备正常运行中产生的、人为误操作导致的和突发状况引起的各种故障。具体类别如下：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设备与系统老化或失效现象的设置(如泵磨损，滤器差压增加，设备效率或功用退化等)。恶劣海况的状态设置，如液位剧变，油泥掀起进管路。管理与维护不当故障设置，如滤器遗留杂物等。应急故障设置，如火灾，机舱进水等。送到检测报警系统的故障模拟与设置。</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▲B.机舱监测报警的控制终端控制系统相关故障：电源故障、传感器故障、信号采集单元故障、总线断线故障和监控控制终端本身故障。</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（2）故障设置的方法具体如下：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按发生时间的原则进行故障设置。按具体逻辑条件是否满足来进行故障设置。按行为发生情况来进行故障设置。</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各系统的故障可以由教练员单一或组合设置。各种故障根据具体情况，可以进行基于时间、事件和动作的故障设置与逻辑组合触发。</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故障发生的方式如下：当故障发生后一直持续，直到人为解除或复位。当故障周期性发生，周期时间可以预设。当故障发生一段时间后自动消失。当条件满足时发生故障，不满足时则消失。关联故障触发之间具有联动效果。</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（3）本系统以故障排除训练功能强化为主要特色之一，具体体现为：</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各故障设置，激发，扩散等都依据母型船定制开发，具有很好的针对性，适合用户实用的需求。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按实船配置监测报警点，并设计有各报警点报警的模拟激发训练机制。同时可以通过变量设置加速排故情景的定制。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根据母型船的工作特点，制作情景案例，设计有典型与特殊工况时的特种情景模拟与故障激发机制。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搜集典型的实船历史案例，制作成情景案例，提供给训练使用。</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各种故障配备声光、振动与运作三维模拟，提供高沉浸感的情景模拟。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具有灵活的PC控制终端轮机二维交互软件，三维软件和半实物硬件的各种组合的团队训练模式。可根据具体训练任务采取灵活的组团模式。</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故障发生后，可由考生查明原因后，考生可通过软件操作进行排除，也可让教练员从教练员控制终端故障列表中删除。</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（4）故障排除方式：</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当故障发生后一直持续，直到人为修复排除或复位。</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当条件满足时，可由教练员台强制排除。</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发电机系统；推进器系统；推进控制系统；冷却水系统；压缩空气系统；锅炉蒸汽系统；燃油系统；滑油系统；电站系统等中常见的故障进行仿真模拟。数学模型应该基于实时动态模式进行编程，要全面、真实、准确地表达故障的动态过程，合理反映相关设备及系统之间的相互影响。故障仿真数学模型都应该是逼真的，能够正确地反应系统的热工状态和动态响应过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各系统中模拟的故障类型见故障清单，模拟故障数量至少为：发电机系统20个。推进控制系统10个。冷却水系统10个。压缩空气系统5个。锅炉蒸汽系统5个。燃油系统5个。滑油系统5个。电站系统20个。</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模拟故障要求在质保期内按用户需求免费进行添加。</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3) 变量设置要求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发电机系统；推进器系统；推进控制系统；冷却水系统；压缩空气系统；锅炉蒸汽系统；燃油系统；滑油系统；电站系统等中某些变量的数值与状态可以进行迅速设置，用于激发所需的动态过程或快速达到指定的状态，同时相关系统的参数应该按照其逻辑关系进行关联。</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4) 情景设置要求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至少具备但不限于下列情景内容：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具备但不限于下列情景内容：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瘫船起动、备车与完车、机动航行、正常航行、风浪天航行、浅水航行、锚泊、离靠港作业、雾中航行等工况、加装燃料操作与处理。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发电机或设备故障、全船失电、吊舱控制失灵、机舱进水、机舱火灾、恶劣海况、搁浅、碰撞、海盗袭击、溢油、弃船等应急工况的操作与处理。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5) 评估功能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在模型端要求具有评估功能。具体要求参见前面的“1.5 评估功能要求”中的内容。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2.9.2 二维端软件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设有轮机二维交互软件，简称二维端。二维端依据母型船的设备与系统，完工资料（含轮机与电气系统图）和照片制作，至少完成与模型端配套的系统或设备的高逼真的轮机模拟软件二维交互界面程序。</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除明确指出外，各系统和设备都要求依据母型船中的具体系统和设备来制作。</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 发电机系统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发电机系统的参数显示及操作界面应根据母型船发电机制作，仿真界面能完成母型船发电机的启动、停机、燃料切换、滑油系统、空气系统、控制系统、调速与动态过程的模拟。含如下主要功能。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发动机的内部系统原理图显示与参数动力显示。含主燃油系统、启动空气与安全空气系统、仪表空气系统、滑油系统、冷却水系统等。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发电机的UNIC控制系统液晶屏翻页与动态显示。含UNIC主界面、系统总览界面、UNIC报警界面、轴承温度监控界面、气缸压力界面、气缸温度偏差界面、气缸排气温度界面、敲缸状态界面、缸套温度界面等。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发电机组的启动、停止、复位、急停、控制模式选择控制面板的完整显示与操作。</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发电机预润滑泵及废气通风控制面板的完整显示与操作。</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机旁运行/锁定手柄操作模拟、盘车机啮合/脱开操作模拟。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双燃料发电机控制系统状态显示。</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 推进器系统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推进器系统的参数显示及操作界面有如下主要功能。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驾驶室、集控室和机旁正常与应急操作仿真界面等。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主推进器各种工况参数实时显示：参数显示和报警等。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船舶运行参数：航速指示、航向指示、吊舱推进器转速指示、吊舱推进器吊舱转角指示、污底影响、海况影响、吃水影响。</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电力推进器机旁、集控室、驾驶台操作位置转换。</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电力推进器的本地、集控室和驾驶台启动和操纵功能。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应急车钟的操作。</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 推进控制系统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推进控制系统仿真以母型船推进控制系统为仿真对象，具体可实现如下功能：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推进控制系统建模符合实船推进控制系统控制规律。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推进控制系统的主要参数设置依据实船参数资料进行参考、建模。</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推进控制系统采用与实船推进控制系统实物面板相同的操作界面。</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所有系统最终仿真效果符合主推进遥控航行/台架实验数据。</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故障报警显示与处理。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 冷却水系统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冷却水系统包括发电机高温淡水系统、低温淡水系统（包括发电机高温淡水系统）、海水系统。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发电机高温淡水系统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完成的仿真功能：冷却水系统管路图的完整显示。高温淡水泵及相关阀件操作。高温淡水PID 温度调节器操作面板显示。高温淡水膨胀水箱的补水操作及液位显示。高温淡水泵压力显示。冷却水的温度显示和报警。排气温度显示和报警。</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低温淡水系统（包括发电机高温淡水系统） 可以实现的仿真功能：低温淡水系统管路图的完整显示。低温淡水泵及相关阀件操作。各设备的进出口温度、压力显示和报警。发电机空冷器冷却水出口温度显示和报警。滑油冷却器冷却水出口温度显示和报警。</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海水系统 仿真功能包括：海水系统管路图的完整显示。主海水泵及相关阀件操作。海水流量及海水温度与发电机负荷相匹配。故障报警与处理。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 压缩空气系统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压缩空气系统分为起动空气系统、控制空气系统和日用空气系统。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起动空气系统实现以下功能：两台主空压机启动/停止。两台主空压机正常运行。空气瓶压力、凝水量随用气量变化。</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仿真界面可完成如下功能：起动空气系统管路图的完整显示。与已模拟系统相关的控制空气系统管路图的完整显示。与已模拟系统相关的日用空气系统管路图的完整显示。压力数值显示。空压机卸载阀的动作显示。空气瓶安全阀的报警压力显示和动作。确保空气瓶气压满足双燃料发电机连续起动次数要求。空压机控制箱操作面板与实船相同，实现空压机的手动及自动操作。系统阀件操作。故障报警与处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6)蒸汽系统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蒸汽系统主要包括燃油锅炉、废气锅炉和蒸汽分配器及各类蒸汽管路，具体要求为： </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燃油锅炉：锅炉具有水位、蒸汽压力、风/油比的连续自动调节功能，可以实现手动/自动点炉和停炉操作。</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仿真功能主要有：实现水位、蒸汽压力、供风/供油、风/油比的连续自动调节，其中燃烧还具有高、低火控制功能。锅炉控制箱操作面板与实船基本相同，可以在操作面板上实现手动/自动操作。锅炉点火和燃烧有二维动画显示。仿真效果符合实船数据资料。</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废气锅炉：与实船数据系统相符。泵阀可如实船一样操作。</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蒸汽系统仿真：建立各用汽系统模型，与辅锅炉、废气锅炉蒸汽发生系统相匹配。 仿真界面可完成如下功能：系统管路图的完整显示。压力等数值显示。系统阀件操作。设备的操作面板显示与操作</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 燃油系统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燃油系统主要由燃油贮存、驳运、净化、供给等单元组成。</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可以实现的仿真功能：.温度或粘度调节器具有PID 调节作用，控制系统具有良好的动态特性。不同的设备和管路由不同的颜色标识、阀的开和关、设备的启停在系统监控图上由不同颜色标识。系统具有与实船相同的操作界面，包括加油，油舱加热，警报和参数设定界面，并具有实船相同的操作功能。PID 粘度调节器的输出有蒸汽阀开度值显示。能调整给定值、比例带、积分时间等参数。各种油柜和设备的放残及溢流显示。分油机控制箱面板与实船操作面板基本相同。分油机正常操作及状态显示。分油机故障报警与处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 滑油系统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滑油系统主要由滑油贮存、驳运、净化、供给等单元组成。主要包含以下主要内容：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以实现的仿真功能：流程图上显示油温、油压等参数。温度调节器具有PID调节功能，可进行参数修改。不同的设备和管路由不同的颜色标识．阀的开和关，设备的启停在系统监控图上由不同颜色标识。分油机控制箱面板与实船操作面板基本相同。分油机正常操作及状态显示。分油机的故障报警与处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 船舶电站系统</w:t>
      </w:r>
      <w:r>
        <w:rPr>
          <w:rFonts w:ascii="SimSun" w:hAnsi="SimSun" w:eastAsia="SimSun" w:cs="SimSun"/>
          <w:b/>
          <w:color w:val="000000"/>
          <w:sz w:val="21"/>
        </w:rPr>
        <w:t xml:space="preserve">（软件部分）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要有配套齐全的柴油发电机组系统模拟界面和配电板模拟界面，包括发电机和应急发电机系统及控制屏、同步屏、负载屏、组合起动屏、照明负载屏。</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主电网仿真功能：机旁控制箱、主配电板、控制终端监控屏三处操作。实时显示：功率、转速、排气温度、滑油压力、气缸冷却水出口温度、扫气压力、透平转速、每台发电机的累计运行时间。主配电板上能动态显示电压、频率和电流等数据。发电机组的手动启/停和自动启/停。可以手动调频调载，自动调频调载，自动分级卸载。具有短路、过载和逆功率等保护。能实现电力管理系统的自动功能。备用机组的准备。运行柴油机组的故障保护。岸电与船电的连锁关系。故障报警与处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B.应急电网仿真功能：应急发电机的手动、自动、模拟试验操作。应急电网和主电网间连锁功能。24V 控制系统供电模拟。故障报警与处理。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 日用海淡水系统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日用淡水系统可完成如下仿真功能：日用淡水系统管路图显示。日用淡水系统日常操作维护的模拟。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日用海水系统可完成如下仿真功能：日用海水系统管路图显示。日用海水系统日常操作维护的模拟。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 防海生物污染系统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防海生物污染系统包括电极、保护单元、接线箱等。 系统仿真功能包括：系统管路图显示。系统的操作模拟。系统的电极消耗模拟。系统的电压电流调节模拟。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12）强制电流阴极保护系统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强制电流阴极保护系统包括参考单元、电极、监视单元、轴接地系统等。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系统仿真功能有：系统管路图的展示。系统电极电流电压控制过程与操作模拟。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 火灾检测报警系统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要求绘出火灾检测报警系统主机的控制面板，给出多种火灾探头的接线图，可以进行如实船的操作，显示与报警，并与其他系统联动。</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 机舱细水雾系统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需实现的仿真功能有：系统管路图的显示。泵阀的操作。设备控制面板的显示。设备的操作。细水雾系统的手动操作与自动功能。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15)机舱通风系统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给出主机舱等的风机启动/停用，防火风闸打开/关闭模拟操作与状态显示界面。如果风机的控制箱设在同一个舱室，则需要绘出控制箱的操作界面并可操作显示。</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16)压载水及处理系统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压载水及处理系统的操作界面要求与母型船的相同，并具有相同的操作响应。需完成的仿真功能有：系统管路图显示。压载泵及调拨阀箱各阀件的操作及状态显示。压载舱液位显示。压载水处理系统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2.9.3 三维端软件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梳理母型船的相关图纸、照片等资料，构建了船舶主要系统的三维数字孪生体，具体包括：推进系统、监测报警系统、燃滑油系统(包括驳运、净化与供给)、海淡水系统、压缩空气系统、锅炉油、水和汽系统、压载与消防系统、甲板机械、电力系统(包括主配电板、应急配电板、岸电)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三维操作与交互功能，具体制作的舱室含主机舱各层(主机舱一层，二层，三层，四层，机舱棚)，集控室，主配电板间，分油机间，推进驱动器舱，推进器室，应急发电机室，艉液压泵站等的三维制作与交互操作，含机舱资源管理失电，火灾，局部细水雾，机舱进水、瘫船等特效。实现虚拟机舱实时漫游。实现虚拟机舱操作及交互，与二维轮机训练系统及轮机训练系统硬件连接，仿真过程实时同步响应。</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2.9.4 基于网络的训练与考评平台</w:t>
      </w:r>
      <w:r/>
    </w:p>
    <w:p>
      <w:pPr>
        <w:ind w:left="0" w:right="181"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训练与考评平台实现电力推进船模拟软件的综合调度与管理，并具备智能考评功能。实现局域网内上述模拟器软件提供使用授权，用于对各网络终端进行初始环境设置、运行监控、故障设置、分组协作、考核评估等基本功能，具有练习模式与考试模式，能够保存当前系统的全息运行状态，并可供需要时加载使用；考试模式时状态加载从服务器下载；训练时状态加载优先选择本地；能够实现独立运行模式、团队运行模式或组合运行模式；训练场景可灵活编辑，加载，同步及保存；能够在线设置故障与状态，可预先编制到情景中在练习过程中自动触发；能够以练习为单位进行训练</w:t>
      </w:r>
      <w:r>
        <w:rPr>
          <w:rFonts w:ascii="SimSun" w:hAnsi="SimSun" w:eastAsia="SimSun" w:cs="SimSun"/>
          <w:color w:val="000000"/>
          <w:sz w:val="22"/>
        </w:rPr>
        <w:t xml:space="preserve">与评估；练习可编辑与修改；能够提供评判结果和扣分细项报告；评分标准可修改。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2.10 桌面版船舶高压电力推进模拟器</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桌面版模拟器40套，每套提供2个大于23英寸2K人机交互界面及工位，可灵活配置二维、三维软件的显示与交互，控制器主机参数为：16G内存，512G固态硬盘，有线键鼠等。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 局域网版</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①安装到设备所在房间的控制终端中，用于多人协作和单人训练管理与考评，实现教练员软件的功能。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完成对评估与训练的注册登录、权限设置、时间同步、在线监控、操作回放、出题选题、自动评分、程序更新。平台具有多人协作信息交互、状态同步、组队训练、网络化监视、自动化管理与配置、操作记录和回放等功能。可通过该平台集中控制整个模拟器实现初始训练环境设置，训练过程控制，系统投入和解除控制，状态监视，记录打印，评估考核，包括整个设备的运行、停止、冻结、回放、记录和运行方式选择功能；具有系统故障设置功能，可以进行故障列表检索、故障分组编辑、故障设置、故障模拟（包括故障现象和故障处理过程监视）、故障排除（包括故障处理鉴</w:t>
      </w:r>
      <w:r>
        <w:rPr>
          <w:rFonts w:ascii="SimSun" w:hAnsi="SimSun" w:eastAsia="SimSun" w:cs="SimSun"/>
          <w:color w:val="000000"/>
          <w:sz w:val="22"/>
        </w:rPr>
        <w:t xml:space="preserve">别、故障完成复位和故障强制复位）等功能；能够实现不限数量的模拟工况的存储和初始化。</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进行考评、回放和启停控制与考评管理。可对各控制终端进行相应的协作角色配置和任务分配，可设定各自不同的练习或考评项目，可以独立或协作配合完成练习或考评项目。可以让学员或考生随时随地进行单机或多人组船联合训练或评估。在多人协作时具有状态加载、同步与保存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整个系统架构采用高效分布式模式，在相应的控制终端中安装有服务端、用户端等软件。在指定的控制终端上安装有服务端程序，负责各用户端所在控制终端的分组，管理网络环境下的同步运行，各终端的状态监控。用户端管理模拟软件的模型端，二维端，三维端，硬件端的使用。</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⑤提供模拟软件，供在线网络授权运行，实现基于网络的在线多人协作与单人训练。</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 用户端功能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用户端也称客户端。用户端软件设计要做到人机界面精致友好，美观大方，操作方便快捷。具有用户登录，运行控制，分组协作，状态显示，操作记录，信息交互，训练管理，故障与变量设置等功能。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 服务端功能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服务端程序要能满足上述技术规格书的相关要求，负责协同各用户端的实时训练，实时统计在线用户，负责记录训练结束后的数据统计等，同时还要具有系统初始化、监管与设置等功能。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 硬件端软件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用于IO板卡的集中管理，负责模型端与硬件通信交互的接口与管理程序，用于针对模拟器采集与输出板卡的调试、测试、运行与监控管理。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软件中的颜色显示规定：板卡激活时，正常运行显示为绿色，故障为红色。低功耗运行模式时为浅绿色。输出同步指示灯在软硬件不同步时为淡黄色。输入与模拟器状态不同时，相应输入通道值或板卡显示黄色（提示方式可调，要求便于容易查找和看到）。</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四、商务要求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（一）服务期及交货地点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1.服务期限（交付时间/完成时间）：</w:t>
      </w:r>
      <w:r>
        <w:rPr>
          <w:rFonts w:ascii="SimSun" w:hAnsi="SimSun" w:eastAsia="SimSun" w:cs="SimSun"/>
          <w:color w:val="000000"/>
          <w:sz w:val="21"/>
        </w:rPr>
        <w:t xml:space="preserve">自合同正式签订</w:t>
      </w:r>
      <w:r>
        <w:rPr>
          <w:rFonts w:ascii="SimSun" w:hAnsi="SimSun" w:eastAsia="SimSun" w:cs="SimSun"/>
          <w:color w:val="000000"/>
          <w:sz w:val="21"/>
        </w:rPr>
        <w:t xml:space="preserve">之日</w:t>
      </w:r>
      <w:r>
        <w:rPr>
          <w:rFonts w:ascii="SimSun" w:hAnsi="SimSun" w:eastAsia="SimSun" w:cs="SimSun"/>
          <w:color w:val="000000"/>
          <w:sz w:val="21"/>
        </w:rPr>
        <w:t xml:space="preserve">起，90个日历天内供货安装调试完成</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2.交付地点：江苏海事职业技术学院</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（二）质量保证期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本标段通过验收后软硬件质保期均为5年。质量保证期内，系统出现故障，供应商接到采购人通知后，应立即进行诊断和维护，提供应急策略，并在48小时之内到达现场修理，所需费用全部由供应商负担。若出现重大故障，系统不能正常工作，质量保证期从系统修复后起重新计算。</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在质量保证期内，如供应商被兼并或收购，应保证兼并或收购方继续对采购人履行服务。如出现系统软件或硬件停产，应提前1年告采购人。</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质量保证期后终身提供优惠的技术支持和维修服务，保证采购人能及时购买所需的备品备件和易损件。货物的维修、部件更换只收取材料成本费用；维修工时费终身全免，软件部分提供终身免费升级更新。</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质量保证期内设备如发生故障，供应商必须保证采购人在5个工作日内得到修复（以报修时间算起）。若5个工作日内无法修复，则系统或设备质量保证期由此故障修复之日重新开始。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供应商须认真理解上述保修要求，详细列出保修方案和相应的系统应急方案，一经应答将作为合同的一部分。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 供应商如果是代理商，中标后则必须提供设备原厂商对本项目正式服务承诺说明的原件（至少包括服务内容、期限、费用等）。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 供应商应说明质量保证期结束后的技术支持与服务的内容、方式和收费标准。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（三）售后服务</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终身向采购人提供旨在提高系统可用性的持续支持服务。这种服务包括热线服务、升级服务和重建服务等，供应商应履行提供的服务完全符合合同中的承诺。若实际提供服务达不到合同要求，采购人有权采取相应惩罚措施直至退货。供应商应详细列出相关服务条款，对任何一项服务详细说明最低承诺和服务的先决条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供应商必须详细说明下列系统维护服务内容：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质量保证期内服务的方式、范围（包括产品和技术等）。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质量保证期后服务的方式、范围及费用（包括产品和技术等）。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（四）项目实施方案</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保障项目有序推进、按期保质完成全部建设交付工作，并提出应对项目整体实施过程、设备安装方案、计划进度、货源保障、生产排期、物流配送、质量管控、工期保障、应急供货、到货验收、备品备件服务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供应商必须详细说明下列项目实施相关内容：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1）实施过程：阐述前期对接、方案交底等，实现项目闭环管理。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2）进度计划：提供关键节点的项目进度计划，确保项目按期推进。</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3）货源保障与生产排期：结合交付节点制定生产排期，防范供货中断风险。</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4）工期保障：落实工期风险预判，制定风险应对预案，保障项目按期完工。</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5）物流配送：做好设备防护，保障货物完好送达现场。</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6）设备安装方案：列明项目设备现场安装流程，现场防护保障设备规范安装。</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7）质量管控：到货核查、安装调试全流程质量管控机制，列明检查要点与检验标准。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8）到货验收：明确到货清点、外观核查、资料核验、开箱检验的流程与标准，列明验收资料清单，规范到货验收工作。</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9）应急供货：编制应急供货预案，应对供货短缺、设备损坏等突发情况。</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10）备品备件服务：说明备品备件配置、库存保障、更换响应及备件质保要求，保障运维阶段备件及时供应。</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（五）质量保证方案</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对所提供的产品具有完善的质量保证方案，有效规避设备生产、运输、安装及质保阶段各类质量风险，保障设备性能稳定可靠。方案应对质量管理制度、全过程质量管控流程、运输质量防护、现场安装质量把控、质量问题整改、质保期服务保障等相关措施进行详细说明。</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供应商必须详细说明下列质量保证相关内容：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1）质量管理制度：说明本项目执行的质量管理制度、岗位职责，明确质量管控责任体系，落实各岗位质量责任。</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2）全过程质量管控流程：阐述覆盖设备运输、现场实施、质保服务全周期的质量管控流程，明确各环节管控节点与管控要求。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3）运输质量防护：说明设备包装、转运、运输途中的防护措施，做好防震、防潮、防磕碰处理，避免运输环节造成设备损坏。</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4）现场安装质量把控：明确现场安装调试环节质量检查要点，保障安装质量。</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5）质量问题整改：针对各阶段可能存在的质量缺陷，整改处置，确保质量问题处置到位。</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6）质保期服务保障：说明质保周期内质量问题响应、故障处置、维修更换等保障措施，保障质保期内设备稳定运行。</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（六）技术培训：</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1)供应商负责采购人技术人员（不少于10人）和管理人员（不少于3人）的培训。</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2)操作维护培训和系统专业培训内容应包括所提供设备的原理和技术性能、操作和使用方法、软件升级、维护维修、故障排除、</w:t>
      </w:r>
      <w:r>
        <w:rPr>
          <w:rFonts w:ascii="SimSun" w:hAnsi="SimSun" w:eastAsia="SimSun" w:cs="SimSun"/>
          <w:color w:val="000000"/>
          <w:sz w:val="21"/>
        </w:rPr>
        <w:t xml:space="preserve">试验和测试方法</w:t>
      </w:r>
      <w:r>
        <w:rPr>
          <w:rFonts w:ascii="SimSun" w:hAnsi="SimSun" w:eastAsia="SimSun" w:cs="SimSun"/>
          <w:color w:val="000000"/>
          <w:sz w:val="22"/>
        </w:rPr>
        <w:t xml:space="preserve">等方面，并提供全套培训教材和培训课程计划表。</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（七）其他要求：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1.本项目中，所有供货设备的安装、调试工作由中标方完成。</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投标报价应包括人工费、材料费、现场改造费，机械设备费、运输费、验收费、技术服务费（包括、安装调试、技术资料、图纸提供等）、保险费、措施费、规费及税金等一切费用（即报价内容均涵盖报价要求之一切费用和伴随服务），供应商应充分考虑所有可能影响到报价的价格及政策等风险因素，一旦中标，一律不予调整。</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应提供服务运行成本和费用测算以及服务成本、测算依据说明。报价应包含完成本次招标发生的所有含税费用、支付给员工的工资和国家强制缴纳的各种社会保障资金，以及为完成采购文件规定的服务工作所涉及到的一切相关费用。</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3）供应商的任何错漏、优惠、竞争性报价不得作为减轻责任、减少服务、增加收费、降低质量的理由。</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4）供应商报价除包含采购文件中列明的项目外还应包括保障服务正常运行应当具有的物资和服务，对服务正常运行应当具有的物资和服务理解不一致的以采购人理解为准。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5）本项目采购方不统一组织现场勘察，供应商可自行前往江苏海事职业技术学院勘察，中标后，供应商不得以未踏勘现场或未明确服务范围或项目实施现场情况不熟悉等理由进行投标报价调整。</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（六）验收标准：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验收规范</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依据合同约定的功能、性能指标及技术规格，符合招标文件要求。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参照相关的法规，符合海事局船员培训管理规则设备要求，满足海船船员适任评估规范（2024版）（轮机专业和船舶电子电气技术专业）相应设施设备的要求。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验收步骤</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工程验收分为到货验收、系统测试、系统试运行和项目验收，各阶段验收前需向采购人提交验收申请及验收大纲，经采购人同意后方可开展验收工作，在上一阶段验收合格后方可进入下一阶段工作。</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到货验收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必须提供设备原产地出厂文件，必须保证设备是合同签订后出厂的最新产品。采购人与供应商在设备到货后共同进行开箱检查，当出现损坏、数量不全或产品不对等问题时，由供应商负责解决；如上述证明文件或相关手续不全，或出现不是最新出厂的产品，或不符合标书和合同要求的严重质量问题时，供应商应无偿及时更换，同时采购人保留索赔的权利。</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2)采购人依标书技术部分要求对全部设备的型号、规格、数量、外型、包装及资料、文件（如装箱单、保修单、随箱介质等）进行验收。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3)供应商需确保所有硬件设备在标书中所规定的地点和环境下，可正常运行，并达到标书要求的性能和产品技术规格中的性能要求。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4)设备到货验收中如出现性能指标或功能上不符合合同要求时，采购人有拒收的权利。</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5)到货验收后，由采购人签署到货验收文件。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系统测试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1)在整个工程现场安装调试完成后，在系统测试验收开始之前，供应商应按照相关验收规范向采购人提供系统测试大纲，至少应包括以下内容：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(1)测试说明，明确测试对象及其应该达到的测试指标。</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(2)测试方法和测试条件。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(3)测试意见及结论。</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2)系统测试大纲需经采购人同意后，供应商与采购人共同按照系统测试大纲进行现场测试。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3)单项测试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由采购人与供应商组织相关单位对合同主要设备及软件的主要技术指标进行测试。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4)系统测试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由采购人与供应商组织相关单位按照合同文件的要求对系统进行总体功能和性能测试。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系统测试结果必须满足合同的技术和功能要求。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5)运行测试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在完成单项测试和系统测试后，进行整个系统的4小时连续或间断运行测试。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6)测试不合格的处理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单项测试不合格，由中标人免费负责修复和更换。</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系统测试和运行测试不合格，由中标人免费修复后，经采购人同意后方可重新测试。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系统测试验收后，签署系统测试验收文件。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系统试运行</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测试验收合格后，由供应商对采购人相关人员进行技术培训，保证相关人员可熟练操作，由采购人进行试运行。供应商安排现场指导人员，并负责解决系统试运行期间出现的各种故障。在试运行期间，由于设备质量等造成性能指标达不到要求，采购人有权要求供应商进行更换或修复，所发生费用由供应商负担，且试运行期顺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系统试运行完成后，供应商提交试运行报告。</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 项目验收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系统试运行合格后，进行项目试运行，试运行期为12小时。如试运行期间出现问题，应由采购人协调供应商解决。</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整体试运行合格后，由采购人组织项目验收，由采购人组织相关部门进行联合验收。由供应商提交项目验收所需文件资料。项目验收会由采购人按相关规定组织召开，并形成项目验收意见。</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若项目验收不合格，应由采购人协调相关供应商解决，并重新组织项目验收。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 文件资料</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向采购人提供所有软硬件系统和服务的详细文件资料。包括设备清单、产品出厂合格证书或产品证书、外视图、原理图、测试报告、用户手册（含安装，操作与维护说明）。如发生软件升级及设备升级、扩展等有关情况，投标人应向采购人提供必要的技术资料。</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除设备供应商的原始文件资料外，其它文件资料必须采用中文书写。所有的文件资料可以使用纸质或电子文档等形式提供。</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用户手册应具有：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1)规范性：用户文档描述规范，有版本控制和修改记录。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2)符合性：用户文档、需求和设计文档应高度符合。</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3)完整性：用户手册内容基本完整，对具体操作的说明比较详细。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4)一致性：用户手册的描述与软硬件的实际功能基本一致，对重要功能的说明比较全面，用户手册中具有产品版本号描述。</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5)易理解程度：用户手册对操作有图例和文字说明，较易理解。</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6)印刷与包装质量：用户手册的印刷精美。</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7)操作实例：用户手册提供详细的应用实例。</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（七）付款方式</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自合同正式签订生效之日起，供货完成后15个工作日内采购人向供应商支付合同金额的30％，设备到位安装验收合格后15个工作日支付合同金额的60％，在设备稳定运行八个月后一次性付清剩余款项。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合同条款及格式</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政府采购合同（货物）</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甲方：（买方）江苏海事职业技术学院</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甲、乙双方根据</w:t>
      </w:r>
      <w:r>
        <w:rPr>
          <w:rFonts w:ascii="SimSun" w:hAnsi="SimSun" w:eastAsia="SimSun" w:cs="SimSun"/>
          <w:color w:val="000000"/>
          <w:sz w:val="21"/>
        </w:rPr>
        <w:t xml:space="preserve">中高压电力推进实训平台采购</w:t>
      </w:r>
      <w:r>
        <w:rPr>
          <w:rFonts w:ascii="SimSun" w:hAnsi="SimSun" w:eastAsia="SimSun" w:cs="SimSun"/>
          <w:color w:val="000000"/>
          <w:sz w:val="21"/>
        </w:rPr>
        <w:t xml:space="preserve">项目采购结果，签署本合同。</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一、合同内容</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标的名称：</w:t>
      </w:r>
      <w:r>
        <w:rPr>
          <w:rFonts w:ascii="SimSun" w:hAnsi="SimSun" w:eastAsia="SimSun" w:cs="SimSun"/>
          <w:color w:val="000000"/>
          <w:sz w:val="21"/>
        </w:rPr>
        <w:t xml:space="preserve">中高压电力推进实训平台采购</w:t>
      </w:r>
      <w:r>
        <w:rPr>
          <w:rFonts w:ascii="SimSun" w:hAnsi="SimSun" w:eastAsia="SimSun" w:cs="SimSun"/>
          <w:color w:val="000000"/>
          <w:sz w:val="21"/>
        </w:rPr>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标的质量：详见采购文件</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标的数量（规模）：详见采购文件</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履行时间（期限）：</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履行地点：江苏海事职业技术学院内</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履行方式：详见采购文件</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包装方式：详见采购文件</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本合同金额为（大写）：____________________ （____________________元）人民币。</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三、技术资料</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乙方应按招标文件规定的时间向甲方提供使用货物(包含与货物相关的服务)的有关技术资料。</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四、知识产权</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五、产权担保</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乙方保证所交付的货物（包含与货物相关的服务）的所有权完全属于乙方且无任何抵押、查封等产权瑕疵。</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六、履约保证金</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本项目不要求提供履约保证金。</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七、合同转包或分包</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乙方不得将合同标的转包给他人履行。</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乙方不得将合同标的分包给他人履行。</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乙方如有转包或未经甲方同意的分包行为，甲方有权终止合同。</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八、合同款项支付</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自合同正式签订生效之日起，供货完成后15个工作日内甲方向乙方支付合同金额的30％，设备到位安装验收合格后15个工作日支付合同金额的60％，在设备稳定运行八个月后一次性付清剩余款项。</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九、税费</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本合同执行中的相关税费均由乙方负担。</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十、质量保修范围和保修期及售后服务</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乙方应按招标文件规定的货物性能、技术要求、质量标准向甲方提供未经使用的全新产品。</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乙方提供的货物在质保期内因货物本身的质量问题发生故障，乙方应负责免费更换。对达不到技术要求者，根据实际情况，经双方协商可按以下方式处理：</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10.2.1 更换：由乙方承担所发生的全部费用。</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10.2.2 贬值处理：由甲乙双方合议定价。</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10.2.3 退货处理：乙方应退还甲方支付的合同款，同时应承担该货物的直接费用（运输、保险、检验、货款利息及银行手续费等）。</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如在使用过程中发生质量问题，乙方应在接到甲方通知后</w:t>
      </w:r>
      <w:r>
        <w:rPr>
          <w:rFonts w:ascii="SimSun" w:hAnsi="SimSun" w:eastAsia="SimSun" w:cs="SimSun"/>
          <w:color w:val="000000"/>
          <w:sz w:val="21"/>
          <w:u w:val="single"/>
        </w:rPr>
        <w:t xml:space="preserve"> 4 </w:t>
      </w:r>
      <w:r>
        <w:rPr>
          <w:rFonts w:ascii="SimSun" w:hAnsi="SimSun" w:eastAsia="SimSun" w:cs="SimSun"/>
          <w:color w:val="000000"/>
          <w:sz w:val="21"/>
        </w:rPr>
        <w:t xml:space="preserve">小时内到达甲方现场。</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质保期内，乙方应对货物出现的质量及安全问题负责处理解决并承担一切费用。</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质保期为自交货验收合格之日起</w:t>
      </w:r>
      <w:r>
        <w:rPr>
          <w:rFonts w:ascii="SimSun" w:hAnsi="SimSun" w:eastAsia="SimSun" w:cs="SimSun"/>
          <w:color w:val="000000"/>
          <w:sz w:val="21"/>
          <w:u w:val="single"/>
        </w:rPr>
        <w:t xml:space="preserve">（与乙方响应文件中承诺的质保期限一致）</w:t>
      </w:r>
      <w:r>
        <w:rPr>
          <w:rFonts w:ascii="SimSun" w:hAnsi="SimSun" w:eastAsia="SimSun" w:cs="SimSun"/>
          <w:color w:val="000000"/>
          <w:sz w:val="21"/>
        </w:rPr>
        <w:t xml:space="preserve">年，因人为因素出现的故障不在质保范围内。超过质保期的乙方负责终生维修，维修时只收取部件成本费。</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十一、项目验收</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甲方依法组织履约验收工作。</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对于实际使用人和甲方分离的项目，甲方邀请实际使用人参与验收。</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 如有必要，甲方可邀请参加本项目投标的其他供应商或第三方专业机构及专家参与验收，相关意见将作为验收结论的参考。</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甲方成立验收小组，按照采购合同约定及投标文件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挂钩。履约验收的各项资料存档备查。</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十二、货物的包装、发运及运输</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使用说明书、质量检验证明书、随配附件和工具以及清单一并附于货物内。</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乙方在货物发运手续办理完毕后24小时内或货到甲方48小时前通知甲方，以准备接货。</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货物在交付甲方前发生的风险均由乙方负责。</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 货物在规定的交付期限内由乙方送达甲方指定的地点视为交付，乙方同时需通知甲方货物已送达。</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十三、违约责任</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甲方违约责任</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13.1.1 甲方未按合同规定的期限向乙方支付货款的，每逾期1天甲方向乙方偿付欠款总额的5‰滞纳金，但累计滞纳金总额不超过欠款总额的5%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乙方违约责任</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13.2.1 如乙方不能交付货物、完成安装调试的，甲方有权扣留全部履约保证金；同时乙方应向甲方支付合同总价5%的违约金。</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 乙方逾期交付的，每逾期1天，乙方向甲方偿付合同总额的5‰的滞纳金。如乙方逾期交付达10天，甲方有权解除合同，解除合同的通知自到达乙方时生效。</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13.2.3 乙方所交付的货物品种、型号、规格不符合合同规定的，甲方有权拒收。甲方拒收的，乙方应向甲方支付货款总额5%的违约金。甲方未拒收的，交易中心发现后将向有关部门反映，并责成乙方按照采购结果提供货物和服务，同时视情给予不退还部分或全部履约保证金、暂停一至三年参加江苏海事职业技术学院的政府采购活动的处理。</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13.2.4 在乙方承诺的或国家规定的质量保证期内（取两者中最长的期限），如经乙方两次维修或更换，货物仍不能达到合同约定的质量标准，甲方有权退货，乙方应退回全部货款，并按第1款处理，同时，乙方还须赔偿甲方因此遭受的损失。</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13.2.5 乙方未按本合同第8条的规定向甲方交付履约保证金的，应按应交付履约保证金的100%向甲方支付违约金，该违约金的支付不影响乙方应承担的其他违约责任。</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13.2.6 乙方未按本合同的规定和“服务承诺”提供伴随服务/售后服务的，应按合同总价款的5%向甲方承担违约责任。</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13.2.7 乙方在承担上述2-5款一项或多项违约责任后，仍应继续履行合同规定的义务（甲方解除合同的除外）。甲方未能及时追究乙方的任何一项违约责任并不表明甲方放弃追究乙方该项或其他违约责任。</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13.2.8 乙方投标属虚假承诺，或经权威部门监测提供的货物不能满足招标文件要求，或是由于乙方的过错造成合同无法继续履行的，乙方履约保证金不予退还外，还应向甲方支付不少于合同总价30%赔偿金。</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十四、不可抗力事件处理</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在合同有效期内，任何一方因不可抗力事件导致不能履行合同，则合同履行期可延长，其延长期与不可抗力影响期相同。</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不可抗力事件发生后，应立即通知对方并寄送有关权威机构出具的证明。</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不可抗力事件延续120天以上，双方应通过友好协商确定是否继续履行合同。</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十五、解决争议的方法</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甲乙双方因合同签订、履行而发生的一切争议，应通过友好协商解决。协商不成的由甲方住所地人民法院管辖。</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十六、合同生效及其它</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本合同经双方签字并盖章后生效。</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本合同未尽事宜，遵照《中华人民共和国民法典》《中华人民共和国政府采购法》有关条文执行。</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本合同正本一式肆份，具有同等法律效力，甲方、乙方各执两份。</w:t>
      </w:r>
      <w:r/>
    </w:p>
    <w:p>
      <w:pPr>
        <w:ind w:left="0" w:right="0" w:firstLine="42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甲方：（盖章）乙方：（盖章） </w:t>
      </w:r>
      <w:r/>
    </w:p>
    <w:p>
      <w:pPr>
        <w:ind w:left="0" w:right="0" w:firstLine="42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地址：地址： </w:t>
      </w:r>
      <w:r/>
    </w:p>
    <w:p>
      <w:pPr>
        <w:ind w:left="0" w:right="0" w:firstLine="42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法定代表人或授权代表：法定代表人或授权代表：</w:t>
      </w:r>
      <w:r/>
    </w:p>
    <w:p>
      <w:pPr>
        <w:ind w:left="0" w:right="0" w:firstLine="42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联系电话：联系电话：</w:t>
      </w:r>
      <w:r/>
    </w:p>
    <w:p>
      <w:pPr>
        <w:ind w:left="0" w:right="0" w:firstLine="42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日期：</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投标文件格式</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投 标 文 件</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 目 名 称：</w:t>
      </w:r>
      <w:r>
        <w:rPr>
          <w:rFonts w:ascii="SimSun" w:hAnsi="SimSun" w:eastAsia="SimSun" w:cs="SimSun"/>
          <w:b/>
          <w:color w:val="000000"/>
          <w:sz w:val="32"/>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 目 编 号：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供应商名称 ：</w:t>
      </w:r>
      <w:r>
        <w:rPr>
          <w:rFonts w:ascii="SimSun" w:hAnsi="SimSun" w:eastAsia="SimSun" w:cs="SimSun"/>
          <w:color w:val="000000"/>
          <w:sz w:val="28"/>
          <w:u w:val="single"/>
        </w:rPr>
        <w:t xml:space="preserve">（加盖CA电子公章）</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法人（授权代表）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联系电话：</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 期：</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资格性和符合性检查响应对照及评分索引表</w:t>
      </w:r>
      <w:r/>
    </w:p>
    <w:p>
      <w:pPr>
        <w:ind w:left="0" w:right="0" w:firstLine="0"/>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供应商全称（加盖公章）：</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87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资格性和符合性检查响应内容</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是否响应</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（填是或者否）</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投标文件中的页码位置</w:t>
            </w:r>
            <w:r/>
          </w:p>
        </w:tc>
      </w:tr>
      <w:tr>
        <w:trPr>
          <w:trHeight w:val="8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5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 投标函</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投标函</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致：江苏海事职业技术学院</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rPr>
        <w:t xml:space="preserve">中高压电力推进实训平台采购</w:t>
      </w:r>
      <w:r>
        <w:rPr>
          <w:rFonts w:ascii="SimSun" w:hAnsi="SimSun" w:eastAsia="SimSun" w:cs="SimSun"/>
          <w:color w:val="000000"/>
          <w:sz w:val="21"/>
        </w:rPr>
        <w:t xml:space="preserve">（项目编号：）的招标文件，正式授权下述签字人____________（姓名和职务）代表我方____________（供应商的名称），全权处理本次项目投标的有关事宜。</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据此函，供应商宣布同意如下：</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1.按招标文件规定的各项要求，向买方提供所需货物与服务。</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2.我们完全理解贵方不一定将合同授予最低报价的供应商。</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3.我们已详细审核全部招标文件及其有效补充文件，我们知道必须放弃提出含糊不清或误解问题的权利。</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4.我们同意从规定的开标日期起遵循本投标文件，并在规定的投标有效期期满之前均具有约束力。</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5.如果在开标后规定的投标有效期内撤回投标或中标后拒绝签订合同，我们的投标保证金可被贵方没收。</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6.同意向贵方提供贵方可能另外要求的与投标有关的任何证据或资料，并保证我方已提供和将要提供的文件是真实的、准确的。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7.一旦我方中标,我方将根据招标文件的规定，严格履行合同的责任和义务,并保证在招标文件规定的时间完成项目，交付买方验收、使用。</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8.一旦我方中标,我方承诺合同签订后所提供产品将等于或优于投标时所响应的产品，并满足采购人要求。</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9.遵守招标文件中要求的收费项目和标准。</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10.与本投标有关的正式通讯地址为：</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供应商开户行：</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账户：</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供应商授权代表姓名（签字）： </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 </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日期：________年____月____日</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6.2 投标一览表</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投标一览表</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供应商全称（加盖公章）：</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Arial" w:hAnsi="Arial" w:eastAsia="Arial" w:cs="Arial"/>
          <w:color w:val="000000"/>
          <w:sz w:val="21"/>
          <w:highlight w:val="white"/>
        </w:rPr>
        <w:t xml:space="preserve">中高压电力推进实训平台采购</w:t>
      </w:r>
      <w:r>
        <w:rPr>
          <w:rFonts w:ascii="SimSun" w:hAnsi="SimSun" w:eastAsia="SimSun" w:cs="SimSun"/>
          <w:color w:val="000000"/>
          <w:sz w:val="21"/>
        </w:rPr>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57"/>
        <w:gridCol w:w="2199"/>
        <w:gridCol w:w="1261"/>
        <w:gridCol w:w="2517"/>
      </w:tblGrid>
      <w:tr>
        <w:trPr>
          <w:trHeight w:val="702"/>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357"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品名</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19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（元，含税）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增值税率</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517"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64"/>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357"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9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517"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4"/>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357"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3"/>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977" w:type="dxa"/>
            <w:vAlign w:val="center"/>
            <w:textDirection w:val="lrTb"/>
            <w:noWrap w:val="false"/>
          </w:tcPr>
          <w:p>
            <w:pPr>
              <w:ind w:left="0" w:right="0" w:firstLine="25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tc>
      </w:tr>
      <w:tr>
        <w:trPr>
          <w:trHeight w:val="639"/>
        </w:trPr>
        <w:tc>
          <w:tcPr>
            <w:gridSpan w:val="2"/>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55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供应商是否属于小微型企业</w:t>
            </w:r>
            <w:r/>
          </w:p>
        </w:tc>
        <w:tc>
          <w:tcPr>
            <w:gridSpan w:val="2"/>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377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（填写“是”或“否）</w:t>
            </w:r>
            <w:r/>
          </w:p>
        </w:tc>
      </w:tr>
    </w:tbl>
    <w:p>
      <w:pPr>
        <w:ind w:left="0" w:right="0" w:firstLine="0"/>
        <w:jc w:val="right"/>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法定代表人（授权代表）签字：</w:t>
      </w:r>
      <w:r/>
    </w:p>
    <w:p>
      <w:pPr>
        <w:ind w:left="0" w:right="0" w:firstLine="58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填写说明：</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1、“供应商是否属于小微型企业”栏内填写“是”或“否”。如填写“是”，供应商需提供《中小企业声明函》、《残疾人福利性单位声明函》、《属于监狱企业的证明文件》。</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2、投标报价不得高于最高限价，超过最高限价将否决投标。报价保留小数点后两位。</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6.3分项报价表</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投标分项报价表</w:t>
        <w:br/>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0"/>
        <w:gridCol w:w="728"/>
        <w:gridCol w:w="728"/>
        <w:gridCol w:w="938"/>
        <w:gridCol w:w="980"/>
        <w:gridCol w:w="1106"/>
        <w:gridCol w:w="1385"/>
        <w:gridCol w:w="924"/>
        <w:gridCol w:w="1008"/>
        <w:gridCol w:w="966"/>
      </w:tblGrid>
      <w:tr>
        <w:trPr>
          <w:trHeight w:val="9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top"/>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交付期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tc>
      </w:tr>
      <w:tr>
        <w:trPr>
          <w:trHeight w:val="9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44"/>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7"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44"/>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3"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投标人为本采购项目提供的符合本国产品标准的产品成本之和占提供的全部产品成本之和的比例为   %</w:t>
            </w:r>
            <w:r/>
          </w:p>
        </w:tc>
      </w:tr>
    </w:tbl>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2.“投标分项报价表”中“投标总报价”数额应当与“开标一览表”中“投标总报价”数额一致。</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3.供应商需认真填写本报价表，尤其注意规格型号的准确填写。</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4.项目经办人可以根据项目实际需要对表格结构进行调整。</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5.本项目预算197.5万元，最高限价197.5万元。超过197.5万元视为无效投标，供应商须在分项报价表中列明费用。</w:t>
      </w:r>
      <w:r/>
    </w:p>
    <w:p>
      <w:pPr>
        <w:ind w:left="0" w:right="0" w:firstLine="3840"/>
        <w:jc w:val="right"/>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供应商全称（公章）:</w:t>
      </w:r>
      <w:r/>
    </w:p>
    <w:p>
      <w:pPr>
        <w:ind w:left="0" w:right="0" w:firstLine="3840"/>
        <w:jc w:val="right"/>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法定代表人（授权代表）签字：</w:t>
      </w:r>
      <w:r/>
    </w:p>
    <w:p>
      <w:pPr>
        <w:ind w:left="0" w:right="0" w:firstLine="4320"/>
        <w:jc w:val="right"/>
        <w:spacing w:before="5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br w:type="page" w:clear="all"/>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6.4 商务（服务）条款响应及偏离表</w:t>
      </w:r>
      <w:r/>
    </w:p>
    <w:p>
      <w:pPr>
        <w:ind w:left="0" w:right="0" w:firstLine="0"/>
        <w:jc w:val="center"/>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商务（服务）条款响应及偏离表</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供应商全称（公章）：</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Arial" w:hAnsi="Arial" w:eastAsia="Arial" w:cs="Arial"/>
          <w:color w:val="000000"/>
          <w:sz w:val="21"/>
          <w:highlight w:val="white"/>
        </w:rPr>
        <w:t xml:space="preserve">中高压电力推进实训平台采购</w:t>
      </w:r>
      <w:r>
        <w:rPr>
          <w:rFonts w:ascii="SimSun" w:hAnsi="SimSun" w:eastAsia="SimSun" w:cs="SimSun"/>
          <w:color w:val="000000"/>
          <w:sz w:val="21"/>
        </w:rPr>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8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供应商的承诺或说明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偏离情况</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320"/>
        <w:jc w:val="right"/>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320"/>
        <w:jc w:val="right"/>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5640"/>
        <w:jc w:val="right"/>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792" w:right="0" w:hanging="79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20"/>
        <w:spacing w:before="240" w:after="24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1．供应商应当逐条对照招标文件商务服务条款，就投标文件对商务条款存在的偏差与例外逐条做出说明；</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6.5 技术参数响应及偏离表</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技术参数响应及偏离表</w:t>
      </w:r>
      <w:r/>
    </w:p>
    <w:p>
      <w:pPr>
        <w:ind w:left="0" w:right="0" w:firstLine="0"/>
        <w:spacing w:before="120" w:after="24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供应商全称（公章): </w:t>
      </w:r>
      <w:r/>
    </w:p>
    <w:p>
      <w:pPr>
        <w:ind w:left="0" w:right="0" w:firstLine="0"/>
        <w:spacing w:before="120" w:after="24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Arial" w:hAnsi="Arial" w:eastAsia="Arial" w:cs="Arial"/>
          <w:color w:val="000000"/>
          <w:sz w:val="21"/>
          <w:highlight w:val="white"/>
        </w:rPr>
        <w:t xml:space="preserve">中高压电力推进实训平台采购</w:t>
      </w:r>
      <w:r>
        <w:rPr>
          <w:rFonts w:ascii="SimSun" w:hAnsi="SimSun" w:eastAsia="SimSun" w:cs="SimSun"/>
          <w:color w:val="000000"/>
          <w:sz w:val="21"/>
        </w:rPr>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8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供应商的承诺或说明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偏离情况</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3000"/>
        <w:jc w:val="right"/>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000"/>
        <w:jc w:val="right"/>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4080"/>
        <w:jc w:val="right"/>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spacing w:before="240" w:after="24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注：1．供应商应当逐条对照招标文件技术条款，就投标文件对技术条款存在的偏差与例外逐条做出说明；</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6.6 业绩情况表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9"/>
        <w:gridCol w:w="1559"/>
        <w:gridCol w:w="1559"/>
        <w:gridCol w:w="1559"/>
        <w:gridCol w:w="1559"/>
        <w:gridCol w:w="1559"/>
      </w:tblGrid>
      <w:tr>
        <w:trPr>
          <w:trHeight w:val="843"/>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合同签订单位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合同签订单位联系人</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合同签订单位联系电话</w:t>
            </w:r>
            <w:r/>
          </w:p>
        </w:tc>
      </w:tr>
      <w:tr>
        <w:trPr>
          <w:trHeight w:val="117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7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20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此表格式可根据评分准则要求进行调整，并将要求提供的证明材料扫描件附后</w:t>
      </w:r>
      <w:r>
        <w:rPr>
          <w:rFonts w:ascii="SimSun" w:hAnsi="SimSun" w:eastAsia="SimSun" w:cs="SimSun"/>
          <w:color w:val="000000"/>
          <w:sz w:val="24"/>
        </w:rPr>
        <w:t xml:space="preserve">。</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6.7 人员配备表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883"/>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相关证书</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相关经验</w:t>
            </w:r>
            <w:r/>
          </w:p>
        </w:tc>
      </w:tr>
      <w:tr>
        <w:trPr>
          <w:trHeight w:val="106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6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9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此表格式可根据评分准则要求进行调整，并将要求提供的证明材料扫描件附后。</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6.8 技术方案</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6.9 供应商认为有必要提供的文件材料</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 法定代表人授权委托书</w:t>
      </w:r>
      <w:r/>
    </w:p>
    <w:p>
      <w:pPr>
        <w:ind w:left="0" w:right="0" w:firstLine="482"/>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本授权书声明：____________（供应商名称）授权________________（被授权人的姓名、职务）为我方就</w:t>
      </w:r>
      <w:r>
        <w:rPr>
          <w:rFonts w:ascii="Arial" w:hAnsi="Arial" w:eastAsia="Arial" w:cs="Arial"/>
          <w:color w:val="000000"/>
          <w:sz w:val="21"/>
          <w:highlight w:val="white"/>
        </w:rPr>
        <w:t xml:space="preserve">中高压电力推进实训平台采购</w:t>
      </w:r>
      <w:r>
        <w:rPr>
          <w:rFonts w:ascii="SimSun" w:hAnsi="SimSun" w:eastAsia="SimSun" w:cs="SimSun"/>
          <w:color w:val="000000"/>
          <w:sz w:val="21"/>
        </w:rPr>
        <w:t xml:space="preserve">（项目编号：）采购活动的合法代理人，以本单位名义全权处理一切与该项目采购有关的事务。</w:t>
      </w:r>
      <w:r/>
    </w:p>
    <w:p>
      <w:pPr>
        <w:ind w:left="0" w:right="0" w:firstLine="482"/>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本授权书于______年____月____日起生效，特此声明。</w:t>
      </w:r>
      <w:r/>
    </w:p>
    <w:p>
      <w:pPr>
        <w:ind w:left="0" w:right="0" w:firstLine="0"/>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授权单位盖章：_________________________________</w:t>
      </w:r>
      <w:r/>
    </w:p>
    <w:p>
      <w:pPr>
        <w:ind w:left="0" w:right="0" w:firstLine="0"/>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单位名称：_____________________________________</w:t>
      </w:r>
      <w:r/>
    </w:p>
    <w:p>
      <w:pPr>
        <w:ind w:left="0" w:right="0" w:firstLine="0"/>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法人签字：_____________________________________</w:t>
      </w:r>
      <w:r/>
    </w:p>
    <w:p>
      <w:pPr>
        <w:ind w:left="0" w:right="0" w:firstLine="0"/>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代理人（被授权人）签字：_______________________</w:t>
      </w:r>
      <w:r/>
    </w:p>
    <w:p>
      <w:pPr>
        <w:ind w:left="0" w:right="0" w:firstLine="0"/>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职务：_____________________________________</w:t>
      </w:r>
      <w:r/>
    </w:p>
    <w:p>
      <w:pPr>
        <w:ind w:left="0" w:right="0" w:firstLine="0"/>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0"/>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日期：______年____月____日</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注：代理人应持本授权书参加投标，并提供一份原件在投标文件中。</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附：法人身份证扫描件（需同时提供正面及背面）</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59"/>
        <w:gridCol w:w="3759"/>
      </w:tblGrid>
      <w:tr>
        <w:trPr>
          <w:trHeight w:val="25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法人身份证扫描件正面</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法人身份证扫描件背面</w:t>
            </w:r>
            <w:r/>
          </w:p>
        </w:tc>
      </w:tr>
    </w:tbl>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附：委托代理人身份证扫描件（需同时提供正面及背面）</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59"/>
        <w:gridCol w:w="3759"/>
      </w:tblGrid>
      <w:tr>
        <w:trPr>
          <w:trHeight w:val="249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代理人身份证扫描件正面</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代理人身份证扫描件背面</w:t>
            </w:r>
            <w:r/>
          </w:p>
        </w:tc>
      </w:tr>
    </w:tbl>
    <w:p>
      <w:pPr>
        <w:ind w:left="0" w:right="0" w:firstLine="0"/>
        <w:jc w:val="both"/>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委托代理人社保证明材料：</w:t>
      </w:r>
      <w:r/>
    </w:p>
    <w:p>
      <w:pPr>
        <w:ind w:left="0" w:right="0" w:firstLine="0"/>
        <w:jc w:val="center"/>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附件2 具备履行合同所必需的设备和专业技术能力的书面声明</w:t>
      </w:r>
      <w:r/>
    </w:p>
    <w:p>
      <w:pPr>
        <w:ind w:left="0" w:right="0" w:firstLine="49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我公司郑重声明：我公司具备履行本项采购合同所必需的设备和专业技术能力，为履行本项采购合同我公司具备如下主要设备和主要专业技术能力：</w:t>
      </w:r>
      <w:r/>
    </w:p>
    <w:p>
      <w:pPr>
        <w:ind w:left="0" w:right="0" w:firstLine="49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 。</w:t>
      </w:r>
      <w:r/>
    </w:p>
    <w:p>
      <w:pPr>
        <w:ind w:left="0" w:right="0" w:firstLine="49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 。</w:t>
      </w:r>
      <w:r/>
    </w:p>
    <w:p>
      <w:pPr>
        <w:ind w:left="0" w:right="0" w:firstLine="49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3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w:t>
      </w:r>
      <w:r/>
    </w:p>
    <w:p>
      <w:pPr>
        <w:ind w:left="0" w:right="0" w:firstLine="43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法定代表人（被授权人）签字：</w:t>
      </w:r>
      <w:r/>
    </w:p>
    <w:p>
      <w:pPr>
        <w:ind w:left="0" w:right="0" w:firstLine="43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附件3 无违法违规记录声明</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本单位参加政府采购活动近三年内，在经营活动中没有因违法经营受到刑事处罚或责令停产停业、吊销许可证或者执照、较大数额等行政处罚。</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特此声明。</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法定代表人（被授权人）签字：</w:t>
      </w:r>
      <w:r/>
    </w:p>
    <w:p>
      <w:pPr>
        <w:ind w:left="0" w:right="0" w:firstLine="40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供应商若符合相关要求，请提供企业声明函。</w:t>
      </w:r>
      <w:r/>
    </w:p>
    <w:p>
      <w:pPr>
        <w:ind w:left="0" w:right="0" w:firstLine="482"/>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附件4 企业声明函格式</w:t>
      </w:r>
      <w:r/>
    </w:p>
    <w:p>
      <w:pPr>
        <w:ind w:left="0" w:right="14"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中小企业声明函（货物）</w:t>
      </w:r>
      <w:r/>
    </w:p>
    <w:p>
      <w:pPr>
        <w:ind w:left="0" w:right="208" w:firstLine="396"/>
        <w:spacing w:before="0" w:after="0" w:line="315" w:lineRule="atLeast"/>
        <w:tabs>
          <w:tab w:val="left" w:pos="2429" w:leader="none"/>
          <w:tab w:val="left" w:pos="3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本公司（联合体）郑重声明，根据《政府采购促进中小企业发展管理办法》（财库﹝2020﹞46号）的规定，本公司（联合体）</w:t>
      </w:r>
      <w:r>
        <w:rPr>
          <w:rFonts w:ascii="SimSun" w:hAnsi="SimSun" w:eastAsia="SimSun" w:cs="SimSun"/>
          <w:color w:val="000000"/>
          <w:spacing w:val="-5"/>
          <w:sz w:val="21"/>
          <w:u w:val="single"/>
        </w:rPr>
        <w:t xml:space="preserve">            </w:t>
      </w:r>
      <w:r>
        <w:rPr>
          <w:rFonts w:ascii="SimSun" w:hAnsi="SimSun" w:eastAsia="SimSun" w:cs="SimSun"/>
          <w:color w:val="000000"/>
          <w:spacing w:val="-5"/>
          <w:sz w:val="21"/>
        </w:rPr>
        <w:t xml:space="preserve">参加</w:t>
      </w:r>
      <w:r>
        <w:rPr>
          <w:rFonts w:ascii="SimSun" w:hAnsi="SimSun" w:eastAsia="SimSun" w:cs="SimSun"/>
          <w:color w:val="000000"/>
          <w:spacing w:val="-5"/>
          <w:sz w:val="21"/>
          <w:u w:val="single"/>
        </w:rPr>
        <w:t xml:space="preserve">（单位名称）</w:t>
      </w:r>
      <w:r>
        <w:rPr>
          <w:rFonts w:ascii="SimSun" w:hAnsi="SimSun" w:eastAsia="SimSun" w:cs="SimSun"/>
          <w:color w:val="000000"/>
          <w:spacing w:val="-5"/>
          <w:sz w:val="21"/>
        </w:rPr>
        <w:t xml:space="preserve">的</w:t>
      </w:r>
      <w:r>
        <w:rPr>
          <w:rFonts w:ascii="SimSun" w:hAnsi="SimSun" w:eastAsia="SimSun" w:cs="SimSun"/>
          <w:color w:val="000000"/>
          <w:spacing w:val="-5"/>
          <w:sz w:val="21"/>
          <w:u w:val="single"/>
        </w:rPr>
        <w:t xml:space="preserve">（项目名称）</w:t>
      </w:r>
      <w:r>
        <w:rPr>
          <w:rFonts w:ascii="SimSun" w:hAnsi="SimSun" w:eastAsia="SimSun" w:cs="SimSun"/>
          <w:color w:val="000000"/>
          <w:spacing w:val="-5"/>
          <w:sz w:val="21"/>
        </w:rPr>
        <w:t xml:space="preserve">采购活动，提供的货物全部由符合政策要求的中小企业制造。相关企业（含联合体中的中小企业、签订分包意向协议的中小企业）的具体情况如下：</w:t>
      </w:r>
      <w:r/>
    </w:p>
    <w:p>
      <w:pPr>
        <w:ind w:left="0" w:right="208" w:firstLine="396"/>
        <w:spacing w:before="0" w:after="0" w:line="315" w:lineRule="atLeast"/>
        <w:tabs>
          <w:tab w:val="left" w:pos="2429" w:leader="none"/>
          <w:tab w:val="left" w:pos="3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1.</w:t>
      </w:r>
      <w:r>
        <w:rPr>
          <w:rFonts w:ascii="SimSun" w:hAnsi="SimSun" w:eastAsia="SimSun" w:cs="SimSun"/>
          <w:color w:val="000000"/>
          <w:spacing w:val="-5"/>
          <w:sz w:val="21"/>
          <w:u w:val="single"/>
        </w:rPr>
        <w:t xml:space="preserve">（标的名称）</w:t>
      </w:r>
      <w:r>
        <w:rPr>
          <w:rFonts w:ascii="SimSun" w:hAnsi="SimSun" w:eastAsia="SimSun" w:cs="SimSun"/>
          <w:color w:val="000000"/>
          <w:spacing w:val="-5"/>
          <w:sz w:val="21"/>
        </w:rPr>
        <w:t xml:space="preserve">，属于</w:t>
      </w:r>
      <w:r>
        <w:rPr>
          <w:rFonts w:ascii="SimSun" w:hAnsi="SimSun" w:eastAsia="SimSun" w:cs="SimSun"/>
          <w:color w:val="000000"/>
          <w:spacing w:val="-5"/>
          <w:sz w:val="21"/>
          <w:u w:val="single"/>
        </w:rPr>
        <w:t xml:space="preserve">（招标文件中明确的所属行业）行业</w:t>
      </w:r>
      <w:r>
        <w:rPr>
          <w:rFonts w:ascii="SimSun" w:hAnsi="SimSun" w:eastAsia="SimSun" w:cs="SimSun"/>
          <w:color w:val="000000"/>
          <w:spacing w:val="-5"/>
          <w:sz w:val="21"/>
        </w:rPr>
        <w:t xml:space="preserve">；制造商为</w:t>
      </w:r>
      <w:r>
        <w:rPr>
          <w:rFonts w:ascii="SimSun" w:hAnsi="SimSun" w:eastAsia="SimSun" w:cs="SimSun"/>
          <w:color w:val="000000"/>
          <w:spacing w:val="-5"/>
          <w:sz w:val="21"/>
          <w:u w:val="single"/>
        </w:rPr>
        <w:t xml:space="preserve">（企业名称）</w:t>
      </w:r>
      <w:r>
        <w:rPr>
          <w:rFonts w:ascii="SimSun" w:hAnsi="SimSun" w:eastAsia="SimSun" w:cs="SimSun"/>
          <w:color w:val="000000"/>
          <w:spacing w:val="-5"/>
          <w:sz w:val="21"/>
        </w:rPr>
        <w:t xml:space="preserve">，从业人员</w:t>
      </w:r>
      <w:r>
        <w:rPr>
          <w:rFonts w:ascii="SimSun" w:hAnsi="SimSun" w:eastAsia="SimSun" w:cs="SimSun"/>
          <w:color w:val="000000"/>
          <w:spacing w:val="-5"/>
          <w:sz w:val="21"/>
          <w:u w:val="single"/>
        </w:rPr>
        <w:t xml:space="preserve">    </w:t>
      </w:r>
      <w:r>
        <w:rPr>
          <w:rFonts w:ascii="SimSun" w:hAnsi="SimSun" w:eastAsia="SimSun" w:cs="SimSun"/>
          <w:color w:val="000000"/>
          <w:spacing w:val="-5"/>
          <w:sz w:val="21"/>
        </w:rPr>
        <w:t xml:space="preserve">人，营业收入为</w:t>
      </w:r>
      <w:r>
        <w:rPr>
          <w:rFonts w:ascii="SimSun" w:hAnsi="SimSun" w:eastAsia="SimSun" w:cs="SimSun"/>
          <w:color w:val="000000"/>
          <w:spacing w:val="-5"/>
          <w:sz w:val="21"/>
          <w:u w:val="single"/>
        </w:rPr>
        <w:t xml:space="preserve">    </w:t>
      </w:r>
      <w:r>
        <w:rPr>
          <w:rFonts w:ascii="SimSun" w:hAnsi="SimSun" w:eastAsia="SimSun" w:cs="SimSun"/>
          <w:color w:val="000000"/>
          <w:spacing w:val="-5"/>
          <w:sz w:val="21"/>
        </w:rPr>
        <w:t xml:space="preserve">万元，资产总额为</w:t>
      </w:r>
      <w:r>
        <w:rPr>
          <w:rFonts w:ascii="SimSun" w:hAnsi="SimSun" w:eastAsia="SimSun" w:cs="SimSun"/>
          <w:color w:val="000000"/>
          <w:spacing w:val="-5"/>
          <w:sz w:val="21"/>
          <w:u w:val="single"/>
        </w:rPr>
        <w:t xml:space="preserve">    </w:t>
      </w:r>
      <w:r>
        <w:rPr>
          <w:rFonts w:ascii="SimSun" w:hAnsi="SimSun" w:eastAsia="SimSun" w:cs="SimSun"/>
          <w:color w:val="000000"/>
          <w:spacing w:val="-5"/>
          <w:sz w:val="21"/>
        </w:rPr>
        <w:t xml:space="preserve">万元，属于</w:t>
      </w:r>
      <w:r>
        <w:rPr>
          <w:rFonts w:ascii="SimSun" w:hAnsi="SimSun" w:eastAsia="SimSun" w:cs="SimSun"/>
          <w:color w:val="000000"/>
          <w:spacing w:val="-5"/>
          <w:sz w:val="21"/>
          <w:u w:val="single"/>
        </w:rPr>
        <w:t xml:space="preserve">      （中型企业、小型企业、微型企业）</w:t>
      </w:r>
      <w:r>
        <w:rPr>
          <w:rFonts w:ascii="SimSun" w:hAnsi="SimSun" w:eastAsia="SimSun" w:cs="SimSun"/>
          <w:color w:val="000000"/>
          <w:spacing w:val="-5"/>
          <w:sz w:val="21"/>
        </w:rPr>
        <w:t xml:space="preserve">；</w:t>
      </w:r>
      <w:r/>
    </w:p>
    <w:p>
      <w:pPr>
        <w:ind w:left="0" w:right="208" w:firstLine="396"/>
        <w:spacing w:before="0" w:after="0" w:line="315" w:lineRule="atLeast"/>
        <w:tabs>
          <w:tab w:val="left" w:pos="2429" w:leader="none"/>
          <w:tab w:val="left" w:pos="3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2.</w:t>
      </w:r>
      <w:r>
        <w:rPr>
          <w:rFonts w:ascii="SimSun" w:hAnsi="SimSun" w:eastAsia="SimSun" w:cs="SimSun"/>
          <w:color w:val="000000"/>
          <w:spacing w:val="-5"/>
          <w:sz w:val="21"/>
          <w:u w:val="single"/>
        </w:rPr>
        <w:t xml:space="preserve">（（标的名称）</w:t>
      </w:r>
      <w:r>
        <w:rPr>
          <w:rFonts w:ascii="SimSun" w:hAnsi="SimSun" w:eastAsia="SimSun" w:cs="SimSun"/>
          <w:color w:val="000000"/>
          <w:spacing w:val="-5"/>
          <w:sz w:val="21"/>
        </w:rPr>
        <w:t xml:space="preserve">，属于</w:t>
      </w:r>
      <w:r>
        <w:rPr>
          <w:rFonts w:ascii="SimSun" w:hAnsi="SimSun" w:eastAsia="SimSun" w:cs="SimSun"/>
          <w:color w:val="000000"/>
          <w:spacing w:val="-5"/>
          <w:sz w:val="21"/>
          <w:u w:val="single"/>
        </w:rPr>
        <w:t xml:space="preserve">（招标文件中明确的所属行业）行业</w:t>
      </w:r>
      <w:r>
        <w:rPr>
          <w:rFonts w:ascii="SimSun" w:hAnsi="SimSun" w:eastAsia="SimSun" w:cs="SimSun"/>
          <w:color w:val="000000"/>
          <w:spacing w:val="-5"/>
          <w:sz w:val="21"/>
        </w:rPr>
        <w:t xml:space="preserve">；制造商为</w:t>
      </w:r>
      <w:r>
        <w:rPr>
          <w:rFonts w:ascii="SimSun" w:hAnsi="SimSun" w:eastAsia="SimSun" w:cs="SimSun"/>
          <w:color w:val="000000"/>
          <w:spacing w:val="-5"/>
          <w:sz w:val="21"/>
          <w:u w:val="single"/>
        </w:rPr>
        <w:t xml:space="preserve">（企业名称）</w:t>
      </w:r>
      <w:r>
        <w:rPr>
          <w:rFonts w:ascii="SimSun" w:hAnsi="SimSun" w:eastAsia="SimSun" w:cs="SimSun"/>
          <w:color w:val="000000"/>
          <w:spacing w:val="-5"/>
          <w:sz w:val="21"/>
        </w:rPr>
        <w:t xml:space="preserve">，从业人员</w:t>
      </w:r>
      <w:r>
        <w:rPr>
          <w:rFonts w:ascii="SimSun" w:hAnsi="SimSun" w:eastAsia="SimSun" w:cs="SimSun"/>
          <w:color w:val="000000"/>
          <w:spacing w:val="-5"/>
          <w:sz w:val="21"/>
          <w:u w:val="single"/>
        </w:rPr>
        <w:t xml:space="preserve">    </w:t>
      </w:r>
      <w:r>
        <w:rPr>
          <w:rFonts w:ascii="SimSun" w:hAnsi="SimSun" w:eastAsia="SimSun" w:cs="SimSun"/>
          <w:color w:val="000000"/>
          <w:spacing w:val="-5"/>
          <w:sz w:val="21"/>
        </w:rPr>
        <w:t xml:space="preserve">人，营业收入为</w:t>
      </w:r>
      <w:r>
        <w:rPr>
          <w:rFonts w:ascii="SimSun" w:hAnsi="SimSun" w:eastAsia="SimSun" w:cs="SimSun"/>
          <w:color w:val="000000"/>
          <w:spacing w:val="-5"/>
          <w:sz w:val="21"/>
          <w:u w:val="single"/>
        </w:rPr>
        <w:t xml:space="preserve">    </w:t>
      </w:r>
      <w:r>
        <w:rPr>
          <w:rFonts w:ascii="SimSun" w:hAnsi="SimSun" w:eastAsia="SimSun" w:cs="SimSun"/>
          <w:color w:val="000000"/>
          <w:spacing w:val="-5"/>
          <w:sz w:val="21"/>
        </w:rPr>
        <w:t xml:space="preserve">万元，资产总额为</w:t>
      </w:r>
      <w:r>
        <w:rPr>
          <w:rFonts w:ascii="SimSun" w:hAnsi="SimSun" w:eastAsia="SimSun" w:cs="SimSun"/>
          <w:color w:val="000000"/>
          <w:spacing w:val="-5"/>
          <w:sz w:val="21"/>
          <w:u w:val="single"/>
        </w:rPr>
        <w:t xml:space="preserve">    </w:t>
      </w:r>
      <w:r>
        <w:rPr>
          <w:rFonts w:ascii="SimSun" w:hAnsi="SimSun" w:eastAsia="SimSun" w:cs="SimSun"/>
          <w:color w:val="000000"/>
          <w:spacing w:val="-5"/>
          <w:sz w:val="21"/>
        </w:rPr>
        <w:t xml:space="preserve">万元，属于</w:t>
      </w:r>
      <w:r>
        <w:rPr>
          <w:rFonts w:ascii="SimSun" w:hAnsi="SimSun" w:eastAsia="SimSun" w:cs="SimSun"/>
          <w:color w:val="000000"/>
          <w:spacing w:val="-5"/>
          <w:sz w:val="21"/>
          <w:u w:val="single"/>
        </w:rPr>
        <w:t xml:space="preserve">      （中型企业、小型企业、微型企业）</w:t>
      </w:r>
      <w:r>
        <w:rPr>
          <w:rFonts w:ascii="SimSun" w:hAnsi="SimSun" w:eastAsia="SimSun" w:cs="SimSun"/>
          <w:color w:val="000000"/>
          <w:spacing w:val="-5"/>
          <w:sz w:val="21"/>
        </w:rPr>
        <w:t xml:space="preserve">；</w:t>
      </w:r>
      <w:r/>
    </w:p>
    <w:p>
      <w:pPr>
        <w:ind w:left="0" w:right="208" w:firstLine="396"/>
        <w:spacing w:before="0" w:after="0" w:line="315" w:lineRule="atLeast"/>
        <w:tabs>
          <w:tab w:val="left" w:pos="2429" w:leader="none"/>
          <w:tab w:val="left" w:pos="3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w:t>
      </w:r>
      <w:r/>
    </w:p>
    <w:p>
      <w:pPr>
        <w:ind w:left="0" w:right="208" w:firstLine="396"/>
        <w:spacing w:before="0" w:after="0" w:line="315" w:lineRule="atLeast"/>
        <w:tabs>
          <w:tab w:val="left" w:pos="2429" w:leader="none"/>
          <w:tab w:val="left" w:pos="3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以上企业，不属于大企业的分支机构，不存在控股股东为大企业的情形，也不存在与大企业的负责人为同一人的情形。</w:t>
      </w:r>
      <w:r/>
    </w:p>
    <w:p>
      <w:pPr>
        <w:ind w:left="0" w:right="208" w:firstLine="396"/>
        <w:spacing w:before="0" w:after="0" w:line="315" w:lineRule="atLeast"/>
        <w:tabs>
          <w:tab w:val="left" w:pos="2429" w:leader="none"/>
          <w:tab w:val="left" w:pos="3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本企业对上述声明内容的真实性负责。如有虚假，将依法承担相应责任。</w:t>
      </w:r>
      <w:r/>
    </w:p>
    <w:p>
      <w:pPr>
        <w:ind w:left="0" w:right="208" w:firstLine="396"/>
        <w:spacing w:before="0" w:after="0" w:line="315" w:lineRule="atLeast"/>
        <w:tabs>
          <w:tab w:val="left" w:pos="2429" w:leader="none"/>
          <w:tab w:val="left" w:pos="3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208" w:firstLine="5520"/>
        <w:spacing w:before="0" w:after="0" w:line="315" w:lineRule="atLeast"/>
        <w:tabs>
          <w:tab w:val="left" w:pos="2429" w:leader="none"/>
          <w:tab w:val="left" w:pos="3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企业名称（盖章）：</w:t>
      </w:r>
      <w:r/>
    </w:p>
    <w:p>
      <w:pPr>
        <w:ind w:left="0" w:right="0" w:firstLine="59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日期：</w:t>
      </w: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附件5 残疾人福利性单位声明函</w:t>
      </w:r>
      <w:r/>
    </w:p>
    <w:p>
      <w:pPr>
        <w:ind w:left="0" w:right="0" w:firstLine="448"/>
        <w:spacing w:before="0" w:after="0" w:line="315" w:lineRule="atLeast"/>
        <w:tabs>
          <w:tab w:val="left" w:pos="2009" w:leader="none"/>
          <w:tab w:val="left" w:pos="35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本单位郑重声明，根据《财政部 </w:t>
      </w:r>
      <w:r>
        <w:rPr>
          <w:rFonts w:ascii="SimSun" w:hAnsi="SimSun" w:eastAsia="SimSun" w:cs="SimSun"/>
          <w:color w:val="000000"/>
          <w:sz w:val="21"/>
        </w:rPr>
        <w:t xml:space="preserve">民政部中国残疾人联合会关于促进残疾人就业政府采</w:t>
      </w:r>
      <w:r>
        <w:rPr>
          <w:rFonts w:ascii="SimSun" w:hAnsi="SimSun" w:eastAsia="SimSun" w:cs="SimSun"/>
          <w:color w:val="000000"/>
          <w:spacing w:val="-3"/>
          <w:sz w:val="21"/>
        </w:rPr>
        <w:t xml:space="preserve">购政策的通知》（财库〔2017〕</w:t>
      </w:r>
      <w:r>
        <w:rPr>
          <w:rFonts w:ascii="SimSun" w:hAnsi="SimSun" w:eastAsia="SimSun" w:cs="SimSun"/>
          <w:color w:val="000000"/>
          <w:sz w:val="21"/>
        </w:rPr>
        <w:t xml:space="preserve">141号）的规定，本单位为符合条件的残疾人福利性单位，</w:t>
      </w:r>
      <w:r>
        <w:rPr>
          <w:rFonts w:ascii="SimSun" w:hAnsi="SimSun" w:eastAsia="SimSun" w:cs="SimSun"/>
          <w:color w:val="000000"/>
          <w:spacing w:val="-2"/>
          <w:sz w:val="21"/>
        </w:rPr>
        <w:t xml:space="preserve">且本单位参加</w:t>
      </w:r>
      <w:r>
        <w:rPr>
          <w:rFonts w:ascii="SimSun" w:hAnsi="SimSun" w:eastAsia="SimSun" w:cs="SimSun"/>
          <w:color w:val="000000"/>
          <w:spacing w:val="-2"/>
          <w:sz w:val="21"/>
          <w:u w:val="single"/>
        </w:rPr>
        <w:tab/>
      </w:r>
      <w:r>
        <w:rPr>
          <w:rFonts w:ascii="SimSun" w:hAnsi="SimSun" w:eastAsia="SimSun" w:cs="SimSun"/>
          <w:color w:val="000000"/>
          <w:spacing w:val="-1"/>
          <w:sz w:val="21"/>
        </w:rPr>
        <w:t xml:space="preserve">单位的</w:t>
      </w:r>
      <w:r>
        <w:rPr>
          <w:rFonts w:ascii="SimSun" w:hAnsi="SimSun" w:eastAsia="SimSun" w:cs="SimSun"/>
          <w:color w:val="000000"/>
          <w:spacing w:val="-1"/>
          <w:sz w:val="21"/>
          <w:u w:val="single"/>
        </w:rPr>
        <w:tab/>
      </w:r>
      <w:r>
        <w:rPr>
          <w:rFonts w:ascii="SimSun" w:hAnsi="SimSun" w:eastAsia="SimSun" w:cs="SimSun"/>
          <w:color w:val="000000"/>
          <w:spacing w:val="-5"/>
          <w:sz w:val="21"/>
        </w:rPr>
        <w:t xml:space="preserve">项目采购活动提供本单位制造的货物（由本单位承担工程</w:t>
      </w:r>
      <w:r/>
    </w:p>
    <w:p>
      <w:pPr>
        <w:ind w:left="0" w:right="0" w:firstLine="47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/提供服务），或者提供其他残疾人福利性单位制造的货物（不包括使用非残疾人福利性单</w:t>
      </w:r>
      <w:r>
        <w:rPr>
          <w:rFonts w:ascii="SimSun" w:hAnsi="SimSun" w:eastAsia="SimSun" w:cs="SimSun"/>
          <w:color w:val="000000"/>
          <w:sz w:val="21"/>
        </w:rPr>
        <w:t xml:space="preserve">位注册商标的货物）。</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40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111" w:right="437" w:firstLine="403"/>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p>
    <w:p>
      <w:pPr>
        <w:ind w:left="4111" w:right="437" w:firstLine="403"/>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r>
      <w:r>
        <w:rPr>
          <w:rFonts w:ascii="SimSun" w:hAnsi="SimSun" w:eastAsia="SimSun" w:cs="SimSun"/>
          <w:color w:val="000000"/>
          <w:spacing w:val="-3"/>
          <w:sz w:val="21"/>
        </w:rPr>
        <w:t xml:space="preserve">日</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4"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属于监狱企业的证明文件</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 明文件）</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4"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节能产品认证文件</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（提供产品在《节能产品政府采购清单》中相应的页面）</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4"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环境标志产品认证文件</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（提供产品在《环境标志产品政府采购清单》中相应的页面）</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 关于符合本国产品标准的声明函</w:t>
      </w:r>
      <w:r/>
    </w:p>
    <w:p>
      <w:pPr>
        <w:ind w:left="0" w:right="0" w:firstLine="448"/>
        <w:spacing w:before="0" w:after="0" w:line="315" w:lineRule="atLeast"/>
        <w:tabs>
          <w:tab w:val="left" w:pos="2009" w:leader="none"/>
          <w:tab w:val="left" w:pos="35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48"/>
        <w:spacing w:before="0" w:after="0" w:line="315" w:lineRule="atLeast"/>
        <w:tabs>
          <w:tab w:val="left" w:pos="2009" w:leader="none"/>
          <w:tab w:val="left" w:pos="35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1.（产品名称1）1，生产厂为（厂名）2，厂址为（生产厂址）。 / 的中国境内生产的组件成本占比≥  /  3。  /  的  /  4在中国境内生产。  /  的  /  5在中国境内完成。</w:t>
      </w:r>
      <w:r/>
    </w:p>
    <w:p>
      <w:pPr>
        <w:ind w:left="0" w:right="0" w:firstLine="448"/>
        <w:spacing w:before="0" w:after="0" w:line="315" w:lineRule="atLeast"/>
        <w:tabs>
          <w:tab w:val="left" w:pos="2009" w:leader="none"/>
          <w:tab w:val="left" w:pos="35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2.（产品名称2），生产厂为（厂名），厂址为（生产厂址）。 /  的中国境内生产的组件成本占比≥  /  。  /  的  /  在中国境内生产。  /  的  /  在中国境内完成。</w:t>
      </w:r>
      <w:r/>
    </w:p>
    <w:p>
      <w:pPr>
        <w:ind w:left="0" w:right="0" w:firstLine="448"/>
        <w:spacing w:before="0" w:after="0" w:line="315" w:lineRule="atLeast"/>
        <w:tabs>
          <w:tab w:val="left" w:pos="2009" w:leader="none"/>
          <w:tab w:val="left" w:pos="35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p>
    <w:p>
      <w:pPr>
        <w:ind w:left="0" w:right="0" w:firstLine="448"/>
        <w:spacing w:before="0" w:after="0" w:line="315" w:lineRule="atLeast"/>
        <w:tabs>
          <w:tab w:val="left" w:pos="2009" w:leader="none"/>
          <w:tab w:val="left" w:pos="35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本公司（单位）对上述声明内容的真实性负责。如有虚假，愿承担相应法律责任。</w:t>
      </w:r>
      <w:r/>
    </w:p>
    <w:p>
      <w:pPr>
        <w:ind w:left="0" w:right="0" w:firstLine="448"/>
        <w:spacing w:before="0" w:after="0" w:line="315" w:lineRule="atLeast"/>
        <w:tabs>
          <w:tab w:val="left" w:pos="2009" w:leader="none"/>
          <w:tab w:val="left" w:pos="35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448"/>
        <w:spacing w:before="0" w:after="0" w:line="315" w:lineRule="atLeast"/>
        <w:tabs>
          <w:tab w:val="left" w:pos="2009" w:leader="none"/>
          <w:tab w:val="left" w:pos="35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公司（单位）名称：</w:t>
      </w:r>
      <w:r/>
    </w:p>
    <w:p>
      <w:pPr>
        <w:ind w:left="0" w:right="0" w:firstLine="448"/>
        <w:spacing w:before="0" w:after="0" w:line="315" w:lineRule="atLeast"/>
        <w:tabs>
          <w:tab w:val="left" w:pos="2009" w:leader="none"/>
          <w:tab w:val="left" w:pos="35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日期：___年____月____日</w:t>
      </w:r>
      <w:r/>
    </w:p>
    <w:p>
      <w:pPr>
        <w:ind w:left="0" w:right="0" w:firstLine="448"/>
        <w:spacing w:before="0" w:after="0" w:line="315" w:lineRule="atLeast"/>
        <w:tabs>
          <w:tab w:val="left" w:pos="2009" w:leader="none"/>
          <w:tab w:val="left" w:pos="35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__________________</w:t>
      </w:r>
      <w:r/>
    </w:p>
    <w:p>
      <w:pPr>
        <w:ind w:left="0" w:right="0" w:firstLine="448"/>
        <w:spacing w:before="0" w:after="0" w:line="315" w:lineRule="atLeast"/>
        <w:tabs>
          <w:tab w:val="left" w:pos="2009" w:leader="none"/>
          <w:tab w:val="left" w:pos="35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1.产品如有型号，请在“产品名称”栏一并填写。</w:t>
      </w:r>
      <w:r/>
    </w:p>
    <w:p>
      <w:pPr>
        <w:ind w:left="0" w:right="0" w:firstLine="448"/>
        <w:spacing w:before="0" w:after="0" w:line="315" w:lineRule="atLeast"/>
        <w:tabs>
          <w:tab w:val="left" w:pos="2009" w:leader="none"/>
          <w:tab w:val="left" w:pos="35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2.生产厂名与厂址应与生产厂营业执照载明的相关信息保持一致。</w:t>
      </w:r>
      <w:r/>
    </w:p>
    <w:p>
      <w:pPr>
        <w:ind w:left="0" w:right="0" w:firstLine="448"/>
        <w:spacing w:before="0" w:after="0" w:line="315" w:lineRule="atLeast"/>
        <w:tabs>
          <w:tab w:val="left" w:pos="2009" w:leader="none"/>
          <w:tab w:val="left" w:pos="35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3.该产品的中国境内生产的组件成本占比相关要求实施前，“规定比例”栏可不填，下同。</w:t>
      </w:r>
      <w:r/>
    </w:p>
    <w:p>
      <w:pPr>
        <w:ind w:left="0" w:right="0" w:firstLine="448"/>
        <w:spacing w:before="0" w:after="0" w:line="315" w:lineRule="atLeast"/>
        <w:tabs>
          <w:tab w:val="left" w:pos="2009" w:leader="none"/>
          <w:tab w:val="left" w:pos="35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4.该产品的关键组件要求实施前，“关键组件”栏可不填，下同。</w:t>
      </w:r>
      <w:r/>
    </w:p>
    <w:p>
      <w:pPr>
        <w:ind w:left="0" w:right="0" w:firstLine="448"/>
        <w:spacing w:before="0" w:after="0" w:line="315" w:lineRule="atLeast"/>
        <w:tabs>
          <w:tab w:val="left" w:pos="2009" w:leader="none"/>
          <w:tab w:val="left" w:pos="35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5.该产品的关键工序要求实施前，“关键工序”栏可不填，下同。</w:t>
      </w:r>
      <w:r/>
    </w:p>
    <w:p>
      <w:pPr>
        <w:ind w:left="0" w:right="0" w:firstLine="448"/>
        <w:spacing w:before="0" w:after="0" w:line="315" w:lineRule="atLeast"/>
        <w:tabs>
          <w:tab w:val="left" w:pos="2009" w:leader="none"/>
          <w:tab w:val="left" w:pos="35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6.《声明函》中标注“  /  ”的地方无需填写。</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附件7 质疑函范本</w:t>
      </w:r>
      <w:r/>
    </w:p>
    <w:p>
      <w:pPr>
        <w:ind w:left="0" w:right="0" w:firstLine="0"/>
        <w:spacing w:before="29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Sun">
    <w:panose1 w:val="0201060003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骆秋露</cp:lastModifiedBy>
  <cp:revision>6</cp:revision>
  <dcterms:created xsi:type="dcterms:W3CDTF">2026-08-20T04:27:30Z</dcterms:created>
  <dcterms:modified xsi:type="dcterms:W3CDTF">2026-08-20T08:29:19Z</dcterms:modified>
</cp:coreProperties>
</file>