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50"/>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50"/>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50"/>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50"/>
        <w:ind w:firstLine="0"/>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w:t>
      </w:r>
      <w:r>
        <w:rPr>
          <w:rFonts w:hint="eastAsia" w:cs="Times New Roman" w:asciiTheme="minorEastAsia" w:hAnsiTheme="minorEastAsia" w:eastAsiaTheme="minorEastAsia"/>
          <w:b/>
          <w:bCs w:val="0"/>
          <w:color w:val="000000" w:themeColor="text1"/>
          <w:sz w:val="36"/>
          <w:szCs w:val="36"/>
          <w14:textFill>
            <w14:solidFill>
              <w14:schemeClr w14:val="tx1"/>
            </w14:solidFill>
          </w14:textFill>
        </w:rPr>
        <w:t xml:space="preserve">6G确定性承载</w:t>
      </w:r>
      <w:r>
        <w:rPr>
          <w:rFonts w:hint="eastAsia" w:cs="Times New Roman" w:asciiTheme="minorEastAsia" w:hAnsiTheme="minorEastAsia" w:eastAsiaTheme="minorEastAsia"/>
          <w:b/>
          <w:bCs w:val="0"/>
          <w:color w:val="000000" w:themeColor="text1"/>
          <w:sz w:val="36"/>
          <w:szCs w:val="36"/>
          <w:lang w:val="en-US" w:eastAsia="zh-CN"/>
          <w14:textFill>
            <w14:solidFill>
              <w14:schemeClr w14:val="tx1"/>
            </w14:solidFill>
          </w14:textFill>
        </w:rPr>
        <w:t xml:space="preserve">网</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设备采购项目</w:t>
      </w:r>
      <w:r/>
    </w:p>
    <w:p>
      <w:pPr>
        <w:pStyle w:val="950"/>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JSZC-320100-ZTZB-G2026-0045</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30</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50"/>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50"/>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50"/>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7</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23"/>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34"/>
              <w:rFonts w:hint="eastAsia" w:ascii="黑体" w:hAnsi="黑体" w:cs="黑体"/>
              <w:color w:val="000000" w:themeColor="text1"/>
              <w:lang w:val="zh-TW" w:eastAsia="zh-TW"/>
              <w14:textFill>
                <w14:solidFill>
                  <w14:schemeClr w14:val="tx1"/>
                </w14:solidFill>
              </w14:textFill>
            </w:rPr>
            <w:t xml:space="preserve">第一章</w:t>
          </w:r>
          <w:r>
            <w:rPr>
              <w:rStyle w:val="934"/>
              <w:rFonts w:ascii="黑体" w:hAnsi="黑体" w:cs="黑体"/>
              <w:color w:val="000000" w:themeColor="text1"/>
              <w:lang w:val="zh-TW" w:eastAsia="zh-TW"/>
              <w14:textFill>
                <w14:solidFill>
                  <w14:schemeClr w14:val="tx1"/>
                </w14:solidFill>
              </w14:textFill>
            </w:rPr>
            <w:t xml:space="preserve">  </w:t>
          </w:r>
          <w:r>
            <w:rPr>
              <w:rStyle w:val="934"/>
              <w:rFonts w:hint="eastAsia" w:ascii="黑体" w:hAnsi="黑体" w:cs="黑体"/>
              <w:color w:val="000000" w:themeColor="text1"/>
              <w:lang w:val="zh-TW"/>
              <w14:textFill>
                <w14:solidFill>
                  <w14:schemeClr w14:val="tx1"/>
                </w14:solidFill>
              </w14:textFill>
            </w:rPr>
            <w:t xml:space="preserve">招标</w:t>
          </w:r>
          <w:r>
            <w:rPr>
              <w:rStyle w:val="934"/>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23"/>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34"/>
              <w:rFonts w:hint="eastAsia" w:ascii="黑体" w:hAnsi="黑体" w:cs="黑体"/>
              <w:color w:val="000000" w:themeColor="text1"/>
              <w:lang w:val="zh-TW" w:eastAsia="zh-TW"/>
              <w14:textFill>
                <w14:solidFill>
                  <w14:schemeClr w14:val="tx1"/>
                </w14:solidFill>
              </w14:textFill>
            </w:rPr>
            <w:t xml:space="preserve">第二章</w:t>
          </w:r>
          <w:r>
            <w:rPr>
              <w:rStyle w:val="934"/>
              <w:rFonts w:ascii="黑体" w:hAnsi="黑体" w:cs="黑体"/>
              <w:color w:val="000000" w:themeColor="text1"/>
              <w:lang w:val="zh-TW" w:eastAsia="zh-TW"/>
              <w14:textFill>
                <w14:solidFill>
                  <w14:schemeClr w14:val="tx1"/>
                </w14:solidFill>
              </w14:textFill>
            </w:rPr>
            <w:t xml:space="preserve">  </w:t>
          </w:r>
          <w:r>
            <w:rPr>
              <w:rStyle w:val="934"/>
              <w:rFonts w:hint="eastAsia" w:ascii="黑体" w:hAnsi="黑体" w:cs="黑体"/>
              <w:color w:val="000000" w:themeColor="text1"/>
              <w:lang w:val="zh-TW"/>
              <w14:textFill>
                <w14:solidFill>
                  <w14:schemeClr w14:val="tx1"/>
                </w14:solidFill>
              </w14:textFill>
            </w:rPr>
            <w:t xml:space="preserve">投标人</w:t>
          </w:r>
          <w:r>
            <w:rPr>
              <w:rStyle w:val="934"/>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23"/>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34"/>
              <w:rFonts w:hint="eastAsia" w:ascii="黑体" w:hAnsi="黑体" w:cs="黑体"/>
              <w:color w:val="000000" w:themeColor="text1"/>
              <w:lang w:val="zh-TW" w:eastAsia="zh-TW"/>
              <w14:textFill>
                <w14:solidFill>
                  <w14:schemeClr w14:val="tx1"/>
                </w14:solidFill>
              </w14:textFill>
            </w:rPr>
            <w:t xml:space="preserve">第</w:t>
          </w:r>
          <w:r>
            <w:rPr>
              <w:rStyle w:val="934"/>
              <w:rFonts w:hint="eastAsia" w:ascii="黑体" w:hAnsi="黑体" w:cs="黑体"/>
              <w:color w:val="000000" w:themeColor="text1"/>
              <w:lang w:val="zh-TW"/>
              <w14:textFill>
                <w14:solidFill>
                  <w14:schemeClr w14:val="tx1"/>
                </w14:solidFill>
              </w14:textFill>
            </w:rPr>
            <w:t xml:space="preserve">三</w:t>
          </w:r>
          <w:r>
            <w:rPr>
              <w:rStyle w:val="934"/>
              <w:rFonts w:hint="eastAsia" w:ascii="黑体" w:hAnsi="黑体" w:cs="黑体"/>
              <w:color w:val="000000" w:themeColor="text1"/>
              <w:lang w:val="zh-TW" w:eastAsia="zh-TW"/>
              <w14:textFill>
                <w14:solidFill>
                  <w14:schemeClr w14:val="tx1"/>
                </w14:solidFill>
              </w14:textFill>
            </w:rPr>
            <w:t xml:space="preserve">章</w:t>
          </w:r>
          <w:r>
            <w:rPr>
              <w:rStyle w:val="934"/>
              <w:rFonts w:ascii="黑体" w:hAnsi="黑体" w:cs="黑体"/>
              <w:color w:val="000000" w:themeColor="text1"/>
              <w:lang w:val="zh-TW" w:eastAsia="zh-TW"/>
              <w14:textFill>
                <w14:solidFill>
                  <w14:schemeClr w14:val="tx1"/>
                </w14:solidFill>
              </w14:textFill>
            </w:rPr>
            <w:t xml:space="preserve">  </w:t>
          </w:r>
          <w:r>
            <w:rPr>
              <w:rStyle w:val="934"/>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23"/>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34"/>
              <w:rFonts w:hint="eastAsia" w:ascii="黑体" w:hAnsi="黑体" w:cs="黑体"/>
              <w:color w:val="000000" w:themeColor="text1"/>
              <w:lang w:val="zh-TW" w:eastAsia="zh-TW"/>
              <w14:textFill>
                <w14:solidFill>
                  <w14:schemeClr w14:val="tx1"/>
                </w14:solidFill>
              </w14:textFill>
            </w:rPr>
            <w:t xml:space="preserve">第</w:t>
          </w:r>
          <w:r>
            <w:rPr>
              <w:rStyle w:val="934"/>
              <w:rFonts w:hint="eastAsia" w:ascii="黑体" w:hAnsi="黑体" w:cs="黑体"/>
              <w:color w:val="000000" w:themeColor="text1"/>
              <w:lang w:val="zh-TW"/>
              <w14:textFill>
                <w14:solidFill>
                  <w14:schemeClr w14:val="tx1"/>
                </w14:solidFill>
              </w14:textFill>
            </w:rPr>
            <w:t xml:space="preserve">四</w:t>
          </w:r>
          <w:r>
            <w:rPr>
              <w:rStyle w:val="934"/>
              <w:rFonts w:hint="eastAsia" w:ascii="黑体" w:hAnsi="黑体" w:cs="黑体"/>
              <w:color w:val="000000" w:themeColor="text1"/>
              <w:lang w:val="zh-TW" w:eastAsia="zh-TW"/>
              <w14:textFill>
                <w14:solidFill>
                  <w14:schemeClr w14:val="tx1"/>
                </w14:solidFill>
              </w14:textFill>
            </w:rPr>
            <w:t xml:space="preserve">章</w:t>
          </w:r>
          <w:r>
            <w:rPr>
              <w:rStyle w:val="934"/>
              <w:rFonts w:ascii="黑体" w:hAnsi="黑体" w:cs="黑体"/>
              <w:color w:val="000000" w:themeColor="text1"/>
              <w:lang w:val="zh-TW" w:eastAsia="zh-TW"/>
              <w14:textFill>
                <w14:solidFill>
                  <w14:schemeClr w14:val="tx1"/>
                </w14:solidFill>
              </w14:textFill>
            </w:rPr>
            <w:t xml:space="preserve">  </w:t>
          </w:r>
          <w:r>
            <w:rPr>
              <w:rStyle w:val="934"/>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23"/>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34"/>
              <w:rFonts w:hint="eastAsia" w:ascii="黑体" w:hAnsi="黑体" w:cs="黑体"/>
              <w:color w:val="000000" w:themeColor="text1"/>
              <w:lang w:val="zh-TW" w:eastAsia="zh-TW"/>
              <w14:textFill>
                <w14:solidFill>
                  <w14:schemeClr w14:val="tx1"/>
                </w14:solidFill>
              </w14:textFill>
            </w:rPr>
            <w:t xml:space="preserve">第</w:t>
          </w:r>
          <w:r>
            <w:rPr>
              <w:rStyle w:val="934"/>
              <w:rFonts w:hint="eastAsia" w:ascii="黑体" w:hAnsi="黑体" w:cs="黑体"/>
              <w:color w:val="000000" w:themeColor="text1"/>
              <w:lang w:val="zh-TW"/>
              <w14:textFill>
                <w14:solidFill>
                  <w14:schemeClr w14:val="tx1"/>
                </w14:solidFill>
              </w14:textFill>
            </w:rPr>
            <w:t xml:space="preserve">五</w:t>
          </w:r>
          <w:r>
            <w:rPr>
              <w:rStyle w:val="934"/>
              <w:rFonts w:hint="eastAsia" w:ascii="黑体" w:hAnsi="黑体" w:cs="黑体"/>
              <w:color w:val="000000" w:themeColor="text1"/>
              <w:lang w:val="zh-TW" w:eastAsia="zh-TW"/>
              <w14:textFill>
                <w14:solidFill>
                  <w14:schemeClr w14:val="tx1"/>
                </w14:solidFill>
              </w14:textFill>
            </w:rPr>
            <w:t xml:space="preserve">章</w:t>
          </w:r>
          <w:r>
            <w:rPr>
              <w:rStyle w:val="934"/>
              <w:rFonts w:ascii="黑体" w:hAnsi="黑体" w:cs="黑体"/>
              <w:color w:val="000000" w:themeColor="text1"/>
              <w:lang w:val="zh-TW" w:eastAsia="zh-TW"/>
              <w14:textFill>
                <w14:solidFill>
                  <w14:schemeClr w14:val="tx1"/>
                </w14:solidFill>
              </w14:textFill>
            </w:rPr>
            <w:t xml:space="preserve">  </w:t>
          </w:r>
          <w:r>
            <w:rPr>
              <w:rStyle w:val="934"/>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23"/>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34"/>
              <w:rFonts w:hint="eastAsia" w:ascii="黑体" w:hAnsi="黑体" w:cs="黑体"/>
              <w:color w:val="000000" w:themeColor="text1"/>
              <w:lang w:val="zh-TW" w:eastAsia="zh-TW"/>
              <w14:textFill>
                <w14:solidFill>
                  <w14:schemeClr w14:val="tx1"/>
                </w14:solidFill>
              </w14:textFill>
            </w:rPr>
            <w:t xml:space="preserve">第</w:t>
          </w:r>
          <w:r>
            <w:rPr>
              <w:rStyle w:val="934"/>
              <w:rFonts w:hint="eastAsia" w:ascii="黑体" w:hAnsi="黑体" w:cs="黑体"/>
              <w:color w:val="000000" w:themeColor="text1"/>
              <w:lang w:val="zh-TW"/>
              <w14:textFill>
                <w14:solidFill>
                  <w14:schemeClr w14:val="tx1"/>
                </w14:solidFill>
              </w14:textFill>
            </w:rPr>
            <w:t xml:space="preserve">六</w:t>
          </w:r>
          <w:r>
            <w:rPr>
              <w:rStyle w:val="934"/>
              <w:rFonts w:hint="eastAsia" w:ascii="黑体" w:hAnsi="黑体" w:cs="黑体"/>
              <w:color w:val="000000" w:themeColor="text1"/>
              <w:lang w:val="zh-TW" w:eastAsia="zh-TW"/>
              <w14:textFill>
                <w14:solidFill>
                  <w14:schemeClr w14:val="tx1"/>
                </w14:solidFill>
              </w14:textFill>
            </w:rPr>
            <w:t xml:space="preserve">章</w:t>
          </w:r>
          <w:r>
            <w:rPr>
              <w:rStyle w:val="934"/>
              <w:rFonts w:ascii="黑体" w:hAnsi="黑体" w:cs="黑体"/>
              <w:color w:val="000000" w:themeColor="text1"/>
              <w:lang w:val="zh-TW" w:eastAsia="zh-TW"/>
              <w14:textFill>
                <w14:solidFill>
                  <w14:schemeClr w14:val="tx1"/>
                </w14:solidFill>
              </w14:textFill>
            </w:rPr>
            <w:t xml:space="preserve">  </w:t>
          </w:r>
          <w:r>
            <w:rPr>
              <w:rStyle w:val="934"/>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34"/>
              <w:rFonts w:eastAsia="黑体"/>
              <w:color w:val="000000" w:themeColor="text1"/>
              <w14:textFill>
                <w14:solidFill>
                  <w14:schemeClr w14:val="tx1"/>
                </w14:solidFill>
              </w14:textFill>
            </w:rPr>
            <w:t xml:space="preserve">6.1 </w:t>
          </w:r>
          <w:r>
            <w:rPr>
              <w:rStyle w:val="934"/>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34"/>
              <w:rFonts w:eastAsia="黑体"/>
              <w:color w:val="000000" w:themeColor="text1"/>
              <w14:textFill>
                <w14:solidFill>
                  <w14:schemeClr w14:val="tx1"/>
                </w14:solidFill>
              </w14:textFill>
            </w:rPr>
            <w:t xml:space="preserve">6.2 </w:t>
          </w:r>
          <w:r>
            <w:rPr>
              <w:rStyle w:val="934"/>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34"/>
              <w:rFonts w:eastAsia="黑体"/>
              <w:color w:val="000000" w:themeColor="text1"/>
              <w14:textFill>
                <w14:solidFill>
                  <w14:schemeClr w14:val="tx1"/>
                </w14:solidFill>
              </w14:textFill>
            </w:rPr>
            <w:t xml:space="preserve">6.3 </w:t>
          </w:r>
          <w:r>
            <w:rPr>
              <w:rStyle w:val="934"/>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34"/>
              <w:rFonts w:eastAsia="黑体"/>
              <w:color w:val="000000" w:themeColor="text1"/>
              <w14:textFill>
                <w14:solidFill>
                  <w14:schemeClr w14:val="tx1"/>
                </w14:solidFill>
              </w14:textFill>
            </w:rPr>
            <w:t xml:space="preserve">6.4 </w:t>
          </w:r>
          <w:r>
            <w:rPr>
              <w:rStyle w:val="934"/>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34"/>
              <w:rFonts w:eastAsia="黑体"/>
              <w:color w:val="000000" w:themeColor="text1"/>
              <w14:textFill>
                <w14:solidFill>
                  <w14:schemeClr w14:val="tx1"/>
                </w14:solidFill>
              </w14:textFill>
            </w:rPr>
            <w:t xml:space="preserve">6.5 </w:t>
          </w:r>
          <w:r>
            <w:rPr>
              <w:rStyle w:val="934"/>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34"/>
              <w:rFonts w:eastAsia="黑体"/>
              <w:color w:val="000000" w:themeColor="text1"/>
              <w14:textFill>
                <w14:solidFill>
                  <w14:schemeClr w14:val="tx1"/>
                </w14:solidFill>
              </w14:textFill>
            </w:rPr>
            <w:t xml:space="preserve">6.6 </w:t>
          </w:r>
          <w:r>
            <w:rPr>
              <w:rStyle w:val="934"/>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34"/>
              <w:rFonts w:eastAsia="黑体"/>
              <w:color w:val="000000" w:themeColor="text1"/>
              <w14:textFill>
                <w14:solidFill>
                  <w14:schemeClr w14:val="tx1"/>
                </w14:solidFill>
              </w14:textFill>
            </w:rPr>
            <w:t xml:space="preserve">6.7 </w:t>
          </w:r>
          <w:r>
            <w:rPr>
              <w:rStyle w:val="934"/>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34"/>
              <w:rFonts w:eastAsia="黑体"/>
              <w:color w:val="000000" w:themeColor="text1"/>
              <w14:textFill>
                <w14:solidFill>
                  <w14:schemeClr w14:val="tx1"/>
                </w14:solidFill>
              </w14:textFill>
            </w:rPr>
            <w:t xml:space="preserve">6.8 </w:t>
          </w:r>
          <w:r>
            <w:rPr>
              <w:rStyle w:val="934"/>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7"/>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34"/>
              <w:rFonts w:eastAsia="黑体"/>
              <w:color w:val="000000" w:themeColor="text1"/>
              <w14:textFill>
                <w14:solidFill>
                  <w14:schemeClr w14:val="tx1"/>
                </w14:solidFill>
              </w14:textFill>
            </w:rPr>
            <w:t xml:space="preserve">6.9 </w:t>
          </w:r>
          <w:r>
            <w:rPr>
              <w:rStyle w:val="934"/>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23"/>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
      <w:r/>
      <w:bookmarkStart w:id="2" w:name="_Toc448069940"/>
      <w:r/>
      <w:bookmarkStart w:id="3" w:name="_Toc415494523"/>
      <w:r/>
      <w:bookmarkStart w:id="4" w:name="_Toc11859485"/>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903"/>
        <w:spacing w:line="360" w:lineRule="exact"/>
        <w:rPr>
          <w:rFonts w:ascii="黑体" w:hAnsi="黑体" w:cs="宋体"/>
          <w:b w:val="0"/>
          <w:sz w:val="28"/>
          <w:szCs w:val="28"/>
        </w:rPr>
      </w:pPr>
      <w:r/>
      <w:bookmarkStart w:id="5" w:name="_Toc35393621"/>
      <w:r/>
      <w:bookmarkStart w:id="6" w:name="_Toc28359002"/>
      <w:r/>
      <w:bookmarkStart w:id="7" w:name="_Toc35393790"/>
      <w:r/>
      <w:bookmarkStart w:id="8" w:name="_Toc28359079"/>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项目编号：JSZC-320100-ZTZB-G2026-0045（内部编号PML-ZH-ZB-20260</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w:t>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w:t>
      </w:r>
      <w:r>
        <w:rPr>
          <w:rFonts w:hint="eastAsia" w:ascii="仿宋" w:hAnsi="仿宋" w:eastAsia="仿宋" w:cstheme="minorBidi"/>
          <w:b w:val="0"/>
          <w:bCs w:val="0"/>
          <w:color w:val="auto"/>
          <w:sz w:val="28"/>
          <w:szCs w:val="28"/>
        </w:rPr>
        <w:t xml:space="preserve">6G确定性承载</w:t>
      </w:r>
      <w:r>
        <w:rPr>
          <w:rFonts w:hint="eastAsia" w:ascii="仿宋" w:hAnsi="仿宋" w:eastAsia="仿宋" w:cstheme="minorBidi"/>
          <w:b w:val="0"/>
          <w:bCs w:val="0"/>
          <w:sz w:val="28"/>
          <w:szCs w:val="28"/>
          <w:lang w:val="en-US" w:eastAsia="zh-CN"/>
        </w:rPr>
        <w:t xml:space="preserve">网</w:t>
      </w:r>
      <w:r>
        <w:rPr>
          <w:rFonts w:hint="eastAsia" w:ascii="仿宋" w:hAnsi="仿宋" w:eastAsia="仿宋"/>
          <w:sz w:val="28"/>
          <w:szCs w:val="28"/>
        </w:rPr>
        <w:t xml:space="preserve">设备采购项目</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lang w:val="en-US" w:eastAsia="zh-CN"/>
        </w:rPr>
        <w:t xml:space="preserve">746</w:t>
      </w:r>
      <w:r>
        <w:rPr>
          <w:rFonts w:hint="eastAsia" w:ascii="仿宋" w:hAnsi="仿宋" w:eastAsia="仿宋"/>
          <w:sz w:val="28"/>
          <w:szCs w:val="28"/>
        </w:rPr>
        <w:t xml:space="preserve">万元人民币</w:t>
      </w:r>
      <w:bookmarkEnd w:id="11"/>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w:t>
      </w:r>
      <w:r>
        <w:rPr>
          <w:rFonts w:hint="eastAsia" w:ascii="仿宋" w:hAnsi="仿宋" w:eastAsia="仿宋"/>
          <w:sz w:val="28"/>
          <w:szCs w:val="28"/>
          <w:lang w:val="en-US" w:eastAsia="zh-CN"/>
        </w:rPr>
        <w:t xml:space="preserve">746</w:t>
      </w:r>
      <w:r>
        <w:rPr>
          <w:rFonts w:hint="eastAsia" w:ascii="仿宋" w:hAnsi="仿宋" w:eastAsia="仿宋"/>
          <w:sz w:val="28"/>
          <w:szCs w:val="28"/>
        </w:rPr>
        <w:t xml:space="preserve">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lang w:bidi="ar"/>
        </w:rPr>
      </w:pPr>
      <w:r>
        <w:rPr>
          <w:rFonts w:hint="eastAsia" w:ascii="仿宋" w:hAnsi="仿宋" w:eastAsia="仿宋"/>
          <w:sz w:val="28"/>
          <w:szCs w:val="28"/>
        </w:rPr>
        <w:t xml:space="preserve">采购需求：</w:t>
      </w:r>
      <w:r/>
    </w:p>
    <w:tbl>
      <w:tblPr>
        <w:tblStyle w:val="906"/>
        <w:tblW w:w="5015"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
        <w:gridCol w:w="2111"/>
        <w:gridCol w:w="530"/>
        <w:gridCol w:w="604"/>
        <w:gridCol w:w="993"/>
        <w:gridCol w:w="1106"/>
        <w:gridCol w:w="1041"/>
        <w:gridCol w:w="1021"/>
        <w:gridCol w:w="819"/>
      </w:tblGrid>
      <w:tr>
        <w:trPr>
          <w:trHeight w:val="470"/>
        </w:trPr>
        <w:tc>
          <w:tcPr>
            <w:tcW w:w="32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6G确定性承载网接入设备</w:t>
            </w:r>
            <w:r/>
          </w:p>
        </w:tc>
        <w:tc>
          <w:tcPr>
            <w:tcW w:w="301" w:type="pct"/>
            <w:vAlign w:val="center"/>
            <w:textDirection w:val="lrTb"/>
            <w:noWrap w:val="false"/>
          </w:tcPr>
          <w:p>
            <w:pPr>
              <w:jc w:val="center"/>
              <w:spacing w:line="264" w:lineRule="auto"/>
              <w:rPr>
                <w:rFonts w:hint="eastAsia" w:ascii="宋体" w:hAnsi="宋体" w:cs="宋体" w:eastAsiaTheme="minorEastAsia"/>
                <w:bCs/>
                <w:sz w:val="24"/>
                <w:szCs w:val="24"/>
                <w:lang w:eastAsia="zh-CN"/>
              </w:rPr>
            </w:pPr>
            <w:r>
              <w:rPr>
                <w:rFonts w:hint="eastAsia" w:ascii="宋体" w:hAnsi="宋体" w:cs="宋体"/>
                <w:bCs/>
                <w:sz w:val="24"/>
                <w:szCs w:val="24"/>
                <w:lang w:val="en-US" w:eastAsia="zh-CN"/>
              </w:rPr>
              <w:t xml:space="preserve">5</w:t>
            </w:r>
            <w:r/>
          </w:p>
        </w:tc>
        <w:tc>
          <w:tcPr>
            <w:tcW w:w="343"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default"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350000</w:t>
            </w:r>
            <w:r/>
          </w:p>
        </w:tc>
        <w:tc>
          <w:tcPr>
            <w:tcW w:w="628"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rPr>
            </w:pPr>
            <w:r>
              <w:rPr>
                <w:rFonts w:hint="eastAsia" w:ascii="宋体" w:hAnsi="宋体" w:cs="宋体" w:eastAsiaTheme="minorEastAsia"/>
                <w:bCs/>
                <w:sz w:val="24"/>
                <w:szCs w:val="24"/>
                <w:lang w:val="en-US" w:eastAsia="zh-CN"/>
              </w:rPr>
            </w:r>
            <w:r/>
          </w:p>
        </w:tc>
        <w:tc>
          <w:tcPr>
            <w:tcW w:w="59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2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19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6G确定性承载网汇聚设备</w:t>
            </w:r>
            <w:r/>
          </w:p>
        </w:tc>
        <w:tc>
          <w:tcPr>
            <w:tcW w:w="301" w:type="pct"/>
            <w:vAlign w:val="center"/>
            <w:textDirection w:val="lrTb"/>
            <w:noWrap w:val="false"/>
          </w:tcPr>
          <w:p>
            <w:pPr>
              <w:jc w:val="center"/>
              <w:spacing w:line="264" w:lineRule="auto"/>
              <w:rPr>
                <w:rFonts w:hint="eastAsia" w:ascii="宋体" w:hAnsi="宋体" w:cs="宋体" w:eastAsiaTheme="minorEastAsia"/>
                <w:bCs/>
                <w:sz w:val="24"/>
                <w:szCs w:val="24"/>
                <w:lang w:eastAsia="zh-CN"/>
              </w:rPr>
            </w:pPr>
            <w:r>
              <w:rPr>
                <w:rFonts w:hint="eastAsia" w:ascii="宋体" w:hAnsi="宋体" w:cs="宋体"/>
                <w:bCs/>
                <w:sz w:val="24"/>
                <w:szCs w:val="24"/>
                <w:lang w:val="en-US" w:eastAsia="zh-CN"/>
              </w:rPr>
              <w:t xml:space="preserve">5</w:t>
            </w:r>
            <w:r/>
          </w:p>
        </w:tc>
        <w:tc>
          <w:tcPr>
            <w:tcW w:w="343"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lang w:val="en-US" w:eastAsia="zh-CN"/>
              </w:rPr>
              <w:t xml:space="preserve">750</w:t>
            </w:r>
            <w:r>
              <w:rPr>
                <w:rFonts w:hint="eastAsia" w:ascii="宋体" w:hAnsi="宋体" w:cs="宋体"/>
                <w:bCs/>
                <w:sz w:val="24"/>
                <w:szCs w:val="24"/>
              </w:rPr>
              <w:t xml:space="preserve">000</w:t>
            </w:r>
            <w:r/>
          </w:p>
        </w:tc>
        <w:tc>
          <w:tcPr>
            <w:tcW w:w="628" w:type="pct"/>
            <w:vAlign w:val="center"/>
            <w:textDirection w:val="lrTb"/>
            <w:noWrap w:val="false"/>
          </w:tcPr>
          <w:p>
            <w:pPr>
              <w:jc w:val="center"/>
              <w:spacing w:line="264" w:lineRule="auto"/>
              <w:rPr>
                <w:rFonts w:hint="default"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核心产品</w:t>
            </w:r>
            <w:r/>
          </w:p>
        </w:tc>
        <w:tc>
          <w:tcPr>
            <w:tcW w:w="59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26"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3</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6G确定性承载网核心设备</w:t>
            </w:r>
            <w:r/>
          </w:p>
        </w:tc>
        <w:tc>
          <w:tcPr>
            <w:tcW w:w="301" w:type="pct"/>
            <w:vAlign w:val="center"/>
            <w:textDirection w:val="lrTb"/>
            <w:noWrap w:val="false"/>
          </w:tcPr>
          <w:p>
            <w:pPr>
              <w:jc w:val="center"/>
              <w:spacing w:line="264"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2</w:t>
            </w:r>
            <w:r/>
          </w:p>
        </w:tc>
        <w:tc>
          <w:tcPr>
            <w:tcW w:w="343"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台</w:t>
            </w:r>
            <w:r/>
          </w:p>
        </w:tc>
        <w:tc>
          <w:tcPr>
            <w:tcW w:w="564" w:type="pct"/>
            <w:vAlign w:val="center"/>
            <w:textDirection w:val="lrTb"/>
            <w:noWrap w:val="false"/>
          </w:tcPr>
          <w:p>
            <w:pPr>
              <w:jc w:val="center"/>
              <w:spacing w:line="264"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980000</w:t>
            </w:r>
            <w:r/>
          </w:p>
        </w:tc>
        <w:tc>
          <w:tcPr>
            <w:tcW w:w="628"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shd w:val="clear" w:color="auto" w:fill="auto"/>
            <w:tcW w:w="591"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工业</w:t>
            </w:r>
            <w:r/>
          </w:p>
        </w:tc>
        <w:tc>
          <w:tcPr>
            <w:shd w:val="clear" w:color="auto" w:fill="auto"/>
            <w:tcW w:w="580"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货物</w:t>
            </w:r>
            <w:r/>
          </w:p>
        </w:tc>
        <w:tc>
          <w:tcPr>
            <w:shd w:val="clear" w:color="auto" w:fill="auto"/>
            <w:tcW w:w="465"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bl>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903"/>
        <w:spacing w:line="360" w:lineRule="exact"/>
        <w:rPr>
          <w:rFonts w:ascii="仿宋" w:hAnsi="仿宋" w:eastAsia="仿宋"/>
          <w:sz w:val="28"/>
          <w:szCs w:val="28"/>
        </w:rPr>
      </w:pPr>
      <w:r/>
      <w:bookmarkStart w:id="12" w:name="_Toc35393791"/>
      <w:r/>
      <w:bookmarkStart w:id="13" w:name="_Toc28359003"/>
      <w:r/>
      <w:bookmarkStart w:id="14" w:name="_Toc28359080"/>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903"/>
        <w:spacing w:line="360" w:lineRule="exact"/>
        <w:rPr>
          <w:rFonts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03"/>
        <w:spacing w:line="360" w:lineRule="exact"/>
        <w:rPr>
          <w:rFonts w:ascii="黑体" w:hAnsi="黑体" w:cs="宋体"/>
          <w:b w:val="0"/>
          <w:sz w:val="28"/>
          <w:szCs w:val="28"/>
          <w:highlight w:val="none"/>
        </w:rPr>
      </w:pPr>
      <w:r/>
      <w:bookmarkStart w:id="20" w:name="_Toc28359005"/>
      <w:r/>
      <w:bookmarkStart w:id="21" w:name="_Toc28359082"/>
      <w:r/>
      <w:bookmarkStart w:id="22" w:name="_Toc35393793"/>
      <w:r/>
      <w:bookmarkStart w:id="23" w:name="_Toc35393624"/>
      <w:r>
        <w:rPr>
          <w:rFonts w:hint="eastAsia" w:ascii="黑体" w:hAnsi="黑体" w:cs="宋体"/>
          <w:b w:val="0"/>
          <w:sz w:val="28"/>
          <w:szCs w:val="28"/>
        </w:rPr>
        <w:t xml:space="preserve">四、</w:t>
      </w:r>
      <w:r>
        <w:rPr>
          <w:rFonts w:hint="eastAsia" w:ascii="黑体" w:hAnsi="黑体" w:cs="宋体"/>
          <w:b w:val="0"/>
          <w:sz w:val="28"/>
          <w:szCs w:val="28"/>
          <w:highlight w:val="none"/>
        </w:rPr>
        <w:t xml:space="preserve">提交投标文件</w:t>
      </w:r>
      <w:bookmarkEnd w:id="20"/>
      <w:r/>
      <w:bookmarkEnd w:id="21"/>
      <w:r>
        <w:rPr>
          <w:rFonts w:hint="eastAsia" w:ascii="黑体" w:hAnsi="黑体" w:cs="宋体"/>
          <w:b w:val="0"/>
          <w:sz w:val="28"/>
          <w:szCs w:val="28"/>
          <w:highlight w:val="none"/>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u w:val="single"/>
        </w:rPr>
        <w:t xml:space="preserve">2026年</w:t>
      </w:r>
      <w:r>
        <w:rPr>
          <w:rFonts w:hint="eastAsia" w:ascii="仿宋" w:hAnsi="仿宋" w:eastAsia="仿宋"/>
          <w:bCs/>
          <w:sz w:val="28"/>
          <w:szCs w:val="28"/>
          <w:highlight w:val="none"/>
          <w:u w:val="single"/>
          <w:lang w:val="en-US" w:eastAsia="zh-CN"/>
        </w:rPr>
        <w:t xml:space="preserve">8</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14</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903"/>
        <w:spacing w:line="360" w:lineRule="exact"/>
        <w:rPr>
          <w:rFonts w:ascii="黑体" w:hAnsi="黑体" w:cs="宋体"/>
          <w:b w:val="0"/>
          <w:sz w:val="28"/>
          <w:szCs w:val="28"/>
        </w:rPr>
      </w:pPr>
      <w:r/>
      <w:bookmarkStart w:id="24" w:name="_Toc35393625"/>
      <w:r/>
      <w:bookmarkStart w:id="25" w:name="_Toc35393794"/>
      <w:r/>
      <w:bookmarkStart w:id="26" w:name="_Toc28359084"/>
      <w:r/>
      <w:bookmarkStart w:id="27" w:name="_Toc28359007"/>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795"/>
      <w:r/>
      <w:bookmarkStart w:id="29" w:name="_Toc35393626"/>
      <w:r/>
      <w:r/>
    </w:p>
    <w:p>
      <w:pPr>
        <w:pStyle w:val="903"/>
        <w:spacing w:line="360" w:lineRule="exact"/>
        <w:rPr>
          <w:rFonts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spacing w:line="400" w:lineRule="exact"/>
        <w:rPr>
          <w:rFonts w:ascii="仿宋" w:hAnsi="仿宋" w:eastAsia="仿宋" w:cs="宋体"/>
          <w:sz w:val="28"/>
          <w:szCs w:val="28"/>
          <w:highlight w:val="none"/>
          <w:u w:val="single"/>
        </w:rPr>
      </w:pPr>
      <w:r/>
      <w:bookmarkStart w:id="30" w:name="_Toc35393627"/>
      <w:r/>
      <w:bookmarkStart w:id="31" w:name="_Toc35393796"/>
      <w:r/>
      <w:bookmarkStart w:id="32" w:name="_Toc28359008"/>
      <w:r/>
      <w:bookmarkStart w:id="33" w:name="_Toc28359085"/>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7</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25</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7</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31</w:t>
      </w:r>
      <w:r>
        <w:rPr>
          <w:rFonts w:hint="eastAsia" w:ascii="仿宋" w:hAnsi="仿宋" w:eastAsia="仿宋" w:cs="宋体"/>
          <w:sz w:val="28"/>
          <w:szCs w:val="28"/>
          <w:highlight w:val="none"/>
          <w:u w:val="single"/>
        </w:rPr>
        <w:t xml:space="preserve">日</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903"/>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宋</w:t>
      </w:r>
      <w:r>
        <w:rPr>
          <w:rFonts w:hint="eastAsia" w:ascii="仿宋" w:hAnsi="仿宋" w:eastAsia="仿宋"/>
          <w:sz w:val="28"/>
          <w:szCs w:val="28"/>
          <w:u w:val="single"/>
        </w:rPr>
        <w:t xml:space="preserve">工（025-57917091）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28359077"/>
      <w:r/>
      <w:bookmarkStart w:id="39" w:name="_Toc35393619"/>
      <w:r/>
      <w:bookmarkStart w:id="40" w:name="_Toc28359000"/>
      <w:r/>
      <w:bookmarkStart w:id="41" w:name="_Toc35393788"/>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
      <w:r/>
      <w:bookmarkStart w:id="43" w:name="_Toc415494524"/>
      <w:r/>
      <w:bookmarkStart w:id="44" w:name="_Toc448069941"/>
      <w:r/>
      <w:bookmarkStart w:id="45" w:name="_Toc11859486"/>
      <w:r/>
      <w:r/>
    </w:p>
    <w:p>
      <w:pPr>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hint="eastAsia" w:ascii="Times New Roman" w:hAnsi="Times New Roman" w:cs="Times New Roman" w:eastAsiaTheme="minorEastAsia"/>
          <w:b/>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b/>
          <w:color w:val="000000" w:themeColor="text1"/>
          <w:sz w:val="24"/>
          <w:szCs w:val="24"/>
          <w:lang w:val="en-US" w:eastAsia="zh-CN"/>
          <w14:textFill>
            <w14:solidFill>
              <w14:schemeClr w14:val="tx1"/>
            </w14:solidFill>
          </w14:textFill>
        </w:rPr>
        <w:t xml:space="preserve">29.根据《关于推动解决政府采购异常低价问题的通知》财库〔2026〕2号</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29.1</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（4）评审委员会认定的供应商报价过低、有可能影响产品质量或者不能诚信履约的其他情形。</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（5）评审委员会基于专业判断，认为供应商报价过低，有可能影响产品质量或者不能诚信履约的其他情形。</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相关法律法规对供应商报价有规定的，从其规定。</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29.2</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评审委员会依据专业经验，参考同类项目成交（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 xml:space="preserve">采购人、采购代理机构应当为评审委员会在评审现场及时获取同类项目成交（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ascii="宋体" w:hAnsi="宋体" w:eastAsia="宋体" w:cs="宋体"/>
          <w:sz w:val="44"/>
          <w:szCs w:val="44"/>
        </w:rPr>
      </w:pPr>
      <w:r>
        <w:rPr>
          <w:rFonts w:ascii="宋体" w:hAnsi="宋体" w:eastAsia="宋体" w:cs="宋体"/>
          <w:sz w:val="44"/>
          <w:szCs w:val="44"/>
        </w:rPr>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ascii="宋体" w:hAnsi="宋体" w:eastAsia="宋体" w:cs="宋体"/>
          <w:color w:val="000000"/>
          <w:sz w:val="28"/>
          <w:szCs w:val="28"/>
        </w:rPr>
      </w:pPr>
      <w:r>
        <w:rPr>
          <w:rFonts w:ascii="宋体" w:hAnsi="宋体" w:eastAsia="宋体" w:cs="宋体"/>
          <w:color w:val="000000"/>
          <w:sz w:val="28"/>
          <w:szCs w:val="28"/>
        </w:rPr>
      </w:r>
      <w:r/>
    </w:p>
    <w:p>
      <w:pPr>
        <w:ind w:firstLine="1120"/>
        <w:rPr>
          <w:rFonts w:ascii="宋体" w:hAnsi="宋体" w:eastAsia="宋体" w:cs="宋体"/>
          <w:color w:val="000000"/>
          <w:sz w:val="28"/>
          <w:szCs w:val="28"/>
        </w:rPr>
      </w:pPr>
      <w:r>
        <w:rPr>
          <w:rFonts w:ascii="宋体" w:hAnsi="宋体" w:eastAsia="宋体" w:cs="宋体"/>
          <w:color w:val="000000"/>
          <w:sz w:val="28"/>
          <w:szCs w:val="28"/>
        </w:rPr>
      </w:r>
      <w:r/>
    </w:p>
    <w:p>
      <w:pPr>
        <w:ind w:left="1400" w:hanging="1400"/>
        <w:rPr>
          <w:rFonts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w:t>
      </w:r>
      <w:r>
        <w:rPr>
          <w:rFonts w:hint="eastAsia" w:ascii="宋体" w:hAnsi="宋体" w:eastAsia="宋体" w:cs="宋体"/>
          <w:b w:val="0"/>
          <w:bCs w:val="0"/>
          <w:color w:val="000000"/>
          <w:sz w:val="28"/>
          <w:szCs w:val="28"/>
          <w:u w:val="single"/>
          <w:lang w:bidi="ar"/>
        </w:rPr>
        <w:t xml:space="preserve">6G确定性承载</w:t>
      </w:r>
      <w:r>
        <w:rPr>
          <w:rFonts w:hint="eastAsia" w:ascii="宋体" w:hAnsi="宋体" w:eastAsia="宋体" w:cs="宋体"/>
          <w:b w:val="0"/>
          <w:bCs w:val="0"/>
          <w:color w:val="000000"/>
          <w:sz w:val="28"/>
          <w:szCs w:val="28"/>
          <w:u w:val="single"/>
          <w:lang w:val="en-US" w:eastAsia="zh-CN" w:bidi="ar"/>
        </w:rPr>
        <w:t xml:space="preserve">网</w:t>
      </w:r>
      <w:r>
        <w:rPr>
          <w:rFonts w:hint="eastAsia" w:ascii="宋体" w:hAnsi="宋体" w:eastAsia="宋体" w:cs="宋体"/>
          <w:color w:val="000000"/>
          <w:sz w:val="28"/>
          <w:szCs w:val="28"/>
          <w:u w:val="single"/>
          <w:lang w:bidi="ar"/>
        </w:rPr>
        <w:t xml:space="preserve">设备采购项目 </w:t>
      </w:r>
      <w:r/>
    </w:p>
    <w:p>
      <w:pPr>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2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20"/>
        <w:jc w:val="left"/>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ascii="宋体" w:hAnsi="宋体" w:eastAsia="宋体" w:cs="宋体"/>
          <w:b/>
          <w:color w:val="000000"/>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ascii="宋体" w:hAnsi="宋体" w:eastAsia="宋体" w:cs="宋体"/>
          <w:sz w:val="24"/>
          <w:szCs w:val="24"/>
          <w:lang w:bidi="ar"/>
        </w:rPr>
      </w:pPr>
      <w:r>
        <w:rPr>
          <w:rFonts w:hint="eastAsia" w:ascii="宋体" w:hAnsi="宋体" w:eastAsia="宋体" w:cs="宋体"/>
          <w:color w:val="000000"/>
          <w:sz w:val="24"/>
          <w:szCs w:val="24"/>
          <w:lang w:bidi="ar"/>
        </w:rPr>
        <w:t xml:space="preserve">合同签订后，货到验收合格且乙方开具全额增值税专用发票后支付95%合同款，货物稳定运行一年后支付5%合同款。</w:t>
      </w:r>
      <w:r/>
    </w:p>
    <w:p>
      <w:pPr>
        <w:ind w:firstLine="420"/>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税  号：</w:t>
      </w:r>
      <w:r/>
    </w:p>
    <w:p>
      <w:pPr>
        <w:pStyle w:val="926"/>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ascii="宋体" w:hAnsi="宋体" w:eastAsia="宋体" w:cs="宋体"/>
          <w:color w:val="000000"/>
          <w:lang w:val="zh-CN"/>
        </w:rPr>
      </w:pPr>
      <w:r>
        <w:rPr>
          <w:rFonts w:ascii="宋体" w:hAnsi="宋体" w:eastAsia="宋体" w:cs="宋体"/>
          <w:color w:val="000000"/>
          <w:lang w:val="zh-CN"/>
        </w:rPr>
      </w:r>
      <w:r/>
    </w:p>
    <w:p>
      <w:pPr>
        <w:jc w:val="left"/>
        <w:widowControl/>
        <w:rPr>
          <w:rFonts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90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甲    方：紫金山实验室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法人代表:尤肖虎</w:t>
            </w:r>
            <w:r/>
          </w:p>
          <w:p>
            <w:pPr>
              <w:rPr>
                <w:rFonts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ascii="宋体" w:hAnsi="宋体" w:eastAsia="宋体" w:cs="宋体"/>
              </w:rPr>
            </w:pPr>
            <w:r>
              <w:rPr>
                <w:rFonts w:hint="eastAsia" w:ascii="宋体" w:hAnsi="宋体" w:eastAsia="宋体" w:cs="宋体"/>
                <w:sz w:val="24"/>
                <w:szCs w:val="24"/>
                <w:lang w:bidi="ar"/>
              </w:rPr>
              <w:t xml:space="preserve">邮编:         </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乙    方：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w:t>
            </w:r>
            <w:r/>
          </w:p>
          <w:p>
            <w:pPr>
              <w:rPr>
                <w:rFonts w:ascii="宋体" w:hAnsi="宋体" w:eastAsia="宋体" w:cs="宋体"/>
              </w:rPr>
            </w:pPr>
            <w:r>
              <w:rPr>
                <w:rFonts w:hint="eastAsia" w:ascii="宋体" w:hAnsi="宋体" w:eastAsia="宋体" w:cs="宋体"/>
                <w:sz w:val="24"/>
                <w:szCs w:val="24"/>
                <w:lang w:bidi="ar"/>
              </w:rPr>
              <w:t xml:space="preserve">地址:</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sz w:val="24"/>
                <w:szCs w:val="24"/>
                <w:lang w:bidi="ar"/>
              </w:rPr>
              <w:t xml:space="preserve">邮编:</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9"/>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9"/>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9"/>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9"/>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ascii="宋体" w:hAnsi="宋体"/>
          <w:sz w:val="24"/>
          <w:szCs w:val="24"/>
        </w:rPr>
      </w:pPr>
      <w:r>
        <w:rPr>
          <w:rFonts w:hint="eastAsia" w:ascii="宋体" w:hAnsi="宋体"/>
          <w:sz w:val="24"/>
          <w:szCs w:val="24"/>
        </w:rPr>
        <w:t xml:space="preserve">根据科研任务需要，申请采购 12 台高性能可编程智算互联网络设备，用于可编程数算融合网络技术研究，验证数算融合系统在智算 AI 业务场景的应用。</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本次采购设备的设计、生产、测试应符合以下标准（包括但不限于）：</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 GB/T 9813-2016 《计算机通用规范》</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 IEEE 802.3bs 等以太网相关标准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 国家和行业现行有效的其他相关标准。</w:t>
      </w:r>
      <w:r/>
    </w:p>
    <w:p>
      <w:pPr>
        <w:ind w:firstLine="480"/>
        <w:spacing w:line="264" w:lineRule="auto"/>
        <w:rPr>
          <w:rFonts w:ascii="宋体" w:hAnsi="宋体" w:cs="宋体"/>
          <w:bCs/>
          <w:sz w:val="24"/>
          <w:szCs w:val="24"/>
        </w:rPr>
        <w:outlineLvl w:val="1"/>
      </w:pPr>
      <w:r>
        <w:rPr>
          <w:rFonts w:hint="eastAsia" w:ascii="黑体" w:hAnsi="黑体" w:eastAsia="黑体" w:cs="黑体"/>
          <w:sz w:val="24"/>
          <w:szCs w:val="24"/>
        </w:rPr>
        <w:t xml:space="preserve">三、项目清单</w:t>
      </w:r>
      <w:r/>
    </w:p>
    <w:tbl>
      <w:tblPr>
        <w:tblStyle w:val="906"/>
        <w:tblW w:w="5015"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
        <w:gridCol w:w="2111"/>
        <w:gridCol w:w="530"/>
        <w:gridCol w:w="604"/>
        <w:gridCol w:w="993"/>
        <w:gridCol w:w="1106"/>
        <w:gridCol w:w="1041"/>
        <w:gridCol w:w="1021"/>
        <w:gridCol w:w="819"/>
      </w:tblGrid>
      <w:tr>
        <w:trPr>
          <w:trHeight w:val="470"/>
        </w:trPr>
        <w:tc>
          <w:tcPr>
            <w:tcW w:w="32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6G确定性承载网接入设备</w:t>
            </w:r>
            <w:r/>
          </w:p>
        </w:tc>
        <w:tc>
          <w:tcPr>
            <w:tcW w:w="301" w:type="pct"/>
            <w:vAlign w:val="center"/>
            <w:textDirection w:val="lrTb"/>
            <w:noWrap w:val="false"/>
          </w:tcPr>
          <w:p>
            <w:pPr>
              <w:jc w:val="center"/>
              <w:spacing w:line="264" w:lineRule="auto"/>
              <w:rPr>
                <w:rFonts w:hint="eastAsia" w:ascii="宋体" w:hAnsi="宋体" w:cs="宋体" w:eastAsiaTheme="minorEastAsia"/>
                <w:bCs/>
                <w:sz w:val="24"/>
                <w:szCs w:val="24"/>
                <w:lang w:eastAsia="zh-CN"/>
              </w:rPr>
            </w:pPr>
            <w:r>
              <w:rPr>
                <w:rFonts w:hint="eastAsia" w:ascii="宋体" w:hAnsi="宋体" w:cs="宋体"/>
                <w:bCs/>
                <w:sz w:val="24"/>
                <w:szCs w:val="24"/>
                <w:lang w:val="en-US" w:eastAsia="zh-CN"/>
              </w:rPr>
              <w:t xml:space="preserve">5</w:t>
            </w:r>
            <w:r/>
          </w:p>
        </w:tc>
        <w:tc>
          <w:tcPr>
            <w:tcW w:w="343"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default"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350000</w:t>
            </w:r>
            <w:r/>
          </w:p>
        </w:tc>
        <w:tc>
          <w:tcPr>
            <w:tcW w:w="628"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59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2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19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6G确定性承载网汇聚设备</w:t>
            </w:r>
            <w:r/>
          </w:p>
        </w:tc>
        <w:tc>
          <w:tcPr>
            <w:tcW w:w="301" w:type="pct"/>
            <w:vAlign w:val="center"/>
            <w:textDirection w:val="lrTb"/>
            <w:noWrap w:val="false"/>
          </w:tcPr>
          <w:p>
            <w:pPr>
              <w:jc w:val="center"/>
              <w:spacing w:line="264" w:lineRule="auto"/>
              <w:rPr>
                <w:rFonts w:hint="eastAsia" w:ascii="宋体" w:hAnsi="宋体" w:cs="宋体" w:eastAsiaTheme="minorEastAsia"/>
                <w:bCs/>
                <w:sz w:val="24"/>
                <w:szCs w:val="24"/>
                <w:lang w:eastAsia="zh-CN"/>
              </w:rPr>
            </w:pPr>
            <w:r>
              <w:rPr>
                <w:rFonts w:hint="eastAsia" w:ascii="宋体" w:hAnsi="宋体" w:cs="宋体"/>
                <w:bCs/>
                <w:sz w:val="24"/>
                <w:szCs w:val="24"/>
                <w:lang w:val="en-US" w:eastAsia="zh-CN"/>
              </w:rPr>
              <w:t xml:space="preserve">5</w:t>
            </w:r>
            <w:r/>
          </w:p>
        </w:tc>
        <w:tc>
          <w:tcPr>
            <w:tcW w:w="343"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lang w:val="en-US" w:eastAsia="zh-CN"/>
              </w:rPr>
              <w:t xml:space="preserve">750</w:t>
            </w:r>
            <w:r>
              <w:rPr>
                <w:rFonts w:hint="eastAsia" w:ascii="宋体" w:hAnsi="宋体" w:cs="宋体"/>
                <w:bCs/>
                <w:sz w:val="24"/>
                <w:szCs w:val="24"/>
              </w:rPr>
              <w:t xml:space="preserve">000</w:t>
            </w:r>
            <w:r/>
          </w:p>
        </w:tc>
        <w:tc>
          <w:tcPr>
            <w:tcW w:w="628" w:type="pct"/>
            <w:vAlign w:val="center"/>
            <w:textDirection w:val="lrTb"/>
            <w:noWrap w:val="false"/>
          </w:tcPr>
          <w:p>
            <w:pPr>
              <w:jc w:val="center"/>
              <w:spacing w:line="264" w:lineRule="auto"/>
              <w:rPr>
                <w:rFonts w:hint="default"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核心产品</w:t>
            </w:r>
            <w:r/>
          </w:p>
        </w:tc>
        <w:tc>
          <w:tcPr>
            <w:tcW w:w="59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26"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3</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6G确定性承载网核心设备</w:t>
            </w:r>
            <w:r/>
          </w:p>
        </w:tc>
        <w:tc>
          <w:tcPr>
            <w:tcW w:w="301" w:type="pct"/>
            <w:vAlign w:val="center"/>
            <w:textDirection w:val="lrTb"/>
            <w:noWrap w:val="false"/>
          </w:tcPr>
          <w:p>
            <w:pPr>
              <w:jc w:val="center"/>
              <w:spacing w:line="264"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2</w:t>
            </w:r>
            <w:r/>
          </w:p>
        </w:tc>
        <w:tc>
          <w:tcPr>
            <w:tcW w:w="343"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台</w:t>
            </w:r>
            <w:r/>
          </w:p>
        </w:tc>
        <w:tc>
          <w:tcPr>
            <w:tcW w:w="564" w:type="pct"/>
            <w:vAlign w:val="center"/>
            <w:textDirection w:val="lrTb"/>
            <w:noWrap w:val="false"/>
          </w:tcPr>
          <w:p>
            <w:pPr>
              <w:jc w:val="center"/>
              <w:spacing w:line="264"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980000</w:t>
            </w:r>
            <w:r/>
          </w:p>
        </w:tc>
        <w:tc>
          <w:tcPr>
            <w:tcW w:w="628"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shd w:val="clear" w:color="auto" w:fill="auto"/>
            <w:tcW w:w="591"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工业</w:t>
            </w:r>
            <w:r/>
          </w:p>
        </w:tc>
        <w:tc>
          <w:tcPr>
            <w:shd w:val="clear" w:color="auto" w:fill="auto"/>
            <w:tcW w:w="580"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货物</w:t>
            </w:r>
            <w:r/>
          </w:p>
        </w:tc>
        <w:tc>
          <w:tcPr>
            <w:shd w:val="clear" w:color="auto" w:fill="auto"/>
            <w:tcW w:w="465" w:type="pct"/>
            <w:vAlign w:val="center"/>
            <w:textDirection w:val="lrTb"/>
            <w:noWrap w:val="false"/>
          </w:tcPr>
          <w:p>
            <w:pPr>
              <w:jc w:val="center"/>
              <w:spacing w:line="264"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bl>
    <w:p>
      <w:pPr>
        <w:ind w:firstLine="480"/>
        <w:spacing w:line="264" w:lineRule="auto"/>
        <w:widowControl/>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firstLine="420"/>
        <w:spacing w:line="264" w:lineRule="auto"/>
        <w:rPr>
          <w:rFonts w:hint="eastAsia" w:asciiTheme="minorEastAsia" w:hAnsiTheme="minorEastAsia" w:cstheme="minorEastAsia"/>
          <w:bCs/>
          <w:sz w:val="21"/>
          <w:szCs w:val="21"/>
        </w:rPr>
        <w:outlineLvl w:val="2"/>
      </w:pPr>
      <w:r>
        <w:rPr>
          <w:rFonts w:hint="eastAsia" w:asciiTheme="minorEastAsia" w:hAnsiTheme="minorEastAsia" w:cstheme="minorEastAsia"/>
          <w:bCs/>
          <w:sz w:val="21"/>
          <w:szCs w:val="21"/>
        </w:rPr>
        <w:t xml:space="preserve">注意事项：</w:t>
      </w:r>
      <w:r/>
    </w:p>
    <w:p>
      <w:pPr>
        <w:numPr>
          <w:ilvl w:val="0"/>
          <w:numId w:val="3"/>
        </w:numPr>
        <w:ind w:firstLine="420"/>
        <w:spacing w:line="264" w:lineRule="auto"/>
        <w:rPr>
          <w:rFonts w:hint="eastAsia" w:asciiTheme="minorEastAsia" w:hAnsiTheme="minorEastAsia" w:cstheme="minorEastAsia"/>
          <w:bCs/>
          <w:sz w:val="21"/>
          <w:szCs w:val="21"/>
        </w:rPr>
        <w:outlineLvl w:val="2"/>
      </w:pPr>
      <w:r>
        <w:rPr>
          <w:rFonts w:hint="eastAsia" w:asciiTheme="minorEastAsia" w:hAnsiTheme="minorEastAsia" w:cstheme="minorEastAsia"/>
          <w:bCs/>
          <w:sz w:val="21"/>
          <w:szCs w:val="21"/>
        </w:rPr>
        <w:t xml:space="preserve">三种类型设备应支持标准化接口协议，确保接口板或子卡具备良好的互换性和可维护性。投标人应在投标文件中提供接口板/子卡互换性方案及兼容性说明。</w:t>
      </w:r>
      <w:r/>
    </w:p>
    <w:p>
      <w:pPr>
        <w:ind w:firstLine="420"/>
        <w:spacing w:line="264" w:lineRule="auto"/>
        <w:rPr>
          <w:sz w:val="24"/>
          <w:szCs w:val="24"/>
        </w:rPr>
        <w:outlineLvl w:val="2"/>
      </w:pPr>
      <w:r>
        <w:rPr>
          <w:rFonts w:hint="eastAsia" w:asciiTheme="minorEastAsia" w:hAnsiTheme="minorEastAsia" w:cstheme="minorEastAsia"/>
          <w:bCs/>
          <w:sz w:val="21"/>
          <w:szCs w:val="21"/>
          <w:lang w:val="en-US" w:eastAsia="zh-CN"/>
        </w:rPr>
        <w:t xml:space="preserve">2、</w:t>
      </w:r>
      <w:r>
        <w:rPr>
          <w:rFonts w:hint="eastAsia" w:asciiTheme="minorEastAsia" w:hAnsiTheme="minorEastAsia" w:cstheme="minorEastAsia"/>
          <w:bCs/>
          <w:sz w:val="21"/>
          <w:szCs w:val="21"/>
        </w:rPr>
        <w:t xml:space="preserve">三种类型设备的软件系统应支持统一的网络管理协议（如Netconf、SNMP等），确保可通过统一管理平台进行集中配置和监控。</w:t>
      </w:r>
      <w:r/>
    </w:p>
    <w:p>
      <w:pPr>
        <w:pStyle w:val="929"/>
        <w:ind w:left="0" w:firstLine="0"/>
        <w:rPr>
          <w:rFonts w:hint="eastAsia" w:cs="宋体"/>
          <w:b/>
          <w:bCs/>
          <w:sz w:val="24"/>
          <w:szCs w:val="24"/>
        </w:rPr>
      </w:pPr>
      <w:r>
        <w:rPr>
          <w:rFonts w:hint="eastAsia"/>
          <w:b/>
          <w:bCs/>
          <w:sz w:val="24"/>
          <w:szCs w:val="24"/>
        </w:rPr>
        <w:t xml:space="preserve">（1）</w:t>
      </w:r>
      <w:r>
        <w:rPr>
          <w:rFonts w:hint="eastAsia" w:cs="宋体"/>
          <w:b/>
          <w:bCs/>
          <w:sz w:val="24"/>
          <w:szCs w:val="24"/>
        </w:rPr>
        <w:t xml:space="preserve">6G确定性承载网接入设备技术指标</w:t>
      </w:r>
      <w:r/>
    </w:p>
    <w:tbl>
      <w:tblPr>
        <w:tblStyle w:val="906"/>
        <w:tblW w:w="497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9"/>
        <w:gridCol w:w="1050"/>
        <w:gridCol w:w="7192"/>
      </w:tblGrid>
      <w:tr>
        <w:trPr/>
        <w:tc>
          <w:tcPr>
            <w:tcW w:w="280"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rPr>
              <w:outlineLvl w:val="9"/>
            </w:pPr>
            <w:r>
              <w:rPr>
                <w:rFonts w:hint="eastAsia" w:asciiTheme="minorEastAsia" w:hAnsiTheme="minorEastAsia" w:eastAsiaTheme="minorEastAsia" w:cstheme="minorEastAsia"/>
                <w:b w:val="0"/>
                <w:bCs/>
                <w:color w:val="auto"/>
                <w:sz w:val="21"/>
                <w:szCs w:val="21"/>
              </w:rPr>
              <w:t xml:space="preserve">序号</w:t>
            </w:r>
            <w:r/>
          </w:p>
        </w:tc>
        <w:tc>
          <w:tcPr>
            <w:tcW w:w="601"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rPr>
              <w:outlineLvl w:val="9"/>
            </w:pPr>
            <w:r>
              <w:rPr>
                <w:rFonts w:hint="eastAsia" w:asciiTheme="minorEastAsia" w:hAnsiTheme="minorEastAsia" w:eastAsiaTheme="minorEastAsia" w:cstheme="minorEastAsia"/>
                <w:b w:val="0"/>
                <w:bCs/>
                <w:color w:val="auto"/>
                <w:sz w:val="21"/>
                <w:szCs w:val="21"/>
              </w:rPr>
              <w:t xml:space="preserve">产品名称</w:t>
            </w:r>
            <w:r/>
          </w:p>
        </w:tc>
        <w:tc>
          <w:tcPr>
            <w:tcW w:w="4118"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rPr>
              <w:outlineLvl w:val="9"/>
            </w:pPr>
            <w:r>
              <w:rPr>
                <w:rFonts w:hint="eastAsia" w:asciiTheme="minorEastAsia" w:hAnsiTheme="minorEastAsia" w:eastAsiaTheme="minorEastAsia" w:cstheme="minorEastAsia"/>
                <w:b w:val="0"/>
                <w:bCs/>
                <w:color w:val="auto"/>
                <w:sz w:val="21"/>
                <w:szCs w:val="21"/>
              </w:rPr>
              <w:t xml:space="preserve">功能、性能、配置要求</w:t>
            </w:r>
            <w:r>
              <w:rPr>
                <w:rFonts w:hint="eastAsia" w:asciiTheme="minorEastAsia" w:hAnsiTheme="minorEastAsia" w:eastAsiaTheme="minorEastAsia" w:cstheme="minorEastAsia"/>
                <w:b w:val="0"/>
                <w:bCs/>
                <w:color w:val="auto"/>
                <w:sz w:val="21"/>
                <w:szCs w:val="21"/>
                <w:lang w:bidi="ar"/>
              </w:rPr>
              <w:t xml:space="preserve">不低于以下要求</w:t>
            </w:r>
            <w:r/>
          </w:p>
        </w:tc>
      </w:tr>
      <w:tr>
        <w:trPr>
          <w:trHeight w:val="2142"/>
        </w:trPr>
        <w:tc>
          <w:tcPr>
            <w:tcW w:w="280"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1</w:t>
            </w:r>
            <w:r/>
          </w:p>
        </w:tc>
        <w:tc>
          <w:tcPr>
            <w:tcW w:w="601" w:type="pct"/>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eastAsia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硬件技术要求</w:t>
            </w:r>
            <w:r/>
          </w:p>
        </w:tc>
        <w:tc>
          <w:tcPr>
            <w:tcW w:w="4118" w:type="pct"/>
            <w:vAlign w:val="center"/>
            <w:textDirection w:val="lrTb"/>
            <w:noWrap w:val="false"/>
          </w:tcPr>
          <w:p>
            <w:pPr>
              <w:numPr>
                <w:ilvl w:val="0"/>
                <w:numId w:val="0"/>
              </w:numPr>
              <w:jc w:val="both"/>
              <w:keepLines w:val="0"/>
              <w:keepNext w:val="0"/>
              <w:pageBreakBefore w:val="0"/>
              <w:spacing w:after="0" w:line="360" w:lineRule="exact"/>
              <w:widowControl w:val="off"/>
              <w:rPr>
                <w:rFonts w:hint="eastAsia" w:asciiTheme="minorEastAsia" w:hAnsiTheme="minorEastAsia" w:cstheme="minorEastAsia"/>
                <w:b w:val="0"/>
                <w:bCs/>
                <w:color w:val="auto"/>
                <w:szCs w:val="21"/>
              </w:rPr>
              <w:outlineLvl w:val="9"/>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cstheme="minorEastAsia"/>
                <w:bCs/>
                <w:sz w:val="21"/>
                <w:szCs w:val="21"/>
                <w:lang w:val="en-US" w:eastAsia="zh-CN"/>
              </w:rPr>
              <w:t xml:space="preserve">1、</w:t>
            </w:r>
            <w:r>
              <w:rPr>
                <w:rFonts w:hint="eastAsia" w:asciiTheme="minorEastAsia" w:hAnsiTheme="minorEastAsia" w:cstheme="minorEastAsia"/>
                <w:b w:val="0"/>
                <w:bCs/>
                <w:color w:val="auto"/>
                <w:szCs w:val="21"/>
              </w:rPr>
              <w:t xml:space="preserve">支持双主控、独立交换网板，独立交换网板总数≥2，支持子母卡架构，整机支持业务线卡槽位≥8个（全尺寸业务卡槽位，非子卡槽位）；</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
                <w:bCs w:val="0"/>
                <w:lang w:eastAsia="zh-CN"/>
              </w:rPr>
            </w:pPr>
            <w:r>
              <w:rPr>
                <w:rFonts w:hint="eastAsia" w:asciiTheme="minorEastAsia" w:hAnsiTheme="minorEastAsia" w:eastAsiaTheme="minorEastAsia" w:cstheme="minorEastAsia"/>
                <w:bCs/>
                <w:sz w:val="21"/>
                <w:szCs w:val="21"/>
                <w:lang w:val="en-US" w:eastAsia="zh-CN"/>
              </w:rPr>
              <w:t xml:space="preserve">▲2、</w:t>
            </w:r>
            <w:r>
              <w:rPr>
                <w:rFonts w:hint="eastAsia" w:asciiTheme="minorEastAsia" w:hAnsiTheme="minorEastAsia" w:eastAsiaTheme="minorEastAsia" w:cstheme="minorEastAsia"/>
                <w:bCs/>
                <w:lang w:eastAsia="zh-CN"/>
              </w:rPr>
              <w:t xml:space="preserve">设备CPU和交换芯片为国产芯片（在中国境内完成流片和封装）；</w:t>
            </w:r>
            <w:r>
              <w:rPr>
                <w:rFonts w:hint="eastAsia" w:asciiTheme="minorEastAsia" w:hAnsiTheme="minorEastAsia" w:eastAsiaTheme="minorEastAsia" w:cstheme="minorEastAsia"/>
                <w:b w:val="0"/>
                <w:bCs/>
                <w:lang w:eastAsia="zh-CN"/>
              </w:rPr>
              <w:t xml:space="preserve">（提供如产品彩页、系统截图、第三方测试报告等或芯片国产化证明）；</w:t>
            </w:r>
            <w:r/>
          </w:p>
          <w:p>
            <w:pPr>
              <w:pStyle w:val="1022"/>
              <w:numPr>
                <w:ilvl w:val="0"/>
                <w:numId w:val="0"/>
              </w:numPr>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en-US"/>
              </w:rPr>
              <w:t xml:space="preserve">★</w:t>
            </w:r>
            <w:r>
              <w:rPr>
                <w:rFonts w:hint="eastAsia" w:asciiTheme="minorEastAsia" w:hAnsiTheme="minorEastAsia" w:eastAsiaTheme="minorEastAsia" w:cstheme="minorEastAsia"/>
                <w:bCs/>
                <w:sz w:val="21"/>
                <w:szCs w:val="21"/>
                <w:lang w:val="en-US" w:eastAsia="zh-CN"/>
              </w:rPr>
              <w:t xml:space="preserve">3、端口支持10G/100G接口，配置≥12*10G+8*100G，设备转发能力&gt;=1T；</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en-US"/>
              </w:rPr>
              <w:t xml:space="preserve">★</w:t>
            </w:r>
            <w:r>
              <w:rPr>
                <w:rFonts w:hint="eastAsia" w:asciiTheme="minorEastAsia" w:hAnsiTheme="minorEastAsia" w:eastAsiaTheme="minorEastAsia" w:cstheme="minorEastAsia"/>
                <w:bCs/>
                <w:sz w:val="21"/>
                <w:szCs w:val="21"/>
                <w:lang w:val="en-US" w:eastAsia="zh-CN"/>
              </w:rPr>
              <w:t xml:space="preserve">4、5台设备共计配置光模块数量如下：</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1）10KM 100G光模块16块，40KM 100G光模块2块，80KM 100G光模块2块；</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2）10KM 10G光模块20块，40KM 10G光模块4块，80KM 10G光模块4块；</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en-US"/>
              </w:rPr>
            </w:pPr>
            <w:r>
              <w:rPr>
                <w:rFonts w:hint="eastAsia" w:asciiTheme="minorEastAsia" w:hAnsiTheme="minorEastAsia" w:eastAsiaTheme="minorEastAsia" w:cstheme="minorEastAsia"/>
                <w:bCs/>
                <w:sz w:val="21"/>
                <w:szCs w:val="21"/>
                <w:lang w:val="en-US" w:eastAsia="zh-CN"/>
              </w:rPr>
              <w:t xml:space="preserve">3）100G光纤：5米10根，10米20根，15米10根；</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4）10G光纤：5米10根，10米20根，15米10根；</w:t>
            </w:r>
            <w:r/>
          </w:p>
          <w:p>
            <w:pPr>
              <w:pStyle w:val="1022"/>
              <w:numPr>
                <w:ilvl w:val="0"/>
                <w:numId w:val="0"/>
              </w:numPr>
              <w:jc w:val="both"/>
              <w:spacing w:before="0" w:line="360" w:lineRule="exact"/>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Cs/>
                <w:sz w:val="21"/>
                <w:szCs w:val="21"/>
                <w:lang w:val="en-US" w:eastAsia="zh-CN"/>
              </w:rPr>
              <w:t xml:space="preserve">5、</w:t>
            </w:r>
            <w:r>
              <w:rPr>
                <w:rFonts w:hint="eastAsia" w:asciiTheme="minorEastAsia" w:hAnsiTheme="minorEastAsia" w:eastAsiaTheme="minorEastAsia" w:cstheme="minorEastAsia"/>
                <w:bCs/>
                <w:sz w:val="21"/>
                <w:szCs w:val="21"/>
                <w:highlight w:val="none"/>
                <w:lang w:val="en-US" w:eastAsia="zh-CN"/>
              </w:rPr>
              <w:t xml:space="preserve">单槽位转发性能不低于800Gbps，</w:t>
            </w:r>
            <w:r>
              <w:rPr>
                <w:rFonts w:hint="eastAsia" w:asciiTheme="minorEastAsia" w:hAnsiTheme="minorEastAsia" w:eastAsiaTheme="minorEastAsia" w:cstheme="minorEastAsia"/>
                <w:bCs/>
                <w:sz w:val="21"/>
                <w:szCs w:val="21"/>
                <w:lang w:val="en-US" w:eastAsia="zh-CN"/>
              </w:rPr>
              <w:t xml:space="preserve">整机支持16*400G端口</w:t>
            </w:r>
            <w:r>
              <w:rPr>
                <w:rFonts w:hint="eastAsia" w:asciiTheme="minorEastAsia" w:hAnsiTheme="minorEastAsia" w:eastAsiaTheme="minorEastAsia" w:cstheme="minorEastAsia"/>
                <w:b w:val="0"/>
                <w:bCs/>
                <w:sz w:val="21"/>
                <w:szCs w:val="21"/>
                <w:lang w:val="en-US" w:eastAsia="zh-CN"/>
              </w:rPr>
              <w:t xml:space="preserve">；提供官网截图证明；</w:t>
            </w:r>
            <w:r/>
          </w:p>
          <w:p>
            <w:pPr>
              <w:numPr>
                <w:ilvl w:val="-1"/>
                <w:numId w:val="0"/>
              </w:numPr>
              <w:jc w:val="both"/>
              <w:keepLines w:val="0"/>
              <w:keepNext w:val="0"/>
              <w:pageBreakBefore w:val="0"/>
              <w:spacing w:after="0" w:line="360" w:lineRule="exact"/>
              <w:widowControl w:val="off"/>
              <w:rPr>
                <w:rFonts w:hint="eastAsia" w:asciiTheme="minorEastAsia" w:hAnsiTheme="minorEastAsia" w:cstheme="minorEastAsia"/>
                <w:b w:val="0"/>
                <w:bCs/>
                <w:color w:val="auto"/>
                <w:szCs w:val="21"/>
              </w:rPr>
              <w:outlineLvl w:val="9"/>
            </w:pPr>
            <w:r>
              <w:rPr>
                <w:rFonts w:hint="eastAsia" w:asciiTheme="minorEastAsia" w:hAnsiTheme="minorEastAsia" w:eastAsiaTheme="minorEastAsia" w:cstheme="minorEastAsia"/>
                <w:bCs/>
                <w:sz w:val="21"/>
                <w:szCs w:val="21"/>
                <w:lang w:val="en-US" w:eastAsia="zh-CN"/>
              </w:rPr>
              <w:t xml:space="preserve">6、</w:t>
            </w:r>
            <w:r>
              <w:rPr>
                <w:rFonts w:hint="eastAsia" w:asciiTheme="minorEastAsia" w:hAnsiTheme="minorEastAsia" w:eastAsiaTheme="minorEastAsia" w:cstheme="minorEastAsia"/>
                <w:bCs/>
                <w:color w:val="auto"/>
                <w:sz w:val="21"/>
                <w:szCs w:val="21"/>
                <w:lang w:val="en-US" w:eastAsia="zh-CN"/>
              </w:rPr>
              <w:t xml:space="preserve">支持切片，支持400G/100GE/50GE/10GE FlexE接口</w:t>
            </w:r>
            <w:r>
              <w:rPr>
                <w:rFonts w:hint="eastAsia" w:asciiTheme="minorEastAsia" w:hAnsiTheme="minorEastAsia" w:cstheme="minorEastAsia"/>
                <w:bCs/>
                <w:color w:val="auto"/>
                <w:sz w:val="21"/>
                <w:szCs w:val="21"/>
                <w:lang w:val="en-US" w:eastAsia="zh-CN"/>
              </w:rPr>
              <w:t xml:space="preserve">；</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tc>
      </w:tr>
      <w:tr>
        <w:trPr>
          <w:trHeight w:val="2142"/>
        </w:trPr>
        <w:tc>
          <w:tcPr>
            <w:tcW w:w="280" w:type="pct"/>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2</w:t>
            </w:r>
            <w:r/>
          </w:p>
        </w:tc>
        <w:tc>
          <w:tcPr>
            <w:tcW w:w="601" w:type="pct"/>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软件技术要求</w:t>
            </w:r>
            <w:r/>
          </w:p>
        </w:tc>
        <w:tc>
          <w:tcPr>
            <w:tcW w:w="4118" w:type="pct"/>
            <w:vAlign w:val="center"/>
            <w:textDirection w:val="lrTb"/>
            <w:noWrap w:val="false"/>
          </w:tcPr>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1、支持VLAN、IGP、BGP、QoS、L3VPN、EVPN等；</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default" w:asciiTheme="minorEastAsia" w:hAnsiTheme="minorEastAsia" w:eastAsiaTheme="minorEastAsia" w:cstheme="minorEastAsia"/>
                <w:bCs/>
                <w:color w:val="auto"/>
                <w:sz w:val="21"/>
                <w:szCs w:val="21"/>
                <w:lang w:val="en-US" w:eastAsia="en-US"/>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bCs/>
                <w:color w:val="auto"/>
                <w:sz w:val="21"/>
                <w:szCs w:val="21"/>
                <w:lang w:val="en-US" w:eastAsia="zh-CN"/>
              </w:rPr>
              <w:t xml:space="preserve">2、支持确定性，SRv6、Flex-E、CSQF/DIP等技术，并提供相关的可编程接口（SDK或API），接口文档应包括功能说明及调用示例；</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eastAsia="en-US"/>
              </w:rPr>
              <w:t xml:space="preserve">★</w:t>
            </w:r>
            <w:r>
              <w:rPr>
                <w:rFonts w:hint="eastAsia" w:asciiTheme="minorEastAsia" w:hAnsiTheme="minorEastAsia" w:eastAsiaTheme="minorEastAsia" w:cstheme="minorEastAsia"/>
                <w:bCs/>
                <w:color w:val="auto"/>
                <w:sz w:val="21"/>
                <w:szCs w:val="21"/>
                <w:lang w:val="en-US" w:eastAsia="zh-CN"/>
              </w:rPr>
              <w:t xml:space="preserve">3、单设备故障倒换时间不超过50ms；</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numPr>
                <w:ilvl w:val="-1"/>
                <w:numId w:val="0"/>
              </w:numPr>
              <w:jc w:val="both"/>
              <w:keepLines w:val="0"/>
              <w:keepNext w:val="0"/>
              <w:pageBreakBefore w:val="0"/>
              <w:spacing w:after="0" w:line="360" w:lineRule="exact"/>
              <w:widowControl w:val="off"/>
              <w:rPr>
                <w:rFonts w:hint="eastAsia" w:asciiTheme="minorEastAsia" w:hAnsiTheme="minorEastAsia" w:eastAsiaTheme="minorEastAsia" w:cstheme="minorEastAsia"/>
                <w:bCs/>
                <w:color w:val="auto"/>
                <w:sz w:val="21"/>
                <w:szCs w:val="21"/>
                <w:lang w:val="en-US" w:eastAsia="zh-CN"/>
              </w:rPr>
              <w:outlineLvl w:val="9"/>
            </w:pPr>
            <w:r>
              <w:rPr>
                <w:rFonts w:hint="eastAsia" w:asciiTheme="minorEastAsia" w:hAnsiTheme="minorEastAsia" w:eastAsiaTheme="minorEastAsia" w:cstheme="minorEastAsia"/>
                <w:bCs/>
                <w:color w:val="auto"/>
                <w:sz w:val="21"/>
                <w:szCs w:val="21"/>
                <w:lang w:eastAsia="en-US"/>
              </w:rPr>
              <w:t xml:space="preserve">★</w:t>
            </w:r>
            <w:r>
              <w:rPr>
                <w:rFonts w:hint="eastAsia" w:asciiTheme="minorEastAsia" w:hAnsiTheme="minorEastAsia" w:eastAsiaTheme="minorEastAsia" w:cstheme="minorEastAsia"/>
                <w:bCs/>
                <w:color w:val="auto"/>
                <w:sz w:val="21"/>
                <w:szCs w:val="21"/>
                <w:lang w:val="en-US" w:eastAsia="zh-CN"/>
              </w:rPr>
              <w:t xml:space="preserve">4、支持光电融合，时钟同步精度≤10μs；</w:t>
            </w:r>
            <w:r/>
          </w:p>
          <w:p>
            <w:pPr>
              <w:pStyle w:val="1022"/>
              <w:numPr>
                <w:ilvl w:val="0"/>
                <w:numId w:val="0"/>
              </w:numPr>
              <w:jc w:val="both"/>
              <w:spacing w:before="0" w:line="360" w:lineRule="exact"/>
              <w:rPr>
                <w:rFonts w:asciiTheme="minorEastAsia" w:hAnsiTheme="minorEastAsia" w:eastAsiaTheme="minorEastAsia" w:cstheme="minorEastAsia"/>
                <w:bCs/>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bCs/>
                <w:color w:val="auto"/>
                <w:sz w:val="21"/>
                <w:szCs w:val="21"/>
                <w:lang w:val="en-US" w:eastAsia="zh-CN"/>
              </w:rPr>
              <w:t xml:space="preserve">5、</w:t>
            </w:r>
            <w:r>
              <w:rPr>
                <w:rFonts w:hint="eastAsia" w:asciiTheme="minorEastAsia" w:hAnsiTheme="minorEastAsia" w:eastAsiaTheme="minorEastAsia" w:cstheme="minorEastAsia"/>
                <w:bCs/>
                <w:sz w:val="21"/>
                <w:szCs w:val="21"/>
                <w:lang w:val="en-US" w:eastAsia="zh-CN"/>
              </w:rPr>
              <w:t xml:space="preserve">单台设备时延抖动不超过5us，支持时延有界的转发机制</w:t>
            </w:r>
            <w:r>
              <w:rPr>
                <w:rFonts w:hint="eastAsia" w:asciiTheme="minorEastAsia" w:hAnsiTheme="minorEastAsia" w:eastAsiaTheme="minorEastAsia" w:cstheme="minorEastAsia"/>
                <w:bCs/>
                <w:color w:val="auto"/>
                <w:sz w:val="21"/>
                <w:szCs w:val="21"/>
                <w:lang w:val="en-US" w:eastAsia="zh-CN"/>
              </w:rPr>
              <w:t xml:space="preserve">；</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6、支持流量根据ACL匹配五元组remark优先级，根据不同优先级入不同的SRv6隧道；</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7、支持主接口绑定L3EVPN，L3EVPN Over multi-SRv6；</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8、支持 Console、Telnet、SSH、SNMP 等管理方式；</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9、支持ifit功能；</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10、支持 Netconf功能，并提供配置 API接口文档</w:t>
            </w:r>
            <w:r>
              <w:rPr>
                <w:rFonts w:hint="eastAsia" w:asciiTheme="minorEastAsia" w:hAnsiTheme="minorEastAsia" w:eastAsiaTheme="minorEastAsia" w:cstheme="minorEastAsia"/>
                <w:b w:val="0"/>
                <w:bCs/>
                <w:color w:val="auto"/>
                <w:szCs w:val="21"/>
                <w:lang w:val="en-US" w:eastAsia="zh-CN"/>
              </w:rPr>
              <w:t xml:space="preserve">；</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11、支持Telemetry功能，支持通过Telemetry上送时延、带宽、路由、SRv6等设备信息；</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numPr>
                <w:ilvl w:val="-1"/>
                <w:numId w:val="0"/>
              </w:numPr>
              <w:jc w:val="both"/>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Cs w:val="21"/>
                <w:lang w:val="en-US" w:eastAsia="zh-CN"/>
              </w:rPr>
              <w:outlineLvl w:val="9"/>
            </w:pPr>
            <w:r>
              <w:rPr>
                <w:rFonts w:hint="eastAsia" w:asciiTheme="minorEastAsia" w:hAnsiTheme="minorEastAsia" w:eastAsiaTheme="minorEastAsia" w:cstheme="minorEastAsia"/>
                <w:bCs/>
                <w:color w:val="auto"/>
                <w:sz w:val="21"/>
                <w:szCs w:val="21"/>
                <w:lang w:val="en-US" w:eastAsia="zh-CN"/>
              </w:rPr>
              <w:t xml:space="preserve">12、支持BGP-LS,NQA,Twamp功能；</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13、支持整机16*400G的端口，满足1024字节场景下线速转发；</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numPr>
                <w:ilvl w:val="-1"/>
                <w:numId w:val="0"/>
              </w:numPr>
              <w:jc w:val="both"/>
              <w:keepLines w:val="0"/>
              <w:keepNext w:val="0"/>
              <w:pageBreakBefore w:val="0"/>
              <w:spacing w:after="0" w:line="360" w:lineRule="exact"/>
              <w:widowControl w:val="off"/>
              <w:rPr>
                <w:rFonts w:hint="eastAsia" w:asciiTheme="minorEastAsia" w:hAnsiTheme="minorEastAsia" w:eastAsiaTheme="minorEastAsia" w:cstheme="minorEastAsia"/>
                <w:bCs/>
                <w:color w:val="auto"/>
                <w:sz w:val="21"/>
                <w:szCs w:val="21"/>
                <w:lang w:val="en-US" w:eastAsia="zh-CN"/>
              </w:rPr>
              <w:outlineLvl w:val="9"/>
            </w:pPr>
            <w:r>
              <w:rPr>
                <w:rFonts w:hint="eastAsia" w:asciiTheme="minorEastAsia" w:hAnsiTheme="minorEastAsia" w:eastAsiaTheme="minorEastAsia" w:cstheme="minorEastAsia"/>
                <w:bCs/>
                <w:color w:val="auto"/>
                <w:sz w:val="21"/>
                <w:szCs w:val="21"/>
                <w:lang w:val="en-US" w:eastAsia="zh-CN"/>
              </w:rPr>
              <w:t xml:space="preserve">14、支持确定性多路径传输的可靠性能力；</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15、支持点到多点的自适应加密，通过BGP协议的扩展属性携带加密信息建立安全联盟，随路由对通信数据进行加密,支持抗量子加密算法或具备可扩展加密能力,实现软件抗量子</w:t>
            </w:r>
            <w:r>
              <w:rPr>
                <w:rFonts w:hint="eastAsia" w:asciiTheme="minorEastAsia" w:hAnsiTheme="minorEastAsia" w:eastAsiaTheme="minorEastAsia" w:cstheme="minorEastAsia"/>
                <w:b w:val="0"/>
                <w:bCs/>
                <w:color w:val="auto"/>
                <w:sz w:val="21"/>
                <w:szCs w:val="21"/>
                <w:lang w:val="en-US" w:eastAsia="zh-CN"/>
              </w:rPr>
              <w:t xml:space="preserve">加密；</w:t>
            </w:r>
            <w:r>
              <w:rPr>
                <w:rFonts w:hint="eastAsia" w:asciiTheme="minorEastAsia" w:hAnsiTheme="minorEastAsia" w:eastAsiaTheme="minorEastAsia" w:cstheme="minorEastAsia"/>
                <w:b w:val="0"/>
                <w:bCs/>
                <w:sz w:val="21"/>
                <w:szCs w:val="21"/>
                <w:lang w:val="en-US" w:eastAsia="zh-CN"/>
              </w:rPr>
              <w:t xml:space="preserve">（提供如产品彩页、系统截图、第三方测试报告等）；</w:t>
            </w:r>
            <w:r/>
          </w:p>
          <w:p>
            <w:pPr>
              <w:pStyle w:val="1022"/>
              <w:numPr>
                <w:ilvl w:val="0"/>
                <w:numId w:val="4"/>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每台实配SR、RSVP-TE 、MPLS-TE 、VxLAN、HQoS、L3VPN、EVPN、Telemetry、随流检测、FLEXE、SRv6 BE、SRv6 Policy、时钟同步授权，提供三年软件升级服务</w:t>
            </w:r>
            <w:r>
              <w:rPr>
                <w:rFonts w:hint="eastAsia" w:asciiTheme="minorEastAsia" w:hAnsiTheme="minorEastAsia" w:eastAsiaTheme="minorEastAsia" w:cstheme="minorEastAsia"/>
                <w:b w:val="0"/>
                <w:bCs/>
                <w:color w:val="auto"/>
                <w:szCs w:val="21"/>
                <w:lang w:val="en-US" w:eastAsia="zh-CN"/>
              </w:rPr>
              <w:t xml:space="preserve">；</w:t>
            </w:r>
            <w:r/>
          </w:p>
          <w:p>
            <w:pPr>
              <w:pStyle w:val="1022"/>
              <w:numPr>
                <w:ilvl w:val="0"/>
                <w:numId w:val="4"/>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支持ACL进行报文任意字段的匹配，可以通过指定报文偏移字节数与匹配信息的方式自定义匹配规则实现任意IP和非IP流量匹配控制；</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4"/>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支持BGP的白名单Session-CAR，实现对BGP会话间的报文通道隔离；</w:t>
            </w:r>
            <w:r>
              <w:rPr>
                <w:rFonts w:hint="eastAsia" w:asciiTheme="minorEastAsia" w:hAnsiTheme="minorEastAsia" w:eastAsiaTheme="minorEastAsia" w:cstheme="minorEastAsia"/>
                <w:b w:val="0"/>
                <w:bCs/>
                <w:color w:val="auto"/>
                <w:szCs w:val="21"/>
                <w:lang w:val="en-US" w:eastAsia="zh-CN"/>
              </w:rPr>
              <w:t xml:space="preserve">提供证明材料（如产品彩页、系统截图、第三方测试报告等）；</w:t>
            </w:r>
            <w:r/>
          </w:p>
          <w:p>
            <w:pPr>
              <w:pStyle w:val="1022"/>
              <w:numPr>
                <w:ilvl w:val="0"/>
                <w:numId w:val="4"/>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设备支持安全配置检查，当配置不安全协议、不安全算法时，可自动识别不安全配置并上报控制器呈现</w:t>
            </w:r>
            <w:r>
              <w:rPr>
                <w:rFonts w:hint="eastAsia" w:asciiTheme="minorEastAsia" w:hAnsiTheme="minorEastAsia" w:eastAsiaTheme="minorEastAsia" w:cstheme="minorEastAsia"/>
                <w:b w:val="0"/>
                <w:bCs/>
                <w:sz w:val="21"/>
                <w:szCs w:val="21"/>
                <w:lang w:val="en-US" w:eastAsia="zh-CN"/>
              </w:rPr>
              <w:t xml:space="preserve">（提供如产品彩页、系统截图、第三方测试报告等）；</w:t>
            </w:r>
            <w:r/>
          </w:p>
          <w:p>
            <w:pPr>
              <w:pStyle w:val="1022"/>
              <w:numPr>
                <w:ilvl w:val="0"/>
                <w:numId w:val="4"/>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支持系统通过对代码的数字签名来标识软件来源，防止软件被篡改，</w:t>
            </w:r>
            <w:r>
              <w:rPr>
                <w:rFonts w:hint="eastAsia" w:asciiTheme="minorEastAsia" w:hAnsiTheme="minorEastAsia" w:eastAsiaTheme="minorEastAsia" w:cstheme="minorEastAsia"/>
                <w:b w:val="0"/>
                <w:bCs/>
                <w:sz w:val="21"/>
                <w:szCs w:val="21"/>
                <w:lang w:val="en-US" w:eastAsia="zh-CN"/>
              </w:rPr>
              <w:t xml:space="preserve">（提供如产品彩页、系统截图、第三方测试报告等）；</w:t>
            </w:r>
            <w:r/>
          </w:p>
          <w:p>
            <w:pPr>
              <w:numPr>
                <w:ilvl w:val="-1"/>
                <w:numId w:val="0"/>
              </w:numPr>
              <w:jc w:val="both"/>
              <w:keepLines w:val="0"/>
              <w:keepNext w:val="0"/>
              <w:pageBreakBefore w:val="0"/>
              <w:spacing w:after="0" w:line="360" w:lineRule="exact"/>
              <w:widowControl w:val="off"/>
              <w:rPr>
                <w:rFonts w:hint="eastAsia" w:asciiTheme="minorEastAsia" w:hAnsiTheme="minorEastAsia" w:eastAsiaTheme="minorEastAsia" w:cstheme="minorEastAsia"/>
                <w:bCs/>
                <w:color w:val="auto"/>
                <w:sz w:val="21"/>
                <w:szCs w:val="21"/>
                <w:lang w:val="en-US" w:eastAsia="zh-CN"/>
              </w:rPr>
              <w:outlineLvl w:val="9"/>
            </w:pPr>
            <w:r>
              <w:rPr>
                <w:rFonts w:hint="eastAsia" w:asciiTheme="minorEastAsia" w:hAnsiTheme="minorEastAsia" w:cstheme="minorEastAsia"/>
                <w:bCs/>
                <w:color w:val="auto"/>
                <w:sz w:val="21"/>
                <w:szCs w:val="21"/>
                <w:lang w:val="en-US" w:eastAsia="zh-CN"/>
              </w:rPr>
              <w:t xml:space="preserve">21、</w:t>
            </w:r>
            <w:r>
              <w:rPr>
                <w:rFonts w:hint="eastAsia" w:asciiTheme="minorEastAsia" w:hAnsiTheme="minorEastAsia" w:eastAsiaTheme="minorEastAsia" w:cstheme="minorEastAsia"/>
                <w:bCs/>
                <w:color w:val="auto"/>
                <w:sz w:val="21"/>
                <w:szCs w:val="21"/>
                <w:lang w:val="en-US" w:eastAsia="zh-CN"/>
              </w:rPr>
              <w:t xml:space="preserve">支持基于硬件信任根的安全启动，从可信硬件锚开始，逐级校验加载的软件代码，</w:t>
            </w:r>
            <w:r>
              <w:rPr>
                <w:rFonts w:hint="eastAsia" w:asciiTheme="minorEastAsia" w:hAnsiTheme="minorEastAsia" w:eastAsiaTheme="minorEastAsia" w:cstheme="minorEastAsia"/>
                <w:b w:val="0"/>
                <w:bCs/>
                <w:sz w:val="21"/>
                <w:szCs w:val="21"/>
                <w:lang w:val="en-US" w:eastAsia="zh-CN"/>
              </w:rPr>
              <w:t xml:space="preserve">（提供如产品彩页、系统截图、第三方测试报告等）</w:t>
            </w:r>
            <w:r>
              <w:rPr>
                <w:rFonts w:hint="eastAsia" w:asciiTheme="minorEastAsia" w:hAnsiTheme="minorEastAsia" w:cstheme="minorEastAsia"/>
                <w:b w:val="0"/>
                <w:bCs/>
                <w:sz w:val="21"/>
                <w:szCs w:val="21"/>
                <w:lang w:val="en-US" w:eastAsia="zh-CN"/>
              </w:rPr>
              <w:t xml:space="preserve">。</w:t>
            </w:r>
            <w:r/>
          </w:p>
        </w:tc>
      </w:tr>
    </w:tbl>
    <w:p>
      <w:pPr>
        <w:pStyle w:val="929"/>
        <w:ind w:left="0" w:firstLine="0"/>
        <w:rPr>
          <w:rFonts w:hint="eastAsia"/>
          <w:sz w:val="24"/>
          <w:szCs w:val="24"/>
        </w:rPr>
      </w:pPr>
      <w:r>
        <w:rPr>
          <w:rFonts w:hint="eastAsia"/>
          <w:sz w:val="24"/>
          <w:szCs w:val="24"/>
        </w:rPr>
      </w:r>
      <w:r/>
    </w:p>
    <w:p>
      <w:pPr>
        <w:pStyle w:val="929"/>
        <w:ind w:left="0" w:firstLine="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（2）6G确定性承载网汇聚设备技术指标</w:t>
      </w:r>
      <w:r/>
    </w:p>
    <w:tbl>
      <w:tblPr>
        <w:tblStyle w:val="9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95"/>
        <w:gridCol w:w="1052"/>
        <w:gridCol w:w="7230"/>
      </w:tblGrid>
      <w:tr>
        <w:trPr>
          <w:trHeight w:val="385"/>
        </w:trPr>
        <w:tc>
          <w:tcPr>
            <w:tcW w:w="495"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rPr>
              <w:outlineLvl w:val="9"/>
            </w:pPr>
            <w:r>
              <w:rPr>
                <w:rFonts w:hint="eastAsia" w:asciiTheme="minorEastAsia" w:hAnsiTheme="minorEastAsia" w:eastAsiaTheme="minorEastAsia" w:cstheme="minorEastAsia"/>
                <w:b w:val="0"/>
                <w:bCs/>
                <w:color w:val="auto"/>
                <w:sz w:val="21"/>
                <w:szCs w:val="21"/>
              </w:rPr>
              <w:t xml:space="preserve">序号</w:t>
            </w:r>
            <w:r/>
          </w:p>
        </w:tc>
        <w:tc>
          <w:tcPr>
            <w:tcW w:w="1052"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rPr>
              <w:outlineLvl w:val="9"/>
            </w:pPr>
            <w:r>
              <w:rPr>
                <w:rFonts w:hint="eastAsia" w:asciiTheme="minorEastAsia" w:hAnsiTheme="minorEastAsia" w:eastAsiaTheme="minorEastAsia" w:cstheme="minorEastAsia"/>
                <w:b w:val="0"/>
                <w:bCs/>
                <w:color w:val="auto"/>
                <w:sz w:val="21"/>
                <w:szCs w:val="21"/>
              </w:rPr>
              <w:t xml:space="preserve">产品名称</w:t>
            </w:r>
            <w:r/>
          </w:p>
        </w:tc>
        <w:tc>
          <w:tcPr>
            <w:tcW w:w="7230"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rPr>
              <w:outlineLvl w:val="9"/>
            </w:pPr>
            <w:r>
              <w:rPr>
                <w:rFonts w:hint="eastAsia" w:asciiTheme="minorEastAsia" w:hAnsiTheme="minorEastAsia" w:eastAsiaTheme="minorEastAsia" w:cstheme="minorEastAsia"/>
                <w:b w:val="0"/>
                <w:bCs/>
                <w:color w:val="auto"/>
                <w:sz w:val="21"/>
                <w:szCs w:val="21"/>
              </w:rPr>
              <w:t xml:space="preserve">功能、性能、配置要求</w:t>
            </w:r>
            <w:r>
              <w:rPr>
                <w:rFonts w:hint="eastAsia" w:asciiTheme="minorEastAsia" w:hAnsiTheme="minorEastAsia" w:eastAsiaTheme="minorEastAsia" w:cstheme="minorEastAsia"/>
                <w:b w:val="0"/>
                <w:bCs/>
                <w:color w:val="auto"/>
                <w:sz w:val="21"/>
                <w:szCs w:val="21"/>
                <w:lang w:bidi="ar"/>
              </w:rPr>
              <w:t xml:space="preserve">不低于以下要求</w:t>
            </w:r>
            <w:r/>
          </w:p>
        </w:tc>
      </w:tr>
      <w:tr>
        <w:trPr>
          <w:trHeight w:val="385"/>
        </w:trPr>
        <w:tc>
          <w:tcPr>
            <w:tcW w:w="495"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1</w:t>
            </w:r>
            <w:r/>
          </w:p>
        </w:tc>
        <w:tc>
          <w:tcPr>
            <w:tcW w:w="1052" w:type="dxa"/>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eastAsia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硬件技术要求</w:t>
            </w:r>
            <w:r/>
          </w:p>
        </w:tc>
        <w:tc>
          <w:tcPr>
            <w:tcW w:w="7230" w:type="dxa"/>
            <w:vAlign w:val="center"/>
            <w:textDirection w:val="lrTb"/>
            <w:noWrap w:val="false"/>
          </w:tcPr>
          <w:p>
            <w:pPr>
              <w:numPr>
                <w:ilvl w:val="0"/>
                <w:numId w:val="0"/>
              </w:numPr>
              <w:jc w:val="both"/>
              <w:keepLines w:val="0"/>
              <w:keepNext w:val="0"/>
              <w:pageBreakBefore w:val="0"/>
              <w:spacing w:after="0" w:line="360" w:lineRule="exact"/>
              <w:widowControl w:val="off"/>
              <w:rPr>
                <w:rFonts w:hint="eastAsia" w:asciiTheme="minorEastAsia" w:hAnsiTheme="minorEastAsia" w:cstheme="minorEastAsia"/>
                <w:b w:val="0"/>
                <w:bCs/>
                <w:color w:val="auto"/>
                <w:szCs w:val="21"/>
              </w:rPr>
              <w:outlineLvl w:val="9"/>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cstheme="minorEastAsia"/>
                <w:bCs/>
                <w:sz w:val="21"/>
                <w:szCs w:val="21"/>
                <w:lang w:val="en-US" w:eastAsia="zh-CN"/>
              </w:rPr>
              <w:t xml:space="preserve">1、</w:t>
            </w:r>
            <w:r>
              <w:rPr>
                <w:rFonts w:hint="eastAsia" w:asciiTheme="minorEastAsia" w:hAnsiTheme="minorEastAsia" w:cstheme="minorEastAsia"/>
                <w:b w:val="0"/>
                <w:bCs/>
                <w:color w:val="auto"/>
                <w:szCs w:val="21"/>
              </w:rPr>
              <w:t xml:space="preserve">支持双主控、独立交换网板，独立交换网板总数≥2，支持子母卡架构，整机支持业务线卡槽位≥8个（全尺寸业务卡槽位，非子卡槽位）；</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
                <w:bCs w:val="0"/>
                <w:sz w:val="21"/>
                <w:szCs w:val="21"/>
                <w:lang w:val="en-US" w:eastAsia="zh-CN"/>
              </w:rPr>
            </w:pPr>
            <w:r>
              <w:rPr>
                <w:rFonts w:hint="eastAsia" w:asciiTheme="minorEastAsia" w:hAnsiTheme="minorEastAsia" w:eastAsiaTheme="minorEastAsia" w:cstheme="minorEastAsia"/>
                <w:bCs/>
                <w:sz w:val="21"/>
                <w:szCs w:val="21"/>
                <w:lang w:val="en-US" w:eastAsia="zh-CN"/>
              </w:rPr>
              <w:t xml:space="preserve">▲2、设备CPU和交换芯片为国产芯片（在中国境内完成流片和封</w:t>
            </w:r>
            <w:r>
              <w:rPr>
                <w:rFonts w:hint="eastAsia" w:asciiTheme="minorEastAsia" w:hAnsiTheme="minorEastAsia" w:eastAsiaTheme="minorEastAsia" w:cstheme="minorEastAsia"/>
                <w:b w:val="0"/>
                <w:bCs/>
                <w:sz w:val="21"/>
                <w:szCs w:val="21"/>
                <w:lang w:val="en-US" w:eastAsia="zh-CN"/>
              </w:rPr>
              <w:t xml:space="preserve">装）；（提供如产品彩页、系统截图、第三方测试报告等）或芯片国产化证明；</w:t>
            </w:r>
            <w:r/>
          </w:p>
          <w:p>
            <w:pPr>
              <w:pStyle w:val="1022"/>
              <w:numPr>
                <w:ilvl w:val="0"/>
                <w:numId w:val="0"/>
              </w:numPr>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en-US"/>
              </w:rPr>
              <w:t xml:space="preserve">★</w:t>
            </w:r>
            <w:r>
              <w:rPr>
                <w:rFonts w:hint="eastAsia" w:asciiTheme="minorEastAsia" w:hAnsiTheme="minorEastAsia" w:eastAsiaTheme="minorEastAsia" w:cstheme="minorEastAsia"/>
                <w:bCs/>
                <w:sz w:val="21"/>
                <w:szCs w:val="21"/>
                <w:lang w:val="en-US" w:eastAsia="zh-CN"/>
              </w:rPr>
              <w:t xml:space="preserve">3、端口支持10G/100G/400G接口，配置≥12*10G+8*100G+2*400G，设备转发能力&gt;=2T</w:t>
            </w:r>
            <w:r>
              <w:rPr>
                <w:rFonts w:hint="eastAsia" w:asciiTheme="minorEastAsia" w:hAnsiTheme="minorEastAsia" w:cstheme="minorEastAsia"/>
                <w:b w:val="0"/>
                <w:bCs/>
                <w:color w:val="auto"/>
                <w:szCs w:val="21"/>
              </w:rPr>
              <w:t xml:space="preserve">；</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en-US"/>
              </w:rPr>
              <w:t xml:space="preserve">★</w:t>
            </w:r>
            <w:r>
              <w:rPr>
                <w:rFonts w:hint="eastAsia" w:asciiTheme="minorEastAsia" w:hAnsiTheme="minorEastAsia" w:eastAsiaTheme="minorEastAsia" w:cstheme="minorEastAsia"/>
                <w:bCs/>
                <w:sz w:val="21"/>
                <w:szCs w:val="21"/>
                <w:lang w:val="en-US" w:eastAsia="zh-CN"/>
              </w:rPr>
              <w:t xml:space="preserve">4、5台设备共计配置光模块数量如下：</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1）10KM 400G光模块10块，40KM 400G光模块2块，80KM 400G光模块2块；</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2）10KM 100G光模块20块，40KM 100G光模块2块，80KM 100G光模块2块；</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3）10KM 10G光模块20块，40KM 10G光模块4块，80KM 10G光模块4块；</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4）400G光纤：5米10根，10米20根，15米10根；</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en-US"/>
              </w:rPr>
            </w:pPr>
            <w:r>
              <w:rPr>
                <w:rFonts w:hint="eastAsia" w:asciiTheme="minorEastAsia" w:hAnsiTheme="minorEastAsia" w:eastAsiaTheme="minorEastAsia" w:cstheme="minorEastAsia"/>
                <w:bCs/>
                <w:sz w:val="21"/>
                <w:szCs w:val="21"/>
                <w:lang w:val="en-US" w:eastAsia="zh-CN"/>
              </w:rPr>
              <w:t xml:space="preserve">5）100G光纤：5米10根，10米20根，15米10根；</w:t>
            </w:r>
            <w:r/>
          </w:p>
          <w:p>
            <w:pPr>
              <w:pStyle w:val="1022"/>
              <w:numPr>
                <w:ilvl w:val="0"/>
                <w:numId w:val="0"/>
              </w:numPr>
              <w:ind w:firstLine="0"/>
              <w:jc w:val="both"/>
              <w:spacing w:before="0" w:line="360" w:lineRule="exact"/>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6）10G光纤：5米10根，10米20根，15米10根；</w:t>
            </w:r>
            <w:r/>
          </w:p>
          <w:p>
            <w:pPr>
              <w:pStyle w:val="1022"/>
              <w:numPr>
                <w:ilvl w:val="0"/>
                <w:numId w:val="0"/>
              </w:numPr>
              <w:jc w:val="both"/>
              <w:spacing w:before="0" w:line="360" w:lineRule="exact"/>
              <w:rPr>
                <w:rFonts w:hint="eastAsia" w:asciiTheme="minorEastAsia" w:hAnsiTheme="minorEastAsia" w:eastAsiaTheme="minorEastAsia" w:cstheme="minorEastAsia"/>
                <w:b/>
                <w:bCs w:val="0"/>
                <w:color w:val="auto"/>
                <w:sz w:val="21"/>
                <w:szCs w:val="21"/>
                <w:lang w:val="en-US" w:eastAsia="zh-CN"/>
              </w:rPr>
            </w:pPr>
            <w:r>
              <w:rPr>
                <w:rFonts w:hint="eastAsia" w:asciiTheme="minorEastAsia" w:hAnsiTheme="minorEastAsia" w:eastAsiaTheme="minorEastAsia" w:cstheme="minorEastAsia"/>
                <w:bCs/>
                <w:sz w:val="21"/>
                <w:szCs w:val="21"/>
                <w:lang w:val="en-US" w:eastAsia="zh-CN"/>
              </w:rPr>
              <w:t xml:space="preserve">5、单槽位转发性能不低于800Gbps，整机支持16*400G端口；</w:t>
            </w:r>
            <w:r>
              <w:rPr>
                <w:rFonts w:hint="eastAsia" w:asciiTheme="minorEastAsia" w:hAnsiTheme="minorEastAsia" w:eastAsiaTheme="minorEastAsia" w:cstheme="minorEastAsia"/>
                <w:b w:val="0"/>
                <w:bCs/>
                <w:sz w:val="21"/>
                <w:szCs w:val="21"/>
                <w:lang w:val="en-US" w:eastAsia="zh-CN"/>
              </w:rPr>
              <w:t xml:space="preserve">提供官网截图证明；</w:t>
            </w:r>
            <w:r/>
          </w:p>
          <w:p>
            <w:pPr>
              <w:numPr>
                <w:ilvl w:val="-1"/>
                <w:numId w:val="0"/>
              </w:numPr>
              <w:jc w:val="both"/>
              <w:keepLines w:val="0"/>
              <w:keepNext w:val="0"/>
              <w:pageBreakBefore w:val="0"/>
              <w:spacing w:after="0" w:line="360" w:lineRule="exact"/>
              <w:widowControl w:val="off"/>
              <w:rPr>
                <w:rFonts w:hint="eastAsia" w:asciiTheme="minorEastAsia" w:hAnsiTheme="minorEastAsia" w:cstheme="minorEastAsia"/>
                <w:b w:val="0"/>
                <w:bCs/>
                <w:color w:val="auto"/>
                <w:szCs w:val="21"/>
              </w:rPr>
              <w:outlineLvl w:val="9"/>
            </w:pPr>
            <w:r>
              <w:rPr>
                <w:rFonts w:hint="eastAsia" w:asciiTheme="minorEastAsia" w:hAnsiTheme="minorEastAsia" w:eastAsiaTheme="minorEastAsia" w:cstheme="minorEastAsia"/>
                <w:bCs/>
                <w:sz w:val="21"/>
                <w:szCs w:val="21"/>
                <w:lang w:val="en-US" w:eastAsia="zh-CN"/>
              </w:rPr>
              <w:t xml:space="preserve">6、</w:t>
            </w:r>
            <w:r>
              <w:rPr>
                <w:rFonts w:hint="eastAsia" w:asciiTheme="minorEastAsia" w:hAnsiTheme="minorEastAsia" w:eastAsiaTheme="minorEastAsia" w:cstheme="minorEastAsia"/>
                <w:bCs/>
                <w:color w:val="auto"/>
                <w:sz w:val="21"/>
                <w:szCs w:val="21"/>
                <w:lang w:val="en-US" w:eastAsia="zh-CN"/>
              </w:rPr>
              <w:t xml:space="preserve">支持切片，支持400G/100GE/50GE/10GE FlexE接口</w:t>
            </w:r>
            <w:r>
              <w:rPr>
                <w:rFonts w:hint="eastAsia" w:asciiTheme="minorEastAsia" w:hAnsiTheme="minorEastAsia" w:cstheme="minorEastAsia"/>
                <w:b w:val="0"/>
                <w:bCs/>
                <w:color w:val="auto"/>
                <w:szCs w:val="21"/>
              </w:rPr>
              <w:t xml:space="preserve">；</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tc>
      </w:tr>
      <w:tr>
        <w:trPr>
          <w:trHeight w:val="385"/>
        </w:trPr>
        <w:tc>
          <w:tcPr>
            <w:tcW w:w="495" w:type="dxa"/>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2</w:t>
            </w:r>
            <w:r/>
          </w:p>
        </w:tc>
        <w:tc>
          <w:tcPr>
            <w:tcW w:w="1052" w:type="dxa"/>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软件技术要求</w:t>
            </w:r>
            <w:r/>
          </w:p>
        </w:tc>
        <w:tc>
          <w:tcPr>
            <w:tcW w:w="7230" w:type="dxa"/>
            <w:vAlign w:val="center"/>
            <w:textDirection w:val="lrTb"/>
            <w:noWrap w:val="false"/>
          </w:tcPr>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1、支持VLAN、IGP、BGP、QoS、L3VPN、EVPN等</w:t>
            </w:r>
            <w:r>
              <w:rPr>
                <w:rFonts w:hint="eastAsia" w:asciiTheme="minorEastAsia" w:hAnsiTheme="minorEastAsia" w:cstheme="minorEastAsia"/>
                <w:b w:val="0"/>
                <w:bCs/>
                <w:color w:val="auto"/>
                <w:szCs w:val="21"/>
              </w:rPr>
              <w:t xml:space="preserve">；</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default" w:asciiTheme="minorEastAsia" w:hAnsiTheme="minorEastAsia" w:cstheme="minorEastAsia"/>
                <w:b w:val="0"/>
                <w:bCs/>
                <w:color w:val="auto"/>
                <w:szCs w:val="21"/>
                <w:lang w:val="en-US" w:eastAsia="zh-CN"/>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bCs/>
                <w:color w:val="auto"/>
                <w:sz w:val="21"/>
                <w:szCs w:val="21"/>
                <w:lang w:val="en-US" w:eastAsia="zh-CN"/>
              </w:rPr>
              <w:t xml:space="preserve">2、支持确定性，SRv6、Flex-E、CSQF/DIP等技术，并提供相关的可编程接口（SDK或API），接口文档应包括功能说明及调用示例；</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eastAsia="en-US"/>
              </w:rPr>
              <w:t xml:space="preserve">★</w:t>
            </w:r>
            <w:r>
              <w:rPr>
                <w:rFonts w:hint="eastAsia" w:asciiTheme="minorEastAsia" w:hAnsiTheme="minorEastAsia" w:eastAsiaTheme="minorEastAsia" w:cstheme="minorEastAsia"/>
                <w:bCs/>
                <w:color w:val="auto"/>
                <w:sz w:val="21"/>
                <w:szCs w:val="21"/>
                <w:lang w:val="en-US" w:eastAsia="zh-CN"/>
              </w:rPr>
              <w:t xml:space="preserve">3、单设备故障倒换时间不超过50ms；</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eastAsia="en-US"/>
              </w:rPr>
            </w:pPr>
            <w:r>
              <w:rPr>
                <w:rFonts w:hint="eastAsia" w:asciiTheme="minorEastAsia" w:hAnsiTheme="minorEastAsia" w:eastAsiaTheme="minorEastAsia" w:cstheme="minorEastAsia"/>
                <w:bCs/>
                <w:color w:val="auto"/>
                <w:sz w:val="21"/>
                <w:szCs w:val="21"/>
                <w:lang w:eastAsia="en-US"/>
              </w:rPr>
              <w:t xml:space="preserve">★</w:t>
            </w:r>
            <w:r>
              <w:rPr>
                <w:rFonts w:hint="eastAsia" w:asciiTheme="minorEastAsia" w:hAnsiTheme="minorEastAsia" w:eastAsiaTheme="minorEastAsia" w:cstheme="minorEastAsia"/>
                <w:bCs/>
                <w:color w:val="auto"/>
                <w:sz w:val="21"/>
                <w:szCs w:val="21"/>
                <w:lang w:val="en-US" w:eastAsia="zh-CN"/>
              </w:rPr>
              <w:t xml:space="preserve">4、支持光电融合，时钟同步精度≤10μs；</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bCs/>
                <w:color w:val="auto"/>
                <w:sz w:val="21"/>
                <w:szCs w:val="21"/>
                <w:lang w:val="en-US" w:eastAsia="zh-CN"/>
              </w:rPr>
              <w:t xml:space="preserve">5、</w:t>
            </w:r>
            <w:r>
              <w:rPr>
                <w:rFonts w:hint="eastAsia" w:asciiTheme="minorEastAsia" w:hAnsiTheme="minorEastAsia" w:eastAsiaTheme="minorEastAsia" w:cstheme="minorEastAsia"/>
                <w:bCs/>
                <w:sz w:val="21"/>
                <w:szCs w:val="21"/>
                <w:lang w:val="en-US" w:eastAsia="zh-CN"/>
              </w:rPr>
              <w:t xml:space="preserve">单台设备时延抖动不超过5us，支持时延有界的转发机制</w:t>
            </w:r>
            <w:r>
              <w:rPr>
                <w:rFonts w:hint="eastAsia" w:asciiTheme="minorEastAsia" w:hAnsiTheme="minorEastAsia" w:eastAsiaTheme="minorEastAsia" w:cstheme="minorEastAsia"/>
                <w:bCs/>
                <w:color w:val="auto"/>
                <w:sz w:val="21"/>
                <w:szCs w:val="21"/>
                <w:lang w:val="en-US" w:eastAsia="zh-CN"/>
              </w:rPr>
              <w:t xml:space="preserve">；</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6、支持流量根据ACL匹配五元组remark优先级，根据不同优先级入不同的SRv6隧道；</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7、支持主接口绑定L3EVPN，L3EVPN Over multi-SRv6；</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8、支持 Console、Telnet、SSH、SNMP 等管理方式；</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9、支持ifit功能；</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default"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10、支持 Netconf功能，并提供配置 API接口文档；</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11、支持Telemetry功能，支持通过Telemetry上送时延、带宽、路由、SRv6等设备信息；</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12、支持BGP-LS,NQA,Twamp功能；</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13、支持整机16*400G的端口，满足1024字节场景下线速转发；</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14、支持确定性多路径传输的可靠性能力；</w:t>
            </w:r>
            <w:r/>
          </w:p>
          <w:p>
            <w:pPr>
              <w:spacing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cstheme="minorEastAsia"/>
                <w:bCs/>
                <w:color w:val="auto"/>
                <w:sz w:val="21"/>
                <w:szCs w:val="21"/>
                <w:lang w:val="en-US" w:eastAsia="zh-CN"/>
              </w:rPr>
              <w:t xml:space="preserve">15、</w:t>
            </w:r>
            <w:r>
              <w:rPr>
                <w:rFonts w:hint="eastAsia" w:asciiTheme="minorEastAsia" w:hAnsiTheme="minorEastAsia" w:eastAsiaTheme="minorEastAsia" w:cstheme="minorEastAsia"/>
                <w:bCs/>
                <w:color w:val="auto"/>
                <w:sz w:val="21"/>
                <w:szCs w:val="21"/>
                <w:lang w:val="en-US" w:eastAsia="zh-CN"/>
              </w:rPr>
              <w:t xml:space="preserve">支持点到多点的自适应加密，通过BGP协议的扩展属性携带加密信息建立安全联盟，随路由对通信数据进行加密,</w:t>
            </w:r>
            <w:r>
              <w:rPr>
                <w:rFonts w:hint="eastAsia" w:asciiTheme="minorEastAsia" w:hAnsiTheme="minorEastAsia" w:cstheme="minorEastAsia"/>
                <w:bCs/>
                <w:color w:val="auto"/>
                <w:sz w:val="21"/>
                <w:szCs w:val="21"/>
                <w:lang w:val="en-US" w:eastAsia="zh-CN"/>
              </w:rPr>
              <w:t xml:space="preserve">支持抗量子加密算法或具备可扩展加密能力</w:t>
            </w:r>
            <w:r>
              <w:rPr>
                <w:rFonts w:hint="eastAsia" w:asciiTheme="minorEastAsia" w:hAnsiTheme="minorEastAsia" w:eastAsiaTheme="minorEastAsia" w:cstheme="minorEastAsia"/>
                <w:bCs/>
                <w:color w:val="auto"/>
                <w:sz w:val="21"/>
                <w:szCs w:val="21"/>
                <w:lang w:val="en-US" w:eastAsia="zh-CN"/>
              </w:rPr>
              <w:t xml:space="preserve">,实现软件抗量</w:t>
            </w:r>
            <w:r>
              <w:rPr>
                <w:rFonts w:hint="eastAsia" w:asciiTheme="minorEastAsia" w:hAnsiTheme="minorEastAsia" w:eastAsiaTheme="minorEastAsia" w:cstheme="minorEastAsia"/>
                <w:b w:val="0"/>
                <w:bCs/>
                <w:color w:val="auto"/>
                <w:sz w:val="21"/>
                <w:szCs w:val="21"/>
                <w:lang w:val="en-US" w:eastAsia="zh-CN"/>
              </w:rPr>
              <w:t xml:space="preserve">子加密</w:t>
            </w:r>
            <w:r>
              <w:rPr>
                <w:rFonts w:hint="eastAsia" w:asciiTheme="minorEastAsia" w:hAnsiTheme="minorEastAsia" w:cstheme="minorEastAsia"/>
                <w:b w:val="0"/>
                <w:bCs/>
                <w:color w:val="auto"/>
                <w:sz w:val="21"/>
                <w:szCs w:val="21"/>
                <w:lang w:val="en-US" w:eastAsia="zh-CN"/>
              </w:rPr>
              <w:t xml:space="preserve">；</w:t>
            </w:r>
            <w:r>
              <w:rPr>
                <w:rFonts w:hint="eastAsia" w:asciiTheme="minorEastAsia" w:hAnsiTheme="minorEastAsia" w:cstheme="minorEastAsia"/>
                <w:b w:val="0"/>
                <w:bCs/>
                <w:sz w:val="21"/>
                <w:szCs w:val="21"/>
                <w:lang w:val="en-US" w:eastAsia="zh-CN"/>
              </w:rPr>
              <w:t xml:space="preserve">（提供如产品彩页、系统截图、第三方测试报告等）；</w:t>
            </w:r>
            <w:r/>
          </w:p>
          <w:p>
            <w:pPr>
              <w:pStyle w:val="1022"/>
              <w:numPr>
                <w:ilvl w:val="0"/>
                <w:numId w:val="5"/>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每台实配SR、RSVP-TE 、MPLS-TE 、VxLAN、HQoS、L3VPN、EVPN、Telemetry、随流检测、FLEXE、SRv6 BE、SRv6 Policy、时钟同步授权，提供三年软件升级服务；</w:t>
            </w:r>
            <w:r/>
          </w:p>
          <w:p>
            <w:pPr>
              <w:pStyle w:val="1022"/>
              <w:numPr>
                <w:ilvl w:val="0"/>
                <w:numId w:val="5"/>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支持ACL进行报文任意字段的匹配，可以通过指定报文偏移字节数与匹配信息的方式自定义匹配规则实现任意IP和非IP流量匹配控制；提供证明材料（如产品彩页、系统截图、第三方测试报告等）；</w:t>
            </w:r>
            <w:r/>
          </w:p>
          <w:p>
            <w:pPr>
              <w:pStyle w:val="1022"/>
              <w:numPr>
                <w:ilvl w:val="0"/>
                <w:numId w:val="5"/>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支持BGP的白名单Session-CAR，实现对BGP会话间的报文通道隔离；提供证明材料（如产品彩页、系统截图、第三方测试报告等）；</w:t>
            </w:r>
            <w:r/>
          </w:p>
          <w:p>
            <w:pPr>
              <w:pStyle w:val="1022"/>
              <w:numPr>
                <w:ilvl w:val="0"/>
                <w:numId w:val="5"/>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设备支持安全配置检查，当配置不安全协议、不安全算法时，可自动识别不安全配置并上报控制器呈现（提供如产品彩页、系统截图、第三方测试报告等）；</w:t>
            </w:r>
            <w:r/>
          </w:p>
          <w:p>
            <w:pPr>
              <w:pStyle w:val="1022"/>
              <w:numPr>
                <w:ilvl w:val="0"/>
                <w:numId w:val="5"/>
              </w:numPr>
              <w:jc w:val="both"/>
              <w:spacing w:before="0" w:line="360" w:lineRule="exact"/>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 xml:space="preserve">支持系统通过对代码的数字签名来标识软件来源，防止软件被篡改（提供如产品彩页、系统截图、第三方测试报告等）；</w:t>
            </w:r>
            <w:r/>
          </w:p>
          <w:p>
            <w:pPr>
              <w:numPr>
                <w:ilvl w:val="-1"/>
                <w:numId w:val="0"/>
              </w:numPr>
              <w:jc w:val="both"/>
              <w:keepLines w:val="0"/>
              <w:keepNext w:val="0"/>
              <w:pageBreakBefore w:val="0"/>
              <w:spacing w:after="0" w:line="360" w:lineRule="exact"/>
              <w:widowControl w:val="off"/>
              <w:rPr>
                <w:rFonts w:hint="eastAsia" w:asciiTheme="minorEastAsia" w:hAnsiTheme="minorEastAsia" w:eastAsiaTheme="minorEastAsia" w:cstheme="minorEastAsia"/>
                <w:bCs/>
                <w:sz w:val="21"/>
                <w:szCs w:val="21"/>
                <w:lang w:val="en-US" w:eastAsia="zh-CN"/>
              </w:rPr>
              <w:outlineLvl w:val="9"/>
            </w:pPr>
            <w:r>
              <w:rPr>
                <w:rFonts w:hint="eastAsia" w:asciiTheme="minorEastAsia" w:hAnsiTheme="minorEastAsia" w:cstheme="minorEastAsia"/>
                <w:bCs/>
                <w:color w:val="auto"/>
                <w:sz w:val="21"/>
                <w:szCs w:val="21"/>
                <w:lang w:val="en-US" w:eastAsia="zh-CN"/>
              </w:rPr>
              <w:t xml:space="preserve">21、</w:t>
            </w:r>
            <w:r>
              <w:rPr>
                <w:rFonts w:hint="eastAsia" w:asciiTheme="minorEastAsia" w:hAnsiTheme="minorEastAsia" w:eastAsiaTheme="minorEastAsia" w:cstheme="minorEastAsia"/>
                <w:bCs/>
                <w:color w:val="auto"/>
                <w:sz w:val="21"/>
                <w:szCs w:val="21"/>
                <w:lang w:val="en-US" w:eastAsia="zh-CN"/>
              </w:rPr>
              <w:t xml:space="preserve">支持基于硬件信任根的安全启动，从可信硬件锚开始，逐级校验加载的软件代码，（提供如产品彩页、系统截图、第三方测试报告等）</w:t>
            </w:r>
            <w:r>
              <w:rPr>
                <w:rFonts w:hint="eastAsia" w:asciiTheme="minorEastAsia" w:hAnsiTheme="minorEastAsia" w:cstheme="minorEastAsia"/>
                <w:bCs/>
                <w:color w:val="auto"/>
                <w:sz w:val="21"/>
                <w:szCs w:val="21"/>
                <w:lang w:val="en-US" w:eastAsia="zh-CN"/>
              </w:rPr>
              <w:t xml:space="preserve">。</w:t>
            </w:r>
            <w:r/>
          </w:p>
        </w:tc>
      </w:tr>
    </w:tbl>
    <w:p>
      <w:pPr>
        <w:pStyle w:val="929"/>
        <w:ind w:left="0" w:firstLine="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r>
      <w:r/>
    </w:p>
    <w:p>
      <w:pPr>
        <w:pStyle w:val="929"/>
        <w:ind w:left="0" w:firstLine="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3</w:t>
      </w:r>
      <w:r>
        <w:rPr>
          <w:rFonts w:hint="eastAsia" w:ascii="Times New Roman" w:hAnsi="Times New Roman" w:eastAsia="宋体" w:cs="Times New Roman"/>
          <w:b/>
          <w:bCs/>
          <w:sz w:val="24"/>
          <w:szCs w:val="24"/>
        </w:rPr>
        <w:t xml:space="preserve">）6G确定性承载网核心设备技术指标</w:t>
      </w:r>
      <w:r/>
    </w:p>
    <w:tbl>
      <w:tblPr>
        <w:tblStyle w:val="9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3"/>
        <w:gridCol w:w="1044"/>
        <w:gridCol w:w="7230"/>
      </w:tblGrid>
      <w:tr>
        <w:trPr>
          <w:trHeight w:val="387"/>
        </w:trPr>
        <w:tc>
          <w:tcPr>
            <w:tcW w:w="503"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color w:val="auto"/>
                <w:sz w:val="21"/>
                <w:szCs w:val="21"/>
              </w:rPr>
              <w:outlineLvl w:val="9"/>
            </w:pPr>
            <w:r>
              <w:rPr>
                <w:rFonts w:hint="eastAsia" w:asciiTheme="minorEastAsia" w:hAnsiTheme="minorEastAsia" w:eastAsiaTheme="minorEastAsia" w:cstheme="minorEastAsia"/>
                <w:b/>
                <w:color w:val="auto"/>
                <w:sz w:val="21"/>
                <w:szCs w:val="21"/>
              </w:rPr>
              <w:t xml:space="preserve">序号</w:t>
            </w:r>
            <w:r/>
          </w:p>
        </w:tc>
        <w:tc>
          <w:tcPr>
            <w:tcW w:w="1044"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color w:val="auto"/>
                <w:sz w:val="21"/>
                <w:szCs w:val="21"/>
              </w:rPr>
              <w:outlineLvl w:val="9"/>
            </w:pPr>
            <w:r>
              <w:rPr>
                <w:rFonts w:hint="eastAsia" w:asciiTheme="minorEastAsia" w:hAnsiTheme="minorEastAsia" w:eastAsiaTheme="minorEastAsia" w:cstheme="minorEastAsia"/>
                <w:b/>
                <w:color w:val="auto"/>
                <w:sz w:val="21"/>
                <w:szCs w:val="21"/>
              </w:rPr>
              <w:t xml:space="preserve">产品名称</w:t>
            </w:r>
            <w:r/>
          </w:p>
        </w:tc>
        <w:tc>
          <w:tcPr>
            <w:tcW w:w="7230"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color w:val="auto"/>
                <w:sz w:val="21"/>
                <w:szCs w:val="21"/>
              </w:rPr>
              <w:outlineLvl w:val="9"/>
            </w:pPr>
            <w:r>
              <w:rPr>
                <w:rFonts w:hint="eastAsia" w:asciiTheme="minorEastAsia" w:hAnsiTheme="minorEastAsia" w:eastAsiaTheme="minorEastAsia" w:cstheme="minorEastAsia"/>
                <w:b/>
                <w:color w:val="auto"/>
                <w:sz w:val="21"/>
                <w:szCs w:val="21"/>
              </w:rPr>
              <w:t xml:space="preserve">功能、性能、配置要求</w:t>
            </w:r>
            <w:r>
              <w:rPr>
                <w:rFonts w:hint="eastAsia" w:asciiTheme="minorEastAsia" w:hAnsiTheme="minorEastAsia" w:eastAsiaTheme="minorEastAsia" w:cstheme="minorEastAsia"/>
                <w:b/>
                <w:color w:val="auto"/>
                <w:sz w:val="21"/>
                <w:szCs w:val="21"/>
                <w:lang w:bidi="ar"/>
              </w:rPr>
              <w:t xml:space="preserve">不低于以下要求</w:t>
            </w:r>
            <w:r/>
          </w:p>
        </w:tc>
      </w:tr>
      <w:tr>
        <w:trPr>
          <w:trHeight w:val="387"/>
        </w:trPr>
        <w:tc>
          <w:tcPr>
            <w:tcW w:w="503" w:type="dxa"/>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1</w:t>
            </w:r>
            <w:r/>
          </w:p>
        </w:tc>
        <w:tc>
          <w:tcPr>
            <w:tcW w:w="1044" w:type="dxa"/>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eastAsiaTheme="minorEastAsia" w:cstheme="minorEastAsia"/>
                <w:b w:val="0"/>
                <w:bCs/>
                <w:color w:val="auto"/>
                <w:sz w:val="21"/>
                <w:szCs w:val="21"/>
                <w:lang w:val="en-US" w:eastAsia="zh-CN"/>
              </w:rPr>
              <w:outlineLvl w:val="9"/>
            </w:pPr>
            <w:r>
              <w:rPr>
                <w:rFonts w:hint="eastAsia" w:asciiTheme="minorEastAsia" w:hAnsiTheme="minorEastAsia" w:cstheme="minorEastAsia"/>
                <w:b w:val="0"/>
                <w:bCs/>
                <w:color w:val="auto"/>
                <w:sz w:val="21"/>
                <w:szCs w:val="21"/>
                <w:lang w:val="en-US" w:eastAsia="zh-CN"/>
              </w:rPr>
              <w:t xml:space="preserve">硬件技术要求</w:t>
            </w:r>
            <w:r/>
          </w:p>
        </w:tc>
        <w:tc>
          <w:tcPr>
            <w:tcW w:w="7230" w:type="dxa"/>
            <w:vAlign w:val="center"/>
            <w:textDirection w:val="lrTb"/>
            <w:noWrap w:val="false"/>
          </w:tcPr>
          <w:p>
            <w:pPr>
              <w:pStyle w:val="1022"/>
              <w:numPr>
                <w:ilvl w:val="0"/>
                <w:numId w:val="0"/>
              </w:numPr>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Cs/>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支持双主控、独立交换网板，独立交换网板总数≥2，支持子母卡架构，整机支持业务线卡槽位≥8个（全尺寸业务卡槽位，非子卡槽位）；</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sz w:val="21"/>
                <w:szCs w:val="21"/>
                <w:lang w:val="en-US" w:eastAsia="zh-CN"/>
              </w:rPr>
              <w:t xml:space="preserve">2、设备CPU和交换芯片为国产芯片（在中国境内完成流片和封装）；</w:t>
            </w:r>
            <w:r>
              <w:rPr>
                <w:rFonts w:hint="eastAsia" w:asciiTheme="minorEastAsia" w:hAnsiTheme="minorEastAsia" w:eastAsiaTheme="minorEastAsia" w:cstheme="minorEastAsia"/>
                <w:b w:val="0"/>
                <w:bCs w:val="0"/>
                <w:sz w:val="21"/>
                <w:szCs w:val="21"/>
                <w:lang w:val="en-US" w:eastAsia="zh-CN"/>
              </w:rPr>
              <w:t xml:space="preserve">（提供如产品彩页、系统截图、第三方测试报告等）或芯片国产化证明；</w:t>
            </w:r>
            <w:r/>
          </w:p>
          <w:p>
            <w:pPr>
              <w:pStyle w:val="1022"/>
              <w:numPr>
                <w:ilvl w:val="0"/>
                <w:numId w:val="0"/>
              </w:numPr>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1"/>
                <w:szCs w:val="21"/>
                <w:lang w:eastAsia="en-US"/>
              </w:rPr>
              <w:t xml:space="preserve">★</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端口支持10G/100G/400G接口，配置≥12*10G+8*100G+8*400G，设备转发能力&gt;=6.4T；</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en-US"/>
              </w:rPr>
              <w:t xml:space="preserve">★</w:t>
            </w:r>
            <w:r>
              <w:rPr>
                <w:rFonts w:hint="eastAsia" w:asciiTheme="minorEastAsia" w:hAnsiTheme="minorEastAsia" w:eastAsiaTheme="minorEastAsia" w:cstheme="minorEastAsia"/>
                <w:sz w:val="21"/>
                <w:szCs w:val="21"/>
                <w:lang w:val="en-US" w:eastAsia="zh-CN"/>
              </w:rPr>
              <w:t xml:space="preserve">4、2台设备共计配置光模块数量如下：</w:t>
            </w:r>
            <w:r/>
          </w:p>
          <w:p>
            <w:pPr>
              <w:pStyle w:val="1022"/>
              <w:numPr>
                <w:ilvl w:val="0"/>
                <w:numId w:val="0"/>
              </w:numPr>
              <w:ind w:firstLine="0"/>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1）10KM 400G光模块8块，40KM 400G光模块4块，80KM 400G光模块4块；</w:t>
            </w:r>
            <w:r/>
          </w:p>
          <w:p>
            <w:pPr>
              <w:pStyle w:val="1022"/>
              <w:numPr>
                <w:ilvl w:val="0"/>
                <w:numId w:val="0"/>
              </w:numPr>
              <w:ind w:firstLine="0"/>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2）10KM 100G光模块8块，40KM 100G光模块4块，80KM 100G光模块4块；</w:t>
            </w:r>
            <w:r/>
          </w:p>
          <w:p>
            <w:pPr>
              <w:pStyle w:val="1022"/>
              <w:numPr>
                <w:ilvl w:val="0"/>
                <w:numId w:val="0"/>
              </w:numPr>
              <w:ind w:firstLine="0"/>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3）10KM 10G光模块8块，40KM 10G光模块4块，80KM 10G光模块4块；</w:t>
            </w:r>
            <w:r/>
          </w:p>
          <w:p>
            <w:pPr>
              <w:pStyle w:val="1022"/>
              <w:numPr>
                <w:ilvl w:val="0"/>
                <w:numId w:val="0"/>
              </w:numPr>
              <w:ind w:firstLine="0"/>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4）40KM 400G 光电融合模块 6块；</w:t>
            </w:r>
            <w:r/>
          </w:p>
          <w:p>
            <w:pPr>
              <w:pStyle w:val="1022"/>
              <w:numPr>
                <w:ilvl w:val="0"/>
                <w:numId w:val="0"/>
              </w:numPr>
              <w:ind w:firstLine="0"/>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5）400G光纤：5米10根，10米20根，15米10根；</w:t>
            </w:r>
            <w:r/>
          </w:p>
          <w:p>
            <w:pPr>
              <w:pStyle w:val="1022"/>
              <w:numPr>
                <w:ilvl w:val="0"/>
                <w:numId w:val="0"/>
              </w:numPr>
              <w:ind w:firstLine="0"/>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6）100G光纤：5米10根，10米20根，15米10根；</w:t>
            </w:r>
            <w:r/>
          </w:p>
          <w:p>
            <w:pPr>
              <w:pStyle w:val="1022"/>
              <w:numPr>
                <w:ilvl w:val="0"/>
                <w:numId w:val="0"/>
              </w:numPr>
              <w:ind w:firstLine="0"/>
              <w:jc w:val="both"/>
              <w:spacing w:before="0" w:line="36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7）10G光纤：5米10根，10米20根，15米10根；</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lang w:val="en-US" w:eastAsia="zh-CN"/>
              </w:rPr>
              <w:outlineLvl w:val="9"/>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sz w:val="21"/>
                <w:szCs w:val="21"/>
                <w:lang w:val="en-US" w:eastAsia="zh-CN"/>
              </w:rPr>
              <w:t xml:space="preserve">5、提供1块8*400G端口可编程单元，支持转发面可编程能力，提供NPC可编程平台，使用可编程的网络处理器芯片，实现灵活的新功能扩展及演进能力，支持KVM或同等容器化技术，用户可自行安装和运行Guest-OS；提供可编程接口</w:t>
            </w:r>
            <w:r>
              <w:rPr>
                <w:rFonts w:hint="eastAsia" w:asciiTheme="minorEastAsia" w:hAnsiTheme="minorEastAsia" w:eastAsiaTheme="minorEastAsia" w:cstheme="minorEastAsia"/>
                <w:color w:val="auto"/>
              </w:rPr>
              <w:t xml:space="preserve">（SDK或API），接口文档应包括功能说明及调用示例</w:t>
            </w:r>
            <w:r>
              <w:rPr>
                <w:rFonts w:hint="eastAsia" w:asciiTheme="minorEastAsia" w:hAnsiTheme="minorEastAsia" w:eastAsiaTheme="minorEastAsia" w:cstheme="minorEastAsia"/>
                <w:color w:val="auto"/>
                <w:lang w:val="en-US" w:eastAsia="zh-CN"/>
              </w:rPr>
              <w:t xml:space="preserve">；</w:t>
            </w:r>
            <w:r/>
          </w:p>
          <w:p>
            <w:pPr>
              <w:pStyle w:val="1022"/>
              <w:numPr>
                <w:ilvl w:val="0"/>
                <w:numId w:val="0"/>
              </w:numPr>
              <w:jc w:val="both"/>
              <w:spacing w:before="0" w:line="360" w:lineRule="exact"/>
              <w:rPr>
                <w:rFonts w:hint="eastAsia" w:asciiTheme="minorEastAsia" w:hAnsiTheme="minorEastAsia" w:cstheme="minorEastAsia"/>
                <w:color w:val="auto"/>
                <w:lang w:eastAsia="zh-CN"/>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sz w:val="21"/>
                <w:szCs w:val="21"/>
                <w:lang w:val="en-US" w:eastAsia="zh-CN"/>
              </w:rPr>
              <w:t xml:space="preserve">6、提供1块8*100G端口可编程单元，支持转发面可编程能力，提供NPC可编程平台，使用可编程的网络处理器芯片，实现灵活的新功能扩展及演进能力，支持KVM或同等容器化技术，用户可自行安装和运行Guest-OS；提供可编程接口</w:t>
            </w:r>
            <w:r>
              <w:rPr>
                <w:rFonts w:hint="eastAsia" w:asciiTheme="minorEastAsia" w:hAnsiTheme="minorEastAsia" w:eastAsiaTheme="minorEastAsia" w:cstheme="minorEastAsia"/>
                <w:color w:val="auto"/>
              </w:rPr>
              <w:t xml:space="preserve">（SDK或API），接口文档应包括功能说明及调用示例</w:t>
            </w:r>
            <w:r>
              <w:rPr>
                <w:rFonts w:hint="eastAsia" w:asciiTheme="minorEastAsia" w:hAnsiTheme="minorEastAsia" w:cstheme="minorEastAsia"/>
                <w:color w:val="auto"/>
                <w:lang w:eastAsia="zh-CN"/>
              </w:rPr>
              <w:t xml:space="preserve">；</w:t>
            </w:r>
            <w:r/>
          </w:p>
          <w:p>
            <w:pPr>
              <w:pStyle w:val="1022"/>
              <w:numPr>
                <w:ilvl w:val="0"/>
                <w:numId w:val="0"/>
              </w:numPr>
              <w:jc w:val="both"/>
              <w:spacing w:before="0" w:line="360" w:lineRule="exac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sz w:val="21"/>
                <w:szCs w:val="21"/>
                <w:lang w:val="en-US" w:eastAsia="zh-CN"/>
              </w:rPr>
              <w:t xml:space="preserve">7、单槽位转发性能不低于800Gbps，整机支持16*400G端口；</w:t>
            </w:r>
            <w:r>
              <w:rPr>
                <w:rFonts w:hint="eastAsia" w:asciiTheme="minorEastAsia" w:hAnsiTheme="minorEastAsia" w:eastAsiaTheme="minorEastAsia" w:cstheme="minorEastAsia"/>
                <w:b w:val="0"/>
                <w:bCs w:val="0"/>
                <w:sz w:val="21"/>
                <w:szCs w:val="21"/>
                <w:lang w:val="en-US" w:eastAsia="zh-CN"/>
              </w:rPr>
              <w:t xml:space="preserve">提供官网截图证明；</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lang w:val="en-US" w:eastAsia="zh-CN"/>
              </w:rPr>
              <w:outlineLvl w:val="9"/>
            </w:pPr>
            <w:r>
              <w:rPr>
                <w:rFonts w:hint="eastAsia" w:asciiTheme="minorEastAsia" w:hAnsiTheme="minorEastAsia" w:eastAsiaTheme="minorEastAsia" w:cstheme="minorEastAsia"/>
                <w:color w:val="auto"/>
                <w:sz w:val="21"/>
                <w:szCs w:val="21"/>
                <w:lang w:val="en-US" w:eastAsia="zh-CN"/>
              </w:rPr>
              <w:t xml:space="preserve">8、支持切片，支持400G/100GE/50GE/10GE FlexE接口。</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tc>
      </w:tr>
      <w:tr>
        <w:trPr>
          <w:trHeight w:val="387"/>
        </w:trPr>
        <w:tc>
          <w:tcPr>
            <w:tcW w:w="503" w:type="dxa"/>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cstheme="minorEastAsia"/>
                <w:b/>
                <w:color w:val="auto"/>
                <w:sz w:val="21"/>
                <w:szCs w:val="21"/>
                <w:lang w:val="en-US" w:eastAsia="zh-CN"/>
              </w:rPr>
              <w:outlineLvl w:val="9"/>
            </w:pPr>
            <w:r>
              <w:rPr>
                <w:rFonts w:hint="eastAsia" w:asciiTheme="minorEastAsia" w:hAnsiTheme="minorEastAsia" w:cstheme="minorEastAsia"/>
                <w:b/>
                <w:color w:val="auto"/>
                <w:sz w:val="21"/>
                <w:szCs w:val="21"/>
                <w:lang w:val="en-US" w:eastAsia="zh-CN"/>
              </w:rPr>
              <w:t xml:space="preserve">2</w:t>
            </w:r>
            <w:r/>
          </w:p>
        </w:tc>
        <w:tc>
          <w:tcPr>
            <w:tcW w:w="1044" w:type="dxa"/>
            <w:vAlign w:val="center"/>
            <w:textDirection w:val="lrTb"/>
            <w:noWrap w:val="false"/>
          </w:tcPr>
          <w:p>
            <w:pPr>
              <w:jc w:val="center"/>
              <w:keepLines w:val="0"/>
              <w:keepNext w:val="0"/>
              <w:pageBreakBefore w:val="0"/>
              <w:spacing w:after="0" w:line="360" w:lineRule="exact"/>
              <w:widowControl w:val="off"/>
              <w:rPr>
                <w:rFonts w:hint="default" w:asciiTheme="minorEastAsia" w:hAnsiTheme="minorEastAsia" w:cstheme="minorEastAsia"/>
                <w:b/>
                <w:color w:val="auto"/>
                <w:sz w:val="21"/>
                <w:szCs w:val="21"/>
                <w:lang w:val="en-US" w:eastAsia="zh-CN"/>
              </w:rPr>
              <w:outlineLvl w:val="9"/>
            </w:pPr>
            <w:r>
              <w:rPr>
                <w:rFonts w:hint="eastAsia" w:asciiTheme="minorEastAsia" w:hAnsiTheme="minorEastAsia" w:cstheme="minorEastAsia"/>
                <w:b/>
                <w:color w:val="auto"/>
                <w:sz w:val="21"/>
                <w:szCs w:val="21"/>
                <w:lang w:val="en-US" w:eastAsia="zh-CN"/>
              </w:rPr>
              <w:t xml:space="preserve">软件技术要求</w:t>
            </w:r>
            <w:r/>
          </w:p>
        </w:tc>
        <w:tc>
          <w:tcPr>
            <w:tcW w:w="7230" w:type="dxa"/>
            <w:vAlign w:val="center"/>
            <w:textDirection w:val="lrTb"/>
            <w:noWrap w:val="false"/>
          </w:tcPr>
          <w:p>
            <w:pPr>
              <w:pStyle w:val="1022"/>
              <w:numPr>
                <w:ilvl w:val="0"/>
                <w:numId w:val="0"/>
              </w:numPr>
              <w:jc w:val="both"/>
              <w:spacing w:before="0" w:line="3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1、支持VLAN、IGP、BGP、QoS、L3VPN、EVPN等；</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color w:val="auto"/>
              </w:rPr>
              <w:t xml:space="preserve">2、支持确定性，SRv6、Flex-E、CSQF/DIP等技术，并提供相关的可编程接口（SDK或API），接口文档应包括功能说明及调用示例</w:t>
            </w:r>
            <w:r>
              <w:rPr>
                <w:rFonts w:hint="eastAsia" w:asciiTheme="minorEastAsia" w:hAnsiTheme="minorEastAsia" w:eastAsiaTheme="minorEastAsia" w:cstheme="minorEastAsia"/>
                <w:color w:val="auto"/>
                <w:lang w:val="en-US" w:eastAsia="zh-CN"/>
              </w:rPr>
              <w:t xml:space="preserve">；</w:t>
            </w:r>
            <w:r/>
          </w:p>
          <w:p>
            <w:pPr>
              <w:pStyle w:val="1022"/>
              <w:numPr>
                <w:ilvl w:val="0"/>
                <w:numId w:val="0"/>
              </w:numPr>
              <w:jc w:val="both"/>
              <w:spacing w:before="0" w:line="3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★3、单设备故障倒换时间不超过50ms；</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★4、支持光电融合，时钟同步精度≤10μs</w:t>
            </w:r>
            <w:r>
              <w:rPr>
                <w:rFonts w:hint="eastAsia" w:asciiTheme="minorEastAsia" w:hAnsiTheme="minorEastAsia" w:eastAsiaTheme="minorEastAsia" w:cstheme="minorEastAsia"/>
                <w:bCs/>
                <w:color w:val="auto"/>
                <w:sz w:val="21"/>
                <w:szCs w:val="21"/>
                <w:lang w:val="en-US" w:eastAsia="zh-CN"/>
              </w:rPr>
              <w:t xml:space="preserve">；</w:t>
            </w:r>
            <w:r/>
          </w:p>
          <w:p>
            <w:pPr>
              <w:pStyle w:val="1022"/>
              <w:numPr>
                <w:ilvl w:val="0"/>
                <w:numId w:val="0"/>
              </w:numPr>
              <w:jc w:val="both"/>
              <w:spacing w:before="0" w:line="3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Cs/>
                <w:sz w:val="21"/>
                <w:szCs w:val="21"/>
                <w:lang w:val="en-US" w:eastAsia="zh-CN"/>
              </w:rPr>
              <w:t xml:space="preserve">▲</w:t>
            </w:r>
            <w:r>
              <w:rPr>
                <w:rFonts w:hint="eastAsia" w:asciiTheme="minorEastAsia" w:hAnsiTheme="minorEastAsia" w:eastAsiaTheme="minorEastAsia" w:cstheme="minorEastAsia"/>
                <w:color w:val="auto"/>
              </w:rPr>
              <w:t xml:space="preserve">5、单台设备时延抖动不超过5us，支持时延有界的转发机制</w:t>
            </w:r>
            <w:r>
              <w:rPr>
                <w:rFonts w:hint="eastAsia" w:asciiTheme="minorEastAsia" w:hAnsiTheme="minorEastAsia" w:eastAsiaTheme="minorEastAsia" w:cstheme="minorEastAsia"/>
                <w:bCs/>
                <w:color w:val="auto"/>
                <w:sz w:val="21"/>
                <w:szCs w:val="21"/>
                <w:lang w:val="en-US" w:eastAsia="zh-CN"/>
              </w:rPr>
              <w:t xml:space="preserve">；</w:t>
            </w:r>
            <w:r/>
          </w:p>
          <w:p>
            <w:pPr>
              <w:pStyle w:val="1022"/>
              <w:numPr>
                <w:ilvl w:val="0"/>
                <w:numId w:val="6"/>
              </w:numPr>
              <w:jc w:val="both"/>
              <w:spacing w:before="0" w:line="3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支持流量根据ACL匹配五元组remark优先级，根据不同优先级入不同的SRv6隧道；</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7、支持主接口绑定L3EVPN，L3EVPN Over multi-SRv6；</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8、支持 Console、Telnet、SSH、SNMP 等管理方式；</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1"/>
                <w:numId w:val="0"/>
              </w:numPr>
              <w:jc w:val="both"/>
              <w:spacing w:before="0" w:line="360" w:lineRule="exact"/>
              <w:rPr>
                <w:rFonts w:hint="eastAsia" w:asciiTheme="minorEastAsia" w:hAnsiTheme="minorEastAsia" w:cstheme="minorEastAsia"/>
                <w:b w:val="0"/>
                <w:bCs/>
                <w:color w:val="auto"/>
                <w:szCs w:val="21"/>
                <w:lang w:val="en-US" w:eastAsia="zh-CN"/>
              </w:rPr>
            </w:pPr>
            <w:r>
              <w:rPr>
                <w:rFonts w:hint="eastAsia" w:asciiTheme="minorEastAsia" w:hAnsiTheme="minorEastAsia" w:eastAsiaTheme="minorEastAsia" w:cstheme="minorEastAsia"/>
                <w:color w:val="auto"/>
                <w:sz w:val="21"/>
                <w:szCs w:val="21"/>
                <w:lang w:val="en-US" w:eastAsia="zh-CN"/>
              </w:rPr>
              <w:t xml:space="preserve">9、支持ifit功能；</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jc w:val="both"/>
              <w:keepLines w:val="0"/>
              <w:keepNext w:val="0"/>
              <w:pageBreakBefore w:val="0"/>
              <w:spacing w:after="0" w:line="360" w:lineRule="exact"/>
              <w:widowControl w:val="off"/>
              <w:rPr>
                <w:rFonts w:hint="eastAsia" w:asciiTheme="minorEastAsia" w:hAnsiTheme="minorEastAsia" w:cstheme="minorEastAsia"/>
                <w:color w:val="auto"/>
                <w:sz w:val="21"/>
                <w:szCs w:val="21"/>
                <w:lang w:val="en-US" w:eastAsia="zh-CN"/>
              </w:rPr>
              <w:outlineLvl w:val="9"/>
            </w:pPr>
            <w:r>
              <w:rPr>
                <w:rFonts w:hint="eastAsia" w:asciiTheme="minorEastAsia" w:hAnsi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val="en-US" w:eastAsia="zh-CN"/>
              </w:rPr>
              <w:t xml:space="preserve">支持 Netconf功能，并提供配置 API接口文档</w:t>
            </w:r>
            <w:r>
              <w:rPr>
                <w:rFonts w:hint="eastAsia" w:asciiTheme="minorEastAsia" w:hAnsiTheme="minorEastAsia" w:cstheme="minorEastAsia"/>
                <w:color w:val="auto"/>
                <w:sz w:val="21"/>
                <w:szCs w:val="21"/>
                <w:lang w:val="en-US" w:eastAsia="zh-CN"/>
              </w:rPr>
              <w:t xml:space="preserve">；</w:t>
            </w:r>
            <w:r/>
          </w:p>
          <w:p>
            <w:pPr>
              <w:pStyle w:val="1022"/>
              <w:numPr>
                <w:ilvl w:val="-1"/>
                <w:numId w:val="0"/>
              </w:numPr>
              <w:jc w:val="both"/>
              <w:spacing w:before="0" w:line="36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11、支持Telemetry功能，支持通过Telemetry上送时延、带宽、路由、SRv6等设备信息；</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7"/>
              </w:numPr>
              <w:jc w:val="both"/>
              <w:spacing w:before="0" w:line="36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支持BGP-LS,NQA,Twamp功能；</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pStyle w:val="1022"/>
              <w:numPr>
                <w:ilvl w:val="0"/>
                <w:numId w:val="0"/>
              </w:numPr>
              <w:jc w:val="both"/>
              <w:spacing w:before="0" w:line="36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13、支持整机16*400G的端口，满足1024字节场景下线速转发；</w:t>
            </w:r>
            <w:r>
              <w:rPr>
                <w:rFonts w:hint="eastAsia" w:asciiTheme="minorEastAsia" w:hAnsiTheme="minorEastAsia" w:cstheme="minorEastAsia"/>
                <w:b w:val="0"/>
                <w:bCs/>
                <w:color w:val="auto"/>
                <w:szCs w:val="21"/>
                <w:lang w:val="en-US" w:eastAsia="zh-CN"/>
              </w:rPr>
              <w:t xml:space="preserve">提供证明材料（如产品彩页、系统截图、第三方测试报告等）；</w:t>
            </w:r>
            <w:r/>
          </w:p>
          <w:p>
            <w:pPr>
              <w:spacing w:line="36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14、</w:t>
            </w:r>
            <w:r>
              <w:rPr>
                <w:rFonts w:hint="eastAsia" w:asciiTheme="minorEastAsia" w:hAnsiTheme="minorEastAsia" w:eastAsiaTheme="minorEastAsia" w:cstheme="minorEastAsia"/>
                <w:color w:val="auto"/>
                <w:sz w:val="21"/>
                <w:szCs w:val="21"/>
                <w:lang w:val="en-US" w:eastAsia="zh-CN"/>
              </w:rPr>
              <w:t xml:space="preserve">支持确定性多路径传输的可靠性能力</w:t>
            </w:r>
            <w:r>
              <w:rPr>
                <w:rFonts w:hint="eastAsia" w:asciiTheme="minorEastAsia" w:hAnsiTheme="minorEastAsia" w:eastAsiaTheme="minorEastAsia" w:cstheme="minorEastAsia"/>
                <w:bCs/>
                <w:color w:val="auto"/>
                <w:sz w:val="21"/>
                <w:szCs w:val="21"/>
                <w:lang w:val="en-US" w:eastAsia="zh-CN"/>
              </w:rPr>
              <w:t xml:space="preserve">；</w:t>
            </w:r>
            <w:r/>
          </w:p>
          <w:p>
            <w:pPr>
              <w:spacing w:line="36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15、</w:t>
            </w:r>
            <w:r>
              <w:rPr>
                <w:rFonts w:hint="eastAsia" w:asciiTheme="minorEastAsia" w:hAnsiTheme="minorEastAsia" w:eastAsiaTheme="minorEastAsia" w:cstheme="minorEastAsia"/>
                <w:color w:val="auto"/>
                <w:sz w:val="21"/>
                <w:szCs w:val="21"/>
                <w:lang w:val="en-US" w:eastAsia="zh-CN"/>
              </w:rPr>
              <w:t xml:space="preserve">支持点到多点的自适应加密，通过BGP协议的扩展属性携带加密信息建立安全联盟，随路由对通信数据进行加密,</w:t>
            </w:r>
            <w:r>
              <w:rPr>
                <w:rFonts w:hint="eastAsia" w:asciiTheme="minorEastAsia" w:hAnsiTheme="minorEastAsia" w:cstheme="minorEastAsia"/>
                <w:color w:val="auto"/>
                <w:sz w:val="21"/>
                <w:szCs w:val="21"/>
                <w:lang w:val="en-US" w:eastAsia="zh-CN"/>
              </w:rPr>
              <w:t xml:space="preserve">支持抗量子加密算法或具备可扩展加密能力</w:t>
            </w:r>
            <w:r>
              <w:rPr>
                <w:rFonts w:hint="eastAsia" w:asciiTheme="minorEastAsia" w:hAnsiTheme="minorEastAsia" w:eastAsiaTheme="minorEastAsia" w:cstheme="minorEastAsia"/>
                <w:color w:val="auto"/>
                <w:sz w:val="21"/>
                <w:szCs w:val="21"/>
                <w:lang w:val="en-US" w:eastAsia="zh-CN"/>
              </w:rPr>
              <w:t xml:space="preserve">,实现软件抗</w:t>
            </w:r>
            <w:r>
              <w:rPr>
                <w:rFonts w:hint="eastAsia" w:asciiTheme="minorEastAsia" w:hAnsiTheme="minorEastAsia" w:eastAsiaTheme="minorEastAsia" w:cstheme="minorEastAsia"/>
                <w:b w:val="0"/>
                <w:bCs w:val="0"/>
                <w:color w:val="auto"/>
                <w:sz w:val="21"/>
                <w:szCs w:val="21"/>
                <w:lang w:val="en-US" w:eastAsia="zh-CN"/>
              </w:rPr>
              <w:t xml:space="preserve">量子加密</w:t>
            </w:r>
            <w:r>
              <w:rPr>
                <w:rFonts w:hint="eastAsia" w:asciiTheme="minorEastAsia" w:hAnsiTheme="minorEastAsia" w:cstheme="minorEastAsia"/>
                <w:b w:val="0"/>
                <w:bCs w:val="0"/>
                <w:color w:val="auto"/>
                <w:sz w:val="21"/>
                <w:szCs w:val="21"/>
                <w:lang w:val="en-US" w:eastAsia="zh-CN"/>
              </w:rPr>
              <w:t xml:space="preserve">；</w:t>
            </w:r>
            <w:r>
              <w:rPr>
                <w:rFonts w:hint="eastAsia" w:asciiTheme="minorEastAsia" w:hAnsiTheme="minorEastAsia" w:cstheme="minorEastAsia"/>
                <w:b w:val="0"/>
                <w:bCs w:val="0"/>
                <w:sz w:val="21"/>
                <w:szCs w:val="21"/>
                <w:lang w:val="en-US" w:eastAsia="zh-CN"/>
              </w:rPr>
              <w:t xml:space="preserve">（提供如产品彩页、系统截图、第三方测试报告等）；</w:t>
            </w:r>
            <w:r/>
          </w:p>
          <w:p>
            <w:pPr>
              <w:pStyle w:val="1022"/>
              <w:numPr>
                <w:ilvl w:val="0"/>
                <w:numId w:val="8"/>
              </w:numPr>
              <w:jc w:val="both"/>
              <w:spacing w:before="0" w:line="360" w:lineRule="exact"/>
              <w:rPr>
                <w:rFonts w:hint="eastAsia" w:asciiTheme="minorEastAsia" w:hAnsi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每台实配SR、RSVP-TE 、MPLS-TE 、VxLAN、HQoS、L3VPN、EVPN、Telemetry、随流检测、FLEXE、SRv6 BE、SRv6 Policy、时钟同步授权，提供三年软件升级服务</w:t>
            </w:r>
            <w:r>
              <w:rPr>
                <w:rFonts w:hint="eastAsia" w:asciiTheme="minorEastAsia" w:hAnsiTheme="minorEastAsia" w:cstheme="minorEastAsia"/>
                <w:color w:val="auto"/>
                <w:sz w:val="21"/>
                <w:szCs w:val="21"/>
                <w:lang w:val="en-US" w:eastAsia="zh-CN"/>
              </w:rPr>
              <w:t xml:space="preserve">；</w:t>
            </w:r>
            <w:r/>
          </w:p>
          <w:p>
            <w:pPr>
              <w:pStyle w:val="1022"/>
              <w:numPr>
                <w:ilvl w:val="0"/>
                <w:numId w:val="8"/>
              </w:numPr>
              <w:jc w:val="both"/>
              <w:spacing w:before="0" w:line="360" w:lineRule="exact"/>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支持ACL进行报文任意字段的匹配，可以通过指定报文偏移字节数与匹配信息的方式自定义匹配规则实现任意IP和非IP流量匹配控制；提供证明材料（如产品彩页、系统截图、第三方测试报告等）；</w:t>
            </w:r>
            <w:r/>
          </w:p>
          <w:p>
            <w:pPr>
              <w:jc w:val="both"/>
              <w:keepLines w:val="0"/>
              <w:keepNext w:val="0"/>
              <w:pageBreakBefore w:val="0"/>
              <w:spacing w:after="0" w:line="360" w:lineRule="exact"/>
              <w:widowControl w:val="off"/>
              <w:rPr>
                <w:rFonts w:hint="eastAsia" w:asciiTheme="minorEastAsia" w:hAnsiTheme="minorEastAsia" w:cstheme="minorEastAsia"/>
                <w:color w:val="auto"/>
                <w:sz w:val="21"/>
                <w:szCs w:val="21"/>
                <w:lang w:val="en-US" w:eastAsia="zh-CN"/>
              </w:rPr>
              <w:outlineLvl w:val="9"/>
            </w:pPr>
            <w:r>
              <w:rPr>
                <w:rFonts w:hint="eastAsia" w:asciiTheme="minorEastAsia" w:hAnsiTheme="minorEastAsia" w:cstheme="minorEastAsia"/>
                <w:color w:val="auto"/>
                <w:sz w:val="21"/>
                <w:szCs w:val="21"/>
                <w:lang w:val="en-US" w:eastAsia="zh-CN"/>
              </w:rPr>
              <w:t xml:space="preserve">18、支持BGP的白名单Session-CAR，实现对BGP会话间的报文通道隔离；提供证明材料（如产品彩页、系统截图、第三方测试报告等）；</w:t>
            </w:r>
            <w:r/>
          </w:p>
          <w:p>
            <w:pPr>
              <w:pStyle w:val="1022"/>
              <w:numPr>
                <w:ilvl w:val="-1"/>
                <w:numId w:val="0"/>
              </w:numPr>
              <w:jc w:val="both"/>
              <w:spacing w:before="0" w:line="360" w:lineRule="exact"/>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19、设备支持安全配置检查，当配置不安全协议、不安全算法时，可自动识别不安全配置并上报控制器呈现（提供如产品彩页、系统截图、第三方测试报告等）；</w:t>
            </w:r>
            <w:r/>
          </w:p>
          <w:p>
            <w:pPr>
              <w:pStyle w:val="1022"/>
              <w:numPr>
                <w:ilvl w:val="-1"/>
                <w:numId w:val="0"/>
              </w:numPr>
              <w:jc w:val="both"/>
              <w:spacing w:before="0" w:line="360" w:lineRule="exact"/>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20、支持系统通过对代码的数字签名来标识软件来源，防止软件被篡改（提供如产品彩页、系统截图、第三方测试报告等）；</w:t>
            </w:r>
            <w:r/>
          </w:p>
          <w:p>
            <w:pPr>
              <w:jc w:val="both"/>
              <w:keepLines w:val="0"/>
              <w:keepNext w:val="0"/>
              <w:pageBreakBefore w:val="0"/>
              <w:spacing w:after="0" w:line="360" w:lineRule="exact"/>
              <w:widowControl w:val="off"/>
              <w:rPr>
                <w:rFonts w:hint="eastAsia" w:asciiTheme="minorEastAsia" w:hAnsiTheme="minorEastAsia" w:cstheme="minorEastAsia"/>
                <w:color w:val="auto"/>
                <w:sz w:val="21"/>
                <w:szCs w:val="21"/>
                <w:lang w:val="en-US" w:eastAsia="zh-CN"/>
              </w:rPr>
              <w:outlineLvl w:val="9"/>
            </w:pPr>
            <w:r>
              <w:rPr>
                <w:rFonts w:hint="eastAsia" w:asciiTheme="minorEastAsia" w:hAnsiTheme="minorEastAsia" w:cstheme="minorEastAsia"/>
                <w:color w:val="auto"/>
                <w:sz w:val="21"/>
                <w:szCs w:val="21"/>
                <w:lang w:val="en-US" w:eastAsia="zh-CN"/>
              </w:rPr>
              <w:t xml:space="preserve">21、支持基于硬件信任根的安全启动，从可信硬件锚开始，逐级校验加载的软件代码，（提供如产品彩页、系统截图、第三方测试报告等）。</w:t>
            </w:r>
            <w:r/>
          </w:p>
        </w:tc>
      </w:tr>
    </w:tbl>
    <w:p>
      <w:pPr>
        <w:ind w:firstLine="0"/>
        <w:spacing w:line="264" w:lineRule="auto"/>
        <w:rPr>
          <w:rFonts w:hint="eastAsia" w:ascii="宋体" w:hAnsi="宋体"/>
          <w:sz w:val="24"/>
        </w:rPr>
        <w:outlineLvl w:val="2"/>
      </w:pPr>
      <w:r>
        <w:rPr>
          <w:rFonts w:hint="eastAsia" w:ascii="宋体" w:hAnsi="宋体"/>
          <w:sz w:val="24"/>
        </w:rPr>
      </w:r>
      <w:r/>
    </w:p>
    <w:p>
      <w:pPr>
        <w:ind w:firstLine="420"/>
        <w:keepLines w:val="0"/>
        <w:keepNext w:val="0"/>
        <w:pageBreakBefore w:val="0"/>
        <w:spacing w:line="360" w:lineRule="auto"/>
        <w:widowControl w:val="off"/>
        <w:rPr>
          <w:rFonts w:hint="eastAsia" w:ascii="宋体" w:hAnsi="宋体" w:eastAsia="宋体" w:cs="宋体"/>
          <w:bCs/>
          <w:color w:val="auto"/>
          <w:sz w:val="21"/>
          <w:szCs w:val="21"/>
        </w:rPr>
        <w:outlineLvl w:val="9"/>
      </w:pPr>
      <w:r>
        <w:rPr>
          <w:rFonts w:hint="eastAsia" w:ascii="宋体" w:hAnsi="宋体" w:eastAsia="宋体" w:cs="Times New Roman"/>
          <w:b w:val="0"/>
          <w:bCs w:val="0"/>
          <w:i w:val="0"/>
          <w:iCs w:val="0"/>
          <w:color w:val="auto"/>
          <w:sz w:val="21"/>
          <w:szCs w:val="21"/>
          <w:u w:val="none"/>
          <w:lang w:val="en-US" w:eastAsia="zh-CN"/>
        </w:rPr>
        <w:t xml:space="preserve">★</w:t>
      </w:r>
      <w:r>
        <w:rPr>
          <w:rFonts w:hint="eastAsia" w:ascii="宋体" w:hAnsi="宋体" w:eastAsia="宋体" w:cs="宋体"/>
          <w:bCs/>
          <w:color w:val="auto"/>
          <w:sz w:val="21"/>
          <w:szCs w:val="21"/>
        </w:rPr>
        <w:t xml:space="preserve">（二）商务要求</w:t>
      </w:r>
      <w:r/>
    </w:p>
    <w:p>
      <w:pPr>
        <w:ind w:firstLine="420"/>
        <w:keepLines w:val="0"/>
        <w:keepNext w:val="0"/>
        <w:pageBreakBefore w:val="0"/>
        <w:spacing w:line="360" w:lineRule="auto"/>
        <w:widowControl w:val="off"/>
        <w:rPr>
          <w:rFonts w:hint="default"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报价要求</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（2）供应商的任何错漏、优惠、竞争性报价不得作为减轻责任、减少服务、增加收费、降低服务质量的理由。</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sz w:val="21"/>
          <w:szCs w:val="21"/>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color w:val="auto"/>
          <w:sz w:val="21"/>
          <w:szCs w:val="21"/>
          <w:lang w:val="en-US" w:eastAsia="zh-CN"/>
        </w:rPr>
        <w:t xml:space="preserve">2.</w:t>
      </w:r>
      <w:r>
        <w:rPr>
          <w:rFonts w:hint="eastAsia" w:ascii="宋体" w:hAnsi="宋体" w:eastAsia="宋体" w:cs="宋体"/>
          <w:bCs/>
          <w:color w:val="auto"/>
          <w:sz w:val="21"/>
          <w:szCs w:val="21"/>
          <w:highlight w:val="none"/>
          <w:lang w:val="en-US" w:eastAsia="zh-CN"/>
        </w:rPr>
        <w:t xml:space="preserve">交付时间：合同签订后30日内完成供货、安装及调试。</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color w:val="auto"/>
          <w:sz w:val="21"/>
          <w:szCs w:val="21"/>
          <w:lang w:val="en-US" w:eastAsia="zh-CN"/>
        </w:rPr>
        <w:t xml:space="preserve">3.</w:t>
      </w:r>
      <w:r>
        <w:rPr>
          <w:rFonts w:hint="eastAsia" w:ascii="宋体" w:hAnsi="宋体" w:eastAsia="宋体" w:cs="宋体"/>
          <w:bCs/>
          <w:color w:val="auto"/>
          <w:sz w:val="21"/>
          <w:szCs w:val="21"/>
          <w:highlight w:val="none"/>
          <w:lang w:val="en-US" w:eastAsia="zh-CN"/>
        </w:rPr>
        <w:t xml:space="preserve">交付地点：南京市紫金山实验室指定地点。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color w:val="auto"/>
          <w:sz w:val="21"/>
          <w:szCs w:val="21"/>
          <w:lang w:val="en-US" w:eastAsia="zh-CN"/>
        </w:rPr>
        <w:t xml:space="preserve">4.</w:t>
      </w:r>
      <w:r>
        <w:rPr>
          <w:rFonts w:hint="eastAsia" w:ascii="宋体" w:hAnsi="宋体" w:eastAsia="宋体" w:cs="宋体"/>
          <w:bCs/>
          <w:color w:val="auto"/>
          <w:sz w:val="21"/>
          <w:szCs w:val="21"/>
          <w:highlight w:val="none"/>
          <w:lang w:val="en-US" w:eastAsia="zh-CN"/>
        </w:rPr>
        <w:t xml:space="preserve">付款方式：合同签订后，</w:t>
      </w:r>
      <w:r>
        <w:rPr>
          <w:rFonts w:hint="eastAsia" w:ascii="宋体" w:hAnsi="宋体" w:cs="宋体"/>
          <w:bCs/>
          <w:color w:val="auto"/>
          <w:sz w:val="21"/>
          <w:szCs w:val="21"/>
          <w:highlight w:val="none"/>
          <w:lang w:val="en-US" w:eastAsia="zh-CN"/>
        </w:rPr>
        <w:t xml:space="preserve">货到</w:t>
      </w:r>
      <w:r>
        <w:rPr>
          <w:rFonts w:hint="eastAsia" w:ascii="宋体" w:hAnsi="宋体" w:eastAsia="宋体" w:cs="宋体"/>
          <w:bCs/>
          <w:color w:val="auto"/>
          <w:sz w:val="21"/>
          <w:szCs w:val="21"/>
          <w:highlight w:val="none"/>
          <w:lang w:val="en-US" w:eastAsia="zh-CN"/>
        </w:rPr>
        <w:t xml:space="preserve">验收合格</w:t>
      </w:r>
      <w:r>
        <w:rPr>
          <w:rFonts w:hint="eastAsia" w:ascii="宋体" w:hAnsi="宋体" w:cs="宋体"/>
          <w:bCs/>
          <w:color w:val="auto"/>
          <w:sz w:val="21"/>
          <w:szCs w:val="21"/>
          <w:highlight w:val="none"/>
          <w:lang w:val="en-US" w:eastAsia="zh-CN"/>
        </w:rPr>
        <w:t xml:space="preserve">且乙方开具全额增值税专用发票</w:t>
      </w:r>
      <w:r>
        <w:rPr>
          <w:rFonts w:hint="eastAsia" w:ascii="宋体" w:hAnsi="宋体" w:eastAsia="宋体" w:cs="宋体"/>
          <w:bCs/>
          <w:color w:val="auto"/>
          <w:sz w:val="21"/>
          <w:szCs w:val="21"/>
          <w:highlight w:val="none"/>
          <w:lang w:val="en-US" w:eastAsia="zh-CN"/>
        </w:rPr>
        <w:t xml:space="preserve">后支付</w:t>
      </w:r>
      <w:r>
        <w:rPr>
          <w:rFonts w:hint="eastAsia" w:ascii="宋体" w:hAnsi="宋体" w:cs="宋体"/>
          <w:bCs/>
          <w:color w:val="auto"/>
          <w:sz w:val="21"/>
          <w:szCs w:val="21"/>
          <w:highlight w:val="none"/>
          <w:lang w:val="en-US" w:eastAsia="zh-CN"/>
        </w:rPr>
        <w:t xml:space="preserve">95</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合同款，货物稳定运行一年后支付5%合同款</w:t>
      </w:r>
      <w:r>
        <w:rPr>
          <w:rFonts w:hint="eastAsia" w:ascii="宋体" w:hAnsi="宋体" w:eastAsia="宋体" w:cs="宋体"/>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color w:val="auto"/>
          <w:sz w:val="21"/>
          <w:szCs w:val="21"/>
          <w:lang w:val="en-US" w:eastAsia="zh-CN"/>
        </w:rPr>
        <w:t xml:space="preserve">5.</w:t>
      </w:r>
      <w:r>
        <w:rPr>
          <w:rFonts w:hint="eastAsia" w:ascii="宋体" w:hAnsi="宋体" w:eastAsia="宋体" w:cs="宋体"/>
          <w:bCs/>
          <w:color w:val="auto"/>
          <w:sz w:val="21"/>
          <w:szCs w:val="21"/>
          <w:highlight w:val="none"/>
          <w:lang w:val="en-US" w:eastAsia="zh-CN"/>
        </w:rPr>
        <w:t xml:space="preserve">合法性要求：供应商应保证所提供的产品（包括硬件、软件、固件及技术文档）为合法产品，拥有完整的、合法的知识产权，或已获得必要的授权许可，不存在任何侵犯第三方专利权、商标权、著作权、集成电路布图设计权、商业秘密及其他合法权益的情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color w:val="auto"/>
          <w:sz w:val="21"/>
          <w:szCs w:val="21"/>
          <w:lang w:val="en-US" w:eastAsia="zh-CN"/>
        </w:rPr>
        <w:t xml:space="preserve">6.</w:t>
      </w:r>
      <w:r>
        <w:rPr>
          <w:rFonts w:hint="eastAsia" w:ascii="宋体" w:hAnsi="宋体" w:eastAsia="宋体" w:cs="宋体"/>
          <w:bCs/>
          <w:color w:val="auto"/>
          <w:sz w:val="21"/>
          <w:szCs w:val="21"/>
          <w:highlight w:val="none"/>
          <w:lang w:val="en-US" w:eastAsia="zh-CN"/>
        </w:rPr>
        <w:t xml:space="preserve">验收标准：依据本文件技术要求逐项测试，测试方案需经采购人确认，测试结果作为验收依据。如存在虚假应标，采购人有权解除合同并追究责任。</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7.供应商承诺提供不少于3年的原厂质保服务、</w:t>
      </w:r>
      <w:r/>
    </w:p>
    <w:p>
      <w:pPr>
        <w:ind w:firstLine="480"/>
        <w:spacing w:line="360" w:lineRule="exact"/>
        <w:rPr>
          <w:rFonts w:ascii="黑体" w:hAnsi="黑体" w:eastAsia="黑体" w:cs="黑体"/>
          <w:color w:val="000000"/>
          <w:sz w:val="24"/>
          <w:szCs w:val="24"/>
        </w:rPr>
      </w:pPr>
      <w:r>
        <w:rPr>
          <w:rFonts w:hint="eastAsia" w:ascii="黑体" w:hAnsi="黑体" w:eastAsia="黑体" w:cs="黑体"/>
          <w:color w:val="000000"/>
          <w:sz w:val="24"/>
          <w:szCs w:val="24"/>
        </w:rPr>
        <w:br w:type="page" w:clear="all"/>
      </w:r>
      <w:r/>
    </w:p>
    <w:p>
      <w:pPr>
        <w:pStyle w:val="926"/>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0" w:name="_Toc26554093"/>
      <w:r/>
      <w:bookmarkStart w:id="51" w:name="_Toc120614281"/>
      <w:r/>
      <w:bookmarkStart w:id="52" w:name="_Toc49090575"/>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9"/>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0"/>
      <w:r/>
      <w:bookmarkEnd w:id="51"/>
      <w:r/>
      <w:bookmarkEnd w:id="52"/>
      <w:r/>
      <w:r/>
    </w:p>
    <w:tbl>
      <w:tblPr>
        <w:tblStyle w:val="906"/>
        <w:tblW w:w="502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71"/>
        <w:gridCol w:w="1079"/>
        <w:gridCol w:w="5832"/>
        <w:gridCol w:w="590"/>
        <w:gridCol w:w="841"/>
      </w:tblGrid>
      <w:tr>
        <w:trPr>
          <w:jc w:val="center"/>
          <w:trHeight w:val="501"/>
          <w:tblHeader/>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序号</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评审因素</w:t>
            </w:r>
            <w:r/>
          </w:p>
        </w:tc>
        <w:tc>
          <w:tcPr>
            <w:tcBorders>
              <w:top w:val="single" w:color="000000" w:sz="2" w:space="0"/>
              <w:bottom w:val="single" w:color="000000" w:sz="2" w:space="0"/>
            </w:tcBorders>
            <w:tcW w:w="3307" w:type="pct"/>
            <w:vAlign w:val="center"/>
            <w:textDirection w:val="lrTb"/>
            <w:noWrap w:val="false"/>
          </w:tcPr>
          <w:p>
            <w:pPr>
              <w:jc w:val="center"/>
              <w:spacing w:line="360" w:lineRule="exact"/>
              <w:rPr>
                <w:rFonts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评审细则</w:t>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分值</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类型</w:t>
            </w:r>
            <w:r/>
          </w:p>
        </w:tc>
      </w:tr>
      <w:tr>
        <w:trPr>
          <w:jc w:val="center"/>
          <w:trHeight w:val="460"/>
        </w:trPr>
        <w:tc>
          <w:tcPr>
            <w:gridSpan w:val="5"/>
            <w:tcBorders>
              <w:top w:val="single" w:color="000000" w:sz="2" w:space="0"/>
              <w:bottom w:val="single" w:color="000000" w:sz="2" w:space="0"/>
            </w:tcBorders>
            <w:tcW w:w="5000" w:type="pct"/>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b/>
                <w:bCs/>
                <w:spacing w:val="-3"/>
                <w:szCs w:val="21"/>
              </w:rPr>
              <w:t xml:space="preserve">1.价</w:t>
            </w:r>
            <w:r>
              <w:rPr>
                <w:rFonts w:hint="eastAsia" w:asciiTheme="minorEastAsia" w:hAnsiTheme="minorEastAsia" w:cstheme="minorEastAsia"/>
                <w:b/>
                <w:bCs/>
                <w:spacing w:val="-2"/>
                <w:szCs w:val="21"/>
              </w:rPr>
              <w:t xml:space="preserve">格（</w:t>
            </w:r>
            <w:r>
              <w:rPr>
                <w:rFonts w:hint="eastAsia" w:asciiTheme="minorEastAsia" w:hAnsiTheme="minorEastAsia" w:cstheme="minorEastAsia"/>
                <w:b/>
                <w:bCs/>
                <w:spacing w:val="-2"/>
                <w:szCs w:val="21"/>
                <w:lang w:val="en-US" w:eastAsia="zh-CN"/>
              </w:rPr>
              <w:t xml:space="preserve">40</w:t>
            </w:r>
            <w:r>
              <w:rPr>
                <w:rFonts w:hint="eastAsia" w:asciiTheme="minorEastAsia" w:hAnsiTheme="minorEastAsia" w:cstheme="minorEastAsia"/>
                <w:b/>
                <w:bCs/>
                <w:spacing w:val="-2"/>
                <w:szCs w:val="21"/>
              </w:rPr>
              <w:t xml:space="preserve">分）</w:t>
            </w:r>
            <w:r/>
          </w:p>
        </w:tc>
      </w:tr>
      <w:tr>
        <w:trPr>
          <w:jc w:val="center"/>
          <w:trHeight w:val="1030"/>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pacing w:val="-6"/>
                <w:szCs w:val="21"/>
              </w:rPr>
              <w:t xml:space="preserve">1</w:t>
            </w:r>
            <w:r>
              <w:rPr>
                <w:rFonts w:hint="eastAsia" w:asciiTheme="minorEastAsia" w:hAnsiTheme="minorEastAsia" w:cstheme="minorEastAsia"/>
                <w:spacing w:val="-5"/>
                <w:szCs w:val="21"/>
              </w:rPr>
              <w:t xml:space="preserve">.1</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pacing w:val="-2"/>
                <w:szCs w:val="21"/>
              </w:rPr>
              <w:t xml:space="preserve">价格分</w:t>
            </w:r>
            <w:r/>
          </w:p>
        </w:tc>
        <w:tc>
          <w:tcPr>
            <w:tcBorders>
              <w:top w:val="single" w:color="000000" w:sz="2" w:space="0"/>
              <w:bottom w:val="single" w:color="000000" w:sz="2" w:space="0"/>
            </w:tcBorders>
            <w:tcW w:w="3307" w:type="pct"/>
            <w:vAlign w:val="center"/>
            <w:textDirection w:val="lrTb"/>
            <w:noWrap w:val="false"/>
          </w:tcPr>
          <w:p>
            <w:pPr>
              <w:jc w:val="both"/>
              <w:spacing w:line="360" w:lineRule="exact"/>
              <w:rPr>
                <w:rFonts w:asciiTheme="minorEastAsia" w:hAnsiTheme="minorEastAsia" w:cstheme="minorEastAsia"/>
                <w:szCs w:val="21"/>
              </w:rPr>
            </w:pPr>
            <w:r>
              <w:rPr>
                <w:rFonts w:hint="eastAsia" w:asciiTheme="minorEastAsia" w:hAnsiTheme="minorEastAsia" w:cstheme="minorEastAsia"/>
                <w:spacing w:val="1"/>
                <w:szCs w:val="21"/>
              </w:rPr>
              <w:t xml:space="preserve">采用低价优先</w:t>
            </w:r>
            <w:r>
              <w:rPr>
                <w:rFonts w:hint="eastAsia" w:asciiTheme="minorEastAsia" w:hAnsiTheme="minorEastAsia" w:cstheme="minorEastAsia"/>
                <w:szCs w:val="21"/>
              </w:rPr>
              <w:t xml:space="preserve">法计算，即满足招标文件要求且投标价格最低的投标</w:t>
            </w:r>
            <w:r>
              <w:rPr>
                <w:rFonts w:hint="eastAsia" w:asciiTheme="minorEastAsia" w:hAnsiTheme="minorEastAsia" w:cstheme="minorEastAsia"/>
                <w:spacing w:val="1"/>
                <w:szCs w:val="21"/>
              </w:rPr>
              <w:t xml:space="preserve">报价为评标基准</w:t>
            </w:r>
            <w:r>
              <w:rPr>
                <w:rFonts w:hint="eastAsia" w:asciiTheme="minorEastAsia" w:hAnsiTheme="minorEastAsia" w:cstheme="minorEastAsia"/>
                <w:szCs w:val="21"/>
              </w:rPr>
              <w:t xml:space="preserve">价，其价格分为满分。其他投标人的价格分统一按</w:t>
            </w:r>
            <w:r>
              <w:rPr>
                <w:rFonts w:hint="eastAsia" w:asciiTheme="minorEastAsia" w:hAnsiTheme="minorEastAsia" w:cstheme="minorEastAsia"/>
                <w:spacing w:val="-1"/>
                <w:szCs w:val="21"/>
              </w:rPr>
              <w:t xml:space="preserve">照下列公</w:t>
            </w:r>
            <w:r>
              <w:rPr>
                <w:rFonts w:hint="eastAsia" w:asciiTheme="minorEastAsia" w:hAnsiTheme="minorEastAsia" w:cstheme="minorEastAsia"/>
                <w:szCs w:val="21"/>
              </w:rPr>
              <w:t xml:space="preserve">式计算：投标报价得分=(评标基准价/投标报价)×价格分值（小数点保留两位）</w:t>
            </w:r>
            <w:r/>
          </w:p>
          <w:p>
            <w:p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响应报价低于全部通过符合性审查供应商响应报价平均值50%的，即响应报价&lt;全部通过符合性审查供应商响应报价平均值×50%； </w:t>
            </w:r>
            <w:r/>
          </w:p>
          <w:p>
            <w:pPr>
              <w:numPr>
                <w:ilvl w:val="255"/>
                <w:numId w:val="0"/>
              </w:num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响应报价低于通过符合性审查的次低报价供应商响应报价50%的，即响应报价&lt;通过符合性审查的次低报价供应商响应报价×50%； </w:t>
            </w:r>
            <w:r/>
          </w:p>
          <w:p>
            <w:pPr>
              <w:numPr>
                <w:ilvl w:val="255"/>
                <w:numId w:val="0"/>
              </w:num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响应报价低于采购项目最高限价45%的，即响应报价&lt;采购项目最高限价×45%；</w:t>
            </w:r>
            <w:r/>
          </w:p>
          <w:p>
            <w:pPr>
              <w:jc w:val="both"/>
              <w:spacing w:line="360" w:lineRule="exact"/>
              <w:rPr>
                <w:rFonts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40</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价格分</w:t>
            </w:r>
            <w:r/>
          </w:p>
        </w:tc>
      </w:tr>
      <w:tr>
        <w:trPr>
          <w:jc w:val="center"/>
          <w:trHeight w:val="460"/>
        </w:trPr>
        <w:tc>
          <w:tcPr>
            <w:gridSpan w:val="5"/>
            <w:tcBorders>
              <w:top w:val="single" w:color="000000" w:sz="2" w:space="0"/>
              <w:bottom w:val="single" w:color="000000" w:sz="2" w:space="0"/>
            </w:tcBorders>
            <w:tcW w:w="5000" w:type="pct"/>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b/>
                <w:bCs/>
                <w:spacing w:val="-3"/>
                <w:szCs w:val="21"/>
              </w:rPr>
              <w:t xml:space="preserve">2.技术（</w:t>
            </w:r>
            <w:r>
              <w:rPr>
                <w:rFonts w:hint="eastAsia" w:asciiTheme="minorEastAsia" w:hAnsiTheme="minorEastAsia" w:cstheme="minorEastAsia"/>
                <w:b/>
                <w:bCs/>
                <w:spacing w:val="-3"/>
                <w:szCs w:val="21"/>
                <w:lang w:val="en-US" w:eastAsia="zh-CN"/>
              </w:rPr>
              <w:t xml:space="preserve">42</w:t>
            </w:r>
            <w:r>
              <w:rPr>
                <w:rFonts w:hint="eastAsia" w:asciiTheme="minorEastAsia" w:hAnsiTheme="minorEastAsia" w:cstheme="minorEastAsia"/>
                <w:b/>
                <w:bCs/>
                <w:spacing w:val="-3"/>
                <w:szCs w:val="21"/>
              </w:rPr>
              <w:t xml:space="preserve">分）</w:t>
            </w:r>
            <w:r/>
          </w:p>
        </w:tc>
      </w:tr>
      <w:tr>
        <w:trPr>
          <w:jc w:val="center"/>
          <w:trHeight w:val="90"/>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asciiTheme="minorEastAsia" w:hAnsiTheme="minorEastAsia" w:cstheme="minorEastAsia"/>
                <w:spacing w:val="-2"/>
                <w:szCs w:val="21"/>
              </w:rPr>
            </w:pPr>
            <w:r>
              <w:rPr>
                <w:rFonts w:hint="eastAsia" w:asciiTheme="minorEastAsia" w:hAnsiTheme="minorEastAsia" w:cstheme="minorEastAsia"/>
                <w:spacing w:val="-2"/>
                <w:szCs w:val="21"/>
              </w:rPr>
              <w:t xml:space="preserve">2.1</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asciiTheme="minorEastAsia" w:hAnsiTheme="minorEastAsia" w:cstheme="minorEastAsia"/>
                <w:spacing w:val="-2"/>
                <w:szCs w:val="21"/>
              </w:rPr>
            </w:pPr>
            <w:r>
              <w:rPr>
                <w:rFonts w:hint="eastAsia" w:asciiTheme="minorEastAsia" w:hAnsiTheme="minorEastAsia" w:cstheme="minorEastAsia"/>
                <w:spacing w:val="-2"/>
                <w:szCs w:val="21"/>
              </w:rPr>
              <w:t xml:space="preserve">产品技术参数</w:t>
            </w:r>
            <w:r/>
          </w:p>
        </w:tc>
        <w:tc>
          <w:tcPr>
            <w:tcBorders>
              <w:top w:val="single" w:color="000000" w:sz="2" w:space="0"/>
              <w:bottom w:val="single" w:color="000000" w:sz="2" w:space="0"/>
            </w:tcBorders>
            <w:tcW w:w="3307"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根据供应商所提供的货物对采购文件“第四章 二、技术要求”中具体指标要求的响应程度：供应商完全响应采购文件技术要求，或优于采购文件要求的得</w:t>
            </w:r>
            <w:r>
              <w:rPr>
                <w:rFonts w:hint="eastAsia" w:asciiTheme="minorEastAsia" w:hAnsiTheme="minorEastAsia" w:cstheme="minorEastAsia"/>
                <w:szCs w:val="21"/>
                <w:lang w:val="en-US" w:eastAsia="zh-CN"/>
              </w:rPr>
              <w:t xml:space="preserve">42</w:t>
            </w:r>
            <w:r>
              <w:rPr>
                <w:rFonts w:hint="eastAsia" w:asciiTheme="minorEastAsia" w:hAnsiTheme="minorEastAsia" w:cstheme="minorEastAsia"/>
                <w:szCs w:val="21"/>
              </w:rPr>
              <w:t xml:space="preserve">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技术参数中打★指标为必须满足项，如有负偏离将作为无效投标；</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打▲指标</w:t>
            </w:r>
            <w:r>
              <w:rPr>
                <w:rFonts w:hint="eastAsia" w:asciiTheme="minorEastAsia" w:hAnsiTheme="minorEastAsia" w:cstheme="minorEastAsia"/>
                <w:szCs w:val="21"/>
                <w:lang w:eastAsia="zh-CN"/>
              </w:rPr>
              <w:t xml:space="preserve">（</w:t>
            </w:r>
            <w:r>
              <w:rPr>
                <w:rFonts w:hint="eastAsia" w:asciiTheme="minorEastAsia" w:hAnsiTheme="minorEastAsia" w:cstheme="minorEastAsia"/>
                <w:szCs w:val="21"/>
                <w:lang w:val="en-US" w:eastAsia="zh-CN"/>
              </w:rPr>
              <w:t xml:space="preserve">14项</w:t>
            </w:r>
            <w:r>
              <w:rPr>
                <w:rFonts w:hint="eastAsia" w:asciiTheme="minorEastAsia" w:hAnsiTheme="minorEastAsia" w:cstheme="minorEastAsia"/>
                <w:szCs w:val="21"/>
                <w:lang w:eastAsia="zh-CN"/>
              </w:rPr>
              <w:t xml:space="preserve">）</w:t>
            </w:r>
            <w:r>
              <w:rPr>
                <w:rFonts w:hint="eastAsia" w:asciiTheme="minorEastAsia" w:hAnsiTheme="minorEastAsia" w:cstheme="minorEastAsia"/>
                <w:szCs w:val="21"/>
              </w:rPr>
              <w:t xml:space="preserve">为重要指标，有1项负偏离扣</w:t>
            </w:r>
            <w:r>
              <w:rPr>
                <w:rFonts w:hint="eastAsia" w:asciiTheme="minorEastAsia" w:hAnsiTheme="minorEastAsia" w:cstheme="minorEastAsia"/>
                <w:szCs w:val="21"/>
                <w:lang w:val="en-US" w:eastAsia="zh-CN"/>
              </w:rPr>
              <w:t xml:space="preserve">1.5</w:t>
            </w:r>
            <w:r>
              <w:rPr>
                <w:rFonts w:hint="eastAsia" w:asciiTheme="minorEastAsia" w:hAnsiTheme="minorEastAsia" w:cstheme="minorEastAsia"/>
                <w:szCs w:val="21"/>
              </w:rPr>
              <w:t xml:space="preserve">分；</w:t>
            </w:r>
            <w:r/>
          </w:p>
          <w:p>
            <w:pPr>
              <w:spacing w:line="360" w:lineRule="exact"/>
              <w:rPr>
                <w:rFonts w:asciiTheme="minorEastAsia" w:hAnsiTheme="minorEastAsia" w:cstheme="minorEastAsia"/>
                <w:spacing w:val="1"/>
                <w:szCs w:val="21"/>
              </w:rPr>
            </w:pPr>
            <w:r>
              <w:rPr>
                <w:rFonts w:hint="eastAsia" w:asciiTheme="minorEastAsia" w:hAnsiTheme="minorEastAsia" w:cstheme="minorEastAsia"/>
                <w:szCs w:val="21"/>
              </w:rPr>
              <w:t xml:space="preserve">其他未做标记项为一般指标项</w:t>
            </w:r>
            <w:r>
              <w:rPr>
                <w:rFonts w:hint="eastAsia" w:asciiTheme="minorEastAsia" w:hAnsiTheme="minorEastAsia" w:cstheme="minorEastAsia"/>
                <w:szCs w:val="21"/>
                <w:lang w:eastAsia="zh-CN"/>
              </w:rPr>
              <w:t xml:space="preserve">（</w:t>
            </w:r>
            <w:r>
              <w:rPr>
                <w:rFonts w:hint="eastAsia" w:asciiTheme="minorEastAsia" w:hAnsiTheme="minorEastAsia" w:cstheme="minorEastAsia"/>
                <w:szCs w:val="21"/>
                <w:lang w:val="en-US" w:eastAsia="zh-CN"/>
              </w:rPr>
              <w:t xml:space="preserve">57项</w:t>
            </w:r>
            <w:r>
              <w:rPr>
                <w:rFonts w:hint="eastAsia" w:asciiTheme="minorEastAsia" w:hAnsiTheme="minorEastAsia" w:cstheme="minorEastAsia"/>
                <w:szCs w:val="21"/>
                <w:lang w:eastAsia="zh-CN"/>
              </w:rPr>
              <w:t xml:space="preserve">）</w:t>
            </w:r>
            <w:r>
              <w:rPr>
                <w:rFonts w:hint="eastAsia" w:asciiTheme="minorEastAsia" w:hAnsiTheme="minorEastAsia" w:cstheme="minorEastAsia"/>
                <w:szCs w:val="21"/>
              </w:rPr>
              <w:t xml:space="preserve">，每一项负偏离扣</w:t>
            </w:r>
            <w:r>
              <w:rPr>
                <w:rFonts w:hint="eastAsia" w:asciiTheme="minorEastAsia" w:hAnsiTheme="minorEastAsia" w:cstheme="minorEastAsia"/>
                <w:szCs w:val="21"/>
                <w:lang w:val="en-US" w:eastAsia="zh-CN"/>
              </w:rPr>
              <w:t xml:space="preserve">0.5</w:t>
            </w:r>
            <w:r>
              <w:rPr>
                <w:rFonts w:hint="eastAsia" w:asciiTheme="minorEastAsia" w:hAnsiTheme="minorEastAsia" w:cstheme="minorEastAsia"/>
                <w:szCs w:val="21"/>
              </w:rPr>
              <w:t xml:space="preserve">分；本评分项总分扣完为止。</w:t>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42</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pacing w:val="-6"/>
                <w:szCs w:val="21"/>
              </w:rPr>
              <w:t xml:space="preserve">客</w:t>
            </w:r>
            <w:r>
              <w:rPr>
                <w:rFonts w:hint="eastAsia" w:asciiTheme="minorEastAsia" w:hAnsiTheme="minorEastAsia" w:cstheme="minorEastAsia"/>
                <w:spacing w:val="-4"/>
                <w:szCs w:val="21"/>
              </w:rPr>
              <w:t xml:space="preserve">观分</w:t>
            </w:r>
            <w:r/>
          </w:p>
        </w:tc>
      </w:tr>
      <w:tr>
        <w:trPr>
          <w:jc w:val="center"/>
          <w:trHeight w:val="472"/>
        </w:trPr>
        <w:tc>
          <w:tcPr>
            <w:gridSpan w:val="5"/>
            <w:tcBorders>
              <w:top w:val="single" w:color="000000" w:sz="2" w:space="0"/>
              <w:bottom w:val="single" w:color="000000" w:sz="2" w:space="0"/>
            </w:tcBorders>
            <w:tcW w:w="5000"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b/>
                <w:bCs/>
                <w:spacing w:val="-3"/>
                <w:szCs w:val="21"/>
              </w:rPr>
              <w:t xml:space="preserve">3.服务（</w:t>
            </w:r>
            <w:r>
              <w:rPr>
                <w:rFonts w:hint="eastAsia" w:asciiTheme="minorEastAsia" w:hAnsiTheme="minorEastAsia" w:cstheme="minorEastAsia"/>
                <w:b/>
                <w:bCs/>
                <w:spacing w:val="-3"/>
                <w:szCs w:val="21"/>
                <w:lang w:val="en-US" w:eastAsia="zh-CN"/>
              </w:rPr>
              <w:t xml:space="preserve">8</w:t>
            </w:r>
            <w:r>
              <w:rPr>
                <w:rFonts w:hint="eastAsia" w:asciiTheme="minorEastAsia" w:hAnsiTheme="minorEastAsia" w:cstheme="minorEastAsia"/>
                <w:b/>
                <w:bCs/>
                <w:spacing w:val="-3"/>
                <w:szCs w:val="21"/>
              </w:rPr>
              <w:t xml:space="preserve">分）</w:t>
            </w:r>
            <w:r/>
          </w:p>
        </w:tc>
      </w:tr>
      <w:tr>
        <w:trPr>
          <w:jc w:val="center"/>
          <w:trHeight w:val="1083"/>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asciiTheme="minorEastAsia" w:hAnsiTheme="minorEastAsia" w:cstheme="minorEastAsia"/>
                <w:spacing w:val="-2"/>
                <w:szCs w:val="21"/>
              </w:rPr>
            </w:pPr>
            <w:r>
              <w:rPr>
                <w:rFonts w:hint="eastAsia" w:asciiTheme="minorEastAsia" w:hAnsiTheme="minorEastAsia" w:cstheme="minorEastAsia"/>
                <w:spacing w:val="-2"/>
                <w:szCs w:val="21"/>
              </w:rPr>
              <w:t xml:space="preserve">3.1</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asciiTheme="minorEastAsia" w:hAnsiTheme="minorEastAsia" w:cstheme="minorEastAsia"/>
                <w:szCs w:val="21"/>
              </w:rPr>
            </w:pPr>
            <w:r>
              <w:rPr>
                <w:rFonts w:hint="eastAsia" w:ascii="宋体" w:hAnsi="宋体" w:eastAsia="宋体" w:cs="宋体"/>
                <w:spacing w:val="-2"/>
                <w:sz w:val="21"/>
              </w:rPr>
              <w:t xml:space="preserve">实施方案</w:t>
            </w:r>
            <w:r/>
          </w:p>
        </w:tc>
        <w:tc>
          <w:tcPr>
            <w:tcBorders>
              <w:top w:val="single" w:color="000000" w:sz="2" w:space="0"/>
              <w:bottom w:val="single" w:color="000000" w:sz="2" w:space="0"/>
            </w:tcBorders>
            <w:tcW w:w="3307" w:type="pct"/>
            <w:vAlign w:val="center"/>
            <w:textDirection w:val="lrTb"/>
            <w:noWrap w:val="false"/>
          </w:tcPr>
          <w:p>
            <w:pPr>
              <w:spacing w:after="0" w:line="360" w:lineRule="exact"/>
              <w:widowControl w:val="off"/>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评委根据投标人提供的项目实施方案进行综合评审：</w:t>
            </w:r>
            <w:r/>
          </w:p>
          <w:p>
            <w:pPr>
              <w:spacing w:after="0" w:line="360" w:lineRule="exact"/>
              <w:widowControl w:val="off"/>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 供货进度保证措施（</w:t>
            </w:r>
            <w:r>
              <w:rPr>
                <w:rFonts w:hint="eastAsia" w:asciiTheme="minorEastAsia" w:hAnsiTheme="minorEastAsia" w:cstheme="minorEastAsia"/>
                <w:szCs w:val="21"/>
                <w:lang w:val="en-US" w:eastAsia="zh-CN"/>
              </w:rPr>
              <w:t xml:space="preserve">1</w:t>
            </w:r>
            <w:r>
              <w:rPr>
                <w:rFonts w:hint="eastAsia" w:asciiTheme="minorEastAsia" w:hAnsiTheme="minorEastAsia" w:eastAsiaTheme="minorEastAsia" w:cstheme="minorEastAsia"/>
                <w:szCs w:val="21"/>
                <w:lang w:val="zh-CN"/>
              </w:rPr>
              <w:t xml:space="preserve">分）：提供了详细的供货进度计划（如甘特图），明确了关键节点（如发货、到货、安装、调试）的时间安排，且措施合理可行，得</w:t>
            </w:r>
            <w:r>
              <w:rPr>
                <w:rFonts w:hint="eastAsia" w:asciiTheme="minorEastAsia" w:hAnsiTheme="minorEastAsia" w:cstheme="minorEastAsia"/>
                <w:szCs w:val="21"/>
                <w:lang w:val="en-US" w:eastAsia="zh-CN"/>
              </w:rPr>
              <w:t xml:space="preserve">1</w:t>
            </w:r>
            <w:r>
              <w:rPr>
                <w:rFonts w:hint="eastAsia" w:asciiTheme="minorEastAsia" w:hAnsiTheme="minorEastAsia" w:eastAsiaTheme="minorEastAsia" w:cstheme="minorEastAsia"/>
                <w:szCs w:val="21"/>
                <w:lang w:val="zh-CN"/>
              </w:rPr>
              <w:t xml:space="preserve">分；有欠缺得</w:t>
            </w:r>
            <w:r>
              <w:rPr>
                <w:rFonts w:hint="eastAsia" w:asciiTheme="minorEastAsia" w:hAnsiTheme="minorEastAsia" w:cstheme="minorEastAsia"/>
                <w:szCs w:val="21"/>
                <w:lang w:val="en-US" w:eastAsia="zh-CN"/>
              </w:rPr>
              <w:t xml:space="preserve">0.5</w:t>
            </w:r>
            <w:r>
              <w:rPr>
                <w:rFonts w:hint="eastAsia" w:asciiTheme="minorEastAsia" w:hAnsiTheme="minorEastAsia" w:eastAsiaTheme="minorEastAsia" w:cstheme="minorEastAsia"/>
                <w:szCs w:val="21"/>
                <w:lang w:val="zh-CN"/>
              </w:rPr>
              <w:t xml:space="preserve">分；未提供不得分。</w:t>
            </w:r>
            <w:r/>
          </w:p>
          <w:p>
            <w:pPr>
              <w:spacing w:after="0" w:line="360" w:lineRule="exact"/>
              <w:widowControl w:val="off"/>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 质量保证措施（</w:t>
            </w:r>
            <w:r>
              <w:rPr>
                <w:rFonts w:hint="eastAsia" w:asciiTheme="minorEastAsia" w:hAnsiTheme="minorEastAsia" w:cstheme="minorEastAsia"/>
                <w:szCs w:val="21"/>
                <w:lang w:val="en-US" w:eastAsia="zh-CN"/>
              </w:rPr>
              <w:t xml:space="preserve">1</w:t>
            </w:r>
            <w:r>
              <w:rPr>
                <w:rFonts w:hint="eastAsia" w:asciiTheme="minorEastAsia" w:hAnsiTheme="minorEastAsia" w:eastAsiaTheme="minorEastAsia" w:cstheme="minorEastAsia"/>
                <w:szCs w:val="21"/>
                <w:lang w:val="zh-CN"/>
              </w:rPr>
              <w:t xml:space="preserve">分）：提供了针对本项目的、可操作的质量控制方案，包括到货检验、安装调试过程中的质量检查点等，得</w:t>
            </w:r>
            <w:r>
              <w:rPr>
                <w:rFonts w:hint="eastAsia" w:asciiTheme="minorEastAsia" w:hAnsiTheme="minorEastAsia" w:cstheme="minorEastAsia"/>
                <w:szCs w:val="21"/>
                <w:lang w:val="en-US" w:eastAsia="zh-CN"/>
              </w:rPr>
              <w:t xml:space="preserve">1</w:t>
            </w:r>
            <w:r>
              <w:rPr>
                <w:rFonts w:hint="eastAsia" w:asciiTheme="minorEastAsia" w:hAnsiTheme="minorEastAsia" w:eastAsiaTheme="minorEastAsia" w:cstheme="minorEastAsia"/>
                <w:szCs w:val="21"/>
                <w:lang w:val="zh-CN"/>
              </w:rPr>
              <w:t xml:space="preserve">分；方案笼统或无针对性得0.5分；未提供不得分。</w:t>
            </w:r>
            <w:r/>
          </w:p>
          <w:p>
            <w:pPr>
              <w:pStyle w:val="953"/>
              <w:jc w:val="both"/>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3. 可编程协调配合措施（</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val="zh-CN"/>
              </w:rPr>
              <w:t xml:space="preserve">分）：提供设备可编程平台开发指导手册及相关API文档，以及相关平台环境安装搭建指导并针对可能出现的问题、故障等情况明确诊断手段，得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val="zh-CN"/>
              </w:rPr>
              <w:t xml:space="preserve">分；方案不完整得0.5分；未提供不得分。</w:t>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lang w:val="en-US" w:eastAsia="zh-CN"/>
              </w:rPr>
              <w:t xml:space="preserve">4</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asciiTheme="minorEastAsia" w:hAnsiTheme="minorEastAsia" w:cstheme="minorEastAsia"/>
                <w:spacing w:val="-2"/>
                <w:szCs w:val="21"/>
              </w:rPr>
            </w:pPr>
            <w:r>
              <w:rPr>
                <w:rFonts w:hint="eastAsia" w:asciiTheme="minorEastAsia" w:hAnsiTheme="minorEastAsia" w:cstheme="minorEastAsia"/>
                <w:spacing w:val="-2"/>
                <w:szCs w:val="21"/>
              </w:rPr>
              <w:t xml:space="preserve">3.2</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售后服务方案</w:t>
            </w:r>
            <w:r/>
          </w:p>
        </w:tc>
        <w:tc>
          <w:tcPr>
            <w:tcBorders>
              <w:top w:val="single" w:color="000000" w:sz="2" w:space="0"/>
              <w:bottom w:val="single" w:color="000000" w:sz="2" w:space="0"/>
            </w:tcBorders>
            <w:tcW w:w="3307" w:type="pct"/>
            <w:vAlign w:val="center"/>
            <w:textDirection w:val="lrTb"/>
            <w:noWrap w:val="false"/>
          </w:tcPr>
          <w:p>
            <w:pPr>
              <w:spacing w:after="0" w:line="360" w:lineRule="exact"/>
              <w:widowControl w:val="off"/>
              <w:rPr>
                <w:rFonts w:hint="eastAsia" w:asciiTheme="minorEastAsia" w:hAnsiTheme="minorEastAsia" w:eastAsiaTheme="minorEastAsia" w:cstheme="minorEastAsia"/>
                <w:szCs w:val="21"/>
              </w:rPr>
            </w:pPr>
            <w:r/>
            <w:bookmarkStart w:id="78" w:name="_GoBack"/>
            <w:r>
              <w:rPr>
                <w:rFonts w:hint="eastAsia" w:asciiTheme="minorEastAsia" w:hAnsiTheme="minorEastAsia" w:eastAsiaTheme="minorEastAsia" w:cstheme="minorEastAsia"/>
                <w:szCs w:val="21"/>
              </w:rPr>
              <w:t xml:space="preserve">评委根据投标人提供的项目售后服务方案进行综合评审：</w:t>
            </w:r>
            <w:r/>
          </w:p>
          <w:p>
            <w:pPr>
              <w:spacing w:after="0" w:line="36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服务内容与响应机制（</w:t>
            </w:r>
            <w:r>
              <w:rPr>
                <w:rFonts w:hint="eastAsia" w:asciiTheme="minorEastAsia" w:hAnsiTheme="minorEastAsia" w:cstheme="minorEastAsia"/>
                <w:szCs w:val="21"/>
                <w:lang w:val="en-US" w:eastAsia="zh-CN"/>
              </w:rPr>
              <w:t xml:space="preserve">1</w:t>
            </w:r>
            <w:r>
              <w:rPr>
                <w:rFonts w:hint="eastAsia" w:asciiTheme="minorEastAsia" w:hAnsiTheme="minorEastAsia" w:eastAsiaTheme="minorEastAsia" w:cstheme="minorEastAsia"/>
                <w:szCs w:val="21"/>
              </w:rPr>
              <w:t xml:space="preserve">分）：详细列明服务范围（如硬件保修、软件升级、技术支持），并承诺7×24小时电话响应，且故障响应时间≤30分钟，得</w:t>
            </w:r>
            <w:r>
              <w:rPr>
                <w:rFonts w:hint="eastAsia" w:asciiTheme="minorEastAsia" w:hAnsiTheme="minorEastAsia" w:cstheme="minorEastAsia"/>
                <w:szCs w:val="21"/>
                <w:lang w:val="en-US" w:eastAsia="zh-CN"/>
              </w:rPr>
              <w:t xml:space="preserve">1</w:t>
            </w:r>
            <w:r>
              <w:rPr>
                <w:rFonts w:hint="eastAsia" w:asciiTheme="minorEastAsia" w:hAnsiTheme="minorEastAsia" w:eastAsiaTheme="minorEastAsia" w:cstheme="minorEastAsia"/>
                <w:szCs w:val="21"/>
              </w:rPr>
              <w:t xml:space="preserve">分；承诺5×8小时响应，得</w:t>
            </w:r>
            <w:r>
              <w:rPr>
                <w:rFonts w:hint="eastAsia" w:asciiTheme="minorEastAsia" w:hAnsiTheme="minorEastAsia" w:cstheme="minorEastAsia"/>
                <w:szCs w:val="21"/>
                <w:lang w:val="en-US" w:eastAsia="zh-CN"/>
              </w:rPr>
              <w:t xml:space="preserve">0.5</w:t>
            </w:r>
            <w:r>
              <w:rPr>
                <w:rFonts w:hint="eastAsia" w:asciiTheme="minorEastAsia" w:hAnsiTheme="minorEastAsia" w:eastAsiaTheme="minorEastAsia" w:cstheme="minorEastAsia"/>
                <w:szCs w:val="21"/>
              </w:rPr>
              <w:t xml:space="preserve">分；未明确不得分。</w:t>
            </w:r>
            <w:r/>
          </w:p>
          <w:p>
            <w:pPr>
              <w:spacing w:after="0" w:line="36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故障解决方案与时效（2分）：针对不同级别的故障（如一般问题、严重影响使用的故障）制定了具体的解决流程和时限承诺（如：严重故障4小时内到达现场，24小时内解决问题），提供承诺书，得2分；方案笼统或时限承诺过长得1分；未提供不得分。</w:t>
            </w:r>
            <w:r/>
          </w:p>
          <w:p>
            <w:pPr>
              <w:pStyle w:val="953"/>
              <w:jc w:val="both"/>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 技术人员保障（1分）：明确指派至少1名具备同类设备技术支持经验的工程师作为本项目售后接口人，并提供其简历及资质证明，得1分；仅承诺有技术人员但未提供证明，得0.5分；未提供不得分。</w:t>
            </w:r>
            <w:bookmarkEnd w:id="78"/>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lang w:val="en-US" w:eastAsia="zh-CN"/>
              </w:rPr>
              <w:t xml:space="preserve">4</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gridSpan w:val="5"/>
            <w:tcBorders>
              <w:top w:val="single" w:color="000000" w:sz="2" w:space="0"/>
              <w:bottom w:val="single" w:color="000000" w:sz="2" w:space="0"/>
            </w:tcBorders>
            <w:tcW w:w="5000" w:type="pct"/>
            <w:vAlign w:val="center"/>
            <w:textDirection w:val="lrTb"/>
            <w:noWrap w:val="false"/>
          </w:tcPr>
          <w:p>
            <w:pPr>
              <w:jc w:val="left"/>
              <w:spacing w:line="360" w:lineRule="exact"/>
              <w:rPr>
                <w:rFonts w:hint="default" w:asciiTheme="minorEastAsia" w:hAnsiTheme="minorEastAsia" w:cstheme="minorEastAsia"/>
                <w:spacing w:val="-6"/>
                <w:szCs w:val="21"/>
                <w:lang w:val="en-US"/>
              </w:rPr>
            </w:pPr>
            <w:r>
              <w:rPr>
                <w:rFonts w:hint="eastAsia" w:asciiTheme="minorEastAsia" w:hAnsiTheme="minorEastAsia" w:cstheme="minorEastAsia"/>
                <w:b/>
                <w:bCs/>
                <w:spacing w:val="-3"/>
                <w:szCs w:val="21"/>
                <w:lang w:val="en-US" w:eastAsia="zh-CN"/>
              </w:rPr>
              <w:t xml:space="preserve">4.业绩（6分）</w:t>
            </w:r>
            <w:r/>
          </w:p>
        </w:tc>
      </w:tr>
      <w:tr>
        <w:trPr>
          <w:jc w:val="center"/>
          <w:trHeight w:val="133"/>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hint="default" w:asciiTheme="minorEastAsia" w:hAnsiTheme="minorEastAsia" w:eastAsia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4.1</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lang w:val="en-US" w:eastAsia="zh-CN"/>
              </w:rPr>
              <w:t xml:space="preserve">业绩</w:t>
            </w:r>
            <w:r/>
          </w:p>
        </w:tc>
        <w:tc>
          <w:tcPr>
            <w:tcBorders>
              <w:top w:val="single" w:color="000000" w:sz="2" w:space="0"/>
              <w:bottom w:val="single" w:color="000000" w:sz="2" w:space="0"/>
            </w:tcBorders>
            <w:tcW w:w="3307" w:type="pct"/>
            <w:vAlign w:val="center"/>
            <w:textDirection w:val="lrTb"/>
            <w:noWrap w:val="false"/>
          </w:tcPr>
          <w:p>
            <w:pPr>
              <w:pStyle w:val="953"/>
              <w:jc w:val="both"/>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投标人提供2023年1月1日（含）以来类似项目业绩（至少包含交换机</w:t>
            </w:r>
            <w:r>
              <w:rPr>
                <w:rFonts w:hint="eastAsia" w:asciiTheme="minorEastAsia" w:hAnsiTheme="minorEastAsia" w:eastAsiaTheme="minorEastAsia" w:cstheme="minorEastAsia"/>
                <w:sz w:val="21"/>
                <w:szCs w:val="21"/>
              </w:rPr>
              <w:t xml:space="preserve">或</w:t>
            </w:r>
            <w:r>
              <w:rPr>
                <w:rFonts w:hint="eastAsia" w:asciiTheme="minorEastAsia" w:hAnsiTheme="minorEastAsia" w:eastAsiaTheme="minorEastAsia" w:cstheme="minorEastAsia"/>
                <w:sz w:val="21"/>
                <w:szCs w:val="21"/>
              </w:rPr>
              <w:t xml:space="preserve">路由器），每提供1个得2分，最多得6分。时间以合同签订时间为准，需提供体现合同主要内容的清晰复印件并加盖公章（至少包含首页、合同标的及金额页、双方盖章页）。</w:t>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lang w:val="en-US" w:eastAsia="zh-CN"/>
              </w:rPr>
              <w:t xml:space="preserve">6</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133"/>
        </w:trPr>
        <w:tc>
          <w:tcPr>
            <w:gridSpan w:val="5"/>
            <w:tcBorders>
              <w:top w:val="single" w:color="000000" w:sz="2" w:space="0"/>
              <w:bottom w:val="single" w:color="000000" w:sz="2" w:space="0"/>
            </w:tcBorders>
            <w:tcW w:w="5000" w:type="pct"/>
            <w:vAlign w:val="center"/>
            <w:textDirection w:val="lrTb"/>
            <w:noWrap w:val="false"/>
          </w:tcPr>
          <w:p>
            <w:pPr>
              <w:jc w:val="left"/>
              <w:spacing w:line="360" w:lineRule="exact"/>
              <w:rPr>
                <w:rFonts w:hint="default" w:asciiTheme="minorEastAsia" w:hAnsiTheme="minorEastAsia" w:eastAsiaTheme="minorEastAsia" w:cstheme="minorEastAsia"/>
                <w:spacing w:val="-6"/>
                <w:szCs w:val="21"/>
                <w:lang w:val="en-US" w:eastAsia="zh-CN"/>
              </w:rPr>
            </w:pPr>
            <w:r>
              <w:rPr>
                <w:rFonts w:hint="eastAsia" w:asciiTheme="minorEastAsia" w:hAnsiTheme="minorEastAsia" w:cstheme="minorEastAsia"/>
                <w:b/>
                <w:bCs/>
                <w:spacing w:val="-3"/>
                <w:szCs w:val="21"/>
                <w:lang w:val="en-US" w:eastAsia="zh-CN"/>
              </w:rPr>
              <w:t xml:space="preserve">5.履约能力（4分）</w:t>
            </w:r>
            <w:r/>
          </w:p>
        </w:tc>
      </w:tr>
      <w:tr>
        <w:trPr>
          <w:jc w:val="center"/>
          <w:trHeight w:val="133"/>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hint="default" w:asciiTheme="minorEastAsia" w:hAnsiTheme="minorEastAsia" w:eastAsia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5.1</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交付期</w:t>
            </w:r>
            <w:r/>
          </w:p>
        </w:tc>
        <w:tc>
          <w:tcPr>
            <w:tcBorders>
              <w:top w:val="single" w:color="000000" w:sz="2" w:space="0"/>
              <w:bottom w:val="single" w:color="000000" w:sz="2" w:space="0"/>
            </w:tcBorders>
            <w:tcW w:w="3307" w:type="pct"/>
            <w:vAlign w:val="center"/>
            <w:textDirection w:val="lrTb"/>
            <w:noWrap w:val="false"/>
          </w:tcPr>
          <w:p>
            <w:pPr>
              <w:pStyle w:val="953"/>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承诺在30天交付的基础上，每提前5天交付得1分，最多得2分，交付期以投标人提供的交付承诺书为准，未提供不得分。承诺书格式自拟并加盖公章，内容涉及“合同签订后XX天内交付并完成安装调试及验收等相关工作”即可。</w:t>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 xml:space="preserve">2</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hint="eastAsia" w:asciiTheme="minorEastAsia" w:hAnsiTheme="minorEastAsia" w:eastAsiaTheme="minorEastAsia" w:cstheme="minorEastAsia"/>
                <w:spacing w:val="-6"/>
                <w:szCs w:val="21"/>
                <w:lang w:val="en-US" w:eastAsia="zh-CN"/>
              </w:rPr>
            </w:pPr>
            <w:r>
              <w:rPr>
                <w:rFonts w:hint="eastAsia" w:asciiTheme="minorEastAsia" w:hAnsiTheme="minorEastAsia" w:cstheme="minorEastAsia"/>
                <w:spacing w:val="-6"/>
                <w:szCs w:val="21"/>
                <w:lang w:val="en-US" w:eastAsia="zh-CN"/>
              </w:rPr>
              <w:t xml:space="preserve">客观分</w:t>
            </w:r>
            <w:r/>
          </w:p>
        </w:tc>
      </w:tr>
      <w:tr>
        <w:trPr>
          <w:jc w:val="center"/>
          <w:trHeight w:val="133"/>
        </w:trPr>
        <w:tc>
          <w:tcPr>
            <w:tcBorders>
              <w:top w:val="single" w:color="000000" w:sz="2" w:space="0"/>
              <w:bottom w:val="single" w:color="000000" w:sz="2" w:space="0"/>
            </w:tcBorders>
            <w:tcW w:w="267" w:type="pct"/>
            <w:vAlign w:val="center"/>
            <w:textDirection w:val="lrTb"/>
            <w:noWrap w:val="false"/>
          </w:tcPr>
          <w:p>
            <w:pPr>
              <w:jc w:val="center"/>
              <w:spacing w:line="360" w:lineRule="exact"/>
              <w:rPr>
                <w:rFonts w:hint="default" w:asciiTheme="minorEastAsia" w:hAnsi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5.2</w:t>
            </w:r>
            <w:r/>
          </w:p>
        </w:tc>
        <w:tc>
          <w:tcPr>
            <w:tcBorders>
              <w:top w:val="single" w:color="000000" w:sz="2" w:space="0"/>
              <w:bottom w:val="single" w:color="000000" w:sz="2" w:space="0"/>
            </w:tcBorders>
            <w:tcW w:w="612" w:type="pct"/>
            <w:vAlign w:val="center"/>
            <w:textDirection w:val="lrTb"/>
            <w:noWrap w:val="false"/>
          </w:tcPr>
          <w:p>
            <w:pPr>
              <w:jc w:val="center"/>
              <w:spacing w:line="360" w:lineRule="exac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 xml:space="preserve">质保期</w:t>
            </w:r>
            <w:r/>
          </w:p>
        </w:tc>
        <w:tc>
          <w:tcPr>
            <w:tcBorders>
              <w:top w:val="single" w:color="000000" w:sz="2" w:space="0"/>
              <w:bottom w:val="single" w:color="000000" w:sz="2" w:space="0"/>
            </w:tcBorders>
            <w:tcW w:w="3307" w:type="pct"/>
            <w:vAlign w:val="center"/>
            <w:textDirection w:val="lrTb"/>
            <w:noWrap w:val="false"/>
          </w:tcPr>
          <w:p>
            <w:pPr>
              <w:pStyle w:val="953"/>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满足3年基本质保期的基础上，投标人承诺每额外增加1年质保期加1分，最高加2分（即总质保期最长不超过5年）。投标人须提供加盖公章的质保承诺书，格式自拟，内容应明确承诺增加的年数。未提供承诺书或承诺内容不完整的，该项不得分。</w:t>
            </w:r>
            <w:r/>
          </w:p>
        </w:tc>
        <w:tc>
          <w:tcPr>
            <w:tcBorders>
              <w:top w:val="single" w:color="000000" w:sz="2" w:space="0"/>
              <w:bottom w:val="single" w:color="000000" w:sz="2" w:space="0"/>
            </w:tcBorders>
            <w:tcW w:w="335" w:type="pct"/>
            <w:vAlign w:val="center"/>
            <w:textDirection w:val="lrTb"/>
            <w:noWrap w:val="false"/>
          </w:tcPr>
          <w:p>
            <w:pPr>
              <w:jc w:val="center"/>
              <w:spacing w:line="360" w:lineRule="exac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 xml:space="preserve">2</w:t>
            </w:r>
            <w:r/>
          </w:p>
        </w:tc>
        <w:tc>
          <w:tcPr>
            <w:tcBorders>
              <w:top w:val="single" w:color="000000" w:sz="2" w:space="0"/>
              <w:bottom w:val="single" w:color="000000" w:sz="2" w:space="0"/>
            </w:tcBorders>
            <w:tcW w:w="476" w:type="pct"/>
            <w:vAlign w:val="center"/>
            <w:textDirection w:val="lrTb"/>
            <w:noWrap w:val="false"/>
          </w:tcPr>
          <w:p>
            <w:pPr>
              <w:jc w:val="center"/>
              <w:spacing w:line="360" w:lineRule="exact"/>
              <w:rPr>
                <w:rFonts w:hint="eastAsia" w:asciiTheme="minorEastAsia" w:hAnsiTheme="minorEastAsia" w:cstheme="minorEastAsia"/>
                <w:spacing w:val="-6"/>
                <w:szCs w:val="21"/>
                <w:lang w:val="en-US" w:eastAsia="zh-CN"/>
              </w:rPr>
            </w:pPr>
            <w:r>
              <w:rPr>
                <w:rFonts w:hint="eastAsia" w:asciiTheme="minorEastAsia" w:hAnsiTheme="minorEastAsia" w:cstheme="minorEastAsia"/>
                <w:spacing w:val="-6"/>
                <w:szCs w:val="21"/>
                <w:lang w:val="en-US" w:eastAsia="zh-CN"/>
              </w:rPr>
              <w:t xml:space="preserve">客观分</w:t>
            </w:r>
            <w:r/>
          </w:p>
        </w:tc>
      </w:tr>
      <w:tr>
        <w:trPr>
          <w:jc w:val="center"/>
          <w:trHeight w:val="464"/>
        </w:trPr>
        <w:tc>
          <w:tcPr>
            <w:gridSpan w:val="3"/>
            <w:tcBorders>
              <w:top w:val="single" w:color="000000" w:sz="2" w:space="0"/>
              <w:bottom w:val="single" w:color="000000" w:sz="2" w:space="0"/>
            </w:tcBorders>
            <w:tcW w:w="4188" w:type="pct"/>
            <w:vAlign w:val="center"/>
            <w:textDirection w:val="lrTb"/>
            <w:noWrap w:val="false"/>
          </w:tcPr>
          <w:p>
            <w:pPr>
              <w:jc w:val="center"/>
              <w:spacing w:line="360" w:lineRule="exact"/>
              <w:rPr>
                <w:rFonts w:asciiTheme="minorEastAsia" w:hAnsiTheme="minorEastAsia" w:cstheme="minorEastAsia"/>
                <w:spacing w:val="-2"/>
                <w:szCs w:val="21"/>
              </w:rPr>
            </w:pPr>
            <w:r>
              <w:rPr>
                <w:rFonts w:hint="eastAsia" w:asciiTheme="minorEastAsia" w:hAnsiTheme="minorEastAsia" w:cstheme="minorEastAsia"/>
                <w:spacing w:val="-3"/>
                <w:szCs w:val="21"/>
              </w:rPr>
              <w:t xml:space="preserve">合</w:t>
            </w:r>
            <w:r>
              <w:rPr>
                <w:rFonts w:hint="eastAsia" w:asciiTheme="minorEastAsia" w:hAnsiTheme="minorEastAsia" w:cstheme="minorEastAsia"/>
                <w:spacing w:val="-2"/>
                <w:szCs w:val="21"/>
              </w:rPr>
              <w:t xml:space="preserve">计</w:t>
            </w:r>
            <w:r/>
          </w:p>
        </w:tc>
        <w:tc>
          <w:tcPr>
            <w:gridSpan w:val="2"/>
            <w:tcBorders>
              <w:top w:val="single" w:color="000000" w:sz="2" w:space="0"/>
              <w:bottom w:val="single" w:color="000000" w:sz="2" w:space="0"/>
            </w:tcBorders>
            <w:tcW w:w="81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pacing w:val="-11"/>
                <w:szCs w:val="21"/>
              </w:rPr>
              <w:t xml:space="preserve">100分</w:t>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ascii="黑体" w:hAnsi="黑体" w:eastAsia="黑体" w:cs="黑体"/>
          <w:color w:val="000000" w:themeColor="text1"/>
          <w:sz w:val="36"/>
          <w:szCs w:val="36"/>
          <w:lang w:val="zh-TW"/>
          <w14:textFill>
            <w14:solidFill>
              <w14:schemeClr w14:val="tx1"/>
            </w14:solidFill>
          </w14:textFill>
        </w:rPr>
      </w:pPr>
      <w:r/>
      <w:bookmarkStart w:id="53"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3"/>
      <w:r/>
      <w:r/>
    </w:p>
    <w:p>
      <w:pPr>
        <w:pStyle w:val="950"/>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50"/>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50"/>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50"/>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50"/>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6G确定性承载网</w:t>
      </w:r>
      <w:r>
        <w:rPr>
          <w:rFonts w:hint="eastAsia" w:ascii="Times New Roman" w:hAnsi="Times New Roman" w:eastAsia="黑体" w:cs="Times New Roman"/>
          <w:color w:val="000000" w:themeColor="text1"/>
          <w:sz w:val="36"/>
          <w:szCs w:val="36"/>
          <w14:textFill>
            <w14:solidFill>
              <w14:schemeClr w14:val="tx1"/>
            </w14:solidFill>
          </w14:textFill>
        </w:rPr>
        <w:t xml:space="preserve">设备采购项目</w:t>
      </w:r>
      <w:r/>
    </w:p>
    <w:p>
      <w:pPr>
        <w:pStyle w:val="950"/>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（内部编号PML-ZH-ZB-20260</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30</w:t>
      </w:r>
      <w:r>
        <w:rPr>
          <w:rFonts w:hint="eastAsia" w:ascii="Times New Roman" w:hAnsi="Times New Roman" w:eastAsia="黑体" w:cs="Times New Roman"/>
          <w:color w:val="000000" w:themeColor="text1"/>
          <w:sz w:val="36"/>
          <w:szCs w:val="36"/>
          <w14:textFill>
            <w14:solidFill>
              <w14:schemeClr w14:val="tx1"/>
            </w14:solidFill>
          </w14:textFill>
        </w:rPr>
        <w:t xml:space="preserve">）</w:t>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906"/>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4" w:name="_Toc415494574"/>
      <w:r/>
      <w:bookmarkStart w:id="55" w:name="_Toc50"/>
      <w:r/>
      <w:bookmarkStart w:id="56" w:name="_Toc448069988"/>
      <w:r/>
      <w:bookmarkStart w:id="57"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4"/>
      <w:r/>
      <w:bookmarkEnd w:id="55"/>
      <w:r/>
      <w:bookmarkEnd w:id="56"/>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7"/>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50"/>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6G确定性承载网</w:t>
      </w:r>
      <w:r>
        <w:rPr>
          <w:rFonts w:hint="eastAsia" w:ascii="Times New Roman" w:hAnsi="Times New Roman" w:cs="Times New Roman"/>
          <w:color w:val="000000" w:themeColor="text1"/>
          <w:szCs w:val="21"/>
          <w:u w:val="single"/>
          <w14:textFill>
            <w14:solidFill>
              <w14:schemeClr w14:val="tx1"/>
            </w14:solidFill>
          </w14:textFill>
        </w:rPr>
        <w:t xml:space="preserve">设备采购项目（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：（内部编号PML-ZH-ZB-20260</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30</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5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50"/>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48069992"/>
      <w:r/>
      <w:bookmarkStart w:id="59" w:name="_Toc415494579"/>
      <w:r/>
      <w:bookmarkStart w:id="60" w:name="_Toc11859492"/>
      <w:r/>
      <w:bookmarkStart w:id="61" w:name="_Toc415494575"/>
      <w:r/>
      <w:bookmarkStart w:id="62" w:name="_Toc452541709"/>
      <w:r/>
      <w:bookmarkStart w:id="63" w:name="_Toc448069989"/>
      <w:r/>
      <w:bookmarkStart w:id="64" w:name="_Toc51"/>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8"/>
      <w:r/>
      <w:bookmarkEnd w:id="59"/>
      <w:r/>
      <w:bookmarkEnd w:id="60"/>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w:t>
      </w:r>
      <w:r>
        <w:rPr>
          <w:rFonts w:hint="eastAsia" w:ascii="Times New Roman" w:hAnsi="Times New Roman" w:cs="Times New Roman"/>
          <w:color w:val="000000" w:themeColor="text1"/>
          <w:sz w:val="24"/>
          <w:szCs w:val="24"/>
          <w:u w:val="none"/>
          <w:lang w:val="en-US" w:eastAsia="zh-CN"/>
          <w14:textFill>
            <w14:solidFill>
              <w14:schemeClr w14:val="tx1"/>
            </w14:solidFill>
          </w14:textFill>
        </w:rPr>
        <w:t xml:space="preserve">6G确定性承载网</w:t>
      </w:r>
      <w:r>
        <w:rPr>
          <w:rFonts w:hint="eastAsia" w:ascii="Times New Roman" w:hAnsi="Times New Roman" w:cs="Times New Roman"/>
          <w:color w:val="000000" w:themeColor="text1"/>
          <w:sz w:val="24"/>
          <w:szCs w:val="24"/>
          <w14:textFill>
            <w14:solidFill>
              <w14:schemeClr w14:val="tx1"/>
            </w14:solidFill>
          </w14:textFill>
        </w:rPr>
        <w:t xml:space="preserve">设备采购项目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（内部编号PML-ZH-ZB-20260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30</w:t>
      </w:r>
      <w:r>
        <w:rPr>
          <w:rFonts w:hint="eastAsia" w:ascii="Times New Roman" w:hAnsi="Times New Roman" w:cs="Times New Roman"/>
          <w:color w:val="000000" w:themeColor="text1"/>
          <w:sz w:val="24"/>
          <w:szCs w:val="24"/>
          <w14:textFill>
            <w14:solidFill>
              <w14:schemeClr w14:val="tx1"/>
            </w14:solidFill>
          </w14:textFill>
        </w:rPr>
        <w:t xml:space="preserve">）</w:t>
      </w:r>
      <w:r/>
    </w:p>
    <w:tbl>
      <w:tblPr>
        <w:tblStyle w:val="906"/>
        <w:tblW w:w="47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6012"/>
      </w:tblGrid>
      <w:tr>
        <w:trPr>
          <w:cantSplit/>
          <w:jc w:val="center"/>
          <w:trHeight w:val="859"/>
        </w:trPr>
        <w:tc>
          <w:tcPr>
            <w:tcW w:w="1394" w:type="pct"/>
            <w:vAlign w:val="center"/>
            <w:textDirection w:val="lrTb"/>
            <w:noWrap w:val="false"/>
          </w:tcPr>
          <w:p>
            <w:pPr>
              <w:pStyle w:val="913"/>
              <w:jc w:val="center"/>
              <w:spacing w:after="0" w:line="24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913"/>
              <w:jc w:val="center"/>
              <w:spacing w:after="0" w:line="24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913"/>
              <w:spacing w:after="0" w:line="24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50"/>
              <w:ind w:firstLine="0"/>
              <w:spacing w:before="0" w:after="0" w:line="24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825"/>
        </w:trPr>
        <w:tc>
          <w:tcPr>
            <w:tcW w:w="1394" w:type="pct"/>
            <w:vAlign w:val="center"/>
            <w:textDirection w:val="lrTb"/>
            <w:noWrap w:val="false"/>
          </w:tcPr>
          <w:p>
            <w:pPr>
              <w:pStyle w:val="913"/>
              <w:jc w:val="center"/>
              <w:spacing w:after="0" w:line="24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50"/>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913"/>
              <w:jc w:val="center"/>
              <w:spacing w:after="0" w:line="24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50"/>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913"/>
              <w:jc w:val="center"/>
              <w:spacing w:after="0" w:line="24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913"/>
              <w:spacing w:after="0" w:line="24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6G确定性承载网</w:t>
      </w:r>
      <w:r>
        <w:rPr>
          <w:rFonts w:hint="eastAsia" w:ascii="Times New Roman" w:hAnsi="Times New Roman" w:cs="Times New Roman"/>
          <w:color w:val="000000" w:themeColor="text1"/>
          <w:szCs w:val="21"/>
          <w:u w:val="single"/>
          <w14:textFill>
            <w14:solidFill>
              <w14:schemeClr w14:val="tx1"/>
            </w14:solidFill>
          </w14:textFill>
        </w:rPr>
        <w:t xml:space="preserve">设备采购项目 </w:t>
      </w:r>
      <w:r/>
    </w:p>
    <w:tbl>
      <w:tblPr>
        <w:tblStyle w:val="906"/>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bidi="ar"/>
              </w:rPr>
              <w:t xml:space="preserve">品牌</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bookmarkStart w:id="65" w:name="_Toc55"/>
      <w:r/>
      <w:bookmarkStart w:id="66" w:name="_Toc11859493"/>
      <w:r/>
      <w:bookmarkStart w:id="67" w:name="_Toc415494580"/>
      <w:r/>
      <w:bookmarkStart w:id="68" w:name="_Toc4480699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5"/>
      <w:r/>
      <w:bookmarkEnd w:id="66"/>
      <w:r/>
      <w:bookmarkEnd w:id="67"/>
      <w:r/>
      <w:bookmarkEnd w:id="68"/>
      <w:r/>
      <w:r/>
    </w:p>
    <w:p>
      <w:pPr>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906"/>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906"/>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9" w:name="_Toc56"/>
      <w:r/>
      <w:bookmarkStart w:id="70" w:name="_Toc11859494"/>
      <w:r/>
      <w:bookmarkStart w:id="71" w:name="_Toc448069994"/>
      <w:r/>
      <w:bookmarkStart w:id="72" w:name="_Toc415494581"/>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69"/>
      <w:r/>
      <w:bookmarkEnd w:id="70"/>
      <w:r/>
      <w:bookmarkEnd w:id="71"/>
      <w:r/>
      <w:bookmarkEnd w:id="72"/>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3"/>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 xml:space="preserve">6G确定性承载网</w:t>
      </w:r>
      <w:r>
        <w:rPr>
          <w:rFonts w:hint="eastAsia" w:ascii="Times New Roman" w:hAnsi="Times New Roman" w:cs="Times New Roman"/>
          <w:color w:val="000000" w:themeColor="text1"/>
          <w:sz w:val="24"/>
          <w:szCs w:val="24"/>
          <w:u w:val="single"/>
          <w14:textFill>
            <w14:solidFill>
              <w14:schemeClr w14:val="tx1"/>
            </w14:solidFill>
          </w14:textFill>
        </w:rPr>
        <w:t xml:space="preserve">设备采购项目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906"/>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52"/>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52"/>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52"/>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52"/>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52"/>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52"/>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52"/>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52"/>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4"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4"/>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 xml:space="preserve">6G确定性承载网</w:t>
      </w:r>
      <w:r>
        <w:rPr>
          <w:rFonts w:hint="eastAsia" w:ascii="Times New Roman" w:hAnsi="Times New Roman" w:cs="Times New Roman"/>
          <w:color w:val="000000" w:themeColor="text1"/>
          <w:sz w:val="24"/>
          <w:szCs w:val="24"/>
          <w:u w:val="single"/>
          <w14:textFill>
            <w14:solidFill>
              <w14:schemeClr w14:val="tx1"/>
            </w14:solidFill>
          </w14:textFill>
        </w:rPr>
        <w:t xml:space="preserve">设备采购项目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906"/>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52"/>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52"/>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5"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5"/>
      <w:r/>
      <w:bookmarkStart w:id="76"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29"/>
        <w:numPr>
          <w:ilvl w:val="255"/>
          <w:numId w:val="0"/>
        </w:numPr>
        <w:ind w:firstLine="480"/>
        <w:rPr>
          <w:rFonts w:ascii="宋体" w:hAnsi="宋体" w:cs="宋体"/>
          <w:color w:val="000000"/>
          <w:sz w:val="24"/>
        </w:rPr>
      </w:pPr>
      <w:r>
        <w:rPr>
          <w:rFonts w:hint="eastAsia" w:ascii="宋体" w:hAnsi="宋体" w:cs="宋体"/>
          <w:color w:val="000000"/>
          <w:sz w:val="24"/>
          <w:lang w:val="en-US" w:eastAsia="zh-CN"/>
        </w:rPr>
        <w:t xml:space="preserve">实施</w:t>
      </w:r>
      <w:r>
        <w:rPr>
          <w:rFonts w:hint="eastAsia" w:ascii="宋体" w:hAnsi="宋体" w:cs="宋体"/>
          <w:color w:val="000000"/>
          <w:sz w:val="24"/>
        </w:rPr>
        <w:t xml:space="preserve">方案</w:t>
      </w:r>
      <w:r/>
    </w:p>
    <w:p>
      <w:pPr>
        <w:pStyle w:val="929"/>
        <w:numPr>
          <w:ilvl w:val="255"/>
          <w:numId w:val="0"/>
        </w:numPr>
        <w:ind w:firstLine="480"/>
        <w:rPr>
          <w:rFonts w:ascii="宋体" w:hAnsi="宋体" w:cs="宋体"/>
          <w:color w:val="000000"/>
          <w:sz w:val="24"/>
        </w:rPr>
      </w:pPr>
      <w:r>
        <w:rPr>
          <w:rFonts w:hint="eastAsia" w:ascii="宋体" w:hAnsi="宋体" w:cs="宋体"/>
          <w:color w:val="000000"/>
          <w:sz w:val="24"/>
        </w:rPr>
        <w:t xml:space="preserve">售后服务方案</w:t>
      </w:r>
      <w:r/>
    </w:p>
    <w:p>
      <w:pPr>
        <w:pStyle w:val="929"/>
        <w:numPr>
          <w:ilvl w:val="255"/>
          <w:numId w:val="0"/>
        </w:numPr>
        <w:ind w:firstLine="480"/>
      </w:pPr>
      <w:r>
        <w:rPr>
          <w:rFonts w:hint="eastAsia" w:ascii="宋体" w:hAnsi="宋体" w:cs="宋体"/>
          <w:color w:val="000000"/>
          <w:sz w:val="24"/>
        </w:rPr>
        <w:t xml:space="preserve">培训方案</w:t>
      </w:r>
      <w:r/>
    </w:p>
    <w:p>
      <w:pPr>
        <w:pStyle w:val="929"/>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29"/>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29"/>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7"/>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913"/>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913"/>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26"/>
        <w:ind w:right="14"/>
        <w:jc w:val="center"/>
        <w:spacing w:before="0" w:beforeAutospacing="0" w:after="120" w:afterAutospacing="0" w:line="460" w:lineRule="exact"/>
        <w:widowControl w:val="off"/>
      </w:pPr>
      <w:r>
        <w:rPr>
          <w:b/>
          <w:sz w:val="28"/>
          <w:szCs w:val="28"/>
          <w:lang w:bidi="ar"/>
        </w:rPr>
        <w:t xml:space="preserve">中小企业声明函（货物）</w:t>
      </w:r>
      <w:r/>
    </w:p>
    <w:p>
      <w:pPr>
        <w:pStyle w:val="926"/>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26"/>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26"/>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26"/>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926"/>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926"/>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926"/>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926"/>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913"/>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13"/>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13"/>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13"/>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913"/>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913"/>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913"/>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913"/>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913"/>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913"/>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13"/>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13"/>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26"/>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6"/>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33"/>
          <w:rFonts w:hint="eastAsia" w:ascii="方正魏碑_GBK" w:hAnsi="方正魏碑_GBK" w:eastAsia="方正魏碑_GBK" w:cs="方正魏碑_GBK"/>
          <w:u w:val="single"/>
          <w:shd w:val="clear" w:color="auto" w:fill="ffffff"/>
        </w:rPr>
        <w:t xml:space="preserve">（产品名称1）</w:t>
      </w:r>
      <w:r>
        <w:rPr>
          <w:rStyle w:val="933"/>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3"/>
          <w:rFonts w:hint="eastAsia" w:ascii="方正魏碑_GBK" w:hAnsi="方正魏碑_GBK" w:eastAsia="方正魏碑_GBK" w:cs="方正魏碑_GBK"/>
          <w:u w:val="single"/>
          <w:shd w:val="clear" w:color="auto" w:fill="ffffff"/>
        </w:rPr>
        <w:t xml:space="preserve">（厂名）</w:t>
      </w:r>
      <w:r>
        <w:rPr>
          <w:rStyle w:val="933"/>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3"/>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3"/>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33"/>
          <w:rFonts w:hint="eastAsia" w:ascii="方正魏碑_GBK" w:hAnsi="方正魏碑_GBK" w:eastAsia="方正魏碑_GBK" w:cs="方正魏碑_GBK"/>
          <w:u w:val="single"/>
          <w:shd w:val="clear" w:color="auto" w:fill="ffffff"/>
        </w:rPr>
        <w:t xml:space="preserve">（规定</w:t>
      </w:r>
      <w:r>
        <w:rPr>
          <w:rStyle w:val="933"/>
          <w:rFonts w:ascii="方正魏碑_GBK" w:hAnsi="方正魏碑_GBK" w:eastAsia="方正魏碑_GBK" w:cs="方正魏碑_GBK"/>
          <w:u w:val="single"/>
          <w:shd w:val="clear" w:color="auto" w:fill="ffffff"/>
        </w:rPr>
        <w:t xml:space="preserve">比例</w:t>
      </w:r>
      <w:r>
        <w:rPr>
          <w:rStyle w:val="933"/>
          <w:rFonts w:hint="eastAsia" w:ascii="方正魏碑_GBK" w:hAnsi="方正魏碑_GBK" w:eastAsia="方正魏碑_GBK" w:cs="方正魏碑_GBK"/>
          <w:u w:val="single"/>
          <w:shd w:val="clear" w:color="auto" w:fill="ffffff"/>
        </w:rPr>
        <w:t xml:space="preserve">）</w:t>
      </w:r>
      <w:r>
        <w:rPr>
          <w:rStyle w:val="933"/>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3"/>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3"/>
          <w:rFonts w:hint="eastAsia" w:ascii="方正魏碑_GBK" w:hAnsi="方正魏碑_GBK" w:eastAsia="方正魏碑_GBK" w:cs="方正魏碑_GBK"/>
          <w:u w:val="single"/>
          <w:shd w:val="clear" w:color="auto" w:fill="ffffff"/>
        </w:rPr>
        <w:t xml:space="preserve">（关键</w:t>
      </w:r>
      <w:r>
        <w:rPr>
          <w:rStyle w:val="933"/>
          <w:rFonts w:ascii="方正魏碑_GBK" w:hAnsi="方正魏碑_GBK" w:eastAsia="方正魏碑_GBK" w:cs="方正魏碑_GBK"/>
          <w:u w:val="single"/>
          <w:shd w:val="clear" w:color="auto" w:fill="ffffff"/>
        </w:rPr>
        <w:t xml:space="preserve">组件</w:t>
      </w:r>
      <w:r>
        <w:rPr>
          <w:rStyle w:val="933"/>
          <w:rFonts w:hint="eastAsia" w:ascii="方正魏碑_GBK" w:hAnsi="方正魏碑_GBK" w:eastAsia="方正魏碑_GBK" w:cs="方正魏碑_GBK"/>
          <w:u w:val="single"/>
          <w:shd w:val="clear" w:color="auto" w:fill="ffffff"/>
        </w:rPr>
        <w:t xml:space="preserve">）</w:t>
      </w:r>
      <w:r>
        <w:rPr>
          <w:rStyle w:val="933"/>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3"/>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3"/>
          <w:rFonts w:hint="eastAsia" w:ascii="方正魏碑_GBK" w:hAnsi="方正魏碑_GBK" w:eastAsia="方正魏碑_GBK" w:cs="方正魏碑_GBK"/>
          <w:u w:val="single"/>
          <w:shd w:val="clear" w:color="auto" w:fill="ffffff"/>
        </w:rPr>
        <w:t xml:space="preserve">（关键工序）</w:t>
      </w:r>
      <w:r>
        <w:rPr>
          <w:rStyle w:val="933"/>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33"/>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33"/>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3"/>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3"/>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33"/>
          <w:rFonts w:hint="eastAsia" w:ascii="方正魏碑_GBK" w:hAnsi="方正魏碑_GBK" w:eastAsia="方正魏碑_GBK" w:cs="方正魏碑_GBK"/>
          <w:u w:val="single"/>
          <w:shd w:val="clear" w:color="auto" w:fill="ffffff"/>
        </w:rPr>
        <w:t xml:space="preserve">（规定</w:t>
      </w:r>
      <w:r>
        <w:rPr>
          <w:rStyle w:val="933"/>
          <w:rFonts w:ascii="方正魏碑_GBK" w:hAnsi="方正魏碑_GBK" w:eastAsia="方正魏碑_GBK" w:cs="方正魏碑_GBK"/>
          <w:u w:val="single"/>
          <w:shd w:val="clear" w:color="auto" w:fill="ffffff"/>
        </w:rPr>
        <w:t xml:space="preserve">比例</w:t>
      </w:r>
      <w:r>
        <w:rPr>
          <w:rStyle w:val="93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3"/>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3"/>
          <w:rFonts w:hint="eastAsia" w:ascii="方正魏碑_GBK" w:hAnsi="方正魏碑_GBK" w:eastAsia="方正魏碑_GBK" w:cs="方正魏碑_GBK"/>
          <w:u w:val="single"/>
          <w:shd w:val="clear" w:color="auto" w:fill="ffffff"/>
        </w:rPr>
        <w:t xml:space="preserve">（关键</w:t>
      </w:r>
      <w:r>
        <w:rPr>
          <w:rStyle w:val="933"/>
          <w:rFonts w:ascii="方正魏碑_GBK" w:hAnsi="方正魏碑_GBK" w:eastAsia="方正魏碑_GBK" w:cs="方正魏碑_GBK"/>
          <w:u w:val="single"/>
          <w:shd w:val="clear" w:color="auto" w:fill="ffffff"/>
        </w:rPr>
        <w:t xml:space="preserve">组件</w:t>
      </w:r>
      <w:r>
        <w:rPr>
          <w:rStyle w:val="93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3"/>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3"/>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26"/>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6"/>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26"/>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2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26"/>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26"/>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913"/>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1"/>
      <w:r/>
      <w:bookmarkEnd w:id="62"/>
      <w:r/>
      <w:bookmarkEnd w:id="63"/>
      <w:r/>
      <w:bookmarkEnd w:id="64"/>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27</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pPr>
    <w:r>
      <w:rPr>
        <w:rFonts w:hint="eastAsia"/>
        <w:sz w:val="21"/>
        <w:szCs w:val="21"/>
      </w:rPr>
      <w:t xml:space="preserve">紫金山实验室</w:t>
    </w:r>
    <w:r>
      <w:rPr>
        <w:rFonts w:hint="eastAsia"/>
        <w:sz w:val="21"/>
        <w:szCs w:val="21"/>
        <w:lang w:val="en-US" w:eastAsia="zh-CN"/>
      </w:rPr>
      <w:t xml:space="preserve">6G确定性承载网</w:t>
    </w:r>
    <w:r>
      <w:rPr>
        <w:rFonts w:hint="eastAsia"/>
        <w:sz w:val="21"/>
        <w:szCs w:val="21"/>
      </w:rPr>
      <w:t xml:space="preserve">设备采购项目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pBdr>
        <w:bottom w:val="single" w:color="auto" w:sz="4" w:space="0"/>
      </w:pBdr>
    </w:pPr>
    <w:r>
      <w:rPr>
        <w:rFonts w:hint="eastAsia"/>
        <w:sz w:val="21"/>
      </w:rPr>
      <w:t xml:space="preserve">紫金山实验室</w:t>
    </w:r>
    <w:r>
      <w:rPr>
        <w:rFonts w:hint="eastAsia" w:ascii="Times New Roman" w:hAnsi="Times New Roman" w:eastAsia="宋体" w:cs="Times New Roman"/>
        <w:b w:val="0"/>
        <w:bCs w:val="0"/>
        <w:sz w:val="21"/>
        <w:szCs w:val="21"/>
      </w:rPr>
      <w:t xml:space="preserve">6G确定性承载</w:t>
    </w:r>
    <w:r>
      <w:rPr>
        <w:rFonts w:hint="eastAsia" w:cs="Times New Roman"/>
        <w:b w:val="0"/>
        <w:bCs w:val="0"/>
        <w:sz w:val="21"/>
        <w:szCs w:val="21"/>
        <w:lang w:val="en-US" w:eastAsia="zh-CN"/>
      </w:rPr>
      <w:t xml:space="preserve">网</w:t>
    </w:r>
    <w:r>
      <w:rPr>
        <w:rFonts w:hint="eastAsia"/>
        <w:sz w:val="21"/>
      </w:rPr>
      <w:t xml:space="preserve">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904"/>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6"/>
  </w:num>
  <w:num w:numId="4">
    <w:abstractNumId w:val="7"/>
  </w:num>
  <w:num w:numId="5">
    <w:abstractNumId w:val="4"/>
  </w:num>
  <w:num w:numId="6">
    <w:abstractNumId w:val="8"/>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5"/>
    <w:link w:val="902"/>
    <w:uiPriority w:val="9"/>
    <w:rPr>
      <w:rFonts w:ascii="Arial" w:hAnsi="Arial" w:eastAsia="Arial" w:cs="Arial"/>
      <w:sz w:val="40"/>
      <w:szCs w:val="40"/>
    </w:rPr>
  </w:style>
  <w:style w:type="character" w:styleId="736">
    <w:name w:val="Heading 2 Char"/>
    <w:basedOn w:val="905"/>
    <w:link w:val="903"/>
    <w:uiPriority w:val="9"/>
    <w:rPr>
      <w:rFonts w:ascii="Arial" w:hAnsi="Arial" w:eastAsia="Arial" w:cs="Arial"/>
      <w:sz w:val="34"/>
    </w:rPr>
  </w:style>
  <w:style w:type="character" w:styleId="737">
    <w:name w:val="Heading 3 Char"/>
    <w:basedOn w:val="905"/>
    <w:link w:val="904"/>
    <w:uiPriority w:val="9"/>
    <w:rPr>
      <w:rFonts w:ascii="Arial" w:hAnsi="Arial" w:eastAsia="Arial" w:cs="Arial"/>
      <w:sz w:val="30"/>
      <w:szCs w:val="30"/>
    </w:rPr>
  </w:style>
  <w:style w:type="paragraph" w:styleId="738">
    <w:name w:val="Heading 4"/>
    <w:basedOn w:val="901"/>
    <w:next w:val="901"/>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basedOn w:val="905"/>
    <w:link w:val="738"/>
    <w:uiPriority w:val="9"/>
    <w:rPr>
      <w:rFonts w:ascii="Arial" w:hAnsi="Arial" w:eastAsia="Arial" w:cs="Arial"/>
      <w:b/>
      <w:bCs/>
      <w:sz w:val="26"/>
      <w:szCs w:val="26"/>
    </w:rPr>
  </w:style>
  <w:style w:type="paragraph" w:styleId="740">
    <w:name w:val="Heading 5"/>
    <w:basedOn w:val="901"/>
    <w:next w:val="901"/>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basedOn w:val="905"/>
    <w:link w:val="740"/>
    <w:uiPriority w:val="9"/>
    <w:rPr>
      <w:rFonts w:ascii="Arial" w:hAnsi="Arial" w:eastAsia="Arial" w:cs="Arial"/>
      <w:b/>
      <w:bCs/>
      <w:sz w:val="24"/>
      <w:szCs w:val="24"/>
    </w:rPr>
  </w:style>
  <w:style w:type="paragraph" w:styleId="742">
    <w:name w:val="Heading 6"/>
    <w:basedOn w:val="901"/>
    <w:next w:val="901"/>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basedOn w:val="905"/>
    <w:link w:val="742"/>
    <w:uiPriority w:val="9"/>
    <w:rPr>
      <w:rFonts w:ascii="Arial" w:hAnsi="Arial" w:eastAsia="Arial" w:cs="Arial"/>
      <w:b/>
      <w:bCs/>
      <w:sz w:val="22"/>
      <w:szCs w:val="22"/>
    </w:rPr>
  </w:style>
  <w:style w:type="paragraph" w:styleId="744">
    <w:name w:val="Heading 7"/>
    <w:basedOn w:val="901"/>
    <w:next w:val="901"/>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basedOn w:val="905"/>
    <w:link w:val="744"/>
    <w:uiPriority w:val="9"/>
    <w:rPr>
      <w:rFonts w:ascii="Arial" w:hAnsi="Arial" w:eastAsia="Arial" w:cs="Arial"/>
      <w:b/>
      <w:bCs/>
      <w:i/>
      <w:iCs/>
      <w:sz w:val="22"/>
      <w:szCs w:val="22"/>
    </w:rPr>
  </w:style>
  <w:style w:type="paragraph" w:styleId="746">
    <w:name w:val="Heading 8"/>
    <w:basedOn w:val="901"/>
    <w:next w:val="901"/>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basedOn w:val="905"/>
    <w:link w:val="746"/>
    <w:uiPriority w:val="9"/>
    <w:rPr>
      <w:rFonts w:ascii="Arial" w:hAnsi="Arial" w:eastAsia="Arial" w:cs="Arial"/>
      <w:i/>
      <w:iCs/>
      <w:sz w:val="22"/>
      <w:szCs w:val="22"/>
    </w:rPr>
  </w:style>
  <w:style w:type="paragraph" w:styleId="748">
    <w:name w:val="Heading 9"/>
    <w:basedOn w:val="901"/>
    <w:next w:val="901"/>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basedOn w:val="905"/>
    <w:link w:val="748"/>
    <w:uiPriority w:val="9"/>
    <w:rPr>
      <w:rFonts w:ascii="Arial" w:hAnsi="Arial" w:eastAsia="Arial" w:cs="Arial"/>
      <w:i/>
      <w:iCs/>
      <w:sz w:val="21"/>
      <w:szCs w:val="21"/>
    </w:rPr>
  </w:style>
  <w:style w:type="paragraph" w:styleId="750">
    <w:name w:val="No Spacing"/>
    <w:uiPriority w:val="1"/>
    <w:qFormat/>
    <w:pPr>
      <w:spacing w:before="0" w:after="0" w:line="240" w:lineRule="auto"/>
    </w:pPr>
  </w:style>
  <w:style w:type="character" w:styleId="751">
    <w:name w:val="Title Char"/>
    <w:basedOn w:val="905"/>
    <w:link w:val="927"/>
    <w:uiPriority w:val="10"/>
    <w:rPr>
      <w:sz w:val="48"/>
      <w:szCs w:val="48"/>
    </w:rPr>
  </w:style>
  <w:style w:type="paragraph" w:styleId="752">
    <w:name w:val="Subtitle"/>
    <w:basedOn w:val="901"/>
    <w:next w:val="901"/>
    <w:link w:val="753"/>
    <w:uiPriority w:val="11"/>
    <w:qFormat/>
    <w:pPr>
      <w:spacing w:before="200" w:after="200"/>
    </w:pPr>
    <w:rPr>
      <w:sz w:val="24"/>
      <w:szCs w:val="24"/>
    </w:rPr>
  </w:style>
  <w:style w:type="character" w:styleId="753">
    <w:name w:val="Subtitle Char"/>
    <w:basedOn w:val="905"/>
    <w:link w:val="752"/>
    <w:uiPriority w:val="11"/>
    <w:rPr>
      <w:sz w:val="24"/>
      <w:szCs w:val="24"/>
    </w:rPr>
  </w:style>
  <w:style w:type="paragraph" w:styleId="754">
    <w:name w:val="Quote"/>
    <w:basedOn w:val="901"/>
    <w:next w:val="901"/>
    <w:link w:val="755"/>
    <w:uiPriority w:val="29"/>
    <w:qFormat/>
    <w:pPr>
      <w:ind w:left="720" w:right="720"/>
    </w:pPr>
    <w:rPr>
      <w:i/>
    </w:rPr>
  </w:style>
  <w:style w:type="character" w:styleId="755">
    <w:name w:val="Quote Char"/>
    <w:link w:val="754"/>
    <w:uiPriority w:val="29"/>
    <w:rPr>
      <w:i/>
    </w:rPr>
  </w:style>
  <w:style w:type="paragraph" w:styleId="756">
    <w:name w:val="Intense Quote"/>
    <w:basedOn w:val="901"/>
    <w:next w:val="901"/>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5"/>
    <w:link w:val="922"/>
    <w:uiPriority w:val="99"/>
  </w:style>
  <w:style w:type="character" w:styleId="759">
    <w:name w:val="Footer Char"/>
    <w:basedOn w:val="905"/>
    <w:link w:val="921"/>
    <w:uiPriority w:val="99"/>
  </w:style>
  <w:style w:type="paragraph" w:styleId="760">
    <w:name w:val="Caption"/>
    <w:basedOn w:val="901"/>
    <w:next w:val="901"/>
    <w:uiPriority w:val="35"/>
    <w:semiHidden/>
    <w:unhideWhenUsed/>
    <w:qFormat/>
    <w:pPr>
      <w:spacing w:line="276" w:lineRule="auto"/>
    </w:pPr>
    <w:rPr>
      <w:b/>
      <w:bCs/>
      <w:color w:val="4f81bd" w:themeColor="accent1"/>
      <w:sz w:val="18"/>
      <w:szCs w:val="18"/>
    </w:rPr>
  </w:style>
  <w:style w:type="character" w:styleId="761">
    <w:name w:val="Caption Char"/>
    <w:basedOn w:val="760"/>
    <w:link w:val="921"/>
    <w:uiPriority w:val="99"/>
  </w:style>
  <w:style w:type="table" w:styleId="762">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8">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9">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0">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1">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2">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3">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0">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4">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5">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6">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7">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8">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0">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1">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2">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3">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4">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5">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4">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5">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6">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7">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8">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9">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1">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2">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3">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4">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5">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6">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5">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9">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7">
    <w:name w:val="footnote text"/>
    <w:basedOn w:val="901"/>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5"/>
    <w:uiPriority w:val="99"/>
    <w:unhideWhenUsed/>
    <w:rPr>
      <w:vertAlign w:val="superscript"/>
    </w:rPr>
  </w:style>
  <w:style w:type="paragraph" w:styleId="890">
    <w:name w:val="endnote text"/>
    <w:basedOn w:val="901"/>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5"/>
    <w:uiPriority w:val="99"/>
    <w:semiHidden/>
    <w:unhideWhenUsed/>
    <w:rPr>
      <w:vertAlign w:val="superscript"/>
    </w:r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02">
    <w:name w:val="Heading 1"/>
    <w:basedOn w:val="901"/>
    <w:next w:val="901"/>
    <w:link w:val="968"/>
    <w:uiPriority w:val="9"/>
    <w:qFormat/>
    <w:pPr>
      <w:keepLines/>
      <w:keepNext/>
      <w:spacing w:before="340" w:after="330" w:line="578" w:lineRule="auto"/>
      <w:outlineLvl w:val="0"/>
    </w:pPr>
    <w:rPr>
      <w:b/>
      <w:bCs/>
      <w:sz w:val="44"/>
      <w:szCs w:val="44"/>
    </w:rPr>
  </w:style>
  <w:style w:type="paragraph" w:styleId="903">
    <w:name w:val="Heading 2"/>
    <w:basedOn w:val="901"/>
    <w:next w:val="901"/>
    <w:link w:val="1018"/>
    <w:uiPriority w:val="0"/>
    <w:qFormat/>
    <w:pPr>
      <w:keepLines/>
      <w:keepNext/>
      <w:spacing w:before="260" w:after="260" w:line="415" w:lineRule="auto"/>
      <w:outlineLvl w:val="1"/>
    </w:pPr>
    <w:rPr>
      <w:rFonts w:ascii="Arial" w:hAnsi="Arial" w:eastAsia="黑体" w:cs="Arial"/>
      <w:b/>
      <w:bCs/>
      <w:sz w:val="32"/>
      <w:szCs w:val="32"/>
    </w:rPr>
  </w:style>
  <w:style w:type="paragraph" w:styleId="904">
    <w:name w:val="Heading 3"/>
    <w:basedOn w:val="901"/>
    <w:next w:val="901"/>
    <w:link w:val="967"/>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List Number 2"/>
    <w:basedOn w:val="901"/>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8">
    <w:name w:val="Normal Indent"/>
    <w:basedOn w:val="901"/>
    <w:uiPriority w:val="0"/>
    <w:qFormat/>
    <w:pPr>
      <w:ind w:firstLine="420"/>
    </w:pPr>
    <w:rPr>
      <w:rFonts w:ascii="Times New Roman" w:hAnsi="Times New Roman" w:eastAsia="宋体" w:cs="Times New Roman"/>
      <w:szCs w:val="20"/>
    </w:rPr>
  </w:style>
  <w:style w:type="paragraph" w:styleId="909">
    <w:name w:val="Document Map"/>
    <w:basedOn w:val="901"/>
    <w:link w:val="1004"/>
    <w:uiPriority w:val="99"/>
    <w:semiHidden/>
    <w:unhideWhenUsed/>
    <w:qFormat/>
    <w:pPr>
      <w:shd w:val="clear" w:color="auto" w:fill="000080"/>
    </w:pPr>
  </w:style>
  <w:style w:type="paragraph" w:styleId="910">
    <w:name w:val="annotation text"/>
    <w:basedOn w:val="901"/>
    <w:link w:val="971"/>
    <w:uiPriority w:val="99"/>
    <w:qFormat/>
    <w:pPr>
      <w:jc w:val="left"/>
    </w:pPr>
    <w:rPr>
      <w:rFonts w:ascii="Times New Roman" w:hAnsi="Times New Roman" w:eastAsia="宋体" w:cs="Times New Roman"/>
      <w:szCs w:val="20"/>
    </w:rPr>
  </w:style>
  <w:style w:type="paragraph" w:styleId="911">
    <w:name w:val="Body Text 3"/>
    <w:basedOn w:val="901"/>
    <w:link w:val="948"/>
    <w:uiPriority w:val="0"/>
    <w:qFormat/>
    <w:pPr>
      <w:spacing w:after="120"/>
    </w:pPr>
    <w:rPr>
      <w:rFonts w:ascii="Times New Roman" w:hAnsi="Times New Roman" w:eastAsia="宋体" w:cs="Times New Roman"/>
      <w:sz w:val="16"/>
      <w:szCs w:val="16"/>
    </w:rPr>
  </w:style>
  <w:style w:type="paragraph" w:styleId="912">
    <w:name w:val="List Bullet 3"/>
    <w:basedOn w:val="901"/>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13">
    <w:name w:val="Body Text"/>
    <w:basedOn w:val="901"/>
    <w:link w:val="951"/>
    <w:uiPriority w:val="99"/>
    <w:unhideWhenUsed/>
    <w:qFormat/>
    <w:pPr>
      <w:spacing w:after="120"/>
    </w:pPr>
  </w:style>
  <w:style w:type="paragraph" w:styleId="914">
    <w:name w:val="Body Text Indent"/>
    <w:basedOn w:val="901"/>
    <w:next w:val="915"/>
    <w:link w:val="941"/>
    <w:uiPriority w:val="0"/>
    <w:qFormat/>
    <w:pPr>
      <w:ind w:left="900"/>
      <w:spacing w:after="120" w:line="360" w:lineRule="atLeast"/>
    </w:pPr>
    <w:rPr>
      <w:rFonts w:ascii="楷体_GB2312" w:hAnsi="Times New Roman" w:eastAsia="楷体_GB2312" w:cs="Times New Roman"/>
      <w:sz w:val="28"/>
      <w:szCs w:val="20"/>
    </w:rPr>
  </w:style>
  <w:style w:type="paragraph" w:styleId="915">
    <w:name w:val="envelope return"/>
    <w:basedOn w:val="901"/>
    <w:uiPriority w:val="0"/>
    <w:qFormat/>
    <w:rPr>
      <w:rFonts w:ascii="Arial" w:hAnsi="Arial" w:eastAsia="宋体" w:cs="宋体"/>
    </w:rPr>
  </w:style>
  <w:style w:type="paragraph" w:styleId="916">
    <w:name w:val="index 4"/>
    <w:basedOn w:val="901"/>
    <w:next w:val="901"/>
    <w:uiPriority w:val="99"/>
    <w:semiHidden/>
    <w:unhideWhenUsed/>
    <w:qFormat/>
    <w:pPr>
      <w:ind w:left="600"/>
    </w:pPr>
  </w:style>
  <w:style w:type="paragraph" w:styleId="917">
    <w:name w:val="toc 3"/>
    <w:basedOn w:val="901"/>
    <w:next w:val="901"/>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18">
    <w:name w:val="Plain Text"/>
    <w:basedOn w:val="901"/>
    <w:link w:val="944"/>
    <w:uiPriority w:val="99"/>
    <w:qFormat/>
    <w:rPr>
      <w:rFonts w:ascii="宋体" w:hAnsi="Courier New" w:eastAsia="宋体" w:cs="Times New Roman"/>
      <w:szCs w:val="20"/>
    </w:rPr>
  </w:style>
  <w:style w:type="paragraph" w:styleId="919">
    <w:name w:val="Date"/>
    <w:basedOn w:val="901"/>
    <w:next w:val="901"/>
    <w:link w:val="946"/>
    <w:uiPriority w:val="99"/>
    <w:unhideWhenUsed/>
    <w:qFormat/>
    <w:pPr>
      <w:ind w:left="100"/>
    </w:pPr>
  </w:style>
  <w:style w:type="paragraph" w:styleId="920">
    <w:name w:val="Balloon Text"/>
    <w:basedOn w:val="901"/>
    <w:link w:val="945"/>
    <w:uiPriority w:val="99"/>
    <w:unhideWhenUsed/>
    <w:qFormat/>
    <w:rPr>
      <w:sz w:val="18"/>
      <w:szCs w:val="18"/>
    </w:rPr>
  </w:style>
  <w:style w:type="paragraph" w:styleId="921">
    <w:name w:val="Footer"/>
    <w:basedOn w:val="901"/>
    <w:link w:val="937"/>
    <w:uiPriority w:val="99"/>
    <w:unhideWhenUsed/>
    <w:qFormat/>
    <w:pPr>
      <w:jc w:val="left"/>
      <w:tabs>
        <w:tab w:val="center" w:pos="4153" w:leader="none"/>
        <w:tab w:val="right" w:pos="8306" w:leader="none"/>
      </w:tabs>
    </w:pPr>
    <w:rPr>
      <w:sz w:val="18"/>
      <w:szCs w:val="18"/>
    </w:rPr>
  </w:style>
  <w:style w:type="paragraph" w:styleId="922">
    <w:name w:val="Header"/>
    <w:basedOn w:val="901"/>
    <w:link w:val="9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3">
    <w:name w:val="toc 1"/>
    <w:basedOn w:val="901"/>
    <w:next w:val="901"/>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24">
    <w:name w:val="toc 2"/>
    <w:basedOn w:val="901"/>
    <w:next w:val="901"/>
    <w:uiPriority w:val="39"/>
    <w:unhideWhenUsed/>
    <w:qFormat/>
    <w:pPr>
      <w:ind w:left="221"/>
      <w:jc w:val="left"/>
      <w:spacing w:line="360" w:lineRule="auto"/>
      <w:widowControl/>
    </w:pPr>
    <w:rPr>
      <w:rFonts w:ascii="Times New Roman" w:hAnsi="Times New Roman" w:eastAsia="宋体" w:cs="Times New Roman"/>
      <w:sz w:val="22"/>
    </w:rPr>
  </w:style>
  <w:style w:type="paragraph" w:styleId="925">
    <w:name w:val="HTML Preformatted"/>
    <w:basedOn w:val="901"/>
    <w:link w:val="977"/>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26">
    <w:name w:val="Normal (Web)"/>
    <w:basedOn w:val="90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7">
    <w:name w:val="Title"/>
    <w:basedOn w:val="901"/>
    <w:link w:val="1005"/>
    <w:uiPriority w:val="10"/>
    <w:qFormat/>
    <w:pPr>
      <w:jc w:val="center"/>
      <w:spacing w:before="240" w:after="60"/>
      <w:outlineLvl w:val="0"/>
    </w:pPr>
    <w:rPr>
      <w:rFonts w:ascii="Arial" w:hAnsi="Arial"/>
      <w:b/>
      <w:sz w:val="32"/>
    </w:rPr>
  </w:style>
  <w:style w:type="paragraph" w:styleId="928">
    <w:name w:val="annotation subject"/>
    <w:basedOn w:val="910"/>
    <w:next w:val="910"/>
    <w:link w:val="955"/>
    <w:uiPriority w:val="99"/>
    <w:unhideWhenUsed/>
    <w:qFormat/>
    <w:rPr>
      <w:rFonts w:asciiTheme="minorHAnsi" w:hAnsiTheme="minorHAnsi" w:eastAsiaTheme="minorEastAsia" w:cstheme="minorBidi"/>
      <w:b/>
      <w:bCs/>
      <w:szCs w:val="22"/>
    </w:rPr>
  </w:style>
  <w:style w:type="paragraph" w:styleId="929">
    <w:name w:val="Body Text First Indent 2"/>
    <w:basedOn w:val="914"/>
    <w:next w:val="901"/>
    <w:uiPriority w:val="99"/>
    <w:qFormat/>
    <w:pPr>
      <w:ind w:left="420" w:firstLine="420"/>
    </w:pPr>
    <w:rPr>
      <w:rFonts w:ascii="Times New Roman" w:eastAsia="宋体"/>
      <w:szCs w:val="21"/>
    </w:rPr>
  </w:style>
  <w:style w:type="table" w:styleId="930">
    <w:name w:val="Table Grid"/>
    <w:basedOn w:val="906"/>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31">
    <w:name w:val="Strong"/>
    <w:uiPriority w:val="22"/>
    <w:qFormat/>
    <w:rPr>
      <w:b/>
      <w:bCs/>
    </w:rPr>
  </w:style>
  <w:style w:type="character" w:styleId="932">
    <w:name w:val="FollowedHyperlink"/>
    <w:basedOn w:val="905"/>
    <w:uiPriority w:val="99"/>
    <w:unhideWhenUsed/>
    <w:qFormat/>
    <w:rPr>
      <w:color w:val="333333"/>
      <w:u w:val="none"/>
    </w:rPr>
  </w:style>
  <w:style w:type="character" w:styleId="933">
    <w:name w:val="Emphasis"/>
    <w:basedOn w:val="905"/>
    <w:uiPriority w:val="20"/>
    <w:qFormat/>
  </w:style>
  <w:style w:type="character" w:styleId="934">
    <w:name w:val="Hyperlink"/>
    <w:basedOn w:val="905"/>
    <w:uiPriority w:val="99"/>
    <w:unhideWhenUsed/>
    <w:qFormat/>
    <w:rPr>
      <w:color w:val="0563c1" w:themeColor="hyperlink"/>
      <w:u w:val="single"/>
      <w14:textFill>
        <w14:solidFill>
          <w14:schemeClr w14:val="hlink"/>
        </w14:solidFill>
      </w14:textFill>
    </w:rPr>
  </w:style>
  <w:style w:type="character" w:styleId="935">
    <w:name w:val="annotation reference"/>
    <w:basedOn w:val="905"/>
    <w:uiPriority w:val="99"/>
    <w:qFormat/>
    <w:rPr>
      <w:sz w:val="21"/>
      <w:szCs w:val="21"/>
    </w:rPr>
  </w:style>
  <w:style w:type="character" w:styleId="936" w:customStyle="1">
    <w:name w:val="页眉 Char"/>
    <w:basedOn w:val="905"/>
    <w:link w:val="922"/>
    <w:uiPriority w:val="99"/>
    <w:qFormat/>
    <w:rPr>
      <w:sz w:val="18"/>
      <w:szCs w:val="18"/>
    </w:rPr>
  </w:style>
  <w:style w:type="character" w:styleId="937" w:customStyle="1">
    <w:name w:val="页脚 Char"/>
    <w:basedOn w:val="905"/>
    <w:link w:val="921"/>
    <w:uiPriority w:val="99"/>
    <w:qFormat/>
    <w:rPr>
      <w:sz w:val="18"/>
      <w:szCs w:val="18"/>
    </w:rPr>
  </w:style>
  <w:style w:type="character" w:styleId="938" w:customStyle="1">
    <w:name w:val="标题 1 Char"/>
    <w:basedOn w:val="905"/>
    <w:uiPriority w:val="9"/>
    <w:qFormat/>
    <w:rPr>
      <w:b/>
      <w:bCs/>
      <w:sz w:val="44"/>
      <w:szCs w:val="44"/>
    </w:rPr>
  </w:style>
  <w:style w:type="paragraph" w:styleId="939" w:customStyle="1">
    <w:name w:val="TOC 标题1"/>
    <w:basedOn w:val="902"/>
    <w:next w:val="901"/>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40" w:customStyle="1">
    <w:name w:val="列出段落1"/>
    <w:basedOn w:val="901"/>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41" w:customStyle="1">
    <w:name w:val="正文文本缩进 Char"/>
    <w:basedOn w:val="905"/>
    <w:link w:val="914"/>
    <w:uiPriority w:val="0"/>
    <w:qFormat/>
    <w:rPr>
      <w:rFonts w:ascii="楷体_GB2312" w:hAnsi="Times New Roman" w:eastAsia="楷体_GB2312" w:cs="Times New Roman"/>
      <w:sz w:val="28"/>
      <w:szCs w:val="20"/>
    </w:rPr>
  </w:style>
  <w:style w:type="paragraph" w:styleId="942" w:customStyle="1">
    <w:name w:val="蓝色显示"/>
    <w:basedOn w:val="901"/>
    <w:link w:val="943"/>
    <w:uiPriority w:val="0"/>
    <w:qFormat/>
    <w:pPr>
      <w:spacing w:before="340" w:after="330" w:line="400" w:lineRule="exact"/>
    </w:pPr>
    <w:rPr>
      <w:rFonts w:ascii="Times New Roman" w:hAnsi="Times New Roman" w:eastAsia="宋体" w:cs="Times New Roman"/>
      <w:b/>
      <w:color w:val="0070c0"/>
      <w:szCs w:val="24"/>
    </w:rPr>
  </w:style>
  <w:style w:type="character" w:styleId="943" w:customStyle="1">
    <w:name w:val="蓝色显示 Char"/>
    <w:link w:val="942"/>
    <w:uiPriority w:val="0"/>
    <w:qFormat/>
    <w:rPr>
      <w:rFonts w:ascii="Times New Roman" w:hAnsi="Times New Roman" w:eastAsia="宋体" w:cs="Times New Roman"/>
      <w:b/>
      <w:color w:val="0070c0"/>
      <w:szCs w:val="24"/>
    </w:rPr>
  </w:style>
  <w:style w:type="character" w:styleId="944" w:customStyle="1">
    <w:name w:val="纯文本 Char"/>
    <w:basedOn w:val="905"/>
    <w:link w:val="918"/>
    <w:uiPriority w:val="0"/>
    <w:qFormat/>
    <w:rPr>
      <w:rFonts w:ascii="宋体" w:hAnsi="Courier New" w:eastAsia="宋体" w:cs="Times New Roman"/>
      <w:szCs w:val="20"/>
    </w:rPr>
  </w:style>
  <w:style w:type="character" w:styleId="945" w:customStyle="1">
    <w:name w:val="批注框文本 Char"/>
    <w:basedOn w:val="905"/>
    <w:link w:val="920"/>
    <w:uiPriority w:val="99"/>
    <w:semiHidden/>
    <w:qFormat/>
    <w:rPr>
      <w:sz w:val="18"/>
      <w:szCs w:val="18"/>
    </w:rPr>
  </w:style>
  <w:style w:type="character" w:styleId="946" w:customStyle="1">
    <w:name w:val="日期 Char"/>
    <w:basedOn w:val="905"/>
    <w:link w:val="919"/>
    <w:uiPriority w:val="99"/>
    <w:semiHidden/>
    <w:qFormat/>
  </w:style>
  <w:style w:type="character" w:styleId="947" w:customStyle="1">
    <w:name w:val="批注文字 Char"/>
    <w:basedOn w:val="905"/>
    <w:uiPriority w:val="99"/>
    <w:qFormat/>
    <w:rPr>
      <w:rFonts w:ascii="Times New Roman" w:hAnsi="Times New Roman" w:eastAsia="宋体" w:cs="Times New Roman"/>
      <w:szCs w:val="20"/>
    </w:rPr>
  </w:style>
  <w:style w:type="character" w:styleId="948" w:customStyle="1">
    <w:name w:val="正文文本 3 Char"/>
    <w:basedOn w:val="905"/>
    <w:link w:val="911"/>
    <w:uiPriority w:val="0"/>
    <w:qFormat/>
    <w:rPr>
      <w:rFonts w:ascii="Times New Roman" w:hAnsi="Times New Roman" w:eastAsia="宋体" w:cs="Times New Roman"/>
      <w:sz w:val="16"/>
      <w:szCs w:val="16"/>
    </w:rPr>
  </w:style>
  <w:style w:type="paragraph" w:styleId="949" w:customStyle="1">
    <w:name w:val="正文00"/>
    <w:basedOn w:val="901"/>
    <w:uiPriority w:val="0"/>
    <w:qFormat/>
    <w:pPr>
      <w:ind w:firstLine="200"/>
      <w:spacing w:line="360" w:lineRule="auto"/>
    </w:pPr>
    <w:rPr>
      <w:rFonts w:ascii="Times New Roman" w:hAnsi="Times New Roman" w:eastAsia="宋体" w:cs="Times New Roman"/>
      <w:sz w:val="24"/>
      <w:szCs w:val="21"/>
    </w:rPr>
  </w:style>
  <w:style w:type="paragraph" w:styleId="950" w:customStyle="1">
    <w:name w:val="普通正文"/>
    <w:basedOn w:val="901"/>
    <w:uiPriority w:val="0"/>
    <w:qFormat/>
    <w:pPr>
      <w:ind w:firstLine="480"/>
      <w:jc w:val="left"/>
      <w:spacing w:before="120" w:after="120" w:line="360" w:lineRule="auto"/>
      <w:widowControl/>
    </w:pPr>
    <w:rPr>
      <w:rFonts w:ascii="Arial" w:hAnsi="Arial" w:eastAsia="宋体" w:cs="宋体"/>
      <w:sz w:val="24"/>
      <w:szCs w:val="24"/>
    </w:rPr>
  </w:style>
  <w:style w:type="character" w:styleId="951" w:customStyle="1">
    <w:name w:val="正文文本 Char"/>
    <w:basedOn w:val="905"/>
    <w:link w:val="913"/>
    <w:uiPriority w:val="0"/>
    <w:qFormat/>
  </w:style>
  <w:style w:type="paragraph" w:styleId="952" w:customStyle="1">
    <w:name w:val="Default"/>
    <w:uiPriority w:val="0"/>
    <w:qFormat/>
    <w:rPr>
      <w:rFonts w:ascii="宋体" w:hAnsi="Times New Roman" w:eastAsia="宋体" w:cs="宋体"/>
      <w:color w:val="000000"/>
      <w:sz w:val="24"/>
      <w:szCs w:val="24"/>
      <w:lang w:val="en-US" w:eastAsia="zh-CN" w:bidi="ar-SA"/>
    </w:rPr>
  </w:style>
  <w:style w:type="paragraph" w:styleId="953" w:customStyle="1">
    <w:name w:val="Table Paragraph"/>
    <w:basedOn w:val="901"/>
    <w:uiPriority w:val="1"/>
    <w:qFormat/>
    <w:pPr>
      <w:jc w:val="left"/>
    </w:pPr>
    <w:rPr>
      <w:rFonts w:ascii="Times New Roman" w:hAnsi="Times New Roman" w:eastAsia="宋体" w:cs="Times New Roman"/>
      <w:sz w:val="24"/>
      <w:szCs w:val="24"/>
    </w:rPr>
  </w:style>
  <w:style w:type="paragraph" w:styleId="954" w:customStyle="1">
    <w:name w:val="_Style 20"/>
    <w:basedOn w:val="901"/>
    <w:next w:val="940"/>
    <w:uiPriority w:val="34"/>
    <w:qFormat/>
    <w:pPr>
      <w:ind w:firstLine="420"/>
    </w:pPr>
    <w:rPr>
      <w:rFonts w:ascii="Times New Roman" w:hAnsi="Times New Roman" w:eastAsia="宋体" w:cs="Times New Roman"/>
      <w:szCs w:val="21"/>
    </w:rPr>
  </w:style>
  <w:style w:type="character" w:styleId="955" w:customStyle="1">
    <w:name w:val="批注主题 Char"/>
    <w:basedOn w:val="947"/>
    <w:link w:val="928"/>
    <w:uiPriority w:val="99"/>
    <w:semiHidden/>
    <w:qFormat/>
    <w:rPr>
      <w:rFonts w:ascii="Times New Roman" w:hAnsi="Times New Roman" w:eastAsia="宋体" w:cs="Times New Roman"/>
      <w:b/>
      <w:bCs/>
      <w:sz w:val="21"/>
      <w:szCs w:val="22"/>
    </w:rPr>
  </w:style>
  <w:style w:type="paragraph" w:styleId="956" w:customStyle="1">
    <w:name w:val="_Style 6"/>
    <w:basedOn w:val="901"/>
    <w:uiPriority w:val="34"/>
    <w:qFormat/>
    <w:pPr>
      <w:ind w:firstLine="420"/>
      <w:widowControl/>
    </w:pPr>
    <w:rPr>
      <w:rFonts w:ascii="Calibri" w:hAnsi="Calibri"/>
      <w:sz w:val="34"/>
      <w:szCs w:val="21"/>
    </w:rPr>
  </w:style>
  <w:style w:type="paragraph" w:styleId="957" w:customStyle="1">
    <w:name w:val="列出段落11"/>
    <w:basedOn w:val="901"/>
    <w:uiPriority w:val="99"/>
    <w:qFormat/>
    <w:pPr>
      <w:contextualSpacing/>
      <w:ind w:left="720"/>
    </w:pPr>
    <w:rPr>
      <w:rFonts w:ascii="黑体" w:hAnsi="黑体" w:eastAsia="Arial" w:cs="黑体"/>
      <w:szCs w:val="21"/>
    </w:rPr>
  </w:style>
  <w:style w:type="character" w:styleId="958" w:customStyle="1">
    <w:name w:val="bsharetext"/>
    <w:basedOn w:val="905"/>
    <w:uiPriority w:val="0"/>
    <w:qFormat/>
  </w:style>
  <w:style w:type="character" w:styleId="959" w:customStyle="1">
    <w:name w:val="active2"/>
    <w:basedOn w:val="905"/>
    <w:uiPriority w:val="0"/>
    <w:qFormat/>
    <w:rPr>
      <w:shd w:val="clear" w:color="auto" w:fill="0162b1"/>
    </w:rPr>
  </w:style>
  <w:style w:type="character" w:styleId="960" w:customStyle="1">
    <w:name w:val="add3"/>
    <w:basedOn w:val="905"/>
    <w:uiPriority w:val="0"/>
    <w:qFormat/>
  </w:style>
  <w:style w:type="paragraph" w:styleId="961">
    <w:name w:val="List Paragraph"/>
    <w:basedOn w:val="901"/>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62" w:customStyle="1">
    <w:name w:val="fontstyle01"/>
    <w:uiPriority w:val="0"/>
    <w:qFormat/>
    <w:rPr>
      <w:rFonts w:hint="eastAsia" w:ascii="宋体" w:hAnsi="宋体" w:eastAsia="宋体"/>
      <w:color w:val="000000"/>
      <w:sz w:val="24"/>
      <w:szCs w:val="24"/>
    </w:rPr>
  </w:style>
  <w:style w:type="character" w:styleId="963" w:customStyle="1">
    <w:name w:val="fontstyle21"/>
    <w:uiPriority w:val="0"/>
    <w:qFormat/>
    <w:rPr>
      <w:rFonts w:hint="default" w:ascii="Times New Roman" w:hAnsi="Times New Roman" w:cs="Times New Roman"/>
      <w:color w:val="000000"/>
      <w:sz w:val="24"/>
      <w:szCs w:val="24"/>
    </w:rPr>
  </w:style>
  <w:style w:type="paragraph" w:styleId="964"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65" w:customStyle="1">
    <w:name w:val="表格中文字（dbapp）"/>
    <w:basedOn w:val="901"/>
    <w:uiPriority w:val="0"/>
    <w:qFormat/>
    <w:pPr>
      <w:jc w:val="left"/>
      <w:spacing w:before="20" w:after="20"/>
    </w:pPr>
    <w:rPr>
      <w:rFonts w:ascii="方正兰亭黑简体" w:hAnsi="方正兰亭黑简体" w:eastAsia="方正兰亭黑简体"/>
      <w:szCs w:val="21"/>
    </w:rPr>
  </w:style>
  <w:style w:type="paragraph" w:styleId="966" w:customStyle="1">
    <w:name w:val="msolistparagraph"/>
    <w:basedOn w:val="901"/>
    <w:uiPriority w:val="0"/>
    <w:qFormat/>
    <w:pPr>
      <w:ind w:firstLine="420"/>
    </w:pPr>
    <w:rPr>
      <w:rFonts w:ascii="Calibri" w:hAnsi="Calibri" w:eastAsia="宋体" w:cs="Times New Roman"/>
    </w:rPr>
  </w:style>
  <w:style w:type="character" w:styleId="967" w:customStyle="1">
    <w:name w:val="标题 3 Char"/>
    <w:basedOn w:val="905"/>
    <w:link w:val="904"/>
    <w:uiPriority w:val="0"/>
    <w:qFormat/>
    <w:rPr>
      <w:b/>
      <w:bCs/>
      <w:sz w:val="32"/>
      <w:szCs w:val="32"/>
    </w:rPr>
  </w:style>
  <w:style w:type="character" w:styleId="968" w:customStyle="1">
    <w:name w:val="标题 1 Char1"/>
    <w:basedOn w:val="905"/>
    <w:link w:val="902"/>
    <w:uiPriority w:val="0"/>
    <w:qFormat/>
    <w:rPr>
      <w:b/>
      <w:bCs/>
      <w:sz w:val="32"/>
      <w:szCs w:val="44"/>
    </w:rPr>
  </w:style>
  <w:style w:type="character" w:styleId="969" w:customStyle="1">
    <w:name w:val="标题 2 字符1"/>
    <w:basedOn w:val="905"/>
    <w:uiPriority w:val="0"/>
    <w:qFormat/>
    <w:rPr>
      <w:rFonts w:hint="default" w:ascii="Cambria" w:hAnsi="Cambria" w:eastAsia="Cambria" w:cs="Cambria"/>
      <w:b/>
      <w:bCs/>
      <w:sz w:val="32"/>
      <w:szCs w:val="32"/>
    </w:rPr>
  </w:style>
  <w:style w:type="character" w:styleId="970" w:customStyle="1">
    <w:name w:val="批注文字 字符1"/>
    <w:basedOn w:val="905"/>
    <w:uiPriority w:val="0"/>
    <w:qFormat/>
    <w:rPr>
      <w:sz w:val="21"/>
      <w:szCs w:val="24"/>
    </w:rPr>
  </w:style>
  <w:style w:type="character" w:styleId="971" w:customStyle="1">
    <w:name w:val="批注文字 Char1"/>
    <w:basedOn w:val="905"/>
    <w:link w:val="910"/>
    <w:uiPriority w:val="99"/>
    <w:qFormat/>
    <w:rPr>
      <w:sz w:val="21"/>
      <w:szCs w:val="24"/>
    </w:rPr>
  </w:style>
  <w:style w:type="paragraph" w:styleId="972"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73"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74"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75"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76"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77" w:customStyle="1">
    <w:name w:val="HTML 预设格式 Char"/>
    <w:basedOn w:val="905"/>
    <w:link w:val="925"/>
    <w:uiPriority w:val="0"/>
    <w:qFormat/>
    <w:rPr>
      <w:rFonts w:hint="eastAsia" w:ascii="宋体" w:hAnsi="宋体" w:eastAsia="宋体" w:cs="宋体"/>
      <w:sz w:val="24"/>
      <w:szCs w:val="24"/>
    </w:rPr>
  </w:style>
  <w:style w:type="paragraph" w:styleId="978"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79"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80"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81"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82"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83"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84" w:customStyle="1">
    <w:name w:val="_正文段落 Char Char"/>
    <w:basedOn w:val="905"/>
    <w:uiPriority w:val="0"/>
    <w:qFormat/>
    <w:rPr>
      <w:sz w:val="24"/>
      <w:szCs w:val="24"/>
    </w:rPr>
  </w:style>
  <w:style w:type="paragraph" w:styleId="985" w:customStyle="1">
    <w:name w:val="正文段落样式"/>
    <w:basedOn w:val="901"/>
    <w:link w:val="987"/>
    <w:uiPriority w:val="0"/>
    <w:qFormat/>
    <w:pPr>
      <w:ind w:firstLine="420"/>
      <w:jc w:val="left"/>
      <w:spacing w:line="360" w:lineRule="auto"/>
    </w:pPr>
    <w:rPr>
      <w:rFonts w:hint="eastAsia" w:ascii="等线" w:hAnsi="等线" w:eastAsia="等线" w:cs="Times New Roman"/>
      <w:sz w:val="24"/>
      <w:szCs w:val="21"/>
    </w:rPr>
  </w:style>
  <w:style w:type="character" w:styleId="986" w:customStyle="1">
    <w:name w:val="列表段落 字符"/>
    <w:basedOn w:val="905"/>
    <w:uiPriority w:val="0"/>
    <w:qFormat/>
    <w:rPr>
      <w:rFonts w:hint="eastAsia" w:ascii="Arial Unicode MS" w:hAnsi="Arial Unicode MS" w:eastAsia="等线" w:cs="Arial Unicode MS"/>
      <w:color w:val="000000"/>
      <w:lang w:eastAsia="en-US"/>
    </w:rPr>
  </w:style>
  <w:style w:type="character" w:styleId="987" w:customStyle="1">
    <w:name w:val="正文段落样式 Char"/>
    <w:basedOn w:val="905"/>
    <w:link w:val="985"/>
    <w:uiPriority w:val="0"/>
    <w:qFormat/>
    <w:rPr>
      <w:rFonts w:hint="eastAsia" w:ascii="等线" w:hAnsi="等线" w:eastAsia="等线" w:cs="Times New Roman"/>
      <w:sz w:val="24"/>
      <w:szCs w:val="21"/>
    </w:rPr>
  </w:style>
  <w:style w:type="paragraph" w:styleId="988"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89"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90" w:customStyle="1">
    <w:name w:val="标题 6 字符"/>
    <w:basedOn w:val="905"/>
    <w:uiPriority w:val="0"/>
    <w:qFormat/>
    <w:rPr>
      <w:rFonts w:ascii="Arial" w:hAnsi="Arial" w:eastAsia="黑体" w:cs="Times New Roman"/>
      <w:sz w:val="22"/>
      <w:szCs w:val="20"/>
    </w:rPr>
  </w:style>
  <w:style w:type="character" w:styleId="991" w:customStyle="1">
    <w:name w:val="文档正文 Char"/>
    <w:basedOn w:val="905"/>
    <w:uiPriority w:val="0"/>
    <w:qFormat/>
    <w:rPr>
      <w:rFonts w:hint="default" w:ascii="Times New Roman" w:hAnsi="Times New Roman" w:eastAsia="宋体" w:cs="Times New Roman"/>
      <w:sz w:val="22"/>
      <w:szCs w:val="20"/>
    </w:rPr>
  </w:style>
  <w:style w:type="character" w:styleId="992" w:customStyle="1">
    <w:name w:val="标题 5 字符"/>
    <w:basedOn w:val="905"/>
    <w:uiPriority w:val="0"/>
    <w:qFormat/>
    <w:rPr>
      <w:rFonts w:hint="default" w:ascii="Times New Roman" w:hAnsi="Times New Roman" w:eastAsia="宋体" w:cs="Times New Roman"/>
      <w:sz w:val="28"/>
      <w:szCs w:val="20"/>
    </w:rPr>
  </w:style>
  <w:style w:type="character" w:styleId="993" w:customStyle="1">
    <w:name w:val="正文(首行缩进) Char"/>
    <w:basedOn w:val="905"/>
    <w:link w:val="994"/>
    <w:uiPriority w:val="0"/>
    <w:qFormat/>
    <w:rPr>
      <w:rFonts w:hint="default" w:ascii="Times New Roman" w:hAnsi="Times New Roman" w:eastAsia="宋体" w:cs="Times New Roman"/>
      <w:sz w:val="24"/>
      <w:szCs w:val="24"/>
    </w:rPr>
  </w:style>
  <w:style w:type="paragraph" w:styleId="994" w:customStyle="1">
    <w:name w:val="正文(首行缩进)"/>
    <w:basedOn w:val="901"/>
    <w:next w:val="901"/>
    <w:link w:val="993"/>
    <w:uiPriority w:val="0"/>
    <w:qFormat/>
    <w:pPr>
      <w:ind w:firstLine="480"/>
      <w:spacing w:line="360" w:lineRule="auto"/>
    </w:pPr>
    <w:rPr>
      <w:rFonts w:ascii="Times New Roman" w:hAnsi="Times New Roman" w:eastAsia="宋体" w:cs="Times New Roman"/>
      <w:sz w:val="24"/>
      <w:szCs w:val="24"/>
    </w:rPr>
  </w:style>
  <w:style w:type="character" w:styleId="995" w:customStyle="1">
    <w:name w:val="标题 4 字符"/>
    <w:basedOn w:val="905"/>
    <w:uiPriority w:val="0"/>
    <w:qFormat/>
    <w:rPr>
      <w:rFonts w:hint="eastAsia" w:ascii="宋体" w:hAnsi="宋体" w:eastAsia="宋体" w:cs="Times New Roman"/>
      <w:b/>
      <w:sz w:val="24"/>
      <w:szCs w:val="24"/>
    </w:rPr>
  </w:style>
  <w:style w:type="paragraph" w:styleId="996" w:customStyle="1">
    <w:name w:val="表格内容"/>
    <w:basedOn w:val="901"/>
    <w:uiPriority w:val="0"/>
    <w:qFormat/>
    <w:pPr>
      <w:ind w:left="420"/>
      <w:spacing w:before="156" w:after="156" w:line="300" w:lineRule="auto"/>
    </w:pPr>
    <w:rPr>
      <w:rFonts w:ascii="Times New Roman" w:hAnsi="Times New Roman" w:eastAsia="宋体" w:cs="Times New Roman"/>
      <w:sz w:val="18"/>
      <w:szCs w:val="24"/>
    </w:rPr>
  </w:style>
  <w:style w:type="character" w:styleId="997" w:customStyle="1">
    <w:name w:val="标题 3 字符"/>
    <w:basedOn w:val="905"/>
    <w:uiPriority w:val="0"/>
    <w:qFormat/>
    <w:rPr>
      <w:rFonts w:hint="eastAsia" w:ascii="宋体" w:hAnsi="宋体" w:eastAsia="宋体" w:cs="Times New Roman"/>
      <w:b/>
      <w:bCs/>
      <w:sz w:val="24"/>
      <w:szCs w:val="24"/>
    </w:rPr>
  </w:style>
  <w:style w:type="character" w:styleId="998" w:customStyle="1">
    <w:name w:val="标题 1 字符"/>
    <w:basedOn w:val="905"/>
    <w:uiPriority w:val="0"/>
    <w:qFormat/>
    <w:rPr>
      <w:rFonts w:hint="eastAsia" w:ascii="宋体" w:hAnsi="宋体" w:eastAsia="宋体" w:cs="Times New Roman"/>
      <w:b/>
      <w:bCs/>
      <w:sz w:val="36"/>
      <w:szCs w:val="36"/>
    </w:rPr>
  </w:style>
  <w:style w:type="character" w:styleId="999" w:customStyle="1">
    <w:name w:val="标题 9 字符"/>
    <w:basedOn w:val="905"/>
    <w:uiPriority w:val="0"/>
    <w:qFormat/>
    <w:rPr>
      <w:rFonts w:hint="default" w:ascii="Arial" w:hAnsi="Arial" w:eastAsia="黑体" w:cs="Times New Roman"/>
      <w:sz w:val="22"/>
      <w:szCs w:val="20"/>
    </w:rPr>
  </w:style>
  <w:style w:type="character" w:styleId="1000" w:customStyle="1">
    <w:name w:val="标题 8 字符"/>
    <w:basedOn w:val="905"/>
    <w:uiPriority w:val="0"/>
    <w:qFormat/>
    <w:rPr>
      <w:rFonts w:hint="default" w:ascii="Arial" w:hAnsi="Arial" w:eastAsia="黑体" w:cs="Times New Roman"/>
      <w:sz w:val="22"/>
      <w:szCs w:val="20"/>
    </w:rPr>
  </w:style>
  <w:style w:type="character" w:styleId="1001" w:customStyle="1">
    <w:name w:val="[正文行首缩进] Char"/>
    <w:basedOn w:val="905"/>
    <w:link w:val="1002"/>
    <w:uiPriority w:val="0"/>
    <w:qFormat/>
    <w:rPr>
      <w:rFonts w:hint="eastAsia" w:ascii="宋体" w:hAnsi="宋体" w:eastAsia="宋体" w:cs="宋体"/>
      <w:color w:val="000000"/>
      <w:sz w:val="24"/>
      <w:szCs w:val="24"/>
    </w:rPr>
  </w:style>
  <w:style w:type="paragraph" w:styleId="1002" w:customStyle="1">
    <w:name w:val="[正文行首缩进]"/>
    <w:basedOn w:val="901"/>
    <w:link w:val="1001"/>
    <w:uiPriority w:val="0"/>
    <w:qFormat/>
    <w:pPr>
      <w:jc w:val="center"/>
      <w:spacing w:line="360" w:lineRule="auto"/>
    </w:pPr>
    <w:rPr>
      <w:rFonts w:hint="eastAsia" w:ascii="宋体" w:hAnsi="等线" w:eastAsia="等线" w:cs="Times New Roman"/>
      <w:color w:val="000000"/>
      <w:sz w:val="24"/>
      <w:szCs w:val="24"/>
    </w:rPr>
  </w:style>
  <w:style w:type="character" w:styleId="1003" w:customStyle="1">
    <w:name w:val="正文缩进 字符"/>
    <w:basedOn w:val="905"/>
    <w:uiPriority w:val="0"/>
    <w:qFormat/>
    <w:rPr>
      <w:sz w:val="24"/>
    </w:rPr>
  </w:style>
  <w:style w:type="character" w:styleId="1004" w:customStyle="1">
    <w:name w:val="文档结构图 Char"/>
    <w:basedOn w:val="905"/>
    <w:link w:val="909"/>
    <w:uiPriority w:val="0"/>
    <w:qFormat/>
    <w:rPr>
      <w:rFonts w:hint="eastAsia" w:ascii="Microsoft YaHei UI" w:hAnsi="Microsoft YaHei UI" w:eastAsia="Microsoft YaHei UI" w:cs="Microsoft YaHei UI"/>
      <w:sz w:val="18"/>
      <w:szCs w:val="18"/>
    </w:rPr>
  </w:style>
  <w:style w:type="character" w:styleId="1005" w:customStyle="1">
    <w:name w:val="标题 Char"/>
    <w:basedOn w:val="905"/>
    <w:link w:val="927"/>
    <w:uiPriority w:val="0"/>
    <w:qFormat/>
    <w:rPr>
      <w:rFonts w:ascii="等线 Light" w:hAnsi="等线 Light" w:eastAsia="等线 Light" w:cs="Times New Roman"/>
      <w:b/>
      <w:bCs/>
      <w:sz w:val="32"/>
      <w:szCs w:val="32"/>
    </w:rPr>
  </w:style>
  <w:style w:type="character" w:styleId="1006" w:customStyle="1">
    <w:name w:val="标题 2 字符"/>
    <w:basedOn w:val="905"/>
    <w:uiPriority w:val="0"/>
    <w:qFormat/>
    <w:rPr>
      <w:rFonts w:hint="eastAsia" w:ascii="宋体" w:hAnsi="宋体" w:eastAsia="宋体" w:cs="Times New Roman"/>
      <w:b/>
      <w:bCs/>
      <w:sz w:val="28"/>
      <w:szCs w:val="32"/>
    </w:rPr>
  </w:style>
  <w:style w:type="character" w:styleId="1007" w:customStyle="1">
    <w:name w:val="标题 7 字符"/>
    <w:basedOn w:val="905"/>
    <w:uiPriority w:val="0"/>
    <w:qFormat/>
    <w:rPr>
      <w:rFonts w:hint="default" w:ascii="Times New Roman" w:hAnsi="Times New Roman" w:eastAsia="宋体" w:cs="Times New Roman"/>
      <w:b/>
      <w:sz w:val="22"/>
      <w:szCs w:val="20"/>
    </w:rPr>
  </w:style>
  <w:style w:type="paragraph" w:styleId="1008" w:customStyle="1">
    <w:name w:val="表格标题"/>
    <w:basedOn w:val="901"/>
    <w:uiPriority w:val="0"/>
    <w:qFormat/>
    <w:pPr>
      <w:jc w:val="center"/>
      <w:spacing w:before="62" w:after="62" w:line="360" w:lineRule="auto"/>
    </w:pPr>
    <w:rPr>
      <w:rFonts w:hint="eastAsia" w:ascii="宋体" w:hAnsi="宋体" w:eastAsia="宋体" w:cs="Times New Roman"/>
      <w:b/>
      <w:bCs/>
      <w:szCs w:val="20"/>
    </w:rPr>
  </w:style>
  <w:style w:type="table" w:styleId="1009" w:customStyle="1">
    <w:name w:val="Table Normal"/>
    <w:basedOn w:val="906"/>
    <w:uiPriority w:val="0"/>
    <w:semiHidden/>
    <w:qFormat/>
    <w:pPr>
      <w:widowControl w:val="off"/>
    </w:pPr>
    <w:rPr>
      <w:rFonts w:hint="eastAsia"/>
      <w:sz w:val="22"/>
      <w:szCs w:val="22"/>
      <w:lang w:eastAsia="en-US"/>
    </w:rPr>
    <w:tblPr>
      <w:tblCellMar>
        <w:left w:w="0" w:type="dxa"/>
        <w:top w:w="0" w:type="dxa"/>
        <w:right w:w="0" w:type="dxa"/>
        <w:bottom w:w="0" w:type="dxa"/>
      </w:tblCellMar>
    </w:tblPr>
  </w:style>
  <w:style w:type="paragraph" w:styleId="1010"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1011" w:customStyle="1">
    <w:name w:val="正文文本首行缩进 字符"/>
    <w:uiPriority w:val="0"/>
    <w:qFormat/>
    <w:rPr>
      <w:rFonts w:hint="default" w:ascii="Calibri" w:hAnsi="Calibri" w:eastAsia="宋体" w:cs="Times New Roman"/>
      <w:sz w:val="21"/>
      <w:szCs w:val="22"/>
    </w:rPr>
  </w:style>
  <w:style w:type="paragraph" w:styleId="1012" w:customStyle="1">
    <w:name w:val="表正文"/>
    <w:basedOn w:val="901"/>
    <w:uiPriority w:val="0"/>
    <w:qFormat/>
    <w:rPr>
      <w:rFonts w:hint="eastAsia" w:ascii="等线" w:hAnsi="等线" w:eastAsia="宋体" w:cs="Times New Roman"/>
      <w:sz w:val="18"/>
    </w:rPr>
  </w:style>
  <w:style w:type="paragraph" w:styleId="1013"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1014" w:customStyle="1">
    <w:name w:val="列出段落 Char"/>
    <w:basedOn w:val="905"/>
    <w:uiPriority w:val="0"/>
    <w:qFormat/>
    <w:rPr>
      <w:rFonts w:hint="eastAsia" w:ascii="Arial Unicode MS" w:hAnsi="Arial Unicode MS" w:eastAsia="Arial Unicode MS" w:cs="Arial Unicode MS"/>
      <w:color w:val="000000"/>
      <w:sz w:val="20"/>
      <w:szCs w:val="20"/>
      <w:lang w:eastAsia="en-US"/>
    </w:rPr>
  </w:style>
  <w:style w:type="character" w:styleId="1015" w:customStyle="1">
    <w:name w:val="标题 2 字符2"/>
    <w:basedOn w:val="905"/>
    <w:uiPriority w:val="0"/>
    <w:qFormat/>
    <w:rPr>
      <w:rFonts w:hint="default" w:ascii="Arial" w:hAnsi="Arial" w:eastAsia="黑体" w:cs="Arial"/>
      <w:b/>
      <w:bCs/>
      <w:sz w:val="32"/>
      <w:szCs w:val="32"/>
    </w:rPr>
  </w:style>
  <w:style w:type="paragraph" w:styleId="1016"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17"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18" w:customStyle="1">
    <w:name w:val="标题 2 Char"/>
    <w:basedOn w:val="905"/>
    <w:link w:val="903"/>
    <w:uiPriority w:val="0"/>
    <w:qFormat/>
    <w:rPr>
      <w:rFonts w:hint="default" w:ascii="Arial" w:hAnsi="Arial" w:eastAsia="黑体" w:cs="Arial"/>
      <w:b/>
      <w:bCs/>
      <w:sz w:val="32"/>
      <w:szCs w:val="32"/>
    </w:rPr>
  </w:style>
  <w:style w:type="character" w:styleId="1019" w:customStyle="1">
    <w:name w:val="列出段落 Char1"/>
    <w:basedOn w:val="905"/>
    <w:uiPriority w:val="0"/>
    <w:qFormat/>
    <w:rPr>
      <w:rFonts w:hint="eastAsia" w:ascii="Arial Unicode MS" w:hAnsi="Arial Unicode MS" w:eastAsia="Arial Unicode MS" w:cs="Arial Unicode MS"/>
      <w:color w:val="000000"/>
      <w:sz w:val="20"/>
      <w:szCs w:val="20"/>
      <w:lang w:eastAsia="en-US"/>
    </w:rPr>
  </w:style>
  <w:style w:type="paragraph" w:styleId="1020"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21"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22" w:customStyle="1">
    <w:name w:val="Table Text"/>
    <w:basedOn w:val="901"/>
    <w:hidden/>
    <w:uiPriority w:val="0"/>
    <w:qFormat/>
    <w:pPr>
      <w:jc w:val="left"/>
      <w:widowControl/>
    </w:pPr>
    <w:rPr>
      <w:rFonts w:hint="eastAsia" w:ascii="宋体" w:hAnsi="宋体" w:eastAsia="宋体" w:cs="Times New Roman"/>
      <w:color w:val="000000"/>
      <w:szCs w:val="21"/>
    </w:rPr>
  </w:style>
  <w:style w:type="paragraph" w:styleId="1023"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24"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25" w:customStyle="1">
    <w:name w:val="纯文本 字符1"/>
    <w:basedOn w:val="905"/>
    <w:uiPriority w:val="0"/>
    <w:qFormat/>
    <w:rPr>
      <w:rFonts w:hint="eastAsia" w:ascii="宋体" w:hAnsi="Courier New" w:eastAsia="宋体" w:cs="Courier New"/>
      <w:szCs w:val="24"/>
    </w:rPr>
  </w:style>
  <w:style w:type="paragraph" w:styleId="1026"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27" w:customStyle="1">
    <w:name w:val="段"/>
    <w:basedOn w:val="901"/>
    <w:next w:val="901"/>
    <w:uiPriority w:val="0"/>
    <w:qFormat/>
    <w:pPr>
      <w:ind w:firstLine="200"/>
      <w:spacing w:line="360" w:lineRule="auto"/>
      <w:widowControl/>
    </w:pPr>
    <w:rPr>
      <w:rFonts w:hint="eastAsia" w:ascii="宋体" w:hAnsi="Times New Roman" w:eastAsia="宋体" w:cs="Times New Roman"/>
      <w:sz w:val="24"/>
    </w:rPr>
  </w:style>
  <w:style w:type="paragraph" w:styleId="1028"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29"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30"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31"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32" w:customStyle="1">
    <w:name w:val="正文文本首行缩进 2 字符"/>
    <w:uiPriority w:val="0"/>
    <w:qFormat/>
    <w:rPr>
      <w:sz w:val="21"/>
      <w:szCs w:val="24"/>
    </w:rPr>
  </w:style>
  <w:style w:type="paragraph" w:styleId="1033" w:customStyle="1">
    <w:name w:val="qq正文"/>
    <w:basedOn w:val="901"/>
    <w:uiPriority w:val="0"/>
    <w:qFormat/>
    <w:pPr>
      <w:ind w:firstLine="200"/>
      <w:spacing w:line="360" w:lineRule="auto"/>
    </w:pPr>
    <w:rPr>
      <w:rFonts w:ascii="Times New Roman" w:hAnsi="Times New Roman" w:eastAsia="宋体" w:cs="Times New Roman"/>
      <w:sz w:val="24"/>
      <w:szCs w:val="24"/>
    </w:rPr>
  </w:style>
  <w:style w:type="paragraph" w:styleId="1034"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35"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36"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37"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38"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39"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40" w:customStyle="1">
    <w:name w:val="正文首行缩进 21"/>
    <w:basedOn w:val="1041"/>
    <w:uiPriority w:val="0"/>
    <w:qFormat/>
    <w:pPr>
      <w:ind w:left="0" w:firstLine="420"/>
      <w:spacing w:after="0" w:line="360" w:lineRule="auto"/>
    </w:pPr>
    <w:rPr>
      <w:rFonts w:ascii="宋体" w:hAnsi="宋体"/>
      <w:sz w:val="20"/>
      <w:szCs w:val="20"/>
      <w:lang w:eastAsia="en-US"/>
    </w:rPr>
  </w:style>
  <w:style w:type="paragraph" w:styleId="1041" w:customStyle="1">
    <w:name w:val="正文文本缩进1"/>
    <w:basedOn w:val="901"/>
    <w:next w:val="1040"/>
    <w:uiPriority w:val="0"/>
    <w:unhideWhenUsed/>
    <w:qFormat/>
    <w:pPr>
      <w:ind w:left="420"/>
      <w:spacing w:after="120"/>
    </w:pPr>
  </w:style>
  <w:style w:type="paragraph" w:styleId="1042" w:customStyle="1">
    <w:name w:val="修订32"/>
    <w:hidden/>
    <w:uiPriority w:val="99"/>
    <w:semiHidden/>
    <w:qFormat/>
    <w:rPr>
      <w:rFonts w:asciiTheme="minorHAnsi" w:hAnsiTheme="minorHAnsi" w:eastAsiaTheme="minorEastAsia" w:cstheme="minorBidi"/>
      <w:sz w:val="21"/>
      <w:szCs w:val="22"/>
      <w:lang w:val="en-US" w:eastAsia="zh-CN" w:bidi="ar-SA"/>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0446F0F-4178-4F59-9478-A189A98FE11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39</cp:revision>
  <dcterms:created xsi:type="dcterms:W3CDTF">2026-05-18T02:35:00Z</dcterms:created>
  <dcterms:modified xsi:type="dcterms:W3CDTF">2026-07-23T02:33:55Z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892E9FE47B9F4161BACE409FAB5F1F2F_13</vt:lpwstr>
  </property>
  <property fmtid="{D5CDD505-2E9C-101B-9397-08002B2CF9AE}" pid="4" name="KSOTemplateDocerSaveRecord">
    <vt:lpwstr>eyJoZGlkIjoiNTE3ODBhODAwYWZlYmM2Zjk2MjA5ZjdiYTk1Y2U0OTQiLCJ1c2VySWQiOiI5NTc1NDY5NDYifQ==</vt:lpwstr>
  </property>
</Properties>
</file>