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单一来源</w:t>
      </w:r>
      <w:bookmarkStart w:id="228" w:name="_GoBack"/>
      <w:r/>
      <w:bookmarkEnd w:id="228"/>
      <w:r>
        <w:rPr>
          <w:rFonts w:hint="eastAsia" w:ascii="Arial" w:hAnsi="Arial" w:eastAsia="黑体"/>
          <w:b/>
          <w:bCs/>
          <w:sz w:val="84"/>
          <w:szCs w:val="24"/>
        </w:rPr>
        <w:t xml:space="preserve">采购文件</w:t>
      </w:r>
      <w:r/>
    </w:p>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ind w:firstLine="964"/>
        <w:spacing w:before="120" w:after="120" w:line="360" w:lineRule="auto"/>
        <w:rPr>
          <w:rFonts w:hint="default" w:ascii="Times New Roman" w:hAnsi="Times New Roman" w:eastAsiaTheme="minorEastAsia"/>
          <w:b/>
          <w:bCs/>
          <w:sz w:val="32"/>
          <w:lang w:val="en-US" w:eastAsia="zh-CN"/>
        </w:rPr>
      </w:pPr>
      <w:r>
        <w:rPr>
          <w:rFonts w:hint="eastAsia" w:ascii="Times New Roman" w:hAnsi="Times New Roman"/>
          <w:b/>
          <w:bCs/>
          <w:sz w:val="32"/>
        </w:rPr>
        <w:t xml:space="preserve">项目名称：</w:t>
      </w:r>
      <w:r>
        <w:rPr>
          <w:rFonts w:hint="eastAsia" w:ascii="Times New Roman" w:hAnsi="Times New Roman"/>
          <w:b/>
          <w:bCs/>
          <w:sz w:val="32"/>
          <w:lang w:val="en-US" w:eastAsia="zh-CN"/>
        </w:rPr>
        <w:t xml:space="preserve">可信数据空间智能底座项目</w:t>
      </w:r>
      <w:r/>
    </w:p>
    <w:p>
      <w:pPr>
        <w:ind w:firstLine="964"/>
        <w:jc w:val="left"/>
        <w:spacing w:before="120" w:after="120" w:line="360" w:lineRule="auto"/>
        <w:rPr>
          <w:rFonts w:hint="default" w:ascii="宋体" w:hAnsi="宋体" w:eastAsia="宋体"/>
          <w:sz w:val="24"/>
          <w:szCs w:val="24"/>
          <w:lang w:val="en-US" w:eastAsia="zh-CN"/>
        </w:rPr>
      </w:pPr>
      <w:r>
        <w:rPr>
          <w:rFonts w:hint="eastAsia" w:ascii="Times New Roman" w:hAnsi="Times New Roman"/>
          <w:b/>
          <w:bCs/>
          <w:sz w:val="32"/>
        </w:rPr>
        <w:t xml:space="preserve">项目编号</w:t>
      </w:r>
      <w:r>
        <w:rPr>
          <w:rFonts w:hint="eastAsia" w:ascii="Times New Roman" w:hAnsi="Times New Roman" w:eastAsia="宋体" w:cs="Times New Roman"/>
          <w:b/>
          <w:bCs/>
          <w:sz w:val="32"/>
          <w:szCs w:val="24"/>
        </w:rPr>
        <w:t xml:space="preserve">：</w:t>
      </w:r>
      <w:r>
        <w:rPr>
          <w:rFonts w:hint="eastAsia" w:ascii="Times New Roman" w:hAnsi="Times New Roman" w:eastAsia="宋体" w:cs="Times New Roman"/>
          <w:b/>
          <w:bCs/>
          <w:sz w:val="32"/>
          <w:szCs w:val="24"/>
          <w:lang w:eastAsia="zh-CN"/>
        </w:rPr>
        <w:t xml:space="preserve">JSZC-321300-JZCG-D2026-0059</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621"/>
        <w:ind w:firstLine="1054"/>
        <w:jc w:val="both"/>
        <w:rPr>
          <w:rFonts w:hint="eastAsia" w:ascii="宋体" w:hAnsi="宋体" w:eastAsia="宋体" w:cs="宋体"/>
          <w:b/>
          <w:bCs/>
          <w:sz w:val="32"/>
          <w:lang w:val="en-US" w:eastAsia="zh-CN"/>
        </w:rPr>
      </w:pPr>
      <w:r>
        <w:rPr>
          <w:rFonts w:hint="eastAsia" w:ascii="宋体" w:hAnsi="宋体" w:cs="宋体"/>
          <w:b/>
          <w:bCs/>
          <w:sz w:val="32"/>
        </w:rPr>
        <w:t xml:space="preserve">采购人：</w:t>
      </w:r>
      <w:r>
        <w:rPr>
          <w:rFonts w:hint="eastAsia" w:ascii="宋体" w:hAnsi="宋体" w:cs="宋体"/>
          <w:b/>
          <w:bCs/>
          <w:sz w:val="32"/>
          <w:lang w:eastAsia="zh-CN"/>
        </w:rPr>
        <w:t xml:space="preserve">宿迁市数据局</w:t>
      </w:r>
      <w:r/>
    </w:p>
    <w:p>
      <w:pPr>
        <w:ind w:firstLine="964"/>
        <w:spacing w:before="120" w:after="120" w:line="360" w:lineRule="auto"/>
        <w:rPr>
          <w:rFonts w:hint="eastAsia" w:ascii="宋体" w:hAnsi="宋体" w:cs="宋体"/>
          <w:b/>
          <w:bCs/>
          <w:sz w:val="32"/>
        </w:rPr>
      </w:pPr>
      <w:r>
        <w:rPr>
          <w:rFonts w:hint="eastAsia" w:ascii="宋体" w:hAnsi="宋体" w:cs="宋体"/>
          <w:b/>
          <w:bCs/>
          <w:sz w:val="32"/>
        </w:rPr>
        <w:t xml:space="preserve">采购代理机构：宿迁市公共资源交易中心</w:t>
      </w:r>
      <w:r/>
    </w:p>
    <w:p>
      <w:pPr>
        <w:pStyle w:val="621"/>
        <w:rPr>
          <w:rFonts w:hint="eastAsia" w:ascii="宋体" w:hAnsi="宋体" w:cs="宋体"/>
          <w:b/>
          <w:bCs/>
          <w:sz w:val="32"/>
        </w:rPr>
      </w:pPr>
      <w:r>
        <w:rPr>
          <w:rFonts w:hint="eastAsia" w:ascii="宋体" w:hAnsi="宋体" w:cs="宋体"/>
          <w:b/>
          <w:bCs/>
          <w:sz w:val="32"/>
        </w:rPr>
        <w:t xml:space="preserve">                </w:t>
      </w:r>
      <w:r/>
    </w:p>
    <w:p>
      <w:pPr>
        <w:pStyle w:val="621"/>
        <w:ind w:firstLine="2975"/>
        <w:rPr>
          <w:rFonts w:hint="eastAsia" w:ascii="宋体" w:hAnsi="宋体" w:cs="宋体"/>
          <w:b/>
          <w:bCs/>
          <w:sz w:val="32"/>
          <w:highlight w:val="yellow"/>
        </w:rPr>
      </w:pPr>
      <w:r>
        <w:rPr>
          <w:rFonts w:hint="eastAsia" w:ascii="宋体" w:hAnsi="宋体" w:cs="宋体"/>
          <w:b/>
          <w:bCs/>
          <w:sz w:val="32"/>
        </w:rPr>
        <w:t xml:space="preserve">202</w:t>
      </w:r>
      <w:r>
        <w:rPr>
          <w:rFonts w:hint="eastAsia" w:ascii="宋体" w:hAnsi="宋体" w:cs="宋体"/>
          <w:b/>
          <w:bCs/>
          <w:sz w:val="32"/>
          <w:lang w:val="en-US" w:eastAsia="zh-CN"/>
        </w:rPr>
        <w:t xml:space="preserve">6</w:t>
      </w:r>
      <w:r>
        <w:rPr>
          <w:rFonts w:hint="eastAsia" w:ascii="宋体" w:hAnsi="宋体" w:cs="宋体"/>
          <w:b/>
          <w:bCs/>
          <w:sz w:val="32"/>
          <w:szCs w:val="22"/>
        </w:rPr>
        <w:t xml:space="preserve">年</w:t>
      </w:r>
      <w:r>
        <w:rPr>
          <w:rFonts w:hint="eastAsia" w:ascii="宋体" w:hAnsi="宋体" w:cs="宋体"/>
          <w:b/>
          <w:bCs/>
          <w:sz w:val="32"/>
          <w:szCs w:val="22"/>
          <w:lang w:val="en-US" w:eastAsia="zh-CN"/>
        </w:rPr>
        <w:t xml:space="preserve">8</w:t>
      </w:r>
      <w:r>
        <w:rPr>
          <w:rFonts w:hint="eastAsia" w:ascii="宋体" w:hAnsi="宋体" w:cs="宋体"/>
          <w:b/>
          <w:bCs/>
          <w:sz w:val="32"/>
          <w:szCs w:val="22"/>
        </w:rPr>
        <w:t xml:space="preserve">月</w:t>
      </w:r>
      <w:r>
        <w:rPr>
          <w:rFonts w:hint="eastAsia" w:ascii="宋体" w:hAnsi="宋体" w:cs="宋体"/>
          <w:b/>
          <w:bCs/>
          <w:sz w:val="32"/>
          <w:szCs w:val="22"/>
          <w:lang w:val="en-US" w:eastAsia="zh-CN"/>
        </w:rPr>
        <w:t xml:space="preserve">12</w:t>
      </w:r>
      <w:r>
        <w:rPr>
          <w:rFonts w:hint="eastAsia" w:ascii="宋体" w:hAnsi="宋体" w:cs="宋体"/>
          <w:b/>
          <w:bCs/>
          <w:sz w:val="32"/>
          <w:szCs w:val="22"/>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rPr>
          <w:rFonts w:hint="eastAsia" w:ascii="黑体" w:hAnsi="黑体" w:eastAsia="黑体" w:cs="黑体"/>
          <w:sz w:val="32"/>
          <w:szCs w:val="36"/>
        </w:rPr>
      </w:pPr>
      <w:r>
        <w:rPr>
          <w:rFonts w:hint="eastAsia" w:ascii="黑体" w:hAnsi="黑体" w:eastAsia="黑体" w:cs="黑体"/>
          <w:sz w:val="32"/>
          <w:szCs w:val="36"/>
        </w:rPr>
        <w:br w:type="page" w:clear="all"/>
      </w:r>
      <w:bookmarkStart w:id="0" w:name="_Toc9739"/>
      <w:r/>
      <w:bookmarkStart w:id="1" w:name="_Toc15105"/>
      <w:r/>
      <w:bookmarkStart w:id="2" w:name="_Toc120614210"/>
      <w:r/>
      <w:bookmarkStart w:id="3" w:name="_Toc513029200"/>
      <w:r/>
      <w:bookmarkStart w:id="4" w:name="_Toc479757206"/>
      <w:r/>
      <w:bookmarkStart w:id="5" w:name="_Toc16938516"/>
      <w:r/>
      <w:bookmarkStart w:id="6" w:name="_Toc523127445"/>
      <w:r/>
      <w:bookmarkStart w:id="7" w:name="_Toc20823272"/>
      <w:r>
        <w:rPr>
          <w:rFonts w:hint="eastAsia" w:ascii="黑体" w:hAnsi="黑体" w:eastAsia="黑体" w:cs="黑体"/>
          <w:sz w:val="32"/>
          <w:szCs w:val="36"/>
        </w:rPr>
        <w:t xml:space="preserve">总  目  录</w:t>
      </w:r>
      <w:bookmarkEnd w:id="0"/>
      <w:r/>
      <w:bookmarkEnd w:id="1"/>
      <w:r/>
      <w:r/>
    </w:p>
    <w:p>
      <w:pPr>
        <w:spacing w:line="480" w:lineRule="auto"/>
        <w:rPr>
          <w:rFonts w:ascii="仿宋_GB2312" w:hAnsi="Arial" w:eastAsia="仿宋_GB2312"/>
          <w:b/>
          <w:sz w:val="28"/>
          <w:szCs w:val="21"/>
        </w:rPr>
      </w:pPr>
      <w:r>
        <w:rPr>
          <w:rFonts w:ascii="仿宋_GB2312" w:hAnsi="Arial" w:eastAsia="仿宋_GB2312"/>
          <w:b/>
          <w:sz w:val="28"/>
          <w:szCs w:val="21"/>
        </w:rPr>
      </w:r>
      <w:r/>
    </w:p>
    <w:p>
      <w:pPr>
        <w:pStyle w:val="619"/>
        <w:keepLines w:val="0"/>
        <w:keepNext w:val="0"/>
        <w:pageBreakBefore w:val="0"/>
        <w:spacing w:line="800" w:lineRule="exact"/>
        <w:widowControl w:val="off"/>
        <w:tabs>
          <w:tab w:val="right" w:pos="8306" w:leader="dot"/>
        </w:tabs>
        <w:rPr>
          <w:rFonts w:ascii="Times New Roman" w:hAnsi="Times New Roman" w:eastAsia="黑体"/>
          <w:sz w:val="32"/>
        </w:rPr>
      </w:pPr>
      <w:r>
        <w:rPr>
          <w:rFonts w:ascii="Times New Roman" w:hAnsi="Times New Roman" w:eastAsia="黑体"/>
          <w:sz w:val="32"/>
          <w:szCs w:val="21"/>
        </w:rPr>
        <w:fldChar w:fldCharType="begin"/>
      </w:r>
      <w:r>
        <w:rPr>
          <w:rFonts w:ascii="Times New Roman" w:hAnsi="Times New Roman" w:eastAsia="黑体"/>
          <w:sz w:val="32"/>
          <w:szCs w:val="21"/>
        </w:rPr>
        <w:instrText xml:space="preserve">TOC \o "1-1" \h \u </w:instrText>
      </w:r>
      <w:r>
        <w:rPr>
          <w:rFonts w:ascii="Times New Roman" w:hAnsi="Times New Roman" w:eastAsia="黑体"/>
          <w:sz w:val="32"/>
          <w:szCs w:val="21"/>
        </w:rPr>
        <w:fldChar w:fldCharType="separate"/>
      </w:r>
      <w:r>
        <w:rPr>
          <w:rFonts w:ascii="Times New Roman" w:hAnsi="Times New Roman" w:eastAsia="黑体"/>
          <w:sz w:val="32"/>
          <w:szCs w:val="21"/>
        </w:rPr>
        <w:fldChar w:fldCharType="begin"/>
      </w:r>
      <w:r>
        <w:rPr>
          <w:rFonts w:ascii="Times New Roman" w:hAnsi="Times New Roman" w:eastAsia="黑体"/>
          <w:sz w:val="32"/>
          <w:szCs w:val="21"/>
        </w:rPr>
        <w:instrText xml:space="preserve"> HYPERLINK \l _Toc32622 </w:instrText>
      </w:r>
      <w:r>
        <w:rPr>
          <w:rFonts w:ascii="Times New Roman" w:hAnsi="Times New Roman" w:eastAsia="黑体"/>
          <w:sz w:val="32"/>
          <w:szCs w:val="21"/>
        </w:rPr>
        <w:fldChar w:fldCharType="separate"/>
      </w:r>
      <w:r>
        <w:rPr>
          <w:rFonts w:hint="default" w:ascii="Times New Roman" w:hAnsi="Times New Roman" w:eastAsia="黑体"/>
          <w:sz w:val="32"/>
          <w:lang w:val="en-US" w:eastAsia="en-US"/>
        </w:rPr>
        <w:t xml:space="preserve">第一章</w:t>
      </w:r>
      <w:r>
        <w:rPr>
          <w:rFonts w:hint="eastAsia" w:ascii="Times New Roman" w:hAnsi="Times New Roman" w:eastAsia="黑体"/>
          <w:sz w:val="32"/>
          <w:lang w:val="en-US" w:eastAsia="zh-CN"/>
        </w:rPr>
        <w:t xml:space="preserve">  </w:t>
      </w:r>
      <w:r>
        <w:rPr>
          <w:rFonts w:hint="eastAsia" w:ascii="Times New Roman" w:hAnsi="Times New Roman" w:eastAsia="黑体"/>
          <w:sz w:val="32"/>
        </w:rPr>
        <w:t xml:space="preserve">单一来源采购邀请</w:t>
      </w:r>
      <w:r>
        <w:rPr>
          <w:rFonts w:ascii="Times New Roman" w:hAnsi="Times New Roman" w:eastAsia="黑体"/>
          <w:sz w:val="32"/>
        </w:rPr>
        <w:tab/>
      </w:r>
      <w:r>
        <w:rPr>
          <w:rFonts w:ascii="Times New Roman" w:hAnsi="Times New Roman" w:eastAsia="黑体"/>
          <w:sz w:val="32"/>
        </w:rPr>
        <w:fldChar w:fldCharType="begin"/>
      </w:r>
      <w:r>
        <w:rPr>
          <w:rFonts w:ascii="Times New Roman" w:hAnsi="Times New Roman" w:eastAsia="黑体"/>
          <w:sz w:val="32"/>
        </w:rPr>
        <w:instrText xml:space="preserve"> PAGEREF _Toc32622 \h </w:instrText>
      </w:r>
      <w:r>
        <w:rPr>
          <w:rFonts w:ascii="Times New Roman" w:hAnsi="Times New Roman" w:eastAsia="黑体"/>
          <w:sz w:val="32"/>
        </w:rPr>
        <w:fldChar w:fldCharType="separate"/>
      </w:r>
      <w:r>
        <w:rPr>
          <w:rFonts w:ascii="Times New Roman" w:hAnsi="Times New Roman" w:eastAsia="黑体"/>
          <w:sz w:val="32"/>
        </w:rPr>
        <w:t xml:space="preserve">3</w:t>
      </w:r>
      <w:r>
        <w:rPr>
          <w:rFonts w:ascii="Times New Roman" w:hAnsi="Times New Roman" w:eastAsia="黑体"/>
          <w:sz w:val="32"/>
        </w:rPr>
        <w:fldChar w:fldCharType="end"/>
      </w:r>
      <w:r>
        <w:rPr>
          <w:rFonts w:ascii="Times New Roman" w:hAnsi="Times New Roman" w:eastAsia="黑体"/>
          <w:sz w:val="32"/>
          <w:szCs w:val="21"/>
        </w:rPr>
        <w:fldChar w:fldCharType="end"/>
      </w:r>
      <w:r/>
    </w:p>
    <w:p>
      <w:pPr>
        <w:pStyle w:val="619"/>
        <w:keepLines w:val="0"/>
        <w:keepNext w:val="0"/>
        <w:pageBreakBefore w:val="0"/>
        <w:spacing w:line="800" w:lineRule="exact"/>
        <w:widowControl w:val="off"/>
        <w:tabs>
          <w:tab w:val="right" w:pos="8306" w:leader="dot"/>
        </w:tabs>
        <w:rPr>
          <w:rFonts w:ascii="Times New Roman" w:hAnsi="Times New Roman" w:eastAsia="黑体"/>
          <w:sz w:val="32"/>
        </w:rPr>
      </w:pPr>
      <w:r>
        <w:rPr>
          <w:rFonts w:ascii="Times New Roman" w:hAnsi="Times New Roman" w:eastAsia="黑体"/>
          <w:sz w:val="32"/>
          <w:szCs w:val="21"/>
        </w:rPr>
        <w:fldChar w:fldCharType="begin"/>
      </w:r>
      <w:r>
        <w:rPr>
          <w:rFonts w:ascii="Times New Roman" w:hAnsi="Times New Roman" w:eastAsia="黑体"/>
          <w:sz w:val="32"/>
          <w:szCs w:val="21"/>
        </w:rPr>
        <w:instrText xml:space="preserve"> HYPERLINK \l _Toc27336 </w:instrText>
      </w:r>
      <w:r>
        <w:rPr>
          <w:rFonts w:ascii="Times New Roman" w:hAnsi="Times New Roman" w:eastAsia="黑体"/>
          <w:sz w:val="32"/>
          <w:szCs w:val="21"/>
        </w:rPr>
        <w:fldChar w:fldCharType="separate"/>
      </w:r>
      <w:r>
        <w:rPr>
          <w:rFonts w:hint="eastAsia" w:ascii="Times New Roman" w:hAnsi="Times New Roman" w:eastAsia="黑体"/>
          <w:sz w:val="32"/>
          <w:lang w:val="en-US" w:eastAsia="en-US"/>
        </w:rPr>
        <w:t xml:space="preserve">第二章  供应商须知</w:t>
      </w:r>
      <w:r>
        <w:rPr>
          <w:rFonts w:ascii="Times New Roman" w:hAnsi="Times New Roman" w:eastAsia="黑体"/>
          <w:sz w:val="32"/>
        </w:rPr>
        <w:tab/>
      </w:r>
      <w:r>
        <w:rPr>
          <w:rFonts w:ascii="Times New Roman" w:hAnsi="Times New Roman" w:eastAsia="黑体"/>
          <w:sz w:val="32"/>
        </w:rPr>
        <w:fldChar w:fldCharType="begin"/>
      </w:r>
      <w:r>
        <w:rPr>
          <w:rFonts w:ascii="Times New Roman" w:hAnsi="Times New Roman" w:eastAsia="黑体"/>
          <w:sz w:val="32"/>
        </w:rPr>
        <w:instrText xml:space="preserve"> PAGEREF _Toc27336 \h </w:instrText>
      </w:r>
      <w:r>
        <w:rPr>
          <w:rFonts w:ascii="Times New Roman" w:hAnsi="Times New Roman" w:eastAsia="黑体"/>
          <w:sz w:val="32"/>
        </w:rPr>
        <w:fldChar w:fldCharType="separate"/>
      </w:r>
      <w:r>
        <w:rPr>
          <w:rFonts w:ascii="Times New Roman" w:hAnsi="Times New Roman" w:eastAsia="黑体"/>
          <w:sz w:val="32"/>
        </w:rPr>
        <w:t xml:space="preserve">5</w:t>
      </w:r>
      <w:r>
        <w:rPr>
          <w:rFonts w:ascii="Times New Roman" w:hAnsi="Times New Roman" w:eastAsia="黑体"/>
          <w:sz w:val="32"/>
        </w:rPr>
        <w:fldChar w:fldCharType="end"/>
      </w:r>
      <w:r>
        <w:rPr>
          <w:rFonts w:ascii="Times New Roman" w:hAnsi="Times New Roman" w:eastAsia="黑体"/>
          <w:sz w:val="32"/>
          <w:szCs w:val="21"/>
        </w:rPr>
        <w:fldChar w:fldCharType="end"/>
      </w:r>
      <w:r/>
    </w:p>
    <w:p>
      <w:pPr>
        <w:pStyle w:val="619"/>
        <w:keepLines w:val="0"/>
        <w:keepNext w:val="0"/>
        <w:pageBreakBefore w:val="0"/>
        <w:spacing w:line="800" w:lineRule="exact"/>
        <w:widowControl w:val="off"/>
        <w:tabs>
          <w:tab w:val="right" w:pos="8306" w:leader="dot"/>
        </w:tabs>
        <w:rPr>
          <w:rFonts w:ascii="Times New Roman" w:hAnsi="Times New Roman" w:eastAsia="黑体"/>
          <w:sz w:val="32"/>
        </w:rPr>
      </w:pPr>
      <w:r>
        <w:rPr>
          <w:rFonts w:ascii="Times New Roman" w:hAnsi="Times New Roman" w:eastAsia="黑体"/>
          <w:sz w:val="32"/>
          <w:szCs w:val="21"/>
        </w:rPr>
        <w:fldChar w:fldCharType="begin"/>
      </w:r>
      <w:r>
        <w:rPr>
          <w:rFonts w:ascii="Times New Roman" w:hAnsi="Times New Roman" w:eastAsia="黑体"/>
          <w:sz w:val="32"/>
          <w:szCs w:val="21"/>
        </w:rPr>
        <w:instrText xml:space="preserve"> HYPERLINK \l _Toc22757 </w:instrText>
      </w:r>
      <w:r>
        <w:rPr>
          <w:rFonts w:ascii="Times New Roman" w:hAnsi="Times New Roman" w:eastAsia="黑体"/>
          <w:sz w:val="32"/>
          <w:szCs w:val="21"/>
        </w:rPr>
        <w:fldChar w:fldCharType="separate"/>
      </w:r>
      <w:r>
        <w:rPr>
          <w:rFonts w:hint="eastAsia" w:ascii="Times New Roman" w:hAnsi="Times New Roman" w:eastAsia="黑体"/>
          <w:sz w:val="32"/>
          <w:lang w:val="en-US" w:eastAsia="en-US"/>
        </w:rPr>
        <w:t xml:space="preserve">第三章 </w:t>
      </w:r>
      <w:r>
        <w:rPr>
          <w:rFonts w:hint="eastAsia" w:ascii="Times New Roman" w:hAnsi="Times New Roman" w:eastAsia="黑体"/>
          <w:sz w:val="32"/>
          <w:lang w:val="en-US" w:eastAsia="zh-CN"/>
        </w:rPr>
        <w:t xml:space="preserve"> </w:t>
      </w:r>
      <w:r>
        <w:rPr>
          <w:rFonts w:hint="eastAsia" w:ascii="Times New Roman" w:hAnsi="Times New Roman" w:eastAsia="黑体"/>
          <w:sz w:val="32"/>
          <w:lang w:val="en-US" w:eastAsia="en-US"/>
        </w:rPr>
        <w:t xml:space="preserve">采购需求</w:t>
      </w:r>
      <w:r>
        <w:rPr>
          <w:rFonts w:ascii="Times New Roman" w:hAnsi="Times New Roman" w:eastAsia="黑体"/>
          <w:sz w:val="32"/>
        </w:rPr>
        <w:tab/>
      </w:r>
      <w:r>
        <w:rPr>
          <w:rFonts w:ascii="Times New Roman" w:hAnsi="Times New Roman" w:eastAsia="黑体"/>
          <w:sz w:val="32"/>
        </w:rPr>
        <w:fldChar w:fldCharType="begin"/>
      </w:r>
      <w:r>
        <w:rPr>
          <w:rFonts w:ascii="Times New Roman" w:hAnsi="Times New Roman" w:eastAsia="黑体"/>
          <w:sz w:val="32"/>
        </w:rPr>
        <w:instrText xml:space="preserve"> PAGEREF _Toc22757 \h </w:instrText>
      </w:r>
      <w:r>
        <w:rPr>
          <w:rFonts w:ascii="Times New Roman" w:hAnsi="Times New Roman" w:eastAsia="黑体"/>
          <w:sz w:val="32"/>
        </w:rPr>
        <w:fldChar w:fldCharType="separate"/>
      </w:r>
      <w:r>
        <w:rPr>
          <w:rFonts w:ascii="Times New Roman" w:hAnsi="Times New Roman" w:eastAsia="黑体"/>
          <w:sz w:val="32"/>
        </w:rPr>
        <w:t xml:space="preserve">14</w:t>
      </w:r>
      <w:r>
        <w:rPr>
          <w:rFonts w:ascii="Times New Roman" w:hAnsi="Times New Roman" w:eastAsia="黑体"/>
          <w:sz w:val="32"/>
        </w:rPr>
        <w:fldChar w:fldCharType="end"/>
      </w:r>
      <w:r>
        <w:rPr>
          <w:rFonts w:ascii="Times New Roman" w:hAnsi="Times New Roman" w:eastAsia="黑体"/>
          <w:sz w:val="32"/>
          <w:szCs w:val="21"/>
        </w:rPr>
        <w:fldChar w:fldCharType="end"/>
      </w:r>
      <w:r/>
    </w:p>
    <w:p>
      <w:pPr>
        <w:pStyle w:val="619"/>
        <w:keepLines w:val="0"/>
        <w:keepNext w:val="0"/>
        <w:pageBreakBefore w:val="0"/>
        <w:spacing w:line="800" w:lineRule="exact"/>
        <w:widowControl w:val="off"/>
        <w:tabs>
          <w:tab w:val="right" w:pos="8306" w:leader="dot"/>
        </w:tabs>
        <w:rPr>
          <w:rFonts w:ascii="Times New Roman" w:hAnsi="Times New Roman" w:eastAsia="黑体"/>
          <w:sz w:val="32"/>
        </w:rPr>
      </w:pPr>
      <w:r>
        <w:rPr>
          <w:rFonts w:ascii="Times New Roman" w:hAnsi="Times New Roman" w:eastAsia="黑体"/>
          <w:sz w:val="32"/>
          <w:szCs w:val="21"/>
        </w:rPr>
        <w:fldChar w:fldCharType="begin"/>
      </w:r>
      <w:r>
        <w:rPr>
          <w:rFonts w:ascii="Times New Roman" w:hAnsi="Times New Roman" w:eastAsia="黑体"/>
          <w:sz w:val="32"/>
          <w:szCs w:val="21"/>
        </w:rPr>
        <w:instrText xml:space="preserve"> HYPERLINK \l _Toc21120 </w:instrText>
      </w:r>
      <w:r>
        <w:rPr>
          <w:rFonts w:ascii="Times New Roman" w:hAnsi="Times New Roman" w:eastAsia="黑体"/>
          <w:sz w:val="32"/>
          <w:szCs w:val="21"/>
        </w:rPr>
        <w:fldChar w:fldCharType="separate"/>
      </w:r>
      <w:r>
        <w:rPr>
          <w:rFonts w:hint="eastAsia" w:ascii="Times New Roman" w:hAnsi="Times New Roman" w:eastAsia="黑体"/>
          <w:sz w:val="32"/>
          <w:lang w:val="en-US" w:eastAsia="en-US"/>
        </w:rPr>
        <w:t xml:space="preserve">第四章  合同文本（草案）</w:t>
      </w:r>
      <w:r>
        <w:rPr>
          <w:rFonts w:ascii="Times New Roman" w:hAnsi="Times New Roman" w:eastAsia="黑体"/>
          <w:sz w:val="32"/>
        </w:rPr>
        <w:tab/>
      </w:r>
      <w:r>
        <w:rPr>
          <w:rFonts w:ascii="Times New Roman" w:hAnsi="Times New Roman" w:eastAsia="黑体"/>
          <w:sz w:val="32"/>
        </w:rPr>
        <w:fldChar w:fldCharType="begin"/>
      </w:r>
      <w:r>
        <w:rPr>
          <w:rFonts w:ascii="Times New Roman" w:hAnsi="Times New Roman" w:eastAsia="黑体"/>
          <w:sz w:val="32"/>
        </w:rPr>
        <w:instrText xml:space="preserve"> PAGEREF _Toc21120 \h </w:instrText>
      </w:r>
      <w:r>
        <w:rPr>
          <w:rFonts w:ascii="Times New Roman" w:hAnsi="Times New Roman" w:eastAsia="黑体"/>
          <w:sz w:val="32"/>
        </w:rPr>
        <w:fldChar w:fldCharType="separate"/>
      </w:r>
      <w:r>
        <w:rPr>
          <w:rFonts w:ascii="Times New Roman" w:hAnsi="Times New Roman" w:eastAsia="黑体"/>
          <w:sz w:val="32"/>
        </w:rPr>
        <w:t xml:space="preserve">32</w:t>
      </w:r>
      <w:r>
        <w:rPr>
          <w:rFonts w:ascii="Times New Roman" w:hAnsi="Times New Roman" w:eastAsia="黑体"/>
          <w:sz w:val="32"/>
        </w:rPr>
        <w:fldChar w:fldCharType="end"/>
      </w:r>
      <w:r>
        <w:rPr>
          <w:rFonts w:ascii="Times New Roman" w:hAnsi="Times New Roman" w:eastAsia="黑体"/>
          <w:sz w:val="32"/>
          <w:szCs w:val="21"/>
        </w:rPr>
        <w:fldChar w:fldCharType="end"/>
      </w:r>
      <w:r/>
    </w:p>
    <w:p>
      <w:pPr>
        <w:pStyle w:val="619"/>
        <w:keepLines w:val="0"/>
        <w:keepNext w:val="0"/>
        <w:pageBreakBefore w:val="0"/>
        <w:spacing w:line="800" w:lineRule="exact"/>
        <w:widowControl w:val="off"/>
        <w:tabs>
          <w:tab w:val="right" w:pos="8306" w:leader="dot"/>
        </w:tabs>
        <w:rPr>
          <w:rFonts w:ascii="Times New Roman" w:hAnsi="Times New Roman" w:eastAsia="黑体"/>
          <w:sz w:val="32"/>
        </w:rPr>
      </w:pPr>
      <w:r>
        <w:rPr>
          <w:rFonts w:ascii="Times New Roman" w:hAnsi="Times New Roman" w:eastAsia="黑体"/>
          <w:sz w:val="32"/>
          <w:szCs w:val="21"/>
        </w:rPr>
        <w:fldChar w:fldCharType="begin"/>
      </w:r>
      <w:r>
        <w:rPr>
          <w:rFonts w:ascii="Times New Roman" w:hAnsi="Times New Roman" w:eastAsia="黑体"/>
          <w:sz w:val="32"/>
          <w:szCs w:val="21"/>
        </w:rPr>
        <w:instrText xml:space="preserve"> HYPERLINK \l _Toc23692 </w:instrText>
      </w:r>
      <w:r>
        <w:rPr>
          <w:rFonts w:ascii="Times New Roman" w:hAnsi="Times New Roman" w:eastAsia="黑体"/>
          <w:sz w:val="32"/>
          <w:szCs w:val="21"/>
        </w:rPr>
        <w:fldChar w:fldCharType="separate"/>
      </w:r>
      <w:r>
        <w:rPr>
          <w:rFonts w:hint="eastAsia" w:ascii="Times New Roman" w:hAnsi="Times New Roman" w:eastAsia="黑体"/>
          <w:sz w:val="32"/>
          <w:lang w:val="en-US" w:eastAsia="en-US"/>
        </w:rPr>
        <w:t xml:space="preserve">第五章  响应文件格式</w:t>
      </w:r>
      <w:r>
        <w:rPr>
          <w:rFonts w:ascii="Times New Roman" w:hAnsi="Times New Roman" w:eastAsia="黑体"/>
          <w:sz w:val="32"/>
        </w:rPr>
        <w:tab/>
      </w:r>
      <w:r>
        <w:rPr>
          <w:rFonts w:ascii="Times New Roman" w:hAnsi="Times New Roman" w:eastAsia="黑体"/>
          <w:sz w:val="32"/>
        </w:rPr>
        <w:fldChar w:fldCharType="begin"/>
      </w:r>
      <w:r>
        <w:rPr>
          <w:rFonts w:ascii="Times New Roman" w:hAnsi="Times New Roman" w:eastAsia="黑体"/>
          <w:sz w:val="32"/>
        </w:rPr>
        <w:instrText xml:space="preserve"> PAGEREF _Toc23692 \h </w:instrText>
      </w:r>
      <w:r>
        <w:rPr>
          <w:rFonts w:ascii="Times New Roman" w:hAnsi="Times New Roman" w:eastAsia="黑体"/>
          <w:sz w:val="32"/>
        </w:rPr>
        <w:fldChar w:fldCharType="separate"/>
      </w:r>
      <w:r>
        <w:rPr>
          <w:rFonts w:ascii="Times New Roman" w:hAnsi="Times New Roman" w:eastAsia="黑体"/>
          <w:sz w:val="32"/>
        </w:rPr>
        <w:t xml:space="preserve">37</w:t>
      </w:r>
      <w:r>
        <w:rPr>
          <w:rFonts w:ascii="Times New Roman" w:hAnsi="Times New Roman" w:eastAsia="黑体"/>
          <w:sz w:val="32"/>
        </w:rPr>
        <w:fldChar w:fldCharType="end"/>
      </w:r>
      <w:r>
        <w:rPr>
          <w:rFonts w:ascii="Times New Roman" w:hAnsi="Times New Roman" w:eastAsia="黑体"/>
          <w:sz w:val="32"/>
          <w:szCs w:val="21"/>
        </w:rPr>
        <w:fldChar w:fldCharType="end"/>
      </w:r>
      <w:r/>
    </w:p>
    <w:p>
      <w:pPr>
        <w:keepLines w:val="0"/>
        <w:keepNext w:val="0"/>
        <w:pageBreakBefore w:val="0"/>
        <w:spacing w:line="800" w:lineRule="exact"/>
        <w:widowControl w:val="off"/>
        <w:rPr>
          <w:rFonts w:ascii="Times New Roman" w:hAnsi="Times New Roman"/>
          <w:szCs w:val="21"/>
        </w:rPr>
      </w:pPr>
      <w:r>
        <w:rPr>
          <w:rFonts w:ascii="Times New Roman" w:hAnsi="Times New Roman" w:eastAsia="黑体"/>
          <w:sz w:val="32"/>
          <w:szCs w:val="21"/>
        </w:rPr>
        <w:fldChar w:fldCharType="end"/>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bookmarkEnd w:id="2"/>
      <w:r/>
    </w:p>
    <w:p>
      <w:pPr>
        <w:pStyle w:val="611"/>
        <w:jc w:val="center"/>
      </w:pPr>
      <w:r/>
      <w:bookmarkStart w:id="8" w:name="_Toc32622"/>
      <w:r>
        <w:rPr>
          <w:rFonts w:hint="default"/>
          <w:lang w:val="en-US" w:eastAsia="en-US"/>
        </w:rPr>
        <w:t xml:space="preserve">第一章</w:t>
      </w:r>
      <w:r>
        <w:rPr>
          <w:rFonts w:hint="eastAsia"/>
          <w:lang w:val="en-US" w:eastAsia="zh-CN"/>
        </w:rPr>
        <w:t xml:space="preserve">  </w:t>
      </w:r>
      <w:r>
        <w:rPr>
          <w:rFonts w:hint="eastAsia"/>
        </w:rPr>
        <w:t xml:space="preserve">单一来源采购邀请</w:t>
      </w:r>
      <w:bookmarkEnd w:id="8"/>
      <w:r/>
      <w:r/>
    </w:p>
    <w:p>
      <w:pPr>
        <w:pStyle w:val="622"/>
        <w:ind w:left="2235"/>
        <w:rPr>
          <w:rFonts w:ascii="Times New Roman" w:hAnsi="Times New Roman"/>
        </w:rPr>
      </w:pPr>
      <w:r>
        <w:rPr>
          <w:rFonts w:ascii="Times New Roman" w:hAnsi="Times New Roman"/>
        </w:rPr>
      </w:r>
      <w:r/>
    </w:p>
    <w:p>
      <w:pPr>
        <w:pStyle w:val="621"/>
        <w:ind w:left="0" w:firstLine="0"/>
        <w:jc w:val="both"/>
        <w:rPr>
          <w:rFonts w:hint="eastAsia" w:ascii="Times New Roman" w:hAnsi="Times New Roman"/>
        </w:rPr>
      </w:pPr>
      <w:r>
        <w:rPr>
          <w:rFonts w:hint="eastAsia" w:ascii="Times New Roman" w:hAnsi="Times New Roman"/>
          <w:lang w:val="en-US" w:eastAsia="zh-CN"/>
        </w:rPr>
        <w:t xml:space="preserve">宿迁市楚润数据集团有限公司</w:t>
      </w:r>
      <w:r>
        <w:rPr>
          <w:rFonts w:hint="eastAsia" w:ascii="Times New Roman" w:hAnsi="Times New Roman"/>
        </w:rPr>
        <w:t xml:space="preserve">：</w:t>
      </w:r>
      <w:r/>
    </w:p>
    <w:p>
      <w:pPr>
        <w:pStyle w:val="621"/>
        <w:ind w:left="239" w:firstLine="240"/>
        <w:jc w:val="both"/>
        <w:rPr>
          <w:rFonts w:ascii="Times New Roman" w:hAnsi="Times New Roman" w:cstheme="minorBidi"/>
        </w:rPr>
      </w:pPr>
      <w:r>
        <w:rPr>
          <w:rFonts w:hint="eastAsia" w:ascii="Times New Roman" w:hAnsi="Times New Roman" w:cstheme="minorBidi"/>
        </w:rPr>
        <w:t xml:space="preserve">受</w:t>
      </w:r>
      <w:r>
        <w:rPr>
          <w:rFonts w:hint="eastAsia" w:ascii="Times New Roman" w:hAnsi="Times New Roman" w:cstheme="minorBidi"/>
          <w:lang w:val="en-US" w:eastAsia="zh-CN"/>
        </w:rPr>
        <w:t xml:space="preserve">宿迁市数据局</w:t>
      </w:r>
      <w:r>
        <w:rPr>
          <w:rFonts w:hint="eastAsia" w:ascii="Times New Roman" w:hAnsi="Times New Roman"/>
        </w:rPr>
        <w:t xml:space="preserve">的委托，宿迁市公共资源交易中心就</w:t>
      </w:r>
      <w:r>
        <w:rPr>
          <w:rFonts w:hint="eastAsia" w:ascii="Times New Roman" w:hAnsi="Times New Roman"/>
          <w:lang w:val="en-US" w:eastAsia="zh-CN"/>
        </w:rPr>
        <w:t xml:space="preserve">可信数据空间智能底座项目</w:t>
      </w:r>
      <w:r>
        <w:rPr>
          <w:rFonts w:hint="eastAsia" w:ascii="Times New Roman" w:hAnsi="Times New Roman"/>
        </w:rPr>
        <w:t xml:space="preserve">(</w:t>
      </w:r>
      <w:r>
        <w:rPr>
          <w:rFonts w:hint="eastAsia" w:ascii="Times New Roman" w:hAnsi="Times New Roman"/>
          <w:lang w:eastAsia="zh-CN"/>
        </w:rPr>
        <w:t xml:space="preserve">JSZC-321300-JZCG-D2026-0059</w:t>
      </w:r>
      <w:r>
        <w:rPr>
          <w:rFonts w:hint="eastAsia" w:ascii="Times New Roman" w:hAnsi="Times New Roman"/>
        </w:rPr>
        <w:t xml:space="preserve">)项目进行单一来源采购，欢迎符合相关条件的合格供应商参加采购活动。</w:t>
      </w:r>
      <w:r/>
    </w:p>
    <w:p>
      <w:pPr>
        <w:ind w:firstLine="498"/>
        <w:keepLines/>
        <w:keepNext/>
        <w:spacing w:line="480" w:lineRule="exact"/>
        <w:rPr>
          <w:rFonts w:ascii="Times New Roman" w:hAnsi="Times New Roman"/>
          <w:b/>
          <w:bCs/>
          <w:sz w:val="32"/>
          <w:szCs w:val="32"/>
        </w:rPr>
        <w:outlineLvl w:val="2"/>
      </w:pPr>
      <w:r/>
      <w:bookmarkStart w:id="9" w:name="_Toc28359079"/>
      <w:r/>
      <w:bookmarkStart w:id="10" w:name="_Toc35393790"/>
      <w:r/>
      <w:bookmarkStart w:id="11" w:name="_Toc28359002"/>
      <w:r/>
      <w:bookmarkStart w:id="12" w:name="_Toc35393621"/>
      <w:r/>
      <w:bookmarkStart w:id="13" w:name="_Toc38985263"/>
      <w:r/>
      <w:bookmarkStart w:id="14" w:name="_Hlk24379207"/>
      <w:r>
        <w:rPr>
          <w:rFonts w:hint="eastAsia" w:ascii="Times New Roman" w:hAnsi="Times New Roman"/>
          <w:b/>
          <w:bCs/>
          <w:sz w:val="32"/>
          <w:szCs w:val="32"/>
        </w:rPr>
        <w:t xml:space="preserve">一、项目基本情况</w:t>
      </w:r>
      <w:bookmarkEnd w:id="9"/>
      <w:r/>
      <w:bookmarkEnd w:id="10"/>
      <w:r/>
      <w:bookmarkEnd w:id="11"/>
      <w:r/>
      <w:bookmarkEnd w:id="12"/>
      <w:r/>
      <w:bookmarkEnd w:id="13"/>
      <w:r/>
      <w:r/>
    </w:p>
    <w:p>
      <w:pPr>
        <w:ind w:firstLine="480"/>
        <w:spacing w:line="480" w:lineRule="exact"/>
        <w:rPr>
          <w:rFonts w:hint="default" w:ascii="Times New Roman" w:hAnsi="Times New Roman" w:eastAsia="宋体"/>
          <w:sz w:val="24"/>
          <w:szCs w:val="24"/>
          <w:lang w:val="en-US" w:eastAsia="zh-CN"/>
        </w:rPr>
      </w:pPr>
      <w:r>
        <w:rPr>
          <w:rFonts w:hint="eastAsia" w:ascii="Times New Roman" w:hAnsi="Times New Roman" w:eastAsia="宋体"/>
          <w:sz w:val="24"/>
          <w:szCs w:val="24"/>
        </w:rPr>
        <w:t xml:space="preserve">1.项目编号：</w:t>
      </w:r>
      <w:r>
        <w:rPr>
          <w:rFonts w:hint="eastAsia" w:ascii="Times New Roman" w:hAnsi="Times New Roman" w:eastAsia="宋体" w:cs="Times New Roman"/>
          <w:sz w:val="24"/>
          <w:szCs w:val="24"/>
          <w:lang w:eastAsia="zh-CN"/>
        </w:rPr>
        <w:t xml:space="preserve">JSZC-321300-JZCG-D2026-0059</w:t>
      </w:r>
      <w:r/>
    </w:p>
    <w:p>
      <w:pPr>
        <w:ind w:firstLine="480"/>
        <w:spacing w:line="480" w:lineRule="exact"/>
        <w:rPr>
          <w:rFonts w:hint="eastAsia" w:ascii="宋体" w:hAnsi="宋体" w:eastAsia="宋体" w:cs="宋体"/>
          <w:sz w:val="24"/>
          <w:szCs w:val="24"/>
          <w:lang w:eastAsia="zh-CN"/>
        </w:rPr>
      </w:pPr>
      <w:r>
        <w:rPr>
          <w:rFonts w:hint="eastAsia" w:ascii="Times New Roman" w:hAnsi="Times New Roman" w:eastAsia="宋体"/>
          <w:sz w:val="24"/>
          <w:szCs w:val="24"/>
        </w:rPr>
        <w:t xml:space="preserve">2.项目名称：</w:t>
      </w:r>
      <w:bookmarkEnd w:id="14"/>
      <w:r>
        <w:rPr>
          <w:rFonts w:hint="eastAsia" w:ascii="宋体" w:hAnsi="宋体" w:eastAsia="宋体" w:cs="宋体"/>
          <w:sz w:val="24"/>
          <w:szCs w:val="24"/>
          <w:lang w:val="en-US" w:eastAsia="zh-CN"/>
        </w:rPr>
        <w:t xml:space="preserve">可信数据空间智能底座项目</w:t>
      </w:r>
      <w:r/>
    </w:p>
    <w:p>
      <w:pPr>
        <w:ind w:firstLine="480"/>
        <w:spacing w:line="480" w:lineRule="exact"/>
        <w:rPr>
          <w:rFonts w:ascii="Times New Roman" w:hAnsi="Times New Roman" w:eastAsia="宋体"/>
          <w:sz w:val="24"/>
          <w:szCs w:val="24"/>
        </w:rPr>
      </w:pPr>
      <w:r>
        <w:rPr>
          <w:rFonts w:hint="eastAsia" w:ascii="Times New Roman" w:hAnsi="Times New Roman" w:eastAsia="宋体"/>
          <w:sz w:val="24"/>
          <w:szCs w:val="24"/>
        </w:rPr>
        <w:t xml:space="preserve">3.预算金额</w:t>
      </w:r>
      <w:r>
        <w:rPr>
          <w:rFonts w:hint="eastAsia" w:ascii="Times New Roman" w:hAnsi="Times New Roman" w:eastAsia="宋体"/>
          <w:sz w:val="24"/>
          <w:szCs w:val="24"/>
          <w:highlight w:val="none"/>
        </w:rPr>
        <w:t xml:space="preserve">：</w:t>
      </w:r>
      <w:r>
        <w:rPr>
          <w:rFonts w:hint="eastAsia" w:ascii="Times New Roman" w:hAnsi="Times New Roman" w:eastAsia="宋体"/>
          <w:color w:val="auto"/>
          <w:sz w:val="24"/>
          <w:szCs w:val="24"/>
          <w:highlight w:val="none"/>
          <w:lang w:val="en-US" w:eastAsia="zh-CN"/>
        </w:rPr>
        <w:t xml:space="preserve">320</w:t>
      </w:r>
      <w:r>
        <w:rPr>
          <w:rFonts w:ascii="Times New Roman" w:hAnsi="Times New Roman" w:eastAsia="宋体"/>
          <w:color w:val="auto"/>
          <w:sz w:val="24"/>
          <w:szCs w:val="24"/>
          <w:highlight w:val="none"/>
        </w:rPr>
        <w:t xml:space="preserve">万元</w:t>
      </w:r>
      <w:r>
        <w:rPr>
          <w:rFonts w:hint="eastAsia" w:ascii="Times New Roman" w:hAnsi="Times New Roman" w:eastAsia="宋体"/>
          <w:color w:val="auto"/>
          <w:sz w:val="24"/>
          <w:szCs w:val="24"/>
          <w:highlight w:val="none"/>
        </w:rPr>
        <w:t xml:space="preserve">，最高限价：</w:t>
      </w:r>
      <w:r>
        <w:rPr>
          <w:rFonts w:hint="eastAsia" w:ascii="Times New Roman" w:hAnsi="Times New Roman" w:eastAsia="宋体"/>
          <w:color w:val="auto"/>
          <w:sz w:val="24"/>
          <w:szCs w:val="24"/>
          <w:highlight w:val="none"/>
          <w:lang w:val="en-US" w:eastAsia="zh-CN"/>
        </w:rPr>
        <w:t xml:space="preserve">320</w:t>
      </w:r>
      <w:r>
        <w:rPr>
          <w:rFonts w:hint="eastAsia" w:ascii="Times New Roman" w:hAnsi="Times New Roman" w:eastAsia="宋体"/>
          <w:sz w:val="24"/>
          <w:szCs w:val="24"/>
        </w:rPr>
        <w:t xml:space="preserve">万元</w:t>
      </w:r>
      <w:r/>
    </w:p>
    <w:p>
      <w:pPr>
        <w:numPr>
          <w:ilvl w:val="0"/>
          <w:numId w:val="0"/>
        </w:num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Times New Roman" w:hAnsi="Times New Roman"/>
          <w:sz w:val="24"/>
          <w:szCs w:val="24"/>
        </w:rPr>
        <w:t xml:space="preserve">4.采购需求（简介）：</w:t>
      </w:r>
      <w:r>
        <w:rPr>
          <w:rFonts w:hint="eastAsia" w:ascii="宋体" w:hAnsi="宋体" w:eastAsia="宋体" w:cs="宋体"/>
          <w:sz w:val="24"/>
          <w:szCs w:val="24"/>
          <w:lang w:val="en-US" w:eastAsia="zh-CN"/>
        </w:rPr>
        <w:t xml:space="preserve">构建安全可信、互联互通的人工智能数据流通基础服务平台，通过集成可信开发环境、可信空间连接器、样例沙箱等，实现数据“可用不可见、可控可计量”，支撑跨部门、跨行业、跨区域的高效协同与价值释放。</w:t>
      </w:r>
      <w:r>
        <w:rPr>
          <w:rFonts w:hint="eastAsia" w:ascii="宋体" w:hAnsi="宋体" w:eastAsia="宋体" w:cs="宋体"/>
          <w:sz w:val="24"/>
          <w:szCs w:val="24"/>
        </w:rPr>
        <w:t xml:space="preserve">具体详见采购需求。</w:t>
      </w:r>
      <w:r/>
    </w:p>
    <w:p>
      <w:pPr>
        <w:numPr>
          <w:ilvl w:val="0"/>
          <w:numId w:val="0"/>
        </w:num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Times New Roman" w:hAnsi="Times New Roman" w:eastAsia="宋体" w:cstheme="minorBidi"/>
          <w:b w:val="0"/>
          <w:bCs w:val="0"/>
          <w:sz w:val="24"/>
          <w:szCs w:val="24"/>
          <w:lang w:val="en-US" w:eastAsia="zh-CN" w:bidi="ar-SA"/>
        </w:rPr>
        <w:t xml:space="preserve">5.合同履行期限：</w:t>
      </w:r>
      <w:r>
        <w:rPr>
          <w:rFonts w:hint="eastAsia" w:ascii="宋体" w:hAnsi="宋体" w:eastAsia="宋体" w:cs="宋体"/>
          <w:sz w:val="24"/>
          <w:szCs w:val="24"/>
          <w:lang w:val="en-US" w:eastAsia="zh-CN"/>
        </w:rPr>
        <w:t xml:space="preserve">合同签订后，在3个月内应完成系统开发、测试服务，试运行3个月，运维服务期自试运行结束后30个月。</w:t>
      </w:r>
      <w:r/>
    </w:p>
    <w:p>
      <w:pPr>
        <w:ind w:firstLine="321"/>
        <w:keepLines/>
        <w:keepNext/>
        <w:spacing w:line="480" w:lineRule="exact"/>
        <w:rPr>
          <w:rFonts w:ascii="Times New Roman" w:hAnsi="Times New Roman"/>
          <w:b/>
          <w:bCs/>
          <w:sz w:val="32"/>
          <w:szCs w:val="32"/>
        </w:rPr>
        <w:outlineLvl w:val="2"/>
      </w:pPr>
      <w:r/>
      <w:bookmarkStart w:id="15" w:name="_Toc28359003"/>
      <w:r/>
      <w:bookmarkStart w:id="16" w:name="_Toc28359080"/>
      <w:r/>
      <w:bookmarkStart w:id="17" w:name="_Toc38985264"/>
      <w:r/>
      <w:bookmarkStart w:id="18" w:name="_Toc35393791"/>
      <w:r/>
      <w:bookmarkStart w:id="19" w:name="_Toc35393622"/>
      <w:r>
        <w:rPr>
          <w:rFonts w:hint="eastAsia" w:ascii="Times New Roman" w:hAnsi="Times New Roman"/>
          <w:b/>
          <w:bCs/>
          <w:sz w:val="32"/>
          <w:szCs w:val="32"/>
        </w:rPr>
        <w:t xml:space="preserve">二、</w:t>
      </w:r>
      <w:bookmarkEnd w:id="15"/>
      <w:r/>
      <w:bookmarkEnd w:id="16"/>
      <w:r/>
      <w:bookmarkEnd w:id="17"/>
      <w:r/>
      <w:bookmarkEnd w:id="18"/>
      <w:r/>
      <w:bookmarkEnd w:id="19"/>
      <w:r>
        <w:rPr>
          <w:rFonts w:hint="eastAsia" w:ascii="Times New Roman" w:hAnsi="Times New Roman"/>
          <w:b/>
          <w:bCs/>
          <w:sz w:val="32"/>
          <w:szCs w:val="32"/>
        </w:rPr>
        <w:t xml:space="preserve">合格单一来源供应商资格要求</w:t>
      </w:r>
      <w:r/>
    </w:p>
    <w:p>
      <w:pPr>
        <w:ind w:firstLine="482"/>
        <w:spacing w:line="480" w:lineRule="exact"/>
        <w:rPr>
          <w:rFonts w:hint="eastAsia" w:ascii="宋体" w:hAnsi="宋体"/>
          <w:b/>
          <w:bCs/>
          <w:sz w:val="24"/>
          <w:szCs w:val="24"/>
        </w:rPr>
      </w:pPr>
      <w:r/>
      <w:bookmarkStart w:id="20" w:name="_Toc38985265"/>
      <w:r/>
      <w:bookmarkStart w:id="21" w:name="_Toc35393623"/>
      <w:r/>
      <w:bookmarkStart w:id="22" w:name="_Toc28359081"/>
      <w:r/>
      <w:bookmarkStart w:id="23" w:name="_Toc35393792"/>
      <w:r/>
      <w:bookmarkStart w:id="24" w:name="_Toc28359004"/>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通用</w:t>
      </w:r>
      <w:r>
        <w:rPr>
          <w:rFonts w:ascii="宋体" w:hAnsi="宋体"/>
          <w:b/>
          <w:bCs/>
          <w:sz w:val="24"/>
          <w:szCs w:val="24"/>
        </w:rPr>
        <w:t xml:space="preserve">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1.具备《中华人民共和国政府采购法》第二十二条第一款规定的6项条件（按要求提供协商及声明函）。</w:t>
      </w:r>
      <w:r/>
    </w:p>
    <w:p>
      <w:pPr>
        <w:ind w:firstLine="480"/>
        <w:spacing w:line="480" w:lineRule="exact"/>
        <w:rPr>
          <w:rFonts w:hint="eastAsia" w:ascii="华文新魏" w:hAnsi="宋体" w:eastAsia="华文新魏"/>
          <w:sz w:val="36"/>
          <w:szCs w:val="36"/>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80" w:lineRule="exact"/>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联合体参与单一来源采购活动。</w:t>
      </w:r>
      <w:r/>
    </w:p>
    <w:p>
      <w:pPr>
        <w:ind w:firstLine="482"/>
        <w:spacing w:line="480" w:lineRule="exact"/>
        <w:rPr>
          <w:rFonts w:hint="eastAsia" w:ascii="宋体" w:hAnsi="宋体"/>
          <w:b/>
          <w:bCs/>
          <w:sz w:val="24"/>
          <w:szCs w:val="24"/>
        </w:rPr>
      </w:pPr>
      <w:r>
        <w:rPr>
          <w:rFonts w:hint="eastAsia" w:ascii="宋体" w:hAnsi="宋体"/>
          <w:b/>
          <w:bCs/>
          <w:sz w:val="24"/>
          <w:szCs w:val="24"/>
        </w:rPr>
        <w:t xml:space="preserve">（二）本项目的特定资格要求</w:t>
      </w:r>
      <w:bookmarkEnd w:id="20"/>
      <w:r/>
      <w:bookmarkEnd w:id="21"/>
      <w:r/>
      <w:bookmarkEnd w:id="22"/>
      <w:r/>
      <w:bookmarkEnd w:id="23"/>
      <w:r/>
      <w:bookmarkEnd w:id="24"/>
      <w:r/>
      <w:bookmarkStart w:id="25" w:name="_Toc28359005"/>
      <w:r/>
      <w:bookmarkStart w:id="26" w:name="_Toc28359082"/>
      <w:r/>
      <w:bookmarkStart w:id="27" w:name="_Toc35393793"/>
      <w:r/>
      <w:bookmarkStart w:id="28" w:name="_Toc35393624"/>
      <w:r/>
      <w:bookmarkStart w:id="29" w:name="_Toc38985266"/>
      <w:r/>
      <w:r/>
    </w:p>
    <w:p>
      <w:pPr>
        <w:ind w:firstLine="482"/>
        <w:spacing w:line="480" w:lineRule="exact"/>
        <w:rPr>
          <w:rFonts w:hint="eastAsia" w:ascii="宋体" w:hAnsi="宋体"/>
          <w:b/>
          <w:bCs/>
          <w:sz w:val="24"/>
          <w:szCs w:val="24"/>
        </w:rPr>
      </w:pPr>
      <w:r>
        <w:rPr>
          <w:rFonts w:hint="eastAsia" w:ascii="宋体" w:hAnsi="宋体"/>
          <w:sz w:val="24"/>
          <w:szCs w:val="24"/>
        </w:rPr>
        <w:t xml:space="preserve">无。</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三、提交</w:t>
      </w:r>
      <w:bookmarkEnd w:id="25"/>
      <w:r/>
      <w:bookmarkEnd w:id="26"/>
      <w:r>
        <w:rPr>
          <w:rFonts w:hint="eastAsia" w:ascii="Times New Roman" w:hAnsi="Times New Roman"/>
          <w:b/>
          <w:bCs/>
          <w:sz w:val="32"/>
          <w:szCs w:val="32"/>
        </w:rPr>
        <w:t xml:space="preserve">响应文件截止时间</w:t>
      </w:r>
      <w:bookmarkEnd w:id="27"/>
      <w:r/>
      <w:bookmarkEnd w:id="28"/>
      <w:r/>
      <w:bookmarkEnd w:id="29"/>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 202</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rPr>
        <w:t xml:space="preserve"> 年</w:t>
      </w:r>
      <w:r>
        <w:rPr>
          <w:rFonts w:hint="eastAsia" w:ascii="Times New Roman" w:hAnsi="Times New Roman" w:cs="仿宋"/>
          <w:color w:val="000000"/>
          <w:sz w:val="24"/>
          <w:szCs w:val="24"/>
          <w:lang w:val="en-US" w:eastAsia="zh-CN"/>
        </w:rPr>
        <w:t xml:space="preserve">8</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14</w:t>
      </w:r>
      <w:r>
        <w:rPr>
          <w:rFonts w:hint="eastAsia" w:ascii="Times New Roman" w:hAnsi="Times New Roman" w:cs="仿宋"/>
          <w:color w:val="000000"/>
          <w:sz w:val="24"/>
          <w:szCs w:val="24"/>
        </w:rPr>
        <w:t xml:space="preserve">日</w:t>
      </w:r>
      <w:r>
        <w:rPr>
          <w:rFonts w:hint="eastAsia" w:ascii="Times New Roman" w:hAnsi="Times New Roman" w:cs="仿宋"/>
          <w:color w:val="000000"/>
          <w:sz w:val="24"/>
          <w:szCs w:val="24"/>
          <w:lang w:val="en-US" w:eastAsia="zh-CN"/>
        </w:rPr>
        <w:t xml:space="preserve">15</w:t>
      </w:r>
      <w:r>
        <w:rPr>
          <w:rFonts w:hint="eastAsia" w:ascii="Times New Roman" w:hAnsi="Times New Roman" w:cs="仿宋"/>
          <w:color w:val="000000"/>
          <w:sz w:val="24"/>
          <w:szCs w:val="24"/>
          <w:highlight w:val="none"/>
        </w:rPr>
        <w:t xml:space="preserve">点</w:t>
      </w:r>
      <w:r>
        <w:rPr>
          <w:rFonts w:hint="eastAsia" w:ascii="Times New Roman" w:hAnsi="Times New Roman" w:cs="仿宋"/>
          <w:color w:val="000000"/>
          <w:sz w:val="24"/>
          <w:szCs w:val="24"/>
          <w:highlight w:val="none"/>
          <w:lang w:val="en-US" w:eastAsia="zh-CN"/>
        </w:rPr>
        <w:t xml:space="preserve">00</w:t>
      </w:r>
      <w:r>
        <w:rPr>
          <w:rFonts w:hint="eastAsia" w:ascii="Times New Roman" w:hAnsi="Times New Roman" w:cs="仿宋"/>
          <w:color w:val="000000"/>
          <w:sz w:val="24"/>
          <w:szCs w:val="24"/>
          <w:highlight w:val="none"/>
        </w:rPr>
        <w:t xml:space="preserve">分</w:t>
      </w:r>
      <w:r>
        <w:rPr>
          <w:rFonts w:hint="eastAsia" w:ascii="Times New Roman" w:hAnsi="Times New Roman" w:cs="仿宋"/>
          <w:color w:val="000000"/>
          <w:sz w:val="24"/>
          <w:szCs w:val="24"/>
        </w:rPr>
        <w:t xml:space="preserve">（北京时间）。</w:t>
      </w:r>
      <w:r/>
    </w:p>
    <w:p>
      <w:pPr>
        <w:ind w:firstLine="498"/>
        <w:keepLines/>
        <w:keepNext/>
        <w:spacing w:line="480" w:lineRule="exact"/>
        <w:rPr>
          <w:rFonts w:ascii="Times New Roman" w:hAnsi="Times New Roman"/>
          <w:b/>
          <w:bCs/>
          <w:sz w:val="32"/>
          <w:szCs w:val="32"/>
        </w:rPr>
        <w:outlineLvl w:val="2"/>
      </w:pPr>
      <w:r/>
      <w:bookmarkStart w:id="30" w:name="_Toc38985269"/>
      <w:r/>
      <w:bookmarkStart w:id="31" w:name="_Toc28359085"/>
      <w:r/>
      <w:bookmarkStart w:id="32" w:name="_Toc28359008"/>
      <w:r/>
      <w:bookmarkStart w:id="33" w:name="_Toc35393627"/>
      <w:r/>
      <w:bookmarkStart w:id="34" w:name="_Toc35393796"/>
      <w:r>
        <w:rPr>
          <w:rFonts w:hint="eastAsia" w:ascii="Times New Roman" w:hAnsi="Times New Roman"/>
          <w:b/>
          <w:bCs/>
          <w:sz w:val="32"/>
          <w:szCs w:val="32"/>
        </w:rPr>
        <w:t xml:space="preserve">四、本次单一来源采购联系方式</w:t>
      </w:r>
      <w:bookmarkEnd w:id="30"/>
      <w:r/>
      <w:bookmarkEnd w:id="31"/>
      <w:r/>
      <w:bookmarkEnd w:id="32"/>
      <w:r/>
      <w:bookmarkEnd w:id="33"/>
      <w:r/>
      <w:bookmarkEnd w:id="34"/>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2"/>
        <w:spacing w:line="480" w:lineRule="exact"/>
        <w:rPr>
          <w:rFonts w:ascii="Times New Roman" w:hAnsi="Times New Roman" w:cs="仿宋"/>
          <w:sz w:val="24"/>
          <w:szCs w:val="24"/>
          <w:highlight w:val="none"/>
          <w:u w:val="single"/>
        </w:rPr>
      </w:pPr>
      <w:r/>
      <w:bookmarkStart w:id="35" w:name="_Toc28359009"/>
      <w:r/>
      <w:bookmarkStart w:id="36" w:name="_Toc28359086"/>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olor w:val="000000"/>
          <w:sz w:val="24"/>
          <w:highlight w:val="white"/>
          <w:u w:val="single"/>
          <w:lang w:val="en-US" w:eastAsia="zh-CN"/>
        </w:rPr>
        <w:t xml:space="preserve">宿迁市数据局</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 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联系人：  </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任杰</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              </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0527- 84396807</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          </w:t>
      </w:r>
      <w:r/>
    </w:p>
    <w:p>
      <w:pPr>
        <w:pStyle w:val="623"/>
        <w:numPr>
          <w:ilvl w:val="0"/>
          <w:numId w:val="2"/>
        </w:numPr>
        <w:ind w:firstLine="480"/>
        <w:spacing w:line="560" w:lineRule="exact"/>
        <w:rPr>
          <w:rFonts w:eastAsia="宋体" w:cs="仿宋"/>
          <w:szCs w:val="22"/>
        </w:rPr>
      </w:pPr>
      <w:r>
        <w:rPr>
          <w:rFonts w:hint="eastAsia" w:eastAsia="宋体" w:cs="仿宋"/>
          <w:szCs w:val="22"/>
        </w:rPr>
        <w:t xml:space="preserve">采购代理机构信息</w:t>
      </w:r>
      <w:bookmarkEnd w:id="35"/>
      <w:r/>
      <w:bookmarkEnd w:id="36"/>
      <w:r/>
      <w:r/>
    </w:p>
    <w:p>
      <w:pPr>
        <w:pStyle w:val="623"/>
        <w:ind w:firstLine="480"/>
        <w:spacing w:line="560" w:lineRule="exact"/>
        <w:rPr>
          <w:rFonts w:eastAsia="宋体" w:cs="仿宋"/>
          <w:szCs w:val="22"/>
        </w:rPr>
      </w:pPr>
      <w:r>
        <w:rPr>
          <w:rFonts w:hint="eastAsia" w:eastAsia="宋体" w:cs="仿宋"/>
          <w:szCs w:val="22"/>
        </w:rPr>
        <w:t xml:space="preserve">名称：</w:t>
      </w:r>
      <w:r>
        <w:rPr>
          <w:rFonts w:hint="eastAsia" w:eastAsia="宋体" w:cs="仿宋"/>
          <w:szCs w:val="22"/>
          <w:u w:val="single"/>
        </w:rPr>
        <w:t xml:space="preserve">宿迁市公共资源交易中心</w:t>
      </w:r>
      <w:r/>
    </w:p>
    <w:p>
      <w:pPr>
        <w:pStyle w:val="623"/>
        <w:ind w:firstLine="480"/>
        <w:spacing w:line="560" w:lineRule="exact"/>
        <w:rPr>
          <w:rFonts w:eastAsia="宋体" w:cs="仿宋"/>
          <w:szCs w:val="22"/>
          <w:u w:val="single"/>
        </w:rPr>
      </w:pPr>
      <w:r>
        <w:rPr>
          <w:rFonts w:hint="eastAsia" w:eastAsia="宋体" w:cs="仿宋"/>
          <w:szCs w:val="22"/>
        </w:rPr>
        <w:t xml:space="preserve">地址：</w:t>
      </w:r>
      <w:r>
        <w:rPr>
          <w:rFonts w:hint="eastAsia" w:eastAsia="宋体" w:cs="仿宋"/>
          <w:szCs w:val="22"/>
          <w:u w:val="single"/>
        </w:rPr>
        <w:t xml:space="preserve">宿迁市洪泽湖路889号“便民方舟”2号楼</w:t>
      </w:r>
      <w:r/>
    </w:p>
    <w:p>
      <w:pPr>
        <w:pStyle w:val="623"/>
        <w:ind w:firstLine="480"/>
        <w:spacing w:line="560" w:lineRule="exact"/>
        <w:rPr>
          <w:rFonts w:eastAsia="宋体" w:cs="仿宋"/>
          <w:szCs w:val="22"/>
          <w:u w:val="single"/>
        </w:rPr>
      </w:pPr>
      <w:r>
        <w:rPr>
          <w:rFonts w:hint="eastAsia" w:eastAsia="宋体" w:cs="仿宋"/>
          <w:szCs w:val="22"/>
        </w:rPr>
        <w:t xml:space="preserve">联系人：</w:t>
      </w:r>
      <w:r>
        <w:rPr>
          <w:rFonts w:hint="eastAsia" w:eastAsia="宋体" w:cs="仿宋"/>
          <w:szCs w:val="22"/>
          <w:u w:val="single"/>
          <w:lang w:val="en-US" w:eastAsia="zh-CN"/>
        </w:rPr>
        <w:t xml:space="preserve">李想</w:t>
      </w:r>
      <w:r>
        <w:rPr>
          <w:rFonts w:hint="eastAsia" w:eastAsia="宋体" w:cs="仿宋"/>
          <w:szCs w:val="22"/>
          <w:u w:val="single"/>
        </w:rPr>
        <w:t xml:space="preserve">  </w:t>
      </w:r>
      <w:r/>
    </w:p>
    <w:p>
      <w:pPr>
        <w:pStyle w:val="623"/>
        <w:ind w:firstLine="480"/>
        <w:spacing w:line="560" w:lineRule="exact"/>
        <w:rPr>
          <w:rFonts w:eastAsia="宋体" w:cs="仿宋"/>
          <w:szCs w:val="22"/>
          <w:u w:val="single"/>
        </w:rPr>
      </w:pPr>
      <w:r>
        <w:rPr>
          <w:rFonts w:hint="eastAsia" w:eastAsia="宋体" w:cs="仿宋"/>
          <w:szCs w:val="22"/>
        </w:rPr>
        <w:t xml:space="preserve">联系方式：</w:t>
      </w:r>
      <w:r>
        <w:rPr>
          <w:rFonts w:hint="eastAsia" w:eastAsia="宋体" w:cs="仿宋"/>
          <w:szCs w:val="22"/>
          <w:u w:val="single"/>
        </w:rPr>
        <w:t xml:space="preserve">0527-84396035</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五、其他</w:t>
      </w:r>
      <w:r/>
    </w:p>
    <w:p>
      <w:pPr>
        <w:ind w:firstLine="480"/>
        <w:spacing w:line="480" w:lineRule="exact"/>
        <w:rPr>
          <w:rFonts w:ascii="Times New Roman" w:hAnsi="Times New Roman" w:cs="仿宋"/>
          <w:color w:val="000000"/>
          <w:sz w:val="24"/>
          <w:szCs w:val="24"/>
        </w:rPr>
      </w:pPr>
      <w:r/>
      <w:bookmarkStart w:id="37" w:name="EB64e1f522fd8c43fcb4d3ba471386b3e7"/>
      <w:r>
        <w:rPr>
          <w:rFonts w:hint="eastAsia" w:ascii="Times New Roman" w:hAnsi="Times New Roman" w:cs="仿宋"/>
          <w:color w:val="000000"/>
          <w:sz w:val="24"/>
          <w:szCs w:val="24"/>
        </w:rPr>
        <w:t xml:space="preserve">1.招标公告发布媒体：</w:t>
      </w:r>
      <w:bookmarkStart w:id="38" w:name="OLE_LINK3"/>
      <w:r>
        <w:rPr>
          <w:rFonts w:hint="eastAsia" w:ascii="Times New Roman" w:hAnsi="Times New Roman" w:cs="仿宋"/>
          <w:color w:val="000000"/>
          <w:sz w:val="24"/>
          <w:szCs w:val="24"/>
        </w:rPr>
        <w:t xml:space="preserve">江苏政府采购网</w:t>
      </w:r>
      <w:bookmarkEnd w:id="38"/>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3.宿迁地区“苏采云”系统技术支持客服电话：0527-84363067、0519-86722806。</w:t>
      </w:r>
      <w:bookmarkEnd w:id="37"/>
      <w:r/>
      <w:r/>
    </w:p>
    <w:p>
      <w:pPr>
        <w:ind w:firstLine="480"/>
        <w:spacing w:line="480" w:lineRule="exact"/>
        <w:rPr>
          <w:rFonts w:ascii="Times New Roman" w:hAnsi="Times New Roman" w:eastAsia="宋体" w:cs="Times New Roman"/>
          <w:sz w:val="24"/>
          <w:szCs w:val="21"/>
          <w:highlight w:val="white"/>
        </w:rPr>
      </w:pPr>
      <w:r>
        <w:rPr>
          <w:rFonts w:hint="eastAsia" w:ascii="Times New Roman" w:hAnsi="Times New Roman" w:cs="仿宋"/>
          <w:color w:val="000000"/>
          <w:sz w:val="24"/>
          <w:szCs w:val="24"/>
        </w:rPr>
        <w:t xml:space="preserve">4.</w:t>
      </w:r>
      <w:r>
        <w:rPr>
          <w:rFonts w:hint="eastAsia" w:ascii="Times New Roman" w:hAnsi="Times New Roman" w:cs="仿宋"/>
          <w:color w:val="000000"/>
          <w:sz w:val="24"/>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rPr>
        <w:t xml:space="preserve">财政部门投诉受理电话：0527-84363063。</w:t>
      </w:r>
      <w:r/>
    </w:p>
    <w:p>
      <w:pPr>
        <w:ind w:firstLine="480"/>
        <w:spacing w:line="480" w:lineRule="exact"/>
        <w:tabs>
          <w:tab w:val="left" w:pos="900" w:leader="none"/>
        </w:tabs>
        <w:rPr>
          <w:rFonts w:hint="eastAsia" w:ascii="宋体" w:hAnsi="宋体"/>
          <w:color w:val="ff0000"/>
          <w:sz w:val="24"/>
          <w:szCs w:val="24"/>
        </w:rPr>
      </w:pPr>
      <w:r>
        <w:rPr>
          <w:rFonts w:hint="eastAsia" w:ascii="Times New Roman" w:hAnsi="Times New Roman" w:eastAsia="宋体"/>
          <w:sz w:val="24"/>
          <w:highlight w:val="white"/>
        </w:rPr>
        <w:t xml:space="preserve">5.现场勘察及答疑：本项目不组织集中勘察及答疑，供应商如对采购需求有疑问，请咨询采购单位联系人。</w:t>
      </w:r>
      <w:r/>
    </w:p>
    <w:p>
      <w:pPr>
        <w:ind w:firstLine="480"/>
        <w:spacing w:line="480" w:lineRule="exact"/>
        <w:tabs>
          <w:tab w:val="left" w:pos="900" w:leader="none"/>
        </w:tabs>
        <w:rPr>
          <w:rFonts w:hint="eastAsia" w:ascii="宋体" w:hAnsi="宋体"/>
          <w:bCs/>
          <w:sz w:val="24"/>
          <w:szCs w:val="24"/>
        </w:rPr>
      </w:pPr>
      <w:r>
        <w:rPr>
          <w:rFonts w:hint="eastAsia" w:ascii="Times New Roman" w:hAnsi="Times New Roman" w:eastAsia="宋体"/>
          <w:sz w:val="24"/>
          <w:highlight w:val="white"/>
        </w:rPr>
        <w:t xml:space="preserve">6.本次单一来</w:t>
      </w:r>
      <w:r>
        <w:rPr>
          <w:rFonts w:hint="eastAsia" w:ascii="宋体" w:hAnsi="宋体"/>
          <w:bCs/>
          <w:sz w:val="24"/>
          <w:szCs w:val="24"/>
        </w:rPr>
        <w:t xml:space="preserve">源采购不收取保证金。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rPr>
          <w:rFonts w:hint="eastAsia"/>
          <w:b/>
          <w:lang w:val="en-US" w:eastAsia="en-US"/>
        </w:rPr>
      </w:pPr>
      <w:r/>
      <w:bookmarkStart w:id="39" w:name="_Toc120614211"/>
      <w:r/>
      <w:bookmarkStart w:id="40" w:name="_Toc27701"/>
      <w:r/>
      <w:bookmarkStart w:id="41" w:name="_Toc27336"/>
      <w:r>
        <w:rPr>
          <w:rFonts w:hint="eastAsia"/>
          <w:b/>
          <w:lang w:val="en-US" w:eastAsia="en-US"/>
        </w:rPr>
        <w:br w:type="page" w:clear="all"/>
      </w:r>
      <w:r/>
    </w:p>
    <w:p>
      <w:pPr>
        <w:pStyle w:val="611"/>
        <w:jc w:val="center"/>
        <w:rPr>
          <w:rFonts w:hint="default"/>
          <w:b/>
          <w:lang w:val="en-US" w:eastAsia="en-US"/>
        </w:rPr>
      </w:pPr>
      <w:r>
        <w:rPr>
          <w:rFonts w:hint="eastAsia"/>
          <w:b/>
          <w:lang w:val="en-US" w:eastAsia="en-US"/>
        </w:rPr>
        <w:t xml:space="preserve">第二章  </w:t>
      </w:r>
      <w:bookmarkEnd w:id="3"/>
      <w:r/>
      <w:bookmarkEnd w:id="4"/>
      <w:r/>
      <w:bookmarkEnd w:id="5"/>
      <w:r/>
      <w:bookmarkEnd w:id="6"/>
      <w:r/>
      <w:bookmarkEnd w:id="7"/>
      <w:r/>
      <w:bookmarkEnd w:id="39"/>
      <w:r>
        <w:rPr>
          <w:rFonts w:hint="eastAsia"/>
          <w:b/>
          <w:lang w:val="en-US" w:eastAsia="en-US"/>
        </w:rPr>
        <w:t xml:space="preserve">供应商须知</w:t>
      </w:r>
      <w:bookmarkEnd w:id="40"/>
      <w:r/>
      <w:bookmarkEnd w:id="41"/>
      <w:r/>
      <w:r/>
    </w:p>
    <w:p>
      <w:pPr>
        <w:ind w:firstLine="643"/>
        <w:keepLines/>
        <w:keepNext/>
        <w:spacing w:line="480" w:lineRule="exact"/>
        <w:rPr>
          <w:rFonts w:ascii="Times New Roman" w:hAnsi="Times New Roman"/>
          <w:b/>
          <w:bCs/>
          <w:sz w:val="32"/>
          <w:szCs w:val="32"/>
        </w:rPr>
        <w:outlineLvl w:val="2"/>
      </w:pPr>
      <w:r/>
      <w:bookmarkStart w:id="42" w:name="_Toc20823275"/>
      <w:r/>
      <w:bookmarkStart w:id="43" w:name="_Toc16938519"/>
      <w:r/>
      <w:bookmarkStart w:id="44" w:name="_Toc513029203"/>
      <w:r/>
      <w:bookmarkStart w:id="45" w:name="_Toc120614214"/>
      <w:r>
        <w:rPr>
          <w:rFonts w:hint="eastAsia" w:ascii="Times New Roman" w:hAnsi="Times New Roman"/>
          <w:b/>
          <w:bCs/>
          <w:sz w:val="32"/>
          <w:szCs w:val="32"/>
        </w:rPr>
        <w:t xml:space="preserve">一、总则</w:t>
      </w:r>
      <w:bookmarkEnd w:id="42"/>
      <w:r/>
      <w:bookmarkEnd w:id="43"/>
      <w:r/>
      <w:bookmarkEnd w:id="44"/>
      <w:r/>
      <w:bookmarkEnd w:id="45"/>
      <w:r/>
      <w:r/>
    </w:p>
    <w:p>
      <w:pPr>
        <w:ind w:firstLine="560"/>
        <w:keepLines/>
        <w:keepNext/>
        <w:spacing w:line="480" w:lineRule="exact"/>
        <w:rPr>
          <w:rFonts w:ascii="Arial" w:hAnsi="Arial" w:eastAsia="黑体" w:cs="Arial"/>
          <w:sz w:val="28"/>
          <w:szCs w:val="28"/>
        </w:rPr>
        <w:outlineLvl w:val="3"/>
      </w:pPr>
      <w:r/>
      <w:bookmarkStart w:id="46" w:name="_Hlt16619475"/>
      <w:r/>
      <w:bookmarkEnd w:id="46"/>
      <w:r/>
      <w:bookmarkStart w:id="47" w:name="_Toc458694821"/>
      <w:r/>
      <w:bookmarkStart w:id="48" w:name="_Toc513029204"/>
      <w:r/>
      <w:bookmarkStart w:id="49" w:name="_Toc20823276"/>
      <w:r/>
      <w:bookmarkStart w:id="50" w:name="_Toc16938520"/>
      <w:r>
        <w:rPr>
          <w:rFonts w:hint="eastAsia" w:ascii="Arial" w:hAnsi="Arial" w:eastAsia="黑体" w:cs="Arial"/>
          <w:sz w:val="28"/>
          <w:szCs w:val="28"/>
        </w:rPr>
        <w:t xml:space="preserve">1</w:t>
      </w:r>
      <w:bookmarkEnd w:id="47"/>
      <w:r>
        <w:rPr>
          <w:rFonts w:hint="eastAsia" w:ascii="Arial" w:hAnsi="Arial" w:eastAsia="黑体" w:cs="Arial"/>
          <w:sz w:val="28"/>
          <w:szCs w:val="28"/>
        </w:rPr>
        <w:t xml:space="preserve">、采购方式</w:t>
      </w:r>
      <w:bookmarkEnd w:id="48"/>
      <w:r/>
      <w:bookmarkEnd w:id="49"/>
      <w:r/>
      <w:bookmarkEnd w:id="50"/>
      <w:r/>
      <w:r/>
    </w:p>
    <w:p>
      <w:pPr>
        <w:ind w:firstLine="480"/>
        <w:spacing w:line="480" w:lineRule="exact"/>
        <w:rPr>
          <w:rFonts w:hint="eastAsia" w:ascii="宋体" w:hAnsi="宋体"/>
          <w:sz w:val="24"/>
          <w:szCs w:val="21"/>
        </w:rPr>
      </w:pPr>
      <w:r>
        <w:rPr>
          <w:rFonts w:hint="eastAsia" w:ascii="宋体" w:hAnsi="宋体"/>
          <w:sz w:val="24"/>
          <w:szCs w:val="21"/>
        </w:rPr>
        <w:t xml:space="preserve">本次政府采购活动采取单一来源采购方式。</w:t>
      </w:r>
      <w:r/>
    </w:p>
    <w:p>
      <w:pPr>
        <w:ind w:firstLine="560"/>
        <w:keepLines/>
        <w:keepNext/>
        <w:spacing w:line="480" w:lineRule="exact"/>
        <w:rPr>
          <w:rFonts w:ascii="Arial" w:hAnsi="Arial" w:eastAsia="黑体" w:cs="Arial"/>
          <w:sz w:val="28"/>
          <w:szCs w:val="28"/>
        </w:rPr>
        <w:outlineLvl w:val="3"/>
      </w:pPr>
      <w:r/>
      <w:bookmarkStart w:id="51" w:name="_Toc16938521"/>
      <w:r/>
      <w:bookmarkStart w:id="52" w:name="_Toc20823277"/>
      <w:r/>
      <w:bookmarkStart w:id="53" w:name="_Toc513029205"/>
      <w:r>
        <w:rPr>
          <w:rFonts w:hint="eastAsia" w:ascii="Arial" w:hAnsi="Arial" w:eastAsia="黑体" w:cs="Arial"/>
          <w:sz w:val="28"/>
          <w:szCs w:val="28"/>
        </w:rPr>
        <w:t xml:space="preserve">2、合格的</w:t>
      </w:r>
      <w:bookmarkEnd w:id="51"/>
      <w:r/>
      <w:bookmarkEnd w:id="52"/>
      <w:r/>
      <w:bookmarkEnd w:id="53"/>
      <w:r>
        <w:rPr>
          <w:rFonts w:hint="eastAsia" w:ascii="Arial" w:hAnsi="Arial" w:eastAsia="黑体" w:cs="Arial"/>
          <w:sz w:val="28"/>
          <w:szCs w:val="28"/>
        </w:rPr>
        <w:t xml:space="preserve">供应商</w:t>
      </w:r>
      <w:r/>
    </w:p>
    <w:p>
      <w:pPr>
        <w:ind w:firstLine="480"/>
        <w:spacing w:line="480" w:lineRule="exact"/>
        <w:rPr>
          <w:rFonts w:ascii="Times New Roman" w:hAnsi="Times New Roman"/>
          <w:sz w:val="24"/>
          <w:szCs w:val="24"/>
        </w:rPr>
      </w:pPr>
      <w:r/>
      <w:bookmarkStart w:id="54" w:name="_Toc20823278"/>
      <w:r/>
      <w:bookmarkStart w:id="55" w:name="_Toc513029206"/>
      <w:r/>
      <w:bookmarkStart w:id="56" w:name="_Toc16938522"/>
      <w:r>
        <w:rPr>
          <w:rFonts w:hint="eastAsia" w:ascii="Times New Roman" w:hAnsi="Times New Roman"/>
          <w:sz w:val="24"/>
          <w:szCs w:val="24"/>
        </w:rPr>
        <w:t xml:space="preserve">2. 1 满足采购文件中合格单一来源供应商资格要求的规定。</w:t>
      </w:r>
      <w:r/>
    </w:p>
    <w:p>
      <w:pPr>
        <w:ind w:firstLine="480"/>
        <w:spacing w:line="48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3、适用法律</w:t>
      </w:r>
      <w:bookmarkEnd w:id="54"/>
      <w:r/>
      <w:bookmarkEnd w:id="55"/>
      <w:r/>
      <w:bookmarkEnd w:id="56"/>
      <w:r/>
      <w:r/>
    </w:p>
    <w:p>
      <w:pPr>
        <w:ind w:firstLine="480"/>
        <w:spacing w:line="480" w:lineRule="exact"/>
        <w:rPr>
          <w:rFonts w:hint="eastAsia" w:ascii="宋体" w:hAnsi="宋体"/>
          <w:sz w:val="24"/>
          <w:szCs w:val="21"/>
        </w:rPr>
      </w:pP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560"/>
        <w:keepLines/>
        <w:keepNext/>
        <w:spacing w:line="480" w:lineRule="exact"/>
        <w:rPr>
          <w:rFonts w:ascii="Arial" w:hAnsi="Arial" w:eastAsia="黑体" w:cs="Arial"/>
          <w:sz w:val="28"/>
          <w:szCs w:val="28"/>
        </w:rPr>
        <w:outlineLvl w:val="3"/>
      </w:pPr>
      <w:r/>
      <w:bookmarkStart w:id="57" w:name="_Toc20823279"/>
      <w:r/>
      <w:bookmarkStart w:id="58" w:name="_Toc513029207"/>
      <w:r/>
      <w:bookmarkStart w:id="59" w:name="_Toc462564067"/>
      <w:r/>
      <w:bookmarkStart w:id="60" w:name="_Toc16938523"/>
      <w:r>
        <w:rPr>
          <w:rFonts w:hint="eastAsia" w:ascii="Arial" w:hAnsi="Arial" w:eastAsia="黑体" w:cs="Arial"/>
          <w:sz w:val="28"/>
          <w:szCs w:val="28"/>
        </w:rPr>
        <w:t xml:space="preserve">4、相关费用</w:t>
      </w:r>
      <w:bookmarkEnd w:id="57"/>
      <w:r/>
      <w:bookmarkEnd w:id="58"/>
      <w:r/>
      <w:bookmarkEnd w:id="59"/>
      <w:r/>
      <w:bookmarkEnd w:id="60"/>
      <w:r/>
      <w:r/>
    </w:p>
    <w:p>
      <w:pPr>
        <w:ind w:firstLine="480"/>
        <w:spacing w:line="48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Times New Roman" w:hAnsi="Times New Roman" w:eastAsia="宋体" w:cs="Times New Roman"/>
          <w:sz w:val="24"/>
          <w:szCs w:val="21"/>
        </w:rPr>
        <w:t xml:space="preserve">采购代理机构</w:t>
      </w:r>
      <w:r>
        <w:rPr>
          <w:rFonts w:hint="eastAsia" w:ascii="宋体" w:hAnsi="宋体"/>
          <w:sz w:val="24"/>
          <w:szCs w:val="21"/>
        </w:rPr>
        <w:t xml:space="preserve">在任何情况下均无义务和责任承担这些费用。</w:t>
      </w:r>
      <w:r/>
    </w:p>
    <w:p>
      <w:pPr>
        <w:ind w:firstLine="480"/>
        <w:keepLines/>
        <w:keepNext/>
        <w:spacing w:line="480" w:lineRule="exact"/>
        <w:rPr>
          <w:rFonts w:ascii="Times New Roman" w:hAnsi="Times New Roman" w:eastAsia="宋体" w:cs="Times New Roman"/>
          <w:sz w:val="24"/>
          <w:szCs w:val="21"/>
        </w:rPr>
        <w:outlineLvl w:val="3"/>
      </w:pPr>
      <w:r>
        <w:rPr>
          <w:rFonts w:hint="eastAsia" w:ascii="Times New Roman" w:hAnsi="Times New Roman" w:eastAsia="宋体" w:cs="Times New Roman"/>
          <w:sz w:val="24"/>
          <w:szCs w:val="21"/>
        </w:rPr>
        <w:t xml:space="preserve">4.2代理费用收取方式及标准：本项目不收取代理费。  </w:t>
      </w:r>
      <w:r/>
    </w:p>
    <w:p>
      <w:pPr>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643"/>
        <w:keepLines/>
        <w:keepNext/>
        <w:spacing w:line="480" w:lineRule="exact"/>
        <w:rPr>
          <w:rFonts w:ascii="Times New Roman" w:hAnsi="Times New Roman"/>
          <w:b/>
          <w:bCs/>
          <w:sz w:val="32"/>
          <w:szCs w:val="32"/>
        </w:rPr>
        <w:outlineLvl w:val="2"/>
      </w:pPr>
      <w:r/>
      <w:bookmarkStart w:id="61" w:name="_Toc20823281"/>
      <w:r/>
      <w:bookmarkStart w:id="62" w:name="_Toc513029209"/>
      <w:r/>
      <w:bookmarkStart w:id="63" w:name="_Toc120614215"/>
      <w:r/>
      <w:bookmarkStart w:id="64" w:name="_Toc16938525"/>
      <w:r>
        <w:rPr>
          <w:rFonts w:hint="eastAsia" w:ascii="Times New Roman" w:hAnsi="Times New Roman"/>
          <w:b/>
          <w:bCs/>
          <w:sz w:val="32"/>
          <w:szCs w:val="32"/>
        </w:rPr>
        <w:t xml:space="preserve">二、</w:t>
      </w:r>
      <w:bookmarkEnd w:id="61"/>
      <w:r/>
      <w:bookmarkEnd w:id="62"/>
      <w:r/>
      <w:bookmarkEnd w:id="63"/>
      <w:r/>
      <w:bookmarkEnd w:id="64"/>
      <w:r>
        <w:rPr>
          <w:rFonts w:hint="eastAsia" w:ascii="Times New Roman" w:hAnsi="Times New Roman"/>
          <w:b/>
          <w:bCs/>
          <w:sz w:val="32"/>
          <w:szCs w:val="32"/>
        </w:rPr>
        <w:t xml:space="preserve">采购文件</w:t>
      </w:r>
      <w:r/>
    </w:p>
    <w:p>
      <w:pPr>
        <w:ind w:firstLine="560"/>
        <w:keepLines/>
        <w:keepNext/>
        <w:spacing w:line="480" w:lineRule="exact"/>
        <w:rPr>
          <w:rFonts w:ascii="Arial" w:hAnsi="Arial" w:eastAsia="黑体" w:cs="Arial"/>
          <w:sz w:val="28"/>
          <w:szCs w:val="28"/>
        </w:rPr>
        <w:outlineLvl w:val="3"/>
      </w:pPr>
      <w:r/>
      <w:bookmarkStart w:id="65" w:name="_Toc20823282"/>
      <w:r/>
      <w:bookmarkStart w:id="66" w:name="_Toc513029210"/>
      <w:r/>
      <w:bookmarkStart w:id="67" w:name="_Toc16938526"/>
      <w:r>
        <w:rPr>
          <w:rFonts w:hint="eastAsia" w:ascii="Arial" w:hAnsi="Arial" w:eastAsia="黑体" w:cs="Arial"/>
          <w:sz w:val="28"/>
          <w:szCs w:val="28"/>
        </w:rPr>
        <w:t xml:space="preserve">6、采购文件构成</w:t>
      </w:r>
      <w:bookmarkEnd w:id="65"/>
      <w:r/>
      <w:bookmarkEnd w:id="66"/>
      <w:r/>
      <w:bookmarkEnd w:id="67"/>
      <w:r/>
      <w:r/>
    </w:p>
    <w:p>
      <w:pPr>
        <w:ind w:firstLine="480"/>
        <w:spacing w:line="48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480"/>
        <w:spacing w:line="48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ind w:firstLine="480"/>
        <w:spacing w:line="480" w:lineRule="exact"/>
        <w:rPr>
          <w:rFonts w:hint="eastAsia" w:ascii="宋体" w:hAnsi="宋体"/>
          <w:sz w:val="24"/>
          <w:szCs w:val="24"/>
        </w:rPr>
      </w:pPr>
      <w:r>
        <w:rPr>
          <w:rFonts w:hint="eastAsia" w:ascii="宋体" w:hAnsi="宋体"/>
          <w:sz w:val="24"/>
          <w:szCs w:val="24"/>
        </w:rPr>
        <w:t xml:space="preserve">（2）供应商须知</w:t>
      </w:r>
      <w:r/>
    </w:p>
    <w:p>
      <w:pPr>
        <w:ind w:firstLine="480"/>
        <w:spacing w:line="480" w:lineRule="exact"/>
        <w:rPr>
          <w:rFonts w:hint="eastAsia" w:ascii="宋体" w:hAnsi="宋体"/>
          <w:sz w:val="24"/>
          <w:szCs w:val="24"/>
        </w:rPr>
      </w:pPr>
      <w:r>
        <w:rPr>
          <w:rFonts w:hint="eastAsia" w:ascii="宋体" w:hAnsi="宋体"/>
          <w:sz w:val="24"/>
          <w:szCs w:val="24"/>
        </w:rPr>
        <w:t xml:space="preserve">（3）合同文本</w:t>
      </w:r>
      <w:r/>
    </w:p>
    <w:p>
      <w:pPr>
        <w:ind w:firstLine="480"/>
        <w:spacing w:line="480" w:lineRule="exact"/>
        <w:rPr>
          <w:rFonts w:hint="eastAsia" w:ascii="宋体" w:hAnsi="宋体"/>
          <w:sz w:val="24"/>
          <w:szCs w:val="24"/>
        </w:rPr>
      </w:pPr>
      <w:r>
        <w:rPr>
          <w:rFonts w:hint="eastAsia" w:ascii="宋体" w:hAnsi="宋体"/>
          <w:sz w:val="24"/>
          <w:szCs w:val="24"/>
        </w:rPr>
        <w:t xml:space="preserve">（4）采购需求</w:t>
      </w:r>
      <w:r/>
    </w:p>
    <w:p>
      <w:pPr>
        <w:ind w:firstLine="480"/>
        <w:spacing w:line="480" w:lineRule="exact"/>
        <w:rPr>
          <w:rFonts w:hint="eastAsia" w:ascii="宋体" w:hAnsi="宋体"/>
          <w:sz w:val="24"/>
          <w:szCs w:val="24"/>
        </w:rPr>
      </w:pPr>
      <w:r>
        <w:rPr>
          <w:rFonts w:hint="eastAsia" w:ascii="宋体" w:hAnsi="宋体"/>
          <w:sz w:val="24"/>
          <w:szCs w:val="24"/>
        </w:rPr>
        <w:t xml:space="preserve">（</w:t>
      </w:r>
      <w:r>
        <w:rPr>
          <w:rFonts w:hint="eastAsia" w:ascii="宋体" w:hAnsi="宋体" w:eastAsia="宋体"/>
          <w:sz w:val="24"/>
          <w:szCs w:val="24"/>
          <w:lang w:eastAsia="zh-CN"/>
        </w:rPr>
        <w:t xml:space="preserve">5</w:t>
      </w:r>
      <w:r>
        <w:rPr>
          <w:rFonts w:hint="eastAsia" w:ascii="宋体" w:hAnsi="宋体"/>
          <w:sz w:val="24"/>
          <w:szCs w:val="24"/>
        </w:rPr>
        <w:t xml:space="preserve">）响应文件格式</w:t>
      </w:r>
      <w:r/>
    </w:p>
    <w:p>
      <w:pPr>
        <w:ind w:firstLine="480"/>
        <w:spacing w:line="480" w:lineRule="exact"/>
        <w:rPr>
          <w:rFonts w:hint="eastAsia" w:ascii="宋体" w:hAnsi="宋体"/>
          <w:sz w:val="24"/>
          <w:szCs w:val="21"/>
        </w:rPr>
      </w:pPr>
      <w:r>
        <w:rPr>
          <w:rFonts w:hint="eastAsia" w:ascii="宋体" w:hAnsi="宋体"/>
          <w:sz w:val="24"/>
          <w:szCs w:val="21"/>
        </w:rPr>
        <w:t xml:space="preserve">请仔细检查采购文件是否齐全，如有缺漏请立即与</w:t>
      </w:r>
      <w:r>
        <w:rPr>
          <w:rFonts w:hint="eastAsia" w:ascii="Times New Roman" w:hAnsi="Times New Roman"/>
          <w:sz w:val="24"/>
          <w:szCs w:val="21"/>
        </w:rPr>
        <w:t xml:space="preserve">采购代理机构</w:t>
      </w:r>
      <w:r>
        <w:rPr>
          <w:rFonts w:hint="eastAsia" w:ascii="宋体" w:hAnsi="宋体"/>
          <w:sz w:val="24"/>
          <w:szCs w:val="21"/>
        </w:rPr>
        <w:t xml:space="preserve">联系解决。</w:t>
      </w:r>
      <w:r/>
    </w:p>
    <w:p>
      <w:pPr>
        <w:ind w:firstLine="480"/>
        <w:spacing w:line="48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ind w:firstLine="560"/>
        <w:keepLines/>
        <w:keepNext/>
        <w:spacing w:line="480" w:lineRule="exact"/>
        <w:rPr>
          <w:rFonts w:ascii="Arial" w:hAnsi="Arial" w:eastAsia="黑体" w:cs="Arial"/>
          <w:sz w:val="28"/>
          <w:szCs w:val="28"/>
        </w:rPr>
        <w:outlineLvl w:val="3"/>
      </w:pPr>
      <w:r/>
      <w:bookmarkStart w:id="68" w:name="_Toc20823283"/>
      <w:r/>
      <w:bookmarkStart w:id="69" w:name="_Toc16938527"/>
      <w:r/>
      <w:bookmarkStart w:id="70" w:name="_Toc513029211"/>
      <w:r/>
      <w:bookmarkStart w:id="71" w:name="_Toc462564070"/>
      <w:r>
        <w:rPr>
          <w:rFonts w:hint="eastAsia" w:ascii="Arial" w:hAnsi="Arial" w:eastAsia="黑体" w:cs="Arial"/>
          <w:sz w:val="28"/>
          <w:szCs w:val="28"/>
        </w:rPr>
        <w:t xml:space="preserve">7、采购文件的澄清</w:t>
      </w:r>
      <w:bookmarkEnd w:id="68"/>
      <w:r/>
      <w:bookmarkEnd w:id="69"/>
      <w:r/>
      <w:bookmarkEnd w:id="70"/>
      <w:r/>
      <w:bookmarkEnd w:id="71"/>
      <w:r/>
      <w:r/>
    </w:p>
    <w:p>
      <w:pPr>
        <w:ind w:firstLine="480"/>
        <w:spacing w:line="480" w:lineRule="exact"/>
        <w:rPr>
          <w:rFonts w:hint="eastAsia" w:ascii="宋体" w:hAnsi="宋体" w:eastAsia="宋体" w:cs="Times New Roman"/>
          <w:sz w:val="24"/>
          <w:szCs w:val="21"/>
        </w:rPr>
      </w:pPr>
      <w:r/>
      <w:bookmarkStart w:id="72" w:name="_Toc513029212"/>
      <w:r/>
      <w:bookmarkStart w:id="73" w:name="_Toc20823284"/>
      <w:r/>
      <w:bookmarkStart w:id="74" w:name="_Toc462564071"/>
      <w:r/>
      <w:bookmarkStart w:id="75" w:name="_Toc16938528"/>
      <w:r>
        <w:rPr>
          <w:rFonts w:hint="eastAsia" w:ascii="宋体" w:hAnsi="宋体" w:eastAsia="宋体" w:cs="Times New Roman"/>
          <w:sz w:val="24"/>
          <w:szCs w:val="21"/>
        </w:rPr>
        <w:t xml:space="preserve">供应商如果要求对采购文件进行澄清的，应在响应文件接收截止时间（以下简称“截止时间”）三天前，在“苏采云”系统通知</w:t>
      </w:r>
      <w:r>
        <w:rPr>
          <w:rFonts w:hint="eastAsia" w:ascii="Times New Roman" w:hAnsi="Times New Roman"/>
          <w:sz w:val="24"/>
          <w:szCs w:val="21"/>
        </w:rPr>
        <w:t xml:space="preserve">采购代理机构</w:t>
      </w:r>
      <w:r>
        <w:rPr>
          <w:rFonts w:hint="eastAsia" w:ascii="宋体" w:hAnsi="宋体" w:eastAsia="宋体" w:cs="Times New Roman"/>
          <w:sz w:val="24"/>
          <w:szCs w:val="21"/>
        </w:rPr>
        <w:t xml:space="preserve">。采购代理机构将在“苏采云”系统中对澄清要求予以答复。</w:t>
      </w:r>
      <w:bookmarkEnd w:id="72"/>
      <w:r/>
      <w:bookmarkEnd w:id="73"/>
      <w:r/>
      <w:bookmarkEnd w:id="74"/>
      <w:r/>
      <w:bookmarkEnd w:id="75"/>
      <w:r/>
      <w:r/>
    </w:p>
    <w:p>
      <w:pPr>
        <w:ind w:firstLine="560"/>
        <w:keepLines/>
        <w:keepNext/>
        <w:spacing w:line="480" w:lineRule="exact"/>
        <w:rPr>
          <w:rFonts w:ascii="Arial" w:hAnsi="Arial" w:eastAsia="黑体" w:cs="Arial"/>
          <w:sz w:val="28"/>
          <w:szCs w:val="28"/>
        </w:rPr>
        <w:outlineLvl w:val="3"/>
      </w:pPr>
      <w:r/>
      <w:bookmarkStart w:id="76" w:name="_Toc462564072"/>
      <w:r/>
      <w:bookmarkStart w:id="77" w:name="_Toc20823285"/>
      <w:r/>
      <w:bookmarkStart w:id="78" w:name="_Toc120614216"/>
      <w:r/>
      <w:bookmarkStart w:id="79" w:name="_Toc513029213"/>
      <w:r/>
      <w:bookmarkStart w:id="80" w:name="_Toc16938529"/>
      <w:r>
        <w:rPr>
          <w:rFonts w:hint="eastAsia" w:ascii="Arial" w:hAnsi="Arial" w:eastAsia="黑体" w:cs="Arial"/>
          <w:sz w:val="28"/>
          <w:szCs w:val="28"/>
        </w:rPr>
        <w:t xml:space="preserve">8、采购文件的修改</w:t>
      </w:r>
      <w:r/>
    </w:p>
    <w:p>
      <w:pPr>
        <w:ind w:firstLine="480"/>
        <w:spacing w:line="48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Times New Roman" w:hAnsi="Times New Roman"/>
          <w:sz w:val="24"/>
          <w:szCs w:val="21"/>
        </w:rPr>
        <w:t xml:space="preserve">采购代理机构</w:t>
      </w:r>
      <w:r>
        <w:rPr>
          <w:rFonts w:hint="eastAsia" w:ascii="宋体" w:hAnsi="宋体"/>
          <w:sz w:val="24"/>
          <w:szCs w:val="21"/>
        </w:rPr>
        <w:t xml:space="preserve">可以以补充文件的方式对采购文件进行修改。</w:t>
      </w:r>
      <w:r/>
    </w:p>
    <w:p>
      <w:pPr>
        <w:ind w:firstLine="480"/>
        <w:spacing w:line="480" w:lineRule="exact"/>
        <w:rPr>
          <w:rFonts w:ascii="宋体" w:hAnsi="Arial"/>
          <w:sz w:val="28"/>
          <w:szCs w:val="21"/>
        </w:rPr>
      </w:pPr>
      <w:r>
        <w:rPr>
          <w:rFonts w:hint="eastAsia" w:ascii="宋体" w:hAnsi="宋体"/>
          <w:bCs/>
          <w:sz w:val="24"/>
          <w:szCs w:val="21"/>
        </w:rPr>
        <w:t xml:space="preserve">8.2</w:t>
      </w:r>
      <w:r>
        <w:rPr>
          <w:rFonts w:hint="eastAsia" w:ascii="Times New Roman" w:hAnsi="Times New Roman"/>
          <w:sz w:val="24"/>
          <w:szCs w:val="21"/>
        </w:rPr>
        <w:t xml:space="preserve">采购代理机构</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6"/>
      <w:r/>
      <w:bookmarkEnd w:id="77"/>
      <w:r/>
      <w:bookmarkEnd w:id="78"/>
      <w:r/>
      <w:bookmarkEnd w:id="79"/>
      <w:r/>
      <w:bookmarkEnd w:id="80"/>
      <w:r/>
      <w:r/>
    </w:p>
    <w:p>
      <w:pPr>
        <w:ind w:firstLine="560"/>
        <w:keepLines/>
        <w:keepNext/>
        <w:spacing w:line="480" w:lineRule="exact"/>
        <w:rPr>
          <w:rFonts w:ascii="Arial" w:hAnsi="Arial" w:eastAsia="黑体" w:cs="Arial"/>
          <w:b/>
          <w:sz w:val="28"/>
          <w:szCs w:val="28"/>
        </w:rPr>
        <w:outlineLvl w:val="3"/>
      </w:pPr>
      <w:r/>
      <w:bookmarkStart w:id="81" w:name="_Toc513029214"/>
      <w:r/>
      <w:bookmarkStart w:id="82" w:name="_Toc462564073"/>
      <w:r/>
      <w:bookmarkStart w:id="83" w:name="_Toc16938530"/>
      <w:r/>
      <w:bookmarkStart w:id="84" w:name="_Toc20823286"/>
      <w:r>
        <w:rPr>
          <w:rFonts w:hint="eastAsia" w:ascii="Arial" w:hAnsi="Arial" w:eastAsia="黑体" w:cs="Arial"/>
          <w:sz w:val="28"/>
          <w:szCs w:val="28"/>
        </w:rPr>
        <w:t xml:space="preserve">9、响应文件的语言及度量衡单位</w:t>
      </w:r>
      <w:bookmarkEnd w:id="81"/>
      <w:r/>
      <w:bookmarkEnd w:id="82"/>
      <w:r/>
      <w:bookmarkEnd w:id="83"/>
      <w:r/>
      <w:bookmarkEnd w:id="84"/>
      <w:r/>
      <w:r/>
    </w:p>
    <w:p>
      <w:pPr>
        <w:ind w:firstLine="480"/>
        <w:spacing w:line="48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560"/>
        <w:keepLines/>
        <w:keepNext/>
        <w:spacing w:line="480" w:lineRule="exact"/>
        <w:rPr>
          <w:rFonts w:ascii="Arial" w:hAnsi="Arial" w:eastAsia="黑体" w:cs="Arial"/>
          <w:sz w:val="28"/>
          <w:szCs w:val="28"/>
        </w:rPr>
        <w:outlineLvl w:val="3"/>
      </w:pPr>
      <w:r/>
      <w:bookmarkStart w:id="85" w:name="_Toc462564074"/>
      <w:r/>
      <w:bookmarkStart w:id="86" w:name="_Toc20823287"/>
      <w:r/>
      <w:bookmarkStart w:id="87" w:name="_Toc513029215"/>
      <w:r/>
      <w:bookmarkStart w:id="88" w:name="_Toc16938531"/>
      <w:r>
        <w:rPr>
          <w:rFonts w:hint="eastAsia" w:ascii="Arial" w:hAnsi="Arial" w:eastAsia="黑体" w:cs="Arial"/>
          <w:sz w:val="28"/>
          <w:szCs w:val="28"/>
        </w:rPr>
        <w:t xml:space="preserve">10、响应文件构成</w:t>
      </w:r>
      <w:bookmarkEnd w:id="85"/>
      <w:r/>
      <w:bookmarkEnd w:id="86"/>
      <w:r/>
      <w:bookmarkEnd w:id="87"/>
      <w:r/>
      <w:bookmarkEnd w:id="88"/>
      <w:r/>
      <w:r/>
    </w:p>
    <w:p>
      <w:pPr>
        <w:ind w:firstLine="480"/>
        <w:spacing w:line="480" w:lineRule="exact"/>
        <w:rPr>
          <w:rFonts w:hint="eastAsia" w:ascii="宋体" w:hAnsi="宋体"/>
          <w:sz w:val="24"/>
          <w:szCs w:val="21"/>
        </w:rPr>
      </w:pPr>
      <w:r/>
      <w:bookmarkStart w:id="89" w:name="_Hlt26670360"/>
      <w:r/>
      <w:bookmarkEnd w:id="89"/>
      <w:r/>
      <w:bookmarkStart w:id="90" w:name="_Hlt26954838"/>
      <w:r/>
      <w:bookmarkEnd w:id="90"/>
      <w:r/>
      <w:bookmarkStart w:id="91" w:name="_Hlt26668975"/>
      <w:r/>
      <w:bookmarkEnd w:id="91"/>
      <w:r/>
      <w:bookmarkStart w:id="92" w:name="_Toc14577357"/>
      <w:r/>
      <w:bookmarkStart w:id="93" w:name="_Toc49090507"/>
      <w:r/>
      <w:bookmarkStart w:id="94" w:name="_Toc513029216"/>
      <w:r/>
      <w:bookmarkStart w:id="95" w:name="_Toc49090509"/>
      <w:r/>
      <w:bookmarkStart w:id="96" w:name="_Toc513029219"/>
      <w:r/>
      <w:bookmarkStart w:id="97" w:name="_Toc14577355"/>
      <w:r/>
      <w:bookmarkStart w:id="98" w:name="_Toc14577354"/>
      <w:r/>
      <w:bookmarkStart w:id="99" w:name="_Toc49090508"/>
      <w:r>
        <w:rPr>
          <w:rFonts w:hint="eastAsia" w:ascii="宋体" w:hAnsi="宋体"/>
          <w:sz w:val="24"/>
          <w:szCs w:val="21"/>
        </w:rPr>
        <w:t xml:space="preserve">供应商编写的响应文件应包括资格证明文件、符合性证明文件、分项报价表、响应及偏离表、其他证明文件、协商及声明函等部分。</w:t>
      </w:r>
      <w:bookmarkEnd w:id="92"/>
      <w:r/>
      <w:bookmarkEnd w:id="93"/>
      <w:r/>
      <w:bookmarkEnd w:id="94"/>
      <w:r/>
      <w:bookmarkEnd w:id="95"/>
      <w:r/>
      <w:bookmarkEnd w:id="96"/>
      <w:r/>
      <w:bookmarkEnd w:id="97"/>
      <w:r/>
      <w:bookmarkEnd w:id="98"/>
      <w:r/>
      <w:bookmarkEnd w:id="99"/>
      <w:r/>
      <w:r/>
    </w:p>
    <w:p>
      <w:pPr>
        <w:pStyle w:val="614"/>
        <w:ind w:firstLine="560"/>
        <w:spacing w:before="0" w:after="0" w:line="480" w:lineRule="exact"/>
        <w:rPr>
          <w:b w:val="0"/>
          <w:bCs w:val="0"/>
        </w:rPr>
      </w:pPr>
      <w:r>
        <w:rPr>
          <w:rFonts w:hint="eastAsia"/>
          <w:b w:val="0"/>
          <w:bCs w:val="0"/>
        </w:rPr>
        <w:t xml:space="preserve">11、证明供应商及响应标的符合采购文件规定的文件</w:t>
      </w:r>
      <w:r/>
    </w:p>
    <w:p>
      <w:pPr>
        <w:ind w:firstLine="480"/>
        <w:spacing w:line="480" w:lineRule="exact"/>
        <w:rPr>
          <w:rFonts w:hint="eastAsia" w:ascii="宋体" w:hAnsi="宋体"/>
          <w:sz w:val="24"/>
          <w:szCs w:val="24"/>
        </w:rPr>
      </w:pPr>
      <w:r>
        <w:rPr>
          <w:rFonts w:hint="eastAsia" w:ascii="宋体" w:hAnsi="宋体"/>
          <w:sz w:val="24"/>
          <w:szCs w:val="24"/>
        </w:rPr>
        <w:t xml:space="preserve">11.1 供应商应按照法律、法规、规章和规范性文件以及采购文件要求提交证明文件，证明其及响应标的符合采购文件规定。</w:t>
      </w:r>
      <w:r/>
    </w:p>
    <w:p>
      <w:pPr>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480" w:lineRule="exact"/>
        <w:rPr>
          <w:rFonts w:hint="eastAsia" w:ascii="宋体" w:hAnsi="宋体"/>
          <w:bCs/>
          <w:sz w:val="24"/>
        </w:rPr>
      </w:pPr>
      <w:r/>
      <w:bookmarkStart w:id="100" w:name="_Hlt26954846"/>
      <w:r/>
      <w:bookmarkEnd w:id="100"/>
      <w:r/>
      <w:bookmarkStart w:id="101" w:name="_Hlt26954731"/>
      <w:r/>
      <w:bookmarkEnd w:id="101"/>
      <w:r/>
      <w:bookmarkStart w:id="102" w:name="_Hlt26670486"/>
      <w:r/>
      <w:bookmarkEnd w:id="102"/>
      <w:r/>
      <w:bookmarkStart w:id="103" w:name="_Hlt26670482"/>
      <w:r/>
      <w:bookmarkEnd w:id="103"/>
      <w:r/>
      <w:bookmarkStart w:id="104" w:name="_Hlt26954848"/>
      <w:r/>
      <w:bookmarkEnd w:id="104"/>
      <w:r>
        <w:rPr>
          <w:rFonts w:hint="eastAsia" w:ascii="宋体" w:hAnsi="宋体"/>
          <w:bCs/>
          <w:sz w:val="24"/>
        </w:rPr>
        <w:t xml:space="preserve">12.1</w:t>
      </w:r>
      <w:r>
        <w:rPr>
          <w:rFonts w:hint="eastAsia" w:ascii="宋体" w:hAnsi="宋体"/>
          <w:sz w:val="24"/>
        </w:rPr>
        <w:t xml:space="preserve"> 供应商应按照采购文件规定格式填报分项报价表。</w:t>
      </w:r>
      <w:r/>
    </w:p>
    <w:p>
      <w:pPr>
        <w:ind w:firstLine="480"/>
        <w:spacing w:line="48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ind w:firstLine="480"/>
        <w:spacing w:line="48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ind w:firstLine="480"/>
        <w:spacing w:line="48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14"/>
        <w:ind w:firstLine="560"/>
        <w:spacing w:before="0" w:after="0" w:line="480" w:lineRule="exact"/>
        <w:rPr>
          <w:b w:val="0"/>
          <w:bCs w:val="0"/>
        </w:rPr>
      </w:pPr>
      <w:r/>
      <w:bookmarkStart w:id="105" w:name="_Toc14577359"/>
      <w:r/>
      <w:bookmarkStart w:id="106" w:name="_Toc49090510"/>
      <w:r>
        <w:rPr>
          <w:rFonts w:hint="eastAsia"/>
          <w:b w:val="0"/>
          <w:bCs w:val="0"/>
        </w:rPr>
        <w:t xml:space="preserve">14、服务承诺、培训计划、人员安排及其他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bookmarkEnd w:id="105"/>
      <w:r/>
      <w:bookmarkEnd w:id="106"/>
      <w:r/>
      <w:r/>
    </w:p>
    <w:p>
      <w:pPr>
        <w:pStyle w:val="614"/>
        <w:ind w:firstLine="560"/>
        <w:spacing w:before="0" w:after="0" w:line="480" w:lineRule="exact"/>
        <w:rPr>
          <w:b w:val="0"/>
          <w:bCs w:val="0"/>
        </w:rPr>
      </w:pPr>
      <w:r/>
      <w:bookmarkStart w:id="107" w:name="_Toc14577360"/>
      <w:r/>
      <w:bookmarkStart w:id="108" w:name="_Toc49090511"/>
      <w:r>
        <w:rPr>
          <w:rFonts w:hint="eastAsia"/>
          <w:b w:val="0"/>
          <w:bCs w:val="0"/>
        </w:rPr>
        <w:t xml:space="preserve">15、协商及声明函</w:t>
      </w:r>
      <w:r/>
    </w:p>
    <w:p>
      <w:pPr>
        <w:ind w:firstLine="480"/>
        <w:spacing w:line="480" w:lineRule="exact"/>
        <w:rPr>
          <w:rFonts w:hint="eastAsia" w:ascii="宋体" w:hAnsi="宋体"/>
          <w:sz w:val="24"/>
        </w:rPr>
      </w:pPr>
      <w:r>
        <w:rPr>
          <w:rFonts w:hint="eastAsia" w:ascii="宋体" w:hAnsi="宋体"/>
          <w:sz w:val="24"/>
        </w:rPr>
        <w:t xml:space="preserve">供应商应按照采购文件中提供的格式完整、</w:t>
      </w:r>
      <w:r>
        <w:rPr>
          <w:rFonts w:hint="eastAsia" w:ascii="宋体" w:hAnsi="宋体" w:eastAsia="宋体" w:cs="Times New Roman"/>
          <w:sz w:val="24"/>
        </w:rPr>
        <w:t xml:space="preserve">正确填写协商及声明函。</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7"/>
      <w:r/>
      <w:bookmarkEnd w:id="108"/>
      <w:r/>
      <w:r/>
    </w:p>
    <w:p>
      <w:pPr>
        <w:ind w:firstLine="480"/>
        <w:spacing w:line="480" w:lineRule="exact"/>
        <w:rPr>
          <w:rFonts w:hint="eastAsia" w:ascii="宋体" w:hAnsi="宋体"/>
          <w:bCs/>
          <w:sz w:val="24"/>
        </w:rPr>
      </w:pPr>
      <w:r>
        <w:rPr>
          <w:rFonts w:hint="eastAsia" w:ascii="宋体" w:hAnsi="宋体"/>
          <w:bCs/>
          <w:sz w:val="24"/>
        </w:rPr>
        <w:t xml:space="preserve">单一来源采购有效期（以下简称“有效期”）为</w:t>
      </w:r>
      <w:r>
        <w:rPr>
          <w:rFonts w:hint="eastAsia" w:ascii="Times New Roman" w:hAnsi="Times New Roman"/>
          <w:sz w:val="24"/>
          <w:szCs w:val="21"/>
        </w:rPr>
        <w:t xml:space="preserve">采购代理机构</w:t>
      </w:r>
      <w:r>
        <w:rPr>
          <w:rFonts w:hint="eastAsia" w:ascii="宋体" w:hAnsi="宋体"/>
          <w:bCs/>
          <w:sz w:val="24"/>
        </w:rPr>
        <w:t xml:space="preserve">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ind w:firstLine="480"/>
        <w:spacing w:line="480" w:lineRule="exact"/>
        <w:rPr>
          <w:rFonts w:hint="eastAsia" w:ascii="宋体" w:hAnsi="宋体"/>
          <w:bCs/>
          <w:sz w:val="24"/>
          <w:szCs w:val="21"/>
        </w:rPr>
      </w:pPr>
      <w:r>
        <w:rPr>
          <w:rFonts w:hint="eastAsia" w:ascii="宋体" w:hAnsi="宋体"/>
          <w:bCs/>
          <w:sz w:val="24"/>
          <w:szCs w:val="21"/>
        </w:rPr>
        <w:t xml:space="preserve">在特殊情况下，</w:t>
      </w:r>
      <w:r>
        <w:rPr>
          <w:rFonts w:hint="eastAsia" w:ascii="Times New Roman" w:hAnsi="Times New Roman"/>
          <w:sz w:val="24"/>
          <w:szCs w:val="21"/>
        </w:rPr>
        <w:t xml:space="preserve">采购代理机构</w:t>
      </w:r>
      <w:r>
        <w:rPr>
          <w:rFonts w:hint="eastAsia" w:ascii="宋体" w:hAnsi="宋体"/>
          <w:bCs/>
          <w:sz w:val="24"/>
          <w:szCs w:val="21"/>
        </w:rPr>
        <w:t xml:space="preserve">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Times New Roman" w:hAnsi="Times New Roman"/>
          <w:sz w:val="24"/>
          <w:szCs w:val="21"/>
        </w:rPr>
        <w:t xml:space="preserve">采购代理机构</w:t>
      </w:r>
      <w:r>
        <w:rPr>
          <w:rFonts w:hint="eastAsia" w:ascii="宋体" w:hAnsi="宋体"/>
          <w:bCs/>
          <w:sz w:val="24"/>
          <w:szCs w:val="21"/>
        </w:rPr>
        <w:t xml:space="preserve">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643"/>
        <w:keepLines/>
        <w:keepNext/>
        <w:spacing w:line="480" w:lineRule="exact"/>
        <w:rPr>
          <w:rFonts w:ascii="Times New Roman" w:hAnsi="Times New Roman"/>
          <w:b/>
          <w:bCs/>
          <w:sz w:val="32"/>
          <w:szCs w:val="32"/>
        </w:rPr>
        <w:outlineLvl w:val="2"/>
      </w:pPr>
      <w:r/>
      <w:bookmarkStart w:id="109" w:name="_Hlt26954739"/>
      <w:r/>
      <w:bookmarkEnd w:id="109"/>
      <w:r/>
      <w:bookmarkStart w:id="110" w:name="_Hlt26954852"/>
      <w:r/>
      <w:bookmarkEnd w:id="110"/>
      <w:r/>
      <w:bookmarkStart w:id="111" w:name="_Toc120614217"/>
      <w:r/>
      <w:bookmarkStart w:id="112" w:name="_Toc16938540"/>
      <w:r/>
      <w:bookmarkStart w:id="113" w:name="_Toc513029224"/>
      <w:r/>
      <w:bookmarkStart w:id="114" w:name="_Toc20823296"/>
      <w:r>
        <w:rPr>
          <w:rFonts w:hint="eastAsia" w:ascii="Times New Roman" w:hAnsi="Times New Roman"/>
          <w:b/>
          <w:bCs/>
          <w:sz w:val="32"/>
          <w:szCs w:val="32"/>
        </w:rPr>
        <w:t xml:space="preserve">四、响应文件的递交</w:t>
      </w:r>
      <w:bookmarkEnd w:id="111"/>
      <w:r/>
      <w:bookmarkEnd w:id="112"/>
      <w:r/>
      <w:bookmarkEnd w:id="113"/>
      <w:r/>
      <w:bookmarkEnd w:id="114"/>
      <w:r/>
      <w:r/>
    </w:p>
    <w:p>
      <w:pPr>
        <w:ind w:firstLine="560"/>
        <w:keepLines/>
        <w:keepNext/>
        <w:spacing w:line="480" w:lineRule="exact"/>
        <w:rPr>
          <w:rFonts w:ascii="黑体" w:hAnsi="Arial" w:eastAsia="黑体" w:cs="Arial"/>
          <w:sz w:val="28"/>
          <w:szCs w:val="28"/>
        </w:rPr>
        <w:outlineLvl w:val="3"/>
      </w:pPr>
      <w:r/>
      <w:bookmarkStart w:id="115" w:name="_Toc462564084"/>
      <w:r/>
      <w:bookmarkStart w:id="116" w:name="_Toc16938541"/>
      <w:r/>
      <w:bookmarkStart w:id="117" w:name="_Toc20823297"/>
      <w:r/>
      <w:bookmarkStart w:id="118"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5"/>
      <w:r/>
      <w:bookmarkEnd w:id="116"/>
      <w:r/>
      <w:bookmarkEnd w:id="117"/>
      <w:r/>
      <w:bookmarkEnd w:id="118"/>
      <w:r>
        <w:rPr>
          <w:rFonts w:hint="eastAsia" w:ascii="黑体" w:hAnsi="Arial" w:eastAsia="黑体" w:cs="Arial"/>
          <w:sz w:val="28"/>
          <w:szCs w:val="28"/>
        </w:rPr>
        <w:t xml:space="preserve">响应文件的递交</w:t>
      </w:r>
      <w:r/>
    </w:p>
    <w:p>
      <w:pPr>
        <w:ind w:firstLine="480"/>
        <w:spacing w:line="480" w:lineRule="exact"/>
        <w:rPr>
          <w:rFonts w:hint="eastAsia" w:ascii="宋体" w:hAnsi="宋体"/>
          <w:bCs/>
          <w:sz w:val="24"/>
          <w:szCs w:val="21"/>
        </w:rPr>
      </w:pPr>
      <w:r>
        <w:rPr>
          <w:rFonts w:hint="eastAsia" w:ascii="宋体" w:hAnsi="宋体"/>
          <w:bCs/>
          <w:sz w:val="24"/>
          <w:szCs w:val="21"/>
        </w:rPr>
        <w:t xml:space="preserve">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9" w:name="_Toc16938542"/>
      <w:r/>
      <w:bookmarkStart w:id="120" w:name="_Toc20823298"/>
      <w:r/>
      <w:bookmarkStart w:id="121" w:name="_Toc513029226"/>
      <w:r/>
      <w:r/>
    </w:p>
    <w:p>
      <w:pPr>
        <w:ind w:firstLine="560"/>
        <w:keepLines/>
        <w:keepNext/>
        <w:spacing w:line="48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9"/>
      <w:r/>
      <w:bookmarkEnd w:id="120"/>
      <w:r/>
      <w:bookmarkEnd w:id="121"/>
      <w:r/>
      <w:r/>
    </w:p>
    <w:p>
      <w:pPr>
        <w:ind w:firstLine="480"/>
        <w:spacing w:line="48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ind w:firstLine="480"/>
        <w:spacing w:line="480" w:lineRule="exact"/>
        <w:rPr>
          <w:rFonts w:hint="eastAsia" w:ascii="宋体" w:hAnsi="宋体"/>
          <w:bCs/>
          <w:sz w:val="24"/>
          <w:szCs w:val="21"/>
        </w:rPr>
      </w:pPr>
      <w:r/>
      <w:bookmarkStart w:id="122" w:name="_Toc20823299"/>
      <w:r/>
      <w:bookmarkStart w:id="123" w:name="_Toc513029227"/>
      <w:r/>
      <w:bookmarkStart w:id="124"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48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采购代理机构可以按照规定，通过修改采购文件酌情延长截止时间，在此情况下，供应商的所有权利和义务以及供应商受制的截止时间以延长后新的截止时间为准。</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2"/>
      <w:r/>
      <w:bookmarkEnd w:id="123"/>
      <w:r/>
      <w:bookmarkEnd w:id="124"/>
      <w:r>
        <w:rPr>
          <w:rFonts w:hint="eastAsia" w:ascii="Arial" w:hAnsi="Arial" w:eastAsia="黑体" w:cs="Arial"/>
          <w:sz w:val="28"/>
          <w:szCs w:val="28"/>
        </w:rPr>
        <w:t xml:space="preserve">的拒收</w:t>
      </w:r>
      <w:r/>
    </w:p>
    <w:p>
      <w:pPr>
        <w:ind w:firstLine="480"/>
        <w:spacing w:line="480" w:lineRule="exact"/>
        <w:rPr>
          <w:rFonts w:hint="eastAsia" w:ascii="宋体" w:hAnsi="宋体"/>
          <w:bCs/>
          <w:sz w:val="24"/>
          <w:szCs w:val="21"/>
        </w:rPr>
      </w:pPr>
      <w:r>
        <w:rPr>
          <w:rFonts w:hint="eastAsia" w:ascii="宋体" w:hAnsi="宋体"/>
          <w:bCs/>
          <w:sz w:val="24"/>
          <w:szCs w:val="21"/>
        </w:rPr>
        <w:t xml:space="preserve">采购代理机构拒绝接收在其规定的截止时间后上传的任何电子响应文件。</w:t>
      </w:r>
      <w:r/>
    </w:p>
    <w:p>
      <w:pPr>
        <w:ind w:firstLine="560"/>
        <w:keepLines/>
        <w:keepNext/>
        <w:spacing w:line="480" w:lineRule="exact"/>
        <w:rPr>
          <w:rFonts w:ascii="Arial" w:hAnsi="Arial" w:eastAsia="黑体" w:cs="Arial"/>
          <w:sz w:val="28"/>
          <w:szCs w:val="28"/>
        </w:rPr>
        <w:outlineLvl w:val="3"/>
      </w:pPr>
      <w:r/>
      <w:bookmarkStart w:id="125" w:name="_Toc16938544"/>
      <w:r/>
      <w:bookmarkStart w:id="126" w:name="_Toc513029228"/>
      <w:r/>
      <w:bookmarkStart w:id="127"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5"/>
      <w:r/>
      <w:bookmarkEnd w:id="126"/>
      <w:r/>
      <w:bookmarkEnd w:id="127"/>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ind w:firstLine="643"/>
        <w:keepLines/>
        <w:keepNext/>
        <w:spacing w:line="480" w:lineRule="exact"/>
        <w:rPr>
          <w:rFonts w:ascii="Times New Roman" w:hAnsi="Times New Roman"/>
          <w:b/>
          <w:bCs/>
          <w:sz w:val="32"/>
          <w:szCs w:val="32"/>
        </w:rPr>
        <w:outlineLvl w:val="2"/>
      </w:pPr>
      <w:r/>
      <w:bookmarkStart w:id="128" w:name="_Toc120614218"/>
      <w:r/>
      <w:bookmarkStart w:id="129" w:name="_Toc16938545"/>
      <w:r/>
      <w:bookmarkStart w:id="130" w:name="_Toc513029229"/>
      <w:r/>
      <w:bookmarkStart w:id="131" w:name="_Toc20823301"/>
      <w:r>
        <w:rPr>
          <w:rFonts w:hint="eastAsia" w:ascii="Times New Roman" w:hAnsi="Times New Roman"/>
          <w:b/>
          <w:bCs/>
          <w:sz w:val="32"/>
          <w:szCs w:val="32"/>
        </w:rPr>
        <w:t xml:space="preserve">五、响应文件的解密与评审</w:t>
      </w:r>
      <w:bookmarkEnd w:id="128"/>
      <w:r/>
      <w:bookmarkEnd w:id="129"/>
      <w:r/>
      <w:bookmarkEnd w:id="130"/>
      <w:r/>
      <w:bookmarkEnd w:id="131"/>
      <w:r/>
      <w:r/>
    </w:p>
    <w:p>
      <w:pPr>
        <w:ind w:firstLine="560"/>
        <w:keepLines/>
        <w:keepNext/>
        <w:spacing w:line="480" w:lineRule="exact"/>
        <w:rPr>
          <w:rFonts w:ascii="Arial" w:hAnsi="Arial" w:eastAsia="黑体" w:cs="Arial"/>
          <w:sz w:val="28"/>
          <w:szCs w:val="28"/>
        </w:rPr>
        <w:outlineLvl w:val="3"/>
      </w:pPr>
      <w:r/>
      <w:bookmarkStart w:id="132" w:name="_Toc513029230"/>
      <w:r/>
      <w:bookmarkStart w:id="133" w:name="_Toc20823302"/>
      <w:r/>
      <w:bookmarkStart w:id="134" w:name="_Toc16938546"/>
      <w:r>
        <w:rPr>
          <w:rFonts w:hint="eastAsia" w:ascii="Arial" w:hAnsi="Arial" w:eastAsia="黑体" w:cs="Arial"/>
          <w:sz w:val="28"/>
          <w:szCs w:val="28"/>
        </w:rPr>
        <w:t xml:space="preserve">22、</w:t>
      </w:r>
      <w:bookmarkEnd w:id="132"/>
      <w:r/>
      <w:bookmarkEnd w:id="133"/>
      <w:r/>
      <w:bookmarkEnd w:id="134"/>
      <w:r>
        <w:rPr>
          <w:rFonts w:hint="eastAsia" w:ascii="Arial" w:hAnsi="Arial" w:eastAsia="黑体" w:cs="Arial"/>
          <w:sz w:val="28"/>
          <w:szCs w:val="28"/>
        </w:rPr>
        <w:t xml:space="preserve">响应文件解密</w:t>
      </w:r>
      <w:r/>
    </w:p>
    <w:p>
      <w:pPr>
        <w:ind w:firstLine="480"/>
        <w:spacing w:line="480" w:lineRule="exact"/>
        <w:rPr>
          <w:rFonts w:ascii="Times New Roman" w:hAnsi="Times New Roman"/>
          <w:szCs w:val="21"/>
        </w:rPr>
      </w:pP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p>
    <w:p>
      <w:pPr>
        <w:ind w:firstLine="560"/>
        <w:keepLines/>
        <w:keepNext/>
        <w:spacing w:line="480" w:lineRule="exact"/>
        <w:rPr>
          <w:rFonts w:ascii="Arial" w:hAnsi="Arial" w:eastAsia="黑体" w:cs="Arial"/>
          <w:sz w:val="28"/>
          <w:szCs w:val="28"/>
        </w:rPr>
        <w:outlineLvl w:val="3"/>
      </w:pPr>
      <w:r/>
      <w:bookmarkStart w:id="135" w:name="_Toc16938547"/>
      <w:r/>
      <w:bookmarkStart w:id="136" w:name="_Toc20823303"/>
      <w:r/>
      <w:bookmarkStart w:id="137"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、单一来源协商小组</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23.1单一来源协商小组（以下简称“协商小组”）由政府采购评审专家、采购人代表组成，且人员构成符合政府采购有关规定。</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.2协商小组应当按照客观、公正、审慎的原则评审供应商的响应文件，并与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ind w:firstLine="560"/>
        <w:spacing w:line="480" w:lineRule="exact"/>
        <w:rPr>
          <w:rFonts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、单一来源协商过程的保密与公正</w:t>
      </w:r>
      <w:bookmarkEnd w:id="135"/>
      <w:r/>
      <w:bookmarkEnd w:id="136"/>
      <w:r/>
      <w:bookmarkEnd w:id="137"/>
      <w:r/>
      <w:r/>
    </w:p>
    <w:p>
      <w:pPr>
        <w:ind w:firstLine="480"/>
        <w:spacing w:line="480" w:lineRule="exact"/>
        <w:rPr>
          <w:rFonts w:hint="eastAsia" w:ascii="宋体" w:hAnsi="宋体"/>
          <w:bCs/>
          <w:sz w:val="24"/>
          <w:szCs w:val="21"/>
        </w:rPr>
      </w:pPr>
      <w:r/>
      <w:bookmarkStart w:id="138" w:name="_Toc20823304"/>
      <w:r/>
      <w:bookmarkStart w:id="139" w:name="_Toc513029232"/>
      <w:r/>
      <w:bookmarkStart w:id="140" w:name="_Toc16938548"/>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.1协商小组</w:t>
      </w:r>
      <w:r>
        <w:rPr>
          <w:rFonts w:ascii="宋体" w:hAnsi="宋体"/>
          <w:bCs/>
          <w:sz w:val="24"/>
          <w:szCs w:val="21"/>
        </w:rPr>
        <w:t xml:space="preserve">、采购人和</w:t>
      </w:r>
      <w:r>
        <w:rPr>
          <w:rFonts w:hint="eastAsia" w:ascii="宋体" w:hAnsi="宋体"/>
          <w:bCs/>
          <w:sz w:val="24"/>
          <w:szCs w:val="21"/>
        </w:rPr>
        <w:t xml:space="preserve">采购代理机构</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、单一来源协商</w:t>
      </w:r>
      <w:r>
        <w:rPr>
          <w:rFonts w:ascii="宋体" w:hAnsi="宋体"/>
          <w:bCs/>
          <w:sz w:val="24"/>
          <w:szCs w:val="21"/>
        </w:rPr>
        <w:t xml:space="preserve">情况以及在过程中获悉的国家秘密、商业秘密负有保密责任。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协商过程中，供应商不得以任何行为影响协商过程，否则将会导致其响应文件被拒绝。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、评审及协商过程中的澄清</w:t>
      </w:r>
      <w:bookmarkEnd w:id="138"/>
      <w:r/>
      <w:bookmarkEnd w:id="139"/>
      <w:r/>
      <w:bookmarkEnd w:id="140"/>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25.1项目评审及协商过程中，协商小组有权要求供应商对响应文件中含义不明确、同类问题表述不一致或者有明显文字和计算错误的内容等作出必要的澄清、说明或者更正。</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.2需要供应商进行澄清、说明和更正的，协商小组将通过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“苏采云”平台</w:t>
      </w:r>
      <w:r>
        <w:rPr>
          <w:rFonts w:hint="eastAsia" w:ascii="宋体" w:hAnsi="宋体" w:cs="宋体"/>
          <w:sz w:val="24"/>
          <w:szCs w:val="24"/>
        </w:rPr>
        <w:t xml:space="preserve">中提交“澄清响应函”并盖CA电子公章。澄清、说明和更正的内容作为响应文件的补充部分，具体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ind w:firstLine="480"/>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接到协商小组澄清、说明和更正要求的供应商如未按规定做出澄清、说明和更正，其风险由供应商自行承担。</w:t>
      </w:r>
      <w:r/>
    </w:p>
    <w:p>
      <w:pPr>
        <w:ind w:firstLine="560"/>
        <w:keepLines/>
        <w:keepNext/>
        <w:spacing w:line="480" w:lineRule="exact"/>
        <w:rPr>
          <w:rFonts w:ascii="Arial" w:hAnsi="Arial" w:eastAsia="黑体" w:cs="Arial"/>
          <w:sz w:val="28"/>
          <w:szCs w:val="28"/>
        </w:rPr>
        <w:outlineLvl w:val="3"/>
      </w:pPr>
      <w:r/>
      <w:bookmarkStart w:id="141" w:name="_Toc513029233"/>
      <w:r/>
      <w:bookmarkStart w:id="142" w:name="_Toc16938549"/>
      <w:r/>
      <w:bookmarkStart w:id="143"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1"/>
      <w:r/>
      <w:bookmarkEnd w:id="142"/>
      <w:r/>
      <w:bookmarkEnd w:id="143"/>
      <w:r>
        <w:rPr>
          <w:rFonts w:hint="eastAsia" w:ascii="Arial" w:hAnsi="Arial" w:eastAsia="黑体" w:cs="Arial"/>
          <w:sz w:val="28"/>
          <w:szCs w:val="28"/>
        </w:rPr>
        <w:t xml:space="preserve">查</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资格审查：由协商小组依据法律法规和协商文件的规定，对响应文件中的资格证明文件进行审查，以确定供应商是否具备参加单一来源协商的资格。</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协商小组在进行资格审查的同时，将在“信用中国”网站（www.creditchina.gov.cn）查询供应商的信用记录，以确定供应商是否具备协商资格,查询结果留存并归档。</w:t>
      </w:r>
      <w:r/>
    </w:p>
    <w:p>
      <w:pPr>
        <w:ind w:firstLine="480"/>
        <w:spacing w:line="48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.1.2符合性审查：依据采购文件的规定，由协商小组从响应文件的有效性、完整性和对采购文件的响应程度进行审查，以确定是否对协商文件的实质性要求作出响应。</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.1.3未通过资格审查或符合性审查的供应商，协商小组将在“</w:t>
      </w:r>
      <w:r>
        <w:rPr>
          <w:rFonts w:hint="eastAsia" w:ascii="宋体" w:hAnsi="宋体"/>
          <w:color w:val="ff0000"/>
          <w:sz w:val="24"/>
          <w:szCs w:val="24"/>
        </w:rPr>
        <w:t xml:space="preserve">苏采云</w:t>
      </w:r>
      <w:r>
        <w:rPr>
          <w:rFonts w:hint="eastAsia" w:ascii="宋体" w:hAnsi="宋体"/>
          <w:bCs/>
          <w:sz w:val="24"/>
          <w:szCs w:val="21"/>
        </w:rPr>
        <w:t xml:space="preserve">”</w:t>
      </w:r>
      <w:r>
        <w:rPr>
          <w:rFonts w:hint="eastAsia" w:ascii="宋体" w:hAnsi="宋体"/>
          <w:color w:val="ff0000"/>
          <w:sz w:val="24"/>
          <w:szCs w:val="24"/>
        </w:rPr>
        <w:t xml:space="preserve">系统</w:t>
      </w:r>
      <w:r>
        <w:rPr>
          <w:rFonts w:hint="eastAsia" w:ascii="宋体" w:hAnsi="宋体"/>
          <w:bCs/>
          <w:sz w:val="24"/>
          <w:szCs w:val="21"/>
        </w:rPr>
        <w:t xml:space="preserve">中告知未通过资格审查或符合性审查的原因，评审结束后，协商小组将不再告知未通过资格审查或符合性审查的原因。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在正式进行协商之前，协商小组将首先审查响应文件是否实质性响应了采购文件的要求。实质性响应的响应文件应该是与采购文件要求的条款、条件和规格相符，没有重大偏离或保留。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代理机构的权利或供应商的义务。重大偏离由协商小组按照少数服从多数的原则认定。协商小组决定响应文件的响应性只根据响应文件本身的内容，而不寻求外部的证据。</w:t>
      </w:r>
      <w:r/>
    </w:p>
    <w:p>
      <w:pPr>
        <w:ind w:firstLine="480"/>
        <w:spacing w:line="48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ind w:firstLine="480"/>
        <w:spacing w:line="48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ind w:firstLine="480"/>
        <w:spacing w:line="48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ind w:firstLine="480"/>
        <w:spacing w:line="48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48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80" w:lineRule="exact"/>
        <w:rPr>
          <w:rFonts w:hint="eastAsia"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26.3.8响应文件含有采购人不能接受的附加条件的。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80" w:lineRule="exact"/>
        <w:rPr>
          <w:rFonts w:hint="eastAsia" w:ascii="宋体" w:hAnsi="宋体"/>
          <w:bCs/>
          <w:sz w:val="24"/>
          <w:szCs w:val="21"/>
        </w:rPr>
      </w:pPr>
      <w:r>
        <w:rPr>
          <w:rFonts w:hint="eastAsia" w:ascii="宋体" w:hAnsi="宋体"/>
          <w:bCs/>
          <w:sz w:val="24"/>
          <w:szCs w:val="21"/>
        </w:rPr>
        <w:t xml:space="preserve">26.3.10响应文件未按照协商文件要求盖CA电子公章的。</w:t>
      </w:r>
      <w:r/>
    </w:p>
    <w:p>
      <w:pPr>
        <w:ind w:firstLine="480"/>
        <w:spacing w:line="48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如果响应文件实质上没有响应采购文件的要求，协商小组将予以拒绝。</w:t>
      </w:r>
      <w:r/>
    </w:p>
    <w:p>
      <w:pPr>
        <w:ind w:firstLine="480"/>
        <w:spacing w:line="480" w:lineRule="exact"/>
        <w:rPr>
          <w:rFonts w:hint="eastAsia" w:ascii="宋体" w:hAnsi="宋体"/>
          <w:sz w:val="24"/>
          <w:szCs w:val="21"/>
        </w:rPr>
      </w:pPr>
      <w:r/>
      <w:bookmarkStart w:id="144" w:name="_Toc20823306"/>
      <w:r/>
      <w:bookmarkStart w:id="145" w:name="_Toc513029234"/>
      <w:r/>
      <w:bookmarkStart w:id="146"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w:t>
      </w:r>
      <w:r>
        <w:rPr>
          <w:rFonts w:hint="eastAsia" w:ascii="宋体" w:hAnsi="宋体"/>
          <w:color w:val="auto"/>
          <w:sz w:val="24"/>
          <w:szCs w:val="21"/>
        </w:rPr>
        <w:t xml:space="preserve">审及协商全</w:t>
      </w:r>
      <w:r>
        <w:rPr>
          <w:rFonts w:hint="eastAsia" w:ascii="宋体" w:hAnsi="宋体"/>
          <w:sz w:val="24"/>
          <w:szCs w:val="21"/>
        </w:rPr>
        <w:t xml:space="preserve">过程中应保持通讯畅通，并安排专人与采购代理机构及协商小组联系。</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4"/>
      <w:r/>
      <w:bookmarkEnd w:id="145"/>
      <w:r/>
      <w:bookmarkEnd w:id="146"/>
      <w:r>
        <w:rPr>
          <w:rFonts w:hint="eastAsia" w:ascii="Arial" w:hAnsi="Arial" w:eastAsia="黑体" w:cs="Arial"/>
          <w:sz w:val="28"/>
          <w:szCs w:val="28"/>
        </w:rPr>
        <w:t xml:space="preserve">单一来源协商及成交原则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.1.1对于通过资格审查和符合性审查的供应商，协商小组将通过</w:t>
      </w:r>
      <w:r>
        <w:rPr>
          <w:rFonts w:hint="eastAsia" w:ascii="宋体" w:hAnsi="宋体"/>
          <w:sz w:val="24"/>
          <w:szCs w:val="24"/>
        </w:rPr>
        <w:t xml:space="preserve">”苏采云”平台</w:t>
      </w:r>
      <w:r>
        <w:rPr>
          <w:rFonts w:hint="eastAsia" w:ascii="宋体" w:hAnsi="宋体"/>
          <w:bCs/>
          <w:sz w:val="24"/>
          <w:szCs w:val="21"/>
        </w:rPr>
        <w:t xml:space="preserve">与其就采购标的的价格、服务等内容进行单一来源协商。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1"/>
          <w:lang w:eastAsia="zh-CN"/>
        </w:rPr>
        <w:t xml:space="preserve">“</w:t>
      </w:r>
      <w:r>
        <w:rPr>
          <w:rFonts w:hint="eastAsia" w:ascii="宋体" w:hAnsi="宋体"/>
          <w:sz w:val="24"/>
          <w:szCs w:val="24"/>
        </w:rPr>
        <w:t xml:space="preserve">苏采云”平台中</w:t>
      </w:r>
      <w:r>
        <w:rPr>
          <w:rFonts w:hint="eastAsia" w:ascii="宋体" w:hAnsi="宋体"/>
          <w:sz w:val="24"/>
          <w:szCs w:val="21"/>
        </w:rPr>
        <w:t xml:space="preserve">以书面形式对协商过程中做出的承诺与澄清进行确认，并在协商小组规定的时间内完成最后报价。</w:t>
      </w:r>
      <w:r/>
    </w:p>
    <w:p>
      <w:pPr>
        <w:ind w:firstLine="480"/>
        <w:spacing w:line="480" w:lineRule="exact"/>
        <w:rPr>
          <w:rFonts w:hint="eastAsia" w:ascii="宋体" w:hAnsi="宋体"/>
          <w:bCs/>
          <w:color w:val="ee0000"/>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w:t>
      </w:r>
      <w:r>
        <w:rPr>
          <w:rFonts w:hint="eastAsia" w:ascii="宋体" w:hAnsi="宋体"/>
          <w:sz w:val="24"/>
          <w:szCs w:val="21"/>
          <w:u w:val="single"/>
        </w:rPr>
        <w:t xml:space="preserve">供应商的最后报价在响应产品数量没有增加，配置、服务没有重大提高的情况下，一般不允许高于第一次报价（即单一来源协商分项报价表</w:t>
      </w:r>
      <w:r>
        <w:rPr>
          <w:rFonts w:hint="eastAsia" w:ascii="宋体" w:hAnsi="宋体"/>
          <w:bCs/>
          <w:sz w:val="24"/>
          <w:szCs w:val="21"/>
          <w:u w:val="single"/>
        </w:rPr>
        <w:t xml:space="preserve">中的</w:t>
      </w:r>
      <w:r>
        <w:rPr>
          <w:rFonts w:hint="eastAsia" w:ascii="宋体" w:hAnsi="宋体"/>
          <w:sz w:val="24"/>
          <w:szCs w:val="21"/>
          <w:u w:val="single"/>
        </w:rPr>
        <w:t xml:space="preserve">报价）。否则，协商小组有权拒绝该最后报价并不再给予报</w:t>
      </w:r>
      <w:r>
        <w:rPr>
          <w:rFonts w:hint="eastAsia" w:ascii="宋体" w:hAnsi="宋体"/>
          <w:color w:val="auto"/>
          <w:sz w:val="24"/>
          <w:szCs w:val="21"/>
          <w:u w:val="single"/>
        </w:rPr>
        <w:t xml:space="preserve">价机会。</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协商小组根据政府采购相关法律、规章的规定，在供应商的响应情况能保证采购项目质量且最后报价合理的基础上确定其为成交供应商。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单一来源协商终止情形处理</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出现下列情形之一的，采购代理机构将终止采购活动，发布项目终止公告并说明原因，重新开展采购活动：</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供应商的技术方案、服务承诺、商务条款等不能满足采购人或协商小组的要求；</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28、确定成交供应商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.1协商小组根据协商情况编写单一来源评审报告，推荐成交候选供应商。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28.2 采购人根据协商小组推荐的成交候选供应商确定成交供应商。</w:t>
      </w:r>
      <w:r/>
    </w:p>
    <w:p>
      <w:pPr>
        <w:ind w:firstLine="480"/>
        <w:spacing w:line="48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2与评审专家、采购人、其他供应商或者采购代理机构工作人员恶意串通的。</w:t>
      </w:r>
      <w:r/>
    </w:p>
    <w:p>
      <w:pPr>
        <w:ind w:firstLine="480"/>
        <w:spacing w:line="48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向评审专家、采购人或采购代理机构工作人员行贿或者提供其他不正当利益的。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5不满足本采购文件规定的实质性要求，但在评审过程中又未被协商小组发现的。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80" w:lineRule="exact"/>
        <w:rPr>
          <w:rFonts w:hint="eastAsia" w:ascii="宋体" w:hAnsi="宋体"/>
          <w:bCs/>
          <w:sz w:val="24"/>
          <w:szCs w:val="21"/>
        </w:rPr>
      </w:pPr>
      <w:r>
        <w:rPr>
          <w:rFonts w:hint="eastAsia" w:ascii="宋体" w:hAnsi="宋体"/>
          <w:bCs/>
          <w:sz w:val="24"/>
          <w:szCs w:val="21"/>
        </w:rPr>
        <w:t xml:space="preserve">成交供应商被取消成交资格后，采购代理机构有权重新组织采购。</w:t>
      </w:r>
      <w:r/>
    </w:p>
    <w:p>
      <w:pPr>
        <w:ind w:firstLine="600"/>
        <w:keepLines/>
        <w:keepNext/>
        <w:spacing w:line="480" w:lineRule="exact"/>
        <w:rPr>
          <w:rFonts w:hint="eastAsia" w:ascii="黑体" w:hAnsi="宋体" w:eastAsia="黑体"/>
          <w:bCs/>
          <w:sz w:val="30"/>
          <w:szCs w:val="30"/>
        </w:rPr>
        <w:outlineLvl w:val="3"/>
      </w:pPr>
      <w:r/>
      <w:bookmarkStart w:id="147"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7"/>
      <w:r/>
      <w:r/>
    </w:p>
    <w:p>
      <w:pPr>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w:t>
      </w:r>
      <w:bookmarkStart w:id="148" w:name="OLE_LINK2"/>
      <w:r>
        <w:rPr>
          <w:rFonts w:hint="eastAsia" w:ascii="Times New Roman" w:hAnsi="Times New Roman" w:cs="仿宋"/>
          <w:b/>
          <w:bCs/>
          <w:sz w:val="24"/>
        </w:rPr>
        <w:t xml:space="preserve">登录“苏采云”系统，从“项目质疑申请”模块向采购人提出质疑</w:t>
      </w:r>
      <w:bookmarkEnd w:id="148"/>
      <w:r>
        <w:rPr>
          <w:rFonts w:hint="eastAsia" w:ascii="Times New Roman" w:hAnsi="Times New Roman" w:cs="仿宋"/>
          <w:b/>
          <w:bCs/>
          <w:sz w:val="24"/>
        </w:rPr>
        <w:t xml:space="preserve">。</w:t>
      </w:r>
      <w:bookmarkStart w:id="149" w:name="OLE_LINK1"/>
      <w:r>
        <w:rPr>
          <w:rFonts w:hint="eastAsia" w:ascii="Times New Roman" w:hAnsi="Times New Roman" w:cs="仿宋"/>
          <w:sz w:val="24"/>
        </w:rPr>
        <w:t xml:space="preserve">质疑联系部门、联系电话、通讯地址详见采购公告。</w:t>
      </w:r>
      <w:bookmarkEnd w:id="149"/>
      <w:r/>
      <w:r/>
    </w:p>
    <w:p>
      <w:pPr>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.3质疑函必须按照本采购文件中《质疑函范本》要求的格式和内容进行填写。供应商如组成联合体参加协商，则《质疑函范本》中要求签字、盖章、盖公章之处，联合体各方均须按要求签字、盖章、盖公章。</w:t>
      </w:r>
      <w:r/>
    </w:p>
    <w:p>
      <w:pPr>
        <w:ind w:firstLine="480"/>
        <w:spacing w:line="480" w:lineRule="exact"/>
        <w:rPr>
          <w:rFonts w:hint="eastAsia" w:ascii="Times New Roman" w:hAnsi="Times New Roman" w:eastAsia="宋体" w:cs="仿宋"/>
          <w:sz w:val="24"/>
          <w:szCs w:val="22"/>
          <w:u w:val="single"/>
        </w:rPr>
      </w:pPr>
      <w:r>
        <w:rPr>
          <w:rFonts w:ascii="Times New Roman" w:hAnsi="Times New Roman"/>
          <w:sz w:val="24"/>
          <w:szCs w:val="24"/>
        </w:rPr>
        <w:t xml:space="preserve">2</w:t>
      </w:r>
      <w:r>
        <w:rPr>
          <w:rFonts w:hint="eastAsia" w:ascii="Times New Roman" w:hAnsi="Times New Roman"/>
          <w:sz w:val="24"/>
          <w:szCs w:val="24"/>
        </w:rPr>
        <w:t xml:space="preserve">9.4</w:t>
      </w:r>
      <w:r>
        <w:rPr>
          <w:rFonts w:hint="eastAsia" w:ascii="Times New Roman" w:hAnsi="Times New Roman" w:cs="仿宋"/>
          <w:sz w:val="24"/>
        </w:rPr>
        <w:t xml:space="preserve">采购人在收到质疑函后7个工作日内作出答复，并以书面形式通知质疑供应商和其他有关供应商，但质疑答复的内容不涉及商业秘密。</w:t>
      </w:r>
      <w:r/>
    </w:p>
    <w:p>
      <w:pPr>
        <w:ind w:firstLine="600"/>
        <w:keepLines/>
        <w:keepNext/>
        <w:spacing w:line="48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480"/>
        <w:spacing w:line="480" w:lineRule="exact"/>
        <w:rPr>
          <w:rFonts w:hint="eastAsia" w:ascii="宋体" w:hAnsi="宋体" w:eastAsia="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w:t>
      </w:r>
      <w:r>
        <w:rPr>
          <w:rFonts w:hint="eastAsia" w:ascii="宋体" w:hAnsi="宋体"/>
          <w:sz w:val="24"/>
          <w:szCs w:val="24"/>
          <w:lang w:val="en-US" w:eastAsia="zh-CN"/>
        </w:rPr>
        <w:t xml:space="preserve">供应商</w:t>
      </w:r>
      <w:r>
        <w:rPr>
          <w:rFonts w:hint="eastAsia" w:ascii="宋体" w:hAnsi="宋体"/>
          <w:sz w:val="24"/>
          <w:szCs w:val="24"/>
        </w:rPr>
        <w:t xml:space="preserve">发出成交通知书。成交供应商使用CA数字证书登录“苏采云”系统及时下载成交通知书。成交供应商可自行下载打印《成交通知书》，《成交通知书》将作为授予合同资格的唯一合法依据。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80" w:lineRule="exact"/>
        <w:rPr>
          <w:rFonts w:ascii="Times New Roman" w:hAnsi="Times New Roman"/>
          <w:b/>
          <w:bCs/>
          <w:sz w:val="32"/>
          <w:szCs w:val="32"/>
        </w:rPr>
        <w:outlineLvl w:val="2"/>
      </w:pPr>
      <w:r/>
      <w:bookmarkStart w:id="150" w:name="_Toc20823308"/>
      <w:r/>
      <w:bookmarkStart w:id="151" w:name="_Toc16938552"/>
      <w:r/>
      <w:bookmarkStart w:id="152" w:name="_Toc513029236"/>
      <w:r/>
      <w:bookmarkStart w:id="153" w:name="_Toc120614220"/>
      <w:r>
        <w:rPr>
          <w:rFonts w:hint="eastAsia" w:ascii="Times New Roman" w:hAnsi="Times New Roman"/>
          <w:b/>
          <w:bCs/>
          <w:sz w:val="32"/>
          <w:szCs w:val="32"/>
        </w:rPr>
        <w:t xml:space="preserve">七、授予合同</w:t>
      </w:r>
      <w:bookmarkEnd w:id="150"/>
      <w:r/>
      <w:bookmarkEnd w:id="151"/>
      <w:r/>
      <w:bookmarkEnd w:id="152"/>
      <w:r/>
      <w:bookmarkEnd w:id="153"/>
      <w:r/>
      <w:r/>
    </w:p>
    <w:p>
      <w:pPr>
        <w:ind w:firstLine="600"/>
        <w:keepLines/>
        <w:keepNext/>
        <w:spacing w:line="480" w:lineRule="exact"/>
        <w:rPr>
          <w:rFonts w:hint="eastAsia" w:ascii="黑体" w:hAnsi="宋体" w:eastAsia="黑体"/>
          <w:bCs/>
          <w:sz w:val="30"/>
          <w:szCs w:val="30"/>
        </w:rPr>
        <w:outlineLvl w:val="3"/>
      </w:pPr>
      <w:r/>
      <w:bookmarkStart w:id="154" w:name="_Toc16938553"/>
      <w:r/>
      <w:bookmarkStart w:id="155" w:name="_Toc513029237"/>
      <w:r/>
      <w:bookmarkStart w:id="156"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p>
    <w:p>
      <w:pPr>
        <w:ind w:firstLine="48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.l成交供应商应当在成交通知书发出之日起十五日内，按照采购文件确定的事项与采购人签订政府采购合同。</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.2采购文件、成交供应商的响应文件及协商过程中有关澄清、承诺文件均应作为合同附件。</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auto"/>
          <w:sz w:val="24"/>
          <w:szCs w:val="24"/>
        </w:rPr>
        <w:t xml:space="preserve">未经采购人同意，成交</w:t>
      </w:r>
      <w:r>
        <w:rPr>
          <w:rFonts w:hint="eastAsia" w:ascii="宋体" w:hAnsi="宋体"/>
          <w:sz w:val="24"/>
          <w:szCs w:val="24"/>
        </w:rPr>
        <w:t xml:space="preserve">供应商也不得采用分包形式履行合同,否则采购人有权终止合同。转包或分包造成采购人损失的，成交供应商应承担相应赔偿责任。</w:t>
      </w:r>
      <w:r/>
    </w:p>
    <w:p>
      <w:pPr>
        <w:ind w:firstLine="480"/>
        <w:spacing w:line="480" w:lineRule="exact"/>
        <w:rPr>
          <w:rFonts w:hint="eastAsia" w:ascii="宋体" w:hAnsi="宋体"/>
          <w:sz w:val="24"/>
          <w:szCs w:val="24"/>
        </w:rPr>
      </w:pPr>
      <w:r>
        <w:rPr>
          <w:rFonts w:hint="eastAsia" w:ascii="宋体" w:hAnsi="宋体"/>
          <w:sz w:val="24"/>
          <w:szCs w:val="24"/>
        </w:rPr>
        <w:t xml:space="preserve">31.4</w:t>
      </w:r>
      <w:r>
        <w:rPr>
          <w:rFonts w:hint="eastAsia" w:ascii="Times New Roman" w:hAnsi="Times New Roman" w:cs="仿宋"/>
          <w:sz w:val="24"/>
        </w:rPr>
        <w:t xml:space="preserve">采购人在自合同签订之日起2个工作日内，将合同在指定的媒体上公告。</w:t>
      </w:r>
      <w:bookmarkEnd w:id="154"/>
      <w:r/>
      <w:bookmarkEnd w:id="155"/>
      <w:r/>
      <w:bookmarkEnd w:id="156"/>
      <w:r/>
      <w:r/>
    </w:p>
    <w:p>
      <w:pPr>
        <w:ind w:firstLine="600"/>
        <w:spacing w:line="480" w:lineRule="exact"/>
        <w:rPr>
          <w:rFonts w:hint="eastAsia" w:ascii="黑体" w:hAnsi="宋体" w:eastAsia="黑体"/>
          <w:bCs/>
          <w:sz w:val="30"/>
          <w:szCs w:val="30"/>
        </w:rPr>
      </w:pPr>
      <w:r/>
      <w:bookmarkStart w:id="157" w:name="_Toc479757207"/>
      <w:r/>
      <w:bookmarkStart w:id="158" w:name="_Toc513029242"/>
      <w:r/>
      <w:bookmarkStart w:id="159" w:name="_Toc120614221"/>
      <w:r/>
      <w:bookmarkStart w:id="160" w:name="_Toc20823314"/>
      <w:r/>
      <w:bookmarkStart w:id="161" w:name="_Toc16938558"/>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、履约保证金</w:t>
      </w:r>
      <w:r/>
    </w:p>
    <w:p>
      <w:pPr>
        <w:ind w:firstLine="480"/>
        <w:spacing w:line="480" w:lineRule="exact"/>
        <w:rPr>
          <w:rFonts w:ascii="Times New Roman" w:hAnsi="Times New Roman"/>
          <w:sz w:val="24"/>
          <w:szCs w:val="24"/>
        </w:rPr>
      </w:pPr>
      <w:r>
        <w:rPr>
          <w:rFonts w:hint="eastAsia" w:ascii="宋体" w:hAnsi="宋体"/>
          <w:sz w:val="24"/>
          <w:szCs w:val="24"/>
        </w:rPr>
        <w:t xml:space="preserve">不收取履约保证金。</w:t>
      </w:r>
      <w:r/>
    </w:p>
    <w:p>
      <w:pPr>
        <w:ind w:firstLine="600"/>
        <w:keepLines/>
        <w:keepNext/>
        <w:spacing w:line="480" w:lineRule="exact"/>
        <w:rPr>
          <w:rFonts w:hint="eastAsia" w:ascii="黑体" w:hAnsi="宋体" w:eastAsia="黑体" w:cs="Calibri"/>
          <w:sz w:val="30"/>
          <w:szCs w:val="30"/>
        </w:rPr>
        <w:outlineLvl w:val="3"/>
      </w:pPr>
      <w:r>
        <w:rPr>
          <w:rFonts w:hint="eastAsia" w:ascii="黑体" w:hAnsi="宋体" w:eastAsia="黑体"/>
          <w:sz w:val="30"/>
          <w:szCs w:val="30"/>
        </w:rPr>
        <w:t xml:space="preserve">3</w:t>
      </w:r>
      <w:r>
        <w:rPr>
          <w:rFonts w:hint="eastAsia" w:ascii="黑体" w:hAnsi="宋体" w:eastAsia="黑体"/>
          <w:sz w:val="30"/>
          <w:szCs w:val="30"/>
          <w:lang w:val="en-US" w:eastAsia="zh-CN"/>
        </w:rPr>
        <w:t xml:space="preserve">3</w:t>
      </w:r>
      <w:r>
        <w:rPr>
          <w:rFonts w:hint="eastAsia" w:ascii="黑体" w:hAnsi="黑体" w:eastAsia="黑体"/>
          <w:sz w:val="30"/>
          <w:szCs w:val="30"/>
        </w:rPr>
        <w:t xml:space="preserve">、政府采购履约资金扶持政策</w:t>
      </w:r>
      <w:r/>
    </w:p>
    <w:p>
      <w:pPr>
        <w:ind w:firstLine="480"/>
        <w:spacing w:line="480" w:lineRule="exact"/>
        <w:rPr>
          <w:rFonts w:ascii="宋体" w:hAnsi="宋体" w:cs="Times New Roman"/>
          <w:sz w:val="24"/>
          <w:szCs w:val="24"/>
        </w:rPr>
      </w:pPr>
      <w:r>
        <w:rPr>
          <w:rFonts w:hint="eastAsia" w:ascii="宋体" w:hAnsi="宋体" w:cs="Times New Roman"/>
          <w:sz w:val="24"/>
          <w:szCs w:val="24"/>
        </w:rPr>
        <w:t xml:space="preserve">成交供应商可凭政府采购合同办理融资贷款，详情请见江苏政府采购网“政采贷”专栏。</w:t>
      </w:r>
      <w:bookmarkEnd w:id="157"/>
      <w:r/>
      <w:bookmarkEnd w:id="158"/>
      <w:r/>
      <w:bookmarkEnd w:id="159"/>
      <w:r/>
      <w:bookmarkEnd w:id="160"/>
      <w:r/>
      <w:bookmarkEnd w:id="161"/>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pStyle w:val="611"/>
        <w:jc w:val="center"/>
        <w:rPr>
          <w:rFonts w:hint="eastAsia"/>
          <w:b/>
          <w:lang w:val="en-US" w:eastAsia="en-US"/>
        </w:rPr>
      </w:pPr>
      <w:r/>
      <w:bookmarkStart w:id="162" w:name="_Hlt16619350"/>
      <w:r/>
      <w:bookmarkStart w:id="163" w:name="_Toc120614244"/>
      <w:r/>
      <w:bookmarkStart w:id="164" w:name="_Toc22757"/>
      <w:r/>
      <w:bookmarkStart w:id="165" w:name="_Toc9149"/>
      <w:r/>
      <w:bookmarkStart w:id="166" w:name="_Toc20823346"/>
      <w:r/>
      <w:bookmarkStart w:id="167" w:name="_Toc16938590"/>
      <w:r>
        <w:rPr>
          <w:rFonts w:hint="eastAsia"/>
          <w:b/>
          <w:lang w:val="en-US" w:eastAsia="en-US"/>
        </w:rPr>
        <w:t xml:space="preserve">第</w:t>
      </w:r>
      <w:bookmarkEnd w:id="162"/>
      <w:r>
        <w:rPr>
          <w:rFonts w:hint="eastAsia"/>
          <w:b/>
          <w:lang w:val="en-US" w:eastAsia="en-US"/>
        </w:rPr>
        <w:t xml:space="preserve">三章 采购需求</w:t>
      </w:r>
      <w:bookmarkEnd w:id="163"/>
      <w:r/>
      <w:bookmarkEnd w:id="164"/>
      <w:r/>
      <w:bookmarkEnd w:id="165"/>
      <w:r/>
      <w:bookmarkEnd w:id="166"/>
      <w:r/>
      <w:bookmarkEnd w:id="167"/>
      <w:r/>
      <w:bookmarkStart w:id="168" w:name="_Toc26554093"/>
      <w:r/>
      <w:bookmarkStart w:id="169" w:name="_Toc49090575"/>
      <w:r/>
      <w:r/>
    </w:p>
    <w:p>
      <w:pPr>
        <w:pStyle w:val="628"/>
        <w:ind w:firstLine="562"/>
        <w:rPr>
          <w:rFonts w:ascii="Times New Roman" w:hAnsi="Times New Roman" w:eastAsia="仿宋"/>
          <w:b/>
          <w:bCs/>
          <w:sz w:val="28"/>
          <w:szCs w:val="28"/>
        </w:rPr>
      </w:pPr>
      <w:r/>
      <w:bookmarkStart w:id="170" w:name="_Toc9467"/>
      <w:r/>
      <w:bookmarkStart w:id="171" w:name="_Toc2934"/>
      <w:r/>
      <w:bookmarkStart w:id="172" w:name="_Toc6565"/>
      <w:r/>
      <w:bookmarkStart w:id="173" w:name="_Toc27780"/>
      <w:r/>
      <w:bookmarkStart w:id="174" w:name="_Toc120614281"/>
      <w:r>
        <w:rPr>
          <w:rFonts w:hint="eastAsia" w:eastAsia="方正仿宋_GBK"/>
          <w:b/>
          <w:color w:val="ff0000"/>
          <w:sz w:val="28"/>
          <w:szCs w:val="32"/>
        </w:rPr>
        <w:t xml:space="preserve">以下需求内容及要求为最低要求，不接受负偏离，响应文件中提供全部响应要求的承诺函电子件（加盖公章，承诺函格式附后），否则按无效标处理。</w:t>
      </w:r>
      <w:bookmarkEnd w:id="170"/>
      <w:r/>
      <w:bookmarkEnd w:id="171"/>
      <w:r/>
      <w:bookmarkEnd w:id="172"/>
      <w:r/>
      <w:bookmarkEnd w:id="173"/>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项目背景</w:t>
      </w:r>
      <w:r/>
    </w:p>
    <w:p>
      <w:pPr>
        <w:pStyle w:val="631"/>
        <w:numPr>
          <w:ilvl w:val="0"/>
          <w:numId w:val="0"/>
        </w:numPr>
        <w:ind w:firstLine="480"/>
        <w:keepLines w:val="0"/>
        <w:keepNext w:val="0"/>
        <w:pageBreakBefore w:val="0"/>
        <w:spacing w:line="520" w:lineRule="exact"/>
        <w:widowControl w:val="off"/>
        <w:rPr>
          <w:rFonts w:hint="eastAsia" w:ascii="宋体" w:hAnsi="宋体" w:eastAsia="宋体" w:cstheme="minorBidi"/>
          <w:b w:val="0"/>
          <w:bCs/>
          <w:color w:val="000000"/>
          <w:sz w:val="24"/>
          <w:szCs w:val="24"/>
          <w:lang w:val="en-US" w:eastAsia="zh-CN" w:bidi="ar-SA"/>
        </w:rPr>
      </w:pPr>
      <w:r>
        <w:rPr>
          <w:rFonts w:hint="eastAsia" w:ascii="宋体" w:hAnsi="宋体" w:eastAsia="宋体" w:cstheme="minorBidi"/>
          <w:b w:val="0"/>
          <w:bCs/>
          <w:color w:val="000000"/>
          <w:sz w:val="24"/>
          <w:szCs w:val="24"/>
          <w:lang w:val="en-US" w:eastAsia="zh-CN" w:bidi="ar-SA"/>
        </w:rPr>
        <w:t xml:space="preserve">按照“三统一服务中枢、基础服务平台、连接器、隐私计算、数据沙箱”等核心能力体系构建：统一身份、标识、目录管理为全市数据流通提供基础支撑；基础服务平台提供数据资源管理、子空间管理及运维监控；连接器作为数据流通的“神经末梢”，覆盖数据申请、管理、交付与开发全链路；隐私计算与数据沙箱保障数据在“可用不可见”前提下安全加工利用，最终形成覆盖数据汇聚、治理、开发、流通、应用全生命周期的安全可信底座。</w:t>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项目目标</w:t>
      </w:r>
      <w:r/>
    </w:p>
    <w:p>
      <w:pPr>
        <w:pStyle w:val="632"/>
        <w:ind w:firstLine="480"/>
        <w:spacing w:line="480" w:lineRule="exact"/>
        <w:rPr>
          <w:rFonts w:hint="eastAsia" w:ascii="宋体" w:hAnsi="宋体" w:eastAsia="宋体"/>
          <w:b w:val="0"/>
          <w:color w:val="000000"/>
          <w:sz w:val="24"/>
          <w:szCs w:val="24"/>
        </w:rPr>
      </w:pPr>
      <w:r>
        <w:rPr>
          <w:rFonts w:hint="eastAsia" w:ascii="宋体" w:hAnsi="宋体" w:eastAsia="宋体"/>
          <w:b w:val="0"/>
          <w:color w:val="000000"/>
          <w:sz w:val="24"/>
          <w:szCs w:val="24"/>
        </w:rPr>
        <w:t xml:space="preserve">构建安全可信、互联互通的数据流通基础服务平台，实现数据“可用不可见、可控可计量”的安全流通范式，支撑跨部门、跨行业、跨区域的数据高效协同与价值深度释放，服务于城市、企业、行业可信数据空间。</w:t>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采购内容</w:t>
      </w:r>
      <w:r/>
    </w:p>
    <w:tbl>
      <w:tblPr>
        <w:tblStyle w:val="616"/>
        <w:tblW w:w="542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539"/>
        <w:gridCol w:w="1150"/>
        <w:gridCol w:w="1299"/>
        <w:gridCol w:w="5257"/>
      </w:tblGrid>
      <w:tr>
        <w:trPr>
          <w:jc w:val="center"/>
          <w:trHeight w:val="270"/>
        </w:trPr>
        <w:tc>
          <w:tcPr>
            <w:shd w:val="clear" w:color="auto" w:fill="ffffff"/>
            <w:tcBorders>
              <w:top w:val="single" w:color="000000" w:sz="4" w:space="0"/>
              <w:left w:val="single" w:color="000000" w:sz="4" w:space="0"/>
              <w:bottom w:val="single" w:color="auto" w:sz="4" w:space="0"/>
              <w:right w:val="single" w:color="000000" w:sz="4" w:space="0"/>
            </w:tcBorders>
            <w:tcW w:w="832"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2"/>
                <w:szCs w:val="22"/>
                <w:u w:val="none"/>
              </w:rPr>
              <w:suppressLineNumbers w:val="0"/>
            </w:pPr>
            <w:r>
              <w:rPr>
                <w:rFonts w:hint="default" w:ascii="Times New Roman" w:hAnsi="Times New Roman" w:eastAsia="宋体" w:cs="Times New Roman"/>
                <w:b/>
                <w:bCs/>
                <w:i w:val="0"/>
                <w:iCs w:val="0"/>
                <w:color w:val="auto"/>
                <w:sz w:val="22"/>
                <w:szCs w:val="22"/>
                <w:u w:val="none"/>
                <w:lang w:val="en-US" w:eastAsia="zh-CN" w:bidi="ar"/>
              </w:rPr>
              <w:t xml:space="preserve">一级功能模块</w:t>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2"/>
                <w:szCs w:val="22"/>
                <w:u w:val="none"/>
              </w:rPr>
              <w:suppressLineNumbers w:val="0"/>
            </w:pPr>
            <w:r>
              <w:rPr>
                <w:rFonts w:hint="default" w:ascii="Times New Roman" w:hAnsi="Times New Roman" w:eastAsia="宋体" w:cs="Times New Roman"/>
                <w:b/>
                <w:bCs/>
                <w:i w:val="0"/>
                <w:iCs w:val="0"/>
                <w:color w:val="auto"/>
                <w:sz w:val="22"/>
                <w:szCs w:val="22"/>
                <w:u w:val="none"/>
                <w:lang w:val="en-US" w:eastAsia="zh-CN" w:bidi="ar"/>
              </w:rPr>
              <w:t xml:space="preserve">二级功能模块</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2"/>
                <w:szCs w:val="22"/>
                <w:u w:val="none"/>
              </w:rPr>
              <w:suppressLineNumbers w:val="0"/>
            </w:pPr>
            <w:r>
              <w:rPr>
                <w:rFonts w:hint="default" w:ascii="Times New Roman" w:hAnsi="Times New Roman" w:eastAsia="宋体" w:cs="Times New Roman"/>
                <w:b/>
                <w:bCs/>
                <w:i w:val="0"/>
                <w:iCs w:val="0"/>
                <w:color w:val="auto"/>
                <w:sz w:val="22"/>
                <w:szCs w:val="22"/>
                <w:u w:val="none"/>
                <w:lang w:val="en-US" w:eastAsia="zh-CN" w:bidi="ar"/>
              </w:rPr>
              <w:t xml:space="preserve">三级功能模块</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2"/>
                <w:szCs w:val="22"/>
                <w:u w:val="none"/>
              </w:rPr>
              <w:suppressLineNumbers w:val="0"/>
            </w:pPr>
            <w:r>
              <w:rPr>
                <w:rFonts w:hint="default" w:ascii="Times New Roman" w:hAnsi="Times New Roman" w:eastAsia="宋体" w:cs="Times New Roman"/>
                <w:b/>
                <w:bCs/>
                <w:i w:val="0"/>
                <w:iCs w:val="0"/>
                <w:color w:val="auto"/>
                <w:sz w:val="22"/>
                <w:szCs w:val="22"/>
                <w:u w:val="none"/>
                <w:lang w:val="en-US" w:eastAsia="zh-CN" w:bidi="ar"/>
              </w:rPr>
              <w:t xml:space="preserve">功能描述</w:t>
            </w:r>
            <w:r/>
          </w:p>
        </w:tc>
      </w:tr>
      <w:tr>
        <w:trPr>
          <w:jc w:val="center"/>
          <w:trHeight w:val="1080"/>
        </w:trPr>
        <w:tc>
          <w:tcPr>
            <w:shd w:val="clear" w:color="auto" w:fill="ffffff"/>
            <w:tcBorders>
              <w:top w:val="single" w:color="auto" w:sz="4" w:space="0"/>
              <w:left w:val="single" w:color="auto" w:sz="4" w:space="0"/>
              <w:bottom w:val="single" w:color="auto" w:sz="4" w:space="0"/>
              <w:right w:val="single" w:color="auto" w:sz="4" w:space="0"/>
            </w:tcBorders>
            <w:tcW w:w="832"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三统一服务中枢</w:t>
            </w:r>
            <w:r/>
          </w:p>
        </w:tc>
        <w:tc>
          <w:tcPr>
            <w:shd w:val="clear" w:color="auto" w:fill="ffffff"/>
            <w:tcBorders>
              <w:top w:val="single" w:color="000000" w:sz="4" w:space="0"/>
              <w:left w:val="single" w:color="auto"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身份统一管理</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城市级统一身份认证与管理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宿迁市可信数据空间智能底座全部参与主体的统一身份管理能力，通过身份验证、跨域法人及其他组织身份信息查询、连接器接入身份核验、可信身份凭证提供商根凭证列表查询、全域功能节点身份验证等接口，实现各类主体身份的统一管控、跨域核验与可信认证，为数据要素流通场景提供安全互信的身份基础支撑，保障身份信息的合规上报与查询，支撑身份全流程验证。</w:t>
            </w:r>
            <w:r/>
          </w:p>
        </w:tc>
      </w:tr>
      <w:tr>
        <w:trPr>
          <w:jc w:val="center"/>
          <w:trHeight w:val="1080"/>
        </w:trPr>
        <w:tc>
          <w:tcPr>
            <w:shd w:val="clear" w:color="auto" w:fill="ffffff"/>
            <w:tcBorders>
              <w:top w:val="single" w:color="auto" w:sz="4" w:space="0"/>
              <w:left w:val="single" w:color="auto" w:sz="4" w:space="0"/>
              <w:bottom w:val="single" w:color="auto" w:sz="4" w:space="0"/>
              <w:right w:val="single" w:color="auto"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auto"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标识统一管理</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全局唯一标识注册与解析</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提供宿迁市可信数据空间智能底座内所有数据资源、服务资源、主体资源的全局唯一标识管理能力，构建市级标识节点，支持标识注册、解析、状态管理与权限管控。</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标识与资源唯一绑定，具备标识跨域解析互认、跨空间标识体系对接能力，支持标识查询检索；确保每一份数据、每一项服务都拥有唯一、可追溯、生命周期内有效的数字标识，实现跨空间标识体系互通互认。</w:t>
            </w:r>
            <w:r/>
          </w:p>
        </w:tc>
      </w:tr>
      <w:tr>
        <w:trPr>
          <w:jc w:val="center"/>
          <w:trHeight w:val="1080"/>
        </w:trPr>
        <w:tc>
          <w:tcPr>
            <w:shd w:val="clear" w:color="auto" w:fill="ffffff"/>
            <w:tcBorders>
              <w:top w:val="single" w:color="auto" w:sz="4" w:space="0"/>
              <w:left w:val="single" w:color="auto" w:sz="4" w:space="0"/>
              <w:bottom w:val="single" w:color="auto" w:sz="4" w:space="0"/>
              <w:right w:val="single" w:color="auto"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auto"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目录统一管理</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全市统一数据目录管理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color w:val="auto"/>
                <w:sz w:val="22"/>
                <w:szCs w:val="22"/>
              </w:rPr>
              <w:suppressLineNumbers w:val="0"/>
            </w:pPr>
            <w:r>
              <w:rPr>
                <w:rFonts w:hint="default" w:ascii="Times New Roman" w:hAnsi="Times New Roman" w:eastAsia="宋体" w:cs="Times New Roman"/>
                <w:color w:val="auto"/>
                <w:sz w:val="22"/>
                <w:szCs w:val="22"/>
              </w:rPr>
              <w:t xml:space="preserve">建设宿迁市可信数据空间智能底座全市统一数据目录体系，支持政务部门、公共企事业单位、市场化机构等多主体开展目录注册、发布、更新、注销全流程管理。</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支持目录分级分类管理、元数据核验，具备目录跨域同步检索、跨空间目录互查能力，确保全市数据目录标准统一、内容完整准确、信息动态更新，实现跨空间目录共享与协同检索。</w:t>
            </w:r>
            <w:r/>
          </w:p>
        </w:tc>
      </w:tr>
      <w:tr>
        <w:trPr>
          <w:jc w:val="center"/>
          <w:trHeight w:val="810"/>
        </w:trPr>
        <w:tc>
          <w:tcPr>
            <w:shd w:val="clear" w:color="auto" w:fill="ffffff"/>
            <w:tcBorders>
              <w:top w:val="single" w:color="auto" w:sz="4" w:space="0"/>
              <w:left w:val="single" w:color="000000" w:sz="4" w:space="0"/>
              <w:right w:val="single" w:color="000000" w:sz="4" w:space="0"/>
            </w:tcBorders>
            <w:tcW w:w="832" w:type="pct"/>
            <w:vAlign w:val="center"/>
            <w:vMerge w:val="restart"/>
            <w:textDirection w:val="lrTb"/>
            <w:noWrap/>
          </w:tcPr>
          <w:p>
            <w:pPr>
              <w:jc w:val="center"/>
              <w:rPr>
                <w:rFonts w:hint="default" w:ascii="Times New Roman" w:hAnsi="Times New Roman" w:eastAsia="宋体" w:cs="Times New Roman"/>
                <w:i w:val="0"/>
                <w:iCs w:val="0"/>
                <w:color w:val="auto"/>
                <w:sz w:val="22"/>
                <w:szCs w:val="22"/>
                <w:u w:val="none"/>
                <w:lang w:val="en-US" w:eastAsia="zh-CN"/>
              </w:rPr>
            </w:pPr>
            <w:r>
              <w:rPr>
                <w:rFonts w:hint="eastAsia" w:ascii="Times New Roman" w:hAnsi="Times New Roman" w:eastAsia="宋体" w:cs="Times New Roman"/>
                <w:i w:val="0"/>
                <w:iCs w:val="0"/>
                <w:color w:val="auto"/>
                <w:sz w:val="22"/>
                <w:szCs w:val="22"/>
                <w:u w:val="none"/>
                <w:lang w:val="en-US" w:eastAsia="zh-CN"/>
              </w:rPr>
              <w:t xml:space="preserve">基础服务平台</w:t>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子空间展示与访问</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多逻辑子空间和物理子空间的展示与访问控制</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支持不同逻辑子空间独立展示与访问管控，支持各逻辑子空间独立门户定制、内容展示、权限管控与入口管理，对子空间访问执行身份核验与权限校验，确保不同子空间之间访问隔离与数据隔离。</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支持物理子空间独立域名或入口配置，支持子空间内专属内容展示。</w:t>
            </w:r>
            <w:r/>
          </w:p>
        </w:tc>
      </w:tr>
      <w:tr>
        <w:trPr>
          <w:jc w:val="center"/>
          <w:trHeight w:val="9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用户中心与服务</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统一用户中心与全流程服务</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建设可信数据空间智能底座统一用户中心，覆盖用户账号管理、身份凭证管理、资源管理、消息通知等全流程服务。</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支持用户全生命周期管理，可按用户角色差异化配置服务菜单、待办事项、常用服务快捷入口，具备用户操作全程留痕与审计能力。</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资源检索与发现</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全空间资源统一检索与发现</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提供可信数据空间智能底座全域数据资源、服务资源的检索与发现能力，支持多维度检索条件配置，涵盖关键词检索、高级检索、精准检索、模糊检索等多种检索方式</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支持检索结果分类展示、资源详情查看与相关性排序。</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逻辑子空间管理</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逻辑子空间与全生命周期管理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提供可信数据空间智能底座内逻辑子空间全生命周期管理能力，覆盖创建、配置、变更、注销全流程</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支持子空间基础属性定义，以及生命周期各阶段的状态流转与策略管控，保障子空间资源高效利用与有序管理</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空间安全管控</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子空间安全隔离与安全管控</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提供各逻辑子空间安全隔离机制与安全管控能力，支持访问控制策略配置、数据传输与存储加密、安全日志审计及合规性检查</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具备跨空间访问鉴权与拦截能力，可防范非法访问与数据泄露；支持安全风险监测、预警与处置，保障各子空间安全合规运行</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用户与权限管理</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空间用户与权限管理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提供可信数据空间智能底座统一用户与权限管理能力，支持用户注册审批、启用/禁用、角色申请审批等全生命周期管理</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支持基于RBAC模型的角色权限控制与审计，支持用户多因子认证与操作审计，遵循权限最小化原则，实现职责分离</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9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平台运维监控</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可信数据空间底座统一运维监控</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提供可信数据空间智能底座全栈统一运维监控能力，覆盖服务器、存储等各类监控对象</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支持监控指标采集、阈值告警</w:t>
            </w:r>
            <w:r>
              <w:rPr>
                <w:rFonts w:hint="default" w:ascii="Times New Roman" w:hAnsi="Times New Roman" w:eastAsia="宋体" w:cs="Times New Roman"/>
                <w:color w:val="auto"/>
                <w:sz w:val="22"/>
                <w:szCs w:val="22"/>
                <w:lang w:val="en-US" w:eastAsia="zh-CN"/>
              </w:rPr>
              <w:t xml:space="preserve">等功能</w:t>
            </w:r>
            <w:r>
              <w:rPr>
                <w:rFonts w:hint="default" w:ascii="Times New Roman" w:hAnsi="Times New Roman" w:eastAsia="宋体" w:cs="Times New Roman"/>
                <w:color w:val="auto"/>
                <w:sz w:val="22"/>
                <w:szCs w:val="22"/>
              </w:rPr>
              <w:t xml:space="preserve">，保障底座稳定可靠运行</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配置管理</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系统配置管理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提供可信数据空间智能底座系统配置管理能力，支持系统参数、业务规则的统一配置</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连接器生命周期管理</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连接器生命周期统一管理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提供连接器全生命周期统一管理能力，覆盖连接器注册、审核、可信身份凭证管理、运行监控、注销全流程</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支持连接器统一认证、统一监控，保障连接器规范接入、安全运行</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right w:val="single" w:color="000000" w:sz="4" w:space="0"/>
            </w:tcBorders>
            <w:tcW w:w="621"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数据管理</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数据资源登记</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color w:val="auto"/>
                <w:sz w:val="22"/>
                <w:szCs w:val="22"/>
              </w:rPr>
              <w:t xml:space="preserve">面向数据供给侧提供数据资源登记管理能力，支持数据资源信息录入、目录创建与层级管理，以及数据资源初始登记、更新、撤销等操作，适配文件、库表等多种形式的数据资源</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right w:val="single" w:color="000000" w:sz="4" w:space="0"/>
            </w:tcBorders>
            <w:tcW w:w="621" w:type="pct"/>
            <w:vAlign w:val="center"/>
            <w:vMerge w:val="continue"/>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数据产品上架与发布</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面向数据供给侧提供数据产品上架管理能力，覆盖市场化数据产品编目、上架发布、版本更新、下架全流程</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支持数据产品标准化封装、使用规则定义，配套元数据核验、脱敏处理能力，保障上架数据产品合规性，为数据流通提供标准化可交易资源</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right w:val="single" w:color="000000" w:sz="4" w:space="0"/>
            </w:tcBorders>
            <w:tcW w:w="621" w:type="pct"/>
            <w:vAlign w:val="center"/>
            <w:vMerge w:val="continue"/>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数据流通申请与审批管理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color w:val="auto"/>
                <w:sz w:val="22"/>
                <w:szCs w:val="22"/>
              </w:rPr>
              <w:t xml:space="preserve">建设平台统一审批管控中心，提供通用审批引擎服务，覆盖数据资源登记审核、数据产品上架审核、数据资源使用申请审核、需求发布审核等各类审批场景。</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color w:val="auto"/>
                <w:sz w:val="22"/>
                <w:szCs w:val="22"/>
              </w:rPr>
              <w:t xml:space="preserve">支持审批智能路由、进度跟踪与消息通知，实现审批全程留痕、审计可追溯，保障数据资源流通与使用合规可控。</w:t>
            </w:r>
            <w:r/>
          </w:p>
        </w:tc>
      </w:tr>
      <w:tr>
        <w:trPr>
          <w:jc w:val="center"/>
          <w:trHeight w:val="108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bottom w:val="single" w:color="000000" w:sz="4" w:space="0"/>
              <w:right w:val="single" w:color="000000" w:sz="4" w:space="0"/>
            </w:tcBorders>
            <w:tcW w:w="621"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数字合约签订与数据交付调用</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承接交易意向达成后的交易确权与履约协商环节，支持供需双方基于交易标的、期限、使用范围等条款生成并签署数据交易数字合约，实现交易规则代码化、自动化执行</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基于生效数字合约开展数据交付或API调用授权，支持批量数据加密传输，确保数据按合约约定精准、安全交付至使用方</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数据使用计量结算</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数据流通计量与结算管理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color w:val="auto"/>
                <w:sz w:val="22"/>
                <w:szCs w:val="22"/>
              </w:rPr>
              <w:suppressLineNumbers w:val="0"/>
            </w:pPr>
            <w:r>
              <w:rPr>
                <w:rFonts w:hint="default" w:ascii="Times New Roman" w:hAnsi="Times New Roman" w:eastAsia="宋体" w:cs="Times New Roman"/>
                <w:color w:val="auto"/>
                <w:sz w:val="22"/>
                <w:szCs w:val="22"/>
              </w:rPr>
              <w:t xml:space="preserve">覆盖数据交付、API调用的数据使用计量与结算，基于生效数字合约对数据流通过程中的使用行为进行多维度采集与量化记录；计量方式包括API调用次数、数据记录条数、数据传输流量、计算资源消耗量等</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color w:val="auto"/>
                <w:sz w:val="22"/>
                <w:szCs w:val="22"/>
              </w:rPr>
              <w:suppressLineNumbers w:val="0"/>
            </w:pPr>
            <w:r>
              <w:rPr>
                <w:rFonts w:hint="default" w:ascii="Times New Roman" w:hAnsi="Times New Roman" w:eastAsia="宋体" w:cs="Times New Roman"/>
                <w:color w:val="auto"/>
                <w:sz w:val="22"/>
                <w:szCs w:val="22"/>
              </w:rPr>
              <w:t xml:space="preserve">为适配多样化的数据要素流通场景，平台支持以下两种计量结算协同模式：</w:t>
            </w:r>
            <w:r/>
          </w:p>
          <w:p>
            <w:pPr>
              <w:numPr>
                <w:ilvl w:val="0"/>
                <w:numId w:val="5"/>
              </w:numPr>
              <w:jc w:val="left"/>
              <w:keepLines w:val="0"/>
              <w:keepNext w:val="0"/>
              <w:widowControl/>
              <w:rPr>
                <w:rFonts w:hint="default" w:ascii="Times New Roman" w:hAnsi="Times New Roman" w:eastAsia="宋体" w:cs="Times New Roman"/>
                <w:color w:val="auto"/>
                <w:sz w:val="22"/>
                <w:szCs w:val="22"/>
              </w:rPr>
              <w:suppressLineNumbers w:val="0"/>
            </w:pPr>
            <w:r>
              <w:rPr>
                <w:rFonts w:hint="default" w:ascii="Times New Roman" w:hAnsi="Times New Roman" w:eastAsia="宋体" w:cs="Times New Roman"/>
                <w:color w:val="auto"/>
                <w:sz w:val="22"/>
                <w:szCs w:val="22"/>
              </w:rPr>
              <w:t xml:space="preserve">线上计量、线下结算模式（适用于线下撮合交易）：平台提供精准的线上计量与账单自动生成能力，支持用户上传线下撮合合同凭证存证，为供需双方线下完成费用结算、收益分账及合规审计提供量化依据；</w:t>
            </w:r>
            <w:r/>
          </w:p>
          <w:p>
            <w:pPr>
              <w:numPr>
                <w:ilvl w:val="0"/>
                <w:numId w:val="0"/>
              </w:numPr>
              <w:jc w:val="left"/>
              <w:keepLines w:val="0"/>
              <w:keepNext w:val="0"/>
              <w:widowControl/>
              <w:rPr>
                <w:rFonts w:hint="default" w:ascii="Times New Roman" w:hAnsi="Times New Roman" w:eastAsia="宋体" w:cs="Times New Roman"/>
                <w:i w:val="0"/>
                <w:iCs w:val="0"/>
                <w:color w:val="auto"/>
                <w:sz w:val="22"/>
                <w:szCs w:val="22"/>
                <w:u w:val="none"/>
                <w:lang w:eastAsia="zh-CN"/>
              </w:rPr>
              <w:suppressLineNumbers w:val="0"/>
            </w:pPr>
            <w:r>
              <w:rPr>
                <w:rFonts w:hint="default" w:ascii="Times New Roman" w:hAnsi="Times New Roman" w:eastAsia="宋体" w:cs="Times New Roman"/>
                <w:color w:val="auto"/>
                <w:sz w:val="22"/>
                <w:szCs w:val="22"/>
              </w:rPr>
              <w:t xml:space="preserve">（2）线上结算、计量与控制联动模式（适用于线上闭环交易）：平台</w:t>
            </w:r>
            <w:r>
              <w:rPr>
                <w:rFonts w:hint="default" w:ascii="Times New Roman" w:hAnsi="Times New Roman" w:eastAsia="宋体" w:cs="Times New Roman"/>
                <w:color w:val="auto"/>
                <w:sz w:val="22"/>
                <w:szCs w:val="22"/>
                <w:lang w:val="en-US" w:eastAsia="zh-CN"/>
              </w:rPr>
              <w:t xml:space="preserve">对接第三方支付体系</w:t>
            </w:r>
            <w:r>
              <w:rPr>
                <w:rFonts w:hint="default" w:ascii="Times New Roman" w:hAnsi="Times New Roman" w:eastAsia="宋体" w:cs="Times New Roman"/>
                <w:color w:val="auto"/>
                <w:sz w:val="22"/>
                <w:szCs w:val="22"/>
              </w:rPr>
              <w:t xml:space="preserve">，将计量结果与数字合约规则、账户额度联动，在线完成使用管控、费用结算、收益分账等全流程操作</w:t>
            </w:r>
            <w:r>
              <w:rPr>
                <w:rFonts w:hint="default" w:ascii="Times New Roman" w:hAnsi="Times New Roman" w:eastAsia="宋体" w:cs="Times New Roman"/>
                <w:color w:val="auto"/>
                <w:sz w:val="22"/>
                <w:szCs w:val="22"/>
                <w:lang w:eastAsia="zh-CN"/>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数据需求对接</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数据需求发布与供需对接</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提供数据需求发布、匹配、对接全流程管理能力，支持需求发布、智能匹配、供需对接、洽谈合作全流程线上化办理</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支持需求多维度分类、精准匹配推荐与对接进度跟踪，配套历史需求管理与分析能力，提升供需对接效率与成功率</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流通分析与运营</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数据流通运营分析与决策支撑</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提供数据流通运营全维度分析与决策支撑能力，支持对数据流通量、资源上架量、用户量等核心运营指标开展多维度分析</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覆盖资源供需分析、用户行为分</w:t>
            </w:r>
            <w:r>
              <w:rPr>
                <w:rFonts w:hint="default" w:ascii="Times New Roman" w:hAnsi="Times New Roman" w:eastAsia="宋体" w:cs="Times New Roman"/>
                <w:color w:val="auto"/>
                <w:sz w:val="22"/>
                <w:szCs w:val="22"/>
                <w:lang w:eastAsia="zh-CN"/>
              </w:rPr>
              <w:t xml:space="preserve">析等</w:t>
            </w:r>
            <w:r>
              <w:rPr>
                <w:rFonts w:hint="default" w:ascii="Times New Roman" w:hAnsi="Times New Roman" w:eastAsia="宋体" w:cs="Times New Roman"/>
                <w:color w:val="auto"/>
                <w:sz w:val="22"/>
                <w:szCs w:val="22"/>
              </w:rPr>
              <w:t xml:space="preserve">场景，支持可视化分析报表生成与导出，为运营决策提供数据支撑</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流通监管</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流通合规审查</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color w:val="auto"/>
                <w:sz w:val="22"/>
                <w:szCs w:val="22"/>
              </w:rPr>
              <w:t xml:space="preserve">提供数据流通合规审查能力，审查维度涵盖数据来源、流向、使用目的等，确保数据在合法合规范围内流动；可精准识别并管控未经授权数据共享等异常流通行为，保障数据流通安全合规</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451"/>
        </w:trPr>
        <w:tc>
          <w:tcPr>
            <w:shd w:val="clear" w:color="auto" w:fill="ffffff"/>
            <w:tcBorders>
              <w:top w:val="single" w:color="000000" w:sz="4" w:space="0"/>
              <w:left w:val="single" w:color="000000" w:sz="4" w:space="0"/>
              <w:right w:val="single" w:color="000000" w:sz="4" w:space="0"/>
            </w:tcBorders>
            <w:tcW w:w="832"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连接器</w:t>
            </w:r>
            <w:r/>
          </w:p>
        </w:tc>
        <w:tc>
          <w:tcPr>
            <w:shd w:val="clear" w:color="auto" w:fill="ffffff"/>
            <w:tcBorders>
              <w:top w:val="single" w:color="000000" w:sz="4" w:space="0"/>
              <w:left w:val="single" w:color="000000" w:sz="4" w:space="0"/>
              <w:right w:val="single" w:color="000000" w:sz="4" w:space="0"/>
            </w:tcBorders>
            <w:tcW w:w="621"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i w:val="0"/>
                <w:iCs w:val="0"/>
                <w:color w:val="auto"/>
                <w:sz w:val="22"/>
                <w:szCs w:val="22"/>
                <w:u w:val="none"/>
                <w:lang w:val="en-US" w:eastAsia="zh-CN" w:bidi="ar"/>
              </w:rPr>
              <w:t xml:space="preserve">连接器核心能力</w:t>
            </w:r>
            <w:r/>
          </w:p>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可信身份管理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提供连接器可信身份管理能力，具备跨空间身份互认、跨域信任传递能力，支持连接器身份注册、认证、凭证管理、核验全流程管理</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覆盖连接器数字身份证书管理、跨域身份互认、身份全生命周期管理，支持多因子认证、安全存储与异常监控，保障连接器身份可信、唯一，实现跨空间身份可信传递与互认验证</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54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right w:val="single" w:color="000000" w:sz="4" w:space="0"/>
            </w:tcBorders>
            <w:tcW w:w="621"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数据资源申请</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提供数据目录资源申请能力，支持用户在线申请目录内的数据资源</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覆盖数据资源浏览检索、申请提交、进度跟踪、授权接收全流程，支持申请表填写、申请材料上传、申请进度实时查询；可与管理平台审批流程对接，实现申请自动流转、结果自动通知、授权自动配置，提升数据资源申请便捷性与办理效率</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right w:val="single" w:color="000000" w:sz="4" w:space="0"/>
            </w:tcBorders>
            <w:tcW w:w="621" w:type="pct"/>
            <w:vAlign w:val="center"/>
            <w:vMerge w:val="continue"/>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数据资源管理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提供数据资源管理能力，支持数据资源创建、编目、登记、更新、撤销全生命周期管理，覆盖API、文件、库表等多种资源类型，支持数据资源托管</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具备数据资源元数据管理能力，支持状态监控</w:t>
            </w:r>
            <w:r>
              <w:rPr>
                <w:rFonts w:hint="default" w:ascii="Times New Roman" w:hAnsi="Times New Roman" w:eastAsia="宋体" w:cs="Times New Roman"/>
                <w:color w:val="auto"/>
                <w:sz w:val="22"/>
                <w:szCs w:val="22"/>
                <w:lang w:eastAsia="zh-CN"/>
              </w:rPr>
              <w:t xml:space="preserve">、</w:t>
            </w:r>
            <w:r>
              <w:rPr>
                <w:rFonts w:hint="default" w:ascii="Times New Roman" w:hAnsi="Times New Roman" w:eastAsia="宋体" w:cs="Times New Roman"/>
                <w:color w:val="auto"/>
                <w:sz w:val="22"/>
                <w:szCs w:val="22"/>
              </w:rPr>
              <w:t xml:space="preserve">查询检索、统计分析，保障数据资源完整、准确、可追溯</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right w:val="single" w:color="000000" w:sz="4" w:space="0"/>
            </w:tcBorders>
            <w:tcW w:w="621"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数据产品管理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提供数据产品管理能力，支持数据产品封装、上架、下架等全生命周期管理</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支持数据产品标准化封装、使用规则配置、权限配置与登记，配套版本管理、统计分析能力，保障数据产品规范化管理与市场化运营</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right w:val="single" w:color="000000" w:sz="4" w:space="0"/>
            </w:tcBorders>
            <w:tcW w:w="621"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数据交付管理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提供连接器数据交付管理能力，支持数据产品交付申请、执行、确认全流程管理</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覆盖交付方式管理（含API</w:t>
            </w:r>
            <w:r>
              <w:rPr>
                <w:rFonts w:hint="default" w:ascii="Times New Roman" w:hAnsi="Times New Roman" w:eastAsia="宋体" w:cs="Times New Roman"/>
                <w:color w:val="auto"/>
                <w:sz w:val="22"/>
                <w:szCs w:val="22"/>
                <w:lang w:val="en-US" w:eastAsia="zh-CN"/>
              </w:rPr>
              <w:t xml:space="preserve">调用</w:t>
            </w:r>
            <w:r>
              <w:rPr>
                <w:rFonts w:hint="default" w:ascii="Times New Roman" w:hAnsi="Times New Roman" w:eastAsia="宋体" w:cs="Times New Roman"/>
                <w:color w:val="auto"/>
                <w:sz w:val="22"/>
                <w:szCs w:val="22"/>
              </w:rPr>
              <w:t xml:space="preserve">、文件下载、实时推送等）、权限核验、加密传输、全程留痕，支持进度跟踪、异常处理、审计与统计分析，保障数据交付安全可控、全程可追溯</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right w:val="single" w:color="000000" w:sz="4" w:space="0"/>
            </w:tcBorders>
            <w:tcW w:w="621"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日志审计</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提供连接器日志审计能力，支持全量操作日志的记录、存储与查询</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全面采集登录、配置、数据访问、数据传输、授权操作等各类操作日志，支持日志结构化存储、快速检索与统计分析；具备日志合规留存、异常告警、审计报告生成能力，保障连接器所有操作可追溯、可审计</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1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right w:val="single" w:color="000000" w:sz="4" w:space="0"/>
            </w:tcBorders>
            <w:tcW w:w="621"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数字合约校验</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提供连接器数字合约校验能力，支持连接器基于可信数据空间智能底座下发的数字合约，自动开展使用控制校验与执行</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覆盖合约身份核验、规则校验，支持合约自动调用、参数验证、结果确认，配套调用日志记录与审计追溯能力，保障连接器与可信数据空间交互过程安全可控、合规可信</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bottom w:val="single" w:color="000000" w:sz="4" w:space="0"/>
              <w:right w:val="single" w:color="000000" w:sz="4" w:space="0"/>
            </w:tcBorders>
            <w:tcW w:w="621"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数据开发</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提供数据开发能力与配套开发环境，支持用户基于公共数据、企业数据、第三方数据开展数据开发与数据产品生产</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提供可视化数据开发界面，支持SQL、Python等开发语言，覆盖数据查询、模型训练等全流程开发场景；内置丰富的开发算子库与业务模板，支持开发任务版本管理、协同开发与结果导出</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支持灵活调用中心化数据沙箱、本地沙箱、本地部署的隐私计算节点，满足不同安全等级、不同性能要求的计算场景，保障开发过程中的数据安全与隐私</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577"/>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right w:val="single" w:color="000000" w:sz="4" w:space="0"/>
            </w:tcBorders>
            <w:tcW w:w="621"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lang w:val="en-US"/>
              </w:rPr>
              <w:suppressLineNumbers w:val="0"/>
            </w:pPr>
            <w:r>
              <w:rPr>
                <w:rFonts w:hint="default" w:ascii="Times New Roman" w:hAnsi="Times New Roman" w:eastAsia="宋体" w:cs="Times New Roman"/>
                <w:i w:val="0"/>
                <w:iCs w:val="0"/>
                <w:color w:val="auto"/>
                <w:sz w:val="22"/>
                <w:szCs w:val="22"/>
                <w:u w:val="none"/>
                <w:lang w:val="en-US" w:eastAsia="zh-CN" w:bidi="ar"/>
              </w:rPr>
              <w:t xml:space="preserve">连接器版本与适配</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普惠轻量连接器</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提供普惠轻量化连接器，支持SaaS化服务或简易客户端等灵活部署形式，面向各类使用主体与应用场景，全面满足个人用户、中小微企业及中大型机构的注册与用数需求。</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统一适配可信数据空间智能底座协议规范，支持接入公共数据、行业企业数据及第三方社会化数据，实现全域数据互联互通与标准化接入共享</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普惠轻量化连接器不限制用户数量，保障各类用户便捷注册与使用</w:t>
            </w:r>
            <w:r>
              <w:rPr>
                <w:rFonts w:hint="default" w:ascii="Times New Roman" w:hAnsi="Times New Roman" w:eastAsia="宋体" w:cs="Times New Roman"/>
                <w:color w:val="auto"/>
                <w:sz w:val="22"/>
                <w:szCs w:val="22"/>
                <w:lang w:eastAsia="zh-CN"/>
              </w:rPr>
              <w:t xml:space="preserve">。</w:t>
            </w:r>
            <w:r/>
          </w:p>
        </w:tc>
      </w:tr>
      <w:tr>
        <w:trPr>
          <w:jc w:val="center"/>
          <w:trHeight w:val="1080"/>
        </w:trPr>
        <w:tc>
          <w:tcPr>
            <w:shd w:val="clear" w:color="auto" w:fill="ffffff"/>
            <w:tcBorders>
              <w:left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right w:val="single" w:color="000000" w:sz="4" w:space="0"/>
            </w:tcBorders>
            <w:tcW w:w="621"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全类型数据源标准化适配</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提供全类型数据源标准化适配能力，覆盖关系型数据库、API接口、文件系统、大数据平台等各类数据源的接入适配</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841"/>
        </w:trPr>
        <w:tc>
          <w:tcPr>
            <w:shd w:val="clear" w:color="auto" w:fill="ffffff"/>
            <w:tcBorders>
              <w:left w:val="single" w:color="000000" w:sz="4" w:space="0"/>
              <w:bottom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left w:val="single" w:color="000000" w:sz="4" w:space="0"/>
              <w:bottom w:val="single" w:color="000000" w:sz="4" w:space="0"/>
              <w:right w:val="single" w:color="000000" w:sz="4" w:space="0"/>
            </w:tcBorders>
            <w:tcW w:w="621" w:type="pct"/>
            <w:vAlign w:val="center"/>
            <w:vMerge w:val="continue"/>
            <w:textDirection w:val="lrTb"/>
            <w:noWrap/>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highlight w:val="none"/>
                <w:u w:val="none"/>
                <w:lang w:val="en-US" w:eastAsia="zh-CN" w:bidi="ar"/>
              </w:rPr>
              <w:suppressLineNumbers w:val="0"/>
            </w:pPr>
            <w:r>
              <w:rPr>
                <w:rFonts w:hint="eastAsia" w:ascii="Times New Roman" w:hAnsi="Times New Roman" w:eastAsia="宋体" w:cs="Times New Roman"/>
                <w:i w:val="0"/>
                <w:iCs w:val="0"/>
                <w:color w:val="auto"/>
                <w:sz w:val="22"/>
                <w:szCs w:val="22"/>
                <w:highlight w:val="none"/>
                <w:u w:val="none"/>
                <w:lang w:val="en-US" w:eastAsia="zh-CN" w:bidi="ar"/>
              </w:rPr>
              <w:t xml:space="preserve"> 连接器管理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color w:val="auto"/>
                <w:sz w:val="22"/>
                <w:szCs w:val="22"/>
                <w:highlight w:val="none"/>
              </w:rPr>
              <w:suppressLineNumbers w:val="0"/>
            </w:pPr>
            <w:r>
              <w:rPr>
                <w:rFonts w:hint="eastAsia" w:ascii="Times New Roman" w:hAnsi="Times New Roman" w:eastAsia="宋体" w:cs="Times New Roman"/>
                <w:color w:val="auto"/>
                <w:sz w:val="22"/>
                <w:szCs w:val="22"/>
                <w:highlight w:val="none"/>
                <w:lang w:val="en-US" w:eastAsia="zh-CN"/>
              </w:rPr>
              <w:t xml:space="preserve">支持接入连接器注册管理，支持市面上主流连接器注册到可信数据空间智能底座，保障连接器兼容性。</w:t>
            </w:r>
            <w:r/>
          </w:p>
        </w:tc>
      </w:tr>
      <w:tr>
        <w:trPr>
          <w:jc w:val="center"/>
          <w:trHeight w:val="1080"/>
        </w:trPr>
        <w:tc>
          <w:tcPr>
            <w:shd w:val="clear" w:color="auto" w:fill="ffffff"/>
            <w:tcBorders>
              <w:top w:val="single" w:color="000000" w:sz="4" w:space="0"/>
              <w:left w:val="single" w:color="000000" w:sz="4" w:space="0"/>
              <w:bottom w:val="single" w:color="000000" w:sz="4" w:space="0"/>
              <w:right w:val="single" w:color="000000" w:sz="4" w:space="0"/>
            </w:tcBorders>
            <w:tcW w:w="832"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隐私计算</w:t>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接入与监测</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统一接入与运行监测</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提供可信数据空间智能底座内分布式隐私计算节点的统一接入认证、状态感知、任务监测与运维保障能力，支持节点可信度量与环境注册，可实时监控网络连通性、运行状态等核心指标</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支持计算任务执行进度追踪、节点级日志采集与异常告警，保障分布式隐私计算基础设施高可用与环境可信</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top w:val="single" w:color="000000" w:sz="4" w:space="0"/>
              <w:left w:val="single" w:color="000000" w:sz="4" w:space="0"/>
              <w:bottom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多方安全计算</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多方安全计算引擎与能力支撑</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提供多方安全计算引擎能力与技术支撑，内置计算过程加密、密钥管理能力，支持多方联合统计分析、求和、求平均、建模、求交等计算任务；保障参与方原始数据不出域，计算全程数据加密，无原始数据</w:t>
            </w:r>
            <w:r>
              <w:rPr>
                <w:rFonts w:hint="default" w:ascii="Times New Roman" w:hAnsi="Times New Roman" w:eastAsia="宋体" w:cs="Times New Roman"/>
                <w:color w:val="auto"/>
                <w:sz w:val="22"/>
                <w:szCs w:val="22"/>
                <w:lang w:eastAsia="zh-CN"/>
              </w:rPr>
              <w:t xml:space="preserve">泄漏</w:t>
            </w:r>
            <w:r>
              <w:rPr>
                <w:rFonts w:hint="default" w:ascii="Times New Roman" w:hAnsi="Times New Roman" w:eastAsia="宋体" w:cs="Times New Roman"/>
                <w:color w:val="auto"/>
                <w:sz w:val="22"/>
                <w:szCs w:val="22"/>
              </w:rPr>
              <w:t xml:space="preserve">风险</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支持两方及以上多方安全计算任务，提供标准化计算算子库，支持计算任务可视化编排、执行监控、结果验证与审计追溯，保障计算结果准确、计算过程安全</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top w:val="single" w:color="000000" w:sz="4" w:space="0"/>
              <w:left w:val="single" w:color="000000" w:sz="4" w:space="0"/>
              <w:bottom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联邦学习</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全类型联邦学习引擎与能力支撑</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全类型联邦学习引擎能力与技术支撑，内置模型参数加密传输、密钥管理能力，支持逻辑回归、线性回归、决策树、安全Boosting分类、安全Boosting回归、K-Means等主流机器学习模型的联邦训练与推理；保障各参与方原始数据不出域，仅传输模型中间参数，无原始数据</w:t>
            </w:r>
            <w:r>
              <w:rPr>
                <w:rFonts w:hint="default" w:ascii="Times New Roman" w:hAnsi="Times New Roman" w:eastAsia="宋体" w:cs="Times New Roman"/>
                <w:color w:val="auto"/>
                <w:sz w:val="22"/>
                <w:szCs w:val="22"/>
                <w:lang w:eastAsia="zh-CN"/>
              </w:rPr>
              <w:t xml:space="preserve">泄漏</w:t>
            </w:r>
            <w:r>
              <w:rPr>
                <w:rFonts w:hint="default" w:ascii="Times New Roman" w:hAnsi="Times New Roman" w:eastAsia="宋体" w:cs="Times New Roman"/>
                <w:color w:val="auto"/>
                <w:sz w:val="22"/>
                <w:szCs w:val="22"/>
              </w:rPr>
              <w:t xml:space="preserve">风险</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提供可视化模型训练编排、模型管理、模型评估、模型预测能力，保障联邦模型安全合规使用</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top w:val="single" w:color="000000" w:sz="4" w:space="0"/>
              <w:left w:val="single" w:color="000000" w:sz="4" w:space="0"/>
              <w:bottom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分布式节点扩展</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分布式隐私计算节点接入与扩展</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提供分布式隐私计算节点接入与能力扩展服务，支持政务部门、企业、科研机构等第三方隐私计算节点标准化接入、注册、认证、组网与能力扩容</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实现节点统一管理与能力注册，支持节点动态扩缩容、故障恢复、性能监控与安全管控，实现隐私计算能力分布式扩展，满足大规模、多参与方的隐私计算需求</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top w:val="single" w:color="000000" w:sz="4" w:space="0"/>
              <w:left w:val="single" w:color="000000" w:sz="4" w:space="0"/>
              <w:bottom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标准化对接</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i w:val="0"/>
                <w:iCs w:val="0"/>
                <w:color w:val="auto"/>
                <w:sz w:val="22"/>
                <w:szCs w:val="22"/>
                <w:u w:val="none"/>
                <w:lang w:val="en-US" w:eastAsia="zh-CN" w:bidi="ar"/>
              </w:rPr>
              <w:t xml:space="preserve">隐私计算服务标准化接口调用</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color w:val="auto"/>
                <w:sz w:val="22"/>
                <w:szCs w:val="22"/>
              </w:rPr>
              <w:t xml:space="preserve">提供隐私计算节点标准化接口适配与全域对接调用能力，支持政务业务系统、企业业务平台、行业应用系统、第三方业务服务端等各类主体通过规范接口快速对接隐私计算服务</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lang w:val="en-US" w:eastAsia="zh-CN" w:bidi="ar"/>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实现接口统一封装、服务调用管理、交互数据合规管控，支持节点接口同步请求与异步回调、接口协议兼容适配、接口的性能监控、接口的统计分析、接口的异常处理，实现隐私计算算力服务标准化对外开放，满足多类业务场景便捷接入、安全调用隐私计算服务的实际应用需求。</w:t>
            </w:r>
            <w:r/>
          </w:p>
        </w:tc>
      </w:tr>
      <w:tr>
        <w:trPr>
          <w:jc w:val="center"/>
          <w:trHeight w:val="810"/>
        </w:trPr>
        <w:tc>
          <w:tcPr>
            <w:shd w:val="clear" w:color="auto" w:fill="ffffff"/>
            <w:tcBorders>
              <w:top w:val="single" w:color="000000" w:sz="4" w:space="0"/>
              <w:left w:val="single" w:color="000000" w:sz="4" w:space="0"/>
              <w:bottom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计算结果管理</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计算结果管理</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提供隐私计算结果管理能力，支持计算结果安全输出与结果验证，保障结果输出安全、使用合规，防范计算结果泄露与滥用</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top w:val="single" w:color="000000" w:sz="4" w:space="0"/>
              <w:left w:val="single" w:color="000000" w:sz="4" w:space="0"/>
              <w:bottom w:val="single" w:color="000000" w:sz="4" w:space="0"/>
              <w:right w:val="single" w:color="000000" w:sz="4" w:space="0"/>
            </w:tcBorders>
            <w:tcW w:w="832"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数据沙箱</w:t>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中心化数据沙箱</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中心化部署数据沙箱服务</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提供中心化部署的数据沙箱服务，构建安全可信的数据计算环境，支持用户在沙箱内开展数据加工、分析、建模等操作</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实现沙箱内全维度安全管控，覆盖</w:t>
            </w:r>
            <w:r>
              <w:rPr>
                <w:rFonts w:hint="default" w:ascii="Times New Roman" w:hAnsi="Times New Roman" w:eastAsia="宋体" w:cs="Times New Roman"/>
                <w:color w:val="auto"/>
                <w:sz w:val="22"/>
                <w:szCs w:val="22"/>
                <w:lang w:val="en-US" w:eastAsia="zh-CN"/>
              </w:rPr>
              <w:t xml:space="preserve">容器</w:t>
            </w:r>
            <w:r>
              <w:rPr>
                <w:rFonts w:hint="default" w:ascii="Times New Roman" w:hAnsi="Times New Roman" w:eastAsia="宋体" w:cs="Times New Roman"/>
                <w:color w:val="auto"/>
                <w:sz w:val="22"/>
                <w:szCs w:val="22"/>
              </w:rPr>
              <w:t xml:space="preserve">隔离、访问控制，支持数据脱敏处理与操作审计；保障沙箱内原始数据不出域，仅可导出经审批的计算结果，无原始数据</w:t>
            </w:r>
            <w:r>
              <w:rPr>
                <w:rFonts w:hint="default" w:ascii="Times New Roman" w:hAnsi="Times New Roman" w:eastAsia="宋体" w:cs="Times New Roman"/>
                <w:color w:val="auto"/>
                <w:sz w:val="22"/>
                <w:szCs w:val="22"/>
                <w:lang w:eastAsia="zh-CN"/>
              </w:rPr>
              <w:t xml:space="preserve">泄漏</w:t>
            </w:r>
            <w:r>
              <w:rPr>
                <w:rFonts w:hint="default" w:ascii="Times New Roman" w:hAnsi="Times New Roman" w:eastAsia="宋体" w:cs="Times New Roman"/>
                <w:color w:val="auto"/>
                <w:sz w:val="22"/>
                <w:szCs w:val="22"/>
              </w:rPr>
              <w:t xml:space="preserve">风险</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top w:val="single" w:color="000000" w:sz="4" w:space="0"/>
              <w:left w:val="single" w:color="000000" w:sz="4" w:space="0"/>
              <w:bottom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去中心化数据沙箱</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去中心化部署数据沙箱服务</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提供去中心化部署的数据沙箱服务，支持多节点沙箱环境部署；原始数据</w:t>
            </w:r>
            <w:r>
              <w:rPr>
                <w:rFonts w:hint="default" w:ascii="Times New Roman" w:hAnsi="Times New Roman" w:eastAsia="宋体" w:cs="Times New Roman"/>
                <w:color w:val="auto"/>
                <w:sz w:val="22"/>
                <w:szCs w:val="22"/>
                <w:lang w:val="en-US" w:eastAsia="zh-CN"/>
              </w:rPr>
              <w:t xml:space="preserve">在</w:t>
            </w:r>
            <w:r>
              <w:rPr>
                <w:rFonts w:hint="default" w:ascii="Times New Roman" w:hAnsi="Times New Roman" w:eastAsia="宋体" w:cs="Times New Roman"/>
                <w:color w:val="auto"/>
                <w:sz w:val="22"/>
                <w:szCs w:val="22"/>
              </w:rPr>
              <w:t xml:space="preserve">本地沙箱</w:t>
            </w:r>
            <w:r>
              <w:rPr>
                <w:rFonts w:hint="default" w:ascii="Times New Roman" w:hAnsi="Times New Roman" w:eastAsia="宋体" w:cs="Times New Roman"/>
                <w:color w:val="auto"/>
                <w:sz w:val="22"/>
                <w:szCs w:val="22"/>
                <w:lang w:val="en-US" w:eastAsia="zh-CN"/>
              </w:rPr>
              <w:t xml:space="preserve">中计算，</w:t>
            </w:r>
            <w:r>
              <w:rPr>
                <w:rFonts w:hint="default" w:ascii="Times New Roman" w:hAnsi="Times New Roman" w:eastAsia="宋体" w:cs="Times New Roman"/>
                <w:color w:val="auto"/>
                <w:sz w:val="22"/>
                <w:szCs w:val="22"/>
              </w:rPr>
              <w:t xml:space="preserve">不出本地域，仅依托可信容器完成跨节点协同计算，无原始数据泄露风险</w:t>
            </w:r>
            <w:r>
              <w:rPr>
                <w:rFonts w:hint="default" w:ascii="Times New Roman" w:hAnsi="Times New Roman" w:eastAsia="宋体" w:cs="Times New Roman"/>
                <w:color w:val="auto"/>
                <w:sz w:val="22"/>
                <w:szCs w:val="22"/>
                <w:lang w:val="en-US" w:eastAsia="zh-CN"/>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实现去中心化沙箱的安全计算、任务调度与权限管控，保障去中心化计算的安全性与隐私性</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top w:val="single" w:color="000000" w:sz="4" w:space="0"/>
              <w:left w:val="single" w:color="000000" w:sz="4" w:space="0"/>
              <w:bottom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数据隔离与管控</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沙箱内数据全生命周期隔离管控</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提供沙箱内数据全生命周期隔离管控能力，内置密钥管理能力，支持数据导入、使用、导出全环节隔离管控</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实现不同租户、项目、用户间的数据强隔离，防范非法访问与数据泄露；支持敏感信息识别、访问权限细粒度管控、数据使用全流程留痕与审计，保障沙箱内数据全程可控、可追溯</w:t>
            </w:r>
            <w:r>
              <w:rPr>
                <w:rFonts w:hint="default" w:ascii="Times New Roman" w:hAnsi="Times New Roman" w:eastAsia="宋体" w:cs="Times New Roman"/>
                <w:i w:val="0"/>
                <w:iCs w:val="0"/>
                <w:color w:val="auto"/>
                <w:sz w:val="22"/>
                <w:szCs w:val="22"/>
                <w:u w:val="none"/>
                <w:lang w:val="en-US" w:eastAsia="zh-CN" w:bidi="ar"/>
              </w:rPr>
              <w:t xml:space="preserve">。</w:t>
            </w:r>
            <w:r/>
          </w:p>
        </w:tc>
      </w:tr>
      <w:tr>
        <w:trPr>
          <w:jc w:val="center"/>
          <w:trHeight w:val="1080"/>
        </w:trPr>
        <w:tc>
          <w:tcPr>
            <w:shd w:val="clear" w:color="auto" w:fill="ffffff"/>
            <w:tcBorders>
              <w:top w:val="single" w:color="000000" w:sz="4" w:space="0"/>
              <w:left w:val="single" w:color="000000" w:sz="4" w:space="0"/>
              <w:bottom w:val="single" w:color="000000" w:sz="4" w:space="0"/>
              <w:right w:val="single" w:color="000000" w:sz="4" w:space="0"/>
            </w:tcBorders>
            <w:tcW w:w="832" w:type="pct"/>
            <w:vAlign w:val="center"/>
            <w:vMerge w:val="continue"/>
            <w:textDirection w:val="lrTb"/>
            <w:noWrap/>
          </w:tcPr>
          <w:p>
            <w:pPr>
              <w:jc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沙箱运维与监控</w:t>
            </w:r>
            <w:r/>
          </w:p>
        </w:tc>
        <w:tc>
          <w:tcPr>
            <w:shd w:val="clear" w:color="auto" w:fill="ffffff"/>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i w:val="0"/>
                <w:iCs w:val="0"/>
                <w:color w:val="auto"/>
                <w:sz w:val="22"/>
                <w:szCs w:val="22"/>
                <w:u w:val="none"/>
                <w:lang w:val="en-US" w:eastAsia="zh-CN" w:bidi="ar"/>
              </w:rPr>
              <w:t xml:space="preserve">数据沙箱全生命周期运维监控</w:t>
            </w:r>
            <w:r/>
          </w:p>
        </w:tc>
        <w:tc>
          <w:tcPr>
            <w:shd w:val="clear" w:color="auto" w:fill="ffffff"/>
            <w:tcBorders>
              <w:top w:val="single" w:color="000000" w:sz="4" w:space="0"/>
              <w:left w:val="single" w:color="000000" w:sz="4" w:space="0"/>
              <w:bottom w:val="single" w:color="000000" w:sz="4" w:space="0"/>
              <w:right w:val="single" w:color="000000" w:sz="4" w:space="0"/>
            </w:tcBorders>
            <w:tcW w:w="2843" w:type="pct"/>
            <w:vAlign w:val="center"/>
            <w:textDirection w:val="lrTb"/>
            <w:noWrap w:val="false"/>
          </w:tcPr>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提供数据沙箱全生命周期运维监控能力，覆盖沙箱环境创建、配置、运行、销毁全流程，支持资源监控、运行状态监控、用户行为监控</w:t>
            </w:r>
            <w:r>
              <w:rPr>
                <w:rFonts w:hint="default" w:ascii="Times New Roman" w:hAnsi="Times New Roman" w:eastAsia="宋体" w:cs="Times New Roman"/>
                <w:i w:val="0"/>
                <w:iCs w:val="0"/>
                <w:color w:val="auto"/>
                <w:sz w:val="22"/>
                <w:szCs w:val="22"/>
                <w:u w:val="none"/>
                <w:lang w:val="en-US" w:eastAsia="zh-CN" w:bidi="ar"/>
              </w:rPr>
              <w:t xml:space="preserve">。</w:t>
            </w:r>
            <w:r/>
          </w:p>
          <w:p>
            <w:pPr>
              <w:numPr>
                <w:ilvl w:val="0"/>
                <w:numId w:val="4"/>
              </w:numPr>
              <w:ind w:left="0" w:firstLine="0"/>
              <w:jc w:val="left"/>
              <w:keepLines w:val="0"/>
              <w:keepNext w:val="0"/>
              <w:widowControl/>
              <w:rPr>
                <w:rFonts w:hint="default" w:ascii="Times New Roman" w:hAnsi="Times New Roman" w:eastAsia="宋体" w:cs="Times New Roman"/>
                <w:i w:val="0"/>
                <w:iCs w:val="0"/>
                <w:color w:val="auto"/>
                <w:sz w:val="22"/>
                <w:szCs w:val="22"/>
                <w:u w:val="none"/>
              </w:rPr>
              <w:suppressLineNumbers w:val="0"/>
            </w:pPr>
            <w:r>
              <w:rPr>
                <w:rFonts w:hint="default" w:ascii="Times New Roman" w:hAnsi="Times New Roman" w:eastAsia="宋体" w:cs="Times New Roman"/>
                <w:color w:val="auto"/>
                <w:sz w:val="22"/>
                <w:szCs w:val="22"/>
              </w:rPr>
              <w:t xml:space="preserve">支持沙箱操作全程留痕与审计，保障沙箱环境稳定、安全、合规运行</w:t>
            </w:r>
            <w:r>
              <w:rPr>
                <w:rFonts w:hint="default" w:ascii="Times New Roman" w:hAnsi="Times New Roman" w:eastAsia="宋体" w:cs="Times New Roman"/>
                <w:i w:val="0"/>
                <w:iCs w:val="0"/>
                <w:color w:val="auto"/>
                <w:sz w:val="22"/>
                <w:szCs w:val="22"/>
                <w:u w:val="none"/>
                <w:lang w:val="en-US" w:eastAsia="zh-CN" w:bidi="ar"/>
              </w:rPr>
              <w:t xml:space="preserve">。</w:t>
            </w:r>
            <w:r/>
          </w:p>
        </w:tc>
      </w:tr>
    </w:tbl>
    <w:p>
      <w:pPr>
        <w:numPr>
          <w:ilvl w:val="0"/>
          <w:numId w:val="0"/>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服务期限和实施地点</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1.服务期限：合同签订后，在3个月内应完成系统开发、测试服务，试运行3个月，运维服务期自试运行结束后30个月。</w:t>
      </w:r>
      <w:r/>
    </w:p>
    <w:p>
      <w:pPr>
        <w:ind w:firstLine="480"/>
        <w:spacing w:line="480" w:lineRule="exact"/>
        <w:tabs>
          <w:tab w:val="left" w:pos="0" w:leader="none"/>
        </w:tabs>
        <w:rPr>
          <w:rFonts w:hint="eastAsia" w:ascii="宋体" w:hAnsi="宋体" w:eastAsia="宋体" w:cs="Times New Roman"/>
          <w:sz w:val="24"/>
          <w:szCs w:val="24"/>
        </w:rPr>
      </w:pPr>
      <w:r>
        <w:rPr>
          <w:rFonts w:hint="eastAsia" w:ascii="宋体" w:hAnsi="宋体" w:eastAsia="宋体" w:cs="Times New Roman"/>
          <w:bCs/>
          <w:sz w:val="24"/>
          <w:szCs w:val="24"/>
          <w:highlight w:val="none"/>
        </w:rPr>
        <w:t xml:space="preserve">2.实施地点：甲方指定位置。</w:t>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人员要求</w:t>
      </w:r>
      <w:r/>
    </w:p>
    <w:p>
      <w:pPr>
        <w:ind w:firstLine="480"/>
        <w:spacing w:line="480" w:lineRule="exact"/>
        <w:tabs>
          <w:tab w:val="left" w:pos="0" w:leader="none"/>
        </w:tabs>
        <w:rPr>
          <w:rFonts w:hint="eastAsia" w:ascii="宋体" w:hAnsi="宋体" w:eastAsia="宋体" w:cs="Times New Roman"/>
          <w:bCs/>
          <w:sz w:val="24"/>
          <w:szCs w:val="24"/>
          <w:highlight w:val="none"/>
        </w:rPr>
      </w:pPr>
      <w:r/>
      <w:bookmarkStart w:id="175" w:name="OLE_LINK62"/>
      <w:r/>
      <w:bookmarkStart w:id="176" w:name="OLE_LINK61"/>
      <w:r>
        <w:rPr>
          <w:rFonts w:hint="eastAsia" w:ascii="宋体" w:hAnsi="宋体" w:eastAsia="宋体" w:cs="Times New Roman"/>
          <w:bCs/>
          <w:sz w:val="24"/>
          <w:szCs w:val="24"/>
          <w:highlight w:val="none"/>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p>
    <w:p>
      <w:pPr>
        <w:ind w:firstLine="480"/>
        <w:spacing w:line="480" w:lineRule="exact"/>
        <w:tabs>
          <w:tab w:val="left" w:pos="0" w:leader="none"/>
        </w:tabs>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项目负责人1名：</w:t>
      </w:r>
      <w:r>
        <w:rPr>
          <w:rFonts w:hint="eastAsia" w:ascii="宋体" w:hAnsi="宋体" w:eastAsia="宋体" w:cs="Times New Roman"/>
          <w:bCs/>
          <w:sz w:val="24"/>
          <w:szCs w:val="24"/>
          <w:highlight w:val="none"/>
          <w:lang w:val="en-US" w:eastAsia="zh-CN"/>
        </w:rPr>
        <w:t xml:space="preserve">负责统筹项目整体设计方案、组织项目管理并统筹系统上线交付，同时需熟悉政务云环境下的网络架构及安全合规要求。</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技术负责人1名：负责系统整体架构设计、核心技术选型、关键模块开发指导、技术难题攻关、国产化适配方案制定、安全架构设计</w:t>
      </w:r>
      <w:r>
        <w:rPr>
          <w:rFonts w:hint="eastAsia" w:ascii="宋体" w:hAnsi="宋体" w:eastAsia="宋体" w:cs="Times New Roman"/>
          <w:bCs/>
          <w:sz w:val="24"/>
          <w:szCs w:val="24"/>
          <w:highlight w:val="none"/>
          <w:lang w:eastAsia="zh-CN"/>
        </w:rPr>
        <w:t xml:space="preserve">。</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项目组其他成员（除项目负责人和技术负责人外）：不少于</w:t>
      </w:r>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rPr>
        <w:t xml:space="preserve">人，</w:t>
      </w:r>
      <w:bookmarkEnd w:id="175"/>
      <w:r/>
      <w:bookmarkEnd w:id="176"/>
      <w:r>
        <w:rPr>
          <w:rFonts w:hint="eastAsia" w:ascii="宋体" w:hAnsi="宋体" w:eastAsia="宋体" w:cs="Times New Roman"/>
          <w:bCs/>
          <w:sz w:val="24"/>
          <w:szCs w:val="24"/>
          <w:highlight w:val="none"/>
          <w:lang w:eastAsia="zh-CN"/>
        </w:rPr>
        <w:t xml:space="preserve">包括前端开发工程师、后端开发工程师、</w:t>
      </w:r>
      <w:r>
        <w:rPr>
          <w:rFonts w:hint="eastAsia" w:ascii="宋体" w:hAnsi="宋体" w:eastAsia="宋体" w:cs="Times New Roman"/>
          <w:bCs/>
          <w:sz w:val="24"/>
          <w:szCs w:val="24"/>
          <w:highlight w:val="none"/>
          <w:lang w:val="en-US" w:eastAsia="zh-CN"/>
        </w:rPr>
        <w:t xml:space="preserve">网络安全工程师、测试工程师等，须具备类似项目开发经验。</w:t>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付款方式</w:t>
      </w:r>
      <w:r/>
    </w:p>
    <w:p>
      <w:pPr>
        <w:ind w:firstLine="480"/>
        <w:spacing w:line="480" w:lineRule="exact"/>
        <w:tabs>
          <w:tab w:val="left" w:pos="0" w:leader="none"/>
        </w:tabs>
        <w:rPr>
          <w:rFonts w:hint="eastAsia" w:ascii="宋体" w:hAnsi="宋体" w:eastAsia="宋体" w:cs="Times New Roman"/>
          <w:bCs/>
          <w:color w:val="auto"/>
          <w:sz w:val="24"/>
          <w:szCs w:val="24"/>
          <w:highlight w:val="none"/>
        </w:rPr>
      </w:pPr>
      <w:r>
        <w:rPr>
          <w:rFonts w:hint="eastAsia" w:ascii="宋体" w:hAnsi="宋体" w:eastAsia="宋体" w:cs="Times New Roman"/>
          <w:bCs/>
          <w:sz w:val="24"/>
          <w:szCs w:val="24"/>
        </w:rPr>
        <w:t xml:space="preserve">付款方式</w:t>
      </w:r>
      <w:r>
        <w:rPr>
          <w:rFonts w:hint="eastAsia" w:ascii="宋体" w:hAnsi="宋体" w:eastAsia="宋体" w:cs="Times New Roman"/>
          <w:bCs/>
          <w:sz w:val="24"/>
          <w:szCs w:val="24"/>
          <w:highlight w:val="none"/>
        </w:rPr>
        <w:t xml:space="preserve">：</w:t>
      </w:r>
      <w:r>
        <w:rPr>
          <w:rFonts w:hint="eastAsia" w:ascii="宋体" w:hAnsi="宋体" w:eastAsia="宋体" w:cs="Times New Roman"/>
          <w:bCs/>
          <w:color w:val="auto"/>
          <w:sz w:val="24"/>
          <w:szCs w:val="24"/>
          <w:highlight w:val="none"/>
        </w:rPr>
        <w:t xml:space="preserve">合同签订且采购人在收到成交供应商发票后10个工作日内，支付合同金额的30%作为预付款；项目试运行结束，在收到成交供应商发票后10个工作日内支付至合同金额的80%；项目运维期满13个月，在收到成交供应商发票后10个工作日内付至合同金额的90%，项目运维期满后，在收到成交供应商发票后10个工作日内付清合同款。</w:t>
      </w:r>
      <w:r/>
    </w:p>
    <w:p>
      <w:pPr>
        <w:ind w:firstLine="480"/>
        <w:spacing w:line="480" w:lineRule="exact"/>
        <w:tabs>
          <w:tab w:val="left" w:pos="0"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注：</w:t>
      </w:r>
      <w:r/>
    </w:p>
    <w:p>
      <w:pPr>
        <w:ind w:firstLine="480"/>
        <w:spacing w:line="480" w:lineRule="exact"/>
        <w:tabs>
          <w:tab w:val="left" w:pos="0"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1.服务期内，严格依照“第十二条、考核评价要求”核减相应款项后予以支付。</w:t>
      </w:r>
      <w:r/>
    </w:p>
    <w:p>
      <w:pPr>
        <w:ind w:firstLine="480"/>
        <w:spacing w:line="480" w:lineRule="exact"/>
        <w:tabs>
          <w:tab w:val="left" w:pos="0"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2.在签订合同时，成交人明确表示无需预付款或者主动要求降低预付款比例的金额，采购人可不适用预付款规定。</w:t>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对接服务要求</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可信数据空间智能底座应满足与省枢纽和企业、行业可信数据空间等平台对接要求，确保数据流转通畅、业务协同高效。对接过程中，供应商须提供完整的接口文档、数据字典及对接方案，并配合采购人完成接口联调、数据校验及功能验证工作。</w:t>
      </w:r>
      <w:r/>
    </w:p>
    <w:p>
      <w:pPr>
        <w:numPr>
          <w:ilvl w:val="0"/>
          <w:numId w:val="3"/>
        </w:numPr>
        <w:keepLines w:val="0"/>
        <w:keepNext w:val="0"/>
        <w:pageBreakBefore w:val="0"/>
        <w:spacing w:line="520" w:lineRule="exact"/>
        <w:widowControl w:val="off"/>
        <w:rPr>
          <w:rFonts w:hint="default"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数据安全要求</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1.数据分类分级</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（1）依据国家数据安全法及行业规范，构建覆盖全生命周期的数据分类分级模型，明确核心数据、重要数据与一般数据的判定规则，并配套实施自动化识别、人工复核与动态更新机制。</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2.数据脱敏</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（1）数据的脱敏与敏感信息保护，支持静态脱敏、动态脱敏等多种脱敏方式。</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敏感信息的自动识别、脱敏算法的智能选择（替换、屏蔽、哈希、加密等）、脱敏规则的可视化配置，支持脱敏的批处理、脱敏的实时处理、脱敏效果的质量验证，确保敏感信息在存储、传输、使用过程中的安全保护。</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3.数据加密</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（1）数据的加密与密钥管理，支持数据的传输加密、存储加密、使用加密。</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（2）加密算法的选择配置、密钥的生成分发、密钥的存储管理、密钥的轮换更新、密钥的销毁审计，支持国密算法、国际算法等多种算法支持，支持加密性能的优化监控，确保数据全生命周期的安全保护。</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4.数据访问控制</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（1）数据的访问权限管控，支持基于角色的访问控制（RBAC）、基于属性的访问控制（ABEC）。</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访问权限的细粒度配置（库级、表级、字段级、行级）、访问权限的动态授权、访问行为的实时监控、访问异常的及时阻断，支持访问权限的审核流程、访问日志的审计分析，确保数据访问的最小权限和全程可控。</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5.数据安全审计</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（1）数据安全的审计与合规，支持数据操作的全面日志记录、日志的结构化存储、日志的快速检索、日志的统计分析。</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（2）安全事件的智能识别、安全风险的评估预警、安全事件的溯源取证、安全报告的自动生成，支持安全合规的检查评估、安全策略的优化调整，满足等保、数据安全法等法规要求。</w:t>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系统安全和保密要求</w:t>
      </w:r>
      <w:r/>
    </w:p>
    <w:p>
      <w:pPr>
        <w:ind w:firstLine="480"/>
        <w:spacing w:line="480" w:lineRule="exact"/>
        <w:tabs>
          <w:tab w:val="left" w:pos="0" w:leader="none"/>
        </w:tabs>
        <w:rPr>
          <w:rFonts w:hint="eastAsia" w:ascii="宋体" w:hAnsi="宋体" w:eastAsia="宋体" w:cs="Times New Roman"/>
          <w:bCs/>
          <w:sz w:val="24"/>
          <w:szCs w:val="24"/>
          <w:highlight w:val="none"/>
        </w:rPr>
      </w:pPr>
      <w:r/>
      <w:bookmarkStart w:id="177" w:name="_Toc27205"/>
      <w:r/>
      <w:bookmarkStart w:id="178" w:name="_Toc13456"/>
      <w:r>
        <w:rPr>
          <w:rFonts w:hint="eastAsia" w:ascii="宋体" w:hAnsi="宋体" w:eastAsia="宋体" w:cs="Times New Roman"/>
          <w:bCs/>
          <w:sz w:val="24"/>
          <w:szCs w:val="24"/>
          <w:highlight w:val="none"/>
        </w:rPr>
        <w:t xml:space="preserve">1、安全审查和保密要求。建立一整套完备的安全性策略体系，通过设计统一的人员和权限管理功能，建立数据备份措施与制度，实行“运行日志制度”等，成交供应商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基于本项目研发的源代码所有权归采购人所有，包括但不限于系统架构、基础代码、数据库设计、功能模块、服务方案等，项目验收合格后30天内向采购人移交。在本项目范围内采购人有权对服务成果进行使用、更新、维护及必要的二次开发，未经采购人书面许可，供应商不得将服务成果转让、许可给第三方使用。</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未经采购人书面许可，供应商不得以任何形式向第三方透露本项目具体实施内容，否则供应商将承担由此引发的一切法律责任。</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2、成交供应商有义务将维保工作做好，并做好无条件交接。</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3、按照采购人的要求提供完整的技术文档，包括采用的开发工具、操作系统、数据库平台等技术指标。提供的网络软件、平台软件、开发工具及应用技术、工具软件等应使用合法、正版软件。</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成交供应商需对此类事件负责并承担由此造成的经济损失，承担的赔付金额不低于损失金额。</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5、当采购人或第三方等保测评机构通过漏扫、渗透或其他核验方式发现系统在架构、配置、功能、环境等方面存在安全漏洞时，成交供应商应在24小时之内配合完成修复工作。</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6、系统内的资料不能因软件的故障而丢失，不能在未经授权的情况下被设立、修改和拷贝；软件设计要有定时自动的数据备份功能，手动/自动的恢复机制。</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7、该系统部署在宿迁市政务云平台部分，成交供应商需服从《宿迁市政务云管理暂行办法》、《关于建立健全政务数据共享运行机制加快推进数据有序共享的实施方案》等文件要求。</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本项目的所有成果著作权等知识产权和所有权益归采购人所有。供应商不得引用、发表和向第三者提供。无论发生任何情形（包括但不限于合同提前终止或解除），采购人均有权力使用中标人的阶段性成果，并且采购人引用中标人的阶段性成果所完成的新的技术成果，属于采购人所有，采购人可依法享有就该项技术成果取得的经济权利和其他权利。</w:t>
      </w:r>
      <w:r/>
    </w:p>
    <w:p>
      <w:pPr>
        <w:ind w:firstLine="480"/>
        <w:spacing w:line="480" w:lineRule="exact"/>
        <w:tabs>
          <w:tab w:val="left" w:pos="0" w:leader="none"/>
        </w:tabs>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9、必须使用已备案的国产操作系统、数据库、大模型及算法。未经甲方允许，严禁私自留存、传播、下载相关数据</w:t>
      </w:r>
      <w:r>
        <w:rPr>
          <w:rFonts w:hint="eastAsia" w:ascii="宋体" w:hAnsi="宋体" w:eastAsia="宋体" w:cs="Times New Roman"/>
          <w:bCs/>
          <w:sz w:val="24"/>
          <w:szCs w:val="24"/>
          <w:highlight w:val="none"/>
          <w:lang w:val="en-US" w:eastAsia="zh-CN"/>
        </w:rPr>
        <w:t xml:space="preserve">。</w:t>
      </w:r>
      <w:bookmarkEnd w:id="177"/>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项目实施要求</w:t>
      </w:r>
      <w:bookmarkEnd w:id="178"/>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1、综合管理保障</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进度管理：建立“总计划+周计划+日跟进”的三级进度管控体系，明确项目启动、核心实施、测试优化、验收交付等关键节点的时间节点，制定进度偏差预警机制，若出现进度滞后，立即启动应急调整方案，确保项目整体进度不受影响。</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（3）项目计划：编制详细的项目实施总计划，明确各阶段核心任务、执行周期、责任主体及交付物，细化到具体工作事项和完成标准，确保计划可落地、可追溯，作为项目推进的核心依据。</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2、质量保证措施</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（1）从项目启动到验收交付的全流程，建立多层级质量保证体系，确保项目质量达标。</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事前控制：在项目启动前，组织全员开展质量培训，明确项目质量要求、标准及规范，梳理质量管控重点，提前排查潜在质量隐患；对项目所使用的技术、工具、原材料进行严格审核，确保符合项目质量标准。</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事中控制：建立质量巡检机制，质量管控小组每日对项目实施环节进行巡检，重点检查工作成果是否符合质量标准、流程是否规范，对发现的质量问题立即记录、反馈，并督促相关小组限期整改，形成“检查-反馈-整改-复核”的闭环管理。</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（4）事后控制：每个阶段完成后，对照阶段质量目标和标准，对交付物进行全面检测；项目整体完成后，联合采购人开展质量验收，确保项目质量符合预期。</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3、风险管理与应对</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（1）全面分析项目实施各阶段可能存在的风险，建立风险清单，制定针对性应对策略和应急措施，确保风险可控、可化解。</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风险识别：结合项目需求、实施流程、技术难度等因素，全面识别风险类型，主要包括需求变更风险、技术风险、进度风险、人员风险、质量风险、沟通风险等，明确各风险的发生概率、影响程度及触发条件。</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应对策略：针对各类风险制定专项应对措施，例如：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（4）风险监控：建立风险动态监控机制，项目经理每日排查风险隐患，每周召开风险分析会议，更新风险清单，调整应对措施，确保风险早发现、早处理，最大限度降低风险对项目的影响。</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4、供应商需配合采购人做好上线前的安全测试工作，包含但不限于软件功能测试、商用密码应用安全性评估、算法模型登记备案、数据安全风险评估等工作，直至系统符合相关标准及要求。</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5、国产化适配</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严格遵循国家相关政策要求，全面开展国产化适配工作：操作系统层面适配麒麟、统信UOS等主流国产OS；数据库层面兼容达梦、人大金仓、神舟通用等国产数据库；中间件层面支持东方通、普元、金蝶天燕等国产中间件；硬件层面适配海光、鲲鹏、飞腾、龙芯等主流国产CPU平台；并完成国产化环境下的功能验证、性能压测与兼容性测试，确保系统在国产化环境中稳定运行、高效响应、安全可靠。</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6、供应商在项目实施过程中，应按采购人及监理单位的要求，按时反馈项目进展、方案汇报等各项工作，并按时完成采购人交办的各类任务，确保信息传递及时、准确、完整；定期提交项目周报、月报及专项报告，若供应商未按采购人要求，采购人有权视情况扣减合同款项或终止合作，由此产生的责任及损失由供应商自行承担。</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7、知识产权与成果归属：本项目所有交付物的知识产权归采购人所有，供应商不得擅自使用、复制、传播或授权第三方使用项目成果，包括源代码、设计文档、测试报告、算法模型、数据集及衍生作品等全部成果。</w:t>
      </w:r>
      <w:r/>
    </w:p>
    <w:p>
      <w:pPr>
        <w:numPr>
          <w:ilvl w:val="0"/>
          <w:numId w:val="0"/>
        </w:numPr>
        <w:ind w:firstLine="480"/>
        <w:spacing w:line="480" w:lineRule="exact"/>
        <w:tabs>
          <w:tab w:val="left" w:pos="0" w:leader="none"/>
        </w:tabs>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lang w:val="en-US" w:eastAsia="zh-CN" w:bidi="ar-SA"/>
        </w:rPr>
        <w:t xml:space="preserve">8</w:t>
      </w:r>
      <w:r>
        <w:rPr>
          <w:rFonts w:hint="default" w:ascii="宋体" w:hAnsi="宋体" w:eastAsia="宋体" w:cs="Times New Roman"/>
          <w:bCs/>
          <w:sz w:val="24"/>
          <w:szCs w:val="24"/>
          <w:lang w:val="en-US" w:eastAsia="zh-CN" w:bidi="ar-SA"/>
        </w:rPr>
        <w:t xml:space="preserve">、</w:t>
      </w:r>
      <w:r>
        <w:rPr>
          <w:rFonts w:hint="eastAsia" w:ascii="宋体" w:hAnsi="宋体" w:eastAsia="宋体" w:cs="Times New Roman"/>
          <w:bCs/>
          <w:sz w:val="24"/>
          <w:szCs w:val="24"/>
          <w:highlight w:val="none"/>
          <w:lang w:val="en-US" w:eastAsia="zh-CN"/>
        </w:rPr>
        <w:t xml:space="preserve">密码评估须依据《商用密码应用安全性评估管理办法》配合全流程密码测评，系统需满足密码评估三级要求。</w:t>
      </w:r>
      <w:r/>
    </w:p>
    <w:p>
      <w:pPr>
        <w:numPr>
          <w:ilvl w:val="0"/>
          <w:numId w:val="3"/>
        </w:numPr>
        <w:keepLines w:val="0"/>
        <w:keepNext w:val="0"/>
        <w:pageBreakBefore w:val="0"/>
        <w:spacing w:line="520" w:lineRule="exact"/>
        <w:widowControl w:val="off"/>
        <w:rPr>
          <w:rFonts w:hint="default"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架构及网络设计要求</w:t>
      </w:r>
      <w:r/>
    </w:p>
    <w:p>
      <w:pPr>
        <w:ind w:firstLine="480"/>
        <w:spacing w:line="480" w:lineRule="exact"/>
        <w:tabs>
          <w:tab w:val="left" w:pos="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供应商需依据等保三级即国产化要求，结合本项目特征及服务要求，设计安全、可靠、可扩展的系统架构与网络拓扑。架构设计需全面覆盖所有业务模块与数据流，确保技术先进、网络拓扑清晰、边界明确、冗余可控。</w:t>
      </w:r>
      <w:r/>
    </w:p>
    <w:p>
      <w:pPr>
        <w:ind w:firstLine="480"/>
        <w:spacing w:line="480" w:lineRule="exact"/>
        <w:tabs>
          <w:tab w:val="left" w:pos="0" w:leader="none"/>
        </w:tabs>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响应时间：核心API接口响应时间≤300ms，一般业务操作≤700ms，复杂查询≤3s；并发能力：支持不低于2000并发用户在线操作；可用性：系统全年可用性≥99.9%，核心服务可用性≥99.99%。此外，系统架构应支持数据容量的弹性扩展，以满足未来三年内数据量增长的需求。</w:t>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验收要求</w:t>
      </w:r>
      <w:r/>
    </w:p>
    <w:p>
      <w:pPr>
        <w:ind w:firstLine="480"/>
        <w:spacing w:line="480" w:lineRule="exact"/>
        <w:tabs>
          <w:tab w:val="left" w:pos="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1、合同签订后，在3个月内完成系统开发、测试服务，随后进入3个月试运行。试运行出现问题的，乙方需在 5 日内调整完毕。试运行结束满30个月后，甲方根据技术要求在 3 个工作日内组织验收，验收无误后出具验收报告。</w:t>
      </w:r>
      <w:r/>
    </w:p>
    <w:p>
      <w:pPr>
        <w:ind w:firstLine="480"/>
        <w:spacing w:line="480" w:lineRule="exact"/>
        <w:tabs>
          <w:tab w:val="left" w:pos="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验收标准：本项目验收工作由包括甲方、评审专家和用户体系代表等在内的项目验收小组完成，具体成员和组织形式由甲方确定。验收标准以采购文件、响应文件等为依据，乙方提供项目验收相关材料，包括：合同；用户需求说明书；概要设计说明书；数据及数据库设计要求说明书；详细设计说明书；用户手册；组织系统培训会；系统接口规范等。</w:t>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bookmarkStart w:id="179" w:name="_Toc13187"/>
      <w:r>
        <w:rPr>
          <w:rFonts w:hint="eastAsia" w:ascii="方正仿宋_GBK" w:hAnsi="方正仿宋_GBK" w:eastAsia="方正仿宋_GBK" w:cs="方正仿宋_GBK"/>
          <w:b/>
          <w:bCs/>
          <w:sz w:val="28"/>
          <w:szCs w:val="28"/>
          <w:lang w:val="en-US" w:eastAsia="zh-CN"/>
        </w:rPr>
        <w:t xml:space="preserve">售后运维服务要求</w:t>
      </w:r>
      <w:bookmarkEnd w:id="179"/>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highlight w:val="none"/>
        </w:rPr>
        <w:t xml:space="preserve">自</w:t>
      </w:r>
      <w:r>
        <w:rPr>
          <w:rFonts w:hint="eastAsia" w:ascii="宋体" w:hAnsi="宋体" w:eastAsia="宋体" w:cs="Times New Roman"/>
          <w:bCs/>
          <w:sz w:val="24"/>
          <w:szCs w:val="24"/>
          <w:highlight w:val="none"/>
          <w:lang w:val="en-US" w:eastAsia="zh-CN"/>
        </w:rPr>
        <w:t xml:space="preserve">试运行结束</w:t>
      </w:r>
      <w:r>
        <w:rPr>
          <w:rFonts w:hint="eastAsia" w:ascii="宋体" w:hAnsi="宋体" w:eastAsia="宋体" w:cs="Times New Roman"/>
          <w:bCs/>
          <w:sz w:val="24"/>
          <w:szCs w:val="24"/>
          <w:highlight w:val="none"/>
        </w:rPr>
        <w:t xml:space="preserve">之日起，</w:t>
      </w:r>
      <w:r>
        <w:rPr>
          <w:rFonts w:hint="eastAsia" w:ascii="宋体" w:hAnsi="宋体" w:eastAsia="宋体" w:cs="Times New Roman"/>
          <w:bCs/>
          <w:sz w:val="24"/>
          <w:szCs w:val="24"/>
          <w:highlight w:val="none"/>
          <w:lang w:val="en-US" w:eastAsia="zh-CN"/>
        </w:rPr>
        <w:t xml:space="preserve">成交</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提</w:t>
      </w:r>
      <w:r>
        <w:rPr>
          <w:rFonts w:hint="eastAsia" w:ascii="宋体" w:hAnsi="宋体" w:eastAsia="宋体" w:cs="Times New Roman"/>
          <w:bCs/>
          <w:sz w:val="24"/>
          <w:szCs w:val="24"/>
          <w:highlight w:val="none"/>
          <w:lang w:eastAsia="zh-CN"/>
        </w:rPr>
        <w:t xml:space="preserve">供</w:t>
      </w:r>
      <w:r>
        <w:rPr>
          <w:rFonts w:hint="eastAsia" w:ascii="宋体" w:hAnsi="宋体" w:eastAsia="宋体" w:cs="Times New Roman"/>
          <w:bCs/>
          <w:sz w:val="24"/>
          <w:szCs w:val="24"/>
          <w:highlight w:val="none"/>
          <w:lang w:val="en-US" w:eastAsia="zh-CN"/>
        </w:rPr>
        <w:t xml:space="preserve">30个月的</w:t>
      </w:r>
      <w:r>
        <w:rPr>
          <w:rFonts w:hint="eastAsia" w:ascii="宋体" w:hAnsi="宋体" w:eastAsia="宋体" w:cs="Times New Roman"/>
          <w:bCs/>
          <w:sz w:val="24"/>
          <w:szCs w:val="24"/>
          <w:highlight w:val="none"/>
          <w:lang w:eastAsia="zh-CN"/>
        </w:rPr>
        <w:t xml:space="preserve">运维服</w:t>
      </w:r>
      <w:r>
        <w:rPr>
          <w:rFonts w:hint="eastAsia" w:ascii="宋体" w:hAnsi="宋体" w:eastAsia="宋体" w:cs="Times New Roman"/>
          <w:bCs/>
          <w:sz w:val="24"/>
          <w:szCs w:val="24"/>
          <w:highlight w:val="none"/>
        </w:rPr>
        <w:t xml:space="preserve">务，服务费用包含在本次的报价中。</w:t>
      </w:r>
      <w:r/>
    </w:p>
    <w:p>
      <w:pPr>
        <w:ind w:firstLine="480"/>
        <w:spacing w:line="480" w:lineRule="exact"/>
        <w:tabs>
          <w:tab w:val="left" w:pos="0"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服务期内，本合同项目所有技术和服务发生任何非人为故障，由</w:t>
      </w:r>
      <w:r>
        <w:rPr>
          <w:rFonts w:hint="eastAsia" w:ascii="宋体" w:hAnsi="宋体" w:eastAsia="宋体" w:cs="Times New Roman"/>
          <w:bCs/>
          <w:sz w:val="24"/>
          <w:szCs w:val="24"/>
          <w:lang w:val="en-US" w:eastAsia="zh-CN"/>
        </w:rPr>
        <w:t xml:space="preserve">成交</w:t>
      </w: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负责系统恢复。平台需要7*24小时不停机运行，故障响应时间≤</w:t>
      </w:r>
      <w:r>
        <w:rPr>
          <w:rFonts w:hint="eastAsia" w:ascii="宋体" w:hAnsi="宋体" w:eastAsia="宋体" w:cs="Times New Roman"/>
          <w:bCs/>
          <w:sz w:val="24"/>
          <w:szCs w:val="24"/>
          <w:lang w:val="en-US" w:eastAsia="zh-CN"/>
        </w:rPr>
        <w:t xml:space="preserve">10分钟</w:t>
      </w:r>
      <w:r>
        <w:rPr>
          <w:rFonts w:hint="eastAsia" w:ascii="宋体" w:hAnsi="宋体" w:eastAsia="宋体" w:cs="Times New Roman"/>
          <w:bCs/>
          <w:sz w:val="24"/>
          <w:szCs w:val="24"/>
        </w:rPr>
        <w:t xml:space="preserve">，技术人员到场时间≤20分钟。</w:t>
      </w:r>
      <w:r/>
    </w:p>
    <w:p>
      <w:pPr>
        <w:ind w:firstLine="480"/>
        <w:spacing w:line="480" w:lineRule="exact"/>
        <w:tabs>
          <w:tab w:val="left" w:pos="0"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rPr>
        <w:t xml:space="preserve">故障及时响应。成立专门的本地维护服务和技术支持小组，系统运行异常时，在接到采购人通知后，须全力协助采购人，使系统尽快恢复正常。具体为：</w:t>
      </w:r>
      <w:r>
        <w:rPr>
          <w:rFonts w:hint="eastAsia" w:ascii="宋体" w:hAnsi="宋体" w:eastAsia="宋体" w:cs="Times New Roman"/>
          <w:bCs/>
          <w:sz w:val="24"/>
          <w:szCs w:val="24"/>
          <w:lang w:val="en-US" w:eastAsia="zh-CN"/>
        </w:rPr>
        <w:t xml:space="preserve">成交</w:t>
      </w:r>
      <w:r>
        <w:rPr>
          <w:rFonts w:hint="eastAsia" w:ascii="宋体" w:hAnsi="宋体" w:eastAsia="宋体" w:cs="Times New Roman"/>
          <w:bCs/>
          <w:sz w:val="24"/>
          <w:szCs w:val="24"/>
        </w:rPr>
        <w:t xml:space="preserve">供应商必须提供7×24小时的响应服务，保证技术人员及时到场。因系统环境部署在电子政务外网，不接受远程运维服务，现场响应时间不得高于10分钟，及时解决故障或启用应急措施保证系统正常运行。</w:t>
      </w:r>
      <w:r/>
    </w:p>
    <w:p>
      <w:pPr>
        <w:ind w:firstLine="480"/>
        <w:spacing w:line="480" w:lineRule="exact"/>
        <w:tabs>
          <w:tab w:val="left" w:pos="0"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项目建设期间</w:t>
      </w: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应严格遵守安全管理制度，因没有遵守安全管理制度要求所发生的一切安全事故均由</w:t>
      </w: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负责，采购人不承担任何责任。</w:t>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bookmarkStart w:id="180" w:name="_Toc1286"/>
      <w:r>
        <w:rPr>
          <w:rFonts w:hint="eastAsia" w:ascii="方正仿宋_GBK" w:hAnsi="方正仿宋_GBK" w:eastAsia="方正仿宋_GBK" w:cs="方正仿宋_GBK"/>
          <w:b/>
          <w:bCs/>
          <w:sz w:val="28"/>
          <w:szCs w:val="28"/>
          <w:lang w:val="en-US" w:eastAsia="zh-CN"/>
        </w:rPr>
        <w:t xml:space="preserve">培训要求</w:t>
      </w:r>
      <w:bookmarkEnd w:id="180"/>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1、成交</w:t>
      </w:r>
      <w:r>
        <w:rPr>
          <w:rFonts w:hint="eastAsia" w:ascii="宋体" w:hAnsi="宋体" w:eastAsia="宋体" w:cs="Times New Roman"/>
          <w:bCs/>
          <w:sz w:val="24"/>
          <w:szCs w:val="24"/>
          <w:highlight w:val="none"/>
          <w:lang w:eastAsia="zh-CN"/>
        </w:rPr>
        <w:t xml:space="preserve">供应商</w:t>
      </w:r>
      <w:r>
        <w:rPr>
          <w:rFonts w:hint="eastAsia" w:ascii="宋体" w:hAnsi="宋体" w:eastAsia="宋体" w:cs="Times New Roman"/>
          <w:bCs/>
          <w:sz w:val="24"/>
          <w:szCs w:val="24"/>
          <w:highlight w:val="none"/>
        </w:rPr>
        <w:t xml:space="preserve">提供周全的培训计划、培训目标、培训内容、培训方法和培训师资。</w:t>
      </w:r>
      <w:r/>
    </w:p>
    <w:p>
      <w:pPr>
        <w:ind w:firstLine="480"/>
        <w:spacing w:line="480" w:lineRule="exact"/>
        <w:tabs>
          <w:tab w:val="left" w:pos="0" w:leader="none"/>
        </w:tabs>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培训方式采取线上+线下，确保采购单位对系统操作的熟悉性，能够全面熟练掌握软件运行、检查、维护等工作，确保日常工作的顺利完成。</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3、成交</w:t>
      </w:r>
      <w:r>
        <w:rPr>
          <w:rFonts w:hint="eastAsia" w:ascii="宋体" w:hAnsi="宋体" w:eastAsia="宋体" w:cs="Times New Roman"/>
          <w:bCs/>
          <w:sz w:val="24"/>
          <w:szCs w:val="24"/>
          <w:highlight w:val="none"/>
        </w:rPr>
        <w:t xml:space="preserve">供应商应向接受培训人员提供技术资料、图纸、参考文献材料等。</w:t>
      </w:r>
      <w:r/>
    </w:p>
    <w:p>
      <w:pPr>
        <w:ind w:firstLine="480"/>
        <w:spacing w:line="480" w:lineRule="exact"/>
        <w:tabs>
          <w:tab w:val="left" w:pos="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4、</w:t>
      </w:r>
      <w:r>
        <w:rPr>
          <w:rFonts w:hint="eastAsia" w:ascii="宋体" w:hAnsi="宋体" w:eastAsia="宋体" w:cs="Times New Roman"/>
          <w:bCs/>
          <w:sz w:val="24"/>
          <w:szCs w:val="24"/>
          <w:highlight w:val="none"/>
        </w:rPr>
        <w:t xml:space="preserve">所有培训所涉及的所有费用包含在本次报价中，不得另行向采购单位收取。</w:t>
      </w:r>
      <w:r/>
    </w:p>
    <w:p>
      <w:pPr>
        <w:numPr>
          <w:ilvl w:val="0"/>
          <w:numId w:val="3"/>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考核评价要求</w:t>
      </w:r>
      <w:r/>
    </w:p>
    <w:p>
      <w:pPr>
        <w:ind w:firstLine="482"/>
        <w:pageBreakBefore w:val="0"/>
        <w:spacing w:line="540" w:lineRule="exact"/>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（一）考核方式</w:t>
      </w:r>
      <w:r/>
    </w:p>
    <w:p>
      <w:pPr>
        <w:ind w:firstLine="480"/>
        <w:pageBreakBefore w:val="0"/>
        <w:spacing w:line="5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1.在运维期，供应商应设计科学的服务团队内部考核规范，根据日常服务行为进行考评打分。</w:t>
      </w:r>
      <w:r/>
    </w:p>
    <w:p>
      <w:pPr>
        <w:ind w:firstLine="480"/>
        <w:pageBreakBefore w:val="0"/>
        <w:spacing w:line="5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2.采购人会同成交供应商制定运维考核办法，依据考核结果支付运维费用。</w:t>
      </w:r>
      <w:r/>
    </w:p>
    <w:p>
      <w:pPr>
        <w:ind w:firstLine="480"/>
        <w:pageBreakBefore w:val="0"/>
        <w:spacing w:line="5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3.每次运维期付款前组织一次考核，并根据考核情况进行扣款。运维考核满分100分。</w:t>
      </w:r>
      <w:r/>
    </w:p>
    <w:p>
      <w:pPr>
        <w:ind w:firstLine="480"/>
        <w:pageBreakBefore w:val="0"/>
        <w:spacing w:line="5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运维质量考核评价扣除费用：</w:t>
      </w:r>
      <w:r/>
    </w:p>
    <w:p>
      <w:pPr>
        <w:ind w:firstLine="480"/>
        <w:pageBreakBefore w:val="0"/>
        <w:spacing w:line="5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（1）运维评价得分80分及以上，不扣费用；</w:t>
      </w:r>
      <w:r/>
    </w:p>
    <w:p>
      <w:pPr>
        <w:ind w:firstLine="480"/>
        <w:pageBreakBefore w:val="0"/>
        <w:spacing w:line="5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（2）60分≤运维评价得分＜80分，扣除本年度应付款的（100－得分）%；</w:t>
      </w:r>
      <w:r/>
    </w:p>
    <w:p>
      <w:pPr>
        <w:ind w:firstLine="480"/>
        <w:pageBreakBefore w:val="0"/>
        <w:spacing w:line="5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（3）运维考核评价得分＜60分，扣除本年度应付款的50%。</w:t>
      </w:r>
      <w:r/>
    </w:p>
    <w:p>
      <w:pPr>
        <w:ind w:firstLine="482"/>
        <w:pageBreakBefore w:val="0"/>
        <w:spacing w:line="540" w:lineRule="exact"/>
        <w:rPr>
          <w:rFonts w:hint="eastAsia" w:ascii="宋体" w:hAnsi="宋体" w:eastAsia="宋体" w:cs="宋体"/>
          <w:b/>
          <w:bCs/>
          <w:color w:val="auto"/>
          <w:sz w:val="24"/>
          <w:szCs w:val="24"/>
          <w:lang w:val="en-US" w:eastAsia="zh-CN"/>
        </w:rPr>
        <w:outlineLvl w:val="3"/>
      </w:pPr>
      <w:r>
        <w:rPr>
          <w:rFonts w:hint="eastAsia" w:ascii="宋体" w:hAnsi="宋体" w:eastAsia="宋体" w:cs="宋体"/>
          <w:b/>
          <w:bCs/>
          <w:color w:val="auto"/>
          <w:sz w:val="24"/>
          <w:szCs w:val="24"/>
          <w:lang w:val="en-US" w:eastAsia="zh-CN"/>
        </w:rPr>
        <w:t xml:space="preserve">（二）考核细则</w:t>
      </w:r>
      <w:r/>
    </w:p>
    <w:tbl>
      <w:tblPr>
        <w:tblStyle w:val="616"/>
        <w:tblpPr w:horzAnchor="page" w:tblpX="1078" w:vertAnchor="text" w:tblpY="531" w:leftFromText="180" w:topFromText="0" w:rightFromText="180" w:bottomFromText="0"/>
        <w:tblW w:w="99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778"/>
        <w:gridCol w:w="4797"/>
        <w:gridCol w:w="849"/>
        <w:gridCol w:w="2738"/>
      </w:tblGrid>
      <w:tr>
        <w:trPr>
          <w:trHeight w:val="465"/>
        </w:trPr>
        <w:tc>
          <w:tcPr>
            <w:gridSpan w:val="2"/>
            <w:tcMar>
              <w:left w:w="108" w:type="dxa"/>
              <w:right w:w="108" w:type="dxa"/>
            </w:tcMar>
            <w:tcW w:w="154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服务类别</w:t>
            </w:r>
            <w:r/>
          </w:p>
        </w:tc>
        <w:tc>
          <w:tcPr>
            <w:tcMar>
              <w:left w:w="108" w:type="dxa"/>
              <w:right w:w="108" w:type="dxa"/>
            </w:tcMar>
            <w:tcW w:w="47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打分细则</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分值</w:t>
            </w:r>
            <w:r/>
          </w:p>
        </w:tc>
        <w:tc>
          <w:tcPr>
            <w:tcMar>
              <w:left w:w="108" w:type="dxa"/>
              <w:right w:w="108" w:type="dxa"/>
            </w:tcMar>
            <w:tcW w:w="27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扣分标准</w:t>
            </w:r>
            <w:r/>
          </w:p>
        </w:tc>
      </w:tr>
      <w:tr>
        <w:trPr>
          <w:trHeight w:val="402"/>
        </w:trPr>
        <w:tc>
          <w:tcPr>
            <w:tcMar>
              <w:left w:w="108" w:type="dxa"/>
              <w:right w:w="108" w:type="dxa"/>
            </w:tcMar>
            <w:tcW w:w="764" w:type="dxa"/>
            <w:vAlign w:val="center"/>
            <w:vMerge w:val="restart"/>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售后运维服务（70分）</w:t>
            </w:r>
            <w:r/>
          </w:p>
        </w:tc>
        <w:tc>
          <w:tcPr>
            <w:tcMar>
              <w:left w:w="108" w:type="dxa"/>
              <w:right w:w="108" w:type="dxa"/>
            </w:tcMar>
            <w:tcW w:w="778" w:type="dxa"/>
            <w:vAlign w:val="center"/>
            <w:vMerge w:val="restart"/>
            <w:textDirection w:val="lrTb"/>
            <w:noWrap w:val="false"/>
          </w:tcPr>
          <w:p>
            <w:pPr>
              <w:jc w:val="both"/>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运维服务（</w:t>
            </w:r>
            <w:r>
              <w:rPr>
                <w:rFonts w:hint="eastAsia" w:ascii="宋体" w:hAnsi="宋体" w:eastAsia="宋体" w:cs="宋体"/>
                <w:color w:val="auto"/>
                <w:sz w:val="24"/>
                <w:szCs w:val="24"/>
                <w:highlight w:val="none"/>
                <w:lang w:val="en-US" w:eastAsia="zh-CN" w:bidi="ar"/>
              </w:rPr>
              <w:t xml:space="preserve">50</w:t>
            </w:r>
            <w:r>
              <w:rPr>
                <w:rFonts w:hint="eastAsia" w:ascii="宋体" w:hAnsi="宋体" w:eastAsia="宋体" w:cs="宋体"/>
                <w:color w:val="auto"/>
                <w:sz w:val="24"/>
                <w:szCs w:val="24"/>
                <w:highlight w:val="none"/>
                <w:lang w:bidi="ar"/>
              </w:rPr>
              <w:t xml:space="preserve">分）</w:t>
            </w:r>
            <w:r/>
          </w:p>
        </w:tc>
        <w:tc>
          <w:tcPr>
            <w:tcMar>
              <w:left w:w="108" w:type="dxa"/>
              <w:right w:w="108" w:type="dxa"/>
            </w:tcMar>
            <w:tcW w:w="4797"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乙方应为甲方提供重大活动</w:t>
            </w:r>
            <w:r>
              <w:rPr>
                <w:rFonts w:hint="eastAsia" w:ascii="宋体" w:hAnsi="宋体" w:eastAsia="宋体" w:cs="宋体"/>
                <w:color w:val="auto"/>
                <w:sz w:val="24"/>
                <w:szCs w:val="24"/>
                <w:highlight w:val="none"/>
                <w:lang w:val="en-US" w:eastAsia="zh-CN" w:bidi="ar"/>
              </w:rPr>
              <w:t xml:space="preserve">或安全活动等重保</w:t>
            </w:r>
            <w:r>
              <w:rPr>
                <w:rFonts w:hint="eastAsia" w:ascii="宋体" w:hAnsi="宋体" w:eastAsia="宋体" w:cs="宋体"/>
                <w:color w:val="auto"/>
                <w:sz w:val="24"/>
                <w:szCs w:val="24"/>
                <w:highlight w:val="none"/>
                <w:lang w:bidi="ar"/>
              </w:rPr>
              <w:t xml:space="preserve">期间的</w:t>
            </w:r>
            <w:r>
              <w:rPr>
                <w:rFonts w:hint="eastAsia" w:ascii="宋体" w:hAnsi="宋体" w:eastAsia="宋体" w:cs="宋体"/>
                <w:color w:val="auto"/>
                <w:sz w:val="24"/>
                <w:szCs w:val="24"/>
                <w:highlight w:val="none"/>
                <w:lang w:val="en-US" w:eastAsia="zh-CN" w:bidi="ar"/>
              </w:rPr>
              <w:t xml:space="preserve">保障</w:t>
            </w:r>
            <w:r>
              <w:rPr>
                <w:rFonts w:hint="eastAsia" w:ascii="宋体" w:hAnsi="宋体" w:eastAsia="宋体" w:cs="宋体"/>
                <w:color w:val="auto"/>
                <w:sz w:val="24"/>
                <w:szCs w:val="24"/>
                <w:highlight w:val="none"/>
                <w:lang w:bidi="ar"/>
              </w:rPr>
              <w:t xml:space="preserve">服务</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10</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每出现一次事故扣1-</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分，扣完为止</w:t>
            </w:r>
            <w:r/>
          </w:p>
        </w:tc>
      </w:tr>
      <w:tr>
        <w:trPr>
          <w:trHeight w:val="402"/>
        </w:trPr>
        <w:tc>
          <w:tcPr>
            <w:tcMar>
              <w:left w:w="108" w:type="dxa"/>
              <w:right w:w="108" w:type="dxa"/>
            </w:tcMar>
            <w:tcW w:w="76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right w:w="108" w:type="dxa"/>
            </w:tcMar>
            <w:tcW w:w="77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tcMar>
              <w:left w:w="108" w:type="dxa"/>
              <w:right w:w="108" w:type="dxa"/>
            </w:tcMar>
            <w:tcW w:w="4797"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乙方应建立值班制度，向甲方提供人员值班表和值班电话，人员变动须经甲方书面批准</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10</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每出现一次按情况严重程度扣1-</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分，扣完为止</w:t>
            </w:r>
            <w:r/>
          </w:p>
        </w:tc>
      </w:tr>
      <w:tr>
        <w:trPr>
          <w:trHeight w:val="402"/>
        </w:trPr>
        <w:tc>
          <w:tcPr>
            <w:tcMar>
              <w:left w:w="108" w:type="dxa"/>
              <w:right w:w="108" w:type="dxa"/>
            </w:tcMar>
            <w:tcW w:w="76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right w:w="108" w:type="dxa"/>
            </w:tcMar>
            <w:tcW w:w="77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tcMar>
              <w:left w:w="108" w:type="dxa"/>
              <w:right w:w="108" w:type="dxa"/>
            </w:tcMar>
            <w:tcW w:w="4797"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对甲方及使用单位的培训、服务不到位，导致投诉，造成一定社会影响</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每出现一次按情况严重程度扣1-</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分，扣完为止</w:t>
            </w:r>
            <w:r/>
          </w:p>
        </w:tc>
      </w:tr>
      <w:tr>
        <w:trPr>
          <w:trHeight w:val="402"/>
        </w:trPr>
        <w:tc>
          <w:tcPr>
            <w:tcMar>
              <w:left w:w="108" w:type="dxa"/>
              <w:right w:w="108" w:type="dxa"/>
            </w:tcMar>
            <w:tcW w:w="76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right w:w="108" w:type="dxa"/>
            </w:tcMar>
            <w:tcW w:w="77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tcMar>
              <w:left w:w="108" w:type="dxa"/>
              <w:right w:w="108" w:type="dxa"/>
            </w:tcMar>
            <w:tcW w:w="4797"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在服务过程中，由于服务态度、过度承诺、工作疏忽等，引起客户投诉，或给</w:t>
            </w:r>
            <w:r>
              <w:rPr>
                <w:rFonts w:hint="eastAsia" w:ascii="宋体" w:hAnsi="宋体" w:eastAsia="宋体" w:cs="宋体"/>
                <w:color w:val="auto"/>
                <w:sz w:val="24"/>
                <w:szCs w:val="24"/>
                <w:highlight w:val="none"/>
                <w:lang w:val="en-US" w:eastAsia="zh-CN" w:bidi="ar"/>
              </w:rPr>
              <w:t xml:space="preserve">采购人</w:t>
            </w:r>
            <w:r>
              <w:rPr>
                <w:rFonts w:hint="eastAsia" w:ascii="宋体" w:hAnsi="宋体" w:eastAsia="宋体" w:cs="宋体"/>
                <w:color w:val="auto"/>
                <w:sz w:val="24"/>
                <w:szCs w:val="24"/>
                <w:highlight w:val="none"/>
                <w:lang w:bidi="ar"/>
              </w:rPr>
              <w:t xml:space="preserve">造成重大影响（重大影响指行为后果给</w:t>
            </w:r>
            <w:r>
              <w:rPr>
                <w:rFonts w:hint="eastAsia" w:ascii="宋体" w:hAnsi="宋体" w:eastAsia="宋体" w:cs="宋体"/>
                <w:color w:val="auto"/>
                <w:sz w:val="24"/>
                <w:szCs w:val="24"/>
                <w:highlight w:val="none"/>
                <w:lang w:val="en-US" w:eastAsia="zh-CN" w:bidi="ar"/>
              </w:rPr>
              <w:t xml:space="preserve">采购人</w:t>
            </w:r>
            <w:r>
              <w:rPr>
                <w:rFonts w:hint="eastAsia" w:ascii="宋体" w:hAnsi="宋体" w:eastAsia="宋体" w:cs="宋体"/>
                <w:color w:val="auto"/>
                <w:sz w:val="24"/>
                <w:szCs w:val="24"/>
                <w:highlight w:val="none"/>
                <w:lang w:bidi="ar"/>
              </w:rPr>
              <w:t xml:space="preserve">或客户造成实际经济损失，或对</w:t>
            </w:r>
            <w:r>
              <w:rPr>
                <w:rFonts w:hint="eastAsia" w:ascii="宋体" w:hAnsi="宋体" w:eastAsia="宋体" w:cs="宋体"/>
                <w:color w:val="auto"/>
                <w:sz w:val="24"/>
                <w:szCs w:val="24"/>
                <w:highlight w:val="none"/>
                <w:lang w:val="en-US" w:eastAsia="zh-CN" w:bidi="ar"/>
              </w:rPr>
              <w:t xml:space="preserve">采购人</w:t>
            </w:r>
            <w:r>
              <w:rPr>
                <w:rFonts w:hint="eastAsia" w:ascii="宋体" w:hAnsi="宋体" w:eastAsia="宋体" w:cs="宋体"/>
                <w:color w:val="auto"/>
                <w:sz w:val="24"/>
                <w:szCs w:val="24"/>
                <w:highlight w:val="none"/>
                <w:lang w:bidi="ar"/>
              </w:rPr>
              <w:t xml:space="preserve">的公众形象带来负面影响等）</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10</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每出现一次按情况严重程度扣1-</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分，扣完为止</w:t>
            </w:r>
            <w:r/>
          </w:p>
        </w:tc>
      </w:tr>
      <w:tr>
        <w:trPr>
          <w:trHeight w:val="402"/>
        </w:trPr>
        <w:tc>
          <w:tcPr>
            <w:tcMar>
              <w:left w:w="108" w:type="dxa"/>
              <w:right w:w="108" w:type="dxa"/>
            </w:tcMar>
            <w:tcW w:w="76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right w:w="108" w:type="dxa"/>
            </w:tcMar>
            <w:tcW w:w="77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tcMar>
              <w:left w:w="108" w:type="dxa"/>
              <w:right w:w="108" w:type="dxa"/>
            </w:tcMar>
            <w:tcW w:w="4797"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由于自身技术原因或服务管理原因造成的人为事故，引起客户有效投诉，对</w:t>
            </w:r>
            <w:r>
              <w:rPr>
                <w:rFonts w:hint="eastAsia" w:ascii="宋体" w:hAnsi="宋体" w:eastAsia="宋体" w:cs="宋体"/>
                <w:color w:val="auto"/>
                <w:sz w:val="24"/>
                <w:szCs w:val="24"/>
                <w:highlight w:val="none"/>
                <w:lang w:val="en-US" w:eastAsia="zh-CN" w:bidi="ar"/>
              </w:rPr>
              <w:t xml:space="preserve">采购人</w:t>
            </w:r>
            <w:r>
              <w:rPr>
                <w:rFonts w:hint="eastAsia" w:ascii="宋体" w:hAnsi="宋体" w:eastAsia="宋体" w:cs="宋体"/>
                <w:color w:val="auto"/>
                <w:sz w:val="24"/>
                <w:szCs w:val="24"/>
                <w:highlight w:val="none"/>
                <w:lang w:bidi="ar"/>
              </w:rPr>
              <w:t xml:space="preserve">带来不良影响的</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10</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每出现一次按情况严重程度扣1-</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分，扣完为止</w:t>
            </w:r>
            <w:r/>
          </w:p>
        </w:tc>
      </w:tr>
      <w:tr>
        <w:trPr>
          <w:trHeight w:val="402"/>
        </w:trPr>
        <w:tc>
          <w:tcPr>
            <w:tcMar>
              <w:left w:w="108" w:type="dxa"/>
              <w:right w:w="108" w:type="dxa"/>
            </w:tcMar>
            <w:tcW w:w="76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right w:w="108" w:type="dxa"/>
            </w:tcMar>
            <w:tcW w:w="778"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故障处理（</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0分）</w:t>
            </w:r>
            <w:r/>
          </w:p>
        </w:tc>
        <w:tc>
          <w:tcPr>
            <w:tcMar>
              <w:left w:w="108" w:type="dxa"/>
              <w:right w:w="108" w:type="dxa"/>
            </w:tcMar>
            <w:tcW w:w="4797"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乙方需对发生的故障进行抢修，保持甲方业务的可用性，应在</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0分钟内响应并告知甲方。</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每发生一次超时按情况严重程度扣1-</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分，扣完为止</w:t>
            </w:r>
            <w:r/>
          </w:p>
        </w:tc>
      </w:tr>
      <w:tr>
        <w:trPr>
          <w:trHeight w:val="402"/>
        </w:trPr>
        <w:tc>
          <w:tcPr>
            <w:tcMar>
              <w:left w:w="108" w:type="dxa"/>
              <w:right w:w="108" w:type="dxa"/>
            </w:tcMar>
            <w:tcW w:w="76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right w:w="108" w:type="dxa"/>
            </w:tcMar>
            <w:tcW w:w="778"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right w:w="108" w:type="dxa"/>
            </w:tcMar>
            <w:tcW w:w="4797"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乙方应根据甲方</w:t>
            </w:r>
            <w:r>
              <w:rPr>
                <w:rFonts w:hint="eastAsia" w:ascii="宋体" w:hAnsi="宋体" w:eastAsia="宋体" w:cs="宋体"/>
                <w:color w:val="auto"/>
                <w:sz w:val="24"/>
                <w:szCs w:val="24"/>
                <w:highlight w:val="none"/>
                <w:lang w:val="en-US" w:eastAsia="zh-CN" w:bidi="ar"/>
              </w:rPr>
              <w:t xml:space="preserve">要求</w:t>
            </w:r>
            <w:r>
              <w:rPr>
                <w:rFonts w:hint="eastAsia" w:ascii="宋体" w:hAnsi="宋体" w:eastAsia="宋体" w:cs="宋体"/>
                <w:color w:val="auto"/>
                <w:sz w:val="24"/>
                <w:szCs w:val="24"/>
                <w:highlight w:val="none"/>
                <w:lang w:bidi="ar"/>
              </w:rPr>
              <w:t xml:space="preserve">处理时限处理故障，并形成</w:t>
            </w:r>
            <w:r>
              <w:rPr>
                <w:rFonts w:hint="eastAsia" w:ascii="宋体" w:hAnsi="宋体" w:eastAsia="宋体" w:cs="宋体"/>
                <w:color w:val="auto"/>
                <w:sz w:val="24"/>
                <w:szCs w:val="24"/>
                <w:highlight w:val="none"/>
                <w:lang w:val="en-US" w:eastAsia="zh-CN" w:bidi="ar"/>
              </w:rPr>
              <w:t xml:space="preserve">故障</w:t>
            </w:r>
            <w:r>
              <w:rPr>
                <w:rFonts w:hint="eastAsia" w:ascii="宋体" w:hAnsi="宋体" w:eastAsia="宋体" w:cs="宋体"/>
                <w:color w:val="auto"/>
                <w:sz w:val="24"/>
                <w:szCs w:val="24"/>
                <w:highlight w:val="none"/>
                <w:lang w:bidi="ar"/>
              </w:rPr>
              <w:t xml:space="preserve">分析报告。</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10</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每发生一次超时按情况严重程度扣1-</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分，扣完为止</w:t>
            </w:r>
            <w:r/>
          </w:p>
        </w:tc>
      </w:tr>
      <w:tr>
        <w:trPr>
          <w:trHeight w:val="1295"/>
        </w:trPr>
        <w:tc>
          <w:tcPr>
            <w:tcMar>
              <w:left w:w="108" w:type="dxa"/>
              <w:right w:w="108" w:type="dxa"/>
            </w:tcMar>
            <w:tcW w:w="764" w:type="dxa"/>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效能作用发挥（20分）</w:t>
            </w:r>
            <w:r/>
          </w:p>
        </w:tc>
        <w:tc>
          <w:tcPr>
            <w:tcMar>
              <w:left w:w="108" w:type="dxa"/>
              <w:right w:w="108" w:type="dxa"/>
            </w:tcMar>
            <w:tcW w:w="778" w:type="dxa"/>
            <w:vAlign w:val="center"/>
            <w:vMerge w:val="restart"/>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技术支撑与赋能</w:t>
            </w:r>
            <w:r/>
          </w:p>
        </w:tc>
        <w:tc>
          <w:tcPr>
            <w:tcMar>
              <w:left w:w="108" w:type="dxa"/>
              <w:right w:w="108" w:type="dxa"/>
            </w:tcMar>
            <w:tcW w:w="4797" w:type="dxa"/>
            <w:vAlign w:val="center"/>
            <w:textDirection w:val="lrTb"/>
            <w:noWrap w:val="false"/>
          </w:tcPr>
          <w:p>
            <w:pPr>
              <w:numPr>
                <w:ilvl w:val="0"/>
                <w:numId w:val="6"/>
              </w:numP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乙方应结合底座能力，制定详细的空间运营方案，赋能可信数据空间建设运营和公共数据开发利用。</w:t>
            </w:r>
            <w:r/>
          </w:p>
          <w:p>
            <w:pPr>
              <w:numPr>
                <w:ilvl w:val="0"/>
                <w:numId w:val="6"/>
              </w:numP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乙方应支撑底座需求方及时完成需求对接，保障底座最大程度发挥基础支撑作用。</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未能制定详细运营方案或未及时按要求完成支撑情况</w:t>
            </w:r>
            <w:r>
              <w:rPr>
                <w:rFonts w:hint="eastAsia" w:ascii="宋体" w:hAnsi="宋体" w:eastAsia="宋体" w:cs="宋体"/>
                <w:color w:val="auto"/>
                <w:sz w:val="24"/>
                <w:szCs w:val="24"/>
                <w:highlight w:val="none"/>
                <w:lang w:bidi="ar"/>
              </w:rPr>
              <w:t xml:space="preserve">严重程度扣1-</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分，扣完为止</w:t>
            </w:r>
            <w:r/>
          </w:p>
        </w:tc>
      </w:tr>
      <w:tr>
        <w:trPr>
          <w:trHeight w:val="660"/>
        </w:trPr>
        <w:tc>
          <w:tcPr>
            <w:tcMar>
              <w:left w:w="108" w:type="dxa"/>
              <w:right w:w="108" w:type="dxa"/>
            </w:tcMar>
            <w:tcW w:w="76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right w:w="108" w:type="dxa"/>
            </w:tcMar>
            <w:tcW w:w="778" w:type="dxa"/>
            <w:vAlign w:val="center"/>
            <w:vMerge w:val="continue"/>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Mar>
              <w:left w:w="108" w:type="dxa"/>
              <w:right w:w="108" w:type="dxa"/>
            </w:tcMar>
            <w:tcW w:w="4797" w:type="dxa"/>
            <w:vAlign w:val="center"/>
            <w:textDirection w:val="lrTb"/>
            <w:noWrap w:val="false"/>
          </w:tcPr>
          <w:p>
            <w:pPr>
              <w:numPr>
                <w:ilvl w:val="0"/>
                <w:numId w:val="6"/>
              </w:numPr>
              <w:ind w:left="0" w:firstLine="0"/>
              <w:jc w:val="left"/>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乙方应根据实际需要不断完成底座升级迭代，确保底座技术组件的先进性。</w:t>
            </w:r>
            <w:r/>
          </w:p>
          <w:p>
            <w:pPr>
              <w:numPr>
                <w:ilvl w:val="0"/>
                <w:numId w:val="6"/>
              </w:numPr>
              <w:ind w:left="0" w:firstLine="0"/>
              <w:jc w:val="left"/>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乙方应组织人员外出交流考察，吸收可信数据空间行业内先进经验，并按季度提交运营报告。</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未按</w:t>
            </w:r>
            <w:r>
              <w:rPr>
                <w:rFonts w:hint="eastAsia" w:ascii="宋体" w:hAnsi="宋体" w:eastAsia="宋体" w:cs="宋体"/>
                <w:color w:val="auto"/>
                <w:sz w:val="24"/>
                <w:szCs w:val="24"/>
                <w:highlight w:val="none"/>
                <w:lang w:val="en-US" w:eastAsia="zh-CN" w:bidi="ar"/>
              </w:rPr>
              <w:t xml:space="preserve">季度提交运营报告或季度运营不达标</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lang w:val="en-US" w:eastAsia="zh-CN" w:bidi="ar"/>
              </w:rPr>
              <w:t xml:space="preserve">根据情况</w:t>
            </w:r>
            <w:r>
              <w:rPr>
                <w:rFonts w:hint="eastAsia" w:ascii="宋体" w:hAnsi="宋体" w:eastAsia="宋体" w:cs="宋体"/>
                <w:color w:val="auto"/>
                <w:sz w:val="24"/>
                <w:szCs w:val="24"/>
                <w:highlight w:val="none"/>
                <w:lang w:bidi="ar"/>
              </w:rPr>
              <w:t xml:space="preserve">扣</w:t>
            </w:r>
            <w:r>
              <w:rPr>
                <w:rFonts w:hint="eastAsia" w:ascii="宋体" w:hAnsi="宋体" w:eastAsia="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val="en-US" w:eastAsia="zh-CN" w:bidi="ar"/>
              </w:rPr>
              <w:t xml:space="preserve">未进行技术更新迭代导致系统可用性差的</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根据具体情况</w:t>
            </w:r>
            <w:r>
              <w:rPr>
                <w:rFonts w:hint="eastAsia" w:ascii="宋体" w:hAnsi="宋体" w:eastAsia="宋体" w:cs="宋体"/>
                <w:color w:val="auto"/>
                <w:sz w:val="24"/>
                <w:szCs w:val="24"/>
                <w:highlight w:val="none"/>
                <w:lang w:bidi="ar"/>
              </w:rPr>
              <w:t xml:space="preserve">扣</w:t>
            </w:r>
            <w:r>
              <w:rPr>
                <w:rFonts w:hint="eastAsia" w:ascii="宋体" w:hAnsi="宋体" w:eastAsia="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bidi="ar"/>
              </w:rPr>
              <w:t xml:space="preserve">分，扣完为止</w:t>
            </w:r>
            <w:r/>
          </w:p>
        </w:tc>
      </w:tr>
      <w:tr>
        <w:trPr>
          <w:trHeight w:val="660"/>
        </w:trPr>
        <w:tc>
          <w:tcPr>
            <w:tcMar>
              <w:left w:w="108" w:type="dxa"/>
              <w:right w:w="108" w:type="dxa"/>
            </w:tcMar>
            <w:tcW w:w="764"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安全规范性（10分）</w:t>
            </w:r>
            <w:r/>
          </w:p>
        </w:tc>
        <w:tc>
          <w:tcPr>
            <w:tcMar>
              <w:left w:w="108" w:type="dxa"/>
              <w:right w:w="108" w:type="dxa"/>
            </w:tcMar>
            <w:tcW w:w="778" w:type="dxa"/>
            <w:vAlign w:val="center"/>
            <w:vMerge w:val="restart"/>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系统</w:t>
            </w:r>
            <w:r>
              <w:rPr>
                <w:rFonts w:hint="eastAsia" w:ascii="宋体" w:hAnsi="宋体" w:eastAsia="宋体" w:cs="宋体"/>
                <w:color w:val="auto"/>
                <w:sz w:val="24"/>
                <w:szCs w:val="24"/>
                <w:highlight w:val="none"/>
                <w:lang w:bidi="ar"/>
              </w:rPr>
              <w:t xml:space="preserve">安全（</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w:t>
            </w:r>
            <w:r/>
          </w:p>
        </w:tc>
        <w:tc>
          <w:tcPr>
            <w:tcMar>
              <w:left w:w="108" w:type="dxa"/>
              <w:right w:w="108" w:type="dxa"/>
            </w:tcMar>
            <w:tcW w:w="4797"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需</w:t>
            </w:r>
            <w:r>
              <w:rPr>
                <w:rFonts w:hint="eastAsia" w:ascii="宋体" w:hAnsi="宋体" w:eastAsia="宋体" w:cs="宋体"/>
                <w:color w:val="auto"/>
                <w:sz w:val="24"/>
                <w:szCs w:val="24"/>
                <w:highlight w:val="none"/>
                <w:lang w:val="en-US" w:eastAsia="zh-CN" w:bidi="ar"/>
              </w:rPr>
              <w:t xml:space="preserve">乙方所提供服务</w:t>
            </w:r>
            <w:r>
              <w:rPr>
                <w:rFonts w:hint="eastAsia" w:ascii="宋体" w:hAnsi="宋体" w:eastAsia="宋体" w:cs="宋体"/>
                <w:color w:val="auto"/>
                <w:sz w:val="24"/>
                <w:szCs w:val="24"/>
                <w:highlight w:val="none"/>
                <w:lang w:bidi="ar"/>
              </w:rPr>
              <w:t xml:space="preserve">配合开展</w:t>
            </w:r>
            <w:r>
              <w:rPr>
                <w:rFonts w:hint="eastAsia" w:ascii="宋体" w:hAnsi="宋体" w:eastAsia="宋体" w:cs="宋体"/>
                <w:color w:val="auto"/>
                <w:sz w:val="24"/>
                <w:szCs w:val="24"/>
                <w:highlight w:val="none"/>
                <w:lang w:val="en-US" w:eastAsia="zh-CN" w:bidi="ar"/>
              </w:rPr>
              <w:t xml:space="preserve">各项安全测试，包括在特殊时期提供渗透服务</w:t>
            </w:r>
            <w:r>
              <w:rPr>
                <w:rFonts w:hint="eastAsia" w:ascii="宋体" w:hAnsi="宋体" w:eastAsia="宋体" w:cs="宋体"/>
                <w:color w:val="auto"/>
                <w:sz w:val="24"/>
                <w:szCs w:val="24"/>
                <w:highlight w:val="none"/>
                <w:lang w:bidi="ar"/>
              </w:rPr>
              <w:t xml:space="preserve">。</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每出现一次事故扣1-</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分，扣完为止</w:t>
            </w:r>
            <w:r/>
          </w:p>
        </w:tc>
      </w:tr>
      <w:tr>
        <w:trPr>
          <w:trHeight w:val="660"/>
        </w:trPr>
        <w:tc>
          <w:tcPr>
            <w:tcMar>
              <w:left w:w="108" w:type="dxa"/>
              <w:right w:w="108" w:type="dxa"/>
            </w:tcMar>
            <w:tcW w:w="76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right w:w="108" w:type="dxa"/>
            </w:tcMar>
            <w:tcW w:w="778" w:type="dxa"/>
            <w:vAlign w:val="center"/>
            <w:vMerge w:val="continue"/>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Mar>
              <w:left w:w="108" w:type="dxa"/>
              <w:right w:w="108" w:type="dxa"/>
            </w:tcMar>
            <w:tcW w:w="4797"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乙方需做好网络安全合规工作，并配合甲方做好安全工作。</w:t>
            </w:r>
            <w:r/>
          </w:p>
        </w:tc>
        <w:tc>
          <w:tcPr>
            <w:tcMar>
              <w:left w:w="108" w:type="dxa"/>
              <w:right w:w="108" w:type="dxa"/>
            </w:tcMar>
            <w:tcW w:w="8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w:t>
            </w:r>
            <w:r/>
          </w:p>
        </w:tc>
        <w:tc>
          <w:tcPr>
            <w:tcMar>
              <w:left w:w="108" w:type="dxa"/>
              <w:right w:w="108" w:type="dxa"/>
            </w:tcMar>
            <w:tcW w:w="273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每出现一次按情况严重程度扣1-</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分，扣完为止</w:t>
            </w:r>
            <w:r/>
          </w:p>
        </w:tc>
      </w:tr>
    </w:tbl>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r/>
      <w:r/>
    </w:p>
    <w:p>
      <w:r/>
      <w:r/>
    </w:p>
    <w:p>
      <w:r/>
      <w:r/>
    </w:p>
    <w:p>
      <w:r/>
      <w:r/>
    </w:p>
    <w:p>
      <w:pPr>
        <w:rPr>
          <w:rFonts w:hint="eastAsia" w:ascii="黑体" w:hAnsi="Times New Roman" w:eastAsia="黑体"/>
          <w:bCs/>
          <w:sz w:val="44"/>
          <w:szCs w:val="28"/>
        </w:rPr>
      </w:pPr>
      <w:r>
        <w:rPr>
          <w:rFonts w:hint="eastAsia" w:ascii="黑体" w:hAnsi="Times New Roman" w:eastAsia="黑体"/>
          <w:bCs/>
          <w:sz w:val="44"/>
          <w:szCs w:val="28"/>
        </w:rPr>
        <w:br w:type="page" w:clear="all"/>
      </w:r>
      <w:r/>
    </w:p>
    <w:p>
      <w:pPr>
        <w:pStyle w:val="611"/>
        <w:jc w:val="center"/>
        <w:rPr>
          <w:rFonts w:hint="eastAsia"/>
          <w:b/>
          <w:lang w:val="en-US" w:eastAsia="en-US"/>
        </w:rPr>
      </w:pPr>
      <w:r/>
      <w:bookmarkStart w:id="181" w:name="_Toc24692"/>
      <w:r/>
      <w:bookmarkStart w:id="182" w:name="_Toc490"/>
      <w:r/>
      <w:bookmarkStart w:id="183" w:name="_Toc21120"/>
      <w:r>
        <w:rPr>
          <w:rFonts w:hint="eastAsia"/>
          <w:b/>
          <w:lang w:val="en-US" w:eastAsia="en-US"/>
        </w:rPr>
        <w:t xml:space="preserve">第四章  合同文本（草案）</w:t>
      </w:r>
      <w:bookmarkEnd w:id="181"/>
      <w:r/>
      <w:bookmarkEnd w:id="182"/>
      <w:r/>
      <w:bookmarkEnd w:id="183"/>
      <w:r/>
      <w:bookmarkStart w:id="184" w:name="_Hlk187835227"/>
      <w:r/>
      <w:bookmarkStart w:id="185" w:name="_Toc16938559"/>
      <w:r/>
      <w:bookmarkStart w:id="186" w:name="_Toc20823315"/>
      <w:r/>
      <w:bookmarkStart w:id="187" w:name="_Toc513029243"/>
      <w:r/>
      <w:bookmarkEnd w:id="184"/>
      <w:r/>
    </w:p>
    <w:p>
      <w:pPr>
        <w:pStyle w:val="633"/>
        <w:ind w:firstLine="480"/>
        <w:spacing w:after="200" w:line="500" w:lineRule="exact"/>
        <w:rPr>
          <w:rFonts w:hint="eastAsia" w:ascii="宋体" w:hAnsi="宋体" w:eastAsia="宋体" w:cs="宋体"/>
        </w:rPr>
      </w:pPr>
      <w:r>
        <w:rPr>
          <w:rFonts w:hint="eastAsia" w:ascii="宋体" w:hAnsi="宋体" w:eastAsia="宋体" w:cs="宋体"/>
        </w:rPr>
      </w:r>
      <w:r/>
    </w:p>
    <w:p>
      <w:pPr>
        <w:pStyle w:val="634"/>
        <w:jc w:val="center"/>
        <w:spacing w:before="0" w:beforeAutospacing="0" w:after="0" w:afterAutospacing="0" w:line="480" w:lineRule="auto"/>
        <w:widowControl w:val="off"/>
      </w:pPr>
      <w:r/>
      <w:bookmarkStart w:id="188" w:name="_Toc155086567"/>
      <w:r/>
      <w:bookmarkStart w:id="189" w:name="_Toc544"/>
      <w:r>
        <w:rPr>
          <w:rFonts w:hint="eastAsia"/>
          <w:b/>
          <w:bCs/>
          <w:color w:val="000000"/>
          <w:sz w:val="30"/>
          <w:szCs w:val="30"/>
        </w:rPr>
        <w:t xml:space="preserve">政府采购合同（服务）（合同编号）</w:t>
      </w:r>
      <w:bookmarkEnd w:id="188"/>
      <w:r/>
      <w:bookmarkEnd w:id="189"/>
      <w:r/>
      <w:r/>
    </w:p>
    <w:p>
      <w:pPr>
        <w:pStyle w:val="634"/>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634"/>
        <w:ind w:firstLine="840"/>
        <w:spacing w:before="0" w:beforeAutospacing="0" w:after="0" w:afterAutospacing="0" w:line="720" w:lineRule="auto"/>
        <w:widowControl w:val="off"/>
        <w:rPr>
          <w:rFonts w:hint="eastAsia" w:eastAsia="宋体"/>
          <w:sz w:val="28"/>
          <w:szCs w:val="28"/>
          <w:lang w:eastAsia="zh-CN"/>
        </w:rPr>
      </w:pPr>
      <w:r>
        <w:rPr>
          <w:rFonts w:hint="eastAsia"/>
          <w:color w:val="000000"/>
          <w:sz w:val="28"/>
          <w:szCs w:val="28"/>
        </w:rPr>
        <w:t xml:space="preserve">项目名称：</w:t>
      </w:r>
      <w:r>
        <w:rPr>
          <w:rFonts w:hint="eastAsia" w:ascii="Arial" w:hAnsi="Arial" w:cs="Arial"/>
          <w:color w:val="000000"/>
          <w:sz w:val="27"/>
          <w:szCs w:val="27"/>
          <w:lang w:eastAsia="zh-CN"/>
        </w:rPr>
        <w:t xml:space="preserve">可信数据空间智能底座项目</w:t>
      </w:r>
      <w:r/>
    </w:p>
    <w:p>
      <w:pPr>
        <w:pStyle w:val="634"/>
        <w:ind w:firstLine="840"/>
        <w:spacing w:before="0" w:beforeAutospacing="0" w:after="0" w:afterAutospacing="0" w:line="720" w:lineRule="auto"/>
        <w:widowControl w:val="off"/>
        <w:rPr>
          <w:rFonts w:hint="eastAsia" w:eastAsia="宋体"/>
          <w:color w:val="000000"/>
          <w:sz w:val="28"/>
          <w:szCs w:val="28"/>
          <w:highlight w:val="none"/>
          <w:lang w:eastAsia="zh-CN"/>
        </w:rPr>
      </w:pPr>
      <w:r>
        <w:rPr>
          <w:rFonts w:hint="eastAsia"/>
          <w:color w:val="000000"/>
          <w:sz w:val="28"/>
          <w:szCs w:val="28"/>
          <w:highlight w:val="none"/>
        </w:rPr>
        <w:t xml:space="preserve">项目编号：</w:t>
      </w:r>
      <w:r>
        <w:rPr>
          <w:rFonts w:hint="eastAsia"/>
          <w:color w:val="000000"/>
          <w:sz w:val="28"/>
          <w:szCs w:val="28"/>
          <w:highlight w:val="none"/>
        </w:rPr>
      </w:r>
      <w:r>
        <w:rPr>
          <w:rFonts w:hint="eastAsia"/>
          <w:color w:val="000000"/>
          <w:sz w:val="28"/>
          <w:szCs w:val="28"/>
          <w:highlight w:val="none"/>
          <w:lang w:eastAsia="zh-CN"/>
        </w:rPr>
        <w:t xml:space="preserve">JSZC-321300-JZCG-D2026-</w:t>
      </w:r>
      <w:r>
        <w:rPr>
          <w:rFonts w:hint="eastAsia"/>
          <w:color w:val="000000"/>
          <w:sz w:val="28"/>
          <w:szCs w:val="28"/>
          <w:highlight w:val="none"/>
          <w:lang w:val="en-US" w:eastAsia="zh-CN"/>
        </w:rPr>
        <w:t xml:space="preserve">0059</w:t>
      </w:r>
      <w:r/>
    </w:p>
    <w:p>
      <w:pPr>
        <w:pStyle w:val="635"/>
        <w:ind w:firstLine="840"/>
        <w:spacing w:line="72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甲方</w:t>
      </w:r>
      <w:r>
        <w:rPr>
          <w:rFonts w:hint="eastAsia" w:ascii="宋体" w:hAnsi="宋体" w:eastAsia="宋体" w:cs="宋体"/>
          <w:sz w:val="28"/>
          <w:szCs w:val="28"/>
          <w:highlight w:val="none"/>
        </w:rPr>
        <w:t xml:space="preserve">（全称）：</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r/>
    </w:p>
    <w:p>
      <w:pPr>
        <w:pStyle w:val="635"/>
        <w:ind w:firstLine="840"/>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lang w:val="en-US" w:eastAsia="zh-CN"/>
        </w:rPr>
        <w:t xml:space="preserve">乙方</w:t>
      </w:r>
      <w:r>
        <w:rPr>
          <w:rFonts w:hint="eastAsia" w:ascii="宋体" w:hAnsi="宋体" w:eastAsia="宋体" w:cs="宋体"/>
          <w:sz w:val="28"/>
          <w:szCs w:val="28"/>
          <w:highlight w:val="none"/>
        </w:rPr>
        <w:t xml:space="preserve">（全称）：</w:t>
      </w:r>
      <w:r>
        <w:rPr>
          <w:rFonts w:hint="eastAsia" w:ascii="宋体" w:hAnsi="宋体" w:eastAsia="宋体" w:cs="宋体"/>
          <w:sz w:val="28"/>
          <w:szCs w:val="28"/>
          <w:highlight w:val="none"/>
          <w:u w:val="single"/>
        </w:rPr>
        <w:t xml:space="preserve">                    </w:t>
      </w:r>
      <w:r/>
    </w:p>
    <w:p>
      <w:pPr>
        <w:pStyle w:val="635"/>
        <w:ind w:firstLine="84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635"/>
        <w:ind w:firstLine="0"/>
        <w:rPr>
          <w:rFonts w:hAnsi="宋体" w:cs="宋体"/>
          <w:szCs w:val="24"/>
        </w:rPr>
      </w:pPr>
      <w:r>
        <w:rPr>
          <w:rFonts w:hAnsi="宋体" w:cs="宋体"/>
          <w:szCs w:val="24"/>
        </w:rPr>
      </w:r>
      <w:r/>
    </w:p>
    <w:p>
      <w:pPr>
        <w:pStyle w:val="635"/>
        <w:ind w:firstLine="0"/>
        <w:rPr>
          <w:rFonts w:hAnsi="宋体" w:cs="宋体"/>
          <w:szCs w:val="24"/>
        </w:rPr>
      </w:pPr>
      <w:r>
        <w:rPr>
          <w:rFonts w:hAnsi="宋体" w:cs="宋体"/>
          <w:szCs w:val="24"/>
        </w:rPr>
      </w:r>
      <w:r/>
    </w:p>
    <w:p>
      <w:pPr>
        <w:rPr>
          <w:rFonts w:ascii="宋体" w:hAnsi="宋体" w:cs="宋体"/>
          <w:color w:val="000000"/>
          <w:sz w:val="24"/>
        </w:rPr>
      </w:pPr>
      <w:r>
        <w:rPr>
          <w:rFonts w:hint="eastAsia" w:ascii="宋体" w:hAnsi="宋体" w:cs="宋体"/>
          <w:color w:val="000000"/>
          <w:sz w:val="24"/>
        </w:rPr>
        <w:br w:type="page" w:clear="all"/>
      </w:r>
      <w:r/>
    </w:p>
    <w:p>
      <w:pPr>
        <w:spacing w:line="360" w:lineRule="auto"/>
        <w:rPr>
          <w:rFonts w:ascii="宋体" w:hAnsi="宋体" w:cs="宋体"/>
          <w:color w:val="000000"/>
          <w:sz w:val="24"/>
        </w:rPr>
      </w:pPr>
      <w:r>
        <w:rPr>
          <w:rFonts w:ascii="宋体" w:hAnsi="宋体" w:cs="宋体"/>
          <w:color w:val="000000"/>
          <w:sz w:val="24"/>
        </w:rPr>
      </w:r>
      <w:r/>
    </w:p>
    <w:p>
      <w:pPr>
        <w:ind w:firstLine="480"/>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甲方（全称）：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（采购人）</w:t>
      </w:r>
      <w:r/>
    </w:p>
    <w:p>
      <w:pPr>
        <w:pStyle w:val="634"/>
        <w:ind w:firstLine="480"/>
        <w:jc w:val="both"/>
        <w:spacing w:before="0" w:beforeAutospacing="0" w:after="0" w:afterAutospacing="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乙方（全称）：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（供应商）</w:t>
      </w:r>
      <w:r/>
    </w:p>
    <w:p>
      <w:pPr>
        <w:pStyle w:val="634"/>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w:t>
      </w:r>
      <w:r>
        <w:rPr>
          <w:rFonts w:hint="eastAsia"/>
          <w:color w:val="000000"/>
          <w:lang w:val="en-US" w:eastAsia="zh-CN"/>
        </w:rPr>
        <w:t xml:space="preserve">双</w:t>
      </w:r>
      <w:r>
        <w:rPr>
          <w:rFonts w:hint="eastAsia"/>
          <w:color w:val="000000"/>
        </w:rPr>
        <w:t xml:space="preserve">方同意签订本合同。具体情况及要求如下：</w:t>
      </w:r>
      <w:r/>
    </w:p>
    <w:p>
      <w:pPr>
        <w:ind w:firstLine="482"/>
        <w:spacing w:line="360" w:lineRule="auto"/>
        <w:rPr>
          <w:rFonts w:ascii="宋体" w:hAnsi="宋体" w:cs="宋体"/>
          <w:b/>
          <w:sz w:val="24"/>
          <w:szCs w:val="24"/>
        </w:rPr>
        <w:outlineLvl w:val="1"/>
      </w:pPr>
      <w:r/>
      <w:bookmarkStart w:id="190" w:name="_Toc26245"/>
      <w:r>
        <w:rPr>
          <w:rFonts w:hint="eastAsia" w:ascii="宋体" w:hAnsi="宋体" w:cs="宋体"/>
          <w:b/>
          <w:sz w:val="24"/>
          <w:szCs w:val="24"/>
        </w:rPr>
        <w:t xml:space="preserve">一、合同内容</w:t>
      </w:r>
      <w:bookmarkEnd w:id="190"/>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cs="宋体"/>
          <w:sz w:val="24"/>
          <w:szCs w:val="24"/>
        </w:rPr>
        <w:t xml:space="preserve">标的名称：</w:t>
      </w:r>
      <w:r>
        <w:rPr>
          <w:rFonts w:hint="eastAsia" w:ascii="宋体" w:hAnsi="宋体" w:cs="宋体"/>
          <w:sz w:val="24"/>
          <w:szCs w:val="24"/>
          <w:lang w:eastAsia="zh-CN"/>
        </w:rPr>
        <w:t xml:space="preserve">可信数据空间智能底座项目</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标的质量：合格</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标的数量（规模）：详见合同清单</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履行时间（期限）：</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履行地点：采购人指定地点</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人员要求：</w:t>
      </w:r>
      <w:r/>
    </w:p>
    <w:p>
      <w:pPr>
        <w:ind w:firstLine="482"/>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p>
    <w:p>
      <w:pPr>
        <w:ind w:firstLine="482"/>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项目负责人1名：负责统筹项目整体设计方案、组织项目管理并统筹系统上线交付，同时需熟悉政务云环境下的网络架构及安全合规要求。</w:t>
      </w:r>
      <w:r/>
    </w:p>
    <w:p>
      <w:pPr>
        <w:ind w:firstLine="482"/>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技术负责人1名：负责该项目的系统架构设计、技术实现与核心模块开发，具备扎实的底座平台开发经验，精通软件平台设计与技术选型。</w:t>
      </w:r>
      <w:r/>
    </w:p>
    <w:p>
      <w:pPr>
        <w:ind w:firstLine="482"/>
        <w:spacing w:line="360" w:lineRule="auto"/>
        <w:rPr>
          <w:rFonts w:hint="eastAsia" w:ascii="宋体" w:hAnsi="宋体" w:cs="宋体"/>
          <w:b/>
          <w:color w:val="000000"/>
          <w:sz w:val="24"/>
          <w:szCs w:val="24"/>
          <w:highlight w:val="none"/>
        </w:rPr>
        <w:outlineLvl w:val="9"/>
      </w:pPr>
      <w:r>
        <w:rPr>
          <w:rFonts w:hint="eastAsia" w:ascii="宋体" w:hAnsi="宋体" w:cs="宋体"/>
          <w:color w:val="000000"/>
          <w:sz w:val="24"/>
          <w:szCs w:val="24"/>
          <w:highlight w:val="none"/>
        </w:rPr>
        <w:t xml:space="preserve">项目组其他成员（除项目负责人和技术负责人外）：不少于6人，包括前端开发工程师、后端开发工程师、网络安全工程师、测试工程师等，须具备类似项目开发经验。</w:t>
      </w:r>
      <w:r/>
    </w:p>
    <w:p>
      <w:pPr>
        <w:ind w:firstLine="482"/>
        <w:spacing w:line="360" w:lineRule="auto"/>
        <w:rPr>
          <w:rFonts w:ascii="宋体" w:hAnsi="宋体" w:cs="宋体"/>
          <w:b/>
          <w:sz w:val="24"/>
          <w:szCs w:val="24"/>
        </w:rPr>
        <w:outlineLvl w:val="1"/>
      </w:pPr>
      <w:r/>
      <w:bookmarkStart w:id="191" w:name="_Toc21246"/>
      <w:r>
        <w:rPr>
          <w:rFonts w:hint="eastAsia" w:ascii="宋体" w:hAnsi="宋体" w:cs="宋体"/>
          <w:b/>
          <w:sz w:val="24"/>
          <w:szCs w:val="24"/>
        </w:rPr>
        <w:t xml:space="preserve">二、合同金额</w:t>
      </w:r>
      <w:bookmarkEnd w:id="191"/>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本合同金额为（大写）：____________________________________元（_______________元）人民币或其他币种。</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合同清单</w:t>
      </w:r>
      <w:r/>
    </w:p>
    <w:tbl>
      <w:tblPr>
        <w:tblStyle w:val="616"/>
        <w:tblW w:w="939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1</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5</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6</w:t>
            </w:r>
            <w:r/>
          </w:p>
        </w:tc>
      </w:tr>
      <w:tr>
        <w:trPr>
          <w:cantSplit/>
          <w:trHeight w:val="634"/>
        </w:trPr>
        <w:tc>
          <w:tcPr>
            <w:tcW w:w="866" w:type="dxa"/>
            <w:vAlign w:val="center"/>
            <w:vMerge w:val="continue"/>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分项单位</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数量</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单价</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总价</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备注</w:t>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673"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总报价（人民币：元）</w:t>
            </w:r>
            <w:r/>
          </w:p>
        </w:tc>
        <w:tc>
          <w:tcPr>
            <w:tcW w:w="1642"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r>
    </w:tbl>
    <w:p>
      <w:pPr>
        <w:ind w:firstLine="482"/>
        <w:spacing w:line="360" w:lineRule="auto"/>
        <w:rPr>
          <w:rFonts w:ascii="宋体" w:hAnsi="宋体" w:cs="宋体"/>
          <w:b/>
          <w:sz w:val="24"/>
          <w:szCs w:val="24"/>
        </w:rPr>
      </w:pPr>
      <w:r>
        <w:rPr>
          <w:rFonts w:ascii="宋体" w:hAnsi="宋体" w:cs="宋体"/>
          <w:b/>
          <w:sz w:val="24"/>
          <w:szCs w:val="24"/>
        </w:rPr>
      </w:r>
      <w:r/>
    </w:p>
    <w:p>
      <w:pPr>
        <w:ind w:firstLine="482"/>
        <w:spacing w:line="360" w:lineRule="auto"/>
        <w:rPr>
          <w:rFonts w:ascii="宋体" w:hAnsi="宋体" w:cs="宋体"/>
          <w:b/>
          <w:sz w:val="24"/>
          <w:szCs w:val="24"/>
        </w:rPr>
        <w:outlineLvl w:val="1"/>
      </w:pPr>
      <w:r/>
      <w:bookmarkStart w:id="192" w:name="_Toc14245"/>
      <w:r>
        <w:rPr>
          <w:rFonts w:hint="eastAsia" w:ascii="宋体" w:hAnsi="宋体" w:cs="宋体"/>
          <w:b/>
          <w:sz w:val="24"/>
          <w:szCs w:val="24"/>
        </w:rPr>
        <w:t xml:space="preserve">三、技术资料</w:t>
      </w:r>
      <w:bookmarkEnd w:id="192"/>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乙方应按磋商文件规定的时间向甲方提供与合同标的有关的技术资料。</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宋体"/>
          <w:b/>
          <w:sz w:val="24"/>
          <w:szCs w:val="24"/>
        </w:rPr>
        <w:outlineLvl w:val="1"/>
      </w:pPr>
      <w:r/>
      <w:bookmarkStart w:id="193" w:name="_Toc24741"/>
      <w:r>
        <w:rPr>
          <w:rFonts w:hint="eastAsia" w:ascii="宋体" w:hAnsi="宋体" w:cs="宋体"/>
          <w:b/>
          <w:sz w:val="24"/>
          <w:szCs w:val="24"/>
        </w:rPr>
        <w:t xml:space="preserve">四、知识产权</w:t>
      </w:r>
      <w:bookmarkEnd w:id="193"/>
      <w:r/>
      <w:r/>
    </w:p>
    <w:p>
      <w:pPr>
        <w:ind w:firstLine="480"/>
        <w:spacing w:line="360" w:lineRule="auto"/>
        <w:rPr>
          <w:rFonts w:ascii="宋体" w:hAnsi="宋体" w:cs="宋体"/>
          <w:sz w:val="24"/>
          <w:szCs w:val="24"/>
        </w:rPr>
      </w:pPr>
      <w:r>
        <w:rPr>
          <w:rFonts w:hint="eastAsia" w:ascii="宋体" w:hAnsi="宋体" w:cs="宋体"/>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ascii="宋体" w:hAnsi="宋体" w:cs="宋体"/>
          <w:sz w:val="24"/>
          <w:szCs w:val="24"/>
          <w:u w:val="single"/>
        </w:rPr>
        <w:outlineLvl w:val="1"/>
      </w:pPr>
      <w:r/>
      <w:bookmarkStart w:id="194" w:name="_Toc8502"/>
      <w:r>
        <w:rPr>
          <w:rFonts w:hint="eastAsia" w:ascii="宋体" w:hAnsi="宋体" w:cs="宋体"/>
          <w:b/>
          <w:sz w:val="24"/>
          <w:szCs w:val="24"/>
        </w:rPr>
        <w:t xml:space="preserve">五、产权担保</w:t>
      </w:r>
      <w:bookmarkEnd w:id="194"/>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乙方保证所交付的合同标的的所有权完全属于乙方且无任何抵押、查封等产权瑕疵。</w:t>
      </w:r>
      <w:r/>
    </w:p>
    <w:p>
      <w:pPr>
        <w:ind w:firstLine="482"/>
        <w:spacing w:line="360" w:lineRule="auto"/>
        <w:rPr>
          <w:rFonts w:ascii="宋体" w:hAnsi="宋体" w:cs="宋体"/>
          <w:b/>
          <w:sz w:val="24"/>
          <w:szCs w:val="24"/>
        </w:rPr>
        <w:outlineLvl w:val="1"/>
      </w:pPr>
      <w:r/>
      <w:bookmarkStart w:id="195" w:name="_Toc11141"/>
      <w:r>
        <w:rPr>
          <w:rFonts w:hint="eastAsia" w:ascii="宋体" w:hAnsi="宋体" w:cs="宋体"/>
          <w:b/>
          <w:sz w:val="24"/>
          <w:szCs w:val="24"/>
        </w:rPr>
        <w:t xml:space="preserve">六、履约保证金</w:t>
      </w:r>
      <w:bookmarkEnd w:id="195"/>
      <w:r/>
      <w:r/>
    </w:p>
    <w:p>
      <w:pPr>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p>
    <w:p>
      <w:pPr>
        <w:ind w:firstLine="480"/>
        <w:spacing w:line="360" w:lineRule="auto"/>
        <w:rPr>
          <w:rFonts w:ascii="宋体" w:hAnsi="宋体" w:cs="宋体"/>
          <w:b/>
          <w:sz w:val="24"/>
          <w:szCs w:val="24"/>
        </w:rPr>
        <w:outlineLvl w:val="1"/>
      </w:pPr>
      <w:r/>
      <w:bookmarkStart w:id="196" w:name="_Toc27781"/>
      <w:r>
        <w:rPr>
          <w:rFonts w:hint="eastAsia" w:ascii="宋体" w:hAnsi="宋体" w:cs="宋体"/>
          <w:b/>
          <w:sz w:val="24"/>
          <w:szCs w:val="24"/>
        </w:rPr>
        <w:t xml:space="preserve">七、合同转包或分包</w:t>
      </w:r>
      <w:bookmarkEnd w:id="196"/>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乙方不得将合同标的转包给他人履行。</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乙方不得将合同标的分包给他人履行。</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乙方如有转包或未经甲方同意的分包行为，甲方有权解除合同。</w:t>
      </w:r>
      <w:r/>
    </w:p>
    <w:p>
      <w:pPr>
        <w:ind w:firstLine="482"/>
        <w:spacing w:line="360" w:lineRule="auto"/>
        <w:rPr>
          <w:rFonts w:ascii="宋体" w:hAnsi="宋体" w:cs="宋体"/>
          <w:b/>
          <w:sz w:val="24"/>
          <w:szCs w:val="24"/>
        </w:rPr>
        <w:outlineLvl w:val="1"/>
      </w:pPr>
      <w:r/>
      <w:bookmarkStart w:id="197" w:name="_Toc32231"/>
      <w:r>
        <w:rPr>
          <w:rFonts w:hint="eastAsia" w:ascii="宋体" w:hAnsi="宋体" w:cs="宋体"/>
          <w:b/>
          <w:sz w:val="24"/>
          <w:szCs w:val="24"/>
        </w:rPr>
        <w:t xml:space="preserve">八、合同款项支付</w:t>
      </w:r>
      <w:bookmarkEnd w:id="197"/>
      <w:r/>
      <w:r/>
    </w:p>
    <w:p>
      <w:pPr>
        <w:ind w:firstLine="480"/>
        <w:spacing w:line="360" w:lineRule="auto"/>
        <w:rPr>
          <w:rFonts w:hint="eastAsia" w:ascii="宋体" w:hAnsi="宋体"/>
          <w:bCs/>
          <w:sz w:val="24"/>
          <w:szCs w:val="24"/>
        </w:rPr>
      </w:pPr>
      <w:r>
        <w:rPr>
          <w:rFonts w:hint="eastAsia" w:ascii="宋体" w:hAnsi="宋体" w:cs="宋体"/>
          <w:sz w:val="24"/>
          <w:szCs w:val="24"/>
        </w:rPr>
        <w:t xml:space="preserve">付款方式</w:t>
      </w:r>
      <w:r>
        <w:rPr>
          <w:rFonts w:hint="eastAsia" w:ascii="宋体" w:hAnsi="宋体" w:cs="宋体"/>
          <w:sz w:val="24"/>
          <w:szCs w:val="24"/>
          <w:highlight w:val="none"/>
        </w:rPr>
        <w:t xml:space="preserve">：</w:t>
      </w:r>
      <w:r>
        <w:rPr>
          <w:rFonts w:hint="eastAsia" w:ascii="宋体" w:hAnsi="宋体"/>
          <w:bCs/>
          <w:sz w:val="24"/>
          <w:szCs w:val="24"/>
          <w:highlight w:val="none"/>
        </w:rPr>
        <w:t xml:space="preserve">合同签订且采购人在收到成交供应商发票后10个工作日内，支付合同金额的30%作为预付款；项目试运行结束，在收到成交供应商发票后10个工作日内支付至合同金额的80%；项目运维期满13个月，在收到成交供应商发票后10个工作日内付至合同金额的90%，项目运维期满后，在收到成交供应商发票后10个工作日内付清合同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1.服务期内，严格依照“第十</w:t>
      </w:r>
      <w:r>
        <w:rPr>
          <w:rFonts w:hint="eastAsia" w:ascii="宋体" w:hAnsi="宋体" w:cs="宋体"/>
          <w:sz w:val="24"/>
          <w:szCs w:val="24"/>
          <w:lang w:val="en-US" w:eastAsia="zh-CN"/>
        </w:rPr>
        <w:t xml:space="preserve">五</w:t>
      </w:r>
      <w:r>
        <w:rPr>
          <w:rFonts w:hint="eastAsia" w:ascii="宋体" w:hAnsi="宋体" w:cs="宋体"/>
          <w:sz w:val="24"/>
          <w:szCs w:val="24"/>
        </w:rPr>
        <w:t xml:space="preserve">条、考核评价要求”核减相应款项后予以支付。</w:t>
      </w:r>
      <w:r/>
    </w:p>
    <w:p>
      <w:pPr>
        <w:ind w:firstLine="480"/>
        <w:spacing w:line="360" w:lineRule="auto"/>
        <w:rPr>
          <w:rFonts w:ascii="宋体" w:hAnsi="宋体" w:cs="宋体"/>
          <w:sz w:val="24"/>
          <w:szCs w:val="24"/>
        </w:rPr>
      </w:pPr>
      <w:r>
        <w:rPr>
          <w:rFonts w:hint="eastAsia" w:ascii="宋体" w:hAnsi="宋体" w:cs="宋体"/>
          <w:sz w:val="24"/>
          <w:szCs w:val="24"/>
        </w:rPr>
        <w:t xml:space="preserve">2.在签订合同时，成交人明确表示无需预付款或者主动要求降低预付款比例的金额，采购人可不适用预付款规定。</w:t>
      </w:r>
      <w:r/>
    </w:p>
    <w:p>
      <w:pPr>
        <w:ind w:firstLine="482"/>
        <w:spacing w:line="360" w:lineRule="auto"/>
        <w:rPr>
          <w:rFonts w:ascii="宋体" w:hAnsi="宋体" w:cs="宋体"/>
          <w:b/>
          <w:sz w:val="24"/>
          <w:szCs w:val="24"/>
        </w:rPr>
        <w:outlineLvl w:val="1"/>
      </w:pPr>
      <w:r/>
      <w:bookmarkStart w:id="198" w:name="_Toc12299"/>
      <w:r>
        <w:rPr>
          <w:rFonts w:hint="eastAsia" w:ascii="宋体" w:hAnsi="宋体" w:cs="宋体"/>
          <w:b/>
          <w:sz w:val="24"/>
          <w:szCs w:val="24"/>
        </w:rPr>
        <w:t xml:space="preserve">九、税费</w:t>
      </w:r>
      <w:bookmarkEnd w:id="198"/>
      <w:r/>
      <w:r/>
    </w:p>
    <w:p>
      <w:pPr>
        <w:ind w:firstLine="480"/>
        <w:spacing w:line="360" w:lineRule="auto"/>
        <w:rPr>
          <w:rFonts w:ascii="宋体" w:hAnsi="宋体" w:cs="宋体"/>
          <w:sz w:val="24"/>
          <w:szCs w:val="24"/>
        </w:rPr>
      </w:pPr>
      <w:r>
        <w:rPr>
          <w:rFonts w:hint="eastAsia" w:ascii="宋体" w:hAnsi="宋体" w:cs="宋体"/>
          <w:sz w:val="24"/>
          <w:szCs w:val="24"/>
        </w:rPr>
        <w:t xml:space="preserve">本合同执行中相关的一切税费均由乙方负担。</w:t>
      </w:r>
      <w:r/>
    </w:p>
    <w:p>
      <w:pPr>
        <w:ind w:firstLine="482"/>
        <w:spacing w:line="360" w:lineRule="auto"/>
        <w:rPr>
          <w:rFonts w:ascii="宋体" w:hAnsi="宋体" w:cs="宋体"/>
          <w:b/>
          <w:sz w:val="24"/>
          <w:szCs w:val="24"/>
          <w:highlight w:val="none"/>
        </w:rPr>
        <w:outlineLvl w:val="1"/>
      </w:pPr>
      <w:r/>
      <w:bookmarkStart w:id="199" w:name="_Toc31858"/>
      <w:r>
        <w:rPr>
          <w:rFonts w:hint="eastAsia" w:ascii="宋体" w:hAnsi="宋体" w:cs="宋体"/>
          <w:b/>
          <w:sz w:val="24"/>
          <w:szCs w:val="24"/>
        </w:rPr>
        <w:t xml:space="preserve">十</w:t>
      </w:r>
      <w:r>
        <w:rPr>
          <w:rFonts w:hint="eastAsia" w:ascii="宋体" w:hAnsi="宋体" w:cs="宋体"/>
          <w:b/>
          <w:sz w:val="24"/>
          <w:szCs w:val="24"/>
          <w:highlight w:val="none"/>
        </w:rPr>
        <w:t xml:space="preserve">、项目验收</w:t>
      </w:r>
      <w:bookmarkEnd w:id="199"/>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合同签订后，</w:t>
      </w:r>
      <w:r>
        <w:rPr>
          <w:rFonts w:hint="eastAsia" w:ascii="宋体" w:hAnsi="宋体" w:cs="宋体"/>
          <w:sz w:val="24"/>
          <w:szCs w:val="24"/>
          <w:highlight w:val="none"/>
          <w:lang w:val="en-US" w:eastAsia="zh-CN"/>
        </w:rPr>
        <w:t xml:space="preserve">在3</w:t>
      </w:r>
      <w:r>
        <w:rPr>
          <w:rFonts w:hint="eastAsia" w:ascii="宋体" w:hAnsi="宋体" w:cs="宋体"/>
          <w:sz w:val="24"/>
          <w:szCs w:val="24"/>
          <w:highlight w:val="none"/>
        </w:rPr>
        <w:t xml:space="preserve">个月内完成系统开发、测试服务，随后进入3个月试运行。试运行出现问题的，</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需在 5 日内调整完毕。试运行结束</w:t>
      </w:r>
      <w:r>
        <w:rPr>
          <w:rFonts w:hint="eastAsia" w:ascii="宋体" w:hAnsi="宋体" w:cs="宋体"/>
          <w:sz w:val="24"/>
          <w:szCs w:val="24"/>
          <w:highlight w:val="none"/>
          <w:lang w:val="en-US" w:eastAsia="zh-CN"/>
        </w:rPr>
        <w:t xml:space="preserve">满30个月后</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根据技术要求在 3 个工作日内组织验收，验收无误后出具验收报告。</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验收标准：本项目验收工作由包括</w:t>
      </w:r>
      <w:r>
        <w:rPr>
          <w:rFonts w:hint="eastAsia" w:ascii="宋体" w:hAnsi="宋体" w:cs="宋体"/>
          <w:sz w:val="24"/>
          <w:szCs w:val="24"/>
          <w:lang w:val="en-US" w:eastAsia="zh-CN"/>
        </w:rPr>
        <w:t xml:space="preserve">甲方</w:t>
      </w:r>
      <w:r>
        <w:rPr>
          <w:rFonts w:hint="eastAsia" w:ascii="宋体" w:hAnsi="宋体" w:cs="宋体"/>
          <w:sz w:val="24"/>
          <w:szCs w:val="24"/>
        </w:rPr>
        <w:t xml:space="preserve">、评审专家和用户体系代表等在内的项目验收小组来完成，具体成员和组织形式由</w:t>
      </w:r>
      <w:r>
        <w:rPr>
          <w:rFonts w:hint="eastAsia" w:ascii="宋体" w:hAnsi="宋体" w:cs="宋体"/>
          <w:sz w:val="24"/>
          <w:szCs w:val="24"/>
          <w:lang w:val="en-US" w:eastAsia="zh-CN"/>
        </w:rPr>
        <w:t xml:space="preserve">甲方</w:t>
      </w:r>
      <w:r>
        <w:rPr>
          <w:rFonts w:hint="eastAsia" w:ascii="宋体" w:hAnsi="宋体" w:cs="宋体"/>
          <w:sz w:val="24"/>
          <w:szCs w:val="24"/>
        </w:rPr>
        <w:t xml:space="preserve">确定。验收标准以采购文件、响应文件等为依据，</w:t>
      </w:r>
      <w:r>
        <w:rPr>
          <w:rFonts w:hint="eastAsia" w:ascii="宋体" w:hAnsi="宋体" w:cs="宋体"/>
          <w:sz w:val="24"/>
          <w:szCs w:val="24"/>
          <w:lang w:val="en-US" w:eastAsia="zh-CN"/>
        </w:rPr>
        <w:t xml:space="preserve">乙方</w:t>
      </w:r>
      <w:r>
        <w:rPr>
          <w:rFonts w:hint="eastAsia" w:ascii="宋体" w:hAnsi="宋体" w:cs="宋体"/>
          <w:sz w:val="24"/>
          <w:szCs w:val="24"/>
        </w:rPr>
        <w:t xml:space="preserve">提供项目验收相关材料，包括：合同；用户需求说明书；概要设计说明书；数据及数据库设计要求说明书；详细设计说明书；用户手册；组织系统培训会；系统接口规范等。</w:t>
      </w:r>
      <w:r/>
    </w:p>
    <w:p>
      <w:pPr>
        <w:ind w:firstLine="482"/>
        <w:spacing w:line="360" w:lineRule="auto"/>
        <w:rPr>
          <w:rFonts w:ascii="宋体" w:hAnsi="宋体" w:cs="宋体"/>
          <w:b/>
          <w:sz w:val="24"/>
          <w:szCs w:val="24"/>
        </w:rPr>
        <w:outlineLvl w:val="1"/>
      </w:pPr>
      <w:r/>
      <w:bookmarkStart w:id="200" w:name="_Toc28086"/>
      <w:r>
        <w:rPr>
          <w:rFonts w:hint="eastAsia" w:ascii="宋体" w:hAnsi="宋体" w:cs="宋体"/>
          <w:b/>
          <w:sz w:val="24"/>
          <w:szCs w:val="24"/>
        </w:rPr>
        <w:t xml:space="preserve">十一、违约责任</w:t>
      </w:r>
      <w:bookmarkEnd w:id="200"/>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乙方交付合同标的的标准不符合合同规定及磋商文件规定标准的，甲方有权拒绝接受合同标的，并可单方面解除合同。</w:t>
      </w:r>
      <w:r/>
    </w:p>
    <w:p>
      <w:pPr>
        <w:ind w:firstLine="482"/>
        <w:spacing w:line="360" w:lineRule="auto"/>
        <w:rPr>
          <w:rFonts w:ascii="宋体" w:hAnsi="宋体" w:cs="宋体"/>
          <w:b/>
          <w:sz w:val="24"/>
          <w:szCs w:val="24"/>
        </w:rPr>
        <w:outlineLvl w:val="1"/>
      </w:pPr>
      <w:r/>
      <w:bookmarkStart w:id="201" w:name="_Toc22964"/>
      <w:r>
        <w:rPr>
          <w:rFonts w:hint="eastAsia" w:ascii="宋体" w:hAnsi="宋体" w:cs="宋体"/>
          <w:b/>
          <w:sz w:val="24"/>
          <w:szCs w:val="24"/>
        </w:rPr>
        <w:t xml:space="preserve">十二、供应商合法权益补偿机制</w:t>
      </w:r>
      <w:bookmarkEnd w:id="201"/>
      <w:r/>
      <w:r/>
    </w:p>
    <w:p>
      <w:pPr>
        <w:pStyle w:val="636"/>
        <w:ind w:firstLine="480"/>
        <w:spacing w:line="360" w:lineRule="auto"/>
        <w:rPr>
          <w:rFonts w:ascii="宋体" w:hAnsi="宋体" w:cs="宋体"/>
          <w:sz w:val="24"/>
          <w:szCs w:val="24"/>
        </w:rPr>
      </w:pPr>
      <w:r/>
      <w:bookmarkStart w:id="202" w:name="_Toc23650"/>
      <w:r>
        <w:rPr>
          <w:rFonts w:hint="eastAsia" w:ascii="宋体" w:hAnsi="宋体" w:cs="宋体"/>
          <w:sz w:val="24"/>
          <w:szCs w:val="24"/>
          <w:lang w:val="en-US" w:eastAsia="zh-CN"/>
        </w:rPr>
        <w:t xml:space="preserve">乙方</w:t>
      </w:r>
      <w:r>
        <w:rPr>
          <w:rFonts w:hint="eastAsia" w:ascii="宋体" w:hAnsi="宋体" w:cs="宋体"/>
          <w:sz w:val="24"/>
          <w:szCs w:val="24"/>
        </w:rPr>
        <w:t xml:space="preserve">合法权益补偿救济机制。在履约过程因政策变化、规划调整而无法履行合同约定，造成企业合法权益受损的，</w:t>
      </w:r>
      <w:r>
        <w:rPr>
          <w:rFonts w:hint="eastAsia" w:ascii="宋体" w:hAnsi="宋体" w:cs="宋体"/>
          <w:sz w:val="24"/>
          <w:szCs w:val="24"/>
          <w:lang w:val="en-US" w:eastAsia="zh-CN"/>
        </w:rPr>
        <w:t xml:space="preserve">甲方</w:t>
      </w:r>
      <w:r>
        <w:rPr>
          <w:rFonts w:hint="eastAsia" w:ascii="宋体" w:hAnsi="宋体" w:cs="宋体"/>
          <w:sz w:val="24"/>
          <w:szCs w:val="24"/>
        </w:rPr>
        <w:t xml:space="preserve">依据实际情况对</w:t>
      </w:r>
      <w:r>
        <w:rPr>
          <w:rFonts w:hint="eastAsia" w:ascii="宋体" w:hAnsi="宋体" w:cs="宋体"/>
          <w:sz w:val="24"/>
          <w:szCs w:val="24"/>
          <w:lang w:val="en-US" w:eastAsia="zh-CN"/>
        </w:rPr>
        <w:t xml:space="preserve">乙方</w:t>
      </w:r>
      <w:r>
        <w:rPr>
          <w:rFonts w:hint="eastAsia" w:ascii="宋体" w:hAnsi="宋体" w:cs="宋体"/>
          <w:sz w:val="24"/>
          <w:szCs w:val="24"/>
        </w:rPr>
        <w:t xml:space="preserve">进行补偿救济。</w:t>
      </w:r>
      <w:bookmarkEnd w:id="202"/>
      <w:r/>
      <w:r/>
    </w:p>
    <w:p>
      <w:pPr>
        <w:ind w:firstLine="482"/>
        <w:spacing w:line="360" w:lineRule="auto"/>
        <w:rPr>
          <w:rFonts w:ascii="宋体" w:hAnsi="宋体" w:cs="宋体"/>
          <w:b/>
          <w:sz w:val="24"/>
          <w:szCs w:val="24"/>
        </w:rPr>
        <w:outlineLvl w:val="1"/>
      </w:pPr>
      <w:r/>
      <w:bookmarkStart w:id="203" w:name="_Toc19658"/>
      <w:r>
        <w:rPr>
          <w:rFonts w:hint="eastAsia" w:ascii="宋体" w:hAnsi="宋体" w:cs="宋体"/>
          <w:b/>
          <w:sz w:val="24"/>
          <w:szCs w:val="24"/>
        </w:rPr>
        <w:t xml:space="preserve">十三、不可抗力事件处理</w:t>
      </w:r>
      <w:bookmarkEnd w:id="203"/>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在合同有效期内，任何一方因不可抗力事件导致不能履行合同，则合同履行期可延长，其延长期与不可抗力影响期相同。</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不可抗力事件发生后，应立即通知对方，并寄送有关权威机构出具的证明。</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不可抗力事件延续120天以上，</w:t>
      </w:r>
      <w:r>
        <w:rPr>
          <w:rFonts w:hint="eastAsia"/>
          <w:color w:val="000000"/>
          <w:lang w:val="en-US" w:eastAsia="zh-CN"/>
        </w:rPr>
        <w:t xml:space="preserve">三</w:t>
      </w:r>
      <w:r>
        <w:rPr>
          <w:rFonts w:hint="eastAsia" w:ascii="宋体" w:hAnsi="宋体" w:cs="宋体"/>
          <w:sz w:val="24"/>
          <w:szCs w:val="24"/>
        </w:rPr>
        <w:t xml:space="preserve">方应通过友好协商，确定是否继续履行合同。</w:t>
      </w:r>
      <w:r/>
    </w:p>
    <w:p>
      <w:pPr>
        <w:ind w:firstLine="482"/>
        <w:spacing w:line="360" w:lineRule="auto"/>
        <w:rPr>
          <w:rFonts w:ascii="宋体" w:hAnsi="宋体" w:cs="宋体"/>
          <w:b/>
          <w:sz w:val="24"/>
          <w:szCs w:val="24"/>
        </w:rPr>
        <w:outlineLvl w:val="1"/>
      </w:pPr>
      <w:r/>
      <w:bookmarkStart w:id="204" w:name="_Toc11017"/>
      <w:r>
        <w:rPr>
          <w:rFonts w:hint="eastAsia" w:ascii="宋体" w:hAnsi="宋体" w:cs="宋体"/>
          <w:b/>
          <w:sz w:val="24"/>
          <w:szCs w:val="24"/>
        </w:rPr>
        <w:t xml:space="preserve">十四、解决争议的方法</w:t>
      </w:r>
      <w:bookmarkEnd w:id="204"/>
      <w:r/>
      <w:r/>
    </w:p>
    <w:p>
      <w:pPr>
        <w:ind w:firstLine="480"/>
        <w:spacing w:line="360" w:lineRule="auto"/>
        <w:rPr>
          <w:rFonts w:ascii="宋体" w:hAnsi="宋体" w:cs="宋体"/>
          <w:sz w:val="24"/>
          <w:szCs w:val="24"/>
        </w:rPr>
      </w:pPr>
      <w:r>
        <w:rPr>
          <w:rFonts w:hint="eastAsia"/>
          <w:color w:val="000000"/>
          <w:lang w:val="en-US" w:eastAsia="zh-CN"/>
        </w:rPr>
        <w:t xml:space="preserve">双</w:t>
      </w:r>
      <w:r>
        <w:rPr>
          <w:rFonts w:hint="eastAsia" w:ascii="宋体" w:hAnsi="宋体" w:cs="宋体"/>
          <w:sz w:val="24"/>
          <w:szCs w:val="24"/>
        </w:rPr>
        <w:t xml:space="preserve">方在签订、履行合同中所发生的一切争议，应通过友好协商解决。如协商不成，由甲方住所地人民法院管辖。</w:t>
      </w:r>
      <w:r/>
    </w:p>
    <w:p>
      <w:pPr>
        <w:ind w:firstLine="482"/>
        <w:spacing w:line="360" w:lineRule="auto"/>
        <w:rPr>
          <w:rFonts w:ascii="宋体" w:hAnsi="宋体" w:cs="宋体"/>
          <w:b/>
          <w:sz w:val="24"/>
          <w:szCs w:val="24"/>
        </w:rPr>
        <w:outlineLvl w:val="1"/>
      </w:pPr>
      <w:r/>
      <w:bookmarkStart w:id="205" w:name="_Toc5046"/>
      <w:r>
        <w:rPr>
          <w:rFonts w:hint="eastAsia" w:ascii="宋体" w:hAnsi="宋体" w:cs="宋体"/>
          <w:b/>
          <w:sz w:val="24"/>
          <w:szCs w:val="24"/>
        </w:rPr>
        <w:t xml:space="preserve">十五、合同生效及其它</w:t>
      </w:r>
      <w:bookmarkEnd w:id="205"/>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合同经</w:t>
      </w:r>
      <w:r>
        <w:rPr>
          <w:rFonts w:hint="eastAsia"/>
          <w:color w:val="000000"/>
          <w:lang w:val="en-US" w:eastAsia="zh-CN"/>
        </w:rPr>
        <w:t xml:space="preserve">双</w:t>
      </w:r>
      <w:r>
        <w:rPr>
          <w:rFonts w:hint="eastAsia" w:ascii="宋体" w:hAnsi="宋体" w:cs="宋体"/>
          <w:sz w:val="24"/>
          <w:szCs w:val="24"/>
        </w:rPr>
        <w:t xml:space="preserve">方法定代表人或授权委托代表人签字并加盖单位公章后生效。</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本合同未尽事宜，遵照《中华人民共和国民法典》、《中华人民共和国政府采购法》有关条文执行。</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本合同正本一式</w:t>
      </w:r>
      <w:r>
        <w:rPr>
          <w:rFonts w:hint="eastAsia" w:ascii="宋体" w:hAnsi="宋体" w:eastAsia="宋体" w:cs="宋体"/>
          <w:sz w:val="24"/>
          <w:szCs w:val="24"/>
          <w:lang w:val="en-US" w:eastAsia="zh-CN"/>
        </w:rPr>
        <w:t xml:space="preserve">肆</w:t>
      </w:r>
      <w:r>
        <w:rPr>
          <w:rFonts w:hint="eastAsia" w:ascii="宋体" w:hAnsi="宋体" w:cs="宋体"/>
          <w:sz w:val="24"/>
          <w:szCs w:val="24"/>
        </w:rPr>
        <w:t xml:space="preserve">份，具有同等法律效力。</w:t>
      </w:r>
      <w:r/>
    </w:p>
    <w:p>
      <w:pPr>
        <w:spacing w:line="440" w:lineRule="exact"/>
        <w:rPr>
          <w:rFonts w:ascii="仿宋" w:hAnsi="仿宋" w:eastAsia="仿宋" w:cs="仿宋"/>
          <w:bCs/>
          <w:sz w:val="24"/>
          <w:szCs w:val="24"/>
        </w:rPr>
      </w:pPr>
      <w:r>
        <w:rPr>
          <w:rFonts w:ascii="仿宋" w:hAnsi="仿宋" w:eastAsia="仿宋" w:cs="仿宋"/>
          <w:bCs/>
          <w:sz w:val="24"/>
          <w:szCs w:val="24"/>
        </w:rPr>
      </w:r>
      <w:r/>
    </w:p>
    <w:p>
      <w:pPr>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en-US" w:eastAsia="zh-CN"/>
        </w:rPr>
        <w:t xml:space="preserve">乙</w:t>
      </w:r>
      <w:r>
        <w:rPr>
          <w:rFonts w:hint="eastAsia" w:ascii="宋体" w:hAnsi="宋体" w:cs="仿宋"/>
          <w:b/>
          <w:sz w:val="24"/>
          <w:szCs w:val="24"/>
          <w:lang w:val="zh-CN"/>
        </w:rPr>
        <w:t xml:space="preserve">方</w:t>
      </w:r>
      <w:r>
        <w:rPr>
          <w:rFonts w:hint="eastAsia" w:ascii="宋体" w:hAnsi="宋体" w:cs="仿宋"/>
          <w:sz w:val="24"/>
          <w:szCs w:val="24"/>
        </w:rPr>
        <w:t xml:space="preserve">：</w:t>
      </w:r>
      <w:r/>
    </w:p>
    <w:p>
      <w:pPr>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p>
    <w:p>
      <w:pPr>
        <w:spacing w:line="440" w:lineRule="exact"/>
        <w:rPr>
          <w:rFonts w:ascii="宋体" w:hAnsi="宋体" w:cs="仿宋"/>
          <w:sz w:val="24"/>
          <w:szCs w:val="24"/>
        </w:rPr>
      </w:pPr>
      <w:r>
        <w:rPr>
          <w:rFonts w:hint="eastAsia" w:ascii="宋体" w:hAnsi="宋体" w:cs="仿宋"/>
          <w:sz w:val="24"/>
          <w:szCs w:val="24"/>
          <w:lang w:val="zh-CN"/>
        </w:rPr>
        <w:t xml:space="preserve">电话：                                    电话：</w:t>
      </w:r>
      <w:r/>
    </w:p>
    <w:p>
      <w:pPr>
        <w:spacing w:line="440" w:lineRule="exact"/>
        <w:rPr>
          <w:rFonts w:ascii="宋体" w:hAnsi="宋体" w:cs="仿宋"/>
          <w:sz w:val="24"/>
          <w:szCs w:val="24"/>
        </w:rPr>
      </w:pPr>
      <w:r>
        <w:rPr>
          <w:rFonts w:hint="eastAsia" w:ascii="宋体" w:hAnsi="宋体" w:cs="仿宋"/>
          <w:sz w:val="24"/>
          <w:szCs w:val="24"/>
        </w:rPr>
        <w:t xml:space="preserve">                                          </w:t>
      </w:r>
      <w:r/>
    </w:p>
    <w:p>
      <w:pPr>
        <w:pStyle w:val="638"/>
        <w:ind w:firstLine="200"/>
        <w:rPr>
          <w:rFonts w:eastAsiaTheme="minorEastAsia"/>
        </w:rPr>
      </w:pPr>
      <w:r>
        <w:rPr>
          <w:rFonts w:eastAsiaTheme="minorEastAsia"/>
        </w:rPr>
      </w:r>
      <w:r/>
    </w:p>
    <w:p>
      <w:pPr>
        <w:pStyle w:val="638"/>
        <w:ind w:firstLine="200"/>
        <w:rPr>
          <w:rFonts w:eastAsiaTheme="minorEastAsia"/>
        </w:rPr>
      </w:pPr>
      <w:r>
        <w:rPr>
          <w:rFonts w:eastAsiaTheme="minorEastAsia"/>
        </w:rPr>
      </w:r>
      <w:r/>
    </w:p>
    <w:p>
      <w:pPr>
        <w:rPr>
          <w:rFonts w:hint="eastAsia" w:hAnsi="宋体" w:cs="宋体"/>
          <w:b/>
          <w:sz w:val="28"/>
          <w:szCs w:val="28"/>
        </w:rPr>
      </w:pPr>
      <w:r/>
      <w:bookmarkStart w:id="206" w:name="_Toc331685783"/>
      <w:r>
        <w:rPr>
          <w:rFonts w:hint="eastAsia" w:hAnsi="宋体" w:cs="宋体"/>
          <w:b/>
          <w:sz w:val="28"/>
          <w:szCs w:val="28"/>
        </w:rPr>
        <w:br w:type="page" w:clear="all"/>
      </w:r>
      <w:bookmarkEnd w:id="185"/>
      <w:bookmarkEnd w:id="186"/>
      <w:bookmarkEnd w:id="187"/>
      <w:bookmarkEnd w:id="206"/>
      <w:r/>
    </w:p>
    <w:p>
      <w:r/>
      <w:r/>
    </w:p>
    <w:p>
      <w:pPr>
        <w:pStyle w:val="611"/>
        <w:jc w:val="center"/>
        <w:rPr>
          <w:rFonts w:hint="eastAsia"/>
          <w:b/>
          <w:lang w:val="en-US" w:eastAsia="en-US"/>
        </w:rPr>
      </w:pPr>
      <w:r/>
      <w:bookmarkStart w:id="207" w:name="_Toc4512"/>
      <w:r/>
      <w:bookmarkStart w:id="208" w:name="_Toc26577"/>
      <w:r/>
      <w:bookmarkStart w:id="209" w:name="_Toc23692"/>
      <w:r>
        <w:rPr>
          <w:rFonts w:hint="eastAsia"/>
          <w:b/>
          <w:lang w:val="en-US" w:eastAsia="en-US"/>
        </w:rPr>
        <w:t xml:space="preserve">第五章  </w:t>
      </w:r>
      <w:bookmarkEnd w:id="168"/>
      <w:r/>
      <w:bookmarkEnd w:id="169"/>
      <w:r/>
      <w:bookmarkEnd w:id="174"/>
      <w:r>
        <w:rPr>
          <w:rFonts w:hint="eastAsia"/>
          <w:b/>
          <w:lang w:val="en-US" w:eastAsia="en-US"/>
        </w:rPr>
        <w:t xml:space="preserve">响应文件格式</w:t>
      </w:r>
      <w:bookmarkEnd w:id="207"/>
      <w:r/>
      <w:bookmarkEnd w:id="208"/>
      <w:r/>
      <w:bookmarkEnd w:id="209"/>
      <w:r>
        <w:rPr>
          <w:rFonts w:hint="eastAsia"/>
          <w:b/>
          <w:lang w:val="en-US" w:eastAsia="en-US"/>
        </w:rPr>
        <w:t xml:space="preserve"> </w:t>
      </w:r>
      <w:r/>
    </w:p>
    <w:p>
      <w:pPr>
        <w:jc w:val="center"/>
        <w:rPr>
          <w:rFonts w:hint="eastAsia" w:ascii="宋体" w:hAnsi="宋体"/>
          <w:b/>
          <w:sz w:val="72"/>
          <w:szCs w:val="21"/>
        </w:rPr>
      </w:pPr>
      <w:r/>
      <w:bookmarkStart w:id="210" w:name="_Hlt26955039"/>
      <w:r/>
      <w:bookmarkEnd w:id="210"/>
      <w:r/>
      <w:bookmarkStart w:id="211" w:name="_Hlt26671244"/>
      <w:r/>
      <w:bookmarkEnd w:id="211"/>
      <w:r/>
      <w:bookmarkStart w:id="212" w:name="_Toc26554094"/>
      <w:r/>
      <w:bookmarkStart w:id="213" w:name="_Toc120614282"/>
      <w:r/>
      <w:bookmarkStart w:id="214"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eastAsiaTheme="minorEastAsia"/>
          <w:b/>
          <w:bCs/>
          <w:sz w:val="32"/>
          <w:szCs w:val="32"/>
          <w:lang w:val="en-US" w:eastAsia="zh-CN"/>
        </w:rPr>
      </w:pPr>
      <w:r>
        <w:rPr>
          <w:rFonts w:hint="eastAsia" w:ascii="宋体" w:hAnsi="宋体"/>
          <w:b/>
          <w:bCs/>
          <w:sz w:val="32"/>
          <w:szCs w:val="32"/>
        </w:rPr>
        <w:t xml:space="preserve">响应文件</w:t>
      </w:r>
      <w:r>
        <w:rPr>
          <w:rFonts w:hint="eastAsia" w:ascii="宋体" w:hAnsi="宋体"/>
          <w:b/>
          <w:bCs/>
          <w:sz w:val="32"/>
          <w:szCs w:val="32"/>
          <w:lang w:val="en-US" w:eastAsia="zh-CN"/>
        </w:rPr>
        <w:t xml:space="preserve">内容</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357"/>
        <w:spacing w:line="560" w:lineRule="exact"/>
        <w:rPr>
          <w:rFonts w:hint="eastAsia" w:ascii="宋体" w:hAnsi="宋体"/>
          <w:iCs/>
          <w:sz w:val="24"/>
          <w:szCs w:val="21"/>
        </w:rPr>
      </w:pPr>
      <w:r>
        <w:rPr>
          <w:rFonts w:hint="eastAsia" w:ascii="宋体" w:hAnsi="宋体"/>
          <w:iCs/>
          <w:sz w:val="24"/>
          <w:szCs w:val="21"/>
        </w:rPr>
        <w:t xml:space="preserve">一、协商及声明函</w:t>
      </w:r>
      <w:r/>
    </w:p>
    <w:p>
      <w:pPr>
        <w:ind w:firstLine="357"/>
        <w:spacing w:line="560" w:lineRule="exact"/>
        <w:rPr>
          <w:rFonts w:hint="eastAsia" w:ascii="宋体" w:hAnsi="宋体"/>
          <w:iCs/>
          <w:sz w:val="24"/>
          <w:szCs w:val="21"/>
        </w:rPr>
      </w:pPr>
      <w:r>
        <w:rPr>
          <w:rFonts w:hint="eastAsia" w:ascii="宋体" w:hAnsi="宋体"/>
          <w:iCs/>
          <w:sz w:val="24"/>
          <w:szCs w:val="21"/>
        </w:rPr>
        <w:t xml:space="preserve">二、法人授权书</w:t>
      </w:r>
      <w:r/>
    </w:p>
    <w:p>
      <w:pPr>
        <w:ind w:firstLine="357"/>
        <w:spacing w:line="560" w:lineRule="exact"/>
        <w:rPr>
          <w:rFonts w:hint="eastAsia" w:ascii="宋体" w:hAnsi="宋体"/>
          <w:iCs/>
          <w:sz w:val="24"/>
          <w:szCs w:val="21"/>
        </w:rPr>
      </w:pPr>
      <w:r>
        <w:rPr>
          <w:rFonts w:hint="eastAsia" w:ascii="宋体" w:hAnsi="宋体"/>
          <w:iCs/>
          <w:sz w:val="24"/>
          <w:szCs w:val="21"/>
        </w:rPr>
        <w:t xml:space="preserve">三、报价一览表</w:t>
      </w:r>
      <w:r/>
    </w:p>
    <w:p>
      <w:pPr>
        <w:ind w:firstLine="357"/>
        <w:spacing w:line="560" w:lineRule="exact"/>
        <w:rPr>
          <w:rFonts w:hint="eastAsia" w:ascii="宋体" w:hAnsi="宋体"/>
          <w:iCs/>
          <w:sz w:val="24"/>
          <w:szCs w:val="21"/>
        </w:rPr>
      </w:pPr>
      <w:r>
        <w:rPr>
          <w:rFonts w:hint="eastAsia" w:ascii="宋体" w:hAnsi="宋体"/>
          <w:iCs/>
          <w:sz w:val="24"/>
          <w:szCs w:val="21"/>
        </w:rPr>
        <w:t xml:space="preserve">四、分项报价表</w:t>
      </w:r>
      <w:r/>
    </w:p>
    <w:p>
      <w:pPr>
        <w:ind w:firstLine="357"/>
        <w:spacing w:line="560" w:lineRule="exact"/>
        <w:rPr>
          <w:rFonts w:hint="default" w:ascii="宋体" w:hAnsi="宋体" w:eastAsiaTheme="minorEastAsia"/>
          <w:iCs/>
          <w:sz w:val="24"/>
          <w:szCs w:val="21"/>
          <w:lang w:val="en-US" w:eastAsia="zh-CN"/>
        </w:rPr>
      </w:pPr>
      <w:r>
        <w:rPr>
          <w:rFonts w:hint="eastAsia" w:ascii="宋体" w:hAnsi="宋体"/>
          <w:iCs/>
          <w:sz w:val="24"/>
          <w:szCs w:val="21"/>
          <w:lang w:val="en-US" w:eastAsia="zh-CN"/>
        </w:rPr>
        <w:t xml:space="preserve">五、项目组人员</w:t>
      </w:r>
      <w:r/>
    </w:p>
    <w:p>
      <w:pPr>
        <w:ind w:firstLine="357"/>
        <w:spacing w:line="560" w:lineRule="exact"/>
        <w:rPr>
          <w:rFonts w:hint="eastAsia" w:ascii="宋体" w:hAnsi="宋体"/>
          <w:sz w:val="24"/>
          <w:szCs w:val="21"/>
        </w:rPr>
      </w:pPr>
      <w:r>
        <w:rPr>
          <w:rFonts w:hint="eastAsia" w:ascii="宋体" w:hAnsi="宋体"/>
          <w:sz w:val="24"/>
          <w:szCs w:val="21"/>
          <w:lang w:val="en-US" w:eastAsia="zh-CN"/>
        </w:rPr>
        <w:t xml:space="preserve">六</w:t>
      </w:r>
      <w:r>
        <w:rPr>
          <w:rFonts w:hint="eastAsia" w:ascii="宋体" w:hAnsi="宋体"/>
          <w:sz w:val="24"/>
          <w:szCs w:val="21"/>
        </w:rPr>
        <w:t xml:space="preserve">、承诺函</w:t>
      </w:r>
      <w:r/>
    </w:p>
    <w:p>
      <w:pPr>
        <w:ind w:firstLine="357"/>
        <w:spacing w:line="560" w:lineRule="exact"/>
        <w:rPr>
          <w:rFonts w:hint="default" w:ascii="宋体" w:hAnsi="宋体" w:eastAsiaTheme="minorEastAsia"/>
          <w:sz w:val="24"/>
          <w:szCs w:val="21"/>
          <w:lang w:val="en-US" w:eastAsia="zh-CN"/>
        </w:rPr>
      </w:pPr>
      <w:r>
        <w:rPr>
          <w:rFonts w:hint="eastAsia" w:ascii="宋体" w:hAnsi="宋体"/>
          <w:sz w:val="24"/>
          <w:szCs w:val="21"/>
          <w:lang w:val="en-US" w:eastAsia="zh-CN"/>
        </w:rPr>
        <w:t xml:space="preserve">七、协商所需其他材料</w:t>
      </w:r>
      <w:r/>
    </w:p>
    <w:p>
      <w:pPr>
        <w:ind w:firstLine="480"/>
        <w:spacing w:line="440" w:lineRule="exact"/>
        <w:rPr>
          <w:rFonts w:hint="eastAsia" w:ascii="宋体" w:hAnsi="宋体"/>
          <w:iCs/>
          <w:sz w:val="24"/>
          <w:szCs w:val="21"/>
          <w:u w:val="single"/>
        </w:rPr>
      </w:pPr>
      <w:r>
        <w:rPr>
          <w:rFonts w:hint="eastAsia" w:ascii="宋体" w:hAnsi="宋体"/>
          <w:iCs/>
          <w:sz w:val="24"/>
          <w:szCs w:val="21"/>
          <w:u w:val="single"/>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pStyle w:val="612"/>
        <w:jc w:val="both"/>
        <w:widowControl/>
        <w:rPr>
          <w:rFonts w:hint="eastAsia" w:ascii="黑体" w:hAnsi="黑体" w:eastAsia="黑体" w:cs="Times New Roman"/>
          <w:b w:val="0"/>
          <w:bCs w:val="0"/>
          <w:i/>
          <w:sz w:val="32"/>
          <w:szCs w:val="32"/>
          <w:u w:val="single"/>
        </w:rPr>
      </w:pPr>
      <w:r/>
      <w:bookmarkStart w:id="215" w:name="_Toc27012"/>
      <w:r>
        <w:rPr>
          <w:rFonts w:hint="eastAsia" w:ascii="黑体" w:hAnsi="黑体" w:eastAsia="黑体" w:cs="Times New Roman"/>
          <w:b w:val="0"/>
          <w:bCs w:val="0"/>
          <w:iCs/>
          <w:sz w:val="32"/>
          <w:szCs w:val="32"/>
        </w:rPr>
        <w:t xml:space="preserve">一、协商及声明函</w:t>
      </w:r>
      <w:bookmarkEnd w:id="215"/>
      <w:r/>
      <w:r/>
    </w:p>
    <w:p>
      <w:pPr>
        <w:pStyle w:val="639"/>
        <w:jc w:val="left"/>
        <w:spacing w:line="440" w:lineRule="exact"/>
        <w:widowControl/>
        <w:rPr>
          <w:rFonts w:hint="eastAsia" w:asciiTheme="minorEastAsia" w:hAnsiTheme="minorEastAsia" w:eastAsiaTheme="minorEastAsia" w:cstheme="minorEastAsia"/>
          <w:sz w:val="24"/>
          <w:szCs w:val="24"/>
        </w:rPr>
      </w:pPr>
      <w:r>
        <w:rPr>
          <w:rFonts w:hint="eastAsia" w:eastAsiaTheme="minorEastAsia" w:cstheme="minorBidi"/>
          <w:sz w:val="24"/>
          <w:szCs w:val="24"/>
          <w:u w:val="single"/>
          <w:lang w:eastAsia="zh-CN"/>
        </w:rPr>
        <w:t xml:space="preserve">宿迁市</w:t>
      </w:r>
      <w:r>
        <w:rPr>
          <w:rFonts w:hint="eastAsia" w:eastAsiaTheme="minorEastAsia" w:cstheme="minorBidi"/>
          <w:sz w:val="24"/>
          <w:szCs w:val="24"/>
          <w:u w:val="single"/>
          <w:lang w:val="en-US" w:eastAsia="zh-CN"/>
        </w:rPr>
        <w:t xml:space="preserve">数据局</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根据已收到的项目编号为</w:t>
      </w:r>
      <w:r>
        <w:rPr>
          <w:rFonts w:hint="default" w:ascii="Times New Roman" w:hAnsi="Times New Roman" w:cs="Times New Roman"/>
          <w:sz w:val="24"/>
          <w:szCs w:val="24"/>
          <w:u w:val="single"/>
        </w:rPr>
        <w:t xml:space="preserve">JSZC-321300-JZCG-D2026-0059</w:t>
      </w:r>
      <w:r>
        <w:rPr>
          <w:rFonts w:hint="eastAsia" w:ascii="Times New Roman" w:hAnsi="Times New Roman"/>
          <w:sz w:val="24"/>
          <w:szCs w:val="24"/>
        </w:rPr>
        <w:t xml:space="preserve">号</w:t>
      </w:r>
      <w:r>
        <w:rPr>
          <w:rFonts w:hint="eastAsia" w:ascii="Times New Roman" w:hAnsi="Times New Roman"/>
          <w:sz w:val="24"/>
          <w:szCs w:val="24"/>
          <w:u w:val="single"/>
        </w:rPr>
        <w:t xml:space="preserve"> </w:t>
      </w:r>
      <w:r>
        <w:rPr>
          <w:rFonts w:hint="eastAsia" w:ascii="Times New Roman" w:hAnsi="Times New Roman"/>
          <w:sz w:val="24"/>
          <w:szCs w:val="24"/>
          <w:u w:val="single"/>
          <w:lang w:eastAsia="zh-CN"/>
        </w:rPr>
        <w:t xml:space="preserve">可信数据空间智能底座项目</w:t>
      </w:r>
      <w:r>
        <w:rPr>
          <w:rFonts w:hint="eastAsia" w:asciiTheme="minorEastAsia" w:hAnsiTheme="minorEastAsia" w:cstheme="minorEastAsia"/>
          <w:sz w:val="24"/>
          <w:szCs w:val="24"/>
        </w:rPr>
        <w:t xml:space="preserve">的单一来源协商采购文件，我方在参加本项目协商活动中，特做出如下承诺：</w:t>
      </w:r>
      <w:r/>
    </w:p>
    <w:p>
      <w:pPr>
        <w:pStyle w:val="639"/>
        <w:ind w:firstLine="480"/>
        <w:jc w:val="left"/>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一、我方</w:t>
      </w:r>
      <w:r>
        <w:rPr>
          <w:rFonts w:hint="eastAsia" w:asciiTheme="minorEastAsia" w:hAnsiTheme="minorEastAsia" w:eastAsiaTheme="minorEastAsia" w:cstheme="minorEastAsia"/>
          <w:sz w:val="24"/>
          <w:highlight w:val="white"/>
        </w:rPr>
        <w:t xml:space="preserve">具备《中华人民共和国政府采购法》第二十二条第一款规定的</w:t>
      </w:r>
      <w:r>
        <w:rPr>
          <w:rFonts w:hint="default" w:ascii="Times New Roman" w:hAnsi="Times New Roman" w:cs="Times New Roman" w:eastAsiaTheme="minorEastAsia"/>
          <w:sz w:val="24"/>
          <w:highlight w:val="white"/>
        </w:rPr>
        <w:t xml:space="preserve">6</w:t>
      </w:r>
      <w:r>
        <w:rPr>
          <w:rFonts w:hint="eastAsia" w:asciiTheme="minorEastAsia" w:hAnsiTheme="minorEastAsia" w:eastAsiaTheme="minorEastAsia" w:cstheme="minorEastAsia"/>
          <w:sz w:val="24"/>
          <w:highlight w:val="white"/>
        </w:rPr>
        <w:t xml:space="preserve">项条件；</w:t>
      </w:r>
      <w:r/>
    </w:p>
    <w:p>
      <w:pPr>
        <w:pStyle w:val="63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63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三、我方按采购文件要求提交协商文件，响应采购文件规定的投标有效期；</w:t>
      </w:r>
      <w:r/>
    </w:p>
    <w:p>
      <w:pPr>
        <w:pStyle w:val="63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四、如果我方的协商文件被接受，我方将按《中华人民共和国民法典》及其他有关法律、法规的规定，按期、按质、按量交付采购单位，全面做到履约守信；</w:t>
      </w:r>
      <w:r/>
    </w:p>
    <w:p>
      <w:pPr>
        <w:pStyle w:val="63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63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六、我方同意采购人、采购代理机构将本声明及承诺函上网公开。</w:t>
      </w:r>
      <w:r/>
    </w:p>
    <w:p>
      <w:pPr>
        <w:pStyle w:val="639"/>
        <w:ind w:firstLine="480"/>
        <w:jc w:val="left"/>
        <w:spacing w:line="480" w:lineRule="exact"/>
        <w:widowControl/>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r>
      <w:r/>
    </w:p>
    <w:p>
      <w:pPr>
        <w:pStyle w:val="63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639"/>
        <w:ind w:right="960" w:firstLine="480"/>
        <w:jc w:val="righ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（盖CA电子公章）</w:t>
      </w:r>
      <w:r/>
    </w:p>
    <w:p>
      <w:pPr>
        <w:pStyle w:val="639"/>
        <w:ind w:right="960" w:firstLine="480"/>
        <w:jc w:val="center"/>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年    月   日</w:t>
      </w:r>
      <w:bookmarkEnd w:id="212"/>
      <w:bookmarkEnd w:id="213"/>
      <w:bookmarkEnd w:id="214"/>
      <w:r/>
    </w:p>
    <w:p>
      <w:pPr>
        <w:ind w:firstLine="480"/>
        <w:spacing w:line="440" w:lineRule="exact"/>
        <w:rPr>
          <w:rFonts w:hint="eastAsia" w:ascii="宋体" w:hAnsi="宋体"/>
          <w:sz w:val="24"/>
          <w:szCs w:val="21"/>
        </w:rPr>
      </w:pPr>
      <w:r>
        <w:rPr>
          <w:rFonts w:hint="eastAsia" w:ascii="宋体" w:hAnsi="宋体"/>
          <w:sz w:val="24"/>
          <w:szCs w:val="21"/>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612"/>
        <w:jc w:val="both"/>
        <w:widowControl/>
        <w:rPr>
          <w:rFonts w:hint="eastAsia" w:ascii="黑体" w:hAnsi="黑体" w:eastAsia="黑体" w:cs="Times New Roman"/>
          <w:b w:val="0"/>
          <w:bCs w:val="0"/>
          <w:iCs/>
          <w:sz w:val="32"/>
          <w:szCs w:val="32"/>
        </w:rPr>
      </w:pPr>
      <w:r/>
      <w:bookmarkStart w:id="216" w:name="_Toc16548"/>
      <w:r>
        <w:rPr>
          <w:rFonts w:hint="eastAsia" w:ascii="黑体" w:hAnsi="黑体" w:eastAsia="黑体" w:cs="Times New Roman"/>
          <w:b w:val="0"/>
          <w:bCs w:val="0"/>
          <w:iCs/>
          <w:sz w:val="32"/>
          <w:szCs w:val="32"/>
        </w:rPr>
        <w:t xml:space="preserve">二、法人授权书</w:t>
      </w:r>
      <w:bookmarkEnd w:id="216"/>
      <w:r/>
      <w:r/>
    </w:p>
    <w:p>
      <w:pPr>
        <w:ind w:firstLine="480"/>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default" w:ascii="Times New Roman" w:hAnsi="Times New Roman" w:cs="Times New Roman"/>
          <w:sz w:val="24"/>
          <w:szCs w:val="24"/>
          <w:u w:val="single"/>
        </w:rPr>
        <w:t xml:space="preserve">JSZC-321300-JZCG-D2026-0059</w:t>
      </w:r>
      <w:r>
        <w:rPr>
          <w:rFonts w:hint="eastAsia" w:ascii="Times New Roman" w:hAnsi="Times New Roman"/>
          <w:sz w:val="24"/>
          <w:szCs w:val="24"/>
        </w:rPr>
        <w:t xml:space="preserve">号</w:t>
      </w:r>
      <w:r>
        <w:rPr>
          <w:rFonts w:hint="eastAsia" w:asciiTheme="minorEastAsia" w:hAnsiTheme="minorEastAsia" w:cstheme="minorEastAsia"/>
          <w:sz w:val="24"/>
          <w:szCs w:val="24"/>
          <w:u w:val="single"/>
        </w:rPr>
        <w:t xml:space="preserve"> </w:t>
      </w:r>
      <w:r>
        <w:rPr>
          <w:rFonts w:hint="eastAsia" w:ascii="Times New Roman" w:hAnsi="Times New Roman"/>
          <w:sz w:val="24"/>
          <w:szCs w:val="24"/>
          <w:u w:val="single"/>
          <w:lang w:eastAsia="zh-CN"/>
        </w:rPr>
        <w:t xml:space="preserve">可信数据空间智能底座项目</w:t>
      </w:r>
      <w:r>
        <w:rPr>
          <w:rFonts w:hint="eastAsia" w:asciiTheme="minorEastAsia" w:hAnsiTheme="minorEastAsia" w:cstheme="minorEastAsia"/>
          <w:sz w:val="24"/>
          <w:szCs w:val="24"/>
          <w:u w:val="single"/>
        </w:rPr>
        <w:t xml:space="preserve"> </w:t>
      </w:r>
      <w:r>
        <w:rPr>
          <w:rFonts w:hint="eastAsia" w:ascii="Times New Roman" w:hAnsi="Times New Roman"/>
          <w:sz w:val="24"/>
          <w:szCs w:val="24"/>
        </w:rPr>
        <w:t xml:space="preserve">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ind w:firstLine="20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（盖CA电子公章）</w:t>
      </w:r>
      <w:r>
        <w:rPr>
          <w:rFonts w:hint="eastAsia" w:ascii="Times New Roman" w:hAnsi="Times New Roman"/>
          <w:sz w:val="24"/>
          <w:szCs w:val="24"/>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217" w:name="_格式3__银行出具的资信证明"/>
      <w:r/>
      <w:bookmarkEnd w:id="217"/>
      <w:r/>
      <w:bookmarkStart w:id="218" w:name="_Hlt26955070"/>
      <w:r/>
      <w:bookmarkEnd w:id="218"/>
      <w:r/>
      <w:bookmarkStart w:id="219" w:name="_Hlt26671380"/>
      <w:r/>
      <w:bookmarkEnd w:id="219"/>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rPr>
      </w:pPr>
      <w:r>
        <w:rPr>
          <w:rFonts w:ascii="Times New Roman" w:hAnsi="Times New Roman"/>
          <w:i/>
          <w:sz w:val="24"/>
          <w:szCs w:val="24"/>
          <w:u w:val="single"/>
        </w:rPr>
      </w:r>
      <w:r/>
    </w:p>
    <w:p>
      <w:pPr>
        <w:rPr>
          <w:rFonts w:ascii="Times New Roman" w:hAnsi="Times New Roman"/>
          <w:szCs w:val="21"/>
        </w:rPr>
      </w:pPr>
      <w:r>
        <w:rPr>
          <w:rFonts w:ascii="Times New Roman" w:hAnsi="Times New Roman"/>
          <w:szCs w:val="21"/>
        </w:rPr>
      </w:r>
      <w:r/>
    </w:p>
    <w:p>
      <w:pPr>
        <w:ind w:firstLine="241"/>
        <w:jc w:val="left"/>
        <w:spacing w:line="560" w:lineRule="exact"/>
        <w:rPr>
          <w:rFonts w:hint="eastAsia" w:ascii="宋体" w:hAnsi="宋体"/>
          <w:sz w:val="24"/>
          <w:szCs w:val="24"/>
        </w:rPr>
      </w:pPr>
      <w:r>
        <w:rPr>
          <w:rFonts w:ascii="宋体" w:hAnsi="宋体" w:eastAsia="幼圆" w:cs="Arial"/>
          <w:b/>
          <w:sz w:val="24"/>
          <w:szCs w:val="44"/>
        </w:rPr>
        <w:br w:type="page" w:clear="all"/>
      </w:r>
      <w:r/>
    </w:p>
    <w:p>
      <w:pPr>
        <w:pStyle w:val="612"/>
        <w:jc w:val="both"/>
        <w:widowControl/>
        <w:rPr>
          <w:rFonts w:hint="eastAsia" w:ascii="黑体" w:hAnsi="黑体" w:eastAsia="黑体" w:cs="Times New Roman"/>
          <w:b w:val="0"/>
          <w:bCs w:val="0"/>
          <w:iCs/>
          <w:sz w:val="32"/>
          <w:szCs w:val="32"/>
        </w:rPr>
      </w:pPr>
      <w:r/>
      <w:bookmarkStart w:id="220" w:name="_Toc25549"/>
      <w:r>
        <w:rPr>
          <w:rFonts w:hint="eastAsia" w:ascii="黑体" w:hAnsi="黑体" w:eastAsia="黑体" w:cs="Times New Roman"/>
          <w:b w:val="0"/>
          <w:bCs w:val="0"/>
          <w:iCs/>
          <w:sz w:val="32"/>
          <w:szCs w:val="32"/>
        </w:rPr>
        <w:t xml:space="preserve">三、报价一览表</w:t>
      </w:r>
      <w:bookmarkEnd w:id="220"/>
      <w:r/>
      <w:r/>
    </w:p>
    <w:p>
      <w:pPr>
        <w:pStyle w:val="640"/>
        <w:rPr>
          <w:rFonts w:eastAsiaTheme="minorEastAsia" w:cstheme="minorBidi"/>
        </w:rPr>
      </w:pPr>
      <w:r>
        <w:rPr>
          <w:rFonts w:hint="eastAsia" w:eastAsiaTheme="minorEastAsia" w:cstheme="minorBidi"/>
        </w:rPr>
        <w:t xml:space="preserve">投标人全称(CA公章) : 供应商名称</w:t>
      </w:r>
      <w:r/>
    </w:p>
    <w:p>
      <w:pPr>
        <w:spacing w:line="560" w:lineRule="exact"/>
        <w:rPr>
          <w:rFonts w:hint="eastAsia" w:ascii="Times New Roman" w:hAnsi="Times New Roman" w:eastAsiaTheme="minorEastAsia"/>
          <w:sz w:val="24"/>
          <w:szCs w:val="24"/>
          <w:lang w:eastAsia="zh-CN"/>
        </w:rPr>
      </w:pPr>
      <w:r>
        <w:rPr>
          <w:rFonts w:hint="eastAsia" w:ascii="Times New Roman" w:hAnsi="Times New Roman"/>
          <w:sz w:val="24"/>
          <w:szCs w:val="24"/>
        </w:rPr>
        <w:t xml:space="preserve">采购项目名称：</w:t>
      </w:r>
      <w:r>
        <w:rPr>
          <w:rFonts w:hint="eastAsia" w:ascii="Times New Roman" w:hAnsi="Times New Roman" w:eastAsia="宋体"/>
          <w:sz w:val="24"/>
          <w:szCs w:val="24"/>
          <w:lang w:eastAsia="zh-CN"/>
        </w:rPr>
        <w:t xml:space="preserve">可信数据空间智能底座项目</w:t>
      </w:r>
      <w:r/>
    </w:p>
    <w:p>
      <w:pPr>
        <w:spacing w:line="500" w:lineRule="exact"/>
        <w:rPr>
          <w:rFonts w:hint="default" w:ascii="Times New Roman" w:hAnsi="Times New Roman" w:eastAsiaTheme="minorEastAsia"/>
          <w:sz w:val="24"/>
          <w:szCs w:val="24"/>
          <w:lang w:val="en-US" w:eastAsia="zh-CN"/>
        </w:rPr>
      </w:pPr>
      <w:r>
        <w:rPr>
          <w:rFonts w:hint="eastAsia" w:ascii="Times New Roman" w:hAnsi="Times New Roman"/>
          <w:sz w:val="24"/>
          <w:szCs w:val="24"/>
        </w:rPr>
        <w:t xml:space="preserve">采购项目编号：</w:t>
      </w:r>
      <w:r>
        <w:rPr>
          <w:rFonts w:hint="default" w:ascii="Times New Roman" w:hAnsi="Times New Roman" w:cs="Times New Roman"/>
          <w:sz w:val="24"/>
          <w:szCs w:val="24"/>
          <w:u w:val="single"/>
        </w:rPr>
        <w:t xml:space="preserve">JSZC-321300-JZCG-D2026-0059</w:t>
      </w:r>
      <w:r/>
    </w:p>
    <w:p>
      <w:pPr>
        <w:spacing w:line="560" w:lineRule="exact"/>
        <w:rPr>
          <w:rFonts w:ascii="Times New Roman" w:hAnsi="Times New Roman"/>
          <w:sz w:val="24"/>
          <w:szCs w:val="24"/>
        </w:rPr>
      </w:pPr>
      <w:r>
        <w:rPr>
          <w:rFonts w:ascii="Times New Roman" w:hAnsi="Times New Roman"/>
          <w:sz w:val="24"/>
          <w:szCs w:val="24"/>
        </w:rPr>
        <w:t xml:space="preserve">采购包号：分包号 </w:t>
      </w:r>
      <w:r/>
    </w:p>
    <w:tbl>
      <w:tblPr>
        <w:tblStyle w:val="616"/>
        <w:tblW w:w="477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7966"/>
      </w:tblGrid>
      <w:tr>
        <w:trPr>
          <w:trHeight w:val="46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641"/>
              <w:jc w:val="center"/>
              <w:rPr>
                <w:rFonts w:ascii="Times New Roman" w:hAnsi="Times New Roman" w:eastAsiaTheme="minorEastAsia" w:cstheme="minorBidi"/>
                <w:b w:val="0"/>
                <w:sz w:val="24"/>
              </w:rPr>
              <w:outlineLvl w:val="1"/>
            </w:pPr>
            <w:r/>
            <w:bookmarkStart w:id="221" w:name="_Toc29156"/>
            <w:r>
              <w:rPr>
                <w:rFonts w:ascii="Times New Roman" w:hAnsi="Times New Roman" w:eastAsiaTheme="minorEastAsia" w:cstheme="minorBidi"/>
                <w:b w:val="0"/>
                <w:sz w:val="24"/>
              </w:rPr>
              <w:t xml:space="preserve">投标总报价</w:t>
            </w:r>
            <w:bookmarkEnd w:id="221"/>
            <w:r/>
            <w:r/>
          </w:p>
        </w:tc>
      </w:tr>
      <w:tr>
        <w:trPr>
          <w:trHeight w:val="51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641"/>
              <w:rPr>
                <w:rFonts w:ascii="Times New Roman" w:hAnsi="Times New Roman" w:eastAsiaTheme="minorEastAsia" w:cstheme="minorBidi"/>
                <w:b w:val="0"/>
                <w:sz w:val="24"/>
              </w:rPr>
              <w:outlineLvl w:val="1"/>
            </w:pPr>
            <w:r/>
            <w:bookmarkStart w:id="222" w:name="_Toc19806"/>
            <w:r>
              <w:rPr>
                <w:rFonts w:ascii="Times New Roman" w:hAnsi="Times New Roman" w:eastAsiaTheme="minorEastAsia" w:cstheme="minorBidi"/>
                <w:b w:val="0"/>
                <w:sz w:val="24"/>
              </w:rPr>
              <w:t xml:space="preserve">小写：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bookmarkEnd w:id="222"/>
            <w:r/>
            <w:r/>
          </w:p>
        </w:tc>
      </w:tr>
      <w:tr>
        <w:trPr>
          <w:trHeight w:val="52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641"/>
              <w:rPr>
                <w:rFonts w:ascii="Times New Roman" w:hAnsi="Times New Roman" w:eastAsiaTheme="minorEastAsia" w:cstheme="minorBidi"/>
                <w:b w:val="0"/>
                <w:sz w:val="24"/>
              </w:rPr>
              <w:outlineLvl w:val="1"/>
            </w:pPr>
            <w:r/>
            <w:bookmarkStart w:id="223" w:name="_Toc9313"/>
            <w:r>
              <w:rPr>
                <w:rFonts w:ascii="Times New Roman" w:hAnsi="Times New Roman" w:eastAsiaTheme="minorEastAsia" w:cstheme="minorBidi"/>
                <w:b w:val="0"/>
                <w:sz w:val="24"/>
              </w:rPr>
              <w:t xml:space="preserve">大写：金额大写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bookmarkEnd w:id="223"/>
            <w:r/>
            <w:r/>
          </w:p>
        </w:tc>
      </w:tr>
    </w:tbl>
    <w:p>
      <w:r>
        <w:t xml:space="preserve"> </w:t>
      </w:r>
      <w:r/>
    </w:p>
    <w:p>
      <w:pPr>
        <w:pStyle w:val="618"/>
        <w:jc w:val="right"/>
        <w:rPr>
          <w:rFonts w:ascii="Times New Roman" w:hAnsi="Times New Roman" w:eastAsiaTheme="minorEastAsia" w:cstheme="minorBidi"/>
          <w:sz w:val="24"/>
          <w:szCs w:val="24"/>
        </w:rPr>
      </w:pPr>
      <w:r>
        <w:rPr>
          <w:rFonts w:ascii="Times New Roman" w:hAnsi="Times New Roman" w:eastAsiaTheme="minorEastAsia" w:cstheme="minorBidi"/>
          <w:sz w:val="24"/>
          <w:szCs w:val="24"/>
        </w:rPr>
        <w:t xml:space="preserve">日期： 年 月 日</w:t>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pStyle w:val="612"/>
        <w:jc w:val="both"/>
        <w:widowControl/>
        <w:rPr>
          <w:rFonts w:hint="eastAsia" w:ascii="宋体" w:hAnsi="宋体"/>
          <w:sz w:val="32"/>
          <w:szCs w:val="32"/>
        </w:rPr>
      </w:pPr>
      <w:r/>
      <w:bookmarkStart w:id="224" w:name="_Toc13040"/>
      <w:r>
        <w:rPr>
          <w:rFonts w:hint="eastAsia" w:ascii="黑体" w:hAnsi="黑体" w:eastAsia="黑体" w:cs="Times New Roman"/>
          <w:b w:val="0"/>
          <w:bCs w:val="0"/>
          <w:iCs/>
          <w:sz w:val="32"/>
          <w:szCs w:val="32"/>
        </w:rPr>
        <w:t xml:space="preserve">四、分项报价表</w:t>
      </w:r>
      <w:bookmarkEnd w:id="224"/>
      <w:r/>
      <w:r/>
    </w:p>
    <w:tbl>
      <w:tblPr>
        <w:tblStyle w:val="616"/>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725"/>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1016"/>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 报价采用总承包方式，供应商的报价应包括采购人需求的服务（包含与服务相关的货物）价格、质量保证费用等费用，项目在指定地点、环境服务、交付、安装、调试、验收所需费用和所有相关税金费用及为完成整个项目所产生的其它所有费用。</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12"/>
        <w:jc w:val="both"/>
        <w:widowControl/>
        <w:rPr>
          <w:rFonts w:hint="eastAsia" w:ascii="黑体" w:hAnsi="黑体" w:eastAsia="黑体" w:cs="Times New Roman"/>
          <w:b w:val="0"/>
          <w:bCs w:val="0"/>
          <w:iCs/>
          <w:sz w:val="32"/>
          <w:szCs w:val="32"/>
          <w:highlight w:val="none"/>
          <w:lang w:val="en-US" w:eastAsia="zh-CN"/>
        </w:rPr>
      </w:pPr>
      <w:r/>
      <w:bookmarkStart w:id="225" w:name="_Toc7344"/>
      <w:r>
        <w:rPr>
          <w:rFonts w:hint="eastAsia" w:ascii="黑体" w:hAnsi="黑体" w:eastAsia="黑体" w:cs="Times New Roman"/>
          <w:b w:val="0"/>
          <w:bCs w:val="0"/>
          <w:iCs/>
          <w:sz w:val="32"/>
          <w:szCs w:val="32"/>
          <w:lang w:val="en-US" w:eastAsia="zh-CN"/>
        </w:rPr>
        <w:t xml:space="preserve">五、项目组人员</w:t>
      </w:r>
      <w:bookmarkEnd w:id="225"/>
      <w:r/>
      <w:r/>
    </w:p>
    <w:tbl>
      <w:tblPr>
        <w:tblStyle w:val="616"/>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default" w:ascii="宋体" w:hAnsi="宋体" w:eastAsia="宋体" w:cs="宋体"/>
                <w:color w:val="000000"/>
                <w:sz w:val="20"/>
                <w:szCs w:val="20"/>
                <w:highlight w:val="none"/>
                <w:lang w:val="en-US" w:eastAsia="zh-CN" w:bidi="ar-SA"/>
              </w:rPr>
            </w:pPr>
            <w:r>
              <w:rPr>
                <w:rFonts w:hint="eastAsia" w:ascii="宋体" w:hAnsi="宋体" w:eastAsia="宋体" w:cs="宋体"/>
                <w:color w:val="000000"/>
                <w:sz w:val="28"/>
                <w:szCs w:val="28"/>
                <w:highlight w:val="none"/>
                <w:lang w:val="en-US" w:eastAsia="zh-CN" w:bidi="ar"/>
              </w:rPr>
              <w:t xml:space="preserve">项目负责人</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bl>
    <w:p>
      <w:pPr>
        <w:ind w:firstLine="398"/>
        <w:jc w:val="left"/>
        <w:spacing w:before="100" w:beforeAutospacing="1" w:after="100" w:afterAutospacing="1"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注：项目组成员必须按本表承诺人员操作，不得随意更换。</w:t>
      </w:r>
      <w:r/>
    </w:p>
    <w:p>
      <w:pPr>
        <w:rPr>
          <w:rFonts w:hint="eastAsia" w:ascii="黑体" w:hAnsi="黑体" w:eastAsia="黑体" w:cs="Times New Roman"/>
          <w:b w:val="0"/>
          <w:bCs w:val="0"/>
          <w:iCs/>
          <w:sz w:val="32"/>
          <w:szCs w:val="32"/>
          <w:lang w:val="en-US" w:eastAsia="zh-CN"/>
        </w:rPr>
      </w:pPr>
      <w:r/>
      <w:bookmarkStart w:id="226" w:name="_Toc28312"/>
      <w:r>
        <w:rPr>
          <w:rFonts w:hint="eastAsia" w:ascii="黑体" w:hAnsi="黑体" w:eastAsia="黑体" w:cs="Times New Roman"/>
          <w:b w:val="0"/>
          <w:bCs w:val="0"/>
          <w:iCs/>
          <w:sz w:val="32"/>
          <w:szCs w:val="32"/>
          <w:lang w:val="en-US" w:eastAsia="zh-CN"/>
        </w:rPr>
        <w:br w:type="page" w:clear="all"/>
      </w:r>
      <w:r/>
    </w:p>
    <w:p>
      <w:pPr>
        <w:pStyle w:val="612"/>
        <w:jc w:val="both"/>
        <w:widowControl/>
        <w:rPr>
          <w:rFonts w:hint="default"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t xml:space="preserve">六、承诺函</w:t>
      </w:r>
      <w:bookmarkEnd w:id="226"/>
      <w:r/>
      <w:r/>
    </w:p>
    <w:p>
      <w:pPr>
        <w:spacing w:line="480" w:lineRule="exact"/>
        <w:rPr>
          <w:rFonts w:hint="eastAsia" w:ascii="宋体" w:hAnsi="宋体"/>
          <w:b/>
          <w:bCs/>
          <w:sz w:val="24"/>
          <w:szCs w:val="24"/>
        </w:rPr>
      </w:pPr>
      <w:r>
        <w:rPr>
          <w:rFonts w:hint="eastAsia" w:ascii="Times New Roman" w:hAnsi="Times New Roman"/>
          <w:sz w:val="24"/>
          <w:szCs w:val="24"/>
          <w:u w:val="single"/>
          <w:lang w:eastAsia="zh-CN"/>
        </w:rPr>
        <w:t xml:space="preserve">宿迁市数据局</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ascii="宋体" w:hAnsi="宋体"/>
          <w:sz w:val="24"/>
          <w:szCs w:val="24"/>
        </w:rPr>
        <w:t xml:space="preserve">根据</w:t>
      </w:r>
      <w:r>
        <w:rPr>
          <w:rFonts w:hint="default" w:ascii="Times New Roman" w:hAnsi="Times New Roman" w:cs="Times New Roman"/>
          <w:sz w:val="24"/>
          <w:szCs w:val="24"/>
          <w:u w:val="single"/>
        </w:rPr>
        <w:t xml:space="preserve">JSZC-321300-JZCG-D2026-0059</w:t>
      </w:r>
      <w:r>
        <w:rPr>
          <w:rFonts w:hint="eastAsia" w:ascii="Times New Roman" w:hAnsi="Times New Roman"/>
          <w:sz w:val="24"/>
          <w:szCs w:val="24"/>
        </w:rPr>
        <w:t xml:space="preserve">号</w:t>
      </w:r>
      <w:r>
        <w:rPr>
          <w:rFonts w:hint="eastAsia" w:ascii="Times New Roman" w:hAnsi="Times New Roman"/>
          <w:sz w:val="24"/>
          <w:szCs w:val="24"/>
          <w:u w:val="single"/>
          <w:lang w:eastAsia="zh-CN"/>
        </w:rPr>
        <w:t xml:space="preserve">可信数据空间智能底座项目</w:t>
      </w:r>
      <w:r>
        <w:rPr>
          <w:rFonts w:ascii="宋体" w:hAnsi="宋体"/>
          <w:sz w:val="24"/>
          <w:szCs w:val="24"/>
        </w:rPr>
        <w:t xml:space="preserve">单一来源采购文件相关要求承诺如下：</w:t>
      </w:r>
      <w:r/>
    </w:p>
    <w:p>
      <w:pPr>
        <w:ind w:firstLine="480"/>
        <w:spacing w:line="480" w:lineRule="exact"/>
        <w:rPr>
          <w:rFonts w:hint="eastAsia" w:ascii="宋体" w:hAnsi="宋体"/>
          <w:sz w:val="24"/>
          <w:szCs w:val="24"/>
        </w:rPr>
      </w:pPr>
      <w:r>
        <w:rPr>
          <w:rFonts w:ascii="宋体" w:hAnsi="宋体"/>
          <w:sz w:val="24"/>
          <w:szCs w:val="24"/>
        </w:rPr>
        <w:t xml:space="preserve">完全响应本项目</w:t>
      </w:r>
      <w:r>
        <w:rPr>
          <w:rFonts w:hint="eastAsia" w:ascii="宋体" w:hAnsi="宋体"/>
          <w:sz w:val="24"/>
          <w:szCs w:val="24"/>
        </w:rPr>
        <w:t xml:space="preserve">“第三章  </w:t>
      </w:r>
      <w:r>
        <w:rPr>
          <w:rFonts w:ascii="宋体" w:hAnsi="宋体"/>
          <w:sz w:val="24"/>
          <w:szCs w:val="24"/>
        </w:rPr>
        <w:t xml:space="preserve">采购需求</w:t>
      </w:r>
      <w:r>
        <w:rPr>
          <w:rFonts w:hint="eastAsia" w:ascii="宋体" w:hAnsi="宋体"/>
          <w:sz w:val="24"/>
          <w:szCs w:val="24"/>
        </w:rPr>
        <w:t xml:space="preserve">”</w:t>
      </w:r>
      <w:r>
        <w:rPr>
          <w:rFonts w:hint="eastAsia" w:ascii="宋体" w:hAnsi="宋体" w:eastAsia="宋体"/>
          <w:sz w:val="24"/>
          <w:szCs w:val="24"/>
          <w:lang w:val="en-US" w:eastAsia="zh-CN"/>
        </w:rPr>
        <w:t xml:space="preserve">的</w:t>
      </w:r>
      <w:r>
        <w:rPr>
          <w:rFonts w:hint="eastAsia" w:ascii="宋体" w:hAnsi="宋体"/>
          <w:sz w:val="24"/>
          <w:szCs w:val="24"/>
        </w:rPr>
        <w:t xml:space="preserve">内容</w:t>
      </w:r>
      <w:r>
        <w:rPr>
          <w:rFonts w:ascii="宋体" w:hAnsi="宋体"/>
          <w:sz w:val="24"/>
          <w:szCs w:val="24"/>
        </w:rPr>
        <w:t xml:space="preserve">。如我单位成交，将无条件响应</w:t>
      </w:r>
      <w:r>
        <w:rPr>
          <w:rFonts w:hint="eastAsia" w:ascii="宋体" w:hAnsi="宋体" w:eastAsia="宋体"/>
          <w:sz w:val="24"/>
          <w:szCs w:val="24"/>
          <w:lang w:eastAsia="zh-CN"/>
        </w:rPr>
        <w:t xml:space="preserve">并</w:t>
      </w:r>
      <w:r>
        <w:rPr>
          <w:rFonts w:ascii="宋体" w:hAnsi="宋体"/>
          <w:sz w:val="24"/>
          <w:szCs w:val="24"/>
        </w:rPr>
        <w:t xml:space="preserve">实施。</w:t>
      </w:r>
      <w:r/>
    </w:p>
    <w:p>
      <w:pPr>
        <w:ind w:firstLine="480"/>
        <w:jc w:val="left"/>
        <w:spacing w:line="480" w:lineRule="exact"/>
        <w:rPr>
          <w:rFonts w:hint="eastAsia" w:ascii="宋体" w:hAnsi="宋体"/>
          <w:sz w:val="24"/>
          <w:szCs w:val="24"/>
        </w:rPr>
      </w:pPr>
      <w:r>
        <w:rPr>
          <w:rFonts w:ascii="宋体" w:hAnsi="宋体"/>
          <w:sz w:val="24"/>
          <w:szCs w:val="24"/>
        </w:rPr>
        <w:t xml:space="preserve">特此承诺。 </w:t>
      </w:r>
      <w:r/>
    </w:p>
    <w:p>
      <w:pPr>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jc w:val="right"/>
        <w:spacing w:line="48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盖CA电子公章</w:t>
      </w:r>
      <w:r>
        <w:rPr>
          <w:rFonts w:ascii="宋体" w:hAnsi="宋体"/>
          <w:sz w:val="24"/>
          <w:szCs w:val="24"/>
        </w:rPr>
        <w:t xml:space="preserve">）：</w:t>
      </w:r>
      <w:r>
        <w:rPr>
          <w:rFonts w:hint="eastAsia" w:ascii="宋体" w:hAnsi="宋体"/>
          <w:sz w:val="24"/>
          <w:szCs w:val="24"/>
        </w:rPr>
        <w:t xml:space="preserve">   </w:t>
      </w:r>
      <w:r/>
    </w:p>
    <w:p>
      <w:pPr>
        <w:rPr>
          <w:rFonts w:hint="eastAsia" w:ascii="宋体" w:hAnsi="宋体"/>
          <w:sz w:val="24"/>
          <w:szCs w:val="24"/>
        </w:rPr>
      </w:pPr>
      <w:r>
        <w:rPr>
          <w:rFonts w:hint="eastAsia" w:ascii="宋体" w:hAnsi="宋体"/>
          <w:sz w:val="24"/>
          <w:szCs w:val="24"/>
        </w:rPr>
        <w:br w:type="page" w:clear="all"/>
      </w:r>
      <w:r/>
    </w:p>
    <w:p>
      <w:pPr>
        <w:pStyle w:val="612"/>
        <w:jc w:val="both"/>
        <w:widowControl/>
        <w:rPr>
          <w:rFonts w:hint="eastAsia" w:ascii="黑体" w:hAnsi="黑体" w:eastAsia="黑体" w:cs="Times New Roman"/>
          <w:b w:val="0"/>
          <w:bCs w:val="0"/>
          <w:iCs/>
          <w:sz w:val="32"/>
          <w:szCs w:val="32"/>
          <w:lang w:val="en-US" w:eastAsia="zh-CN"/>
        </w:rPr>
      </w:pPr>
      <w:r/>
      <w:bookmarkStart w:id="227" w:name="_Toc7448"/>
      <w:r>
        <w:rPr>
          <w:rFonts w:hint="eastAsia" w:ascii="黑体" w:hAnsi="黑体" w:eastAsia="黑体" w:cs="Times New Roman"/>
          <w:b w:val="0"/>
          <w:bCs w:val="0"/>
          <w:iCs/>
          <w:sz w:val="32"/>
          <w:szCs w:val="32"/>
          <w:lang w:val="en-US" w:eastAsia="zh-CN"/>
        </w:rPr>
        <w:t xml:space="preserve">七、协商所需其他材料</w:t>
      </w:r>
      <w:bookmarkEnd w:id="227"/>
      <w:r/>
      <w:r/>
    </w:p>
    <w:p>
      <w:pPr>
        <w:pStyle w:val="642"/>
        <w:ind w:firstLine="420"/>
        <w:spacing w:line="480" w:lineRule="exact"/>
        <w:rPr>
          <w:color w:val="000000"/>
          <w:sz w:val="24"/>
          <w:szCs w:val="24"/>
        </w:rPr>
      </w:pPr>
      <w:r>
        <w:rPr>
          <w:rFonts w:hint="eastAsia"/>
          <w:color w:val="000000"/>
          <w:sz w:val="24"/>
          <w:szCs w:val="24"/>
        </w:rPr>
        <w:t xml:space="preserve">请在此文档中增加投标所需其他相关内容（包括采购需求中涉及的证件证明及其它投标人认为有必要提供的资料），如没有请将此空文档上传。</w:t>
      </w:r>
      <w:r/>
    </w:p>
    <w:p>
      <w:pPr>
        <w:pStyle w:val="617"/>
        <w:rPr>
          <w:rFonts w:hint="default"/>
          <w:lang w:val="en-US" w:eastAsia="zh-CN"/>
        </w:rPr>
      </w:pPr>
      <w:r>
        <w:rPr>
          <w:rFonts w:hint="default"/>
          <w:lang w:val="en-US" w:eastAsia="zh-CN"/>
        </w:rPr>
      </w:r>
      <w:r/>
    </w:p>
    <w:p>
      <w:pPr>
        <w:ind w:firstLine="480"/>
        <w:jc w:val="right"/>
        <w:spacing w:line="480" w:lineRule="exact"/>
        <w:rPr>
          <w:rFonts w:hint="eastAsia" w:ascii="宋体" w:hAnsi="宋体"/>
          <w:sz w:val="24"/>
          <w:szCs w:val="24"/>
        </w:rPr>
      </w:pPr>
      <w:r>
        <w:rPr>
          <w:rFonts w:hint="eastAsia" w:ascii="宋体" w:hAnsi="宋体"/>
          <w:sz w:val="24"/>
          <w:szCs w:val="24"/>
        </w:rPr>
        <w:t xml:space="preserve"> </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Symbol">
    <w:panose1 w:val="05050102010706020507"/>
  </w:font>
  <w:font w:name="Wingdings">
    <w:panose1 w:val="05000000000000000000"/>
  </w:font>
  <w:font w:name="方正仿宋_GBK">
    <w:panose1 w:val="020B0503020202020204"/>
  </w:font>
  <w:font w:name="Calibri">
    <w:panose1 w:val="020F0502020204030204"/>
  </w:font>
  <w:font w:name="Courier New">
    <w:panose1 w:val="02070309020205020404"/>
  </w:font>
  <w:font w:name="宋体">
    <w:panose1 w:val="02010600030101010101"/>
  </w:font>
  <w:font w:name="Times New Roman">
    <w:panose1 w:val="02020603050405020304"/>
  </w:font>
  <w:font w:name="仿宋_GB2312">
    <w:panose1 w:val="02010609060101010101"/>
  </w:font>
  <w:font w:name="黑体">
    <w:panose1 w:val="02010609060101010101"/>
  </w:font>
  <w:font w:name="幼圆">
    <w:panose1 w:val="020105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15"/>
    <w:link w:val="611"/>
    <w:uiPriority w:val="9"/>
    <w:rPr>
      <w:rFonts w:ascii="Arial" w:hAnsi="Arial" w:eastAsia="Arial" w:cs="Arial"/>
      <w:sz w:val="40"/>
      <w:szCs w:val="40"/>
    </w:rPr>
  </w:style>
  <w:style w:type="character" w:styleId="15">
    <w:name w:val="Heading 2 Char"/>
    <w:basedOn w:val="615"/>
    <w:link w:val="612"/>
    <w:uiPriority w:val="9"/>
    <w:rPr>
      <w:rFonts w:ascii="Arial" w:hAnsi="Arial" w:eastAsia="Arial" w:cs="Arial"/>
      <w:sz w:val="34"/>
    </w:rPr>
  </w:style>
  <w:style w:type="character" w:styleId="17">
    <w:name w:val="Heading 3 Char"/>
    <w:basedOn w:val="615"/>
    <w:link w:val="613"/>
    <w:uiPriority w:val="9"/>
    <w:rPr>
      <w:rFonts w:ascii="Arial" w:hAnsi="Arial" w:eastAsia="Arial" w:cs="Arial"/>
      <w:sz w:val="30"/>
      <w:szCs w:val="30"/>
    </w:rPr>
  </w:style>
  <w:style w:type="character" w:styleId="19">
    <w:name w:val="Heading 4 Char"/>
    <w:basedOn w:val="615"/>
    <w:link w:val="614"/>
    <w:uiPriority w:val="9"/>
    <w:rPr>
      <w:rFonts w:ascii="Arial" w:hAnsi="Arial" w:eastAsia="Arial" w:cs="Arial"/>
      <w:b/>
      <w:bCs/>
      <w:sz w:val="26"/>
      <w:szCs w:val="26"/>
    </w:rPr>
  </w:style>
  <w:style w:type="paragraph" w:styleId="20">
    <w:name w:val="Heading 5"/>
    <w:basedOn w:val="610"/>
    <w:next w:val="6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5"/>
    <w:link w:val="20"/>
    <w:uiPriority w:val="9"/>
    <w:rPr>
      <w:rFonts w:ascii="Arial" w:hAnsi="Arial" w:eastAsia="Arial" w:cs="Arial"/>
      <w:b/>
      <w:bCs/>
      <w:sz w:val="24"/>
      <w:szCs w:val="24"/>
    </w:rPr>
  </w:style>
  <w:style w:type="paragraph" w:styleId="22">
    <w:name w:val="Heading 6"/>
    <w:basedOn w:val="610"/>
    <w:next w:val="6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5"/>
    <w:link w:val="22"/>
    <w:uiPriority w:val="9"/>
    <w:rPr>
      <w:rFonts w:ascii="Arial" w:hAnsi="Arial" w:eastAsia="Arial" w:cs="Arial"/>
      <w:b/>
      <w:bCs/>
      <w:sz w:val="22"/>
      <w:szCs w:val="22"/>
    </w:rPr>
  </w:style>
  <w:style w:type="paragraph" w:styleId="24">
    <w:name w:val="Heading 7"/>
    <w:basedOn w:val="610"/>
    <w:next w:val="6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5"/>
    <w:link w:val="24"/>
    <w:uiPriority w:val="9"/>
    <w:rPr>
      <w:rFonts w:ascii="Arial" w:hAnsi="Arial" w:eastAsia="Arial" w:cs="Arial"/>
      <w:b/>
      <w:bCs/>
      <w:i/>
      <w:iCs/>
      <w:sz w:val="22"/>
      <w:szCs w:val="22"/>
    </w:rPr>
  </w:style>
  <w:style w:type="paragraph" w:styleId="26">
    <w:name w:val="Heading 8"/>
    <w:basedOn w:val="610"/>
    <w:next w:val="6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5"/>
    <w:link w:val="26"/>
    <w:uiPriority w:val="9"/>
    <w:rPr>
      <w:rFonts w:ascii="Arial" w:hAnsi="Arial" w:eastAsia="Arial" w:cs="Arial"/>
      <w:i/>
      <w:iCs/>
      <w:sz w:val="22"/>
      <w:szCs w:val="22"/>
    </w:rPr>
  </w:style>
  <w:style w:type="paragraph" w:styleId="28">
    <w:name w:val="Heading 9"/>
    <w:basedOn w:val="610"/>
    <w:next w:val="6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10"/>
    <w:next w:val="610"/>
    <w:link w:val="34"/>
    <w:uiPriority w:val="10"/>
    <w:qFormat/>
    <w:pPr>
      <w:contextualSpacing/>
      <w:spacing w:before="300" w:after="200"/>
    </w:pPr>
    <w:rPr>
      <w:sz w:val="48"/>
      <w:szCs w:val="48"/>
    </w:rPr>
  </w:style>
  <w:style w:type="character" w:styleId="34">
    <w:name w:val="Title Char"/>
    <w:basedOn w:val="615"/>
    <w:link w:val="33"/>
    <w:uiPriority w:val="10"/>
    <w:rPr>
      <w:sz w:val="48"/>
      <w:szCs w:val="48"/>
    </w:rPr>
  </w:style>
  <w:style w:type="paragraph" w:styleId="35">
    <w:name w:val="Subtitle"/>
    <w:basedOn w:val="610"/>
    <w:next w:val="610"/>
    <w:link w:val="36"/>
    <w:uiPriority w:val="11"/>
    <w:qFormat/>
    <w:pPr>
      <w:spacing w:before="200" w:after="200"/>
    </w:pPr>
    <w:rPr>
      <w:sz w:val="24"/>
      <w:szCs w:val="24"/>
    </w:rPr>
  </w:style>
  <w:style w:type="character" w:styleId="36">
    <w:name w:val="Subtitle Char"/>
    <w:basedOn w:val="615"/>
    <w:link w:val="35"/>
    <w:uiPriority w:val="11"/>
    <w:rPr>
      <w:sz w:val="24"/>
      <w:szCs w:val="24"/>
    </w:rPr>
  </w:style>
  <w:style w:type="paragraph" w:styleId="37">
    <w:name w:val="Quote"/>
    <w:basedOn w:val="610"/>
    <w:next w:val="610"/>
    <w:link w:val="38"/>
    <w:uiPriority w:val="29"/>
    <w:qFormat/>
    <w:pPr>
      <w:ind w:left="720" w:right="720"/>
    </w:pPr>
    <w:rPr>
      <w:i/>
    </w:rPr>
  </w:style>
  <w:style w:type="character" w:styleId="38">
    <w:name w:val="Quote Char"/>
    <w:link w:val="37"/>
    <w:uiPriority w:val="29"/>
    <w:rPr>
      <w:i/>
    </w:rPr>
  </w:style>
  <w:style w:type="paragraph" w:styleId="39">
    <w:name w:val="Intense Quote"/>
    <w:basedOn w:val="610"/>
    <w:next w:val="6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0"/>
    <w:link w:val="42"/>
    <w:uiPriority w:val="99"/>
    <w:unhideWhenUsed/>
    <w:pPr>
      <w:spacing w:after="0" w:line="240" w:lineRule="auto"/>
      <w:tabs>
        <w:tab w:val="center" w:pos="7143" w:leader="none"/>
        <w:tab w:val="right" w:pos="14287" w:leader="none"/>
      </w:tabs>
    </w:pPr>
  </w:style>
  <w:style w:type="character" w:styleId="42">
    <w:name w:val="Header Char"/>
    <w:basedOn w:val="615"/>
    <w:link w:val="41"/>
    <w:uiPriority w:val="99"/>
  </w:style>
  <w:style w:type="paragraph" w:styleId="43">
    <w:name w:val="Footer"/>
    <w:basedOn w:val="610"/>
    <w:link w:val="46"/>
    <w:uiPriority w:val="99"/>
    <w:unhideWhenUsed/>
    <w:pPr>
      <w:spacing w:after="0" w:line="240" w:lineRule="auto"/>
      <w:tabs>
        <w:tab w:val="center" w:pos="7143" w:leader="none"/>
        <w:tab w:val="right" w:pos="14287" w:leader="none"/>
      </w:tabs>
    </w:pPr>
  </w:style>
  <w:style w:type="character" w:styleId="44">
    <w:name w:val="Footer Char"/>
    <w:basedOn w:val="615"/>
    <w:link w:val="43"/>
    <w:uiPriority w:val="99"/>
  </w:style>
  <w:style w:type="paragraph" w:styleId="45">
    <w:name w:val="Caption"/>
    <w:basedOn w:val="610"/>
    <w:next w:val="6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1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5"/>
    <w:uiPriority w:val="99"/>
    <w:unhideWhenUsed/>
    <w:rPr>
      <w:vertAlign w:val="superscript"/>
    </w:rPr>
  </w:style>
  <w:style w:type="paragraph" w:styleId="177">
    <w:name w:val="endnote text"/>
    <w:basedOn w:val="6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5"/>
    <w:uiPriority w:val="99"/>
    <w:semiHidden/>
    <w:unhideWhenUsed/>
    <w:rPr>
      <w:vertAlign w:val="superscript"/>
    </w:rPr>
  </w:style>
  <w:style w:type="paragraph" w:styleId="182">
    <w:name w:val="toc 3"/>
    <w:basedOn w:val="610"/>
    <w:next w:val="610"/>
    <w:uiPriority w:val="39"/>
    <w:unhideWhenUsed/>
    <w:pPr>
      <w:ind w:left="567" w:right="0" w:firstLine="0"/>
      <w:spacing w:after="57"/>
    </w:pPr>
  </w:style>
  <w:style w:type="paragraph" w:styleId="183">
    <w:name w:val="toc 4"/>
    <w:basedOn w:val="610"/>
    <w:next w:val="610"/>
    <w:uiPriority w:val="39"/>
    <w:unhideWhenUsed/>
    <w:pPr>
      <w:ind w:left="850" w:right="0" w:firstLine="0"/>
      <w:spacing w:after="57"/>
    </w:pPr>
  </w:style>
  <w:style w:type="paragraph" w:styleId="184">
    <w:name w:val="toc 5"/>
    <w:basedOn w:val="610"/>
    <w:next w:val="610"/>
    <w:uiPriority w:val="39"/>
    <w:unhideWhenUsed/>
    <w:pPr>
      <w:ind w:left="1134" w:right="0" w:firstLine="0"/>
      <w:spacing w:after="57"/>
    </w:pPr>
  </w:style>
  <w:style w:type="paragraph" w:styleId="185">
    <w:name w:val="toc 6"/>
    <w:basedOn w:val="610"/>
    <w:next w:val="610"/>
    <w:uiPriority w:val="39"/>
    <w:unhideWhenUsed/>
    <w:pPr>
      <w:ind w:left="1417" w:right="0" w:firstLine="0"/>
      <w:spacing w:after="57"/>
    </w:pPr>
  </w:style>
  <w:style w:type="paragraph" w:styleId="186">
    <w:name w:val="toc 7"/>
    <w:basedOn w:val="610"/>
    <w:next w:val="610"/>
    <w:uiPriority w:val="39"/>
    <w:unhideWhenUsed/>
    <w:pPr>
      <w:ind w:left="1701" w:right="0" w:firstLine="0"/>
      <w:spacing w:after="57"/>
    </w:pPr>
  </w:style>
  <w:style w:type="paragraph" w:styleId="187">
    <w:name w:val="toc 8"/>
    <w:basedOn w:val="610"/>
    <w:next w:val="610"/>
    <w:uiPriority w:val="39"/>
    <w:unhideWhenUsed/>
    <w:pPr>
      <w:ind w:left="1984" w:right="0" w:firstLine="0"/>
      <w:spacing w:after="57"/>
    </w:pPr>
  </w:style>
  <w:style w:type="paragraph" w:styleId="188">
    <w:name w:val="toc 9"/>
    <w:basedOn w:val="610"/>
    <w:next w:val="6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0"/>
    <w:next w:val="610"/>
    <w:uiPriority w:val="99"/>
    <w:unhideWhenUsed/>
    <w:pPr>
      <w:spacing w:after="0" w:afterAutospacing="0"/>
    </w:pPr>
  </w:style>
  <w:style w:type="paragraph" w:styleId="610"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11">
    <w:name w:val="Heading 1"/>
    <w:basedOn w:val="610"/>
    <w:next w:val="610"/>
    <w:uiPriority w:val="0"/>
    <w:qFormat/>
    <w:pPr>
      <w:keepLines/>
      <w:keepNext/>
      <w:spacing w:before="340" w:beforeAutospacing="0" w:after="330" w:afterAutospacing="0" w:line="576" w:lineRule="auto"/>
      <w:outlineLvl w:val="0"/>
    </w:pPr>
    <w:rPr>
      <w:b/>
      <w:sz w:val="44"/>
    </w:rPr>
  </w:style>
  <w:style w:type="paragraph" w:styleId="612">
    <w:name w:val="Heading 2"/>
    <w:basedOn w:val="610"/>
    <w:next w:val="6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13">
    <w:name w:val="Heading 3"/>
    <w:basedOn w:val="610"/>
    <w:next w:val="610"/>
    <w:uiPriority w:val="0"/>
    <w:qFormat/>
    <w:pPr>
      <w:keepLines/>
      <w:keepNext/>
      <w:spacing w:before="260" w:after="260" w:line="416" w:lineRule="auto"/>
      <w:outlineLvl w:val="2"/>
    </w:pPr>
    <w:rPr>
      <w:rFonts w:ascii="Times New Roman" w:hAnsi="Times New Roman"/>
      <w:b/>
      <w:bCs/>
      <w:sz w:val="32"/>
      <w:szCs w:val="32"/>
    </w:rPr>
  </w:style>
  <w:style w:type="paragraph" w:styleId="614">
    <w:name w:val="Heading 4"/>
    <w:basedOn w:val="610"/>
    <w:next w:val="617"/>
    <w:uiPriority w:val="0"/>
    <w:qFormat/>
    <w:pPr>
      <w:keepLines/>
      <w:keepNext/>
      <w:spacing w:before="280" w:after="290" w:line="376" w:lineRule="auto"/>
      <w:outlineLvl w:val="3"/>
    </w:pPr>
    <w:rPr>
      <w:rFonts w:ascii="Arial" w:hAnsi="Arial" w:eastAsia="黑体" w:cs="Arial"/>
      <w:b/>
      <w:bCs/>
      <w:sz w:val="28"/>
      <w:szCs w:val="28"/>
    </w:rPr>
  </w:style>
  <w:style w:type="character" w:styleId="615" w:default="1">
    <w:name w:val="Default Paragraph Font"/>
    <w:uiPriority w:val="0"/>
    <w:semiHidden/>
    <w:qFormat/>
  </w:style>
  <w:style w:type="table" w:styleId="616" w:default="1">
    <w:name w:val="Normal Table"/>
    <w:uiPriority w:val="0"/>
    <w:semiHidden/>
    <w:tblPr>
      <w:tblCellMar>
        <w:left w:w="108" w:type="dxa"/>
        <w:top w:w="0" w:type="dxa"/>
        <w:right w:w="108" w:type="dxa"/>
        <w:bottom w:w="0" w:type="dxa"/>
      </w:tblCellMar>
    </w:tblPr>
  </w:style>
  <w:style w:type="paragraph" w:styleId="617">
    <w:name w:val="Normal Indent"/>
    <w:basedOn w:val="610"/>
    <w:uiPriority w:val="0"/>
    <w:qFormat/>
    <w:pPr>
      <w:ind w:firstLine="420"/>
    </w:pPr>
    <w:rPr>
      <w:szCs w:val="21"/>
    </w:rPr>
  </w:style>
  <w:style w:type="paragraph" w:styleId="618">
    <w:name w:val="Plain Text"/>
    <w:basedOn w:val="610"/>
    <w:uiPriority w:val="0"/>
    <w:qFormat/>
    <w:rPr>
      <w:rFonts w:ascii="宋体" w:hAnsi="Courier New" w:eastAsia="宋体" w:cs="Courier New"/>
      <w:szCs w:val="21"/>
    </w:rPr>
  </w:style>
  <w:style w:type="paragraph" w:styleId="619">
    <w:name w:val="toc 1"/>
    <w:basedOn w:val="610"/>
    <w:next w:val="610"/>
    <w:uiPriority w:val="0"/>
  </w:style>
  <w:style w:type="paragraph" w:styleId="620">
    <w:name w:val="toc 2"/>
    <w:basedOn w:val="610"/>
    <w:next w:val="610"/>
    <w:uiPriority w:val="0"/>
    <w:qFormat/>
    <w:pPr>
      <w:ind w:left="420"/>
    </w:pPr>
  </w:style>
  <w:style w:type="paragraph" w:styleId="621" w:customStyle="1">
    <w:name w:val="普通正文"/>
    <w:basedOn w:val="610"/>
    <w:uiPriority w:val="0"/>
    <w:qFormat/>
    <w:pPr>
      <w:ind w:firstLine="480"/>
      <w:jc w:val="left"/>
      <w:spacing w:before="120" w:after="120" w:line="360" w:lineRule="auto"/>
    </w:pPr>
    <w:rPr>
      <w:rFonts w:ascii="Arial" w:hAnsi="Arial" w:eastAsia="宋体" w:cs="Times New Roman"/>
      <w:sz w:val="24"/>
      <w:szCs w:val="24"/>
    </w:rPr>
  </w:style>
  <w:style w:type="paragraph" w:styleId="622">
    <w:name w:val="List Paragraph"/>
    <w:basedOn w:val="610"/>
    <w:uiPriority w:val="34"/>
    <w:qFormat/>
    <w:pPr>
      <w:contextualSpacing/>
      <w:ind w:left="720"/>
      <w:jc w:val="left"/>
      <w:widowControl/>
    </w:pPr>
    <w:rPr>
      <w:rFonts w:ascii="Calibri" w:hAnsi="Calibri" w:eastAsia="宋体" w:cs="Times New Roman"/>
      <w:sz w:val="24"/>
      <w:szCs w:val="24"/>
      <w:lang w:eastAsia="en-US" w:bidi="en-US"/>
    </w:rPr>
  </w:style>
  <w:style w:type="paragraph" w:styleId="623" w:customStyle="1">
    <w:name w:val="正文3"/>
    <w:next w:val="624"/>
    <w:uiPriority w:val="0"/>
    <w:qFormat/>
    <w:rPr>
      <w:rFonts w:hint="default" w:ascii="Times New Roman" w:hAnsi="Times New Roman" w:eastAsia="Times New Roman" w:cs="Times New Roman"/>
      <w:sz w:val="24"/>
      <w:szCs w:val="24"/>
      <w:lang w:val="en-US" w:eastAsia="zh-CN" w:bidi="ar-SA"/>
    </w:rPr>
  </w:style>
  <w:style w:type="paragraph" w:styleId="624" w:customStyle="1">
    <w:name w:val="标题 31"/>
    <w:basedOn w:val="623"/>
    <w:next w:val="625"/>
    <w:uiPriority w:val="0"/>
    <w:qFormat/>
    <w:pPr>
      <w:keepLines/>
      <w:keepNext/>
      <w:spacing w:before="260" w:after="260" w:line="413" w:lineRule="auto"/>
      <w:outlineLvl w:val="2"/>
    </w:pPr>
    <w:rPr>
      <w:b/>
      <w:sz w:val="32"/>
      <w:szCs w:val="20"/>
    </w:rPr>
  </w:style>
  <w:style w:type="paragraph" w:styleId="625" w:customStyle="1">
    <w:name w:val="正文2"/>
    <w:next w:val="624"/>
    <w:uiPriority w:val="0"/>
    <w:qFormat/>
    <w:pPr>
      <w:jc w:val="both"/>
      <w:widowControl w:val="off"/>
    </w:pPr>
    <w:rPr>
      <w:rFonts w:hint="default" w:ascii="Calibri" w:hAnsi="Calibri" w:eastAsia="宋体" w:cs="Times New Roman"/>
      <w:sz w:val="21"/>
      <w:szCs w:val="22"/>
      <w:lang w:val="en-US" w:eastAsia="zh-CN" w:bidi="ar-SA"/>
    </w:rPr>
  </w:style>
  <w:style w:type="paragraph" w:styleId="626" w:customStyle="1">
    <w:name w:val="正文文本缩进1"/>
    <w:basedOn w:val="610"/>
    <w:next w:val="627"/>
    <w:uiPriority w:val="0"/>
    <w:unhideWhenUsed/>
    <w:qFormat/>
    <w:pPr>
      <w:ind w:left="420"/>
      <w:spacing w:after="120"/>
    </w:pPr>
  </w:style>
  <w:style w:type="paragraph" w:styleId="627" w:customStyle="1">
    <w:name w:val="寄信人地址1"/>
    <w:uiPriority w:val="99"/>
    <w:qFormat/>
    <w:pPr>
      <w:jc w:val="both"/>
    </w:pPr>
    <w:rPr>
      <w:rFonts w:hint="default" w:ascii="Arial" w:hAnsi="Arial" w:eastAsia="宋体" w:cs="Arial"/>
      <w:sz w:val="21"/>
      <w:szCs w:val="22"/>
      <w:lang w:val="en-US" w:eastAsia="zh-CN" w:bidi="ar-SA"/>
    </w:rPr>
  </w:style>
  <w:style w:type="paragraph" w:styleId="628" w:customStyle="1">
    <w:name w:val="Normal_19_0"/>
    <w:basedOn w:val="629"/>
    <w:next w:val="630"/>
    <w:uiPriority w:val="0"/>
    <w:qFormat/>
    <w:rPr>
      <w:szCs w:val="24"/>
    </w:rPr>
  </w:style>
  <w:style w:type="paragraph" w:styleId="629" w:customStyle="1">
    <w:name w:val="Normal1"/>
    <w:next w:val="613"/>
    <w:uiPriority w:val="0"/>
    <w:qFormat/>
    <w:pPr>
      <w:jc w:val="both"/>
      <w:widowControl w:val="off"/>
    </w:pPr>
    <w:rPr>
      <w:rFonts w:hint="default" w:ascii="Calibri" w:hAnsi="Calibri" w:eastAsia="宋体" w:cs="Times New Roman"/>
      <w:sz w:val="21"/>
      <w:szCs w:val="22"/>
      <w:lang w:val="en-US" w:eastAsia="zh-CN" w:bidi="ar-SA"/>
    </w:rPr>
  </w:style>
  <w:style w:type="paragraph" w:styleId="630" w:customStyle="1">
    <w:name w:val="Body Text First Indent_1_0"/>
    <w:basedOn w:val="628"/>
    <w:uiPriority w:val="0"/>
    <w:qFormat/>
    <w:pPr>
      <w:ind w:firstLine="100"/>
      <w:spacing w:after="120"/>
    </w:pPr>
  </w:style>
  <w:style w:type="paragraph" w:styleId="631" w:customStyle="1">
    <w:name w:val="样式1"/>
    <w:basedOn w:val="610"/>
    <w:uiPriority w:val="0"/>
    <w:qFormat/>
    <w:pPr>
      <w:numPr>
        <w:ilvl w:val="0"/>
        <w:numId w:val="1"/>
      </w:numPr>
    </w:pPr>
    <w:rPr>
      <w:rFonts w:ascii="宋体" w:hAnsi="宋体" w:eastAsia="宋体" w:cs="Times New Roman"/>
      <w:szCs w:val="21"/>
    </w:rPr>
  </w:style>
  <w:style w:type="paragraph" w:styleId="632" w:customStyle="1">
    <w:name w:val="正文文本11"/>
    <w:basedOn w:val="610"/>
    <w:uiPriority w:val="1"/>
    <w:qFormat/>
    <w:pPr>
      <w:ind w:firstLine="600"/>
    </w:pPr>
    <w:rPr>
      <w:rFonts w:ascii="Times New Roman" w:hAnsi="Times New Roman" w:eastAsia="方正仿宋_GBK"/>
      <w:b/>
      <w:bCs/>
      <w:color w:val="ff0000"/>
      <w:sz w:val="30"/>
      <w:szCs w:val="30"/>
    </w:rPr>
  </w:style>
  <w:style w:type="paragraph" w:styleId="633"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634" w:customStyle="1">
    <w:name w:val="普通(网站)12"/>
    <w:basedOn w:val="610"/>
    <w:uiPriority w:val="99"/>
    <w:qFormat/>
    <w:pPr>
      <w:jc w:val="left"/>
      <w:spacing w:before="100" w:beforeAutospacing="1" w:after="100" w:afterAutospacing="1"/>
      <w:widowControl/>
    </w:pPr>
    <w:rPr>
      <w:rFonts w:ascii="宋体" w:hAnsi="宋体" w:cs="宋体"/>
      <w:sz w:val="24"/>
      <w:szCs w:val="24"/>
    </w:rPr>
  </w:style>
  <w:style w:type="paragraph" w:styleId="635" w:customStyle="1">
    <w:name w:val="正文缩进1"/>
    <w:basedOn w:val="610"/>
    <w:uiPriority w:val="99"/>
    <w:qFormat/>
    <w:pPr>
      <w:ind w:firstLine="420"/>
      <w:jc w:val="left"/>
    </w:pPr>
    <w:rPr>
      <w:rFonts w:ascii="宋体"/>
      <w:sz w:val="24"/>
    </w:rPr>
  </w:style>
  <w:style w:type="paragraph" w:styleId="636" w:customStyle="1">
    <w:name w:val="正文_16_0_0"/>
    <w:next w:val="637"/>
    <w:uiPriority w:val="99"/>
    <w:qFormat/>
    <w:pPr>
      <w:jc w:val="both"/>
      <w:widowControl w:val="off"/>
    </w:pPr>
    <w:rPr>
      <w:rFonts w:hint="default" w:ascii="Calibri" w:hAnsi="Calibri" w:eastAsia="宋体" w:cs="Times New Roman"/>
      <w:sz w:val="21"/>
      <w:szCs w:val="22"/>
      <w:lang w:val="en-US" w:eastAsia="zh-CN" w:bidi="ar-SA"/>
    </w:rPr>
  </w:style>
  <w:style w:type="paragraph" w:styleId="63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638" w:customStyle="1">
    <w:name w:val="正文首行缩进3"/>
    <w:basedOn w:val="610"/>
    <w:uiPriority w:val="99"/>
    <w:unhideWhenUsed/>
    <w:qFormat/>
    <w:pPr>
      <w:ind w:firstLine="420"/>
      <w:jc w:val="left"/>
      <w:spacing w:after="120"/>
      <w:widowControl/>
    </w:pPr>
    <w:rPr>
      <w:rFonts w:ascii="Times New Roman" w:hAnsi="Times New Roman" w:eastAsia="Times New Roman" w:cs="Times New Roman"/>
      <w:sz w:val="20"/>
      <w:szCs w:val="24"/>
    </w:rPr>
  </w:style>
  <w:style w:type="paragraph" w:styleId="639" w:customStyle="1">
    <w:name w:val="正文_17"/>
    <w:basedOn w:val="610"/>
    <w:uiPriority w:val="0"/>
    <w:qFormat/>
    <w:rPr>
      <w:rFonts w:ascii="Times New Roman" w:hAnsi="Times New Roman" w:eastAsia="宋体" w:cs="Times New Roman"/>
    </w:rPr>
  </w:style>
  <w:style w:type="paragraph" w:styleId="64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641" w:customStyle="1">
    <w:name w:val="Normal_10_0"/>
    <w:uiPriority w:val="0"/>
    <w:qFormat/>
    <w:rPr>
      <w:rFonts w:hint="default" w:ascii="黑体" w:hAnsi="黑体" w:eastAsia="黑体" w:cs="黑体"/>
      <w:b/>
      <w:sz w:val="32"/>
      <w:szCs w:val="24"/>
      <w:lang w:val="en-US" w:eastAsia="zh-CN" w:bidi="ar-SA"/>
    </w:rPr>
  </w:style>
  <w:style w:type="paragraph" w:styleId="64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numbering" w:styleId="86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李想</cp:lastModifiedBy>
  <cp:revision>1</cp:revision>
  <dcterms:created xsi:type="dcterms:W3CDTF">2026-08-12T07:40:00Z</dcterms:created>
  <dcterms:modified xsi:type="dcterms:W3CDTF">2026-08-12T09:39:38Z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eyJoZGlkIjoiNGU2MjIzNDY3YzIxMWZkNjZjMDcyMWFhYmNkYmM5YTciLCJ1c2VySWQiOiI2NzcwMzI3NDMifQ==</vt:lpwstr>
  </property>
  <property fmtid="{D5CDD505-2E9C-101B-9397-08002B2CF9AE}" pid="4" name="ICV">
    <vt:lpwstr>0F6C040584374230A7574060966D6CA7_12</vt:lpwstr>
  </property>
</Properties>
</file>