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jc w:val="center"/>
        <w:spacing w:line="360" w:lineRule="auto"/>
        <w:widowControl/>
        <w:rPr>
          <w:b/>
          <w:bCs/>
          <w:sz w:val="48"/>
          <w:szCs w:val="48"/>
        </w:rPr>
      </w:pPr>
      <w:r>
        <w:rPr>
          <w:b/>
          <w:bCs/>
          <w:sz w:val="48"/>
          <w:szCs w:val="48"/>
        </w:rPr>
      </w:r>
      <w:r/>
    </w:p>
    <w:p>
      <w:pPr>
        <w:pStyle w:val="1082"/>
        <w:jc w:val="center"/>
        <w:spacing w:line="360" w:lineRule="auto"/>
        <w:widowControl/>
        <w:rPr>
          <w:b/>
          <w:bCs/>
          <w:sz w:val="48"/>
          <w:szCs w:val="48"/>
        </w:rPr>
      </w:pPr>
      <w:r>
        <w:rPr>
          <w:b/>
          <w:bCs/>
          <w:sz w:val="48"/>
          <w:szCs w:val="48"/>
        </w:rPr>
      </w:r>
      <w:r/>
    </w:p>
    <w:p>
      <w:pPr>
        <w:pStyle w:val="1082"/>
        <w:jc w:val="center"/>
        <w:spacing w:line="360" w:lineRule="auto"/>
        <w:widowControl/>
        <w:rPr>
          <w:b/>
          <w:bCs/>
          <w:sz w:val="48"/>
          <w:szCs w:val="48"/>
        </w:rPr>
      </w:pPr>
      <w:r>
        <w:rPr>
          <w:b/>
          <w:bCs/>
          <w:sz w:val="48"/>
          <w:szCs w:val="48"/>
        </w:rPr>
        <w:t xml:space="preserve">江苏省产品质量监督检验研究院10米法电波暗室采购项</w:t>
      </w:r>
      <w:r>
        <w:rPr>
          <w:b/>
          <w:bCs/>
          <w:sz w:val="48"/>
          <w:szCs w:val="48"/>
        </w:rPr>
        <w:t xml:space="preserve">目</w:t>
      </w:r>
      <w:r>
        <w:rPr>
          <w:b/>
          <w:bCs/>
          <w:sz w:val="48"/>
          <w:szCs w:val="48"/>
        </w:rPr>
      </w:r>
      <w:r/>
    </w:p>
    <w:p>
      <w:pPr>
        <w:pStyle w:val="1082"/>
        <w:jc w:val="center"/>
        <w:spacing w:line="360" w:lineRule="auto"/>
        <w:widowControl/>
        <w:rPr>
          <w:b/>
          <w:sz w:val="72"/>
          <w:szCs w:val="72"/>
        </w:rPr>
      </w:pPr>
      <w:r>
        <w:rPr>
          <w:b/>
          <w:sz w:val="72"/>
          <w:szCs w:val="72"/>
        </w:rPr>
      </w:r>
      <w:r/>
    </w:p>
    <w:p>
      <w:pPr>
        <w:pStyle w:val="1082"/>
        <w:jc w:val="center"/>
        <w:spacing w:line="360" w:lineRule="auto"/>
        <w:widowControl/>
        <w:rPr>
          <w:b/>
          <w:sz w:val="72"/>
          <w:szCs w:val="72"/>
        </w:rPr>
      </w:pPr>
      <w:r>
        <w:rPr>
          <w:b/>
          <w:sz w:val="72"/>
          <w:szCs w:val="72"/>
        </w:rPr>
        <w:t xml:space="preserve">招标文件</w:t>
      </w:r>
      <w:r>
        <w:rPr>
          <w:b/>
          <w:sz w:val="72"/>
          <w:szCs w:val="72"/>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t xml:space="preserve">项目编号</w:t>
      </w:r>
      <w:r>
        <w:rPr>
          <w:b/>
          <w:sz w:val="36"/>
          <w:szCs w:val="36"/>
          <w:highlight w:val="none"/>
        </w:rPr>
        <w:t xml:space="preserve">：</w:t>
      </w:r>
      <w:r>
        <w:rPr>
          <w:rFonts w:hint="eastAsia"/>
          <w:b/>
          <w:sz w:val="36"/>
          <w:szCs w:val="36"/>
          <w:highlight w:val="none"/>
          <w:lang w:eastAsia="zh-CN"/>
        </w:rPr>
        <w:t xml:space="preserve">JSZC-320000-JCEC-G2026-0258</w:t>
      </w:r>
      <w:r>
        <w:rPr>
          <w:b/>
          <w:sz w:val="36"/>
          <w:szCs w:val="36"/>
        </w:rPr>
        <w:t xml:space="preserve">（ZZ06602686ZC01384）</w:t>
      </w:r>
      <w:r>
        <w:rPr>
          <w:b/>
          <w:sz w:val="36"/>
          <w:szCs w:val="36"/>
        </w:rPr>
      </w:r>
      <w:r/>
    </w:p>
    <w:p>
      <w:pPr>
        <w:pStyle w:val="1082"/>
        <w:jc w:val="center"/>
        <w:spacing w:line="360" w:lineRule="auto"/>
        <w:widowControl/>
        <w:rPr>
          <w:b/>
          <w:sz w:val="72"/>
          <w:szCs w:val="72"/>
        </w:rPr>
      </w:pPr>
      <w:r>
        <w:rPr>
          <w:b/>
          <w:sz w:val="72"/>
          <w:szCs w:val="72"/>
        </w:rPr>
      </w:r>
      <w:r/>
    </w:p>
    <w:p>
      <w:pPr>
        <w:pStyle w:val="1163"/>
        <w:ind w:firstLine="0"/>
        <w:rPr>
          <w:b/>
          <w:sz w:val="72"/>
          <w:szCs w:val="72"/>
        </w:rPr>
      </w:pPr>
      <w:r>
        <w:rPr>
          <w:b/>
          <w:sz w:val="72"/>
          <w:szCs w:val="72"/>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t xml:space="preserve">采购人：江苏省产品质量监督检验研究院</w:t>
      </w:r>
      <w:r>
        <w:rPr>
          <w:b/>
          <w:sz w:val="36"/>
          <w:szCs w:val="36"/>
        </w:rPr>
      </w:r>
      <w:r/>
    </w:p>
    <w:p>
      <w:pPr>
        <w:pStyle w:val="1082"/>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82"/>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rPr>
          <w:b/>
          <w:sz w:val="36"/>
          <w:szCs w:val="36"/>
        </w:rPr>
      </w:r>
      <w:r/>
    </w:p>
    <w:p>
      <w:pPr>
        <w:pStyle w:val="1240"/>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240"/>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139"/>
        <w:tabs>
          <w:tab w:val="right" w:pos="8296" w:leader="dot"/>
        </w:tabs>
        <w:rPr>
          <w:sz w:val="28"/>
          <w:szCs w:val="28"/>
        </w:rPr>
      </w:pPr>
      <w:r>
        <w:rPr>
          <w:sz w:val="28"/>
          <w:szCs w:val="28"/>
        </w:rPr>
      </w:r>
      <w:r/>
    </w:p>
    <w:p>
      <w:pPr>
        <w:pStyle w:val="113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2"/>
      <w:r/>
      <w:bookmarkStart w:id="1" w:name="_Hlt194568153"/>
      <w:r>
        <w:rPr>
          <w:sz w:val="24"/>
        </w:rPr>
        <w:fldChar w:fldCharType="begin"/>
      </w:r>
      <w:r>
        <w:rPr>
          <w:sz w:val="24"/>
        </w:rPr>
        <w:instrText xml:space="preserve"> PAGEREF _Toc7593 \h </w:instrText>
      </w:r>
      <w:r>
        <w:rPr>
          <w:sz w:val="24"/>
        </w:rPr>
        <w:fldChar w:fldCharType="separate"/>
      </w:r>
      <w:r>
        <w:rPr>
          <w:sz w:val="24"/>
        </w:rPr>
        <w:t xml:space="preserve">4</w:t>
      </w:r>
      <w:r>
        <w:rPr>
          <w:sz w:val="24"/>
        </w:rPr>
        <w:fldChar w:fldCharType="end"/>
      </w:r>
      <w:bookmarkEnd w:id="0"/>
      <w:r/>
      <w:bookmarkEnd w:id="1"/>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20</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43</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49</w:t>
      </w:r>
      <w:r>
        <w:rPr>
          <w:sz w:val="24"/>
        </w:rPr>
        <w:fldChar w:fldCharType="end"/>
      </w:r>
      <w:r>
        <w:rPr>
          <w:sz w:val="24"/>
        </w:rPr>
        <w:fldChar w:fldCharType="end"/>
      </w:r>
      <w:r>
        <w:rPr>
          <w:sz w:val="24"/>
        </w:rPr>
      </w:r>
      <w:r/>
    </w:p>
    <w:p>
      <w:pPr>
        <w:pStyle w:val="1082"/>
        <w:spacing w:line="480" w:lineRule="auto"/>
        <w:rPr>
          <w:sz w:val="28"/>
          <w:szCs w:val="28"/>
        </w:rPr>
      </w:pPr>
      <w:r>
        <w:rPr>
          <w:sz w:val="24"/>
        </w:rPr>
        <w:fldChar w:fldCharType="end"/>
      </w:r>
      <w:r>
        <w:rPr>
          <w:sz w:val="28"/>
          <w:szCs w:val="28"/>
        </w:rPr>
      </w:r>
      <w:r/>
    </w:p>
    <w:p>
      <w:pPr>
        <w:pStyle w:val="1082"/>
        <w:jc w:val="center"/>
        <w:spacing w:line="360" w:lineRule="auto"/>
        <w:shd w:val="clear" w:color="auto" w:fill="ffffff"/>
        <w:widowControl/>
        <w:rPr>
          <w:b/>
          <w:sz w:val="36"/>
          <w:szCs w:val="36"/>
        </w:rPr>
      </w:pPr>
      <w:r>
        <w:rPr>
          <w:b/>
          <w:sz w:val="36"/>
          <w:szCs w:val="36"/>
        </w:rPr>
      </w:r>
      <w:r/>
    </w:p>
    <w:p>
      <w:pPr>
        <w:pStyle w:val="1083"/>
        <w:rPr>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83"/>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82"/>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82"/>
        <w:ind w:firstLine="360"/>
        <w:spacing w:line="360" w:lineRule="auto"/>
        <w:shd w:val="clear" w:color="auto" w:fill="ffffff"/>
        <w:widowControl/>
        <w:rPr>
          <w:spacing w:val="8"/>
          <w:szCs w:val="21"/>
        </w:rPr>
      </w:pPr>
      <w:r>
        <w:rPr>
          <w:spacing w:val="8"/>
          <w:szCs w:val="21"/>
        </w:rPr>
        <w:t xml:space="preserve">江苏省产品质量监督检验研究院10米法电波暗室采购项目的潜在投标人应在江苏政府采购网获取招标文件，并于2026年</w:t>
      </w:r>
      <w:r>
        <w:rPr>
          <w:rFonts w:hint="eastAsia"/>
          <w:spacing w:val="8"/>
          <w:szCs w:val="21"/>
          <w:lang w:val="en-US" w:eastAsia="zh-CN"/>
        </w:rPr>
        <w:t xml:space="preserve">8月7日14</w:t>
      </w:r>
      <w:r>
        <w:rPr>
          <w:spacing w:val="8"/>
          <w:szCs w:val="21"/>
        </w:rPr>
        <w:t xml:space="preserve">点</w:t>
      </w:r>
      <w:r>
        <w:rPr>
          <w:rFonts w:hint="eastAsia"/>
          <w:spacing w:val="8"/>
          <w:szCs w:val="21"/>
          <w:lang w:val="en-US" w:eastAsia="zh-CN"/>
        </w:rPr>
        <w:t xml:space="preserve">00</w:t>
      </w:r>
      <w:r>
        <w:rPr>
          <w:spacing w:val="8"/>
          <w:szCs w:val="21"/>
        </w:rPr>
        <w:t xml:space="preserve">分（北京时间）前递交投标文件。</w:t>
      </w:r>
      <w:r>
        <w:rPr>
          <w:spacing w:val="8"/>
          <w:szCs w:val="21"/>
        </w:rPr>
      </w:r>
      <w:r/>
    </w:p>
    <w:p>
      <w:pPr>
        <w:pStyle w:val="1082"/>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1.1项</w:t>
      </w:r>
      <w:r>
        <w:rPr>
          <w:spacing w:val="8"/>
          <w:szCs w:val="21"/>
          <w:highlight w:val="none"/>
        </w:rPr>
        <w:t xml:space="preserve">目编号：</w:t>
      </w:r>
      <w:r>
        <w:rPr>
          <w:rFonts w:hint="eastAsia"/>
          <w:spacing w:val="8"/>
          <w:szCs w:val="21"/>
          <w:highlight w:val="none"/>
          <w:lang w:eastAsia="zh-CN"/>
        </w:rPr>
        <w:t xml:space="preserve">JSZC-320000-JCEC-G2026-0258</w:t>
      </w:r>
      <w:r>
        <w:rPr>
          <w:spacing w:val="8"/>
          <w:szCs w:val="21"/>
          <w:highlight w:val="none"/>
        </w:rPr>
        <w:t xml:space="preserve">（ZZ06602686ZC01384）</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1.2项目名称：江苏省产品质量监督检验研究院10米法电波暗室采购项目</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1.3预算金额：1000万元</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1.4最高限价：1000万元</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1.5采购需求：江苏省产品质量监督检验研究院拟</w:t>
      </w:r>
      <w:r>
        <w:rPr>
          <w:rStyle w:val="1161"/>
        </w:rPr>
        <w:t xml:space="preserve">采购</w:t>
      </w:r>
      <w:r>
        <w:rPr>
          <w:szCs w:val="21"/>
        </w:rPr>
        <w:t xml:space="preserve">10米法电波暗室</w:t>
      </w:r>
      <w:r>
        <w:rPr>
          <w:spacing w:val="8"/>
          <w:szCs w:val="21"/>
        </w:rPr>
        <w:t xml:space="preserve">，详见招标文件第四章采购需求。</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1.6 合同履行期限：签订合同后4个月内</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1.7行业划分：工业。</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82"/>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82"/>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82"/>
        <w:ind w:firstLine="424"/>
        <w:spacing w:line="460" w:lineRule="exact"/>
        <w:rPr>
          <w:bCs/>
          <w:szCs w:val="21"/>
        </w:rPr>
      </w:pPr>
      <w:r>
        <w:rPr>
          <w:bCs/>
          <w:szCs w:val="21"/>
        </w:rPr>
        <w:t xml:space="preserve">（2）具有良好的商业信誉和健全的财务会计制度（提供2024或2025年度的财务报告，或投标截止时间前六个月内银行出具的资信证明）；</w:t>
      </w:r>
      <w:r>
        <w:rPr>
          <w:bCs/>
          <w:szCs w:val="21"/>
        </w:rPr>
      </w:r>
      <w:r/>
    </w:p>
    <w:p>
      <w:pPr>
        <w:pStyle w:val="1082"/>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82"/>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1082"/>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82"/>
        <w:ind w:firstLine="424"/>
        <w:spacing w:line="460" w:lineRule="exact"/>
        <w:rPr>
          <w:bCs/>
          <w:szCs w:val="21"/>
        </w:rPr>
      </w:pPr>
      <w:r>
        <w:rPr>
          <w:bCs/>
          <w:szCs w:val="21"/>
        </w:rPr>
        <w:t xml:space="preserve">（6）法律、行政法规规定的其他条件：无</w:t>
      </w:r>
      <w:r>
        <w:rPr>
          <w:bCs/>
          <w:szCs w:val="21"/>
        </w:rPr>
      </w:r>
      <w:r/>
    </w:p>
    <w:p>
      <w:pPr>
        <w:pStyle w:val="1082"/>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122"/>
        <w:ind w:left="420" w:right="-109"/>
        <w:spacing w:line="360" w:lineRule="auto"/>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rPr>
          <w:rFonts w:hint="eastAsia"/>
        </w:rPr>
        <w:t xml:space="preserve">无</w:t>
      </w:r>
      <w:r>
        <w:rPr>
          <w:b/>
          <w:szCs w:val="21"/>
        </w:rPr>
      </w:r>
      <w:r/>
    </w:p>
    <w:p>
      <w:pPr>
        <w:pStyle w:val="1082"/>
        <w:ind w:firstLine="456"/>
        <w:spacing w:line="460" w:lineRule="exact"/>
        <w:rPr>
          <w:spacing w:val="8"/>
          <w:szCs w:val="21"/>
        </w:rPr>
      </w:pPr>
      <w:r>
        <w:rPr>
          <w:spacing w:val="8"/>
          <w:szCs w:val="21"/>
        </w:rPr>
        <w:t xml:space="preserve">2.4拒绝下述供应商参加本次招标活动：</w:t>
      </w:r>
      <w:r>
        <w:rPr>
          <w:spacing w:val="8"/>
          <w:szCs w:val="21"/>
        </w:rPr>
      </w:r>
      <w:r/>
    </w:p>
    <w:p>
      <w:pPr>
        <w:pStyle w:val="1082"/>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82"/>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82"/>
        <w:ind w:firstLine="456"/>
        <w:spacing w:line="460" w:lineRule="exact"/>
        <w:rPr>
          <w:bCs/>
          <w:szCs w:val="21"/>
        </w:rPr>
      </w:pPr>
      <w:r>
        <w:rPr>
          <w:spacing w:val="8"/>
          <w:szCs w:val="21"/>
        </w:rPr>
        <w:t xml:space="preserve">（3）供应商被“信用中国”网站（www.creditchina.gov.cn）、“中国政府采购网”(www.ccgp.gov.cn)列入失信被执行人、重大税收违法失信主体、政府采购严重违法失信行为记录名单</w:t>
      </w:r>
      <w:r>
        <w:rPr>
          <w:bCs/>
          <w:szCs w:val="21"/>
        </w:rPr>
        <w:t xml:space="preserve">。</w:t>
      </w:r>
      <w:r>
        <w:rPr>
          <w:bCs/>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82"/>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lang w:val="en-US" w:eastAsia="zh-CN"/>
        </w:rPr>
        <w:t xml:space="preserve">8月7日14</w:t>
      </w:r>
      <w:r>
        <w:rPr>
          <w:spacing w:val="8"/>
          <w:szCs w:val="21"/>
        </w:rPr>
        <w:t xml:space="preserve">点</w:t>
      </w:r>
      <w:r>
        <w:rPr>
          <w:rFonts w:hint="eastAsia"/>
          <w:spacing w:val="8"/>
          <w:szCs w:val="21"/>
          <w:lang w:val="en-US" w:eastAsia="zh-CN"/>
        </w:rPr>
        <w:t xml:space="preserve">00</w:t>
      </w:r>
      <w:r>
        <w:rPr>
          <w:spacing w:val="8"/>
          <w:szCs w:val="21"/>
        </w:rPr>
        <w:t xml:space="preserve">分（北京时间）</w:t>
      </w:r>
      <w:r>
        <w:rPr>
          <w:spacing w:val="8"/>
          <w:szCs w:val="21"/>
        </w:rPr>
      </w:r>
      <w:r/>
    </w:p>
    <w:p>
      <w:pPr>
        <w:pStyle w:val="1082"/>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1082"/>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1082"/>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1082"/>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1082"/>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1082"/>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1082"/>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1082"/>
        <w:ind w:firstLine="363"/>
        <w:spacing w:line="460" w:lineRule="exact"/>
        <w:shd w:val="clear" w:color="auto" w:fill="ffffff"/>
        <w:widowControl/>
        <w:rPr>
          <w:bCs/>
          <w:szCs w:val="21"/>
        </w:rPr>
      </w:pPr>
      <w:r>
        <w:rPr>
          <w:bCs/>
          <w:szCs w:val="21"/>
        </w:rPr>
        <w:t xml:space="preserve">6.3 勘察现场：无</w:t>
      </w:r>
      <w:r>
        <w:rPr>
          <w:bCs/>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82"/>
        <w:ind w:firstLine="452"/>
        <w:spacing w:line="360" w:lineRule="auto"/>
        <w:rPr>
          <w:spacing w:val="8"/>
          <w:szCs w:val="21"/>
        </w:rPr>
      </w:pPr>
      <w:r>
        <w:rPr>
          <w:spacing w:val="8"/>
          <w:szCs w:val="21"/>
        </w:rPr>
        <w:t xml:space="preserve">7.1采购人信息</w:t>
      </w:r>
      <w:r>
        <w:rPr>
          <w:spacing w:val="8"/>
          <w:szCs w:val="21"/>
        </w:rPr>
      </w:r>
      <w:r/>
    </w:p>
    <w:p>
      <w:pPr>
        <w:pStyle w:val="1082"/>
        <w:ind w:firstLine="452"/>
        <w:spacing w:line="360" w:lineRule="auto"/>
        <w:rPr>
          <w:spacing w:val="8"/>
          <w:szCs w:val="21"/>
        </w:rPr>
      </w:pPr>
      <w:r>
        <w:rPr>
          <w:spacing w:val="8"/>
          <w:szCs w:val="21"/>
        </w:rPr>
        <w:t xml:space="preserve">名称：江苏省产品质量监督检验研究院</w:t>
      </w:r>
      <w:r>
        <w:rPr>
          <w:spacing w:val="8"/>
          <w:szCs w:val="21"/>
        </w:rPr>
      </w:r>
      <w:r/>
    </w:p>
    <w:p>
      <w:pPr>
        <w:pStyle w:val="1082"/>
        <w:ind w:firstLine="452"/>
        <w:spacing w:line="360" w:lineRule="auto"/>
        <w:rPr>
          <w:spacing w:val="8"/>
          <w:szCs w:val="21"/>
        </w:rPr>
      </w:pPr>
      <w:r>
        <w:rPr>
          <w:spacing w:val="8"/>
          <w:szCs w:val="21"/>
          <w:lang w:val="zh-CN"/>
        </w:rPr>
        <w:t xml:space="preserve">联系人：</w:t>
      </w:r>
      <w:r>
        <w:rPr>
          <w:spacing w:val="8"/>
          <w:szCs w:val="21"/>
        </w:rPr>
        <w:t xml:space="preserve">吴</w:t>
      </w:r>
      <w:r>
        <w:rPr>
          <w:spacing w:val="8"/>
          <w:szCs w:val="21"/>
          <w:lang w:val="zh-CN"/>
        </w:rPr>
        <w:t xml:space="preserve">老师</w:t>
      </w:r>
      <w:r>
        <w:rPr>
          <w:spacing w:val="8"/>
          <w:szCs w:val="21"/>
        </w:rPr>
      </w:r>
      <w:r/>
    </w:p>
    <w:p>
      <w:pPr>
        <w:pStyle w:val="1082"/>
        <w:ind w:firstLine="452"/>
        <w:spacing w:line="360" w:lineRule="auto"/>
        <w:rPr>
          <w:spacing w:val="8"/>
          <w:szCs w:val="21"/>
        </w:rPr>
      </w:pPr>
      <w:r>
        <w:rPr>
          <w:spacing w:val="8"/>
          <w:szCs w:val="21"/>
          <w:lang w:val="zh-CN"/>
        </w:rPr>
        <w:t xml:space="preserve">电话：</w:t>
      </w:r>
      <w:r>
        <w:rPr>
          <w:rFonts w:hint="eastAsia"/>
          <w:spacing w:val="8"/>
          <w:szCs w:val="21"/>
          <w:lang w:val="zh-CN"/>
        </w:rPr>
        <w:t xml:space="preserve">025-84470300</w:t>
      </w:r>
      <w:r>
        <w:rPr>
          <w:spacing w:val="8"/>
          <w:szCs w:val="21"/>
        </w:rPr>
      </w:r>
      <w:r/>
    </w:p>
    <w:p>
      <w:pPr>
        <w:pStyle w:val="1082"/>
        <w:ind w:firstLine="452"/>
        <w:spacing w:line="360" w:lineRule="auto"/>
        <w:rPr>
          <w:spacing w:val="8"/>
          <w:szCs w:val="21"/>
          <w:lang w:val="zh-CN"/>
        </w:rPr>
      </w:pPr>
      <w:r>
        <w:rPr>
          <w:spacing w:val="8"/>
          <w:szCs w:val="21"/>
          <w:lang w:val="zh-CN"/>
        </w:rPr>
        <w:t xml:space="preserve">地址：江苏省南京市秦淮区光华东街 5 号</w:t>
      </w:r>
      <w:r>
        <w:rPr>
          <w:spacing w:val="8"/>
          <w:szCs w:val="21"/>
          <w:lang w:val="zh-CN"/>
        </w:rPr>
      </w:r>
      <w:r/>
    </w:p>
    <w:p>
      <w:pPr>
        <w:pStyle w:val="1082"/>
        <w:ind w:firstLine="452"/>
        <w:spacing w:line="360" w:lineRule="auto"/>
        <w:rPr>
          <w:spacing w:val="8"/>
          <w:szCs w:val="21"/>
        </w:rPr>
      </w:pPr>
      <w:r>
        <w:rPr>
          <w:spacing w:val="8"/>
          <w:szCs w:val="21"/>
        </w:rPr>
        <w:t xml:space="preserve">7.2采购代理机构信息</w:t>
      </w:r>
      <w:r>
        <w:rPr>
          <w:spacing w:val="8"/>
          <w:szCs w:val="21"/>
        </w:rPr>
      </w:r>
      <w:r/>
    </w:p>
    <w:p>
      <w:pPr>
        <w:pStyle w:val="1082"/>
        <w:ind w:firstLine="452"/>
        <w:spacing w:line="360" w:lineRule="auto"/>
        <w:rPr>
          <w:spacing w:val="8"/>
          <w:szCs w:val="21"/>
        </w:rPr>
      </w:pPr>
      <w:r>
        <w:rPr>
          <w:spacing w:val="8"/>
          <w:szCs w:val="21"/>
        </w:rPr>
        <w:t xml:space="preserve">名 称：江苏省设备成套股份有限公司</w:t>
      </w:r>
      <w:r>
        <w:rPr>
          <w:spacing w:val="8"/>
          <w:szCs w:val="21"/>
        </w:rPr>
      </w:r>
      <w:r/>
    </w:p>
    <w:p>
      <w:pPr>
        <w:pStyle w:val="1082"/>
        <w:ind w:firstLine="452"/>
        <w:spacing w:line="360" w:lineRule="auto"/>
        <w:rPr>
          <w:spacing w:val="8"/>
          <w:szCs w:val="21"/>
        </w:rPr>
      </w:pPr>
      <w:r>
        <w:rPr>
          <w:spacing w:val="8"/>
          <w:szCs w:val="21"/>
        </w:rPr>
        <w:t xml:space="preserve">联系人：路紫明</w:t>
      </w:r>
      <w:r>
        <w:rPr>
          <w:spacing w:val="8"/>
          <w:szCs w:val="21"/>
        </w:rPr>
      </w:r>
      <w:r/>
    </w:p>
    <w:p>
      <w:pPr>
        <w:pStyle w:val="1082"/>
        <w:ind w:firstLine="452"/>
        <w:spacing w:line="360" w:lineRule="auto"/>
        <w:rPr>
          <w:rFonts w:eastAsia="宋体"/>
          <w:spacing w:val="8"/>
          <w:szCs w:val="21"/>
          <w:lang w:val="en-US" w:eastAsia="zh-CN"/>
        </w:rPr>
      </w:pPr>
      <w:r>
        <w:rPr>
          <w:spacing w:val="8"/>
          <w:szCs w:val="21"/>
        </w:rPr>
        <w:t xml:space="preserve">联系电话：025-86633685</w:t>
      </w:r>
      <w:r>
        <w:rPr>
          <w:rFonts w:hint="eastAsia"/>
          <w:spacing w:val="8"/>
          <w:szCs w:val="21"/>
          <w:lang w:val="en-US" w:eastAsia="zh-CN"/>
        </w:rPr>
        <w:t xml:space="preserve">,13701405790</w:t>
      </w:r>
      <w:r>
        <w:rPr>
          <w:rFonts w:eastAsia="宋体"/>
          <w:spacing w:val="8"/>
          <w:szCs w:val="21"/>
          <w:lang w:val="en-US" w:eastAsia="zh-CN"/>
        </w:rPr>
      </w:r>
      <w:r/>
    </w:p>
    <w:p>
      <w:pPr>
        <w:pStyle w:val="1082"/>
        <w:ind w:firstLine="452"/>
        <w:spacing w:line="360" w:lineRule="auto"/>
        <w:rPr>
          <w:spacing w:val="8"/>
          <w:szCs w:val="21"/>
        </w:rPr>
      </w:pPr>
      <w:r>
        <w:rPr>
          <w:spacing w:val="8"/>
          <w:szCs w:val="21"/>
        </w:rPr>
        <w:t xml:space="preserve">联系传真：025-83301003</w:t>
      </w:r>
      <w:r>
        <w:rPr>
          <w:spacing w:val="8"/>
          <w:szCs w:val="21"/>
        </w:rPr>
      </w:r>
      <w:r/>
    </w:p>
    <w:p>
      <w:pPr>
        <w:pStyle w:val="1082"/>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1082"/>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82"/>
        <w:ind w:firstLine="452"/>
        <w:spacing w:line="360" w:lineRule="auto"/>
        <w:rPr>
          <w:spacing w:val="8"/>
          <w:szCs w:val="21"/>
        </w:rPr>
      </w:pPr>
      <w:r>
        <w:rPr>
          <w:spacing w:val="8"/>
          <w:szCs w:val="21"/>
        </w:rPr>
        <w:t xml:space="preserve">7.3项目联系方式</w:t>
      </w:r>
      <w:r>
        <w:rPr>
          <w:spacing w:val="8"/>
          <w:szCs w:val="21"/>
        </w:rPr>
      </w:r>
      <w:r/>
    </w:p>
    <w:p>
      <w:pPr>
        <w:pStyle w:val="1082"/>
        <w:ind w:firstLine="452"/>
        <w:spacing w:line="360" w:lineRule="auto"/>
        <w:rPr>
          <w:spacing w:val="8"/>
          <w:szCs w:val="21"/>
        </w:rPr>
      </w:pPr>
      <w:r>
        <w:rPr>
          <w:spacing w:val="8"/>
          <w:szCs w:val="21"/>
        </w:rPr>
        <w:t xml:space="preserve">项目联系人：路紫明</w:t>
      </w:r>
      <w:r>
        <w:rPr>
          <w:spacing w:val="8"/>
          <w:szCs w:val="21"/>
        </w:rPr>
      </w:r>
      <w:r/>
    </w:p>
    <w:p>
      <w:pPr>
        <w:pStyle w:val="1082"/>
        <w:ind w:firstLine="452"/>
        <w:spacing w:line="360" w:lineRule="auto"/>
        <w:rPr>
          <w:spacing w:val="8"/>
          <w:szCs w:val="21"/>
        </w:rPr>
      </w:pPr>
      <w:r>
        <w:rPr>
          <w:spacing w:val="8"/>
          <w:szCs w:val="21"/>
        </w:rPr>
        <w:t xml:space="preserve">电　　 话：025-86633685</w:t>
      </w:r>
      <w:r>
        <w:rPr>
          <w:rFonts w:hint="eastAsia"/>
          <w:spacing w:val="8"/>
          <w:szCs w:val="21"/>
          <w:lang w:val="en-US" w:eastAsia="zh-CN"/>
        </w:rPr>
        <w:t xml:space="preserve">,13701405790</w:t>
      </w:r>
      <w:r>
        <w:rPr>
          <w:spacing w:val="8"/>
          <w:szCs w:val="21"/>
        </w:rPr>
      </w:r>
      <w:r/>
    </w:p>
    <w:p>
      <w:pPr>
        <w:pStyle w:val="1082"/>
        <w:ind w:firstLine="452"/>
        <w:jc w:val="right"/>
        <w:spacing w:line="460" w:lineRule="exact"/>
        <w:shd w:val="clear" w:color="auto" w:fill="ffffff"/>
        <w:widowControl/>
        <w:rPr>
          <w:spacing w:val="8"/>
          <w:szCs w:val="20"/>
        </w:rPr>
      </w:pPr>
      <w:r>
        <w:rPr>
          <w:spacing w:val="8"/>
          <w:szCs w:val="20"/>
        </w:rPr>
      </w:r>
      <w:r/>
    </w:p>
    <w:p>
      <w:pPr>
        <w:pStyle w:val="1163"/>
        <w:ind w:firstLine="452"/>
        <w:rPr>
          <w:spacing w:val="8"/>
          <w:szCs w:val="21"/>
        </w:rPr>
      </w:pPr>
      <w:r>
        <w:rPr>
          <w:spacing w:val="8"/>
          <w:szCs w:val="21"/>
        </w:rPr>
      </w:r>
      <w:r/>
    </w:p>
    <w:p>
      <w:pPr>
        <w:pStyle w:val="1082"/>
      </w:pPr>
      <w:r/>
      <w:bookmarkStart w:id="6" w:name="_Toc7593"/>
      <w:r>
        <w:br w:type="page" w:clear="all"/>
      </w:r>
      <w:r/>
    </w:p>
    <w:p>
      <w:pPr>
        <w:pStyle w:val="1083"/>
        <w:numPr>
          <w:ilvl w:val="0"/>
          <w:numId w:val="0"/>
        </w:numPr>
      </w:pPr>
      <w:r>
        <w:t xml:space="preserve">第二章</w:t>
      </w:r>
      <w:bookmarkStart w:id="7" w:name="_Toc452625218"/>
      <w:r>
        <w:t xml:space="preserve"> 投标人须知</w:t>
      </w:r>
      <w:bookmarkEnd w:id="6"/>
      <w:r/>
      <w:bookmarkEnd w:id="7"/>
      <w:r/>
      <w:r/>
    </w:p>
    <w:p>
      <w:pPr>
        <w:pStyle w:val="1082"/>
        <w:ind w:firstLine="424"/>
        <w:spacing w:line="360" w:lineRule="auto"/>
        <w:shd w:val="clear" w:color="auto" w:fill="ffffff"/>
        <w:widowControl/>
        <w:rPr>
          <w:szCs w:val="21"/>
        </w:rPr>
      </w:pPr>
      <w:r>
        <w:rPr>
          <w:b/>
          <w:bCs/>
          <w:szCs w:val="21"/>
        </w:rPr>
        <w:t xml:space="preserve">一、总 则</w:t>
      </w:r>
      <w:r>
        <w:rPr>
          <w:szCs w:val="21"/>
        </w:rPr>
      </w:r>
      <w:r/>
    </w:p>
    <w:p>
      <w:pPr>
        <w:pStyle w:val="1082"/>
        <w:ind w:firstLine="420"/>
        <w:spacing w:line="360" w:lineRule="auto"/>
        <w:shd w:val="clear" w:color="auto" w:fill="ffffff"/>
        <w:widowControl/>
        <w:rPr>
          <w:szCs w:val="21"/>
        </w:rPr>
      </w:pPr>
      <w:r>
        <w:rPr>
          <w:b/>
          <w:bCs/>
          <w:szCs w:val="21"/>
        </w:rPr>
        <w:t xml:space="preserve">1、适用法律</w:t>
      </w:r>
      <w:r>
        <w:rPr>
          <w:szCs w:val="21"/>
        </w:rPr>
      </w:r>
      <w:r/>
    </w:p>
    <w:p>
      <w:pPr>
        <w:pStyle w:val="1082"/>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82"/>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82"/>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82"/>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82"/>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82"/>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82"/>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82"/>
        <w:ind w:firstLine="420"/>
        <w:spacing w:line="360" w:lineRule="auto"/>
        <w:shd w:val="clear" w:color="auto" w:fill="ffffff"/>
        <w:widowControl/>
        <w:rPr>
          <w:szCs w:val="21"/>
        </w:rPr>
      </w:pPr>
      <w:r>
        <w:rPr>
          <w:b/>
          <w:bCs/>
          <w:szCs w:val="21"/>
        </w:rPr>
        <w:t xml:space="preserve">3、政策功能</w:t>
      </w:r>
      <w:r>
        <w:rPr>
          <w:szCs w:val="21"/>
        </w:rPr>
      </w:r>
      <w:r/>
    </w:p>
    <w:p>
      <w:pPr>
        <w:pStyle w:val="1082"/>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82"/>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82"/>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82"/>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82"/>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82"/>
        <w:ind w:firstLine="420"/>
        <w:spacing w:line="360" w:lineRule="auto"/>
        <w:shd w:val="clear" w:color="auto" w:fill="ffffff"/>
        <w:widowControl/>
        <w:rPr>
          <w:szCs w:val="21"/>
        </w:rPr>
      </w:pPr>
      <w:r>
        <w:rPr>
          <w:szCs w:val="21"/>
        </w:rPr>
        <w:t xml:space="preserve">3.6进口产品政策</w:t>
      </w:r>
      <w:r>
        <w:rPr>
          <w:szCs w:val="21"/>
        </w:rPr>
      </w:r>
      <w:r/>
    </w:p>
    <w:p>
      <w:pPr>
        <w:pStyle w:val="1082"/>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82"/>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82"/>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82"/>
        <w:ind w:firstLine="420"/>
        <w:spacing w:line="360" w:lineRule="auto"/>
        <w:shd w:val="clear" w:color="auto" w:fill="ffffff"/>
        <w:widowControl/>
        <w:rPr>
          <w:szCs w:val="21"/>
        </w:rPr>
      </w:pPr>
      <w:r>
        <w:rPr>
          <w:szCs w:val="21"/>
        </w:rPr>
        <w:t xml:space="preserve">3.7本国产品支持政策</w:t>
      </w:r>
      <w:r>
        <w:rPr>
          <w:szCs w:val="21"/>
        </w:rPr>
      </w:r>
      <w:r/>
    </w:p>
    <w:p>
      <w:pPr>
        <w:pStyle w:val="1082"/>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1082"/>
        <w:ind w:firstLine="412"/>
        <w:spacing w:line="360" w:lineRule="auto"/>
        <w:shd w:val="clear" w:color="auto" w:fill="ffffff"/>
        <w:widowControl/>
        <w:rPr>
          <w:szCs w:val="21"/>
        </w:rPr>
      </w:pPr>
      <w:r>
        <w:rPr>
          <w:b/>
          <w:bCs/>
          <w:szCs w:val="21"/>
        </w:rPr>
        <w:t xml:space="preserve">二、招标文件构成</w:t>
      </w:r>
      <w:r>
        <w:rPr>
          <w:szCs w:val="21"/>
        </w:rPr>
      </w:r>
      <w:r/>
    </w:p>
    <w:p>
      <w:pPr>
        <w:pStyle w:val="1082"/>
        <w:ind w:firstLine="420"/>
        <w:spacing w:line="360" w:lineRule="auto"/>
        <w:shd w:val="clear" w:color="auto" w:fill="ffffff"/>
        <w:widowControl/>
        <w:rPr>
          <w:szCs w:val="21"/>
        </w:rPr>
      </w:pPr>
      <w:r>
        <w:rPr>
          <w:b/>
          <w:bCs/>
          <w:szCs w:val="21"/>
        </w:rPr>
        <w:t xml:space="preserve">4、招标文件组成</w:t>
      </w:r>
      <w:r>
        <w:rPr>
          <w:szCs w:val="21"/>
        </w:rPr>
      </w:r>
      <w:r/>
    </w:p>
    <w:p>
      <w:pPr>
        <w:pStyle w:val="1082"/>
        <w:ind w:firstLine="420"/>
        <w:spacing w:line="360" w:lineRule="auto"/>
        <w:shd w:val="clear" w:color="auto" w:fill="ffffff"/>
        <w:widowControl/>
        <w:rPr>
          <w:szCs w:val="21"/>
        </w:rPr>
      </w:pPr>
      <w:r>
        <w:rPr>
          <w:szCs w:val="21"/>
        </w:rPr>
        <w:t xml:space="preserve">4.1（1）招标公告；</w:t>
      </w:r>
      <w:r>
        <w:rPr>
          <w:szCs w:val="21"/>
        </w:rPr>
      </w:r>
      <w:r/>
    </w:p>
    <w:p>
      <w:pPr>
        <w:pStyle w:val="1082"/>
        <w:ind w:firstLine="420"/>
        <w:spacing w:line="360" w:lineRule="auto"/>
        <w:shd w:val="clear" w:color="auto" w:fill="ffffff"/>
        <w:widowControl/>
        <w:rPr>
          <w:szCs w:val="21"/>
        </w:rPr>
      </w:pPr>
      <w:r>
        <w:rPr>
          <w:szCs w:val="21"/>
        </w:rPr>
        <w:t xml:space="preserve">（2）投标人须知；</w:t>
      </w:r>
      <w:r>
        <w:rPr>
          <w:szCs w:val="21"/>
        </w:rPr>
      </w:r>
      <w:r/>
    </w:p>
    <w:p>
      <w:pPr>
        <w:pStyle w:val="1082"/>
        <w:ind w:firstLine="420"/>
        <w:spacing w:line="360" w:lineRule="auto"/>
        <w:shd w:val="clear" w:color="auto" w:fill="ffffff"/>
        <w:widowControl/>
        <w:rPr>
          <w:szCs w:val="21"/>
        </w:rPr>
      </w:pPr>
      <w:r>
        <w:rPr>
          <w:szCs w:val="21"/>
        </w:rPr>
        <w:t xml:space="preserve">（3）评标标准；</w:t>
      </w:r>
      <w:r>
        <w:rPr>
          <w:szCs w:val="21"/>
        </w:rPr>
      </w:r>
      <w:r/>
    </w:p>
    <w:p>
      <w:pPr>
        <w:pStyle w:val="1082"/>
        <w:ind w:firstLine="420"/>
        <w:spacing w:line="360" w:lineRule="auto"/>
        <w:shd w:val="clear" w:color="auto" w:fill="ffffff"/>
        <w:widowControl/>
        <w:rPr>
          <w:szCs w:val="21"/>
        </w:rPr>
      </w:pPr>
      <w:r>
        <w:rPr>
          <w:szCs w:val="21"/>
        </w:rPr>
        <w:t xml:space="preserve">（4）采购需求；</w:t>
      </w:r>
      <w:r>
        <w:rPr>
          <w:szCs w:val="21"/>
        </w:rPr>
      </w:r>
      <w:r/>
    </w:p>
    <w:p>
      <w:pPr>
        <w:pStyle w:val="1082"/>
        <w:ind w:firstLine="420"/>
        <w:spacing w:line="360" w:lineRule="auto"/>
        <w:shd w:val="clear" w:color="auto" w:fill="ffffff"/>
        <w:widowControl/>
        <w:rPr>
          <w:szCs w:val="21"/>
        </w:rPr>
      </w:pPr>
      <w:r>
        <w:rPr>
          <w:szCs w:val="21"/>
        </w:rPr>
        <w:t xml:space="preserve">（5）合同主要条款及格式；</w:t>
      </w:r>
      <w:r>
        <w:rPr>
          <w:szCs w:val="21"/>
        </w:rPr>
      </w:r>
      <w:r/>
    </w:p>
    <w:p>
      <w:pPr>
        <w:pStyle w:val="1082"/>
        <w:ind w:firstLine="420"/>
        <w:spacing w:line="360" w:lineRule="auto"/>
        <w:shd w:val="clear" w:color="auto" w:fill="ffffff"/>
        <w:widowControl/>
        <w:rPr>
          <w:szCs w:val="21"/>
        </w:rPr>
      </w:pPr>
      <w:r>
        <w:rPr>
          <w:szCs w:val="21"/>
        </w:rPr>
        <w:t xml:space="preserve">（6）投标文件格式及附件。</w:t>
      </w:r>
      <w:r>
        <w:rPr>
          <w:szCs w:val="21"/>
        </w:rPr>
      </w:r>
      <w:r/>
    </w:p>
    <w:p>
      <w:pPr>
        <w:pStyle w:val="1082"/>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82"/>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82"/>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82"/>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82"/>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82"/>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82"/>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82"/>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82"/>
        <w:ind w:firstLine="420"/>
        <w:spacing w:line="360" w:lineRule="auto"/>
        <w:shd w:val="clear" w:color="auto" w:fill="ffffff"/>
        <w:widowControl/>
        <w:rPr>
          <w:szCs w:val="21"/>
        </w:rPr>
      </w:pPr>
      <w:r>
        <w:rPr>
          <w:b/>
          <w:bCs/>
          <w:szCs w:val="21"/>
        </w:rPr>
        <w:t xml:space="preserve">三、投标文件的编制</w:t>
      </w:r>
      <w:r>
        <w:rPr>
          <w:szCs w:val="21"/>
        </w:rPr>
      </w:r>
      <w:r/>
    </w:p>
    <w:p>
      <w:pPr>
        <w:pStyle w:val="1082"/>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82"/>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82"/>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82"/>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82"/>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82"/>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82"/>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82"/>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82"/>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82"/>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82"/>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82"/>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82"/>
        <w:ind w:firstLine="420"/>
        <w:spacing w:line="360" w:lineRule="auto"/>
        <w:shd w:val="clear" w:color="auto" w:fill="ffffff"/>
        <w:widowControl/>
        <w:rPr>
          <w:szCs w:val="21"/>
        </w:rPr>
      </w:pPr>
      <w:r>
        <w:rPr>
          <w:b/>
          <w:bCs/>
          <w:szCs w:val="21"/>
        </w:rPr>
        <w:t xml:space="preserve">8、投标文件的组成</w:t>
      </w:r>
      <w:r>
        <w:rPr>
          <w:szCs w:val="21"/>
        </w:rPr>
      </w:r>
      <w:r/>
    </w:p>
    <w:p>
      <w:pPr>
        <w:pStyle w:val="1082"/>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rPr>
          <w:b/>
          <w:szCs w:val="21"/>
        </w:rPr>
      </w:r>
      <w:r/>
    </w:p>
    <w:p>
      <w:pPr>
        <w:pStyle w:val="1082"/>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82"/>
        <w:ind w:firstLine="420"/>
        <w:spacing w:line="360" w:lineRule="auto"/>
        <w:shd w:val="clear" w:color="auto" w:fill="ffffff"/>
        <w:widowControl/>
        <w:rPr>
          <w:szCs w:val="21"/>
        </w:rPr>
      </w:pPr>
      <w:r>
        <w:rPr>
          <w:b/>
          <w:bCs/>
          <w:szCs w:val="21"/>
        </w:rPr>
        <w:t xml:space="preserve">9、投标文件的商务内容</w:t>
      </w:r>
      <w:r>
        <w:rPr>
          <w:szCs w:val="21"/>
        </w:rPr>
      </w:r>
      <w:r/>
    </w:p>
    <w:p>
      <w:pPr>
        <w:pStyle w:val="1082"/>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82"/>
        <w:ind w:firstLine="420"/>
        <w:spacing w:line="360" w:lineRule="auto"/>
        <w:shd w:val="clear" w:color="auto" w:fill="ffffff"/>
        <w:widowControl/>
        <w:rPr>
          <w:szCs w:val="21"/>
        </w:rPr>
      </w:pPr>
      <w:r>
        <w:rPr>
          <w:szCs w:val="21"/>
        </w:rPr>
        <w:t xml:space="preserve">（3）投标人资格资信证明文件：</w:t>
      </w:r>
      <w:r>
        <w:rPr>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82"/>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（5）《商务条款偏离表》；</w:t>
      </w:r>
      <w:r>
        <w:rPr>
          <w:szCs w:val="21"/>
        </w:rPr>
      </w:r>
      <w:r/>
    </w:p>
    <w:p>
      <w:pPr>
        <w:pStyle w:val="1082"/>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1082"/>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1082"/>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1082"/>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82"/>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82"/>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82"/>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82"/>
        <w:ind w:firstLine="420"/>
        <w:jc w:val="left"/>
        <w:spacing w:line="360" w:lineRule="auto"/>
        <w:widowControl/>
        <w:rPr>
          <w:szCs w:val="21"/>
          <w:lang w:val="zh-CN"/>
        </w:rPr>
      </w:pPr>
      <w:r>
        <w:rPr>
          <w:szCs w:val="21"/>
          <w:lang w:val="zh-CN"/>
        </w:rPr>
        <w:t xml:space="preserve">（3）服务承诺；</w:t>
      </w:r>
      <w:r>
        <w:rPr>
          <w:szCs w:val="21"/>
          <w:lang w:val="zh-CN"/>
        </w:rPr>
      </w:r>
      <w:r/>
    </w:p>
    <w:p>
      <w:pPr>
        <w:pStyle w:val="1082"/>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82"/>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82"/>
        <w:ind w:firstLine="420"/>
        <w:spacing w:line="360" w:lineRule="auto"/>
        <w:shd w:val="clear" w:color="auto" w:fill="ffffff"/>
        <w:widowControl/>
        <w:rPr>
          <w:szCs w:val="21"/>
        </w:rPr>
      </w:pPr>
      <w:r>
        <w:rPr>
          <w:b/>
          <w:bCs/>
          <w:szCs w:val="21"/>
        </w:rPr>
        <w:t xml:space="preserve">11、投标文件的价格内容</w:t>
      </w:r>
      <w:r>
        <w:rPr>
          <w:szCs w:val="21"/>
        </w:rPr>
      </w:r>
      <w:r/>
    </w:p>
    <w:p>
      <w:pPr>
        <w:pStyle w:val="1082"/>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82"/>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82"/>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82"/>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82"/>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82"/>
        <w:ind w:firstLine="420"/>
        <w:spacing w:line="360" w:lineRule="auto"/>
        <w:shd w:val="clear" w:color="auto" w:fill="ffffff"/>
        <w:widowControl/>
        <w:rPr>
          <w:szCs w:val="21"/>
        </w:rPr>
      </w:pPr>
      <w:r>
        <w:rPr>
          <w:b/>
          <w:bCs/>
          <w:szCs w:val="21"/>
        </w:rPr>
        <w:t xml:space="preserve">12、投标文件的其他部分</w:t>
      </w:r>
      <w:r>
        <w:rPr>
          <w:szCs w:val="21"/>
        </w:rPr>
      </w:r>
      <w:r/>
    </w:p>
    <w:p>
      <w:pPr>
        <w:pStyle w:val="1082"/>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82"/>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163"/>
        <w:ind w:firstLine="422"/>
      </w:pPr>
      <w:r>
        <w:rPr>
          <w:b/>
          <w:bCs/>
          <w:szCs w:val="21"/>
        </w:rPr>
        <w:t xml:space="preserve">不收取</w:t>
      </w:r>
      <w:r/>
    </w:p>
    <w:p>
      <w:pPr>
        <w:pStyle w:val="1082"/>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82"/>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82"/>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82"/>
        <w:ind w:firstLine="420"/>
        <w:spacing w:line="360" w:lineRule="auto"/>
        <w:shd w:val="clear" w:color="auto" w:fill="ffffff"/>
        <w:widowControl/>
        <w:rPr>
          <w:szCs w:val="21"/>
        </w:rPr>
      </w:pPr>
      <w:r>
        <w:rPr>
          <w:b/>
          <w:bCs/>
          <w:szCs w:val="21"/>
        </w:rPr>
        <w:t xml:space="preserve">15、投标文件签署</w:t>
      </w:r>
      <w:r>
        <w:rPr>
          <w:szCs w:val="21"/>
        </w:rPr>
      </w:r>
      <w:r/>
    </w:p>
    <w:p>
      <w:pPr>
        <w:pStyle w:val="1082"/>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82"/>
        <w:ind w:firstLine="420"/>
        <w:spacing w:line="360" w:lineRule="auto"/>
        <w:shd w:val="clear" w:color="auto" w:fill="ffffff"/>
        <w:widowControl/>
        <w:rPr>
          <w:szCs w:val="21"/>
        </w:rPr>
      </w:pPr>
      <w:r>
        <w:rPr>
          <w:b/>
          <w:bCs/>
          <w:szCs w:val="21"/>
        </w:rPr>
        <w:t xml:space="preserve">16、投标费用</w:t>
      </w:r>
      <w:r>
        <w:rPr>
          <w:szCs w:val="21"/>
        </w:rPr>
      </w:r>
      <w:r/>
    </w:p>
    <w:p>
      <w:pPr>
        <w:pStyle w:val="1082"/>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82"/>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b/>
          <w:szCs w:val="21"/>
          <w:u w:val="single"/>
        </w:rPr>
        <w:t xml:space="preserve">货物</w:t>
      </w:r>
      <w:r>
        <w:rPr>
          <w:b/>
          <w:szCs w:val="21"/>
        </w:rPr>
        <w:t xml:space="preserve">招标收费基准费率80%计算，在领取中标通知书前向采购代理机构支付招标服务费。本项费用无需在投标报价表中单列。</w:t>
      </w:r>
      <w:r>
        <w:rPr>
          <w:b/>
          <w:szCs w:val="21"/>
        </w:rPr>
      </w:r>
      <w:r/>
    </w:p>
    <w:p>
      <w:pPr>
        <w:pStyle w:val="1082"/>
        <w:ind w:firstLine="420"/>
        <w:spacing w:line="360" w:lineRule="auto"/>
        <w:shd w:val="clear" w:color="auto" w:fill="ffffff"/>
        <w:widowControl/>
        <w:rPr>
          <w:szCs w:val="21"/>
        </w:rPr>
      </w:pPr>
      <w:r>
        <w:rPr>
          <w:b/>
          <w:bCs/>
          <w:szCs w:val="21"/>
        </w:rPr>
        <w:t xml:space="preserve">四、投标文件的递交</w:t>
      </w:r>
      <w:r>
        <w:rPr>
          <w:szCs w:val="21"/>
        </w:rPr>
      </w:r>
      <w:r/>
    </w:p>
    <w:p>
      <w:pPr>
        <w:pStyle w:val="1082"/>
        <w:ind w:firstLine="420"/>
        <w:spacing w:line="360" w:lineRule="auto"/>
        <w:shd w:val="clear" w:color="auto" w:fill="ffffff"/>
        <w:widowControl/>
        <w:rPr>
          <w:szCs w:val="21"/>
        </w:rPr>
      </w:pPr>
      <w:r>
        <w:rPr>
          <w:szCs w:val="21"/>
        </w:rPr>
        <w:t xml:space="preserve">17、投标文件的递交</w:t>
      </w:r>
      <w:r>
        <w:rPr>
          <w:szCs w:val="21"/>
        </w:rPr>
      </w:r>
      <w:r/>
    </w:p>
    <w:p>
      <w:pPr>
        <w:pStyle w:val="1082"/>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82"/>
        <w:ind w:firstLine="420"/>
        <w:spacing w:line="360" w:lineRule="auto"/>
        <w:shd w:val="clear" w:color="auto" w:fill="ffffff"/>
        <w:widowControl/>
        <w:rPr>
          <w:szCs w:val="21"/>
        </w:rPr>
      </w:pPr>
      <w:r>
        <w:rPr>
          <w:szCs w:val="21"/>
        </w:rPr>
        <w:t xml:space="preserve">18、投标文件的解密</w:t>
      </w:r>
      <w:r>
        <w:rPr>
          <w:szCs w:val="21"/>
        </w:rPr>
      </w:r>
      <w:r/>
    </w:p>
    <w:p>
      <w:pPr>
        <w:pStyle w:val="1082"/>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82"/>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82"/>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82"/>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82"/>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82"/>
        <w:ind w:firstLine="420"/>
        <w:spacing w:line="360" w:lineRule="auto"/>
        <w:shd w:val="clear" w:color="auto" w:fill="ffffff"/>
        <w:widowControl/>
        <w:rPr>
          <w:szCs w:val="21"/>
        </w:rPr>
      </w:pPr>
      <w:r>
        <w:rPr>
          <w:b/>
          <w:bCs/>
          <w:szCs w:val="21"/>
        </w:rPr>
        <w:t xml:space="preserve">20、诚实信用</w:t>
      </w:r>
      <w:r>
        <w:rPr>
          <w:szCs w:val="21"/>
        </w:rPr>
      </w:r>
      <w:r/>
    </w:p>
    <w:p>
      <w:pPr>
        <w:pStyle w:val="1082"/>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82"/>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82"/>
        <w:ind w:firstLine="420"/>
        <w:spacing w:line="360" w:lineRule="auto"/>
        <w:shd w:val="clear" w:color="auto" w:fill="ffffff"/>
        <w:widowControl/>
        <w:rPr>
          <w:szCs w:val="21"/>
        </w:rPr>
      </w:pPr>
      <w:r>
        <w:rPr>
          <w:b/>
          <w:bCs/>
          <w:szCs w:val="21"/>
        </w:rPr>
        <w:t xml:space="preserve">五、开标、评标与定标</w:t>
      </w:r>
      <w:r>
        <w:rPr>
          <w:szCs w:val="21"/>
        </w:rPr>
      </w:r>
      <w:r/>
    </w:p>
    <w:p>
      <w:pPr>
        <w:pStyle w:val="1082"/>
        <w:ind w:firstLine="420"/>
        <w:spacing w:line="360" w:lineRule="auto"/>
        <w:shd w:val="clear" w:color="auto" w:fill="ffffff"/>
        <w:widowControl/>
        <w:rPr>
          <w:szCs w:val="21"/>
        </w:rPr>
      </w:pPr>
      <w:r>
        <w:rPr>
          <w:b/>
          <w:bCs/>
          <w:szCs w:val="21"/>
        </w:rPr>
        <w:t xml:space="preserve">21、开标</w:t>
      </w:r>
      <w:r>
        <w:rPr>
          <w:szCs w:val="21"/>
        </w:rPr>
      </w:r>
      <w:r/>
    </w:p>
    <w:p>
      <w:pPr>
        <w:pStyle w:val="1082"/>
        <w:ind w:firstLine="420"/>
        <w:spacing w:line="360" w:lineRule="auto"/>
        <w:shd w:val="clear" w:color="auto" w:fill="ffffff"/>
        <w:widowControl/>
        <w:rPr>
          <w:szCs w:val="21"/>
        </w:rPr>
      </w:pPr>
      <w:r>
        <w:rPr>
          <w:szCs w:val="21"/>
        </w:rPr>
        <w:t xml:space="preserve">21、开标</w:t>
      </w:r>
      <w:r>
        <w:rPr>
          <w:szCs w:val="21"/>
        </w:rPr>
      </w:r>
      <w:r/>
    </w:p>
    <w:p>
      <w:pPr>
        <w:pStyle w:val="1082"/>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82"/>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82"/>
        <w:ind w:firstLine="420"/>
        <w:spacing w:line="360" w:lineRule="auto"/>
        <w:shd w:val="clear" w:color="auto" w:fill="ffffff"/>
        <w:widowControl/>
        <w:rPr>
          <w:szCs w:val="21"/>
        </w:rPr>
      </w:pPr>
      <w:r>
        <w:rPr>
          <w:szCs w:val="21"/>
        </w:rPr>
        <w:t xml:space="preserve">21.3投标人不足3家的，不得开标。</w:t>
      </w:r>
      <w:r>
        <w:rPr>
          <w:szCs w:val="21"/>
        </w:rPr>
      </w:r>
      <w:r/>
    </w:p>
    <w:p>
      <w:pPr>
        <w:pStyle w:val="1082"/>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82"/>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82"/>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82"/>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82"/>
        <w:ind w:firstLine="420"/>
        <w:spacing w:line="360" w:lineRule="auto"/>
        <w:shd w:val="clear" w:color="auto" w:fill="ffffff"/>
        <w:widowControl/>
        <w:rPr>
          <w:szCs w:val="21"/>
        </w:rPr>
      </w:pPr>
      <w:r>
        <w:rPr>
          <w:b/>
          <w:bCs/>
          <w:szCs w:val="21"/>
        </w:rPr>
        <w:t xml:space="preserve">22、评标</w:t>
      </w:r>
      <w:r>
        <w:rPr>
          <w:szCs w:val="21"/>
        </w:rPr>
      </w:r>
      <w:r/>
    </w:p>
    <w:p>
      <w:pPr>
        <w:pStyle w:val="1082"/>
        <w:ind w:firstLine="420"/>
        <w:spacing w:line="360" w:lineRule="auto"/>
        <w:shd w:val="clear" w:color="auto" w:fill="ffffff"/>
        <w:widowControl/>
        <w:rPr>
          <w:szCs w:val="21"/>
        </w:rPr>
      </w:pPr>
      <w:r>
        <w:rPr>
          <w:b/>
          <w:bCs/>
          <w:szCs w:val="21"/>
        </w:rPr>
        <w:t xml:space="preserve">22.1 评标委员会</w:t>
      </w:r>
      <w:r>
        <w:rPr>
          <w:szCs w:val="21"/>
        </w:rPr>
      </w:r>
      <w:r/>
    </w:p>
    <w:p>
      <w:pPr>
        <w:pStyle w:val="1082"/>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82"/>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82"/>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82"/>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82"/>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82"/>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82"/>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82"/>
        <w:ind w:firstLine="420"/>
        <w:jc w:val="left"/>
        <w:spacing w:line="360" w:lineRule="auto"/>
        <w:shd w:val="clear" w:color="auto" w:fill="ffffff"/>
        <w:widowControl/>
        <w:rPr>
          <w:szCs w:val="21"/>
        </w:rPr>
      </w:pPr>
      <w:r>
        <w:rPr>
          <w:b/>
          <w:bCs/>
          <w:szCs w:val="21"/>
        </w:rPr>
        <w:t xml:space="preserve">22.2  评标程序</w:t>
      </w:r>
      <w:r>
        <w:rPr>
          <w:szCs w:val="21"/>
        </w:rPr>
      </w:r>
      <w:r/>
    </w:p>
    <w:p>
      <w:pPr>
        <w:pStyle w:val="1082"/>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82"/>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1082"/>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）投标文件内容不全或不符合招标文件中规定的其他实质性要求的；</w:t>
      </w:r>
      <w:r>
        <w:rPr>
          <w:b/>
          <w:szCs w:val="21"/>
        </w:rPr>
      </w:r>
      <w:r/>
    </w:p>
    <w:p>
      <w:pPr>
        <w:pStyle w:val="1082"/>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8</w:t>
      </w:r>
      <w:r>
        <w:rPr>
          <w:b/>
          <w:szCs w:val="21"/>
        </w:rPr>
        <w:t xml:space="preserve">）现行法律、法规、规章和招标文件规定的其他无效情形。</w:t>
      </w:r>
      <w:r>
        <w:rPr>
          <w:b/>
          <w:szCs w:val="21"/>
        </w:rPr>
      </w:r>
      <w:r/>
    </w:p>
    <w:p>
      <w:pPr>
        <w:pStyle w:val="1082"/>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1082"/>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1082"/>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82"/>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82"/>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82"/>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82"/>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82"/>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82"/>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163"/>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163"/>
        <w:spacing w:line="360" w:lineRule="auto"/>
        <w:rPr>
          <w:szCs w:val="21"/>
          <w:lang w:val="zh-CN"/>
        </w:rPr>
      </w:pPr>
      <w:r>
        <w:rPr>
          <w:szCs w:val="21"/>
          <w:lang w:val="zh-CN"/>
        </w:rPr>
        <w:t xml:space="preserve">评委会并非对每个投标人都做澄清要求。</w:t>
      </w:r>
      <w:r>
        <w:rPr>
          <w:szCs w:val="21"/>
          <w:lang w:val="zh-CN"/>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82"/>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82"/>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82"/>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82"/>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163"/>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82"/>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82"/>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82"/>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82"/>
        <w:ind w:firstLine="420"/>
        <w:jc w:val="left"/>
        <w:spacing w:line="360" w:lineRule="auto"/>
        <w:shd w:val="clear" w:color="auto" w:fill="ffffff"/>
        <w:widowControl/>
      </w:pPr>
      <w:r>
        <w:rPr>
          <w:szCs w:val="21"/>
        </w:rPr>
        <w:t xml:space="preserve">22.2.5</w:t>
      </w:r>
      <w:r>
        <w:t xml:space="preserve">相同品牌产品的投标</w:t>
      </w:r>
      <w:r/>
    </w:p>
    <w:p>
      <w:pPr>
        <w:pStyle w:val="1082"/>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82"/>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82"/>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82"/>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82"/>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82"/>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82"/>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82"/>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82"/>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82"/>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82"/>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82"/>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82"/>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82"/>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82"/>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82"/>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1082"/>
        <w:ind w:firstLine="420"/>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1082"/>
        <w:ind w:firstLine="420"/>
        <w:spacing w:line="360" w:lineRule="auto"/>
        <w:shd w:val="clear" w:color="auto" w:fill="ffffff"/>
        <w:widowControl/>
        <w:rPr>
          <w:szCs w:val="21"/>
        </w:rPr>
      </w:pPr>
      <w:r>
        <w:rPr>
          <w:szCs w:val="21"/>
        </w:rPr>
        <w:t xml:space="preserve">（1）投标报价低于全部通过符合性审查投标人投标报价平均值</w:t>
      </w:r>
      <w:r>
        <w:rPr>
          <w:rFonts w:hint="eastAsia"/>
          <w:szCs w:val="21"/>
        </w:rPr>
        <w:t xml:space="preserve">65</w:t>
      </w:r>
      <w:r>
        <w:rPr>
          <w:szCs w:val="21"/>
        </w:rPr>
        <w:t xml:space="preserve">%的，即投标报价&lt;全部通过符合性审查投标人投标报价平均值×</w:t>
      </w:r>
      <w:r>
        <w:rPr>
          <w:rFonts w:hint="eastAsia"/>
          <w:szCs w:val="21"/>
        </w:rPr>
        <w:t xml:space="preserve">65</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（2）投标报价低于通过符合性审查的次低报价投标人投标报价</w:t>
      </w:r>
      <w:r>
        <w:rPr>
          <w:rFonts w:hint="eastAsia"/>
          <w:szCs w:val="21"/>
        </w:rPr>
        <w:t xml:space="preserve">65</w:t>
      </w:r>
      <w:r>
        <w:rPr>
          <w:szCs w:val="21"/>
        </w:rPr>
        <w:t xml:space="preserve">%的，即投标报价&lt;通过符合性审查的次低报价投标人投标报价×</w:t>
      </w:r>
      <w:r>
        <w:rPr>
          <w:rFonts w:hint="eastAsia"/>
          <w:szCs w:val="21"/>
        </w:rPr>
        <w:t xml:space="preserve">65</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（3）投标报价低于本项目最高限价</w:t>
      </w:r>
      <w:r>
        <w:rPr>
          <w:rFonts w:hint="eastAsia"/>
          <w:szCs w:val="21"/>
        </w:rPr>
        <w:t xml:space="preserve">60</w:t>
      </w:r>
      <w:r>
        <w:rPr>
          <w:szCs w:val="21"/>
        </w:rPr>
        <w:t xml:space="preserve">%的，即投标报价&lt;本项目最高限价×</w:t>
      </w:r>
      <w:r>
        <w:rPr>
          <w:rFonts w:hint="eastAsia"/>
          <w:szCs w:val="21"/>
        </w:rPr>
        <w:t xml:space="preserve">60</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1082"/>
        <w:ind w:firstLine="420"/>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1082"/>
        <w:ind w:firstLine="420"/>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1082"/>
        <w:ind w:firstLine="420"/>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w:t>
      </w:r>
      <w:r>
        <w:rPr>
          <w:szCs w:val="21"/>
        </w:rPr>
      </w:r>
      <w:r/>
    </w:p>
    <w:p>
      <w:pPr>
        <w:pStyle w:val="1082"/>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1082"/>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82"/>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82"/>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82"/>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82"/>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82"/>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82"/>
        <w:ind w:firstLine="412"/>
        <w:spacing w:line="360" w:lineRule="auto"/>
        <w:shd w:val="clear" w:color="auto" w:fill="ffffff"/>
        <w:widowControl/>
        <w:rPr>
          <w:szCs w:val="21"/>
        </w:rPr>
      </w:pPr>
      <w:r>
        <w:rPr>
          <w:b/>
          <w:bCs/>
          <w:szCs w:val="21"/>
        </w:rPr>
        <w:t xml:space="preserve">24、编写评标报告</w:t>
      </w:r>
      <w:r>
        <w:rPr>
          <w:szCs w:val="21"/>
        </w:rPr>
      </w:r>
      <w:r/>
    </w:p>
    <w:p>
      <w:pPr>
        <w:pStyle w:val="1082"/>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82"/>
        <w:ind w:firstLine="420"/>
        <w:spacing w:line="360" w:lineRule="auto"/>
        <w:shd w:val="clear" w:color="auto" w:fill="ffffff"/>
        <w:widowControl/>
        <w:rPr>
          <w:szCs w:val="21"/>
        </w:rPr>
      </w:pPr>
      <w:r>
        <w:rPr>
          <w:b/>
          <w:bCs/>
          <w:szCs w:val="21"/>
        </w:rPr>
        <w:t xml:space="preserve">25、评标过程的保密性</w:t>
      </w:r>
      <w:r>
        <w:rPr>
          <w:szCs w:val="21"/>
        </w:rPr>
      </w:r>
      <w:r/>
    </w:p>
    <w:p>
      <w:pPr>
        <w:pStyle w:val="1082"/>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82"/>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82"/>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82"/>
        <w:ind w:firstLine="420"/>
        <w:spacing w:line="360" w:lineRule="auto"/>
        <w:shd w:val="clear" w:color="auto" w:fill="ffffff"/>
        <w:widowControl/>
        <w:rPr>
          <w:szCs w:val="21"/>
        </w:rPr>
      </w:pPr>
      <w:r>
        <w:rPr>
          <w:b/>
          <w:bCs/>
          <w:szCs w:val="21"/>
        </w:rPr>
        <w:t xml:space="preserve">六、签订合同</w:t>
      </w:r>
      <w:r>
        <w:rPr>
          <w:szCs w:val="21"/>
        </w:rPr>
      </w:r>
      <w:r/>
    </w:p>
    <w:p>
      <w:pPr>
        <w:pStyle w:val="1082"/>
        <w:ind w:firstLine="420"/>
        <w:spacing w:line="360" w:lineRule="auto"/>
        <w:shd w:val="clear" w:color="auto" w:fill="ffffff"/>
        <w:widowControl/>
        <w:rPr>
          <w:szCs w:val="21"/>
        </w:rPr>
      </w:pPr>
      <w:r>
        <w:rPr>
          <w:b/>
          <w:bCs/>
          <w:szCs w:val="21"/>
        </w:rPr>
        <w:t xml:space="preserve">26、签订合同</w:t>
      </w:r>
      <w:r>
        <w:rPr>
          <w:szCs w:val="21"/>
        </w:rPr>
      </w:r>
      <w:r/>
    </w:p>
    <w:p>
      <w:pPr>
        <w:pStyle w:val="1082"/>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82"/>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82"/>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82"/>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82"/>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82"/>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82"/>
        <w:ind w:firstLine="420"/>
        <w:spacing w:line="360" w:lineRule="auto"/>
        <w:shd w:val="clear" w:color="auto" w:fill="ffffff"/>
        <w:widowControl/>
        <w:rPr>
          <w:szCs w:val="21"/>
        </w:rPr>
      </w:pPr>
      <w:r>
        <w:rPr>
          <w:b/>
          <w:bCs/>
          <w:szCs w:val="21"/>
        </w:rPr>
        <w:t xml:space="preserve">七、质疑和投诉</w:t>
      </w:r>
      <w:r>
        <w:rPr>
          <w:szCs w:val="21"/>
        </w:rPr>
      </w:r>
      <w:r/>
    </w:p>
    <w:p>
      <w:pPr>
        <w:pStyle w:val="1082"/>
        <w:ind w:firstLine="420"/>
        <w:spacing w:line="360" w:lineRule="auto"/>
        <w:shd w:val="clear" w:color="auto" w:fill="ffffff"/>
        <w:widowControl/>
        <w:rPr>
          <w:szCs w:val="21"/>
        </w:rPr>
      </w:pPr>
      <w:r>
        <w:rPr>
          <w:b/>
          <w:bCs/>
          <w:szCs w:val="21"/>
        </w:rPr>
        <w:t xml:space="preserve">27、质疑</w:t>
      </w:r>
      <w:r>
        <w:rPr>
          <w:szCs w:val="21"/>
        </w:rPr>
      </w:r>
      <w:r/>
    </w:p>
    <w:p>
      <w:pPr>
        <w:pStyle w:val="1082"/>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82"/>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82"/>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szCs w:val="21"/>
        </w:rPr>
      </w:r>
      <w:r/>
    </w:p>
    <w:p>
      <w:pPr>
        <w:pStyle w:val="1082"/>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82"/>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82"/>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82"/>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82"/>
        <w:ind w:firstLine="420"/>
        <w:spacing w:line="360" w:lineRule="auto"/>
        <w:shd w:val="clear" w:color="auto" w:fill="ffffff"/>
        <w:widowControl/>
        <w:rPr>
          <w:szCs w:val="21"/>
        </w:rPr>
      </w:pPr>
      <w:r>
        <w:rPr>
          <w:szCs w:val="21"/>
        </w:rPr>
        <w:t xml:space="preserve">　　（二）质疑项目的名称、编号；</w:t>
      </w:r>
      <w:r>
        <w:rPr>
          <w:szCs w:val="21"/>
        </w:rPr>
      </w:r>
      <w:r/>
    </w:p>
    <w:p>
      <w:pPr>
        <w:pStyle w:val="1082"/>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82"/>
        <w:ind w:firstLine="420"/>
        <w:spacing w:line="360" w:lineRule="auto"/>
        <w:shd w:val="clear" w:color="auto" w:fill="ffffff"/>
        <w:widowControl/>
        <w:rPr>
          <w:szCs w:val="21"/>
        </w:rPr>
      </w:pPr>
      <w:r>
        <w:rPr>
          <w:szCs w:val="21"/>
        </w:rPr>
        <w:t xml:space="preserve">　　（四）事实依据（具体条款）；</w:t>
      </w:r>
      <w:r>
        <w:rPr>
          <w:szCs w:val="21"/>
        </w:rPr>
      </w:r>
      <w:r/>
    </w:p>
    <w:p>
      <w:pPr>
        <w:pStyle w:val="1082"/>
        <w:ind w:firstLine="420"/>
        <w:spacing w:line="360" w:lineRule="auto"/>
        <w:shd w:val="clear" w:color="auto" w:fill="ffffff"/>
        <w:widowControl/>
        <w:rPr>
          <w:szCs w:val="21"/>
        </w:rPr>
      </w:pPr>
      <w:r>
        <w:rPr>
          <w:szCs w:val="21"/>
        </w:rPr>
        <w:t xml:space="preserve">　　（五）必要的法律依据（具体条款）；</w:t>
      </w:r>
      <w:r>
        <w:rPr>
          <w:szCs w:val="21"/>
        </w:rPr>
      </w:r>
      <w:r/>
    </w:p>
    <w:p>
      <w:pPr>
        <w:pStyle w:val="1082"/>
        <w:ind w:firstLine="420"/>
        <w:spacing w:line="360" w:lineRule="auto"/>
        <w:shd w:val="clear" w:color="auto" w:fill="ffffff"/>
        <w:widowControl/>
        <w:rPr>
          <w:szCs w:val="21"/>
        </w:rPr>
      </w:pPr>
      <w:r>
        <w:rPr>
          <w:szCs w:val="21"/>
        </w:rPr>
        <w:t xml:space="preserve">　　（六）提出质疑的日期。</w:t>
      </w:r>
      <w:r>
        <w:rPr>
          <w:szCs w:val="21"/>
        </w:rPr>
      </w:r>
      <w:r/>
    </w:p>
    <w:p>
      <w:pPr>
        <w:pStyle w:val="1082"/>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82"/>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82"/>
        <w:ind w:firstLine="420"/>
        <w:spacing w:line="360" w:lineRule="auto"/>
        <w:shd w:val="clear" w:color="auto" w:fill="ffffff"/>
        <w:widowControl/>
        <w:rPr>
          <w:szCs w:val="21"/>
        </w:rPr>
      </w:pPr>
      <w:r>
        <w:rPr>
          <w:szCs w:val="21"/>
        </w:rPr>
        <w:t xml:space="preserve">27.</w:t>
      </w:r>
      <w:r>
        <w:rPr>
          <w:rFonts w:hint="eastAsia"/>
          <w:szCs w:val="21"/>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w:t>
      </w:r>
      <w:r>
        <w:rPr>
          <w:szCs w:val="21"/>
        </w:rPr>
        <w:t xml:space="preserve">依法予以处罚。</w:t>
      </w:r>
      <w:r>
        <w:rPr>
          <w:szCs w:val="21"/>
        </w:rPr>
      </w:r>
      <w:r/>
    </w:p>
    <w:p>
      <w:pPr>
        <w:pStyle w:val="1082"/>
        <w:ind w:firstLine="420"/>
        <w:spacing w:line="360" w:lineRule="auto"/>
        <w:shd w:val="clear" w:color="auto" w:fill="ffffff"/>
        <w:widowControl/>
        <w:rPr>
          <w:szCs w:val="21"/>
        </w:rPr>
      </w:pPr>
      <w:r>
        <w:rPr>
          <w:szCs w:val="21"/>
        </w:rPr>
        <w:t xml:space="preserve">27.</w:t>
      </w:r>
      <w:r>
        <w:rPr>
          <w:rFonts w:hint="eastAsia"/>
          <w:szCs w:val="21"/>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82"/>
        <w:ind w:firstLine="420"/>
        <w:spacing w:line="420" w:lineRule="exact"/>
        <w:shd w:val="clear" w:color="auto" w:fill="ffffff"/>
        <w:widowControl/>
        <w:rPr>
          <w:szCs w:val="21"/>
        </w:rPr>
      </w:pPr>
      <w:r>
        <w:rPr>
          <w:b/>
          <w:bCs/>
          <w:szCs w:val="21"/>
        </w:rPr>
        <w:t xml:space="preserve">28、投诉</w:t>
      </w:r>
      <w:r>
        <w:rPr>
          <w:szCs w:val="21"/>
        </w:rPr>
      </w:r>
      <w:r/>
    </w:p>
    <w:p>
      <w:pPr>
        <w:pStyle w:val="1082"/>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82"/>
        <w:ind w:firstLine="420"/>
        <w:spacing w:line="420" w:lineRule="exact"/>
      </w:pPr>
      <w:r>
        <w:rPr>
          <w:szCs w:val="21"/>
        </w:rPr>
        <w:t xml:space="preserve">28.2供应商投诉应当有明确的请求和必要的证明材料。供应商投诉的事项不得超出已质疑事项的范围。</w:t>
      </w:r>
      <w:r/>
    </w:p>
    <w:p>
      <w:pPr>
        <w:pStyle w:val="1082"/>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82"/>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82"/>
        <w:ind w:firstLine="420"/>
        <w:spacing w:line="420" w:lineRule="exact"/>
      </w:pPr>
      <w:r>
        <w:t xml:space="preserve">（1）投诉人在全国范围12个月内三次以上投诉查无实据的；</w:t>
      </w:r>
      <w:r/>
    </w:p>
    <w:p>
      <w:pPr>
        <w:pStyle w:val="1082"/>
        <w:ind w:firstLine="420"/>
        <w:spacing w:line="420" w:lineRule="exact"/>
      </w:pPr>
      <w:r>
        <w:t xml:space="preserve">（2）采用捏造事实、提供虚假材料或者以非法手段取得证明材料等方式进行虚假、恶意投诉。</w:t>
      </w:r>
      <w:r/>
    </w:p>
    <w:p>
      <w:pPr>
        <w:pStyle w:val="1082"/>
        <w:ind w:firstLine="420"/>
        <w:spacing w:line="420" w:lineRule="exact"/>
      </w:pPr>
      <w:r>
        <w:t xml:space="preserve">证据来源的合法性存在明显疑问，投诉人无法证明其取得方式合法的，视为以非法手段取得证明材料。</w:t>
      </w:r>
      <w:r/>
    </w:p>
    <w:p>
      <w:pPr>
        <w:pStyle w:val="1082"/>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163"/>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82"/>
      </w:pPr>
      <w:r/>
      <w:bookmarkStart w:id="8" w:name="_Toc11112"/>
      <w:r>
        <w:br w:type="page" w:clear="all"/>
      </w:r>
      <w:r/>
    </w:p>
    <w:p>
      <w:pPr>
        <w:pStyle w:val="1083"/>
        <w:numPr>
          <w:ilvl w:val="0"/>
          <w:numId w:val="0"/>
        </w:numPr>
        <w:spacing w:line="360" w:lineRule="auto"/>
      </w:pPr>
      <w:r>
        <w:t xml:space="preserve"> </w:t>
      </w:r>
      <w:bookmarkStart w:id="9" w:name="_Toc481057145"/>
      <w:r>
        <w:t xml:space="preserve">第三章 评标标准</w:t>
      </w:r>
      <w:bookmarkEnd w:id="8"/>
      <w:r/>
      <w:r/>
    </w:p>
    <w:p>
      <w:pPr>
        <w:pStyle w:val="1082"/>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8836"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6324"/>
        <w:gridCol w:w="747"/>
      </w:tblGrid>
      <w:tr>
        <w:trPr>
          <w:trHeight w:val="549"/>
        </w:trPr>
        <w:tc>
          <w:tcPr>
            <w:tcW w:w="640" w:type="dxa"/>
            <w:vAlign w:val="center"/>
            <w:textDirection w:val="lrTb"/>
            <w:noWrap/>
          </w:tcPr>
          <w:p>
            <w:pPr>
              <w:pStyle w:val="1082"/>
              <w:jc w:val="center"/>
              <w:spacing w:line="312" w:lineRule="auto"/>
              <w:rPr>
                <w:b/>
                <w:bCs/>
                <w:szCs w:val="21"/>
              </w:rPr>
            </w:pPr>
            <w:r>
              <w:rPr>
                <w:b/>
                <w:bCs/>
                <w:szCs w:val="21"/>
              </w:rPr>
              <w:t xml:space="preserve">序号</w:t>
            </w:r>
            <w:r>
              <w:rPr>
                <w:b/>
                <w:bCs/>
                <w:szCs w:val="21"/>
              </w:rPr>
            </w:r>
            <w:r/>
          </w:p>
        </w:tc>
        <w:tc>
          <w:tcPr>
            <w:tcW w:w="1125" w:type="dxa"/>
            <w:vAlign w:val="center"/>
            <w:textDirection w:val="lrTb"/>
            <w:noWrap/>
          </w:tcPr>
          <w:p>
            <w:pPr>
              <w:pStyle w:val="1082"/>
              <w:jc w:val="center"/>
              <w:spacing w:line="312" w:lineRule="auto"/>
              <w:rPr>
                <w:b/>
                <w:bCs/>
                <w:szCs w:val="21"/>
              </w:rPr>
            </w:pPr>
            <w:r>
              <w:rPr>
                <w:b/>
                <w:bCs/>
                <w:szCs w:val="21"/>
              </w:rPr>
              <w:t xml:space="preserve">评分因素</w:t>
            </w:r>
            <w:r>
              <w:rPr>
                <w:b/>
                <w:bCs/>
                <w:szCs w:val="21"/>
              </w:rPr>
            </w:r>
            <w:r/>
          </w:p>
        </w:tc>
        <w:tc>
          <w:tcPr>
            <w:tcW w:w="6324" w:type="dxa"/>
            <w:vAlign w:val="center"/>
            <w:textDirection w:val="lrTb"/>
            <w:noWrap/>
          </w:tcPr>
          <w:p>
            <w:pPr>
              <w:pStyle w:val="1082"/>
              <w:jc w:val="center"/>
              <w:spacing w:line="312" w:lineRule="auto"/>
              <w:rPr>
                <w:b/>
                <w:bCs/>
                <w:szCs w:val="21"/>
              </w:rPr>
            </w:pPr>
            <w:r>
              <w:rPr>
                <w:b/>
                <w:bCs/>
                <w:szCs w:val="21"/>
              </w:rPr>
              <w:t xml:space="preserve">评审细则</w:t>
            </w:r>
            <w:r>
              <w:rPr>
                <w:b/>
                <w:bCs/>
                <w:szCs w:val="21"/>
              </w:rPr>
            </w:r>
            <w:r/>
          </w:p>
        </w:tc>
        <w:tc>
          <w:tcPr>
            <w:tcW w:w="747" w:type="dxa"/>
            <w:vAlign w:val="center"/>
            <w:textDirection w:val="lrTb"/>
            <w:noWrap/>
          </w:tcPr>
          <w:p>
            <w:pPr>
              <w:pStyle w:val="1082"/>
              <w:jc w:val="center"/>
              <w:spacing w:line="312" w:lineRule="auto"/>
              <w:rPr>
                <w:b/>
                <w:bCs/>
                <w:szCs w:val="21"/>
              </w:rPr>
            </w:pPr>
            <w:r>
              <w:rPr>
                <w:b/>
                <w:bCs/>
                <w:szCs w:val="21"/>
              </w:rPr>
              <w:t xml:space="preserve">分值</w:t>
            </w:r>
            <w:r>
              <w:rPr>
                <w:b/>
                <w:bCs/>
                <w:szCs w:val="21"/>
              </w:rPr>
            </w:r>
            <w:r/>
          </w:p>
        </w:tc>
      </w:tr>
      <w:tr>
        <w:trPr>
          <w:trHeight w:val="1116"/>
        </w:trPr>
        <w:tc>
          <w:tcPr>
            <w:tcW w:w="640" w:type="dxa"/>
            <w:vAlign w:val="center"/>
            <w:textDirection w:val="lrTb"/>
            <w:noWrap/>
          </w:tcPr>
          <w:p>
            <w:pPr>
              <w:pStyle w:val="1082"/>
              <w:jc w:val="center"/>
              <w:spacing w:line="312" w:lineRule="auto"/>
              <w:rPr>
                <w:szCs w:val="21"/>
              </w:rPr>
            </w:pPr>
            <w:r>
              <w:rPr>
                <w:szCs w:val="21"/>
              </w:rPr>
              <w:t xml:space="preserve">1</w:t>
            </w:r>
            <w:r>
              <w:rPr>
                <w:szCs w:val="21"/>
              </w:rPr>
            </w:r>
            <w:r/>
          </w:p>
        </w:tc>
        <w:tc>
          <w:tcPr>
            <w:tcW w:w="1125" w:type="dxa"/>
            <w:vAlign w:val="center"/>
            <w:textDirection w:val="lrTb"/>
            <w:noWrap/>
          </w:tcPr>
          <w:p>
            <w:pPr>
              <w:pStyle w:val="1082"/>
              <w:jc w:val="center"/>
              <w:spacing w:line="312" w:lineRule="auto"/>
              <w:rPr>
                <w:rFonts w:hint="eastAsia"/>
                <w:szCs w:val="21"/>
              </w:rPr>
            </w:pPr>
            <w:r>
              <w:rPr>
                <w:b/>
                <w:bCs/>
                <w:szCs w:val="21"/>
              </w:rPr>
              <w:t xml:space="preserve">价格</w:t>
            </w:r>
            <w:r>
              <w:rPr>
                <w:b/>
                <w:bCs/>
                <w:szCs w:val="21"/>
              </w:rPr>
              <w:br w:type="textWrapping" w:clear="all"/>
            </w:r>
            <w:r>
              <w:rPr>
                <w:rFonts w:hint="eastAsia"/>
                <w:b/>
                <w:bCs/>
                <w:szCs w:val="21"/>
              </w:rPr>
              <w:t xml:space="preserve">（30分）</w:t>
            </w:r>
            <w:r>
              <w:rPr>
                <w:rFonts w:hint="eastAsia"/>
                <w:szCs w:val="21"/>
              </w:rPr>
            </w:r>
            <w:r/>
          </w:p>
        </w:tc>
        <w:tc>
          <w:tcPr>
            <w:tcW w:w="6324" w:type="dxa"/>
            <w:vAlign w:val="center"/>
            <w:textDirection w:val="lrTb"/>
            <w:noWrap/>
          </w:tcPr>
          <w:p>
            <w:pPr>
              <w:pStyle w:val="1082"/>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082"/>
              <w:spacing w:line="312" w:lineRule="auto"/>
              <w:rPr>
                <w:szCs w:val="21"/>
              </w:rPr>
            </w:pPr>
            <w:r>
              <w:rPr>
                <w:szCs w:val="21"/>
              </w:rPr>
              <w:t xml:space="preserve">投标报价得分=（评标基准价/投标报价）×30</w:t>
            </w:r>
            <w:r>
              <w:rPr>
                <w:szCs w:val="21"/>
              </w:rPr>
            </w:r>
            <w:r/>
          </w:p>
        </w:tc>
        <w:tc>
          <w:tcPr>
            <w:tcW w:w="747" w:type="dxa"/>
            <w:vAlign w:val="center"/>
            <w:textDirection w:val="lrTb"/>
            <w:noWrap/>
          </w:tcPr>
          <w:p>
            <w:pPr>
              <w:pStyle w:val="1082"/>
              <w:jc w:val="center"/>
              <w:spacing w:line="312" w:lineRule="auto"/>
              <w:rPr>
                <w:szCs w:val="21"/>
              </w:rPr>
            </w:pPr>
            <w:r>
              <w:rPr>
                <w:szCs w:val="21"/>
              </w:rPr>
              <w:t xml:space="preserve">30</w:t>
            </w:r>
            <w:r>
              <w:rPr>
                <w:szCs w:val="21"/>
              </w:rPr>
            </w:r>
            <w:r/>
          </w:p>
        </w:tc>
      </w:tr>
      <w:tr>
        <w:trPr>
          <w:cantSplit/>
          <w:trHeight w:val="4026"/>
        </w:trPr>
        <w:tc>
          <w:tcPr>
            <w:tcW w:w="640" w:type="dxa"/>
            <w:vAlign w:val="center"/>
            <w:vMerge w:val="restart"/>
            <w:textDirection w:val="lrTb"/>
            <w:noWrap/>
          </w:tcPr>
          <w:p>
            <w:pPr>
              <w:pStyle w:val="1082"/>
              <w:jc w:val="center"/>
              <w:spacing w:line="312" w:lineRule="auto"/>
              <w:rPr>
                <w:szCs w:val="21"/>
              </w:rPr>
            </w:pPr>
            <w:r>
              <w:rPr>
                <w:rFonts w:hint="eastAsia"/>
                <w:szCs w:val="21"/>
              </w:rPr>
              <w:t xml:space="preserve">2.1</w:t>
            </w:r>
            <w:r>
              <w:rPr>
                <w:szCs w:val="21"/>
              </w:rPr>
            </w:r>
            <w:r/>
          </w:p>
        </w:tc>
        <w:tc>
          <w:tcPr>
            <w:tcW w:w="1125" w:type="dxa"/>
            <w:vAlign w:val="center"/>
            <w:vMerge w:val="restart"/>
            <w:textDirection w:val="lrTb"/>
            <w:noWrap/>
          </w:tcPr>
          <w:p>
            <w:pPr>
              <w:pStyle w:val="1082"/>
              <w:jc w:val="center"/>
              <w:spacing w:line="312" w:lineRule="auto"/>
              <w:rPr>
                <w:rFonts w:hint="eastAsia"/>
                <w:szCs w:val="21"/>
              </w:rPr>
            </w:pPr>
            <w:r>
              <w:rPr>
                <w:b/>
                <w:bCs/>
                <w:szCs w:val="21"/>
              </w:rPr>
              <w:t xml:space="preserve">技术参数响应</w:t>
            </w:r>
            <w:r>
              <w:rPr>
                <w:b/>
                <w:bCs/>
                <w:szCs w:val="21"/>
              </w:rPr>
              <w:br w:type="textWrapping" w:clear="all"/>
            </w:r>
            <w:r>
              <w:rPr>
                <w:rFonts w:hint="eastAsia"/>
                <w:b/>
                <w:bCs/>
                <w:szCs w:val="21"/>
              </w:rPr>
              <w:t xml:space="preserve">（34分）</w:t>
            </w:r>
            <w:r>
              <w:rPr>
                <w:rFonts w:hint="eastAsia"/>
                <w:szCs w:val="21"/>
              </w:rPr>
            </w:r>
            <w:r/>
          </w:p>
        </w:tc>
        <w:tc>
          <w:tcPr>
            <w:tcW w:w="6324" w:type="dxa"/>
            <w:vAlign w:val="center"/>
            <w:textDirection w:val="lrTb"/>
            <w:noWrap/>
          </w:tcPr>
          <w:p>
            <w:pPr>
              <w:pStyle w:val="1082"/>
              <w:spacing w:line="360" w:lineRule="auto"/>
              <w:rPr>
                <w:szCs w:val="21"/>
              </w:rPr>
            </w:pPr>
            <w:r>
              <w:rPr>
                <w:szCs w:val="21"/>
              </w:rPr>
              <w:t xml:space="preserve">技术参数响应</w:t>
            </w:r>
            <w:r>
              <w:rPr>
                <w:szCs w:val="21"/>
              </w:rPr>
            </w:r>
            <w:r/>
          </w:p>
          <w:p>
            <w:pPr>
              <w:pStyle w:val="1082"/>
              <w:spacing w:line="360" w:lineRule="auto"/>
              <w:rPr>
                <w:szCs w:val="21"/>
              </w:rPr>
            </w:pPr>
            <w:r>
              <w:rPr>
                <w:szCs w:val="21"/>
              </w:rPr>
              <w:t xml:space="preserve">评委根据投标文件中技术参数响应情况进行打分。完全满足招标文件要求的得25分。其中标注“★”的参数为实质性要求，负偏离作无效投标处理；标注“▲”的内容为重要参数，有一项负偏离的，每项扣2</w:t>
            </w:r>
            <w:r>
              <w:rPr>
                <w:szCs w:val="21"/>
                <w:lang w:eastAsia="en-US"/>
              </w:rPr>
              <w:t xml:space="preserve">.5</w:t>
            </w:r>
            <w:r>
              <w:rPr>
                <w:szCs w:val="21"/>
              </w:rPr>
              <w:t xml:space="preserve">分。其他普通参数负偏离的，则每项扣1分，扣完为止。</w:t>
            </w:r>
            <w:r>
              <w:rPr>
                <w:szCs w:val="21"/>
              </w:rPr>
            </w:r>
            <w:r/>
          </w:p>
          <w:p>
            <w:pPr>
              <w:pStyle w:val="1082"/>
              <w:spacing w:line="312"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747" w:type="dxa"/>
            <w:vAlign w:val="center"/>
            <w:textDirection w:val="lrTb"/>
            <w:noWrap/>
          </w:tcPr>
          <w:p>
            <w:pPr>
              <w:pStyle w:val="1082"/>
              <w:jc w:val="center"/>
              <w:spacing w:line="312" w:lineRule="auto"/>
              <w:rPr>
                <w:szCs w:val="21"/>
              </w:rPr>
            </w:pPr>
            <w:r>
              <w:rPr>
                <w:szCs w:val="21"/>
              </w:rPr>
              <w:t xml:space="preserve">25</w:t>
            </w:r>
            <w:r>
              <w:rPr>
                <w:szCs w:val="21"/>
              </w:rPr>
            </w:r>
            <w:r/>
          </w:p>
        </w:tc>
      </w:tr>
      <w:tr>
        <w:trPr>
          <w:cantSplit/>
          <w:trHeight w:val="90"/>
        </w:trPr>
        <w:tc>
          <w:tcPr>
            <w:tcW w:w="640" w:type="dxa"/>
            <w:vAlign w:val="center"/>
            <w:vMerge w:val="continue"/>
            <w:textDirection w:val="lrTb"/>
            <w:noWrap/>
          </w:tcPr>
          <w:p>
            <w:pPr>
              <w:pStyle w:val="1082"/>
              <w:jc w:val="center"/>
              <w:spacing w:line="312" w:lineRule="auto"/>
              <w:rPr>
                <w:szCs w:val="21"/>
              </w:rPr>
            </w:pPr>
            <w:r>
              <w:rPr>
                <w:szCs w:val="21"/>
              </w:rPr>
            </w:r>
            <w:r/>
          </w:p>
        </w:tc>
        <w:tc>
          <w:tcPr>
            <w:tcW w:w="1125" w:type="dxa"/>
            <w:vAlign w:val="center"/>
            <w:vMerge w:val="continue"/>
            <w:textDirection w:val="lrTb"/>
            <w:noWrap/>
          </w:tcPr>
          <w:p>
            <w:pPr>
              <w:pStyle w:val="1082"/>
              <w:jc w:val="center"/>
              <w:spacing w:line="312" w:lineRule="auto"/>
              <w:rPr>
                <w:b/>
                <w:bCs/>
                <w:szCs w:val="21"/>
              </w:rPr>
            </w:pPr>
            <w:r>
              <w:rPr>
                <w:b/>
                <w:bCs/>
                <w:szCs w:val="21"/>
              </w:rPr>
            </w:r>
            <w:r/>
          </w:p>
        </w:tc>
        <w:tc>
          <w:tcPr>
            <w:tcW w:w="6324" w:type="dxa"/>
            <w:vAlign w:val="center"/>
            <w:textDirection w:val="lrTb"/>
            <w:noWrap/>
          </w:tcPr>
          <w:p>
            <w:pPr>
              <w:pStyle w:val="1082"/>
              <w:spacing w:line="360" w:lineRule="auto"/>
              <w:rPr>
                <w:szCs w:val="21"/>
              </w:rPr>
            </w:pPr>
            <w:r>
              <w:rPr>
                <w:szCs w:val="21"/>
              </w:rPr>
              <w:t xml:space="preserve">核心材料安全</w:t>
            </w:r>
            <w:r>
              <w:rPr>
                <w:szCs w:val="21"/>
              </w:rPr>
            </w:r>
            <w:r/>
          </w:p>
          <w:p>
            <w:pPr>
              <w:pStyle w:val="1082"/>
              <w:spacing w:line="360" w:lineRule="auto"/>
              <w:rPr>
                <w:rFonts w:eastAsia="宋体"/>
                <w:b/>
                <w:bCs/>
                <w:szCs w:val="21"/>
                <w:lang w:val="en-US" w:eastAsia="zh-CN"/>
              </w:rPr>
            </w:pPr>
            <w:r>
              <w:rPr>
                <w:szCs w:val="21"/>
              </w:rPr>
              <w:t xml:space="preserve">提供</w:t>
            </w:r>
            <w:r>
              <w:rPr>
                <w:rFonts w:hint="eastAsia"/>
                <w:szCs w:val="21"/>
                <w:lang w:val="en-US" w:eastAsia="zh-CN"/>
              </w:rPr>
              <w:t xml:space="preserve">距</w:t>
            </w:r>
            <w:r>
              <w:rPr>
                <w:szCs w:val="21"/>
                <w:lang w:eastAsia="en-US"/>
              </w:rPr>
              <w:t xml:space="preserve">投标日期1年内</w:t>
            </w:r>
            <w:r>
              <w:rPr>
                <w:szCs w:val="21"/>
              </w:rPr>
              <w:t xml:space="preserve">具备CNAS</w:t>
            </w:r>
            <w:bookmarkStart w:id="10" w:name="OLE_LINK545"/>
            <w:r/>
            <w:bookmarkStart w:id="11" w:name="OLE_LINK543"/>
            <w:r/>
            <w:bookmarkStart w:id="12" w:name="OLE_LINK544"/>
            <w:r>
              <w:rPr>
                <w:szCs w:val="21"/>
              </w:rPr>
              <w:t xml:space="preserve">认可资质的第三方机构出</w:t>
            </w:r>
            <w:bookmarkEnd w:id="10"/>
            <w:r/>
            <w:bookmarkEnd w:id="11"/>
            <w:r/>
            <w:bookmarkEnd w:id="12"/>
            <w:r>
              <w:rPr>
                <w:szCs w:val="21"/>
              </w:rPr>
              <w:t xml:space="preserve">具的</w:t>
            </w:r>
            <w:r>
              <w:rPr>
                <w:szCs w:val="21"/>
                <w:lang w:eastAsia="en-US"/>
              </w:rPr>
              <w:t xml:space="preserve">氧指数</w:t>
            </w:r>
            <w:r>
              <w:rPr>
                <w:szCs w:val="21"/>
              </w:rPr>
              <w:t xml:space="preserve">检测报告，</w:t>
            </w:r>
            <w:r>
              <w:rPr>
                <w:szCs w:val="21"/>
                <w:lang w:eastAsia="en-US"/>
              </w:rPr>
              <w:t xml:space="preserve">要求吸波尖劈与本投标方案同品牌材质一样</w:t>
            </w:r>
            <w:r>
              <w:rPr>
                <w:szCs w:val="21"/>
              </w:rPr>
              <w:t xml:space="preserve">，尖劈吸波材料氧指数28%~29%</w:t>
            </w:r>
            <w:r>
              <w:rPr>
                <w:rFonts w:hint="eastAsia"/>
                <w:szCs w:val="21"/>
                <w:lang w:eastAsia="zh-CN"/>
              </w:rPr>
              <w:t xml:space="preserve">（</w:t>
            </w:r>
            <w:r>
              <w:rPr>
                <w:rFonts w:hint="eastAsia"/>
                <w:szCs w:val="21"/>
                <w:lang w:val="en-US" w:eastAsia="zh-CN"/>
              </w:rPr>
              <w:t xml:space="preserve">含</w:t>
            </w:r>
            <w:r>
              <w:rPr>
                <w:rFonts w:hint="eastAsia"/>
                <w:szCs w:val="21"/>
                <w:lang w:eastAsia="zh-CN"/>
              </w:rPr>
              <w:t xml:space="preserve">）</w:t>
            </w:r>
            <w:r>
              <w:rPr>
                <w:szCs w:val="21"/>
              </w:rPr>
              <w:t xml:space="preserve">（按 GB/T 2406.2 标准）</w:t>
            </w:r>
            <w:r>
              <w:rPr>
                <w:rFonts w:hint="eastAsia"/>
                <w:szCs w:val="21"/>
              </w:rPr>
              <w:t xml:space="preserve">得</w:t>
            </w:r>
            <w:r>
              <w:rPr>
                <w:szCs w:val="21"/>
              </w:rPr>
              <w:t xml:space="preserve">1分，氧指数29%~30%</w:t>
            </w:r>
            <w:r>
              <w:rPr>
                <w:rFonts w:hint="eastAsia"/>
                <w:szCs w:val="21"/>
                <w:lang w:eastAsia="zh-CN"/>
              </w:rPr>
              <w:t xml:space="preserve">（</w:t>
            </w:r>
            <w:r>
              <w:rPr>
                <w:rFonts w:hint="eastAsia"/>
                <w:szCs w:val="21"/>
                <w:lang w:val="en-US" w:eastAsia="zh-CN"/>
              </w:rPr>
              <w:t xml:space="preserve">含</w:t>
            </w:r>
            <w:r>
              <w:rPr>
                <w:rFonts w:hint="eastAsia"/>
                <w:szCs w:val="21"/>
                <w:lang w:eastAsia="zh-CN"/>
              </w:rPr>
              <w:t xml:space="preserve">）</w:t>
            </w:r>
            <w:r>
              <w:rPr>
                <w:szCs w:val="21"/>
              </w:rPr>
              <w:t xml:space="preserve">（按 GB/T 2406.2 标准）</w:t>
            </w:r>
            <w:r>
              <w:rPr>
                <w:rFonts w:hint="eastAsia"/>
                <w:szCs w:val="21"/>
              </w:rPr>
              <w:t xml:space="preserve">得</w:t>
            </w:r>
            <w:r>
              <w:rPr>
                <w:szCs w:val="21"/>
              </w:rPr>
              <w:t xml:space="preserve">2分，氧指数&gt;30%（按 GB/T 2406.2 标准）</w:t>
            </w:r>
            <w:r>
              <w:rPr>
                <w:rFonts w:hint="eastAsia"/>
                <w:szCs w:val="21"/>
              </w:rPr>
              <w:t xml:space="preserve">得</w:t>
            </w:r>
            <w:r>
              <w:rPr>
                <w:szCs w:val="21"/>
              </w:rPr>
              <w:t xml:space="preserve">4分。</w:t>
            </w:r>
            <w:r>
              <w:rPr>
                <w:rFonts w:hint="eastAsia"/>
                <w:szCs w:val="21"/>
                <w:lang w:val="en-US" w:eastAsia="zh-CN"/>
              </w:rPr>
              <w:t xml:space="preserve">未提供不得分。</w:t>
            </w:r>
            <w:r>
              <w:rPr>
                <w:rFonts w:eastAsia="宋体"/>
                <w:b/>
                <w:bCs/>
                <w:szCs w:val="21"/>
                <w:lang w:val="en-US" w:eastAsia="zh-CN"/>
              </w:rPr>
            </w:r>
            <w:r/>
          </w:p>
        </w:tc>
        <w:tc>
          <w:tcPr>
            <w:tcW w:w="747" w:type="dxa"/>
            <w:vAlign w:val="center"/>
            <w:textDirection w:val="lrTb"/>
            <w:noWrap/>
          </w:tcPr>
          <w:p>
            <w:pPr>
              <w:pStyle w:val="1082"/>
              <w:jc w:val="center"/>
              <w:spacing w:line="312" w:lineRule="auto"/>
              <w:rPr>
                <w:szCs w:val="21"/>
              </w:rPr>
            </w:pPr>
            <w:r>
              <w:rPr>
                <w:szCs w:val="21"/>
              </w:rPr>
              <w:t xml:space="preserve">4</w:t>
            </w:r>
            <w:r>
              <w:rPr>
                <w:szCs w:val="21"/>
              </w:rPr>
            </w:r>
            <w:r/>
          </w:p>
        </w:tc>
      </w:tr>
      <w:tr>
        <w:trPr>
          <w:cantSplit/>
          <w:trHeight w:val="90"/>
        </w:trPr>
        <w:tc>
          <w:tcPr>
            <w:tcW w:w="640" w:type="dxa"/>
            <w:vAlign w:val="center"/>
            <w:vMerge w:val="continue"/>
            <w:textDirection w:val="lrTb"/>
            <w:noWrap/>
          </w:tcPr>
          <w:p>
            <w:pPr>
              <w:pStyle w:val="1082"/>
              <w:jc w:val="center"/>
              <w:spacing w:line="312" w:lineRule="auto"/>
              <w:rPr>
                <w:szCs w:val="21"/>
              </w:rPr>
            </w:pPr>
            <w:r>
              <w:rPr>
                <w:szCs w:val="21"/>
              </w:rPr>
            </w:r>
            <w:r/>
          </w:p>
        </w:tc>
        <w:tc>
          <w:tcPr>
            <w:tcW w:w="1125" w:type="dxa"/>
            <w:vAlign w:val="center"/>
            <w:vMerge w:val="continue"/>
            <w:textDirection w:val="lrTb"/>
            <w:noWrap/>
          </w:tcPr>
          <w:p>
            <w:pPr>
              <w:pStyle w:val="1082"/>
              <w:jc w:val="center"/>
              <w:spacing w:line="312" w:lineRule="auto"/>
              <w:rPr>
                <w:szCs w:val="21"/>
              </w:rPr>
            </w:pPr>
            <w:r>
              <w:rPr>
                <w:szCs w:val="21"/>
              </w:rPr>
            </w:r>
            <w:r/>
          </w:p>
        </w:tc>
        <w:tc>
          <w:tcPr>
            <w:tcW w:w="6324" w:type="dxa"/>
            <w:vAlign w:val="center"/>
            <w:textDirection w:val="lrTb"/>
            <w:noWrap/>
          </w:tcPr>
          <w:p>
            <w:pPr>
              <w:pStyle w:val="1082"/>
              <w:spacing w:line="360" w:lineRule="auto"/>
              <w:rPr>
                <w:szCs w:val="21"/>
              </w:rPr>
            </w:pPr>
            <w:r>
              <w:rPr>
                <w:szCs w:val="21"/>
              </w:rPr>
              <w:t xml:space="preserve">设备技术性能先进性</w:t>
            </w:r>
            <w:r>
              <w:rPr>
                <w:szCs w:val="21"/>
              </w:rPr>
            </w:r>
            <w:r/>
          </w:p>
          <w:p>
            <w:pPr>
              <w:pStyle w:val="1082"/>
              <w:spacing w:line="360" w:lineRule="auto"/>
              <w:rPr>
                <w:szCs w:val="21"/>
              </w:rPr>
            </w:pPr>
            <w:r>
              <w:rPr>
                <w:szCs w:val="21"/>
              </w:rPr>
              <w:t xml:space="preserve">对项目核心技术指标NSA≤3.0Db案例进行评比，提供</w:t>
            </w:r>
            <w:r>
              <w:rPr>
                <w:lang w:eastAsia="en-US"/>
              </w:rPr>
              <w:t xml:space="preserve">2022</w:t>
            </w:r>
            <w:r>
              <w:rPr>
                <w:rFonts w:hint="eastAsia"/>
                <w:lang w:eastAsia="en-US"/>
              </w:rPr>
              <w:t xml:space="preserve">年</w:t>
            </w:r>
            <w:r>
              <w:rPr>
                <w:lang w:eastAsia="en-US"/>
              </w:rPr>
              <w:t xml:space="preserve">1</w:t>
            </w:r>
            <w:r>
              <w:rPr>
                <w:rFonts w:hint="eastAsia"/>
                <w:lang w:eastAsia="en-US"/>
              </w:rPr>
              <w:t xml:space="preserve">月</w:t>
            </w:r>
            <w:r>
              <w:rPr>
                <w:lang w:eastAsia="en-US"/>
              </w:rPr>
              <w:t xml:space="preserve">1</w:t>
            </w:r>
            <w:r>
              <w:rPr>
                <w:rFonts w:hint="eastAsia"/>
                <w:lang w:eastAsia="en-US"/>
              </w:rPr>
              <w:t xml:space="preserve">日起</w:t>
            </w:r>
            <w:r>
              <w:rPr>
                <w:szCs w:val="21"/>
              </w:rPr>
              <w:t xml:space="preserve">投标人自己的同类10米法半电波暗室业绩（要求吸波尖劈为</w:t>
            </w:r>
            <w:r>
              <w:rPr>
                <w:szCs w:val="21"/>
                <w:lang w:eastAsia="en-US"/>
              </w:rPr>
              <w:t xml:space="preserve">本项目同类</w:t>
            </w:r>
            <w:r>
              <w:rPr>
                <w:szCs w:val="21"/>
              </w:rPr>
              <w:t xml:space="preserve">材质，每个案例得1分，最高得5分。（须提供合同原件扫描件</w:t>
            </w:r>
            <w:r>
              <w:rPr>
                <w:szCs w:val="21"/>
                <w:lang w:eastAsia="en-US"/>
              </w:rPr>
              <w:t xml:space="preserve">或客户认可的权威第3方验收报告</w:t>
            </w:r>
            <w:r>
              <w:rPr>
                <w:szCs w:val="21"/>
              </w:rPr>
              <w:t xml:space="preserve">加盖单位公章，以及项目采购人联系方式备查，否则不得分）</w:t>
            </w:r>
            <w:r>
              <w:rPr>
                <w:szCs w:val="21"/>
              </w:rPr>
            </w:r>
            <w:r/>
          </w:p>
        </w:tc>
        <w:tc>
          <w:tcPr>
            <w:tcW w:w="747" w:type="dxa"/>
            <w:vAlign w:val="center"/>
            <w:textDirection w:val="lrTb"/>
            <w:noWrap/>
          </w:tcPr>
          <w:p>
            <w:pPr>
              <w:pStyle w:val="1082"/>
              <w:jc w:val="center"/>
              <w:spacing w:line="312" w:lineRule="auto"/>
              <w:rPr>
                <w:szCs w:val="21"/>
              </w:rPr>
            </w:pPr>
            <w:r>
              <w:rPr>
                <w:szCs w:val="21"/>
              </w:rPr>
              <w:t xml:space="preserve">5</w:t>
            </w:r>
            <w:r>
              <w:rPr>
                <w:szCs w:val="21"/>
              </w:rPr>
            </w:r>
            <w:r/>
          </w:p>
        </w:tc>
      </w:tr>
      <w:tr>
        <w:trPr>
          <w:cantSplit/>
          <w:trHeight w:val="90"/>
        </w:trPr>
        <w:tc>
          <w:tcPr>
            <w:tcW w:w="640" w:type="dxa"/>
            <w:vAlign w:val="center"/>
            <w:vMerge w:val="restart"/>
            <w:textDirection w:val="lrTb"/>
            <w:noWrap/>
          </w:tcPr>
          <w:p>
            <w:pPr>
              <w:pStyle w:val="1082"/>
              <w:jc w:val="center"/>
              <w:spacing w:line="360" w:lineRule="auto"/>
              <w:widowControl/>
              <w:rPr>
                <w:szCs w:val="21"/>
              </w:rPr>
            </w:pPr>
            <w:r>
              <w:rPr>
                <w:rFonts w:hint="eastAsia"/>
                <w:szCs w:val="21"/>
              </w:rPr>
              <w:t xml:space="preserve">2.2</w:t>
            </w:r>
            <w:r>
              <w:rPr>
                <w:szCs w:val="21"/>
              </w:rPr>
            </w:r>
            <w:r/>
          </w:p>
        </w:tc>
        <w:tc>
          <w:tcPr>
            <w:tcW w:w="1125" w:type="dxa"/>
            <w:vAlign w:val="center"/>
            <w:vMerge w:val="restart"/>
            <w:textDirection w:val="lrTb"/>
            <w:noWrap/>
          </w:tcPr>
          <w:p>
            <w:pPr>
              <w:pStyle w:val="1082"/>
              <w:jc w:val="center"/>
              <w:spacing w:line="312" w:lineRule="auto"/>
              <w:rPr>
                <w:rFonts w:hint="eastAsia"/>
                <w:b/>
                <w:bCs/>
                <w:szCs w:val="21"/>
              </w:rPr>
            </w:pPr>
            <w:r>
              <w:rPr>
                <w:b/>
                <w:bCs/>
                <w:szCs w:val="21"/>
              </w:rPr>
              <w:t xml:space="preserve">对产品选型、规格、设计的科学性、合理性、材质选用、制造工艺水平等进行评审</w:t>
            </w:r>
            <w:r>
              <w:rPr>
                <w:b/>
                <w:bCs/>
                <w:szCs w:val="21"/>
              </w:rPr>
              <w:br w:type="textWrapping" w:clear="all"/>
            </w:r>
            <w:r>
              <w:rPr>
                <w:rFonts w:hint="eastAsia"/>
                <w:b/>
                <w:bCs/>
                <w:szCs w:val="21"/>
              </w:rPr>
              <w:t xml:space="preserve">（8分）</w:t>
            </w:r>
            <w:r>
              <w:rPr>
                <w:rFonts w:hint="eastAsia"/>
                <w:b/>
                <w:bCs/>
                <w:szCs w:val="21"/>
              </w:rPr>
            </w:r>
            <w:r/>
          </w:p>
        </w:tc>
        <w:tc>
          <w:tcPr>
            <w:tcW w:w="6324" w:type="dxa"/>
            <w:vAlign w:val="center"/>
            <w:textDirection w:val="lrTb"/>
            <w:noWrap/>
          </w:tcPr>
          <w:p>
            <w:pPr>
              <w:pStyle w:val="1082"/>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投标人对项目的熟悉程度，设计方案的合理性</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1.</w:t>
            </w:r>
            <w:r>
              <w:rPr>
                <w:rFonts w:ascii="Times New Roman" w:hAnsi="Times New Roman" w:eastAsia="宋体" w:cs="Times New Roman"/>
                <w:szCs w:val="21"/>
              </w:rPr>
              <w:t xml:space="preserve">提供钢结构对应的预埋件设计图纸，得 1分；</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提供外部配电的设计图纸，得 1分；</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3.</w:t>
            </w:r>
            <w:r>
              <w:rPr>
                <w:rFonts w:ascii="Times New Roman" w:hAnsi="Times New Roman" w:eastAsia="宋体" w:cs="Times New Roman"/>
                <w:szCs w:val="21"/>
              </w:rPr>
              <w:t xml:space="preserve">提供性能仿真报告，得 1分。</w:t>
            </w:r>
            <w:r>
              <w:rPr>
                <w:rFonts w:ascii="Times New Roman" w:hAnsi="Times New Roman" w:eastAsia="宋体" w:cs="Times New Roman"/>
                <w:szCs w:val="21"/>
              </w:rPr>
            </w:r>
            <w:r/>
          </w:p>
          <w:p>
            <w:pPr>
              <w:pStyle w:val="1082"/>
              <w:spacing w:line="360" w:lineRule="auto"/>
              <w:rPr>
                <w:szCs w:val="21"/>
              </w:rPr>
            </w:pPr>
            <w:r>
              <w:rPr>
                <w:rFonts w:hint="eastAsia" w:ascii="Times New Roman" w:hAnsi="Times New Roman" w:eastAsia="宋体" w:cs="Times New Roman"/>
                <w:szCs w:val="21"/>
              </w:rPr>
              <w:t xml:space="preserve">4.</w:t>
            </w:r>
            <w:r>
              <w:rPr>
                <w:rFonts w:ascii="Times New Roman" w:hAnsi="Times New Roman" w:eastAsia="宋体" w:cs="Times New Roman"/>
                <w:szCs w:val="21"/>
              </w:rPr>
              <w:t xml:space="preserve">3D仿真效果图，得 1分。未提供不得分。</w:t>
            </w:r>
            <w:r>
              <w:rPr>
                <w:szCs w:val="21"/>
              </w:rPr>
            </w:r>
            <w:r/>
          </w:p>
        </w:tc>
        <w:tc>
          <w:tcPr>
            <w:tcW w:w="747" w:type="dxa"/>
            <w:vAlign w:val="center"/>
            <w:textDirection w:val="lrTb"/>
            <w:noWrap/>
          </w:tcPr>
          <w:p>
            <w:pPr>
              <w:pStyle w:val="1082"/>
              <w:jc w:val="center"/>
              <w:spacing w:line="360" w:lineRule="auto"/>
              <w:widowControl/>
              <w:rPr>
                <w:rFonts w:hint="eastAsia"/>
                <w:b/>
                <w:color w:val="ff0000"/>
                <w:szCs w:val="21"/>
              </w:rPr>
            </w:pPr>
            <w:r>
              <w:rPr>
                <w:rFonts w:hint="eastAsia"/>
                <w:szCs w:val="21"/>
              </w:rPr>
              <w:t xml:space="preserve">4</w:t>
            </w:r>
            <w:r>
              <w:rPr>
                <w:rFonts w:hint="eastAsia"/>
                <w:b/>
                <w:color w:val="ff0000"/>
                <w:szCs w:val="21"/>
              </w:rPr>
            </w:r>
            <w:r/>
          </w:p>
        </w:tc>
      </w:tr>
      <w:tr>
        <w:trPr>
          <w:cantSplit/>
          <w:trHeight w:val="3039"/>
        </w:trPr>
        <w:tc>
          <w:tcPr>
            <w:tcW w:w="640" w:type="dxa"/>
            <w:vAlign w:val="center"/>
            <w:vMerge w:val="continue"/>
            <w:textDirection w:val="lrTb"/>
            <w:noWrap/>
          </w:tcPr>
          <w:p>
            <w:pPr>
              <w:pStyle w:val="1082"/>
              <w:jc w:val="center"/>
              <w:spacing w:line="360" w:lineRule="auto"/>
              <w:widowControl/>
              <w:rPr>
                <w:szCs w:val="21"/>
              </w:rPr>
            </w:pPr>
            <w:r>
              <w:rPr>
                <w:szCs w:val="21"/>
              </w:rPr>
            </w:r>
            <w:r/>
          </w:p>
        </w:tc>
        <w:tc>
          <w:tcPr>
            <w:tcW w:w="1125" w:type="dxa"/>
            <w:vAlign w:val="center"/>
            <w:vMerge w:val="continue"/>
            <w:textDirection w:val="lrTb"/>
            <w:noWrap/>
          </w:tcPr>
          <w:p>
            <w:pPr>
              <w:pStyle w:val="1082"/>
              <w:jc w:val="center"/>
              <w:spacing w:line="360" w:lineRule="auto"/>
              <w:rPr>
                <w:b/>
                <w:bCs/>
                <w:szCs w:val="21"/>
              </w:rPr>
            </w:pPr>
            <w:r>
              <w:rPr>
                <w:b/>
                <w:bCs/>
                <w:szCs w:val="21"/>
              </w:rPr>
            </w:r>
            <w:r/>
          </w:p>
        </w:tc>
        <w:tc>
          <w:tcPr>
            <w:tcW w:w="6324" w:type="dxa"/>
            <w:vAlign w:val="center"/>
            <w:textDirection w:val="lrTb"/>
            <w:noWrap/>
          </w:tcPr>
          <w:p>
            <w:pPr>
              <w:pStyle w:val="1082"/>
              <w:jc w:val="left"/>
              <w:widowControl/>
              <w:rPr>
                <w:szCs w:val="21"/>
              </w:rPr>
            </w:pPr>
            <w:r>
              <w:rPr>
                <w:szCs w:val="21"/>
              </w:rPr>
              <w:t xml:space="preserve">项目优势和方案熟悉程度</w:t>
            </w:r>
            <w:r>
              <w:rPr>
                <w:szCs w:val="21"/>
              </w:rPr>
            </w:r>
            <w:r/>
          </w:p>
          <w:p>
            <w:pPr>
              <w:pStyle w:val="1082"/>
              <w:ind w:firstLine="420"/>
              <w:jc w:val="left"/>
              <w:widowControl/>
              <w:rPr>
                <w:szCs w:val="21"/>
              </w:rPr>
            </w:pPr>
            <w:r>
              <w:rPr>
                <w:szCs w:val="21"/>
              </w:rPr>
              <w:t xml:space="preserve">要求对功能进行演示，演示时间不超过15分钟，根据演示情况进行打分</w:t>
            </w:r>
            <w:r>
              <w:rPr>
                <w:szCs w:val="21"/>
                <w:highlight w:val="none"/>
              </w:rPr>
              <w:t xml:space="preserve">（仅以PPT、WORD、图片演示不得分），具</w:t>
            </w:r>
            <w:r>
              <w:rPr>
                <w:szCs w:val="21"/>
              </w:rPr>
              <w:t xml:space="preserve">体演示内容如下：</w:t>
            </w:r>
            <w:r>
              <w:rPr>
                <w:szCs w:val="21"/>
              </w:rPr>
            </w:r>
            <w:r/>
          </w:p>
          <w:p>
            <w:pPr>
              <w:pStyle w:val="1082"/>
              <w:ind w:firstLine="420"/>
              <w:jc w:val="left"/>
              <w:widowControl/>
              <w:tabs>
                <w:tab w:val="left" w:pos="312" w:leader="none"/>
              </w:tabs>
              <w:rPr>
                <w:szCs w:val="21"/>
              </w:rPr>
            </w:pPr>
            <w:r>
              <w:rPr>
                <w:szCs w:val="21"/>
              </w:rPr>
              <w:t xml:space="preserve">投标人根据招标文件要求，结合已有同类案例提供对本项目的认知与理解，对项目预期实现效果、整体功能、可应用场景、运作流程进行展示阐述，由评委进行综合评分：</w:t>
            </w:r>
            <w:r>
              <w:rPr>
                <w:szCs w:val="21"/>
              </w:rPr>
            </w:r>
            <w:r/>
          </w:p>
          <w:p>
            <w:pPr>
              <w:pStyle w:val="1082"/>
              <w:ind w:firstLine="420"/>
              <w:jc w:val="left"/>
              <w:widowControl/>
              <w:tabs>
                <w:tab w:val="left" w:pos="312" w:leader="none"/>
                <w:tab w:val="left" w:pos="425" w:leader="none"/>
              </w:tabs>
              <w:rPr>
                <w:color w:val="000000"/>
                <w:szCs w:val="21"/>
              </w:rPr>
            </w:pPr>
            <w:r>
              <w:rPr>
                <w:color w:val="000000"/>
                <w:szCs w:val="21"/>
              </w:rPr>
              <w:t xml:space="preserve">内容完整详实，项目预期实现效果好、应用场景丰富、运作流程科学合理得4分；</w:t>
            </w:r>
            <w:r>
              <w:rPr>
                <w:color w:val="000000"/>
                <w:szCs w:val="21"/>
              </w:rPr>
            </w:r>
            <w:r/>
          </w:p>
          <w:p>
            <w:pPr>
              <w:pStyle w:val="1082"/>
              <w:ind w:firstLine="420"/>
              <w:jc w:val="left"/>
              <w:widowControl/>
              <w:tabs>
                <w:tab w:val="left" w:pos="312" w:leader="none"/>
                <w:tab w:val="left" w:pos="425" w:leader="none"/>
              </w:tabs>
              <w:rPr>
                <w:color w:val="000000"/>
                <w:szCs w:val="21"/>
              </w:rPr>
            </w:pPr>
            <w:r>
              <w:rPr>
                <w:color w:val="000000"/>
                <w:szCs w:val="21"/>
              </w:rPr>
              <w:t xml:space="preserve">内容较为完整，项目预期实现效果较好、应用场景较丰富、运作流程较为科学合理得2分；</w:t>
            </w:r>
            <w:r>
              <w:rPr>
                <w:color w:val="000000"/>
                <w:szCs w:val="21"/>
              </w:rPr>
            </w:r>
            <w:r/>
          </w:p>
          <w:p>
            <w:pPr>
              <w:pStyle w:val="1082"/>
              <w:ind w:firstLine="420"/>
              <w:jc w:val="left"/>
              <w:widowControl/>
              <w:tabs>
                <w:tab w:val="left" w:pos="312" w:leader="none"/>
                <w:tab w:val="left" w:pos="425" w:leader="none"/>
              </w:tabs>
            </w:pPr>
            <w:r>
              <w:rPr>
                <w:color w:val="000000"/>
                <w:szCs w:val="21"/>
              </w:rPr>
              <w:t xml:space="preserve">内容基本齐全，项目预期实现效果一般、应用场景一般、运作流程阐述模糊得1分；</w:t>
            </w:r>
            <w:r>
              <w:rPr>
                <w:rFonts w:hint="eastAsia"/>
                <w:color w:val="000000"/>
                <w:szCs w:val="21"/>
              </w:rPr>
              <w:t xml:space="preserve">未演示不得分。</w:t>
            </w:r>
            <w:r/>
          </w:p>
        </w:tc>
        <w:tc>
          <w:tcPr>
            <w:tcW w:w="747" w:type="dxa"/>
            <w:vAlign w:val="center"/>
            <w:textDirection w:val="lrTb"/>
            <w:noWrap/>
          </w:tcPr>
          <w:p>
            <w:pPr>
              <w:pStyle w:val="1082"/>
              <w:jc w:val="center"/>
              <w:spacing w:line="360" w:lineRule="auto"/>
              <w:widowControl/>
              <w:rPr>
                <w:rFonts w:hint="eastAsia"/>
                <w:szCs w:val="21"/>
              </w:rPr>
            </w:pPr>
            <w:r>
              <w:rPr>
                <w:rFonts w:hint="eastAsia"/>
                <w:szCs w:val="21"/>
              </w:rPr>
              <w:t xml:space="preserve">4</w:t>
            </w:r>
            <w:r>
              <w:rPr>
                <w:rFonts w:hint="eastAsia"/>
                <w:szCs w:val="21"/>
              </w:rPr>
            </w:r>
            <w:r/>
          </w:p>
        </w:tc>
      </w:tr>
      <w:tr>
        <w:trPr>
          <w:cantSplit/>
          <w:trHeight w:val="675"/>
        </w:trPr>
        <w:tc>
          <w:tcPr>
            <w:tcW w:w="640" w:type="dxa"/>
            <w:vAlign w:val="center"/>
            <w:textDirection w:val="lrTb"/>
            <w:noWrap/>
          </w:tcPr>
          <w:p>
            <w:pPr>
              <w:pStyle w:val="1082"/>
              <w:jc w:val="center"/>
              <w:spacing w:line="360" w:lineRule="auto"/>
              <w:widowControl/>
              <w:rPr>
                <w:szCs w:val="21"/>
              </w:rPr>
            </w:pPr>
            <w:r>
              <w:rPr>
                <w:rFonts w:hint="eastAsia"/>
                <w:szCs w:val="21"/>
              </w:rPr>
              <w:t xml:space="preserve">3.1</w:t>
            </w:r>
            <w:r>
              <w:rPr>
                <w:szCs w:val="21"/>
              </w:rPr>
            </w:r>
            <w:r/>
          </w:p>
        </w:tc>
        <w:tc>
          <w:tcPr>
            <w:tcW w:w="1125" w:type="dxa"/>
            <w:vAlign w:val="center"/>
            <w:vMerge w:val="restart"/>
            <w:textDirection w:val="lrTb"/>
            <w:noWrap/>
          </w:tcPr>
          <w:p>
            <w:pPr>
              <w:pStyle w:val="1082"/>
              <w:jc w:val="center"/>
              <w:spacing w:line="360" w:lineRule="auto"/>
              <w:rPr>
                <w:rFonts w:hint="eastAsia"/>
                <w:szCs w:val="21"/>
              </w:rPr>
            </w:pPr>
            <w:r>
              <w:rPr>
                <w:b/>
                <w:szCs w:val="21"/>
              </w:rPr>
              <w:t xml:space="preserve">售后服务</w:t>
            </w:r>
            <w:r>
              <w:rPr>
                <w:b/>
                <w:szCs w:val="21"/>
              </w:rPr>
              <w:br w:type="textWrapping" w:clear="all"/>
            </w:r>
            <w:r>
              <w:rPr>
                <w:rFonts w:hint="eastAsia"/>
                <w:b/>
                <w:szCs w:val="21"/>
              </w:rPr>
              <w:t xml:space="preserve">（7分）</w:t>
            </w:r>
            <w:r>
              <w:rPr>
                <w:rFonts w:hint="eastAsia"/>
                <w:szCs w:val="21"/>
              </w:rPr>
            </w:r>
            <w:r/>
          </w:p>
        </w:tc>
        <w:tc>
          <w:tcPr>
            <w:tcW w:w="6324" w:type="dxa"/>
            <w:vAlign w:val="center"/>
            <w:textDirection w:val="lrTb"/>
            <w:noWrap/>
          </w:tcPr>
          <w:p>
            <w:pPr>
              <w:pStyle w:val="1082"/>
              <w:jc w:val="left"/>
              <w:spacing w:line="440" w:lineRule="exact"/>
              <w:widowControl/>
              <w:rPr>
                <w:szCs w:val="21"/>
              </w:rPr>
            </w:pPr>
            <w:r>
              <w:rPr>
                <w:szCs w:val="21"/>
              </w:rPr>
              <w:t xml:space="preserve">满足招标文件免费质保期的基础上，</w:t>
            </w:r>
            <w:r>
              <w:rPr>
                <w:b/>
                <w:szCs w:val="21"/>
              </w:rPr>
              <w:t xml:space="preserve">核心产品</w:t>
            </w:r>
            <w:r>
              <w:rPr>
                <w:rFonts w:hint="eastAsia"/>
                <w:b/>
                <w:szCs w:val="21"/>
                <w:lang w:val="en-US" w:eastAsia="zh-CN"/>
              </w:rPr>
              <w:t xml:space="preserve">整体</w:t>
            </w:r>
            <w:r>
              <w:rPr>
                <w:szCs w:val="21"/>
              </w:rPr>
              <w:t xml:space="preserve">每增加2年免费质保加1分，本项最多得2分。需提供售后服务承诺书（原件）（若投标文件中出现前后不一致的情况，以最低免费质保期作为评分依据）。</w:t>
            </w:r>
            <w:r>
              <w:rPr>
                <w:szCs w:val="21"/>
              </w:rPr>
            </w:r>
            <w:r/>
          </w:p>
        </w:tc>
        <w:tc>
          <w:tcPr>
            <w:tcW w:w="747" w:type="dxa"/>
            <w:vAlign w:val="center"/>
            <w:textDirection w:val="lrTb"/>
            <w:noWrap/>
          </w:tcPr>
          <w:p>
            <w:pPr>
              <w:pStyle w:val="1082"/>
              <w:jc w:val="center"/>
              <w:spacing w:line="360" w:lineRule="auto"/>
              <w:rPr>
                <w:szCs w:val="21"/>
              </w:rPr>
            </w:pPr>
            <w:r>
              <w:rPr>
                <w:szCs w:val="21"/>
              </w:rPr>
              <w:t xml:space="preserve">2</w:t>
            </w:r>
            <w:r>
              <w:rPr>
                <w:szCs w:val="21"/>
              </w:rPr>
            </w:r>
            <w:r/>
          </w:p>
        </w:tc>
      </w:tr>
      <w:tr>
        <w:trPr>
          <w:cantSplit/>
          <w:trHeight w:val="1137"/>
        </w:trPr>
        <w:tc>
          <w:tcPr>
            <w:tcW w:w="640" w:type="dxa"/>
            <w:vAlign w:val="center"/>
            <w:textDirection w:val="lrTb"/>
            <w:noWrap/>
          </w:tcPr>
          <w:p>
            <w:pPr>
              <w:pStyle w:val="1082"/>
              <w:jc w:val="center"/>
              <w:spacing w:line="360" w:lineRule="auto"/>
              <w:widowControl/>
              <w:rPr>
                <w:szCs w:val="21"/>
              </w:rPr>
            </w:pPr>
            <w:r>
              <w:rPr>
                <w:rFonts w:hint="eastAsia"/>
                <w:szCs w:val="21"/>
              </w:rPr>
              <w:t xml:space="preserve">3.2</w:t>
            </w:r>
            <w:r>
              <w:rPr>
                <w:szCs w:val="21"/>
              </w:rPr>
            </w:r>
            <w:r/>
          </w:p>
        </w:tc>
        <w:tc>
          <w:tcPr>
            <w:tcW w:w="1125" w:type="dxa"/>
            <w:vAlign w:val="center"/>
            <w:vMerge w:val="continue"/>
            <w:textDirection w:val="lrTb"/>
            <w:noWrap/>
          </w:tcPr>
          <w:p>
            <w:pPr>
              <w:pStyle w:val="1082"/>
              <w:jc w:val="center"/>
              <w:spacing w:line="360" w:lineRule="auto"/>
              <w:rPr>
                <w:b/>
                <w:szCs w:val="21"/>
              </w:rPr>
            </w:pPr>
            <w:r>
              <w:rPr>
                <w:b/>
                <w:szCs w:val="21"/>
              </w:rPr>
            </w:r>
            <w:r/>
          </w:p>
        </w:tc>
        <w:tc>
          <w:tcPr>
            <w:tcW w:w="6324" w:type="dxa"/>
            <w:vAlign w:val="center"/>
            <w:textDirection w:val="lrTb"/>
            <w:noWrap/>
          </w:tcPr>
          <w:p>
            <w:pPr>
              <w:pStyle w:val="1082"/>
              <w:spacing w:line="360" w:lineRule="auto"/>
              <w:rPr>
                <w:rFonts w:hint="eastAsia"/>
                <w:szCs w:val="21"/>
              </w:rPr>
            </w:pPr>
            <w:r>
              <w:rPr>
                <w:szCs w:val="21"/>
              </w:rPr>
              <w:t xml:space="preserve">根据供应商提供的售后服务方案（如服务体系、服务内容、故障解决方案、响应时间、专业技术人员保障及服务电话等）及培训方案等打分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方案科学合理得5分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基本合理略有瑕疵得3分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方案不全面或有重大瑕疵得1分</w:t>
            </w:r>
            <w:r>
              <w:rPr>
                <w:rFonts w:hint="eastAsia"/>
                <w:szCs w:val="21"/>
              </w:rPr>
              <w:t xml:space="preserve">；</w:t>
            </w:r>
            <w:r>
              <w:rPr>
                <w:rFonts w:hint="eastAsia"/>
                <w:szCs w:val="21"/>
              </w:rPr>
            </w:r>
            <w:r/>
          </w:p>
          <w:p>
            <w:pPr>
              <w:pStyle w:val="1082"/>
              <w:spacing w:line="360" w:lineRule="auto"/>
              <w:rPr>
                <w:szCs w:val="21"/>
              </w:rPr>
            </w:pPr>
            <w:r>
              <w:rPr>
                <w:szCs w:val="21"/>
              </w:rPr>
              <w:t xml:space="preserve">未描述不得分。</w:t>
            </w:r>
            <w:r>
              <w:rPr>
                <w:szCs w:val="21"/>
              </w:rPr>
            </w:r>
            <w:r/>
          </w:p>
        </w:tc>
        <w:tc>
          <w:tcPr>
            <w:tcW w:w="747" w:type="dxa"/>
            <w:vAlign w:val="center"/>
            <w:textDirection w:val="lrTb"/>
            <w:noWrap/>
          </w:tcPr>
          <w:p>
            <w:pPr>
              <w:pStyle w:val="1082"/>
              <w:jc w:val="center"/>
              <w:spacing w:line="360" w:lineRule="auto"/>
              <w:rPr>
                <w:szCs w:val="21"/>
              </w:rPr>
            </w:pPr>
            <w:r>
              <w:rPr>
                <w:szCs w:val="21"/>
              </w:rPr>
              <w:t xml:space="preserve">5</w:t>
            </w:r>
            <w:r>
              <w:rPr>
                <w:szCs w:val="21"/>
              </w:rPr>
            </w:r>
            <w:r/>
          </w:p>
        </w:tc>
      </w:tr>
      <w:tr>
        <w:trPr>
          <w:cantSplit/>
          <w:trHeight w:val="1137"/>
        </w:trPr>
        <w:tc>
          <w:tcPr>
            <w:tcW w:w="640" w:type="dxa"/>
            <w:vAlign w:val="center"/>
            <w:textDirection w:val="lrTb"/>
            <w:noWrap/>
          </w:tcPr>
          <w:p>
            <w:pPr>
              <w:pStyle w:val="1082"/>
              <w:jc w:val="center"/>
              <w:spacing w:line="360" w:lineRule="auto"/>
              <w:widowControl/>
              <w:rPr>
                <w:rFonts w:hint="eastAsia"/>
                <w:szCs w:val="21"/>
              </w:rPr>
            </w:pPr>
            <w:r>
              <w:rPr>
                <w:rFonts w:hint="eastAsia"/>
                <w:szCs w:val="21"/>
              </w:rPr>
              <w:t xml:space="preserve">4</w:t>
            </w:r>
            <w:r>
              <w:rPr>
                <w:rFonts w:hint="eastAsia"/>
                <w:szCs w:val="21"/>
              </w:rPr>
            </w:r>
            <w:r/>
          </w:p>
        </w:tc>
        <w:tc>
          <w:tcPr>
            <w:tcW w:w="1125" w:type="dxa"/>
            <w:vAlign w:val="center"/>
            <w:textDirection w:val="lrTb"/>
            <w:noWrap/>
          </w:tcPr>
          <w:p>
            <w:pPr>
              <w:pStyle w:val="1082"/>
              <w:spacing w:line="440" w:lineRule="exact"/>
              <w:rPr>
                <w:rFonts w:hint="eastAsia"/>
                <w:bCs/>
                <w:szCs w:val="21"/>
              </w:rPr>
            </w:pPr>
            <w:r>
              <w:rPr>
                <w:b/>
                <w:szCs w:val="21"/>
              </w:rPr>
              <w:t xml:space="preserve">实施方案</w:t>
            </w:r>
            <w:r>
              <w:rPr>
                <w:b/>
                <w:szCs w:val="21"/>
              </w:rPr>
              <w:br w:type="textWrapping" w:clear="all"/>
            </w:r>
            <w:r>
              <w:rPr>
                <w:rFonts w:hint="eastAsia"/>
                <w:b/>
                <w:szCs w:val="21"/>
              </w:rPr>
              <w:t xml:space="preserve">（8分）</w:t>
            </w:r>
            <w:r>
              <w:rPr>
                <w:rFonts w:hint="eastAsia"/>
                <w:bCs/>
                <w:szCs w:val="21"/>
              </w:rPr>
            </w:r>
            <w:r/>
          </w:p>
        </w:tc>
        <w:tc>
          <w:tcPr>
            <w:tcW w:w="6324" w:type="dxa"/>
            <w:vAlign w:val="center"/>
            <w:textDirection w:val="lrTb"/>
            <w:noWrap/>
          </w:tcPr>
          <w:p>
            <w:pPr>
              <w:pStyle w:val="1082"/>
              <w:spacing w:line="440" w:lineRule="exact"/>
              <w:rPr>
                <w:szCs w:val="21"/>
              </w:rPr>
            </w:pPr>
            <w:r>
              <w:rPr>
                <w:szCs w:val="21"/>
              </w:rPr>
              <w:t xml:space="preserve">供应商针对本项目提供项目实施方案，投标文件中必须列出投标产品具体的安装、调试、验收方案，对其方案和措施是否合理、可行，供货安装是否满足采购进度要求，现场安全措施是否可行等：</w:t>
            </w:r>
            <w:r>
              <w:rPr>
                <w:szCs w:val="21"/>
              </w:rPr>
            </w:r>
            <w:r/>
          </w:p>
          <w:p>
            <w:pPr>
              <w:pStyle w:val="1082"/>
              <w:spacing w:line="440" w:lineRule="exact"/>
              <w:rPr>
                <w:szCs w:val="21"/>
              </w:rPr>
            </w:pPr>
            <w:r>
              <w:rPr>
                <w:szCs w:val="21"/>
              </w:rPr>
              <w:t xml:space="preserve">方案内容完整、详细，进度控制合理，项目管理、调试大纲以及验收方案科学合理，可行性强且完全满足项目实际需求，得8分；</w:t>
            </w:r>
            <w:r>
              <w:rPr>
                <w:szCs w:val="21"/>
              </w:rPr>
            </w:r>
            <w:r/>
          </w:p>
          <w:p>
            <w:pPr>
              <w:pStyle w:val="1082"/>
              <w:spacing w:line="440" w:lineRule="exact"/>
              <w:rPr>
                <w:szCs w:val="21"/>
              </w:rPr>
            </w:pPr>
            <w:r>
              <w:rPr>
                <w:szCs w:val="21"/>
              </w:rPr>
              <w:t xml:space="preserve">方案内容基本完整，有进度控制但略有瑕疵，项目管理、调试大纲以及验收方案基本合理，可基本满足项目实际需求，得5分；</w:t>
            </w:r>
            <w:r>
              <w:rPr>
                <w:szCs w:val="21"/>
              </w:rPr>
            </w:r>
            <w:r/>
          </w:p>
          <w:p>
            <w:pPr>
              <w:pStyle w:val="1082"/>
              <w:spacing w:line="440" w:lineRule="exact"/>
              <w:rPr>
                <w:szCs w:val="21"/>
              </w:rPr>
            </w:pPr>
            <w:r>
              <w:rPr>
                <w:szCs w:val="21"/>
              </w:rPr>
              <w:t xml:space="preserve">方案内容有缺失，进度控制不明确，项目管理、调试大纲以及验收方案不够完善，得2分；</w:t>
            </w:r>
            <w:r>
              <w:rPr>
                <w:szCs w:val="21"/>
              </w:rPr>
            </w:r>
            <w:r/>
          </w:p>
          <w:p>
            <w:pPr>
              <w:pStyle w:val="1082"/>
              <w:spacing w:line="440" w:lineRule="exact"/>
              <w:rPr>
                <w:szCs w:val="21"/>
              </w:rPr>
            </w:pPr>
            <w:r>
              <w:rPr>
                <w:szCs w:val="21"/>
              </w:rPr>
              <w:t xml:space="preserve">未提供实施方案或完全不能满足项目实际需求不得分。</w:t>
            </w:r>
            <w:r>
              <w:rPr>
                <w:szCs w:val="21"/>
              </w:rPr>
            </w:r>
            <w:r/>
          </w:p>
        </w:tc>
        <w:tc>
          <w:tcPr>
            <w:tcW w:w="747" w:type="dxa"/>
            <w:vAlign w:val="center"/>
            <w:textDirection w:val="lrTb"/>
            <w:noWrap/>
          </w:tcPr>
          <w:p>
            <w:pPr>
              <w:pStyle w:val="1082"/>
              <w:jc w:val="center"/>
              <w:spacing w:line="360" w:lineRule="auto"/>
              <w:rPr>
                <w:szCs w:val="21"/>
              </w:rPr>
            </w:pPr>
            <w:r>
              <w:rPr>
                <w:szCs w:val="21"/>
              </w:rPr>
              <w:t xml:space="preserve">8</w:t>
            </w:r>
            <w:r>
              <w:rPr>
                <w:szCs w:val="21"/>
              </w:rPr>
            </w:r>
            <w:r/>
          </w:p>
        </w:tc>
      </w:tr>
      <w:tr>
        <w:trPr>
          <w:trHeight w:val="298"/>
        </w:trPr>
        <w:tc>
          <w:tcPr>
            <w:tcW w:w="640" w:type="dxa"/>
            <w:vAlign w:val="center"/>
            <w:textDirection w:val="lrTb"/>
            <w:noWrap/>
          </w:tcPr>
          <w:p>
            <w:pPr>
              <w:pStyle w:val="1082"/>
              <w:jc w:val="center"/>
              <w:spacing w:line="360" w:lineRule="auto"/>
              <w:widowControl/>
              <w:rPr>
                <w:rFonts w:hint="eastAsia"/>
                <w:szCs w:val="21"/>
              </w:rPr>
            </w:pPr>
            <w:r>
              <w:rPr>
                <w:rFonts w:hint="eastAsia"/>
                <w:szCs w:val="21"/>
              </w:rPr>
              <w:t xml:space="preserve">5</w:t>
            </w:r>
            <w:r>
              <w:rPr>
                <w:rFonts w:hint="eastAsia"/>
                <w:szCs w:val="21"/>
              </w:rPr>
            </w:r>
            <w:r/>
          </w:p>
        </w:tc>
        <w:tc>
          <w:tcPr>
            <w:tcW w:w="1125" w:type="dxa"/>
            <w:vAlign w:val="center"/>
            <w:textDirection w:val="lrTb"/>
            <w:noWrap/>
          </w:tcPr>
          <w:p>
            <w:pPr>
              <w:pStyle w:val="1082"/>
              <w:jc w:val="center"/>
              <w:spacing w:line="360" w:lineRule="auto"/>
              <w:rPr>
                <w:rFonts w:hint="eastAsia"/>
                <w:bCs/>
                <w:szCs w:val="21"/>
              </w:rPr>
            </w:pPr>
            <w:r>
              <w:rPr>
                <w:b/>
                <w:szCs w:val="21"/>
              </w:rPr>
              <w:t xml:space="preserve">培训方案</w:t>
            </w:r>
            <w:r>
              <w:rPr>
                <w:b/>
                <w:szCs w:val="21"/>
              </w:rPr>
              <w:br w:type="textWrapping" w:clear="all"/>
            </w:r>
            <w:r>
              <w:rPr>
                <w:rFonts w:hint="eastAsia"/>
                <w:b/>
                <w:szCs w:val="21"/>
              </w:rPr>
              <w:t xml:space="preserve">（3分）</w:t>
            </w:r>
            <w:r>
              <w:rPr>
                <w:rFonts w:hint="eastAsia"/>
                <w:bCs/>
                <w:szCs w:val="21"/>
              </w:rPr>
            </w:r>
            <w:r/>
          </w:p>
        </w:tc>
        <w:tc>
          <w:tcPr>
            <w:tcW w:w="6324" w:type="dxa"/>
            <w:vAlign w:val="center"/>
            <w:textDirection w:val="lrTb"/>
            <w:noWrap/>
          </w:tcPr>
          <w:p>
            <w:pPr>
              <w:pStyle w:val="1082"/>
              <w:spacing w:line="360" w:lineRule="auto"/>
              <w:rPr>
                <w:rFonts w:hint="eastAsia"/>
                <w:bCs/>
                <w:szCs w:val="21"/>
              </w:rPr>
            </w:pPr>
            <w:r>
              <w:rPr>
                <w:bCs/>
                <w:szCs w:val="21"/>
              </w:rPr>
              <w:t xml:space="preserve">对采购人操作、维护人员的培训方案及计划等方面综合评分，</w:t>
            </w:r>
            <w:r>
              <w:rPr>
                <w:szCs w:val="21"/>
              </w:rPr>
              <w:t xml:space="preserve">内容包括但不限于：提供相应产品的培训，培训方案、时间、内容、地点、人员数等</w:t>
            </w:r>
            <w:r>
              <w:rPr>
                <w:bCs/>
                <w:szCs w:val="21"/>
              </w:rPr>
              <w:t xml:space="preserve">。方案详细，可操作性强得3分</w:t>
            </w:r>
            <w:r>
              <w:rPr>
                <w:rFonts w:hint="eastAsia"/>
                <w:bCs/>
                <w:szCs w:val="21"/>
              </w:rPr>
              <w:t xml:space="preserve">；</w:t>
            </w:r>
            <w:r>
              <w:rPr>
                <w:rFonts w:hint="eastAsia"/>
                <w:bCs/>
                <w:szCs w:val="21"/>
              </w:rPr>
            </w:r>
            <w:r/>
          </w:p>
          <w:p>
            <w:pPr>
              <w:pStyle w:val="1082"/>
              <w:spacing w:line="360" w:lineRule="auto"/>
              <w:rPr>
                <w:rFonts w:hint="eastAsia"/>
                <w:bCs/>
                <w:szCs w:val="21"/>
              </w:rPr>
            </w:pPr>
            <w:r>
              <w:rPr>
                <w:bCs/>
                <w:szCs w:val="21"/>
              </w:rPr>
              <w:t xml:space="preserve">方案较详细，可操作性较强得2分</w:t>
            </w:r>
            <w:r>
              <w:rPr>
                <w:rFonts w:hint="eastAsia"/>
                <w:bCs/>
                <w:szCs w:val="21"/>
              </w:rPr>
              <w:t xml:space="preserve">；</w:t>
            </w:r>
            <w:r>
              <w:rPr>
                <w:rFonts w:hint="eastAsia"/>
                <w:bCs/>
                <w:szCs w:val="21"/>
              </w:rPr>
            </w:r>
            <w:r/>
          </w:p>
          <w:p>
            <w:pPr>
              <w:pStyle w:val="1082"/>
              <w:spacing w:line="360" w:lineRule="auto"/>
              <w:rPr>
                <w:rFonts w:hint="eastAsia"/>
                <w:bCs/>
                <w:szCs w:val="21"/>
              </w:rPr>
            </w:pPr>
            <w:r>
              <w:rPr>
                <w:bCs/>
                <w:szCs w:val="21"/>
              </w:rPr>
              <w:t xml:space="preserve">方案粗略，可操作性一般得1分</w:t>
            </w:r>
            <w:r>
              <w:rPr>
                <w:rFonts w:hint="eastAsia"/>
                <w:bCs/>
                <w:szCs w:val="21"/>
              </w:rPr>
              <w:t xml:space="preserve">；</w:t>
            </w:r>
            <w:r>
              <w:rPr>
                <w:rFonts w:hint="eastAsia"/>
                <w:bCs/>
                <w:szCs w:val="21"/>
              </w:rPr>
            </w:r>
            <w:r/>
          </w:p>
          <w:p>
            <w:pPr>
              <w:pStyle w:val="1082"/>
              <w:spacing w:line="360" w:lineRule="auto"/>
              <w:rPr>
                <w:bCs/>
                <w:szCs w:val="21"/>
              </w:rPr>
            </w:pPr>
            <w:r>
              <w:rPr>
                <w:rFonts w:hint="eastAsia"/>
                <w:bCs/>
                <w:szCs w:val="21"/>
              </w:rPr>
              <w:t xml:space="preserve">未提供不得分。</w:t>
            </w:r>
            <w:r>
              <w:rPr>
                <w:bCs/>
                <w:szCs w:val="21"/>
              </w:rPr>
            </w:r>
            <w:r/>
          </w:p>
        </w:tc>
        <w:tc>
          <w:tcPr>
            <w:tcW w:w="747" w:type="dxa"/>
            <w:vAlign w:val="center"/>
            <w:textDirection w:val="lrTb"/>
            <w:noWrap/>
          </w:tcPr>
          <w:p>
            <w:pPr>
              <w:pStyle w:val="1082"/>
              <w:jc w:val="center"/>
              <w:spacing w:line="360" w:lineRule="auto"/>
              <w:rPr>
                <w:szCs w:val="21"/>
              </w:rPr>
            </w:pPr>
            <w:r>
              <w:rPr>
                <w:szCs w:val="21"/>
              </w:rPr>
              <w:t xml:space="preserve">3</w:t>
            </w:r>
            <w:r>
              <w:rPr>
                <w:szCs w:val="21"/>
              </w:rPr>
            </w:r>
            <w:r/>
          </w:p>
        </w:tc>
      </w:tr>
      <w:tr>
        <w:trPr>
          <w:cantSplit/>
          <w:trHeight w:val="1254"/>
        </w:trPr>
        <w:tc>
          <w:tcPr>
            <w:tcW w:w="640" w:type="dxa"/>
            <w:vAlign w:val="center"/>
            <w:textDirection w:val="lrTb"/>
            <w:noWrap/>
          </w:tcPr>
          <w:p>
            <w:pPr>
              <w:pStyle w:val="1082"/>
              <w:jc w:val="center"/>
              <w:spacing w:line="360" w:lineRule="auto"/>
              <w:rPr>
                <w:szCs w:val="21"/>
              </w:rPr>
            </w:pPr>
            <w:r>
              <w:rPr>
                <w:rFonts w:hint="eastAsia"/>
                <w:szCs w:val="21"/>
              </w:rPr>
              <w:t xml:space="preserve">6</w:t>
            </w:r>
            <w:r>
              <w:rPr>
                <w:szCs w:val="21"/>
              </w:rPr>
            </w:r>
            <w:r/>
          </w:p>
        </w:tc>
        <w:tc>
          <w:tcPr>
            <w:tcW w:w="1125" w:type="dxa"/>
            <w:vAlign w:val="center"/>
            <w:textDirection w:val="lrTb"/>
            <w:noWrap/>
          </w:tcPr>
          <w:p>
            <w:pPr>
              <w:pStyle w:val="1082"/>
              <w:jc w:val="center"/>
              <w:spacing w:line="360" w:lineRule="auto"/>
              <w:rPr>
                <w:rFonts w:hint="eastAsia"/>
                <w:b/>
                <w:szCs w:val="21"/>
                <w:highlight w:val="cyan"/>
              </w:rPr>
            </w:pPr>
            <w:r>
              <w:rPr>
                <w:b/>
                <w:szCs w:val="21"/>
              </w:rPr>
              <w:t xml:space="preserve">业绩</w:t>
            </w:r>
            <w:r>
              <w:rPr>
                <w:b/>
                <w:szCs w:val="21"/>
              </w:rPr>
              <w:br w:type="textWrapping" w:clear="all"/>
            </w:r>
            <w:r>
              <w:rPr>
                <w:rFonts w:hint="eastAsia"/>
                <w:b/>
                <w:szCs w:val="21"/>
              </w:rPr>
              <w:t xml:space="preserve">（8分）</w:t>
            </w:r>
            <w:r>
              <w:rPr>
                <w:rFonts w:hint="eastAsia"/>
                <w:b/>
                <w:szCs w:val="21"/>
                <w:highlight w:val="cyan"/>
              </w:rPr>
            </w:r>
            <w:r/>
          </w:p>
        </w:tc>
        <w:tc>
          <w:tcPr>
            <w:tcW w:w="6324" w:type="dxa"/>
            <w:vAlign w:val="center"/>
            <w:textDirection w:val="lrTb"/>
            <w:noWrap/>
          </w:tcPr>
          <w:p>
            <w:pPr>
              <w:pStyle w:val="1082"/>
              <w:spacing w:line="360" w:lineRule="auto"/>
              <w:rPr>
                <w:szCs w:val="21"/>
                <w:highlight w:val="cyan"/>
              </w:rPr>
            </w:pPr>
            <w:r>
              <w:rPr>
                <w:szCs w:val="21"/>
              </w:rPr>
              <w:t xml:space="preserve">提供投标人自己从2022年1月1日起的同类10米法半电波暗室业绩</w:t>
            </w:r>
            <w:r>
              <w:rPr>
                <w:rFonts w:hint="eastAsia"/>
                <w:szCs w:val="21"/>
              </w:rPr>
              <w:t xml:space="preserve">合同</w:t>
            </w:r>
            <w:r>
              <w:rPr>
                <w:szCs w:val="21"/>
                <w:highlight w:val="none"/>
                <w:shd w:val="clear" w:color="auto" w:fill="auto"/>
              </w:rPr>
              <w:t xml:space="preserve">（要求吸波尖劈与本项目同品牌</w:t>
            </w:r>
            <w:r>
              <w:rPr>
                <w:rFonts w:hint="eastAsia"/>
                <w:szCs w:val="21"/>
                <w:highlight w:val="none"/>
                <w:shd w:val="clear" w:color="auto" w:fill="auto"/>
              </w:rPr>
              <w:t xml:space="preserve">材质一样</w:t>
            </w:r>
            <w:r>
              <w:rPr>
                <w:color w:val="000000"/>
                <w:szCs w:val="21"/>
                <w:highlight w:val="none"/>
                <w:shd w:val="clear" w:color="auto" w:fill="auto"/>
              </w:rPr>
              <w:t xml:space="preserve">），同时提供该合同发票</w:t>
            </w:r>
            <w:r>
              <w:rPr>
                <w:rFonts w:hint="eastAsia"/>
                <w:color w:val="000000"/>
                <w:szCs w:val="21"/>
                <w:highlight w:val="none"/>
                <w:shd w:val="clear" w:color="auto" w:fill="auto"/>
              </w:rPr>
              <w:t xml:space="preserve">，一份</w:t>
            </w:r>
            <w:r>
              <w:rPr>
                <w:rFonts w:hint="eastAsia"/>
                <w:szCs w:val="21"/>
                <w:highlight w:val="none"/>
                <w:shd w:val="clear" w:color="auto" w:fill="auto"/>
              </w:rPr>
              <w:t xml:space="preserve">符合要求的业绩案例</w:t>
            </w:r>
            <w:r>
              <w:rPr>
                <w:szCs w:val="21"/>
                <w:highlight w:val="none"/>
                <w:shd w:val="clear" w:color="auto" w:fill="auto"/>
              </w:rPr>
              <w:t xml:space="preserve">得1分，最高得8分。（须提供合同原件扫描件</w:t>
            </w:r>
            <w:r>
              <w:rPr>
                <w:rFonts w:hint="eastAsia"/>
                <w:szCs w:val="21"/>
                <w:highlight w:val="none"/>
                <w:shd w:val="clear" w:color="auto" w:fill="auto"/>
              </w:rPr>
              <w:t xml:space="preserve">（</w:t>
            </w:r>
            <w:r>
              <w:rPr>
                <w:szCs w:val="21"/>
                <w:highlight w:val="none"/>
                <w:shd w:val="clear" w:color="auto" w:fill="auto"/>
              </w:rPr>
              <w:t xml:space="preserve">加盖单位公章</w:t>
            </w:r>
            <w:r>
              <w:rPr>
                <w:rFonts w:hint="eastAsia"/>
                <w:szCs w:val="21"/>
                <w:highlight w:val="none"/>
                <w:shd w:val="clear" w:color="auto" w:fill="auto"/>
              </w:rPr>
              <w:t xml:space="preserve">）</w:t>
            </w:r>
            <w:r>
              <w:rPr>
                <w:rFonts w:hint="eastAsia"/>
                <w:color w:val="000000"/>
                <w:szCs w:val="21"/>
                <w:highlight w:val="none"/>
                <w:shd w:val="clear" w:color="auto" w:fill="auto"/>
                <w:lang w:eastAsia="zh-CN"/>
              </w:rPr>
              <w:t xml:space="preserve">，</w:t>
            </w:r>
            <w:r>
              <w:rPr>
                <w:szCs w:val="21"/>
                <w:highlight w:val="none"/>
                <w:shd w:val="clear" w:color="auto" w:fill="auto"/>
              </w:rPr>
              <w:t xml:space="preserve">以及项目采购人联系方式备查，以合同签订日期为</w:t>
            </w:r>
            <w:r>
              <w:rPr>
                <w:color w:val="000000"/>
                <w:szCs w:val="21"/>
                <w:highlight w:val="none"/>
                <w:shd w:val="clear" w:color="auto" w:fill="auto"/>
              </w:rPr>
              <w:t xml:space="preserve">准</w:t>
            </w:r>
            <w:r>
              <w:rPr>
                <w:rFonts w:hint="eastAsia"/>
                <w:color w:val="000000"/>
                <w:szCs w:val="21"/>
                <w:highlight w:val="none"/>
                <w:shd w:val="clear" w:color="auto" w:fill="auto"/>
                <w:lang w:eastAsia="zh-CN"/>
              </w:rPr>
              <w:t xml:space="preserve">，</w:t>
            </w:r>
            <w:r>
              <w:rPr>
                <w:szCs w:val="21"/>
                <w:highlight w:val="none"/>
                <w:shd w:val="clear" w:color="auto" w:fill="auto"/>
              </w:rPr>
              <w:t xml:space="preserve">否则不得分）。</w:t>
            </w:r>
            <w:r>
              <w:rPr>
                <w:szCs w:val="21"/>
                <w:highlight w:val="cyan"/>
              </w:rPr>
            </w:r>
            <w:r/>
          </w:p>
        </w:tc>
        <w:tc>
          <w:tcPr>
            <w:tcW w:w="747" w:type="dxa"/>
            <w:vAlign w:val="center"/>
            <w:textDirection w:val="lrTb"/>
            <w:noWrap/>
          </w:tcPr>
          <w:p>
            <w:pPr>
              <w:pStyle w:val="1082"/>
              <w:jc w:val="center"/>
              <w:spacing w:line="360" w:lineRule="auto"/>
              <w:rPr>
                <w:szCs w:val="21"/>
                <w:highlight w:val="cyan"/>
              </w:rPr>
            </w:pPr>
            <w:r>
              <w:rPr>
                <w:szCs w:val="21"/>
              </w:rPr>
              <w:t xml:space="preserve">8</w:t>
            </w:r>
            <w:r>
              <w:rPr>
                <w:szCs w:val="21"/>
                <w:highlight w:val="cyan"/>
              </w:rPr>
            </w:r>
            <w:r/>
          </w:p>
        </w:tc>
      </w:tr>
      <w:tr>
        <w:trPr>
          <w:cantSplit/>
          <w:trHeight w:val="1137"/>
        </w:trPr>
        <w:tc>
          <w:tcPr>
            <w:tcW w:w="640" w:type="dxa"/>
            <w:vAlign w:val="center"/>
            <w:textDirection w:val="lrTb"/>
            <w:noWrap/>
          </w:tcPr>
          <w:p>
            <w:pPr>
              <w:pStyle w:val="1082"/>
              <w:ind w:right="211"/>
              <w:jc w:val="center"/>
              <w:spacing w:line="360" w:lineRule="auto"/>
              <w:widowControl/>
              <w:rPr>
                <w:szCs w:val="21"/>
              </w:rPr>
            </w:pPr>
            <w:r>
              <w:rPr>
                <w:rFonts w:hint="eastAsia"/>
                <w:szCs w:val="21"/>
              </w:rPr>
              <w:t xml:space="preserve">7</w:t>
            </w:r>
            <w:r>
              <w:rPr>
                <w:szCs w:val="21"/>
              </w:rPr>
            </w:r>
            <w:r/>
          </w:p>
        </w:tc>
        <w:tc>
          <w:tcPr>
            <w:tcW w:w="1125" w:type="dxa"/>
            <w:vAlign w:val="center"/>
            <w:textDirection w:val="lrTb"/>
            <w:noWrap/>
          </w:tcPr>
          <w:p>
            <w:pPr>
              <w:pStyle w:val="1082"/>
              <w:jc w:val="center"/>
              <w:spacing w:line="440" w:lineRule="exact"/>
              <w:rPr>
                <w:rFonts w:hint="eastAsia"/>
                <w:b/>
                <w:szCs w:val="21"/>
              </w:rPr>
            </w:pPr>
            <w:r>
              <w:rPr>
                <w:b/>
                <w:szCs w:val="21"/>
              </w:rPr>
              <w:t xml:space="preserve">国家政策导向</w:t>
            </w:r>
            <w:r>
              <w:rPr>
                <w:b/>
                <w:szCs w:val="21"/>
              </w:rPr>
              <w:br w:type="textWrapping" w:clear="all"/>
            </w:r>
            <w:r>
              <w:rPr>
                <w:rFonts w:hint="eastAsia"/>
                <w:b/>
                <w:szCs w:val="21"/>
              </w:rPr>
              <w:t xml:space="preserve">（2分）</w:t>
            </w:r>
            <w:r>
              <w:rPr>
                <w:rFonts w:hint="eastAsia"/>
                <w:b/>
                <w:szCs w:val="21"/>
              </w:rPr>
            </w:r>
            <w:r/>
          </w:p>
        </w:tc>
        <w:tc>
          <w:tcPr>
            <w:tcW w:w="6324" w:type="dxa"/>
            <w:vAlign w:val="center"/>
            <w:textDirection w:val="lrTb"/>
            <w:noWrap/>
          </w:tcPr>
          <w:p>
            <w:pPr>
              <w:pStyle w:val="1082"/>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082"/>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747" w:type="dxa"/>
            <w:vAlign w:val="center"/>
            <w:textDirection w:val="lrTb"/>
            <w:noWrap/>
          </w:tcPr>
          <w:p>
            <w:pPr>
              <w:pStyle w:val="1082"/>
              <w:jc w:val="center"/>
              <w:spacing w:line="360" w:lineRule="auto"/>
              <w:widowControl/>
              <w:rPr>
                <w:szCs w:val="21"/>
              </w:rPr>
            </w:pPr>
            <w:r>
              <w:rPr>
                <w:szCs w:val="21"/>
              </w:rPr>
              <w:t xml:space="preserve">2</w:t>
            </w:r>
            <w:r>
              <w:rPr>
                <w:szCs w:val="21"/>
              </w:rPr>
            </w:r>
            <w:r/>
          </w:p>
        </w:tc>
      </w:tr>
    </w:tbl>
    <w:p>
      <w:pPr>
        <w:pStyle w:val="1082"/>
        <w:spacing w:line="360" w:lineRule="auto"/>
        <w:rPr>
          <w:bCs/>
          <w:sz w:val="22"/>
          <w:szCs w:val="28"/>
        </w:rPr>
      </w:pPr>
      <w:r>
        <w:rPr>
          <w:bCs/>
          <w:sz w:val="22"/>
          <w:szCs w:val="28"/>
        </w:rPr>
        <w:t xml:space="preserve">说明：</w:t>
      </w:r>
      <w:r>
        <w:rPr>
          <w:bCs/>
          <w:sz w:val="22"/>
          <w:szCs w:val="28"/>
        </w:rPr>
      </w:r>
      <w:r/>
    </w:p>
    <w:p>
      <w:pPr>
        <w:pStyle w:val="1082"/>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82"/>
        <w:spacing w:line="360" w:lineRule="auto"/>
        <w:rPr>
          <w:bCs/>
          <w:sz w:val="22"/>
          <w:szCs w:val="28"/>
        </w:rPr>
      </w:pPr>
      <w:r>
        <w:rPr>
          <w:bCs/>
          <w:sz w:val="22"/>
          <w:szCs w:val="28"/>
        </w:rPr>
        <w:t xml:space="preserve">2.小微企业价格扣除</w:t>
      </w:r>
      <w:r>
        <w:rPr>
          <w:bCs/>
          <w:sz w:val="22"/>
          <w:szCs w:val="28"/>
        </w:rPr>
      </w:r>
      <w:r/>
    </w:p>
    <w:p>
      <w:pPr>
        <w:pStyle w:val="1082"/>
        <w:spacing w:line="360" w:lineRule="auto"/>
        <w:rPr>
          <w:bCs/>
          <w:sz w:val="22"/>
          <w:szCs w:val="28"/>
        </w:rPr>
      </w:pPr>
      <w:r>
        <w:rPr>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sz w:val="22"/>
          <w:szCs w:val="28"/>
        </w:rPr>
      </w:r>
      <w:r/>
    </w:p>
    <w:p>
      <w:pPr>
        <w:pStyle w:val="1082"/>
        <w:spacing w:line="360" w:lineRule="auto"/>
        <w:rPr>
          <w:bCs/>
          <w:sz w:val="22"/>
          <w:szCs w:val="28"/>
        </w:rPr>
      </w:pPr>
      <w:r>
        <w:rPr>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sz w:val="22"/>
          <w:szCs w:val="28"/>
        </w:rPr>
      </w:r>
      <w:r/>
    </w:p>
    <w:p>
      <w:pPr>
        <w:pStyle w:val="1082"/>
        <w:spacing w:line="360" w:lineRule="auto"/>
        <w:rPr>
          <w:bCs/>
          <w:sz w:val="22"/>
          <w:szCs w:val="28"/>
        </w:rPr>
      </w:pPr>
      <w:r>
        <w:rPr>
          <w:bCs/>
          <w:sz w:val="22"/>
          <w:szCs w:val="28"/>
        </w:rPr>
        <w:t xml:space="preserve">3.监狱和戒毒企业的价格扣除</w:t>
      </w:r>
      <w:r>
        <w:rPr>
          <w:bCs/>
          <w:sz w:val="22"/>
          <w:szCs w:val="28"/>
        </w:rPr>
      </w:r>
      <w:r/>
    </w:p>
    <w:p>
      <w:pPr>
        <w:pStyle w:val="1082"/>
        <w:spacing w:line="360" w:lineRule="auto"/>
        <w:rPr>
          <w:bCs/>
          <w:sz w:val="22"/>
          <w:szCs w:val="28"/>
        </w:rPr>
      </w:pPr>
      <w:r>
        <w:rPr>
          <w:bCs/>
          <w:sz w:val="22"/>
          <w:szCs w:val="28"/>
        </w:rPr>
        <w:t xml:space="preserve">3.1 本项目对监狱和戒毒企业，给予10%的价格扣除，用扣除后的价格参与评审。</w:t>
      </w:r>
      <w:r>
        <w:rPr>
          <w:bCs/>
          <w:sz w:val="22"/>
          <w:szCs w:val="28"/>
        </w:rPr>
      </w:r>
      <w:r/>
    </w:p>
    <w:p>
      <w:pPr>
        <w:pStyle w:val="1082"/>
        <w:spacing w:line="360" w:lineRule="auto"/>
        <w:rPr>
          <w:bCs/>
          <w:sz w:val="22"/>
          <w:szCs w:val="28"/>
        </w:rPr>
      </w:pPr>
      <w:r>
        <w:rPr>
          <w:bCs/>
          <w:sz w:val="22"/>
          <w:szCs w:val="28"/>
        </w:rPr>
        <w:t xml:space="preserve">3.2 监狱企业需提供由省级以上监狱管理局、戒毒管理局（含新疆生产建设兵团）出具的属于监狱企业的证明文件。</w:t>
      </w:r>
      <w:r>
        <w:rPr>
          <w:bCs/>
          <w:sz w:val="22"/>
          <w:szCs w:val="28"/>
        </w:rPr>
      </w:r>
      <w:r/>
    </w:p>
    <w:p>
      <w:pPr>
        <w:pStyle w:val="1082"/>
        <w:spacing w:line="360" w:lineRule="auto"/>
        <w:rPr>
          <w:bCs/>
          <w:sz w:val="22"/>
          <w:szCs w:val="28"/>
        </w:rPr>
      </w:pPr>
      <w:r>
        <w:rPr>
          <w:bCs/>
          <w:sz w:val="22"/>
          <w:szCs w:val="28"/>
        </w:rPr>
        <w:t xml:space="preserve">3.3 监狱企业标准请参照《关于政府采购支持监狱企业发展有关问题的通知》（财库〔2014〕68号）。</w:t>
      </w:r>
      <w:r>
        <w:rPr>
          <w:bCs/>
          <w:sz w:val="22"/>
          <w:szCs w:val="28"/>
        </w:rPr>
      </w:r>
      <w:r/>
    </w:p>
    <w:p>
      <w:pPr>
        <w:pStyle w:val="1082"/>
        <w:spacing w:line="360" w:lineRule="auto"/>
        <w:rPr>
          <w:bCs/>
          <w:sz w:val="22"/>
          <w:szCs w:val="28"/>
        </w:rPr>
      </w:pPr>
      <w:r>
        <w:rPr>
          <w:bCs/>
          <w:sz w:val="22"/>
          <w:szCs w:val="28"/>
        </w:rPr>
        <w:t xml:space="preserve">4.残疾人福利性单位的价格扣除</w:t>
      </w:r>
      <w:r>
        <w:rPr>
          <w:bCs/>
          <w:sz w:val="22"/>
          <w:szCs w:val="28"/>
        </w:rPr>
      </w:r>
      <w:r/>
    </w:p>
    <w:p>
      <w:pPr>
        <w:pStyle w:val="1082"/>
        <w:spacing w:line="360" w:lineRule="auto"/>
        <w:rPr>
          <w:bCs/>
          <w:sz w:val="22"/>
          <w:szCs w:val="28"/>
        </w:rPr>
      </w:pPr>
      <w:r>
        <w:rPr>
          <w:bCs/>
          <w:sz w:val="22"/>
          <w:szCs w:val="28"/>
        </w:rPr>
        <w:t xml:space="preserve">4.1 本项目对残疾人福利性单位，给予10%的价格扣除，用扣除后的价格参与评审。</w:t>
      </w:r>
      <w:r>
        <w:rPr>
          <w:bCs/>
          <w:sz w:val="22"/>
          <w:szCs w:val="28"/>
        </w:rPr>
      </w:r>
      <w:r/>
    </w:p>
    <w:p>
      <w:pPr>
        <w:pStyle w:val="1082"/>
        <w:spacing w:line="360" w:lineRule="auto"/>
        <w:rPr>
          <w:bCs/>
          <w:sz w:val="22"/>
          <w:szCs w:val="28"/>
        </w:rPr>
      </w:pPr>
      <w:r>
        <w:rPr>
          <w:bCs/>
          <w:sz w:val="22"/>
          <w:szCs w:val="28"/>
        </w:rPr>
        <w:t xml:space="preserve">4.2 残疾人福利性单位需提供《残疾人福利性单位声明函》。</w:t>
      </w:r>
      <w:r>
        <w:rPr>
          <w:bCs/>
          <w:sz w:val="22"/>
          <w:szCs w:val="28"/>
        </w:rPr>
      </w:r>
      <w:r/>
    </w:p>
    <w:p>
      <w:pPr>
        <w:pStyle w:val="1082"/>
        <w:spacing w:line="360" w:lineRule="auto"/>
        <w:rPr>
          <w:bCs/>
          <w:sz w:val="22"/>
          <w:szCs w:val="28"/>
        </w:rPr>
      </w:pPr>
      <w:r>
        <w:rPr>
          <w:bCs/>
          <w:sz w:val="22"/>
          <w:szCs w:val="28"/>
        </w:rPr>
        <w:t xml:space="preserve">4.3 残疾人福利性单位标准请参照《关于促进残疾人就业政府采购政策的通知》（财库〔2017〕141号）。</w:t>
      </w:r>
      <w:r>
        <w:rPr>
          <w:bCs/>
          <w:sz w:val="22"/>
          <w:szCs w:val="28"/>
        </w:rPr>
      </w:r>
      <w:r/>
    </w:p>
    <w:p>
      <w:pPr>
        <w:pStyle w:val="1082"/>
        <w:spacing w:line="360" w:lineRule="auto"/>
        <w:rPr>
          <w:bCs/>
          <w:sz w:val="22"/>
          <w:szCs w:val="28"/>
        </w:rPr>
      </w:pPr>
      <w:r>
        <w:rPr>
          <w:bCs/>
          <w:sz w:val="22"/>
          <w:szCs w:val="28"/>
        </w:rPr>
        <w:t xml:space="preserve">5. 监狱企业、残疾人福利性单位属于小型、微型企业的，不重复享受政策。</w:t>
      </w:r>
      <w:r>
        <w:rPr>
          <w:bCs/>
          <w:sz w:val="22"/>
          <w:szCs w:val="28"/>
        </w:rPr>
      </w:r>
      <w:r/>
    </w:p>
    <w:p>
      <w:pPr>
        <w:pStyle w:val="1082"/>
        <w:spacing w:line="360" w:lineRule="auto"/>
        <w:rPr>
          <w:bCs/>
          <w:sz w:val="32"/>
          <w:szCs w:val="44"/>
        </w:rPr>
      </w:pPr>
      <w:r>
        <w:rPr>
          <w:bCs/>
          <w:sz w:val="22"/>
          <w:szCs w:val="28"/>
        </w:rPr>
        <w:t xml:space="preserve">6. 本国产品的价格扣除</w:t>
      </w:r>
      <w:r>
        <w:rPr>
          <w:bCs/>
          <w:sz w:val="22"/>
          <w:szCs w:val="28"/>
        </w:rPr>
        <w:br w:type="textWrapping" w:clear="all"/>
      </w:r>
      <w:r>
        <w:rPr>
          <w:bCs/>
          <w:sz w:val="22"/>
          <w:szCs w:val="28"/>
        </w:rPr>
        <w:t xml:space="preserve">6.1 本国产品标准、本国产品标准的适用范围、对本国产品的支持政策等详见《国务院办公厅关于在政府采购中实施本国产品标准及相关政策的通知》（国办发〔2025〕34号）。</w:t>
      </w:r>
      <w:r>
        <w:rPr>
          <w:bCs/>
          <w:sz w:val="22"/>
          <w:szCs w:val="28"/>
        </w:rPr>
        <w:br w:type="textWrapping" w:clear="all"/>
      </w:r>
      <w:r>
        <w:rPr>
          <w:bCs/>
          <w:sz w:val="22"/>
          <w:szCs w:val="28"/>
        </w:rPr>
        <w:t xml:space="preserve">6.2  政府采购活动中既有本国产品又有非本国产品参与竞争的，依法对本国产品给予价格评审优惠，对本国产品的报价给予20%的价格扣除，用扣除后的价格参与评审。</w:t>
      </w:r>
      <w:r>
        <w:rPr>
          <w:bCs/>
          <w:sz w:val="22"/>
          <w:szCs w:val="28"/>
        </w:rPr>
        <w:br w:type="textWrapping" w:clear="all"/>
      </w:r>
      <w:r>
        <w:rPr>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1083"/>
        <w:numPr>
          <w:ilvl w:val="0"/>
          <w:numId w:val="0"/>
        </w:numPr>
        <w:spacing w:line="360" w:lineRule="auto"/>
      </w:pPr>
      <w:r/>
      <w:bookmarkStart w:id="13" w:name="_Toc23380"/>
      <w:r>
        <w:t xml:space="preserve">第四章 采购需求</w:t>
      </w:r>
      <w:bookmarkEnd w:id="13"/>
      <w:r/>
      <w:bookmarkStart w:id="14" w:name="_Toc481057147"/>
      <w:r/>
      <w:r/>
    </w:p>
    <w:p>
      <w:pPr>
        <w:pStyle w:val="1283"/>
        <w:spacing w:line="360" w:lineRule="auto"/>
        <w:rPr>
          <w:sz w:val="21"/>
          <w:szCs w:val="21"/>
        </w:rPr>
      </w:pPr>
      <w:r/>
      <w:bookmarkStart w:id="15" w:name="_Toc245132801"/>
      <w:r>
        <w:rPr>
          <w:sz w:val="21"/>
          <w:szCs w:val="21"/>
        </w:rPr>
        <w:t xml:space="preserve">本次招标项目主要分为以下标包：</w:t>
      </w:r>
      <w:bookmarkEnd w:id="15"/>
      <w:r>
        <w:rPr>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2950"/>
        <w:gridCol w:w="2854"/>
        <w:gridCol w:w="1384"/>
      </w:tblGrid>
      <w:tr>
        <w:trPr>
          <w:trHeight w:val="317"/>
        </w:trPr>
        <w:tc>
          <w:tcPr>
            <w:tcW w:w="1111" w:type="dxa"/>
            <w:vAlign w:val="center"/>
            <w:textDirection w:val="lrTb"/>
            <w:noWrap w:val="false"/>
          </w:tcPr>
          <w:p>
            <w:pPr>
              <w:pStyle w:val="1082"/>
              <w:jc w:val="center"/>
              <w:spacing w:line="360" w:lineRule="auto"/>
              <w:rPr>
                <w:szCs w:val="21"/>
              </w:rPr>
              <w:outlineLvl w:val="0"/>
            </w:pPr>
            <w:r>
              <w:rPr>
                <w:color w:val="000000"/>
                <w:szCs w:val="21"/>
              </w:rPr>
              <w:t xml:space="preserve">包号</w:t>
            </w:r>
            <w:r>
              <w:rPr>
                <w:szCs w:val="21"/>
              </w:rPr>
            </w:r>
            <w:r/>
          </w:p>
        </w:tc>
        <w:tc>
          <w:tcPr>
            <w:tcW w:w="1596" w:type="dxa"/>
            <w:vAlign w:val="center"/>
            <w:textDirection w:val="lrTb"/>
            <w:noWrap w:val="false"/>
          </w:tcPr>
          <w:p>
            <w:pPr>
              <w:pStyle w:val="1082"/>
              <w:jc w:val="center"/>
              <w:spacing w:line="360" w:lineRule="auto"/>
              <w:rPr>
                <w:szCs w:val="21"/>
              </w:rPr>
              <w:outlineLvl w:val="0"/>
            </w:pPr>
            <w:r>
              <w:rPr>
                <w:color w:val="000000"/>
                <w:szCs w:val="21"/>
              </w:rPr>
              <w:t xml:space="preserve">货物名称</w:t>
            </w:r>
            <w:r>
              <w:rPr>
                <w:szCs w:val="21"/>
              </w:rPr>
            </w:r>
            <w:r/>
          </w:p>
        </w:tc>
        <w:tc>
          <w:tcPr>
            <w:tcW w:w="1544" w:type="dxa"/>
            <w:vAlign w:val="center"/>
            <w:textDirection w:val="lrTb"/>
            <w:noWrap w:val="false"/>
          </w:tcPr>
          <w:p>
            <w:pPr>
              <w:pStyle w:val="1082"/>
              <w:jc w:val="center"/>
              <w:spacing w:line="360" w:lineRule="auto"/>
              <w:rPr>
                <w:color w:val="000000"/>
                <w:szCs w:val="21"/>
              </w:rPr>
              <w:outlineLvl w:val="0"/>
            </w:pPr>
            <w:r>
              <w:rPr>
                <w:color w:val="000000"/>
                <w:szCs w:val="21"/>
              </w:rPr>
              <w:t xml:space="preserve">供货周期</w:t>
            </w:r>
            <w:r>
              <w:rPr>
                <w:color w:val="000000"/>
                <w:szCs w:val="21"/>
              </w:rPr>
            </w:r>
            <w:r/>
          </w:p>
        </w:tc>
        <w:tc>
          <w:tcPr>
            <w:tcW w:w="750" w:type="dxa"/>
            <w:vAlign w:val="center"/>
            <w:textDirection w:val="lrTb"/>
            <w:noWrap w:val="false"/>
          </w:tcPr>
          <w:p>
            <w:pPr>
              <w:pStyle w:val="1082"/>
              <w:jc w:val="center"/>
              <w:spacing w:line="360" w:lineRule="auto"/>
              <w:rPr>
                <w:szCs w:val="21"/>
              </w:rPr>
              <w:outlineLvl w:val="0"/>
            </w:pPr>
            <w:r>
              <w:rPr>
                <w:color w:val="000000"/>
                <w:szCs w:val="21"/>
              </w:rPr>
              <w:t xml:space="preserve">数量（套）</w:t>
            </w:r>
            <w:r>
              <w:rPr>
                <w:szCs w:val="21"/>
              </w:rPr>
            </w:r>
            <w:r/>
          </w:p>
        </w:tc>
      </w:tr>
      <w:tr>
        <w:trPr>
          <w:trHeight w:val="458"/>
        </w:trPr>
        <w:tc>
          <w:tcPr>
            <w:tcW w:w="1111" w:type="dxa"/>
            <w:vAlign w:val="center"/>
            <w:textDirection w:val="lrTb"/>
            <w:noWrap w:val="false"/>
          </w:tcPr>
          <w:p>
            <w:pPr>
              <w:pStyle w:val="1082"/>
              <w:jc w:val="center"/>
              <w:spacing w:line="360" w:lineRule="auto"/>
              <w:rPr>
                <w:szCs w:val="21"/>
              </w:rPr>
              <w:outlineLvl w:val="0"/>
            </w:pPr>
            <w:r>
              <w:rPr>
                <w:szCs w:val="21"/>
              </w:rPr>
            </w:r>
            <w:r/>
          </w:p>
        </w:tc>
        <w:tc>
          <w:tcPr>
            <w:tcW w:w="1596" w:type="dxa"/>
            <w:vAlign w:val="center"/>
            <w:textDirection w:val="lrTb"/>
            <w:noWrap w:val="false"/>
          </w:tcPr>
          <w:p>
            <w:pPr>
              <w:pStyle w:val="1082"/>
              <w:jc w:val="center"/>
              <w:spacing w:line="360" w:lineRule="auto"/>
              <w:rPr>
                <w:szCs w:val="21"/>
              </w:rPr>
              <w:outlineLvl w:val="0"/>
            </w:pPr>
            <w:r>
              <w:rPr>
                <w:szCs w:val="21"/>
              </w:rPr>
              <w:t xml:space="preserve">10米法电波暗室</w:t>
            </w:r>
            <w:r>
              <w:rPr>
                <w:szCs w:val="21"/>
              </w:rPr>
            </w:r>
            <w:r/>
          </w:p>
        </w:tc>
        <w:tc>
          <w:tcPr>
            <w:tcW w:w="1544" w:type="dxa"/>
            <w:vAlign w:val="center"/>
            <w:textDirection w:val="lrTb"/>
            <w:noWrap w:val="false"/>
          </w:tcPr>
          <w:p>
            <w:pPr>
              <w:pStyle w:val="1082"/>
              <w:jc w:val="center"/>
              <w:spacing w:line="360" w:lineRule="auto"/>
              <w:rPr>
                <w:szCs w:val="21"/>
              </w:rPr>
              <w:outlineLvl w:val="0"/>
            </w:pPr>
            <w:r>
              <w:rPr>
                <w:szCs w:val="21"/>
              </w:rPr>
              <w:t xml:space="preserve">签订合同后</w:t>
            </w:r>
            <w:r>
              <w:rPr>
                <w:color w:val="000000"/>
                <w:szCs w:val="21"/>
              </w:rPr>
              <w:t xml:space="preserve">4</w:t>
            </w:r>
            <w:r>
              <w:rPr>
                <w:szCs w:val="21"/>
              </w:rPr>
              <w:t xml:space="preserve">个月内</w:t>
            </w:r>
            <w:r>
              <w:rPr>
                <w:szCs w:val="21"/>
              </w:rPr>
            </w:r>
            <w:r/>
          </w:p>
        </w:tc>
        <w:tc>
          <w:tcPr>
            <w:tcW w:w="750" w:type="dxa"/>
            <w:vAlign w:val="center"/>
            <w:textDirection w:val="lrTb"/>
            <w:noWrap w:val="false"/>
          </w:tcPr>
          <w:p>
            <w:pPr>
              <w:pStyle w:val="1082"/>
              <w:jc w:val="center"/>
              <w:spacing w:line="360" w:lineRule="auto"/>
              <w:rPr>
                <w:szCs w:val="21"/>
              </w:rPr>
              <w:outlineLvl w:val="0"/>
            </w:pPr>
            <w:r>
              <w:rPr>
                <w:szCs w:val="21"/>
              </w:rPr>
              <w:t xml:space="preserve">1</w:t>
            </w:r>
            <w:r>
              <w:rPr>
                <w:szCs w:val="21"/>
              </w:rPr>
            </w:r>
            <w:r/>
          </w:p>
        </w:tc>
      </w:tr>
    </w:tbl>
    <w:p>
      <w:pPr>
        <w:pStyle w:val="1082"/>
        <w:ind w:left="360"/>
        <w:spacing w:line="360" w:lineRule="auto"/>
        <w:rPr>
          <w:szCs w:val="21"/>
        </w:rPr>
      </w:pPr>
      <w:r>
        <w:rPr>
          <w:szCs w:val="21"/>
        </w:rPr>
      </w:r>
      <w:r/>
    </w:p>
    <w:p>
      <w:pPr>
        <w:pStyle w:val="1094"/>
        <w:ind w:firstLine="0"/>
        <w:spacing w:line="360" w:lineRule="auto"/>
        <w:rPr>
          <w:rFonts w:ascii="Times New Roman"/>
          <w:szCs w:val="21"/>
        </w:rPr>
      </w:pPr>
      <w:r>
        <w:rPr>
          <w:rFonts w:hint="eastAsia" w:ascii="Times New Roman"/>
          <w:szCs w:val="21"/>
        </w:rPr>
        <w:t xml:space="preserve">1.</w:t>
      </w:r>
      <w:r>
        <w:rPr>
          <w:rFonts w:ascii="Times New Roman"/>
          <w:szCs w:val="21"/>
        </w:rPr>
        <w:t xml:space="preserve">本技术要求中，带“▲”的条款为重要技术参数，评标委员会根据提供资料的完整性、有效性和合理性进行评分。</w:t>
      </w:r>
      <w:r>
        <w:rPr>
          <w:rFonts w:ascii="Times New Roman"/>
          <w:szCs w:val="21"/>
        </w:rPr>
      </w:r>
      <w:r/>
    </w:p>
    <w:p>
      <w:pPr>
        <w:pStyle w:val="1094"/>
        <w:ind w:firstLine="0"/>
        <w:spacing w:line="360" w:lineRule="auto"/>
        <w:rPr>
          <w:rFonts w:ascii="Times New Roman"/>
          <w:szCs w:val="21"/>
        </w:rPr>
      </w:pPr>
      <w:r>
        <w:rPr>
          <w:rFonts w:hint="eastAsia" w:ascii="Times New Roman"/>
          <w:szCs w:val="21"/>
        </w:rPr>
        <w:t xml:space="preserve">2.</w:t>
      </w:r>
      <w:r>
        <w:rPr>
          <w:rFonts w:ascii="Times New Roman"/>
          <w:szCs w:val="21"/>
        </w:rPr>
        <w:t xml:space="preserve">本技术要求中，带“★”的条款不得负偏离，否则作否决投标处理。</w:t>
      </w:r>
      <w:r>
        <w:rPr>
          <w:rFonts w:ascii="Times New Roman"/>
          <w:szCs w:val="21"/>
        </w:rPr>
      </w:r>
      <w:r/>
    </w:p>
    <w:p>
      <w:pPr>
        <w:pStyle w:val="1083"/>
        <w:numPr>
          <w:ilvl w:val="0"/>
          <w:numId w:val="0"/>
        </w:numPr>
        <w:jc w:val="both"/>
        <w:spacing w:before="120" w:after="120" w:line="360" w:lineRule="auto"/>
        <w:rPr>
          <w:sz w:val="21"/>
          <w:szCs w:val="21"/>
        </w:rPr>
      </w:pPr>
      <w:r>
        <w:rPr>
          <w:sz w:val="21"/>
          <w:szCs w:val="21"/>
          <w:lang w:val="en-US" w:eastAsia="zh-CN"/>
        </w:rPr>
        <w:t xml:space="preserve">一.</w:t>
      </w:r>
      <w:r>
        <w:rPr>
          <w:sz w:val="21"/>
          <w:szCs w:val="21"/>
        </w:rPr>
        <w:t xml:space="preserve">总体要求</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建设要求</w:t>
      </w:r>
      <w:r>
        <w:rPr>
          <w:rFonts w:ascii="Times New Roman" w:hAnsi="Times New Roman"/>
          <w:sz w:val="21"/>
          <w:szCs w:val="21"/>
        </w:rPr>
      </w:r>
      <w:r/>
    </w:p>
    <w:p>
      <w:pPr>
        <w:pStyle w:val="1082"/>
        <w:ind w:firstLine="424"/>
        <w:spacing w:line="360" w:lineRule="auto"/>
        <w:shd w:val="clear" w:color="auto" w:fill="ffffff"/>
        <w:rPr>
          <w:color w:val="000000"/>
          <w:szCs w:val="21"/>
        </w:rPr>
      </w:pPr>
      <w:r>
        <w:rPr>
          <w:color w:val="000000"/>
          <w:szCs w:val="21"/>
        </w:rPr>
        <w:t xml:space="preserve">整体EMC实验室布局和设计方案须由投标人进行实地考察后并和业主充分沟通后确认，不得浪费有限空间，尽量紧凑、美观、实用，具体要求如下：</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充分考虑10m法电波暗室大型全自动滑动屏蔽门移动方向、位置与母体建筑的匹配性，以方便大型被测试件（EUT）的进出，同时结合母体建筑不同承重区域的特点进行暗室屏蔽室的布局设计；</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根据测试项目和功能的需求，考虑暗室屏蔽室与其他非屏蔽EMC实验室测试区域之间的布局的合理性和整体搭配，要求整体EMC实验室测试区域根据各个不同测试项目和流程顺序，布局合理、方便测试与实际使用；</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非屏蔽的其他功能区域，如门厅、样品区、配电区、参观通道和货物存放区域等，其设计与安排的便利性，以及与EMC实验室测试区域的整体搭配合理性，所有设计的各个功能区域，包括EMC实验室测试区域和其他功能区域，要注意对总体空间设计的合理布局和节省；</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充分考虑已建成的母体建筑与暗室屏蔽室配套的土建设施（地坑系统表面处理、承重处理、线缆、通风通道和防潮防水等用于暗室屏蔽室结构需求的设施）的匹配性、合理性、使用便利性和安全性；</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充分考虑与EMC实验室配套的空调主管道、配电系统、水气通道的设计和位置等方面的合理性与便利性，以达到整体实验室总体效果的一致性；</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暗室屏蔽室与EMC测试系统的结合、空间分配和测试利用率的合理设计与布局，要充分考虑线缆布局对功率放大器衰减的影响，尽量减小线衰和各种布局对功率放大器和高频辐射发射信号源和接收机衰减的影响，尤其是10m法电波暗室与屏蔽控制室和屏蔽功放室的位置问题，另外，还需充分考虑如何设计使抗扰度测试中测试切换时更加便利同时不影响测试性能；</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要求整体EMC实验室布局美观、大方，同时考虑客户参观和实验室人员行走空间、通道和路线的合理性，并且要考虑到针对不同客户测试隔离保密性的问题。</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工作条件</w:t>
      </w:r>
      <w:r>
        <w:rPr>
          <w:rFonts w:ascii="Times New Roman" w:hAnsi="Times New Roman"/>
          <w:sz w:val="21"/>
          <w:szCs w:val="21"/>
        </w:rPr>
      </w:r>
      <w:r/>
    </w:p>
    <w:p>
      <w:pPr>
        <w:pStyle w:val="1082"/>
        <w:numPr>
          <w:ilvl w:val="0"/>
          <w:numId w:val="6"/>
        </w:numPr>
        <w:spacing w:line="360" w:lineRule="auto"/>
        <w:shd w:val="clear" w:color="auto" w:fill="ffffff"/>
        <w:rPr>
          <w:color w:val="000000"/>
          <w:szCs w:val="21"/>
        </w:rPr>
      </w:pPr>
      <w:r>
        <w:rPr>
          <w:color w:val="000000"/>
          <w:szCs w:val="21"/>
        </w:rPr>
        <w:t xml:space="preserve">满足自然气候条件（温度5℃～45℃、相对湿度20%～90%）；</w:t>
      </w:r>
      <w:r>
        <w:rPr>
          <w:color w:val="000000"/>
          <w:szCs w:val="21"/>
        </w:rPr>
      </w:r>
      <w:r/>
    </w:p>
    <w:p>
      <w:pPr>
        <w:pStyle w:val="1082"/>
        <w:numPr>
          <w:ilvl w:val="0"/>
          <w:numId w:val="6"/>
        </w:numPr>
        <w:spacing w:line="360" w:lineRule="auto"/>
        <w:shd w:val="clear" w:color="auto" w:fill="ffffff"/>
        <w:rPr>
          <w:color w:val="000000"/>
          <w:szCs w:val="21"/>
        </w:rPr>
      </w:pPr>
      <w:r>
        <w:rPr>
          <w:color w:val="000000"/>
          <w:szCs w:val="21"/>
        </w:rPr>
        <w:t xml:space="preserve">电源AC220V±10%、50Hz±2%；AC380V±10%、50Hz±2%、三相五线制；</w:t>
      </w:r>
      <w:r>
        <w:rPr>
          <w:color w:val="000000"/>
          <w:szCs w:val="21"/>
        </w:rPr>
      </w:r>
      <w:r/>
    </w:p>
    <w:p>
      <w:pPr>
        <w:pStyle w:val="1082"/>
        <w:numPr>
          <w:ilvl w:val="0"/>
          <w:numId w:val="6"/>
        </w:numPr>
        <w:spacing w:line="360" w:lineRule="auto"/>
        <w:shd w:val="clear" w:color="auto" w:fill="ffffff"/>
        <w:rPr>
          <w:szCs w:val="21"/>
        </w:rPr>
      </w:pPr>
      <w:r>
        <w:rPr>
          <w:szCs w:val="21"/>
        </w:rPr>
        <w:t xml:space="preserve">压缩空气压力:压力0.7MPa～0.9MPa，一般干燥压缩空气；</w:t>
      </w:r>
      <w:r>
        <w:rPr>
          <w:szCs w:val="21"/>
        </w:rPr>
      </w:r>
      <w:r/>
    </w:p>
    <w:p>
      <w:pPr>
        <w:pStyle w:val="1082"/>
        <w:numPr>
          <w:ilvl w:val="0"/>
          <w:numId w:val="6"/>
        </w:numPr>
        <w:spacing w:line="360" w:lineRule="auto"/>
        <w:shd w:val="clear" w:color="auto" w:fill="ffffff"/>
        <w:rPr>
          <w:szCs w:val="21"/>
        </w:rPr>
      </w:pPr>
      <w:r>
        <w:rPr>
          <w:szCs w:val="21"/>
        </w:rPr>
        <w:t xml:space="preserve">供水水压：压力0.3MPa～0.4MPa；（水压需要增加到1.5MPa，并可调节，配排水）（预留可布线管道，方便特殊线缆的接入）</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标准要求</w:t>
      </w:r>
      <w:r>
        <w:rPr>
          <w:rFonts w:ascii="Times New Roman" w:hAnsi="Times New Roman"/>
          <w:sz w:val="21"/>
          <w:szCs w:val="21"/>
        </w:rPr>
      </w:r>
      <w:r/>
    </w:p>
    <w:p>
      <w:pPr>
        <w:pStyle w:val="1082"/>
        <w:ind w:firstLine="420"/>
        <w:spacing w:line="360" w:lineRule="auto"/>
        <w:rPr>
          <w:szCs w:val="21"/>
        </w:rPr>
      </w:pPr>
      <w:r>
        <w:rPr>
          <w:szCs w:val="21"/>
        </w:rPr>
        <w:t xml:space="preserve">为了保障电波暗室的长期使用性能，本项目中的部分关键材料，包括铁氧体、吸波材料、射频接头采购进口品牌。屏蔽钢板可采用投标人的国内工厂产品。电波暗室、屏蔽室为开展EMC/EMI测试提供可重复的理想测试环境，充分考虑未来的标准升级的适用性，需满足电磁兼容标准的测试需求，暗室及系统设计兼顾了多项电磁兼容测试项目，需满足如下标准：</w:t>
      </w:r>
      <w:r>
        <w:rPr>
          <w:szCs w:val="21"/>
        </w:rPr>
      </w:r>
      <w:r/>
    </w:p>
    <w:p>
      <w:pPr>
        <w:pStyle w:val="1082"/>
        <w:ind w:firstLine="420"/>
        <w:spacing w:line="360" w:lineRule="auto"/>
        <w:rPr>
          <w:szCs w:val="21"/>
        </w:rPr>
      </w:pPr>
      <w:r>
        <w:rPr>
          <w:szCs w:val="21"/>
        </w:rPr>
        <w:t xml:space="preserve">CNAS-CL01 《检测和校准实验室能力认可准则》</w:t>
      </w:r>
      <w:r>
        <w:rPr>
          <w:szCs w:val="21"/>
        </w:rPr>
      </w:r>
      <w:r/>
    </w:p>
    <w:p>
      <w:pPr>
        <w:pStyle w:val="1082"/>
        <w:ind w:firstLine="420"/>
        <w:spacing w:line="360" w:lineRule="auto"/>
        <w:rPr>
          <w:szCs w:val="21"/>
        </w:rPr>
      </w:pPr>
      <w:r>
        <w:rPr>
          <w:szCs w:val="21"/>
        </w:rPr>
        <w:t xml:space="preserve">CNAS-CL16 《实验室能力认可准则在电磁兼容检测领域的应用说明》</w:t>
      </w:r>
      <w:r>
        <w:rPr>
          <w:szCs w:val="21"/>
        </w:rPr>
      </w:r>
      <w:r/>
    </w:p>
    <w:p>
      <w:pPr>
        <w:pStyle w:val="1082"/>
        <w:ind w:firstLine="420"/>
        <w:spacing w:line="360" w:lineRule="auto"/>
        <w:rPr>
          <w:szCs w:val="21"/>
        </w:rPr>
      </w:pPr>
      <w:r>
        <w:rPr>
          <w:szCs w:val="21"/>
        </w:rPr>
        <w:t xml:space="preserve">CNAS-CL01-A008 《检测和校准实验室能力认可准则在电磁兼容检测领域应用说明》</w:t>
      </w:r>
      <w:r>
        <w:rPr>
          <w:szCs w:val="21"/>
        </w:rPr>
      </w:r>
      <w:r/>
    </w:p>
    <w:p>
      <w:pPr>
        <w:pStyle w:val="1082"/>
        <w:ind w:firstLine="420"/>
        <w:spacing w:line="360" w:lineRule="auto"/>
        <w:rPr>
          <w:szCs w:val="21"/>
        </w:rPr>
      </w:pPr>
      <w:r>
        <w:rPr>
          <w:szCs w:val="21"/>
        </w:rPr>
        <w:t xml:space="preserve">EN50147-1（GB/T 12190）《电磁屏蔽室屏蔽效能的测量方法》</w:t>
      </w:r>
      <w:r>
        <w:rPr>
          <w:szCs w:val="21"/>
        </w:rPr>
      </w:r>
      <w:r/>
    </w:p>
    <w:p>
      <w:pPr>
        <w:pStyle w:val="1082"/>
        <w:ind w:firstLine="420"/>
        <w:spacing w:line="360" w:lineRule="auto"/>
        <w:rPr>
          <w:szCs w:val="21"/>
        </w:rPr>
      </w:pPr>
      <w:r>
        <w:rPr>
          <w:szCs w:val="21"/>
        </w:rPr>
        <w:t xml:space="preserve">EN50147-2《电波暗室场地衰减测试方法》</w:t>
      </w:r>
      <w:r>
        <w:rPr>
          <w:szCs w:val="21"/>
        </w:rPr>
      </w:r>
      <w:r/>
    </w:p>
    <w:p>
      <w:pPr>
        <w:pStyle w:val="1082"/>
        <w:ind w:firstLine="420"/>
        <w:spacing w:line="360" w:lineRule="auto"/>
        <w:rPr>
          <w:szCs w:val="21"/>
        </w:rPr>
      </w:pPr>
      <w:r>
        <w:rPr>
          <w:szCs w:val="21"/>
        </w:rPr>
        <w:t xml:space="preserve">CNAS-CL01《检测和校准实验室能力认可准则》</w:t>
      </w:r>
      <w:r>
        <w:rPr>
          <w:szCs w:val="21"/>
        </w:rPr>
      </w:r>
      <w:r/>
    </w:p>
    <w:p>
      <w:pPr>
        <w:pStyle w:val="1082"/>
        <w:ind w:firstLine="420"/>
        <w:spacing w:line="360" w:lineRule="auto"/>
        <w:rPr>
          <w:szCs w:val="21"/>
        </w:rPr>
      </w:pPr>
      <w:r>
        <w:rPr>
          <w:szCs w:val="21"/>
        </w:rPr>
        <w:t xml:space="preserve">CNAS-CL16《检测和校准实验室能力认可准则在电磁兼容检测领域的应用说明》</w:t>
      </w:r>
      <w:r>
        <w:rPr>
          <w:szCs w:val="21"/>
        </w:rPr>
      </w:r>
      <w:r/>
    </w:p>
    <w:p>
      <w:pPr>
        <w:pStyle w:val="1082"/>
        <w:ind w:firstLine="420"/>
        <w:spacing w:line="360" w:lineRule="auto"/>
        <w:rPr>
          <w:szCs w:val="21"/>
        </w:rPr>
      </w:pPr>
      <w:r>
        <w:rPr>
          <w:szCs w:val="21"/>
        </w:rPr>
        <w:t xml:space="preserve">CNAS-CL01-A008《检测和校准实验室能力认可准则在电磁兼容检测领域应用说明》</w:t>
      </w:r>
      <w:r>
        <w:rPr>
          <w:szCs w:val="21"/>
        </w:rPr>
      </w:r>
      <w:r/>
    </w:p>
    <w:p>
      <w:pPr>
        <w:pStyle w:val="1082"/>
        <w:ind w:firstLine="420"/>
        <w:spacing w:line="360" w:lineRule="auto"/>
        <w:rPr>
          <w:szCs w:val="21"/>
        </w:rPr>
      </w:pPr>
      <w:r>
        <w:rPr>
          <w:szCs w:val="21"/>
        </w:rPr>
        <w:t xml:space="preserve">ANSI C63.4《无线电骚扰和抗扰度测量设备规范》</w:t>
      </w:r>
      <w:r>
        <w:rPr>
          <w:szCs w:val="21"/>
        </w:rPr>
      </w:r>
      <w:r/>
    </w:p>
    <w:p>
      <w:pPr>
        <w:pStyle w:val="1082"/>
        <w:ind w:firstLine="420"/>
        <w:spacing w:line="360" w:lineRule="auto"/>
        <w:rPr>
          <w:szCs w:val="21"/>
        </w:rPr>
      </w:pPr>
      <w:r>
        <w:rPr>
          <w:szCs w:val="21"/>
        </w:rPr>
        <w:t xml:space="preserve">CISPR 16-1-1（GB/T 6113.101）《无线电骚扰和抗扰度测量设备和测量方法规范  第 1-1 部分：无线电骚扰和抗扰度测量设备 测量设备》</w:t>
      </w:r>
      <w:r>
        <w:rPr>
          <w:szCs w:val="21"/>
        </w:rPr>
      </w:r>
      <w:r/>
    </w:p>
    <w:p>
      <w:pPr>
        <w:pStyle w:val="1082"/>
        <w:ind w:firstLine="420"/>
        <w:spacing w:line="360" w:lineRule="auto"/>
        <w:rPr>
          <w:szCs w:val="21"/>
        </w:rPr>
      </w:pPr>
      <w:r>
        <w:rPr>
          <w:szCs w:val="21"/>
        </w:rPr>
        <w:t xml:space="preserve">CISPR 16-1-2（GB/T 6113.102）《无线电骚扰和抗扰度测量设备和测量方法规范  第 1-2 部分：无线电骚扰和抗扰度测量设备 辅助设备 传导骚扰》</w:t>
      </w:r>
      <w:r>
        <w:rPr>
          <w:szCs w:val="21"/>
        </w:rPr>
      </w:r>
      <w:r/>
    </w:p>
    <w:p>
      <w:pPr>
        <w:pStyle w:val="1082"/>
        <w:ind w:firstLine="420"/>
        <w:spacing w:line="360" w:lineRule="auto"/>
        <w:rPr>
          <w:szCs w:val="21"/>
        </w:rPr>
      </w:pPr>
      <w:r>
        <w:rPr>
          <w:szCs w:val="21"/>
        </w:rPr>
        <w:t xml:space="preserve">CISPR16-1-4（GB/T 6113.104）《无线电骚扰和抗扰度测量设备和测量方法规范 第 1-4 部分：无线电骚扰和抗扰度测量设备 辅助设备 辐射骚扰》</w:t>
      </w:r>
      <w:r>
        <w:rPr>
          <w:szCs w:val="21"/>
        </w:rPr>
      </w:r>
      <w:r/>
    </w:p>
    <w:p>
      <w:pPr>
        <w:pStyle w:val="1082"/>
        <w:ind w:firstLine="420"/>
        <w:spacing w:line="360" w:lineRule="auto"/>
        <w:rPr>
          <w:szCs w:val="21"/>
        </w:rPr>
      </w:pPr>
      <w:r>
        <w:rPr>
          <w:szCs w:val="21"/>
        </w:rPr>
        <w:t xml:space="preserve">CISPR16-2-4（GB/T 6113.204）《无线电骚扰和抗扰度测量设备和测量方法规范 第 2-4 部分：无线电骚扰和抗扰度测量方法 抗扰度测量》</w:t>
      </w:r>
      <w:r>
        <w:rPr>
          <w:szCs w:val="21"/>
        </w:rPr>
      </w:r>
      <w:r/>
    </w:p>
    <w:p>
      <w:pPr>
        <w:pStyle w:val="1082"/>
        <w:ind w:firstLine="420"/>
        <w:spacing w:line="360" w:lineRule="auto"/>
        <w:rPr>
          <w:szCs w:val="21"/>
        </w:rPr>
      </w:pPr>
      <w:r>
        <w:rPr>
          <w:szCs w:val="21"/>
        </w:rPr>
        <w:t xml:space="preserve">CISPR 25（GB/T 18655）《车辆、船和内燃机 无线电骚扰特性 用于保护车载接收机的限值和测量方法》</w:t>
      </w:r>
      <w:r>
        <w:rPr>
          <w:szCs w:val="21"/>
        </w:rPr>
      </w:r>
      <w:r/>
    </w:p>
    <w:p>
      <w:pPr>
        <w:pStyle w:val="1082"/>
        <w:ind w:firstLine="420"/>
        <w:spacing w:line="360" w:lineRule="auto"/>
        <w:rPr>
          <w:szCs w:val="21"/>
        </w:rPr>
      </w:pPr>
      <w:r>
        <w:rPr>
          <w:szCs w:val="21"/>
        </w:rPr>
        <w:t xml:space="preserve">CISPR 32（GB/T 9254.1）《车辆、船和内燃机 无线电骚扰特性 用于保护车载接收机的限值和测量方法》</w:t>
      </w:r>
      <w:r>
        <w:rPr>
          <w:szCs w:val="21"/>
        </w:rPr>
      </w:r>
      <w:r/>
    </w:p>
    <w:p>
      <w:pPr>
        <w:pStyle w:val="1082"/>
        <w:ind w:firstLine="420"/>
        <w:spacing w:line="360" w:lineRule="auto"/>
        <w:rPr>
          <w:szCs w:val="21"/>
        </w:rPr>
      </w:pPr>
      <w:r>
        <w:rPr>
          <w:szCs w:val="21"/>
        </w:rPr>
        <w:t xml:space="preserve">CISPR 11 （GB 4824）《工业、科学和医疗设备 射频骚扰特性 限值和测量方法》</w:t>
      </w:r>
      <w:r>
        <w:rPr>
          <w:szCs w:val="21"/>
        </w:rPr>
      </w:r>
      <w:r/>
    </w:p>
    <w:p>
      <w:pPr>
        <w:pStyle w:val="1082"/>
        <w:ind w:firstLine="420"/>
        <w:spacing w:line="360" w:lineRule="auto"/>
        <w:rPr>
          <w:szCs w:val="21"/>
        </w:rPr>
      </w:pPr>
      <w:r>
        <w:rPr>
          <w:szCs w:val="21"/>
        </w:rPr>
        <w:t xml:space="preserve">IEC 60601-1-2 （YY 9706.102）《医用电气设备_第1-2部分：基本安全和基本性能的通用要求_并列标准：电磁兼容 要求和试验》</w:t>
      </w:r>
      <w:r>
        <w:rPr>
          <w:szCs w:val="21"/>
        </w:rPr>
      </w:r>
      <w:r/>
    </w:p>
    <w:p>
      <w:pPr>
        <w:pStyle w:val="1082"/>
        <w:ind w:firstLine="420"/>
        <w:spacing w:line="360" w:lineRule="auto"/>
        <w:rPr>
          <w:szCs w:val="21"/>
        </w:rPr>
      </w:pPr>
      <w:r>
        <w:rPr>
          <w:szCs w:val="21"/>
        </w:rPr>
        <w:t xml:space="preserve">FCC part 15B 《Radio-Noise Emissions from Low-Voltage Electrical and Electronic Equipment in the Range of 9 kHz to 40 GH》</w:t>
      </w:r>
      <w:r>
        <w:rPr>
          <w:szCs w:val="21"/>
        </w:rPr>
      </w:r>
      <w:r/>
    </w:p>
    <w:p>
      <w:pPr>
        <w:pStyle w:val="1082"/>
        <w:ind w:firstLine="420"/>
        <w:spacing w:line="360" w:lineRule="auto"/>
        <w:rPr>
          <w:szCs w:val="21"/>
        </w:rPr>
      </w:pPr>
      <w:r>
        <w:rPr>
          <w:szCs w:val="21"/>
        </w:rPr>
        <w:t xml:space="preserve">CISPR 17 （GB/T 7343）《无源EMC滤波器件抑制特性的测量方法》</w:t>
      </w:r>
      <w:r>
        <w:rPr>
          <w:szCs w:val="21"/>
        </w:rPr>
      </w:r>
      <w:r/>
    </w:p>
    <w:p>
      <w:pPr>
        <w:pStyle w:val="1082"/>
        <w:ind w:firstLine="420"/>
        <w:spacing w:line="360" w:lineRule="auto"/>
        <w:rPr>
          <w:szCs w:val="21"/>
        </w:rPr>
      </w:pPr>
      <w:r>
        <w:rPr>
          <w:szCs w:val="21"/>
        </w:rPr>
        <w:t xml:space="preserve">GB/T 2406  《塑料 用氧指数法测定燃烧行为》</w:t>
      </w:r>
      <w:r>
        <w:rPr>
          <w:szCs w:val="21"/>
        </w:rPr>
      </w:r>
      <w:r/>
    </w:p>
    <w:p>
      <w:pPr>
        <w:pStyle w:val="1082"/>
        <w:ind w:firstLine="420"/>
        <w:spacing w:line="360" w:lineRule="auto"/>
        <w:rPr>
          <w:szCs w:val="21"/>
        </w:rPr>
      </w:pPr>
      <w:r>
        <w:rPr>
          <w:szCs w:val="21"/>
        </w:rPr>
        <w:t xml:space="preserve">GB 8624  《建筑材料及制品燃烧性能分级》</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布局要求</w:t>
      </w:r>
      <w:r>
        <w:rPr>
          <w:rFonts w:ascii="Times New Roman" w:hAnsi="Times New Roman"/>
          <w:sz w:val="21"/>
          <w:szCs w:val="21"/>
        </w:rPr>
      </w:r>
      <w:r/>
    </w:p>
    <w:p>
      <w:pPr>
        <w:pStyle w:val="1082"/>
        <w:ind w:left="420"/>
        <w:spacing w:line="360" w:lineRule="auto"/>
        <w:rPr>
          <w:szCs w:val="21"/>
        </w:rPr>
      </w:pPr>
      <w:r>
        <w:rPr>
          <w:szCs w:val="21"/>
        </w:rPr>
        <w:t xml:space="preserve">▲</w:t>
      </w:r>
      <w:r>
        <w:rPr>
          <w:szCs w:val="21"/>
        </w:rPr>
        <w:t xml:space="preserve">投标人须根据现有建筑设计基础，统一规划设计电波暗室、配套控制室、功放室、负载屏蔽室等的整体布局方案，并提供相应平面布置图。具体图纸要求如下：</w:t>
      </w:r>
      <w:r>
        <w:rPr>
          <w:szCs w:val="21"/>
        </w:rPr>
      </w:r>
      <w:r/>
    </w:p>
    <w:p>
      <w:pPr>
        <w:pStyle w:val="1082"/>
        <w:numPr>
          <w:ilvl w:val="0"/>
          <w:numId w:val="7"/>
        </w:numPr>
        <w:spacing w:line="360" w:lineRule="auto"/>
        <w:rPr>
          <w:szCs w:val="21"/>
        </w:rPr>
      </w:pPr>
      <w:r>
        <w:rPr>
          <w:szCs w:val="21"/>
        </w:rPr>
        <w:t xml:space="preserve">按比例并标注实际尺寸，包括平面、剖面、屋面；</w:t>
      </w:r>
      <w:r>
        <w:rPr>
          <w:szCs w:val="21"/>
        </w:rPr>
      </w:r>
      <w:r/>
    </w:p>
    <w:p>
      <w:pPr>
        <w:pStyle w:val="1082"/>
        <w:numPr>
          <w:ilvl w:val="0"/>
          <w:numId w:val="7"/>
        </w:numPr>
        <w:spacing w:line="360" w:lineRule="auto"/>
        <w:rPr>
          <w:szCs w:val="21"/>
        </w:rPr>
      </w:pPr>
      <w:r>
        <w:rPr>
          <w:szCs w:val="21"/>
        </w:rPr>
        <w:t xml:space="preserve">承重/荷载/立柱布置图；</w:t>
      </w:r>
      <w:r>
        <w:rPr>
          <w:szCs w:val="21"/>
        </w:rPr>
      </w:r>
      <w:r/>
    </w:p>
    <w:p>
      <w:pPr>
        <w:pStyle w:val="1082"/>
        <w:numPr>
          <w:ilvl w:val="0"/>
          <w:numId w:val="7"/>
        </w:numPr>
        <w:spacing w:line="360" w:lineRule="auto"/>
        <w:rPr>
          <w:szCs w:val="21"/>
        </w:rPr>
      </w:pPr>
      <w:r>
        <w:rPr>
          <w:szCs w:val="21"/>
        </w:rPr>
        <w:t xml:space="preserve">暗室吸波材料铺设图；</w:t>
      </w:r>
      <w:r>
        <w:rPr>
          <w:szCs w:val="21"/>
        </w:rPr>
      </w:r>
      <w:r/>
    </w:p>
    <w:p>
      <w:pPr>
        <w:pStyle w:val="1082"/>
        <w:numPr>
          <w:ilvl w:val="0"/>
          <w:numId w:val="7"/>
        </w:numPr>
        <w:spacing w:line="360" w:lineRule="auto"/>
        <w:rPr>
          <w:szCs w:val="21"/>
        </w:rPr>
      </w:pPr>
      <w:r>
        <w:rPr>
          <w:szCs w:val="21"/>
        </w:rPr>
        <w:t xml:space="preserve">配套单点接地系统设计布局图；</w:t>
      </w:r>
      <w:r>
        <w:rPr>
          <w:szCs w:val="21"/>
        </w:rPr>
      </w:r>
      <w:r/>
    </w:p>
    <w:p>
      <w:pPr>
        <w:pStyle w:val="1082"/>
        <w:numPr>
          <w:ilvl w:val="0"/>
          <w:numId w:val="7"/>
        </w:numPr>
        <w:spacing w:line="360" w:lineRule="auto"/>
        <w:rPr>
          <w:szCs w:val="21"/>
        </w:rPr>
      </w:pPr>
      <w:r>
        <w:rPr>
          <w:szCs w:val="21"/>
        </w:rPr>
        <w:t xml:space="preserve">配套空调管道和主机布局图；</w:t>
      </w:r>
      <w:r>
        <w:rPr>
          <w:szCs w:val="21"/>
        </w:rPr>
      </w:r>
      <w:r/>
    </w:p>
    <w:p>
      <w:pPr>
        <w:pStyle w:val="1082"/>
        <w:numPr>
          <w:ilvl w:val="0"/>
          <w:numId w:val="7"/>
        </w:numPr>
        <w:spacing w:line="360" w:lineRule="auto"/>
        <w:rPr>
          <w:szCs w:val="21"/>
        </w:rPr>
      </w:pPr>
      <w:r>
        <w:rPr>
          <w:szCs w:val="21"/>
        </w:rPr>
        <w:t xml:space="preserve">配套配电原理图；配套配电原理图；</w:t>
      </w:r>
      <w:r>
        <w:rPr>
          <w:szCs w:val="21"/>
        </w:rPr>
      </w:r>
      <w:r/>
    </w:p>
    <w:p>
      <w:pPr>
        <w:pStyle w:val="1082"/>
        <w:numPr>
          <w:ilvl w:val="0"/>
          <w:numId w:val="7"/>
        </w:numPr>
        <w:spacing w:line="360" w:lineRule="auto"/>
        <w:rPr>
          <w:szCs w:val="21"/>
        </w:rPr>
      </w:pPr>
      <w:r>
        <w:rPr>
          <w:szCs w:val="21"/>
        </w:rPr>
        <w:t xml:space="preserve">3D仿真效果图。</w:t>
      </w:r>
      <w:r>
        <w:rPr>
          <w:szCs w:val="21"/>
        </w:rPr>
      </w:r>
      <w:r/>
    </w:p>
    <w:p>
      <w:pPr>
        <w:pStyle w:val="1082"/>
        <w:numPr>
          <w:ilvl w:val="0"/>
          <w:numId w:val="8"/>
        </w:numPr>
        <w:ind w:left="0" w:firstLine="420"/>
        <w:spacing w:line="360" w:lineRule="auto"/>
        <w:rPr>
          <w:szCs w:val="21"/>
        </w:rPr>
      </w:pPr>
      <w:r>
        <w:rPr>
          <w:szCs w:val="21"/>
        </w:rPr>
        <w:t xml:space="preserve">投标人的初步设计方案应充分满足实验室工作环境便利、场地空间利用率高、结构布局合理的要求，适应实验室实际工作需要。</w:t>
      </w:r>
      <w:r>
        <w:rPr>
          <w:szCs w:val="21"/>
        </w:rPr>
      </w:r>
      <w:r/>
    </w:p>
    <w:p>
      <w:pPr>
        <w:pStyle w:val="1082"/>
        <w:numPr>
          <w:ilvl w:val="0"/>
          <w:numId w:val="8"/>
        </w:numPr>
        <w:ind w:left="0" w:firstLine="420"/>
        <w:spacing w:line="360" w:lineRule="auto"/>
        <w:rPr>
          <w:szCs w:val="21"/>
        </w:rPr>
      </w:pPr>
      <w:r>
        <w:rPr>
          <w:szCs w:val="21"/>
        </w:rPr>
        <w:t xml:space="preserve">具体需求项目如下表所示：</w:t>
      </w:r>
      <w:r>
        <w:rPr>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6"/>
        <w:gridCol w:w="1381"/>
        <w:gridCol w:w="3645"/>
      </w:tblGrid>
      <w:tr>
        <w:trPr>
          <w:trHeight w:val="510"/>
        </w:trPr>
        <w:tc>
          <w:tcPr>
            <w:tcW w:w="2281"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747" w:type="dxa"/>
            <w:vAlign w:val="center"/>
            <w:textDirection w:val="lrTb"/>
            <w:noWrap w:val="false"/>
          </w:tcPr>
          <w:p>
            <w:pPr>
              <w:pStyle w:val="1082"/>
              <w:jc w:val="center"/>
              <w:spacing w:line="360" w:lineRule="auto"/>
              <w:rPr>
                <w:b/>
                <w:szCs w:val="21"/>
              </w:rPr>
            </w:pPr>
            <w:r>
              <w:rPr>
                <w:b/>
                <w:szCs w:val="21"/>
              </w:rPr>
              <w:t xml:space="preserve">数量</w:t>
            </w:r>
            <w:r>
              <w:rPr>
                <w:b/>
                <w:szCs w:val="21"/>
              </w:rPr>
            </w:r>
            <w:r/>
          </w:p>
        </w:tc>
        <w:tc>
          <w:tcPr>
            <w:tcW w:w="197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十米法半电波暗室主体</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restart"/>
            <w:textDirection w:val="lrTb"/>
            <w:noWrap w:val="false"/>
          </w:tcPr>
          <w:p>
            <w:pPr>
              <w:pStyle w:val="1082"/>
              <w:jc w:val="center"/>
              <w:spacing w:line="360" w:lineRule="auto"/>
              <w:rPr>
                <w:szCs w:val="21"/>
              </w:rPr>
            </w:pPr>
            <w:r>
              <w:rPr>
                <w:szCs w:val="21"/>
              </w:rPr>
              <w:t xml:space="preserve">EMC测试</w:t>
            </w: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十米法半电波暗室控制室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十米法半电波暗室功放室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屏蔽负载室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配套地坑整改</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配套连接工程</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空调设施</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独立接地</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配套电源</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配套设备</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bl>
    <w:p>
      <w:pPr>
        <w:pStyle w:val="1083"/>
        <w:numPr>
          <w:ilvl w:val="0"/>
          <w:numId w:val="0"/>
        </w:numPr>
        <w:jc w:val="both"/>
        <w:spacing w:before="120" w:after="120" w:line="360" w:lineRule="auto"/>
        <w:rPr>
          <w:sz w:val="21"/>
          <w:szCs w:val="21"/>
        </w:rPr>
      </w:pPr>
      <w:r>
        <w:rPr>
          <w:sz w:val="21"/>
          <w:szCs w:val="21"/>
          <w:lang w:val="en-US" w:eastAsia="zh-CN"/>
        </w:rPr>
        <w:t xml:space="preserve">二．</w:t>
      </w:r>
      <w:r>
        <w:rPr>
          <w:sz w:val="21"/>
          <w:szCs w:val="21"/>
        </w:rPr>
        <w:t xml:space="preserve">技术指标</w:t>
      </w:r>
      <w:r>
        <w:rPr>
          <w:sz w:val="21"/>
          <w:szCs w:val="21"/>
        </w:rPr>
      </w:r>
      <w:r/>
    </w:p>
    <w:p>
      <w:pPr>
        <w:pStyle w:val="1082"/>
        <w:ind w:firstLine="420"/>
        <w:spacing w:line="360" w:lineRule="auto"/>
        <w:rPr>
          <w:szCs w:val="21"/>
        </w:rPr>
      </w:pPr>
      <w:r>
        <w:rPr>
          <w:szCs w:val="21"/>
        </w:rPr>
        <w:t xml:space="preserve">项目完成后中标方须聘请检测机构进行测试，本项目场地性能验证由招标人认可的独立第三方权威计量检测机构完成。</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1. ▲屏蔽效能SE</w:t>
      </w:r>
      <w:r>
        <w:rPr>
          <w:rFonts w:ascii="Times New Roman" w:hAnsi="Times New Roman"/>
          <w:sz w:val="21"/>
          <w:szCs w:val="21"/>
        </w:rPr>
      </w:r>
      <w:r/>
    </w:p>
    <w:p>
      <w:pPr>
        <w:pStyle w:val="1082"/>
        <w:ind w:firstLine="420"/>
        <w:spacing w:line="360" w:lineRule="auto"/>
        <w:rPr>
          <w:szCs w:val="21"/>
        </w:rPr>
      </w:pPr>
      <w:r>
        <w:rPr>
          <w:szCs w:val="21"/>
        </w:rPr>
        <w:t xml:space="preserve">测试频率范围为9kHz~40GHz，按照EN50147或 GB12190最新标准的规定进行。屏蔽性能满足以下要求： </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b/>
                <w:szCs w:val="21"/>
              </w:rPr>
            </w:pPr>
            <w:r>
              <w:rPr>
                <w:b/>
                <w:szCs w:val="21"/>
              </w:rPr>
              <w:t xml:space="preserve">频率</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b/>
                <w:szCs w:val="21"/>
              </w:rPr>
            </w:pPr>
            <w:r>
              <w:rPr>
                <w:b/>
                <w:szCs w:val="21"/>
              </w:rPr>
              <w:t xml:space="preserve">衰减量</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b/>
                <w:szCs w:val="21"/>
              </w:rPr>
            </w:pPr>
            <w:r>
              <w:rPr>
                <w:b/>
                <w:szCs w:val="21"/>
              </w:rPr>
              <w:t xml:space="preserve">场源</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9kHz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≥80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100kHz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150kHz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30MHz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100MHz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color w:val="000000"/>
                <w:szCs w:val="21"/>
              </w:rPr>
              <w:t xml:space="preserve">450MHz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color w:val="000000"/>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3GHz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6GHz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18GHz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40GHz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≥90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bl>
    <w:p>
      <w:pPr>
        <w:pStyle w:val="1084"/>
        <w:spacing w:line="360" w:lineRule="auto"/>
        <w:rPr>
          <w:rFonts w:ascii="Times New Roman" w:hAnsi="Times New Roman"/>
          <w:sz w:val="21"/>
          <w:szCs w:val="21"/>
        </w:rPr>
      </w:pPr>
      <w:r>
        <w:rPr>
          <w:rFonts w:ascii="Times New Roman" w:hAnsi="Times New Roman"/>
          <w:sz w:val="21"/>
          <w:szCs w:val="21"/>
        </w:rPr>
        <w:t xml:space="preserve">2. ▲背景噪声</w:t>
      </w:r>
      <w:r>
        <w:rPr>
          <w:rFonts w:ascii="Times New Roman" w:hAnsi="Times New Roman"/>
          <w:sz w:val="21"/>
          <w:szCs w:val="21"/>
        </w:rPr>
      </w:r>
      <w:r/>
    </w:p>
    <w:p>
      <w:pPr>
        <w:pStyle w:val="1082"/>
        <w:ind w:firstLine="420"/>
        <w:spacing w:line="360" w:lineRule="auto"/>
        <w:rPr>
          <w:szCs w:val="21"/>
        </w:rPr>
      </w:pPr>
      <w:r>
        <w:rPr>
          <w:szCs w:val="21"/>
        </w:rPr>
        <w:t xml:space="preserve">频率范围：覆盖9kHz～40GHz。</w:t>
      </w:r>
      <w:r>
        <w:rPr>
          <w:szCs w:val="21"/>
        </w:rPr>
      </w:r>
      <w:r/>
    </w:p>
    <w:p>
      <w:pPr>
        <w:pStyle w:val="1082"/>
        <w:ind w:firstLine="420"/>
        <w:spacing w:line="360" w:lineRule="auto"/>
        <w:rPr>
          <w:szCs w:val="21"/>
        </w:rPr>
      </w:pPr>
      <w:r>
        <w:rPr>
          <w:szCs w:val="21"/>
        </w:rPr>
        <w:t xml:space="preserve">在无EUT的情况下，测试电平应比推荐使用CISPR 32（GB/T 9254.1）的B级设备和FCC Part15所规定的30MHz～40GHz限值的电平至少低15dB（峰值）。进行该项测试时，电波暗室内没有EUT，但是转台连续转动、天线塔上下升降、音视频监控系统、照明、整改系统（需要时）等全部打开。</w:t>
      </w:r>
      <w:r>
        <w:rPr>
          <w:szCs w:val="21"/>
        </w:rPr>
      </w:r>
      <w:r/>
    </w:p>
    <w:p>
      <w:pPr>
        <w:pStyle w:val="1082"/>
        <w:ind w:firstLine="420"/>
        <w:spacing w:line="360" w:lineRule="auto"/>
        <w:rPr>
          <w:szCs w:val="21"/>
        </w:rPr>
      </w:pPr>
      <w:r>
        <w:rPr>
          <w:szCs w:val="21"/>
        </w:rPr>
        <w:t xml:space="preserve">依据CISPR25标准最新版本的要求，在100kHz～6GHz的频率范围内，开启照明、音视频监控系统等辅助设备进行辐射骚扰测试，测得的暗室内部背景噪声电平比CISPR 25 Class 5所规定限值至少低10dB（PK&amp;QP&amp;AV）。</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3. ▲长线法</w:t>
      </w:r>
      <w:r>
        <w:rPr>
          <w:rFonts w:ascii="Times New Roman" w:hAnsi="Times New Roman"/>
          <w:sz w:val="21"/>
          <w:szCs w:val="21"/>
        </w:rPr>
      </w:r>
      <w:r/>
    </w:p>
    <w:p>
      <w:pPr>
        <w:pStyle w:val="1082"/>
        <w:ind w:firstLine="420"/>
        <w:spacing w:line="360" w:lineRule="auto"/>
        <w:rPr>
          <w:szCs w:val="21"/>
          <w:highlight w:val="green"/>
        </w:rPr>
      </w:pPr>
      <w:r>
        <w:rPr>
          <w:szCs w:val="21"/>
        </w:rPr>
        <w:t xml:space="preserve">依据CISPR25最新版本标准，在150kHz~1GHz频率范围</w:t>
      </w:r>
      <w:r>
        <w:rPr>
          <w:szCs w:val="21"/>
          <w:highlight w:val="none"/>
        </w:rPr>
        <w:t xml:space="preserve">内，采用长线法测量暗室场地特性，90%以上频率点测量得到的测量值和理论值之间的偏差在±6dB之内（提供截止投标日近3年不少于2套案例证明文件，包括合同、验收报告和发票）。</w:t>
      </w:r>
      <w:r>
        <w:rPr>
          <w:szCs w:val="21"/>
          <w:highlight w:val="green"/>
        </w:rPr>
      </w:r>
      <w:r/>
    </w:p>
    <w:p>
      <w:pPr>
        <w:pStyle w:val="1084"/>
        <w:spacing w:line="360" w:lineRule="auto"/>
        <w:rPr>
          <w:rFonts w:ascii="Times New Roman" w:hAnsi="Times New Roman"/>
          <w:sz w:val="21"/>
          <w:szCs w:val="21"/>
        </w:rPr>
      </w:pPr>
      <w:r>
        <w:rPr>
          <w:rFonts w:ascii="Times New Roman" w:hAnsi="Times New Roman"/>
          <w:sz w:val="21"/>
          <w:szCs w:val="21"/>
        </w:rPr>
        <w:t xml:space="preserve">4. ▲归一化场地插损NSIL</w:t>
      </w:r>
      <w:r>
        <w:rPr>
          <w:rFonts w:ascii="Times New Roman" w:hAnsi="Times New Roman"/>
          <w:sz w:val="21"/>
          <w:szCs w:val="21"/>
        </w:rPr>
      </w:r>
      <w:r/>
    </w:p>
    <w:p>
      <w:pPr>
        <w:pStyle w:val="1082"/>
        <w:ind w:firstLine="420"/>
        <w:spacing w:line="360" w:lineRule="auto"/>
        <w:rPr>
          <w:szCs w:val="21"/>
        </w:rPr>
      </w:pPr>
      <w:r>
        <w:rPr>
          <w:szCs w:val="21"/>
        </w:rPr>
        <w:t xml:space="preserve">频率范围：30MHz以下。</w:t>
      </w:r>
      <w:r>
        <w:rPr>
          <w:szCs w:val="21"/>
        </w:rPr>
      </w:r>
      <w:r/>
    </w:p>
    <w:p>
      <w:pPr>
        <w:pStyle w:val="1082"/>
        <w:ind w:firstLine="420"/>
        <w:spacing w:line="360" w:lineRule="auto"/>
        <w:rPr>
          <w:szCs w:val="21"/>
        </w:rPr>
      </w:pPr>
      <w:r>
        <w:rPr>
          <w:szCs w:val="21"/>
        </w:rPr>
        <w:t xml:space="preserve">依据新版CISPR 16-1-4标准要求，30MHz 以下场地性能规定测试布局，在3m 测试距离，环天线分别同时处于X、Y、Z三个轴向，1.5m（直径）×1.5m（高度）的静区内，归一化场地插损与理论值偏差至少优于±3.5dB。</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5. ▲归一化场地衰减NSA</w:t>
      </w:r>
      <w:r>
        <w:rPr>
          <w:rFonts w:ascii="Times New Roman" w:hAnsi="Times New Roman"/>
          <w:sz w:val="21"/>
          <w:szCs w:val="21"/>
        </w:rPr>
      </w:r>
      <w:r/>
    </w:p>
    <w:p>
      <w:pPr>
        <w:pStyle w:val="1082"/>
        <w:ind w:firstLine="420"/>
        <w:spacing w:line="360" w:lineRule="auto"/>
        <w:rPr>
          <w:szCs w:val="21"/>
        </w:rPr>
      </w:pPr>
      <w:r>
        <w:rPr>
          <w:szCs w:val="21"/>
        </w:rPr>
        <w:t xml:space="preserve">频率范围：30MHz～1GHz。</w:t>
      </w:r>
      <w:r>
        <w:rPr>
          <w:szCs w:val="21"/>
        </w:rPr>
      </w:r>
      <w:r/>
    </w:p>
    <w:p>
      <w:pPr>
        <w:pStyle w:val="1082"/>
        <w:numPr>
          <w:ilvl w:val="0"/>
          <w:numId w:val="9"/>
        </w:numPr>
        <w:ind w:left="0" w:firstLine="0"/>
        <w:spacing w:line="360" w:lineRule="auto"/>
        <w:rPr>
          <w:szCs w:val="21"/>
        </w:rPr>
      </w:pPr>
      <w:r>
        <w:rPr>
          <w:szCs w:val="21"/>
        </w:rPr>
        <w:t xml:space="preserve">测试按照最新版CISPR 16-1-4和ANSI C63.4标准规定。在10m测试距离，直径5m，高度2.5m的静区（与转台同心）内，归一化场地衰减与理论值偏差：≤±3.0dB，双轴线测试和单轴线测试均必须满足。</w:t>
      </w:r>
      <w:r>
        <w:rPr>
          <w:szCs w:val="21"/>
        </w:rPr>
      </w:r>
      <w:r/>
    </w:p>
    <w:p>
      <w:pPr>
        <w:pStyle w:val="1082"/>
        <w:numPr>
          <w:ilvl w:val="0"/>
          <w:numId w:val="9"/>
        </w:numPr>
        <w:ind w:left="0" w:firstLine="0"/>
        <w:spacing w:line="360" w:lineRule="auto"/>
        <w:rPr>
          <w:szCs w:val="21"/>
        </w:rPr>
      </w:pPr>
      <w:r>
        <w:rPr>
          <w:szCs w:val="21"/>
        </w:rPr>
        <w:t xml:space="preserve">测试按照最新版CISPR16-1-4和ANSI C63.4标准规定。在3m测试距离，直径2m，高度2m的静区（与转台同心）内，归一化场地衰减与理论值偏差：≤±2.5dB，双轴线测试和单轴线测试均必须满足。</w:t>
      </w:r>
      <w:r>
        <w:rPr>
          <w:szCs w:val="21"/>
        </w:rPr>
      </w:r>
      <w:r/>
    </w:p>
    <w:p>
      <w:pPr>
        <w:pStyle w:val="1082"/>
        <w:numPr>
          <w:ilvl w:val="0"/>
          <w:numId w:val="9"/>
        </w:numPr>
        <w:ind w:left="0" w:firstLine="0"/>
        <w:spacing w:line="360" w:lineRule="auto"/>
        <w:rPr>
          <w:szCs w:val="21"/>
        </w:rPr>
      </w:pPr>
      <w:r>
        <w:rPr>
          <w:szCs w:val="21"/>
        </w:rPr>
        <w:t xml:space="preserve">转台须满足双轴线测试的要求，双轴测试的轴线偏移角度由投标人推荐并获得招标人认可。</w:t>
      </w:r>
      <w:r>
        <w:rPr>
          <w:szCs w:val="21"/>
        </w:rPr>
      </w:r>
      <w:r/>
    </w:p>
    <w:p>
      <w:pPr>
        <w:pStyle w:val="1082"/>
        <w:numPr>
          <w:ilvl w:val="0"/>
          <w:numId w:val="9"/>
        </w:numPr>
        <w:ind w:left="0" w:firstLine="0"/>
        <w:spacing w:line="360" w:lineRule="auto"/>
        <w:rPr>
          <w:szCs w:val="21"/>
        </w:rPr>
      </w:pPr>
      <w:r>
        <w:rPr>
          <w:szCs w:val="21"/>
        </w:rPr>
        <w:t xml:space="preserve">转台中心必须在电波暗室的中轴线上，不接受静区中心偏离电波暗室中轴线设计。</w:t>
      </w:r>
      <w:r>
        <w:rPr>
          <w:szCs w:val="21"/>
        </w:rPr>
      </w:r>
      <w:r/>
    </w:p>
    <w:p>
      <w:pPr>
        <w:pStyle w:val="1082"/>
        <w:numPr>
          <w:ilvl w:val="0"/>
          <w:numId w:val="9"/>
        </w:numPr>
        <w:ind w:left="0" w:firstLine="0"/>
        <w:spacing w:line="360" w:lineRule="auto"/>
        <w:rPr>
          <w:szCs w:val="21"/>
        </w:rPr>
      </w:pPr>
      <w:r>
        <w:rPr>
          <w:szCs w:val="21"/>
        </w:rPr>
        <w:t xml:space="preserve">投标人需提供基于本项目的符合上述性能要求的性能仿真报告作为证明材料并且提供相同或者优于本性能的10米法工程同行业案例。</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6. 场地电压驻波比Svswr</w:t>
      </w:r>
      <w:r>
        <w:rPr>
          <w:rFonts w:ascii="Times New Roman" w:hAnsi="Times New Roman"/>
          <w:sz w:val="21"/>
          <w:szCs w:val="21"/>
        </w:rPr>
      </w:r>
      <w:r/>
    </w:p>
    <w:p>
      <w:pPr>
        <w:pStyle w:val="1082"/>
        <w:ind w:firstLine="420"/>
        <w:spacing w:line="360" w:lineRule="auto"/>
        <w:rPr>
          <w:szCs w:val="21"/>
        </w:rPr>
      </w:pPr>
      <w:r>
        <w:rPr>
          <w:szCs w:val="21"/>
        </w:rPr>
        <w:t xml:space="preserve">频率范围： 1GHz以上。</w:t>
      </w:r>
      <w:r>
        <w:rPr>
          <w:szCs w:val="21"/>
        </w:rPr>
      </w:r>
      <w:r/>
    </w:p>
    <w:p>
      <w:pPr>
        <w:pStyle w:val="1082"/>
        <w:numPr>
          <w:ilvl w:val="0"/>
          <w:numId w:val="10"/>
        </w:numPr>
        <w:ind w:left="0" w:firstLine="0"/>
        <w:spacing w:line="360" w:lineRule="auto"/>
        <w:rPr>
          <w:szCs w:val="21"/>
        </w:rPr>
      </w:pPr>
      <w:r>
        <w:rPr>
          <w:szCs w:val="21"/>
        </w:rPr>
        <w:t xml:space="preserve">按照</w:t>
      </w:r>
      <w:r>
        <w:rPr>
          <w:szCs w:val="21"/>
        </w:rPr>
        <w:t xml:space="preserve">新版CISPR 16-1-4标准，测试距离10米，静区直径5米，高度2.5米（与转台同心），场地电压驻波比小于5.0dB。</w:t>
      </w:r>
      <w:r>
        <w:rPr>
          <w:szCs w:val="21"/>
        </w:rPr>
      </w:r>
      <w:r/>
    </w:p>
    <w:p>
      <w:pPr>
        <w:pStyle w:val="1082"/>
        <w:numPr>
          <w:ilvl w:val="0"/>
          <w:numId w:val="10"/>
        </w:numPr>
        <w:ind w:left="0" w:firstLine="0"/>
        <w:spacing w:line="360" w:lineRule="auto"/>
        <w:rPr>
          <w:szCs w:val="21"/>
        </w:rPr>
      </w:pPr>
      <w:r>
        <w:rPr>
          <w:szCs w:val="21"/>
        </w:rPr>
        <w:t xml:space="preserve">按照新版CISPR 16-1-4标准，测试距离3米，静区直径2米，高度2.5米（与转台同心），</w:t>
      </w:r>
      <w:r>
        <w:rPr>
          <w:szCs w:val="21"/>
        </w:rPr>
        <w:t xml:space="preserve">场地电压</w:t>
      </w:r>
      <w:r>
        <w:rPr>
          <w:szCs w:val="21"/>
        </w:rPr>
        <w:t xml:space="preserve">驻波比小于5.0dB</w:t>
      </w:r>
      <w:r>
        <w:rPr>
          <w:szCs w:val="21"/>
        </w:rPr>
        <w:t xml:space="preserve">。</w:t>
      </w:r>
      <w:r>
        <w:rPr>
          <w:szCs w:val="21"/>
        </w:rPr>
      </w:r>
      <w:r/>
    </w:p>
    <w:p>
      <w:pPr>
        <w:pStyle w:val="1082"/>
        <w:numPr>
          <w:ilvl w:val="0"/>
          <w:numId w:val="10"/>
        </w:numPr>
        <w:ind w:left="0" w:firstLine="0"/>
        <w:spacing w:line="360" w:lineRule="auto"/>
        <w:rPr>
          <w:szCs w:val="21"/>
        </w:rPr>
      </w:pPr>
      <w:r>
        <w:rPr>
          <w:szCs w:val="21"/>
        </w:rPr>
        <w:t xml:space="preserve">要求验收测试发射天线为全向天线，测试接收天线为LPDA天线。</w:t>
      </w:r>
      <w:r>
        <w:rPr>
          <w:szCs w:val="21"/>
        </w:rPr>
      </w:r>
      <w:r/>
    </w:p>
    <w:p>
      <w:pPr>
        <w:pStyle w:val="1082"/>
        <w:numPr>
          <w:ilvl w:val="0"/>
          <w:numId w:val="10"/>
        </w:numPr>
        <w:ind w:left="0" w:firstLine="0"/>
        <w:spacing w:line="360" w:lineRule="auto"/>
        <w:rPr>
          <w:szCs w:val="21"/>
        </w:rPr>
      </w:pPr>
      <w:r>
        <w:rPr>
          <w:szCs w:val="21"/>
        </w:rPr>
        <w:t xml:space="preserve">转台中心必须在电波暗室的中轴线上，不接受静区中心偏离电波暗室中轴线；</w:t>
      </w:r>
      <w:r>
        <w:rPr>
          <w:szCs w:val="21"/>
        </w:rPr>
      </w:r>
      <w:r/>
    </w:p>
    <w:p>
      <w:pPr>
        <w:pStyle w:val="1082"/>
        <w:numPr>
          <w:ilvl w:val="0"/>
          <w:numId w:val="10"/>
        </w:numPr>
        <w:ind w:left="0" w:firstLine="0"/>
        <w:spacing w:line="360" w:lineRule="auto"/>
        <w:rPr>
          <w:szCs w:val="21"/>
        </w:rPr>
      </w:pPr>
      <w:r>
        <w:rPr>
          <w:szCs w:val="21"/>
        </w:rPr>
        <w:t xml:space="preserve">暗室供应商需提供基于本项目的符合上述性能要求的性能仿真报告作为证明材料。</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7. 场均匀性FU</w:t>
      </w:r>
      <w:r>
        <w:rPr>
          <w:rFonts w:ascii="Times New Roman" w:hAnsi="Times New Roman"/>
          <w:sz w:val="21"/>
          <w:szCs w:val="21"/>
        </w:rPr>
      </w:r>
      <w:r/>
    </w:p>
    <w:p>
      <w:pPr>
        <w:pStyle w:val="1082"/>
        <w:ind w:firstLine="420"/>
        <w:spacing w:line="360" w:lineRule="auto"/>
        <w:rPr>
          <w:szCs w:val="21"/>
        </w:rPr>
      </w:pPr>
      <w:r>
        <w:rPr>
          <w:szCs w:val="21"/>
        </w:rPr>
        <w:t xml:space="preserve">频率范围：26MHz～18GHz。</w:t>
      </w:r>
      <w:r>
        <w:rPr>
          <w:szCs w:val="21"/>
        </w:rPr>
      </w:r>
      <w:r/>
    </w:p>
    <w:p>
      <w:pPr>
        <w:pStyle w:val="1082"/>
        <w:numPr>
          <w:ilvl w:val="0"/>
          <w:numId w:val="11"/>
        </w:numPr>
        <w:ind w:left="0" w:firstLine="0"/>
        <w:spacing w:line="360" w:lineRule="auto"/>
        <w:rPr>
          <w:szCs w:val="21"/>
        </w:rPr>
      </w:pPr>
      <w:r>
        <w:rPr>
          <w:szCs w:val="21"/>
        </w:rPr>
        <w:t xml:space="preserve">按照IEC 61000-4-3和EN 61000-4-3标准最新版本要求，在转台之上1.5m×1.5m（窗口法测试）的垂直平面，每16个测试点中75%的点场地均匀性在0～+5.5dB之间。</w:t>
      </w:r>
      <w:r>
        <w:rPr>
          <w:szCs w:val="21"/>
        </w:rPr>
      </w:r>
      <w:r/>
    </w:p>
    <w:p>
      <w:pPr>
        <w:pStyle w:val="1082"/>
        <w:numPr>
          <w:ilvl w:val="0"/>
          <w:numId w:val="11"/>
        </w:numPr>
        <w:ind w:left="0" w:firstLine="0"/>
        <w:spacing w:line="360" w:lineRule="auto"/>
        <w:rPr>
          <w:szCs w:val="21"/>
        </w:rPr>
      </w:pPr>
      <w:r>
        <w:rPr>
          <w:szCs w:val="21"/>
        </w:rPr>
        <w:t xml:space="preserve">投标人需提供基于本项目的符合上述性能要求的性能仿真报告作为证明材料。</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8. 接地电阻、绝缘电阻</w:t>
      </w:r>
      <w:r>
        <w:rPr>
          <w:rFonts w:ascii="Times New Roman" w:hAnsi="Times New Roman"/>
          <w:sz w:val="21"/>
          <w:szCs w:val="21"/>
        </w:rPr>
      </w:r>
      <w:r/>
    </w:p>
    <w:p>
      <w:pPr>
        <w:pStyle w:val="1082"/>
        <w:numPr>
          <w:ilvl w:val="0"/>
          <w:numId w:val="12"/>
        </w:numPr>
        <w:ind w:left="0" w:firstLine="0"/>
        <w:spacing w:line="360" w:lineRule="auto"/>
        <w:rPr>
          <w:szCs w:val="21"/>
        </w:rPr>
      </w:pPr>
      <w:r>
        <w:rPr>
          <w:szCs w:val="21"/>
        </w:rPr>
        <w:t xml:space="preserve">整个暗室屏蔽单点接地，使用接地电阻测试仪测试金属壁的接地电阻应小于1Ω。</w:t>
      </w:r>
      <w:r>
        <w:rPr>
          <w:szCs w:val="21"/>
        </w:rPr>
      </w:r>
      <w:r/>
    </w:p>
    <w:p>
      <w:pPr>
        <w:pStyle w:val="1082"/>
        <w:numPr>
          <w:ilvl w:val="0"/>
          <w:numId w:val="12"/>
        </w:numPr>
        <w:ind w:left="0" w:firstLine="0"/>
        <w:spacing w:line="360" w:lineRule="auto"/>
        <w:rPr>
          <w:szCs w:val="21"/>
        </w:rPr>
      </w:pPr>
      <w:r>
        <w:rPr>
          <w:szCs w:val="21"/>
        </w:rPr>
        <w:t xml:space="preserve">电源进线对屏蔽室金属壁的绝缘电阻及导线与导线之间的绝缘电阻应大于 2 MΩ。</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9. 空气质量</w:t>
      </w:r>
      <w:r>
        <w:rPr>
          <w:rFonts w:ascii="Times New Roman" w:hAnsi="Times New Roman"/>
          <w:sz w:val="21"/>
          <w:szCs w:val="21"/>
        </w:rPr>
      </w:r>
      <w:r/>
    </w:p>
    <w:p>
      <w:pPr>
        <w:pStyle w:val="1082"/>
        <w:ind w:firstLine="420"/>
        <w:spacing w:line="360" w:lineRule="auto"/>
        <w:rPr>
          <w:szCs w:val="21"/>
        </w:rPr>
      </w:pPr>
      <w:r>
        <w:rPr>
          <w:szCs w:val="21"/>
        </w:rPr>
        <w:t xml:space="preserve">按照 GB/T18204.2、GB/T18883 和GB50325标准最新版本要求，电波暗室、控制室、功放室、负载室内空气中氡、甲醛、苯、氨、总挥发性有机物等的含量，达到GB50325标准中I类民用建筑工程的要求，同时符合国家职业健康安全条例和相关人体防护条例。</w:t>
      </w:r>
      <w:r>
        <w:rPr>
          <w:szCs w:val="21"/>
        </w:rPr>
      </w:r>
      <w:r/>
    </w:p>
    <w:p>
      <w:pPr>
        <w:pStyle w:val="1083"/>
        <w:numPr>
          <w:ilvl w:val="0"/>
          <w:numId w:val="0"/>
        </w:numPr>
        <w:jc w:val="both"/>
        <w:spacing w:before="120" w:after="120" w:line="360" w:lineRule="auto"/>
        <w:rPr>
          <w:sz w:val="21"/>
          <w:szCs w:val="21"/>
        </w:rPr>
      </w:pPr>
      <w:r>
        <w:rPr>
          <w:sz w:val="21"/>
          <w:szCs w:val="21"/>
          <w:lang w:val="en-US" w:eastAsia="zh-CN"/>
        </w:rPr>
        <w:t xml:space="preserve">三.</w:t>
      </w:r>
      <w:r>
        <w:rPr>
          <w:sz w:val="21"/>
          <w:szCs w:val="21"/>
        </w:rPr>
        <w:t xml:space="preserve">主体结构</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电波暗室、屏蔽室</w:t>
      </w:r>
      <w:r>
        <w:rPr>
          <w:rFonts w:ascii="Times New Roman" w:hAnsi="Times New Roman"/>
          <w:sz w:val="21"/>
          <w:szCs w:val="21"/>
        </w:rPr>
      </w:r>
      <w:r/>
    </w:p>
    <w:p>
      <w:pPr>
        <w:pStyle w:val="1082"/>
        <w:ind w:firstLine="420"/>
        <w:spacing w:line="360" w:lineRule="auto"/>
        <w:rPr>
          <w:szCs w:val="21"/>
        </w:rPr>
      </w:pPr>
      <w:r>
        <w:rPr>
          <w:szCs w:val="21"/>
        </w:rPr>
        <w:t xml:space="preserve">主要内容如下：</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37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b/>
                <w:szCs w:val="21"/>
              </w:rPr>
            </w:pPr>
            <w:r>
              <w:rPr>
                <w:b/>
                <w:szCs w:val="21"/>
              </w:rPr>
              <w:t xml:space="preserve">功用</w:t>
            </w:r>
            <w:r>
              <w:rPr>
                <w:b/>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十米法半电波暗室主体</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屏蔽壳体反射面尺寸不大于21.5m（L）×13.6m（W）×9.25m(H)暗室架空地板高度不小于0.8m；电波暗室净空间尺寸要求长度方向（吸波材料尖到尖）不小于20.0m，宽度方向（吸波材料尖到尖）不小于11.9m，高度方向（吸波材料尖到金属反射面）不小于7.8m。</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暗室主体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屏蔽控制室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放置十米法半电波暗室测试及控制系统，屏蔽壳体不小于6.8m×3.5m×3.5m（L×W×H）。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控制室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屏蔽功放室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放置半电波暗室配套的功放设备，屏蔽壳体不小于3.6m×3.5m×3.5m（L×W×H）。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功放室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屏蔽负载室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屏蔽壳体反射面尺寸不小于3.5m（L）×3.5m（W）×3.5m(H)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负载室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配套地坑整改</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szCs w:val="21"/>
              </w:rPr>
            </w:pPr>
            <w:r>
              <w:rPr>
                <w:szCs w:val="21"/>
              </w:rPr>
              <w:t xml:space="preserve">基于建筑预留条件，完成地坑修改、平整度、暗室及屏蔽室四周封边、参观通道、屏蔽室周边地面抬高等工程</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参观通道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配套连接工程</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包括供电设备，投标人负责自建筑预留总电箱至电源设备、实验室区域（暗室滤波器以及外部开放试验区）之间的线缆敷设、连接、开关等全部工作。包括给水排水、空气压缩机及管道连接</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暗室、屏蔽室供电</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空调设施</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提供电波暗室、屏蔽室的空调设计及安装</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暗室、屏蔽室空调系统</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独立接地</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投标人负责在指定区域完成实验室独立接地施工，并引至实验室各处接地点，投标人可根据投标的施工方案合理调整</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szCs w:val="21"/>
              </w:rPr>
              <w:t xml:space="preserve">暗室、屏蔽室性能需求</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配套电源</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直流可调电源、三相隔离稳压电源和变频电源等</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EUT测试</w:t>
            </w:r>
            <w:r>
              <w:rPr>
                <w:color w:val="000000"/>
                <w:szCs w:val="21"/>
              </w:rPr>
            </w:r>
            <w:r/>
          </w:p>
        </w:tc>
      </w:tr>
      <w:tr>
        <w:trPr>
          <w:cantSplit/>
          <w:trHeight w:val="340"/>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配套设备</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szCs w:val="21"/>
              </w:rPr>
            </w:pPr>
            <w:r>
              <w:rPr>
                <w:szCs w:val="21"/>
                <w:lang w:val="zh-TW"/>
              </w:rPr>
              <w:t xml:space="preserve">认证级全兼容测试接收机</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EUT测试</w:t>
            </w:r>
            <w:r>
              <w:rPr>
                <w:color w:val="000000"/>
                <w:szCs w:val="21"/>
              </w:rPr>
            </w:r>
            <w:r/>
          </w:p>
        </w:tc>
      </w:tr>
    </w:tbl>
    <w:p>
      <w:pPr>
        <w:pStyle w:val="1082"/>
        <w:ind w:firstLine="420"/>
        <w:spacing w:line="360" w:lineRule="auto"/>
        <w:rPr>
          <w:szCs w:val="21"/>
        </w:rPr>
      </w:pPr>
      <w:r>
        <w:rPr>
          <w:szCs w:val="21"/>
        </w:rPr>
        <w:t xml:space="preserve">注：投标方自行勘查场地，依据实际场地进行尺寸图纸设计，包括各承重墙、柱子位置，提供详细设计图纸。</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屏蔽体要求</w:t>
      </w:r>
      <w:r>
        <w:rPr>
          <w:rFonts w:ascii="Times New Roman" w:hAnsi="Times New Roman"/>
          <w:sz w:val="21"/>
          <w:szCs w:val="21"/>
        </w:rPr>
      </w:r>
      <w:r/>
    </w:p>
    <w:p>
      <w:pPr>
        <w:pStyle w:val="1082"/>
        <w:numPr>
          <w:ilvl w:val="1"/>
          <w:numId w:val="13"/>
        </w:numPr>
        <w:spacing w:line="360" w:lineRule="auto"/>
        <w:rPr>
          <w:szCs w:val="21"/>
        </w:rPr>
      </w:pPr>
      <w:r>
        <w:rPr>
          <w:szCs w:val="21"/>
        </w:rPr>
        <w:t xml:space="preserve">电波暗室必须采用独立钢支撑结构，能承受所有的屏蔽和安装设施重量（包括吸波材料等），抗震设防烈度按8度设防；</w:t>
      </w:r>
      <w:r>
        <w:rPr>
          <w:szCs w:val="21"/>
        </w:rPr>
      </w:r>
      <w:r/>
    </w:p>
    <w:p>
      <w:pPr>
        <w:pStyle w:val="1082"/>
        <w:numPr>
          <w:ilvl w:val="1"/>
          <w:numId w:val="13"/>
        </w:numPr>
        <w:spacing w:line="360" w:lineRule="auto"/>
        <w:rPr>
          <w:szCs w:val="21"/>
        </w:rPr>
      </w:pPr>
      <w:r>
        <w:rPr>
          <w:szCs w:val="21"/>
        </w:rPr>
        <w:t xml:space="preserve">钢结构采用机械式连接，不采用焊接或胶水等无法搬迁、升级或改造的安装方式。立柱和横梁采用尺寸不小于200mm×200mm的H型钢。所有的H型钢之间采用强度不小于8级的高强度螺丝螺帽连接。立柱之间，采用横梁连接；</w:t>
      </w:r>
      <w:r>
        <w:rPr>
          <w:szCs w:val="21"/>
        </w:rPr>
      </w:r>
      <w:r/>
    </w:p>
    <w:p>
      <w:pPr>
        <w:pStyle w:val="1082"/>
        <w:numPr>
          <w:ilvl w:val="1"/>
          <w:numId w:val="13"/>
        </w:numPr>
        <w:spacing w:line="360" w:lineRule="auto"/>
        <w:rPr>
          <w:szCs w:val="21"/>
        </w:rPr>
      </w:pPr>
      <w:r>
        <w:rPr>
          <w:szCs w:val="21"/>
        </w:rPr>
        <w:t xml:space="preserve">电波暗室所有钢结构进行防锈处理，在钢结构表面喷涂寿命超过20年的防锈漆层，颜色根据双方协商确认；</w:t>
      </w:r>
      <w:r>
        <w:rPr>
          <w:szCs w:val="21"/>
        </w:rPr>
      </w:r>
      <w:r/>
    </w:p>
    <w:p>
      <w:pPr>
        <w:pStyle w:val="1082"/>
        <w:numPr>
          <w:ilvl w:val="1"/>
          <w:numId w:val="13"/>
        </w:numPr>
        <w:spacing w:line="360" w:lineRule="auto"/>
        <w:rPr>
          <w:szCs w:val="21"/>
        </w:rPr>
      </w:pPr>
      <w:r>
        <w:rPr>
          <w:szCs w:val="21"/>
        </w:rPr>
        <w:t xml:space="preserve">屏蔽体采用拼装结构，由不小于2mm厚度的镀锌钢板构成，</w:t>
      </w:r>
      <w:r>
        <w:rPr>
          <w:color w:val="000000"/>
          <w:szCs w:val="21"/>
        </w:rPr>
        <w:t xml:space="preserve">且镀锌层不小于20µm(≥275g/m</w:t>
      </w:r>
      <w:r>
        <w:rPr>
          <w:color w:val="000000"/>
          <w:szCs w:val="21"/>
          <w:vertAlign w:val="superscript"/>
        </w:rPr>
        <w:t xml:space="preserve">2</w:t>
      </w:r>
      <w:r>
        <w:rPr>
          <w:color w:val="000000"/>
          <w:szCs w:val="21"/>
        </w:rPr>
        <w:t xml:space="preserve">)。</w:t>
      </w:r>
      <w:r>
        <w:rPr>
          <w:szCs w:val="21"/>
        </w:rPr>
        <w:t xml:space="preserve">镀锌钢板经两次折弯完成，钢板折弯处焊接工艺确保屏蔽体不会生锈；</w:t>
      </w:r>
      <w:r>
        <w:rPr>
          <w:szCs w:val="21"/>
        </w:rPr>
      </w:r>
      <w:r/>
    </w:p>
    <w:p>
      <w:pPr>
        <w:pStyle w:val="1082"/>
        <w:numPr>
          <w:ilvl w:val="1"/>
          <w:numId w:val="13"/>
        </w:numPr>
        <w:spacing w:line="360" w:lineRule="auto"/>
        <w:rPr>
          <w:szCs w:val="21"/>
        </w:rPr>
      </w:pPr>
      <w:r>
        <w:rPr>
          <w:szCs w:val="21"/>
        </w:rPr>
        <w:t xml:space="preserve">屏蔽体的主要安装材料在工厂预先设计加工好，然后运到用户现场进行安装。</w:t>
      </w:r>
      <w:r>
        <w:rPr>
          <w:szCs w:val="21"/>
        </w:rPr>
      </w:r>
      <w:r/>
    </w:p>
    <w:p>
      <w:pPr>
        <w:pStyle w:val="1082"/>
        <w:numPr>
          <w:ilvl w:val="1"/>
          <w:numId w:val="13"/>
        </w:numPr>
        <w:spacing w:line="360" w:lineRule="auto"/>
        <w:rPr>
          <w:szCs w:val="21"/>
        </w:rPr>
      </w:pPr>
      <w:r>
        <w:rPr>
          <w:szCs w:val="21"/>
        </w:rPr>
        <w:t xml:space="preserve">屏蔽体采用的镀锌钢板所有内外表面（不含地面）应在运往现场安装前完成全部烤漆或喷塑防潮处理。</w:t>
      </w:r>
      <w:bookmarkStart w:id="16" w:name="_Hlk145275845"/>
      <w:r>
        <w:rPr>
          <w:szCs w:val="21"/>
        </w:rPr>
        <w:t xml:space="preserve">屏蔽钢板防锈、耐腐蚀性好，注明原产国名、厂家及产品型号。提供钢板来源证明及钢板相关参数规格。</w:t>
      </w:r>
      <w:bookmarkEnd w:id="16"/>
      <w:r>
        <w:rPr>
          <w:szCs w:val="21"/>
        </w:rPr>
      </w:r>
      <w:r/>
    </w:p>
    <w:p>
      <w:pPr>
        <w:pStyle w:val="1082"/>
        <w:numPr>
          <w:ilvl w:val="1"/>
          <w:numId w:val="13"/>
        </w:numPr>
        <w:spacing w:line="360" w:lineRule="auto"/>
        <w:rPr>
          <w:szCs w:val="21"/>
        </w:rPr>
      </w:pPr>
      <w:r>
        <w:rPr>
          <w:szCs w:val="21"/>
        </w:rPr>
        <w:t xml:space="preserve">屏蔽体的外表面进行喷塑处理，颜色浅色；</w:t>
      </w:r>
      <w:r>
        <w:rPr>
          <w:szCs w:val="21"/>
        </w:rPr>
      </w:r>
      <w:r/>
    </w:p>
    <w:p>
      <w:pPr>
        <w:pStyle w:val="1082"/>
        <w:numPr>
          <w:ilvl w:val="1"/>
          <w:numId w:val="13"/>
        </w:numPr>
        <w:spacing w:line="360" w:lineRule="auto"/>
        <w:rPr>
          <w:szCs w:val="21"/>
        </w:rPr>
      </w:pPr>
      <w:r>
        <w:rPr>
          <w:szCs w:val="21"/>
        </w:rPr>
        <w:t xml:space="preserve">屏蔽体建造时底部铺设防潮及绝缘材料；</w:t>
      </w:r>
      <w:r>
        <w:rPr>
          <w:szCs w:val="21"/>
        </w:rPr>
      </w:r>
      <w:r/>
    </w:p>
    <w:p>
      <w:pPr>
        <w:pStyle w:val="1082"/>
        <w:numPr>
          <w:ilvl w:val="1"/>
          <w:numId w:val="13"/>
        </w:numPr>
        <w:spacing w:line="360" w:lineRule="auto"/>
        <w:rPr>
          <w:szCs w:val="21"/>
        </w:rPr>
      </w:pPr>
      <w:r>
        <w:rPr>
          <w:szCs w:val="21"/>
        </w:rPr>
        <w:t xml:space="preserve">钢板拼接处采用优质导电屏蔽衬垫Gasket，衬垫需长期稳定不生锈，以保证优异的射频屏蔽和电接触，保证屏蔽效能在20年内不下降；</w:t>
      </w:r>
      <w:r>
        <w:rPr>
          <w:szCs w:val="21"/>
        </w:rPr>
      </w:r>
      <w:r/>
    </w:p>
    <w:p>
      <w:pPr>
        <w:pStyle w:val="1082"/>
        <w:numPr>
          <w:ilvl w:val="1"/>
          <w:numId w:val="13"/>
        </w:numPr>
        <w:spacing w:line="360" w:lineRule="auto"/>
        <w:rPr>
          <w:szCs w:val="21"/>
        </w:rPr>
      </w:pPr>
      <w:r>
        <w:rPr>
          <w:szCs w:val="21"/>
        </w:rPr>
        <w:t xml:space="preserve">屏蔽体内表面内折弯结构深度不小于40mm，方便安装铁氧体的安装龙骨；</w:t>
      </w:r>
      <w:r>
        <w:rPr>
          <w:szCs w:val="21"/>
        </w:rPr>
      </w:r>
      <w:r/>
    </w:p>
    <w:p>
      <w:pPr>
        <w:pStyle w:val="1082"/>
        <w:numPr>
          <w:ilvl w:val="1"/>
          <w:numId w:val="13"/>
        </w:numPr>
        <w:spacing w:line="360" w:lineRule="auto"/>
        <w:rPr>
          <w:szCs w:val="21"/>
        </w:rPr>
      </w:pPr>
      <w:r>
        <w:rPr>
          <w:szCs w:val="21"/>
        </w:rPr>
        <w:t xml:space="preserve">屏蔽体底部在建造时铺设防潮层和绝缘层；</w:t>
      </w:r>
      <w:r>
        <w:rPr>
          <w:szCs w:val="21"/>
        </w:rPr>
      </w:r>
      <w:r/>
    </w:p>
    <w:p>
      <w:pPr>
        <w:pStyle w:val="1082"/>
        <w:numPr>
          <w:ilvl w:val="1"/>
          <w:numId w:val="13"/>
        </w:numPr>
        <w:spacing w:line="360" w:lineRule="auto"/>
        <w:rPr>
          <w:szCs w:val="21"/>
        </w:rPr>
      </w:pPr>
      <w:r>
        <w:rPr>
          <w:szCs w:val="21"/>
        </w:rPr>
        <w:t xml:space="preserve">安装吸波材料后，屏蔽体的顶部和四周不应发生变形；</w:t>
      </w:r>
      <w:r>
        <w:rPr>
          <w:szCs w:val="21"/>
        </w:rPr>
      </w:r>
      <w:r/>
    </w:p>
    <w:p>
      <w:pPr>
        <w:pStyle w:val="1082"/>
        <w:numPr>
          <w:ilvl w:val="1"/>
          <w:numId w:val="13"/>
        </w:numPr>
        <w:spacing w:line="360" w:lineRule="auto"/>
        <w:rPr>
          <w:szCs w:val="21"/>
        </w:rPr>
      </w:pPr>
      <w:r>
        <w:rPr>
          <w:szCs w:val="21"/>
        </w:rPr>
        <w:t xml:space="preserve">在屏蔽体弯角处采用特殊焊接工艺，不会破坏镀锌层，确保潮湿环境使用不会生锈；</w:t>
      </w:r>
      <w:r>
        <w:rPr>
          <w:szCs w:val="21"/>
        </w:rPr>
      </w:r>
      <w:r/>
    </w:p>
    <w:p>
      <w:pPr>
        <w:pStyle w:val="1082"/>
        <w:numPr>
          <w:ilvl w:val="1"/>
          <w:numId w:val="13"/>
        </w:numPr>
        <w:spacing w:line="360" w:lineRule="auto"/>
        <w:rPr>
          <w:szCs w:val="21"/>
        </w:rPr>
      </w:pPr>
      <w:r>
        <w:rPr>
          <w:szCs w:val="21"/>
        </w:rPr>
        <w:t xml:space="preserve">为使结构强度加大，提高屏蔽特性的稳定，屏蔽板安装时，地面和顶面都采用错位安装工艺，错位幅度大于20厘米；</w:t>
      </w:r>
      <w:r>
        <w:rPr>
          <w:szCs w:val="21"/>
        </w:rPr>
      </w:r>
      <w:r/>
    </w:p>
    <w:p>
      <w:pPr>
        <w:pStyle w:val="1082"/>
        <w:numPr>
          <w:ilvl w:val="1"/>
          <w:numId w:val="13"/>
        </w:numPr>
        <w:spacing w:line="360" w:lineRule="auto"/>
        <w:rPr>
          <w:szCs w:val="21"/>
        </w:rPr>
      </w:pPr>
      <w:r>
        <w:rPr>
          <w:szCs w:val="21"/>
        </w:rPr>
        <w:t xml:space="preserve">投标人应在招标人指定的侧墙区域修建维爬梯，直达电波暗室顶部方便后期的保养维护，具体设计由中标人和招标人在冻结设计时确认。</w:t>
      </w:r>
      <w:r>
        <w:rPr>
          <w:szCs w:val="21"/>
        </w:rPr>
      </w:r>
      <w:r/>
    </w:p>
    <w:p>
      <w:pPr>
        <w:pStyle w:val="1094"/>
        <w:ind w:firstLine="420"/>
        <w:spacing w:line="360" w:lineRule="auto"/>
        <w:rPr>
          <w:rFonts w:ascii="Times New Roman"/>
          <w:szCs w:val="21"/>
        </w:rPr>
      </w:pPr>
      <w:r>
        <w:rPr>
          <w:rFonts w:ascii="Times New Roman"/>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屏蔽门的要求</w:t>
      </w:r>
      <w:r>
        <w:rPr>
          <w:rFonts w:ascii="Times New Roman" w:hAnsi="Times New Roman"/>
          <w:sz w:val="21"/>
          <w:szCs w:val="21"/>
        </w:rPr>
      </w:r>
      <w:r/>
    </w:p>
    <w:p>
      <w:pPr>
        <w:pStyle w:val="1082"/>
        <w:numPr>
          <w:ilvl w:val="1"/>
          <w:numId w:val="14"/>
        </w:numPr>
        <w:spacing w:line="360" w:lineRule="auto"/>
        <w:rPr>
          <w:szCs w:val="21"/>
        </w:rPr>
      </w:pPr>
      <w:r>
        <w:rPr>
          <w:szCs w:val="21"/>
        </w:rPr>
        <w:t xml:space="preserve">屏蔽门尺寸要求：</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394"/>
        <w:gridCol w:w="4375"/>
        <w:gridCol w:w="2397"/>
      </w:tblGrid>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b/>
                <w:szCs w:val="21"/>
              </w:rPr>
            </w:pPr>
            <w:r>
              <w:rPr>
                <w:b/>
                <w:szCs w:val="21"/>
              </w:rPr>
              <w:t xml:space="preserve">备注</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color w:val="000000"/>
                <w:szCs w:val="21"/>
              </w:rPr>
              <w:t xml:space="preserve">电波暗室屏蔽滑移大门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通道净尺寸不小于4.2m×4.2m(宽×高)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全自动滑动门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color w:val="000000"/>
                <w:szCs w:val="21"/>
              </w:rPr>
            </w:pPr>
            <w:r>
              <w:rPr>
                <w:color w:val="000000"/>
                <w:szCs w:val="21"/>
              </w:rPr>
              <w:t xml:space="preserve">暗室员工通道屏蔽门</w:t>
            </w:r>
            <w:r>
              <w:rPr>
                <w:color w:val="000000"/>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通道净尺寸不小于1.2m×2.1m(宽×高)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控制室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功放室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尺寸不小于：1.0米×2.1米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负载室屏蔽门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bl>
    <w:p>
      <w:pPr>
        <w:pStyle w:val="1082"/>
        <w:numPr>
          <w:ilvl w:val="1"/>
          <w:numId w:val="14"/>
        </w:numPr>
        <w:spacing w:line="360" w:lineRule="auto"/>
        <w:rPr>
          <w:szCs w:val="21"/>
        </w:rPr>
      </w:pPr>
      <w:r>
        <w:rPr>
          <w:szCs w:val="21"/>
        </w:rPr>
        <w:t xml:space="preserve">电波暗室屏蔽滑移大门、暗室员工通道屏蔽门、功放室屏蔽门和控制室屏蔽门等应在原厂完成烤漆处理，禁止在现场进行二次加；</w:t>
      </w:r>
      <w:r>
        <w:rPr>
          <w:szCs w:val="21"/>
        </w:rPr>
      </w:r>
      <w:r/>
    </w:p>
    <w:p>
      <w:pPr>
        <w:pStyle w:val="1082"/>
        <w:numPr>
          <w:ilvl w:val="1"/>
          <w:numId w:val="14"/>
        </w:numPr>
        <w:spacing w:line="360" w:lineRule="auto"/>
        <w:rPr>
          <w:szCs w:val="21"/>
        </w:rPr>
      </w:pPr>
      <w:r>
        <w:rPr>
          <w:szCs w:val="21"/>
        </w:rPr>
        <w:t xml:space="preserve">电波暗室屏蔽门安装互锁开关，在抗扰度测试过程中开启暗室屏蔽滑移大门和员工屏蔽门时，抗扰度测试应能自动终止；</w:t>
      </w:r>
      <w:r>
        <w:rPr>
          <w:szCs w:val="21"/>
        </w:rPr>
      </w:r>
      <w:r/>
    </w:p>
    <w:p>
      <w:pPr>
        <w:pStyle w:val="1082"/>
        <w:numPr>
          <w:ilvl w:val="1"/>
          <w:numId w:val="14"/>
        </w:numPr>
        <w:spacing w:line="360" w:lineRule="auto"/>
        <w:rPr>
          <w:szCs w:val="21"/>
        </w:rPr>
      </w:pPr>
      <w:r>
        <w:rPr>
          <w:szCs w:val="21"/>
        </w:rPr>
        <w:t xml:space="preserve">屏蔽门采用多刀多簧设计，簧片应采用铜材质，簧片应通过螺钉固定在门框上，禁止采用胶粘方式，并应提供专用维护工具；</w:t>
      </w:r>
      <w:r>
        <w:rPr>
          <w:szCs w:val="21"/>
        </w:rPr>
      </w:r>
      <w:r/>
    </w:p>
    <w:p>
      <w:pPr>
        <w:pStyle w:val="1082"/>
        <w:numPr>
          <w:ilvl w:val="1"/>
          <w:numId w:val="14"/>
        </w:numPr>
        <w:spacing w:line="360" w:lineRule="auto"/>
        <w:rPr>
          <w:szCs w:val="21"/>
        </w:rPr>
      </w:pPr>
      <w:r>
        <w:rPr>
          <w:szCs w:val="21"/>
        </w:rPr>
        <w:t xml:space="preserve">员工屏蔽门应配置应急装置，在断电和断气情况下，上述屏蔽门应能从室内外手动打开；</w:t>
      </w:r>
      <w:r>
        <w:rPr>
          <w:szCs w:val="21"/>
        </w:rPr>
      </w:r>
      <w:r/>
    </w:p>
    <w:p>
      <w:pPr>
        <w:pStyle w:val="1082"/>
        <w:numPr>
          <w:ilvl w:val="1"/>
          <w:numId w:val="14"/>
        </w:numPr>
        <w:spacing w:line="360" w:lineRule="auto"/>
        <w:rPr>
          <w:szCs w:val="21"/>
        </w:rPr>
      </w:pPr>
      <w:r>
        <w:rPr>
          <w:szCs w:val="21"/>
        </w:rPr>
        <w:t xml:space="preserve">所有屏蔽门外安装测试状态指示灯。电波暗室屏蔽滑移大门应在开关过程中自动激发声光警告信号，以便警示。</w:t>
      </w:r>
      <w:r>
        <w:rPr>
          <w:szCs w:val="21"/>
        </w:rPr>
      </w:r>
      <w:r/>
    </w:p>
    <w:p>
      <w:pPr>
        <w:pStyle w:val="1082"/>
        <w:numPr>
          <w:ilvl w:val="1"/>
          <w:numId w:val="14"/>
        </w:numPr>
        <w:spacing w:line="360" w:lineRule="auto"/>
        <w:rPr>
          <w:szCs w:val="21"/>
        </w:rPr>
      </w:pPr>
      <w:r>
        <w:rPr>
          <w:szCs w:val="21"/>
        </w:rPr>
        <w:t xml:space="preserve">电波暗室屏蔽门应安装铁氧体和尖劈吸波材料，屏蔽特性和暗室其它部位一致。</w:t>
      </w:r>
      <w:r>
        <w:rPr>
          <w:szCs w:val="21"/>
        </w:rPr>
      </w:r>
      <w:r/>
    </w:p>
    <w:p>
      <w:pPr>
        <w:pStyle w:val="1082"/>
        <w:numPr>
          <w:ilvl w:val="1"/>
          <w:numId w:val="14"/>
        </w:numPr>
        <w:spacing w:line="360" w:lineRule="auto"/>
        <w:rPr>
          <w:szCs w:val="21"/>
        </w:rPr>
      </w:pPr>
      <w:r>
        <w:rPr>
          <w:szCs w:val="21"/>
        </w:rPr>
        <w:t xml:space="preserve">屏蔽门机械结构坚固，门锁门铰链工作可靠，性能长期稳定；</w:t>
      </w:r>
      <w:r>
        <w:rPr>
          <w:szCs w:val="21"/>
        </w:rPr>
      </w:r>
      <w:r/>
    </w:p>
    <w:p>
      <w:pPr>
        <w:pStyle w:val="1082"/>
        <w:numPr>
          <w:ilvl w:val="1"/>
          <w:numId w:val="14"/>
        </w:numPr>
        <w:spacing w:line="360" w:lineRule="auto"/>
        <w:rPr>
          <w:szCs w:val="21"/>
        </w:rPr>
      </w:pPr>
      <w:r>
        <w:rPr>
          <w:szCs w:val="21"/>
        </w:rPr>
        <w:t xml:space="preserve">所有光亮部分采用热镀锌以防锈；屏蔽门表面烤漆处理，防止门生锈，确保美观；</w:t>
      </w:r>
      <w:r>
        <w:rPr>
          <w:szCs w:val="21"/>
        </w:rPr>
      </w:r>
      <w:r/>
    </w:p>
    <w:p>
      <w:pPr>
        <w:pStyle w:val="1082"/>
        <w:numPr>
          <w:ilvl w:val="1"/>
          <w:numId w:val="14"/>
        </w:numPr>
        <w:spacing w:line="360" w:lineRule="auto"/>
        <w:rPr>
          <w:szCs w:val="21"/>
        </w:rPr>
      </w:pPr>
      <w:r>
        <w:rPr>
          <w:szCs w:val="21"/>
        </w:rPr>
        <w:t xml:space="preserve">屏蔽性能满足有关屏蔽效能指标要求。</w:t>
      </w:r>
      <w:r>
        <w:rPr>
          <w:szCs w:val="21"/>
        </w:rPr>
      </w:r>
      <w:r/>
    </w:p>
    <w:p>
      <w:pPr>
        <w:pStyle w:val="1082"/>
        <w:numPr>
          <w:ilvl w:val="1"/>
          <w:numId w:val="14"/>
        </w:numPr>
        <w:spacing w:line="360" w:lineRule="auto"/>
        <w:rPr>
          <w:szCs w:val="21"/>
        </w:rPr>
      </w:pPr>
      <w:r>
        <w:rPr>
          <w:szCs w:val="21"/>
        </w:rPr>
        <w:t xml:space="preserve">屏蔽滑移大门：通道净尺寸不小于4.2m×4.2m(宽×高)，配置自动升降门槛，门槛承重不小于5吨。升降门槛应根据建筑结构和暗室结构进行设计，并得到招标人认可。门槛应配备过载警示装置，确保安全。</w:t>
      </w:r>
      <w:r>
        <w:rPr>
          <w:szCs w:val="21"/>
        </w:rPr>
      </w:r>
      <w:r/>
    </w:p>
    <w:p>
      <w:pPr>
        <w:pStyle w:val="1084"/>
        <w:numPr>
          <w:ilvl w:val="0"/>
          <w:numId w:val="0"/>
        </w:numPr>
        <w:spacing w:line="360" w:lineRule="auto"/>
        <w:rPr>
          <w:rFonts w:ascii="Times New Roman" w:hAnsi="Times New Roman"/>
          <w:color w:val="000000"/>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暗</w:t>
      </w:r>
      <w:r>
        <w:rPr>
          <w:rFonts w:ascii="Times New Roman" w:hAnsi="Times New Roman"/>
          <w:color w:val="000000"/>
          <w:sz w:val="21"/>
          <w:szCs w:val="21"/>
        </w:rPr>
        <w:t xml:space="preserve">室铁氧体和吸波材料的要求</w:t>
      </w:r>
      <w:r>
        <w:rPr>
          <w:rFonts w:ascii="Times New Roman" w:hAnsi="Times New Roman"/>
          <w:color w:val="000000"/>
          <w:sz w:val="21"/>
          <w:szCs w:val="21"/>
        </w:rPr>
      </w:r>
      <w:r/>
    </w:p>
    <w:p>
      <w:pPr>
        <w:pStyle w:val="1082"/>
        <w:numPr>
          <w:ilvl w:val="1"/>
          <w:numId w:val="15"/>
        </w:numPr>
        <w:spacing w:line="360" w:lineRule="auto"/>
        <w:rPr>
          <w:color w:val="000000"/>
          <w:szCs w:val="21"/>
        </w:rPr>
      </w:pPr>
      <w:r>
        <w:rPr>
          <w:color w:val="000000"/>
          <w:szCs w:val="21"/>
        </w:rPr>
        <w:t xml:space="preserve">★暗室使用复合</w:t>
      </w:r>
      <w:r>
        <w:rPr>
          <w:color w:val="000000"/>
          <w:szCs w:val="21"/>
        </w:rPr>
        <w:t xml:space="preserve">型吸波材料，即铁氧体吸波材料加尖劈吸波材料，要求进口品牌，电波暗室除地面外，四面墙面和暗室顶部均应满铺等高的硬质聚丙烯尖劈和铁氧体组成的复合型吸波材料</w:t>
      </w:r>
      <w:bookmarkStart w:id="17" w:name="_Hlk145276452"/>
      <w:r>
        <w:rPr>
          <w:color w:val="000000"/>
          <w:szCs w:val="21"/>
        </w:rPr>
        <w:t xml:space="preserve">，采用机械构件进行安装。</w:t>
      </w:r>
      <w:bookmarkEnd w:id="17"/>
      <w:r>
        <w:rPr>
          <w:color w:val="000000"/>
          <w:szCs w:val="21"/>
        </w:rPr>
        <w:t xml:space="preserve">所有吸波材料现场安装方式应在投标文件中体现，为防止吸波尖劈脱落，投标人应在方案里具体描述防止吸波尖劈脱落的工艺与方法。</w:t>
      </w:r>
      <w:r>
        <w:rPr>
          <w:color w:val="000000"/>
          <w:szCs w:val="21"/>
        </w:rPr>
      </w:r>
      <w:r/>
    </w:p>
    <w:p>
      <w:pPr>
        <w:pStyle w:val="1082"/>
        <w:numPr>
          <w:ilvl w:val="1"/>
          <w:numId w:val="15"/>
        </w:numPr>
        <w:spacing w:line="360" w:lineRule="auto"/>
        <w:rPr>
          <w:color w:val="000000"/>
          <w:szCs w:val="21"/>
        </w:rPr>
      </w:pPr>
      <w:r>
        <w:rPr>
          <w:color w:val="000000"/>
          <w:szCs w:val="21"/>
        </w:rPr>
        <w:t xml:space="preserve">铁氧体应为全新材料；铁氧体应采用螺钉紧固方式安装，螺钉应配备无电磁波反射的塑料盖帽，安装间隙不应大于0.1mm；所有安装铁氧体的部位不能出现金属反射面或反射点。</w:t>
      </w:r>
      <w:r>
        <w:rPr>
          <w:color w:val="000000"/>
          <w:szCs w:val="21"/>
        </w:rPr>
      </w:r>
      <w:r/>
    </w:p>
    <w:p>
      <w:pPr>
        <w:pStyle w:val="1082"/>
        <w:numPr>
          <w:ilvl w:val="1"/>
          <w:numId w:val="15"/>
        </w:numPr>
        <w:spacing w:line="360" w:lineRule="auto"/>
        <w:rPr>
          <w:color w:val="000000"/>
          <w:szCs w:val="21"/>
          <w:highlight w:val="none"/>
        </w:rPr>
      </w:pPr>
      <w:r>
        <w:rPr>
          <w:szCs w:val="21"/>
          <w:highlight w:val="none"/>
        </w:rPr>
        <w:t xml:space="preserve">投标人应承诺吸波材料在正常使用期内不</w:t>
      </w:r>
      <w:r>
        <w:rPr>
          <w:color w:val="000000"/>
          <w:szCs w:val="21"/>
          <w:highlight w:val="none"/>
        </w:rPr>
        <w:t xml:space="preserve">出现下垂、变形、脱碳等现象，其性能保证期至少为30年，应标时应提供承诺书。</w:t>
      </w:r>
      <w:r>
        <w:rPr>
          <w:color w:val="000000"/>
          <w:szCs w:val="21"/>
          <w:highlight w:val="none"/>
        </w:rPr>
      </w:r>
      <w:r/>
    </w:p>
    <w:p>
      <w:pPr>
        <w:pStyle w:val="1082"/>
        <w:numPr>
          <w:ilvl w:val="1"/>
          <w:numId w:val="15"/>
        </w:numPr>
        <w:spacing w:line="360" w:lineRule="auto"/>
        <w:rPr>
          <w:szCs w:val="21"/>
        </w:rPr>
      </w:pPr>
      <w:r>
        <w:rPr>
          <w:szCs w:val="21"/>
        </w:rPr>
        <w:t xml:space="preserve">★尖劈选用</w:t>
      </w:r>
      <w:r>
        <w:rPr>
          <w:szCs w:val="21"/>
        </w:rPr>
        <w:t xml:space="preserve">硬质</w:t>
      </w:r>
      <w:r>
        <w:rPr>
          <w:szCs w:val="21"/>
        </w:rPr>
        <w:t xml:space="preserve">聚丙烯材质防潮尖劈吸波材料</w:t>
      </w:r>
      <w:r>
        <w:rPr>
          <w:color w:val="000000"/>
          <w:szCs w:val="21"/>
        </w:rPr>
        <w:t xml:space="preserve">，吸波尖劈须</w:t>
      </w:r>
      <w:r>
        <w:rPr>
          <w:szCs w:val="21"/>
        </w:rPr>
        <w:t xml:space="preserve">为防潮防水材质，投标时提供测试报告。</w:t>
      </w:r>
      <w:r>
        <w:rPr>
          <w:color w:val="000000"/>
          <w:szCs w:val="21"/>
        </w:rPr>
        <w:t xml:space="preserve">吸波材料需在26MHz～40GHz的宽带频率范围内提供良好的吸波作用，提供吸波材料电性能参数公开资料，投标人提供的产品须和提供的公开资料</w:t>
      </w:r>
      <w:r>
        <w:rPr>
          <w:szCs w:val="21"/>
        </w:rPr>
        <w:t xml:space="preserve">保持一致。</w:t>
      </w:r>
      <w:r>
        <w:rPr>
          <w:szCs w:val="21"/>
        </w:rPr>
      </w:r>
      <w:r/>
    </w:p>
    <w:p>
      <w:pPr>
        <w:pStyle w:val="1082"/>
        <w:numPr>
          <w:ilvl w:val="1"/>
          <w:numId w:val="15"/>
        </w:numPr>
        <w:spacing w:line="360" w:lineRule="auto"/>
        <w:rPr>
          <w:szCs w:val="21"/>
        </w:rPr>
      </w:pPr>
      <w:r>
        <w:rPr>
          <w:szCs w:val="21"/>
        </w:rPr>
        <w:t xml:space="preserve">★尖劈吸波</w:t>
      </w:r>
      <w:r>
        <w:rPr>
          <w:szCs w:val="21"/>
        </w:rPr>
        <w:t xml:space="preserve">材料</w:t>
      </w:r>
      <w:r>
        <w:rPr>
          <w:szCs w:val="21"/>
        </w:rPr>
        <w:t xml:space="preserve">氧指数不小于 28%（按 GB/T 2406.2 标准），燃烧性不低于GB 8624-2012《建筑材料及制品燃烧性能分级》标准要求中的B1等级，投标时提供 第三方测试报告；</w:t>
      </w:r>
      <w:r>
        <w:rPr>
          <w:szCs w:val="21"/>
        </w:rPr>
      </w:r>
      <w:r/>
    </w:p>
    <w:p>
      <w:pPr>
        <w:pStyle w:val="1082"/>
        <w:numPr>
          <w:ilvl w:val="1"/>
          <w:numId w:val="15"/>
        </w:numPr>
        <w:spacing w:line="360" w:lineRule="auto"/>
        <w:rPr>
          <w:color w:val="000000"/>
          <w:szCs w:val="21"/>
        </w:rPr>
      </w:pPr>
      <w:r>
        <w:rPr>
          <w:color w:val="000000"/>
          <w:szCs w:val="21"/>
        </w:rPr>
        <w:t xml:space="preserve">地面</w:t>
      </w:r>
      <w:r>
        <w:rPr>
          <w:szCs w:val="21"/>
        </w:rPr>
        <w:t xml:space="preserve">配置</w:t>
      </w:r>
      <w:r>
        <w:rPr>
          <w:color w:val="000000"/>
          <w:szCs w:val="21"/>
        </w:rPr>
        <w:t xml:space="preserve">可移动型吸波材料，满足场地均匀性（FU）和场地电压驻波比（SVSWR）的测试要求；地面吸波材料应满足高强度、耐磨损、无碳粉脱落、易搬运等要求，配备数量至少能满足放下地面配置的铁氧体及吸波材料以便于运输的小车。</w:t>
      </w:r>
      <w:r>
        <w:rPr>
          <w:color w:val="000000"/>
          <w:szCs w:val="21"/>
        </w:rPr>
      </w:r>
      <w:r/>
    </w:p>
    <w:p>
      <w:pPr>
        <w:pStyle w:val="1082"/>
        <w:numPr>
          <w:ilvl w:val="1"/>
          <w:numId w:val="15"/>
        </w:numPr>
        <w:spacing w:line="360" w:lineRule="auto"/>
        <w:rPr>
          <w:color w:val="000000"/>
          <w:szCs w:val="21"/>
        </w:rPr>
      </w:pPr>
      <w:r>
        <w:rPr>
          <w:color w:val="000000"/>
          <w:szCs w:val="21"/>
        </w:rPr>
        <w:t xml:space="preserve">吸波材料需在9kHz～40GHz 的宽带频率范围内提供良好的吸波作用，在相对湿度为95%的使用环境里，吸波材料电性能参数不变化。</w:t>
      </w:r>
      <w:r>
        <w:rPr>
          <w:color w:val="000000"/>
          <w:szCs w:val="21"/>
        </w:rPr>
      </w:r>
      <w:r/>
    </w:p>
    <w:p>
      <w:pPr>
        <w:pStyle w:val="1082"/>
        <w:numPr>
          <w:ilvl w:val="1"/>
          <w:numId w:val="15"/>
        </w:numPr>
        <w:spacing w:line="360" w:lineRule="auto"/>
        <w:rPr>
          <w:color w:val="000000"/>
          <w:szCs w:val="21"/>
        </w:rPr>
      </w:pPr>
      <w:r>
        <w:rPr>
          <w:color w:val="000000"/>
          <w:szCs w:val="21"/>
        </w:rPr>
        <w:t xml:space="preserve">吸波材料可承受200V/m连续场强和600V/m 瞬态场强，应提供关于耐功率性能的第三方测试报告复印件，原件备查。</w:t>
      </w:r>
      <w:r>
        <w:rPr>
          <w:color w:val="000000"/>
          <w:szCs w:val="21"/>
        </w:rPr>
      </w:r>
      <w:r/>
    </w:p>
    <w:p>
      <w:pPr>
        <w:pStyle w:val="1082"/>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必须是环保型、无异味产品，其安装后不应对暗室内空气质量造成污染，提供尖劈吸波材料ISO-14644-4和REACH法规的符合性测试报告。</w:t>
      </w:r>
      <w:r>
        <w:rPr>
          <w:color w:val="000000"/>
          <w:szCs w:val="21"/>
        </w:rPr>
      </w:r>
      <w:r/>
    </w:p>
    <w:p>
      <w:pPr>
        <w:pStyle w:val="1082"/>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表面应覆盖白色反光板，。尖劈吸波材料和白色反光板的燃烧性不低于GB 8624-2012《建筑材料及制品燃烧性能分级》标准要求中的B1等级或不燃材料，并提供白色反光板的阻燃性能测试报告。</w:t>
      </w:r>
      <w:r>
        <w:rPr>
          <w:color w:val="000000"/>
          <w:szCs w:val="21"/>
        </w:rPr>
      </w:r>
      <w:r/>
    </w:p>
    <w:p>
      <w:pPr>
        <w:pStyle w:val="1082"/>
        <w:numPr>
          <w:ilvl w:val="1"/>
          <w:numId w:val="15"/>
        </w:numPr>
        <w:spacing w:line="360" w:lineRule="auto"/>
        <w:rPr>
          <w:color w:val="000000"/>
          <w:szCs w:val="21"/>
          <w:highlight w:val="none"/>
        </w:rPr>
      </w:pPr>
      <w:r>
        <w:rPr>
          <w:szCs w:val="21"/>
          <w:highlight w:val="none"/>
        </w:rPr>
        <w:t xml:space="preserve">★</w:t>
      </w:r>
      <w:r>
        <w:rPr>
          <w:color w:val="000000"/>
          <w:szCs w:val="21"/>
          <w:highlight w:val="none"/>
        </w:rPr>
        <w:t xml:space="preserve">投标人</w:t>
      </w:r>
      <w:r>
        <w:rPr>
          <w:szCs w:val="21"/>
          <w:highlight w:val="none"/>
        </w:rPr>
        <w:t xml:space="preserve">需要</w:t>
      </w:r>
      <w:r>
        <w:rPr>
          <w:color w:val="000000"/>
          <w:szCs w:val="21"/>
          <w:highlight w:val="none"/>
        </w:rPr>
        <w:t xml:space="preserve">提供吸波材料（铁氧体吸波材料和尖劈吸波材料）制造商针对本项目的授权，并提供证明文件，原件备查。</w:t>
      </w:r>
      <w:r>
        <w:rPr>
          <w:color w:val="000000"/>
          <w:szCs w:val="21"/>
          <w:highlight w:val="none"/>
        </w:rPr>
      </w:r>
      <w:r/>
    </w:p>
    <w:p>
      <w:pPr>
        <w:pStyle w:val="1082"/>
        <w:numPr>
          <w:ilvl w:val="1"/>
          <w:numId w:val="15"/>
        </w:numPr>
        <w:spacing w:line="360" w:lineRule="auto"/>
        <w:rPr>
          <w:color w:val="000000"/>
          <w:szCs w:val="21"/>
        </w:rPr>
      </w:pPr>
      <w:r>
        <w:rPr>
          <w:color w:val="000000"/>
          <w:szCs w:val="21"/>
        </w:rPr>
        <w:t xml:space="preserve">投标方需配置足够数量的可移动式货架，满足可移动型吸波材料堆放需求。</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5.</w:t>
      </w:r>
      <w:r>
        <w:rPr>
          <w:rFonts w:ascii="Times New Roman" w:hAnsi="Times New Roman"/>
          <w:sz w:val="21"/>
          <w:szCs w:val="21"/>
        </w:rPr>
        <w:t xml:space="preserve">电波暗室监控和音频系统要求</w:t>
      </w:r>
      <w:r>
        <w:rPr>
          <w:rFonts w:ascii="Times New Roman" w:hAnsi="Times New Roman"/>
          <w:sz w:val="21"/>
          <w:szCs w:val="21"/>
        </w:rPr>
      </w:r>
      <w:r/>
    </w:p>
    <w:p>
      <w:pPr>
        <w:pStyle w:val="1082"/>
        <w:numPr>
          <w:ilvl w:val="1"/>
          <w:numId w:val="16"/>
        </w:numPr>
        <w:spacing w:line="360" w:lineRule="auto"/>
        <w:rPr>
          <w:szCs w:val="21"/>
        </w:rPr>
      </w:pPr>
      <w:r>
        <w:rPr>
          <w:szCs w:val="21"/>
        </w:rPr>
        <w:t xml:space="preserve">本项目共需安装3套视频监控系统和1套音频监控系统。电波暗室内安装的视频监控系统3套，两套为固定安装，一套为可移动式，带三脚架，用于暗室内视频监控； 暗室音视频监视系统应配置音频系统，配合暗室音视频监视系统一起使用。</w:t>
      </w:r>
      <w:r>
        <w:rPr>
          <w:szCs w:val="21"/>
        </w:rPr>
      </w:r>
      <w:r/>
    </w:p>
    <w:p>
      <w:pPr>
        <w:pStyle w:val="1082"/>
        <w:numPr>
          <w:ilvl w:val="1"/>
          <w:numId w:val="16"/>
        </w:numPr>
        <w:spacing w:line="360" w:lineRule="auto"/>
        <w:rPr>
          <w:szCs w:val="21"/>
        </w:rPr>
      </w:pPr>
      <w:r>
        <w:rPr>
          <w:szCs w:val="21"/>
        </w:rPr>
        <w:t xml:space="preserve">暗室音视频监视系统应配备60英寸以上，分辨率不低于4K的超清显示屏（1台）。</w:t>
      </w:r>
      <w:r>
        <w:rPr>
          <w:szCs w:val="21"/>
        </w:rPr>
      </w:r>
      <w:r/>
    </w:p>
    <w:p>
      <w:pPr>
        <w:pStyle w:val="1082"/>
        <w:numPr>
          <w:ilvl w:val="1"/>
          <w:numId w:val="16"/>
        </w:numPr>
        <w:spacing w:line="360" w:lineRule="auto"/>
        <w:rPr>
          <w:szCs w:val="21"/>
        </w:rPr>
      </w:pPr>
      <w:r>
        <w:rPr>
          <w:szCs w:val="21"/>
        </w:rPr>
        <w:t xml:space="preserve">暗室音视频监视系统配置的服务器须提供以太网接口，应能连接至局域网。</w:t>
      </w:r>
      <w:r>
        <w:rPr>
          <w:szCs w:val="21"/>
        </w:rPr>
      </w:r>
      <w:r/>
    </w:p>
    <w:p>
      <w:pPr>
        <w:pStyle w:val="1082"/>
        <w:numPr>
          <w:ilvl w:val="1"/>
          <w:numId w:val="16"/>
        </w:numPr>
        <w:spacing w:line="360" w:lineRule="auto"/>
        <w:rPr>
          <w:szCs w:val="21"/>
        </w:rPr>
      </w:pPr>
      <w:r>
        <w:rPr>
          <w:szCs w:val="21"/>
        </w:rPr>
        <w:t xml:space="preserve">视频及控制信号应采用光纤传输。</w:t>
      </w:r>
      <w:r>
        <w:rPr>
          <w:szCs w:val="21"/>
        </w:rPr>
      </w:r>
      <w:r/>
    </w:p>
    <w:p>
      <w:pPr>
        <w:pStyle w:val="1082"/>
        <w:numPr>
          <w:ilvl w:val="1"/>
          <w:numId w:val="16"/>
        </w:numPr>
        <w:spacing w:line="360" w:lineRule="auto"/>
        <w:rPr>
          <w:szCs w:val="21"/>
        </w:rPr>
      </w:pPr>
      <w:r>
        <w:rPr>
          <w:szCs w:val="21"/>
        </w:rPr>
        <w:t xml:space="preserve">暗室音视频监视系统包括云台、电源、摄像头、光电转换器、数字图像处理器和高性能服务器。</w:t>
      </w:r>
      <w:r>
        <w:rPr>
          <w:szCs w:val="21"/>
        </w:rPr>
      </w:r>
      <w:r/>
    </w:p>
    <w:p>
      <w:pPr>
        <w:pStyle w:val="1082"/>
        <w:numPr>
          <w:ilvl w:val="1"/>
          <w:numId w:val="16"/>
        </w:numPr>
        <w:spacing w:line="360" w:lineRule="auto"/>
        <w:rPr>
          <w:szCs w:val="21"/>
        </w:rPr>
      </w:pPr>
      <w:r>
        <w:rPr>
          <w:szCs w:val="21"/>
        </w:rPr>
        <w:t xml:space="preserve">暗室音视频监视系统应能控制暗室内云台上、下、左、右转动；</w:t>
      </w:r>
      <w:r>
        <w:rPr>
          <w:szCs w:val="21"/>
        </w:rPr>
      </w:r>
      <w:r/>
    </w:p>
    <w:p>
      <w:pPr>
        <w:pStyle w:val="1082"/>
        <w:numPr>
          <w:ilvl w:val="1"/>
          <w:numId w:val="16"/>
        </w:numPr>
        <w:spacing w:line="360" w:lineRule="auto"/>
        <w:rPr>
          <w:szCs w:val="21"/>
        </w:rPr>
      </w:pPr>
      <w:r>
        <w:rPr>
          <w:szCs w:val="21"/>
        </w:rPr>
        <w:t xml:space="preserve">暗室音视频监视系统配应能控制摄像头调整摄像头变焦，并可切换不同摄像头内容；</w:t>
      </w:r>
      <w:r>
        <w:rPr>
          <w:szCs w:val="21"/>
        </w:rPr>
      </w:r>
      <w:r/>
    </w:p>
    <w:p>
      <w:pPr>
        <w:pStyle w:val="1082"/>
        <w:numPr>
          <w:ilvl w:val="1"/>
          <w:numId w:val="16"/>
        </w:numPr>
        <w:spacing w:line="360" w:lineRule="auto"/>
        <w:rPr>
          <w:szCs w:val="21"/>
        </w:rPr>
      </w:pPr>
      <w:r>
        <w:rPr>
          <w:szCs w:val="21"/>
        </w:rPr>
        <w:t xml:space="preserve">暗室音视频监视系统配应能将测试时的摄像内容在硬盘上储存并调用。</w:t>
      </w:r>
      <w:r>
        <w:rPr>
          <w:szCs w:val="21"/>
        </w:rPr>
      </w:r>
      <w:r/>
    </w:p>
    <w:p>
      <w:pPr>
        <w:pStyle w:val="1082"/>
        <w:numPr>
          <w:ilvl w:val="1"/>
          <w:numId w:val="16"/>
        </w:numPr>
        <w:spacing w:line="360" w:lineRule="auto"/>
        <w:rPr>
          <w:szCs w:val="21"/>
        </w:rPr>
      </w:pPr>
      <w:r>
        <w:rPr>
          <w:szCs w:val="21"/>
        </w:rPr>
        <w:t xml:space="preserve">暗室音视频监视系统配应提供手动操作按钮用于控制摄像头转动和变焦。</w:t>
      </w:r>
      <w:r>
        <w:rPr>
          <w:szCs w:val="21"/>
        </w:rPr>
      </w:r>
      <w:r/>
    </w:p>
    <w:p>
      <w:pPr>
        <w:pStyle w:val="1082"/>
        <w:numPr>
          <w:ilvl w:val="1"/>
          <w:numId w:val="16"/>
        </w:numPr>
        <w:spacing w:line="360" w:lineRule="auto"/>
        <w:rPr>
          <w:szCs w:val="21"/>
        </w:rPr>
      </w:pPr>
      <w:r>
        <w:rPr>
          <w:szCs w:val="21"/>
        </w:rPr>
        <w:t xml:space="preserve">暗室视频监视系统（包括墙面固定式和地面移动式）均应采用1080P高清全景彩色摄像机，其光学变焦不小于30倍，</w:t>
      </w:r>
      <w:bookmarkStart w:id="18" w:name="_Hlk145277261"/>
      <w:r>
        <w:rPr>
          <w:szCs w:val="21"/>
        </w:rPr>
        <w:t xml:space="preserve">数字变焦不小于15倍；必须保证广角，暗室内无监控死角。可以在极暗背景（关闭暗室内部照明）情况下清晰观测到发光仪表盘上的数字信息。</w:t>
      </w:r>
      <w:bookmarkEnd w:id="18"/>
      <w:r>
        <w:rPr>
          <w:szCs w:val="21"/>
        </w:rPr>
      </w:r>
      <w:r/>
    </w:p>
    <w:p>
      <w:pPr>
        <w:pStyle w:val="1082"/>
        <w:numPr>
          <w:ilvl w:val="1"/>
          <w:numId w:val="16"/>
        </w:numPr>
        <w:spacing w:line="360" w:lineRule="auto"/>
        <w:rPr>
          <w:szCs w:val="21"/>
        </w:rPr>
      </w:pPr>
      <w:r>
        <w:rPr>
          <w:szCs w:val="21"/>
        </w:rPr>
        <w:t xml:space="preserve">地面监控系统应配备带轮子的非金属材质的可移动三脚架并配备加固底座，避免移动过程中三脚架倾斜。</w:t>
      </w:r>
      <w:bookmarkStart w:id="19" w:name="_Hlk145277317"/>
      <w:r>
        <w:rPr>
          <w:szCs w:val="21"/>
        </w:rPr>
        <w:t xml:space="preserve">地面监控系统可以看清电脑等屏幕显示的内容。</w:t>
      </w:r>
      <w:bookmarkEnd w:id="19"/>
      <w:r>
        <w:rPr>
          <w:szCs w:val="21"/>
        </w:rPr>
      </w:r>
      <w:r/>
    </w:p>
    <w:p>
      <w:pPr>
        <w:pStyle w:val="1082"/>
        <w:numPr>
          <w:ilvl w:val="1"/>
          <w:numId w:val="16"/>
        </w:numPr>
        <w:spacing w:line="360" w:lineRule="auto"/>
        <w:rPr>
          <w:szCs w:val="21"/>
        </w:rPr>
      </w:pPr>
      <w:r>
        <w:rPr>
          <w:szCs w:val="21"/>
        </w:rPr>
        <w:t xml:space="preserve">音频监控系统为移动式，利用该系统，在暗室屏蔽门、控制室屏蔽门关闭的情况，暗室操作人员能与暗室外操作人员通话，可以实现对电波暗室内的音频监控。该系统包含必要组件和光纤。</w:t>
      </w:r>
      <w:r>
        <w:rPr>
          <w:szCs w:val="21"/>
        </w:rPr>
      </w:r>
      <w:r/>
    </w:p>
    <w:p>
      <w:pPr>
        <w:pStyle w:val="1082"/>
        <w:numPr>
          <w:ilvl w:val="1"/>
          <w:numId w:val="16"/>
        </w:numPr>
        <w:spacing w:line="360" w:lineRule="auto"/>
        <w:rPr>
          <w:szCs w:val="21"/>
        </w:rPr>
      </w:pPr>
      <w:r>
        <w:rPr>
          <w:szCs w:val="21"/>
        </w:rPr>
        <w:t xml:space="preserve">暗室音视频监视系统能承受10kHz～40GHz频率范围内的200V/m连续场强和600V/m 瞬态场强，在以上场强作用期间及作用后均能正常工作。</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6.</w:t>
      </w:r>
      <w:r>
        <w:rPr>
          <w:rFonts w:ascii="Times New Roman" w:hAnsi="Times New Roman"/>
          <w:sz w:val="21"/>
          <w:szCs w:val="21"/>
        </w:rPr>
        <w:t xml:space="preserve">电波暗室和屏蔽室的滤波器要求</w:t>
      </w:r>
      <w:r>
        <w:rPr>
          <w:rFonts w:ascii="Times New Roman" w:hAnsi="Times New Roman"/>
          <w:sz w:val="21"/>
          <w:szCs w:val="21"/>
        </w:rPr>
      </w:r>
      <w:r/>
    </w:p>
    <w:p>
      <w:pPr>
        <w:pStyle w:val="1082"/>
        <w:ind w:firstLine="420"/>
        <w:spacing w:line="360" w:lineRule="auto"/>
        <w:rPr>
          <w:szCs w:val="21"/>
        </w:rPr>
      </w:pPr>
      <w:r>
        <w:rPr>
          <w:szCs w:val="21"/>
        </w:rPr>
        <w:t xml:space="preserve">滤波器分为电源滤波器和信号滤波器（包含光电转换器）。</w:t>
      </w:r>
      <w:r>
        <w:rPr>
          <w:szCs w:val="21"/>
        </w:rPr>
      </w:r>
      <w:r/>
    </w:p>
    <w:p>
      <w:pPr>
        <w:pStyle w:val="1082"/>
        <w:numPr>
          <w:ilvl w:val="1"/>
          <w:numId w:val="17"/>
        </w:numPr>
        <w:spacing w:line="360" w:lineRule="auto"/>
        <w:rPr>
          <w:szCs w:val="21"/>
        </w:rPr>
      </w:pPr>
      <w:r>
        <w:rPr>
          <w:szCs w:val="21"/>
        </w:rPr>
        <w:t xml:space="preserve">电源滤波器带负载能力应能满足在14kHz～40GHz频率范围内的最小插入损耗为100dB（中频电源除外）的要求，插入损耗的测试符合CISPR publication 17和MIL-STD 220A规定，提供滤波器插入损耗指标曲线和测试报告。</w:t>
      </w:r>
      <w:r>
        <w:rPr>
          <w:szCs w:val="21"/>
        </w:rPr>
      </w:r>
      <w:r/>
    </w:p>
    <w:p>
      <w:pPr>
        <w:pStyle w:val="1082"/>
        <w:numPr>
          <w:ilvl w:val="1"/>
          <w:numId w:val="17"/>
        </w:numPr>
        <w:spacing w:line="360" w:lineRule="auto"/>
        <w:rPr>
          <w:szCs w:val="21"/>
        </w:rPr>
      </w:pPr>
      <w:r>
        <w:rPr>
          <w:szCs w:val="21"/>
        </w:rPr>
        <w:t xml:space="preserve">针对直流高压（DC 1000V/1500V）线路，滤波器到暗室的通道使用屏蔽线缆和专用屏蔽接头，保证其不影响暗室内的电磁噪音。</w:t>
      </w:r>
      <w:r>
        <w:rPr>
          <w:szCs w:val="21"/>
        </w:rPr>
      </w:r>
      <w:r/>
    </w:p>
    <w:p>
      <w:pPr>
        <w:pStyle w:val="1082"/>
        <w:numPr>
          <w:ilvl w:val="1"/>
          <w:numId w:val="17"/>
        </w:numPr>
        <w:spacing w:line="360" w:lineRule="auto"/>
        <w:rPr>
          <w:szCs w:val="21"/>
        </w:rPr>
      </w:pPr>
      <w:r>
        <w:rPr>
          <w:szCs w:val="21"/>
        </w:rPr>
        <w:t xml:space="preserve">电波暗室及屏蔽室内，被测物、测试设备、辅助设备须分开独立配电，并配置独立滤波器。最终的滤波器数量和型号在冻结图纸设计确认。具体的电源滤波器要求如下表所示：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1082"/>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DC0-300V,100A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DC0-1000V,100A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DC0-1500V,200A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AC1000V,300A,50/60Hz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AC380V,500A,50/60Hz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AC380V,100A,50/60Hz</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p>
            <w:pPr>
              <w:pStyle w:val="1082"/>
              <w:jc w:val="center"/>
              <w:spacing w:line="360" w:lineRule="auto"/>
              <w:rPr>
                <w:color w:val="000000"/>
                <w:szCs w:val="21"/>
              </w:rPr>
            </w:pPr>
            <w:r>
              <w:rPr>
                <w:szCs w:val="21"/>
              </w:rPr>
              <w:t xml:space="preserve">设备供电</w:t>
            </w:r>
            <w:r>
              <w:rPr>
                <w:color w:val="000000"/>
                <w:szCs w:val="21"/>
              </w:rPr>
            </w:r>
            <w:r/>
          </w:p>
        </w:tc>
        <w:tc>
          <w:tcPr>
            <w:tcW w:w="795"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p>
            <w:pPr>
              <w:pStyle w:val="1082"/>
              <w:jc w:val="center"/>
              <w:spacing w:line="360" w:lineRule="auto"/>
              <w:rPr>
                <w:szCs w:val="21"/>
              </w:rPr>
            </w:pPr>
            <w:r>
              <w:rPr>
                <w:szCs w:val="21"/>
              </w:rPr>
              <w:t xml:space="preserve">设备供电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仪器设备供电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spacing w:line="360" w:lineRule="auto"/>
              <w:widowControl/>
              <w:rPr>
                <w:szCs w:val="21"/>
              </w:rPr>
            </w:pPr>
            <w:r>
              <w:rPr>
                <w:szCs w:val="21"/>
              </w:rPr>
              <w:t xml:space="preserve">单相电源滤波器: AC220V,16A, 50/60Hz </w:t>
            </w:r>
            <w:r>
              <w:rPr>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控制室照明、设备供电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屏蔽功放室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AC380V,100A,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功率放大器供电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szCs w:val="21"/>
              </w:rPr>
            </w:pPr>
            <w:r>
              <w:rPr>
                <w:szCs w:val="21"/>
              </w:rPr>
              <w:t xml:space="preserve">单相电源滤波器: AC220V,32A, 50/60Hz </w:t>
            </w:r>
            <w:r>
              <w:rPr>
                <w:szCs w:val="21"/>
              </w:rPr>
            </w:r>
            <w:r/>
          </w:p>
        </w:tc>
        <w:tc>
          <w:tcPr>
            <w:tcW w:w="892" w:type="dxa"/>
            <w:vAlign w:val="center"/>
            <w:textDirection w:val="lrTb"/>
            <w:noWrap w:val="false"/>
          </w:tcPr>
          <w:p>
            <w:pPr>
              <w:pStyle w:val="1082"/>
              <w:jc w:val="center"/>
              <w:spacing w:line="360" w:lineRule="auto"/>
              <w:rPr>
                <w:szCs w:val="21"/>
              </w:rPr>
            </w:pPr>
            <w:r>
              <w:rPr>
                <w:szCs w:val="21"/>
              </w:rPr>
              <w:t xml:space="preserve">照明插座供电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三相电源滤波器: AC380V,100A,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直流电源滤波器: DC300V,100A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单相电源滤波器: AC220V,32A, 50/60Hz </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照明插座供电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2"/>
        <w:numPr>
          <w:ilvl w:val="1"/>
          <w:numId w:val="17"/>
        </w:numPr>
        <w:spacing w:line="360" w:lineRule="auto"/>
        <w:rPr>
          <w:szCs w:val="21"/>
        </w:rPr>
      </w:pPr>
      <w:r>
        <w:rPr>
          <w:szCs w:val="21"/>
        </w:rPr>
        <w:t xml:space="preserve">信号滤波器带负载能力应能满足在14kHz～40GHz频率范围内的最小插入损耗为100dB的要求。</w:t>
      </w:r>
      <w:r>
        <w:rPr>
          <w:szCs w:val="21"/>
        </w:rPr>
      </w:r>
      <w:r/>
    </w:p>
    <w:p>
      <w:pPr>
        <w:pStyle w:val="1082"/>
        <w:numPr>
          <w:ilvl w:val="1"/>
          <w:numId w:val="17"/>
        </w:numPr>
        <w:spacing w:line="360" w:lineRule="auto"/>
        <w:rPr>
          <w:szCs w:val="21"/>
        </w:rPr>
      </w:pPr>
      <w:r>
        <w:rPr>
          <w:szCs w:val="21"/>
        </w:rPr>
        <w:t xml:space="preserve">光电转换器必须使用光纤作为信号传输介质。</w:t>
      </w:r>
      <w:r>
        <w:rPr>
          <w:szCs w:val="21"/>
        </w:rPr>
      </w:r>
      <w:r/>
    </w:p>
    <w:p>
      <w:pPr>
        <w:pStyle w:val="1082"/>
        <w:numPr>
          <w:ilvl w:val="1"/>
          <w:numId w:val="17"/>
        </w:numPr>
        <w:spacing w:line="360" w:lineRule="auto"/>
        <w:rPr>
          <w:szCs w:val="21"/>
        </w:rPr>
      </w:pPr>
      <w:r>
        <w:rPr>
          <w:szCs w:val="21"/>
        </w:rPr>
        <w:t xml:space="preserve">信号滤波器（含光电转换器）在工作时不影响暗室性能，且能承受200V/m连续场强和600V/m 瞬态场强。</w:t>
      </w:r>
      <w:r>
        <w:rPr>
          <w:szCs w:val="21"/>
        </w:rPr>
      </w:r>
      <w:r/>
    </w:p>
    <w:p>
      <w:pPr>
        <w:pStyle w:val="1082"/>
        <w:numPr>
          <w:ilvl w:val="1"/>
          <w:numId w:val="17"/>
        </w:numPr>
        <w:spacing w:line="360" w:lineRule="auto"/>
        <w:rPr>
          <w:szCs w:val="21"/>
        </w:rPr>
      </w:pPr>
      <w:r>
        <w:rPr>
          <w:szCs w:val="21"/>
        </w:rPr>
        <w:t xml:space="preserve">具体的信号滤波器要求如下表所示：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1082"/>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20线信号滤波器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Interlock互锁开关</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EMI测试互锁信号开关</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1000M网络光电转换器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高速CAN总线光电转换器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模拟量光电转换器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rStyle w:val="1284"/>
                <w:szCs w:val="21"/>
              </w:rPr>
              <w:t xml:space="preserve">RS-232/422/485</w:t>
            </w:r>
            <w:r>
              <w:rPr>
                <w:szCs w:val="21"/>
              </w:rPr>
              <w:t xml:space="preserve">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2线信号滤波器</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电话、互锁</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spacing w:line="360" w:lineRule="auto"/>
              <w:widowControl/>
              <w:rPr>
                <w:szCs w:val="21"/>
              </w:rPr>
            </w:pPr>
            <w:r>
              <w:rPr>
                <w:szCs w:val="21"/>
              </w:rPr>
              <w:t xml:space="preserve">1000M网络光电转换器（对）</w:t>
            </w:r>
            <w:r>
              <w:rPr>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EUT通信</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2线信号滤波器</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信号</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1000M网络光电转换器（对）</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EUT通信</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接口板及接头</w:t>
      </w:r>
      <w:r>
        <w:rPr>
          <w:rFonts w:ascii="Times New Roman" w:hAnsi="Times New Roman"/>
          <w:sz w:val="21"/>
          <w:szCs w:val="21"/>
        </w:rPr>
      </w:r>
      <w:r/>
    </w:p>
    <w:p>
      <w:pPr>
        <w:pStyle w:val="1082"/>
        <w:numPr>
          <w:ilvl w:val="1"/>
          <w:numId w:val="18"/>
        </w:numPr>
        <w:spacing w:line="360" w:lineRule="auto"/>
        <w:rPr>
          <w:color w:val="000000"/>
          <w:szCs w:val="21"/>
          <w:highlight w:val="none"/>
        </w:rPr>
      </w:pPr>
      <w:r>
        <w:rPr>
          <w:color w:val="000000"/>
          <w:szCs w:val="21"/>
          <w:highlight w:val="none"/>
        </w:rPr>
        <w:t xml:space="preserve">电波暗室及屏蔽室接口板及转接头的配置在设计冻结时确认，下方表格为接口板最少需求，具体以招标人确认的设计方案为准，投标人需承诺在后续设计和施工过程中根据用户需求免费增加，若为特殊接头，由测试设备供应商提供的，投标人应负责免费安装，提供承诺函文件。所有射频接头均应采用进口知名品牌。</w:t>
      </w:r>
      <w:r>
        <w:rPr>
          <w:color w:val="000000"/>
          <w:szCs w:val="21"/>
          <w:highlight w:val="none"/>
        </w:rPr>
      </w:r>
      <w:r/>
    </w:p>
    <w:p>
      <w:pPr>
        <w:pStyle w:val="1082"/>
        <w:numPr>
          <w:ilvl w:val="1"/>
          <w:numId w:val="18"/>
        </w:numPr>
        <w:spacing w:line="360" w:lineRule="auto"/>
        <w:rPr>
          <w:color w:val="000000"/>
          <w:szCs w:val="21"/>
        </w:rPr>
      </w:pPr>
      <w:r>
        <w:rPr>
          <w:color w:val="000000"/>
          <w:szCs w:val="21"/>
        </w:rPr>
        <w:t xml:space="preserve">暗室气液通道系统须安装有截止频率为40GHz的波导。因考虑到漏水有可能对电波暗室带来毁灭性灾害，故要求气液通道系统中配置漏水探测报警系统。管道尺寸及具体位置详细设计时确定。</w:t>
      </w:r>
      <w:r>
        <w:rPr>
          <w:color w:val="000000"/>
          <w:szCs w:val="21"/>
        </w:rPr>
      </w:r>
      <w:r/>
    </w:p>
    <w:p>
      <w:pPr>
        <w:pStyle w:val="1082"/>
        <w:numPr>
          <w:ilvl w:val="1"/>
          <w:numId w:val="18"/>
        </w:numPr>
        <w:spacing w:line="360" w:lineRule="auto"/>
        <w:rPr>
          <w:color w:val="000000"/>
          <w:szCs w:val="21"/>
        </w:rPr>
      </w:pPr>
      <w:r>
        <w:rPr>
          <w:color w:val="000000"/>
          <w:szCs w:val="21"/>
        </w:rPr>
        <w:t xml:space="preserve">对于特殊电缆与暗室内的连接，投标人须提供用于特殊电缆进出暗室的铜砂陷波器，并保证在该通道使用的同时进行屏蔽效能测试，仍能满足暗室整体屏蔽效能的要求，投标人须提供详细说明。</w:t>
      </w:r>
      <w:r>
        <w:rPr>
          <w:color w:val="000000"/>
          <w:szCs w:val="21"/>
        </w:rPr>
      </w:r>
      <w:r/>
    </w:p>
    <w:p>
      <w:pPr>
        <w:pStyle w:val="1082"/>
        <w:numPr>
          <w:ilvl w:val="1"/>
          <w:numId w:val="18"/>
        </w:numPr>
        <w:spacing w:line="360" w:lineRule="auto"/>
        <w:rPr>
          <w:color w:val="000000"/>
          <w:szCs w:val="21"/>
        </w:rPr>
      </w:pPr>
      <w:r>
        <w:rPr>
          <w:color w:val="000000"/>
          <w:szCs w:val="21"/>
        </w:rPr>
        <w:t xml:space="preserve">接口板的具体尺寸由投标人自行确定，但必须保证所要求的接头能全部安装，且空间合理、使用方便。地面接口板上面采用金属盖板，保证金属盖板与接地平台的导电连续性，安装完毕后与高架地板保持统一平整度，盖板需配备液压支撑杆；盖板上预留线缆穿出孔。且应满足最新版ANSI C63.4 对地面开口板线缆穿孔孔径的要求。接口板上接头的配置及安装应与测试设备供应商协商，并做预留。若下表转接头不能满足测试要求，测试设备供应商所提供的转接头，投标人应负责免费安装。</w:t>
      </w:r>
      <w:r>
        <w:rPr>
          <w:color w:val="000000"/>
          <w:szCs w:val="21"/>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360"/>
        <w:gridCol w:w="2041"/>
        <w:gridCol w:w="2874"/>
        <w:gridCol w:w="1462"/>
      </w:tblGrid>
      <w:tr>
        <w:trPr>
          <w:trHeight w:val="20"/>
        </w:trPr>
        <w:tc>
          <w:tcPr>
            <w:gridSpan w:val="5"/>
            <w:tcW w:w="9242" w:type="dxa"/>
            <w:vAlign w:val="center"/>
            <w:textDirection w:val="lrTb"/>
            <w:noWrap w:val="false"/>
          </w:tcPr>
          <w:p>
            <w:pPr>
              <w:pStyle w:val="1082"/>
              <w:jc w:val="center"/>
              <w:spacing w:line="360" w:lineRule="auto"/>
              <w:rPr>
                <w:szCs w:val="21"/>
              </w:rPr>
            </w:pPr>
            <w:r>
              <w:rPr>
                <w:szCs w:val="21"/>
              </w:rPr>
              <w:t xml:space="preserve">十米法暗室墙面转接板配置基础要求</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1082"/>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1082"/>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1082"/>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数量</w:t>
            </w:r>
            <w:r>
              <w:rPr>
                <w:szCs w:val="21"/>
              </w:rPr>
            </w:r>
            <w:r/>
          </w:p>
          <w:p>
            <w:pPr>
              <w:pStyle w:val="1082"/>
              <w:jc w:val="center"/>
              <w:spacing w:line="360" w:lineRule="auto"/>
              <w:rPr>
                <w:szCs w:val="21"/>
              </w:rPr>
            </w:pPr>
            <w:r>
              <w:rPr>
                <w:szCs w:val="21"/>
              </w:rPr>
              <w:t xml:space="preserve">（个/套）</w:t>
            </w:r>
            <w:r>
              <w:rPr>
                <w:szCs w:val="21"/>
              </w:rPr>
            </w:r>
            <w:r/>
          </w:p>
        </w:tc>
      </w:tr>
      <w:tr>
        <w:trPr>
          <w:trHeight w:val="346"/>
        </w:trPr>
        <w:tc>
          <w:tcPr>
            <w:tcW w:w="273" w:type="dxa"/>
            <w:vAlign w:val="center"/>
            <w:vMerge w:val="restart"/>
            <w:textDirection w:val="lrTb"/>
            <w:noWrap w:val="false"/>
          </w:tcPr>
          <w:p>
            <w:pPr>
              <w:pStyle w:val="1082"/>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1082"/>
              <w:jc w:val="center"/>
              <w:spacing w:line="360" w:lineRule="auto"/>
              <w:rPr>
                <w:szCs w:val="21"/>
              </w:rPr>
            </w:pPr>
            <w:r>
              <w:rPr>
                <w:szCs w:val="21"/>
              </w:rPr>
              <w:t xml:space="preserve">暗室与控制室通信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暗室与控制室之间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8</w:t>
            </w:r>
            <w:r>
              <w:rPr>
                <w:szCs w:val="21"/>
              </w:rPr>
            </w:r>
            <w:r/>
          </w:p>
        </w:tc>
      </w:tr>
      <w:tr>
        <w:trPr>
          <w:trHeight w:val="346"/>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铜砂限波器</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restart"/>
            <w:textDirection w:val="lrTb"/>
            <w:noWrap w:val="false"/>
          </w:tcPr>
          <w:p>
            <w:pPr>
              <w:pStyle w:val="1082"/>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1082"/>
              <w:jc w:val="center"/>
              <w:spacing w:line="360" w:lineRule="auto"/>
              <w:rPr>
                <w:szCs w:val="21"/>
              </w:rPr>
            </w:pPr>
            <w:r>
              <w:rPr>
                <w:szCs w:val="21"/>
              </w:rPr>
              <w:t xml:space="preserve">暗室与功放室通信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暗室与功放室之间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6"/>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7/16型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347"/>
        </w:trPr>
        <w:tc>
          <w:tcPr>
            <w:tcW w:w="273" w:type="dxa"/>
            <w:vAlign w:val="center"/>
            <w:vMerge w:val="restart"/>
            <w:textDirection w:val="lrTb"/>
            <w:noWrap w:val="false"/>
          </w:tcPr>
          <w:p>
            <w:pPr>
              <w:pStyle w:val="1082"/>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控制室与功放室通信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控制室与功放室之间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6"/>
        </w:trPr>
        <w:tc>
          <w:tcPr>
            <w:tcW w:w="273" w:type="dxa"/>
            <w:vAlign w:val="center"/>
            <w:vMerge w:val="restart"/>
            <w:textDirection w:val="lrTb"/>
            <w:noWrap w:val="false"/>
          </w:tcPr>
          <w:p>
            <w:pPr>
              <w:pStyle w:val="1082"/>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暗室与外界负载通信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暗室对外</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铜砂陷波器</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gridSpan w:val="5"/>
            <w:tcW w:w="9242" w:type="dxa"/>
            <w:vAlign w:val="center"/>
            <w:textDirection w:val="lrTb"/>
            <w:noWrap w:val="false"/>
          </w:tcPr>
          <w:p>
            <w:pPr>
              <w:pStyle w:val="1082"/>
              <w:jc w:val="center"/>
              <w:spacing w:line="360" w:lineRule="auto"/>
              <w:rPr>
                <w:szCs w:val="21"/>
              </w:rPr>
            </w:pPr>
            <w:r>
              <w:rPr>
                <w:szCs w:val="21"/>
              </w:rPr>
              <w:t xml:space="preserve">十米法暗室地面转接板配置基础要求</w:t>
            </w:r>
            <w:r>
              <w:rPr>
                <w:szCs w:val="21"/>
              </w:rPr>
            </w:r>
            <w:r/>
          </w:p>
        </w:tc>
      </w:tr>
      <w:tr>
        <w:trPr>
          <w:trHeight w:val="20"/>
          <w:tblHeader/>
        </w:trPr>
        <w:tc>
          <w:tcPr>
            <w:tcW w:w="273" w:type="dxa"/>
            <w:vAlign w:val="center"/>
            <w:textDirection w:val="lrTb"/>
            <w:noWrap w:val="false"/>
          </w:tcPr>
          <w:p>
            <w:pPr>
              <w:pStyle w:val="1082"/>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1082"/>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1082"/>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1082"/>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数量</w:t>
            </w:r>
            <w:r>
              <w:rPr>
                <w:szCs w:val="21"/>
              </w:rPr>
            </w:r>
            <w:r/>
          </w:p>
          <w:p>
            <w:pPr>
              <w:pStyle w:val="1082"/>
              <w:jc w:val="center"/>
              <w:spacing w:line="360" w:lineRule="auto"/>
              <w:rPr>
                <w:szCs w:val="21"/>
              </w:rPr>
            </w:pPr>
            <w:r>
              <w:rPr>
                <w:szCs w:val="21"/>
              </w:rPr>
              <w:t xml:space="preserve">（个/套）</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在测试轴线1（中轴线）、2、3上距离转台10m位置处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highlight w:val="yellow"/>
              </w:rPr>
            </w:pPr>
            <w:r>
              <w:rPr>
                <w:szCs w:val="21"/>
              </w:rPr>
              <w:t xml:space="preserve">1</w:t>
            </w:r>
            <w:r>
              <w:rPr>
                <w:szCs w:val="21"/>
                <w:highlight w:val="yellow"/>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距离转台3m位置处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7/16型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EUT的供电和通信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转台中心位置处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RJ45接头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辅助设备的供电和通信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BNC-50Ohm型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BNC-75Ohm型/HDMI接口/TYEP-C接口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RJ45接头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5</w:t>
            </w:r>
            <w:r>
              <w:rPr>
                <w:szCs w:val="21"/>
              </w:rPr>
            </w:r>
            <w:r/>
          </w:p>
        </w:tc>
        <w:tc>
          <w:tcPr>
            <w:tcW w:w="1277" w:type="dxa"/>
            <w:vAlign w:val="center"/>
            <w:textDirection w:val="lrTb"/>
            <w:noWrap w:val="false"/>
          </w:tcPr>
          <w:p>
            <w:pPr>
              <w:pStyle w:val="1082"/>
              <w:ind w:firstLine="400"/>
              <w:jc w:val="center"/>
              <w:spacing w:line="360" w:lineRule="auto"/>
              <w:rPr>
                <w:szCs w:val="21"/>
              </w:rPr>
            </w:pPr>
            <w:r>
              <w:rPr>
                <w:szCs w:val="21"/>
              </w:rPr>
              <w:t xml:space="preserve">整改系统</w:t>
            </w:r>
            <w:r>
              <w:rPr>
                <w:szCs w:val="21"/>
              </w:rPr>
            </w:r>
            <w:r/>
          </w:p>
        </w:tc>
        <w:tc>
          <w:tcPr>
            <w:tcW w:w="1104" w:type="dxa"/>
            <w:vAlign w:val="center"/>
            <w:textDirection w:val="lrTb"/>
            <w:noWrap w:val="false"/>
          </w:tcPr>
          <w:p>
            <w:pPr>
              <w:pStyle w:val="1082"/>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整改系统安装</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6</w:t>
            </w:r>
            <w:r>
              <w:rPr>
                <w:szCs w:val="21"/>
              </w:rPr>
            </w:r>
            <w:r/>
          </w:p>
        </w:tc>
        <w:tc>
          <w:tcPr>
            <w:tcW w:w="1277" w:type="dxa"/>
            <w:vAlign w:val="center"/>
            <w:textDirection w:val="lrTb"/>
            <w:noWrap w:val="false"/>
          </w:tcPr>
          <w:p>
            <w:pPr>
              <w:pStyle w:val="1082"/>
              <w:ind w:firstLine="400"/>
              <w:jc w:val="center"/>
              <w:spacing w:line="360" w:lineRule="auto"/>
              <w:rPr>
                <w:szCs w:val="21"/>
              </w:rPr>
            </w:pPr>
            <w:r>
              <w:rPr>
                <w:szCs w:val="21"/>
              </w:rPr>
              <w:t xml:space="preserve">水气接口</w:t>
            </w:r>
            <w:r>
              <w:rPr>
                <w:szCs w:val="21"/>
              </w:rPr>
            </w:r>
            <w:r/>
          </w:p>
        </w:tc>
        <w:tc>
          <w:tcPr>
            <w:tcW w:w="1104" w:type="dxa"/>
            <w:vAlign w:val="center"/>
            <w:textDirection w:val="lrTb"/>
            <w:noWrap w:val="false"/>
          </w:tcPr>
          <w:p>
            <w:pPr>
              <w:pStyle w:val="1082"/>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进出水管各1套（DN50，DN25）</w:t>
            </w:r>
            <w:r>
              <w:rPr>
                <w:szCs w:val="21"/>
              </w:rPr>
            </w:r>
            <w:r/>
          </w:p>
          <w:p>
            <w:pPr>
              <w:pStyle w:val="1082"/>
              <w:spacing w:line="360" w:lineRule="auto"/>
              <w:rPr>
                <w:b/>
                <w:bCs/>
                <w:szCs w:val="21"/>
              </w:rPr>
            </w:pPr>
            <w:r>
              <w:rPr>
                <w:szCs w:val="21"/>
              </w:rPr>
              <w:t xml:space="preserve">进出气管各1套（DN25）</w:t>
            </w:r>
            <w:r>
              <w:rPr>
                <w:b/>
                <w:bCs/>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2"/>
        <w:ind w:left="425"/>
        <w:spacing w:line="360" w:lineRule="auto"/>
        <w:rPr>
          <w:color w:val="000000"/>
          <w:szCs w:val="21"/>
        </w:rPr>
      </w:pPr>
      <w:r>
        <w:rPr>
          <w:color w:val="000000"/>
          <w:szCs w:val="21"/>
        </w:rPr>
      </w:r>
      <w:r/>
    </w:p>
    <w:p>
      <w:pPr>
        <w:pStyle w:val="1082"/>
        <w:numPr>
          <w:ilvl w:val="1"/>
          <w:numId w:val="18"/>
        </w:numPr>
        <w:spacing w:line="360" w:lineRule="auto"/>
        <w:rPr>
          <w:color w:val="000000"/>
          <w:szCs w:val="21"/>
        </w:rPr>
      </w:pPr>
      <w:r>
        <w:rPr>
          <w:color w:val="000000"/>
          <w:szCs w:val="21"/>
        </w:rPr>
        <w:t xml:space="preserve">屏蔽室接口板及转接头的配置在设计冻结时确认，具体以客户确认的设计方案为准，投标人需承诺在后续设计和施工过程中根据用户需求免费增加，若为特殊接头，由测试设备供应商提供的，投标人应负责免费安装。所有射频接头均应采用进口知名品牌。</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定位系统</w:t>
      </w:r>
      <w:r>
        <w:rPr>
          <w:rFonts w:ascii="Times New Roman" w:hAnsi="Times New Roman"/>
          <w:sz w:val="21"/>
          <w:szCs w:val="21"/>
        </w:rPr>
      </w:r>
      <w:r/>
    </w:p>
    <w:p>
      <w:pPr>
        <w:pStyle w:val="1082"/>
        <w:numPr>
          <w:ilvl w:val="1"/>
          <w:numId w:val="19"/>
        </w:numPr>
        <w:spacing w:line="360" w:lineRule="auto"/>
        <w:rPr>
          <w:color w:val="000000"/>
          <w:szCs w:val="21"/>
        </w:rPr>
      </w:pPr>
      <w:r>
        <w:rPr>
          <w:szCs w:val="21"/>
        </w:rPr>
        <w:t xml:space="preserve">转台</w:t>
      </w:r>
      <w:r>
        <w:rPr>
          <w:color w:val="000000"/>
          <w:szCs w:val="21"/>
        </w:rPr>
        <w:t xml:space="preserve">：1套，直径不小于6m，承重能力不小于5t； </w:t>
      </w:r>
      <w:r>
        <w:rPr>
          <w:color w:val="000000"/>
          <w:szCs w:val="21"/>
        </w:rPr>
      </w:r>
      <w:r/>
    </w:p>
    <w:p>
      <w:pPr>
        <w:pStyle w:val="1082"/>
        <w:numPr>
          <w:ilvl w:val="1"/>
          <w:numId w:val="19"/>
        </w:numPr>
        <w:spacing w:line="360" w:lineRule="auto"/>
        <w:rPr>
          <w:color w:val="000000"/>
          <w:szCs w:val="21"/>
        </w:rPr>
      </w:pPr>
      <w:r>
        <w:rPr>
          <w:color w:val="000000"/>
          <w:szCs w:val="21"/>
        </w:rPr>
        <w:t xml:space="preserve">天线塔：2套，自动</w:t>
      </w:r>
      <w:r>
        <w:rPr>
          <w:szCs w:val="21"/>
        </w:rPr>
        <w:t xml:space="preserve">升降</w:t>
      </w:r>
      <w:r>
        <w:rPr>
          <w:color w:val="000000"/>
          <w:szCs w:val="21"/>
        </w:rPr>
        <w:t xml:space="preserve">和极化，带天线俯仰角度控制，升降高度1～4m，承重不小于12kg；</w:t>
      </w:r>
      <w:r>
        <w:rPr>
          <w:color w:val="000000"/>
          <w:szCs w:val="21"/>
        </w:rPr>
      </w:r>
      <w:r/>
    </w:p>
    <w:p>
      <w:pPr>
        <w:pStyle w:val="1082"/>
        <w:numPr>
          <w:ilvl w:val="1"/>
          <w:numId w:val="19"/>
        </w:numPr>
        <w:spacing w:line="360" w:lineRule="auto"/>
        <w:rPr>
          <w:color w:val="000000"/>
          <w:szCs w:val="21"/>
        </w:rPr>
      </w:pPr>
      <w:r>
        <w:rPr>
          <w:color w:val="000000"/>
          <w:szCs w:val="21"/>
        </w:rPr>
        <w:t xml:space="preserve">控制器：1套，可同时</w:t>
      </w:r>
      <w:r>
        <w:rPr>
          <w:szCs w:val="21"/>
        </w:rPr>
        <w:t xml:space="preserve">控制</w:t>
      </w:r>
      <w:r>
        <w:rPr>
          <w:color w:val="000000"/>
          <w:szCs w:val="21"/>
        </w:rPr>
        <w:t xml:space="preserve">以上设备，具有通过软件控制和手动控制功能，可安装在标准19寸机柜里。</w:t>
      </w:r>
      <w:r>
        <w:rPr>
          <w:color w:val="000000"/>
          <w:szCs w:val="21"/>
        </w:rPr>
      </w:r>
      <w:r/>
    </w:p>
    <w:p>
      <w:pPr>
        <w:pStyle w:val="1082"/>
        <w:numPr>
          <w:ilvl w:val="1"/>
          <w:numId w:val="19"/>
        </w:numPr>
        <w:spacing w:line="360" w:lineRule="auto"/>
        <w:rPr>
          <w:color w:val="000000"/>
          <w:szCs w:val="21"/>
        </w:rPr>
      </w:pPr>
      <w:r>
        <w:rPr>
          <w:color w:val="000000"/>
          <w:szCs w:val="21"/>
        </w:rPr>
        <w:t xml:space="preserve">转台提供中心开孔，根据需要提供偏心开孔，开孔要求及配置在设计冻结时确定。保证客户产品测试供电的需求。</w:t>
      </w:r>
      <w:r>
        <w:rPr>
          <w:color w:val="000000"/>
          <w:szCs w:val="21"/>
        </w:rPr>
      </w:r>
      <w:r/>
    </w:p>
    <w:p>
      <w:pPr>
        <w:pStyle w:val="1082"/>
        <w:numPr>
          <w:ilvl w:val="1"/>
          <w:numId w:val="19"/>
        </w:numPr>
        <w:spacing w:line="360" w:lineRule="auto"/>
        <w:rPr>
          <w:color w:val="000000"/>
          <w:szCs w:val="21"/>
        </w:rPr>
      </w:pPr>
      <w:r>
        <w:rPr>
          <w:color w:val="000000"/>
          <w:szCs w:val="21"/>
        </w:rPr>
        <w:t xml:space="preserve">转台电动驱动，</w:t>
      </w:r>
      <w:r>
        <w:rPr>
          <w:szCs w:val="21"/>
        </w:rPr>
        <w:t xml:space="preserve">控制信号</w:t>
      </w:r>
      <w:r>
        <w:rPr>
          <w:color w:val="000000"/>
          <w:szCs w:val="21"/>
        </w:rPr>
        <w:t xml:space="preserve">的传送应采用光纤方式。</w:t>
      </w:r>
      <w:r>
        <w:rPr>
          <w:color w:val="000000"/>
          <w:szCs w:val="21"/>
        </w:rPr>
      </w:r>
      <w:r/>
    </w:p>
    <w:p>
      <w:pPr>
        <w:pStyle w:val="1082"/>
        <w:numPr>
          <w:ilvl w:val="1"/>
          <w:numId w:val="19"/>
        </w:numPr>
        <w:spacing w:line="360" w:lineRule="auto"/>
        <w:rPr>
          <w:color w:val="000000"/>
          <w:szCs w:val="21"/>
        </w:rPr>
      </w:pPr>
      <w:r>
        <w:rPr>
          <w:color w:val="000000"/>
          <w:szCs w:val="21"/>
        </w:rPr>
        <w:t xml:space="preserve">转台台面及四周区域采用不锈钢加工完成。转台安装后，转台台面应与地板平齐，最大高度差不大于0.5mm。转台与半电波暗室的反射面应采用接触环连接保证电连续性。 </w:t>
      </w:r>
      <w:r>
        <w:rPr>
          <w:color w:val="000000"/>
          <w:szCs w:val="21"/>
        </w:rPr>
      </w:r>
      <w:r/>
    </w:p>
    <w:p>
      <w:pPr>
        <w:pStyle w:val="1082"/>
        <w:numPr>
          <w:ilvl w:val="1"/>
          <w:numId w:val="19"/>
        </w:numPr>
        <w:spacing w:line="360" w:lineRule="auto"/>
        <w:rPr>
          <w:color w:val="000000"/>
          <w:szCs w:val="21"/>
        </w:rPr>
      </w:pPr>
      <w:r>
        <w:rPr>
          <w:color w:val="000000"/>
          <w:szCs w:val="21"/>
        </w:rPr>
        <w:t xml:space="preserve">转台旋转角度不小于400°，满足-20°~ +380°定位要求，定位精确度不大于±0.5°。转速可调： 0.2rpm～1.0rpm。转台必须具有电气限位开关和机械限位以及定位系统，确保转台的精确转动，且不会过转失控。</w:t>
      </w:r>
      <w:r>
        <w:rPr>
          <w:color w:val="000000"/>
          <w:szCs w:val="21"/>
        </w:rPr>
      </w:r>
      <w:r/>
    </w:p>
    <w:p>
      <w:pPr>
        <w:pStyle w:val="1082"/>
        <w:numPr>
          <w:ilvl w:val="1"/>
          <w:numId w:val="19"/>
        </w:numPr>
        <w:spacing w:line="360" w:lineRule="auto"/>
        <w:rPr>
          <w:color w:val="000000"/>
          <w:szCs w:val="21"/>
        </w:rPr>
      </w:pPr>
      <w:r>
        <w:rPr>
          <w:color w:val="000000"/>
          <w:szCs w:val="21"/>
        </w:rPr>
        <w:t xml:space="preserve">天线塔满足1～4m升降高度和极化控制功能，升降速度2cm/s～12 cm/s可调，位置精确度不大于±1cm，极化角度0°～90°，带天线俯仰角度控制，满足在测试过程中天线相位中心始终指向被测物。</w:t>
      </w:r>
      <w:r>
        <w:rPr>
          <w:szCs w:val="21"/>
        </w:rPr>
        <w:t xml:space="preserve">天线塔设计合理，在天线升到顶部时，不会有倾倒的危险。</w:t>
      </w:r>
      <w:r>
        <w:rPr>
          <w:color w:val="000000"/>
          <w:szCs w:val="21"/>
        </w:rPr>
      </w:r>
      <w:r/>
    </w:p>
    <w:p>
      <w:pPr>
        <w:pStyle w:val="1082"/>
        <w:numPr>
          <w:ilvl w:val="1"/>
          <w:numId w:val="19"/>
        </w:numPr>
        <w:spacing w:line="360" w:lineRule="auto"/>
        <w:rPr>
          <w:color w:val="000000"/>
          <w:szCs w:val="21"/>
        </w:rPr>
      </w:pPr>
      <w:r>
        <w:rPr>
          <w:color w:val="000000"/>
          <w:szCs w:val="21"/>
        </w:rPr>
        <w:t xml:space="preserve">天线塔和转台的控制器应为同一个集成控制器，集成控制器安装在控制室内，集成控制器应采用光纤连接到转台、天线塔，集成控制器应有显示屏，应至少能显示天线高度和转台角度数据；</w:t>
      </w:r>
      <w:r>
        <w:rPr>
          <w:color w:val="000000"/>
          <w:szCs w:val="21"/>
        </w:rPr>
      </w:r>
      <w:r/>
    </w:p>
    <w:p>
      <w:pPr>
        <w:pStyle w:val="1082"/>
        <w:numPr>
          <w:ilvl w:val="1"/>
          <w:numId w:val="19"/>
        </w:numPr>
        <w:spacing w:line="360" w:lineRule="auto"/>
        <w:rPr>
          <w:color w:val="000000"/>
          <w:szCs w:val="21"/>
        </w:rPr>
      </w:pPr>
      <w:r>
        <w:rPr>
          <w:color w:val="000000"/>
          <w:szCs w:val="21"/>
        </w:rPr>
        <w:t xml:space="preserve">转台和天线塔应能被</w:t>
      </w:r>
      <w:r>
        <w:rPr>
          <w:szCs w:val="21"/>
        </w:rPr>
        <w:t xml:space="preserve">国际</w:t>
      </w:r>
      <w:r>
        <w:rPr>
          <w:color w:val="000000"/>
          <w:szCs w:val="21"/>
        </w:rPr>
        <w:t xml:space="preserve">主流的EMC测试软件进行控制，完成自动测试。</w:t>
      </w:r>
      <w:r>
        <w:rPr>
          <w:color w:val="000000"/>
          <w:szCs w:val="21"/>
        </w:rPr>
      </w:r>
      <w:r/>
    </w:p>
    <w:p>
      <w:pPr>
        <w:pStyle w:val="1082"/>
        <w:numPr>
          <w:ilvl w:val="1"/>
          <w:numId w:val="19"/>
        </w:numPr>
        <w:spacing w:line="360" w:lineRule="auto"/>
        <w:rPr>
          <w:szCs w:val="21"/>
        </w:rPr>
      </w:pPr>
      <w:r>
        <w:rPr>
          <w:color w:val="000000"/>
          <w:szCs w:val="21"/>
        </w:rPr>
        <w:t xml:space="preserve">转台和天线塔在连续</w:t>
      </w:r>
      <w:r>
        <w:rPr>
          <w:szCs w:val="21"/>
        </w:rPr>
        <w:t xml:space="preserve">工作</w:t>
      </w:r>
      <w:r>
        <w:rPr>
          <w:color w:val="000000"/>
          <w:szCs w:val="21"/>
        </w:rPr>
        <w:t xml:space="preserve">时不应对场地性能产生影响，并且可承受200V/m连续场强和600V/m 瞬态场强。</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测试桌的要求</w:t>
      </w:r>
      <w:r>
        <w:rPr>
          <w:rFonts w:ascii="Times New Roman" w:hAnsi="Times New Roman"/>
          <w:sz w:val="21"/>
          <w:szCs w:val="21"/>
        </w:rPr>
      </w:r>
      <w:r/>
    </w:p>
    <w:p>
      <w:pPr>
        <w:pStyle w:val="1082"/>
        <w:numPr>
          <w:ilvl w:val="1"/>
          <w:numId w:val="20"/>
        </w:numPr>
        <w:spacing w:line="360" w:lineRule="auto"/>
        <w:rPr>
          <w:szCs w:val="21"/>
        </w:rPr>
      </w:pPr>
      <w:r>
        <w:rPr>
          <w:rFonts w:hint="eastAsia"/>
          <w:szCs w:val="21"/>
        </w:rPr>
        <w:t xml:space="preserve">电波暗室配置测试木桌1套（高度为0.8m±0.05m)和厚度为(0.12±0.04)m的绝缘支撑（例如木板），满足CISPR16-1-4和CISPR 32标准要求，尺寸不小于2.5m×1.0m×0.8m ，承重能力不低于500kg；桌面带标尺刻度，桌腿安装带锁万向轮，方便移动。</w:t>
      </w:r>
      <w:r>
        <w:rPr>
          <w:szCs w:val="21"/>
        </w:rPr>
      </w:r>
      <w:r/>
    </w:p>
    <w:p>
      <w:pPr>
        <w:pStyle w:val="1082"/>
        <w:numPr>
          <w:ilvl w:val="1"/>
          <w:numId w:val="20"/>
        </w:numPr>
        <w:spacing w:line="360" w:lineRule="auto"/>
        <w:rPr>
          <w:szCs w:val="21"/>
        </w:rPr>
      </w:pPr>
      <w:r>
        <w:rPr>
          <w:szCs w:val="21"/>
        </w:rPr>
        <w:t xml:space="preserve">电波暗室</w:t>
      </w:r>
      <w:r>
        <w:rPr>
          <w:szCs w:val="21"/>
        </w:rPr>
        <w:t xml:space="preserve">配置高频测试桌1套，满足CISPR16-1-4和CISPR32标准要求，尺寸不小于1.5m×1.0m×0.8m，承重能力不低于100kg；桌面带标尺刻度。</w:t>
      </w:r>
      <w:r>
        <w:rPr>
          <w:szCs w:val="21"/>
        </w:rPr>
      </w:r>
      <w:r/>
    </w:p>
    <w:p>
      <w:pPr>
        <w:pStyle w:val="1082"/>
        <w:numPr>
          <w:ilvl w:val="1"/>
          <w:numId w:val="20"/>
        </w:numPr>
        <w:spacing w:line="360" w:lineRule="auto"/>
        <w:rPr>
          <w:szCs w:val="21"/>
        </w:rPr>
      </w:pPr>
      <w:r>
        <w:rPr>
          <w:szCs w:val="21"/>
        </w:rPr>
        <w:t xml:space="preserve">暗室内应预留汽车电子测试桌安装位置，安装接地装置，且保证方便插拔，接地搭接电阻小于2.5毫欧姆，搭接间隔≤0.3m，测试桌接地插槽设计不影响暗室的性能指标。</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10.</w:t>
      </w:r>
      <w:r>
        <w:rPr>
          <w:rFonts w:ascii="Times New Roman" w:hAnsi="Times New Roman"/>
          <w:sz w:val="21"/>
          <w:szCs w:val="21"/>
        </w:rPr>
        <w:t xml:space="preserve">通风波导</w:t>
      </w:r>
      <w:r>
        <w:rPr>
          <w:rFonts w:ascii="Times New Roman" w:hAnsi="Times New Roman"/>
          <w:sz w:val="21"/>
          <w:szCs w:val="21"/>
        </w:rPr>
      </w:r>
      <w:r/>
    </w:p>
    <w:p>
      <w:pPr>
        <w:pStyle w:val="1082"/>
        <w:numPr>
          <w:ilvl w:val="1"/>
          <w:numId w:val="21"/>
        </w:numPr>
        <w:spacing w:line="360" w:lineRule="auto"/>
        <w:rPr>
          <w:szCs w:val="21"/>
        </w:rPr>
      </w:pPr>
      <w:r>
        <w:rPr>
          <w:szCs w:val="21"/>
        </w:rPr>
        <w:t xml:space="preserve">暗室和屏蔽室采用合理的通风换气方式，保证不产生不产生冷凝水，暗室顶部通风波。尺寸和数量由投标方需根据自身产品的通风有效面积给出配置。</w:t>
      </w:r>
      <w:r>
        <w:rPr>
          <w:szCs w:val="21"/>
        </w:rPr>
      </w:r>
      <w:r/>
    </w:p>
    <w:p>
      <w:pPr>
        <w:pStyle w:val="1082"/>
        <w:numPr>
          <w:ilvl w:val="1"/>
          <w:numId w:val="21"/>
        </w:numPr>
        <w:spacing w:line="360" w:lineRule="auto"/>
        <w:rPr>
          <w:szCs w:val="21"/>
        </w:rPr>
      </w:pPr>
      <w:r>
        <w:rPr>
          <w:szCs w:val="21"/>
        </w:rPr>
        <w:t xml:space="preserve">通风波导窗设计频率范围为9kHz~40GHz，在设计频率范围内屏蔽效能与屏蔽体一致。</w:t>
      </w:r>
      <w:r>
        <w:rPr>
          <w:szCs w:val="21"/>
        </w:rPr>
      </w:r>
      <w:r/>
    </w:p>
    <w:p>
      <w:pPr>
        <w:pStyle w:val="1082"/>
        <w:numPr>
          <w:ilvl w:val="1"/>
          <w:numId w:val="21"/>
        </w:numPr>
        <w:spacing w:line="360" w:lineRule="auto"/>
        <w:rPr>
          <w:szCs w:val="21"/>
        </w:rPr>
      </w:pPr>
      <w:r>
        <w:rPr>
          <w:szCs w:val="21"/>
        </w:rPr>
        <w:t xml:space="preserve">波导窗数量须满足风速不大于4m/s的情况下，不小于5次/小时的换气次数要求，投标人须提供波导窗配置计算书。</w:t>
      </w:r>
      <w:r>
        <w:rPr>
          <w:szCs w:val="21"/>
        </w:rPr>
      </w:r>
      <w:r/>
    </w:p>
    <w:p>
      <w:pPr>
        <w:pStyle w:val="1082"/>
        <w:numPr>
          <w:ilvl w:val="1"/>
          <w:numId w:val="21"/>
        </w:numPr>
        <w:spacing w:line="360" w:lineRule="auto"/>
        <w:rPr>
          <w:szCs w:val="21"/>
        </w:rPr>
      </w:pPr>
      <w:r>
        <w:rPr>
          <w:szCs w:val="21"/>
        </w:rPr>
        <w:t xml:space="preserve">电波暗室采取下进风上出风的原则设计，空调送风使用架空地板地面栅格送风。</w:t>
      </w:r>
      <w:r>
        <w:rPr>
          <w:szCs w:val="21"/>
        </w:rPr>
      </w:r>
      <w:r/>
    </w:p>
    <w:p>
      <w:pPr>
        <w:pStyle w:val="1082"/>
        <w:numPr>
          <w:ilvl w:val="1"/>
          <w:numId w:val="21"/>
        </w:numPr>
        <w:spacing w:line="360" w:lineRule="auto"/>
        <w:rPr>
          <w:szCs w:val="21"/>
        </w:rPr>
      </w:pPr>
      <w:r>
        <w:rPr>
          <w:szCs w:val="21"/>
        </w:rPr>
        <w:t xml:space="preserve">照明灯上方须安装散热波导窗。</w:t>
      </w:r>
      <w:r>
        <w:rPr>
          <w:szCs w:val="21"/>
        </w:rPr>
      </w:r>
      <w:r/>
    </w:p>
    <w:p>
      <w:pPr>
        <w:pStyle w:val="1082"/>
        <w:numPr>
          <w:ilvl w:val="1"/>
          <w:numId w:val="21"/>
        </w:numPr>
        <w:spacing w:line="360" w:lineRule="auto"/>
        <w:rPr>
          <w:szCs w:val="21"/>
        </w:rPr>
      </w:pPr>
      <w:r>
        <w:rPr>
          <w:szCs w:val="21"/>
        </w:rPr>
        <w:t xml:space="preserve">波导窗应配备法兰盘并向外凸出，必须与空调管道连接。 </w:t>
      </w:r>
      <w:r>
        <w:rPr>
          <w:szCs w:val="21"/>
        </w:rPr>
      </w:r>
      <w:r/>
    </w:p>
    <w:p>
      <w:pPr>
        <w:pStyle w:val="1082"/>
        <w:numPr>
          <w:ilvl w:val="1"/>
          <w:numId w:val="21"/>
        </w:numPr>
        <w:spacing w:line="360" w:lineRule="auto"/>
        <w:rPr>
          <w:szCs w:val="21"/>
        </w:rPr>
      </w:pPr>
      <w:r>
        <w:rPr>
          <w:szCs w:val="21"/>
        </w:rPr>
        <w:t xml:space="preserve">波导窗需采用真空钎焊波导窗，并进行防锈处理。</w:t>
      </w:r>
      <w:r>
        <w:rPr>
          <w:szCs w:val="21"/>
        </w:rPr>
      </w:r>
      <w:r/>
    </w:p>
    <w:p>
      <w:pPr>
        <w:pStyle w:val="1082"/>
        <w:numPr>
          <w:ilvl w:val="1"/>
          <w:numId w:val="21"/>
        </w:numPr>
        <w:spacing w:line="360" w:lineRule="auto"/>
        <w:rPr>
          <w:szCs w:val="21"/>
        </w:rPr>
      </w:pPr>
      <w:r>
        <w:rPr>
          <w:szCs w:val="21"/>
        </w:rPr>
        <w:t xml:space="preserve">屏蔽室采取上进风、上出风的原则。屏蔽控制室须提供新风波导窗，满足新风换风要求。</w:t>
      </w:r>
      <w:r>
        <w:rPr>
          <w:szCs w:val="21"/>
        </w:rPr>
      </w:r>
      <w:r/>
    </w:p>
    <w:p>
      <w:pPr>
        <w:pStyle w:val="1082"/>
        <w:numPr>
          <w:ilvl w:val="1"/>
          <w:numId w:val="21"/>
        </w:numPr>
        <w:spacing w:line="360" w:lineRule="auto"/>
        <w:rPr>
          <w:szCs w:val="21"/>
        </w:rPr>
      </w:pPr>
      <w:r>
        <w:rPr>
          <w:szCs w:val="21"/>
        </w:rPr>
        <w:t xml:space="preserve">屏蔽功放室须提供强排风系统，满足散热要求。</w:t>
      </w:r>
      <w:r>
        <w:rPr>
          <w:szCs w:val="21"/>
        </w:rPr>
      </w:r>
      <w:r/>
    </w:p>
    <w:p>
      <w:pPr>
        <w:pStyle w:val="1094"/>
        <w:ind w:firstLine="420"/>
        <w:spacing w:line="360" w:lineRule="auto"/>
        <w:rPr>
          <w:rFonts w:ascii="Times New Roman"/>
          <w:szCs w:val="21"/>
        </w:rPr>
      </w:pPr>
      <w:r>
        <w:rPr>
          <w:rFonts w:ascii="Times New Roman"/>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11.</w:t>
      </w:r>
      <w:r>
        <w:rPr>
          <w:rFonts w:ascii="Times New Roman" w:hAnsi="Times New Roman"/>
          <w:sz w:val="21"/>
          <w:szCs w:val="21"/>
        </w:rPr>
        <w:t xml:space="preserve">配电及照明</w:t>
      </w:r>
      <w:r>
        <w:rPr>
          <w:rFonts w:ascii="Times New Roman" w:hAnsi="Times New Roman"/>
          <w:sz w:val="21"/>
          <w:szCs w:val="21"/>
        </w:rPr>
      </w:r>
      <w:r/>
    </w:p>
    <w:p>
      <w:pPr>
        <w:pStyle w:val="1082"/>
        <w:numPr>
          <w:ilvl w:val="1"/>
          <w:numId w:val="22"/>
        </w:numPr>
        <w:spacing w:line="360" w:lineRule="auto"/>
        <w:rPr>
          <w:bCs/>
          <w:szCs w:val="21"/>
          <w:lang w:val="en-GB"/>
        </w:rPr>
      </w:pPr>
      <w:r>
        <w:rPr>
          <w:szCs w:val="21"/>
        </w:rPr>
        <w:t xml:space="preserve">投标</w:t>
      </w:r>
      <w:r>
        <w:rPr>
          <w:bCs/>
          <w:szCs w:val="21"/>
          <w:lang w:val="en-GB"/>
        </w:rPr>
        <w:t xml:space="preserve">方负责提供暗室内部全部的配电服务，包括照明单元、</w:t>
      </w:r>
      <w:r>
        <w:rPr>
          <w:color w:val="000000"/>
          <w:szCs w:val="21"/>
        </w:rPr>
        <w:t xml:space="preserve">音视频监控</w:t>
      </w:r>
      <w:r>
        <w:rPr>
          <w:bCs/>
          <w:szCs w:val="21"/>
          <w:lang w:val="en-GB"/>
        </w:rPr>
        <w:t xml:space="preserve">系统、转台、天线塔、暗室内系统仪器设备以及暗室内分布的各类电源插座等</w:t>
      </w:r>
      <w:r>
        <w:rPr>
          <w:color w:val="000000"/>
          <w:szCs w:val="21"/>
        </w:rPr>
        <w:t xml:space="preserve">。</w:t>
      </w:r>
      <w:r>
        <w:rPr>
          <w:bCs/>
          <w:szCs w:val="21"/>
          <w:lang w:val="en-GB"/>
        </w:rPr>
        <w:t xml:space="preserve">还将负责外配电箱与暗室滤波器之间的线路连接。所有供电系统器件满足负载压降小于3%， 频率保持在额定频率的+/-2%， 电压总谐波畸变不大于2%；</w:t>
      </w:r>
      <w:r>
        <w:rPr>
          <w:bCs/>
          <w:szCs w:val="21"/>
          <w:lang w:val="en-GB"/>
        </w:rPr>
      </w:r>
      <w:r/>
    </w:p>
    <w:p>
      <w:pPr>
        <w:pStyle w:val="1082"/>
        <w:numPr>
          <w:ilvl w:val="1"/>
          <w:numId w:val="22"/>
        </w:numPr>
        <w:spacing w:line="360" w:lineRule="auto"/>
        <w:rPr>
          <w:szCs w:val="21"/>
        </w:rPr>
      </w:pPr>
      <w:r>
        <w:rPr>
          <w:szCs w:val="21"/>
        </w:rPr>
        <w:t xml:space="preserve">电波暗室</w:t>
      </w:r>
      <w:r>
        <w:rPr>
          <w:color w:val="000000"/>
          <w:szCs w:val="21"/>
        </w:rPr>
        <w:t xml:space="preserve">配置自动升降LED照明灯，暗室内部亮度均匀，在离地面1.0m高度上照明亮度要求不低于300Lux，且照明灯具不应影响暗室底噪，即点即亮</w:t>
      </w:r>
      <w:r>
        <w:rPr>
          <w:szCs w:val="21"/>
        </w:rPr>
        <w:t xml:space="preserve">。</w:t>
      </w:r>
      <w:r>
        <w:rPr>
          <w:szCs w:val="21"/>
        </w:rPr>
      </w:r>
      <w:r/>
    </w:p>
    <w:p>
      <w:pPr>
        <w:pStyle w:val="1082"/>
        <w:numPr>
          <w:ilvl w:val="1"/>
          <w:numId w:val="22"/>
        </w:numPr>
        <w:spacing w:line="360" w:lineRule="auto"/>
        <w:rPr>
          <w:szCs w:val="21"/>
        </w:rPr>
      </w:pPr>
      <w:r>
        <w:rPr>
          <w:szCs w:val="21"/>
        </w:rPr>
        <w:t xml:space="preserve">在暗室的门上方安装紧急照明灯，用以在断电或者照明手段丧失的情况下指明出口。紧急照明灯应用蓄电池供电且可自动完成充/放电转换。</w:t>
      </w:r>
      <w:r>
        <w:rPr>
          <w:szCs w:val="21"/>
        </w:rPr>
      </w:r>
      <w:r/>
    </w:p>
    <w:p>
      <w:pPr>
        <w:pStyle w:val="1082"/>
        <w:numPr>
          <w:ilvl w:val="1"/>
          <w:numId w:val="22"/>
        </w:numPr>
        <w:spacing w:line="360" w:lineRule="auto"/>
        <w:rPr>
          <w:color w:val="000000"/>
          <w:szCs w:val="21"/>
        </w:rPr>
      </w:pPr>
      <w:r>
        <w:rPr>
          <w:color w:val="000000"/>
          <w:szCs w:val="21"/>
        </w:rPr>
        <w:t xml:space="preserve">电气安装线缆、配电箱安装在暗室内部高架地板下方。配电箱内应包括各种必须的安全措施，如</w:t>
      </w:r>
      <w:bookmarkStart w:id="20" w:name="_Hlk145277169"/>
      <w:r>
        <w:rPr>
          <w:color w:val="000000"/>
          <w:szCs w:val="21"/>
        </w:rPr>
        <w:t xml:space="preserve">故障电流保护装置，</w:t>
      </w:r>
      <w:bookmarkEnd w:id="20"/>
      <w:r>
        <w:rPr>
          <w:color w:val="000000"/>
          <w:szCs w:val="21"/>
        </w:rPr>
        <w:t xml:space="preserve">断路保护开关，过流保护器等。断路保护开关和过流保护器等装置应符合CCC认证要求，其安装必须符合国家规范要求。线缆安装应预留合理长度，禁止使用拼接等方式延长（包括且不限于滤波器两端接线）。</w:t>
      </w:r>
      <w:r>
        <w:rPr>
          <w:color w:val="000000"/>
          <w:szCs w:val="21"/>
        </w:rPr>
      </w:r>
      <w:r/>
    </w:p>
    <w:p>
      <w:pPr>
        <w:pStyle w:val="1082"/>
        <w:numPr>
          <w:ilvl w:val="1"/>
          <w:numId w:val="22"/>
        </w:numPr>
        <w:spacing w:line="360" w:lineRule="auto"/>
        <w:rPr>
          <w:color w:val="000000"/>
          <w:szCs w:val="21"/>
        </w:rPr>
      </w:pPr>
      <w:r>
        <w:rPr>
          <w:color w:val="000000"/>
          <w:szCs w:val="21"/>
        </w:rPr>
        <w:t xml:space="preserve">每个屏蔽室室内都应配置配电箱，断路保护开关和过流保护器等装置应符合CCC认证要求，安装符合国家规范要求。线缆安装应预留合理长度，禁止使用拼接等方式延长。</w:t>
      </w:r>
      <w:r>
        <w:rPr>
          <w:color w:val="000000"/>
          <w:szCs w:val="21"/>
        </w:rPr>
      </w:r>
      <w:r/>
    </w:p>
    <w:p>
      <w:pPr>
        <w:pStyle w:val="1082"/>
        <w:numPr>
          <w:ilvl w:val="1"/>
          <w:numId w:val="22"/>
        </w:numPr>
        <w:spacing w:line="360" w:lineRule="auto"/>
        <w:rPr>
          <w:color w:val="000000"/>
          <w:szCs w:val="21"/>
        </w:rPr>
      </w:pPr>
      <w:r>
        <w:rPr>
          <w:color w:val="000000"/>
          <w:szCs w:val="21"/>
        </w:rPr>
        <w:t xml:space="preserve">屏蔽室内PVC线缆槽，截面尺寸150mm</w:t>
      </w:r>
      <w:bookmarkStart w:id="21" w:name="_Hlk145277573"/>
      <w:r>
        <w:rPr>
          <w:color w:val="000000"/>
          <w:szCs w:val="21"/>
        </w:rPr>
        <w:t xml:space="preserve">×</w:t>
      </w:r>
      <w:bookmarkEnd w:id="21"/>
      <w:r>
        <w:rPr>
          <w:color w:val="000000"/>
          <w:szCs w:val="21"/>
        </w:rPr>
        <w:t xml:space="preserve">100mm, 沿四面墙体安装，高度1.2m。安装于屏蔽墙体上，安装方式应保证屏蔽室整体性能指标。</w:t>
      </w:r>
      <w:r>
        <w:rPr>
          <w:color w:val="000000"/>
          <w:szCs w:val="21"/>
        </w:rPr>
      </w:r>
      <w:r/>
    </w:p>
    <w:p>
      <w:pPr>
        <w:pStyle w:val="1082"/>
        <w:numPr>
          <w:ilvl w:val="1"/>
          <w:numId w:val="22"/>
        </w:numPr>
        <w:spacing w:line="360" w:lineRule="auto"/>
        <w:rPr>
          <w:color w:val="000000"/>
          <w:szCs w:val="21"/>
        </w:rPr>
      </w:pPr>
      <w:r>
        <w:rPr>
          <w:color w:val="000000"/>
          <w:szCs w:val="21"/>
        </w:rPr>
        <w:t xml:space="preserve">屏蔽室内工作区照明亮度不小于300lux，并配有紧急出口照明灯，断电后照明时间大于2小时。</w:t>
      </w:r>
      <w:r>
        <w:rPr>
          <w:color w:val="000000"/>
          <w:szCs w:val="21"/>
        </w:rPr>
      </w:r>
      <w:r/>
    </w:p>
    <w:p>
      <w:pPr>
        <w:pStyle w:val="1082"/>
        <w:numPr>
          <w:ilvl w:val="1"/>
          <w:numId w:val="22"/>
        </w:numPr>
        <w:spacing w:line="360" w:lineRule="auto"/>
        <w:rPr>
          <w:color w:val="000000"/>
          <w:szCs w:val="21"/>
        </w:rPr>
      </w:pPr>
      <w:r>
        <w:rPr>
          <w:color w:val="000000"/>
          <w:szCs w:val="21"/>
        </w:rPr>
        <w:t xml:space="preserve">屏蔽室内线缆布设和电源插座布放将根据使用方要求进行。</w:t>
      </w:r>
      <w:r>
        <w:rPr>
          <w:color w:val="000000"/>
          <w:szCs w:val="21"/>
        </w:rPr>
      </w:r>
      <w:r/>
    </w:p>
    <w:p>
      <w:pPr>
        <w:pStyle w:val="1082"/>
        <w:numPr>
          <w:ilvl w:val="1"/>
          <w:numId w:val="22"/>
        </w:numPr>
        <w:spacing w:line="360" w:lineRule="auto"/>
        <w:rPr>
          <w:szCs w:val="21"/>
        </w:rPr>
      </w:pPr>
      <w:r>
        <w:rPr>
          <w:color w:val="000000"/>
          <w:szCs w:val="21"/>
        </w:rPr>
        <w:t xml:space="preserve">电源进线对屏蔽室金属壁的绝缘电阻及导线与导线之间的绝缘电阻大于2MΩ，暗室/屏蔽室供电系统（在输入电源断开时）对金属壁具有4000V的绝缘耐压能力。</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12.</w:t>
      </w:r>
      <w:r>
        <w:rPr>
          <w:rFonts w:ascii="Times New Roman" w:hAnsi="Times New Roman"/>
          <w:sz w:val="21"/>
          <w:szCs w:val="21"/>
        </w:rPr>
        <w:t xml:space="preserve">暗室和屏蔽室高架地板</w:t>
      </w:r>
      <w:r>
        <w:rPr>
          <w:rFonts w:ascii="Times New Roman" w:hAnsi="Times New Roman"/>
          <w:sz w:val="21"/>
          <w:szCs w:val="21"/>
        </w:rPr>
      </w:r>
      <w:r/>
    </w:p>
    <w:p>
      <w:pPr>
        <w:pStyle w:val="1082"/>
        <w:numPr>
          <w:ilvl w:val="1"/>
          <w:numId w:val="23"/>
        </w:numPr>
        <w:spacing w:line="360" w:lineRule="auto"/>
        <w:rPr>
          <w:color w:val="000000"/>
          <w:szCs w:val="21"/>
        </w:rPr>
      </w:pPr>
      <w:r>
        <w:rPr>
          <w:color w:val="000000"/>
          <w:szCs w:val="21"/>
        </w:rPr>
        <w:t xml:space="preserve">对于暗室高架地板，投标人须合理设计承重区承载结构，高架地板高度不小于800mm，承重能力不低于5t/m</w:t>
      </w:r>
      <w:r>
        <w:rPr>
          <w:color w:val="000000"/>
          <w:szCs w:val="21"/>
          <w:vertAlign w:val="superscript"/>
        </w:rPr>
        <w:t xml:space="preserve">2</w:t>
      </w:r>
      <w:r>
        <w:rPr>
          <w:color w:val="000000"/>
          <w:szCs w:val="21"/>
        </w:rPr>
        <w:t xml:space="preserve">，且满足被测物运输的要求，能够保证搬运设备（含受试设备）行驶或放置时，不造成承载面的变形和损害；地板不产生任何变形、凹陷等现象。</w:t>
      </w:r>
      <w:r>
        <w:rPr>
          <w:color w:val="000000"/>
          <w:szCs w:val="21"/>
        </w:rPr>
      </w:r>
      <w:r/>
    </w:p>
    <w:p>
      <w:pPr>
        <w:pStyle w:val="1082"/>
        <w:numPr>
          <w:ilvl w:val="1"/>
          <w:numId w:val="23"/>
        </w:numPr>
        <w:spacing w:line="360" w:lineRule="auto"/>
        <w:rPr>
          <w:color w:val="000000"/>
          <w:szCs w:val="21"/>
        </w:rPr>
      </w:pPr>
      <w:r>
        <w:rPr>
          <w:color w:val="000000"/>
          <w:szCs w:val="21"/>
        </w:rPr>
        <w:t xml:space="preserve">暗室反射地面完成面采用厚度不小于3mm不锈钢板钢，钢板铺设必须平整紧密，钢板间隙必须小于0.2mm。反射面材质须采用耐磨耐腐蚀材质。反射面一下铺设有不小于1mm钢板，提供详细结构说明。</w:t>
      </w:r>
      <w:r>
        <w:rPr>
          <w:color w:val="000000"/>
          <w:szCs w:val="21"/>
        </w:rPr>
      </w:r>
      <w:r/>
    </w:p>
    <w:p>
      <w:pPr>
        <w:pStyle w:val="1082"/>
        <w:numPr>
          <w:ilvl w:val="1"/>
          <w:numId w:val="23"/>
        </w:numPr>
        <w:spacing w:line="360" w:lineRule="auto"/>
        <w:rPr>
          <w:color w:val="000000"/>
          <w:szCs w:val="21"/>
        </w:rPr>
      </w:pPr>
      <w:r>
        <w:rPr>
          <w:color w:val="000000"/>
          <w:szCs w:val="21"/>
        </w:rPr>
        <w:t xml:space="preserve">为保证防锈能力，暗室地面支撑结构和钢框架结构均经深度除锈，并喷涂防锈漆。</w:t>
      </w:r>
      <w:r>
        <w:rPr>
          <w:color w:val="000000"/>
          <w:szCs w:val="21"/>
        </w:rPr>
      </w:r>
      <w:r/>
    </w:p>
    <w:p>
      <w:pPr>
        <w:pStyle w:val="1082"/>
        <w:numPr>
          <w:ilvl w:val="1"/>
          <w:numId w:val="23"/>
        </w:numPr>
        <w:spacing w:line="360" w:lineRule="auto"/>
        <w:rPr>
          <w:color w:val="000000"/>
          <w:szCs w:val="21"/>
        </w:rPr>
      </w:pPr>
      <w:r>
        <w:rPr>
          <w:color w:val="000000"/>
          <w:szCs w:val="21"/>
        </w:rPr>
        <w:t xml:space="preserve">暗室高架地板高度应根据转台高度确定，转台应与暗室反射面齐平；高架地板及反射地面必须保证平整，各部分高度差不超过1mm；反射地面各钢板之间应有良好电接触，且应与屏蔽墙体及转台间有良好电接触，安装后各钢板以及钢板与屏蔽墙体和转台接触处的接地电阻不大于1Ω。</w:t>
      </w:r>
      <w:r>
        <w:rPr>
          <w:color w:val="000000"/>
          <w:szCs w:val="21"/>
        </w:rPr>
      </w:r>
      <w:r/>
    </w:p>
    <w:p>
      <w:pPr>
        <w:pStyle w:val="1082"/>
        <w:numPr>
          <w:ilvl w:val="1"/>
          <w:numId w:val="23"/>
        </w:numPr>
        <w:spacing w:line="360" w:lineRule="auto"/>
        <w:rPr>
          <w:color w:val="000000"/>
          <w:szCs w:val="21"/>
        </w:rPr>
      </w:pPr>
      <w:r>
        <w:rPr>
          <w:color w:val="000000"/>
          <w:szCs w:val="21"/>
        </w:rPr>
        <w:t xml:space="preserve">屏蔽控制室、屏蔽功放室、屏蔽负载室采用防静电地板，屏蔽室采用厚度不小于2mm不锈钢架空地板,要求达到一定的美观度且稳固牢靠.地板承重不小于1000kg/m</w:t>
      </w:r>
      <w:r>
        <w:rPr>
          <w:color w:val="000000"/>
          <w:szCs w:val="21"/>
          <w:vertAlign w:val="superscript"/>
        </w:rPr>
        <w:t xml:space="preserve">2</w:t>
      </w:r>
      <w:r>
        <w:rPr>
          <w:color w:val="000000"/>
          <w:szCs w:val="21"/>
        </w:rPr>
        <w:t xml:space="preserve">。</w:t>
      </w:r>
      <w:r>
        <w:rPr>
          <w:color w:val="000000"/>
          <w:szCs w:val="21"/>
        </w:rPr>
      </w:r>
      <w:r/>
    </w:p>
    <w:p>
      <w:pPr>
        <w:pStyle w:val="1082"/>
        <w:numPr>
          <w:ilvl w:val="1"/>
          <w:numId w:val="23"/>
        </w:numPr>
        <w:spacing w:line="360" w:lineRule="auto"/>
        <w:rPr>
          <w:color w:val="000000"/>
          <w:szCs w:val="21"/>
        </w:rPr>
      </w:pPr>
      <w:r>
        <w:rPr>
          <w:szCs w:val="21"/>
        </w:rPr>
        <w:t xml:space="preserve">所有高架地板必须保证足够的支撑和稳定性，不应在人员走动或样品运输时引起震动。</w:t>
      </w:r>
      <w:r>
        <w:rPr>
          <w:color w:val="000000"/>
          <w:szCs w:val="21"/>
        </w:rPr>
      </w:r>
      <w:r/>
    </w:p>
    <w:p>
      <w:pPr>
        <w:pStyle w:val="1082"/>
        <w:numPr>
          <w:ilvl w:val="1"/>
          <w:numId w:val="23"/>
        </w:numPr>
        <w:spacing w:line="360" w:lineRule="auto"/>
        <w:rPr>
          <w:szCs w:val="21"/>
        </w:rPr>
      </w:pPr>
      <w:r>
        <w:rPr>
          <w:szCs w:val="21"/>
        </w:rPr>
        <w:t xml:space="preserve">暗室地面与屏蔽室地面高度差不超过15cm。</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13.</w:t>
      </w:r>
      <w:r>
        <w:rPr>
          <w:rFonts w:ascii="Times New Roman" w:hAnsi="Times New Roman"/>
          <w:sz w:val="21"/>
          <w:szCs w:val="21"/>
        </w:rPr>
        <w:t xml:space="preserve">防火报警系统</w:t>
      </w:r>
      <w:r>
        <w:rPr>
          <w:rFonts w:ascii="Times New Roman" w:hAnsi="Times New Roman"/>
          <w:sz w:val="21"/>
          <w:szCs w:val="21"/>
        </w:rPr>
      </w:r>
      <w:r/>
    </w:p>
    <w:p>
      <w:pPr>
        <w:pStyle w:val="1082"/>
        <w:ind w:left="425"/>
        <w:spacing w:line="360" w:lineRule="auto"/>
        <w:rPr>
          <w:color w:val="000000"/>
          <w:szCs w:val="21"/>
        </w:rPr>
      </w:pPr>
      <w:r>
        <w:rPr>
          <w:color w:val="000000"/>
          <w:szCs w:val="21"/>
        </w:rPr>
        <w:t xml:space="preserve">13.1 电波暗室内应安装空气采样烟雾报警系统，并应支持报警系统接入建筑消防系统。</w:t>
      </w:r>
      <w:bookmarkStart w:id="22" w:name="_Hlk145277385"/>
      <w:r>
        <w:rPr>
          <w:color w:val="000000"/>
          <w:szCs w:val="21"/>
        </w:rPr>
        <w:t xml:space="preserve">烟雾粒子电子分析模块必须在暗室外部，不接受烟感分析电路在暗室内部并加装滤波器的方案。</w:t>
      </w:r>
      <w:bookmarkEnd w:id="22"/>
      <w:r>
        <w:rPr>
          <w:color w:val="000000"/>
          <w:szCs w:val="21"/>
        </w:rPr>
      </w:r>
      <w:r/>
    </w:p>
    <w:p>
      <w:pPr>
        <w:pStyle w:val="1082"/>
        <w:ind w:left="425"/>
        <w:spacing w:line="360" w:lineRule="auto"/>
        <w:rPr>
          <w:color w:val="000000"/>
          <w:szCs w:val="21"/>
        </w:rPr>
      </w:pPr>
      <w:r>
        <w:rPr>
          <w:color w:val="000000"/>
          <w:szCs w:val="21"/>
        </w:rPr>
        <w:t xml:space="preserve">13.2 屏蔽室内应安装空气采用报警系统，并应支持报警系统接入建筑消防系统。</w:t>
      </w:r>
      <w:r>
        <w:rPr>
          <w:color w:val="000000"/>
          <w:szCs w:val="21"/>
        </w:rPr>
      </w:r>
      <w:r/>
    </w:p>
    <w:p>
      <w:pPr>
        <w:pStyle w:val="1082"/>
        <w:ind w:left="425"/>
        <w:spacing w:line="360" w:lineRule="auto"/>
        <w:rPr>
          <w:color w:val="000000"/>
          <w:szCs w:val="21"/>
        </w:rPr>
      </w:pPr>
      <w:r>
        <w:rPr>
          <w:color w:val="000000"/>
          <w:szCs w:val="21"/>
        </w:rPr>
        <w:t xml:space="preserve">13.3 报警系统不能产生电子噪声，并应可承受200V/m连续场强和600V/m 瞬态场强，在以上场强作用期间及作用后均能正常工作。</w:t>
      </w:r>
      <w:r>
        <w:rPr>
          <w:color w:val="000000"/>
          <w:szCs w:val="21"/>
        </w:rPr>
      </w:r>
      <w:r/>
    </w:p>
    <w:p>
      <w:pPr>
        <w:pStyle w:val="1082"/>
        <w:ind w:left="425"/>
        <w:spacing w:line="360" w:lineRule="auto"/>
        <w:rPr>
          <w:color w:val="000000"/>
          <w:szCs w:val="21"/>
        </w:rPr>
      </w:pPr>
      <w:r>
        <w:rPr>
          <w:color w:val="000000"/>
          <w:szCs w:val="21"/>
        </w:rPr>
        <w:t xml:space="preserve">13.4 防火报警系统的控制面板应提供报警信号的输出信号端口。</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14.</w:t>
      </w:r>
      <w:r>
        <w:rPr>
          <w:rFonts w:ascii="Times New Roman" w:hAnsi="Times New Roman"/>
          <w:sz w:val="21"/>
          <w:szCs w:val="21"/>
        </w:rPr>
        <w:t xml:space="preserve">线缆和线缆通道</w:t>
      </w:r>
      <w:r>
        <w:rPr>
          <w:rFonts w:ascii="Times New Roman" w:hAnsi="Times New Roman"/>
          <w:sz w:val="21"/>
          <w:szCs w:val="21"/>
        </w:rPr>
      </w:r>
      <w:r/>
    </w:p>
    <w:p>
      <w:pPr>
        <w:pStyle w:val="1082"/>
        <w:numPr>
          <w:ilvl w:val="1"/>
          <w:numId w:val="24"/>
        </w:numPr>
        <w:spacing w:line="360" w:lineRule="auto"/>
        <w:rPr>
          <w:color w:val="000000"/>
          <w:szCs w:val="21"/>
        </w:rPr>
      </w:pPr>
      <w:r>
        <w:rPr>
          <w:color w:val="000000"/>
          <w:szCs w:val="21"/>
        </w:rPr>
        <w:t xml:space="preserve">供电系统和测试系统线缆通道安装在半电波暗室内高架地板下方，强电线缆通道采用金属线槽，测试系统线缆采用PVC材料线槽线管，</w:t>
      </w:r>
      <w:bookmarkStart w:id="23" w:name="_Hlk145277106"/>
      <w:r>
        <w:rPr>
          <w:color w:val="000000"/>
          <w:szCs w:val="21"/>
        </w:rPr>
        <w:t xml:space="preserve">强弱电需隔离，各路高低压非屏蔽线需单独走线。</w:t>
      </w:r>
      <w:bookmarkEnd w:id="23"/>
      <w:r>
        <w:rPr>
          <w:color w:val="000000"/>
          <w:szCs w:val="21"/>
        </w:rPr>
      </w:r>
      <w:r/>
    </w:p>
    <w:p>
      <w:pPr>
        <w:pStyle w:val="1082"/>
        <w:numPr>
          <w:ilvl w:val="1"/>
          <w:numId w:val="24"/>
        </w:numPr>
        <w:spacing w:line="360" w:lineRule="auto"/>
        <w:rPr>
          <w:szCs w:val="21"/>
        </w:rPr>
      </w:pPr>
      <w:r>
        <w:rPr>
          <w:color w:val="000000"/>
          <w:szCs w:val="21"/>
        </w:rPr>
        <w:t xml:space="preserve">线缆通道铺设及安装应提供足够的升级空间，金属线槽宽度不小于200mm, PVC线管不小于直径100mm，预留引线绳，另需配置穿线器。</w:t>
      </w:r>
      <w:r>
        <w:rPr>
          <w:szCs w:val="21"/>
        </w:rPr>
      </w:r>
      <w:r/>
    </w:p>
    <w:p>
      <w:pPr>
        <w:pStyle w:val="1094"/>
        <w:ind w:firstLine="420"/>
        <w:spacing w:line="360" w:lineRule="auto"/>
        <w:rPr>
          <w:rFonts w:ascii="Times New Roman"/>
          <w:szCs w:val="21"/>
        </w:rPr>
      </w:pPr>
      <w:r>
        <w:rPr>
          <w:rFonts w:ascii="Times New Roman"/>
          <w:szCs w:val="21"/>
        </w:rPr>
      </w:r>
      <w:r/>
    </w:p>
    <w:p>
      <w:pPr>
        <w:pStyle w:val="1083"/>
        <w:numPr>
          <w:ilvl w:val="0"/>
          <w:numId w:val="0"/>
        </w:numPr>
        <w:jc w:val="both"/>
        <w:spacing w:before="120" w:after="120" w:line="360" w:lineRule="auto"/>
        <w:rPr>
          <w:sz w:val="21"/>
          <w:szCs w:val="21"/>
        </w:rPr>
      </w:pPr>
      <w:r/>
      <w:bookmarkStart w:id="24" w:name="_Toc45132169"/>
      <w:r/>
      <w:bookmarkStart w:id="25" w:name="_Toc97122386"/>
      <w:r>
        <w:rPr>
          <w:sz w:val="21"/>
          <w:szCs w:val="21"/>
          <w:lang w:val="en-US" w:eastAsia="zh-CN"/>
        </w:rPr>
        <w:t xml:space="preserve">四．</w:t>
      </w:r>
      <w:r>
        <w:rPr>
          <w:sz w:val="21"/>
          <w:szCs w:val="21"/>
        </w:rPr>
        <w:t xml:space="preserve">配套工程</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外部配电</w:t>
      </w:r>
      <w:r>
        <w:rPr>
          <w:rFonts w:ascii="Times New Roman" w:hAnsi="Times New Roman"/>
          <w:sz w:val="21"/>
          <w:szCs w:val="21"/>
        </w:rPr>
      </w:r>
      <w:r/>
    </w:p>
    <w:p>
      <w:pPr>
        <w:pStyle w:val="1082"/>
        <w:numPr>
          <w:ilvl w:val="1"/>
          <w:numId w:val="25"/>
        </w:numPr>
        <w:spacing w:line="360" w:lineRule="auto"/>
        <w:rPr>
          <w:color w:val="000000"/>
          <w:szCs w:val="21"/>
        </w:rPr>
      </w:pPr>
      <w:r>
        <w:rPr>
          <w:color w:val="000000"/>
          <w:szCs w:val="21"/>
        </w:rPr>
        <w:t xml:space="preserve">投标人应根据本期项目场地实际情况，负责从项目总配电柜到</w:t>
      </w:r>
      <w:r>
        <w:rPr>
          <w:szCs w:val="21"/>
        </w:rPr>
        <w:t xml:space="preserve">电源设备</w:t>
      </w:r>
      <w:r>
        <w:rPr>
          <w:color w:val="000000"/>
          <w:szCs w:val="21"/>
        </w:rPr>
        <w:t xml:space="preserve">、电波暗室以及开放试验区的配电满足招标人要求，投标人须提供详细的施工方案。</w:t>
      </w:r>
      <w:r>
        <w:rPr>
          <w:color w:val="000000"/>
          <w:szCs w:val="21"/>
        </w:rPr>
      </w:r>
      <w:r/>
    </w:p>
    <w:p>
      <w:pPr>
        <w:pStyle w:val="1082"/>
        <w:numPr>
          <w:ilvl w:val="1"/>
          <w:numId w:val="25"/>
        </w:numPr>
        <w:spacing w:line="360" w:lineRule="auto"/>
        <w:rPr>
          <w:color w:val="000000"/>
          <w:szCs w:val="21"/>
        </w:rPr>
      </w:pPr>
      <w:r>
        <w:rPr>
          <w:color w:val="000000"/>
          <w:szCs w:val="21"/>
        </w:rPr>
        <w:t xml:space="preserve">电源设备和电波暗室（以及开放试验区）之间的电气线路应满足双向切换功能，以满足不同类型样品的测试需求，具体以招标人确认的设计方案为准。</w:t>
      </w:r>
      <w:r>
        <w:rPr>
          <w:color w:val="000000"/>
          <w:szCs w:val="21"/>
        </w:rPr>
      </w:r>
      <w:r/>
    </w:p>
    <w:p>
      <w:pPr>
        <w:pStyle w:val="1082"/>
        <w:numPr>
          <w:ilvl w:val="1"/>
          <w:numId w:val="25"/>
        </w:numPr>
        <w:spacing w:line="360" w:lineRule="auto"/>
        <w:rPr>
          <w:color w:val="000000"/>
          <w:szCs w:val="21"/>
        </w:rPr>
      </w:pPr>
      <w:r>
        <w:rPr>
          <w:color w:val="000000"/>
          <w:szCs w:val="21"/>
        </w:rPr>
        <w:t xml:space="preserve">投标人负责从配电柜（电源设备）到暗室内部全部的配电服务，除必备的电源插座外，还预留了足够的电源插座用于今后扩展使用。</w:t>
      </w:r>
      <w:r>
        <w:rPr>
          <w:color w:val="000000"/>
          <w:szCs w:val="21"/>
        </w:rPr>
      </w:r>
      <w:r/>
    </w:p>
    <w:p>
      <w:pPr>
        <w:pStyle w:val="1082"/>
        <w:numPr>
          <w:ilvl w:val="1"/>
          <w:numId w:val="25"/>
        </w:numPr>
        <w:spacing w:line="360" w:lineRule="auto"/>
        <w:rPr>
          <w:color w:val="000000"/>
          <w:szCs w:val="21"/>
        </w:rPr>
      </w:pPr>
      <w:r>
        <w:rPr>
          <w:color w:val="000000"/>
          <w:szCs w:val="21"/>
        </w:rPr>
        <w:t xml:space="preserve">投标人应根据实际情况配备独立配电箱，满足招标人使用与测试要求，配电箱内电气设备满足CCC认证要求，安装符合国家规范要求，安装有配套的电源插座和线缆。提供设计现场设计图纸。</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地坑整改及平整度处理</w:t>
      </w:r>
      <w:r>
        <w:rPr>
          <w:rFonts w:ascii="Times New Roman" w:hAnsi="Times New Roman"/>
          <w:sz w:val="21"/>
          <w:szCs w:val="21"/>
        </w:rPr>
      </w:r>
      <w:r/>
    </w:p>
    <w:p>
      <w:pPr>
        <w:pStyle w:val="1082"/>
        <w:numPr>
          <w:ilvl w:val="1"/>
          <w:numId w:val="26"/>
        </w:numPr>
        <w:spacing w:line="360" w:lineRule="auto"/>
        <w:rPr>
          <w:color w:val="000000"/>
          <w:szCs w:val="21"/>
        </w:rPr>
      </w:pPr>
      <w:r>
        <w:rPr>
          <w:color w:val="000000"/>
          <w:szCs w:val="21"/>
        </w:rPr>
        <w:t xml:space="preserve">投标人应根据建筑结构设计现状，参考自身暗室及屏蔽室设计要求，对现有预留地坑进行整改，并自行负责地坑内平整度处理。</w:t>
      </w:r>
      <w:r>
        <w:rPr>
          <w:color w:val="000000"/>
          <w:szCs w:val="21"/>
        </w:rPr>
      </w:r>
      <w:r/>
    </w:p>
    <w:p>
      <w:pPr>
        <w:pStyle w:val="1082"/>
        <w:numPr>
          <w:ilvl w:val="1"/>
          <w:numId w:val="26"/>
        </w:numPr>
        <w:spacing w:line="360" w:lineRule="auto"/>
        <w:rPr>
          <w:color w:val="000000"/>
          <w:szCs w:val="21"/>
        </w:rPr>
      </w:pPr>
      <w:r>
        <w:rPr>
          <w:color w:val="000000"/>
          <w:szCs w:val="21"/>
        </w:rPr>
        <w:t xml:space="preserve">投标人需根据建筑结构和暗室结构完成暗室大门自动升降门槛处的地面过渡斜坡。</w:t>
      </w:r>
      <w:r>
        <w:rPr>
          <w:color w:val="000000"/>
          <w:szCs w:val="21"/>
        </w:rPr>
      </w:r>
      <w:r/>
    </w:p>
    <w:p>
      <w:pPr>
        <w:pStyle w:val="1082"/>
        <w:numPr>
          <w:ilvl w:val="1"/>
          <w:numId w:val="26"/>
        </w:numPr>
        <w:spacing w:line="360" w:lineRule="auto"/>
        <w:rPr>
          <w:color w:val="000000"/>
          <w:szCs w:val="21"/>
        </w:rPr>
      </w:pPr>
      <w:r>
        <w:rPr>
          <w:color w:val="000000"/>
          <w:szCs w:val="21"/>
        </w:rPr>
        <w:t xml:space="preserve">投标人需根据建筑结构和暗室及屏蔽室结构，完成参观通道，并采取合理措施填补与其他墙面之间缝隙，进行美化和防水处理。</w:t>
      </w:r>
      <w:r>
        <w:rPr>
          <w:color w:val="000000"/>
          <w:szCs w:val="21"/>
        </w:rPr>
      </w:r>
      <w:r/>
    </w:p>
    <w:p>
      <w:pPr>
        <w:pStyle w:val="1082"/>
        <w:numPr>
          <w:ilvl w:val="1"/>
          <w:numId w:val="26"/>
        </w:numPr>
        <w:spacing w:line="360" w:lineRule="auto"/>
        <w:rPr>
          <w:color w:val="000000"/>
          <w:szCs w:val="21"/>
        </w:rPr>
      </w:pPr>
      <w:r>
        <w:rPr>
          <w:color w:val="000000"/>
          <w:szCs w:val="21"/>
        </w:rPr>
        <w:t xml:space="preserve">投标人须据建筑结构和暗室及屏蔽室结构，完成屏蔽室、参观通道以及电源设备间附近区域的地面抬升工程，使屏蔽室内外地面高度差不超过15cm，并设计合理的坡道，满足设备运输要求。</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配套连接工程</w:t>
      </w:r>
      <w:r>
        <w:rPr>
          <w:rFonts w:ascii="Times New Roman" w:hAnsi="Times New Roman"/>
          <w:sz w:val="21"/>
          <w:szCs w:val="21"/>
        </w:rPr>
      </w:r>
      <w:r/>
    </w:p>
    <w:p>
      <w:pPr>
        <w:pStyle w:val="1082"/>
        <w:numPr>
          <w:ilvl w:val="1"/>
          <w:numId w:val="27"/>
        </w:numPr>
        <w:spacing w:line="360" w:lineRule="auto"/>
        <w:rPr>
          <w:color w:val="000000"/>
          <w:szCs w:val="21"/>
        </w:rPr>
      </w:pPr>
      <w:r>
        <w:rPr>
          <w:color w:val="000000"/>
          <w:szCs w:val="21"/>
        </w:rPr>
        <w:t xml:space="preserve">投标人负责电源设备安装，并完成自建筑预留电箱、电源设备、滤波器之间的线缆敷设及连接工作。</w:t>
      </w:r>
      <w:r>
        <w:rPr>
          <w:color w:val="000000"/>
          <w:szCs w:val="21"/>
        </w:rPr>
      </w:r>
      <w:r/>
    </w:p>
    <w:p>
      <w:pPr>
        <w:pStyle w:val="1082"/>
        <w:numPr>
          <w:ilvl w:val="1"/>
          <w:numId w:val="27"/>
        </w:numPr>
        <w:spacing w:line="360" w:lineRule="auto"/>
        <w:rPr>
          <w:szCs w:val="21"/>
        </w:rPr>
      </w:pPr>
      <w:r>
        <w:rPr>
          <w:color w:val="000000"/>
          <w:szCs w:val="21"/>
        </w:rPr>
        <w:t xml:space="preserve">投标人须负</w:t>
      </w:r>
      <w:r>
        <w:rPr>
          <w:szCs w:val="21"/>
        </w:rPr>
        <w:t xml:space="preserve">责自建筑预留弱电（网络、电话等）位置连接至电波暗室或屏蔽室滤波器。</w:t>
      </w:r>
      <w:r>
        <w:rPr>
          <w:szCs w:val="21"/>
        </w:rPr>
      </w:r>
      <w:r/>
    </w:p>
    <w:p>
      <w:pPr>
        <w:pStyle w:val="1082"/>
        <w:numPr>
          <w:ilvl w:val="1"/>
          <w:numId w:val="27"/>
        </w:numPr>
        <w:spacing w:line="360" w:lineRule="auto"/>
        <w:rPr>
          <w:szCs w:val="21"/>
        </w:rPr>
      </w:pPr>
      <w:r>
        <w:rPr>
          <w:szCs w:val="21"/>
        </w:rPr>
        <w:t xml:space="preserve">投标人须完成开放测试区域的强弱电连接工程。</w:t>
      </w:r>
      <w:r>
        <w:rPr>
          <w:szCs w:val="21"/>
        </w:rPr>
      </w:r>
      <w:r/>
    </w:p>
    <w:p>
      <w:pPr>
        <w:pStyle w:val="1082"/>
        <w:numPr>
          <w:ilvl w:val="1"/>
          <w:numId w:val="27"/>
        </w:numPr>
        <w:spacing w:line="360" w:lineRule="auto"/>
        <w:rPr>
          <w:szCs w:val="21"/>
        </w:rPr>
      </w:pPr>
      <w:r/>
      <w:bookmarkStart w:id="26" w:name="_Hlk145277716"/>
      <w:r>
        <w:rPr>
          <w:szCs w:val="21"/>
        </w:rPr>
        <w:t xml:space="preserve">本项目建筑预留给水、排水管路（管路要通畅，不会出现排水反流或积水现象），投标人负责完成实验室用水点与建筑预留位置之间的连接工作。</w:t>
      </w:r>
      <w:bookmarkEnd w:id="26"/>
      <w:r>
        <w:rPr>
          <w:szCs w:val="21"/>
        </w:rPr>
      </w:r>
      <w:r/>
    </w:p>
    <w:p>
      <w:pPr>
        <w:pStyle w:val="1082"/>
        <w:numPr>
          <w:ilvl w:val="1"/>
          <w:numId w:val="27"/>
        </w:numPr>
        <w:spacing w:line="360" w:lineRule="auto"/>
        <w:rPr>
          <w:szCs w:val="21"/>
        </w:rPr>
      </w:pPr>
      <w:r>
        <w:rPr>
          <w:szCs w:val="21"/>
        </w:rPr>
        <w:t xml:space="preserve">投标人须提供高静音无油空气压缩机，并完成与实验室用气点之间的连接工程。</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配套空调系统</w:t>
      </w:r>
      <w:r>
        <w:rPr>
          <w:rFonts w:ascii="Times New Roman" w:hAnsi="Times New Roman"/>
          <w:sz w:val="21"/>
          <w:szCs w:val="21"/>
        </w:rPr>
      </w:r>
      <w:r/>
    </w:p>
    <w:p>
      <w:pPr>
        <w:pStyle w:val="1082"/>
        <w:numPr>
          <w:ilvl w:val="1"/>
          <w:numId w:val="28"/>
        </w:numPr>
        <w:spacing w:line="360" w:lineRule="auto"/>
        <w:rPr>
          <w:color w:val="000000"/>
          <w:szCs w:val="21"/>
        </w:rPr>
      </w:pPr>
      <w:r/>
      <w:bookmarkStart w:id="27" w:name="_Hlk228291860"/>
      <w:r>
        <w:rPr>
          <w:color w:val="000000"/>
          <w:szCs w:val="21"/>
        </w:rPr>
        <w:t xml:space="preserve">投标人应根据建筑及EMC测试设备/系统布置情况，统一设计安装电波暗室、屏蔽控制室、屏蔽功放室、屏蔽室的冷暖空调系统。</w:t>
      </w:r>
      <w:r>
        <w:rPr>
          <w:color w:val="000000"/>
          <w:szCs w:val="21"/>
        </w:rPr>
      </w:r>
      <w:r/>
    </w:p>
    <w:p>
      <w:pPr>
        <w:pStyle w:val="1082"/>
        <w:numPr>
          <w:ilvl w:val="1"/>
          <w:numId w:val="28"/>
        </w:numPr>
        <w:spacing w:line="360" w:lineRule="auto"/>
        <w:rPr>
          <w:color w:val="000000"/>
          <w:szCs w:val="21"/>
        </w:rPr>
      </w:pPr>
      <w:r>
        <w:rPr>
          <w:color w:val="000000"/>
          <w:szCs w:val="21"/>
        </w:rPr>
        <w:t xml:space="preserve">空调系统室外机应采用多联机机组，室内机采用变频空调系统，空调系统采用风冷制冷体系。各房间及区域的空调系统应具备独立控制功能，空调系统控制部件应安装在各屏蔽室人行门的附近。</w:t>
      </w:r>
      <w:r>
        <w:rPr>
          <w:color w:val="000000"/>
          <w:szCs w:val="21"/>
        </w:rPr>
      </w:r>
      <w:r/>
    </w:p>
    <w:p>
      <w:pPr>
        <w:pStyle w:val="1082"/>
        <w:numPr>
          <w:ilvl w:val="1"/>
          <w:numId w:val="28"/>
        </w:numPr>
        <w:spacing w:line="360" w:lineRule="auto"/>
        <w:rPr>
          <w:color w:val="000000"/>
          <w:szCs w:val="21"/>
        </w:rPr>
      </w:pPr>
      <w:r>
        <w:rPr>
          <w:color w:val="000000"/>
          <w:szCs w:val="21"/>
        </w:rPr>
        <w:t xml:space="preserve">实验室空调风管推荐采用彩钢酚醛树脂风管，并通过软连接与所有半电波暗室和屏蔽室的通风波导窗之间进行连接。</w:t>
      </w:r>
      <w:r>
        <w:rPr>
          <w:color w:val="000000"/>
          <w:szCs w:val="21"/>
        </w:rPr>
      </w:r>
      <w:r/>
    </w:p>
    <w:p>
      <w:pPr>
        <w:pStyle w:val="1082"/>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1082"/>
        <w:numPr>
          <w:ilvl w:val="1"/>
          <w:numId w:val="28"/>
        </w:numPr>
        <w:spacing w:line="360" w:lineRule="auto"/>
        <w:rPr>
          <w:color w:val="000000"/>
          <w:szCs w:val="21"/>
        </w:rPr>
      </w:pPr>
      <w:r>
        <w:rPr>
          <w:color w:val="000000"/>
          <w:szCs w:val="21"/>
        </w:rPr>
        <w:t xml:space="preserve">配套功放室内空调须具备冬季制冷功能，室外机组不应与半电波暗室共用，功放室应有强排风措施。</w:t>
      </w:r>
      <w:r>
        <w:rPr>
          <w:color w:val="000000"/>
          <w:szCs w:val="21"/>
        </w:rPr>
      </w:r>
      <w:r/>
    </w:p>
    <w:p>
      <w:pPr>
        <w:pStyle w:val="1082"/>
        <w:numPr>
          <w:ilvl w:val="1"/>
          <w:numId w:val="28"/>
        </w:numPr>
        <w:spacing w:line="360" w:lineRule="auto"/>
        <w:rPr>
          <w:color w:val="000000"/>
          <w:szCs w:val="21"/>
        </w:rPr>
      </w:pPr>
      <w:r>
        <w:rPr>
          <w:color w:val="000000"/>
          <w:szCs w:val="21"/>
        </w:rPr>
        <w:t xml:space="preserve">配套控制室提供比例新风，新风来源自建筑室内空气。</w:t>
      </w:r>
      <w:r>
        <w:rPr>
          <w:color w:val="000000"/>
          <w:szCs w:val="21"/>
        </w:rPr>
      </w:r>
      <w:r/>
    </w:p>
    <w:p>
      <w:pPr>
        <w:pStyle w:val="1082"/>
        <w:numPr>
          <w:ilvl w:val="1"/>
          <w:numId w:val="28"/>
        </w:numPr>
        <w:spacing w:line="360" w:lineRule="auto"/>
        <w:rPr>
          <w:color w:val="000000"/>
          <w:szCs w:val="21"/>
        </w:rPr>
      </w:pPr>
      <w:r>
        <w:rPr>
          <w:color w:val="000000"/>
          <w:szCs w:val="21"/>
        </w:rPr>
        <w:t xml:space="preserve">实验室内的温湿度控制范围要求如下：</w:t>
      </w:r>
      <w:r>
        <w:rPr>
          <w:color w:val="000000"/>
          <w:szCs w:val="21"/>
        </w:rPr>
      </w:r>
      <w:r/>
    </w:p>
    <w:tbl>
      <w:tblPr>
        <w:tblW w:w="45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6"/>
        <w:gridCol w:w="1959"/>
        <w:gridCol w:w="1958"/>
      </w:tblGrid>
      <w:tr>
        <w:trPr/>
        <w:tc>
          <w:tcPr>
            <w:tcW w:w="2675" w:type="dxa"/>
            <w:vAlign w:val="center"/>
            <w:vMerge w:val="restart"/>
            <w:textDirection w:val="lrTb"/>
            <w:noWrap w:val="false"/>
          </w:tcPr>
          <w:p>
            <w:pPr>
              <w:pStyle w:val="1082"/>
              <w:spacing w:line="360" w:lineRule="auto"/>
              <w:rPr>
                <w:szCs w:val="21"/>
              </w:rPr>
            </w:pPr>
            <w:r>
              <w:rPr>
                <w:szCs w:val="21"/>
              </w:rPr>
              <w:t xml:space="preserve">                       级 别</w:t>
            </w:r>
            <w:r>
              <w:rPr>
                <w:szCs w:val="21"/>
              </w:rPr>
            </w:r>
            <w:r/>
          </w:p>
          <w:p>
            <w:pPr>
              <w:pStyle w:val="1082"/>
              <w:spacing w:line="360" w:lineRule="auto"/>
              <w:rPr>
                <w:szCs w:val="21"/>
              </w:rPr>
            </w:pPr>
            <w:r>
              <w:rPr>
                <w:szCs w:val="21"/>
              </w:rPr>
              <w:t xml:space="preserve">项 目</w:t>
            </w:r>
            <w:r>
              <w:rPr>
                <w:szCs w:val="21"/>
              </w:rPr>
            </w:r>
            <w:r/>
          </w:p>
        </w:tc>
        <w:tc>
          <w:tcPr>
            <w:gridSpan w:val="2"/>
            <w:tcW w:w="3917" w:type="dxa"/>
            <w:vAlign w:val="center"/>
            <w:textDirection w:val="lrTb"/>
            <w:noWrap w:val="false"/>
          </w:tcPr>
          <w:p>
            <w:pPr>
              <w:pStyle w:val="1082"/>
              <w:jc w:val="center"/>
              <w:spacing w:line="360" w:lineRule="auto"/>
              <w:rPr>
                <w:szCs w:val="21"/>
              </w:rPr>
            </w:pPr>
            <w:r>
              <w:rPr>
                <w:szCs w:val="21"/>
              </w:rPr>
              <w:t xml:space="preserve">A 级</w:t>
            </w:r>
            <w:r>
              <w:rPr>
                <w:szCs w:val="21"/>
              </w:rPr>
            </w:r>
            <w:r/>
          </w:p>
        </w:tc>
      </w:tr>
      <w:tr>
        <w:trPr/>
        <w:tc>
          <w:tcPr>
            <w:tcW w:w="2675" w:type="dxa"/>
            <w:vAlign w:val="center"/>
            <w:vMerge w:val="continue"/>
            <w:textDirection w:val="lrTb"/>
            <w:noWrap w:val="false"/>
          </w:tcPr>
          <w:p>
            <w:pPr>
              <w:pStyle w:val="1082"/>
              <w:spacing w:line="360" w:lineRule="auto"/>
              <w:rPr>
                <w:szCs w:val="21"/>
              </w:rPr>
            </w:pPr>
            <w:r>
              <w:rPr>
                <w:szCs w:val="21"/>
              </w:rPr>
            </w:r>
            <w:r/>
          </w:p>
        </w:tc>
        <w:tc>
          <w:tcPr>
            <w:tcW w:w="1163" w:type="dxa"/>
            <w:vAlign w:val="center"/>
            <w:textDirection w:val="lrTb"/>
            <w:noWrap w:val="false"/>
          </w:tcPr>
          <w:p>
            <w:pPr>
              <w:pStyle w:val="1082"/>
              <w:jc w:val="center"/>
              <w:spacing w:line="360" w:lineRule="auto"/>
              <w:rPr>
                <w:szCs w:val="21"/>
              </w:rPr>
            </w:pPr>
            <w:r>
              <w:rPr>
                <w:szCs w:val="21"/>
              </w:rPr>
              <w:t xml:space="preserve">夏 季</w:t>
            </w:r>
            <w:r>
              <w:rPr>
                <w:szCs w:val="21"/>
              </w:rPr>
            </w:r>
            <w:r/>
          </w:p>
        </w:tc>
        <w:tc>
          <w:tcPr>
            <w:tcW w:w="1162" w:type="dxa"/>
            <w:vAlign w:val="center"/>
            <w:textDirection w:val="lrTb"/>
            <w:noWrap w:val="false"/>
          </w:tcPr>
          <w:p>
            <w:pPr>
              <w:pStyle w:val="1082"/>
              <w:jc w:val="center"/>
              <w:spacing w:line="360" w:lineRule="auto"/>
              <w:rPr>
                <w:szCs w:val="21"/>
              </w:rPr>
            </w:pPr>
            <w:r>
              <w:rPr>
                <w:szCs w:val="21"/>
              </w:rPr>
              <w:t xml:space="preserve">冬 季</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温 度</w:t>
            </w:r>
            <w:r>
              <w:rPr>
                <w:szCs w:val="21"/>
              </w:rPr>
            </w:r>
            <w:r/>
          </w:p>
        </w:tc>
        <w:tc>
          <w:tcPr>
            <w:tcW w:w="1163" w:type="dxa"/>
            <w:vAlign w:val="center"/>
            <w:textDirection w:val="lrTb"/>
            <w:noWrap w:val="false"/>
          </w:tcPr>
          <w:p>
            <w:pPr>
              <w:pStyle w:val="1082"/>
              <w:jc w:val="center"/>
              <w:spacing w:line="360" w:lineRule="auto"/>
              <w:rPr>
                <w:szCs w:val="21"/>
              </w:rPr>
            </w:pPr>
            <w:r>
              <w:rPr>
                <w:szCs w:val="21"/>
              </w:rPr>
              <w:t xml:space="preserve">25℃±2℃</w:t>
            </w:r>
            <w:r>
              <w:rPr>
                <w:szCs w:val="21"/>
              </w:rPr>
            </w:r>
            <w:r/>
          </w:p>
        </w:tc>
        <w:tc>
          <w:tcPr>
            <w:tcW w:w="1162" w:type="dxa"/>
            <w:vAlign w:val="center"/>
            <w:textDirection w:val="lrTb"/>
            <w:noWrap w:val="false"/>
          </w:tcPr>
          <w:p>
            <w:pPr>
              <w:pStyle w:val="1082"/>
              <w:jc w:val="center"/>
              <w:spacing w:line="360" w:lineRule="auto"/>
              <w:rPr>
                <w:szCs w:val="21"/>
              </w:rPr>
            </w:pPr>
            <w:r>
              <w:rPr>
                <w:szCs w:val="21"/>
              </w:rPr>
              <w:t xml:space="preserve">20℃±2℃</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相对湿度</w:t>
            </w:r>
            <w:r>
              <w:rPr>
                <w:szCs w:val="21"/>
              </w:rPr>
            </w:r>
            <w:r/>
          </w:p>
        </w:tc>
        <w:tc>
          <w:tcPr>
            <w:gridSpan w:val="2"/>
            <w:tcW w:w="3917" w:type="dxa"/>
            <w:vAlign w:val="center"/>
            <w:textDirection w:val="lrTb"/>
            <w:noWrap w:val="false"/>
          </w:tcPr>
          <w:p>
            <w:pPr>
              <w:pStyle w:val="1082"/>
              <w:jc w:val="center"/>
              <w:spacing w:line="360" w:lineRule="auto"/>
              <w:rPr>
                <w:szCs w:val="21"/>
              </w:rPr>
            </w:pPr>
            <w:r>
              <w:rPr>
                <w:szCs w:val="21"/>
              </w:rPr>
              <w:t xml:space="preserve">45%～65%</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温度变化率</w:t>
            </w:r>
            <w:r>
              <w:rPr>
                <w:szCs w:val="21"/>
              </w:rPr>
            </w:r>
            <w:r/>
          </w:p>
        </w:tc>
        <w:tc>
          <w:tcPr>
            <w:gridSpan w:val="2"/>
            <w:tcW w:w="3917" w:type="dxa"/>
            <w:vAlign w:val="center"/>
            <w:textDirection w:val="lrTb"/>
            <w:noWrap w:val="false"/>
          </w:tcPr>
          <w:p>
            <w:pPr>
              <w:pStyle w:val="1082"/>
              <w:jc w:val="center"/>
              <w:spacing w:line="360" w:lineRule="auto"/>
              <w:rPr>
                <w:szCs w:val="21"/>
                <w:highlight w:val="green"/>
              </w:rPr>
            </w:pPr>
            <w:r>
              <w:rPr>
                <w:szCs w:val="21"/>
              </w:rPr>
              <w:t xml:space="preserve">&lt;5℃/h，不得结露。</w:t>
            </w:r>
            <w:r>
              <w:rPr>
                <w:szCs w:val="21"/>
                <w:highlight w:val="green"/>
              </w:rPr>
            </w:r>
            <w:r/>
          </w:p>
        </w:tc>
      </w:tr>
    </w:tbl>
    <w:p>
      <w:pPr>
        <w:pStyle w:val="1082"/>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1084"/>
        <w:numPr>
          <w:ilvl w:val="0"/>
          <w:numId w:val="0"/>
        </w:numPr>
        <w:spacing w:line="360" w:lineRule="auto"/>
        <w:rPr>
          <w:rFonts w:ascii="Times New Roman" w:hAnsi="Times New Roman"/>
          <w:sz w:val="21"/>
          <w:szCs w:val="21"/>
        </w:rPr>
      </w:pPr>
      <w:r/>
      <w:bookmarkEnd w:id="27"/>
      <w:r>
        <w:rPr>
          <w:rFonts w:ascii="Times New Roman" w:hAnsi="Times New Roman"/>
          <w:sz w:val="21"/>
          <w:szCs w:val="21"/>
          <w:lang w:val="en-US" w:eastAsia="zh-CN"/>
        </w:rPr>
        <w:t xml:space="preserve">5.</w:t>
      </w:r>
      <w:r>
        <w:rPr>
          <w:rFonts w:ascii="Times New Roman" w:hAnsi="Times New Roman"/>
          <w:sz w:val="21"/>
          <w:szCs w:val="21"/>
        </w:rPr>
        <w:t xml:space="preserve">配套独立接地</w:t>
      </w:r>
      <w:r>
        <w:rPr>
          <w:rFonts w:ascii="Times New Roman" w:hAnsi="Times New Roman"/>
          <w:sz w:val="21"/>
          <w:szCs w:val="21"/>
        </w:rPr>
      </w:r>
      <w:r/>
    </w:p>
    <w:p>
      <w:pPr>
        <w:pStyle w:val="1082"/>
        <w:numPr>
          <w:ilvl w:val="1"/>
          <w:numId w:val="29"/>
        </w:numPr>
        <w:spacing w:line="360" w:lineRule="auto"/>
        <w:rPr>
          <w:color w:val="000000"/>
          <w:szCs w:val="21"/>
        </w:rPr>
      </w:pPr>
      <w:r/>
      <w:bookmarkStart w:id="28" w:name="_Hlk228291819"/>
      <w:r>
        <w:rPr>
          <w:color w:val="000000"/>
          <w:szCs w:val="21"/>
        </w:rPr>
        <w:t xml:space="preserve">投标人须负责完成至少1处独立接地。接地电阻满足相关标准要求。</w:t>
      </w:r>
      <w:r>
        <w:rPr>
          <w:color w:val="000000"/>
          <w:szCs w:val="21"/>
        </w:rPr>
      </w:r>
      <w:r/>
    </w:p>
    <w:p>
      <w:pPr>
        <w:pStyle w:val="1082"/>
        <w:numPr>
          <w:ilvl w:val="1"/>
          <w:numId w:val="29"/>
        </w:numPr>
        <w:spacing w:line="360" w:lineRule="auto"/>
        <w:rPr>
          <w:color w:val="000000"/>
          <w:szCs w:val="21"/>
        </w:rPr>
      </w:pPr>
      <w:r>
        <w:rPr>
          <w:color w:val="000000"/>
          <w:szCs w:val="21"/>
        </w:rPr>
        <w:t xml:space="preserve">独立接地位置由招标人指定，投标人完成接地桩施工，并完成本项目实验室接地点之间的连接工程。</w:t>
      </w:r>
      <w:r>
        <w:rPr>
          <w:color w:val="000000"/>
          <w:szCs w:val="21"/>
        </w:rPr>
      </w:r>
      <w:r/>
    </w:p>
    <w:p>
      <w:pPr>
        <w:pStyle w:val="1084"/>
        <w:numPr>
          <w:ilvl w:val="0"/>
          <w:numId w:val="0"/>
        </w:numPr>
        <w:spacing w:line="360" w:lineRule="auto"/>
        <w:rPr>
          <w:rFonts w:ascii="Times New Roman" w:hAnsi="Times New Roman"/>
          <w:sz w:val="21"/>
          <w:szCs w:val="21"/>
        </w:rPr>
      </w:pPr>
      <w:r/>
      <w:bookmarkEnd w:id="28"/>
      <w:r>
        <w:rPr>
          <w:rFonts w:ascii="Times New Roman" w:hAnsi="Times New Roman"/>
          <w:sz w:val="21"/>
          <w:szCs w:val="21"/>
          <w:lang w:val="en-US" w:eastAsia="zh-CN"/>
        </w:rPr>
        <w:t xml:space="preserve">6.</w:t>
      </w:r>
      <w:r>
        <w:rPr>
          <w:rFonts w:ascii="Times New Roman" w:hAnsi="Times New Roman"/>
          <w:sz w:val="21"/>
          <w:szCs w:val="21"/>
        </w:rPr>
        <w:t xml:space="preserve">配套电源</w:t>
      </w:r>
      <w:r>
        <w:rPr>
          <w:rFonts w:ascii="Times New Roman" w:hAnsi="Times New Roman"/>
          <w:sz w:val="21"/>
          <w:szCs w:val="21"/>
        </w:rPr>
      </w:r>
      <w:r/>
    </w:p>
    <w:p>
      <w:pPr>
        <w:pStyle w:val="1082"/>
        <w:numPr>
          <w:ilvl w:val="1"/>
          <w:numId w:val="30"/>
        </w:numPr>
        <w:spacing w:line="360" w:lineRule="auto"/>
        <w:rPr>
          <w:szCs w:val="21"/>
        </w:rPr>
      </w:pPr>
      <w:r>
        <w:rPr>
          <w:color w:val="000000"/>
          <w:szCs w:val="21"/>
        </w:rPr>
        <w:t xml:space="preserve">投标人</w:t>
      </w:r>
      <w:r>
        <w:rPr>
          <w:szCs w:val="21"/>
        </w:rPr>
        <w:t xml:space="preserve">须提不小于以下要求配套电源并提供详细的设计方案。</w:t>
      </w: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0"/>
        <w:gridCol w:w="3097"/>
        <w:gridCol w:w="3065"/>
      </w:tblGrid>
      <w:tr>
        <w:trPr>
          <w:trHeight w:val="397"/>
        </w:trPr>
        <w:tc>
          <w:tcPr>
            <w:tcW w:w="3294" w:type="dxa"/>
            <w:vAlign w:val="center"/>
            <w:textDirection w:val="lrTb"/>
            <w:noWrap w:val="false"/>
          </w:tcPr>
          <w:p>
            <w:pPr>
              <w:pStyle w:val="1094"/>
              <w:ind w:left="181" w:firstLine="422"/>
              <w:jc w:val="center"/>
              <w:spacing w:line="360" w:lineRule="auto"/>
              <w:rPr>
                <w:rFonts w:ascii="Times New Roman"/>
                <w:b/>
                <w:bCs/>
                <w:szCs w:val="21"/>
              </w:rPr>
            </w:pPr>
            <w:r>
              <w:rPr>
                <w:rFonts w:ascii="Times New Roman"/>
                <w:b/>
                <w:bCs/>
                <w:szCs w:val="21"/>
              </w:rPr>
              <w:t xml:space="preserve">电源类型</w:t>
            </w:r>
            <w:r>
              <w:rPr>
                <w:rFonts w:ascii="Times New Roman"/>
                <w:b/>
                <w:bCs/>
                <w:szCs w:val="21"/>
              </w:rPr>
            </w:r>
            <w:r/>
          </w:p>
        </w:tc>
        <w:tc>
          <w:tcPr>
            <w:tcW w:w="3294" w:type="dxa"/>
            <w:vAlign w:val="center"/>
            <w:textDirection w:val="lrTb"/>
            <w:noWrap w:val="false"/>
          </w:tcPr>
          <w:p>
            <w:pPr>
              <w:pStyle w:val="1094"/>
              <w:ind w:firstLine="422"/>
              <w:jc w:val="center"/>
              <w:spacing w:line="360" w:lineRule="auto"/>
              <w:rPr>
                <w:rFonts w:ascii="Times New Roman"/>
                <w:b/>
                <w:bCs/>
                <w:szCs w:val="21"/>
              </w:rPr>
            </w:pPr>
            <w:r>
              <w:rPr>
                <w:rFonts w:ascii="Times New Roman"/>
                <w:b/>
                <w:bCs/>
                <w:szCs w:val="21"/>
              </w:rPr>
              <w:t xml:space="preserve">功能</w:t>
            </w:r>
            <w:r>
              <w:rPr>
                <w:rFonts w:ascii="Times New Roman"/>
                <w:b/>
                <w:bCs/>
                <w:szCs w:val="21"/>
              </w:rPr>
            </w:r>
            <w:r/>
          </w:p>
        </w:tc>
        <w:tc>
          <w:tcPr>
            <w:tcW w:w="3295" w:type="dxa"/>
            <w:vAlign w:val="center"/>
            <w:textDirection w:val="lrTb"/>
            <w:noWrap w:val="false"/>
          </w:tcPr>
          <w:p>
            <w:pPr>
              <w:pStyle w:val="1094"/>
              <w:ind w:firstLine="422"/>
              <w:jc w:val="center"/>
              <w:spacing w:line="360" w:lineRule="auto"/>
              <w:rPr>
                <w:rFonts w:ascii="Times New Roman"/>
                <w:b/>
                <w:bCs/>
                <w:szCs w:val="21"/>
              </w:rPr>
            </w:pPr>
            <w:r>
              <w:rPr>
                <w:rFonts w:ascii="Times New Roman"/>
                <w:b/>
                <w:bCs/>
                <w:szCs w:val="21"/>
              </w:rPr>
              <w:t xml:space="preserve">数量</w:t>
            </w:r>
            <w:r>
              <w:rPr>
                <w:rFonts w:ascii="Times New Roman"/>
                <w:b/>
                <w:bCs/>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单相变频电源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三相变频电源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直流电源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单相隔离稳压电源</w:t>
            </w:r>
            <w:r>
              <w:rPr>
                <w:rFonts w:ascii="Times New Roman"/>
                <w:szCs w:val="21"/>
              </w:rPr>
            </w:r>
            <w:r/>
          </w:p>
        </w:tc>
        <w:tc>
          <w:tcPr>
            <w:tcW w:w="3294" w:type="dxa"/>
            <w:vAlign w:val="center"/>
            <w:textDirection w:val="lrTb"/>
            <w:noWrap w:val="false"/>
          </w:tcPr>
          <w:p>
            <w:pPr>
              <w:pStyle w:val="1094"/>
              <w:ind w:left="361"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三相隔离稳压电源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bl>
    <w:p>
      <w:pPr>
        <w:pStyle w:val="1094"/>
        <w:ind w:firstLine="420"/>
        <w:spacing w:line="360" w:lineRule="auto"/>
        <w:rPr>
          <w:rFonts w:ascii="Times New Roman" w:eastAsia="等线"/>
          <w:szCs w:val="21"/>
        </w:rPr>
      </w:pPr>
      <w:r>
        <w:rPr>
          <w:rFonts w:ascii="Times New Roman" w:eastAsia="等线"/>
          <w:szCs w:val="21"/>
        </w:rPr>
      </w:r>
      <w:r/>
    </w:p>
    <w:p>
      <w:pPr>
        <w:pStyle w:val="1082"/>
        <w:numPr>
          <w:ilvl w:val="1"/>
          <w:numId w:val="30"/>
        </w:numPr>
        <w:spacing w:line="360" w:lineRule="auto"/>
        <w:rPr>
          <w:szCs w:val="21"/>
        </w:rPr>
      </w:pPr>
      <w:r>
        <w:rPr>
          <w:szCs w:val="21"/>
        </w:rPr>
        <w:t xml:space="preserve">单相变频电源需满足以下要求：</w:t>
      </w:r>
      <w:r>
        <w:rPr>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容量: 5KVA(单相)</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输入电压:1Φ2W +G    220V±10%</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输入频率:50Hz±5%</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输出电压范围及电流:</w:t>
      </w:r>
      <w:r>
        <w:rPr>
          <w:rFonts w:eastAsia="宋体"/>
          <w:b w:val="0"/>
          <w:bCs w:val="0"/>
          <w:spacing w:val="59"/>
          <w:sz w:val="21"/>
          <w:szCs w:val="21"/>
        </w:rPr>
        <w:t xml:space="preserve"> </w:t>
      </w:r>
      <w:r>
        <w:rPr>
          <w:rFonts w:eastAsia="宋体"/>
          <w:b w:val="0"/>
          <w:bCs w:val="0"/>
          <w:spacing w:val="-3"/>
          <w:sz w:val="21"/>
          <w:szCs w:val="21"/>
        </w:rPr>
        <w:t xml:space="preserve">(低压档) 0-200V /</w:t>
      </w:r>
      <w:r>
        <w:rPr>
          <w:rFonts w:eastAsia="宋体"/>
          <w:b w:val="0"/>
          <w:bCs w:val="0"/>
          <w:spacing w:val="14"/>
          <w:sz w:val="21"/>
          <w:szCs w:val="21"/>
        </w:rPr>
        <w:t xml:space="preserve"> </w:t>
      </w:r>
      <w:r>
        <w:rPr>
          <w:rFonts w:eastAsia="宋体"/>
          <w:b w:val="0"/>
          <w:bCs w:val="0"/>
          <w:spacing w:val="-3"/>
          <w:sz w:val="21"/>
          <w:szCs w:val="21"/>
        </w:rPr>
        <w:t xml:space="preserve">31A；</w:t>
      </w:r>
      <w:r>
        <w:rPr>
          <w:rFonts w:eastAsia="宋体"/>
          <w:b w:val="0"/>
          <w:bCs w:val="0"/>
          <w:spacing w:val="-5"/>
          <w:sz w:val="21"/>
          <w:szCs w:val="21"/>
        </w:rPr>
        <w:t xml:space="preserve">(高压档) 0-400V</w:t>
      </w:r>
      <w:r>
        <w:rPr>
          <w:rFonts w:eastAsia="宋体"/>
          <w:b w:val="0"/>
          <w:bCs w:val="0"/>
          <w:spacing w:val="10"/>
          <w:sz w:val="21"/>
          <w:szCs w:val="21"/>
        </w:rPr>
        <w:t xml:space="preserve"> </w:t>
      </w:r>
      <w:r>
        <w:rPr>
          <w:rFonts w:eastAsia="宋体"/>
          <w:b w:val="0"/>
          <w:bCs w:val="0"/>
          <w:spacing w:val="-5"/>
          <w:sz w:val="21"/>
          <w:szCs w:val="21"/>
        </w:rPr>
        <w:t xml:space="preserve">/</w:t>
      </w:r>
      <w:r>
        <w:rPr>
          <w:rFonts w:eastAsia="宋体"/>
          <w:b w:val="0"/>
          <w:bCs w:val="0"/>
          <w:spacing w:val="27"/>
          <w:sz w:val="21"/>
          <w:szCs w:val="21"/>
        </w:rPr>
        <w:t xml:space="preserve"> </w:t>
      </w:r>
      <w:r>
        <w:rPr>
          <w:rFonts w:eastAsia="宋体"/>
          <w:b w:val="0"/>
          <w:bCs w:val="0"/>
          <w:spacing w:val="-5"/>
          <w:sz w:val="21"/>
          <w:szCs w:val="21"/>
        </w:rPr>
        <w:t xml:space="preserve">15.5A</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2"/>
          <w:sz w:val="21"/>
          <w:szCs w:val="21"/>
        </w:rPr>
        <w:t xml:space="preserve">输出频率:47-63Hz</w:t>
      </w:r>
      <w:r>
        <w:rPr>
          <w:rFonts w:eastAsia="宋体"/>
          <w:b w:val="0"/>
          <w:bCs w:val="0"/>
          <w:spacing w:val="-38"/>
          <w:sz w:val="21"/>
          <w:szCs w:val="21"/>
        </w:rPr>
        <w:t xml:space="preserve"> </w:t>
      </w:r>
      <w:r>
        <w:rPr>
          <w:rFonts w:eastAsia="宋体"/>
          <w:b w:val="0"/>
          <w:bCs w:val="0"/>
          <w:spacing w:val="-2"/>
          <w:sz w:val="21"/>
          <w:szCs w:val="21"/>
        </w:rPr>
        <w:t xml:space="preserve">连续可调,50z、60z</w:t>
      </w:r>
      <w:r>
        <w:rPr>
          <w:rFonts w:eastAsia="宋体"/>
          <w:b w:val="0"/>
          <w:bCs w:val="0"/>
          <w:spacing w:val="-30"/>
          <w:sz w:val="21"/>
          <w:szCs w:val="21"/>
        </w:rPr>
        <w:t xml:space="preserve"> </w:t>
      </w:r>
      <w:r>
        <w:rPr>
          <w:rFonts w:eastAsia="宋体"/>
          <w:b w:val="0"/>
          <w:bCs w:val="0"/>
          <w:spacing w:val="-2"/>
          <w:sz w:val="21"/>
          <w:szCs w:val="21"/>
        </w:rPr>
        <w:t xml:space="preserve">固定档位。</w:t>
      </w:r>
      <w:r>
        <w:rPr>
          <w:rFonts w:eastAsia="宋体"/>
          <w:b w:val="0"/>
          <w:bCs w:val="0"/>
          <w:sz w:val="21"/>
          <w:szCs w:val="21"/>
        </w:rPr>
      </w:r>
      <w:r/>
    </w:p>
    <w:p>
      <w:pPr>
        <w:pStyle w:val="1117"/>
        <w:numPr>
          <w:ilvl w:val="1"/>
          <w:numId w:val="31"/>
        </w:numPr>
        <w:jc w:val="left"/>
        <w:spacing w:before="177" w:line="360" w:lineRule="auto"/>
        <w:rPr>
          <w:rFonts w:eastAsia="宋体"/>
          <w:b w:val="0"/>
          <w:bCs w:val="0"/>
          <w:spacing w:val="4"/>
          <w:sz w:val="21"/>
          <w:szCs w:val="21"/>
        </w:rPr>
      </w:pPr>
      <w:r>
        <w:rPr>
          <w:rFonts w:eastAsia="宋体"/>
          <w:b w:val="0"/>
          <w:bCs w:val="0"/>
          <w:spacing w:val="-3"/>
          <w:sz w:val="21"/>
          <w:szCs w:val="21"/>
        </w:rPr>
        <w:t xml:space="preserve">负载</w:t>
      </w:r>
      <w:r>
        <w:rPr>
          <w:rFonts w:eastAsia="宋体"/>
          <w:b w:val="0"/>
          <w:bCs w:val="0"/>
          <w:spacing w:val="8"/>
          <w:sz w:val="21"/>
          <w:szCs w:val="21"/>
        </w:rPr>
        <w:t xml:space="preserve">稳压率:&lt;±1%</w:t>
      </w:r>
      <w:r>
        <w:rPr>
          <w:rFonts w:eastAsia="宋体"/>
          <w:b w:val="0"/>
          <w:bCs w:val="0"/>
          <w:spacing w:val="4"/>
          <w:sz w:val="21"/>
          <w:szCs w:val="21"/>
        </w:rPr>
        <w:t xml:space="preserve"> </w:t>
      </w:r>
      <w:r>
        <w:rPr>
          <w:rFonts w:eastAsia="宋体"/>
          <w:b w:val="0"/>
          <w:bCs w:val="0"/>
          <w:spacing w:val="4"/>
          <w:sz w:val="21"/>
          <w:szCs w:val="21"/>
        </w:rPr>
      </w:r>
      <w:r/>
    </w:p>
    <w:p>
      <w:pPr>
        <w:pStyle w:val="1117"/>
        <w:numPr>
          <w:ilvl w:val="1"/>
          <w:numId w:val="31"/>
        </w:numPr>
        <w:jc w:val="left"/>
        <w:spacing w:before="177" w:line="360" w:lineRule="auto"/>
        <w:rPr>
          <w:rFonts w:eastAsia="宋体"/>
          <w:b w:val="0"/>
          <w:bCs w:val="0"/>
          <w:spacing w:val="1"/>
          <w:sz w:val="21"/>
          <w:szCs w:val="21"/>
        </w:rPr>
      </w:pPr>
      <w:r>
        <w:rPr>
          <w:rFonts w:eastAsia="宋体"/>
          <w:b w:val="0"/>
          <w:bCs w:val="0"/>
          <w:spacing w:val="-3"/>
          <w:sz w:val="21"/>
          <w:szCs w:val="21"/>
        </w:rPr>
        <w:t xml:space="preserve">频率</w:t>
      </w:r>
      <w:r>
        <w:rPr>
          <w:rFonts w:eastAsia="宋体"/>
          <w:b w:val="0"/>
          <w:bCs w:val="0"/>
          <w:spacing w:val="-2"/>
          <w:sz w:val="21"/>
          <w:szCs w:val="21"/>
        </w:rPr>
        <w:t xml:space="preserve">解析度: 0.1Hz</w:t>
      </w:r>
      <w:r>
        <w:rPr>
          <w:rFonts w:eastAsia="宋体"/>
          <w:b w:val="0"/>
          <w:bCs w:val="0"/>
          <w:spacing w:val="1"/>
          <w:sz w:val="21"/>
          <w:szCs w:val="21"/>
        </w:rPr>
        <w:t xml:space="preserve">           </w:t>
      </w:r>
      <w:r>
        <w:rPr>
          <w:rFonts w:eastAsia="宋体"/>
          <w:b w:val="0"/>
          <w:bCs w:val="0"/>
          <w:spacing w:val="1"/>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总谐波失真:＜2%</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数位显示:数位电压表、电流表、频率表</w:t>
      </w:r>
      <w:r>
        <w:rPr>
          <w:rFonts w:eastAsia="宋体"/>
          <w:b w:val="0"/>
          <w:bCs w:val="0"/>
          <w:spacing w:val="-2"/>
          <w:sz w:val="21"/>
          <w:szCs w:val="21"/>
        </w:rPr>
        <w:t xml:space="preserve">、功率表</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保护装置:具过载、短路、过温度保护及警告</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工作环境:周温</w:t>
      </w:r>
      <w:r>
        <w:rPr>
          <w:rFonts w:eastAsia="宋体"/>
          <w:b w:val="0"/>
          <w:bCs w:val="0"/>
          <w:spacing w:val="-46"/>
          <w:sz w:val="21"/>
          <w:szCs w:val="21"/>
        </w:rPr>
        <w:t xml:space="preserve"> </w:t>
      </w:r>
      <w:r>
        <w:rPr>
          <w:rFonts w:eastAsia="宋体"/>
          <w:b w:val="0"/>
          <w:bCs w:val="0"/>
          <w:spacing w:val="-3"/>
          <w:sz w:val="21"/>
          <w:szCs w:val="21"/>
        </w:rPr>
        <w:t xml:space="preserve">0-45℃,相对湿度:10-90%</w:t>
      </w:r>
      <w:r>
        <w:rPr>
          <w:rFonts w:eastAsia="宋体"/>
          <w:b w:val="0"/>
          <w:bCs w:val="0"/>
          <w:sz w:val="21"/>
          <w:szCs w:val="21"/>
        </w:rPr>
      </w:r>
      <w:r/>
    </w:p>
    <w:p>
      <w:pPr>
        <w:pStyle w:val="1082"/>
        <w:numPr>
          <w:ilvl w:val="1"/>
          <w:numId w:val="30"/>
        </w:numPr>
        <w:jc w:val="left"/>
        <w:spacing w:before="120" w:line="360" w:lineRule="auto"/>
        <w:rPr>
          <w:szCs w:val="21"/>
        </w:rPr>
      </w:pPr>
      <w:r>
        <w:rPr>
          <w:szCs w:val="21"/>
        </w:rPr>
        <w:t xml:space="preserve">三相变频电源需满足以下要求： </w:t>
      </w:r>
      <w:r>
        <w:rPr>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容量: 60KVA(三相输入三相输出)</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输入电压:3Φ4W +G(三相四线+地线，五线制)  380V/220V±10%</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输入频率:50Hz±5%</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输出电压:3Φ4W +G(三相四线+地线，五线制)</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输出交流电压范围及电流：</w:t>
      </w:r>
      <w:r>
        <w:rPr>
          <w:rFonts w:eastAsia="宋体"/>
          <w:b w:val="0"/>
          <w:bCs w:val="0"/>
          <w:spacing w:val="-1"/>
          <w:sz w:val="21"/>
          <w:szCs w:val="21"/>
        </w:rPr>
      </w:r>
      <w:r/>
    </w:p>
    <w:p>
      <w:pPr>
        <w:pStyle w:val="1117"/>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相电压  (低压档) 0-150V 可调 / 168A ；(高压档) 0-300V 可调 / 84A；</w:t>
      </w:r>
      <w:r>
        <w:rPr>
          <w:rFonts w:eastAsia="宋体"/>
          <w:b w:val="0"/>
          <w:bCs w:val="0"/>
          <w:spacing w:val="-1"/>
          <w:sz w:val="21"/>
          <w:szCs w:val="21"/>
        </w:rPr>
      </w:r>
      <w:r/>
    </w:p>
    <w:p>
      <w:pPr>
        <w:pStyle w:val="1117"/>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线电压  (低压档) 0-260V 可调 / 168A ；(高压档) 0-520V 可调 / 84A；</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输出频率:47-63Hz 连续可调、50Hz、60Hz 固定档位</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负载稳压率:＜1%</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频率解析度: 0.1Hz </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频率稳定度：＜0.01% </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总谐波失真:＜2%</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反应时间：＜2ms</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LED 数位显示:数位电压表、电流表、频率表.功率表</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保护装置:具过载、短路、过温度保护及警告</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输入输出隔离</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整机效率：&gt;85%</w:t>
      </w:r>
      <w:r>
        <w:rPr>
          <w:rFonts w:eastAsia="宋体"/>
          <w:b w:val="0"/>
          <w:bCs w:val="0"/>
          <w:spacing w:val="-1"/>
          <w:sz w:val="21"/>
          <w:szCs w:val="21"/>
        </w:rPr>
      </w:r>
      <w:r/>
    </w:p>
    <w:p>
      <w:pPr>
        <w:pStyle w:val="1082"/>
        <w:numPr>
          <w:ilvl w:val="1"/>
          <w:numId w:val="30"/>
        </w:numPr>
        <w:spacing w:line="360" w:lineRule="auto"/>
        <w:rPr>
          <w:szCs w:val="21"/>
        </w:rPr>
      </w:pPr>
      <w:r>
        <w:rPr>
          <w:szCs w:val="21"/>
        </w:rPr>
        <w:t xml:space="preserve">直流电源需满足以下要求：：</w:t>
      </w:r>
      <w:r>
        <w:rPr>
          <w:szCs w:val="21"/>
        </w:rPr>
      </w:r>
      <w:r/>
    </w:p>
    <w:p>
      <w:pPr>
        <w:pStyle w:val="1082"/>
        <w:numPr>
          <w:ilvl w:val="0"/>
          <w:numId w:val="33"/>
        </w:numPr>
        <w:ind w:left="1333"/>
        <w:spacing w:line="360" w:lineRule="auto"/>
        <w:rPr>
          <w:szCs w:val="21"/>
        </w:rPr>
      </w:pPr>
      <w:r>
        <w:rPr>
          <w:szCs w:val="21"/>
        </w:rPr>
        <w:t xml:space="preserve">输入电压：AC380V±10%  输入频率：50Hz±10%  输入线数：3L+PE</w:t>
      </w:r>
      <w:r>
        <w:rPr>
          <w:szCs w:val="21"/>
        </w:rPr>
      </w:r>
      <w:r/>
    </w:p>
    <w:p>
      <w:pPr>
        <w:pStyle w:val="1082"/>
        <w:numPr>
          <w:ilvl w:val="0"/>
          <w:numId w:val="33"/>
        </w:numPr>
        <w:ind w:left="1333"/>
        <w:spacing w:line="360" w:lineRule="auto"/>
        <w:rPr>
          <w:szCs w:val="21"/>
        </w:rPr>
      </w:pPr>
      <w:r>
        <w:rPr>
          <w:szCs w:val="21"/>
        </w:rPr>
        <w:t xml:space="preserve">输出直流电压：0V-200V  输出直流电流：0A-70A  功率：14KW</w:t>
      </w:r>
      <w:r>
        <w:rPr>
          <w:szCs w:val="21"/>
        </w:rPr>
      </w:r>
      <w:r/>
    </w:p>
    <w:p>
      <w:pPr>
        <w:pStyle w:val="1082"/>
        <w:numPr>
          <w:ilvl w:val="0"/>
          <w:numId w:val="33"/>
        </w:numPr>
        <w:ind w:left="1333"/>
        <w:spacing w:line="360" w:lineRule="auto"/>
        <w:rPr>
          <w:szCs w:val="21"/>
        </w:rPr>
      </w:pPr>
      <w:r>
        <w:rPr>
          <w:szCs w:val="21"/>
        </w:rPr>
        <w:t xml:space="preserve">稳压精度</w:t>
      </w:r>
      <w:r>
        <w:rPr>
          <w:szCs w:val="21"/>
        </w:rPr>
        <w:tab/>
      </w:r>
      <w:r>
        <w:rPr>
          <w:szCs w:val="21"/>
        </w:rPr>
        <w:t xml:space="preserve">源效应：≤0.1%FS（输入电压变化由-10%~+10%时引起的输出电压变化率）</w:t>
      </w:r>
      <w:r>
        <w:rPr>
          <w:szCs w:val="21"/>
        </w:rPr>
      </w:r>
      <w:r/>
    </w:p>
    <w:p>
      <w:pPr>
        <w:pStyle w:val="1082"/>
        <w:ind w:left="1270" w:firstLine="425"/>
        <w:spacing w:line="360" w:lineRule="auto"/>
        <w:rPr>
          <w:szCs w:val="21"/>
        </w:rPr>
      </w:pPr>
      <w:r>
        <w:rPr>
          <w:szCs w:val="21"/>
        </w:rPr>
        <w:t xml:space="preserve">时  漂：≤0.1%FS（电源连续工作 8 小时以上引起的输出电压变化率）</w:t>
      </w:r>
      <w:r>
        <w:rPr>
          <w:szCs w:val="21"/>
        </w:rPr>
      </w:r>
      <w:r/>
    </w:p>
    <w:p>
      <w:pPr>
        <w:pStyle w:val="1082"/>
        <w:ind w:left="1695"/>
        <w:spacing w:line="360" w:lineRule="auto"/>
        <w:rPr>
          <w:szCs w:val="21"/>
        </w:rPr>
      </w:pPr>
      <w:r>
        <w:rPr>
          <w:szCs w:val="21"/>
        </w:rPr>
        <w:t xml:space="preserve">温  漂：≤0.05%/℃±20mV（使用环境温度变化引起输出电压变化率）</w:t>
      </w:r>
      <w:r>
        <w:rPr>
          <w:szCs w:val="21"/>
        </w:rPr>
      </w:r>
      <w:r/>
    </w:p>
    <w:p>
      <w:pPr>
        <w:pStyle w:val="1082"/>
        <w:ind w:left="1695"/>
        <w:spacing w:line="360" w:lineRule="auto"/>
        <w:rPr>
          <w:szCs w:val="21"/>
        </w:rPr>
      </w:pPr>
      <w:r>
        <w:rPr>
          <w:szCs w:val="21"/>
        </w:rPr>
        <w:t xml:space="preserve">载效应：≤0.2%FS±20mV（电流从零至额定值变化引起的输出电压变化率）</w:t>
      </w:r>
      <w:r>
        <w:rPr>
          <w:szCs w:val="21"/>
        </w:rPr>
      </w:r>
      <w:r/>
    </w:p>
    <w:p>
      <w:pPr>
        <w:pStyle w:val="1082"/>
        <w:numPr>
          <w:ilvl w:val="0"/>
          <w:numId w:val="33"/>
        </w:numPr>
        <w:ind w:left="1333"/>
        <w:spacing w:line="360" w:lineRule="auto"/>
        <w:rPr>
          <w:szCs w:val="21"/>
        </w:rPr>
      </w:pPr>
      <w:r>
        <w:rPr>
          <w:szCs w:val="21"/>
        </w:rPr>
        <w:t xml:space="preserve">稳流精度</w:t>
      </w:r>
      <w:r>
        <w:rPr>
          <w:szCs w:val="21"/>
        </w:rPr>
        <w:tab/>
      </w:r>
      <w:r>
        <w:rPr>
          <w:szCs w:val="21"/>
        </w:rPr>
        <w:t xml:space="preserve">源效应：≤ 0.3%FS（输入电压变化由-10%~+10%时引起的输出电流变化率）</w:t>
      </w:r>
      <w:r>
        <w:rPr>
          <w:szCs w:val="21"/>
        </w:rPr>
      </w:r>
      <w:r/>
    </w:p>
    <w:p>
      <w:pPr>
        <w:pStyle w:val="1082"/>
        <w:ind w:left="1270" w:firstLine="425"/>
        <w:spacing w:line="360" w:lineRule="auto"/>
        <w:rPr>
          <w:szCs w:val="21"/>
        </w:rPr>
      </w:pPr>
      <w:r>
        <w:rPr>
          <w:szCs w:val="21"/>
        </w:rPr>
        <w:t xml:space="preserve">时  漂：≤ 0.2%FS（电源连续工作 8 小时以上引起的输出电流变化率）</w:t>
      </w:r>
      <w:r>
        <w:rPr>
          <w:szCs w:val="21"/>
        </w:rPr>
      </w:r>
      <w:r/>
    </w:p>
    <w:p>
      <w:pPr>
        <w:pStyle w:val="1082"/>
        <w:ind w:left="1270" w:firstLine="425"/>
        <w:spacing w:line="360" w:lineRule="auto"/>
        <w:rPr>
          <w:szCs w:val="21"/>
        </w:rPr>
      </w:pPr>
      <w:r>
        <w:rPr>
          <w:szCs w:val="21"/>
        </w:rPr>
        <w:t xml:space="preserve">温  漂：≤ 0.05%/℃±20mA（使用环境温度变化引起输出电流变化率）载</w:t>
      </w:r>
      <w:r>
        <w:rPr>
          <w:szCs w:val="21"/>
        </w:rPr>
      </w:r>
      <w:r/>
    </w:p>
    <w:p>
      <w:pPr>
        <w:pStyle w:val="1082"/>
        <w:ind w:left="1270" w:firstLine="425"/>
        <w:spacing w:line="360" w:lineRule="auto"/>
        <w:rPr>
          <w:szCs w:val="21"/>
        </w:rPr>
      </w:pPr>
      <w:r>
        <w:rPr>
          <w:szCs w:val="21"/>
        </w:rPr>
        <w:t xml:space="preserve">效应：≤0.3%FS±20mA（电压从零至额定值变化引起的输出电流变化率）</w:t>
      </w:r>
      <w:r>
        <w:rPr>
          <w:szCs w:val="21"/>
        </w:rPr>
      </w:r>
      <w:r/>
    </w:p>
    <w:p>
      <w:pPr>
        <w:pStyle w:val="1082"/>
        <w:numPr>
          <w:ilvl w:val="0"/>
          <w:numId w:val="33"/>
        </w:numPr>
        <w:ind w:left="1333"/>
        <w:spacing w:line="360" w:lineRule="auto"/>
        <w:rPr>
          <w:szCs w:val="21"/>
        </w:rPr>
      </w:pPr>
      <w:r>
        <w:rPr>
          <w:szCs w:val="21"/>
        </w:rPr>
        <w:t xml:space="preserve">纹波有效值</w:t>
      </w:r>
      <w:r>
        <w:rPr>
          <w:szCs w:val="21"/>
        </w:rPr>
        <w:tab/>
      </w:r>
      <w:r>
        <w:rPr>
          <w:szCs w:val="21"/>
        </w:rPr>
        <w:t xml:space="preserve">≤0.3%+100mV （50%-100%额定输出时测量）</w:t>
      </w:r>
      <w:r>
        <w:rPr>
          <w:szCs w:val="21"/>
        </w:rPr>
      </w:r>
      <w:r/>
    </w:p>
    <w:p>
      <w:pPr>
        <w:pStyle w:val="1082"/>
        <w:numPr>
          <w:ilvl w:val="0"/>
          <w:numId w:val="33"/>
        </w:numPr>
        <w:ind w:left="1333"/>
        <w:spacing w:line="360" w:lineRule="auto"/>
        <w:rPr>
          <w:szCs w:val="21"/>
        </w:rPr>
      </w:pPr>
      <w:r>
        <w:rPr>
          <w:szCs w:val="21"/>
        </w:rPr>
        <w:t xml:space="preserve">纹波峰峰值</w:t>
      </w:r>
      <w:r>
        <w:rPr>
          <w:szCs w:val="21"/>
        </w:rPr>
        <w:tab/>
      </w:r>
      <w:r>
        <w:rPr>
          <w:szCs w:val="21"/>
        </w:rPr>
        <w:t xml:space="preserve">≤2%+100mV （50%-100%额定输出时测量）</w:t>
      </w:r>
      <w:r>
        <w:rPr>
          <w:szCs w:val="21"/>
        </w:rPr>
      </w:r>
      <w:r/>
    </w:p>
    <w:p>
      <w:pPr>
        <w:pStyle w:val="1082"/>
        <w:numPr>
          <w:ilvl w:val="0"/>
          <w:numId w:val="33"/>
        </w:numPr>
        <w:ind w:left="1333"/>
        <w:spacing w:line="360" w:lineRule="auto"/>
        <w:rPr>
          <w:szCs w:val="21"/>
        </w:rPr>
      </w:pPr>
      <w:r>
        <w:rPr>
          <w:szCs w:val="21"/>
        </w:rPr>
        <w:t xml:space="preserve">转换效率</w:t>
      </w:r>
      <w:r>
        <w:rPr>
          <w:szCs w:val="21"/>
        </w:rPr>
        <w:tab/>
      </w:r>
      <w:r>
        <w:rPr>
          <w:szCs w:val="21"/>
        </w:rPr>
        <w:t xml:space="preserve">≥ 88%（额定输出时测量）</w:t>
      </w:r>
      <w:r>
        <w:rPr>
          <w:szCs w:val="21"/>
        </w:rPr>
      </w:r>
      <w:r/>
    </w:p>
    <w:p>
      <w:pPr>
        <w:pStyle w:val="1082"/>
        <w:numPr>
          <w:ilvl w:val="0"/>
          <w:numId w:val="33"/>
        </w:numPr>
        <w:ind w:left="1333"/>
        <w:spacing w:line="360" w:lineRule="auto"/>
        <w:rPr>
          <w:szCs w:val="21"/>
        </w:rPr>
      </w:pPr>
      <w:r>
        <w:rPr>
          <w:szCs w:val="21"/>
        </w:rPr>
        <w:t xml:space="preserve">瞬态响应时间</w:t>
      </w:r>
      <w:r>
        <w:rPr>
          <w:szCs w:val="21"/>
        </w:rPr>
        <w:tab/>
      </w:r>
      <w:r>
        <w:rPr>
          <w:szCs w:val="21"/>
        </w:rPr>
        <w:t xml:space="preserve">≤20mS</w:t>
      </w:r>
      <w:r>
        <w:rPr>
          <w:szCs w:val="21"/>
        </w:rPr>
      </w:r>
      <w:r/>
    </w:p>
    <w:p>
      <w:pPr>
        <w:pStyle w:val="1082"/>
        <w:numPr>
          <w:ilvl w:val="0"/>
          <w:numId w:val="33"/>
        </w:numPr>
        <w:ind w:left="1333"/>
        <w:spacing w:line="360" w:lineRule="auto"/>
        <w:rPr>
          <w:szCs w:val="21"/>
        </w:rPr>
      </w:pPr>
      <w:r>
        <w:rPr>
          <w:szCs w:val="21"/>
        </w:rPr>
        <w:t xml:space="preserve">工作方式</w:t>
      </w:r>
      <w:r>
        <w:rPr>
          <w:szCs w:val="21"/>
        </w:rPr>
        <w:tab/>
      </w:r>
      <w:r>
        <w:rPr>
          <w:szCs w:val="21"/>
        </w:rPr>
        <w:t xml:space="preserve">长期满载连续工作</w:t>
      </w:r>
      <w:r>
        <w:rPr>
          <w:szCs w:val="21"/>
        </w:rPr>
      </w:r>
      <w:r/>
    </w:p>
    <w:p>
      <w:pPr>
        <w:pStyle w:val="1082"/>
        <w:numPr>
          <w:ilvl w:val="0"/>
          <w:numId w:val="33"/>
        </w:numPr>
        <w:ind w:left="1333"/>
        <w:spacing w:line="360" w:lineRule="auto"/>
        <w:rPr>
          <w:szCs w:val="21"/>
        </w:rPr>
      </w:pPr>
      <w:r>
        <w:rPr>
          <w:szCs w:val="21"/>
        </w:rPr>
        <w:t xml:space="preserve">参数设置方式</w:t>
      </w:r>
      <w:r>
        <w:rPr>
          <w:szCs w:val="21"/>
        </w:rPr>
        <w:tab/>
      </w:r>
      <w:r>
        <w:rPr>
          <w:szCs w:val="21"/>
        </w:rPr>
        <w:t xml:space="preserve">功能按键加旋转编码器</w:t>
      </w:r>
      <w:r>
        <w:rPr>
          <w:szCs w:val="21"/>
        </w:rPr>
      </w:r>
      <w:r/>
    </w:p>
    <w:p>
      <w:pPr>
        <w:pStyle w:val="1082"/>
        <w:numPr>
          <w:ilvl w:val="0"/>
          <w:numId w:val="33"/>
        </w:numPr>
        <w:ind w:left="1333"/>
        <w:spacing w:line="360" w:lineRule="auto"/>
        <w:rPr>
          <w:szCs w:val="21"/>
        </w:rPr>
      </w:pPr>
      <w:r>
        <w:rPr>
          <w:szCs w:val="21"/>
        </w:rPr>
        <w:t xml:space="preserve">电压设置</w:t>
      </w:r>
      <w:r>
        <w:rPr>
          <w:szCs w:val="21"/>
        </w:rPr>
        <w:tab/>
      </w:r>
      <w:r>
        <w:rPr>
          <w:szCs w:val="21"/>
        </w:rPr>
        <w:t xml:space="preserve">0 ～200V 连续可设置</w:t>
      </w:r>
      <w:r>
        <w:rPr>
          <w:szCs w:val="21"/>
        </w:rPr>
      </w:r>
      <w:r/>
    </w:p>
    <w:p>
      <w:pPr>
        <w:pStyle w:val="1082"/>
        <w:numPr>
          <w:ilvl w:val="0"/>
          <w:numId w:val="33"/>
        </w:numPr>
        <w:ind w:left="1333"/>
        <w:spacing w:line="360" w:lineRule="auto"/>
        <w:rPr>
          <w:szCs w:val="21"/>
        </w:rPr>
      </w:pPr>
      <w:r>
        <w:rPr>
          <w:szCs w:val="21"/>
        </w:rPr>
        <w:t xml:space="preserve">电流设置</w:t>
      </w:r>
      <w:r>
        <w:rPr>
          <w:szCs w:val="21"/>
        </w:rPr>
        <w:tab/>
      </w:r>
      <w:r>
        <w:rPr>
          <w:szCs w:val="21"/>
        </w:rPr>
        <w:t xml:space="preserve">0 ～70A 连续可设置</w:t>
      </w:r>
      <w:r>
        <w:rPr>
          <w:szCs w:val="21"/>
        </w:rPr>
      </w:r>
      <w:r/>
    </w:p>
    <w:p>
      <w:pPr>
        <w:pStyle w:val="1082"/>
        <w:numPr>
          <w:ilvl w:val="0"/>
          <w:numId w:val="33"/>
        </w:numPr>
        <w:ind w:left="1333"/>
        <w:spacing w:line="360" w:lineRule="auto"/>
        <w:rPr>
          <w:szCs w:val="21"/>
        </w:rPr>
      </w:pPr>
      <w:r>
        <w:rPr>
          <w:szCs w:val="21"/>
        </w:rPr>
        <w:t xml:space="preserve">显示方式</w:t>
      </w:r>
      <w:r>
        <w:rPr>
          <w:szCs w:val="21"/>
        </w:rPr>
        <w:tab/>
      </w:r>
      <w:r>
        <w:rPr>
          <w:szCs w:val="21"/>
        </w:rPr>
        <w:t xml:space="preserve">LED 段码液晶显示</w:t>
      </w:r>
      <w:r>
        <w:rPr>
          <w:szCs w:val="21"/>
        </w:rPr>
      </w:r>
      <w:r/>
    </w:p>
    <w:p>
      <w:pPr>
        <w:pStyle w:val="1082"/>
        <w:numPr>
          <w:ilvl w:val="0"/>
          <w:numId w:val="33"/>
        </w:numPr>
        <w:ind w:left="1333"/>
        <w:spacing w:line="360" w:lineRule="auto"/>
        <w:rPr>
          <w:szCs w:val="21"/>
        </w:rPr>
      </w:pPr>
      <w:r>
        <w:rPr>
          <w:szCs w:val="21"/>
        </w:rPr>
        <w:t xml:space="preserve">显示分辩率</w:t>
      </w:r>
      <w:r>
        <w:rPr>
          <w:szCs w:val="21"/>
        </w:rPr>
        <w:tab/>
      </w:r>
      <w:r>
        <w:rPr>
          <w:szCs w:val="21"/>
        </w:rPr>
        <w:t xml:space="preserve">9.9999V/A；99.999V/A；999.99V/A；9999.9V/A；99999V/A</w:t>
      </w:r>
      <w:r>
        <w:rPr>
          <w:szCs w:val="21"/>
        </w:rPr>
      </w:r>
      <w:r/>
    </w:p>
    <w:p>
      <w:pPr>
        <w:pStyle w:val="1082"/>
        <w:numPr>
          <w:ilvl w:val="0"/>
          <w:numId w:val="33"/>
        </w:numPr>
        <w:ind w:left="1333"/>
        <w:spacing w:line="360" w:lineRule="auto"/>
        <w:rPr>
          <w:szCs w:val="21"/>
        </w:rPr>
      </w:pPr>
      <w:r>
        <w:rPr>
          <w:szCs w:val="21"/>
        </w:rPr>
        <w:t xml:space="preserve">电压显示精度</w:t>
      </w:r>
      <w:r>
        <w:rPr>
          <w:szCs w:val="21"/>
        </w:rPr>
        <w:tab/>
      </w:r>
      <w:r>
        <w:rPr>
          <w:szCs w:val="21"/>
        </w:rPr>
        <w:t xml:space="preserve">电压表≤ ±0.3%±100mV（计量范围 10％~100％额定值）</w:t>
      </w:r>
      <w:r>
        <w:rPr>
          <w:szCs w:val="21"/>
        </w:rPr>
      </w:r>
      <w:r/>
    </w:p>
    <w:p>
      <w:pPr>
        <w:pStyle w:val="1082"/>
        <w:numPr>
          <w:ilvl w:val="0"/>
          <w:numId w:val="33"/>
        </w:numPr>
        <w:ind w:left="1333"/>
        <w:spacing w:line="360" w:lineRule="auto"/>
        <w:rPr>
          <w:szCs w:val="21"/>
        </w:rPr>
      </w:pPr>
      <w:r>
        <w:rPr>
          <w:szCs w:val="21"/>
        </w:rPr>
        <w:t xml:space="preserve">电流显示精度</w:t>
      </w:r>
      <w:r>
        <w:rPr>
          <w:szCs w:val="21"/>
        </w:rPr>
        <w:tab/>
      </w:r>
      <w:r>
        <w:rPr>
          <w:szCs w:val="21"/>
        </w:rPr>
        <w:t xml:space="preserve">电流表≤ ±0.5%±100mA（计量范围 10％~100％额定值）</w:t>
      </w:r>
      <w:r>
        <w:rPr>
          <w:szCs w:val="21"/>
        </w:rPr>
      </w:r>
      <w:r/>
    </w:p>
    <w:p>
      <w:pPr>
        <w:pStyle w:val="1082"/>
        <w:numPr>
          <w:ilvl w:val="0"/>
          <w:numId w:val="33"/>
        </w:numPr>
        <w:ind w:left="1333"/>
        <w:spacing w:line="360" w:lineRule="auto"/>
        <w:rPr>
          <w:szCs w:val="21"/>
        </w:rPr>
      </w:pPr>
      <w:r>
        <w:rPr>
          <w:szCs w:val="21"/>
        </w:rPr>
        <w:t xml:space="preserve">通讯控制</w:t>
      </w:r>
      <w:r>
        <w:rPr>
          <w:szCs w:val="21"/>
        </w:rPr>
        <w:tab/>
      </w:r>
      <w:r>
        <w:rPr>
          <w:szCs w:val="21"/>
        </w:rPr>
        <w:t xml:space="preserve">标配 RS485 接口与上位机连接，可通过上位机控制输出电压电流参数，并可 在上位机上实时回读电源的工作参数及状态，以准确掌握负载特性。</w:t>
      </w:r>
      <w:r>
        <w:rPr>
          <w:szCs w:val="21"/>
        </w:rPr>
      </w:r>
      <w:r/>
    </w:p>
    <w:p>
      <w:pPr>
        <w:pStyle w:val="1082"/>
        <w:numPr>
          <w:ilvl w:val="0"/>
          <w:numId w:val="33"/>
        </w:numPr>
        <w:ind w:left="1333"/>
        <w:spacing w:line="360" w:lineRule="auto"/>
        <w:rPr>
          <w:szCs w:val="21"/>
        </w:rPr>
      </w:pPr>
      <w:r>
        <w:rPr>
          <w:szCs w:val="21"/>
        </w:rPr>
        <w:t xml:space="preserve">输出保护</w:t>
      </w:r>
      <w:r>
        <w:rPr>
          <w:szCs w:val="21"/>
        </w:rPr>
        <w:tab/>
      </w:r>
      <w:r>
        <w:rPr>
          <w:szCs w:val="21"/>
        </w:rPr>
        <w:t xml:space="preserve">过压、过流停机锁定，过热 75 度停机，短路限流保护。有相应的声光报警；</w:t>
      </w:r>
      <w:r>
        <w:rPr>
          <w:szCs w:val="21"/>
        </w:rPr>
      </w:r>
      <w:r/>
    </w:p>
    <w:p>
      <w:pPr>
        <w:pStyle w:val="1082"/>
        <w:numPr>
          <w:ilvl w:val="1"/>
          <w:numId w:val="30"/>
        </w:numPr>
        <w:spacing w:line="360" w:lineRule="auto"/>
        <w:rPr>
          <w:szCs w:val="21"/>
        </w:rPr>
      </w:pPr>
      <w:r>
        <w:rPr>
          <w:szCs w:val="21"/>
        </w:rPr>
        <w:t xml:space="preserve">单相隔离稳压电源需满足以下要求：</w:t>
      </w:r>
      <w:r>
        <w:rPr>
          <w:szCs w:val="21"/>
        </w:rPr>
      </w:r>
      <w:r/>
    </w:p>
    <w:p>
      <w:pPr>
        <w:pStyle w:val="1082"/>
        <w:numPr>
          <w:ilvl w:val="1"/>
          <w:numId w:val="34"/>
        </w:numPr>
        <w:spacing w:line="360" w:lineRule="auto"/>
        <w:rPr>
          <w:szCs w:val="21"/>
        </w:rPr>
      </w:pPr>
      <w:r>
        <w:rPr>
          <w:szCs w:val="21"/>
        </w:rPr>
        <w:t xml:space="preserve">容量: 30KVA(单相)</w:t>
      </w:r>
      <w:r>
        <w:rPr>
          <w:szCs w:val="21"/>
        </w:rPr>
      </w:r>
      <w:r/>
    </w:p>
    <w:p>
      <w:pPr>
        <w:pStyle w:val="1082"/>
        <w:numPr>
          <w:ilvl w:val="1"/>
          <w:numId w:val="34"/>
        </w:numPr>
        <w:spacing w:line="360" w:lineRule="auto"/>
        <w:rPr>
          <w:szCs w:val="21"/>
        </w:rPr>
      </w:pPr>
      <w:r>
        <w:rPr>
          <w:szCs w:val="21"/>
        </w:rPr>
        <w:t xml:space="preserve">隔离型</w:t>
      </w:r>
      <w:r>
        <w:rPr>
          <w:szCs w:val="21"/>
        </w:rPr>
      </w:r>
      <w:r/>
    </w:p>
    <w:p>
      <w:pPr>
        <w:pStyle w:val="1082"/>
        <w:numPr>
          <w:ilvl w:val="1"/>
          <w:numId w:val="34"/>
        </w:numPr>
        <w:spacing w:line="360" w:lineRule="auto"/>
        <w:rPr>
          <w:szCs w:val="21"/>
        </w:rPr>
      </w:pPr>
      <w:r>
        <w:rPr>
          <w:szCs w:val="21"/>
        </w:rPr>
        <w:t xml:space="preserve">输入交流电压:1Φ2W+G   220V±10%</w:t>
      </w:r>
      <w:r>
        <w:rPr>
          <w:szCs w:val="21"/>
        </w:rPr>
      </w:r>
      <w:r/>
    </w:p>
    <w:p>
      <w:pPr>
        <w:pStyle w:val="1082"/>
        <w:numPr>
          <w:ilvl w:val="1"/>
          <w:numId w:val="34"/>
        </w:numPr>
        <w:spacing w:line="360" w:lineRule="auto"/>
        <w:rPr>
          <w:szCs w:val="21"/>
        </w:rPr>
      </w:pPr>
      <w:r>
        <w:rPr>
          <w:szCs w:val="21"/>
        </w:rPr>
        <w:t xml:space="preserve">输入频率:50Hz±5%</w:t>
      </w:r>
      <w:r>
        <w:rPr>
          <w:szCs w:val="21"/>
        </w:rPr>
      </w:r>
      <w:r/>
    </w:p>
    <w:p>
      <w:pPr>
        <w:pStyle w:val="1082"/>
        <w:numPr>
          <w:ilvl w:val="1"/>
          <w:numId w:val="34"/>
        </w:numPr>
        <w:spacing w:line="360" w:lineRule="auto"/>
        <w:rPr>
          <w:szCs w:val="21"/>
        </w:rPr>
      </w:pPr>
      <w:r>
        <w:rPr>
          <w:szCs w:val="21"/>
        </w:rPr>
        <w:t xml:space="preserve">输出交流电压：:1Φ2W+G  220V/110V</w:t>
      </w:r>
      <w:r>
        <w:rPr>
          <w:szCs w:val="21"/>
        </w:rPr>
      </w:r>
      <w:r/>
    </w:p>
    <w:p>
      <w:pPr>
        <w:pStyle w:val="1082"/>
        <w:numPr>
          <w:ilvl w:val="1"/>
          <w:numId w:val="34"/>
        </w:numPr>
        <w:spacing w:line="360" w:lineRule="auto"/>
        <w:rPr>
          <w:szCs w:val="21"/>
        </w:rPr>
      </w:pPr>
      <w:r>
        <w:rPr>
          <w:szCs w:val="21"/>
        </w:rPr>
        <w:t xml:space="preserve">稳压率: ≤+-1%</w:t>
      </w:r>
      <w:r>
        <w:rPr>
          <w:szCs w:val="21"/>
        </w:rPr>
      </w:r>
      <w:r/>
    </w:p>
    <w:p>
      <w:pPr>
        <w:pStyle w:val="1082"/>
        <w:numPr>
          <w:ilvl w:val="1"/>
          <w:numId w:val="34"/>
        </w:numPr>
        <w:spacing w:line="360" w:lineRule="auto"/>
        <w:rPr>
          <w:szCs w:val="21"/>
        </w:rPr>
      </w:pPr>
      <w:r>
        <w:rPr>
          <w:szCs w:val="21"/>
        </w:rPr>
        <w:t xml:space="preserve">失真度：＜1%附加失真</w:t>
      </w:r>
      <w:r>
        <w:rPr>
          <w:szCs w:val="21"/>
        </w:rPr>
      </w:r>
      <w:r/>
    </w:p>
    <w:p>
      <w:pPr>
        <w:pStyle w:val="1082"/>
        <w:numPr>
          <w:ilvl w:val="1"/>
          <w:numId w:val="34"/>
        </w:numPr>
        <w:spacing w:line="360" w:lineRule="auto"/>
        <w:rPr>
          <w:szCs w:val="21"/>
        </w:rPr>
      </w:pPr>
      <w:r>
        <w:rPr>
          <w:szCs w:val="21"/>
        </w:rPr>
        <w:t xml:space="preserve">功率因数：0.8-1</w:t>
      </w:r>
      <w:r>
        <w:rPr>
          <w:szCs w:val="21"/>
        </w:rPr>
      </w:r>
      <w:r/>
    </w:p>
    <w:p>
      <w:pPr>
        <w:pStyle w:val="1082"/>
        <w:numPr>
          <w:ilvl w:val="1"/>
          <w:numId w:val="34"/>
        </w:numPr>
        <w:spacing w:line="360" w:lineRule="auto"/>
        <w:rPr>
          <w:szCs w:val="21"/>
        </w:rPr>
      </w:pPr>
      <w:r>
        <w:rPr>
          <w:szCs w:val="21"/>
        </w:rPr>
        <w:t xml:space="preserve">反应时间：&lt;80ms</w:t>
      </w:r>
      <w:r>
        <w:rPr>
          <w:szCs w:val="21"/>
        </w:rPr>
      </w:r>
      <w:r/>
    </w:p>
    <w:p>
      <w:pPr>
        <w:pStyle w:val="1082"/>
        <w:numPr>
          <w:ilvl w:val="1"/>
          <w:numId w:val="34"/>
        </w:numPr>
        <w:spacing w:line="360" w:lineRule="auto"/>
        <w:rPr>
          <w:szCs w:val="21"/>
        </w:rPr>
      </w:pPr>
      <w:r>
        <w:rPr>
          <w:szCs w:val="21"/>
        </w:rPr>
        <w:t xml:space="preserve">具备旁路切换开关，机器故障可以手动切换到市电供电             </w:t>
      </w:r>
      <w:r>
        <w:rPr>
          <w:szCs w:val="21"/>
        </w:rPr>
      </w:r>
      <w:r/>
    </w:p>
    <w:p>
      <w:pPr>
        <w:pStyle w:val="1082"/>
        <w:numPr>
          <w:ilvl w:val="1"/>
          <w:numId w:val="34"/>
        </w:numPr>
        <w:spacing w:line="360" w:lineRule="auto"/>
        <w:rPr>
          <w:szCs w:val="21"/>
        </w:rPr>
      </w:pPr>
      <w:r>
        <w:rPr>
          <w:szCs w:val="21"/>
        </w:rPr>
        <w:t xml:space="preserve">效率：98%</w:t>
      </w:r>
      <w:r>
        <w:rPr>
          <w:szCs w:val="21"/>
        </w:rPr>
      </w:r>
      <w:r/>
    </w:p>
    <w:p>
      <w:pPr>
        <w:pStyle w:val="1082"/>
        <w:numPr>
          <w:ilvl w:val="1"/>
          <w:numId w:val="34"/>
        </w:numPr>
        <w:spacing w:line="360" w:lineRule="auto"/>
        <w:rPr>
          <w:szCs w:val="21"/>
        </w:rPr>
      </w:pPr>
      <w:r>
        <w:rPr>
          <w:szCs w:val="21"/>
        </w:rPr>
        <w:t xml:space="preserve">保护装置:具过载、短路、过温度保护及警告</w:t>
      </w:r>
      <w:r>
        <w:rPr>
          <w:szCs w:val="21"/>
        </w:rPr>
      </w:r>
      <w:r/>
    </w:p>
    <w:p>
      <w:pPr>
        <w:pStyle w:val="1082"/>
        <w:numPr>
          <w:ilvl w:val="1"/>
          <w:numId w:val="34"/>
        </w:numPr>
        <w:spacing w:line="360" w:lineRule="auto"/>
        <w:rPr>
          <w:szCs w:val="21"/>
        </w:rPr>
      </w:pPr>
      <w:r>
        <w:rPr>
          <w:szCs w:val="21"/>
        </w:rPr>
        <w:t xml:space="preserve">工作环境:周温 0-45℃,相对湿度:10-90%</w:t>
      </w:r>
      <w:r>
        <w:rPr>
          <w:szCs w:val="21"/>
        </w:rPr>
      </w:r>
      <w:r/>
    </w:p>
    <w:p>
      <w:pPr>
        <w:pStyle w:val="1082"/>
        <w:numPr>
          <w:ilvl w:val="1"/>
          <w:numId w:val="30"/>
        </w:numPr>
        <w:spacing w:line="360" w:lineRule="auto"/>
        <w:rPr>
          <w:szCs w:val="21"/>
        </w:rPr>
      </w:pPr>
      <w:r>
        <w:rPr>
          <w:szCs w:val="21"/>
        </w:rPr>
        <w:t xml:space="preserve">三相隔离稳压电源需满足以下要求：</w:t>
      </w:r>
      <w:r>
        <w:rPr>
          <w:szCs w:val="21"/>
        </w:rPr>
      </w:r>
      <w:r/>
    </w:p>
    <w:p>
      <w:pPr>
        <w:pStyle w:val="1082"/>
        <w:numPr>
          <w:ilvl w:val="1"/>
          <w:numId w:val="35"/>
        </w:numPr>
        <w:spacing w:line="360" w:lineRule="auto"/>
        <w:rPr>
          <w:szCs w:val="21"/>
        </w:rPr>
      </w:pPr>
      <w:r>
        <w:rPr>
          <w:szCs w:val="21"/>
        </w:rPr>
        <w:t xml:space="preserve">容量: 45KVA(三相输入三相输出)</w:t>
      </w:r>
      <w:r>
        <w:rPr>
          <w:szCs w:val="21"/>
        </w:rPr>
      </w:r>
      <w:r/>
    </w:p>
    <w:p>
      <w:pPr>
        <w:pStyle w:val="1082"/>
        <w:numPr>
          <w:ilvl w:val="1"/>
          <w:numId w:val="35"/>
        </w:numPr>
        <w:spacing w:line="360" w:lineRule="auto"/>
        <w:rPr>
          <w:szCs w:val="21"/>
        </w:rPr>
      </w:pPr>
      <w:r>
        <w:rPr>
          <w:szCs w:val="21"/>
        </w:rPr>
        <w:t xml:space="preserve">输入电压:3Φ4W+G      220V/380V±10%</w:t>
      </w:r>
      <w:r>
        <w:rPr>
          <w:szCs w:val="21"/>
        </w:rPr>
      </w:r>
      <w:r/>
    </w:p>
    <w:p>
      <w:pPr>
        <w:pStyle w:val="1082"/>
        <w:numPr>
          <w:ilvl w:val="1"/>
          <w:numId w:val="35"/>
        </w:numPr>
        <w:spacing w:line="360" w:lineRule="auto"/>
        <w:rPr>
          <w:szCs w:val="21"/>
        </w:rPr>
      </w:pPr>
      <w:r>
        <w:rPr>
          <w:szCs w:val="21"/>
        </w:rPr>
        <w:t xml:space="preserve">输入输出隔离</w:t>
      </w:r>
      <w:r>
        <w:rPr>
          <w:szCs w:val="21"/>
        </w:rPr>
      </w:r>
      <w:r/>
    </w:p>
    <w:p>
      <w:pPr>
        <w:pStyle w:val="1082"/>
        <w:numPr>
          <w:ilvl w:val="1"/>
          <w:numId w:val="35"/>
        </w:numPr>
        <w:spacing w:line="360" w:lineRule="auto"/>
        <w:rPr>
          <w:szCs w:val="21"/>
        </w:rPr>
      </w:pPr>
      <w:r>
        <w:rPr>
          <w:szCs w:val="21"/>
        </w:rPr>
        <w:t xml:space="preserve">输入频率：50Hz±5%</w:t>
      </w:r>
      <w:r>
        <w:rPr>
          <w:szCs w:val="21"/>
        </w:rPr>
      </w:r>
      <w:r/>
    </w:p>
    <w:p>
      <w:pPr>
        <w:pStyle w:val="1082"/>
        <w:numPr>
          <w:ilvl w:val="1"/>
          <w:numId w:val="35"/>
        </w:numPr>
        <w:spacing w:line="360" w:lineRule="auto"/>
        <w:rPr>
          <w:szCs w:val="21"/>
        </w:rPr>
      </w:pPr>
      <w:r>
        <w:rPr>
          <w:szCs w:val="21"/>
        </w:rPr>
        <w:t xml:space="preserve">输出电压：3Φ4W+G    220V/380V</w:t>
      </w:r>
      <w:r>
        <w:rPr>
          <w:szCs w:val="21"/>
        </w:rPr>
      </w:r>
      <w:r/>
    </w:p>
    <w:p>
      <w:pPr>
        <w:pStyle w:val="1082"/>
        <w:numPr>
          <w:ilvl w:val="1"/>
          <w:numId w:val="35"/>
        </w:numPr>
        <w:spacing w:line="360" w:lineRule="auto"/>
        <w:rPr>
          <w:szCs w:val="21"/>
        </w:rPr>
      </w:pPr>
      <w:r>
        <w:rPr>
          <w:szCs w:val="21"/>
        </w:rPr>
        <w:t xml:space="preserve">稳压率：≤±2%</w:t>
      </w:r>
      <w:r>
        <w:rPr>
          <w:szCs w:val="21"/>
        </w:rPr>
      </w:r>
      <w:r/>
    </w:p>
    <w:p>
      <w:pPr>
        <w:pStyle w:val="1082"/>
        <w:numPr>
          <w:ilvl w:val="1"/>
          <w:numId w:val="35"/>
        </w:numPr>
        <w:spacing w:line="360" w:lineRule="auto"/>
        <w:rPr>
          <w:szCs w:val="21"/>
        </w:rPr>
      </w:pPr>
      <w:r>
        <w:rPr>
          <w:szCs w:val="21"/>
        </w:rPr>
        <w:t xml:space="preserve">失真度：＜1%附加失真</w:t>
      </w:r>
      <w:r>
        <w:rPr>
          <w:szCs w:val="21"/>
        </w:rPr>
      </w:r>
      <w:r/>
    </w:p>
    <w:p>
      <w:pPr>
        <w:pStyle w:val="1082"/>
        <w:numPr>
          <w:ilvl w:val="1"/>
          <w:numId w:val="35"/>
        </w:numPr>
        <w:spacing w:line="360" w:lineRule="auto"/>
        <w:rPr>
          <w:szCs w:val="21"/>
        </w:rPr>
      </w:pPr>
      <w:r>
        <w:rPr>
          <w:szCs w:val="21"/>
        </w:rPr>
        <w:t xml:space="preserve">功率因数：0.8-1</w:t>
      </w:r>
      <w:r>
        <w:rPr>
          <w:szCs w:val="21"/>
        </w:rPr>
      </w:r>
      <w:r/>
    </w:p>
    <w:p>
      <w:pPr>
        <w:pStyle w:val="1082"/>
        <w:numPr>
          <w:ilvl w:val="1"/>
          <w:numId w:val="35"/>
        </w:numPr>
        <w:spacing w:line="360" w:lineRule="auto"/>
        <w:rPr>
          <w:szCs w:val="21"/>
        </w:rPr>
      </w:pPr>
      <w:r>
        <w:rPr>
          <w:szCs w:val="21"/>
        </w:rPr>
        <w:t xml:space="preserve">反应时间：&lt;80ms</w:t>
      </w:r>
      <w:r>
        <w:rPr>
          <w:szCs w:val="21"/>
        </w:rPr>
      </w:r>
      <w:r/>
    </w:p>
    <w:p>
      <w:pPr>
        <w:pStyle w:val="1082"/>
        <w:numPr>
          <w:ilvl w:val="1"/>
          <w:numId w:val="35"/>
        </w:numPr>
        <w:spacing w:line="360" w:lineRule="auto"/>
        <w:rPr>
          <w:szCs w:val="21"/>
        </w:rPr>
      </w:pPr>
      <w:r>
        <w:rPr>
          <w:szCs w:val="21"/>
        </w:rPr>
        <w:t xml:space="preserve">具备旁路切换开关，机器故障可以手动切换到市电供电</w:t>
      </w:r>
      <w:r>
        <w:rPr>
          <w:szCs w:val="21"/>
        </w:rPr>
      </w:r>
      <w:r/>
    </w:p>
    <w:p>
      <w:pPr>
        <w:pStyle w:val="1082"/>
        <w:numPr>
          <w:ilvl w:val="1"/>
          <w:numId w:val="35"/>
        </w:numPr>
        <w:spacing w:line="360" w:lineRule="auto"/>
        <w:rPr>
          <w:szCs w:val="21"/>
        </w:rPr>
      </w:pPr>
      <w:r>
        <w:rPr>
          <w:szCs w:val="21"/>
        </w:rPr>
        <w:t xml:space="preserve">效率：98%</w:t>
      </w:r>
      <w:r>
        <w:rPr>
          <w:szCs w:val="21"/>
        </w:rPr>
      </w:r>
      <w:r/>
    </w:p>
    <w:p>
      <w:pPr>
        <w:pStyle w:val="1082"/>
        <w:numPr>
          <w:ilvl w:val="1"/>
          <w:numId w:val="35"/>
        </w:numPr>
        <w:spacing w:line="360" w:lineRule="auto"/>
        <w:rPr>
          <w:szCs w:val="21"/>
        </w:rPr>
      </w:pPr>
      <w:r>
        <w:rPr>
          <w:szCs w:val="21"/>
        </w:rPr>
        <w:t xml:space="preserve">保护装置:带载能力强，具过载、短路、过温度保护及警告</w:t>
      </w:r>
      <w:r>
        <w:rPr>
          <w:szCs w:val="21"/>
        </w:rPr>
      </w:r>
      <w:r/>
    </w:p>
    <w:p>
      <w:pPr>
        <w:pStyle w:val="1082"/>
        <w:numPr>
          <w:ilvl w:val="1"/>
          <w:numId w:val="35"/>
        </w:numPr>
        <w:spacing w:line="360" w:lineRule="auto"/>
        <w:rPr>
          <w:szCs w:val="21"/>
        </w:rPr>
      </w:pPr>
      <w:r>
        <w:rPr>
          <w:szCs w:val="21"/>
        </w:rPr>
        <w:t xml:space="preserve">工作环境:周温 0-45℃,相对湿度:10-90%</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配套设备</w:t>
      </w:r>
      <w:r>
        <w:rPr>
          <w:rFonts w:ascii="Times New Roman" w:hAnsi="Times New Roman"/>
          <w:sz w:val="21"/>
          <w:szCs w:val="21"/>
        </w:rPr>
      </w:r>
      <w:r/>
    </w:p>
    <w:p>
      <w:pPr>
        <w:pStyle w:val="1082"/>
        <w:ind w:left="420"/>
        <w:spacing w:line="360" w:lineRule="auto"/>
        <w:rPr>
          <w:szCs w:val="21"/>
          <w:highlight w:val="none"/>
        </w:rPr>
      </w:pPr>
      <w:r>
        <w:rPr>
          <w:szCs w:val="21"/>
          <w:highlight w:val="none"/>
        </w:rPr>
        <w:t xml:space="preserve">★投标人需提供符合要求的</w:t>
      </w:r>
      <w:r>
        <w:rPr>
          <w:szCs w:val="21"/>
          <w:highlight w:val="none"/>
          <w:lang w:val="zh-TW"/>
        </w:rPr>
        <w:t xml:space="preserve">测试接收机，</w:t>
      </w:r>
      <w:r>
        <w:rPr>
          <w:szCs w:val="21"/>
          <w:highlight w:val="none"/>
        </w:rPr>
        <w:t xml:space="preserve">需提供原厂商针对本项目的授权。接收机需满足以下要求：</w:t>
      </w:r>
      <w:r>
        <w:rPr>
          <w:szCs w:val="21"/>
          <w:highlight w:val="none"/>
        </w:rPr>
      </w:r>
      <w:r/>
    </w:p>
    <w:p>
      <w:pPr>
        <w:pStyle w:val="1082"/>
        <w:numPr>
          <w:ilvl w:val="0"/>
          <w:numId w:val="36"/>
        </w:numPr>
        <w:ind w:left="420"/>
        <w:spacing w:line="360" w:lineRule="auto"/>
        <w:rPr>
          <w:szCs w:val="21"/>
          <w:lang w:val="zh-TW"/>
        </w:rPr>
      </w:pPr>
      <w:r>
        <w:rPr>
          <w:szCs w:val="21"/>
          <w:lang w:val="zh-TW"/>
        </w:rPr>
        <w:t xml:space="preserve">★认证级全兼容测试接收机，符合CISPR 16-1-1认证级EMI规范要求，同时包含EMI测试接收机和信号/频谱分析仪功能，设备必须是单台仪表，不允许组合使用；</w:t>
      </w:r>
      <w:r>
        <w:rPr>
          <w:szCs w:val="21"/>
          <w:lang w:val="zh-TW"/>
        </w:rPr>
      </w:r>
      <w:r/>
    </w:p>
    <w:p>
      <w:pPr>
        <w:pStyle w:val="1082"/>
        <w:numPr>
          <w:ilvl w:val="0"/>
          <w:numId w:val="36"/>
        </w:numPr>
        <w:ind w:left="420"/>
        <w:spacing w:line="360" w:lineRule="auto"/>
        <w:rPr>
          <w:szCs w:val="21"/>
          <w:lang w:val="zh-TW"/>
        </w:rPr>
      </w:pPr>
      <w:r>
        <w:rPr>
          <w:szCs w:val="21"/>
          <w:lang w:val="zh-TW"/>
        </w:rPr>
        <w:t xml:space="preserve">频率范围 ：不低于9kHz~3.6GHz；</w:t>
      </w:r>
      <w:r>
        <w:rPr>
          <w:szCs w:val="21"/>
          <w:lang w:val="zh-TW"/>
        </w:rPr>
      </w:r>
      <w:r/>
    </w:p>
    <w:p>
      <w:pPr>
        <w:pStyle w:val="1082"/>
        <w:numPr>
          <w:ilvl w:val="0"/>
          <w:numId w:val="36"/>
        </w:numPr>
        <w:ind w:left="420"/>
        <w:spacing w:line="360" w:lineRule="auto"/>
        <w:rPr>
          <w:szCs w:val="21"/>
          <w:lang w:val="zh-TW"/>
        </w:rPr>
      </w:pPr>
      <w:r>
        <w:rPr>
          <w:szCs w:val="21"/>
          <w:lang w:val="zh-TW"/>
        </w:rPr>
        <w:t xml:space="preserve">频率分辨率：接收机模式0.1Hz；</w:t>
      </w:r>
      <w:r>
        <w:rPr>
          <w:szCs w:val="21"/>
          <w:lang w:val="zh-TW"/>
        </w:rPr>
      </w:r>
      <w:r/>
    </w:p>
    <w:p>
      <w:pPr>
        <w:pStyle w:val="1082"/>
        <w:numPr>
          <w:ilvl w:val="0"/>
          <w:numId w:val="36"/>
        </w:numPr>
        <w:ind w:left="420"/>
        <w:spacing w:line="360" w:lineRule="auto"/>
        <w:rPr>
          <w:szCs w:val="21"/>
          <w:lang w:val="zh-TW"/>
        </w:rPr>
      </w:pPr>
      <w:r>
        <w:rPr>
          <w:szCs w:val="21"/>
          <w:lang w:val="zh-TW"/>
        </w:rPr>
        <w:t xml:space="preserve">EMI带宽</w:t>
      </w:r>
      <w:r>
        <w:rPr>
          <w:szCs w:val="21"/>
        </w:rPr>
        <w:t xml:space="preserve">(-</w:t>
      </w:r>
      <w:r>
        <w:rPr>
          <w:szCs w:val="21"/>
          <w:lang w:val="zh-TW"/>
        </w:rPr>
        <w:t xml:space="preserve">6 dB)：包含200Hz，9kHz，120kHz，1MHz</w:t>
      </w:r>
      <w:r>
        <w:rPr>
          <w:szCs w:val="21"/>
        </w:rPr>
        <w:t xml:space="preserve">;</w:t>
      </w:r>
      <w:r>
        <w:rPr>
          <w:szCs w:val="21"/>
          <w:lang w:val="zh-TW"/>
        </w:rPr>
      </w:r>
      <w:r/>
    </w:p>
    <w:p>
      <w:pPr>
        <w:pStyle w:val="1082"/>
        <w:numPr>
          <w:ilvl w:val="0"/>
          <w:numId w:val="36"/>
        </w:numPr>
        <w:ind w:left="420"/>
        <w:spacing w:line="360" w:lineRule="auto"/>
        <w:rPr>
          <w:szCs w:val="21"/>
          <w:lang w:val="zh-TW" w:eastAsia="zh-TW"/>
        </w:rPr>
      </w:pPr>
      <w:r>
        <w:rPr>
          <w:szCs w:val="21"/>
          <w:lang w:val="zh-TW" w:eastAsia="zh-TW"/>
        </w:rPr>
        <w:t xml:space="preserve">检波器(接收机模式)：最大峰值，最小峰值，均方根检波RMS，平均值，准峰值Quasi-Peak, CISPR 平均值和RMS平均值；</w:t>
      </w:r>
      <w:r>
        <w:rPr>
          <w:szCs w:val="21"/>
          <w:lang w:val="zh-TW" w:eastAsia="zh-TW"/>
        </w:rPr>
      </w:r>
      <w:r/>
    </w:p>
    <w:p>
      <w:pPr>
        <w:pStyle w:val="1082"/>
        <w:numPr>
          <w:ilvl w:val="0"/>
          <w:numId w:val="36"/>
        </w:numPr>
        <w:ind w:left="420"/>
        <w:spacing w:line="360" w:lineRule="auto"/>
        <w:rPr>
          <w:szCs w:val="21"/>
          <w:highlight w:val="none"/>
          <w:lang w:val="zh-TW" w:eastAsia="zh-TW"/>
        </w:rPr>
      </w:pPr>
      <w:r>
        <w:rPr>
          <w:szCs w:val="21"/>
          <w:lang w:val="zh-TW"/>
        </w:rPr>
        <w:t xml:space="preserve">电平总测量不确定度（预选器关，预放关，95%置信区间）：</w:t>
      </w:r>
      <w:r>
        <w:rPr>
          <w:szCs w:val="21"/>
          <w:lang w:val="zh-TW" w:eastAsia="zh-TW"/>
        </w:rPr>
        <w:t xml:space="preserve">9 kHz≤ f ＜ 10 MHz：0.4 dB；10MHz≤ f ＜ 3.6 GH</w:t>
      </w:r>
      <w:r>
        <w:rPr>
          <w:szCs w:val="21"/>
          <w:highlight w:val="none"/>
          <w:lang w:val="zh-TW" w:eastAsia="zh-TW"/>
        </w:rPr>
        <w:t xml:space="preserve">z：0.3 dB；</w:t>
      </w:r>
      <w:r>
        <w:rPr>
          <w:szCs w:val="21"/>
          <w:highlight w:val="none"/>
          <w:lang w:val="zh-TW" w:eastAsia="zh-TW"/>
        </w:rPr>
      </w:r>
      <w:r/>
    </w:p>
    <w:p>
      <w:pPr>
        <w:pStyle w:val="1082"/>
        <w:numPr>
          <w:ilvl w:val="0"/>
          <w:numId w:val="36"/>
        </w:numPr>
        <w:ind w:left="420"/>
        <w:spacing w:line="360" w:lineRule="auto"/>
        <w:rPr>
          <w:szCs w:val="21"/>
          <w:lang w:val="zh-TW"/>
        </w:rPr>
      </w:pPr>
      <w:r>
        <w:rPr>
          <w:szCs w:val="21"/>
          <w:highlight w:val="none"/>
          <w:lang w:val="zh-TW"/>
        </w:rPr>
        <w:t xml:space="preserve">▲可通过接收机内置软件进行符合CISPR 14-1的断续骚扰测试，可测量0.15MHz、0.5MHz、1.4MHz、30MHz四个频率通道，也可单独配置喀呖声分析仪</w:t>
      </w:r>
      <w:r>
        <w:rPr>
          <w:szCs w:val="21"/>
          <w:lang w:val="zh-TW"/>
        </w:rPr>
        <w:t xml:space="preserve">进行满足功能要求；</w:t>
      </w:r>
      <w:r>
        <w:rPr>
          <w:szCs w:val="21"/>
          <w:lang w:val="zh-TW"/>
        </w:rPr>
      </w:r>
      <w:r/>
    </w:p>
    <w:p>
      <w:pPr>
        <w:pStyle w:val="1082"/>
        <w:numPr>
          <w:ilvl w:val="0"/>
          <w:numId w:val="36"/>
        </w:numPr>
        <w:ind w:left="420"/>
        <w:spacing w:line="360" w:lineRule="auto"/>
        <w:rPr>
          <w:szCs w:val="21"/>
          <w:lang w:val="zh-TW"/>
        </w:rPr>
      </w:pPr>
      <w:r>
        <w:rPr>
          <w:szCs w:val="21"/>
          <w:lang w:val="zh-TW"/>
        </w:rPr>
        <w:t xml:space="preserve">▲接收机模式下每频率测量时间：50 μs to 100 s；</w:t>
      </w:r>
      <w:r>
        <w:rPr>
          <w:szCs w:val="21"/>
          <w:lang w:val="zh-TW"/>
        </w:rPr>
      </w:r>
      <w:r/>
    </w:p>
    <w:p>
      <w:pPr>
        <w:pStyle w:val="1082"/>
        <w:numPr>
          <w:ilvl w:val="0"/>
          <w:numId w:val="36"/>
        </w:numPr>
        <w:ind w:left="420"/>
        <w:spacing w:line="360" w:lineRule="auto"/>
        <w:rPr>
          <w:szCs w:val="21"/>
          <w:lang w:val="zh-TW"/>
        </w:rPr>
      </w:pPr>
      <w:r>
        <w:rPr>
          <w:szCs w:val="21"/>
          <w:lang w:val="zh-TW"/>
        </w:rPr>
        <w:t xml:space="preserve">内置前置放大器：20dB增益，可打开或关闭；</w:t>
      </w:r>
      <w:r>
        <w:rPr>
          <w:szCs w:val="21"/>
          <w:lang w:val="zh-TW"/>
        </w:rPr>
      </w:r>
      <w:r/>
    </w:p>
    <w:p>
      <w:pPr>
        <w:pStyle w:val="1082"/>
        <w:numPr>
          <w:ilvl w:val="0"/>
          <w:numId w:val="36"/>
        </w:numPr>
        <w:ind w:left="420"/>
        <w:spacing w:line="360" w:lineRule="auto"/>
        <w:rPr>
          <w:szCs w:val="21"/>
          <w:lang w:val="zh-TW"/>
        </w:rPr>
      </w:pPr>
      <w:r>
        <w:rPr>
          <w:szCs w:val="21"/>
          <w:lang w:val="zh-TW"/>
        </w:rPr>
        <w:t xml:space="preserve">▲1 dB压缩点 (9 kHz~3.6 GHz）：≥+10 dBm(nom.) ；</w:t>
      </w:r>
      <w:r>
        <w:rPr>
          <w:szCs w:val="21"/>
          <w:lang w:val="zh-TW"/>
        </w:rPr>
      </w:r>
      <w:r/>
    </w:p>
    <w:p>
      <w:pPr>
        <w:pStyle w:val="1082"/>
        <w:numPr>
          <w:ilvl w:val="0"/>
          <w:numId w:val="36"/>
        </w:numPr>
        <w:ind w:left="420"/>
        <w:spacing w:line="360" w:lineRule="auto"/>
        <w:rPr>
          <w:szCs w:val="21"/>
          <w:lang w:val="zh-TW"/>
        </w:rPr>
      </w:pPr>
      <w:r>
        <w:rPr>
          <w:szCs w:val="21"/>
          <w:lang w:val="zh-TW"/>
        </w:rPr>
        <w:t xml:space="preserve">接收机内置预选器；</w:t>
      </w:r>
      <w:r>
        <w:rPr>
          <w:szCs w:val="21"/>
          <w:lang w:val="zh-TW"/>
        </w:rPr>
      </w:r>
      <w:r/>
    </w:p>
    <w:p>
      <w:pPr>
        <w:pStyle w:val="1082"/>
        <w:numPr>
          <w:ilvl w:val="0"/>
          <w:numId w:val="36"/>
        </w:numPr>
        <w:ind w:left="420"/>
        <w:spacing w:line="360" w:lineRule="auto"/>
        <w:rPr>
          <w:szCs w:val="21"/>
          <w:lang w:val="zh-TW"/>
        </w:rPr>
      </w:pPr>
      <w:r>
        <w:rPr>
          <w:szCs w:val="21"/>
          <w:lang w:val="zh-TW"/>
        </w:rPr>
        <w:t xml:space="preserve">▲衰减器设置：0 dB 到75 dB, 步进≤5 dB；</w:t>
      </w:r>
      <w:r>
        <w:rPr>
          <w:szCs w:val="21"/>
          <w:lang w:val="zh-TW"/>
        </w:rPr>
      </w:r>
      <w:r/>
    </w:p>
    <w:p>
      <w:pPr>
        <w:pStyle w:val="1082"/>
        <w:numPr>
          <w:ilvl w:val="0"/>
          <w:numId w:val="36"/>
        </w:numPr>
        <w:ind w:left="420"/>
        <w:spacing w:line="360" w:lineRule="auto"/>
        <w:rPr>
          <w:szCs w:val="21"/>
          <w:lang w:val="zh-TW"/>
        </w:rPr>
      </w:pPr>
      <w:r>
        <w:rPr>
          <w:szCs w:val="21"/>
          <w:lang w:val="zh-TW"/>
        </w:rPr>
        <w:t xml:space="preserve">★最大扫描点数：不小于400万个；</w:t>
      </w:r>
      <w:r>
        <w:rPr>
          <w:szCs w:val="21"/>
          <w:lang w:val="zh-TW"/>
        </w:rPr>
      </w:r>
      <w:r/>
    </w:p>
    <w:p>
      <w:pPr>
        <w:pStyle w:val="1082"/>
        <w:numPr>
          <w:ilvl w:val="0"/>
          <w:numId w:val="36"/>
        </w:numPr>
        <w:ind w:left="420"/>
        <w:spacing w:line="360" w:lineRule="auto"/>
        <w:rPr>
          <w:szCs w:val="21"/>
          <w:lang w:val="zh-TW"/>
        </w:rPr>
      </w:pPr>
      <w:r>
        <w:rPr>
          <w:szCs w:val="21"/>
          <w:lang w:val="zh-TW"/>
        </w:rPr>
        <w:t xml:space="preserve">可通过GPIB或者LAN进行远程控制；</w:t>
      </w:r>
      <w:r>
        <w:rPr>
          <w:szCs w:val="21"/>
          <w:lang w:val="zh-TW"/>
        </w:rPr>
      </w:r>
      <w:r/>
    </w:p>
    <w:p>
      <w:pPr>
        <w:pStyle w:val="1082"/>
        <w:numPr>
          <w:ilvl w:val="0"/>
          <w:numId w:val="36"/>
        </w:numPr>
        <w:ind w:left="420"/>
        <w:spacing w:line="360" w:lineRule="auto"/>
        <w:rPr>
          <w:szCs w:val="21"/>
          <w:lang w:val="zh-TW"/>
        </w:rPr>
      </w:pPr>
      <w:r>
        <w:rPr>
          <w:szCs w:val="21"/>
          <w:lang w:val="zh-TW"/>
        </w:rPr>
        <w:t xml:space="preserve">具备触摸屏操作功能；</w:t>
      </w:r>
      <w:r>
        <w:rPr>
          <w:szCs w:val="21"/>
          <w:lang w:val="zh-TW"/>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外部配电</w:t>
      </w:r>
      <w:r>
        <w:rPr>
          <w:rFonts w:ascii="Times New Roman" w:hAnsi="Times New Roman"/>
          <w:sz w:val="21"/>
          <w:szCs w:val="21"/>
        </w:rPr>
      </w:r>
      <w:r/>
    </w:p>
    <w:p>
      <w:pPr>
        <w:pStyle w:val="1082"/>
        <w:numPr>
          <w:ilvl w:val="1"/>
          <w:numId w:val="37"/>
        </w:numPr>
        <w:spacing w:line="360" w:lineRule="auto"/>
        <w:rPr>
          <w:szCs w:val="21"/>
          <w:highlight w:val="none"/>
        </w:rPr>
      </w:pPr>
      <w:r>
        <w:rPr>
          <w:rFonts w:hint="eastAsia"/>
          <w:szCs w:val="21"/>
          <w:highlight w:val="none"/>
          <w:lang w:eastAsia="en-US"/>
        </w:rPr>
        <w:t xml:space="preserve">投标人</w:t>
      </w:r>
      <w:r>
        <w:rPr>
          <w:szCs w:val="21"/>
          <w:highlight w:val="none"/>
        </w:rPr>
        <w:t xml:space="preserve">负责从配电柜到暗室内部全部的配电服务，除必备的电源插座外，还预留了足够的电源插座用于今后扩展使用。</w:t>
      </w:r>
      <w:r>
        <w:rPr>
          <w:szCs w:val="21"/>
          <w:highlight w:val="none"/>
        </w:rPr>
      </w:r>
      <w:r/>
    </w:p>
    <w:p>
      <w:pPr>
        <w:pStyle w:val="1082"/>
        <w:numPr>
          <w:ilvl w:val="1"/>
          <w:numId w:val="37"/>
        </w:numPr>
        <w:spacing w:line="360" w:lineRule="auto"/>
        <w:rPr>
          <w:szCs w:val="21"/>
        </w:rPr>
      </w:pPr>
      <w:r>
        <w:rPr>
          <w:szCs w:val="21"/>
        </w:rPr>
        <w:t xml:space="preserve">配备独立配电箱，满足甲方使用与测试要求，安装符合国家规范要求，安装有配套的电源插座和线缆。提供设计现场设计图纸。</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其他配套</w:t>
      </w:r>
      <w:r>
        <w:rPr>
          <w:rFonts w:ascii="Times New Roman" w:hAnsi="Times New Roman"/>
          <w:sz w:val="21"/>
          <w:szCs w:val="21"/>
        </w:rPr>
      </w:r>
      <w:r/>
    </w:p>
    <w:p>
      <w:pPr>
        <w:pStyle w:val="1082"/>
        <w:numPr>
          <w:ilvl w:val="1"/>
          <w:numId w:val="38"/>
        </w:numPr>
        <w:spacing w:line="360" w:lineRule="auto"/>
        <w:rPr>
          <w:color w:val="000000"/>
          <w:szCs w:val="21"/>
        </w:rPr>
      </w:pPr>
      <w:r>
        <w:rPr>
          <w:color w:val="000000"/>
          <w:szCs w:val="21"/>
        </w:rPr>
        <w:t xml:space="preserve">投标人需完成屏蔽控制室墙面和顶部装修。</w:t>
      </w:r>
      <w:r>
        <w:rPr>
          <w:color w:val="000000"/>
          <w:szCs w:val="21"/>
        </w:rPr>
      </w:r>
      <w:r/>
    </w:p>
    <w:p>
      <w:pPr>
        <w:pStyle w:val="1082"/>
        <w:numPr>
          <w:ilvl w:val="1"/>
          <w:numId w:val="38"/>
        </w:numPr>
        <w:spacing w:line="360" w:lineRule="auto"/>
        <w:rPr>
          <w:color w:val="000000"/>
          <w:szCs w:val="21"/>
          <w:highlight w:val="none"/>
        </w:rPr>
      </w:pPr>
      <w:r>
        <w:rPr>
          <w:color w:val="000000"/>
          <w:szCs w:val="21"/>
          <w:highlight w:val="none"/>
        </w:rPr>
        <w:t xml:space="preserve">投标人需提供屏蔽控制室内桌椅，满足招标人测试和使用需求。</w:t>
      </w:r>
      <w:r>
        <w:rPr>
          <w:color w:val="000000"/>
          <w:szCs w:val="21"/>
          <w:highlight w:val="none"/>
        </w:rPr>
      </w:r>
      <w:r/>
    </w:p>
    <w:p>
      <w:pPr>
        <w:pStyle w:val="1082"/>
        <w:numPr>
          <w:ilvl w:val="1"/>
          <w:numId w:val="38"/>
        </w:numPr>
        <w:spacing w:line="360" w:lineRule="auto"/>
        <w:rPr>
          <w:szCs w:val="21"/>
          <w:highlight w:val="none"/>
        </w:rPr>
      </w:pPr>
      <w:r>
        <w:rPr>
          <w:color w:val="000000"/>
          <w:szCs w:val="21"/>
          <w:highlight w:val="none"/>
        </w:rPr>
        <w:t xml:space="preserve">暗室以及屏蔽室用木板需采用优质材料，不存在发霉、变形、空鼓等质量问题，必须符合E0级环保要求，提供检测报告。</w:t>
      </w:r>
      <w:r>
        <w:rPr>
          <w:szCs w:val="21"/>
          <w:highlight w:val="none"/>
        </w:rPr>
      </w:r>
      <w:r/>
    </w:p>
    <w:p>
      <w:pPr>
        <w:pStyle w:val="1083"/>
        <w:numPr>
          <w:ilvl w:val="0"/>
          <w:numId w:val="0"/>
        </w:numPr>
        <w:jc w:val="both"/>
        <w:spacing w:before="120" w:after="120" w:line="360" w:lineRule="auto"/>
        <w:rPr>
          <w:sz w:val="21"/>
          <w:szCs w:val="21"/>
        </w:rPr>
      </w:pPr>
      <w:r>
        <w:rPr>
          <w:sz w:val="21"/>
          <w:szCs w:val="21"/>
          <w:lang w:val="en-US" w:eastAsia="zh-CN"/>
        </w:rPr>
        <w:t xml:space="preserve">五．</w:t>
      </w:r>
      <w:r>
        <w:rPr>
          <w:sz w:val="21"/>
          <w:szCs w:val="21"/>
        </w:rPr>
        <w:t xml:space="preserve">技术培训</w:t>
      </w:r>
      <w:r>
        <w:rPr>
          <w:sz w:val="21"/>
          <w:szCs w:val="21"/>
        </w:rPr>
      </w:r>
      <w:r/>
    </w:p>
    <w:p>
      <w:pPr>
        <w:pStyle w:val="1082"/>
        <w:ind w:firstLine="420"/>
        <w:spacing w:line="360" w:lineRule="auto"/>
        <w:rPr>
          <w:szCs w:val="21"/>
        </w:rPr>
      </w:pPr>
      <w:r>
        <w:rPr>
          <w:szCs w:val="21"/>
        </w:rPr>
        <w:t xml:space="preserve">投标方</w:t>
      </w:r>
      <w:r>
        <w:rPr>
          <w:szCs w:val="21"/>
        </w:rPr>
        <w:t xml:space="preserve">现场对招标方人员进行培训。培训的内容包括但不限于：</w:t>
      </w:r>
      <w:r>
        <w:rPr>
          <w:szCs w:val="21"/>
        </w:rPr>
      </w:r>
      <w:r/>
    </w:p>
    <w:p>
      <w:pPr>
        <w:pStyle w:val="1082"/>
        <w:numPr>
          <w:ilvl w:val="0"/>
          <w:numId w:val="39"/>
        </w:numPr>
        <w:spacing w:line="360" w:lineRule="auto"/>
        <w:rPr>
          <w:szCs w:val="21"/>
        </w:rPr>
      </w:pPr>
      <w:r>
        <w:rPr>
          <w:szCs w:val="21"/>
        </w:rPr>
        <w:t xml:space="preserve">设备的基本构造及工作原理；</w:t>
      </w:r>
      <w:r>
        <w:rPr>
          <w:szCs w:val="21"/>
        </w:rPr>
      </w:r>
      <w:r/>
    </w:p>
    <w:p>
      <w:pPr>
        <w:pStyle w:val="1082"/>
        <w:numPr>
          <w:ilvl w:val="0"/>
          <w:numId w:val="39"/>
        </w:numPr>
        <w:spacing w:line="360" w:lineRule="auto"/>
        <w:rPr>
          <w:szCs w:val="21"/>
        </w:rPr>
      </w:pPr>
      <w:r>
        <w:rPr>
          <w:szCs w:val="21"/>
        </w:rPr>
        <w:t xml:space="preserve">设备的调试、测试、校准及接口技术；</w:t>
      </w:r>
      <w:r>
        <w:rPr>
          <w:szCs w:val="21"/>
        </w:rPr>
      </w:r>
      <w:r/>
    </w:p>
    <w:p>
      <w:pPr>
        <w:pStyle w:val="1082"/>
        <w:numPr>
          <w:ilvl w:val="0"/>
          <w:numId w:val="39"/>
        </w:numPr>
        <w:spacing w:line="360" w:lineRule="auto"/>
        <w:rPr>
          <w:szCs w:val="21"/>
        </w:rPr>
      </w:pPr>
      <w:r>
        <w:rPr>
          <w:szCs w:val="21"/>
        </w:rPr>
        <w:t xml:space="preserve">设备的正常操作和使用方法；</w:t>
      </w:r>
      <w:r>
        <w:rPr>
          <w:szCs w:val="21"/>
        </w:rPr>
      </w:r>
      <w:r/>
    </w:p>
    <w:p>
      <w:pPr>
        <w:pStyle w:val="1082"/>
        <w:numPr>
          <w:ilvl w:val="0"/>
          <w:numId w:val="39"/>
        </w:numPr>
        <w:spacing w:line="360" w:lineRule="auto"/>
        <w:rPr>
          <w:szCs w:val="21"/>
        </w:rPr>
      </w:pPr>
      <w:r>
        <w:rPr>
          <w:szCs w:val="21"/>
        </w:rPr>
        <w:t xml:space="preserve">设备的日常维护和保养方法。</w:t>
      </w:r>
      <w:r>
        <w:rPr>
          <w:szCs w:val="21"/>
        </w:rPr>
      </w:r>
      <w:r/>
    </w:p>
    <w:p>
      <w:pPr>
        <w:pStyle w:val="1083"/>
        <w:numPr>
          <w:ilvl w:val="0"/>
          <w:numId w:val="0"/>
        </w:numPr>
        <w:jc w:val="both"/>
        <w:spacing w:before="120" w:after="120" w:line="360" w:lineRule="auto"/>
        <w:rPr>
          <w:sz w:val="21"/>
          <w:szCs w:val="21"/>
          <w:highlight w:val="none"/>
        </w:rPr>
      </w:pPr>
      <w:r/>
      <w:bookmarkEnd w:id="24"/>
      <w:r/>
      <w:bookmarkEnd w:id="25"/>
      <w:r>
        <w:rPr>
          <w:sz w:val="21"/>
          <w:szCs w:val="21"/>
          <w:highlight w:val="none"/>
          <w:lang w:val="en-US" w:eastAsia="zh-CN"/>
        </w:rPr>
        <w:t xml:space="preserve">六．</w:t>
      </w:r>
      <w:r>
        <w:rPr>
          <w:sz w:val="21"/>
          <w:szCs w:val="21"/>
          <w:highlight w:val="none"/>
        </w:rPr>
        <w:t xml:space="preserve">售后服务</w:t>
      </w:r>
      <w:r>
        <w:rPr>
          <w:sz w:val="21"/>
          <w:szCs w:val="21"/>
          <w:highlight w:val="none"/>
        </w:rPr>
      </w:r>
      <w:r/>
    </w:p>
    <w:p>
      <w:pPr>
        <w:pStyle w:val="1082"/>
        <w:numPr>
          <w:ilvl w:val="0"/>
          <w:numId w:val="40"/>
        </w:numPr>
        <w:spacing w:line="360" w:lineRule="auto"/>
        <w:rPr>
          <w:szCs w:val="21"/>
        </w:rPr>
      </w:pPr>
      <w:r>
        <w:rPr>
          <w:szCs w:val="21"/>
          <w:highlight w:val="none"/>
        </w:rPr>
        <w:t xml:space="preserve">在质量保证期间，承建方负责免费维修任何失效部分（人为因素或不可抗力造成的失效除外），如无法维修，则免费更换，质量保证期限从</w:t>
      </w:r>
      <w:r>
        <w:rPr>
          <w:szCs w:val="21"/>
        </w:rPr>
        <w:t xml:space="preserve">新的部件更换日起计；</w:t>
      </w:r>
      <w:r>
        <w:rPr>
          <w:szCs w:val="21"/>
        </w:rPr>
      </w:r>
      <w:r/>
    </w:p>
    <w:p>
      <w:pPr>
        <w:pStyle w:val="1082"/>
        <w:numPr>
          <w:ilvl w:val="0"/>
          <w:numId w:val="40"/>
        </w:numPr>
        <w:spacing w:line="360" w:lineRule="auto"/>
        <w:rPr>
          <w:szCs w:val="21"/>
        </w:rPr>
      </w:pPr>
      <w:r>
        <w:rPr>
          <w:szCs w:val="21"/>
        </w:rPr>
        <w:t xml:space="preserve">无论更换或维修，保证性能不降低；</w:t>
      </w:r>
      <w:r>
        <w:rPr>
          <w:szCs w:val="21"/>
        </w:rPr>
      </w:r>
      <w:r/>
    </w:p>
    <w:p>
      <w:pPr>
        <w:pStyle w:val="1082"/>
        <w:numPr>
          <w:ilvl w:val="0"/>
          <w:numId w:val="40"/>
        </w:numPr>
        <w:spacing w:line="360" w:lineRule="auto"/>
        <w:rPr>
          <w:szCs w:val="21"/>
        </w:rPr>
      </w:pPr>
      <w:r>
        <w:rPr>
          <w:szCs w:val="21"/>
        </w:rPr>
        <w:t xml:space="preserve">质保期以电波暗室终验收完成后项目移交之日起计算，</w:t>
      </w:r>
      <w:r>
        <w:rPr>
          <w:rFonts w:hint="eastAsia"/>
          <w:b/>
          <w:bCs/>
          <w:szCs w:val="21"/>
          <w:lang w:val="en-US" w:eastAsia="zh-CN"/>
        </w:rPr>
        <w:t xml:space="preserve">各核心产品的质量保证期如下：</w:t>
      </w:r>
      <w:r>
        <w:rPr>
          <w:szCs w:val="21"/>
        </w:rPr>
      </w:r>
      <w:r/>
    </w:p>
    <w:tbl>
      <w:tblPr>
        <w:tblpPr w:horzAnchor="margin" w:tblpXSpec="left" w:vertAnchor="text" w:tblpY="4"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9"/>
        <w:gridCol w:w="3283"/>
      </w:tblGrid>
      <w:tr>
        <w:trPr>
          <w:trHeight w:val="340"/>
        </w:trPr>
        <w:tc>
          <w:tcPr>
            <w:tcW w:w="3223" w:type="dxa"/>
            <w:vAlign w:val="center"/>
            <w:textDirection w:val="lrTb"/>
            <w:noWrap w:val="false"/>
          </w:tcPr>
          <w:p>
            <w:pPr>
              <w:pStyle w:val="1082"/>
              <w:jc w:val="center"/>
              <w:spacing w:before="120" w:after="120" w:line="360" w:lineRule="auto"/>
              <w:widowControl/>
              <w:rPr>
                <w:b/>
                <w:color w:val="222222"/>
                <w:szCs w:val="21"/>
              </w:rPr>
              <w:framePr w:vAnchor="page" w:hAnchor="page" w:y="4"/>
            </w:pPr>
            <w:r>
              <w:rPr>
                <w:b/>
                <w:color w:val="000000"/>
                <w:szCs w:val="21"/>
              </w:rPr>
              <w:t xml:space="preserve">部件名称</w:t>
            </w:r>
            <w:r>
              <w:rPr>
                <w:b/>
                <w:color w:val="222222"/>
                <w:szCs w:val="21"/>
              </w:rPr>
            </w:r>
            <w:r/>
          </w:p>
        </w:tc>
        <w:tc>
          <w:tcPr>
            <w:tcW w:w="1776" w:type="dxa"/>
            <w:vAlign w:val="center"/>
            <w:textDirection w:val="lrTb"/>
            <w:noWrap w:val="false"/>
          </w:tcPr>
          <w:p>
            <w:pPr>
              <w:pStyle w:val="1082"/>
              <w:jc w:val="center"/>
              <w:spacing w:before="120" w:after="120" w:line="360" w:lineRule="auto"/>
              <w:widowControl/>
              <w:rPr>
                <w:b/>
                <w:color w:val="222222"/>
                <w:szCs w:val="21"/>
              </w:rPr>
              <w:framePr w:vAnchor="page" w:hAnchor="page" w:y="4"/>
            </w:pPr>
            <w:r>
              <w:rPr>
                <w:b/>
                <w:color w:val="000000"/>
                <w:szCs w:val="21"/>
              </w:rPr>
              <w:t xml:space="preserve">时间</w:t>
            </w:r>
            <w:r>
              <w:rPr>
                <w:b/>
                <w:color w:val="222222"/>
                <w:szCs w:val="21"/>
              </w:rPr>
            </w:r>
            <w:r/>
          </w:p>
        </w:tc>
      </w:tr>
      <w:tr>
        <w:trPr>
          <w:trHeight w:val="340"/>
        </w:trPr>
        <w:tc>
          <w:tcPr>
            <w:tcW w:w="3223"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屏蔽体</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3"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铁氧体、吸波尖劈</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3"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屏蔽门</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5年</w:t>
            </w:r>
            <w:r>
              <w:rPr>
                <w:color w:val="222222"/>
                <w:szCs w:val="21"/>
              </w:rPr>
            </w:r>
            <w:r/>
          </w:p>
        </w:tc>
      </w:tr>
    </w:tbl>
    <w:p>
      <w:pPr>
        <w:pStyle w:val="1094"/>
        <w:ind w:firstLine="420"/>
        <w:spacing w:line="360" w:lineRule="auto"/>
        <w:rPr>
          <w:rFonts w:ascii="Times New Roman"/>
          <w:szCs w:val="21"/>
        </w:rPr>
      </w:pPr>
      <w:r>
        <w:rPr>
          <w:rFonts w:ascii="Times New Roman"/>
          <w:szCs w:val="21"/>
        </w:rPr>
      </w:r>
      <w:r/>
    </w:p>
    <w:p>
      <w:pPr>
        <w:pStyle w:val="1082"/>
        <w:numPr>
          <w:ilvl w:val="0"/>
          <w:numId w:val="40"/>
        </w:numPr>
        <w:spacing w:line="360" w:lineRule="auto"/>
        <w:rPr>
          <w:szCs w:val="21"/>
        </w:rPr>
      </w:pPr>
      <w:r>
        <w:rPr>
          <w:szCs w:val="21"/>
        </w:rPr>
        <w:t xml:space="preserve">投标方必须提供“售后服务承诺书”。投标方与招标方应该在协议中明确规定售后服务的内容和承诺。</w:t>
      </w:r>
      <w:r>
        <w:rPr>
          <w:szCs w:val="21"/>
        </w:rPr>
      </w:r>
      <w:r/>
    </w:p>
    <w:p>
      <w:pPr>
        <w:pStyle w:val="1082"/>
        <w:numPr>
          <w:ilvl w:val="0"/>
          <w:numId w:val="40"/>
        </w:numPr>
        <w:spacing w:line="360" w:lineRule="auto"/>
        <w:rPr>
          <w:szCs w:val="21"/>
        </w:rPr>
      </w:pPr>
      <w:r>
        <w:rPr>
          <w:szCs w:val="21"/>
        </w:rPr>
        <w:t xml:space="preserve">投标方对提供的产品保证五年的技术支持售后服务，保证五年的产品免费上门维修服务（厂家免费维修，并提供保修证明文件），第一年故障设备、仪表可免费换货。保修期自供需双方代表在设备验收单上签字之日起计算。</w:t>
      </w:r>
      <w:r>
        <w:rPr>
          <w:szCs w:val="21"/>
        </w:rPr>
      </w:r>
      <w:r/>
    </w:p>
    <w:p>
      <w:pPr>
        <w:pStyle w:val="1082"/>
        <w:numPr>
          <w:ilvl w:val="0"/>
          <w:numId w:val="40"/>
        </w:numPr>
        <w:spacing w:line="360" w:lineRule="auto"/>
        <w:rPr>
          <w:szCs w:val="21"/>
        </w:rPr>
      </w:pPr>
      <w:r>
        <w:rPr>
          <w:szCs w:val="21"/>
        </w:rPr>
        <w:t xml:space="preserve">设备故障报修的响应时间：每天8：00~18：00期间为2小时。其余期间为15小时。</w:t>
      </w:r>
      <w:r>
        <w:rPr>
          <w:szCs w:val="21"/>
        </w:rPr>
      </w:r>
      <w:r/>
    </w:p>
    <w:p>
      <w:pPr>
        <w:pStyle w:val="1082"/>
        <w:numPr>
          <w:ilvl w:val="0"/>
          <w:numId w:val="40"/>
        </w:numPr>
        <w:spacing w:line="360" w:lineRule="auto"/>
        <w:rPr>
          <w:szCs w:val="21"/>
        </w:rPr>
      </w:pPr>
      <w:r>
        <w:rPr>
          <w:szCs w:val="21"/>
        </w:rPr>
        <w:t xml:space="preserve">如果设备故障在检修8小时后仍无法排除，投标方应在48小时内提供不低于故障设备规格型号档次的备用设备供招标单位使用，直至故障设备修复。</w:t>
      </w:r>
      <w:r>
        <w:rPr>
          <w:szCs w:val="21"/>
        </w:rPr>
      </w:r>
      <w:r/>
    </w:p>
    <w:p>
      <w:pPr>
        <w:pStyle w:val="1082"/>
        <w:numPr>
          <w:ilvl w:val="0"/>
          <w:numId w:val="40"/>
        </w:numPr>
        <w:spacing w:line="360" w:lineRule="auto"/>
        <w:rPr>
          <w:szCs w:val="21"/>
        </w:rPr>
      </w:pPr>
      <w:r>
        <w:rPr>
          <w:szCs w:val="21"/>
        </w:rPr>
        <w:t xml:space="preserve">所有设备保修服务方式均为上门保修，即由投标方到用户设备使用现场维修。由此产生的一切费用均由投标方承担。</w:t>
      </w:r>
      <w:r>
        <w:rPr>
          <w:szCs w:val="21"/>
        </w:rPr>
      </w:r>
      <w:r/>
    </w:p>
    <w:p>
      <w:pPr>
        <w:pStyle w:val="1082"/>
        <w:numPr>
          <w:ilvl w:val="0"/>
          <w:numId w:val="40"/>
        </w:numPr>
        <w:spacing w:line="360" w:lineRule="auto"/>
        <w:rPr>
          <w:szCs w:val="21"/>
        </w:rPr>
      </w:pPr>
      <w:r>
        <w:rPr>
          <w:szCs w:val="21"/>
        </w:rPr>
        <w:t xml:space="preserve">投标方须提出保修期内的维修、维护内容和范围（产品、技术、模块、部件）。</w:t>
      </w:r>
      <w:r>
        <w:rPr>
          <w:szCs w:val="21"/>
        </w:rPr>
      </w:r>
      <w:r/>
    </w:p>
    <w:p>
      <w:pPr>
        <w:pStyle w:val="1163"/>
        <w:ind w:firstLine="0"/>
        <w:rPr>
          <w:b/>
          <w:bCs/>
          <w:sz w:val="32"/>
          <w:szCs w:val="44"/>
        </w:rPr>
      </w:pPr>
      <w:r>
        <w:br w:type="page" w:clear="all"/>
      </w:r>
      <w:r>
        <w:rPr>
          <w:b/>
          <w:bCs/>
          <w:sz w:val="32"/>
          <w:szCs w:val="44"/>
        </w:rPr>
      </w:r>
      <w:r/>
    </w:p>
    <w:p>
      <w:pPr>
        <w:pStyle w:val="1083"/>
        <w:numPr>
          <w:ilvl w:val="0"/>
          <w:numId w:val="41"/>
        </w:numPr>
      </w:pPr>
      <w:r/>
      <w:bookmarkStart w:id="29" w:name="_Toc15239"/>
      <w:r>
        <w:t xml:space="preserve">合同主要条款及格式</w:t>
      </w:r>
      <w:bookmarkEnd w:id="14"/>
      <w:r/>
      <w:bookmarkEnd w:id="29"/>
      <w:r/>
      <w:r/>
    </w:p>
    <w:p>
      <w:pPr>
        <w:pStyle w:val="1082"/>
        <w:ind w:firstLine="3990"/>
        <w:spacing w:line="360" w:lineRule="auto"/>
        <w:rPr>
          <w:szCs w:val="21"/>
        </w:rPr>
      </w:pPr>
      <w:r>
        <w:rPr>
          <w:szCs w:val="21"/>
        </w:rPr>
        <w:t xml:space="preserve">编 号： </w:t>
      </w:r>
      <w:r>
        <w:rPr>
          <w:szCs w:val="21"/>
        </w:rPr>
      </w:r>
      <w:r/>
    </w:p>
    <w:p>
      <w:pPr>
        <w:pStyle w:val="1082"/>
        <w:ind w:left="108" w:firstLine="420"/>
        <w:jc w:val="left"/>
        <w:spacing w:line="351" w:lineRule="auto"/>
        <w:tabs>
          <w:tab w:val="left" w:pos="4785" w:leader="none"/>
        </w:tabs>
        <w:rPr>
          <w:bCs/>
          <w:szCs w:val="21"/>
        </w:rPr>
      </w:pPr>
      <w:r>
        <w:rPr>
          <w:bCs/>
          <w:szCs w:val="21"/>
        </w:rPr>
        <w:t xml:space="preserve">买方：江苏省产品质量监督检验研究院</w:t>
      </w:r>
      <w:r>
        <w:rPr>
          <w:bCs/>
          <w:szCs w:val="21"/>
        </w:rPr>
      </w:r>
      <w:r/>
    </w:p>
    <w:p>
      <w:pPr>
        <w:pStyle w:val="1082"/>
        <w:ind w:left="108" w:firstLine="420"/>
        <w:jc w:val="left"/>
        <w:spacing w:line="351" w:lineRule="auto"/>
        <w:tabs>
          <w:tab w:val="left" w:pos="4785" w:leader="none"/>
        </w:tabs>
        <w:rPr>
          <w:bCs/>
          <w:szCs w:val="21"/>
        </w:rPr>
      </w:pPr>
      <w:r>
        <w:rPr>
          <w:bCs/>
          <w:szCs w:val="21"/>
        </w:rPr>
        <w:t xml:space="preserve">卖方：</w:t>
      </w:r>
      <w:r>
        <w:rPr>
          <w:bCs/>
          <w:szCs w:val="21"/>
        </w:rPr>
      </w:r>
      <w:r/>
    </w:p>
    <w:p>
      <w:pPr>
        <w:pStyle w:val="1082"/>
        <w:ind w:left="108" w:firstLine="420"/>
        <w:jc w:val="left"/>
        <w:spacing w:line="351" w:lineRule="auto"/>
        <w:tabs>
          <w:tab w:val="left" w:pos="4785" w:leader="none"/>
        </w:tabs>
        <w:rPr>
          <w:bCs/>
          <w:szCs w:val="21"/>
        </w:rPr>
      </w:pPr>
      <w:r>
        <w:rPr>
          <w:bCs/>
          <w:szCs w:val="21"/>
        </w:rPr>
        <w:t xml:space="preserve">招标采购代理机构：江苏省设备成套股份有限公司</w:t>
      </w:r>
      <w:r>
        <w:rPr>
          <w:bCs/>
          <w:szCs w:val="21"/>
        </w:rPr>
      </w:r>
      <w:r/>
    </w:p>
    <w:p>
      <w:pPr>
        <w:pStyle w:val="1082"/>
        <w:ind w:left="108" w:firstLine="420"/>
        <w:jc w:val="left"/>
        <w:spacing w:line="351" w:lineRule="auto"/>
        <w:tabs>
          <w:tab w:val="left" w:pos="4785" w:leader="none"/>
        </w:tabs>
        <w:rPr>
          <w:bCs/>
          <w:szCs w:val="21"/>
        </w:rPr>
      </w:pPr>
      <w:r>
        <w:rPr>
          <w:bCs/>
          <w:szCs w:val="21"/>
        </w:rPr>
        <w:t xml:space="preserve">一、说明：</w:t>
      </w:r>
      <w:r>
        <w:rPr>
          <w:bCs/>
          <w:szCs w:val="21"/>
        </w:rPr>
      </w:r>
      <w:r/>
    </w:p>
    <w:p>
      <w:pPr>
        <w:pStyle w:val="1082"/>
        <w:ind w:left="5" w:firstLine="518"/>
        <w:jc w:val="left"/>
        <w:spacing w:line="351" w:lineRule="auto"/>
        <w:tabs>
          <w:tab w:val="left" w:pos="4785" w:leader="none"/>
        </w:tabs>
        <w:rPr>
          <w:bCs/>
          <w:szCs w:val="21"/>
        </w:rPr>
      </w:pPr>
      <w:r>
        <w:rPr>
          <w:bCs/>
          <w:szCs w:val="21"/>
        </w:rPr>
        <w:t xml:space="preserve">受买方委托，招标采购代理机构于2026年xx月xx日组织了</w:t>
      </w:r>
      <w:r>
        <w:rPr>
          <w:spacing w:val="8"/>
          <w:szCs w:val="21"/>
        </w:rPr>
        <w:t xml:space="preserve">江苏省产品质量监督检验研究院10米法电波暗室采购项目</w:t>
      </w:r>
      <w:r>
        <w:rPr>
          <w:bCs/>
          <w:szCs w:val="21"/>
        </w:rPr>
        <w:t xml:space="preserve">，经评委认真严格地评审，确定由卖方成交。</w:t>
      </w:r>
      <w:r>
        <w:rPr>
          <w:bCs/>
          <w:szCs w:val="21"/>
        </w:rPr>
      </w:r>
      <w:r/>
    </w:p>
    <w:p>
      <w:pPr>
        <w:pStyle w:val="1082"/>
        <w:ind w:left="108" w:firstLine="420"/>
        <w:jc w:val="left"/>
        <w:spacing w:line="351" w:lineRule="auto"/>
        <w:tabs>
          <w:tab w:val="left" w:pos="4785" w:leader="none"/>
        </w:tabs>
        <w:rPr>
          <w:bCs/>
          <w:szCs w:val="21"/>
        </w:rPr>
      </w:pPr>
      <w:r>
        <w:rPr>
          <w:bCs/>
          <w:szCs w:val="21"/>
        </w:rPr>
        <w:t xml:space="preserve">二、合同条款：</w:t>
      </w:r>
      <w:r>
        <w:rPr>
          <w:bCs/>
          <w:szCs w:val="21"/>
        </w:rPr>
      </w:r>
      <w:r/>
    </w:p>
    <w:p>
      <w:pPr>
        <w:pStyle w:val="1082"/>
        <w:ind w:left="108" w:firstLine="420"/>
        <w:jc w:val="left"/>
        <w:spacing w:line="351" w:lineRule="auto"/>
        <w:tabs>
          <w:tab w:val="left" w:pos="4785" w:leader="none"/>
        </w:tabs>
        <w:rPr>
          <w:bCs/>
          <w:szCs w:val="21"/>
        </w:rPr>
      </w:pPr>
      <w:r>
        <w:rPr>
          <w:bCs/>
          <w:szCs w:val="21"/>
        </w:rPr>
        <w:t xml:space="preserve">1.</w:t>
      </w:r>
      <w:r>
        <w:rPr>
          <w:szCs w:val="21"/>
        </w:rPr>
        <w:t xml:space="preserve"> </w:t>
      </w:r>
      <w:r>
        <w:rPr>
          <w:bCs/>
          <w:szCs w:val="21"/>
        </w:rPr>
        <w:t xml:space="preserve">现依照采购结果（采购文件编号：\项目编号：     ），买卖双方达成如下协议：</w:t>
      </w:r>
      <w:r>
        <w:rPr>
          <w:bCs/>
          <w:szCs w:val="21"/>
        </w:rPr>
      </w:r>
      <w:r/>
    </w:p>
    <w:p>
      <w:pPr>
        <w:pStyle w:val="1082"/>
        <w:ind w:firstLine="420"/>
        <w:spacing w:after="120" w:line="360" w:lineRule="auto"/>
        <w:rPr>
          <w:bCs/>
          <w:szCs w:val="21"/>
        </w:rPr>
      </w:pPr>
      <w:r>
        <w:rPr>
          <w:bCs/>
          <w:szCs w:val="21"/>
        </w:rPr>
        <w:t xml:space="preserve">本次设备（或服务）合同总金额含税价（或免税价）人民币（大写)     元整（¥   元），具体如下列清单所示：</w:t>
      </w:r>
      <w:r>
        <w:rPr>
          <w:bCs/>
          <w:szCs w:val="21"/>
        </w:rPr>
      </w:r>
      <w:r/>
    </w:p>
    <w:tbl>
      <w:tblPr>
        <w:tblpPr w:horzAnchor="margin" w:tblpX="133" w:vertAnchor="text" w:tblpY="43" w:leftFromText="180" w:topFromText="0" w:rightFromText="180" w:bottomFromText="0"/>
        <w:tblW w:w="49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8"/>
        <w:gridCol w:w="821"/>
        <w:gridCol w:w="1804"/>
        <w:gridCol w:w="1523"/>
        <w:gridCol w:w="868"/>
        <w:gridCol w:w="777"/>
        <w:gridCol w:w="875"/>
        <w:gridCol w:w="752"/>
      </w:tblGrid>
      <w:tr>
        <w:trPr>
          <w:cantSplit/>
          <w:trHeight w:val="613"/>
        </w:trPr>
        <w:tc>
          <w:tcPr>
            <w:tcW w:w="922" w:type="dxa"/>
            <w:vAlign w:val="center"/>
            <w:textDirection w:val="lrTb"/>
            <w:noWrap w:val="false"/>
          </w:tcPr>
          <w:p>
            <w:pPr>
              <w:pStyle w:val="1082"/>
              <w:jc w:val="center"/>
              <w:spacing w:line="360" w:lineRule="auto"/>
              <w:rPr>
                <w:bCs/>
                <w:szCs w:val="21"/>
              </w:rPr>
              <w:framePr w:vAnchor="page" w:hAnchor="page" w:x="133" w:y="43"/>
            </w:pPr>
            <w:r>
              <w:rPr>
                <w:bCs/>
                <w:szCs w:val="21"/>
              </w:rPr>
              <w:t xml:space="preserve">设备名称</w:t>
            </w:r>
            <w:r>
              <w:rPr>
                <w:bCs/>
                <w:szCs w:val="21"/>
              </w:rPr>
            </w:r>
            <w:r/>
          </w:p>
        </w:tc>
        <w:tc>
          <w:tcPr>
            <w:tcW w:w="451" w:type="dxa"/>
            <w:vAlign w:val="center"/>
            <w:textDirection w:val="lrTb"/>
            <w:noWrap w:val="false"/>
          </w:tcPr>
          <w:p>
            <w:pPr>
              <w:pStyle w:val="1082"/>
              <w:jc w:val="center"/>
              <w:spacing w:line="360" w:lineRule="auto"/>
              <w:rPr>
                <w:bCs/>
                <w:szCs w:val="21"/>
              </w:rPr>
              <w:framePr w:vAnchor="page" w:hAnchor="page" w:x="133" w:y="43"/>
            </w:pPr>
            <w:r>
              <w:rPr>
                <w:bCs/>
                <w:szCs w:val="21"/>
              </w:rPr>
              <w:t xml:space="preserve">品牌</w:t>
            </w:r>
            <w:r>
              <w:rPr>
                <w:bCs/>
                <w:szCs w:val="21"/>
              </w:rPr>
            </w:r>
            <w:r/>
          </w:p>
        </w:tc>
        <w:tc>
          <w:tcPr>
            <w:tcW w:w="991" w:type="dxa"/>
            <w:vAlign w:val="center"/>
            <w:textDirection w:val="lrTb"/>
            <w:noWrap w:val="false"/>
          </w:tcPr>
          <w:p>
            <w:pPr>
              <w:pStyle w:val="1082"/>
              <w:jc w:val="center"/>
              <w:spacing w:line="360" w:lineRule="auto"/>
              <w:rPr>
                <w:bCs/>
                <w:szCs w:val="21"/>
              </w:rPr>
              <w:framePr w:vAnchor="page" w:hAnchor="page" w:x="133" w:y="43"/>
            </w:pPr>
            <w:r>
              <w:rPr>
                <w:bCs/>
                <w:szCs w:val="21"/>
              </w:rPr>
              <w:t xml:space="preserve">型号、配置</w:t>
            </w:r>
            <w:r>
              <w:rPr>
                <w:bCs/>
                <w:szCs w:val="21"/>
              </w:rPr>
            </w:r>
            <w:r/>
          </w:p>
        </w:tc>
        <w:tc>
          <w:tcPr>
            <w:tcW w:w="837" w:type="dxa"/>
            <w:vAlign w:val="center"/>
            <w:textDirection w:val="lrTb"/>
            <w:noWrap w:val="false"/>
          </w:tcPr>
          <w:p>
            <w:pPr>
              <w:pStyle w:val="1082"/>
              <w:jc w:val="center"/>
              <w:spacing w:line="360" w:lineRule="auto"/>
              <w:rPr>
                <w:bCs/>
                <w:szCs w:val="21"/>
              </w:rPr>
              <w:framePr w:vAnchor="page" w:hAnchor="page" w:x="133" w:y="43"/>
            </w:pPr>
            <w:r>
              <w:rPr>
                <w:bCs/>
                <w:szCs w:val="21"/>
              </w:rPr>
              <w:t xml:space="preserve">产地/制造商名称</w:t>
            </w:r>
            <w:r>
              <w:rPr>
                <w:bCs/>
                <w:szCs w:val="21"/>
              </w:rPr>
            </w:r>
            <w:r/>
          </w:p>
        </w:tc>
        <w:tc>
          <w:tcPr>
            <w:tcW w:w="477" w:type="dxa"/>
            <w:vAlign w:val="center"/>
            <w:textDirection w:val="lrTb"/>
            <w:noWrap w:val="false"/>
          </w:tcPr>
          <w:p>
            <w:pPr>
              <w:pStyle w:val="1082"/>
              <w:jc w:val="center"/>
              <w:spacing w:line="360" w:lineRule="auto"/>
              <w:rPr>
                <w:bCs/>
                <w:szCs w:val="21"/>
              </w:rPr>
              <w:framePr w:vAnchor="page" w:hAnchor="page" w:x="133" w:y="43"/>
            </w:pPr>
            <w:r>
              <w:rPr>
                <w:bCs/>
                <w:szCs w:val="21"/>
              </w:rPr>
              <w:t xml:space="preserve">数量</w:t>
            </w:r>
            <w:r>
              <w:rPr>
                <w:bCs/>
                <w:szCs w:val="21"/>
              </w:rPr>
            </w:r>
            <w:r/>
          </w:p>
        </w:tc>
        <w:tc>
          <w:tcPr>
            <w:tcW w:w="427" w:type="dxa"/>
            <w:vAlign w:val="center"/>
            <w:textDirection w:val="lrTb"/>
            <w:noWrap w:val="false"/>
          </w:tcPr>
          <w:p>
            <w:pPr>
              <w:pStyle w:val="1082"/>
              <w:jc w:val="center"/>
              <w:spacing w:line="360" w:lineRule="auto"/>
              <w:rPr>
                <w:bCs/>
                <w:szCs w:val="21"/>
              </w:rPr>
              <w:framePr w:vAnchor="page" w:hAnchor="page" w:x="133" w:y="43"/>
            </w:pPr>
            <w:r>
              <w:rPr>
                <w:bCs/>
                <w:szCs w:val="21"/>
              </w:rPr>
              <w:t xml:space="preserve">单价</w:t>
            </w:r>
            <w:r>
              <w:rPr>
                <w:bCs/>
                <w:szCs w:val="21"/>
              </w:rPr>
            </w:r>
            <w:r/>
          </w:p>
        </w:tc>
        <w:tc>
          <w:tcPr>
            <w:tcW w:w="481" w:type="dxa"/>
            <w:vAlign w:val="center"/>
            <w:textDirection w:val="lrTb"/>
            <w:noWrap w:val="false"/>
          </w:tcPr>
          <w:p>
            <w:pPr>
              <w:pStyle w:val="1082"/>
              <w:jc w:val="center"/>
              <w:spacing w:line="360" w:lineRule="auto"/>
              <w:rPr>
                <w:bCs/>
                <w:szCs w:val="21"/>
              </w:rPr>
              <w:framePr w:vAnchor="page" w:hAnchor="page" w:x="133" w:y="43"/>
            </w:pPr>
            <w:r>
              <w:rPr>
                <w:bCs/>
                <w:szCs w:val="21"/>
              </w:rPr>
              <w:t xml:space="preserve">金额</w:t>
            </w:r>
            <w:r>
              <w:rPr>
                <w:bCs/>
                <w:szCs w:val="21"/>
              </w:rPr>
            </w:r>
            <w:r/>
          </w:p>
        </w:tc>
        <w:tc>
          <w:tcPr>
            <w:tcW w:w="410" w:type="dxa"/>
            <w:vAlign w:val="center"/>
            <w:textDirection w:val="lrTb"/>
            <w:noWrap w:val="false"/>
          </w:tcPr>
          <w:p>
            <w:pPr>
              <w:pStyle w:val="1082"/>
              <w:jc w:val="center"/>
              <w:spacing w:line="360" w:lineRule="auto"/>
              <w:rPr>
                <w:bCs/>
                <w:szCs w:val="21"/>
              </w:rPr>
              <w:framePr w:vAnchor="page" w:hAnchor="page" w:x="133" w:y="43"/>
            </w:pPr>
            <w:r>
              <w:rPr>
                <w:bCs/>
                <w:szCs w:val="21"/>
              </w:rPr>
              <w:t xml:space="preserve">备注</w:t>
            </w:r>
            <w:r>
              <w:rPr>
                <w:bCs/>
                <w:szCs w:val="21"/>
              </w:rPr>
            </w:r>
            <w:r/>
          </w:p>
        </w:tc>
      </w:tr>
      <w:tr>
        <w:trPr>
          <w:cantSplit/>
          <w:trHeight w:val="607"/>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2643"/>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607"/>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615"/>
        </w:trPr>
        <w:tc>
          <w:tcPr>
            <w:tcW w:w="922" w:type="dxa"/>
            <w:vAlign w:val="center"/>
            <w:textDirection w:val="lrTb"/>
            <w:noWrap w:val="false"/>
          </w:tcPr>
          <w:p>
            <w:pPr>
              <w:pStyle w:val="1082"/>
              <w:ind w:right="-195"/>
              <w:jc w:val="center"/>
              <w:spacing w:line="360" w:lineRule="auto"/>
              <w:rPr>
                <w:bCs/>
                <w:szCs w:val="21"/>
              </w:rPr>
              <w:framePr w:vAnchor="page" w:hAnchor="page" w:x="133" w:y="43"/>
            </w:pPr>
            <w:r>
              <w:rPr>
                <w:bCs/>
                <w:szCs w:val="21"/>
              </w:rPr>
              <w:t xml:space="preserve">合同总金额</w:t>
            </w:r>
            <w:r>
              <w:rPr>
                <w:bCs/>
                <w:szCs w:val="21"/>
              </w:rPr>
            </w:r>
            <w:r/>
          </w:p>
          <w:p>
            <w:pPr>
              <w:pStyle w:val="1082"/>
              <w:jc w:val="center"/>
              <w:spacing w:line="360" w:lineRule="auto"/>
              <w:rPr>
                <w:bCs/>
                <w:szCs w:val="21"/>
              </w:rPr>
              <w:framePr w:vAnchor="page" w:hAnchor="page" w:x="133" w:y="43"/>
            </w:pPr>
            <w:r>
              <w:rPr>
                <w:bCs/>
                <w:szCs w:val="21"/>
              </w:rPr>
              <w:t xml:space="preserve">（含税或免税）</w:t>
            </w:r>
            <w:r>
              <w:rPr>
                <w:bCs/>
                <w:szCs w:val="21"/>
              </w:rPr>
            </w:r>
            <w:r/>
          </w:p>
        </w:tc>
        <w:tc>
          <w:tcPr>
            <w:gridSpan w:val="7"/>
            <w:tcW w:w="7420" w:type="dxa"/>
            <w:vAlign w:val="center"/>
            <w:textDirection w:val="lrTb"/>
            <w:noWrap w:val="false"/>
          </w:tcPr>
          <w:p>
            <w:pPr>
              <w:pStyle w:val="1082"/>
              <w:spacing w:line="360" w:lineRule="auto"/>
              <w:rPr>
                <w:bCs/>
                <w:szCs w:val="21"/>
              </w:rPr>
              <w:framePr w:vAnchor="page" w:hAnchor="page" w:x="133" w:y="43"/>
            </w:pPr>
            <w:r>
              <w:rPr>
                <w:bCs/>
                <w:szCs w:val="21"/>
              </w:rPr>
              <w:t xml:space="preserve">人民币（大写）：             元整 （￥：             元整）</w:t>
            </w:r>
            <w:r>
              <w:rPr>
                <w:bCs/>
                <w:szCs w:val="21"/>
              </w:rPr>
            </w:r>
            <w:r/>
          </w:p>
        </w:tc>
      </w:tr>
    </w:tbl>
    <w:p>
      <w:pPr>
        <w:pStyle w:val="1082"/>
        <w:ind w:left="108" w:firstLine="420"/>
        <w:jc w:val="left"/>
        <w:spacing w:line="351" w:lineRule="auto"/>
        <w:tabs>
          <w:tab w:val="left" w:pos="4785" w:leader="none"/>
        </w:tabs>
        <w:rPr>
          <w:bCs/>
          <w:szCs w:val="21"/>
        </w:rPr>
      </w:pPr>
      <w:r>
        <w:rPr>
          <w:bCs/>
          <w:szCs w:val="21"/>
        </w:rPr>
      </w:r>
      <w:r/>
    </w:p>
    <w:p>
      <w:pPr>
        <w:pStyle w:val="1082"/>
        <w:ind w:left="108" w:firstLine="420"/>
        <w:jc w:val="left"/>
        <w:spacing w:line="351" w:lineRule="auto"/>
        <w:tabs>
          <w:tab w:val="left" w:pos="4785" w:leader="none"/>
        </w:tabs>
        <w:rPr>
          <w:bCs/>
          <w:szCs w:val="21"/>
        </w:rPr>
      </w:pPr>
      <w:r>
        <w:rPr>
          <w:bCs/>
          <w:szCs w:val="21"/>
        </w:rPr>
        <w:t xml:space="preserve">2.1 卖方应严格按照本合同约定提供设备（或服务）及相应技术服务，上述列表清单未尽事宜，详见本合同附件所约定的设备（或服务）技术参数及要求等具体条款。</w:t>
      </w:r>
      <w:r>
        <w:rPr>
          <w:bCs/>
          <w:szCs w:val="21"/>
        </w:rPr>
      </w:r>
      <w:r/>
    </w:p>
    <w:p>
      <w:pPr>
        <w:pStyle w:val="1082"/>
        <w:ind w:left="108" w:firstLine="420"/>
        <w:jc w:val="left"/>
        <w:spacing w:line="351" w:lineRule="auto"/>
        <w:tabs>
          <w:tab w:val="left" w:pos="4785" w:leader="none"/>
        </w:tabs>
        <w:rPr>
          <w:bCs/>
          <w:szCs w:val="21"/>
        </w:rPr>
      </w:pPr>
      <w:r>
        <w:rPr>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bCs/>
          <w:szCs w:val="21"/>
        </w:rPr>
      </w:r>
      <w:r/>
    </w:p>
    <w:p>
      <w:pPr>
        <w:pStyle w:val="1082"/>
        <w:ind w:left="108" w:firstLine="420"/>
        <w:jc w:val="left"/>
        <w:spacing w:line="351" w:lineRule="auto"/>
        <w:tabs>
          <w:tab w:val="left" w:pos="4785" w:leader="none"/>
        </w:tabs>
        <w:rPr>
          <w:bCs/>
          <w:szCs w:val="21"/>
        </w:rPr>
      </w:pPr>
      <w:r>
        <w:rPr>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4. 收货人：江苏省产品质量监督检验研究院</w:t>
      </w:r>
      <w:r>
        <w:rPr>
          <w:bCs/>
          <w:szCs w:val="21"/>
        </w:rPr>
      </w:r>
      <w:r/>
    </w:p>
    <w:p>
      <w:pPr>
        <w:pStyle w:val="1082"/>
        <w:ind w:left="108" w:firstLine="420"/>
        <w:jc w:val="left"/>
        <w:spacing w:line="351" w:lineRule="auto"/>
        <w:tabs>
          <w:tab w:val="left" w:pos="4785" w:leader="none"/>
        </w:tabs>
        <w:rPr>
          <w:bCs/>
          <w:szCs w:val="21"/>
        </w:rPr>
      </w:pPr>
      <w:r>
        <w:rPr>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w:t>
      </w:r>
      <w:r>
        <w:rPr>
          <w:bCs/>
          <w:szCs w:val="21"/>
        </w:rPr>
      </w:r>
      <w:r/>
    </w:p>
    <w:p>
      <w:pPr>
        <w:pStyle w:val="1082"/>
        <w:ind w:left="108" w:firstLine="420"/>
        <w:jc w:val="left"/>
        <w:spacing w:line="351" w:lineRule="auto"/>
        <w:tabs>
          <w:tab w:val="left" w:pos="4785" w:leader="none"/>
        </w:tabs>
        <w:rPr>
          <w:bCs/>
          <w:szCs w:val="21"/>
        </w:rPr>
      </w:pPr>
      <w:r>
        <w:rPr>
          <w:bCs/>
          <w:szCs w:val="21"/>
        </w:rPr>
        <w:t xml:space="preserve">6. 包装要求：全部货物的外包装，必须采用防漏、防潮、防震、防锈、防盗和考虑到可能会发生的野蛮装卸等长途内陆运输及多次装卸之需要。</w:t>
      </w:r>
      <w:r>
        <w:rPr>
          <w:bCs/>
          <w:szCs w:val="21"/>
        </w:rPr>
      </w:r>
      <w:r/>
    </w:p>
    <w:p>
      <w:pPr>
        <w:pStyle w:val="1082"/>
        <w:ind w:left="108" w:firstLine="420"/>
        <w:jc w:val="left"/>
        <w:spacing w:line="351" w:lineRule="auto"/>
        <w:tabs>
          <w:tab w:val="left" w:pos="4785" w:leader="none"/>
        </w:tabs>
        <w:rPr>
          <w:bCs/>
          <w:szCs w:val="21"/>
          <w:highlight w:val="none"/>
        </w:rPr>
      </w:pPr>
      <w:r>
        <w:rPr>
          <w:szCs w:val="21"/>
          <w:highlight w:val="none"/>
        </w:rPr>
        <w:t xml:space="preserve">★</w:t>
      </w:r>
      <w:r>
        <w:rPr>
          <w:bCs/>
          <w:szCs w:val="21"/>
          <w:highlight w:val="none"/>
        </w:rPr>
        <w:t xml:space="preserve">7. 付款方式及期限：根据具体情况选择其中一种</w:t>
      </w:r>
      <w:r>
        <w:rPr>
          <w:bCs/>
          <w:szCs w:val="21"/>
          <w:highlight w:val="none"/>
        </w:rPr>
      </w:r>
      <w:r/>
    </w:p>
    <w:p>
      <w:pPr>
        <w:pStyle w:val="1082"/>
        <w:ind w:left="108" w:firstLine="420"/>
        <w:jc w:val="left"/>
        <w:spacing w:line="351" w:lineRule="auto"/>
        <w:tabs>
          <w:tab w:val="left" w:pos="4785" w:leader="none"/>
        </w:tabs>
        <w:rPr>
          <w:bCs/>
          <w:szCs w:val="21"/>
          <w:highlight w:val="none"/>
        </w:rPr>
      </w:pPr>
      <w:r>
        <w:rPr>
          <w:bCs/>
          <w:szCs w:val="21"/>
          <w:highlight w:val="none"/>
        </w:rPr>
        <w:t xml:space="preserve">1、合同签订生效后，卖方在合同履行期限内完成安装、调试，经甲方验收合格后，卖方向买方开具合同总价10%的银行保函，买方向卖方支付合同总价100%的货款，12个月后无息退回。</w:t>
      </w:r>
      <w:r>
        <w:rPr>
          <w:bCs/>
          <w:szCs w:val="21"/>
          <w:highlight w:val="none"/>
        </w:rPr>
      </w:r>
      <w:r/>
    </w:p>
    <w:p>
      <w:pPr>
        <w:pStyle w:val="1082"/>
        <w:ind w:left="108" w:firstLine="420"/>
        <w:jc w:val="left"/>
        <w:spacing w:line="351" w:lineRule="auto"/>
        <w:tabs>
          <w:tab w:val="left" w:pos="4785" w:leader="none"/>
        </w:tabs>
        <w:rPr>
          <w:bCs/>
          <w:szCs w:val="21"/>
          <w:highlight w:val="none"/>
        </w:rPr>
      </w:pPr>
      <w:r>
        <w:rPr>
          <w:bCs/>
          <w:szCs w:val="21"/>
          <w:highlight w:val="none"/>
        </w:rPr>
        <w:t xml:space="preserve">2、如遇特殊情况如疫情、突发应急、财务支付周期需要等，经双方协商，可采取款项预付方式，但预付金额不得超过合同金额的50%。</w:t>
      </w:r>
      <w:r>
        <w:rPr>
          <w:bCs/>
          <w:szCs w:val="21"/>
          <w:highlight w:val="none"/>
        </w:rPr>
      </w:r>
      <w:r/>
    </w:p>
    <w:p>
      <w:pPr>
        <w:pStyle w:val="1082"/>
        <w:ind w:firstLine="384"/>
        <w:spacing w:line="360" w:lineRule="auto"/>
        <w:rPr>
          <w:bCs/>
          <w:szCs w:val="21"/>
          <w:highlight w:val="none"/>
        </w:rPr>
      </w:pPr>
      <w:r>
        <w:rPr>
          <w:bCs/>
          <w:szCs w:val="21"/>
          <w:highlight w:val="none"/>
        </w:rPr>
        <w:t xml:space="preserve">因卖方原因没有按期提供银行保函和发票的，致使买方未能及时付款所产生的责任由卖方负责，买方不承担违约责任。</w:t>
      </w:r>
      <w:r>
        <w:rPr>
          <w:bCs/>
          <w:szCs w:val="21"/>
          <w:highlight w:val="none"/>
        </w:rPr>
      </w:r>
      <w:r/>
    </w:p>
    <w:p>
      <w:pPr>
        <w:pStyle w:val="1082"/>
        <w:ind w:left="108" w:firstLine="420"/>
        <w:jc w:val="left"/>
        <w:spacing w:line="351" w:lineRule="auto"/>
        <w:tabs>
          <w:tab w:val="left" w:pos="4785" w:leader="none"/>
        </w:tabs>
        <w:rPr>
          <w:bCs/>
          <w:szCs w:val="21"/>
        </w:rPr>
      </w:pPr>
      <w:r>
        <w:rPr>
          <w:bCs/>
          <w:szCs w:val="21"/>
        </w:rPr>
        <w:t xml:space="preserve">8. 验收</w:t>
      </w:r>
      <w:r>
        <w:rPr>
          <w:bCs/>
          <w:szCs w:val="21"/>
        </w:rPr>
      </w:r>
      <w:r/>
    </w:p>
    <w:p>
      <w:pPr>
        <w:pStyle w:val="1082"/>
        <w:ind w:left="8" w:firstLine="359"/>
        <w:jc w:val="left"/>
        <w:spacing w:line="351" w:lineRule="auto"/>
        <w:tabs>
          <w:tab w:val="left" w:pos="4785" w:leader="none"/>
        </w:tabs>
        <w:rPr>
          <w:bCs/>
          <w:szCs w:val="21"/>
        </w:rPr>
      </w:pPr>
      <w:r>
        <w:rPr>
          <w:bCs/>
          <w:szCs w:val="21"/>
        </w:rPr>
        <w:t xml:space="preserve">验收标准及方式：符合相关标准，经使用部门确认填写项目验收报告。</w:t>
      </w:r>
      <w:r>
        <w:rPr>
          <w:bCs/>
          <w:szCs w:val="21"/>
        </w:rPr>
      </w:r>
      <w:r/>
    </w:p>
    <w:p>
      <w:pPr>
        <w:pStyle w:val="1082"/>
        <w:ind w:firstLine="420"/>
        <w:spacing w:line="360" w:lineRule="auto"/>
        <w:rPr>
          <w:bCs/>
          <w:szCs w:val="21"/>
        </w:rPr>
      </w:pPr>
      <w:r>
        <w:rPr>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bCs/>
          <w:szCs w:val="21"/>
        </w:rPr>
      </w:r>
      <w:r/>
    </w:p>
    <w:p>
      <w:pPr>
        <w:pStyle w:val="1082"/>
        <w:ind w:firstLine="420"/>
        <w:spacing w:line="360" w:lineRule="auto"/>
        <w:rPr>
          <w:bCs/>
          <w:szCs w:val="21"/>
        </w:rPr>
      </w:pPr>
      <w:r>
        <w:rPr>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bCs/>
          <w:szCs w:val="21"/>
        </w:rPr>
      </w:r>
      <w:r/>
    </w:p>
    <w:p>
      <w:pPr>
        <w:pStyle w:val="1082"/>
        <w:ind w:left="8" w:firstLine="359"/>
        <w:jc w:val="left"/>
        <w:spacing w:line="351" w:lineRule="auto"/>
        <w:tabs>
          <w:tab w:val="left" w:pos="4785" w:leader="none"/>
        </w:tabs>
        <w:rPr>
          <w:bCs/>
          <w:szCs w:val="21"/>
        </w:rPr>
      </w:pPr>
      <w:r>
        <w:rPr>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bCs/>
          <w:szCs w:val="21"/>
        </w:rPr>
      </w:r>
      <w:r/>
    </w:p>
    <w:p>
      <w:pPr>
        <w:pStyle w:val="1082"/>
        <w:ind w:left="8" w:firstLine="359"/>
        <w:jc w:val="left"/>
        <w:spacing w:line="351" w:lineRule="auto"/>
        <w:tabs>
          <w:tab w:val="left" w:pos="4785" w:leader="none"/>
        </w:tabs>
        <w:rPr>
          <w:bCs/>
          <w:szCs w:val="21"/>
        </w:rPr>
      </w:pPr>
      <w:r>
        <w:rPr>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bCs/>
          <w:szCs w:val="21"/>
        </w:rPr>
      </w:r>
      <w:r/>
    </w:p>
    <w:p>
      <w:pPr>
        <w:pStyle w:val="1082"/>
        <w:ind w:left="108" w:firstLine="420"/>
        <w:jc w:val="left"/>
        <w:spacing w:line="351" w:lineRule="auto"/>
        <w:tabs>
          <w:tab w:val="left" w:pos="4785" w:leader="none"/>
        </w:tabs>
        <w:rPr>
          <w:bCs/>
          <w:szCs w:val="21"/>
        </w:rPr>
      </w:pPr>
      <w:r>
        <w:rPr>
          <w:bCs/>
          <w:szCs w:val="21"/>
        </w:rPr>
        <w:t xml:space="preserve">9. 质保期及售后服务</w:t>
      </w:r>
      <w:r>
        <w:rPr>
          <w:bCs/>
          <w:szCs w:val="21"/>
        </w:rPr>
      </w:r>
      <w:r/>
    </w:p>
    <w:p>
      <w:pPr>
        <w:pStyle w:val="1082"/>
        <w:ind w:left="108" w:firstLine="420"/>
        <w:jc w:val="left"/>
        <w:spacing w:line="351" w:lineRule="auto"/>
        <w:tabs>
          <w:tab w:val="left" w:pos="4785" w:leader="none"/>
        </w:tabs>
        <w:rPr>
          <w:bCs/>
          <w:szCs w:val="21"/>
        </w:rPr>
      </w:pPr>
      <w:r>
        <w:rPr>
          <w:bCs/>
          <w:szCs w:val="21"/>
        </w:rPr>
        <w:t xml:space="preserve">9.1 卖方所供设备、材料及安装的质量保证期：详见招标文件第四章 采购需求 </w:t>
      </w:r>
      <w:r>
        <w:rPr>
          <w:bCs/>
          <w:szCs w:val="21"/>
        </w:rPr>
      </w:r>
      <w:r/>
    </w:p>
    <w:p>
      <w:pPr>
        <w:pStyle w:val="1082"/>
        <w:ind w:left="108" w:firstLine="420"/>
        <w:jc w:val="left"/>
        <w:spacing w:line="351" w:lineRule="auto"/>
        <w:tabs>
          <w:tab w:val="left" w:pos="4785" w:leader="none"/>
        </w:tabs>
        <w:rPr>
          <w:bCs/>
          <w:szCs w:val="21"/>
        </w:rPr>
      </w:pPr>
      <w:r>
        <w:rPr>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bCs/>
          <w:szCs w:val="21"/>
        </w:rPr>
      </w:r>
      <w:r/>
    </w:p>
    <w:p>
      <w:pPr>
        <w:pStyle w:val="1082"/>
        <w:ind w:left="108" w:firstLine="420"/>
        <w:jc w:val="left"/>
        <w:spacing w:line="351" w:lineRule="auto"/>
        <w:tabs>
          <w:tab w:val="left" w:pos="4785" w:leader="none"/>
        </w:tabs>
        <w:rPr>
          <w:bCs/>
          <w:szCs w:val="21"/>
        </w:rPr>
      </w:pPr>
      <w:r>
        <w:rPr>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bCs/>
          <w:szCs w:val="21"/>
        </w:rPr>
      </w:r>
      <w:r/>
    </w:p>
    <w:p>
      <w:pPr>
        <w:pStyle w:val="1082"/>
        <w:ind w:left="108" w:firstLine="420"/>
        <w:jc w:val="left"/>
        <w:spacing w:line="351" w:lineRule="auto"/>
        <w:tabs>
          <w:tab w:val="left" w:pos="4785" w:leader="none"/>
        </w:tabs>
        <w:rPr>
          <w:bCs/>
          <w:szCs w:val="21"/>
        </w:rPr>
      </w:pPr>
      <w:r>
        <w:rPr>
          <w:bCs/>
          <w:szCs w:val="21"/>
        </w:rPr>
        <w:t xml:space="preserve">9.4质保期满后，如设备出现故障，卖方在接买方通知后，仍应在上述时间内响应、派人赶到买方现场，帮助排除故障、修复或更换零部件，需购买零部件时，酌情收取成本费。</w:t>
      </w:r>
      <w:r>
        <w:rPr>
          <w:bCs/>
          <w:szCs w:val="21"/>
        </w:rPr>
      </w:r>
      <w:r/>
    </w:p>
    <w:p>
      <w:pPr>
        <w:pStyle w:val="1082"/>
        <w:ind w:left="108" w:firstLine="420"/>
        <w:jc w:val="left"/>
        <w:spacing w:line="351" w:lineRule="auto"/>
        <w:tabs>
          <w:tab w:val="left" w:pos="4785" w:leader="none"/>
        </w:tabs>
        <w:rPr>
          <w:bCs/>
          <w:szCs w:val="21"/>
        </w:rPr>
      </w:pPr>
      <w:r>
        <w:rPr>
          <w:bCs/>
          <w:szCs w:val="21"/>
        </w:rPr>
        <w:t xml:space="preserve">10. 技术资料</w:t>
      </w:r>
      <w:r>
        <w:rPr>
          <w:bCs/>
          <w:szCs w:val="21"/>
        </w:rPr>
      </w:r>
      <w:r/>
    </w:p>
    <w:p>
      <w:pPr>
        <w:pStyle w:val="1082"/>
        <w:ind w:left="108" w:firstLine="420"/>
        <w:jc w:val="left"/>
        <w:spacing w:line="351" w:lineRule="auto"/>
        <w:tabs>
          <w:tab w:val="left" w:pos="4785" w:leader="none"/>
        </w:tabs>
        <w:rPr>
          <w:bCs/>
          <w:szCs w:val="21"/>
        </w:rPr>
      </w:pPr>
      <w:r>
        <w:rPr>
          <w:bCs/>
          <w:szCs w:val="21"/>
        </w:rPr>
        <w:t xml:space="preserve">按第四章技术规格、参数及其他要求中的要求提供相关资料。</w:t>
      </w:r>
      <w:r>
        <w:rPr>
          <w:bCs/>
          <w:szCs w:val="21"/>
        </w:rPr>
      </w:r>
      <w:r/>
    </w:p>
    <w:p>
      <w:pPr>
        <w:pStyle w:val="1082"/>
        <w:ind w:left="108" w:firstLine="420"/>
        <w:jc w:val="left"/>
        <w:spacing w:line="351" w:lineRule="auto"/>
        <w:tabs>
          <w:tab w:val="left" w:pos="4785" w:leader="none"/>
        </w:tabs>
        <w:rPr>
          <w:bCs/>
          <w:szCs w:val="21"/>
        </w:rPr>
      </w:pPr>
      <w:r>
        <w:rPr>
          <w:bCs/>
          <w:szCs w:val="21"/>
        </w:rPr>
        <w:t xml:space="preserve">11. 卖方的违约责任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11.1卖方未按合同规定的质量要求交货，买方有权拒收，由此造成的直接损失和间接损失由卖方赔偿。</w:t>
      </w:r>
      <w:r>
        <w:rPr>
          <w:bCs/>
          <w:szCs w:val="21"/>
        </w:rPr>
      </w:r>
      <w:r/>
    </w:p>
    <w:p>
      <w:pPr>
        <w:pStyle w:val="1082"/>
        <w:ind w:left="108" w:firstLine="420"/>
        <w:jc w:val="left"/>
        <w:spacing w:line="351" w:lineRule="auto"/>
        <w:tabs>
          <w:tab w:val="left" w:pos="4785" w:leader="none"/>
        </w:tabs>
        <w:rPr>
          <w:bCs/>
          <w:szCs w:val="21"/>
        </w:rPr>
      </w:pPr>
      <w:r>
        <w:rPr>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bCs/>
          <w:szCs w:val="21"/>
        </w:rPr>
      </w:r>
      <w:r/>
    </w:p>
    <w:p>
      <w:pPr>
        <w:pStyle w:val="1082"/>
        <w:ind w:left="108" w:firstLine="420"/>
        <w:jc w:val="left"/>
        <w:spacing w:line="351" w:lineRule="auto"/>
        <w:tabs>
          <w:tab w:val="left" w:pos="4785" w:leader="none"/>
        </w:tabs>
        <w:rPr>
          <w:bCs/>
          <w:szCs w:val="21"/>
        </w:rPr>
      </w:pPr>
      <w:r>
        <w:rPr>
          <w:bCs/>
          <w:szCs w:val="21"/>
        </w:rPr>
        <w:t xml:space="preserve">11.3 本合同所有货物的制造及安装，都必须由卖方自己或响应文件中明确的单位承担，不得分包给其他单位。否则，买方有权按卖方不能交付或不能完成合同处理。</w:t>
      </w:r>
      <w:r>
        <w:rPr>
          <w:bCs/>
          <w:szCs w:val="21"/>
        </w:rPr>
      </w:r>
      <w:r/>
    </w:p>
    <w:p>
      <w:pPr>
        <w:pStyle w:val="1082"/>
        <w:ind w:left="108" w:firstLine="420"/>
        <w:jc w:val="left"/>
        <w:spacing w:line="351" w:lineRule="auto"/>
        <w:tabs>
          <w:tab w:val="left" w:pos="4785" w:leader="none"/>
        </w:tabs>
        <w:rPr>
          <w:bCs/>
          <w:szCs w:val="21"/>
        </w:rPr>
      </w:pPr>
      <w:r>
        <w:rPr>
          <w:bCs/>
          <w:szCs w:val="21"/>
        </w:rPr>
        <w:t xml:space="preserve">12. 买方的违约责任：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12.1买方应当在收到发票及保函的两个月内支付货款，无正当理由延期付款的，每逾期一日向乙方承担应付未付价款万分之五的违约金。</w:t>
      </w:r>
      <w:r>
        <w:rPr>
          <w:bCs/>
          <w:szCs w:val="21"/>
        </w:rPr>
      </w:r>
      <w:r/>
    </w:p>
    <w:p>
      <w:pPr>
        <w:pStyle w:val="1082"/>
        <w:ind w:left="108" w:firstLine="420"/>
        <w:jc w:val="left"/>
        <w:spacing w:line="351" w:lineRule="auto"/>
        <w:tabs>
          <w:tab w:val="left" w:pos="4785" w:leader="none"/>
        </w:tabs>
        <w:rPr>
          <w:bCs/>
          <w:szCs w:val="21"/>
        </w:rPr>
      </w:pPr>
      <w:r>
        <w:rPr>
          <w:bCs/>
          <w:szCs w:val="21"/>
        </w:rPr>
        <w:t xml:space="preserve">13. 卖方供给买方的设备、材料及卖方自己的施工用具，进入买方工地现场后的保管，由卖方负责；卖方在买方工地现场安装、调试、验收人员的安全、保险、食宿、交通由卖方负责。</w:t>
      </w:r>
      <w:r>
        <w:rPr>
          <w:bCs/>
          <w:szCs w:val="21"/>
        </w:rPr>
      </w:r>
      <w:r/>
    </w:p>
    <w:p>
      <w:pPr>
        <w:pStyle w:val="1082"/>
        <w:ind w:left="108" w:firstLine="420"/>
        <w:jc w:val="left"/>
        <w:spacing w:line="351" w:lineRule="auto"/>
        <w:tabs>
          <w:tab w:val="left" w:pos="4785" w:leader="none"/>
        </w:tabs>
        <w:rPr>
          <w:bCs/>
          <w:szCs w:val="21"/>
        </w:rPr>
      </w:pPr>
      <w:r>
        <w:rPr>
          <w:bCs/>
          <w:szCs w:val="21"/>
        </w:rPr>
        <w:t xml:space="preserve">14  卖方需配合办理免税进口设备的免税手续。</w:t>
      </w:r>
      <w:r>
        <w:rPr>
          <w:bCs/>
          <w:szCs w:val="21"/>
        </w:rPr>
      </w:r>
      <w:r/>
    </w:p>
    <w:p>
      <w:pPr>
        <w:pStyle w:val="1082"/>
        <w:ind w:left="108" w:firstLine="420"/>
        <w:jc w:val="left"/>
        <w:spacing w:line="351" w:lineRule="auto"/>
        <w:tabs>
          <w:tab w:val="left" w:pos="4785" w:leader="none"/>
        </w:tabs>
        <w:rPr>
          <w:bCs/>
          <w:szCs w:val="21"/>
        </w:rPr>
      </w:pPr>
      <w:r>
        <w:rPr>
          <w:bCs/>
          <w:szCs w:val="21"/>
        </w:rPr>
        <w:t xml:space="preserve">15. 合同的生效：本合同一式两份，自买卖双方签字、盖章之日起生效。合同签订后，任何一方无正当理由均不得单方解除合同，否则应按照本合同总价款的30%承担违约责任。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16. 未尽事宜、双方协商解决，并按《中华人民共和国民法典》调整。</w:t>
      </w:r>
      <w:r>
        <w:rPr>
          <w:bCs/>
          <w:szCs w:val="21"/>
        </w:rPr>
      </w:r>
      <w:r/>
    </w:p>
    <w:p>
      <w:pPr>
        <w:pStyle w:val="1082"/>
        <w:ind w:left="105" w:firstLine="898"/>
        <w:jc w:val="left"/>
        <w:spacing w:line="351" w:lineRule="auto"/>
        <w:tabs>
          <w:tab w:val="left" w:pos="4785" w:leader="none"/>
        </w:tabs>
        <w:rPr>
          <w:bCs/>
          <w:szCs w:val="21"/>
        </w:rPr>
      </w:pPr>
      <w:r>
        <w:rPr>
          <w:bCs/>
          <w:szCs w:val="21"/>
        </w:rPr>
      </w:r>
      <w:r/>
    </w:p>
    <w:p>
      <w:pPr>
        <w:pStyle w:val="1082"/>
        <w:ind w:firstLine="630"/>
        <w:jc w:val="left"/>
        <w:spacing w:line="360" w:lineRule="auto"/>
        <w:rPr>
          <w:bCs/>
          <w:szCs w:val="21"/>
        </w:rPr>
      </w:pPr>
      <w:r>
        <w:rPr>
          <w:bCs/>
          <w:szCs w:val="21"/>
        </w:rPr>
        <w:t xml:space="preserve">买方：江苏省产品质量监督检验研究院       卖方：</w:t>
      </w:r>
      <w:r>
        <w:rPr>
          <w:bCs/>
          <w:szCs w:val="21"/>
        </w:rPr>
      </w:r>
      <w:r/>
    </w:p>
    <w:p>
      <w:pPr>
        <w:pStyle w:val="1082"/>
        <w:ind w:firstLine="840"/>
        <w:jc w:val="left"/>
        <w:spacing w:line="360" w:lineRule="auto"/>
        <w:rPr>
          <w:bCs/>
          <w:szCs w:val="21"/>
        </w:rPr>
      </w:pPr>
      <w:r>
        <w:rPr>
          <w:bCs/>
          <w:szCs w:val="21"/>
        </w:rPr>
        <w:t xml:space="preserve">（盖章）                               （盖章）</w:t>
      </w:r>
      <w:r>
        <w:rPr>
          <w:bCs/>
          <w:szCs w:val="21"/>
        </w:rPr>
      </w:r>
      <w:r/>
    </w:p>
    <w:p>
      <w:pPr>
        <w:pStyle w:val="1082"/>
        <w:ind w:firstLine="630"/>
        <w:jc w:val="left"/>
        <w:spacing w:line="360" w:lineRule="auto"/>
        <w:rPr>
          <w:bCs/>
          <w:szCs w:val="21"/>
        </w:rPr>
      </w:pPr>
      <w:r>
        <w:rPr>
          <w:bCs/>
          <w:szCs w:val="21"/>
        </w:rPr>
        <w:t xml:space="preserve">法定代表人：                             法定代表人或其委托代理人：</w:t>
      </w:r>
      <w:r>
        <w:rPr>
          <w:bCs/>
          <w:szCs w:val="21"/>
        </w:rPr>
      </w:r>
      <w:r/>
    </w:p>
    <w:p>
      <w:pPr>
        <w:pStyle w:val="1082"/>
        <w:ind w:firstLine="630"/>
        <w:jc w:val="left"/>
        <w:spacing w:line="360" w:lineRule="auto"/>
        <w:rPr>
          <w:bCs/>
          <w:szCs w:val="21"/>
        </w:rPr>
      </w:pPr>
      <w:r>
        <w:rPr>
          <w:bCs/>
          <w:szCs w:val="21"/>
        </w:rPr>
        <w:t xml:space="preserve">签定时间：                               签定时间：</w:t>
      </w:r>
      <w:r>
        <w:rPr>
          <w:bCs/>
          <w:szCs w:val="21"/>
        </w:rPr>
      </w:r>
      <w:r/>
    </w:p>
    <w:p>
      <w:pPr>
        <w:pStyle w:val="1082"/>
        <w:ind w:firstLine="630"/>
        <w:jc w:val="left"/>
        <w:spacing w:line="351" w:lineRule="auto"/>
        <w:tabs>
          <w:tab w:val="left" w:pos="4785" w:leader="none"/>
        </w:tabs>
        <w:rPr>
          <w:bCs/>
          <w:szCs w:val="21"/>
        </w:rPr>
      </w:pPr>
      <w:r>
        <w:rPr>
          <w:bCs/>
          <w:szCs w:val="21"/>
        </w:rPr>
        <w:t xml:space="preserve">电   话：                                电   话：</w:t>
      </w:r>
      <w:r>
        <w:rPr>
          <w:bCs/>
          <w:szCs w:val="21"/>
        </w:rPr>
      </w:r>
      <w:r/>
    </w:p>
    <w:p>
      <w:pPr>
        <w:pStyle w:val="1082"/>
        <w:ind w:firstLine="630"/>
        <w:jc w:val="left"/>
        <w:spacing w:line="360" w:lineRule="auto"/>
        <w:rPr>
          <w:bCs/>
          <w:szCs w:val="21"/>
        </w:rPr>
      </w:pPr>
      <w:r>
        <w:rPr>
          <w:bCs/>
          <w:szCs w:val="21"/>
        </w:rPr>
        <w:t xml:space="preserve">传   真：                                传   真：</w:t>
      </w:r>
      <w:r>
        <w:rPr>
          <w:bCs/>
          <w:szCs w:val="21"/>
        </w:rPr>
      </w:r>
      <w:r/>
    </w:p>
    <w:p>
      <w:pPr>
        <w:pStyle w:val="1082"/>
        <w:ind w:firstLine="630"/>
        <w:jc w:val="left"/>
        <w:spacing w:line="360" w:lineRule="auto"/>
        <w:rPr>
          <w:bCs/>
          <w:szCs w:val="21"/>
        </w:rPr>
      </w:pPr>
      <w:r>
        <w:rPr>
          <w:bCs/>
          <w:szCs w:val="21"/>
        </w:rPr>
        <w:t xml:space="preserve">地   址：南京市光华东街5号              地   址：</w:t>
      </w:r>
      <w:r>
        <w:rPr>
          <w:bCs/>
          <w:szCs w:val="21"/>
        </w:rPr>
      </w:r>
      <w:r/>
    </w:p>
    <w:p>
      <w:pPr>
        <w:pStyle w:val="1082"/>
        <w:jc w:val="left"/>
        <w:spacing w:line="360" w:lineRule="auto"/>
        <w:rPr>
          <w:bCs/>
          <w:szCs w:val="21"/>
        </w:rPr>
      </w:pPr>
      <w:r>
        <w:rPr>
          <w:bCs/>
          <w:szCs w:val="21"/>
        </w:rPr>
        <w:t xml:space="preserve">              </w:t>
      </w:r>
      <w:r>
        <w:rPr>
          <w:bCs/>
          <w:szCs w:val="21"/>
        </w:rPr>
      </w:r>
      <w:r/>
    </w:p>
    <w:p>
      <w:pPr>
        <w:pStyle w:val="1082"/>
        <w:contextualSpacing/>
        <w:ind w:firstLine="420"/>
        <w:jc w:val="left"/>
        <w:spacing w:line="540" w:lineRule="exact"/>
        <w:widowControl/>
        <w:rPr>
          <w:color w:val="000000"/>
          <w:szCs w:val="21"/>
          <w:lang w:val="zh-CN"/>
        </w:rPr>
      </w:pPr>
      <w:r>
        <w:rPr>
          <w:color w:val="000000"/>
          <w:szCs w:val="21"/>
          <w:lang w:val="zh-CN"/>
        </w:rPr>
      </w:r>
      <w:r/>
    </w:p>
    <w:p>
      <w:pPr>
        <w:pStyle w:val="1082"/>
        <w:jc w:val="left"/>
        <w:widowControl/>
        <w:rPr>
          <w:color w:val="000000"/>
          <w:szCs w:val="21"/>
          <w:lang w:val="zh-CN"/>
        </w:rPr>
      </w:pPr>
      <w:r>
        <w:rPr>
          <w:color w:val="000000"/>
          <w:szCs w:val="21"/>
          <w:lang w:val="zh-CN"/>
        </w:rPr>
        <w:br w:type="page" w:clear="all"/>
      </w:r>
      <w:r>
        <w:rPr>
          <w:color w:val="000000"/>
          <w:szCs w:val="21"/>
          <w:lang w:val="zh-CN"/>
        </w:rPr>
      </w:r>
      <w:r/>
    </w:p>
    <w:p>
      <w:pPr>
        <w:pStyle w:val="1082"/>
        <w:contextualSpacing/>
        <w:jc w:val="center"/>
        <w:spacing w:line="480" w:lineRule="auto"/>
        <w:widowControl/>
        <w:rPr>
          <w:color w:val="000000"/>
          <w:szCs w:val="21"/>
          <w:lang w:val="zh-CN"/>
        </w:rPr>
      </w:pPr>
      <w:r/>
      <w:bookmarkStart w:id="30" w:name="OLE_LINK1"/>
      <w:r>
        <w:rPr>
          <w:color w:val="000000"/>
          <w:szCs w:val="21"/>
          <w:lang w:val="zh-CN"/>
        </w:rPr>
        <w:t xml:space="preserve">（本页系编号            《货物采购合同》签署页，无正文）</w:t>
      </w:r>
      <w:r>
        <w:rPr>
          <w:color w:val="000000"/>
          <w:szCs w:val="21"/>
          <w:lang w:val="zh-CN"/>
        </w:rPr>
      </w:r>
      <w:r/>
    </w:p>
    <w:tbl>
      <w:tblPr>
        <w:tblW w:w="960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0"/>
        <w:gridCol w:w="4870"/>
      </w:tblGrid>
      <w:tr>
        <w:trPr/>
        <w:tc>
          <w:tcPr>
            <w:tcW w:w="4730" w:type="dxa"/>
            <w:vAlign w:val="top"/>
            <w:textDirection w:val="lrTb"/>
            <w:noWrap w:val="false"/>
          </w:tcPr>
          <w:p>
            <w:pPr>
              <w:pStyle w:val="1082"/>
              <w:rPr>
                <w:szCs w:val="21"/>
              </w:rPr>
            </w:pPr>
            <w:r/>
            <w:bookmarkEnd w:id="30"/>
            <w:r>
              <w:rPr>
                <w:szCs w:val="21"/>
              </w:rPr>
              <w:t xml:space="preserve">甲    方：江苏省产品质量监督检验研究院   </w:t>
            </w:r>
            <w:r>
              <w:rPr>
                <w:szCs w:val="21"/>
              </w:rPr>
            </w:r>
            <w:r/>
          </w:p>
          <w:p>
            <w:pPr>
              <w:pStyle w:val="1082"/>
              <w:rPr>
                <w:szCs w:val="21"/>
              </w:rPr>
            </w:pPr>
            <w:r>
              <w:rPr>
                <w:szCs w:val="21"/>
              </w:rPr>
              <w:t xml:space="preserve">（盖章）</w:t>
            </w:r>
            <w:r>
              <w:rPr>
                <w:szCs w:val="21"/>
              </w:rPr>
            </w:r>
            <w:r/>
          </w:p>
          <w:p>
            <w:pPr>
              <w:pStyle w:val="1082"/>
              <w:rPr>
                <w:szCs w:val="21"/>
              </w:rPr>
            </w:pPr>
            <w:r>
              <w:rPr>
                <w:szCs w:val="21"/>
              </w:rPr>
            </w:r>
            <w:r/>
          </w:p>
          <w:p>
            <w:pPr>
              <w:pStyle w:val="1082"/>
              <w:rPr>
                <w:szCs w:val="21"/>
              </w:rPr>
            </w:pPr>
            <w:r>
              <w:rPr>
                <w:szCs w:val="21"/>
              </w:rPr>
              <w:t xml:space="preserve">法人代表:</w:t>
            </w:r>
            <w:r>
              <w:rPr>
                <w:szCs w:val="21"/>
              </w:rPr>
            </w:r>
            <w:r/>
          </w:p>
          <w:p>
            <w:pPr>
              <w:pStyle w:val="1082"/>
              <w:rPr>
                <w:szCs w:val="21"/>
              </w:rPr>
            </w:pPr>
            <w:r>
              <w:rPr>
                <w:szCs w:val="21"/>
              </w:rPr>
              <w:t xml:space="preserve">地址:</w:t>
            </w:r>
            <w:r>
              <w:rPr>
                <w:szCs w:val="21"/>
              </w:rPr>
            </w:r>
            <w:r/>
          </w:p>
          <w:p>
            <w:pPr>
              <w:pStyle w:val="1082"/>
              <w:rPr>
                <w:szCs w:val="21"/>
              </w:rPr>
            </w:pPr>
            <w:r>
              <w:rPr>
                <w:szCs w:val="21"/>
              </w:rPr>
              <w:t xml:space="preserve">邮编:         </w:t>
            </w:r>
            <w:r>
              <w:rPr>
                <w:szCs w:val="21"/>
              </w:rPr>
            </w:r>
            <w:r/>
          </w:p>
          <w:p>
            <w:pPr>
              <w:pStyle w:val="1082"/>
              <w:rPr>
                <w:szCs w:val="21"/>
              </w:rPr>
            </w:pPr>
            <w:r>
              <w:rPr>
                <w:szCs w:val="21"/>
              </w:rPr>
              <w:t xml:space="preserve">电话:</w:t>
            </w:r>
            <w:r>
              <w:rPr>
                <w:szCs w:val="21"/>
              </w:rPr>
            </w:r>
            <w:r/>
          </w:p>
          <w:p>
            <w:pPr>
              <w:pStyle w:val="1082"/>
              <w:rPr>
                <w:szCs w:val="21"/>
              </w:rPr>
            </w:pPr>
            <w:r>
              <w:rPr>
                <w:szCs w:val="21"/>
              </w:rPr>
              <w:t xml:space="preserve">授权代表（签字）:</w:t>
            </w:r>
            <w:r>
              <w:rPr>
                <w:szCs w:val="21"/>
              </w:rPr>
            </w:r>
            <w:r/>
          </w:p>
          <w:p>
            <w:pPr>
              <w:pStyle w:val="1082"/>
              <w:rPr>
                <w:szCs w:val="21"/>
              </w:rPr>
            </w:pPr>
            <w:r>
              <w:rPr>
                <w:szCs w:val="21"/>
              </w:rPr>
              <w:t xml:space="preserve">签订日期：     年   月  日</w:t>
            </w:r>
            <w:r>
              <w:rPr>
                <w:szCs w:val="21"/>
              </w:rPr>
            </w:r>
            <w:r/>
          </w:p>
        </w:tc>
        <w:tc>
          <w:tcPr>
            <w:tcW w:w="4870" w:type="dxa"/>
            <w:vAlign w:val="top"/>
            <w:textDirection w:val="lrTb"/>
            <w:noWrap w:val="false"/>
          </w:tcPr>
          <w:p>
            <w:pPr>
              <w:pStyle w:val="1082"/>
              <w:rPr>
                <w:szCs w:val="21"/>
              </w:rPr>
            </w:pPr>
            <w:r>
              <w:rPr>
                <w:szCs w:val="21"/>
              </w:rPr>
              <w:t xml:space="preserve">乙    方：</w:t>
            </w:r>
            <w:r>
              <w:rPr>
                <w:szCs w:val="21"/>
              </w:rPr>
            </w:r>
            <w:r/>
          </w:p>
          <w:p>
            <w:pPr>
              <w:pStyle w:val="1082"/>
              <w:rPr>
                <w:color w:val="000000"/>
                <w:szCs w:val="21"/>
                <w:shd w:val="clear" w:color="auto" w:fill="ffffff"/>
              </w:rPr>
            </w:pPr>
            <w:r>
              <w:rPr>
                <w:color w:val="000000"/>
                <w:szCs w:val="21"/>
                <w:shd w:val="clear" w:color="auto" w:fill="ffffff"/>
              </w:rPr>
              <w:t xml:space="preserve"> </w:t>
            </w:r>
            <w:r>
              <w:rPr>
                <w:color w:val="000000"/>
                <w:szCs w:val="21"/>
                <w:shd w:val="clear" w:color="auto" w:fill="ffffff"/>
              </w:rPr>
            </w:r>
            <w:r/>
          </w:p>
          <w:p>
            <w:pPr>
              <w:pStyle w:val="1082"/>
              <w:rPr>
                <w:szCs w:val="21"/>
              </w:rPr>
            </w:pPr>
            <w:r>
              <w:rPr>
                <w:szCs w:val="21"/>
              </w:rPr>
              <w:t xml:space="preserve">（盖章）</w:t>
            </w:r>
            <w:r>
              <w:rPr>
                <w:szCs w:val="21"/>
              </w:rPr>
            </w:r>
            <w:r/>
          </w:p>
          <w:p>
            <w:pPr>
              <w:pStyle w:val="1082"/>
              <w:rPr>
                <w:szCs w:val="21"/>
              </w:rPr>
            </w:pPr>
            <w:r>
              <w:rPr>
                <w:szCs w:val="21"/>
              </w:rPr>
              <w:t xml:space="preserve">法人代表: </w:t>
            </w:r>
            <w:r>
              <w:rPr>
                <w:szCs w:val="21"/>
              </w:rPr>
            </w:r>
            <w:r/>
          </w:p>
          <w:p>
            <w:pPr>
              <w:pStyle w:val="1082"/>
              <w:rPr>
                <w:szCs w:val="21"/>
              </w:rPr>
            </w:pPr>
            <w:r>
              <w:rPr>
                <w:szCs w:val="21"/>
              </w:rPr>
              <w:t xml:space="preserve">地址:</w:t>
            </w:r>
            <w:r>
              <w:rPr>
                <w:color w:val="000000"/>
                <w:szCs w:val="21"/>
                <w:shd w:val="clear" w:color="auto" w:fill="ffffff"/>
              </w:rPr>
              <w:t xml:space="preserve"> </w:t>
            </w:r>
            <w:r>
              <w:rPr>
                <w:szCs w:val="21"/>
              </w:rPr>
            </w:r>
            <w:r/>
          </w:p>
          <w:p>
            <w:pPr>
              <w:pStyle w:val="1082"/>
              <w:rPr>
                <w:szCs w:val="21"/>
              </w:rPr>
            </w:pPr>
            <w:r>
              <w:rPr>
                <w:szCs w:val="21"/>
              </w:rPr>
              <w:t xml:space="preserve">邮编:</w:t>
            </w:r>
            <w:r>
              <w:rPr>
                <w:szCs w:val="21"/>
              </w:rPr>
            </w:r>
            <w:r/>
          </w:p>
          <w:p>
            <w:pPr>
              <w:pStyle w:val="1082"/>
              <w:rPr>
                <w:szCs w:val="21"/>
              </w:rPr>
            </w:pPr>
            <w:r>
              <w:rPr>
                <w:szCs w:val="21"/>
              </w:rPr>
              <w:t xml:space="preserve">电话:</w:t>
            </w:r>
            <w:r>
              <w:rPr>
                <w:szCs w:val="21"/>
              </w:rPr>
            </w:r>
            <w:r/>
          </w:p>
          <w:p>
            <w:pPr>
              <w:pStyle w:val="1082"/>
              <w:rPr>
                <w:szCs w:val="21"/>
              </w:rPr>
            </w:pPr>
            <w:r>
              <w:rPr>
                <w:szCs w:val="21"/>
              </w:rPr>
              <w:t xml:space="preserve">授权代表（签字）：</w:t>
            </w:r>
            <w:r>
              <w:rPr>
                <w:szCs w:val="21"/>
              </w:rPr>
            </w:r>
            <w:r/>
          </w:p>
          <w:p>
            <w:pPr>
              <w:pStyle w:val="1082"/>
              <w:rPr>
                <w:szCs w:val="21"/>
                <w:highlight w:val="yellow"/>
              </w:rPr>
            </w:pPr>
            <w:r>
              <w:rPr>
                <w:szCs w:val="21"/>
              </w:rPr>
              <w:t xml:space="preserve">签订日期：     年   月   日</w:t>
            </w:r>
            <w:r>
              <w:rPr>
                <w:szCs w:val="21"/>
                <w:highlight w:val="yellow"/>
              </w:rPr>
            </w:r>
            <w:r/>
          </w:p>
        </w:tc>
      </w:tr>
    </w:tbl>
    <w:p>
      <w:pPr>
        <w:pStyle w:val="1082"/>
        <w:spacing w:line="360" w:lineRule="auto"/>
      </w:pPr>
      <w:r/>
      <w:r/>
    </w:p>
    <w:p>
      <w:pPr>
        <w:pStyle w:val="1082"/>
        <w:jc w:val="right"/>
        <w:spacing w:line="360" w:lineRule="auto"/>
        <w:rPr>
          <w:lang w:val="zh-CN"/>
        </w:rPr>
      </w:pPr>
      <w:r>
        <w:rPr>
          <w:lang w:val="zh-CN"/>
        </w:rPr>
      </w:r>
      <w:r/>
    </w:p>
    <w:p>
      <w:pPr>
        <w:pStyle w:val="1082"/>
        <w:jc w:val="right"/>
        <w:spacing w:line="360" w:lineRule="auto"/>
      </w:pPr>
      <w:r>
        <w:rPr>
          <w:lang w:val="zh-CN"/>
        </w:rPr>
        <w:t xml:space="preserve">          </w:t>
      </w:r>
      <w:r/>
    </w:p>
    <w:p>
      <w:pPr>
        <w:pStyle w:val="1082"/>
        <w:spacing w:line="360" w:lineRule="auto"/>
        <w:sectPr>
          <w:footerReference w:type="default" r:id="rId17"/>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1082"/>
        <w:jc w:val="center"/>
        <w:spacing w:line="360" w:lineRule="auto"/>
        <w:rPr>
          <w:rStyle w:val="1164"/>
          <w:rFonts w:ascii="Times New Roman" w:hAnsi="Times New Roman" w:eastAsia="宋体"/>
          <w:b w:val="0"/>
          <w:bCs/>
          <w:lang w:val="zh-CN"/>
        </w:rPr>
      </w:pPr>
      <w:r>
        <w:rPr>
          <w:rStyle w:val="1164"/>
          <w:rFonts w:ascii="Times New Roman" w:hAnsi="Times New Roman" w:eastAsia="宋体"/>
          <w:lang w:val="zh-CN"/>
        </w:rPr>
        <w:t xml:space="preserve">供货一览表</w:t>
      </w:r>
      <w:r>
        <w:rPr>
          <w:rStyle w:val="1164"/>
          <w:rFonts w:ascii="Times New Roman" w:hAnsi="Times New Roman" w:eastAsia="宋体"/>
          <w:b w:val="0"/>
          <w:bCs/>
          <w:lang w:val="zh-CN"/>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01"/>
        <w:gridCol w:w="1588"/>
        <w:gridCol w:w="1672"/>
        <w:gridCol w:w="1418"/>
        <w:gridCol w:w="992"/>
        <w:gridCol w:w="1348"/>
      </w:tblGrid>
      <w:tr>
        <w:trPr>
          <w:trHeight w:val="850" w:hRule="exact"/>
        </w:trPr>
        <w:tc>
          <w:tcPr>
            <w:tcW w:w="69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1701"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项目/设备</w:t>
            </w:r>
            <w:r>
              <w:rPr>
                <w:rFonts w:ascii="Times New Roman" w:hAnsi="Times New Roman" w:cs="Times New Roman"/>
              </w:rPr>
            </w:r>
            <w:r/>
          </w:p>
        </w:tc>
        <w:tc>
          <w:tcPr>
            <w:tcW w:w="158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型号规格</w:t>
            </w:r>
            <w:r>
              <w:rPr>
                <w:rFonts w:ascii="Times New Roman" w:hAnsi="Times New Roman" w:cs="Times New Roman"/>
              </w:rPr>
            </w:r>
            <w:r/>
          </w:p>
        </w:tc>
        <w:tc>
          <w:tcPr>
            <w:tcW w:w="1672"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制造单位</w:t>
            </w:r>
            <w:r>
              <w:rPr>
                <w:rFonts w:ascii="Times New Roman" w:hAnsi="Times New Roman" w:cs="Times New Roman"/>
              </w:rPr>
            </w:r>
            <w:r/>
          </w:p>
        </w:tc>
        <w:tc>
          <w:tcPr>
            <w:tcW w:w="141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数量</w:t>
            </w:r>
            <w:r>
              <w:rPr>
                <w:rFonts w:ascii="Times New Roman" w:hAnsi="Times New Roman" w:cs="Times New Roman"/>
              </w:rPr>
            </w:r>
            <w:r/>
          </w:p>
          <w:p>
            <w:pPr>
              <w:pStyle w:val="1277"/>
              <w:ind w:firstLine="0"/>
              <w:jc w:val="center"/>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t xml:space="preserve">套/台</w:t>
            </w:r>
            <w:r>
              <w:rPr>
                <w:rFonts w:ascii="Times New Roman" w:hAnsi="Times New Roman" w:cs="Times New Roman"/>
              </w:rPr>
              <w:t xml:space="preserve">）</w:t>
            </w:r>
            <w:r>
              <w:rPr>
                <w:rFonts w:ascii="Times New Roman" w:hAnsi="Times New Roman" w:cs="Times New Roman"/>
              </w:rPr>
            </w:r>
            <w:r/>
          </w:p>
        </w:tc>
        <w:tc>
          <w:tcPr>
            <w:tcW w:w="992" w:type="dxa"/>
            <w:vAlign w:val="center"/>
            <w:textDirection w:val="lrTb"/>
            <w:noWrap w:val="false"/>
          </w:tcPr>
          <w:p>
            <w:pPr>
              <w:pStyle w:val="1082"/>
              <w:jc w:val="center"/>
              <w:spacing w:line="360" w:lineRule="auto"/>
              <w:rPr>
                <w:sz w:val="24"/>
                <w:lang w:val="zh-CN"/>
              </w:rPr>
            </w:pPr>
            <w:r>
              <w:rPr>
                <w:sz w:val="24"/>
              </w:rPr>
              <w:t xml:space="preserve">单价（元）</w:t>
            </w:r>
            <w:r>
              <w:rPr>
                <w:sz w:val="24"/>
                <w:lang w:val="zh-CN"/>
              </w:rPr>
            </w:r>
            <w:r/>
          </w:p>
        </w:tc>
        <w:tc>
          <w:tcPr>
            <w:tcW w:w="1348" w:type="dxa"/>
            <w:vAlign w:val="center"/>
            <w:textDirection w:val="lrTb"/>
            <w:noWrap w:val="false"/>
          </w:tcPr>
          <w:p>
            <w:pPr>
              <w:pStyle w:val="1082"/>
              <w:jc w:val="center"/>
              <w:spacing w:line="360" w:lineRule="auto"/>
              <w:rPr>
                <w:sz w:val="24"/>
                <w:lang w:val="zh-CN"/>
              </w:rPr>
            </w:pPr>
            <w:r>
              <w:rPr>
                <w:sz w:val="24"/>
              </w:rPr>
              <w:t xml:space="preserve">合价（元）</w:t>
            </w:r>
            <w:r>
              <w:rPr>
                <w:sz w:val="24"/>
                <w:lang w:val="zh-CN"/>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rPr>
            </w:pPr>
            <w:r>
              <w:rPr>
                <w:szCs w:val="21"/>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rPr>
                <w:lang w:val="zh-CN"/>
              </w:rPr>
            </w:pPr>
            <w:r>
              <w:rPr>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rPr>
                <w:lang w:val="zh-CN"/>
              </w:rPr>
            </w:pPr>
            <w:r>
              <w:rPr>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1417" w:hRule="exact"/>
        </w:trPr>
        <w:tc>
          <w:tcPr>
            <w:gridSpan w:val="2"/>
            <w:tcW w:w="2399" w:type="dxa"/>
            <w:vAlign w:val="center"/>
            <w:textDirection w:val="lrTb"/>
            <w:noWrap w:val="false"/>
          </w:tcPr>
          <w:p>
            <w:pPr>
              <w:pStyle w:val="1082"/>
              <w:jc w:val="center"/>
              <w:spacing w:line="360" w:lineRule="auto"/>
            </w:pPr>
            <w:r>
              <w:t xml:space="preserve">合计</w:t>
            </w:r>
            <w:r/>
          </w:p>
        </w:tc>
        <w:tc>
          <w:tcPr>
            <w:gridSpan w:val="5"/>
            <w:tcW w:w="7018" w:type="dxa"/>
            <w:vAlign w:val="bottom"/>
            <w:textDirection w:val="lrTb"/>
            <w:noWrap w:val="false"/>
          </w:tcPr>
          <w:p>
            <w:pPr>
              <w:pStyle w:val="1082"/>
              <w:jc w:val="center"/>
              <w:spacing w:line="360" w:lineRule="auto"/>
              <w:rPr>
                <w:sz w:val="24"/>
              </w:rPr>
            </w:pPr>
            <w:r>
              <w:rPr>
                <w:sz w:val="24"/>
              </w:rPr>
              <w:t xml:space="preserve">小写：￥</w:t>
            </w:r>
            <w:r>
              <w:rPr>
                <w:sz w:val="24"/>
                <w:u w:val="single"/>
              </w:rPr>
              <w:t xml:space="preserve">           </w:t>
            </w:r>
            <w:r>
              <w:rPr>
                <w:sz w:val="24"/>
              </w:rPr>
              <w:t xml:space="preserve">元(小数点保留两位)</w:t>
            </w:r>
            <w:r>
              <w:rPr>
                <w:sz w:val="24"/>
              </w:rPr>
            </w:r>
            <w:r/>
          </w:p>
          <w:p>
            <w:pPr>
              <w:pStyle w:val="1082"/>
              <w:ind w:firstLine="1200"/>
              <w:spacing w:line="360" w:lineRule="auto"/>
            </w:pPr>
            <w:r>
              <w:rPr>
                <w:sz w:val="24"/>
              </w:rPr>
              <w:t xml:space="preserve">大写：</w:t>
            </w:r>
            <w:r>
              <w:rPr>
                <w:sz w:val="24"/>
                <w:u w:val="single"/>
              </w:rPr>
              <w:t xml:space="preserve">               </w:t>
            </w:r>
            <w:r>
              <w:rPr>
                <w:sz w:val="24"/>
              </w:rPr>
              <w:t xml:space="preserve">元整</w:t>
            </w:r>
            <w:r/>
          </w:p>
        </w:tc>
      </w:tr>
    </w:tbl>
    <w:p>
      <w:pPr>
        <w:pStyle w:val="1082"/>
        <w:spacing w:line="360" w:lineRule="auto"/>
        <w:rPr>
          <w:b/>
          <w:sz w:val="28"/>
          <w:szCs w:val="28"/>
        </w:rPr>
      </w:pPr>
      <w:r>
        <w:rPr>
          <w:b/>
          <w:sz w:val="28"/>
          <w:szCs w:val="28"/>
        </w:rPr>
        <w:br w:type="page" w:clear="all"/>
      </w:r>
      <w:r>
        <w:rPr>
          <w:b/>
          <w:sz w:val="28"/>
          <w:szCs w:val="28"/>
        </w:rPr>
      </w:r>
      <w:r/>
    </w:p>
    <w:p>
      <w:pPr>
        <w:pStyle w:val="1082"/>
        <w:jc w:val="center"/>
        <w:spacing w:line="360" w:lineRule="auto"/>
        <w:rPr>
          <w:b/>
          <w:sz w:val="32"/>
          <w:szCs w:val="32"/>
        </w:rPr>
      </w:pPr>
      <w:r>
        <w:rPr>
          <w:b/>
          <w:sz w:val="32"/>
          <w:szCs w:val="32"/>
        </w:rPr>
        <w:t xml:space="preserve">产品配置清单</w:t>
      </w:r>
      <w:r>
        <w:rPr>
          <w:b/>
          <w:sz w:val="32"/>
          <w:szCs w:val="32"/>
        </w:rPr>
      </w:r>
      <w:r/>
    </w:p>
    <w:tbl>
      <w:tblPr>
        <w:tblW w:w="49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11"/>
        <w:gridCol w:w="2881"/>
        <w:gridCol w:w="3233"/>
      </w:tblGrid>
      <w:tr>
        <w:trPr>
          <w:trHeight w:val="378"/>
        </w:trPr>
        <w:tc>
          <w:tcPr>
            <w:tcW w:w="412" w:type="dxa"/>
            <w:vAlign w:val="top"/>
            <w:textDirection w:val="lrTb"/>
            <w:noWrap w:val="false"/>
          </w:tcPr>
          <w:p>
            <w:pPr>
              <w:pStyle w:val="1082"/>
              <w:jc w:val="center"/>
              <w:spacing w:line="360" w:lineRule="auto"/>
              <w:rPr>
                <w:sz w:val="24"/>
                <w:lang w:bidi="ar"/>
              </w:rPr>
            </w:pPr>
            <w:r>
              <w:rPr>
                <w:sz w:val="24"/>
                <w:lang w:bidi="ar"/>
              </w:rPr>
              <w:t xml:space="preserve">序号</w:t>
            </w:r>
            <w:r>
              <w:rPr>
                <w:sz w:val="24"/>
                <w:lang w:bidi="ar"/>
              </w:rPr>
            </w:r>
            <w:r/>
          </w:p>
        </w:tc>
        <w:tc>
          <w:tcPr>
            <w:tcW w:w="1048" w:type="dxa"/>
            <w:vAlign w:val="center"/>
            <w:textDirection w:val="lrTb"/>
            <w:noWrap w:val="false"/>
          </w:tcPr>
          <w:p>
            <w:pPr>
              <w:pStyle w:val="1082"/>
              <w:jc w:val="center"/>
              <w:spacing w:line="360" w:lineRule="auto"/>
              <w:rPr>
                <w:sz w:val="24"/>
                <w:lang w:bidi="ar"/>
              </w:rPr>
            </w:pPr>
            <w:r>
              <w:rPr>
                <w:szCs w:val="21"/>
              </w:rPr>
              <w:t xml:space="preserve">设备品目</w:t>
            </w:r>
            <w:r>
              <w:rPr>
                <w:sz w:val="24"/>
                <w:lang w:bidi="ar"/>
              </w:rPr>
            </w:r>
            <w:r/>
          </w:p>
        </w:tc>
        <w:tc>
          <w:tcPr>
            <w:tcW w:w="1667" w:type="dxa"/>
            <w:vAlign w:val="top"/>
            <w:textDirection w:val="lrTb"/>
            <w:noWrap w:val="false"/>
          </w:tcPr>
          <w:p>
            <w:pPr>
              <w:pStyle w:val="1082"/>
              <w:jc w:val="center"/>
              <w:spacing w:line="360" w:lineRule="auto"/>
              <w:rPr>
                <w:sz w:val="24"/>
                <w:lang w:bidi="ar"/>
              </w:rPr>
            </w:pPr>
            <w:r>
              <w:rPr>
                <w:szCs w:val="21"/>
              </w:rPr>
              <w:t xml:space="preserve">配置名称</w:t>
            </w:r>
            <w:r>
              <w:rPr>
                <w:sz w:val="24"/>
                <w:lang w:bidi="ar"/>
              </w:rPr>
            </w:r>
            <w:r/>
          </w:p>
        </w:tc>
        <w:tc>
          <w:tcPr>
            <w:tcW w:w="1871" w:type="dxa"/>
            <w:vAlign w:val="top"/>
            <w:textDirection w:val="lrTb"/>
            <w:noWrap w:val="false"/>
          </w:tcPr>
          <w:p>
            <w:pPr>
              <w:pStyle w:val="1082"/>
              <w:jc w:val="center"/>
              <w:spacing w:line="360" w:lineRule="auto"/>
              <w:rPr>
                <w:szCs w:val="21"/>
              </w:rPr>
            </w:pPr>
            <w:r>
              <w:rPr>
                <w:szCs w:val="21"/>
              </w:rPr>
              <w:t xml:space="preserve">数量</w:t>
            </w:r>
            <w:r>
              <w:rPr>
                <w:szCs w:val="21"/>
              </w:rPr>
            </w:r>
            <w:r/>
          </w:p>
        </w:tc>
      </w:tr>
      <w:tr>
        <w:trPr>
          <w:trHeight w:val="929"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132"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120"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278"/>
              <w:ind w:firstLine="0"/>
              <w:rPr>
                <w:rFonts w:cs="Times New Roman"/>
                <w:sz w:val="21"/>
                <w:szCs w:val="21"/>
              </w:rPr>
            </w:pPr>
            <w:r>
              <w:rPr>
                <w:rFonts w:cs="Times New Roman"/>
                <w:sz w:val="21"/>
                <w:szCs w:val="21"/>
              </w:rPr>
            </w:r>
            <w:r/>
          </w:p>
        </w:tc>
      </w:tr>
      <w:tr>
        <w:trPr>
          <w:trHeight w:val="903"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bCs/>
                <w:sz w:val="21"/>
                <w:szCs w:val="21"/>
              </w:rPr>
            </w:pPr>
            <w:r>
              <w:rPr>
                <w:rFonts w:cs="Times New Roman"/>
                <w:bCs/>
                <w:sz w:val="21"/>
                <w:szCs w:val="21"/>
              </w:rPr>
            </w:r>
            <w:r/>
          </w:p>
        </w:tc>
        <w:tc>
          <w:tcPr>
            <w:tcW w:w="1871" w:type="dxa"/>
            <w:vAlign w:val="center"/>
            <w:textDirection w:val="lrTb"/>
            <w:noWrap w:val="false"/>
          </w:tcPr>
          <w:p>
            <w:pPr>
              <w:pStyle w:val="1278"/>
              <w:ind w:firstLine="0"/>
              <w:rPr>
                <w:rFonts w:cs="Times New Roman"/>
                <w:bCs/>
                <w:sz w:val="21"/>
                <w:szCs w:val="21"/>
              </w:rPr>
            </w:pPr>
            <w:r>
              <w:rPr>
                <w:rFonts w:cs="Times New Roman"/>
                <w:bCs/>
                <w:sz w:val="21"/>
                <w:szCs w:val="21"/>
              </w:rPr>
            </w:r>
            <w:r/>
          </w:p>
        </w:tc>
      </w:tr>
      <w:tr>
        <w:trPr>
          <w:trHeight w:val="1222"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278"/>
              <w:ind w:firstLine="0"/>
              <w:rPr>
                <w:rFonts w:cs="Times New Roman"/>
                <w:sz w:val="21"/>
                <w:szCs w:val="21"/>
              </w:rPr>
            </w:pPr>
            <w:r>
              <w:rPr>
                <w:rFonts w:cs="Times New Roman"/>
                <w:sz w:val="21"/>
                <w:szCs w:val="21"/>
              </w:rPr>
            </w:r>
            <w:r/>
          </w:p>
        </w:tc>
      </w:tr>
      <w:tr>
        <w:trPr>
          <w:trHeight w:val="1235"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800"/>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spacing w:line="360" w:lineRule="auto"/>
              <w:rPr>
                <w:szCs w:val="21"/>
              </w:rPr>
            </w:pPr>
            <w:r>
              <w:rPr>
                <w:szCs w:val="21"/>
              </w:rPr>
            </w:r>
            <w:r/>
          </w:p>
        </w:tc>
        <w:tc>
          <w:tcPr>
            <w:tcW w:w="1871" w:type="dxa"/>
            <w:vAlign w:val="center"/>
            <w:textDirection w:val="lrTb"/>
            <w:noWrap w:val="false"/>
          </w:tcPr>
          <w:p>
            <w:pPr>
              <w:pStyle w:val="1082"/>
              <w:spacing w:line="360" w:lineRule="auto"/>
              <w:rPr>
                <w:szCs w:val="21"/>
              </w:rPr>
            </w:pPr>
            <w:r>
              <w:rPr>
                <w:szCs w:val="21"/>
              </w:rPr>
            </w:r>
            <w:r/>
          </w:p>
        </w:tc>
      </w:tr>
    </w:tbl>
    <w:p>
      <w:pPr>
        <w:pStyle w:val="1082"/>
        <w:spacing w:line="360" w:lineRule="auto"/>
        <w:rPr>
          <w:sz w:val="24"/>
          <w:highlight w:val="yellow"/>
        </w:rPr>
      </w:pPr>
      <w:r>
        <w:rPr>
          <w:sz w:val="24"/>
          <w:highlight w:val="yellow"/>
        </w:rPr>
      </w:r>
      <w:r/>
    </w:p>
    <w:p>
      <w:pPr>
        <w:pStyle w:val="1163"/>
      </w:pPr>
      <w:r/>
      <w:r/>
    </w:p>
    <w:p>
      <w:pPr>
        <w:pStyle w:val="1163"/>
        <w:ind w:firstLine="0"/>
      </w:pPr>
      <w:r>
        <w:rPr>
          <w:bCs/>
          <w:szCs w:val="21"/>
        </w:rPr>
        <w:t xml:space="preserve">供货一览表、产品配置清单需求部门确认签字：</w:t>
      </w:r>
      <w:r/>
    </w:p>
    <w:p>
      <w:pPr>
        <w:pStyle w:val="1163"/>
      </w:pPr>
      <w:r/>
      <w:r/>
    </w:p>
    <w:p>
      <w:pPr>
        <w:pStyle w:val="1082"/>
      </w:pPr>
      <w:r/>
      <w:r/>
    </w:p>
    <w:p>
      <w:pPr>
        <w:pStyle w:val="1082"/>
        <w:jc w:val="left"/>
        <w:widowControl/>
        <w:rPr>
          <w:b/>
          <w:bCs/>
          <w:sz w:val="32"/>
          <w:szCs w:val="44"/>
          <w:lang w:val="zh-CN"/>
        </w:rPr>
      </w:pPr>
      <w:r>
        <w:rPr>
          <w:lang w:val="zh-CN"/>
        </w:rPr>
        <w:br w:type="page" w:clear="all"/>
      </w:r>
      <w:r>
        <w:rPr>
          <w:b/>
          <w:bCs/>
          <w:sz w:val="32"/>
          <w:szCs w:val="44"/>
          <w:lang w:val="zh-CN"/>
        </w:rPr>
      </w:r>
      <w:r/>
    </w:p>
    <w:p>
      <w:pPr>
        <w:pStyle w:val="1083"/>
        <w:numPr>
          <w:ilvl w:val="0"/>
          <w:numId w:val="0"/>
        </w:numPr>
      </w:pPr>
      <w:r/>
      <w:bookmarkStart w:id="31" w:name="_Toc6328"/>
      <w:r>
        <w:t xml:space="preserve">第六章 投标文件格式及附件</w:t>
      </w:r>
      <w:bookmarkEnd w:id="31"/>
      <w:r/>
      <w:r/>
    </w:p>
    <w:p>
      <w:pPr>
        <w:pStyle w:val="1082"/>
        <w:jc w:val="left"/>
        <w:spacing w:line="240" w:lineRule="atLeast"/>
        <w:widowControl/>
        <w:rPr>
          <w:b/>
          <w:bCs/>
          <w:szCs w:val="21"/>
        </w:rPr>
      </w:pPr>
      <w:r>
        <w:rPr>
          <w:b/>
          <w:bCs/>
          <w:szCs w:val="21"/>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jc w:val="center"/>
        <w:rPr>
          <w:sz w:val="20"/>
          <w:szCs w:val="20"/>
        </w:rPr>
      </w:pPr>
      <w:r>
        <w:rPr>
          <w:sz w:val="28"/>
          <w:szCs w:val="28"/>
        </w:rPr>
        <w:t xml:space="preserve">（项目名称）</w:t>
      </w:r>
      <w:r>
        <w:rPr>
          <w:sz w:val="20"/>
          <w:szCs w:val="20"/>
        </w:rPr>
      </w:r>
      <w:r/>
    </w:p>
    <w:p>
      <w:pPr>
        <w:pStyle w:val="1082"/>
        <w:jc w:val="center"/>
        <w:rPr>
          <w:sz w:val="20"/>
          <w:szCs w:val="20"/>
        </w:rPr>
      </w:pPr>
      <w:r>
        <w:rPr>
          <w:sz w:val="20"/>
          <w:szCs w:val="20"/>
        </w:rPr>
      </w:r>
      <w:r/>
    </w:p>
    <w:p>
      <w:pPr>
        <w:pStyle w:val="1082"/>
        <w:rPr>
          <w:sz w:val="20"/>
          <w:szCs w:val="20"/>
        </w:rPr>
      </w:pPr>
      <w:r>
        <w:rPr>
          <w:sz w:val="20"/>
          <w:szCs w:val="20"/>
        </w:rPr>
      </w:r>
      <w:r/>
    </w:p>
    <w:p>
      <w:pPr>
        <w:pStyle w:val="1082"/>
        <w:jc w:val="center"/>
        <w:rPr>
          <w:sz w:val="44"/>
          <w:szCs w:val="44"/>
        </w:rPr>
      </w:pPr>
      <w:r>
        <w:rPr>
          <w:sz w:val="44"/>
          <w:szCs w:val="44"/>
        </w:rPr>
        <w:t xml:space="preserve">投标文件</w:t>
      </w:r>
      <w:r>
        <w:rPr>
          <w:sz w:val="44"/>
          <w:szCs w:val="44"/>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jc w:val="center"/>
        <w:rPr>
          <w:sz w:val="28"/>
          <w:szCs w:val="28"/>
          <w:u w:val="single"/>
        </w:rPr>
      </w:pPr>
      <w:r>
        <w:rPr>
          <w:sz w:val="28"/>
          <w:szCs w:val="28"/>
        </w:rPr>
        <w:t xml:space="preserve">投标人名称（加盖电子公章）：</w:t>
      </w:r>
      <w:r>
        <w:rPr>
          <w:sz w:val="28"/>
          <w:szCs w:val="28"/>
          <w:u w:val="single"/>
        </w:rPr>
      </w:r>
      <w:r/>
    </w:p>
    <w:p>
      <w:pPr>
        <w:pStyle w:val="1082"/>
        <w:jc w:val="center"/>
        <w:rPr>
          <w:sz w:val="28"/>
          <w:szCs w:val="28"/>
        </w:rPr>
      </w:pPr>
      <w:r>
        <w:rPr>
          <w:sz w:val="28"/>
          <w:szCs w:val="28"/>
        </w:rPr>
      </w:r>
      <w:r/>
    </w:p>
    <w:p>
      <w:pPr>
        <w:pStyle w:val="1082"/>
        <w:jc w:val="center"/>
        <w:rPr>
          <w:sz w:val="28"/>
          <w:szCs w:val="28"/>
        </w:rPr>
      </w:pPr>
      <w:r>
        <w:rPr>
          <w:sz w:val="28"/>
          <w:szCs w:val="28"/>
        </w:rPr>
        <w:t xml:space="preserve">年 月  日</w:t>
      </w:r>
      <w:r>
        <w:rPr>
          <w:sz w:val="28"/>
          <w:szCs w:val="28"/>
        </w:rPr>
      </w:r>
      <w:r/>
    </w:p>
    <w:p>
      <w:pPr>
        <w:pStyle w:val="1082"/>
        <w:jc w:val="left"/>
        <w:widowControl/>
        <w:rPr>
          <w:sz w:val="28"/>
          <w:szCs w:val="28"/>
        </w:rPr>
      </w:pPr>
      <w:r>
        <w:rPr>
          <w:sz w:val="28"/>
          <w:szCs w:val="28"/>
        </w:rPr>
        <w:br w:type="page" w:clear="all"/>
      </w:r>
      <w:r>
        <w:rPr>
          <w:sz w:val="28"/>
          <w:szCs w:val="28"/>
        </w:rPr>
      </w:r>
      <w:r/>
    </w:p>
    <w:p>
      <w:pPr>
        <w:pStyle w:val="1082"/>
        <w:jc w:val="center"/>
        <w:spacing w:before="312" w:after="312"/>
        <w:rPr>
          <w:sz w:val="32"/>
          <w:szCs w:val="32"/>
        </w:rPr>
      </w:pPr>
      <w:r>
        <w:rPr>
          <w:sz w:val="32"/>
          <w:szCs w:val="32"/>
        </w:rPr>
        <w:t xml:space="preserve">目录</w:t>
      </w:r>
      <w:r>
        <w:rPr>
          <w:sz w:val="32"/>
          <w:szCs w:val="32"/>
        </w:rPr>
      </w:r>
      <w:r/>
    </w:p>
    <w:p>
      <w:pPr>
        <w:pStyle w:val="1082"/>
        <w:jc w:val="center"/>
        <w:rPr>
          <w:szCs w:val="21"/>
        </w:rPr>
      </w:pPr>
      <w:r>
        <w:rPr>
          <w:szCs w:val="21"/>
        </w:rPr>
        <w:t xml:space="preserve">（注：供应商根据本章附件顺序编制投标文件并制作目录（须生成页码））</w:t>
      </w:r>
      <w:r>
        <w:rPr>
          <w:szCs w:val="21"/>
        </w:rPr>
      </w:r>
      <w:r/>
    </w:p>
    <w:p>
      <w:pPr>
        <w:pStyle w:val="1082"/>
        <w:spacing w:line="440" w:lineRule="exact"/>
        <w:rPr>
          <w:szCs w:val="21"/>
        </w:rPr>
      </w:pPr>
      <w:r>
        <w:br w:type="page" w:clear="all"/>
      </w:r>
      <w:r>
        <w:rPr>
          <w:b/>
          <w:bCs/>
          <w:szCs w:val="21"/>
        </w:rPr>
        <w:t xml:space="preserve">附件一、投标申请及声明格式</w:t>
      </w:r>
      <w:r>
        <w:rPr>
          <w:szCs w:val="21"/>
        </w:rPr>
      </w:r>
      <w:r/>
    </w:p>
    <w:p>
      <w:pPr>
        <w:pStyle w:val="1082"/>
        <w:jc w:val="center"/>
        <w:spacing w:line="360" w:lineRule="auto"/>
        <w:shd w:val="clear" w:color="auto" w:fill="ffffff"/>
        <w:widowControl/>
        <w:rPr>
          <w:b/>
          <w:szCs w:val="21"/>
        </w:rPr>
      </w:pPr>
      <w:r>
        <w:rPr>
          <w:b/>
          <w:sz w:val="36"/>
          <w:szCs w:val="36"/>
        </w:rPr>
        <w:t xml:space="preserve">投标申请及声明</w:t>
      </w:r>
      <w:r>
        <w:rPr>
          <w:b/>
          <w:szCs w:val="21"/>
        </w:rPr>
      </w:r>
      <w:r/>
    </w:p>
    <w:p>
      <w:pPr>
        <w:pStyle w:val="1082"/>
        <w:spacing w:line="400" w:lineRule="exact"/>
        <w:shd w:val="clear" w:color="auto" w:fill="ffffff"/>
        <w:widowControl/>
        <w:rPr>
          <w:szCs w:val="21"/>
        </w:rPr>
      </w:pPr>
      <w:r>
        <w:rPr>
          <w:szCs w:val="21"/>
        </w:rPr>
        <w:t xml:space="preserve"> 致：江苏省设备成套股份有限公司</w:t>
      </w:r>
      <w:r>
        <w:rPr>
          <w:szCs w:val="21"/>
        </w:rPr>
      </w:r>
      <w:r/>
    </w:p>
    <w:p>
      <w:pPr>
        <w:pStyle w:val="1082"/>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82"/>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82"/>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82"/>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82"/>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82"/>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82"/>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82"/>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82"/>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82"/>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82"/>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开户银行：</w:t>
      </w:r>
      <w:r>
        <w:rPr>
          <w:szCs w:val="21"/>
        </w:rPr>
      </w:r>
      <w:r/>
    </w:p>
    <w:p>
      <w:pPr>
        <w:pStyle w:val="1082"/>
        <w:ind w:firstLine="420"/>
        <w:spacing w:line="400" w:lineRule="exact"/>
        <w:shd w:val="clear" w:color="auto" w:fill="ffffff"/>
        <w:widowControl/>
        <w:rPr>
          <w:szCs w:val="21"/>
        </w:rPr>
      </w:pPr>
      <w:r>
        <w:rPr>
          <w:szCs w:val="21"/>
        </w:rPr>
        <w:t xml:space="preserve">银行账号：</w:t>
      </w:r>
      <w:r>
        <w:rPr>
          <w:szCs w:val="21"/>
        </w:rPr>
      </w:r>
      <w:r/>
    </w:p>
    <w:p>
      <w:pPr>
        <w:pStyle w:val="1082"/>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82"/>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82"/>
        <w:ind w:firstLine="720"/>
        <w:jc w:val="center"/>
        <w:spacing w:line="360" w:lineRule="auto"/>
        <w:shd w:val="clear" w:color="auto" w:fill="ffffff"/>
        <w:widowControl/>
        <w:rPr>
          <w:sz w:val="36"/>
          <w:szCs w:val="36"/>
        </w:rPr>
      </w:pPr>
      <w:r>
        <w:rPr>
          <w:sz w:val="36"/>
          <w:szCs w:val="36"/>
        </w:rPr>
      </w:r>
      <w:r/>
    </w:p>
    <w:p>
      <w:pPr>
        <w:pStyle w:val="1082"/>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82"/>
        <w:jc w:val="left"/>
        <w:spacing w:line="360" w:lineRule="auto"/>
        <w:shd w:val="clear" w:color="auto" w:fill="ffffff"/>
        <w:widowControl/>
        <w:rPr>
          <w:szCs w:val="21"/>
        </w:rPr>
      </w:pPr>
      <w:r>
        <w:rPr>
          <w:szCs w:val="21"/>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246"/>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32" w:name="_Hlt26955070"/>
      <w:r/>
      <w:bookmarkEnd w:id="32"/>
      <w:r/>
      <w:bookmarkStart w:id="33" w:name="_格式3__银行出具的资信证明"/>
      <w:r/>
      <w:bookmarkEnd w:id="33"/>
      <w:r/>
      <w:bookmarkStart w:id="34" w:name="_Hlt26671380"/>
      <w:r/>
      <w:bookmarkEnd w:id="34"/>
      <w:r>
        <w:rPr>
          <w:rFonts w:ascii="Times New Roman" w:hAnsi="Times New Roman"/>
          <w:sz w:val="24"/>
          <w:szCs w:val="24"/>
          <w:lang w:eastAsia="zh-CN"/>
        </w:rPr>
      </w:r>
      <w:r/>
    </w:p>
    <w:p>
      <w:pPr>
        <w:pStyle w:val="1082"/>
        <w:jc w:val="left"/>
        <w:spacing w:line="360" w:lineRule="auto"/>
        <w:shd w:val="clear" w:color="auto" w:fill="ffffff"/>
        <w:widowControl/>
        <w:rPr>
          <w:b/>
          <w:szCs w:val="21"/>
        </w:rPr>
      </w:pPr>
      <w:r>
        <w:rPr>
          <w:b/>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spacing w:line="360" w:lineRule="auto"/>
      </w:pPr>
      <w:r>
        <w:rPr>
          <w:b/>
          <w:bCs/>
          <w:szCs w:val="21"/>
        </w:rPr>
        <w:br w:type="page" w:clear="all"/>
      </w:r>
      <w:bookmarkStart w:id="35" w:name="_Toc26810"/>
      <w:r>
        <w:rPr>
          <w:b/>
          <w:bCs/>
          <w:szCs w:val="21"/>
          <w:lang w:val="zh-CN"/>
        </w:rPr>
        <w:t xml:space="preserve">附件三、</w:t>
      </w:r>
      <w:bookmarkEnd w:id="35"/>
      <w:r>
        <w:rPr>
          <w:b/>
          <w:bCs/>
          <w:szCs w:val="21"/>
        </w:rPr>
        <w:t xml:space="preserve">开标一览表</w:t>
      </w:r>
      <w:r/>
    </w:p>
    <w:p>
      <w:pPr>
        <w:pStyle w:val="1082"/>
        <w:rPr>
          <w:b/>
          <w:bCs/>
          <w:lang w:val="zh-CN"/>
        </w:rPr>
      </w:pPr>
      <w:r>
        <w:rPr>
          <w:b/>
          <w:bCs/>
          <w:lang w:val="zh-CN"/>
        </w:rPr>
      </w:r>
      <w:r/>
    </w:p>
    <w:p>
      <w:pPr>
        <w:pStyle w:val="1082"/>
        <w:jc w:val="center"/>
        <w:rPr>
          <w:b/>
          <w:sz w:val="36"/>
          <w:szCs w:val="36"/>
        </w:rPr>
      </w:pPr>
      <w:r>
        <w:rPr>
          <w:b/>
          <w:sz w:val="36"/>
          <w:szCs w:val="36"/>
        </w:rPr>
        <w:t xml:space="preserve">开标一览表</w:t>
      </w:r>
      <w:r>
        <w:rPr>
          <w:b/>
          <w:sz w:val="36"/>
          <w:szCs w:val="36"/>
        </w:rPr>
      </w:r>
      <w:r/>
    </w:p>
    <w:p>
      <w:pPr>
        <w:pStyle w:val="1082"/>
        <w:jc w:val="center"/>
        <w:spacing w:line="360" w:lineRule="auto"/>
        <w:shd w:val="clear" w:color="auto" w:fill="ffffff"/>
        <w:widowControl/>
        <w:rPr>
          <w:sz w:val="24"/>
        </w:rPr>
      </w:pPr>
      <w:r>
        <w:rPr>
          <w:lang w:val="zh-CN"/>
        </w:rPr>
        <w:t xml:space="preserve">               </w:t>
      </w:r>
      <w:r>
        <w:rPr>
          <w:sz w:val="24"/>
        </w:rPr>
      </w:r>
      <w:r/>
    </w:p>
    <w:p>
      <w:pPr>
        <w:pStyle w:val="1109"/>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1109"/>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109"/>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1109"/>
              <w:ind w:firstLine="0"/>
              <w:spacing w:line="440" w:lineRule="exact"/>
              <w:rPr>
                <w:bCs/>
                <w:sz w:val="21"/>
                <w:szCs w:val="21"/>
              </w:rPr>
            </w:pPr>
            <w:r>
              <w:rPr>
                <w:sz w:val="21"/>
                <w:szCs w:val="21"/>
              </w:rPr>
              <w:t xml:space="preserve">小写：人民币            元    </w:t>
            </w:r>
            <w:r>
              <w:rPr>
                <w:bCs/>
                <w:sz w:val="21"/>
                <w:szCs w:val="21"/>
              </w:rPr>
            </w:r>
            <w:r/>
          </w:p>
          <w:p>
            <w:pPr>
              <w:pStyle w:val="1109"/>
              <w:ind w:firstLine="474"/>
              <w:spacing w:line="440" w:lineRule="exact"/>
              <w:rPr>
                <w:sz w:val="21"/>
                <w:szCs w:val="21"/>
              </w:rPr>
            </w:pPr>
            <w:r>
              <w:rPr>
                <w:sz w:val="21"/>
                <w:szCs w:val="21"/>
              </w:rPr>
            </w:r>
            <w:r/>
          </w:p>
          <w:p>
            <w:pPr>
              <w:pStyle w:val="1109"/>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109"/>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109"/>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109"/>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109"/>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109"/>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109"/>
              <w:ind w:firstLine="474"/>
              <w:rPr>
                <w:sz w:val="21"/>
                <w:szCs w:val="21"/>
              </w:rPr>
            </w:pPr>
            <w:r>
              <w:rPr>
                <w:sz w:val="21"/>
                <w:szCs w:val="21"/>
              </w:rPr>
            </w:r>
            <w:r/>
          </w:p>
        </w:tc>
      </w:tr>
    </w:tbl>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jc w:val="left"/>
        <w:spacing w:line="360" w:lineRule="auto"/>
        <w:shd w:val="clear" w:color="auto" w:fill="ffffff"/>
        <w:widowControl/>
        <w:rPr>
          <w:szCs w:val="21"/>
        </w:rPr>
      </w:pPr>
      <w:r>
        <w:rPr>
          <w:szCs w:val="21"/>
        </w:rPr>
        <w:t xml:space="preserve">说明：</w:t>
      </w:r>
      <w:r>
        <w:rPr>
          <w:szCs w:val="21"/>
        </w:rPr>
      </w:r>
      <w:r/>
    </w:p>
    <w:p>
      <w:pPr>
        <w:pStyle w:val="1082"/>
        <w:numPr>
          <w:ilvl w:val="0"/>
          <w:numId w:val="42"/>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82"/>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82"/>
        <w:ind w:firstLine="420"/>
        <w:jc w:val="left"/>
        <w:spacing w:line="360" w:lineRule="auto"/>
        <w:shd w:val="clear" w:color="auto" w:fill="ffffff"/>
        <w:widowControl/>
        <w:rPr>
          <w:b/>
          <w:bCs/>
          <w:szCs w:val="21"/>
        </w:rPr>
      </w:pPr>
      <w:r>
        <w:rPr>
          <w:b/>
          <w:bCs/>
          <w:szCs w:val="21"/>
        </w:rPr>
      </w:r>
      <w:r/>
    </w:p>
    <w:p>
      <w:pPr>
        <w:pStyle w:val="1082"/>
        <w:jc w:val="left"/>
        <w:spacing w:line="360" w:lineRule="auto"/>
        <w:shd w:val="clear" w:color="auto" w:fill="ffffff"/>
        <w:widowControl/>
        <w:rPr>
          <w:b/>
          <w:bCs/>
          <w:szCs w:val="21"/>
          <w:lang w:val="zh-CN"/>
        </w:rPr>
      </w:pPr>
      <w:r/>
      <w:bookmarkStart w:id="36" w:name="_Toc12264"/>
      <w:r>
        <w:rPr>
          <w:b/>
          <w:bCs/>
          <w:szCs w:val="21"/>
          <w:lang w:val="zh-CN"/>
        </w:rPr>
        <w:br w:type="page" w:clear="all"/>
      </w:r>
      <w:r>
        <w:rPr>
          <w:b/>
          <w:bCs/>
          <w:szCs w:val="21"/>
          <w:lang w:val="zh-CN"/>
        </w:rPr>
      </w:r>
      <w:r/>
    </w:p>
    <w:p>
      <w:pPr>
        <w:pStyle w:val="1082"/>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36"/>
      <w:r>
        <w:rPr>
          <w:b/>
          <w:bCs/>
          <w:szCs w:val="21"/>
          <w:lang w:val="zh-CN"/>
        </w:rPr>
      </w:r>
      <w:r/>
    </w:p>
    <w:p>
      <w:pPr>
        <w:pStyle w:val="1082"/>
        <w:jc w:val="left"/>
        <w:spacing w:line="240" w:lineRule="atLeast"/>
        <w:widowControl/>
        <w:rPr>
          <w:b/>
          <w:bCs/>
          <w:lang w:val="zh-CN"/>
        </w:rPr>
      </w:pPr>
      <w:r>
        <w:rPr>
          <w:b/>
          <w:bCs/>
          <w:lang w:val="zh-CN"/>
        </w:rPr>
      </w:r>
      <w:r/>
    </w:p>
    <w:p>
      <w:pPr>
        <w:pStyle w:val="1082"/>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201"/>
        <w:gridCol w:w="1009"/>
        <w:gridCol w:w="1131"/>
        <w:gridCol w:w="713"/>
        <w:gridCol w:w="713"/>
        <w:gridCol w:w="661"/>
        <w:gridCol w:w="818"/>
        <w:gridCol w:w="1651"/>
      </w:tblGrid>
      <w:tr>
        <w:trPr>
          <w:trHeight w:val="640"/>
        </w:trPr>
        <w:tc>
          <w:tcPr>
            <w:tcW w:w="469" w:type="dxa"/>
            <w:vAlign w:val="center"/>
            <w:textDirection w:val="lrTb"/>
            <w:noWrap w:val="false"/>
          </w:tcPr>
          <w:p>
            <w:pPr>
              <w:pStyle w:val="1082"/>
              <w:widowControl/>
              <w:rPr>
                <w:szCs w:val="21"/>
              </w:rPr>
            </w:pPr>
            <w:r>
              <w:rPr>
                <w:szCs w:val="21"/>
              </w:rPr>
              <w:t xml:space="preserve">序号</w:t>
            </w:r>
            <w:r>
              <w:rPr>
                <w:szCs w:val="21"/>
              </w:rPr>
            </w:r>
            <w:r/>
          </w:p>
        </w:tc>
        <w:tc>
          <w:tcPr>
            <w:tcW w:w="689" w:type="dxa"/>
            <w:vAlign w:val="center"/>
            <w:textDirection w:val="lrTb"/>
            <w:noWrap w:val="false"/>
          </w:tcPr>
          <w:p>
            <w:pPr>
              <w:pStyle w:val="1082"/>
              <w:widowControl/>
              <w:rPr>
                <w:szCs w:val="21"/>
              </w:rPr>
            </w:pPr>
            <w:r>
              <w:rPr>
                <w:szCs w:val="21"/>
              </w:rPr>
              <w:t xml:space="preserve">分项内容</w:t>
            </w:r>
            <w:r>
              <w:rPr>
                <w:szCs w:val="21"/>
              </w:rPr>
            </w:r>
            <w:r/>
          </w:p>
        </w:tc>
        <w:tc>
          <w:tcPr>
            <w:tcW w:w="579" w:type="dxa"/>
            <w:vAlign w:val="center"/>
            <w:textDirection w:val="lrTb"/>
            <w:noWrap w:val="false"/>
          </w:tcPr>
          <w:p>
            <w:pPr>
              <w:pStyle w:val="1082"/>
              <w:jc w:val="center"/>
              <w:widowControl/>
              <w:rPr>
                <w:szCs w:val="21"/>
              </w:rPr>
            </w:pPr>
            <w:r>
              <w:rPr>
                <w:szCs w:val="21"/>
              </w:rPr>
              <w:t xml:space="preserve">制造商名称</w:t>
            </w:r>
            <w:r>
              <w:rPr>
                <w:szCs w:val="21"/>
              </w:rPr>
            </w:r>
            <w:r/>
          </w:p>
        </w:tc>
        <w:tc>
          <w:tcPr>
            <w:tcW w:w="649" w:type="dxa"/>
            <w:vAlign w:val="center"/>
            <w:textDirection w:val="lrTb"/>
            <w:noWrap w:val="false"/>
          </w:tcPr>
          <w:p>
            <w:pPr>
              <w:pStyle w:val="1082"/>
              <w:widowControl/>
              <w:rPr>
                <w:szCs w:val="21"/>
              </w:rPr>
            </w:pPr>
            <w:r>
              <w:rPr>
                <w:szCs w:val="21"/>
              </w:rPr>
              <w:t xml:space="preserve">型号规格</w:t>
            </w:r>
            <w:r>
              <w:rPr>
                <w:szCs w:val="21"/>
              </w:rPr>
            </w:r>
            <w:r/>
          </w:p>
        </w:tc>
        <w:tc>
          <w:tcPr>
            <w:tcW w:w="409" w:type="dxa"/>
            <w:vAlign w:val="center"/>
            <w:textDirection w:val="lrTb"/>
            <w:noWrap w:val="false"/>
          </w:tcPr>
          <w:p>
            <w:pPr>
              <w:pStyle w:val="1082"/>
              <w:widowControl/>
              <w:rPr>
                <w:szCs w:val="21"/>
              </w:rPr>
            </w:pPr>
            <w:r>
              <w:rPr>
                <w:szCs w:val="21"/>
              </w:rPr>
              <w:t xml:space="preserve">单位</w:t>
            </w:r>
            <w:r>
              <w:rPr>
                <w:szCs w:val="21"/>
              </w:rPr>
            </w:r>
            <w:r/>
          </w:p>
        </w:tc>
        <w:tc>
          <w:tcPr>
            <w:tcW w:w="409" w:type="dxa"/>
            <w:vAlign w:val="center"/>
            <w:textDirection w:val="lrTb"/>
            <w:noWrap w:val="false"/>
          </w:tcPr>
          <w:p>
            <w:pPr>
              <w:pStyle w:val="1082"/>
              <w:widowControl/>
              <w:rPr>
                <w:szCs w:val="21"/>
              </w:rPr>
            </w:pPr>
            <w:r>
              <w:rPr>
                <w:szCs w:val="21"/>
              </w:rPr>
              <w:t xml:space="preserve">数量</w:t>
            </w:r>
            <w:r>
              <w:rPr>
                <w:szCs w:val="21"/>
              </w:rPr>
            </w:r>
            <w:r/>
          </w:p>
        </w:tc>
        <w:tc>
          <w:tcPr>
            <w:tcW w:w="379" w:type="dxa"/>
            <w:vAlign w:val="center"/>
            <w:textDirection w:val="lrTb"/>
            <w:noWrap w:val="false"/>
          </w:tcPr>
          <w:p>
            <w:pPr>
              <w:pStyle w:val="1082"/>
              <w:widowControl/>
              <w:rPr>
                <w:szCs w:val="21"/>
              </w:rPr>
            </w:pPr>
            <w:r>
              <w:rPr>
                <w:szCs w:val="21"/>
              </w:rPr>
              <w:t xml:space="preserve">单价</w:t>
            </w:r>
            <w:r>
              <w:rPr>
                <w:szCs w:val="21"/>
              </w:rPr>
            </w:r>
            <w:r/>
          </w:p>
        </w:tc>
        <w:tc>
          <w:tcPr>
            <w:tcW w:w="469" w:type="dxa"/>
            <w:vAlign w:val="center"/>
            <w:textDirection w:val="lrTb"/>
            <w:noWrap w:val="false"/>
          </w:tcPr>
          <w:p>
            <w:pPr>
              <w:pStyle w:val="1082"/>
              <w:rPr>
                <w:szCs w:val="21"/>
              </w:rPr>
            </w:pPr>
            <w:r>
              <w:rPr>
                <w:szCs w:val="21"/>
              </w:rPr>
              <w:t xml:space="preserve">合价</w:t>
            </w:r>
            <w:r>
              <w:rPr>
                <w:szCs w:val="21"/>
              </w:rPr>
            </w:r>
            <w:r/>
          </w:p>
        </w:tc>
        <w:tc>
          <w:tcPr>
            <w:tcW w:w="942" w:type="dxa"/>
            <w:vAlign w:val="center"/>
            <w:textDirection w:val="lrTb"/>
            <w:noWrap w:val="false"/>
          </w:tcPr>
          <w:p>
            <w:pPr>
              <w:pStyle w:val="1082"/>
              <w:widowControl/>
              <w:rPr>
                <w:szCs w:val="21"/>
              </w:rPr>
            </w:pPr>
            <w:r>
              <w:rPr>
                <w:szCs w:val="21"/>
              </w:rPr>
              <w:t xml:space="preserve">是否小、微企业产品（货物或服务）</w:t>
            </w: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1</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2</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3</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322"/>
        </w:trPr>
        <w:tc>
          <w:tcPr>
            <w:tcW w:w="469" w:type="dxa"/>
            <w:vAlign w:val="center"/>
            <w:textDirection w:val="lrTb"/>
            <w:noWrap w:val="false"/>
          </w:tcPr>
          <w:p>
            <w:pPr>
              <w:pStyle w:val="1082"/>
              <w:jc w:val="center"/>
              <w:widowControl/>
              <w:rPr>
                <w:szCs w:val="21"/>
              </w:rPr>
            </w:pPr>
            <w:r>
              <w:rPr>
                <w:szCs w:val="21"/>
              </w:rPr>
              <w:t xml:space="preserve">4</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322"/>
        </w:trPr>
        <w:tc>
          <w:tcPr>
            <w:tcW w:w="469" w:type="dxa"/>
            <w:vAlign w:val="center"/>
            <w:textDirection w:val="lrTb"/>
            <w:noWrap w:val="false"/>
          </w:tcPr>
          <w:p>
            <w:pPr>
              <w:pStyle w:val="1082"/>
              <w:jc w:val="center"/>
              <w:widowControl/>
              <w:rPr>
                <w:szCs w:val="21"/>
              </w:rPr>
            </w:pPr>
            <w:r>
              <w:rPr>
                <w:szCs w:val="21"/>
              </w:rPr>
              <w:t xml:space="preserve">5</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6</w:t>
            </w:r>
            <w:r>
              <w:rPr>
                <w:szCs w:val="21"/>
              </w:rPr>
            </w:r>
            <w:r/>
          </w:p>
        </w:tc>
        <w:tc>
          <w:tcPr>
            <w:tcW w:w="689" w:type="dxa"/>
            <w:vAlign w:val="center"/>
            <w:textDirection w:val="lrTb"/>
            <w:noWrap w:val="false"/>
          </w:tcPr>
          <w:p>
            <w:pPr>
              <w:pStyle w:val="1082"/>
              <w:widowControl/>
              <w:rPr>
                <w:szCs w:val="21"/>
              </w:rPr>
            </w:pPr>
            <w:r>
              <w:rPr>
                <w:szCs w:val="21"/>
              </w:rPr>
              <w:t xml:space="preserve">……</w:t>
            </w: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widowControl/>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gridSpan w:val="2"/>
            <w:tcW w:w="2019" w:type="dxa"/>
            <w:vAlign w:val="center"/>
            <w:textDirection w:val="lrTb"/>
            <w:noWrap w:val="false"/>
          </w:tcPr>
          <w:p>
            <w:pPr>
              <w:pStyle w:val="1082"/>
              <w:widowControl/>
              <w:rPr>
                <w:szCs w:val="21"/>
              </w:rPr>
            </w:pPr>
            <w:r>
              <w:rPr>
                <w:szCs w:val="21"/>
              </w:rPr>
              <w:t xml:space="preserve">合计：          </w:t>
            </w:r>
            <w:r>
              <w:rPr>
                <w:szCs w:val="21"/>
              </w:rPr>
            </w:r>
            <w:r/>
          </w:p>
        </w:tc>
        <w:tc>
          <w:tcPr>
            <w:gridSpan w:val="7"/>
            <w:tcW w:w="6696" w:type="dxa"/>
            <w:vAlign w:val="center"/>
            <w:textDirection w:val="lrTb"/>
            <w:noWrap w:val="false"/>
          </w:tcPr>
          <w:p>
            <w:pPr>
              <w:pStyle w:val="1082"/>
              <w:ind w:firstLine="1680"/>
              <w:widowControl/>
              <w:rPr>
                <w:szCs w:val="21"/>
              </w:rPr>
            </w:pPr>
            <w:r>
              <w:rPr>
                <w:szCs w:val="21"/>
              </w:rPr>
              <w:t xml:space="preserve">元(小数点保留两位)</w:t>
            </w:r>
            <w:r>
              <w:rPr>
                <w:szCs w:val="21"/>
              </w:rPr>
            </w:r>
            <w:r/>
          </w:p>
        </w:tc>
      </w:tr>
    </w:tbl>
    <w:p>
      <w:pPr>
        <w:pStyle w:val="1082"/>
        <w:jc w:val="left"/>
        <w:spacing w:line="360" w:lineRule="auto"/>
        <w:shd w:val="clear" w:color="auto" w:fill="ffffff"/>
        <w:widowControl/>
        <w:rPr>
          <w:szCs w:val="21"/>
        </w:rPr>
      </w:pPr>
      <w:r>
        <w:rPr>
          <w:szCs w:val="21"/>
        </w:rPr>
        <w:t xml:space="preserve">说明：</w:t>
      </w:r>
      <w:r>
        <w:rPr>
          <w:szCs w:val="21"/>
        </w:rPr>
      </w:r>
      <w:r/>
    </w:p>
    <w:p>
      <w:pPr>
        <w:pStyle w:val="1082"/>
        <w:jc w:val="left"/>
        <w:spacing w:line="360" w:lineRule="auto"/>
        <w:shd w:val="clear" w:color="auto" w:fill="ffffff"/>
        <w:widowControl/>
        <w:rPr>
          <w:szCs w:val="21"/>
        </w:rPr>
      </w:pPr>
      <w:r>
        <w:rPr>
          <w:szCs w:val="21"/>
        </w:rPr>
        <w:t xml:space="preserve">1、如果行数不够，请自行增加。</w:t>
      </w:r>
      <w:r>
        <w:rPr>
          <w:szCs w:val="21"/>
        </w:rPr>
      </w:r>
      <w:r/>
    </w:p>
    <w:p>
      <w:pPr>
        <w:pStyle w:val="1082"/>
        <w:jc w:val="left"/>
        <w:spacing w:line="360" w:lineRule="auto"/>
        <w:shd w:val="clear" w:color="auto" w:fill="ffffff"/>
        <w:widowControl/>
        <w:rPr>
          <w:szCs w:val="21"/>
        </w:rPr>
      </w:pPr>
      <w:r>
        <w:rPr>
          <w:szCs w:val="21"/>
        </w:rPr>
        <w:t xml:space="preserve">2、未注明小微企业的，不享受价格扣除。</w:t>
      </w:r>
      <w:r>
        <w:rPr>
          <w:szCs w:val="21"/>
        </w:rPr>
      </w:r>
      <w:r/>
    </w:p>
    <w:p>
      <w:pPr>
        <w:pStyle w:val="1082"/>
        <w:jc w:val="left"/>
        <w:spacing w:line="360" w:lineRule="auto"/>
        <w:shd w:val="clear" w:color="auto" w:fill="ffffff"/>
        <w:widowControl/>
        <w:rPr>
          <w:szCs w:val="21"/>
        </w:rPr>
      </w:pPr>
      <w:r>
        <w:rPr>
          <w:szCs w:val="21"/>
        </w:rPr>
        <w:t xml:space="preserve">（须明确产品的品牌及型号）</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widowControl/>
        <w:rPr>
          <w:szCs w:val="21"/>
        </w:rPr>
      </w:pPr>
      <w:r>
        <w:rPr>
          <w:szCs w:val="21"/>
        </w:rPr>
        <w:br w:type="page" w:clear="all"/>
      </w:r>
      <w:r>
        <w:rPr>
          <w:szCs w:val="21"/>
        </w:rPr>
      </w:r>
      <w:r/>
    </w:p>
    <w:p>
      <w:pPr>
        <w:pStyle w:val="1082"/>
        <w:jc w:val="left"/>
        <w:spacing w:line="360" w:lineRule="auto"/>
        <w:shd w:val="clear" w:color="auto" w:fill="ffffff"/>
        <w:widowControl/>
        <w:rPr>
          <w:szCs w:val="21"/>
        </w:rPr>
      </w:pPr>
      <w:r>
        <w:rPr>
          <w:szCs w:val="21"/>
        </w:rPr>
        <w:t xml:space="preserve"> </w:t>
      </w:r>
      <w:r>
        <w:rPr>
          <w:b/>
          <w:bCs/>
          <w:szCs w:val="21"/>
        </w:rPr>
        <w:t xml:space="preserve">附件四、</w:t>
      </w:r>
      <w:r>
        <w:rPr>
          <w:b/>
          <w:bCs/>
          <w:szCs w:val="21"/>
        </w:rPr>
        <w:tab/>
      </w:r>
      <w:r>
        <w:rPr>
          <w:szCs w:val="21"/>
        </w:rPr>
      </w:r>
      <w:r/>
    </w:p>
    <w:p>
      <w:pPr>
        <w:pStyle w:val="1082"/>
        <w:ind w:left="435"/>
        <w:jc w:val="left"/>
        <w:spacing w:line="360" w:lineRule="auto"/>
        <w:shd w:val="clear" w:color="auto" w:fill="ffffff"/>
        <w:widowControl/>
        <w:rPr>
          <w:szCs w:val="21"/>
        </w:rPr>
      </w:pPr>
      <w:r>
        <w:rPr>
          <w:sz w:val="24"/>
        </w:rPr>
        <w:t xml:space="preserve"> </w:t>
      </w:r>
      <w:r>
        <w:rPr>
          <w:szCs w:val="21"/>
        </w:rPr>
      </w:r>
      <w:r/>
    </w:p>
    <w:p>
      <w:pPr>
        <w:pStyle w:val="1082"/>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82"/>
        <w:jc w:val="left"/>
        <w:spacing w:line="360" w:lineRule="auto"/>
        <w:shd w:val="clear" w:color="auto" w:fill="ffffff"/>
        <w:widowControl/>
        <w:rPr>
          <w:szCs w:val="21"/>
        </w:rPr>
      </w:pPr>
      <w:r>
        <w:rPr>
          <w:sz w:val="24"/>
        </w:rPr>
        <w:t xml:space="preserve"> </w:t>
      </w:r>
      <w:r>
        <w:rPr>
          <w:szCs w:val="21"/>
        </w:rPr>
      </w:r>
      <w:r/>
    </w:p>
    <w:p>
      <w:pPr>
        <w:pStyle w:val="1082"/>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82"/>
        <w:jc w:val="left"/>
        <w:spacing w:line="360" w:lineRule="auto"/>
        <w:shd w:val="clear" w:color="auto" w:fill="ffffff"/>
        <w:widowControl/>
        <w:rPr>
          <w:b/>
          <w:szCs w:val="21"/>
          <w:lang w:val="zh-CN"/>
        </w:rPr>
      </w:pPr>
      <w:r>
        <w:rPr>
          <w:b/>
          <w:szCs w:val="21"/>
          <w:lang w:val="zh-CN"/>
        </w:rPr>
      </w:r>
      <w:r/>
    </w:p>
    <w:p>
      <w:pPr>
        <w:pStyle w:val="1268"/>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268"/>
        <w:ind w:firstLine="420"/>
        <w:spacing w:before="0" w:after="0"/>
        <w:rPr>
          <w:rFonts w:ascii="Times New Roman" w:hAnsi="Times New Roman"/>
          <w:sz w:val="21"/>
          <w:szCs w:val="21"/>
        </w:rPr>
      </w:pPr>
      <w:r>
        <w:rPr>
          <w:rFonts w:ascii="Times New Roman" w:hAnsi="Times New Roman"/>
          <w:sz w:val="21"/>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b/>
          <w:bCs/>
          <w:szCs w:val="21"/>
        </w:rPr>
      </w:pPr>
      <w:r>
        <w:rPr>
          <w:b/>
          <w:bCs/>
          <w:szCs w:val="21"/>
        </w:rPr>
        <w:t xml:space="preserve"> </w:t>
      </w:r>
      <w:r>
        <w:rPr>
          <w:b/>
          <w:bCs/>
          <w:szCs w:val="21"/>
        </w:rPr>
      </w:r>
      <w:r/>
    </w:p>
    <w:p>
      <w:pPr>
        <w:pStyle w:val="1082"/>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82"/>
        <w:spacing w:line="460" w:lineRule="atLeast"/>
        <w:widowControl/>
        <w:rPr>
          <w:b/>
          <w:bCs/>
          <w:sz w:val="24"/>
        </w:rPr>
      </w:pPr>
      <w:r>
        <w:rPr>
          <w:b/>
          <w:bCs/>
          <w:sz w:val="24"/>
        </w:rPr>
      </w:r>
      <w:r/>
    </w:p>
    <w:p>
      <w:pPr>
        <w:pStyle w:val="1082"/>
        <w:jc w:val="center"/>
        <w:widowControl/>
        <w:rPr>
          <w:b/>
          <w:bCs/>
          <w:sz w:val="24"/>
        </w:rPr>
      </w:pPr>
      <w:r>
        <w:rPr>
          <w:b/>
          <w:bCs/>
          <w:sz w:val="24"/>
        </w:rPr>
        <w:t xml:space="preserve">拟参与本项目服务人员一览表</w:t>
      </w:r>
      <w:r>
        <w:rPr>
          <w:b/>
          <w:bCs/>
          <w:sz w:val="24"/>
        </w:rPr>
      </w:r>
      <w:r/>
    </w:p>
    <w:p>
      <w:pPr>
        <w:pStyle w:val="1082"/>
        <w:jc w:val="center"/>
        <w:widowControl/>
        <w:rPr>
          <w:b/>
          <w:bCs/>
          <w:sz w:val="24"/>
        </w:rPr>
      </w:pPr>
      <w:r>
        <w:rPr>
          <w:b/>
          <w:bCs/>
          <w:sz w:val="24"/>
        </w:rPr>
      </w:r>
      <w:r/>
    </w:p>
    <w:p>
      <w:pPr>
        <w:pStyle w:val="1082"/>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82"/>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82"/>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82"/>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82"/>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82"/>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82"/>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82"/>
              <w:jc w:val="center"/>
              <w:widowControl/>
              <w:rPr>
                <w:b/>
                <w:bCs/>
                <w:szCs w:val="21"/>
              </w:rPr>
            </w:pPr>
            <w:r>
              <w:rPr>
                <w:b/>
                <w:bCs/>
                <w:szCs w:val="21"/>
              </w:rPr>
              <w:t xml:space="preserve">执业</w:t>
            </w:r>
            <w:r>
              <w:rPr>
                <w:b/>
                <w:bCs/>
                <w:szCs w:val="21"/>
              </w:rPr>
            </w:r>
            <w:r/>
          </w:p>
          <w:p>
            <w:pPr>
              <w:pStyle w:val="1082"/>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82"/>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82"/>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82"/>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82"/>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widowControl/>
        <w:rPr>
          <w:szCs w:val="21"/>
        </w:rPr>
      </w:pPr>
      <w:r>
        <w:rPr>
          <w:szCs w:val="21"/>
        </w:rPr>
      </w:r>
      <w:r/>
    </w:p>
    <w:p>
      <w:pPr>
        <w:pStyle w:val="1082"/>
        <w:widowControl/>
        <w:rPr>
          <w:b/>
          <w:bCs/>
          <w:szCs w:val="21"/>
        </w:rPr>
      </w:pPr>
      <w:r>
        <w:rPr>
          <w:b/>
          <w:bCs/>
          <w:szCs w:val="21"/>
        </w:rPr>
      </w:r>
      <w:r/>
    </w:p>
    <w:p>
      <w:pPr>
        <w:pStyle w:val="1082"/>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82"/>
        <w:jc w:val="center"/>
        <w:spacing w:line="360" w:lineRule="auto"/>
        <w:widowControl/>
        <w:rPr>
          <w:b/>
          <w:bCs/>
          <w:sz w:val="24"/>
        </w:rPr>
      </w:pPr>
      <w:r>
        <w:rPr>
          <w:b/>
          <w:bCs/>
          <w:sz w:val="24"/>
        </w:rPr>
      </w:r>
      <w:r/>
    </w:p>
    <w:p>
      <w:pPr>
        <w:pStyle w:val="1082"/>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82"/>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82"/>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82"/>
              <w:jc w:val="center"/>
              <w:spacing w:line="400" w:lineRule="atLeast"/>
              <w:widowControl/>
              <w:rPr>
                <w:szCs w:val="21"/>
              </w:rPr>
            </w:pPr>
            <w:r>
              <w:rPr>
                <w:szCs w:val="21"/>
              </w:rPr>
              <w:t xml:space="preserve">项目</w:t>
            </w:r>
            <w:r>
              <w:rPr>
                <w:szCs w:val="21"/>
              </w:rPr>
            </w:r>
            <w:r/>
          </w:p>
          <w:p>
            <w:pPr>
              <w:pStyle w:val="1082"/>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82"/>
              <w:jc w:val="center"/>
              <w:spacing w:line="400" w:lineRule="atLeast"/>
              <w:widowControl/>
              <w:rPr>
                <w:szCs w:val="21"/>
              </w:rPr>
            </w:pPr>
            <w:r>
              <w:rPr>
                <w:szCs w:val="21"/>
              </w:rPr>
              <w:t xml:space="preserve">获奖</w:t>
            </w:r>
            <w:r>
              <w:rPr>
                <w:szCs w:val="21"/>
              </w:rPr>
            </w:r>
            <w:r/>
          </w:p>
          <w:p>
            <w:pPr>
              <w:pStyle w:val="1082"/>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t xml:space="preserve">签约及服务</w:t>
            </w:r>
            <w:r>
              <w:rPr>
                <w:szCs w:val="21"/>
              </w:rPr>
            </w:r>
            <w:r/>
          </w:p>
          <w:p>
            <w:pPr>
              <w:pStyle w:val="1082"/>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spacing w:line="360" w:lineRule="auto"/>
        <w:widowControl/>
        <w:rPr>
          <w:b/>
          <w:bCs/>
          <w:szCs w:val="21"/>
        </w:rPr>
      </w:pPr>
      <w:r>
        <w:rPr>
          <w:b/>
          <w:bCs/>
          <w:szCs w:val="21"/>
        </w:rPr>
      </w:r>
      <w:r/>
    </w:p>
    <w:p>
      <w:pPr>
        <w:pStyle w:val="1082"/>
        <w:spacing w:line="360" w:lineRule="auto"/>
        <w:widowControl/>
        <w:rPr>
          <w:b/>
          <w:bCs/>
          <w:szCs w:val="21"/>
        </w:rPr>
      </w:pPr>
      <w:r>
        <w:rPr>
          <w:b/>
          <w:bCs/>
          <w:szCs w:val="21"/>
        </w:rPr>
      </w:r>
      <w:r/>
    </w:p>
    <w:p>
      <w:pPr>
        <w:pStyle w:val="1082"/>
        <w:spacing w:line="360" w:lineRule="auto"/>
      </w:pPr>
      <w:r/>
      <w:r/>
    </w:p>
    <w:p>
      <w:pPr>
        <w:pStyle w:val="1082"/>
        <w:spacing w:line="360" w:lineRule="auto"/>
        <w:rPr>
          <w:b/>
          <w:bCs/>
        </w:rPr>
      </w:pPr>
      <w:r>
        <w:rPr>
          <w:b/>
        </w:rPr>
        <w:br w:type="page" w:clear="all"/>
      </w:r>
      <w:r>
        <w:rPr>
          <w:b/>
        </w:rPr>
        <w:t xml:space="preserve">附件九</w:t>
      </w:r>
      <w:r>
        <w:rPr>
          <w:b/>
          <w:bCs/>
        </w:rPr>
        <w:t xml:space="preserve">：企业声明函格式</w:t>
      </w:r>
      <w:r>
        <w:rPr>
          <w:b/>
          <w:bCs/>
        </w:rPr>
      </w:r>
      <w:r/>
    </w:p>
    <w:p>
      <w:pPr>
        <w:pStyle w:val="1082"/>
        <w:jc w:val="center"/>
        <w:spacing w:before="312" w:line="480" w:lineRule="auto"/>
        <w:rPr>
          <w:b/>
          <w:bCs/>
          <w:sz w:val="28"/>
          <w:szCs w:val="28"/>
        </w:rPr>
      </w:pPr>
      <w:r/>
      <w:bookmarkStart w:id="37" w:name="OLE_LINK13"/>
      <w:r/>
      <w:bookmarkStart w:id="38" w:name="OLE_LINK14"/>
      <w:r>
        <w:rPr>
          <w:b/>
          <w:bCs/>
          <w:sz w:val="28"/>
          <w:szCs w:val="28"/>
        </w:rPr>
        <w:t xml:space="preserve">中小企业声明函（货物）</w:t>
      </w:r>
      <w:r>
        <w:rPr>
          <w:b/>
          <w:bCs/>
          <w:sz w:val="28"/>
          <w:szCs w:val="28"/>
        </w:rPr>
      </w:r>
      <w:r/>
    </w:p>
    <w:p>
      <w:pPr>
        <w:pStyle w:val="1082"/>
        <w:ind w:firstLine="420"/>
        <w:jc w:val="left"/>
        <w:spacing w:line="440" w:lineRule="exact"/>
        <w:widowControl/>
      </w:pPr>
      <w:r/>
      <w:r/>
    </w:p>
    <w:p>
      <w:pPr>
        <w:pStyle w:val="1082"/>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szCs w:val="21"/>
        </w:rPr>
      </w:r>
      <w:r/>
    </w:p>
    <w:p>
      <w:pPr>
        <w:pStyle w:val="1082"/>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pStyle w:val="1082"/>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pStyle w:val="1082"/>
        <w:ind w:firstLine="420"/>
        <w:jc w:val="left"/>
        <w:spacing w:line="440" w:lineRule="exact"/>
        <w:widowControl/>
      </w:pPr>
      <w:r>
        <w:t xml:space="preserve">以上企业，不属于大企业的分支机构，不存在控股股东为大企业的情形，也不存在与大企业的负责人为同一人的情形。</w:t>
      </w:r>
      <w:r/>
    </w:p>
    <w:p>
      <w:pPr>
        <w:pStyle w:val="1082"/>
        <w:ind w:firstLine="420"/>
        <w:jc w:val="left"/>
        <w:spacing w:line="440" w:lineRule="exact"/>
        <w:widowControl/>
      </w:pPr>
      <w:r>
        <w:t xml:space="preserve">本企业对上述声明内容的真实性负责。如有虚假，将依法承担相应责任。</w:t>
      </w:r>
      <w:r/>
    </w:p>
    <w:p>
      <w:pPr>
        <w:pStyle w:val="1082"/>
        <w:ind w:firstLine="420"/>
        <w:jc w:val="left"/>
        <w:spacing w:line="440" w:lineRule="exact"/>
        <w:widowControl/>
      </w:pPr>
      <w:r/>
      <w:r/>
    </w:p>
    <w:p>
      <w:pPr>
        <w:pStyle w:val="1082"/>
        <w:ind w:firstLine="420"/>
        <w:jc w:val="left"/>
        <w:spacing w:line="440" w:lineRule="exact"/>
        <w:widowControl/>
      </w:pPr>
      <w:r/>
      <w:r/>
    </w:p>
    <w:p>
      <w:pPr>
        <w:pStyle w:val="1082"/>
        <w:ind w:firstLine="420"/>
        <w:jc w:val="left"/>
        <w:spacing w:line="440" w:lineRule="exact"/>
        <w:widowControl/>
      </w:pPr>
      <w:r/>
      <w:r/>
    </w:p>
    <w:p>
      <w:pPr>
        <w:pStyle w:val="1082"/>
        <w:ind w:firstLine="420"/>
        <w:jc w:val="right"/>
        <w:spacing w:line="440" w:lineRule="exact"/>
        <w:widowControl/>
      </w:pPr>
      <w:r>
        <w:t xml:space="preserve">投标人名称（加盖电子公章）：            </w:t>
      </w:r>
      <w:r/>
    </w:p>
    <w:p>
      <w:pPr>
        <w:pStyle w:val="1082"/>
        <w:ind w:firstLine="420"/>
        <w:jc w:val="center"/>
        <w:spacing w:line="440" w:lineRule="exact"/>
        <w:widowControl/>
      </w:pPr>
      <w:r>
        <w:t xml:space="preserve">                                               日期：</w:t>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sectPr>
          <w:footerReference w:type="default" r:id="rId18"/>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82"/>
        <w:jc w:val="center"/>
        <w:spacing w:line="360" w:lineRule="auto"/>
        <w:rPr>
          <w:b/>
          <w:bCs/>
          <w:sz w:val="28"/>
        </w:rPr>
      </w:pPr>
      <w:r>
        <w:rPr>
          <w:b/>
          <w:bCs/>
          <w:sz w:val="28"/>
        </w:rPr>
        <w:t xml:space="preserve">残疾人福利性单位声明函</w:t>
      </w:r>
      <w:r>
        <w:rPr>
          <w:b/>
          <w:bCs/>
          <w:sz w:val="28"/>
        </w:rPr>
      </w:r>
      <w:r/>
    </w:p>
    <w:p>
      <w:pPr>
        <w:pStyle w:val="1082"/>
        <w:ind w:firstLine="420"/>
        <w:jc w:val="left"/>
        <w:spacing w:line="440" w:lineRule="exact"/>
        <w:widowControl/>
        <w:rPr>
          <w:szCs w:val="21"/>
        </w:rPr>
      </w:pPr>
      <w:r/>
      <w:bookmarkEnd w:id="37"/>
      <w:r/>
      <w:bookmarkEnd w:id="38"/>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82"/>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82"/>
        <w:ind w:firstLine="5040"/>
        <w:jc w:val="left"/>
        <w:spacing w:line="440" w:lineRule="exact"/>
        <w:widowControl/>
        <w:rPr>
          <w:szCs w:val="21"/>
        </w:rPr>
      </w:pPr>
      <w:r>
        <w:rPr>
          <w:szCs w:val="21"/>
        </w:rPr>
        <w:t xml:space="preserve">投标人名称（加盖电子公章）：</w:t>
      </w:r>
      <w:r>
        <w:rPr>
          <w:szCs w:val="21"/>
        </w:rPr>
      </w:r>
      <w:r/>
    </w:p>
    <w:p>
      <w:pPr>
        <w:pStyle w:val="1082"/>
        <w:ind w:firstLine="5040"/>
        <w:jc w:val="left"/>
        <w:spacing w:line="440" w:lineRule="exact"/>
        <w:widowControl/>
        <w:rPr>
          <w:szCs w:val="21"/>
        </w:rPr>
      </w:pPr>
      <w:r>
        <w:rPr>
          <w:szCs w:val="21"/>
        </w:rPr>
        <w:t xml:space="preserve">日  期：</w:t>
      </w:r>
      <w:r>
        <w:rPr>
          <w:szCs w:val="21"/>
        </w:rPr>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sz w:val="28"/>
        </w:rPr>
      </w:pPr>
      <w:r>
        <w:rPr>
          <w:b/>
          <w:bCs/>
          <w:sz w:val="28"/>
        </w:rPr>
        <w:t xml:space="preserve">属于监狱企业的证明文件</w:t>
      </w:r>
      <w:r>
        <w:rPr>
          <w:b/>
          <w:bCs/>
          <w:sz w:val="28"/>
        </w:rPr>
      </w:r>
      <w:r/>
    </w:p>
    <w:p>
      <w:pPr>
        <w:pStyle w:val="1082"/>
        <w:spacing w:line="360" w:lineRule="auto"/>
      </w:pPr>
      <w:r>
        <w:t xml:space="preserve">（提供由省级以上监狱管理局、戒毒管理局(含新疆生产建设兵团)出具的属于监狱企业的证明文件）</w:t>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rPr>
      </w:pPr>
      <w:r>
        <w:rPr>
          <w:b/>
          <w:bCs/>
          <w:sz w:val="28"/>
        </w:rPr>
        <w:t xml:space="preserve">节能产品认证证书</w:t>
      </w:r>
      <w:r>
        <w:rPr>
          <w:b/>
          <w:bCs/>
        </w:rPr>
      </w:r>
      <w:r/>
    </w:p>
    <w:p>
      <w:pPr>
        <w:pStyle w:val="1082"/>
        <w:spacing w:line="360" w:lineRule="auto"/>
        <w:rPr>
          <w:bCs/>
        </w:rPr>
      </w:pPr>
      <w:r>
        <w:rPr>
          <w:bCs/>
        </w:rPr>
        <w:t xml:space="preserve">（提供国家确定的认证机构出具的、处于有效期之内的产品认证证书）</w:t>
      </w:r>
      <w:r>
        <w:rPr>
          <w:bCs/>
        </w:rPr>
      </w:r>
      <w:r/>
    </w:p>
    <w:p>
      <w:pPr>
        <w:pStyle w:val="1082"/>
        <w:spacing w:line="360" w:lineRule="auto"/>
        <w:rPr>
          <w:b/>
          <w:bCs/>
        </w:rPr>
      </w:pPr>
      <w:r>
        <w:rPr>
          <w:b/>
          <w:bCs/>
        </w:rPr>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rPr>
      </w:pPr>
      <w:r>
        <w:rPr>
          <w:b/>
          <w:bCs/>
          <w:sz w:val="28"/>
        </w:rPr>
        <w:t xml:space="preserve">环境标志产品认证证书</w:t>
      </w:r>
      <w:r>
        <w:rPr>
          <w:b/>
          <w:bCs/>
        </w:rPr>
      </w:r>
      <w:r/>
    </w:p>
    <w:p>
      <w:pPr>
        <w:pStyle w:val="1082"/>
        <w:spacing w:line="360" w:lineRule="auto"/>
        <w:rPr>
          <w:bCs/>
        </w:rPr>
      </w:pPr>
      <w:r>
        <w:rPr>
          <w:bCs/>
        </w:rPr>
        <w:t xml:space="preserve">（提供国家确定的认证机构出具的、处于有效期之内的产品认证证书）</w:t>
      </w:r>
      <w:r>
        <w:rPr>
          <w:bCs/>
        </w:rPr>
      </w:r>
      <w:r/>
    </w:p>
    <w:p>
      <w:pPr>
        <w:pStyle w:val="1163"/>
        <w:rPr>
          <w:bCs/>
        </w:rPr>
      </w:pPr>
      <w:r>
        <w:rPr>
          <w:bCs/>
        </w:rPr>
      </w:r>
      <w:r/>
    </w:p>
    <w:p>
      <w:pPr>
        <w:pStyle w:val="1163"/>
        <w:rPr>
          <w:bCs/>
        </w:rPr>
      </w:pPr>
      <w:r>
        <w:rPr>
          <w:bCs/>
        </w:rPr>
      </w:r>
      <w:r/>
    </w:p>
    <w:p>
      <w:pPr>
        <w:pStyle w:val="1163"/>
        <w:rPr>
          <w:bCs/>
        </w:rPr>
      </w:pPr>
      <w:r>
        <w:rPr>
          <w:bCs/>
        </w:rPr>
      </w:r>
      <w:r/>
    </w:p>
    <w:p>
      <w:pPr>
        <w:pStyle w:val="1082"/>
        <w:jc w:val="center"/>
        <w:spacing w:line="360" w:lineRule="auto"/>
        <w:rPr>
          <w:b/>
          <w:bCs/>
          <w:sz w:val="28"/>
        </w:rPr>
      </w:pPr>
      <w:r>
        <w:rPr>
          <w:b/>
          <w:bCs/>
          <w:sz w:val="28"/>
        </w:rPr>
        <w:t xml:space="preserve">进口产品转让技术、消化吸收再创新方案</w:t>
      </w:r>
      <w:r>
        <w:rPr>
          <w:b/>
          <w:bCs/>
          <w:sz w:val="28"/>
        </w:rPr>
      </w:r>
      <w:r/>
    </w:p>
    <w:p>
      <w:pPr>
        <w:pStyle w:val="1082"/>
        <w:spacing w:line="360" w:lineRule="auto"/>
        <w:rPr>
          <w:bCs/>
        </w:rPr>
      </w:pPr>
      <w:r>
        <w:rPr>
          <w:bCs/>
        </w:rPr>
        <w:t xml:space="preserve">（对于允许进口产品参加的项目）</w:t>
      </w:r>
      <w:r>
        <w:rPr>
          <w:bCs/>
        </w:rPr>
      </w:r>
      <w:r/>
    </w:p>
    <w:p>
      <w:pPr>
        <w:pStyle w:val="1082"/>
        <w:spacing w:line="360" w:lineRule="auto"/>
        <w:rPr>
          <w:b/>
          <w:bCs/>
        </w:rPr>
      </w:pPr>
      <w:r>
        <w:rPr>
          <w:b/>
          <w:bCs/>
        </w:rPr>
      </w:r>
      <w:r/>
    </w:p>
    <w:p>
      <w:pPr>
        <w:pStyle w:val="1082"/>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1082"/>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082"/>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1082"/>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1082"/>
        <w:ind w:firstLine="420"/>
        <w:jc w:val="left"/>
        <w:spacing w:line="440" w:lineRule="exact"/>
        <w:widowControl/>
        <w:rPr>
          <w:szCs w:val="21"/>
        </w:rPr>
      </w:pPr>
      <w:r>
        <w:rPr>
          <w:szCs w:val="21"/>
        </w:rPr>
        <w:t xml:space="preserve">……</w:t>
      </w:r>
      <w:r>
        <w:rPr>
          <w:szCs w:val="21"/>
        </w:rPr>
      </w:r>
      <w:r/>
    </w:p>
    <w:p>
      <w:pPr>
        <w:pStyle w:val="1082"/>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1082"/>
        <w:ind w:firstLine="420"/>
        <w:jc w:val="left"/>
        <w:spacing w:line="440" w:lineRule="exact"/>
        <w:widowControl/>
        <w:rPr>
          <w:szCs w:val="21"/>
        </w:rPr>
      </w:pPr>
      <w:r>
        <w:rPr>
          <w:szCs w:val="21"/>
        </w:rPr>
        <w:t xml:space="preserve">公司（单位）名称（盖章）：      </w:t>
      </w:r>
      <w:r>
        <w:rPr>
          <w:szCs w:val="21"/>
        </w:rPr>
      </w:r>
      <w:r/>
    </w:p>
    <w:p>
      <w:pPr>
        <w:pStyle w:val="1082"/>
        <w:ind w:firstLine="420"/>
        <w:jc w:val="left"/>
        <w:spacing w:line="440" w:lineRule="exact"/>
        <w:widowControl/>
        <w:rPr>
          <w:szCs w:val="21"/>
        </w:rPr>
      </w:pPr>
      <w:r>
        <w:rPr>
          <w:szCs w:val="21"/>
        </w:rPr>
        <w:t xml:space="preserve">日期：　　　　　年　　月　日    </w:t>
      </w:r>
      <w:r>
        <w:rPr>
          <w:szCs w:val="21"/>
        </w:rPr>
      </w:r>
      <w:r/>
    </w:p>
    <w:p>
      <w:pPr>
        <w:pStyle w:val="1149"/>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1082"/>
        <w:spacing w:line="360" w:lineRule="auto"/>
        <w:rPr>
          <w:b/>
        </w:rPr>
      </w:pPr>
      <w:r>
        <w:rPr>
          <w:b/>
          <w:szCs w:val="21"/>
          <w:lang w:val="zh-CN"/>
        </w:rPr>
        <w:br w:type="page" w:clear="all"/>
      </w:r>
      <w:r>
        <w:rPr>
          <w:b/>
        </w:rPr>
        <w:t xml:space="preserve">附件十、无重大违法记录声明格式</w:t>
      </w:r>
      <w:r>
        <w:rPr>
          <w:b/>
        </w:rPr>
      </w:r>
      <w:r/>
    </w:p>
    <w:p>
      <w:pPr>
        <w:pStyle w:val="1082"/>
        <w:jc w:val="center"/>
        <w:spacing w:line="240" w:lineRule="atLeast"/>
        <w:rPr>
          <w:sz w:val="28"/>
          <w:szCs w:val="36"/>
        </w:rPr>
      </w:pPr>
      <w:r>
        <w:rPr>
          <w:sz w:val="28"/>
          <w:szCs w:val="36"/>
        </w:rPr>
      </w:r>
      <w:r/>
    </w:p>
    <w:p>
      <w:pPr>
        <w:pStyle w:val="1082"/>
        <w:jc w:val="center"/>
        <w:spacing w:line="240" w:lineRule="atLeast"/>
        <w:rPr>
          <w:sz w:val="28"/>
          <w:szCs w:val="36"/>
        </w:rPr>
      </w:pPr>
      <w:r>
        <w:rPr>
          <w:sz w:val="28"/>
          <w:szCs w:val="36"/>
        </w:rPr>
        <w:t xml:space="preserve">无重大违法记录声明</w:t>
      </w:r>
      <w:r>
        <w:rPr>
          <w:sz w:val="28"/>
          <w:szCs w:val="36"/>
        </w:rPr>
      </w:r>
      <w:r/>
    </w:p>
    <w:p>
      <w:pPr>
        <w:pStyle w:val="1082"/>
        <w:spacing w:line="360" w:lineRule="auto"/>
        <w:rPr>
          <w:szCs w:val="21"/>
        </w:rPr>
      </w:pPr>
      <w:r>
        <w:rPr>
          <w:szCs w:val="21"/>
        </w:rPr>
      </w:r>
      <w:r/>
    </w:p>
    <w:p>
      <w:pPr>
        <w:pStyle w:val="1082"/>
        <w:spacing w:line="360" w:lineRule="auto"/>
        <w:rPr>
          <w:szCs w:val="21"/>
        </w:rPr>
      </w:pPr>
      <w:r>
        <w:rPr>
          <w:szCs w:val="21"/>
        </w:rPr>
        <w:t xml:space="preserve">江苏省设备成套股份有限公司：</w:t>
      </w:r>
      <w:r>
        <w:rPr>
          <w:szCs w:val="21"/>
        </w:rPr>
      </w:r>
      <w:r/>
    </w:p>
    <w:p>
      <w:pPr>
        <w:pStyle w:val="1082"/>
        <w:spacing w:line="360" w:lineRule="auto"/>
      </w:pPr>
      <w:r/>
      <w:r/>
    </w:p>
    <w:p>
      <w:pPr>
        <w:pStyle w:val="1082"/>
        <w:ind w:firstLine="336"/>
        <w:spacing w:line="360" w:lineRule="auto"/>
      </w:pPr>
      <w:r>
        <w:t xml:space="preserve">我单位（供应商名称）郑重声明：</w:t>
      </w:r>
      <w:r/>
    </w:p>
    <w:p>
      <w:pPr>
        <w:pStyle w:val="1082"/>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，且不是失信被执行人、重大税收违法失信主体、政府采购严重违法失信行为记录名单的供应商。</w:t>
      </w:r>
      <w:r>
        <w:rPr>
          <w:b/>
          <w:szCs w:val="21"/>
        </w:rPr>
      </w:r>
      <w:r/>
    </w:p>
    <w:p>
      <w:pPr>
        <w:pStyle w:val="1082"/>
        <w:ind w:firstLine="420"/>
        <w:spacing w:line="360" w:lineRule="auto"/>
      </w:pPr>
      <w:r/>
      <w:r/>
    </w:p>
    <w:p>
      <w:pPr>
        <w:pStyle w:val="1082"/>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82"/>
        <w:spacing w:line="360" w:lineRule="auto"/>
      </w:pPr>
      <w:r/>
      <w:r/>
    </w:p>
    <w:p>
      <w:pPr>
        <w:pStyle w:val="1082"/>
        <w:spacing w:line="360" w:lineRule="auto"/>
      </w:pPr>
      <w:r/>
      <w:r/>
    </w:p>
    <w:p>
      <w:pPr>
        <w:pStyle w:val="1082"/>
        <w:ind w:firstLine="5103"/>
        <w:spacing w:line="360" w:lineRule="auto"/>
      </w:pPr>
      <w:r>
        <w:t xml:space="preserve">投标人名称（加盖电子公章）：</w:t>
      </w:r>
      <w:r>
        <w:rPr>
          <w:u w:val="single"/>
        </w:rPr>
        <w:t xml:space="preserve">         </w:t>
      </w:r>
      <w:r/>
    </w:p>
    <w:p>
      <w:pPr>
        <w:pStyle w:val="1082"/>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82"/>
        <w:spacing w:line="360" w:lineRule="auto"/>
        <w:rPr>
          <w:b/>
        </w:rPr>
      </w:pPr>
      <w:r>
        <w:rPr>
          <w:b/>
        </w:rPr>
        <w:t xml:space="preserve">附件十一、 资格资信证明文件</w:t>
      </w:r>
      <w:r>
        <w:rPr>
          <w:b/>
        </w:rPr>
      </w:r>
      <w:r/>
    </w:p>
    <w:p>
      <w:pPr>
        <w:pStyle w:val="1082"/>
        <w:spacing w:line="360" w:lineRule="auto"/>
        <w:rPr>
          <w:b/>
        </w:rPr>
      </w:pPr>
      <w:r>
        <w:rPr>
          <w:b/>
        </w:rPr>
      </w:r>
      <w:r/>
    </w:p>
    <w:p>
      <w:pPr>
        <w:pStyle w:val="1082"/>
        <w:spacing w:line="360" w:lineRule="auto"/>
        <w:rPr>
          <w:b/>
        </w:rPr>
      </w:pPr>
      <w:r>
        <w:rPr>
          <w:b/>
        </w:rPr>
      </w:r>
      <w:r/>
    </w:p>
    <w:p>
      <w:pPr>
        <w:pStyle w:val="1082"/>
        <w:spacing w:line="360" w:lineRule="auto"/>
        <w:rPr>
          <w:szCs w:val="21"/>
        </w:rPr>
      </w:pPr>
      <w:r>
        <w:rPr>
          <w:szCs w:val="21"/>
        </w:rPr>
      </w:r>
      <w:r/>
    </w:p>
    <w:p>
      <w:pPr>
        <w:pStyle w:val="1163"/>
      </w:pPr>
      <w:r/>
      <w:r/>
    </w:p>
    <w:p>
      <w:pPr>
        <w:pStyle w:val="1082"/>
        <w:spacing w:line="360" w:lineRule="auto"/>
        <w:rPr>
          <w:b/>
        </w:rPr>
      </w:pPr>
      <w:r>
        <w:rPr>
          <w:b/>
        </w:rPr>
        <w:t xml:space="preserve">附件十二、其他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10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108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82"/>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10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10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82"/>
      </w:pPr>
      <w:rPr>
        <w:rFonts w:hint="eastAsia"/>
        <w:b w:val="0"/>
        <w:bCs w:val="0"/>
        <w:i w:val="0"/>
        <w:iCs w:val="0"/>
        <w:caps w:val="0"/>
        <w:smallCaps w:val="0"/>
        <w:strike w:val="0"/>
        <w:color w:val="000000"/>
        <w:spacing w:val="0"/>
        <w:position w:val="0"/>
        <w:highlight w:val="none"/>
        <w:vertAlign w:val="baseline"/>
      </w:rPr>
    </w:lvl>
    <w:lvl w:ilvl="1">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2">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3">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4">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5">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6">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7">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8">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abstractNum>
  <w:abstractNum w:abstractNumId="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2.%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2">
    <w:multiLevelType w:val="hybridMultilevel"/>
    <w:lvl w:ilvl="0">
      <w:start w:val="1"/>
      <w:numFmt w:val="decimal"/>
      <w:isLgl w:val="false"/>
      <w:suff w:val="space"/>
      <w:lvlText w:val="%1)"/>
      <w:lvlJc w:val="left"/>
      <w:pPr>
        <w:pStyle w:val="1082"/>
        <w:ind w:left="840" w:hanging="420"/>
      </w:p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2.%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1418" w:hanging="567"/>
      </w:pPr>
      <w:rPr>
        <w:rFonts w:hint="eastAsia"/>
      </w:rPr>
    </w:lvl>
    <w:lvl w:ilvl="3">
      <w:start w:val="1"/>
      <w:numFmt w:val="decimal"/>
      <w:isLgl w:val="false"/>
      <w:suff w:val="tab"/>
      <w:lvlText w:val="%1.%2.%3.%4"/>
      <w:lvlJc w:val="left"/>
      <w:pPr>
        <w:pStyle w:val="1082"/>
        <w:ind w:left="1984" w:hanging="708"/>
      </w:pPr>
      <w:rPr>
        <w:rFonts w:hint="eastAsia"/>
      </w:rPr>
    </w:lvl>
    <w:lvl w:ilvl="4">
      <w:start w:val="1"/>
      <w:numFmt w:val="decimal"/>
      <w:isLgl w:val="false"/>
      <w:suff w:val="tab"/>
      <w:lvlText w:val="%1.%2.%3.%4.%5"/>
      <w:lvlJc w:val="left"/>
      <w:pPr>
        <w:pStyle w:val="1082"/>
        <w:ind w:left="2551" w:hanging="850"/>
      </w:pPr>
      <w:rPr>
        <w:rFonts w:hint="eastAsia"/>
      </w:rPr>
    </w:lvl>
    <w:lvl w:ilvl="5">
      <w:start w:val="1"/>
      <w:numFmt w:val="decimal"/>
      <w:isLgl w:val="false"/>
      <w:suff w:val="tab"/>
      <w:lvlText w:val="%1.%2.%3.%4.%5.%6"/>
      <w:lvlJc w:val="left"/>
      <w:pPr>
        <w:pStyle w:val="1082"/>
        <w:ind w:left="3260" w:hanging="1134"/>
      </w:pPr>
      <w:rPr>
        <w:rFonts w:hint="eastAsia"/>
      </w:rPr>
    </w:lvl>
    <w:lvl w:ilvl="6">
      <w:start w:val="1"/>
      <w:numFmt w:val="decimal"/>
      <w:isLgl w:val="false"/>
      <w:suff w:val="tab"/>
      <w:lvlText w:val="%1.%2.%3.%4.%5.%6.%7"/>
      <w:lvlJc w:val="left"/>
      <w:pPr>
        <w:pStyle w:val="1082"/>
        <w:ind w:left="3827" w:hanging="1276"/>
      </w:pPr>
      <w:rPr>
        <w:rFonts w:hint="eastAsia"/>
      </w:rPr>
    </w:lvl>
    <w:lvl w:ilvl="7">
      <w:start w:val="1"/>
      <w:numFmt w:val="decimal"/>
      <w:isLgl w:val="false"/>
      <w:suff w:val="tab"/>
      <w:lvlText w:val="%1.%2.%3.%4.%5.%6.%7.%8"/>
      <w:lvlJc w:val="left"/>
      <w:pPr>
        <w:pStyle w:val="1082"/>
        <w:ind w:left="4394" w:hanging="1418"/>
      </w:pPr>
      <w:rPr>
        <w:rFonts w:hint="eastAsia"/>
      </w:rPr>
    </w:lvl>
    <w:lvl w:ilvl="8">
      <w:start w:val="1"/>
      <w:numFmt w:val="decimal"/>
      <w:isLgl w:val="false"/>
      <w:suff w:val="tab"/>
      <w:lvlText w:val="%1.%2.%3.%4.%5.%6.%7.%8.%9"/>
      <w:lvlJc w:val="left"/>
      <w:pPr>
        <w:pStyle w:val="1082"/>
        <w:ind w:left="5102" w:hanging="1700"/>
      </w:pPr>
      <w:rPr>
        <w:rFonts w:hint="eastAsia"/>
      </w:rPr>
    </w:lvl>
  </w:abstractNum>
  <w:abstractNum w:abstractNumId="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1.%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5">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5.%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6">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10.%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7">
    <w:multiLevelType w:val="hybridMultilevel"/>
    <w:lvl w:ilvl="0">
      <w:start w:val="1"/>
      <w:numFmt w:val="chineseCountingThousand"/>
      <w:pStyle w:val="1083"/>
      <w:isLgl w:val="false"/>
      <w:suff w:val="nothing"/>
      <w:lvlText w:val="第%1章"/>
      <w:lvlJc w:val="left"/>
      <w:pPr>
        <w:pStyle w:val="1082"/>
        <w:ind w:left="0" w:firstLine="0"/>
      </w:pPr>
    </w:lvl>
    <w:lvl w:ilvl="1">
      <w:start w:val="1"/>
      <w:numFmt w:val="decimal"/>
      <w:pStyle w:val="1084"/>
      <w:isLgl w:val="false"/>
      <w:suff w:val="nothing"/>
      <w:lvlText w:val=""/>
      <w:lvlJc w:val="left"/>
      <w:pPr>
        <w:pStyle w:val="1082"/>
        <w:ind w:left="0" w:firstLine="0"/>
      </w:pPr>
    </w:lvl>
    <w:lvl w:ilvl="2">
      <w:start w:val="1"/>
      <w:numFmt w:val="decimal"/>
      <w:pStyle w:val="1085"/>
      <w:isLgl w:val="false"/>
      <w:suff w:val="nothing"/>
      <w:lvlText w:val=""/>
      <w:lvlJc w:val="left"/>
      <w:pPr>
        <w:pStyle w:val="1082"/>
        <w:ind w:left="0" w:firstLine="0"/>
      </w:pPr>
    </w:lvl>
    <w:lvl w:ilvl="3">
      <w:start w:val="1"/>
      <w:numFmt w:val="decimal"/>
      <w:pStyle w:val="1086"/>
      <w:isLgl w:val="false"/>
      <w:suff w:val="nothing"/>
      <w:lvlText w:val=""/>
      <w:lvlJc w:val="left"/>
      <w:pPr>
        <w:pStyle w:val="1082"/>
        <w:ind w:left="0" w:firstLine="0"/>
      </w:pPr>
    </w:lvl>
    <w:lvl w:ilvl="4">
      <w:start w:val="1"/>
      <w:numFmt w:val="decimal"/>
      <w:pStyle w:val="1087"/>
      <w:isLgl w:val="false"/>
      <w:suff w:val="nothing"/>
      <w:lvlText w:val=""/>
      <w:lvlJc w:val="left"/>
      <w:pPr>
        <w:pStyle w:val="1082"/>
        <w:ind w:left="0" w:firstLine="0"/>
      </w:pPr>
    </w:lvl>
    <w:lvl w:ilvl="5">
      <w:start w:val="1"/>
      <w:numFmt w:val="decimal"/>
      <w:pStyle w:val="1088"/>
      <w:isLgl w:val="false"/>
      <w:suff w:val="nothing"/>
      <w:lvlText w:val=""/>
      <w:lvlJc w:val="left"/>
      <w:pPr>
        <w:pStyle w:val="1082"/>
        <w:ind w:left="0" w:firstLine="0"/>
      </w:pPr>
    </w:lvl>
    <w:lvl w:ilvl="6">
      <w:start w:val="1"/>
      <w:numFmt w:val="decimal"/>
      <w:pStyle w:val="1089"/>
      <w:isLgl w:val="false"/>
      <w:suff w:val="nothing"/>
      <w:lvlText w:val=""/>
      <w:lvlJc w:val="left"/>
      <w:pPr>
        <w:pStyle w:val="1082"/>
        <w:ind w:left="0" w:firstLine="0"/>
      </w:pPr>
    </w:lvl>
    <w:lvl w:ilvl="7">
      <w:start w:val="1"/>
      <w:numFmt w:val="decimal"/>
      <w:pStyle w:val="1090"/>
      <w:isLgl w:val="false"/>
      <w:suff w:val="nothing"/>
      <w:lvlText w:val=""/>
      <w:lvlJc w:val="left"/>
      <w:pPr>
        <w:pStyle w:val="1082"/>
        <w:ind w:left="0" w:firstLine="0"/>
      </w:pPr>
    </w:lvl>
    <w:lvl w:ilvl="8">
      <w:start w:val="1"/>
      <w:numFmt w:val="decimal"/>
      <w:pStyle w:val="1091"/>
      <w:isLgl w:val="false"/>
      <w:suff w:val="nothing"/>
      <w:lvlText w:val=""/>
      <w:lvlJc w:val="left"/>
      <w:pPr>
        <w:pStyle w:val="1082"/>
        <w:ind w:left="0" w:firstLine="0"/>
      </w:pPr>
    </w:lvl>
  </w:abstractNum>
  <w:abstractNum w:abstractNumId="8">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5.%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9">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3.%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0">
    <w:multiLevelType w:val="hybridMultilevel"/>
    <w:lvl w:ilvl="0">
      <w:start w:val="1"/>
      <w:numFmt w:val="decimal"/>
      <w:isLgl w:val="false"/>
      <w:suff w:val="tab"/>
      <w:lvlText w:val="%1)"/>
      <w:lvlJc w:val="left"/>
      <w:pPr>
        <w:pStyle w:val="1082"/>
        <w:ind w:left="913" w:hanging="420"/>
      </w:pPr>
    </w:lvl>
    <w:lvl w:ilvl="1">
      <w:start w:val="1"/>
      <w:numFmt w:val="decimal"/>
      <w:isLgl w:val="false"/>
      <w:suff w:val="tab"/>
      <w:lvlText w:val="%2)"/>
      <w:lvlJc w:val="left"/>
      <w:pPr>
        <w:pStyle w:val="1082"/>
        <w:ind w:left="1333" w:hanging="420"/>
      </w:pPr>
    </w:lvl>
    <w:lvl w:ilvl="2">
      <w:start w:val="1"/>
      <w:numFmt w:val="lowerRoman"/>
      <w:isLgl w:val="false"/>
      <w:suff w:val="tab"/>
      <w:lvlText w:val="%3."/>
      <w:lvlJc w:val="right"/>
      <w:pPr>
        <w:pStyle w:val="1082"/>
        <w:ind w:left="1753" w:hanging="420"/>
      </w:pPr>
    </w:lvl>
    <w:lvl w:ilvl="3">
      <w:start w:val="1"/>
      <w:numFmt w:val="decimal"/>
      <w:isLgl w:val="false"/>
      <w:suff w:val="tab"/>
      <w:lvlText w:val="%4."/>
      <w:lvlJc w:val="left"/>
      <w:pPr>
        <w:pStyle w:val="1082"/>
        <w:ind w:left="2173" w:hanging="420"/>
      </w:pPr>
    </w:lvl>
    <w:lvl w:ilvl="4">
      <w:start w:val="1"/>
      <w:numFmt w:val="lowerLetter"/>
      <w:isLgl w:val="false"/>
      <w:suff w:val="tab"/>
      <w:lvlText w:val="%5)"/>
      <w:lvlJc w:val="left"/>
      <w:pPr>
        <w:pStyle w:val="1082"/>
        <w:ind w:left="2593" w:hanging="420"/>
      </w:pPr>
    </w:lvl>
    <w:lvl w:ilvl="5">
      <w:start w:val="1"/>
      <w:numFmt w:val="lowerRoman"/>
      <w:isLgl w:val="false"/>
      <w:suff w:val="tab"/>
      <w:lvlText w:val="%6."/>
      <w:lvlJc w:val="right"/>
      <w:pPr>
        <w:pStyle w:val="1082"/>
        <w:ind w:left="3013" w:hanging="420"/>
      </w:pPr>
    </w:lvl>
    <w:lvl w:ilvl="6">
      <w:start w:val="1"/>
      <w:numFmt w:val="decimal"/>
      <w:isLgl w:val="false"/>
      <w:suff w:val="tab"/>
      <w:lvlText w:val="%7."/>
      <w:lvlJc w:val="left"/>
      <w:pPr>
        <w:pStyle w:val="1082"/>
        <w:ind w:left="3433" w:hanging="420"/>
      </w:pPr>
    </w:lvl>
    <w:lvl w:ilvl="7">
      <w:start w:val="1"/>
      <w:numFmt w:val="lowerLetter"/>
      <w:isLgl w:val="false"/>
      <w:suff w:val="tab"/>
      <w:lvlText w:val="%8)"/>
      <w:lvlJc w:val="left"/>
      <w:pPr>
        <w:pStyle w:val="1082"/>
        <w:ind w:left="3853" w:hanging="420"/>
      </w:pPr>
    </w:lvl>
    <w:lvl w:ilvl="8">
      <w:start w:val="1"/>
      <w:numFmt w:val="lowerRoman"/>
      <w:isLgl w:val="false"/>
      <w:suff w:val="tab"/>
      <w:lvlText w:val="%9."/>
      <w:lvlJc w:val="right"/>
      <w:pPr>
        <w:pStyle w:val="1082"/>
        <w:ind w:left="4273" w:hanging="420"/>
      </w:pPr>
    </w:lvl>
  </w:abstractNum>
  <w:abstractNum w:abstractNumId="1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4.%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2">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9.%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13">
    <w:multiLevelType w:val="hybridMultilevel"/>
    <w:lvl w:ilvl="0">
      <w:start w:val="1"/>
      <w:numFmt w:val="decimal"/>
      <w:isLgl w:val="false"/>
      <w:suff w:val="tab"/>
      <w:lvlText w:val="%1."/>
      <w:lvlJc w:val="left"/>
      <w:pPr>
        <w:pStyle w:val="1082"/>
        <w:ind w:left="630" w:hanging="420"/>
        <w:tabs>
          <w:tab w:val="num" w:pos="630" w:leader="none"/>
        </w:tabs>
      </w:pPr>
      <w:rPr>
        <w:rFonts w:cs="Times New Roman"/>
      </w:rPr>
    </w:lvl>
    <w:lvl w:ilvl="1">
      <w:start w:val="1"/>
      <w:numFmt w:val="decimal"/>
      <w:isLgl w:val="false"/>
      <w:suff w:val="tab"/>
      <w:lvlText w:val="%2)"/>
      <w:lvlJc w:val="left"/>
      <w:pPr>
        <w:pStyle w:val="1082"/>
        <w:ind w:left="990" w:hanging="360"/>
        <w:tabs>
          <w:tab w:val="num" w:pos="990" w:leader="none"/>
        </w:tabs>
      </w:pPr>
      <w:rPr>
        <w:color w:val="000000"/>
      </w:rPr>
    </w:lvl>
    <w:lvl w:ilvl="2">
      <w:start w:val="1"/>
      <w:numFmt w:val="lowerRoman"/>
      <w:isLgl w:val="false"/>
      <w:suff w:val="tab"/>
      <w:lvlText w:val="%3."/>
      <w:lvlJc w:val="right"/>
      <w:pPr>
        <w:pStyle w:val="1082"/>
        <w:ind w:left="1470" w:hanging="420"/>
        <w:tabs>
          <w:tab w:val="num" w:pos="1470" w:leader="none"/>
        </w:tabs>
      </w:pPr>
      <w:rPr>
        <w:rFonts w:cs="Times New Roman"/>
      </w:rPr>
    </w:lvl>
    <w:lvl w:ilvl="3">
      <w:start w:val="1"/>
      <w:numFmt w:val="decimal"/>
      <w:isLgl w:val="false"/>
      <w:suff w:val="tab"/>
      <w:lvlText w:val="%4."/>
      <w:lvlJc w:val="left"/>
      <w:pPr>
        <w:pStyle w:val="1082"/>
        <w:ind w:left="1890" w:hanging="420"/>
        <w:tabs>
          <w:tab w:val="num" w:pos="1890" w:leader="none"/>
        </w:tabs>
      </w:pPr>
      <w:rPr>
        <w:rFonts w:cs="Times New Roman"/>
      </w:rPr>
    </w:lvl>
    <w:lvl w:ilvl="4">
      <w:start w:val="1"/>
      <w:numFmt w:val="lowerLetter"/>
      <w:isLgl w:val="false"/>
      <w:suff w:val="tab"/>
      <w:lvlText w:val="%5)"/>
      <w:lvlJc w:val="left"/>
      <w:pPr>
        <w:pStyle w:val="1082"/>
        <w:ind w:left="2310" w:hanging="420"/>
        <w:tabs>
          <w:tab w:val="num" w:pos="2310" w:leader="none"/>
        </w:tabs>
      </w:pPr>
      <w:rPr>
        <w:rFonts w:cs="Times New Roman"/>
      </w:rPr>
    </w:lvl>
    <w:lvl w:ilvl="5">
      <w:start w:val="1"/>
      <w:numFmt w:val="lowerRoman"/>
      <w:isLgl w:val="false"/>
      <w:suff w:val="tab"/>
      <w:lvlText w:val="%6."/>
      <w:lvlJc w:val="right"/>
      <w:pPr>
        <w:pStyle w:val="1082"/>
        <w:ind w:left="2730" w:hanging="420"/>
        <w:tabs>
          <w:tab w:val="num" w:pos="2730" w:leader="none"/>
        </w:tabs>
      </w:pPr>
      <w:rPr>
        <w:rFonts w:cs="Times New Roman"/>
      </w:rPr>
    </w:lvl>
    <w:lvl w:ilvl="6">
      <w:start w:val="1"/>
      <w:numFmt w:val="decimal"/>
      <w:isLgl w:val="false"/>
      <w:suff w:val="tab"/>
      <w:lvlText w:val="%7."/>
      <w:lvlJc w:val="left"/>
      <w:pPr>
        <w:pStyle w:val="1082"/>
        <w:ind w:left="3150" w:hanging="420"/>
        <w:tabs>
          <w:tab w:val="num" w:pos="3150" w:leader="none"/>
        </w:tabs>
      </w:pPr>
      <w:rPr>
        <w:rFonts w:cs="Times New Roman"/>
      </w:rPr>
    </w:lvl>
    <w:lvl w:ilvl="7">
      <w:start w:val="1"/>
      <w:numFmt w:val="lowerLetter"/>
      <w:isLgl w:val="false"/>
      <w:suff w:val="tab"/>
      <w:lvlText w:val="%8)"/>
      <w:lvlJc w:val="left"/>
      <w:pPr>
        <w:pStyle w:val="1082"/>
        <w:ind w:left="3570" w:hanging="420"/>
        <w:tabs>
          <w:tab w:val="num" w:pos="3570" w:leader="none"/>
        </w:tabs>
      </w:pPr>
      <w:rPr>
        <w:rFonts w:cs="Times New Roman"/>
      </w:rPr>
    </w:lvl>
    <w:lvl w:ilvl="8">
      <w:start w:val="1"/>
      <w:numFmt w:val="lowerRoman"/>
      <w:isLgl w:val="false"/>
      <w:suff w:val="tab"/>
      <w:lvlText w:val="%9."/>
      <w:lvlJc w:val="right"/>
      <w:pPr>
        <w:pStyle w:val="1082"/>
        <w:ind w:left="3990" w:hanging="420"/>
        <w:tabs>
          <w:tab w:val="num" w:pos="3990" w:leader="none"/>
        </w:tabs>
      </w:pPr>
      <w:rPr>
        <w:rFonts w:cs="Times New Roman"/>
      </w:rPr>
    </w:lvl>
  </w:abstractNum>
  <w:abstractNum w:abstractNumId="1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2.%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5">
    <w:multiLevelType w:val="hybridMultilevel"/>
    <w:lvl w:ilvl="0">
      <w:start w:val="1"/>
      <w:numFmt w:val="decimal"/>
      <w:isLgl w:val="false"/>
      <w:suff w:val="tab"/>
      <w:lvlText w:val="6.%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16">
    <w:multiLevelType w:val="hybridMultilevel"/>
    <w:lvl w:ilvl="0">
      <w:start w:val="1"/>
      <w:numFmt w:val="decimal"/>
      <w:isLgl w:val="false"/>
      <w:suff w:val="space"/>
      <w:lvlText w:val="%1."/>
      <w:lvlJc w:val="left"/>
      <w:pPr>
        <w:pStyle w:val="1082"/>
        <w:ind w:left="420" w:hanging="420"/>
      </w:pPr>
      <w:rPr>
        <w:rFonts w:hint="eastAsia"/>
      </w:rPr>
    </w:lvl>
    <w:lvl w:ilvl="1">
      <w:start w:val="1"/>
      <w:numFmt w:val="lowerLetter"/>
      <w:isLgl w:val="false"/>
      <w:suff w:val="tab"/>
      <w:lvlText w:val="%2)"/>
      <w:lvlJc w:val="left"/>
      <w:pPr>
        <w:pStyle w:val="1082"/>
        <w:ind w:left="840" w:hanging="420"/>
      </w:pPr>
    </w:lvl>
    <w:lvl w:ilvl="2">
      <w:start w:val="1"/>
      <w:numFmt w:val="lowerRoman"/>
      <w:isLgl w:val="false"/>
      <w:suff w:val="tab"/>
      <w:lvlText w:val="%3."/>
      <w:lvlJc w:val="right"/>
      <w:pPr>
        <w:pStyle w:val="1082"/>
        <w:ind w:left="1260" w:hanging="420"/>
      </w:pPr>
    </w:lvl>
    <w:lvl w:ilvl="3">
      <w:start w:val="1"/>
      <w:numFmt w:val="decimal"/>
      <w:isLgl w:val="false"/>
      <w:suff w:val="tab"/>
      <w:lvlText w:val="%4."/>
      <w:lvlJc w:val="left"/>
      <w:pPr>
        <w:pStyle w:val="1082"/>
        <w:ind w:left="1680" w:hanging="420"/>
      </w:pPr>
    </w:lvl>
    <w:lvl w:ilvl="4">
      <w:start w:val="1"/>
      <w:numFmt w:val="lowerLetter"/>
      <w:isLgl w:val="false"/>
      <w:suff w:val="tab"/>
      <w:lvlText w:val="%5)"/>
      <w:lvlJc w:val="left"/>
      <w:pPr>
        <w:pStyle w:val="1082"/>
        <w:ind w:left="2100" w:hanging="420"/>
      </w:pPr>
    </w:lvl>
    <w:lvl w:ilvl="5">
      <w:start w:val="1"/>
      <w:numFmt w:val="lowerRoman"/>
      <w:isLgl w:val="false"/>
      <w:suff w:val="tab"/>
      <w:lvlText w:val="%6."/>
      <w:lvlJc w:val="right"/>
      <w:pPr>
        <w:pStyle w:val="1082"/>
        <w:ind w:left="2520" w:hanging="420"/>
      </w:pPr>
    </w:lvl>
    <w:lvl w:ilvl="6">
      <w:start w:val="1"/>
      <w:numFmt w:val="decimal"/>
      <w:isLgl w:val="false"/>
      <w:suff w:val="tab"/>
      <w:lvlText w:val="%7."/>
      <w:lvlJc w:val="left"/>
      <w:pPr>
        <w:pStyle w:val="1082"/>
        <w:ind w:left="2940" w:hanging="420"/>
      </w:pPr>
    </w:lvl>
    <w:lvl w:ilvl="7">
      <w:start w:val="1"/>
      <w:numFmt w:val="lowerLetter"/>
      <w:isLgl w:val="false"/>
      <w:suff w:val="tab"/>
      <w:lvlText w:val="%8)"/>
      <w:lvlJc w:val="left"/>
      <w:pPr>
        <w:pStyle w:val="1082"/>
        <w:ind w:left="3360" w:hanging="420"/>
      </w:pPr>
    </w:lvl>
    <w:lvl w:ilvl="8">
      <w:start w:val="1"/>
      <w:numFmt w:val="lowerRoman"/>
      <w:isLgl w:val="false"/>
      <w:suff w:val="tab"/>
      <w:lvlText w:val="%9."/>
      <w:lvlJc w:val="right"/>
      <w:pPr>
        <w:pStyle w:val="1082"/>
        <w:ind w:left="3780" w:hanging="420"/>
      </w:pPr>
    </w:lvl>
  </w:abstractNum>
  <w:abstractNum w:abstractNumId="17">
    <w:multiLevelType w:val="hybridMultilevel"/>
    <w:lvl w:ilvl="0">
      <w:start w:val="1"/>
      <w:numFmt w:val="chineseCountingThousand"/>
      <w:pStyle w:val="1231"/>
      <w:isLgl w:val="false"/>
      <w:suff w:val="tab"/>
      <w:lvlText w:val="%1"/>
      <w:lvlJc w:val="left"/>
      <w:pPr>
        <w:pStyle w:val="1082"/>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82"/>
        <w:ind w:left="425" w:hanging="425"/>
      </w:pPr>
      <w:rPr>
        <w:rFonts w:hint="eastAsia" w:ascii="Arial Unicode MS" w:hAnsi="Arial Unicode MS" w:eastAsia="微软雅黑"/>
        <w:b/>
        <w:i w:val="0"/>
      </w:rPr>
    </w:lvl>
    <w:lvl w:ilvl="2">
      <w:start w:val="1"/>
      <w:numFmt w:val="decimal"/>
      <w:isLgl w:val="false"/>
      <w:suff w:val="tab"/>
      <w:lvlText w:val="%1.%2.%3"/>
      <w:lvlJc w:val="left"/>
      <w:pPr>
        <w:pStyle w:val="1082"/>
        <w:ind w:left="425" w:hanging="425"/>
      </w:pPr>
      <w:rPr>
        <w:rFonts w:hint="eastAsia" w:ascii="Arial Unicode MS" w:hAnsi="Arial Unicode MS" w:eastAsia="微软雅黑"/>
        <w:b/>
        <w:i w:val="0"/>
      </w:rPr>
    </w:lvl>
    <w:lvl w:ilvl="3">
      <w:start w:val="1"/>
      <w:numFmt w:val="decimal"/>
      <w:isLgl w:val="false"/>
      <w:suff w:val="tab"/>
      <w:lvlText w:val="%1.%2.%3.%4"/>
      <w:lvlJc w:val="left"/>
      <w:pPr>
        <w:pStyle w:val="1082"/>
        <w:ind w:left="425" w:hanging="425"/>
      </w:pPr>
      <w:rPr>
        <w:rFonts w:hint="eastAsia" w:ascii="Arial Unicode MS" w:hAnsi="Arial Unicode MS" w:eastAsia="微软雅黑"/>
        <w:b/>
        <w:i w:val="0"/>
      </w:rPr>
    </w:lvl>
    <w:lvl w:ilvl="4">
      <w:start w:val="1"/>
      <w:numFmt w:val="decimal"/>
      <w:isLgl w:val="false"/>
      <w:suff w:val="tab"/>
      <w:lvlText w:val="%1.%2.%3.%4.%5"/>
      <w:lvlJc w:val="left"/>
      <w:pPr>
        <w:pStyle w:val="1082"/>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82"/>
        <w:ind w:left="425" w:hanging="425"/>
      </w:pPr>
      <w:rPr>
        <w:rFonts w:hint="eastAsia"/>
      </w:rPr>
    </w:lvl>
    <w:lvl w:ilvl="6">
      <w:start w:val="1"/>
      <w:numFmt w:val="decimal"/>
      <w:isLgl w:val="false"/>
      <w:suff w:val="tab"/>
      <w:lvlText w:val="%1.%2.%3.%4.%5.%6.%7"/>
      <w:lvlJc w:val="left"/>
      <w:pPr>
        <w:pStyle w:val="1082"/>
        <w:ind w:left="425" w:hanging="425"/>
      </w:pPr>
      <w:rPr>
        <w:rFonts w:hint="eastAsia"/>
      </w:rPr>
    </w:lvl>
    <w:lvl w:ilvl="7">
      <w:start w:val="1"/>
      <w:numFmt w:val="decimal"/>
      <w:isLgl w:val="false"/>
      <w:suff w:val="tab"/>
      <w:lvlText w:val="%1.%2.%3.%4.%5.%6.%7.%8"/>
      <w:lvlJc w:val="left"/>
      <w:pPr>
        <w:pStyle w:val="1082"/>
        <w:ind w:left="425" w:hanging="425"/>
      </w:pPr>
      <w:rPr>
        <w:rFonts w:hint="eastAsia"/>
      </w:rPr>
    </w:lvl>
    <w:lvl w:ilvl="8">
      <w:start w:val="1"/>
      <w:numFmt w:val="decimal"/>
      <w:isLgl w:val="false"/>
      <w:suff w:val="tab"/>
      <w:lvlText w:val="%1.%2.%3.%4.%5.%6.%7.%8.%9"/>
      <w:lvlJc w:val="left"/>
      <w:pPr>
        <w:pStyle w:val="1082"/>
        <w:ind w:left="425" w:hanging="425"/>
      </w:pPr>
      <w:rPr>
        <w:rFonts w:hint="eastAsia"/>
      </w:rPr>
    </w:lvl>
  </w:abstractNum>
  <w:abstractNum w:abstractNumId="18">
    <w:multiLevelType w:val="hybridMultilevel"/>
    <w:lvl w:ilvl="0">
      <w:start w:val="5"/>
      <w:numFmt w:val="chineseCounting"/>
      <w:isLgl w:val="false"/>
      <w:suff w:val="space"/>
      <w:lvlText w:val="第%1章"/>
      <w:lvlJc w:val="left"/>
      <w:pPr>
        <w:pStyle w:val="10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9"/>
      <w:numFmt w:val="decimal"/>
      <w:isLgl w:val="false"/>
      <w:suff w:val="nothing"/>
      <w:lvlText w:val="%1、"/>
      <w:lvlJc w:val="left"/>
      <w:pPr>
        <w:pStyle w:val="10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1.%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21">
    <w:multiLevelType w:val="hybridMultilevel"/>
    <w:lvl w:ilvl="0">
      <w:start w:val="1"/>
      <w:numFmt w:val="decimal"/>
      <w:isLgl w:val="false"/>
      <w:suff w:val="tab"/>
      <w:lvlText w:val="%1)"/>
      <w:lvlJc w:val="left"/>
      <w:pPr>
        <w:pStyle w:val="1082"/>
        <w:ind w:left="840" w:hanging="420"/>
      </w:p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2">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8.%2."/>
      <w:lvlJc w:val="left"/>
      <w:pPr>
        <w:pStyle w:val="1082"/>
        <w:ind w:left="0" w:firstLine="425"/>
      </w:pPr>
      <w:rPr>
        <w:rFonts w:hint="eastAsia"/>
        <w:b w:val="0"/>
        <w:bCs/>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23">
    <w:multiLevelType w:val="hybridMultilevel"/>
    <w:lvl w:ilvl="0">
      <w:start w:val="1"/>
      <w:numFmt w:val="decimal"/>
      <w:isLgl w:val="false"/>
      <w:suff w:val="tab"/>
      <w:lvlText w:val="5.%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4">
    <w:multiLevelType w:val="hybridMultilevel"/>
    <w:lvl w:ilvl="0">
      <w:start w:val="1"/>
      <w:numFmt w:val="decimal"/>
      <w:isLgl w:val="false"/>
      <w:suff w:val="tab"/>
      <w:lvlText w:val="8.%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5">
    <w:multiLevelType w:val="hybridMultilevel"/>
    <w:lvl w:ilvl="0">
      <w:start w:val="1"/>
      <w:numFmt w:val="decimal"/>
      <w:isLgl w:val="false"/>
      <w:suff w:val="tab"/>
      <w:lvlText w:val="%1)"/>
      <w:lvlJc w:val="left"/>
      <w:pPr>
        <w:pStyle w:val="1082"/>
        <w:ind w:left="1860" w:hanging="420"/>
      </w:pPr>
      <w:rPr>
        <w:rFonts w:ascii="Times New Roman" w:hAnsi="Times New Roman" w:cs="Times New Roman"/>
      </w:rPr>
    </w:lvl>
    <w:lvl w:ilvl="1">
      <w:start w:val="1"/>
      <w:numFmt w:val="lowerLetter"/>
      <w:isLgl w:val="false"/>
      <w:suff w:val="tab"/>
      <w:lvlText w:val="%2)"/>
      <w:lvlJc w:val="left"/>
      <w:pPr>
        <w:pStyle w:val="1082"/>
        <w:ind w:left="2280" w:hanging="420"/>
      </w:pPr>
    </w:lvl>
    <w:lvl w:ilvl="2">
      <w:start w:val="1"/>
      <w:numFmt w:val="lowerRoman"/>
      <w:isLgl w:val="false"/>
      <w:suff w:val="tab"/>
      <w:lvlText w:val="%3."/>
      <w:lvlJc w:val="right"/>
      <w:pPr>
        <w:pStyle w:val="1082"/>
        <w:ind w:left="2700" w:hanging="420"/>
      </w:pPr>
    </w:lvl>
    <w:lvl w:ilvl="3">
      <w:start w:val="1"/>
      <w:numFmt w:val="decimal"/>
      <w:isLgl w:val="false"/>
      <w:suff w:val="tab"/>
      <w:lvlText w:val="%4."/>
      <w:lvlJc w:val="left"/>
      <w:pPr>
        <w:pStyle w:val="1082"/>
        <w:ind w:left="3120" w:hanging="420"/>
      </w:pPr>
    </w:lvl>
    <w:lvl w:ilvl="4">
      <w:start w:val="1"/>
      <w:numFmt w:val="lowerLetter"/>
      <w:isLgl w:val="false"/>
      <w:suff w:val="tab"/>
      <w:lvlText w:val="%5)"/>
      <w:lvlJc w:val="left"/>
      <w:pPr>
        <w:pStyle w:val="1082"/>
        <w:ind w:left="3540" w:hanging="420"/>
      </w:pPr>
    </w:lvl>
    <w:lvl w:ilvl="5">
      <w:start w:val="1"/>
      <w:numFmt w:val="lowerRoman"/>
      <w:isLgl w:val="false"/>
      <w:suff w:val="tab"/>
      <w:lvlText w:val="%6."/>
      <w:lvlJc w:val="right"/>
      <w:pPr>
        <w:pStyle w:val="1082"/>
        <w:ind w:left="3960" w:hanging="420"/>
      </w:pPr>
    </w:lvl>
    <w:lvl w:ilvl="6">
      <w:start w:val="1"/>
      <w:numFmt w:val="decimal"/>
      <w:isLgl w:val="false"/>
      <w:suff w:val="tab"/>
      <w:lvlText w:val="%7."/>
      <w:lvlJc w:val="left"/>
      <w:pPr>
        <w:pStyle w:val="1082"/>
        <w:ind w:left="4380" w:hanging="420"/>
      </w:pPr>
    </w:lvl>
    <w:lvl w:ilvl="7">
      <w:start w:val="1"/>
      <w:numFmt w:val="lowerLetter"/>
      <w:isLgl w:val="false"/>
      <w:suff w:val="tab"/>
      <w:lvlText w:val="%8)"/>
      <w:lvlJc w:val="left"/>
      <w:pPr>
        <w:pStyle w:val="1082"/>
        <w:ind w:left="4800" w:hanging="420"/>
      </w:pPr>
    </w:lvl>
    <w:lvl w:ilvl="8">
      <w:start w:val="1"/>
      <w:numFmt w:val="lowerRoman"/>
      <w:isLgl w:val="false"/>
      <w:suff w:val="tab"/>
      <w:lvlText w:val="%9."/>
      <w:lvlJc w:val="right"/>
      <w:pPr>
        <w:pStyle w:val="1082"/>
        <w:ind w:left="5220" w:hanging="420"/>
      </w:pPr>
    </w:lvl>
  </w:abstractNum>
  <w:abstractNum w:abstractNumId="26">
    <w:multiLevelType w:val="hybridMultilevel"/>
    <w:lvl w:ilvl="0">
      <w:start w:val="1"/>
      <w:numFmt w:val="decimal"/>
      <w:isLgl w:val="false"/>
      <w:suff w:val="tab"/>
      <w:lvlText w:val="%1)"/>
      <w:lvlJc w:val="left"/>
      <w:pPr>
        <w:pStyle w:val="1082"/>
        <w:ind w:left="840" w:hanging="420"/>
      </w:pPr>
    </w:lvl>
    <w:lvl w:ilvl="1">
      <w:start w:val="1"/>
      <w:numFmt w:val="decimal"/>
      <w:isLgl w:val="false"/>
      <w:suff w:val="tab"/>
      <w:lvlText w:val="%2)"/>
      <w:lvlJc w:val="left"/>
      <w:pPr>
        <w:pStyle w:val="1082"/>
        <w:ind w:left="1260" w:hanging="420"/>
      </w:pPr>
      <w:rPr>
        <w:rFonts w:ascii="Times New Roman" w:hAnsi="Times New Roman" w:cs="Times New Roman"/>
      </w:r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7">
    <w:multiLevelType w:val="hybridMultilevel"/>
    <w:lvl w:ilvl="0">
      <w:start w:val="1"/>
      <w:numFmt w:val="decimal"/>
      <w:isLgl w:val="false"/>
      <w:suff w:val="tab"/>
      <w:lvlText w:val="7.%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8">
    <w:multiLevelType w:val="hybridMultilevel"/>
    <w:lvl w:ilvl="0">
      <w:start w:val="1"/>
      <w:numFmt w:val="decimal"/>
      <w:isLgl w:val="false"/>
      <w:suff w:val="tab"/>
      <w:lvlText w:val="%1)"/>
      <w:lvlJc w:val="left"/>
      <w:pPr>
        <w:pStyle w:val="1082"/>
        <w:ind w:left="864" w:hanging="420"/>
      </w:pPr>
    </w:lvl>
    <w:lvl w:ilvl="1">
      <w:start w:val="1"/>
      <w:numFmt w:val="lowerLetter"/>
      <w:isLgl w:val="false"/>
      <w:suff w:val="tab"/>
      <w:lvlText w:val="%2)"/>
      <w:lvlJc w:val="left"/>
      <w:pPr>
        <w:pStyle w:val="1082"/>
        <w:ind w:left="1284" w:hanging="420"/>
      </w:pPr>
    </w:lvl>
    <w:lvl w:ilvl="2">
      <w:start w:val="1"/>
      <w:numFmt w:val="lowerRoman"/>
      <w:isLgl w:val="false"/>
      <w:suff w:val="tab"/>
      <w:lvlText w:val="%3."/>
      <w:lvlJc w:val="right"/>
      <w:pPr>
        <w:pStyle w:val="1082"/>
        <w:ind w:left="1704" w:hanging="420"/>
      </w:pPr>
    </w:lvl>
    <w:lvl w:ilvl="3">
      <w:start w:val="1"/>
      <w:numFmt w:val="decimal"/>
      <w:isLgl w:val="false"/>
      <w:suff w:val="tab"/>
      <w:lvlText w:val="%4."/>
      <w:lvlJc w:val="left"/>
      <w:pPr>
        <w:pStyle w:val="1082"/>
        <w:ind w:left="2124" w:hanging="420"/>
      </w:pPr>
    </w:lvl>
    <w:lvl w:ilvl="4">
      <w:start w:val="1"/>
      <w:numFmt w:val="lowerLetter"/>
      <w:isLgl w:val="false"/>
      <w:suff w:val="tab"/>
      <w:lvlText w:val="%5)"/>
      <w:lvlJc w:val="left"/>
      <w:pPr>
        <w:pStyle w:val="1082"/>
        <w:ind w:left="2544" w:hanging="420"/>
      </w:pPr>
    </w:lvl>
    <w:lvl w:ilvl="5">
      <w:start w:val="1"/>
      <w:numFmt w:val="lowerRoman"/>
      <w:isLgl w:val="false"/>
      <w:suff w:val="tab"/>
      <w:lvlText w:val="%6."/>
      <w:lvlJc w:val="right"/>
      <w:pPr>
        <w:pStyle w:val="1082"/>
        <w:ind w:left="2964" w:hanging="420"/>
      </w:pPr>
    </w:lvl>
    <w:lvl w:ilvl="6">
      <w:start w:val="1"/>
      <w:numFmt w:val="decimal"/>
      <w:isLgl w:val="false"/>
      <w:suff w:val="tab"/>
      <w:lvlText w:val="%7."/>
      <w:lvlJc w:val="left"/>
      <w:pPr>
        <w:pStyle w:val="1082"/>
        <w:ind w:left="3384" w:hanging="420"/>
      </w:pPr>
    </w:lvl>
    <w:lvl w:ilvl="7">
      <w:start w:val="1"/>
      <w:numFmt w:val="lowerLetter"/>
      <w:isLgl w:val="false"/>
      <w:suff w:val="tab"/>
      <w:lvlText w:val="%8)"/>
      <w:lvlJc w:val="left"/>
      <w:pPr>
        <w:pStyle w:val="1082"/>
        <w:ind w:left="3804" w:hanging="420"/>
      </w:pPr>
    </w:lvl>
    <w:lvl w:ilvl="8">
      <w:start w:val="1"/>
      <w:numFmt w:val="lowerRoman"/>
      <w:isLgl w:val="false"/>
      <w:suff w:val="tab"/>
      <w:lvlText w:val="%9."/>
      <w:lvlJc w:val="right"/>
      <w:pPr>
        <w:pStyle w:val="1082"/>
        <w:ind w:left="4224" w:hanging="420"/>
      </w:pPr>
    </w:lvl>
  </w:abstractNum>
  <w:abstractNum w:abstractNumId="29">
    <w:multiLevelType w:val="hybridMultilevel"/>
    <w:lvl w:ilvl="0">
      <w:start w:val="1"/>
      <w:numFmt w:val="decimal"/>
      <w:isLgl w:val="false"/>
      <w:suff w:val="tab"/>
      <w:lvlText w:val="4.%1."/>
      <w:lvlJc w:val="left"/>
      <w:pPr>
        <w:pStyle w:val="1082"/>
        <w:ind w:left="1680" w:hanging="420"/>
      </w:pPr>
      <w:rPr>
        <w:rFonts w:hint="eastAsia"/>
      </w:rPr>
    </w:lvl>
    <w:lvl w:ilvl="1">
      <w:start w:val="1"/>
      <w:numFmt w:val="lowerLetter"/>
      <w:isLgl w:val="false"/>
      <w:suff w:val="tab"/>
      <w:lvlText w:val="%2)"/>
      <w:lvlJc w:val="left"/>
      <w:pPr>
        <w:pStyle w:val="1082"/>
        <w:ind w:left="2100" w:hanging="420"/>
      </w:pPr>
    </w:lvl>
    <w:lvl w:ilvl="2">
      <w:start w:val="1"/>
      <w:numFmt w:val="lowerRoman"/>
      <w:isLgl w:val="false"/>
      <w:suff w:val="tab"/>
      <w:lvlText w:val="%3."/>
      <w:lvlJc w:val="right"/>
      <w:pPr>
        <w:pStyle w:val="1082"/>
        <w:ind w:left="2520" w:hanging="420"/>
      </w:pPr>
    </w:lvl>
    <w:lvl w:ilvl="3">
      <w:start w:val="1"/>
      <w:numFmt w:val="decimal"/>
      <w:isLgl w:val="false"/>
      <w:suff w:val="tab"/>
      <w:lvlText w:val="%4."/>
      <w:lvlJc w:val="left"/>
      <w:pPr>
        <w:pStyle w:val="1082"/>
        <w:ind w:left="2940" w:hanging="420"/>
      </w:pPr>
    </w:lvl>
    <w:lvl w:ilvl="4">
      <w:start w:val="1"/>
      <w:numFmt w:val="lowerLetter"/>
      <w:isLgl w:val="false"/>
      <w:suff w:val="tab"/>
      <w:lvlText w:val="%5)"/>
      <w:lvlJc w:val="left"/>
      <w:pPr>
        <w:pStyle w:val="1082"/>
        <w:ind w:left="3360" w:hanging="420"/>
      </w:pPr>
    </w:lvl>
    <w:lvl w:ilvl="5">
      <w:start w:val="1"/>
      <w:numFmt w:val="lowerRoman"/>
      <w:isLgl w:val="false"/>
      <w:suff w:val="tab"/>
      <w:lvlText w:val="%6."/>
      <w:lvlJc w:val="right"/>
      <w:pPr>
        <w:pStyle w:val="1082"/>
        <w:ind w:left="3780" w:hanging="420"/>
      </w:pPr>
    </w:lvl>
    <w:lvl w:ilvl="6">
      <w:start w:val="1"/>
      <w:numFmt w:val="decimal"/>
      <w:isLgl w:val="false"/>
      <w:suff w:val="tab"/>
      <w:lvlText w:val="%7."/>
      <w:lvlJc w:val="left"/>
      <w:pPr>
        <w:pStyle w:val="1082"/>
        <w:ind w:left="4200" w:hanging="420"/>
      </w:pPr>
    </w:lvl>
    <w:lvl w:ilvl="7">
      <w:start w:val="1"/>
      <w:numFmt w:val="lowerLetter"/>
      <w:isLgl w:val="false"/>
      <w:suff w:val="tab"/>
      <w:lvlText w:val="%8)"/>
      <w:lvlJc w:val="left"/>
      <w:pPr>
        <w:pStyle w:val="1082"/>
        <w:ind w:left="4620" w:hanging="420"/>
      </w:pPr>
    </w:lvl>
    <w:lvl w:ilvl="8">
      <w:start w:val="1"/>
      <w:numFmt w:val="lowerRoman"/>
      <w:isLgl w:val="false"/>
      <w:suff w:val="tab"/>
      <w:lvlText w:val="%9."/>
      <w:lvlJc w:val="right"/>
      <w:pPr>
        <w:pStyle w:val="1082"/>
        <w:ind w:left="5040" w:hanging="420"/>
      </w:pPr>
    </w:lvl>
  </w:abstractNum>
  <w:abstractNum w:abstractNumId="30">
    <w:multiLevelType w:val="hybridMultilevel"/>
    <w:lvl w:ilvl="0">
      <w:start w:val="1"/>
      <w:numFmt w:val="decimal"/>
      <w:isLgl w:val="false"/>
      <w:suff w:val="tab"/>
      <w:lvlText w:val="2.%1."/>
      <w:lvlJc w:val="left"/>
      <w:pPr>
        <w:pStyle w:val="1082"/>
        <w:ind w:left="840" w:hanging="420"/>
      </w:pPr>
      <w:rPr>
        <w:rFonts w:ascii="Times New Roman" w:hAnsi="Times New Roman" w:cs="Times New Roman"/>
        <w:b w:val="0"/>
        <w:bCs w:val="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1">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tab"/>
      <w:lvlText w:val="6.%2."/>
      <w:lvlJc w:val="left"/>
      <w:pPr>
        <w:pStyle w:val="1082"/>
        <w:ind w:left="0" w:firstLine="425"/>
      </w:pPr>
      <w:rPr>
        <w:rFonts w:hint="eastAsia"/>
        <w:b w:val="0"/>
        <w:bCs/>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32">
    <w:multiLevelType w:val="hybridMultilevel"/>
    <w:lvl w:ilvl="0">
      <w:start w:val="1"/>
      <w:numFmt w:val="decimal"/>
      <w:isLgl w:val="false"/>
      <w:suff w:val="nothing"/>
      <w:lvlText w:val="%1、"/>
      <w:lvlJc w:val="left"/>
      <w:pPr>
        <w:pStyle w:val="10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082"/>
        <w:ind w:left="914" w:hanging="420"/>
      </w:pPr>
    </w:lvl>
    <w:lvl w:ilvl="1">
      <w:start w:val="1"/>
      <w:numFmt w:val="decimal"/>
      <w:isLgl w:val="false"/>
      <w:suff w:val="tab"/>
      <w:lvlText w:val="%2)"/>
      <w:lvlJc w:val="left"/>
      <w:pPr>
        <w:pStyle w:val="1082"/>
        <w:ind w:left="1334" w:hanging="420"/>
      </w:pPr>
    </w:lvl>
    <w:lvl w:ilvl="2">
      <w:start w:val="1"/>
      <w:numFmt w:val="lowerRoman"/>
      <w:isLgl w:val="false"/>
      <w:suff w:val="tab"/>
      <w:lvlText w:val="%3."/>
      <w:lvlJc w:val="right"/>
      <w:pPr>
        <w:pStyle w:val="1082"/>
        <w:ind w:left="1754" w:hanging="420"/>
      </w:pPr>
    </w:lvl>
    <w:lvl w:ilvl="3">
      <w:start w:val="1"/>
      <w:numFmt w:val="decimal"/>
      <w:isLgl w:val="false"/>
      <w:suff w:val="tab"/>
      <w:lvlText w:val="%4."/>
      <w:lvlJc w:val="left"/>
      <w:pPr>
        <w:pStyle w:val="1082"/>
        <w:ind w:left="2174" w:hanging="420"/>
      </w:pPr>
    </w:lvl>
    <w:lvl w:ilvl="4">
      <w:start w:val="1"/>
      <w:numFmt w:val="lowerLetter"/>
      <w:isLgl w:val="false"/>
      <w:suff w:val="tab"/>
      <w:lvlText w:val="%5)"/>
      <w:lvlJc w:val="left"/>
      <w:pPr>
        <w:pStyle w:val="1082"/>
        <w:ind w:left="2594" w:hanging="420"/>
      </w:pPr>
    </w:lvl>
    <w:lvl w:ilvl="5">
      <w:start w:val="1"/>
      <w:numFmt w:val="lowerRoman"/>
      <w:isLgl w:val="false"/>
      <w:suff w:val="tab"/>
      <w:lvlText w:val="%6."/>
      <w:lvlJc w:val="right"/>
      <w:pPr>
        <w:pStyle w:val="1082"/>
        <w:ind w:left="3014" w:hanging="420"/>
      </w:pPr>
    </w:lvl>
    <w:lvl w:ilvl="6">
      <w:start w:val="1"/>
      <w:numFmt w:val="decimal"/>
      <w:isLgl w:val="false"/>
      <w:suff w:val="tab"/>
      <w:lvlText w:val="%7."/>
      <w:lvlJc w:val="left"/>
      <w:pPr>
        <w:pStyle w:val="1082"/>
        <w:ind w:left="3434" w:hanging="420"/>
      </w:pPr>
    </w:lvl>
    <w:lvl w:ilvl="7">
      <w:start w:val="1"/>
      <w:numFmt w:val="lowerLetter"/>
      <w:isLgl w:val="false"/>
      <w:suff w:val="tab"/>
      <w:lvlText w:val="%8)"/>
      <w:lvlJc w:val="left"/>
      <w:pPr>
        <w:pStyle w:val="1082"/>
        <w:ind w:left="3854" w:hanging="420"/>
      </w:pPr>
    </w:lvl>
    <w:lvl w:ilvl="8">
      <w:start w:val="1"/>
      <w:numFmt w:val="lowerRoman"/>
      <w:isLgl w:val="false"/>
      <w:suff w:val="tab"/>
      <w:lvlText w:val="%9."/>
      <w:lvlJc w:val="right"/>
      <w:pPr>
        <w:pStyle w:val="1082"/>
        <w:ind w:left="4274" w:hanging="420"/>
      </w:pPr>
    </w:lvl>
  </w:abstractNum>
  <w:abstractNum w:abstractNumId="3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6.%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5">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3.%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6">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9.%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7">
    <w:multiLevelType w:val="hybridMultilevel"/>
    <w:lvl w:ilvl="0">
      <w:start w:val="1"/>
      <w:numFmt w:val="decimal"/>
      <w:isLgl w:val="false"/>
      <w:suff w:val="tab"/>
      <w:lvlText w:val="%1)"/>
      <w:lvlJc w:val="left"/>
      <w:pPr>
        <w:pStyle w:val="1082"/>
        <w:ind w:left="840" w:hanging="420"/>
      </w:pPr>
    </w:lvl>
    <w:lvl w:ilvl="1">
      <w:start w:val="1"/>
      <w:numFmt w:val="decimal"/>
      <w:isLgl w:val="false"/>
      <w:suff w:val="tab"/>
      <w:lvlText w:val="%2)"/>
      <w:lvlJc w:val="left"/>
      <w:pPr>
        <w:pStyle w:val="1082"/>
        <w:ind w:left="1260" w:hanging="420"/>
      </w:pPr>
      <w:rPr>
        <w:rFonts w:ascii="Times New Roman" w:hAnsi="Times New Roman" w:cs="Times New Roman"/>
      </w:r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8">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4.%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9">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7.%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40">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tab"/>
      <w:lvlText w:val="5.%2."/>
      <w:lvlJc w:val="left"/>
      <w:pPr>
        <w:pStyle w:val="1082"/>
        <w:ind w:left="0" w:firstLine="425"/>
      </w:pPr>
      <w:rPr>
        <w:rFonts w:hint="eastAsia"/>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4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8.%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num w:numId="1">
    <w:abstractNumId w:val="7"/>
  </w:num>
  <w:num w:numId="2">
    <w:abstractNumId w:val="17"/>
  </w:num>
  <w:num w:numId="3">
    <w:abstractNumId w:val="13"/>
  </w:num>
  <w:num w:numId="4">
    <w:abstractNumId w:val="19"/>
  </w:num>
  <w:num w:numId="5">
    <w:abstractNumId w:val="28"/>
  </w:num>
  <w:num w:numId="6">
    <w:abstractNumId w:val="30"/>
  </w:num>
  <w:num w:numId="7">
    <w:abstractNumId w:val="21"/>
  </w:num>
  <w:num w:numId="8">
    <w:abstractNumId w:val="29"/>
  </w:num>
  <w:num w:numId="9">
    <w:abstractNumId w:val="23"/>
  </w:num>
  <w:num w:numId="10">
    <w:abstractNumId w:val="15"/>
  </w:num>
  <w:num w:numId="11">
    <w:abstractNumId w:val="27"/>
  </w:num>
  <w:num w:numId="12">
    <w:abstractNumId w:val="24"/>
  </w:num>
  <w:num w:numId="13">
    <w:abstractNumId w:val="3"/>
  </w:num>
  <w:num w:numId="14">
    <w:abstractNumId w:val="9"/>
  </w:num>
  <w:num w:numId="15">
    <w:abstractNumId w:val="11"/>
  </w:num>
  <w:num w:numId="16">
    <w:abstractNumId w:val="40"/>
  </w:num>
  <w:num w:numId="17">
    <w:abstractNumId w:val="31"/>
  </w:num>
  <w:num w:numId="18">
    <w:abstractNumId w:val="39"/>
  </w:num>
  <w:num w:numId="19">
    <w:abstractNumId w:val="22"/>
  </w:num>
  <w:num w:numId="20">
    <w:abstractNumId w:val="12"/>
  </w:num>
  <w:num w:numId="21">
    <w:abstractNumId w:val="6"/>
  </w:num>
  <w:num w:numId="22">
    <w:abstractNumId w:val="4"/>
  </w:num>
  <w:num w:numId="23">
    <w:abstractNumId w:val="1"/>
  </w:num>
  <w:num w:numId="24">
    <w:abstractNumId w:val="5"/>
  </w:num>
  <w:num w:numId="25">
    <w:abstractNumId w:val="20"/>
  </w:num>
  <w:num w:numId="26">
    <w:abstractNumId w:val="14"/>
  </w:num>
  <w:num w:numId="27">
    <w:abstractNumId w:val="35"/>
  </w:num>
  <w:num w:numId="28">
    <w:abstractNumId w:val="38"/>
  </w:num>
  <w:num w:numId="29">
    <w:abstractNumId w:val="8"/>
  </w:num>
  <w:num w:numId="30">
    <w:abstractNumId w:val="34"/>
  </w:num>
  <w:num w:numId="31">
    <w:abstractNumId w:val="33"/>
  </w:num>
  <w:num w:numId="32">
    <w:abstractNumId w:val="10"/>
  </w:num>
  <w:num w:numId="33">
    <w:abstractNumId w:val="25"/>
  </w:num>
  <w:num w:numId="34">
    <w:abstractNumId w:val="37"/>
  </w:num>
  <w:num w:numId="35">
    <w:abstractNumId w:val="26"/>
  </w:num>
  <w:num w:numId="36">
    <w:abstractNumId w:val="0"/>
  </w:num>
  <w:num w:numId="37">
    <w:abstractNumId w:val="41"/>
  </w:num>
  <w:num w:numId="38">
    <w:abstractNumId w:val="36"/>
  </w:num>
  <w:num w:numId="39">
    <w:abstractNumId w:val="2"/>
  </w:num>
  <w:num w:numId="40">
    <w:abstractNumId w:val="16"/>
  </w:num>
  <w:num w:numId="41">
    <w:abstractNumId w:val="1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82"/>
    <w:next w:val="1082"/>
    <w:link w:val="905"/>
    <w:uiPriority w:val="9"/>
    <w:qFormat/>
    <w:pPr>
      <w:keepLines/>
      <w:keepNext/>
      <w:spacing w:before="480" w:after="200"/>
      <w:outlineLvl w:val="0"/>
    </w:pPr>
    <w:rPr>
      <w:rFonts w:ascii="Arial" w:hAnsi="Arial" w:eastAsia="Arial" w:cs="Arial"/>
      <w:sz w:val="40"/>
      <w:szCs w:val="40"/>
    </w:rPr>
  </w:style>
  <w:style w:type="character" w:styleId="905">
    <w:name w:val="Heading 1 Char"/>
    <w:link w:val="904"/>
    <w:uiPriority w:val="9"/>
    <w:rPr>
      <w:rFonts w:ascii="Arial" w:hAnsi="Arial" w:eastAsia="Arial" w:cs="Arial"/>
      <w:sz w:val="40"/>
      <w:szCs w:val="40"/>
    </w:rPr>
  </w:style>
  <w:style w:type="paragraph" w:styleId="906">
    <w:name w:val="Heading 2"/>
    <w:basedOn w:val="1082"/>
    <w:next w:val="1082"/>
    <w:link w:val="907"/>
    <w:uiPriority w:val="9"/>
    <w:unhideWhenUsed/>
    <w:qFormat/>
    <w:pPr>
      <w:keepLines/>
      <w:keepNext/>
      <w:spacing w:before="360" w:after="200"/>
      <w:outlineLvl w:val="1"/>
    </w:pPr>
    <w:rPr>
      <w:rFonts w:ascii="Arial" w:hAnsi="Arial" w:eastAsia="Arial" w:cs="Arial"/>
      <w:sz w:val="34"/>
    </w:rPr>
  </w:style>
  <w:style w:type="character" w:styleId="907">
    <w:name w:val="Heading 2 Char"/>
    <w:link w:val="906"/>
    <w:uiPriority w:val="9"/>
    <w:rPr>
      <w:rFonts w:ascii="Arial" w:hAnsi="Arial" w:eastAsia="Arial" w:cs="Arial"/>
      <w:sz w:val="34"/>
    </w:rPr>
  </w:style>
  <w:style w:type="paragraph" w:styleId="908">
    <w:name w:val="Heading 3"/>
    <w:basedOn w:val="1082"/>
    <w:next w:val="1082"/>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link w:val="908"/>
    <w:uiPriority w:val="9"/>
    <w:rPr>
      <w:rFonts w:ascii="Arial" w:hAnsi="Arial" w:eastAsia="Arial" w:cs="Arial"/>
      <w:sz w:val="30"/>
      <w:szCs w:val="30"/>
    </w:rPr>
  </w:style>
  <w:style w:type="paragraph" w:styleId="910">
    <w:name w:val="Heading 4"/>
    <w:basedOn w:val="1082"/>
    <w:next w:val="1082"/>
    <w:link w:val="911"/>
    <w:uiPriority w:val="9"/>
    <w:unhideWhenUsed/>
    <w:qFormat/>
    <w:pPr>
      <w:keepLines/>
      <w:keepNext/>
      <w:spacing w:before="320" w:after="200"/>
      <w:outlineLvl w:val="3"/>
    </w:pPr>
    <w:rPr>
      <w:rFonts w:ascii="Arial" w:hAnsi="Arial" w:eastAsia="Arial" w:cs="Arial"/>
      <w:b/>
      <w:bCs/>
      <w:sz w:val="26"/>
      <w:szCs w:val="26"/>
    </w:rPr>
  </w:style>
  <w:style w:type="character" w:styleId="911">
    <w:name w:val="Heading 4 Char"/>
    <w:link w:val="910"/>
    <w:uiPriority w:val="9"/>
    <w:rPr>
      <w:rFonts w:ascii="Arial" w:hAnsi="Arial" w:eastAsia="Arial" w:cs="Arial"/>
      <w:b/>
      <w:bCs/>
      <w:sz w:val="26"/>
      <w:szCs w:val="26"/>
    </w:rPr>
  </w:style>
  <w:style w:type="paragraph" w:styleId="912">
    <w:name w:val="Heading 5"/>
    <w:basedOn w:val="1082"/>
    <w:next w:val="1082"/>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link w:val="912"/>
    <w:uiPriority w:val="9"/>
    <w:rPr>
      <w:rFonts w:ascii="Arial" w:hAnsi="Arial" w:eastAsia="Arial" w:cs="Arial"/>
      <w:b/>
      <w:bCs/>
      <w:sz w:val="24"/>
      <w:szCs w:val="24"/>
    </w:rPr>
  </w:style>
  <w:style w:type="paragraph" w:styleId="914">
    <w:name w:val="Heading 6"/>
    <w:basedOn w:val="1082"/>
    <w:next w:val="1082"/>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link w:val="914"/>
    <w:uiPriority w:val="9"/>
    <w:rPr>
      <w:rFonts w:ascii="Arial" w:hAnsi="Arial" w:eastAsia="Arial" w:cs="Arial"/>
      <w:b/>
      <w:bCs/>
      <w:sz w:val="22"/>
      <w:szCs w:val="22"/>
    </w:rPr>
  </w:style>
  <w:style w:type="paragraph" w:styleId="916">
    <w:name w:val="Heading 7"/>
    <w:basedOn w:val="1082"/>
    <w:next w:val="1082"/>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link w:val="916"/>
    <w:uiPriority w:val="9"/>
    <w:rPr>
      <w:rFonts w:ascii="Arial" w:hAnsi="Arial" w:eastAsia="Arial" w:cs="Arial"/>
      <w:b/>
      <w:bCs/>
      <w:i/>
      <w:iCs/>
      <w:sz w:val="22"/>
      <w:szCs w:val="22"/>
    </w:rPr>
  </w:style>
  <w:style w:type="paragraph" w:styleId="918">
    <w:name w:val="Heading 8"/>
    <w:basedOn w:val="1082"/>
    <w:next w:val="1082"/>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link w:val="918"/>
    <w:uiPriority w:val="9"/>
    <w:rPr>
      <w:rFonts w:ascii="Arial" w:hAnsi="Arial" w:eastAsia="Arial" w:cs="Arial"/>
      <w:i/>
      <w:iCs/>
      <w:sz w:val="22"/>
      <w:szCs w:val="22"/>
    </w:rPr>
  </w:style>
  <w:style w:type="paragraph" w:styleId="920">
    <w:name w:val="Heading 9"/>
    <w:basedOn w:val="1082"/>
    <w:next w:val="1082"/>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link w:val="920"/>
    <w:uiPriority w:val="9"/>
    <w:rPr>
      <w:rFonts w:ascii="Arial" w:hAnsi="Arial" w:eastAsia="Arial" w:cs="Arial"/>
      <w:i/>
      <w:iCs/>
      <w:sz w:val="21"/>
      <w:szCs w:val="21"/>
    </w:rPr>
  </w:style>
  <w:style w:type="paragraph" w:styleId="922">
    <w:name w:val="List Paragraph"/>
    <w:basedOn w:val="1082"/>
    <w:uiPriority w:val="34"/>
    <w:qFormat/>
    <w:pPr>
      <w:contextualSpacing/>
      <w:ind w:left="720"/>
    </w:pPr>
  </w:style>
  <w:style w:type="paragraph" w:styleId="923">
    <w:name w:val="No Spacing"/>
    <w:uiPriority w:val="1"/>
    <w:qFormat/>
    <w:pPr>
      <w:spacing w:before="0" w:after="0" w:line="240" w:lineRule="auto"/>
    </w:pPr>
  </w:style>
  <w:style w:type="paragraph" w:styleId="924">
    <w:name w:val="Title"/>
    <w:basedOn w:val="1082"/>
    <w:next w:val="1082"/>
    <w:link w:val="925"/>
    <w:uiPriority w:val="10"/>
    <w:qFormat/>
    <w:pPr>
      <w:contextualSpacing/>
      <w:spacing w:before="300" w:after="200"/>
    </w:pPr>
    <w:rPr>
      <w:sz w:val="48"/>
      <w:szCs w:val="48"/>
    </w:rPr>
  </w:style>
  <w:style w:type="character" w:styleId="925">
    <w:name w:val="Title Char"/>
    <w:link w:val="924"/>
    <w:uiPriority w:val="10"/>
    <w:rPr>
      <w:sz w:val="48"/>
      <w:szCs w:val="48"/>
    </w:rPr>
  </w:style>
  <w:style w:type="paragraph" w:styleId="926">
    <w:name w:val="Subtitle"/>
    <w:basedOn w:val="1082"/>
    <w:next w:val="1082"/>
    <w:link w:val="927"/>
    <w:uiPriority w:val="11"/>
    <w:qFormat/>
    <w:pPr>
      <w:spacing w:before="200" w:after="200"/>
    </w:pPr>
    <w:rPr>
      <w:sz w:val="24"/>
      <w:szCs w:val="24"/>
    </w:rPr>
  </w:style>
  <w:style w:type="character" w:styleId="927">
    <w:name w:val="Subtitle Char"/>
    <w:link w:val="926"/>
    <w:uiPriority w:val="11"/>
    <w:rPr>
      <w:sz w:val="24"/>
      <w:szCs w:val="24"/>
    </w:rPr>
  </w:style>
  <w:style w:type="paragraph" w:styleId="928">
    <w:name w:val="Quote"/>
    <w:basedOn w:val="1082"/>
    <w:next w:val="1082"/>
    <w:link w:val="929"/>
    <w:uiPriority w:val="29"/>
    <w:qFormat/>
    <w:pPr>
      <w:ind w:left="720" w:right="720"/>
    </w:pPr>
    <w:rPr>
      <w:i/>
    </w:rPr>
  </w:style>
  <w:style w:type="character" w:styleId="929">
    <w:name w:val="Quote Char"/>
    <w:link w:val="928"/>
    <w:uiPriority w:val="29"/>
    <w:rPr>
      <w:i/>
    </w:rPr>
  </w:style>
  <w:style w:type="paragraph" w:styleId="930">
    <w:name w:val="Intense Quote"/>
    <w:basedOn w:val="1082"/>
    <w:next w:val="1082"/>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paragraph" w:styleId="932">
    <w:name w:val="Header"/>
    <w:basedOn w:val="1082"/>
    <w:link w:val="933"/>
    <w:uiPriority w:val="99"/>
    <w:unhideWhenUsed/>
    <w:pPr>
      <w:spacing w:after="0" w:line="240" w:lineRule="auto"/>
      <w:tabs>
        <w:tab w:val="center" w:pos="7143" w:leader="none"/>
        <w:tab w:val="right" w:pos="14287" w:leader="none"/>
      </w:tabs>
    </w:pPr>
  </w:style>
  <w:style w:type="character" w:styleId="933">
    <w:name w:val="Header Char"/>
    <w:link w:val="932"/>
    <w:uiPriority w:val="99"/>
  </w:style>
  <w:style w:type="paragraph" w:styleId="934">
    <w:name w:val="Footer"/>
    <w:basedOn w:val="1082"/>
    <w:link w:val="937"/>
    <w:uiPriority w:val="99"/>
    <w:unhideWhenUsed/>
    <w:pPr>
      <w:spacing w:after="0" w:line="240" w:lineRule="auto"/>
      <w:tabs>
        <w:tab w:val="center" w:pos="7143" w:leader="none"/>
        <w:tab w:val="right" w:pos="14287" w:leader="none"/>
      </w:tabs>
    </w:pPr>
  </w:style>
  <w:style w:type="character" w:styleId="935">
    <w:name w:val="Footer Char"/>
    <w:link w:val="934"/>
    <w:uiPriority w:val="99"/>
  </w:style>
  <w:style w:type="paragraph" w:styleId="936">
    <w:name w:val="Caption"/>
    <w:basedOn w:val="1082"/>
    <w:next w:val="1082"/>
    <w:uiPriority w:val="35"/>
    <w:semiHidden/>
    <w:unhideWhenUsed/>
    <w:qFormat/>
    <w:pPr>
      <w:spacing w:line="276" w:lineRule="auto"/>
    </w:pPr>
    <w:rPr>
      <w:b/>
      <w:bCs/>
      <w:color w:val="4f81bd" w:themeColor="accent1"/>
      <w:sz w:val="18"/>
      <w:szCs w:val="18"/>
    </w:rPr>
  </w:style>
  <w:style w:type="character" w:styleId="937">
    <w:name w:val="Caption Char"/>
    <w:basedOn w:val="936"/>
    <w:link w:val="934"/>
    <w:uiPriority w:val="99"/>
  </w:style>
  <w:style w:type="table" w:styleId="9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4">
    <w:name w:val="Hyperlink"/>
    <w:uiPriority w:val="99"/>
    <w:unhideWhenUsed/>
    <w:rPr>
      <w:color w:val="0000ff" w:themeColor="hyperlink"/>
      <w:u w:val="single"/>
    </w:rPr>
  </w:style>
  <w:style w:type="paragraph" w:styleId="1065">
    <w:name w:val="footnote text"/>
    <w:basedOn w:val="1082"/>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uiPriority w:val="99"/>
    <w:unhideWhenUsed/>
    <w:rPr>
      <w:vertAlign w:val="superscript"/>
    </w:rPr>
  </w:style>
  <w:style w:type="paragraph" w:styleId="1068">
    <w:name w:val="endnote text"/>
    <w:basedOn w:val="1082"/>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uiPriority w:val="99"/>
    <w:semiHidden/>
    <w:unhideWhenUsed/>
    <w:rPr>
      <w:vertAlign w:val="superscript"/>
    </w:rPr>
  </w:style>
  <w:style w:type="paragraph" w:styleId="1071">
    <w:name w:val="toc 1"/>
    <w:basedOn w:val="1082"/>
    <w:next w:val="1082"/>
    <w:uiPriority w:val="39"/>
    <w:unhideWhenUsed/>
    <w:pPr>
      <w:ind w:left="0" w:right="0" w:firstLine="0"/>
      <w:spacing w:after="57"/>
    </w:pPr>
  </w:style>
  <w:style w:type="paragraph" w:styleId="1072">
    <w:name w:val="toc 2"/>
    <w:basedOn w:val="1082"/>
    <w:next w:val="1082"/>
    <w:uiPriority w:val="39"/>
    <w:unhideWhenUsed/>
    <w:pPr>
      <w:ind w:left="283" w:right="0" w:firstLine="0"/>
      <w:spacing w:after="57"/>
    </w:pPr>
  </w:style>
  <w:style w:type="paragraph" w:styleId="1073">
    <w:name w:val="toc 3"/>
    <w:basedOn w:val="1082"/>
    <w:next w:val="1082"/>
    <w:uiPriority w:val="39"/>
    <w:unhideWhenUsed/>
    <w:pPr>
      <w:ind w:left="567" w:right="0" w:firstLine="0"/>
      <w:spacing w:after="57"/>
    </w:pPr>
  </w:style>
  <w:style w:type="paragraph" w:styleId="1074">
    <w:name w:val="toc 4"/>
    <w:basedOn w:val="1082"/>
    <w:next w:val="1082"/>
    <w:uiPriority w:val="39"/>
    <w:unhideWhenUsed/>
    <w:pPr>
      <w:ind w:left="850" w:right="0" w:firstLine="0"/>
      <w:spacing w:after="57"/>
    </w:pPr>
  </w:style>
  <w:style w:type="paragraph" w:styleId="1075">
    <w:name w:val="toc 5"/>
    <w:basedOn w:val="1082"/>
    <w:next w:val="1082"/>
    <w:uiPriority w:val="39"/>
    <w:unhideWhenUsed/>
    <w:pPr>
      <w:ind w:left="1134" w:right="0" w:firstLine="0"/>
      <w:spacing w:after="57"/>
    </w:pPr>
  </w:style>
  <w:style w:type="paragraph" w:styleId="1076">
    <w:name w:val="toc 6"/>
    <w:basedOn w:val="1082"/>
    <w:next w:val="1082"/>
    <w:uiPriority w:val="39"/>
    <w:unhideWhenUsed/>
    <w:pPr>
      <w:ind w:left="1417" w:right="0" w:firstLine="0"/>
      <w:spacing w:after="57"/>
    </w:pPr>
  </w:style>
  <w:style w:type="paragraph" w:styleId="1077">
    <w:name w:val="toc 7"/>
    <w:basedOn w:val="1082"/>
    <w:next w:val="1082"/>
    <w:uiPriority w:val="39"/>
    <w:unhideWhenUsed/>
    <w:pPr>
      <w:ind w:left="1701" w:right="0" w:firstLine="0"/>
      <w:spacing w:after="57"/>
    </w:pPr>
  </w:style>
  <w:style w:type="paragraph" w:styleId="1078">
    <w:name w:val="toc 8"/>
    <w:basedOn w:val="1082"/>
    <w:next w:val="1082"/>
    <w:uiPriority w:val="39"/>
    <w:unhideWhenUsed/>
    <w:pPr>
      <w:ind w:left="1984" w:right="0" w:firstLine="0"/>
      <w:spacing w:after="57"/>
    </w:pPr>
  </w:style>
  <w:style w:type="paragraph" w:styleId="1079">
    <w:name w:val="toc 9"/>
    <w:basedOn w:val="1082"/>
    <w:next w:val="1082"/>
    <w:uiPriority w:val="39"/>
    <w:unhideWhenUsed/>
    <w:pPr>
      <w:ind w:left="2268" w:right="0" w:firstLine="0"/>
      <w:spacing w:after="57"/>
    </w:pPr>
  </w:style>
  <w:style w:type="paragraph" w:styleId="1080">
    <w:name w:val="TOC Heading"/>
    <w:uiPriority w:val="39"/>
    <w:unhideWhenUsed/>
  </w:style>
  <w:style w:type="paragraph" w:styleId="1081">
    <w:name w:val="table of figures"/>
    <w:basedOn w:val="1082"/>
    <w:next w:val="1082"/>
    <w:uiPriority w:val="99"/>
    <w:unhideWhenUsed/>
    <w:pPr>
      <w:spacing w:after="0" w:afterAutospacing="0"/>
    </w:pPr>
  </w:style>
  <w:style w:type="paragraph" w:styleId="1082" w:default="1">
    <w:name w:val="Normal"/>
    <w:next w:val="1094"/>
    <w:link w:val="1082"/>
    <w:qFormat/>
    <w:pPr>
      <w:jc w:val="both"/>
      <w:widowControl w:val="off"/>
    </w:pPr>
    <w:rPr>
      <w:sz w:val="21"/>
      <w:szCs w:val="24"/>
      <w:lang w:val="en-US" w:eastAsia="zh-CN" w:bidi="ar-SA"/>
    </w:rPr>
  </w:style>
  <w:style w:type="paragraph" w:styleId="1083">
    <w:name w:val="标题 1"/>
    <w:basedOn w:val="1082"/>
    <w:next w:val="1082"/>
    <w:link w:val="1098"/>
    <w:qFormat/>
    <w:pPr>
      <w:numPr>
        <w:ilvl w:val="0"/>
        <w:numId w:val="1"/>
      </w:numPr>
      <w:jc w:val="center"/>
      <w:keepLines/>
      <w:keepNext/>
      <w:spacing w:before="340" w:after="330" w:line="578" w:lineRule="auto"/>
      <w:outlineLvl w:val="0"/>
    </w:pPr>
    <w:rPr>
      <w:b/>
      <w:bCs/>
      <w:sz w:val="32"/>
      <w:szCs w:val="44"/>
    </w:rPr>
  </w:style>
  <w:style w:type="paragraph" w:styleId="1084">
    <w:name w:val="标题 2"/>
    <w:basedOn w:val="1082"/>
    <w:next w:val="1082"/>
    <w:link w:val="1099"/>
    <w:qFormat/>
    <w:pPr>
      <w:numPr>
        <w:ilvl w:val="1"/>
        <w:numId w:val="1"/>
      </w:numPr>
      <w:keepLines/>
      <w:keepNext/>
      <w:spacing w:before="260" w:after="260" w:line="416" w:lineRule="auto"/>
      <w:outlineLvl w:val="1"/>
    </w:pPr>
    <w:rPr>
      <w:rFonts w:ascii="Cambria" w:hAnsi="Cambria"/>
      <w:b/>
      <w:bCs/>
      <w:sz w:val="32"/>
      <w:szCs w:val="32"/>
    </w:rPr>
  </w:style>
  <w:style w:type="paragraph" w:styleId="1085">
    <w:name w:val="标题 3"/>
    <w:basedOn w:val="1082"/>
    <w:next w:val="1082"/>
    <w:link w:val="1100"/>
    <w:qFormat/>
    <w:pPr>
      <w:numPr>
        <w:ilvl w:val="2"/>
        <w:numId w:val="1"/>
      </w:numPr>
      <w:keepLines/>
      <w:keepNext/>
      <w:spacing w:before="260" w:after="260" w:line="416" w:lineRule="auto"/>
      <w:outlineLvl w:val="2"/>
    </w:pPr>
    <w:rPr>
      <w:b/>
      <w:bCs/>
      <w:sz w:val="32"/>
      <w:szCs w:val="32"/>
    </w:rPr>
  </w:style>
  <w:style w:type="paragraph" w:styleId="1086">
    <w:name w:val="标题 4"/>
    <w:basedOn w:val="1082"/>
    <w:next w:val="1082"/>
    <w:link w:val="1101"/>
    <w:qFormat/>
    <w:pPr>
      <w:numPr>
        <w:ilvl w:val="3"/>
        <w:numId w:val="1"/>
      </w:numPr>
      <w:keepLines/>
      <w:keepNext/>
      <w:spacing w:before="280" w:after="290" w:line="376" w:lineRule="auto"/>
      <w:outlineLvl w:val="3"/>
    </w:pPr>
    <w:rPr>
      <w:rFonts w:ascii="Cambria" w:hAnsi="Cambria"/>
      <w:b/>
      <w:bCs/>
      <w:sz w:val="28"/>
      <w:szCs w:val="28"/>
    </w:rPr>
  </w:style>
  <w:style w:type="paragraph" w:styleId="1087">
    <w:name w:val="标题 5"/>
    <w:basedOn w:val="1082"/>
    <w:next w:val="1082"/>
    <w:link w:val="1102"/>
    <w:qFormat/>
    <w:pPr>
      <w:numPr>
        <w:ilvl w:val="4"/>
        <w:numId w:val="1"/>
      </w:numPr>
      <w:keepLines/>
      <w:keepNext/>
      <w:spacing w:before="280" w:after="290" w:line="376" w:lineRule="auto"/>
      <w:outlineLvl w:val="4"/>
    </w:pPr>
    <w:rPr>
      <w:b/>
      <w:bCs/>
      <w:sz w:val="28"/>
      <w:szCs w:val="28"/>
    </w:rPr>
  </w:style>
  <w:style w:type="paragraph" w:styleId="1088">
    <w:name w:val="标题 6"/>
    <w:basedOn w:val="1082"/>
    <w:next w:val="1082"/>
    <w:link w:val="1103"/>
    <w:qFormat/>
    <w:pPr>
      <w:numPr>
        <w:ilvl w:val="5"/>
        <w:numId w:val="1"/>
      </w:numPr>
      <w:keepLines/>
      <w:keepNext/>
      <w:spacing w:before="240" w:after="64" w:line="320" w:lineRule="auto"/>
      <w:outlineLvl w:val="5"/>
    </w:pPr>
    <w:rPr>
      <w:rFonts w:ascii="Cambria" w:hAnsi="Cambria"/>
      <w:b/>
      <w:bCs/>
      <w:sz w:val="24"/>
    </w:rPr>
  </w:style>
  <w:style w:type="paragraph" w:styleId="1089">
    <w:name w:val="标题 7"/>
    <w:basedOn w:val="1082"/>
    <w:next w:val="1082"/>
    <w:link w:val="1104"/>
    <w:qFormat/>
    <w:pPr>
      <w:numPr>
        <w:ilvl w:val="6"/>
        <w:numId w:val="1"/>
      </w:numPr>
      <w:keepLines/>
      <w:keepNext/>
      <w:spacing w:before="240" w:after="64" w:line="320" w:lineRule="auto"/>
      <w:outlineLvl w:val="6"/>
    </w:pPr>
    <w:rPr>
      <w:b/>
      <w:bCs/>
      <w:sz w:val="24"/>
    </w:rPr>
  </w:style>
  <w:style w:type="paragraph" w:styleId="1090">
    <w:name w:val="标题 8"/>
    <w:basedOn w:val="1082"/>
    <w:next w:val="1082"/>
    <w:link w:val="1105"/>
    <w:qFormat/>
    <w:pPr>
      <w:numPr>
        <w:ilvl w:val="7"/>
        <w:numId w:val="1"/>
      </w:numPr>
      <w:keepLines/>
      <w:keepNext/>
      <w:spacing w:before="240" w:after="64" w:line="320" w:lineRule="auto"/>
      <w:outlineLvl w:val="7"/>
    </w:pPr>
    <w:rPr>
      <w:rFonts w:ascii="Cambria" w:hAnsi="Cambria"/>
      <w:sz w:val="24"/>
    </w:rPr>
  </w:style>
  <w:style w:type="paragraph" w:styleId="1091">
    <w:name w:val="标题 9"/>
    <w:basedOn w:val="1082"/>
    <w:next w:val="1082"/>
    <w:link w:val="1106"/>
    <w:qFormat/>
    <w:pPr>
      <w:numPr>
        <w:ilvl w:val="8"/>
        <w:numId w:val="1"/>
      </w:numPr>
      <w:keepLines/>
      <w:keepNext/>
      <w:spacing w:before="240" w:after="64" w:line="320" w:lineRule="auto"/>
      <w:outlineLvl w:val="8"/>
    </w:pPr>
    <w:rPr>
      <w:rFonts w:ascii="Cambria" w:hAnsi="Cambria"/>
      <w:szCs w:val="21"/>
    </w:rPr>
  </w:style>
  <w:style w:type="character" w:styleId="1092">
    <w:name w:val="默认段落字体"/>
    <w:next w:val="1092"/>
    <w:link w:val="1082"/>
    <w:uiPriority w:val="1"/>
    <w:unhideWhenUsed/>
    <w:qFormat/>
  </w:style>
  <w:style w:type="table" w:styleId="1093">
    <w:name w:val="普通表格"/>
    <w:next w:val="1093"/>
    <w:link w:val="1082"/>
    <w:uiPriority w:val="99"/>
    <w:unhideWhenUsed/>
    <w:qFormat/>
    <w:tblPr/>
  </w:style>
  <w:style w:type="paragraph" w:styleId="1094">
    <w:name w:val="段"/>
    <w:basedOn w:val="1095"/>
    <w:next w:val="1082"/>
    <w:link w:val="1082"/>
    <w:qFormat/>
    <w:pPr>
      <w:ind w:firstLine="200"/>
      <w:jc w:val="both"/>
    </w:pPr>
    <w:rPr>
      <w:rFonts w:ascii="宋体" w:hAnsi="Times New Roman" w:eastAsia="宋体" w:cs="Times New Roman"/>
      <w:sz w:val="21"/>
      <w:lang w:val="en-US" w:eastAsia="zh-CN" w:bidi="ar-SA"/>
    </w:rPr>
  </w:style>
  <w:style w:type="paragraph" w:styleId="1095">
    <w:name w:val="正文1"/>
    <w:next w:val="1096"/>
    <w:link w:val="1082"/>
    <w:qFormat/>
    <w:pPr>
      <w:jc w:val="both"/>
      <w:widowControl w:val="off"/>
    </w:pPr>
    <w:rPr>
      <w:rFonts w:ascii="Calibri" w:hAnsi="Calibri"/>
      <w:lang w:val="en-US" w:eastAsia="zh-CN" w:bidi="ar-SA"/>
    </w:rPr>
  </w:style>
  <w:style w:type="paragraph" w:styleId="1096">
    <w:name w:val="脚注文本1"/>
    <w:basedOn w:val="1095"/>
    <w:next w:val="1097"/>
    <w:link w:val="1082"/>
    <w:qFormat/>
    <w:rPr>
      <w:rFonts w:eastAsia="Times New Roman"/>
      <w:sz w:val="18"/>
      <w:szCs w:val="18"/>
    </w:rPr>
  </w:style>
  <w:style w:type="paragraph" w:styleId="1097">
    <w:name w:val="索引 51"/>
    <w:basedOn w:val="1095"/>
    <w:next w:val="1095"/>
    <w:link w:val="1082"/>
    <w:qFormat/>
    <w:pPr>
      <w:ind w:left="798"/>
    </w:pPr>
    <w:rPr>
      <w:rFonts w:ascii="Calibri" w:hAnsi="Calibri"/>
    </w:rPr>
  </w:style>
  <w:style w:type="character" w:styleId="1098">
    <w:name w:val="标题 1 Char1"/>
    <w:next w:val="1098"/>
    <w:link w:val="1083"/>
    <w:qFormat/>
    <w:rPr>
      <w:rFonts w:ascii="Times New Roman" w:hAnsi="Times New Roman" w:eastAsia="宋体" w:cs="Times New Roman"/>
      <w:b/>
      <w:bCs/>
      <w:sz w:val="32"/>
      <w:szCs w:val="44"/>
    </w:rPr>
  </w:style>
  <w:style w:type="character" w:styleId="1099">
    <w:name w:val="标题 2 Char"/>
    <w:next w:val="1099"/>
    <w:link w:val="1084"/>
    <w:qFormat/>
    <w:rPr>
      <w:rFonts w:ascii="Cambria" w:hAnsi="Cambria"/>
      <w:b/>
      <w:bCs/>
      <w:sz w:val="32"/>
      <w:szCs w:val="32"/>
    </w:rPr>
  </w:style>
  <w:style w:type="character" w:styleId="1100">
    <w:name w:val="标题 3 Char"/>
    <w:next w:val="1100"/>
    <w:link w:val="1085"/>
    <w:qFormat/>
    <w:rPr>
      <w:b/>
      <w:bCs/>
      <w:sz w:val="32"/>
      <w:szCs w:val="32"/>
    </w:rPr>
  </w:style>
  <w:style w:type="character" w:styleId="1101">
    <w:name w:val="标题 4 Char"/>
    <w:next w:val="1101"/>
    <w:link w:val="1086"/>
    <w:qFormat/>
    <w:rPr>
      <w:rFonts w:ascii="Cambria" w:hAnsi="Cambria" w:eastAsia="宋体" w:cs="Times New Roman"/>
      <w:b/>
      <w:bCs/>
      <w:sz w:val="28"/>
      <w:szCs w:val="28"/>
    </w:rPr>
  </w:style>
  <w:style w:type="character" w:styleId="1102">
    <w:name w:val="标题 5 Char"/>
    <w:next w:val="1102"/>
    <w:link w:val="1087"/>
    <w:qFormat/>
    <w:rPr>
      <w:b/>
      <w:bCs/>
      <w:sz w:val="28"/>
      <w:szCs w:val="28"/>
    </w:rPr>
  </w:style>
  <w:style w:type="character" w:styleId="1103">
    <w:name w:val="标题 6 Char"/>
    <w:next w:val="1103"/>
    <w:link w:val="1088"/>
    <w:qFormat/>
    <w:rPr>
      <w:rFonts w:ascii="Cambria" w:hAnsi="Cambria" w:eastAsia="宋体" w:cs="Times New Roman"/>
      <w:b/>
      <w:bCs/>
      <w:sz w:val="24"/>
      <w:szCs w:val="24"/>
    </w:rPr>
  </w:style>
  <w:style w:type="character" w:styleId="1104">
    <w:name w:val="标题 7 Char"/>
    <w:next w:val="1104"/>
    <w:link w:val="1089"/>
    <w:qFormat/>
    <w:rPr>
      <w:b/>
      <w:bCs/>
      <w:sz w:val="24"/>
      <w:szCs w:val="24"/>
    </w:rPr>
  </w:style>
  <w:style w:type="character" w:styleId="1105">
    <w:name w:val="标题 8 Char"/>
    <w:next w:val="1105"/>
    <w:link w:val="1090"/>
    <w:qFormat/>
    <w:rPr>
      <w:rFonts w:ascii="Cambria" w:hAnsi="Cambria" w:eastAsia="宋体" w:cs="Times New Roman"/>
      <w:sz w:val="24"/>
      <w:szCs w:val="24"/>
    </w:rPr>
  </w:style>
  <w:style w:type="character" w:styleId="1106">
    <w:name w:val="标题 9 Char"/>
    <w:next w:val="1106"/>
    <w:link w:val="1091"/>
    <w:qFormat/>
    <w:rPr>
      <w:rFonts w:ascii="Cambria" w:hAnsi="Cambria" w:eastAsia="宋体" w:cs="Times New Roman"/>
      <w:sz w:val="21"/>
      <w:szCs w:val="21"/>
    </w:rPr>
  </w:style>
  <w:style w:type="paragraph" w:styleId="1107">
    <w:name w:val="列表 3"/>
    <w:basedOn w:val="1082"/>
    <w:next w:val="1107"/>
    <w:link w:val="1082"/>
    <w:uiPriority w:val="99"/>
    <w:unhideWhenUsed/>
    <w:qFormat/>
    <w:pPr>
      <w:ind w:left="1260" w:hanging="420"/>
      <w:spacing w:before="100" w:beforeAutospacing="1" w:after="100" w:afterAutospacing="1"/>
    </w:pPr>
    <w:rPr>
      <w:szCs w:val="21"/>
    </w:rPr>
  </w:style>
  <w:style w:type="paragraph" w:styleId="1108">
    <w:name w:val="目录 7"/>
    <w:basedOn w:val="1082"/>
    <w:next w:val="1082"/>
    <w:link w:val="1082"/>
    <w:uiPriority w:val="39"/>
    <w:unhideWhenUsed/>
    <w:qFormat/>
    <w:pPr>
      <w:ind w:left="2520"/>
    </w:pPr>
    <w:rPr>
      <w:rFonts w:ascii="Calibri" w:hAnsi="Calibri"/>
      <w:szCs w:val="22"/>
    </w:rPr>
  </w:style>
  <w:style w:type="paragraph" w:styleId="1109">
    <w:name w:val="正文缩进"/>
    <w:basedOn w:val="1082"/>
    <w:next w:val="1109"/>
    <w:link w:val="1082"/>
    <w:qFormat/>
    <w:pPr>
      <w:ind w:firstLine="420"/>
    </w:pPr>
    <w:rPr>
      <w:b/>
      <w:sz w:val="24"/>
      <w:szCs w:val="20"/>
    </w:rPr>
  </w:style>
  <w:style w:type="paragraph" w:styleId="1110">
    <w:name w:val="题注"/>
    <w:basedOn w:val="1082"/>
    <w:next w:val="1082"/>
    <w:link w:val="1082"/>
    <w:qFormat/>
    <w:rPr>
      <w:rFonts w:ascii="Cambria" w:hAnsi="Cambria" w:eastAsia="黑体"/>
      <w:sz w:val="20"/>
      <w:szCs w:val="22"/>
    </w:rPr>
  </w:style>
  <w:style w:type="paragraph" w:styleId="1111">
    <w:name w:val="文档结构图"/>
    <w:basedOn w:val="1082"/>
    <w:next w:val="1111"/>
    <w:link w:val="1112"/>
    <w:qFormat/>
    <w:rPr>
      <w:rFonts w:ascii="宋体"/>
      <w:sz w:val="18"/>
      <w:szCs w:val="18"/>
    </w:rPr>
  </w:style>
  <w:style w:type="character" w:styleId="1112">
    <w:name w:val="文档结构图 Char"/>
    <w:next w:val="1112"/>
    <w:link w:val="1111"/>
    <w:qFormat/>
    <w:rPr>
      <w:rFonts w:ascii="宋体"/>
      <w:sz w:val="18"/>
      <w:szCs w:val="18"/>
    </w:rPr>
  </w:style>
  <w:style w:type="paragraph" w:styleId="1113">
    <w:name w:val="批注文字"/>
    <w:basedOn w:val="1082"/>
    <w:next w:val="1113"/>
    <w:link w:val="1114"/>
    <w:uiPriority w:val="99"/>
    <w:qFormat/>
    <w:pPr>
      <w:jc w:val="left"/>
    </w:pPr>
  </w:style>
  <w:style w:type="character" w:styleId="1114">
    <w:name w:val="批注文字 Char3"/>
    <w:next w:val="1114"/>
    <w:link w:val="1113"/>
    <w:uiPriority w:val="99"/>
    <w:qFormat/>
    <w:rPr>
      <w:sz w:val="21"/>
      <w:szCs w:val="24"/>
    </w:rPr>
  </w:style>
  <w:style w:type="paragraph" w:styleId="1115">
    <w:name w:val="正文文本 3"/>
    <w:basedOn w:val="1082"/>
    <w:next w:val="1115"/>
    <w:link w:val="1116"/>
    <w:qFormat/>
    <w:rPr>
      <w:rFonts w:ascii="宋体"/>
      <w:sz w:val="24"/>
      <w:szCs w:val="20"/>
    </w:rPr>
  </w:style>
  <w:style w:type="character" w:styleId="1116">
    <w:name w:val="正文文本 3 Char"/>
    <w:next w:val="1116"/>
    <w:link w:val="1115"/>
    <w:qFormat/>
    <w:rPr>
      <w:rFonts w:ascii="宋体"/>
      <w:sz w:val="24"/>
    </w:rPr>
  </w:style>
  <w:style w:type="paragraph" w:styleId="1117">
    <w:name w:val="正文文本"/>
    <w:basedOn w:val="1082"/>
    <w:next w:val="1117"/>
    <w:link w:val="1118"/>
    <w:qFormat/>
    <w:pPr>
      <w:jc w:val="center"/>
    </w:pPr>
    <w:rPr>
      <w:rFonts w:eastAsia="幼圆"/>
      <w:b/>
      <w:bCs/>
      <w:sz w:val="44"/>
    </w:rPr>
  </w:style>
  <w:style w:type="character" w:styleId="1118">
    <w:name w:val="正文文本 Char"/>
    <w:next w:val="1118"/>
    <w:link w:val="1117"/>
    <w:qFormat/>
    <w:rPr>
      <w:rFonts w:eastAsia="幼圆"/>
      <w:b/>
      <w:bCs/>
      <w:sz w:val="44"/>
      <w:szCs w:val="24"/>
    </w:rPr>
  </w:style>
  <w:style w:type="paragraph" w:styleId="1119">
    <w:name w:val="正文文本缩进"/>
    <w:basedOn w:val="1082"/>
    <w:next w:val="1121"/>
    <w:link w:val="1120"/>
    <w:qFormat/>
    <w:pPr>
      <w:ind w:left="420"/>
      <w:spacing w:after="120"/>
    </w:pPr>
  </w:style>
  <w:style w:type="character" w:styleId="1120">
    <w:name w:val="正文文本缩进 Char"/>
    <w:next w:val="1120"/>
    <w:link w:val="1119"/>
    <w:qFormat/>
    <w:rPr>
      <w:sz w:val="21"/>
      <w:szCs w:val="24"/>
    </w:rPr>
  </w:style>
  <w:style w:type="paragraph" w:styleId="1121">
    <w:name w:val="寄信人地址"/>
    <w:basedOn w:val="1082"/>
    <w:next w:val="1121"/>
    <w:link w:val="1082"/>
    <w:qFormat/>
    <w:rPr>
      <w:rFonts w:ascii="Arial" w:hAnsi="Arial"/>
    </w:rPr>
  </w:style>
  <w:style w:type="paragraph" w:styleId="1122">
    <w:name w:val="文本块"/>
    <w:basedOn w:val="1082"/>
    <w:next w:val="1082"/>
    <w:link w:val="1082"/>
    <w:uiPriority w:val="99"/>
    <w:unhideWhenUsed/>
    <w:qFormat/>
    <w:pPr>
      <w:ind w:left="1440" w:right="1440"/>
      <w:spacing w:after="120"/>
    </w:pPr>
  </w:style>
  <w:style w:type="paragraph" w:styleId="1123">
    <w:name w:val="索引 4"/>
    <w:basedOn w:val="1082"/>
    <w:next w:val="1082"/>
    <w:link w:val="1082"/>
    <w:qFormat/>
    <w:pPr>
      <w:ind w:left="600"/>
    </w:pPr>
    <w:rPr>
      <w:rFonts w:ascii="Calibri" w:hAnsi="Calibri"/>
    </w:rPr>
  </w:style>
  <w:style w:type="paragraph" w:styleId="1124">
    <w:name w:val="目录 5"/>
    <w:basedOn w:val="1082"/>
    <w:next w:val="1082"/>
    <w:link w:val="1082"/>
    <w:uiPriority w:val="39"/>
    <w:unhideWhenUsed/>
    <w:qFormat/>
    <w:pPr>
      <w:ind w:left="1680"/>
    </w:pPr>
    <w:rPr>
      <w:rFonts w:ascii="Calibri" w:hAnsi="Calibri"/>
      <w:szCs w:val="22"/>
    </w:rPr>
  </w:style>
  <w:style w:type="paragraph" w:styleId="1125">
    <w:name w:val="目录 3"/>
    <w:basedOn w:val="1082"/>
    <w:next w:val="1082"/>
    <w:link w:val="1082"/>
    <w:uiPriority w:val="39"/>
    <w:qFormat/>
    <w:pPr>
      <w:ind w:left="840"/>
    </w:pPr>
    <w:rPr>
      <w:rFonts w:ascii="Calibri" w:hAnsi="Calibri"/>
      <w:szCs w:val="22"/>
    </w:rPr>
  </w:style>
  <w:style w:type="paragraph" w:styleId="1126">
    <w:name w:val="纯文本"/>
    <w:basedOn w:val="1082"/>
    <w:next w:val="1126"/>
    <w:link w:val="1127"/>
    <w:qFormat/>
    <w:rPr>
      <w:rFonts w:ascii="Ari"/>
      <w:sz w:val="20"/>
      <w:szCs w:val="20"/>
    </w:rPr>
  </w:style>
  <w:style w:type="character" w:styleId="1127">
    <w:name w:val="纯文本 Char"/>
    <w:next w:val="1127"/>
    <w:link w:val="1126"/>
    <w:qFormat/>
    <w:rPr>
      <w:rFonts w:ascii="Ari"/>
      <w:lang w:val="en-US" w:eastAsia="zh-CN" w:bidi="ar-SA"/>
    </w:rPr>
  </w:style>
  <w:style w:type="paragraph" w:styleId="1128">
    <w:name w:val="目录 8"/>
    <w:basedOn w:val="1082"/>
    <w:next w:val="1082"/>
    <w:link w:val="1082"/>
    <w:uiPriority w:val="39"/>
    <w:unhideWhenUsed/>
    <w:qFormat/>
    <w:pPr>
      <w:ind w:left="2940"/>
    </w:pPr>
    <w:rPr>
      <w:rFonts w:ascii="Calibri" w:hAnsi="Calibri"/>
      <w:szCs w:val="22"/>
    </w:rPr>
  </w:style>
  <w:style w:type="paragraph" w:styleId="1129">
    <w:name w:val="日期"/>
    <w:basedOn w:val="1082"/>
    <w:next w:val="1082"/>
    <w:link w:val="1130"/>
    <w:unhideWhenUsed/>
    <w:qFormat/>
  </w:style>
  <w:style w:type="character" w:styleId="1130">
    <w:name w:val="日期 Char"/>
    <w:next w:val="1130"/>
    <w:link w:val="1129"/>
    <w:qFormat/>
    <w:rPr>
      <w:sz w:val="21"/>
      <w:szCs w:val="24"/>
    </w:rPr>
  </w:style>
  <w:style w:type="paragraph" w:styleId="1131">
    <w:name w:val="正文文本缩进 2"/>
    <w:basedOn w:val="1082"/>
    <w:next w:val="1131"/>
    <w:link w:val="1132"/>
    <w:uiPriority w:val="99"/>
    <w:unhideWhenUsed/>
    <w:qFormat/>
    <w:pPr>
      <w:ind w:firstLine="525"/>
      <w:spacing w:line="420" w:lineRule="exact"/>
    </w:pPr>
    <w:rPr>
      <w:rFonts w:ascii="宋体"/>
      <w:sz w:val="20"/>
      <w:szCs w:val="20"/>
    </w:rPr>
  </w:style>
  <w:style w:type="character" w:styleId="1132">
    <w:name w:val="正文文本缩进 2 Char"/>
    <w:next w:val="1132"/>
    <w:link w:val="1131"/>
    <w:uiPriority w:val="99"/>
    <w:qFormat/>
    <w:rPr>
      <w:rFonts w:ascii="宋体"/>
    </w:rPr>
  </w:style>
  <w:style w:type="paragraph" w:styleId="1133">
    <w:name w:val="批注框文本"/>
    <w:basedOn w:val="1082"/>
    <w:next w:val="1133"/>
    <w:link w:val="1134"/>
    <w:qFormat/>
    <w:rPr>
      <w:sz w:val="18"/>
      <w:szCs w:val="18"/>
    </w:rPr>
  </w:style>
  <w:style w:type="character" w:styleId="1134">
    <w:name w:val="批注框文本 Char"/>
    <w:next w:val="1134"/>
    <w:link w:val="1133"/>
    <w:qFormat/>
    <w:rPr>
      <w:sz w:val="18"/>
      <w:szCs w:val="18"/>
    </w:rPr>
  </w:style>
  <w:style w:type="paragraph" w:styleId="1135">
    <w:name w:val="页脚"/>
    <w:basedOn w:val="1082"/>
    <w:next w:val="1135"/>
    <w:link w:val="1136"/>
    <w:uiPriority w:val="99"/>
    <w:qFormat/>
    <w:pPr>
      <w:jc w:val="left"/>
      <w:tabs>
        <w:tab w:val="center" w:pos="4153" w:leader="none"/>
        <w:tab w:val="right" w:pos="8306" w:leader="none"/>
      </w:tabs>
    </w:pPr>
    <w:rPr>
      <w:sz w:val="18"/>
      <w:szCs w:val="18"/>
    </w:rPr>
  </w:style>
  <w:style w:type="character" w:styleId="1136">
    <w:name w:val="页脚 Char"/>
    <w:next w:val="1136"/>
    <w:link w:val="1135"/>
    <w:uiPriority w:val="99"/>
    <w:qFormat/>
    <w:rPr>
      <w:sz w:val="18"/>
      <w:szCs w:val="18"/>
    </w:rPr>
  </w:style>
  <w:style w:type="paragraph" w:styleId="1137">
    <w:name w:val="页眉"/>
    <w:basedOn w:val="1082"/>
    <w:next w:val="1137"/>
    <w:link w:val="1138"/>
    <w:qFormat/>
    <w:pPr>
      <w:jc w:val="center"/>
      <w:tabs>
        <w:tab w:val="center" w:pos="4153" w:leader="none"/>
        <w:tab w:val="right" w:pos="8306" w:leader="none"/>
      </w:tabs>
      <w:pBdr>
        <w:bottom w:val="single" w:color="000000" w:sz="6" w:space="1"/>
      </w:pBdr>
    </w:pPr>
    <w:rPr>
      <w:sz w:val="18"/>
      <w:szCs w:val="18"/>
    </w:rPr>
  </w:style>
  <w:style w:type="character" w:styleId="1138">
    <w:name w:val="页眉 Char"/>
    <w:next w:val="1138"/>
    <w:link w:val="1137"/>
    <w:qFormat/>
    <w:rPr>
      <w:sz w:val="18"/>
      <w:szCs w:val="18"/>
    </w:rPr>
  </w:style>
  <w:style w:type="paragraph" w:styleId="1139">
    <w:name w:val="目录 1"/>
    <w:basedOn w:val="1082"/>
    <w:next w:val="1082"/>
    <w:link w:val="1082"/>
    <w:uiPriority w:val="39"/>
    <w:qFormat/>
  </w:style>
  <w:style w:type="paragraph" w:styleId="1140">
    <w:name w:val="目录 4"/>
    <w:basedOn w:val="1082"/>
    <w:next w:val="1082"/>
    <w:link w:val="1082"/>
    <w:uiPriority w:val="39"/>
    <w:unhideWhenUsed/>
    <w:qFormat/>
    <w:pPr>
      <w:ind w:left="1260"/>
    </w:pPr>
    <w:rPr>
      <w:rFonts w:ascii="Calibri" w:hAnsi="Calibri"/>
      <w:szCs w:val="22"/>
    </w:rPr>
  </w:style>
  <w:style w:type="paragraph" w:styleId="1141">
    <w:name w:val="副标题"/>
    <w:basedOn w:val="1082"/>
    <w:next w:val="1082"/>
    <w:link w:val="1142"/>
    <w:qFormat/>
    <w:pPr>
      <w:jc w:val="center"/>
      <w:spacing w:before="240" w:after="60" w:line="312" w:lineRule="auto"/>
      <w:outlineLvl w:val="1"/>
    </w:pPr>
    <w:rPr>
      <w:rFonts w:ascii="Cambria" w:hAnsi="Cambria"/>
      <w:b/>
      <w:bCs/>
      <w:sz w:val="32"/>
      <w:szCs w:val="32"/>
    </w:rPr>
  </w:style>
  <w:style w:type="character" w:styleId="1142">
    <w:name w:val="副标题 Char"/>
    <w:next w:val="1142"/>
    <w:link w:val="1141"/>
    <w:qFormat/>
    <w:rPr>
      <w:rFonts w:ascii="Cambria" w:hAnsi="Cambria"/>
      <w:b/>
      <w:bCs/>
      <w:sz w:val="32"/>
      <w:szCs w:val="32"/>
    </w:rPr>
  </w:style>
  <w:style w:type="paragraph" w:styleId="1143">
    <w:name w:val="目录 6"/>
    <w:basedOn w:val="1082"/>
    <w:next w:val="1082"/>
    <w:link w:val="1082"/>
    <w:uiPriority w:val="39"/>
    <w:unhideWhenUsed/>
    <w:qFormat/>
    <w:pPr>
      <w:ind w:left="2100"/>
    </w:pPr>
    <w:rPr>
      <w:rFonts w:ascii="Calibri" w:hAnsi="Calibri"/>
      <w:szCs w:val="22"/>
    </w:rPr>
  </w:style>
  <w:style w:type="paragraph" w:styleId="1144">
    <w:name w:val="正文文本缩进 3"/>
    <w:basedOn w:val="1082"/>
    <w:next w:val="1144"/>
    <w:link w:val="1145"/>
    <w:qFormat/>
    <w:pPr>
      <w:ind w:left="420"/>
      <w:spacing w:after="120"/>
    </w:pPr>
    <w:rPr>
      <w:sz w:val="16"/>
      <w:szCs w:val="20"/>
    </w:rPr>
  </w:style>
  <w:style w:type="character" w:styleId="1145">
    <w:name w:val="正文文本缩进 3 Char"/>
    <w:next w:val="1145"/>
    <w:link w:val="1144"/>
    <w:qFormat/>
    <w:rPr>
      <w:sz w:val="16"/>
    </w:rPr>
  </w:style>
  <w:style w:type="paragraph" w:styleId="1146">
    <w:name w:val="目录 2"/>
    <w:basedOn w:val="1082"/>
    <w:next w:val="1082"/>
    <w:link w:val="1082"/>
    <w:uiPriority w:val="39"/>
    <w:qFormat/>
    <w:pPr>
      <w:ind w:left="420"/>
    </w:pPr>
    <w:rPr>
      <w:rFonts w:ascii="Calibri" w:hAnsi="Calibri"/>
      <w:szCs w:val="22"/>
    </w:rPr>
  </w:style>
  <w:style w:type="paragraph" w:styleId="1147">
    <w:name w:val="目录 9"/>
    <w:basedOn w:val="1082"/>
    <w:next w:val="1082"/>
    <w:link w:val="1082"/>
    <w:uiPriority w:val="39"/>
    <w:unhideWhenUsed/>
    <w:qFormat/>
    <w:pPr>
      <w:ind w:left="3360"/>
    </w:pPr>
    <w:rPr>
      <w:rFonts w:ascii="Calibri" w:hAnsi="Calibri"/>
      <w:szCs w:val="22"/>
    </w:rPr>
  </w:style>
  <w:style w:type="paragraph" w:styleId="1148">
    <w:name w:val="HTML 预设格式"/>
    <w:basedOn w:val="1082"/>
    <w:next w:val="1148"/>
    <w:link w:val="108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49">
    <w:name w:val="普通(网站)"/>
    <w:basedOn w:val="1082"/>
    <w:next w:val="1149"/>
    <w:link w:val="1082"/>
    <w:uiPriority w:val="99"/>
    <w:qFormat/>
    <w:pPr>
      <w:jc w:val="left"/>
      <w:spacing w:before="100" w:beforeAutospacing="1" w:after="100" w:afterAutospacing="1"/>
      <w:widowControl/>
    </w:pPr>
    <w:rPr>
      <w:rFonts w:ascii="宋体" w:hAnsi="宋体" w:cs="宋体"/>
      <w:sz w:val="24"/>
    </w:rPr>
  </w:style>
  <w:style w:type="paragraph" w:styleId="1150">
    <w:name w:val="索引 1"/>
    <w:basedOn w:val="1082"/>
    <w:next w:val="1082"/>
    <w:link w:val="1082"/>
    <w:qFormat/>
    <w:pPr>
      <w:jc w:val="center"/>
      <w:spacing w:line="220" w:lineRule="exact"/>
    </w:pPr>
    <w:rPr>
      <w:rFonts w:ascii="仿宋_GB2312" w:hAnsi="Calibri" w:eastAsia="仿宋_GB2312"/>
      <w:szCs w:val="22"/>
    </w:rPr>
  </w:style>
  <w:style w:type="paragraph" w:styleId="1151">
    <w:name w:val="标题"/>
    <w:basedOn w:val="1082"/>
    <w:next w:val="1151"/>
    <w:link w:val="1152"/>
    <w:qFormat/>
    <w:pPr>
      <w:jc w:val="center"/>
      <w:spacing w:before="240" w:after="60" w:line="420" w:lineRule="atLeast"/>
      <w:outlineLvl w:val="0"/>
    </w:pPr>
    <w:rPr>
      <w:rFonts w:ascii="Arial" w:hAnsi="Arial"/>
      <w:b/>
      <w:sz w:val="32"/>
      <w:szCs w:val="20"/>
    </w:rPr>
  </w:style>
  <w:style w:type="character" w:styleId="1152">
    <w:name w:val="标题 Char"/>
    <w:next w:val="1152"/>
    <w:link w:val="1151"/>
    <w:qFormat/>
    <w:rPr>
      <w:rFonts w:ascii="Arial" w:hAnsi="Arial"/>
      <w:b/>
      <w:sz w:val="32"/>
    </w:rPr>
  </w:style>
  <w:style w:type="paragraph" w:styleId="1153">
    <w:name w:val="批注主题"/>
    <w:basedOn w:val="1113"/>
    <w:next w:val="1113"/>
    <w:link w:val="1154"/>
    <w:qFormat/>
    <w:rPr>
      <w:b/>
      <w:bCs/>
    </w:rPr>
  </w:style>
  <w:style w:type="character" w:styleId="1154">
    <w:name w:val="批注主题 Char"/>
    <w:next w:val="1154"/>
    <w:link w:val="1153"/>
    <w:qFormat/>
    <w:rPr>
      <w:b/>
      <w:bCs/>
      <w:sz w:val="21"/>
      <w:szCs w:val="24"/>
    </w:rPr>
  </w:style>
  <w:style w:type="table" w:styleId="1155">
    <w:name w:val="网格型"/>
    <w:basedOn w:val="1093"/>
    <w:next w:val="1155"/>
    <w:link w:val="1082"/>
    <w:uiPriority w:val="59"/>
    <w:qFormat/>
    <w:tblPr/>
  </w:style>
  <w:style w:type="character" w:styleId="1156">
    <w:name w:val="要点"/>
    <w:next w:val="1156"/>
    <w:link w:val="1082"/>
    <w:qFormat/>
    <w:rPr>
      <w:rFonts w:cs="Times New Roman"/>
      <w:b/>
    </w:rPr>
  </w:style>
  <w:style w:type="character" w:styleId="1157">
    <w:name w:val="页码"/>
    <w:next w:val="1157"/>
    <w:link w:val="1082"/>
    <w:qFormat/>
    <w:rPr>
      <w:rFonts w:eastAsia="宋体"/>
      <w:b/>
      <w:spacing w:val="0"/>
      <w:sz w:val="24"/>
      <w:szCs w:val="24"/>
      <w:vertAlign w:val="baseline"/>
      <w:lang w:val="en-US" w:eastAsia="zh-CN" w:bidi="ar-SA"/>
    </w:rPr>
  </w:style>
  <w:style w:type="character" w:styleId="1158">
    <w:name w:val="已访问的超链接"/>
    <w:next w:val="1158"/>
    <w:link w:val="1082"/>
    <w:qFormat/>
    <w:rPr>
      <w:color w:val="800080"/>
      <w:u w:val="single"/>
    </w:rPr>
  </w:style>
  <w:style w:type="character" w:styleId="1159">
    <w:name w:val="强调"/>
    <w:next w:val="1159"/>
    <w:link w:val="1082"/>
    <w:qFormat/>
    <w:rPr>
      <w:color w:val="cc0000"/>
    </w:rPr>
  </w:style>
  <w:style w:type="character" w:styleId="1160">
    <w:name w:val="超链接"/>
    <w:next w:val="1160"/>
    <w:link w:val="1082"/>
    <w:uiPriority w:val="99"/>
    <w:qFormat/>
    <w:rPr>
      <w:color w:val="0000ff"/>
      <w:u w:val="single"/>
    </w:rPr>
  </w:style>
  <w:style w:type="character" w:styleId="1161">
    <w:name w:val="批注引用"/>
    <w:next w:val="1161"/>
    <w:link w:val="1082"/>
    <w:uiPriority w:val="99"/>
    <w:qFormat/>
    <w:rPr>
      <w:sz w:val="21"/>
      <w:szCs w:val="21"/>
    </w:rPr>
  </w:style>
  <w:style w:type="character" w:styleId="1162">
    <w:name w:val="HTML 引文"/>
    <w:next w:val="1162"/>
    <w:link w:val="1082"/>
    <w:qFormat/>
    <w:rPr>
      <w:color w:val="008000"/>
    </w:rPr>
  </w:style>
  <w:style w:type="paragraph" w:styleId="1163">
    <w:name w:val="列表段落1"/>
    <w:basedOn w:val="1082"/>
    <w:next w:val="1163"/>
    <w:link w:val="1082"/>
    <w:uiPriority w:val="99"/>
    <w:qFormat/>
    <w:pPr>
      <w:ind w:firstLine="420"/>
    </w:pPr>
    <w:rPr>
      <w:rFonts w:ascii="Times New Roman" w:hAnsi="Times New Roman" w:eastAsia="宋体" w:cs="Times New Roman"/>
      <w:szCs w:val="20"/>
    </w:rPr>
  </w:style>
  <w:style w:type="character" w:styleId="1164">
    <w:name w:val="标题 2 字符"/>
    <w:next w:val="1164"/>
    <w:link w:val="1082"/>
    <w:qFormat/>
    <w:rPr>
      <w:rFonts w:ascii="Arial" w:hAnsi="Arial" w:eastAsia="黑体"/>
      <w:b/>
      <w:sz w:val="32"/>
    </w:rPr>
  </w:style>
  <w:style w:type="character" w:styleId="1165">
    <w:name w:val="明显强调1"/>
    <w:next w:val="1165"/>
    <w:link w:val="1082"/>
    <w:qFormat/>
    <w:rPr>
      <w:b/>
      <w:bCs/>
      <w:i/>
      <w:iCs/>
      <w:color w:val="4f81bd"/>
    </w:rPr>
  </w:style>
  <w:style w:type="character" w:styleId="1166">
    <w:name w:val="批注文字 Char2"/>
    <w:next w:val="1166"/>
    <w:link w:val="1082"/>
    <w:qFormat/>
    <w:rPr>
      <w:sz w:val="21"/>
    </w:rPr>
  </w:style>
  <w:style w:type="character" w:styleId="1167">
    <w:name w:val="标题 3 Char_0"/>
    <w:next w:val="1167"/>
    <w:link w:val="1168"/>
    <w:qFormat/>
    <w:rPr>
      <w:b/>
      <w:bCs/>
      <w:sz w:val="32"/>
      <w:szCs w:val="32"/>
    </w:rPr>
  </w:style>
  <w:style w:type="paragraph" w:styleId="1168">
    <w:name w:val="标题 3_0"/>
    <w:basedOn w:val="1169"/>
    <w:next w:val="1169"/>
    <w:link w:val="1167"/>
    <w:qFormat/>
    <w:pPr>
      <w:keepLines/>
      <w:keepNext/>
      <w:spacing w:before="260" w:after="260" w:line="416" w:lineRule="auto"/>
      <w:outlineLvl w:val="2"/>
    </w:pPr>
    <w:rPr>
      <w:b/>
      <w:bCs/>
      <w:sz w:val="32"/>
      <w:szCs w:val="32"/>
    </w:rPr>
  </w:style>
  <w:style w:type="paragraph" w:styleId="1169">
    <w:name w:val="正文_0"/>
    <w:next w:val="1169"/>
    <w:link w:val="1082"/>
    <w:qFormat/>
    <w:pPr>
      <w:jc w:val="both"/>
      <w:widowControl w:val="off"/>
    </w:pPr>
    <w:rPr>
      <w:sz w:val="21"/>
      <w:szCs w:val="24"/>
      <w:lang w:val="en-US" w:eastAsia="zh-CN" w:bidi="ar-SA"/>
    </w:rPr>
  </w:style>
  <w:style w:type="character" w:styleId="1170">
    <w:name w:val="正文文本 Char2"/>
    <w:next w:val="1170"/>
    <w:link w:val="1082"/>
    <w:uiPriority w:val="99"/>
    <w:semiHidden/>
    <w:qFormat/>
    <w:rPr>
      <w:rFonts w:ascii="Calibri" w:hAnsi="Calibri" w:eastAsia="宋体" w:cs="Times New Roman"/>
    </w:rPr>
  </w:style>
  <w:style w:type="character" w:styleId="1171">
    <w:name w:val="页脚 Char1"/>
    <w:next w:val="1171"/>
    <w:link w:val="1082"/>
    <w:uiPriority w:val="99"/>
    <w:semiHidden/>
    <w:qFormat/>
    <w:rPr>
      <w:rFonts w:ascii="Calibri" w:hAnsi="Calibri" w:eastAsia="宋体" w:cs="Times New Roman"/>
      <w:sz w:val="18"/>
      <w:szCs w:val="18"/>
    </w:rPr>
  </w:style>
  <w:style w:type="character" w:styleId="1172">
    <w:name w:val="明显引用 Char2"/>
    <w:next w:val="1172"/>
    <w:link w:val="1082"/>
    <w:uiPriority w:val="99"/>
    <w:qFormat/>
    <w:rPr>
      <w:b/>
      <w:bCs/>
      <w:i/>
      <w:iCs/>
      <w:color w:val="4f81bd"/>
      <w:sz w:val="21"/>
      <w:szCs w:val="24"/>
    </w:rPr>
  </w:style>
  <w:style w:type="character" w:styleId="1173">
    <w:name w:val="引用 Char"/>
    <w:next w:val="1173"/>
    <w:link w:val="1174"/>
    <w:qFormat/>
    <w:rPr>
      <w:i/>
      <w:iCs/>
      <w:color w:val="000000"/>
    </w:rPr>
  </w:style>
  <w:style w:type="paragraph" w:styleId="1174">
    <w:name w:val="引用1"/>
    <w:basedOn w:val="1082"/>
    <w:next w:val="1082"/>
    <w:link w:val="1173"/>
    <w:qFormat/>
    <w:rPr>
      <w:i/>
      <w:iCs/>
      <w:color w:val="000000"/>
      <w:sz w:val="20"/>
      <w:szCs w:val="20"/>
    </w:rPr>
  </w:style>
  <w:style w:type="character" w:styleId="1175">
    <w:name w:val="标题 1 Char_0"/>
    <w:next w:val="1175"/>
    <w:link w:val="1176"/>
    <w:qFormat/>
    <w:rPr>
      <w:b/>
      <w:bCs/>
      <w:sz w:val="44"/>
      <w:szCs w:val="44"/>
    </w:rPr>
  </w:style>
  <w:style w:type="paragraph" w:styleId="1176">
    <w:name w:val="标题 1_0"/>
    <w:basedOn w:val="1169"/>
    <w:next w:val="1169"/>
    <w:link w:val="1175"/>
    <w:qFormat/>
    <w:pPr>
      <w:keepLines/>
      <w:keepNext/>
      <w:spacing w:before="340" w:after="330" w:line="578" w:lineRule="auto"/>
      <w:outlineLvl w:val="0"/>
    </w:pPr>
    <w:rPr>
      <w:b/>
      <w:bCs/>
      <w:sz w:val="44"/>
      <w:szCs w:val="44"/>
    </w:rPr>
  </w:style>
  <w:style w:type="character" w:styleId="1177">
    <w:name w:val="正文文本缩进 3 Char1"/>
    <w:next w:val="1177"/>
    <w:link w:val="1082"/>
    <w:uiPriority w:val="99"/>
    <w:semiHidden/>
    <w:qFormat/>
    <w:rPr>
      <w:sz w:val="16"/>
      <w:szCs w:val="16"/>
    </w:rPr>
  </w:style>
  <w:style w:type="character" w:styleId="1178">
    <w:name w:val="引用 Char1"/>
    <w:next w:val="1178"/>
    <w:link w:val="1082"/>
    <w:uiPriority w:val="29"/>
    <w:qFormat/>
    <w:rPr>
      <w:i/>
      <w:iCs/>
      <w:color w:val="000000"/>
      <w:sz w:val="21"/>
    </w:rPr>
  </w:style>
  <w:style w:type="character" w:styleId="1179">
    <w:name w:val="font161"/>
    <w:next w:val="1179"/>
    <w:link w:val="1082"/>
    <w:qFormat/>
    <w:rPr>
      <w:b/>
      <w:sz w:val="32"/>
    </w:rPr>
  </w:style>
  <w:style w:type="character" w:styleId="1180">
    <w:name w:val="标题 4 Char_0"/>
    <w:next w:val="1180"/>
    <w:link w:val="1181"/>
    <w:qFormat/>
    <w:rPr>
      <w:rFonts w:ascii="Arial" w:hAnsi="Arial" w:eastAsia="黑体"/>
      <w:b/>
      <w:bCs/>
      <w:sz w:val="28"/>
      <w:szCs w:val="28"/>
    </w:rPr>
  </w:style>
  <w:style w:type="paragraph" w:styleId="1181">
    <w:name w:val="标题 4_0"/>
    <w:basedOn w:val="1169"/>
    <w:next w:val="1169"/>
    <w:link w:val="1180"/>
    <w:qFormat/>
    <w:pPr>
      <w:keepLines/>
      <w:keepNext/>
      <w:spacing w:before="280" w:after="290" w:line="376" w:lineRule="auto"/>
      <w:outlineLvl w:val="3"/>
    </w:pPr>
    <w:rPr>
      <w:rFonts w:ascii="Arial" w:hAnsi="Arial" w:eastAsia="黑体"/>
      <w:b/>
      <w:bCs/>
      <w:sz w:val="28"/>
      <w:szCs w:val="28"/>
    </w:rPr>
  </w:style>
  <w:style w:type="character" w:styleId="1182">
    <w:name w:val="引用 Char2"/>
    <w:next w:val="1182"/>
    <w:link w:val="1082"/>
    <w:uiPriority w:val="99"/>
    <w:qFormat/>
    <w:rPr>
      <w:i/>
      <w:iCs/>
      <w:color w:val="000000"/>
      <w:sz w:val="21"/>
      <w:szCs w:val="24"/>
    </w:rPr>
  </w:style>
  <w:style w:type="character" w:styleId="1183">
    <w:name w:val="rvts11"/>
    <w:next w:val="1183"/>
    <w:link w:val="1082"/>
    <w:qFormat/>
    <w:rPr>
      <w:rFonts w:ascii="KNLe" w:hAnsi="KNLe"/>
      <w:sz w:val="24"/>
      <w:szCs w:val="24"/>
      <w:u w:val="single"/>
    </w:rPr>
  </w:style>
  <w:style w:type="character" w:styleId="1184">
    <w:name w:val="标题5 Char Char"/>
    <w:next w:val="1184"/>
    <w:link w:val="1185"/>
    <w:qFormat/>
    <w:rPr>
      <w:rFonts w:ascii="Arial" w:hAnsi="Arial"/>
      <w:b/>
      <w:bCs/>
      <w:sz w:val="24"/>
      <w:szCs w:val="32"/>
    </w:rPr>
  </w:style>
  <w:style w:type="paragraph" w:styleId="1185">
    <w:name w:val="标题5"/>
    <w:basedOn w:val="1085"/>
    <w:next w:val="1185"/>
    <w:link w:val="1184"/>
    <w:qFormat/>
    <w:pPr>
      <w:numPr>
        <w:ilvl w:val="0"/>
        <w:numId w:val="0"/>
      </w:numPr>
      <w:spacing w:line="413" w:lineRule="auto"/>
    </w:pPr>
    <w:rPr>
      <w:rFonts w:ascii="Arial" w:hAnsi="Arial"/>
      <w:sz w:val="24"/>
    </w:rPr>
  </w:style>
  <w:style w:type="character" w:styleId="1186">
    <w:name w:val="副标题 Char2"/>
    <w:next w:val="1186"/>
    <w:link w:val="1082"/>
    <w:uiPriority w:val="11"/>
    <w:qFormat/>
    <w:rPr>
      <w:rFonts w:ascii="Cambria" w:hAnsi="Cambria" w:cs="Times New Roman"/>
      <w:b/>
      <w:bCs/>
      <w:sz w:val="32"/>
      <w:szCs w:val="32"/>
    </w:rPr>
  </w:style>
  <w:style w:type="character" w:styleId="1187">
    <w:name w:val="批注主题 Char1"/>
    <w:next w:val="1187"/>
    <w:link w:val="1082"/>
    <w:qFormat/>
    <w:rPr>
      <w:b/>
      <w:bCs/>
      <w:sz w:val="21"/>
      <w:szCs w:val="22"/>
    </w:rPr>
  </w:style>
  <w:style w:type="character" w:styleId="1188">
    <w:name w:val="font31"/>
    <w:next w:val="1188"/>
    <w:link w:val="1082"/>
    <w:qFormat/>
    <w:rPr>
      <w:rFonts w:hint="eastAsia" w:ascii="宋体" w:hAnsi="宋体" w:eastAsia="宋体" w:cs="宋体"/>
      <w:color w:val="000000"/>
      <w:sz w:val="20"/>
      <w:szCs w:val="20"/>
      <w:u w:val="none"/>
    </w:rPr>
  </w:style>
  <w:style w:type="character" w:styleId="1189">
    <w:name w:val="明显引用 Char"/>
    <w:next w:val="1189"/>
    <w:link w:val="1190"/>
    <w:qFormat/>
    <w:rPr>
      <w:b/>
      <w:bCs/>
      <w:i/>
      <w:iCs/>
      <w:color w:val="4f81bd"/>
    </w:rPr>
  </w:style>
  <w:style w:type="paragraph" w:styleId="1190">
    <w:name w:val="明显引用1"/>
    <w:basedOn w:val="1082"/>
    <w:next w:val="1082"/>
    <w:link w:val="1189"/>
    <w:qFormat/>
    <w:pPr>
      <w:ind w:left="936" w:right="936"/>
      <w:spacing w:before="200" w:after="280"/>
      <w:pBdr>
        <w:bottom w:val="single" w:color="4F81BD" w:sz="4" w:space="4"/>
      </w:pBdr>
    </w:pPr>
    <w:rPr>
      <w:b/>
      <w:bCs/>
      <w:i/>
      <w:iCs/>
      <w:color w:val="4f81bd"/>
      <w:sz w:val="20"/>
      <w:szCs w:val="20"/>
    </w:rPr>
  </w:style>
  <w:style w:type="character" w:styleId="1191">
    <w:name w:val="日期 Char1"/>
    <w:next w:val="1191"/>
    <w:link w:val="1082"/>
    <w:qFormat/>
    <w:rPr>
      <w:rFonts w:ascii="Calibri" w:hAnsi="Calibri" w:eastAsia="宋体" w:cs="Times New Roman"/>
    </w:rPr>
  </w:style>
  <w:style w:type="character" w:styleId="1192">
    <w:name w:val="批注框文本 Char1"/>
    <w:next w:val="1192"/>
    <w:link w:val="1082"/>
    <w:qFormat/>
    <w:rPr>
      <w:sz w:val="18"/>
      <w:szCs w:val="18"/>
    </w:rPr>
  </w:style>
  <w:style w:type="character" w:styleId="1193">
    <w:name w:val="标题 Char1"/>
    <w:next w:val="1193"/>
    <w:link w:val="1082"/>
    <w:uiPriority w:val="10"/>
    <w:qFormat/>
    <w:rPr>
      <w:rFonts w:ascii="Cambria" w:hAnsi="Cambria" w:eastAsia="宋体" w:cs="Times New Roman"/>
      <w:b/>
      <w:bCs/>
      <w:sz w:val="32"/>
      <w:szCs w:val="32"/>
    </w:rPr>
  </w:style>
  <w:style w:type="character" w:styleId="1194">
    <w:name w:val="不明显参考1"/>
    <w:next w:val="1194"/>
    <w:link w:val="1082"/>
    <w:qFormat/>
    <w:rPr>
      <w:smallCaps/>
      <w:color w:val="c0504d"/>
      <w:u w:val="single"/>
    </w:rPr>
  </w:style>
  <w:style w:type="character" w:styleId="1195">
    <w:name w:val="批注文字 Char1"/>
    <w:next w:val="1195"/>
    <w:link w:val="1082"/>
    <w:qFormat/>
    <w:rPr>
      <w:rFonts w:ascii="Calibri" w:hAnsi="Calibri" w:eastAsia="宋体" w:cs="Times New Roman"/>
    </w:rPr>
  </w:style>
  <w:style w:type="character" w:styleId="1196">
    <w:name w:val="标题 Char2"/>
    <w:next w:val="1196"/>
    <w:link w:val="1082"/>
    <w:uiPriority w:val="10"/>
    <w:qFormat/>
    <w:rPr>
      <w:rFonts w:ascii="Cambria" w:hAnsi="Cambria" w:cs="Times New Roman"/>
      <w:b/>
      <w:bCs/>
      <w:sz w:val="32"/>
      <w:szCs w:val="32"/>
    </w:rPr>
  </w:style>
  <w:style w:type="character" w:styleId="1197">
    <w:name w:val="正文文本 3 Char1"/>
    <w:next w:val="1197"/>
    <w:link w:val="1082"/>
    <w:uiPriority w:val="99"/>
    <w:semiHidden/>
    <w:qFormat/>
    <w:rPr>
      <w:sz w:val="16"/>
      <w:szCs w:val="16"/>
    </w:rPr>
  </w:style>
  <w:style w:type="character" w:styleId="1198">
    <w:name w:val="批注主题 Char2"/>
    <w:next w:val="1198"/>
    <w:link w:val="1082"/>
    <w:qFormat/>
    <w:rPr>
      <w:b/>
      <w:bCs/>
      <w:sz w:val="21"/>
    </w:rPr>
  </w:style>
  <w:style w:type="character" w:styleId="1199">
    <w:name w:val="正文文本 Char_0"/>
    <w:next w:val="1199"/>
    <w:link w:val="1200"/>
    <w:qFormat/>
    <w:rPr>
      <w:szCs w:val="24"/>
    </w:rPr>
  </w:style>
  <w:style w:type="paragraph" w:styleId="1200">
    <w:name w:val="正文文本_0"/>
    <w:basedOn w:val="1169"/>
    <w:next w:val="1200"/>
    <w:link w:val="1199"/>
    <w:qFormat/>
    <w:pPr>
      <w:spacing w:after="120"/>
    </w:pPr>
    <w:rPr>
      <w:sz w:val="20"/>
    </w:rPr>
  </w:style>
  <w:style w:type="character" w:styleId="1201">
    <w:name w:val="bookmark"/>
    <w:next w:val="1201"/>
    <w:link w:val="1082"/>
    <w:qFormat/>
  </w:style>
  <w:style w:type="character" w:styleId="1202">
    <w:name w:val="标题 5 Char_0"/>
    <w:next w:val="1202"/>
    <w:link w:val="1203"/>
    <w:qFormat/>
    <w:rPr>
      <w:rFonts w:ascii="Calibri" w:hAnsi="Calibri"/>
      <w:b/>
      <w:bCs/>
      <w:sz w:val="28"/>
      <w:szCs w:val="28"/>
    </w:rPr>
  </w:style>
  <w:style w:type="paragraph" w:styleId="1203">
    <w:name w:val="标题 5_0"/>
    <w:basedOn w:val="1169"/>
    <w:next w:val="1169"/>
    <w:link w:val="1202"/>
    <w:qFormat/>
    <w:pPr>
      <w:keepLines/>
      <w:keepNext/>
      <w:spacing w:before="280" w:after="290" w:line="372" w:lineRule="auto"/>
      <w:outlineLvl w:val="4"/>
    </w:pPr>
    <w:rPr>
      <w:rFonts w:ascii="Calibri" w:hAnsi="Calibri"/>
      <w:b/>
      <w:bCs/>
      <w:sz w:val="28"/>
      <w:szCs w:val="28"/>
    </w:rPr>
  </w:style>
  <w:style w:type="character" w:styleId="1204">
    <w:name w:val="font11"/>
    <w:next w:val="1204"/>
    <w:link w:val="1082"/>
    <w:qFormat/>
    <w:rPr>
      <w:rFonts w:hint="eastAsia" w:ascii="宋体" w:hAnsi="宋体" w:eastAsia="宋体" w:cs="宋体"/>
      <w:color w:val="000000"/>
      <w:sz w:val="20"/>
      <w:szCs w:val="20"/>
      <w:u w:val="none"/>
    </w:rPr>
  </w:style>
  <w:style w:type="character" w:styleId="1205">
    <w:name w:val="明显参考1"/>
    <w:next w:val="1205"/>
    <w:link w:val="1082"/>
    <w:qFormat/>
    <w:rPr>
      <w:b/>
      <w:bCs/>
      <w:smallCaps/>
      <w:color w:val="c0504d"/>
      <w:spacing w:val="5"/>
      <w:u w:val="single"/>
    </w:rPr>
  </w:style>
  <w:style w:type="character" w:styleId="1206">
    <w:name w:val="超链接_0"/>
    <w:next w:val="1206"/>
    <w:link w:val="1082"/>
    <w:uiPriority w:val="99"/>
    <w:qFormat/>
    <w:rPr>
      <w:rFonts w:ascii="Calibri" w:hAnsi="Calibri"/>
      <w:color w:val="0000ff"/>
      <w:u w:val="single"/>
    </w:rPr>
  </w:style>
  <w:style w:type="character" w:styleId="1207">
    <w:name w:val="文档结构图 Char2"/>
    <w:next w:val="1207"/>
    <w:link w:val="1082"/>
    <w:uiPriority w:val="99"/>
    <w:semiHidden/>
    <w:qFormat/>
    <w:rPr>
      <w:rFonts w:ascii="宋体" w:hAnsi="Calibri" w:eastAsia="宋体" w:cs="Times New Roman"/>
      <w:sz w:val="18"/>
      <w:szCs w:val="18"/>
    </w:rPr>
  </w:style>
  <w:style w:type="character" w:styleId="1208">
    <w:name w:val="textcontents"/>
    <w:next w:val="1208"/>
    <w:link w:val="1082"/>
    <w:qFormat/>
    <w:rPr>
      <w:rFonts w:cs="Times New Roman"/>
    </w:rPr>
  </w:style>
  <w:style w:type="character" w:styleId="1209">
    <w:name w:val="标题 1 Char"/>
    <w:next w:val="1209"/>
    <w:link w:val="1082"/>
    <w:qFormat/>
    <w:rPr>
      <w:b/>
      <w:bCs/>
      <w:sz w:val="32"/>
      <w:szCs w:val="44"/>
    </w:rPr>
  </w:style>
  <w:style w:type="character" w:styleId="1210">
    <w:name w:val="副标题 Char1"/>
    <w:next w:val="1210"/>
    <w:link w:val="1082"/>
    <w:uiPriority w:val="11"/>
    <w:qFormat/>
    <w:rPr>
      <w:rFonts w:ascii="Cambria" w:hAnsi="Cambria" w:cs="Times New Roman"/>
      <w:b/>
      <w:bCs/>
      <w:sz w:val="32"/>
      <w:szCs w:val="32"/>
    </w:rPr>
  </w:style>
  <w:style w:type="character" w:styleId="1211">
    <w:name w:val="书籍标题1"/>
    <w:next w:val="1211"/>
    <w:link w:val="1082"/>
    <w:qFormat/>
    <w:rPr>
      <w:b/>
      <w:bCs/>
      <w:smallCaps/>
      <w:spacing w:val="5"/>
    </w:rPr>
  </w:style>
  <w:style w:type="character" w:styleId="1212">
    <w:name w:val="标题4 Char Char"/>
    <w:next w:val="1212"/>
    <w:link w:val="1213"/>
    <w:qFormat/>
    <w:rPr>
      <w:rFonts w:ascii="Arial" w:hAnsi="Arial"/>
      <w:b/>
      <w:bCs/>
      <w:sz w:val="24"/>
      <w:szCs w:val="32"/>
    </w:rPr>
  </w:style>
  <w:style w:type="paragraph" w:styleId="1213">
    <w:name w:val="标题4"/>
    <w:basedOn w:val="1084"/>
    <w:next w:val="1123"/>
    <w:link w:val="1212"/>
    <w:qFormat/>
    <w:pPr>
      <w:numPr>
        <w:ilvl w:val="0"/>
        <w:numId w:val="0"/>
      </w:numPr>
      <w:spacing w:line="413" w:lineRule="auto"/>
    </w:pPr>
    <w:rPr>
      <w:rFonts w:ascii="Arial" w:hAnsi="Arial"/>
      <w:sz w:val="24"/>
    </w:rPr>
  </w:style>
  <w:style w:type="character" w:styleId="1214">
    <w:name w:val="正文文本 Char1"/>
    <w:next w:val="1214"/>
    <w:link w:val="1082"/>
    <w:qFormat/>
    <w:rPr>
      <w:rFonts w:ascii="Calibri" w:hAnsi="Calibri" w:eastAsia="宋体" w:cs="Times New Roman"/>
    </w:rPr>
  </w:style>
  <w:style w:type="character" w:styleId="1215">
    <w:name w:val="明显引用 Char1"/>
    <w:next w:val="1215"/>
    <w:link w:val="1082"/>
    <w:uiPriority w:val="30"/>
    <w:qFormat/>
    <w:rPr>
      <w:b/>
      <w:bCs/>
      <w:i/>
      <w:iCs/>
      <w:color w:val="4f81bd"/>
      <w:sz w:val="21"/>
    </w:rPr>
  </w:style>
  <w:style w:type="character" w:styleId="1216">
    <w:name w:val="页眉 Char1"/>
    <w:next w:val="1216"/>
    <w:link w:val="1082"/>
    <w:uiPriority w:val="99"/>
    <w:semiHidden/>
    <w:qFormat/>
    <w:rPr>
      <w:rFonts w:ascii="Calibri" w:hAnsi="Calibri" w:eastAsia="宋体" w:cs="Times New Roman"/>
      <w:sz w:val="18"/>
      <w:szCs w:val="18"/>
    </w:rPr>
  </w:style>
  <w:style w:type="character" w:styleId="1217">
    <w:name w:val="不明显强调1"/>
    <w:next w:val="1217"/>
    <w:link w:val="1082"/>
    <w:qFormat/>
    <w:rPr>
      <w:i/>
      <w:iCs/>
      <w:color w:val="808080"/>
    </w:rPr>
  </w:style>
  <w:style w:type="character" w:styleId="1218">
    <w:name w:val="font21"/>
    <w:next w:val="1218"/>
    <w:link w:val="1082"/>
    <w:qFormat/>
    <w:rPr>
      <w:rFonts w:hint="eastAsia" w:ascii="宋体" w:hAnsi="宋体" w:eastAsia="宋体" w:cs="宋体"/>
      <w:color w:val="000000"/>
      <w:sz w:val="20"/>
      <w:szCs w:val="20"/>
      <w:u w:val="none"/>
    </w:rPr>
  </w:style>
  <w:style w:type="character" w:styleId="1219">
    <w:name w:val="文档结构图 Char1"/>
    <w:next w:val="1219"/>
    <w:link w:val="1082"/>
    <w:qFormat/>
    <w:rPr>
      <w:rFonts w:ascii="宋体" w:hAnsi="Calibri" w:eastAsia="宋体" w:cs="Times New Roman"/>
      <w:sz w:val="18"/>
      <w:szCs w:val="18"/>
    </w:rPr>
  </w:style>
  <w:style w:type="character" w:styleId="1220">
    <w:name w:val="标题 2 Char_0"/>
    <w:next w:val="1220"/>
    <w:link w:val="1221"/>
    <w:qFormat/>
    <w:rPr>
      <w:rFonts w:ascii="Cambria" w:hAnsi="Cambria"/>
      <w:b/>
      <w:bCs/>
      <w:sz w:val="32"/>
      <w:szCs w:val="32"/>
    </w:rPr>
  </w:style>
  <w:style w:type="paragraph" w:styleId="1221">
    <w:name w:val="标题 2_0"/>
    <w:basedOn w:val="1169"/>
    <w:next w:val="1169"/>
    <w:link w:val="1220"/>
    <w:unhideWhenUsed/>
    <w:qFormat/>
    <w:pPr>
      <w:keepLines/>
      <w:keepNext/>
      <w:spacing w:before="260" w:after="260" w:line="416" w:lineRule="auto"/>
      <w:outlineLvl w:val="1"/>
    </w:pPr>
    <w:rPr>
      <w:rFonts w:ascii="Cambria" w:hAnsi="Cambria"/>
      <w:b/>
      <w:bCs/>
      <w:sz w:val="32"/>
      <w:szCs w:val="32"/>
    </w:rPr>
  </w:style>
  <w:style w:type="character" w:styleId="1222">
    <w:name w:val="日期 Char2"/>
    <w:next w:val="1222"/>
    <w:link w:val="1082"/>
    <w:uiPriority w:val="99"/>
    <w:semiHidden/>
    <w:qFormat/>
    <w:rPr>
      <w:rFonts w:ascii="Calibri" w:hAnsi="Calibri" w:eastAsia="宋体" w:cs="Times New Roman"/>
    </w:rPr>
  </w:style>
  <w:style w:type="character" w:styleId="1223">
    <w:name w:val="批注框文本 Char2"/>
    <w:next w:val="1223"/>
    <w:link w:val="1082"/>
    <w:uiPriority w:val="99"/>
    <w:semiHidden/>
    <w:qFormat/>
    <w:rPr>
      <w:rFonts w:ascii="Calibri" w:hAnsi="Calibri" w:eastAsia="宋体" w:cs="Times New Roman"/>
      <w:sz w:val="18"/>
      <w:szCs w:val="18"/>
    </w:rPr>
  </w:style>
  <w:style w:type="character" w:styleId="1224">
    <w:name w:val="列出段落 Char"/>
    <w:next w:val="1224"/>
    <w:link w:val="1225"/>
    <w:uiPriority w:val="99"/>
    <w:qFormat/>
    <w:rPr>
      <w:sz w:val="21"/>
      <w:szCs w:val="24"/>
    </w:rPr>
  </w:style>
  <w:style w:type="paragraph" w:styleId="1225">
    <w:name w:val="List Paragraph1"/>
    <w:basedOn w:val="1082"/>
    <w:next w:val="1225"/>
    <w:link w:val="1224"/>
    <w:uiPriority w:val="99"/>
    <w:qFormat/>
    <w:pPr>
      <w:ind w:firstLine="420"/>
    </w:pPr>
  </w:style>
  <w:style w:type="paragraph" w:styleId="1226">
    <w:name w:val="样式 标题 3 + (中文) 黑体 小四 非加粗 段前: 7.8 磅 段后: 0 磅 行距: 固定值 20 磅"/>
    <w:basedOn w:val="1085"/>
    <w:next w:val="1082"/>
    <w:link w:val="1082"/>
    <w:qFormat/>
    <w:pPr>
      <w:spacing w:before="0" w:after="0" w:line="400" w:lineRule="exact"/>
    </w:pPr>
    <w:rPr>
      <w:rFonts w:eastAsia="黑体" w:cs="宋体"/>
      <w:b w:val="0"/>
      <w:bCs w:val="0"/>
      <w:sz w:val="24"/>
      <w:szCs w:val="20"/>
    </w:rPr>
  </w:style>
  <w:style w:type="paragraph" w:styleId="1227">
    <w:name w:val="_Style 34"/>
    <w:next w:val="1082"/>
    <w:link w:val="1082"/>
    <w:qFormat/>
    <w:pPr>
      <w:jc w:val="both"/>
      <w:widowControl w:val="off"/>
    </w:pPr>
    <w:rPr>
      <w:sz w:val="21"/>
      <w:lang w:val="en-US" w:eastAsia="zh-CN" w:bidi="ar-SA"/>
    </w:rPr>
  </w:style>
  <w:style w:type="paragraph" w:styleId="1228">
    <w:name w:val="正文_3"/>
    <w:next w:val="1228"/>
    <w:link w:val="1082"/>
    <w:qFormat/>
    <w:pPr>
      <w:jc w:val="both"/>
      <w:widowControl w:val="off"/>
    </w:pPr>
    <w:rPr>
      <w:sz w:val="21"/>
      <w:szCs w:val="22"/>
      <w:lang w:val="en-US" w:eastAsia="zh-CN" w:bidi="ar-SA"/>
    </w:rPr>
  </w:style>
  <w:style w:type="paragraph" w:styleId="1229">
    <w:name w:val="_Style 36"/>
    <w:next w:val="1082"/>
    <w:link w:val="1082"/>
    <w:qFormat/>
    <w:pPr>
      <w:jc w:val="both"/>
      <w:widowControl w:val="off"/>
    </w:pPr>
    <w:rPr>
      <w:sz w:val="21"/>
      <w:lang w:val="en-US" w:eastAsia="zh-CN" w:bidi="ar-SA"/>
    </w:rPr>
  </w:style>
  <w:style w:type="paragraph" w:styleId="1230">
    <w:name w:val="空半行"/>
    <w:basedOn w:val="1082"/>
    <w:next w:val="1230"/>
    <w:link w:val="1082"/>
    <w:qFormat/>
    <w:pPr>
      <w:spacing w:line="120" w:lineRule="exact"/>
    </w:pPr>
    <w:rPr>
      <w:rFonts w:ascii="Calibri" w:hAnsi="Calibri" w:eastAsia="仿宋_GB2312"/>
      <w:color w:val="ffffff"/>
      <w:sz w:val="30"/>
      <w:szCs w:val="22"/>
    </w:rPr>
  </w:style>
  <w:style w:type="paragraph" w:styleId="1231">
    <w:name w:val="1方案格式1"/>
    <w:basedOn w:val="1083"/>
    <w:next w:val="1231"/>
    <w:link w:val="1082"/>
    <w:qFormat/>
    <w:pPr>
      <w:numPr>
        <w:numId w:val="2"/>
      </w:numPr>
      <w:ind w:left="0" w:firstLine="0"/>
      <w:spacing w:line="360" w:lineRule="auto"/>
      <w:tabs>
        <w:tab w:val="left" w:pos="360" w:leader="none"/>
      </w:tabs>
    </w:pPr>
    <w:rPr>
      <w:rFonts w:eastAsia="微软雅黑"/>
      <w:bCs w:val="0"/>
      <w:sz w:val="48"/>
    </w:rPr>
  </w:style>
  <w:style w:type="paragraph" w:styleId="1232">
    <w:name w:val="格式３"/>
    <w:basedOn w:val="1082"/>
    <w:next w:val="1232"/>
    <w:link w:val="1082"/>
    <w:qFormat/>
    <w:pPr>
      <w:ind w:left="600" w:hanging="600"/>
      <w:spacing w:line="420" w:lineRule="exact"/>
    </w:pPr>
    <w:rPr>
      <w:rFonts w:ascii="宋体" w:hAnsi="宋体"/>
      <w:color w:val="000000"/>
      <w:sz w:val="24"/>
      <w:szCs w:val="20"/>
    </w:rPr>
  </w:style>
  <w:style w:type="paragraph" w:styleId="1233">
    <w:name w:val="列出段落1"/>
    <w:basedOn w:val="1082"/>
    <w:next w:val="1233"/>
    <w:link w:val="1082"/>
    <w:uiPriority w:val="99"/>
    <w:qFormat/>
    <w:pPr>
      <w:contextualSpacing/>
      <w:ind w:left="720"/>
      <w:jc w:val="left"/>
      <w:widowControl/>
    </w:pPr>
    <w:rPr>
      <w:rFonts w:ascii="Arial" w:hAnsi="Arial" w:eastAsia="黑体"/>
      <w:sz w:val="24"/>
      <w:lang w:eastAsia="en-US"/>
    </w:rPr>
  </w:style>
  <w:style w:type="paragraph" w:styleId="1234">
    <w:name w:val="正文空2字"/>
    <w:basedOn w:val="1082"/>
    <w:next w:val="1234"/>
    <w:link w:val="1082"/>
    <w:qFormat/>
    <w:pPr>
      <w:ind w:firstLine="200"/>
      <w:spacing w:line="360" w:lineRule="auto"/>
    </w:pPr>
    <w:rPr>
      <w:sz w:val="24"/>
      <w:lang w:bidi="en-US"/>
    </w:rPr>
  </w:style>
  <w:style w:type="paragraph" w:styleId="1235">
    <w:name w:val="正文_0_0_0"/>
    <w:next w:val="1235"/>
    <w:link w:val="1082"/>
    <w:qFormat/>
    <w:pPr>
      <w:jc w:val="both"/>
      <w:widowControl w:val="off"/>
    </w:pPr>
    <w:rPr>
      <w:lang w:val="en-US" w:eastAsia="zh-CN" w:bidi="ar-SA"/>
    </w:rPr>
  </w:style>
  <w:style w:type="paragraph" w:styleId="1236">
    <w:name w:val="目录 5_0"/>
    <w:basedOn w:val="1169"/>
    <w:next w:val="1169"/>
    <w:link w:val="1082"/>
    <w:uiPriority w:val="39"/>
    <w:qFormat/>
    <w:pPr>
      <w:ind w:left="1680"/>
    </w:pPr>
    <w:rPr>
      <w:rFonts w:ascii="Calibri" w:hAnsi="Calibri"/>
    </w:rPr>
  </w:style>
  <w:style w:type="paragraph" w:styleId="1237">
    <w:name w:val="修订1"/>
    <w:next w:val="1237"/>
    <w:link w:val="1082"/>
    <w:qFormat/>
    <w:rPr>
      <w:sz w:val="21"/>
      <w:szCs w:val="24"/>
      <w:lang w:val="en-US" w:eastAsia="zh-CN" w:bidi="ar-SA"/>
    </w:rPr>
  </w:style>
  <w:style w:type="paragraph" w:styleId="1238">
    <w:name w:val="标题 11"/>
    <w:basedOn w:val="1095"/>
    <w:next w:val="1095"/>
    <w:link w:val="1082"/>
    <w:qFormat/>
    <w:pPr>
      <w:keepLines/>
      <w:keepNext/>
      <w:spacing w:before="340" w:after="330" w:line="576" w:lineRule="auto"/>
      <w:outlineLvl w:val="0"/>
    </w:pPr>
    <w:rPr>
      <w:rFonts w:ascii="Times New Roman" w:hAnsi="Times New Roman" w:eastAsia="Times New Roman"/>
      <w:b/>
      <w:sz w:val="44"/>
      <w:lang w:val="zh-CN"/>
    </w:rPr>
  </w:style>
  <w:style w:type="paragraph" w:styleId="1239">
    <w:name w:val="正文 + 行距: 固定值 20 磅"/>
    <w:basedOn w:val="1082"/>
    <w:next w:val="1239"/>
    <w:link w:val="1082"/>
    <w:qFormat/>
    <w:pPr>
      <w:ind w:firstLine="716"/>
      <w:spacing w:line="400" w:lineRule="exact"/>
    </w:pPr>
    <w:rPr>
      <w:rFonts w:ascii="Calibri" w:hAnsi="Calibri"/>
      <w:szCs w:val="22"/>
    </w:rPr>
  </w:style>
  <w:style w:type="paragraph" w:styleId="1240">
    <w:name w:val="TOC 标题1"/>
    <w:basedOn w:val="1083"/>
    <w:next w:val="1082"/>
    <w:link w:val="1082"/>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41">
    <w:name w:val="表格文字"/>
    <w:basedOn w:val="1082"/>
    <w:next w:val="1241"/>
    <w:link w:val="1242"/>
    <w:qFormat/>
    <w:pPr>
      <w:jc w:val="left"/>
      <w:spacing w:line="420" w:lineRule="atLeast"/>
    </w:pPr>
    <w:rPr>
      <w:rFonts w:ascii="Calibri" w:hAnsi="Calibri"/>
      <w:szCs w:val="22"/>
    </w:rPr>
  </w:style>
  <w:style w:type="character" w:styleId="1242">
    <w:name w:val="表格文字 字符"/>
    <w:next w:val="1242"/>
    <w:link w:val="1241"/>
    <w:qFormat/>
    <w:rPr>
      <w:rFonts w:ascii="Calibri" w:hAnsi="Calibri" w:eastAsia="宋体" w:cs="Times New Roman"/>
      <w:sz w:val="21"/>
      <w:szCs w:val="22"/>
    </w:rPr>
  </w:style>
  <w:style w:type="paragraph" w:styleId="1243">
    <w:name w:val="flNote"/>
    <w:basedOn w:val="1082"/>
    <w:next w:val="1243"/>
    <w:link w:val="1082"/>
    <w:qFormat/>
    <w:pPr>
      <w:jc w:val="center"/>
      <w:spacing w:before="320" w:after="160" w:line="360" w:lineRule="atLeast"/>
    </w:pPr>
    <w:rPr>
      <w:rFonts w:ascii="Arial" w:hAnsi="Calibri" w:eastAsia="黑体"/>
      <w:sz w:val="30"/>
      <w:szCs w:val="22"/>
    </w:rPr>
  </w:style>
  <w:style w:type="paragraph" w:styleId="1244">
    <w:name w:val="文章正文"/>
    <w:basedOn w:val="1082"/>
    <w:next w:val="1244"/>
    <w:link w:val="1082"/>
    <w:uiPriority w:val="99"/>
    <w:qFormat/>
    <w:pPr>
      <w:ind w:firstLine="480"/>
      <w:spacing w:line="360" w:lineRule="auto"/>
    </w:pPr>
    <w:rPr>
      <w:rFonts w:ascii="仿宋_GB2312" w:hAnsi="宋体" w:eastAsia="仿宋_GB2312"/>
      <w:color w:val="ff0000"/>
      <w:sz w:val="24"/>
    </w:rPr>
  </w:style>
  <w:style w:type="paragraph" w:styleId="1245">
    <w:name w:val="表格"/>
    <w:basedOn w:val="1082"/>
    <w:next w:val="1245"/>
    <w:link w:val="1082"/>
    <w:qFormat/>
    <w:pPr>
      <w:jc w:val="center"/>
    </w:pPr>
    <w:rPr>
      <w:rFonts w:ascii="华文细黑" w:hAnsi="华文细黑"/>
      <w:szCs w:val="22"/>
    </w:rPr>
  </w:style>
  <w:style w:type="paragraph" w:styleId="1246">
    <w:name w:val="Char"/>
    <w:basedOn w:val="1082"/>
    <w:next w:val="1246"/>
    <w:link w:val="1082"/>
    <w:qFormat/>
    <w:pPr>
      <w:jc w:val="left"/>
      <w:spacing w:after="160" w:line="240" w:lineRule="exact"/>
      <w:widowControl/>
    </w:pPr>
    <w:rPr>
      <w:rFonts w:ascii="Verdana" w:hAnsi="Verdana"/>
      <w:sz w:val="20"/>
      <w:szCs w:val="20"/>
      <w:lang w:eastAsia="en-US"/>
    </w:rPr>
  </w:style>
  <w:style w:type="paragraph" w:styleId="1247">
    <w:name w:val="Default"/>
    <w:next w:val="1247"/>
    <w:link w:val="1082"/>
    <w:qFormat/>
    <w:pPr>
      <w:widowControl w:val="off"/>
    </w:pPr>
    <w:rPr>
      <w:rFonts w:ascii="宋体" w:cs="宋体"/>
      <w:color w:val="000000"/>
      <w:sz w:val="24"/>
      <w:szCs w:val="24"/>
      <w:lang w:val="en-US" w:eastAsia="zh-CN" w:bidi="ar-SA"/>
    </w:rPr>
  </w:style>
  <w:style w:type="paragraph" w:styleId="1248">
    <w:name w:val="列出段落2"/>
    <w:basedOn w:val="1082"/>
    <w:next w:val="1248"/>
    <w:link w:val="1082"/>
    <w:uiPriority w:val="99"/>
    <w:qFormat/>
    <w:pPr>
      <w:ind w:firstLine="420"/>
    </w:pPr>
  </w:style>
  <w:style w:type="paragraph" w:styleId="1249">
    <w:name w:val="6'"/>
    <w:basedOn w:val="1082"/>
    <w:next w:val="1249"/>
    <w:link w:val="1082"/>
    <w:qFormat/>
    <w:pPr>
      <w:jc w:val="center"/>
      <w:spacing w:line="320" w:lineRule="exact"/>
    </w:pPr>
    <w:rPr>
      <w:rFonts w:ascii="Calibri" w:hAnsi="Calibri"/>
      <w:spacing w:val="20"/>
      <w:szCs w:val="22"/>
    </w:rPr>
  </w:style>
  <w:style w:type="paragraph" w:styleId="1250">
    <w:name w:val="Char Char Char Char Char Char Char"/>
    <w:basedOn w:val="1082"/>
    <w:next w:val="1250"/>
    <w:link w:val="1082"/>
    <w:qFormat/>
    <w:pPr>
      <w:spacing w:line="360" w:lineRule="auto"/>
    </w:pPr>
    <w:rPr>
      <w:sz w:val="24"/>
      <w:szCs w:val="20"/>
    </w:rPr>
  </w:style>
  <w:style w:type="paragraph" w:styleId="1251">
    <w:name w:val="2方案格式2"/>
    <w:basedOn w:val="1231"/>
    <w:next w:val="1251"/>
    <w:link w:val="1082"/>
    <w:qFormat/>
    <w:pPr>
      <w:numPr>
        <w:ilvl w:val="1"/>
      </w:numPr>
      <w:spacing w:before="50" w:after="50" w:line="240" w:lineRule="auto"/>
      <w:tabs>
        <w:tab w:val="left" w:pos="360" w:leader="none"/>
      </w:tabs>
      <w:outlineLvl w:val="1"/>
    </w:pPr>
    <w:rPr>
      <w:sz w:val="44"/>
    </w:rPr>
  </w:style>
  <w:style w:type="paragraph" w:styleId="1252">
    <w:name w:val="无间隔1"/>
    <w:next w:val="1252"/>
    <w:link w:val="1082"/>
    <w:qFormat/>
    <w:pPr>
      <w:jc w:val="both"/>
      <w:widowControl w:val="off"/>
    </w:pPr>
    <w:rPr>
      <w:rFonts w:ascii="Calibri" w:hAnsi="Calibri"/>
      <w:sz w:val="21"/>
      <w:szCs w:val="22"/>
      <w:lang w:val="en-US" w:eastAsia="zh-CN" w:bidi="ar-SA"/>
    </w:rPr>
  </w:style>
  <w:style w:type="paragraph" w:styleId="1253">
    <w:name w:val="文档正文"/>
    <w:basedOn w:val="1082"/>
    <w:next w:val="1253"/>
    <w:link w:val="1082"/>
    <w:qFormat/>
    <w:pPr>
      <w:ind w:firstLine="567"/>
      <w:spacing w:line="480" w:lineRule="atLeast"/>
    </w:pPr>
    <w:rPr>
      <w:rFonts w:ascii="Ari" w:eastAsia="Ari"/>
      <w:sz w:val="28"/>
      <w:szCs w:val="20"/>
    </w:rPr>
  </w:style>
  <w:style w:type="paragraph" w:styleId="1254">
    <w:name w:val="txt"/>
    <w:basedOn w:val="1082"/>
    <w:next w:val="1254"/>
    <w:link w:val="1082"/>
    <w:qFormat/>
    <w:pPr>
      <w:jc w:val="left"/>
      <w:spacing w:before="100" w:beforeAutospacing="1" w:after="100" w:afterAutospacing="1"/>
      <w:widowControl/>
    </w:pPr>
    <w:rPr>
      <w:rFonts w:ascii="宋体" w:hAnsi="宋体" w:cs="宋体"/>
      <w:sz w:val="24"/>
    </w:rPr>
  </w:style>
  <w:style w:type="paragraph" w:styleId="1255">
    <w:name w:val="目录 4_0"/>
    <w:basedOn w:val="1169"/>
    <w:next w:val="1169"/>
    <w:link w:val="1082"/>
    <w:uiPriority w:val="39"/>
    <w:qFormat/>
    <w:pPr>
      <w:ind w:left="1260"/>
    </w:pPr>
    <w:rPr>
      <w:rFonts w:ascii="Calibri" w:hAnsi="Calibri"/>
    </w:rPr>
  </w:style>
  <w:style w:type="paragraph" w:styleId="1256">
    <w:name w:val="目录 3_0"/>
    <w:basedOn w:val="1169"/>
    <w:next w:val="1169"/>
    <w:link w:val="1082"/>
    <w:uiPriority w:val="39"/>
    <w:qFormat/>
    <w:pPr>
      <w:ind w:left="840"/>
    </w:pPr>
    <w:rPr>
      <w:rFonts w:ascii="Calibri" w:hAnsi="Calibri"/>
    </w:rPr>
  </w:style>
  <w:style w:type="paragraph" w:styleId="1257">
    <w:name w:val="样式 标题 1 + 黑体 三号 非加粗 居中 段前: 6 磅 段后: 6 磅 行距: 固定值 20 磅"/>
    <w:basedOn w:val="1083"/>
    <w:next w:val="1257"/>
    <w:link w:val="1082"/>
    <w:qFormat/>
    <w:pPr>
      <w:numPr>
        <w:ilvl w:val="0"/>
        <w:numId w:val="0"/>
      </w:numPr>
      <w:spacing w:before="120" w:after="120" w:line="400" w:lineRule="exact"/>
    </w:pPr>
    <w:rPr>
      <w:rFonts w:ascii="黑体" w:hAnsi="黑体" w:eastAsia="黑体"/>
      <w:b w:val="0"/>
      <w:bCs w:val="0"/>
      <w:szCs w:val="20"/>
    </w:rPr>
  </w:style>
  <w:style w:type="paragraph" w:styleId="1258">
    <w:name w:val="1"/>
    <w:basedOn w:val="1082"/>
    <w:next w:val="1082"/>
    <w:link w:val="1082"/>
    <w:qFormat/>
    <w:rPr>
      <w:rFonts w:ascii="Calibri" w:hAnsi="Calibri"/>
      <w:szCs w:val="22"/>
    </w:rPr>
  </w:style>
  <w:style w:type="paragraph" w:styleId="1259">
    <w:name w:val="Blockquote_0"/>
    <w:basedOn w:val="1169"/>
    <w:next w:val="1259"/>
    <w:link w:val="1082"/>
    <w:qFormat/>
    <w:pPr>
      <w:ind w:left="360" w:right="360"/>
      <w:jc w:val="left"/>
      <w:spacing w:before="100" w:after="100"/>
    </w:pPr>
    <w:rPr>
      <w:rFonts w:ascii="Calibri" w:hAnsi="Calibri" w:eastAsia="Times New Roman"/>
      <w:sz w:val="24"/>
      <w:szCs w:val="20"/>
    </w:rPr>
  </w:style>
  <w:style w:type="paragraph" w:styleId="1260">
    <w:name w:val="列出段落11"/>
    <w:basedOn w:val="1082"/>
    <w:next w:val="1260"/>
    <w:link w:val="1082"/>
    <w:qFormat/>
    <w:pPr>
      <w:contextualSpacing/>
      <w:ind w:left="720"/>
      <w:jc w:val="left"/>
      <w:widowControl/>
    </w:pPr>
    <w:rPr>
      <w:rFonts w:ascii="Arial" w:hAnsi="Arial" w:eastAsia="黑体"/>
      <w:sz w:val="24"/>
      <w:lang w:eastAsia="en-US"/>
    </w:rPr>
  </w:style>
  <w:style w:type="paragraph" w:styleId="1261">
    <w:name w:val="样式 标题 2 + Times New Roman 四号 非加粗 段前: 5 磅 段后: 0 磅 行距: 固定值 20..._0"/>
    <w:basedOn w:val="1082"/>
    <w:next w:val="1261"/>
    <w:link w:val="1082"/>
    <w:qFormat/>
    <w:pPr>
      <w:keepLines/>
      <w:keepNext/>
      <w:spacing w:before="100" w:line="360" w:lineRule="auto"/>
      <w:outlineLvl w:val="1"/>
    </w:pPr>
    <w:rPr>
      <w:rFonts w:eastAsia="Times New Roman" w:cs="宋体"/>
      <w:sz w:val="28"/>
      <w:szCs w:val="20"/>
    </w:rPr>
  </w:style>
  <w:style w:type="paragraph" w:styleId="1262">
    <w:name w:val="op_mapdots_left"/>
    <w:basedOn w:val="1082"/>
    <w:next w:val="1262"/>
    <w:link w:val="1082"/>
    <w:qFormat/>
    <w:pPr>
      <w:jc w:val="left"/>
      <w:spacing w:before="100" w:beforeAutospacing="1" w:after="100" w:afterAutospacing="1"/>
      <w:widowControl/>
    </w:pPr>
    <w:rPr>
      <w:rFonts w:ascii="宋体" w:hAnsi="宋体" w:cs="宋体"/>
      <w:sz w:val="24"/>
    </w:rPr>
  </w:style>
  <w:style w:type="paragraph" w:styleId="1263">
    <w:name w:val="p0"/>
    <w:basedOn w:val="1082"/>
    <w:next w:val="1263"/>
    <w:link w:val="1082"/>
    <w:qFormat/>
    <w:pPr>
      <w:widowControl/>
    </w:pPr>
    <w:rPr>
      <w:b/>
      <w:bCs/>
      <w:sz w:val="24"/>
    </w:rPr>
  </w:style>
  <w:style w:type="paragraph" w:styleId="1264">
    <w:name w:val="Blockquote"/>
    <w:basedOn w:val="1082"/>
    <w:next w:val="1264"/>
    <w:link w:val="1082"/>
    <w:qFormat/>
    <w:pPr>
      <w:ind w:left="360" w:right="360"/>
      <w:jc w:val="left"/>
      <w:spacing w:before="100" w:after="100"/>
    </w:pPr>
    <w:rPr>
      <w:rFonts w:ascii="Calibri" w:hAnsi="Calibri"/>
      <w:sz w:val="24"/>
      <w:szCs w:val="22"/>
    </w:rPr>
  </w:style>
  <w:style w:type="paragraph" w:styleId="1265">
    <w:name w:val="3方案格式3"/>
    <w:basedOn w:val="1251"/>
    <w:next w:val="1265"/>
    <w:link w:val="1082"/>
    <w:qFormat/>
    <w:pPr>
      <w:numPr>
        <w:ilvl w:val="2"/>
      </w:numPr>
      <w:tabs>
        <w:tab w:val="left" w:pos="360" w:leader="none"/>
      </w:tabs>
      <w:outlineLvl w:val="2"/>
    </w:pPr>
    <w:rPr>
      <w:sz w:val="32"/>
    </w:rPr>
  </w:style>
  <w:style w:type="paragraph" w:styleId="1266">
    <w:name w:val="样式 标题 2 + Times New Roman 四号 非加粗 段前: 5 磅 段后: 0 磅 行距: 固定值 20..."/>
    <w:basedOn w:val="1084"/>
    <w:next w:val="1266"/>
    <w:link w:val="1082"/>
    <w:qFormat/>
    <w:pPr>
      <w:numPr>
        <w:ilvl w:val="0"/>
        <w:numId w:val="0"/>
      </w:numPr>
      <w:spacing w:before="100" w:after="0" w:line="400" w:lineRule="exact"/>
    </w:pPr>
    <w:rPr>
      <w:rFonts w:ascii="Times New Roman" w:hAnsi="Times New Roman" w:eastAsia="黑体"/>
      <w:b w:val="0"/>
      <w:bCs w:val="0"/>
      <w:sz w:val="28"/>
      <w:szCs w:val="20"/>
    </w:rPr>
  </w:style>
  <w:style w:type="paragraph" w:styleId="1267">
    <w:name w:val="标题2"/>
    <w:basedOn w:val="1084"/>
    <w:next w:val="1117"/>
    <w:link w:val="1082"/>
    <w:qFormat/>
    <w:pPr>
      <w:spacing w:before="156" w:after="156" w:line="360" w:lineRule="auto"/>
    </w:pPr>
    <w:rPr>
      <w:bCs w:val="0"/>
      <w:sz w:val="24"/>
    </w:rPr>
  </w:style>
  <w:style w:type="paragraph" w:styleId="1268">
    <w:name w:val="普通正文"/>
    <w:basedOn w:val="1082"/>
    <w:next w:val="1268"/>
    <w:link w:val="1082"/>
    <w:qFormat/>
    <w:pPr>
      <w:ind w:firstLine="480"/>
      <w:jc w:val="left"/>
      <w:spacing w:before="120" w:after="120" w:line="360" w:lineRule="auto"/>
    </w:pPr>
    <w:rPr>
      <w:rFonts w:ascii="Arial" w:hAnsi="Arial"/>
      <w:sz w:val="24"/>
    </w:rPr>
  </w:style>
  <w:style w:type="paragraph" w:styleId="1269">
    <w:name w:val="正文11"/>
    <w:next w:val="1269"/>
    <w:link w:val="1082"/>
    <w:qFormat/>
    <w:rPr>
      <w:rFonts w:ascii="Calibri" w:hAnsi="Calibri" w:cs="Calibri"/>
      <w:sz w:val="24"/>
      <w:szCs w:val="24"/>
      <w:lang w:val="en-US" w:eastAsia="zh-CN" w:bidi="ar-SA"/>
    </w:rPr>
  </w:style>
  <w:style w:type="paragraph" w:styleId="1270">
    <w:name w:val="正文2"/>
    <w:next w:val="1270"/>
    <w:link w:val="1082"/>
    <w:qFormat/>
    <w:rPr>
      <w:rFonts w:eastAsia="微软雅黑"/>
      <w:sz w:val="24"/>
      <w:szCs w:val="24"/>
      <w:lang w:val="en-US" w:eastAsia="zh-CN" w:bidi="ar-SA"/>
    </w:rPr>
  </w:style>
  <w:style w:type="paragraph" w:styleId="1271">
    <w:name w:val="列出段落3"/>
    <w:basedOn w:val="1082"/>
    <w:next w:val="1271"/>
    <w:link w:val="1082"/>
    <w:qFormat/>
    <w:pPr>
      <w:ind w:firstLine="420"/>
      <w:jc w:val="left"/>
      <w:spacing w:after="200"/>
      <w:widowControl/>
    </w:pPr>
    <w:rPr>
      <w:rFonts w:ascii="Tahoma" w:hAnsi="Tahoma" w:eastAsia="微软雅黑"/>
      <w:sz w:val="22"/>
      <w:szCs w:val="22"/>
    </w:rPr>
  </w:style>
  <w:style w:type="paragraph" w:styleId="1272">
    <w:name w:val="纯文本2"/>
    <w:basedOn w:val="1082"/>
    <w:next w:val="1272"/>
    <w:link w:val="1082"/>
    <w:qFormat/>
    <w:pPr>
      <w:jc w:val="left"/>
    </w:pPr>
    <w:rPr>
      <w:rFonts w:hint="eastAsia" w:ascii="宋体" w:hAnsi="宋体" w:cs="Courier New"/>
      <w:sz w:val="24"/>
      <w:szCs w:val="20"/>
      <w:lang w:bidi="hi-IN"/>
    </w:rPr>
  </w:style>
  <w:style w:type="paragraph" w:styleId="1273">
    <w:name w:val="列出段落"/>
    <w:basedOn w:val="1082"/>
    <w:next w:val="1273"/>
    <w:link w:val="1082"/>
    <w:uiPriority w:val="34"/>
    <w:qFormat/>
    <w:pPr>
      <w:ind w:firstLine="420"/>
    </w:pPr>
  </w:style>
  <w:style w:type="paragraph" w:styleId="1274">
    <w:name w:val="trs_editor"/>
    <w:basedOn w:val="1082"/>
    <w:next w:val="1274"/>
    <w:link w:val="1082"/>
    <w:qFormat/>
    <w:pPr>
      <w:jc w:val="left"/>
      <w:spacing w:before="100" w:beforeAutospacing="1" w:after="100" w:afterAutospacing="1"/>
      <w:widowControl/>
    </w:pPr>
    <w:rPr>
      <w:rFonts w:ascii="宋体" w:hAnsi="宋体" w:cs="宋体"/>
      <w:sz w:val="24"/>
    </w:rPr>
  </w:style>
  <w:style w:type="table" w:styleId="1275">
    <w:name w:val="网格型1"/>
    <w:basedOn w:val="1093"/>
    <w:next w:val="1275"/>
    <w:link w:val="1082"/>
    <w:qFormat/>
    <w:rPr>
      <w:rFonts w:ascii="Calibri" w:hAnsi="Calibri" w:eastAsia="宋体" w:cs="Times New Roman"/>
    </w:rPr>
    <w:tblPr/>
  </w:style>
  <w:style w:type="paragraph" w:styleId="1276">
    <w:name w:val="样式1"/>
    <w:basedOn w:val="1082"/>
    <w:next w:val="1276"/>
    <w:link w:val="1082"/>
    <w:qFormat/>
    <w:pPr>
      <w:jc w:val="center"/>
    </w:pPr>
  </w:style>
  <w:style w:type="paragraph" w:styleId="1277">
    <w:name w:val="样式 宋体 小四 行距: 1.5 倍行距"/>
    <w:basedOn w:val="1082"/>
    <w:next w:val="1277"/>
    <w:link w:val="1082"/>
    <w:qFormat/>
    <w:pPr>
      <w:ind w:firstLine="480"/>
      <w:jc w:val="both"/>
      <w:spacing w:after="0" w:line="360" w:lineRule="auto"/>
      <w:widowControl w:val="off"/>
    </w:pPr>
    <w:rPr>
      <w:rFonts w:ascii="宋体" w:hAnsi="宋体" w:eastAsia="宋体" w:cs="宋体"/>
      <w:sz w:val="24"/>
      <w:szCs w:val="24"/>
    </w:rPr>
  </w:style>
  <w:style w:type="paragraph" w:styleId="1278">
    <w:name w:val="正文格式"/>
    <w:basedOn w:val="1082"/>
    <w:next w:val="1278"/>
    <w:link w:val="1082"/>
    <w:qFormat/>
    <w:pPr>
      <w:ind w:firstLine="200"/>
      <w:jc w:val="both"/>
      <w:spacing w:after="0" w:line="300" w:lineRule="auto"/>
      <w:widowControl w:val="off"/>
    </w:pPr>
    <w:rPr>
      <w:rFonts w:ascii="Times New Roman" w:hAnsi="Times New Roman" w:eastAsia="宋体" w:cs="宋体"/>
      <w:sz w:val="24"/>
      <w:szCs w:val="20"/>
    </w:rPr>
  </w:style>
  <w:style w:type="character" w:styleId="1279">
    <w:name w:val="批注文字 Char"/>
    <w:next w:val="1279"/>
    <w:link w:val="1082"/>
    <w:uiPriority w:val="99"/>
    <w:qFormat/>
    <w:rPr>
      <w:rFonts w:ascii="Calibri" w:hAnsi="Calibri" w:eastAsia="宋体" w:cs="Times New Roman"/>
      <w:sz w:val="20"/>
      <w:szCs w:val="24"/>
    </w:rPr>
  </w:style>
  <w:style w:type="character" w:styleId="1280">
    <w:name w:val="未处理的提及"/>
    <w:next w:val="1280"/>
    <w:link w:val="1082"/>
    <w:uiPriority w:val="99"/>
    <w:unhideWhenUsed/>
    <w:rPr>
      <w:color w:val="605e5c"/>
      <w:shd w:val="clear" w:color="auto" w:fill="e1dfdd"/>
    </w:rPr>
  </w:style>
  <w:style w:type="paragraph" w:styleId="1281">
    <w:name w:val="_Style 197"/>
    <w:basedOn w:val="1082"/>
    <w:next w:val="1273"/>
    <w:link w:val="1082"/>
    <w:uiPriority w:val="34"/>
    <w:qFormat/>
    <w:pPr>
      <w:ind w:firstLine="420"/>
    </w:pPr>
    <w:rPr>
      <w:rFonts w:ascii="Calibri" w:hAnsi="Calibri"/>
      <w:szCs w:val="22"/>
    </w:rPr>
  </w:style>
  <w:style w:type="paragraph" w:styleId="1282">
    <w:name w:val="修订"/>
    <w:next w:val="1282"/>
    <w:link w:val="1082"/>
    <w:uiPriority w:val="99"/>
    <w:unhideWhenUsed/>
    <w:rPr>
      <w:sz w:val="21"/>
      <w:szCs w:val="24"/>
      <w:lang w:val="en-US" w:eastAsia="zh-CN" w:bidi="ar-SA"/>
    </w:rPr>
  </w:style>
  <w:style w:type="paragraph" w:styleId="1283">
    <w:name w:val="03 正文"/>
    <w:basedOn w:val="1082"/>
    <w:next w:val="1283"/>
    <w:link w:val="1082"/>
    <w:qFormat/>
    <w:pPr>
      <w:ind w:firstLine="420"/>
      <w:spacing w:line="500" w:lineRule="atLeast"/>
      <w:widowControl/>
    </w:pPr>
    <w:rPr>
      <w:sz w:val="20"/>
      <w:szCs w:val="24"/>
    </w:rPr>
  </w:style>
  <w:style w:type="character" w:styleId="1284">
    <w:name w:val="i-list__text"/>
    <w:basedOn w:val="1092"/>
    <w:next w:val="1284"/>
    <w:link w:val="1082"/>
    <w:qFormat/>
  </w:style>
  <w:style w:type="character" w:styleId="1285" w:default="1">
    <w:name w:val="Default Paragraph Font"/>
    <w:uiPriority w:val="1"/>
    <w:semiHidden/>
    <w:unhideWhenUsed/>
  </w:style>
  <w:style w:type="numbering" w:styleId="1286" w:default="1">
    <w:name w:val="No List"/>
    <w:uiPriority w:val="99"/>
    <w:semiHidden/>
    <w:unhideWhenUsed/>
  </w:style>
  <w:style w:type="table" w:styleId="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4</cp:revision>
  <dcterms:created xsi:type="dcterms:W3CDTF">2026-01-09T08:25:00Z</dcterms:created>
  <dcterms:modified xsi:type="dcterms:W3CDTF">2026-07-15T02:45:36Z</dcterms:modified>
</cp:coreProperties>
</file>