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center"/>
        <w:spacing w:line="500" w:lineRule="exact"/>
        <w:shd w:val="clear" w:color="auto" w:fill="auto"/>
        <w:rPr>
          <w:rFonts w:hint="eastAsia" w:ascii="宋体" w:hAnsi="宋体" w:eastAsia="宋体" w:cs="宋体"/>
          <w:bCs/>
          <w:color w:val="000000"/>
          <w:spacing w:val="20"/>
          <w:sz w:val="44"/>
          <w:highlight w:val="none"/>
          <w:shd w:val="clear" w:color="auto" w:fill="auto"/>
        </w:rPr>
      </w:pPr>
      <w:r>
        <w:rPr>
          <w:rFonts w:hint="eastAsia" w:ascii="宋体" w:hAnsi="宋体" w:eastAsia="宋体" w:cs="宋体"/>
          <w:bCs/>
          <w:color w:val="000000"/>
          <w:spacing w:val="20"/>
          <w:sz w:val="44"/>
          <w:highlight w:val="none"/>
          <w:shd w:val="clear" w:color="auto" w:fill="auto"/>
        </w:rPr>
      </w:r>
      <w:r/>
    </w:p>
    <w:p>
      <w:pPr>
        <w:pStyle w:val="800"/>
        <w:ind w:firstLine="560"/>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jc w:val="center"/>
        <w:shd w:val="clear" w:color="auto" w:fill="auto"/>
        <w:rPr>
          <w:rFonts w:hint="eastAsia" w:ascii="宋体" w:hAnsi="宋体" w:eastAsia="宋体" w:cs="宋体"/>
          <w:bCs/>
          <w:color w:val="000000"/>
          <w:sz w:val="100"/>
          <w:szCs w:val="100"/>
          <w:highlight w:val="none"/>
          <w:shd w:val="clear" w:color="auto" w:fill="auto"/>
        </w:rPr>
      </w:pPr>
      <w:r>
        <w:rPr>
          <w:rFonts w:hint="eastAsia" w:ascii="宋体" w:hAnsi="宋体" w:eastAsia="宋体" w:cs="宋体"/>
          <w:b/>
          <w:bCs/>
          <w:color w:val="000000"/>
          <w:sz w:val="48"/>
          <w:szCs w:val="48"/>
          <w:highlight w:val="none"/>
          <w:shd w:val="clear" w:color="auto" w:fill="auto"/>
          <w:lang w:eastAsia="zh-CN"/>
        </w:rPr>
        <w:t xml:space="preserve">南通市人力资源和社会保障信息中心核心设备及数据库运维服务项目</w:t>
      </w:r>
      <w:r>
        <w:rPr>
          <w:rFonts w:hint="eastAsia" w:ascii="宋体" w:hAnsi="宋体" w:eastAsia="宋体" w:cs="宋体"/>
          <w:bCs/>
          <w:color w:val="000000"/>
          <w:sz w:val="100"/>
          <w:szCs w:val="100"/>
          <w:highlight w:val="none"/>
          <w:shd w:val="clear" w:color="auto" w:fill="auto"/>
        </w:rPr>
      </w:r>
      <w:r/>
    </w:p>
    <w:p>
      <w:pPr>
        <w:pStyle w:val="725"/>
        <w:jc w:val="center"/>
        <w:spacing w:line="300" w:lineRule="auto"/>
        <w:shd w:val="clear" w:color="auto" w:fill="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r>
      <w:r/>
    </w:p>
    <w:p>
      <w:pPr>
        <w:pStyle w:val="725"/>
        <w:jc w:val="center"/>
        <w:spacing w:line="300" w:lineRule="auto"/>
        <w:shd w:val="clear" w:color="auto" w:fill="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政府采购</w:t>
      </w:r>
      <w:r>
        <w:rPr>
          <w:rFonts w:hint="eastAsia" w:ascii="宋体" w:hAnsi="宋体" w:eastAsia="宋体" w:cs="宋体"/>
          <w:b/>
          <w:color w:val="000000"/>
          <w:sz w:val="96"/>
          <w:szCs w:val="96"/>
          <w:highlight w:val="none"/>
          <w:shd w:val="clear" w:color="auto" w:fill="auto"/>
        </w:rPr>
      </w:r>
      <w:r/>
    </w:p>
    <w:p>
      <w:pPr>
        <w:pStyle w:val="725"/>
        <w:jc w:val="center"/>
        <w:spacing w:line="300" w:lineRule="auto"/>
        <w:shd w:val="clear" w:color="auto" w:fill="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公开招标文件</w:t>
      </w:r>
      <w:r>
        <w:rPr>
          <w:rFonts w:hint="eastAsia" w:ascii="宋体" w:hAnsi="宋体" w:eastAsia="宋体" w:cs="宋体"/>
          <w:b/>
          <w:color w:val="000000"/>
          <w:sz w:val="96"/>
          <w:szCs w:val="96"/>
          <w:highlight w:val="none"/>
          <w:shd w:val="clear" w:color="auto" w:fill="auto"/>
        </w:rPr>
      </w:r>
      <w:r/>
    </w:p>
    <w:p>
      <w:pPr>
        <w:pStyle w:val="731"/>
        <w:spacing w:line="500" w:lineRule="exact"/>
        <w:shd w:val="clear" w:color="auto" w:fill="auto"/>
        <w:rPr>
          <w:rFonts w:hint="eastAsia" w:ascii="宋体" w:hAnsi="宋体" w:eastAsia="宋体" w:cs="宋体"/>
          <w:b w:val="0"/>
          <w:bCs/>
          <w:color w:val="000000"/>
          <w:highlight w:val="none"/>
          <w:shd w:val="clear" w:color="auto" w:fill="auto"/>
        </w:rPr>
      </w:pPr>
      <w:r>
        <w:rPr>
          <w:rFonts w:hint="eastAsia" w:ascii="宋体" w:hAnsi="宋体" w:eastAsia="宋体" w:cs="宋体"/>
          <w:b w:val="0"/>
          <w:bCs/>
          <w:color w:val="000000"/>
          <w:highlight w:val="none"/>
          <w:shd w:val="clear" w:color="auto" w:fill="auto"/>
        </w:rPr>
      </w:r>
      <w:r/>
    </w:p>
    <w:p>
      <w:pPr>
        <w:pStyle w:val="725"/>
        <w:jc w:val="center"/>
        <w:spacing w:line="720" w:lineRule="auto"/>
        <w:shd w:val="clear" w:color="auto" w:fill="auto"/>
        <w:rPr>
          <w:rFonts w:hint="eastAsia" w:ascii="宋体" w:hAnsi="宋体" w:eastAsia="宋体" w:cs="宋体"/>
          <w:b/>
          <w:color w:val="000000"/>
          <w:sz w:val="32"/>
          <w:szCs w:val="32"/>
          <w:highlight w:val="none"/>
          <w:shd w:val="clear" w:color="auto" w:fill="auto"/>
        </w:rPr>
      </w:pPr>
      <w:r/>
      <w:bookmarkStart w:id="0" w:name="_Hlk154567591"/>
      <w:r>
        <w:rPr>
          <w:rFonts w:hint="eastAsia" w:ascii="宋体" w:hAnsi="宋体" w:eastAsia="宋体" w:cs="宋体"/>
          <w:b/>
          <w:color w:val="000000"/>
          <w:sz w:val="32"/>
          <w:szCs w:val="32"/>
          <w:highlight w:val="none"/>
          <w:shd w:val="clear" w:color="auto" w:fill="auto"/>
        </w:rPr>
        <w:t xml:space="preserve">项目编号：</w:t>
      </w:r>
      <w:bookmarkEnd w:id="0"/>
      <w:r>
        <w:rPr>
          <w:rFonts w:hint="eastAsia" w:ascii="宋体" w:hAnsi="宋体" w:eastAsia="宋体" w:cs="宋体"/>
          <w:b/>
          <w:color w:val="000000"/>
          <w:sz w:val="32"/>
          <w:szCs w:val="32"/>
          <w:highlight w:val="none"/>
          <w:shd w:val="clear" w:color="auto" w:fill="auto"/>
          <w:lang w:eastAsia="zh-CN"/>
        </w:rPr>
        <w:t xml:space="preserve">JSZC-320600-ZYZB-G2026-0014</w:t>
      </w:r>
      <w:r>
        <w:rPr>
          <w:rFonts w:hint="eastAsia" w:ascii="宋体" w:hAnsi="宋体" w:eastAsia="宋体" w:cs="宋体"/>
          <w:b/>
          <w:color w:val="000000"/>
          <w:sz w:val="32"/>
          <w:szCs w:val="32"/>
          <w:highlight w:val="none"/>
          <w:shd w:val="clear" w:color="auto" w:fill="auto"/>
        </w:rPr>
        <w:t xml:space="preserve">  </w:t>
      </w:r>
      <w:r>
        <w:rPr>
          <w:rFonts w:hint="eastAsia" w:ascii="宋体" w:hAnsi="宋体" w:eastAsia="宋体" w:cs="宋体"/>
          <w:b/>
          <w:color w:val="000000"/>
          <w:sz w:val="32"/>
          <w:szCs w:val="32"/>
          <w:highlight w:val="none"/>
          <w:shd w:val="clear" w:color="auto" w:fill="auto"/>
        </w:rPr>
      </w:r>
      <w:r/>
    </w:p>
    <w:p>
      <w:pPr>
        <w:pStyle w:val="725"/>
        <w:jc w:val="center"/>
        <w:spacing w:line="360" w:lineRule="auto"/>
        <w:shd w:val="clear" w:color="auto" w:fill="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725"/>
        <w:ind w:left="-2" w:right="120"/>
        <w:jc w:val="center"/>
        <w:spacing w:before="120" w:after="120" w:line="500" w:lineRule="exact"/>
        <w:shd w:val="clear" w:color="auto" w:fill="auto"/>
        <w:rPr>
          <w:rFonts w:hint="eastAsia" w:ascii="宋体" w:hAnsi="宋体" w:eastAsia="宋体" w:cs="宋体"/>
          <w:b/>
          <w:color w:val="000000"/>
          <w:sz w:val="30"/>
          <w:szCs w:val="30"/>
          <w:highlight w:val="none"/>
          <w:shd w:val="clear" w:color="auto" w:fill="auto"/>
          <w:lang w:eastAsia="zh-CN"/>
        </w:rPr>
      </w:pPr>
      <w:r>
        <w:rPr>
          <w:rFonts w:hint="eastAsia" w:ascii="宋体" w:hAnsi="宋体" w:eastAsia="宋体" w:cs="宋体"/>
          <w:b/>
          <w:color w:val="000000"/>
          <w:sz w:val="30"/>
          <w:szCs w:val="30"/>
          <w:highlight w:val="none"/>
          <w:shd w:val="clear" w:color="auto" w:fill="auto"/>
        </w:rPr>
        <w:t xml:space="preserve">采 购 单 位：</w:t>
      </w:r>
      <w:r>
        <w:rPr>
          <w:rFonts w:hint="eastAsia" w:ascii="宋体" w:hAnsi="宋体" w:eastAsia="宋体" w:cs="宋体"/>
          <w:b/>
          <w:color w:val="000000"/>
          <w:sz w:val="30"/>
          <w:szCs w:val="30"/>
          <w:highlight w:val="none"/>
          <w:shd w:val="clear" w:color="auto" w:fill="auto"/>
          <w:lang w:eastAsia="zh-CN"/>
        </w:rPr>
        <w:t xml:space="preserve">南通市人力资源和社会保障信息中心</w:t>
      </w:r>
      <w:r>
        <w:rPr>
          <w:rFonts w:hint="eastAsia" w:ascii="宋体" w:hAnsi="宋体" w:eastAsia="宋体" w:cs="宋体"/>
          <w:b/>
          <w:color w:val="000000"/>
          <w:sz w:val="30"/>
          <w:szCs w:val="30"/>
          <w:highlight w:val="none"/>
          <w:shd w:val="clear" w:color="auto" w:fill="auto"/>
          <w:lang w:eastAsia="zh-CN"/>
        </w:rPr>
      </w:r>
      <w:r/>
    </w:p>
    <w:p>
      <w:pPr>
        <w:pStyle w:val="725"/>
        <w:ind w:left="-2" w:right="120"/>
        <w:jc w:val="center"/>
        <w:spacing w:before="120" w:after="120" w:line="500" w:lineRule="exact"/>
        <w:shd w:val="clear" w:color="auto" w:fill="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t xml:space="preserve">采购代理机构：江苏正扬招标代理有限公司</w:t>
      </w:r>
      <w:r>
        <w:rPr>
          <w:rFonts w:hint="eastAsia" w:ascii="宋体" w:hAnsi="宋体" w:eastAsia="宋体" w:cs="宋体"/>
          <w:b/>
          <w:color w:val="000000"/>
          <w:sz w:val="30"/>
          <w:szCs w:val="30"/>
          <w:highlight w:val="none"/>
          <w:shd w:val="clear" w:color="auto" w:fill="auto"/>
        </w:rPr>
      </w:r>
      <w:r/>
    </w:p>
    <w:p>
      <w:pPr>
        <w:pStyle w:val="725"/>
        <w:jc w:val="center"/>
        <w:spacing w:line="360" w:lineRule="auto"/>
        <w:shd w:val="clear" w:color="auto" w:fill="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725"/>
        <w:jc w:val="center"/>
        <w:spacing w:line="360" w:lineRule="auto"/>
        <w:shd w:val="clear" w:color="auto" w:fill="auto"/>
        <w:rPr>
          <w:rFonts w:hint="eastAsia" w:ascii="宋体" w:hAnsi="宋体" w:eastAsia="宋体" w:cs="宋体"/>
          <w:color w:val="000000"/>
          <w:sz w:val="32"/>
          <w:highlight w:val="none"/>
          <w:shd w:val="clear" w:color="auto" w:fill="auto"/>
        </w:rPr>
      </w:pPr>
      <w:r>
        <w:rPr>
          <w:rFonts w:hint="eastAsia" w:ascii="宋体" w:hAnsi="宋体" w:eastAsia="宋体" w:cs="宋体"/>
          <w:b/>
          <w:color w:val="000000"/>
          <w:sz w:val="30"/>
          <w:szCs w:val="30"/>
          <w:highlight w:val="none"/>
          <w:shd w:val="clear" w:color="auto" w:fill="auto"/>
        </w:rPr>
        <w:t xml:space="preserve">日期：</w:t>
      </w:r>
      <w:r>
        <w:rPr>
          <w:rFonts w:hint="eastAsia" w:ascii="宋体" w:hAnsi="宋体" w:eastAsia="宋体" w:cs="宋体"/>
          <w:b/>
          <w:color w:val="000000"/>
          <w:sz w:val="30"/>
          <w:szCs w:val="30"/>
          <w:highlight w:val="none"/>
          <w:shd w:val="clear" w:color="auto" w:fill="auto"/>
          <w:lang w:val="en-US" w:eastAsia="zh-CN"/>
        </w:rPr>
        <w:t xml:space="preserve">2026年7月</w:t>
      </w:r>
      <w:r>
        <w:rPr>
          <w:rFonts w:hint="eastAsia" w:ascii="宋体" w:hAnsi="宋体" w:eastAsia="宋体" w:cs="宋体"/>
          <w:color w:val="000000"/>
          <w:sz w:val="32"/>
          <w:highlight w:val="none"/>
          <w:shd w:val="clear" w:color="auto" w:fill="auto"/>
        </w:rPr>
      </w:r>
      <w:r/>
    </w:p>
    <w:p>
      <w:pPr>
        <w:pStyle w:val="725"/>
        <w:jc w:val="center"/>
        <w:spacing w:line="500" w:lineRule="exact"/>
        <w:shd w:val="clear" w:color="auto" w:fill="auto"/>
        <w:rPr>
          <w:rFonts w:hint="eastAsia" w:ascii="宋体" w:hAnsi="宋体" w:eastAsia="宋体" w:cs="宋体"/>
          <w:color w:val="000000"/>
          <w:sz w:val="32"/>
          <w:highlight w:val="none"/>
          <w:shd w:val="clear" w:color="auto" w:fill="auto"/>
        </w:rPr>
      </w:pPr>
      <w:r>
        <w:rPr>
          <w:rFonts w:hint="eastAsia" w:ascii="宋体" w:hAnsi="宋体" w:eastAsia="宋体" w:cs="宋体"/>
          <w:color w:val="000000"/>
          <w:sz w:val="32"/>
          <w:highlight w:val="none"/>
          <w:shd w:val="clear" w:color="auto" w:fill="auto"/>
        </w:rPr>
      </w:r>
      <w:r/>
    </w:p>
    <w:p>
      <w:pPr>
        <w:pStyle w:val="725"/>
        <w:jc w:val="center"/>
        <w:spacing w:line="500" w:lineRule="exact"/>
        <w:shd w:val="clear" w:color="auto" w:fill="auto"/>
        <w:rPr>
          <w:rFonts w:hint="eastAsia" w:ascii="宋体" w:hAnsi="宋体" w:eastAsia="宋体" w:cs="宋体"/>
          <w:color w:val="000000"/>
          <w:sz w:val="32"/>
          <w:highlight w:val="none"/>
          <w:shd w:val="clear" w:color="auto" w:fill="auto"/>
        </w:rPr>
      </w:pPr>
      <w:r>
        <w:rPr>
          <w:rFonts w:hint="eastAsia" w:ascii="宋体" w:hAnsi="宋体" w:eastAsia="宋体" w:cs="宋体"/>
          <w:color w:val="000000"/>
          <w:sz w:val="32"/>
          <w:highlight w:val="none"/>
          <w:shd w:val="clear" w:color="auto" w:fill="auto"/>
        </w:rPr>
      </w:r>
      <w:r/>
    </w:p>
    <w:p>
      <w:pPr>
        <w:pStyle w:val="725"/>
        <w:shd w:val="clear" w:color="auto" w:fill="auto"/>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color w:val="000000"/>
          <w:sz w:val="44"/>
          <w:szCs w:val="44"/>
          <w:highlight w:val="none"/>
          <w:shd w:val="clear" w:color="auto" w:fill="auto"/>
        </w:rPr>
      </w:r>
      <w:r/>
    </w:p>
    <w:p>
      <w:pPr>
        <w:pStyle w:val="725"/>
        <w:jc w:val="center"/>
        <w:spacing w:line="360" w:lineRule="auto"/>
        <w:shd w:val="clear" w:color="auto" w:fill="auto"/>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44"/>
          <w:szCs w:val="44"/>
          <w:highlight w:val="none"/>
          <w:shd w:val="clear" w:color="auto" w:fill="auto"/>
        </w:rPr>
        <w:t xml:space="preserve">目 录</w:t>
      </w:r>
      <w:r>
        <w:rPr>
          <w:rFonts w:hint="eastAsia" w:ascii="宋体" w:hAnsi="宋体" w:eastAsia="宋体" w:cs="宋体"/>
          <w:color w:val="000000"/>
          <w:sz w:val="44"/>
          <w:szCs w:val="44"/>
          <w:highlight w:val="none"/>
          <w:shd w:val="clear" w:color="auto" w:fill="auto"/>
        </w:rPr>
      </w:r>
      <w:r/>
    </w:p>
    <w:p>
      <w:pPr>
        <w:pStyle w:val="725"/>
        <w:jc w:val="center"/>
        <w:spacing w:line="360" w:lineRule="auto"/>
        <w:shd w:val="clear" w:color="auto" w:fill="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25"/>
        <w:jc w:val="center"/>
        <w:spacing w:line="360" w:lineRule="auto"/>
        <w:shd w:val="clear" w:color="auto" w:fill="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第一部分  投标邀请</w:t>
      </w:r>
      <w:r>
        <w:rPr>
          <w:rFonts w:hint="eastAsia" w:ascii="宋体" w:hAnsi="宋体" w:eastAsia="宋体" w:cs="宋体"/>
          <w:color w:val="000000"/>
          <w:spacing w:val="2"/>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第二部分  投标须知</w:t>
      </w:r>
      <w:r>
        <w:rPr>
          <w:rFonts w:hint="eastAsia" w:ascii="宋体" w:hAnsi="宋体" w:eastAsia="宋体" w:cs="宋体"/>
          <w:color w:val="000000"/>
          <w:spacing w:val="2"/>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第三部分  项目需求</w:t>
      </w:r>
      <w:r>
        <w:rPr>
          <w:rFonts w:hint="eastAsia" w:ascii="宋体" w:hAnsi="宋体" w:eastAsia="宋体" w:cs="宋体"/>
          <w:color w:val="000000"/>
          <w:spacing w:val="2"/>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bCs/>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t xml:space="preserve">第四部分  </w:t>
      </w:r>
      <w:r>
        <w:rPr>
          <w:rFonts w:hint="eastAsia" w:ascii="宋体" w:hAnsi="宋体" w:eastAsia="宋体" w:cs="宋体"/>
          <w:bCs/>
          <w:color w:val="000000"/>
          <w:sz w:val="32"/>
          <w:szCs w:val="32"/>
          <w:highlight w:val="none"/>
          <w:shd w:val="clear" w:color="auto" w:fill="auto"/>
        </w:rPr>
        <w:t xml:space="preserve">评标方法与评标标准</w:t>
      </w:r>
      <w:r>
        <w:rPr>
          <w:rFonts w:hint="eastAsia" w:ascii="宋体" w:hAnsi="宋体" w:eastAsia="宋体" w:cs="宋体"/>
          <w:bCs/>
          <w:color w:val="000000"/>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第五部分 </w:t>
      </w:r>
      <w:r>
        <w:rPr>
          <w:rFonts w:hint="eastAsia" w:ascii="宋体" w:hAnsi="宋体" w:eastAsia="宋体" w:cs="宋体"/>
          <w:bCs/>
          <w:color w:val="000000"/>
          <w:sz w:val="32"/>
          <w:szCs w:val="32"/>
          <w:highlight w:val="none"/>
          <w:shd w:val="clear" w:color="auto" w:fill="auto"/>
          <w:lang w:val="en-US" w:eastAsia="zh-CN"/>
        </w:rPr>
        <w:t xml:space="preserve"> </w:t>
      </w:r>
      <w:r>
        <w:rPr>
          <w:rFonts w:hint="eastAsia" w:ascii="宋体" w:hAnsi="宋体" w:eastAsia="宋体" w:cs="宋体"/>
          <w:bCs/>
          <w:color w:val="000000"/>
          <w:sz w:val="32"/>
          <w:szCs w:val="32"/>
          <w:highlight w:val="none"/>
          <w:shd w:val="clear" w:color="auto" w:fill="auto"/>
        </w:rPr>
        <w:t xml:space="preserve">合同格式</w:t>
      </w:r>
      <w:r>
        <w:rPr>
          <w:rFonts w:hint="eastAsia" w:ascii="宋体" w:hAnsi="宋体" w:eastAsia="宋体" w:cs="宋体"/>
          <w:color w:val="000000"/>
          <w:spacing w:val="2"/>
          <w:sz w:val="32"/>
          <w:szCs w:val="32"/>
          <w:highlight w:val="none"/>
          <w:shd w:val="clear" w:color="auto" w:fill="auto"/>
        </w:rPr>
      </w:r>
      <w:r/>
    </w:p>
    <w:p>
      <w:pPr>
        <w:pStyle w:val="725"/>
        <w:ind w:firstLine="640"/>
        <w:spacing w:line="360" w:lineRule="auto"/>
        <w:shd w:val="clear" w:color="auto" w:fill="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第六部分  投标文件组成</w:t>
      </w:r>
      <w:r>
        <w:rPr>
          <w:rFonts w:hint="eastAsia" w:ascii="宋体" w:hAnsi="宋体" w:eastAsia="宋体" w:cs="宋体"/>
          <w:color w:val="000000"/>
          <w:spacing w:val="2"/>
          <w:sz w:val="32"/>
          <w:szCs w:val="32"/>
          <w:highlight w:val="none"/>
          <w:shd w:val="clear" w:color="auto" w:fill="auto"/>
        </w:rPr>
      </w:r>
      <w:r/>
    </w:p>
    <w:p>
      <w:pPr>
        <w:pStyle w:val="725"/>
        <w:jc w:val="center"/>
        <w:spacing w:line="500" w:lineRule="exact"/>
        <w:shd w:val="clear" w:color="auto" w:fill="auto"/>
        <w:rPr>
          <w:rFonts w:hint="eastAsia" w:ascii="宋体" w:hAnsi="宋体" w:eastAsia="宋体" w:cs="宋体"/>
          <w:color w:val="000000"/>
          <w:sz w:val="28"/>
          <w:szCs w:val="28"/>
          <w:highlight w:val="none"/>
          <w:shd w:val="clear" w:color="auto" w:fill="auto"/>
        </w:rPr>
        <w:outlineLvl w:val="0"/>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第一部分  </w:t>
      </w:r>
      <w:bookmarkStart w:id="1" w:name="OLE_LINK7"/>
      <w:r/>
      <w:bookmarkStart w:id="2" w:name="OLE_LINK5"/>
      <w:r>
        <w:rPr>
          <w:rFonts w:hint="eastAsia" w:ascii="宋体" w:hAnsi="宋体" w:eastAsia="宋体" w:cs="宋体"/>
          <w:bCs/>
          <w:color w:val="000000"/>
          <w:sz w:val="36"/>
          <w:szCs w:val="36"/>
          <w:highlight w:val="none"/>
          <w:shd w:val="clear" w:color="auto" w:fill="auto"/>
        </w:rPr>
        <w:t xml:space="preserve">投标邀请</w:t>
      </w:r>
      <w:bookmarkStart w:id="3" w:name="OLE_LINK6"/>
      <w:r>
        <w:rPr>
          <w:rFonts w:hint="eastAsia" w:ascii="宋体" w:hAnsi="宋体" w:eastAsia="宋体" w:cs="宋体"/>
          <w:color w:val="000000"/>
          <w:sz w:val="28"/>
          <w:szCs w:val="28"/>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shd w:val="clear" w:color="auto" w:fill="auto"/>
        </w:rPr>
        <w:t xml:space="preserve">项目概况</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bookmarkStart w:id="5" w:name="OLE_LINK20"/>
      <w:r>
        <w:rPr>
          <w:rFonts w:hint="eastAsia" w:ascii="宋体" w:hAnsi="宋体" w:eastAsia="宋体" w:cs="宋体"/>
          <w:color w:val="000000"/>
          <w:szCs w:val="21"/>
          <w:highlight w:val="none"/>
          <w:shd w:val="clear" w:color="auto" w:fill="auto"/>
          <w:lang w:eastAsia="zh-CN"/>
        </w:rPr>
        <w:t xml:space="preserve">南通市人力资源和社会保障信息中心核心设备及数据库运维服务项目（JSZC-320600-ZYZB-G2026-0014）的潜在投标人应在苏采云系统内获取招标文件，并于2026年</w:t>
      </w:r>
      <w:r>
        <w:rPr>
          <w:rFonts w:hint="eastAsia" w:ascii="宋体" w:hAnsi="宋体" w:eastAsia="宋体" w:cs="宋体"/>
          <w:color w:val="000000"/>
          <w:szCs w:val="21"/>
          <w:highlight w:val="none"/>
          <w:shd w:val="clear" w:color="auto" w:fill="auto"/>
          <w:lang w:val="en-US" w:eastAsia="zh-CN"/>
        </w:rPr>
        <w:t xml:space="preserve">8月3日</w:t>
      </w:r>
      <w:r>
        <w:rPr>
          <w:rFonts w:hint="eastAsia" w:ascii="宋体" w:hAnsi="宋体" w:eastAsia="宋体" w:cs="宋体"/>
          <w:color w:val="000000"/>
          <w:szCs w:val="21"/>
          <w:highlight w:val="none"/>
          <w:shd w:val="clear" w:color="auto" w:fill="auto"/>
          <w:lang w:eastAsia="zh-CN"/>
        </w:rPr>
        <w:t xml:space="preserve">14时30分（北京时间）前递交投标文件。</w:t>
      </w:r>
      <w:bookmarkEnd w:id="5"/>
      <w:r>
        <w:rPr>
          <w:rFonts w:hint="eastAsia" w:ascii="宋体" w:hAnsi="宋体" w:eastAsia="宋体" w:cs="宋体"/>
          <w:color w:val="000000"/>
          <w:szCs w:val="21"/>
          <w:highlight w:val="none"/>
          <w:shd w:val="clear" w:color="auto" w:fill="auto"/>
          <w:lang w:eastAsia="zh-CN"/>
        </w:rPr>
      </w:r>
      <w:r/>
    </w:p>
    <w:p>
      <w:pPr>
        <w:pStyle w:val="725"/>
        <w:ind w:firstLine="42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 一、项目基本情况</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1.项目编号：</w:t>
      </w:r>
      <w:r>
        <w:rPr>
          <w:rFonts w:hint="eastAsia" w:ascii="宋体" w:hAnsi="宋体" w:eastAsia="宋体" w:cs="宋体"/>
          <w:color w:val="000000"/>
          <w:szCs w:val="21"/>
          <w:highlight w:val="none"/>
          <w:shd w:val="clear" w:color="auto" w:fill="auto"/>
          <w:lang w:eastAsia="zh-CN"/>
        </w:rPr>
        <w:t xml:space="preserve">JSZC-320600-ZYZB-G2026-0014</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bookmarkStart w:id="6" w:name="OLE_LINK2"/>
      <w:r>
        <w:rPr>
          <w:rFonts w:hint="eastAsia" w:ascii="宋体" w:hAnsi="宋体" w:eastAsia="宋体" w:cs="宋体"/>
          <w:color w:val="000000"/>
          <w:szCs w:val="21"/>
          <w:highlight w:val="none"/>
          <w:shd w:val="clear" w:color="auto" w:fill="auto"/>
        </w:rPr>
        <w:t xml:space="preserve">2.项目名称：</w:t>
      </w:r>
      <w:r>
        <w:rPr>
          <w:rFonts w:hint="eastAsia" w:ascii="宋体" w:hAnsi="宋体" w:eastAsia="宋体" w:cs="宋体"/>
          <w:color w:val="000000"/>
          <w:szCs w:val="21"/>
          <w:highlight w:val="none"/>
          <w:shd w:val="clear" w:color="auto" w:fill="auto"/>
          <w:lang w:eastAsia="zh-CN"/>
        </w:rPr>
        <w:t xml:space="preserve">南通市人力资源和社会保障信息中心核心设备及数据库运维服务项目</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3.预算金额：</w:t>
      </w:r>
      <w:r>
        <w:rPr>
          <w:rFonts w:hint="eastAsia" w:ascii="宋体" w:hAnsi="宋体" w:eastAsia="宋体" w:cs="宋体"/>
          <w:b w:val="0"/>
          <w:color w:val="000000"/>
          <w:highlight w:val="none"/>
          <w:shd w:val="clear" w:color="auto" w:fill="auto"/>
          <w:lang w:eastAsia="zh-CN"/>
        </w:rPr>
        <w:t xml:space="preserve">145.34万元/年</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bCs/>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lang w:eastAsia="en-US"/>
        </w:rPr>
        <w:t xml:space="preserve">.</w:t>
      </w:r>
      <w:r>
        <w:rPr>
          <w:rFonts w:hint="eastAsia" w:ascii="宋体" w:hAnsi="宋体" w:eastAsia="宋体" w:cs="宋体"/>
          <w:color w:val="000000"/>
          <w:szCs w:val="21"/>
          <w:highlight w:val="none"/>
          <w:shd w:val="clear" w:color="auto" w:fill="auto"/>
          <w:lang w:val="en-US" w:eastAsia="zh-CN"/>
        </w:rPr>
        <w:t xml:space="preserve">最高限价：</w:t>
      </w:r>
      <w:r>
        <w:rPr>
          <w:rFonts w:hint="eastAsia" w:ascii="宋体" w:hAnsi="宋体" w:eastAsia="宋体" w:cs="宋体"/>
          <w:b w:val="0"/>
          <w:color w:val="000000"/>
          <w:highlight w:val="none"/>
          <w:shd w:val="clear" w:color="auto" w:fill="auto"/>
          <w:lang w:eastAsia="zh-CN"/>
        </w:rPr>
        <w:t xml:space="preserve">145.34万元/年</w:t>
      </w:r>
      <w:r>
        <w:rPr>
          <w:rFonts w:hint="eastAsia" w:ascii="宋体" w:hAnsi="宋体" w:eastAsia="宋体" w:cs="宋体"/>
          <w:color w:val="000000"/>
          <w:szCs w:val="21"/>
          <w:highlight w:val="none"/>
          <w:shd w:val="clear" w:color="auto" w:fill="auto"/>
          <w:lang w:eastAsia="zh-CN"/>
        </w:rPr>
        <w:t xml:space="preserve">；</w:t>
      </w:r>
      <w:bookmarkEnd w:id="6"/>
      <w:r>
        <w:rPr>
          <w:rFonts w:hint="eastAsia" w:ascii="宋体" w:hAnsi="宋体" w:eastAsia="宋体" w:cs="宋体"/>
          <w:b/>
          <w:bCs/>
          <w:color w:val="000000"/>
          <w:szCs w:val="21"/>
          <w:highlight w:val="none"/>
          <w:shd w:val="clear" w:color="auto" w:fill="auto"/>
          <w:lang w:val="en-US" w:eastAsia="zh-CN"/>
        </w:rPr>
      </w:r>
      <w:r/>
    </w:p>
    <w:p>
      <w:pPr>
        <w:pStyle w:val="725"/>
        <w:ind w:firstLine="560"/>
        <w:spacing w:line="500" w:lineRule="exact"/>
        <w:shd w:val="clear" w:color="auto" w:fill="auto"/>
        <w:rPr>
          <w:rFonts w:hint="eastAsia" w:ascii="宋体" w:hAnsi="宋体" w:eastAsia="宋体" w:cs="宋体"/>
          <w:b w:val="0"/>
          <w:color w:val="000000"/>
          <w:highlight w:val="none"/>
          <w:shd w:val="clear" w:color="auto" w:fill="auto"/>
          <w:lang w:eastAsia="zh-CN"/>
        </w:rPr>
      </w:pPr>
      <w:r>
        <w:rPr>
          <w:rFonts w:hint="eastAsia" w:ascii="宋体" w:hAnsi="宋体" w:eastAsia="宋体" w:cs="宋体"/>
          <w:b w:val="0"/>
          <w:color w:val="000000"/>
          <w:highlight w:val="none"/>
          <w:shd w:val="clear" w:color="auto" w:fill="auto"/>
          <w:lang w:eastAsia="zh-CN"/>
        </w:rPr>
        <w:t xml:space="preserve">5.采购需求：</w:t>
      </w:r>
      <w:bookmarkStart w:id="7" w:name="OLE_LINK16"/>
      <w:r>
        <w:rPr>
          <w:rFonts w:hint="eastAsia" w:ascii="宋体" w:hAnsi="宋体" w:eastAsia="宋体" w:cs="宋体"/>
          <w:b w:val="0"/>
          <w:color w:val="000000"/>
          <w:highlight w:val="none"/>
          <w:shd w:val="clear" w:color="auto" w:fill="auto"/>
          <w:lang w:eastAsia="zh-CN"/>
        </w:rPr>
        <w:t xml:space="preserve">详见采购文件第三部分，请仔细研究</w:t>
      </w:r>
      <w:bookmarkEnd w:id="7"/>
      <w:r>
        <w:rPr>
          <w:rFonts w:hint="eastAsia" w:ascii="宋体" w:hAnsi="宋体" w:eastAsia="宋体" w:cs="宋体"/>
          <w:b w:val="0"/>
          <w:color w:val="000000"/>
          <w:highlight w:val="none"/>
          <w:shd w:val="clear" w:color="auto" w:fill="auto"/>
          <w:lang w:eastAsia="zh-CN"/>
        </w:rPr>
        <w:t xml:space="preserve">；</w:t>
      </w:r>
      <w:r>
        <w:rPr>
          <w:rFonts w:hint="eastAsia" w:ascii="宋体" w:hAnsi="宋体" w:eastAsia="宋体" w:cs="宋体"/>
          <w:b w:val="0"/>
          <w:color w:val="000000"/>
          <w:highlight w:val="none"/>
          <w:shd w:val="clear" w:color="auto" w:fill="auto"/>
          <w:lang w:eastAsia="zh-CN"/>
        </w:rPr>
      </w:r>
      <w:r/>
    </w:p>
    <w:p>
      <w:pPr>
        <w:pStyle w:val="725"/>
        <w:ind w:firstLine="560"/>
        <w:spacing w:line="500" w:lineRule="exact"/>
        <w:shd w:val="clear" w:color="auto" w:fill="auto"/>
        <w:rPr>
          <w:rFonts w:hint="eastAsia" w:ascii="宋体" w:hAnsi="宋体" w:eastAsia="宋体" w:cs="宋体"/>
          <w:b w:val="0"/>
          <w:color w:val="000000"/>
          <w:highlight w:val="none"/>
          <w:shd w:val="clear" w:color="auto" w:fill="auto"/>
          <w:lang w:eastAsia="zh-CN"/>
        </w:rPr>
      </w:pPr>
      <w:r>
        <w:rPr>
          <w:rFonts w:hint="eastAsia" w:ascii="宋体" w:hAnsi="宋体" w:eastAsia="宋体" w:cs="宋体"/>
          <w:b w:val="0"/>
          <w:color w:val="000000"/>
          <w:highlight w:val="none"/>
          <w:shd w:val="clear" w:color="auto" w:fill="auto"/>
          <w:lang w:eastAsia="zh-CN"/>
        </w:rPr>
        <w:t xml:space="preserve">6.合同履行期限：本项目首年度合同履行期限为采购合同签订生效之日起1年（即12个月），若年度服务期满后，服务考核最终得分在</w:t>
      </w:r>
      <w:r>
        <w:rPr>
          <w:rFonts w:hint="eastAsia" w:ascii="宋体" w:hAnsi="宋体" w:eastAsia="宋体" w:cs="宋体"/>
          <w:b w:val="0"/>
          <w:color w:val="000000"/>
          <w:highlight w:val="none"/>
          <w:shd w:val="clear" w:color="auto" w:fill="auto"/>
          <w:lang w:val="en-US" w:eastAsia="zh-CN"/>
        </w:rPr>
        <w:t xml:space="preserve">95分以上</w:t>
      </w:r>
      <w:r>
        <w:rPr>
          <w:rFonts w:hint="eastAsia" w:ascii="宋体" w:hAnsi="宋体" w:eastAsia="宋体" w:cs="宋体"/>
          <w:b w:val="0"/>
          <w:color w:val="000000"/>
          <w:highlight w:val="none"/>
          <w:shd w:val="clear" w:color="auto" w:fill="auto"/>
          <w:lang w:eastAsia="zh-CN"/>
        </w:rPr>
        <w:t xml:space="preserve">，可续签下一年服务合同。</w:t>
      </w:r>
      <w:r>
        <w:rPr>
          <w:rFonts w:hint="eastAsia" w:ascii="宋体" w:hAnsi="宋体" w:eastAsia="宋体" w:cs="宋体"/>
          <w:b w:val="0"/>
          <w:color w:val="000000"/>
          <w:highlight w:val="none"/>
          <w:shd w:val="clear" w:color="auto" w:fill="auto"/>
          <w:lang w:val="en-US" w:eastAsia="zh-CN"/>
        </w:rPr>
        <w:t xml:space="preserve">总服务期不超过三年</w:t>
      </w:r>
      <w:r>
        <w:rPr>
          <w:rFonts w:hint="eastAsia" w:ascii="宋体" w:hAnsi="宋体" w:eastAsia="宋体" w:cs="宋体"/>
          <w:b w:val="0"/>
          <w:color w:val="000000"/>
          <w:highlight w:val="none"/>
          <w:shd w:val="clear" w:color="auto" w:fill="auto"/>
          <w:lang w:eastAsia="zh-CN"/>
        </w:rPr>
        <w:t xml:space="preserve">；</w:t>
      </w:r>
      <w:r>
        <w:rPr>
          <w:rFonts w:hint="eastAsia" w:ascii="宋体" w:hAnsi="宋体" w:eastAsia="宋体" w:cs="宋体"/>
          <w:b w:val="0"/>
          <w:color w:val="000000"/>
          <w:highlight w:val="none"/>
          <w:shd w:val="clear" w:color="auto" w:fill="auto"/>
          <w:lang w:eastAsia="zh-CN"/>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7.本项目不接收</w:t>
      </w:r>
      <w:bookmarkStart w:id="8" w:name="_GoBack"/>
      <w:r/>
      <w:bookmarkEnd w:id="8"/>
      <w:r>
        <w:rPr>
          <w:rFonts w:hint="eastAsia" w:ascii="宋体" w:hAnsi="宋体" w:eastAsia="宋体" w:cs="宋体"/>
          <w:color w:val="000000"/>
          <w:szCs w:val="21"/>
          <w:highlight w:val="none"/>
          <w:shd w:val="clear" w:color="auto" w:fill="auto"/>
        </w:rPr>
        <w:t xml:space="preserve">联合体投标；</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8</w:t>
      </w:r>
      <w:r>
        <w:rPr>
          <w:rFonts w:hint="eastAsia" w:ascii="宋体" w:hAnsi="宋体" w:eastAsia="宋体" w:cs="宋体"/>
          <w:color w:val="000000"/>
          <w:szCs w:val="21"/>
          <w:highlight w:val="none"/>
          <w:shd w:val="clear" w:color="auto" w:fill="auto"/>
        </w:rPr>
        <w:t xml:space="preserve">.项目类型：</w:t>
      </w:r>
      <w:r>
        <w:rPr>
          <w:rFonts w:hint="eastAsia" w:ascii="宋体" w:hAnsi="宋体" w:eastAsia="宋体" w:cs="宋体"/>
          <w:color w:val="000000"/>
          <w:szCs w:val="21"/>
          <w:highlight w:val="none"/>
          <w:shd w:val="clear" w:color="auto" w:fill="auto"/>
          <w:lang w:val="en-US" w:eastAsia="zh-CN"/>
        </w:rPr>
        <w:t xml:space="preserve">服务</w:t>
      </w:r>
      <w:r>
        <w:rPr>
          <w:rFonts w:hint="eastAsia" w:ascii="宋体" w:hAnsi="宋体" w:eastAsia="宋体" w:cs="宋体"/>
          <w:color w:val="000000"/>
          <w:szCs w:val="21"/>
          <w:highlight w:val="none"/>
          <w:shd w:val="clear" w:color="auto" w:fill="auto"/>
        </w:rPr>
        <w:t xml:space="preserve">类；</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lang w:val="en-US" w:eastAsia="zh-CN"/>
        </w:rPr>
        <w:t xml:space="preserve">9</w:t>
      </w:r>
      <w:r>
        <w:rPr>
          <w:rFonts w:hint="eastAsia" w:ascii="宋体" w:hAnsi="宋体" w:eastAsia="宋体" w:cs="宋体"/>
          <w:color w:val="000000"/>
          <w:szCs w:val="21"/>
          <w:highlight w:val="none"/>
          <w:shd w:val="clear" w:color="auto" w:fill="auto"/>
        </w:rPr>
        <w:t xml:space="preserve">.所属行业：</w:t>
      </w:r>
      <w:r>
        <w:rPr>
          <w:rFonts w:hint="eastAsia" w:ascii="宋体" w:hAnsi="宋体" w:eastAsia="宋体" w:cs="宋体"/>
          <w:color w:val="000000"/>
          <w:szCs w:val="21"/>
          <w:highlight w:val="none"/>
          <w:shd w:val="clear" w:color="auto" w:fill="auto"/>
          <w:lang w:val="en-US" w:eastAsia="zh-CN"/>
        </w:rPr>
        <w:t xml:space="preserve">软件和信息技术服务业</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eastAsia="zh-CN"/>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二、申请人的资格要求：</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1.满足《中华人民共和国政府采购法》第二十二条规定：</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bookmarkStart w:id="9" w:name="OLE_LINK9"/>
      <w:r>
        <w:rPr>
          <w:rFonts w:hint="eastAsia" w:ascii="宋体" w:hAnsi="宋体" w:eastAsia="宋体" w:cs="宋体"/>
          <w:color w:val="000000"/>
          <w:szCs w:val="21"/>
          <w:highlight w:val="none"/>
          <w:shd w:val="clear" w:color="auto" w:fill="auto"/>
        </w:rPr>
        <w:t xml:space="preserve">具有独立承担民事责任的能力（提供法人或者其他组织的营业执照；供应商为自然人的，提供其身份证）</w:t>
      </w:r>
      <w:bookmarkEnd w:id="9"/>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bookmarkStart w:id="10" w:name="OLE_LINK10"/>
      <w:r>
        <w:rPr>
          <w:rFonts w:hint="eastAsia" w:ascii="宋体" w:hAnsi="宋体" w:eastAsia="宋体" w:cs="宋体"/>
          <w:color w:val="000000"/>
          <w:szCs w:val="21"/>
          <w:highlight w:val="none"/>
          <w:shd w:val="clear" w:color="auto" w:fill="auto"/>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2025年度经会计师事务所/</w:t>
      </w:r>
      <w:r>
        <w:rPr>
          <w:rFonts w:hint="eastAsia" w:ascii="宋体" w:hAnsi="宋体" w:eastAsia="宋体" w:cs="宋体"/>
          <w:color w:val="000000"/>
          <w:szCs w:val="21"/>
          <w:highlight w:val="none"/>
          <w:shd w:val="clear" w:color="auto" w:fill="auto"/>
        </w:rPr>
        <w:t xml:space="preserve">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bookmarkEnd w:id="10"/>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bookmarkStart w:id="11" w:name="OLE_LINK11"/>
      <w:r>
        <w:rPr>
          <w:rFonts w:hint="eastAsia" w:ascii="宋体" w:hAnsi="宋体" w:eastAsia="宋体" w:cs="宋体"/>
          <w:color w:val="000000"/>
          <w:szCs w:val="21"/>
          <w:highlight w:val="none"/>
          <w:shd w:val="clear" w:color="auto" w:fill="auto"/>
          <w:lang w:val="en-US" w:eastAsia="zh-CN"/>
        </w:rPr>
        <w:t xml:space="preserve">具有履行合同所必需的设备和专业技术能力</w:t>
      </w:r>
      <w:r>
        <w:rPr>
          <w:rFonts w:hint="eastAsia" w:ascii="宋体" w:hAnsi="宋体" w:eastAsia="宋体" w:cs="宋体"/>
          <w:color w:val="000000"/>
          <w:szCs w:val="21"/>
          <w:highlight w:val="none"/>
          <w:shd w:val="clear" w:color="auto" w:fill="auto"/>
        </w:rPr>
        <w:t xml:space="preserve">（提供承诺书）</w:t>
      </w:r>
      <w:bookmarkEnd w:id="11"/>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bookmarkStart w:id="12" w:name="OLE_LINK12"/>
      <w:r>
        <w:rPr>
          <w:rFonts w:hint="eastAsia" w:ascii="宋体" w:hAnsi="宋体" w:eastAsia="宋体" w:cs="宋体"/>
          <w:color w:val="000000"/>
          <w:szCs w:val="21"/>
          <w:highlight w:val="none"/>
          <w:shd w:val="clear" w:color="auto" w:fill="auto"/>
        </w:rPr>
        <w:t xml:space="preserve">有依法缴纳税收和社会保障资金的良好记录</w:t>
      </w:r>
      <w:r>
        <w:rPr>
          <w:rFonts w:hint="eastAsia" w:ascii="宋体" w:hAnsi="宋体" w:eastAsia="宋体" w:cs="宋体"/>
          <w:color w:val="000000"/>
          <w:szCs w:val="21"/>
          <w:highlight w:val="none"/>
          <w:shd w:val="clear" w:color="auto" w:fill="auto"/>
          <w:lang w:val="en-US" w:eastAsia="zh-CN"/>
        </w:rPr>
        <w:t xml:space="preserve">[</w:t>
      </w:r>
      <w:r>
        <w:rPr>
          <w:rFonts w:hint="eastAsia" w:ascii="宋体" w:hAnsi="宋体" w:eastAsia="宋体" w:cs="宋体"/>
          <w:color w:val="000000"/>
          <w:szCs w:val="21"/>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szCs w:val="21"/>
          <w:highlight w:val="none"/>
          <w:shd w:val="clear" w:color="auto" w:fill="auto"/>
          <w:lang w:val="en-US" w:eastAsia="zh-CN"/>
        </w:rPr>
        <w:t xml:space="preserve">]</w:t>
      </w:r>
      <w:bookmarkEnd w:id="12"/>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w:t>
      </w:r>
      <w:bookmarkStart w:id="13" w:name="OLE_LINK13"/>
      <w:r>
        <w:rPr>
          <w:rFonts w:hint="eastAsia" w:ascii="宋体" w:hAnsi="宋体" w:eastAsia="宋体" w:cs="宋体"/>
          <w:color w:val="000000"/>
          <w:szCs w:val="21"/>
          <w:highlight w:val="none"/>
          <w:shd w:val="clear" w:color="auto" w:fill="auto"/>
        </w:rPr>
        <w:t xml:space="preserve">参加政府采购活动前三年内，在经营活动中没有重大违法记录（提供</w:t>
      </w:r>
      <w:r>
        <w:rPr>
          <w:rFonts w:hint="eastAsia" w:ascii="宋体" w:hAnsi="宋体" w:eastAsia="宋体" w:cs="宋体"/>
          <w:color w:val="000000"/>
          <w:szCs w:val="21"/>
          <w:highlight w:val="none"/>
          <w:shd w:val="clear" w:color="auto" w:fill="auto"/>
          <w:lang w:val="en-US" w:eastAsia="zh-CN"/>
        </w:rPr>
        <w:t xml:space="preserve">书面声明</w:t>
      </w:r>
      <w:r>
        <w:rPr>
          <w:rFonts w:hint="eastAsia" w:ascii="宋体" w:hAnsi="宋体" w:eastAsia="宋体" w:cs="宋体"/>
          <w:color w:val="000000"/>
          <w:szCs w:val="21"/>
          <w:highlight w:val="none"/>
          <w:shd w:val="clear" w:color="auto" w:fill="auto"/>
        </w:rPr>
        <w:t xml:space="preserve">）</w:t>
      </w:r>
      <w:bookmarkEnd w:id="13"/>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（6）法律、行政法规规定的其他条件：无。</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b/>
          <w:bCs/>
          <w:color w:val="000000"/>
          <w:szCs w:val="21"/>
          <w:highlight w:val="none"/>
          <w:shd w:val="clear" w:color="auto" w:fill="auto"/>
        </w:rPr>
        <w:t xml:space="preserve">2.落实政府采购政策需满足的资格要求</w:t>
      </w:r>
      <w:bookmarkStart w:id="14" w:name="OLE_LINK4"/>
      <w:r>
        <w:rPr>
          <w:rFonts w:hint="eastAsia" w:ascii="宋体" w:hAnsi="宋体" w:eastAsia="宋体" w:cs="宋体"/>
          <w:b/>
          <w:bCs/>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lang w:eastAsia="zh-CN"/>
        </w:rPr>
        <w:t xml:space="preserve">本项目专门面向中小企业采购</w:t>
      </w:r>
      <w:r>
        <w:rPr>
          <w:rFonts w:hint="eastAsia" w:ascii="宋体" w:hAnsi="宋体" w:eastAsia="宋体" w:cs="宋体"/>
          <w:color w:val="000000"/>
          <w:szCs w:val="21"/>
          <w:highlight w:val="none"/>
          <w:shd w:val="clear" w:color="auto" w:fill="auto"/>
          <w:lang w:eastAsia="en-US"/>
        </w:rPr>
        <w:t xml:space="preserve">。</w:t>
      </w:r>
      <w:r>
        <w:rPr>
          <w:rFonts w:hint="eastAsia" w:ascii="宋体" w:hAnsi="宋体" w:eastAsia="宋体" w:cs="宋体"/>
          <w:color w:val="000000"/>
          <w:szCs w:val="21"/>
          <w:highlight w:val="none"/>
          <w:shd w:val="clear" w:color="auto" w:fill="auto"/>
        </w:rPr>
        <w:t xml:space="preserve">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bookmarkEnd w:id="14"/>
      <w:r>
        <w:rPr>
          <w:rFonts w:hint="eastAsia" w:ascii="宋体" w:hAnsi="宋体" w:eastAsia="宋体" w:cs="宋体"/>
          <w:color w:val="000000"/>
          <w:szCs w:val="21"/>
          <w:highlight w:val="none"/>
          <w:shd w:val="clear" w:color="auto" w:fill="auto"/>
          <w:lang w:eastAsia="zh-CN"/>
        </w:rPr>
        <w:t xml:space="preserve">3.本项目的特定资格要求：</w:t>
      </w:r>
      <w:r>
        <w:rPr>
          <w:rFonts w:hint="eastAsia" w:ascii="宋体" w:hAnsi="宋体" w:eastAsia="宋体" w:cs="宋体"/>
          <w:color w:val="000000"/>
          <w:szCs w:val="21"/>
          <w:highlight w:val="none"/>
          <w:shd w:val="clear" w:color="auto" w:fill="auto"/>
          <w:lang w:val="en-US" w:eastAsia="zh-CN"/>
        </w:rPr>
        <w:t xml:space="preserve">无</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三、获取招标文件</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1.时间：自招标公告发布之日起5个工作日；</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2.地点：</w:t>
      </w:r>
      <w:bookmarkStart w:id="15" w:name="OLE_LINK18"/>
      <w:r>
        <w:rPr>
          <w:rFonts w:hint="eastAsia" w:ascii="宋体" w:hAnsi="宋体" w:eastAsia="宋体" w:cs="宋体"/>
          <w:color w:val="000000"/>
          <w:szCs w:val="21"/>
          <w:highlight w:val="none"/>
          <w:shd w:val="clear" w:color="auto" w:fill="auto"/>
          <w:lang w:val="en-US" w:eastAsia="zh-CN"/>
        </w:rPr>
        <w:t xml:space="preserve">苏采云系统内；</w:t>
      </w:r>
      <w:r>
        <w:rPr>
          <w:rFonts w:ascii="宋体" w:hAnsi="宋体" w:eastAsia="宋体" w:cs="宋体"/>
          <w:color w:val="000000"/>
          <w:szCs w:val="21"/>
          <w:highlight w:val="none"/>
          <w:shd w:val="clear" w:color="auto" w:fill="auto"/>
          <w:lang w:val="en-US" w:eastAsia="zh-CN"/>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3.方式：</w:t>
      </w:r>
      <w:r>
        <w:rPr>
          <w:rFonts w:hint="eastAsia" w:ascii="宋体" w:hAnsi="宋体" w:eastAsia="宋体" w:cs="宋体"/>
          <w:color w:val="000000"/>
          <w:szCs w:val="21"/>
          <w:highlight w:val="none"/>
          <w:shd w:val="clear" w:color="auto" w:fill="auto"/>
        </w:rPr>
        <w:t xml:space="preserve">网上注册登记成功后在</w:t>
      </w:r>
      <w:bookmarkStart w:id="16" w:name="OLE_LINK3"/>
      <w:r>
        <w:rPr>
          <w:rFonts w:hint="eastAsia" w:ascii="宋体" w:hAnsi="宋体" w:eastAsia="宋体" w:cs="宋体"/>
          <w:color w:val="000000"/>
          <w:szCs w:val="21"/>
          <w:highlight w:val="none"/>
          <w:shd w:val="clear" w:color="auto" w:fill="auto"/>
        </w:rPr>
        <w:t xml:space="preserve">苏采云系统内</w:t>
      </w:r>
      <w:bookmarkEnd w:id="16"/>
      <w:r>
        <w:rPr>
          <w:rFonts w:hint="eastAsia" w:ascii="宋体" w:hAnsi="宋体" w:eastAsia="宋体" w:cs="宋体"/>
          <w:color w:val="000000"/>
          <w:szCs w:val="21"/>
          <w:highlight w:val="none"/>
          <w:shd w:val="clear" w:color="auto" w:fill="auto"/>
        </w:rPr>
        <w:t xml:space="preserve">免费下载</w:t>
      </w:r>
      <w:bookmarkEnd w:id="15"/>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4.售价：0.00元。</w:t>
      </w:r>
      <w:r>
        <w:rPr>
          <w:rFonts w:ascii="宋体" w:hAnsi="宋体" w:eastAsia="宋体" w:cs="宋体"/>
          <w:color w:val="000000"/>
          <w:szCs w:val="21"/>
          <w:highlight w:val="none"/>
          <w:shd w:val="clear" w:color="auto" w:fill="auto"/>
          <w:lang w:val="en-US" w:eastAsia="zh-CN"/>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四、提交投标文件截止时间、开标时间和地点</w:t>
      </w:r>
      <w:r>
        <w:rPr>
          <w:rFonts w:hint="eastAsia" w:ascii="宋体" w:hAnsi="宋体" w:eastAsia="宋体" w:cs="宋体"/>
          <w:b/>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1.投标文件提交截止及开标时间：</w:t>
      </w:r>
      <w:r>
        <w:rPr>
          <w:rFonts w:hint="eastAsia" w:ascii="宋体" w:hAnsi="宋体" w:eastAsia="宋体" w:cs="宋体"/>
          <w:b/>
          <w:color w:val="000000"/>
          <w:szCs w:val="21"/>
          <w:highlight w:val="none"/>
          <w:shd w:val="clear" w:color="auto" w:fill="auto"/>
          <w:lang w:eastAsia="zh-CN"/>
        </w:rPr>
        <w:t xml:space="preserve">2026年</w:t>
      </w:r>
      <w:r>
        <w:rPr>
          <w:rFonts w:hint="eastAsia" w:ascii="宋体" w:hAnsi="宋体" w:eastAsia="宋体" w:cs="宋体"/>
          <w:b/>
          <w:color w:val="000000"/>
          <w:szCs w:val="21"/>
          <w:highlight w:val="none"/>
          <w:shd w:val="clear" w:color="auto" w:fill="auto"/>
          <w:lang w:val="en-US" w:eastAsia="zh-CN"/>
        </w:rPr>
        <w:t xml:space="preserve">8月3日</w:t>
      </w:r>
      <w:r>
        <w:rPr>
          <w:rFonts w:hint="eastAsia" w:ascii="宋体" w:hAnsi="宋体" w:eastAsia="宋体" w:cs="宋体"/>
          <w:b/>
          <w:color w:val="000000"/>
          <w:szCs w:val="21"/>
          <w:highlight w:val="none"/>
          <w:shd w:val="clear" w:color="auto" w:fill="auto"/>
          <w:lang w:eastAsia="zh-CN"/>
        </w:rPr>
        <w:t xml:space="preserve">14时30分</w:t>
      </w:r>
      <w:r>
        <w:rPr>
          <w:rFonts w:hint="eastAsia" w:ascii="宋体" w:hAnsi="宋体" w:eastAsia="宋体" w:cs="宋体"/>
          <w:bCs/>
          <w:color w:val="000000"/>
          <w:szCs w:val="21"/>
          <w:highlight w:val="none"/>
          <w:shd w:val="clear" w:color="auto" w:fill="auto"/>
        </w:rPr>
        <w:t xml:space="preserve">（北京时间）。逾时，“苏采云”系统将拒绝接受上传响应文件电子文档。</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2.地点：“苏采云”系统</w:t>
      </w:r>
      <w:r>
        <w:rPr>
          <w:rFonts w:hint="eastAsia" w:ascii="宋体" w:hAnsi="宋体" w:eastAsia="宋体" w:cs="宋体"/>
          <w:bCs/>
          <w:color w:val="000000"/>
          <w:szCs w:val="21"/>
          <w:highlight w:val="none"/>
          <w:shd w:val="clear" w:color="auto" w:fill="auto"/>
          <w:lang w:val="en-US" w:eastAsia="zh-CN"/>
        </w:rPr>
        <w:t xml:space="preserve">内</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五、公告期限</w:t>
      </w:r>
      <w:r>
        <w:rPr>
          <w:rFonts w:hint="eastAsia" w:ascii="宋体" w:hAnsi="宋体" w:eastAsia="宋体" w:cs="宋体"/>
          <w:b/>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自本公告发布之日起5个工作日。</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六、其他补充事宜</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1.投标保证金：免收</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2.项目开标活动模式：不见面远程开标模式，投标供应商在各自地点通过“苏采云”系统参加开标会。</w:t>
      </w:r>
      <w:r>
        <w:rPr>
          <w:rFonts w:hint="eastAsia" w:ascii="宋体" w:hAnsi="宋体" w:eastAsia="宋体" w:cs="宋体"/>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3.招标文件获取方式：</w:t>
      </w:r>
      <w:bookmarkStart w:id="17" w:name="OLE_LINK19"/>
      <w:r>
        <w:rPr>
          <w:rFonts w:hint="eastAsia" w:ascii="宋体" w:hAnsi="宋体" w:eastAsia="宋体" w:cs="宋体"/>
          <w:bCs/>
          <w:color w:val="000000"/>
          <w:szCs w:val="21"/>
          <w:highlight w:val="none"/>
          <w:shd w:val="clear" w:color="auto" w:fill="auto"/>
        </w:rPr>
        <w:t xml:space="preserve">本项目采用网上注册登记方式</w:t>
      </w:r>
      <w:bookmarkEnd w:id="17"/>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
          <w:bCs w:val="0"/>
          <w:color w:val="000000"/>
          <w:szCs w:val="21"/>
          <w:highlight w:val="none"/>
          <w:shd w:val="clear" w:color="auto" w:fill="auto"/>
        </w:rPr>
      </w:pPr>
      <w:r>
        <w:rPr>
          <w:rFonts w:hint="eastAsia" w:ascii="宋体" w:hAnsi="宋体" w:eastAsia="宋体" w:cs="宋体"/>
          <w:b/>
          <w:bCs w:val="0"/>
          <w:color w:val="000000"/>
          <w:szCs w:val="21"/>
          <w:highlight w:val="none"/>
          <w:shd w:val="clear" w:color="auto" w:fill="auto"/>
        </w:rPr>
        <w:t xml:space="preserve">3.1潜在供应商访问电子招标响应交易平台的网络地址和方法：</w:t>
      </w:r>
      <w:r>
        <w:rPr>
          <w:rFonts w:hint="eastAsia" w:ascii="宋体" w:hAnsi="宋体" w:eastAsia="宋体" w:cs="宋体"/>
          <w:b/>
          <w:bCs w:val="0"/>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lang w:eastAsia="en-US"/>
        </w:rPr>
      </w:pPr>
      <w:r>
        <w:rPr>
          <w:rFonts w:hint="eastAsia" w:ascii="宋体" w:hAnsi="宋体" w:eastAsia="宋体" w:cs="宋体"/>
          <w:bCs/>
          <w:color w:val="000000"/>
          <w:szCs w:val="21"/>
          <w:highlight w:val="none"/>
          <w:shd w:val="clear" w:color="auto" w:fill="auto"/>
          <w:lang w:eastAsia="en-US"/>
        </w:rPr>
        <w:t xml:space="preserve">3.2潜在供应商访问“苏采云”系统的网络地址和方法：“苏采云”系统的网址：http://jszfcg.jsczt.cn/。</w:t>
      </w:r>
      <w:r>
        <w:rPr>
          <w:rFonts w:hint="eastAsia" w:ascii="宋体" w:hAnsi="宋体" w:eastAsia="宋体" w:cs="宋体"/>
          <w:bCs/>
          <w:color w:val="000000"/>
          <w:szCs w:val="21"/>
          <w:highlight w:val="none"/>
          <w:shd w:val="clear" w:color="auto" w:fill="auto"/>
          <w:lang w:eastAsia="en-US"/>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3.3“CA数字证书”的获取：</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投标供应商需办理“CA 数字证书”，CA办理指南及“苏采云”操作手册可至江苏省政府采购网―办事指南-资料下载中心下载。</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lang w:eastAsia="en-US"/>
        </w:rPr>
      </w:pPr>
      <w:r>
        <w:rPr>
          <w:rFonts w:hint="eastAsia" w:ascii="宋体" w:hAnsi="宋体" w:eastAsia="宋体" w:cs="宋体"/>
          <w:bCs/>
          <w:color w:val="000000"/>
          <w:szCs w:val="21"/>
          <w:highlight w:val="none"/>
          <w:shd w:val="clear" w:color="auto" w:fill="auto"/>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Cs w:val="21"/>
          <w:highlight w:val="none"/>
          <w:shd w:val="clear" w:color="auto" w:fill="auto"/>
          <w:lang w:eastAsia="en-US"/>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3.4采购文件（后缀名为“.kedt”）、供应商操作手册及政府采购客户端工具可通过“苏采云”系统--已报名项目--报名详情页面内相应链接进行下载。</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3.5采购人或采购代理机构将数据电文形式的采购文件加载至“苏采云”系统，供潜在供应商下载或者查阅。</w:t>
      </w:r>
      <w:r>
        <w:rPr>
          <w:rFonts w:hint="eastAsia" w:ascii="宋体" w:hAnsi="宋体" w:eastAsia="宋体" w:cs="宋体"/>
          <w:bCs/>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Cs w:val="21"/>
          <w:highlight w:val="none"/>
          <w:shd w:val="clear" w:color="auto" w:fill="auto"/>
        </w:rPr>
      </w:r>
      <w:r/>
    </w:p>
    <w:p>
      <w:pPr>
        <w:pStyle w:val="725"/>
        <w:ind w:firstLine="422"/>
        <w:jc w:val="left"/>
        <w:spacing w:line="420" w:lineRule="exact"/>
        <w:shd w:val="clear" w:color="auto" w:fill="auto"/>
        <w:widowControl/>
        <w:rPr>
          <w:rStyle w:val="1045"/>
          <w:rFonts w:hint="eastAsia" w:ascii="宋体" w:hAnsi="宋体" w:eastAsia="宋体" w:cs="宋体"/>
          <w:b/>
          <w:color w:val="000000"/>
          <w:szCs w:val="21"/>
          <w:highlight w:val="none"/>
          <w:shd w:val="clear" w:color="auto" w:fill="auto"/>
        </w:rPr>
      </w:pPr>
      <w:r>
        <w:rPr>
          <w:rStyle w:val="1045"/>
          <w:rFonts w:hint="eastAsia" w:ascii="宋体" w:hAnsi="宋体" w:eastAsia="宋体" w:cs="宋体"/>
          <w:b/>
          <w:color w:val="000000"/>
          <w:szCs w:val="21"/>
          <w:highlight w:val="none"/>
          <w:shd w:val="clear" w:color="auto" w:fill="auto"/>
        </w:rPr>
        <w:t xml:space="preserve">注：如潜在供应商未按上述要求操作，将自行承担所产生的风险。</w:t>
      </w:r>
      <w:r>
        <w:rPr>
          <w:rStyle w:val="1045"/>
          <w:rFonts w:hint="eastAsia" w:ascii="宋体" w:hAnsi="宋体" w:eastAsia="宋体" w:cs="宋体"/>
          <w:b/>
          <w:color w:val="000000"/>
          <w:szCs w:val="21"/>
          <w:highlight w:val="none"/>
          <w:shd w:val="clear" w:color="auto" w:fill="auto"/>
        </w:rPr>
      </w:r>
      <w:r/>
    </w:p>
    <w:p>
      <w:pPr>
        <w:pStyle w:val="725"/>
        <w:ind w:firstLine="560"/>
        <w:spacing w:line="48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rPr>
        <w:t xml:space="preserve">.项目演示、样品、答辩等：</w:t>
      </w:r>
      <w:r>
        <w:rPr>
          <w:rFonts w:hint="eastAsia" w:ascii="宋体" w:hAnsi="宋体" w:eastAsia="宋体" w:cs="宋体"/>
          <w:color w:val="000000"/>
          <w:szCs w:val="21"/>
          <w:highlight w:val="none"/>
          <w:shd w:val="clear" w:color="auto" w:fill="auto"/>
          <w:lang w:val="en-US" w:eastAsia="zh-CN"/>
        </w:rPr>
        <w:t xml:space="preserve">无</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560"/>
        <w:spacing w:line="48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5</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t xml:space="preserve">有关本次招标的事项若存在变动或修改，</w:t>
      </w:r>
      <w:r>
        <w:rPr>
          <w:rFonts w:hint="eastAsia" w:ascii="宋体" w:hAnsi="宋体" w:eastAsia="宋体" w:cs="宋体"/>
          <w:color w:val="000000"/>
          <w:szCs w:val="21"/>
          <w:highlight w:val="none"/>
          <w:shd w:val="clear" w:color="auto" w:fill="auto"/>
        </w:rPr>
        <w:t xml:space="preserve">均以江苏政府采购网发布的更正或补充通知为准，</w:t>
      </w:r>
      <w:r>
        <w:rPr>
          <w:rFonts w:hint="eastAsia" w:ascii="宋体" w:hAnsi="宋体" w:eastAsia="宋体" w:cs="宋体"/>
          <w:bCs/>
          <w:color w:val="000000"/>
          <w:szCs w:val="21"/>
          <w:highlight w:val="none"/>
          <w:shd w:val="clear" w:color="auto" w:fill="auto"/>
        </w:rPr>
        <w:t xml:space="preserve">敬请及时关注。</w:t>
      </w:r>
      <w:r>
        <w:rPr>
          <w:rFonts w:hint="eastAsia" w:ascii="宋体" w:hAnsi="宋体" w:eastAsia="宋体" w:cs="宋体"/>
          <w:bCs/>
          <w:color w:val="000000"/>
          <w:szCs w:val="21"/>
          <w:highlight w:val="none"/>
          <w:shd w:val="clear" w:color="auto" w:fill="auto"/>
        </w:rPr>
      </w:r>
      <w:r/>
    </w:p>
    <w:p>
      <w:pPr>
        <w:pStyle w:val="725"/>
        <w:ind w:firstLine="560"/>
        <w:spacing w:line="48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6</w:t>
      </w:r>
      <w:r>
        <w:rPr>
          <w:rFonts w:hint="eastAsia" w:ascii="宋体" w:hAnsi="宋体" w:eastAsia="宋体" w:cs="宋体"/>
          <w:color w:val="000000"/>
          <w:szCs w:val="21"/>
          <w:highlight w:val="none"/>
          <w:shd w:val="clear" w:color="auto" w:fill="auto"/>
        </w:rPr>
        <w:t xml:space="preserve">.供应商应依照规定提交各类声明函、承诺函，不再同时提供原件备查或提供有关部门出具的相关证明文件。但</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应做好提交声明函、承诺函相应原件的核查准备；核查后发现虚假或违背承诺的，依照相关法律法规规定处理。</w:t>
      </w:r>
      <w:r>
        <w:rPr>
          <w:rFonts w:hint="eastAsia" w:ascii="宋体" w:hAnsi="宋体" w:eastAsia="宋体" w:cs="宋体"/>
          <w:color w:val="000000"/>
          <w:szCs w:val="21"/>
          <w:highlight w:val="none"/>
          <w:shd w:val="clear" w:color="auto" w:fill="auto"/>
        </w:rPr>
      </w:r>
      <w:r/>
    </w:p>
    <w:p>
      <w:pPr>
        <w:pStyle w:val="725"/>
        <w:ind w:firstLine="560"/>
        <w:spacing w:line="48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rPr>
        <w:t xml:space="preserve">.“苏采云”系统使用相关提醒</w:t>
      </w:r>
      <w:r>
        <w:rPr>
          <w:rFonts w:hint="eastAsia" w:ascii="宋体" w:hAnsi="宋体" w:eastAsia="宋体" w:cs="宋体"/>
          <w:color w:val="000000"/>
          <w:szCs w:val="21"/>
          <w:highlight w:val="none"/>
          <w:shd w:val="clear" w:color="auto" w:fill="auto"/>
        </w:rPr>
      </w:r>
      <w:r/>
    </w:p>
    <w:p>
      <w:pPr>
        <w:pStyle w:val="725"/>
        <w:ind w:firstLine="560"/>
        <w:spacing w:line="480" w:lineRule="exact"/>
        <w:shd w:val="clear" w:color="auto" w:fill="auto"/>
        <w:tabs>
          <w:tab w:val="left" w:pos="900" w:leader="none"/>
        </w:tabs>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bCs/>
          <w:color w:val="000000"/>
          <w:szCs w:val="21"/>
          <w:highlight w:val="none"/>
          <w:shd w:val="clear" w:color="auto" w:fill="auto"/>
        </w:rPr>
        <w:t xml:space="preserve">根据省财政厅《关于更换全省政府采购交易系统C A数字证书和电子签章的通知》（苏财购〔2023〕101号），</w:t>
      </w:r>
      <w:r>
        <w:rPr>
          <w:rFonts w:hint="eastAsia" w:ascii="宋体" w:hAnsi="宋体" w:eastAsia="宋体" w:cs="宋体"/>
          <w:color w:val="000000"/>
          <w:szCs w:val="21"/>
          <w:highlight w:val="none"/>
          <w:shd w:val="clear" w:color="auto" w:fill="auto"/>
        </w:rPr>
        <w:t xml:space="preserve">“苏采云”政府采购交易系统（以下简称苏采云系统）</w:t>
      </w:r>
      <w:r>
        <w:rPr>
          <w:rFonts w:hint="eastAsia" w:ascii="宋体" w:hAnsi="宋体" w:eastAsia="宋体" w:cs="宋体"/>
          <w:bCs/>
          <w:color w:val="000000"/>
          <w:szCs w:val="21"/>
          <w:highlight w:val="none"/>
          <w:shd w:val="clear" w:color="auto" w:fill="auto"/>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Cs w:val="21"/>
          <w:highlight w:val="none"/>
          <w:shd w:val="clear" w:color="auto" w:fill="auto"/>
        </w:rPr>
      </w:r>
      <w:r/>
    </w:p>
    <w:p>
      <w:pPr>
        <w:pStyle w:val="725"/>
        <w:ind w:firstLine="560"/>
        <w:spacing w:after="120" w:line="48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lang w:val="en-US" w:eastAsia="zh-CN"/>
        </w:rPr>
        <w:t xml:space="preserve">7</w:t>
      </w:r>
      <w:r>
        <w:rPr>
          <w:rFonts w:hint="eastAsia" w:ascii="宋体" w:hAnsi="宋体" w:eastAsia="宋体" w:cs="宋体"/>
          <w:bCs/>
          <w:color w:val="000000"/>
          <w:szCs w:val="21"/>
          <w:highlight w:val="none"/>
          <w:shd w:val="clear" w:color="auto" w:fill="auto"/>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color w:val="000000"/>
          <w:szCs w:val="21"/>
          <w:highlight w:val="none"/>
          <w:shd w:val="clear" w:color="auto" w:fill="auto"/>
        </w:rPr>
      </w:r>
      <w:r/>
    </w:p>
    <w:p>
      <w:pPr>
        <w:pStyle w:val="725"/>
        <w:ind w:right="120" w:firstLine="562"/>
        <w:spacing w:after="120" w:line="48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t xml:space="preserve">7</w:t>
      </w:r>
      <w:r>
        <w:rPr>
          <w:rFonts w:hint="eastAsia" w:ascii="宋体" w:hAnsi="宋体" w:eastAsia="宋体" w:cs="宋体"/>
          <w:b/>
          <w:bCs/>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rPr>
        <w:t xml:space="preserve">开标当天投标供应商应及时登录“苏采云”不见面开标大厅，并在规定时间内自行实施远程解密。</w:t>
      </w:r>
      <w:r>
        <w:rPr>
          <w:rFonts w:hint="eastAsia" w:ascii="宋体" w:hAnsi="宋体" w:eastAsia="宋体" w:cs="宋体"/>
          <w:b/>
          <w:color w:val="000000"/>
          <w:szCs w:val="21"/>
          <w:highlight w:val="none"/>
          <w:shd w:val="clear" w:color="auto" w:fill="auto"/>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Cs w:val="21"/>
          <w:highlight w:val="none"/>
          <w:shd w:val="clear" w:color="auto" w:fill="auto"/>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Cs w:val="21"/>
          <w:highlight w:val="none"/>
          <w:shd w:val="clear" w:color="auto" w:fill="auto"/>
        </w:rPr>
      </w:r>
      <w:r/>
    </w:p>
    <w:p>
      <w:pPr>
        <w:pStyle w:val="725"/>
        <w:ind w:firstLine="56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七、对本次招标提出询问，请按以下方式联系。</w:t>
      </w:r>
      <w:r>
        <w:rPr>
          <w:rFonts w:hint="eastAsia" w:ascii="宋体" w:hAnsi="宋体" w:eastAsia="宋体" w:cs="宋体"/>
          <w:b/>
          <w:color w:val="000000"/>
          <w:szCs w:val="21"/>
          <w:highlight w:val="none"/>
          <w:shd w:val="clear" w:color="auto" w:fill="auto"/>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1.采购人信息</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bookmarkStart w:id="18" w:name="_Toc28359097"/>
      <w:r/>
      <w:bookmarkStart w:id="19" w:name="_Toc35393807"/>
      <w:r/>
      <w:bookmarkStart w:id="20" w:name="_Toc28359020"/>
      <w:r/>
      <w:bookmarkStart w:id="21" w:name="_Toc35393638"/>
      <w:r>
        <w:rPr>
          <w:rFonts w:hint="eastAsia" w:ascii="宋体" w:hAnsi="宋体" w:eastAsia="宋体" w:cs="宋体"/>
          <w:color w:val="000000"/>
          <w:szCs w:val="21"/>
          <w:highlight w:val="none"/>
          <w:shd w:val="clear" w:color="auto" w:fill="auto"/>
          <w:lang w:val="en-US" w:eastAsia="zh-CN"/>
        </w:rPr>
        <w:t xml:space="preserve">名称：南通市人力资源和社会保障信息中心；</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bookmarkStart w:id="22" w:name="_Toc28359009"/>
      <w:r/>
      <w:bookmarkStart w:id="23" w:name="_Toc28359086"/>
      <w:r>
        <w:rPr>
          <w:rFonts w:hint="eastAsia" w:ascii="宋体" w:hAnsi="宋体" w:eastAsia="宋体" w:cs="宋体"/>
          <w:color w:val="000000"/>
          <w:szCs w:val="21"/>
          <w:highlight w:val="none"/>
          <w:shd w:val="clear" w:color="auto" w:fill="auto"/>
          <w:lang w:val="en-US" w:eastAsia="zh-CN"/>
        </w:rPr>
        <w:t xml:space="preserve">地址：南通市工农南路150号政务中心主楼11楼；</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联系人：茅女士；</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联系方式：0513-59000285；</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bookmarkEnd w:id="22"/>
      <w:r/>
      <w:bookmarkEnd w:id="23"/>
      <w:r>
        <w:rPr>
          <w:rFonts w:hint="eastAsia" w:ascii="宋体" w:hAnsi="宋体" w:eastAsia="宋体" w:cs="宋体"/>
          <w:color w:val="000000"/>
          <w:szCs w:val="21"/>
          <w:highlight w:val="none"/>
          <w:shd w:val="clear" w:color="auto" w:fill="auto"/>
          <w:lang w:val="en-US" w:eastAsia="zh-CN"/>
        </w:rPr>
        <w:t xml:space="preserve">2.招标代理机构信息</w:t>
      </w:r>
      <w:bookmarkEnd w:id="18"/>
      <w:r/>
      <w:bookmarkEnd w:id="19"/>
      <w:r/>
      <w:bookmarkEnd w:id="20"/>
      <w:r/>
      <w:bookmarkEnd w:id="21"/>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名称：江苏正扬招标代理有限公司；</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地址：南通市崇川区青年中路153号4号楼213室；</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联系人：李工；     </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联系电话：0513-85991998。</w:t>
      </w:r>
      <w:r>
        <w:rPr>
          <w:rFonts w:hint="eastAsia" w:ascii="宋体" w:hAnsi="宋体" w:eastAsia="宋体" w:cs="宋体"/>
          <w:color w:val="000000"/>
          <w:szCs w:val="21"/>
          <w:highlight w:val="none"/>
          <w:shd w:val="clear" w:color="auto" w:fill="auto"/>
          <w:lang w:val="en-US" w:eastAsia="zh-CN"/>
        </w:rPr>
      </w:r>
      <w:r/>
    </w:p>
    <w:p>
      <w:pPr>
        <w:pStyle w:val="725"/>
        <w:ind w:firstLine="630"/>
        <w:spacing w:line="440" w:lineRule="exact"/>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3.软件技术支持：0519-86722801。</w:t>
      </w:r>
      <w:r>
        <w:rPr>
          <w:rFonts w:hint="eastAsia" w:ascii="宋体" w:hAnsi="宋体" w:eastAsia="宋体" w:cs="宋体"/>
          <w:color w:val="000000"/>
          <w:szCs w:val="21"/>
          <w:highlight w:val="none"/>
          <w:shd w:val="clear" w:color="auto" w:fill="auto"/>
          <w:lang w:val="en-US" w:eastAsia="zh-CN"/>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附件:</w:t>
      </w:r>
      <w:r>
        <w:rPr>
          <w:rFonts w:hint="eastAsia" w:ascii="宋体" w:hAnsi="宋体" w:eastAsia="宋体" w:cs="宋体"/>
          <w:b/>
          <w:color w:val="000000"/>
          <w:szCs w:val="21"/>
          <w:highlight w:val="none"/>
          <w:shd w:val="clear" w:color="auto" w:fill="auto"/>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1.招标文件</w:t>
      </w:r>
      <w:r>
        <w:rPr>
          <w:rFonts w:hint="eastAsia" w:ascii="宋体" w:hAnsi="宋体" w:eastAsia="宋体" w:cs="宋体"/>
          <w:b/>
          <w:color w:val="000000"/>
          <w:szCs w:val="21"/>
          <w:highlight w:val="none"/>
          <w:shd w:val="clear" w:color="auto" w:fill="auto"/>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bookmarkEnd w:id="4"/>
      <w:r>
        <w:rPr>
          <w:rFonts w:hint="eastAsia" w:ascii="宋体" w:hAnsi="宋体" w:eastAsia="宋体" w:cs="宋体"/>
          <w:b/>
          <w:color w:val="000000"/>
          <w:szCs w:val="21"/>
          <w:highlight w:val="none"/>
          <w:shd w:val="clear" w:color="auto" w:fill="auto"/>
          <w:lang w:val="en-US" w:eastAsia="zh-CN"/>
        </w:rPr>
        <w:t xml:space="preserve">2</w:t>
      </w:r>
      <w:r>
        <w:rPr>
          <w:rFonts w:hint="eastAsia" w:ascii="宋体" w:hAnsi="宋体" w:eastAsia="宋体" w:cs="宋体"/>
          <w:b/>
          <w:color w:val="000000"/>
          <w:szCs w:val="21"/>
          <w:highlight w:val="none"/>
          <w:shd w:val="clear" w:color="auto" w:fill="auto"/>
        </w:rPr>
        <w:t xml:space="preserve">.采购人信用承诺书</w:t>
      </w:r>
      <w:r>
        <w:rPr>
          <w:rFonts w:hint="eastAsia" w:ascii="宋体" w:hAnsi="宋体" w:eastAsia="宋体" w:cs="宋体"/>
          <w:b/>
          <w:color w:val="000000"/>
          <w:szCs w:val="21"/>
          <w:highlight w:val="none"/>
          <w:shd w:val="clear" w:color="auto" w:fill="auto"/>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3</w:t>
      </w:r>
      <w:r>
        <w:rPr>
          <w:rFonts w:hint="eastAsia" w:ascii="宋体" w:hAnsi="宋体" w:eastAsia="宋体" w:cs="宋体"/>
          <w:b/>
          <w:color w:val="000000"/>
          <w:szCs w:val="21"/>
          <w:highlight w:val="none"/>
          <w:shd w:val="clear" w:color="auto" w:fill="auto"/>
        </w:rPr>
        <w:t xml:space="preserve">.公平竞争审查</w:t>
      </w:r>
      <w:r>
        <w:rPr>
          <w:rFonts w:hint="eastAsia" w:ascii="宋体" w:hAnsi="宋体" w:eastAsia="宋体" w:cs="宋体"/>
          <w:b/>
          <w:color w:val="000000"/>
          <w:szCs w:val="21"/>
          <w:highlight w:val="none"/>
          <w:shd w:val="clear" w:color="auto" w:fill="auto"/>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4</w:t>
      </w:r>
      <w:r>
        <w:rPr>
          <w:rFonts w:hint="eastAsia" w:ascii="宋体" w:hAnsi="宋体" w:eastAsia="宋体" w:cs="宋体"/>
          <w:b/>
          <w:color w:val="000000"/>
          <w:szCs w:val="21"/>
          <w:highlight w:val="none"/>
          <w:shd w:val="clear" w:color="auto" w:fill="auto"/>
        </w:rPr>
        <w:t xml:space="preserve">.“苏采云”系统供应商操作手册</w:t>
      </w:r>
      <w:r>
        <w:rPr>
          <w:rFonts w:hint="eastAsia" w:ascii="宋体" w:hAnsi="宋体" w:eastAsia="宋体" w:cs="宋体"/>
          <w:b/>
          <w:color w:val="000000"/>
          <w:szCs w:val="21"/>
          <w:highlight w:val="none"/>
          <w:shd w:val="clear" w:color="auto" w:fill="auto"/>
        </w:rPr>
      </w:r>
      <w:r/>
    </w:p>
    <w:p>
      <w:pPr>
        <w:pStyle w:val="725"/>
        <w:ind w:firstLine="63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5</w:t>
      </w:r>
      <w:r>
        <w:rPr>
          <w:rFonts w:hint="eastAsia" w:ascii="宋体" w:hAnsi="宋体" w:eastAsia="宋体" w:cs="宋体"/>
          <w:b/>
          <w:color w:val="000000"/>
          <w:szCs w:val="21"/>
          <w:highlight w:val="none"/>
          <w:shd w:val="clear" w:color="auto" w:fill="auto"/>
        </w:rPr>
        <w:t xml:space="preserve">.政采贷和履约保证保险告知函</w:t>
      </w:r>
      <w:r>
        <w:rPr>
          <w:rFonts w:hint="eastAsia" w:ascii="宋体" w:hAnsi="宋体" w:eastAsia="宋体" w:cs="宋体"/>
          <w:b/>
          <w:color w:val="000000"/>
          <w:szCs w:val="21"/>
          <w:highlight w:val="none"/>
          <w:shd w:val="clear" w:color="auto" w:fill="auto"/>
        </w:rPr>
      </w:r>
      <w:r/>
    </w:p>
    <w:p>
      <w:pPr>
        <w:pStyle w:val="725"/>
        <w:shd w:val="clear" w:color="auto" w:fill="auto"/>
        <w:rPr>
          <w:rFonts w:hint="eastAsia" w:ascii="宋体" w:hAnsi="宋体" w:eastAsia="宋体" w:cs="宋体"/>
          <w:bCs/>
          <w:color w:val="000000"/>
          <w:sz w:val="36"/>
          <w:szCs w:val="36"/>
          <w:highlight w:val="none"/>
          <w:shd w:val="clear" w:color="auto" w:fill="auto"/>
        </w:rPr>
      </w:pPr>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r>
      <w:r/>
    </w:p>
    <w:p>
      <w:pPr>
        <w:pStyle w:val="725"/>
        <w:jc w:val="center"/>
        <w:spacing w:line="500" w:lineRule="exact"/>
        <w:shd w:val="clear" w:color="auto" w:fill="auto"/>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bCs/>
          <w:color w:val="000000"/>
          <w:sz w:val="36"/>
          <w:szCs w:val="36"/>
          <w:highlight w:val="none"/>
          <w:shd w:val="clear" w:color="auto" w:fill="auto"/>
        </w:rPr>
        <w:t xml:space="preserve">第二部分  投标须知</w:t>
      </w:r>
      <w:r>
        <w:rPr>
          <w:rFonts w:hint="eastAsia" w:ascii="宋体" w:hAnsi="宋体" w:eastAsia="宋体" w:cs="宋体"/>
          <w:bCs/>
          <w:color w:val="000000"/>
          <w:sz w:val="36"/>
          <w:szCs w:val="36"/>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24" w:name="_Toc120614214"/>
      <w:r/>
      <w:bookmarkStart w:id="25" w:name="_Toc20823275"/>
      <w:r/>
      <w:bookmarkStart w:id="26" w:name="_Toc513029203"/>
      <w:r/>
      <w:bookmarkStart w:id="27" w:name="_Toc16938519"/>
      <w:r>
        <w:rPr>
          <w:rFonts w:hint="eastAsia" w:ascii="宋体" w:hAnsi="宋体" w:eastAsia="宋体" w:cs="宋体"/>
          <w:color w:val="000000"/>
          <w:sz w:val="21"/>
          <w:szCs w:val="21"/>
          <w:highlight w:val="none"/>
          <w:shd w:val="clear" w:color="auto" w:fill="auto"/>
        </w:rPr>
        <w:t xml:space="preserve">（一）总则</w:t>
      </w:r>
      <w:bookmarkEnd w:id="24"/>
      <w:r/>
      <w:bookmarkEnd w:id="25"/>
      <w:r/>
      <w:bookmarkEnd w:id="26"/>
      <w:r/>
      <w:bookmarkEnd w:id="27"/>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28" w:name="_Toc20823276"/>
      <w:r/>
      <w:bookmarkStart w:id="29" w:name="_Toc16938520"/>
      <w:r/>
      <w:bookmarkStart w:id="30" w:name="_Hlt16619475"/>
      <w:r/>
      <w:bookmarkEnd w:id="30"/>
      <w:r/>
      <w:bookmarkStart w:id="31" w:name="_Toc458694821"/>
      <w:r/>
      <w:bookmarkStart w:id="32" w:name="_Toc513029204"/>
      <w:r>
        <w:rPr>
          <w:rFonts w:hint="eastAsia" w:ascii="宋体" w:hAnsi="宋体" w:eastAsia="宋体" w:cs="宋体"/>
          <w:color w:val="000000"/>
          <w:sz w:val="21"/>
          <w:highlight w:val="none"/>
          <w:shd w:val="clear" w:color="auto" w:fill="auto"/>
        </w:rPr>
        <w:t xml:space="preserve">1</w:t>
      </w:r>
      <w:bookmarkEnd w:id="31"/>
      <w:r>
        <w:rPr>
          <w:rFonts w:hint="eastAsia" w:ascii="宋体" w:hAnsi="宋体" w:eastAsia="宋体" w:cs="宋体"/>
          <w:color w:val="000000"/>
          <w:sz w:val="21"/>
          <w:highlight w:val="none"/>
          <w:shd w:val="clear" w:color="auto" w:fill="auto"/>
        </w:rPr>
        <w:t xml:space="preserve">.招标方式</w:t>
      </w:r>
      <w:bookmarkEnd w:id="28"/>
      <w:r/>
      <w:bookmarkEnd w:id="29"/>
      <w:r/>
      <w:bookmarkEnd w:id="32"/>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1.1 本次招标采取公开招标方式，本招标文件仅适用于招标公告中所述项目。</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33" w:name="_Toc513029205"/>
      <w:r/>
      <w:bookmarkStart w:id="34" w:name="_Toc20823277"/>
      <w:r/>
      <w:bookmarkStart w:id="35" w:name="_Toc16938521"/>
      <w:r>
        <w:rPr>
          <w:rFonts w:hint="eastAsia" w:ascii="宋体" w:hAnsi="宋体" w:eastAsia="宋体" w:cs="宋体"/>
          <w:color w:val="000000"/>
          <w:sz w:val="21"/>
          <w:highlight w:val="none"/>
          <w:shd w:val="clear" w:color="auto" w:fill="auto"/>
        </w:rPr>
        <w:t xml:space="preserve">2.合格的</w:t>
      </w:r>
      <w:bookmarkEnd w:id="33"/>
      <w:r/>
      <w:bookmarkEnd w:id="34"/>
      <w:r/>
      <w:bookmarkEnd w:id="35"/>
      <w:r>
        <w:rPr>
          <w:rFonts w:hint="eastAsia" w:ascii="宋体" w:hAnsi="宋体" w:eastAsia="宋体" w:cs="宋体"/>
          <w:color w:val="000000"/>
          <w:sz w:val="21"/>
          <w:highlight w:val="none"/>
          <w:shd w:val="clear" w:color="auto" w:fill="auto"/>
        </w:rPr>
        <w:t xml:space="preserve">投标供应商</w:t>
      </w:r>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2.1满足招标公告中供应商的资格要求的规定。</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 满足本文件实质性条款的规定。</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36" w:name="_Toc16938522"/>
      <w:r/>
      <w:bookmarkStart w:id="37" w:name="_Toc513029206"/>
      <w:r/>
      <w:bookmarkStart w:id="38" w:name="_Toc20823278"/>
      <w:r>
        <w:rPr>
          <w:rFonts w:hint="eastAsia" w:ascii="宋体" w:hAnsi="宋体" w:eastAsia="宋体" w:cs="宋体"/>
          <w:color w:val="000000"/>
          <w:sz w:val="21"/>
          <w:highlight w:val="none"/>
          <w:shd w:val="clear" w:color="auto" w:fill="auto"/>
        </w:rPr>
        <w:t xml:space="preserve">3.适用法律</w:t>
      </w:r>
      <w:bookmarkEnd w:id="36"/>
      <w:r/>
      <w:bookmarkEnd w:id="37"/>
      <w:r/>
      <w:bookmarkEnd w:id="38"/>
      <w:r>
        <w:rPr>
          <w:rFonts w:hint="eastAsia" w:ascii="宋体" w:hAnsi="宋体" w:eastAsia="宋体" w:cs="宋体"/>
          <w:b/>
          <w:bCs/>
          <w:color w:val="000000"/>
          <w:sz w:val="21"/>
          <w:highlight w:val="none"/>
          <w:shd w:val="clear" w:color="auto" w:fill="auto"/>
        </w:rPr>
      </w:r>
      <w:r/>
    </w:p>
    <w:p>
      <w:pPr>
        <w:pStyle w:val="725"/>
        <w:ind w:firstLine="49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 本次招标及由此产生的合同受中华人民共和国有关的法律法规制约和保护。</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39" w:name="_Toc462564067"/>
      <w:r/>
      <w:bookmarkStart w:id="40" w:name="_Toc16938523"/>
      <w:r/>
      <w:bookmarkStart w:id="41" w:name="_Toc513029207"/>
      <w:r/>
      <w:bookmarkStart w:id="42" w:name="_Toc20823279"/>
      <w:r>
        <w:rPr>
          <w:rFonts w:hint="eastAsia" w:ascii="宋体" w:hAnsi="宋体" w:eastAsia="宋体" w:cs="宋体"/>
          <w:color w:val="000000"/>
          <w:sz w:val="21"/>
          <w:highlight w:val="none"/>
          <w:shd w:val="clear" w:color="auto" w:fill="auto"/>
        </w:rPr>
        <w:t xml:space="preserve">4.投标费用</w:t>
      </w:r>
      <w:bookmarkEnd w:id="39"/>
      <w:r/>
      <w:bookmarkEnd w:id="40"/>
      <w:r/>
      <w:bookmarkEnd w:id="41"/>
      <w:r/>
      <w:bookmarkEnd w:id="42"/>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bCs w:val="0"/>
          <w:color w:val="000000"/>
          <w:szCs w:val="21"/>
          <w:highlight w:val="none"/>
          <w:shd w:val="clear" w:color="auto" w:fill="auto"/>
        </w:rPr>
      </w:pPr>
      <w:r>
        <w:rPr>
          <w:rFonts w:hint="eastAsia" w:ascii="宋体" w:hAnsi="宋体" w:eastAsia="宋体" w:cs="宋体"/>
          <w:b/>
          <w:bCs w:val="0"/>
          <w:color w:val="000000"/>
          <w:szCs w:val="21"/>
          <w:highlight w:val="none"/>
          <w:shd w:val="clear" w:color="auto" w:fill="auto"/>
        </w:rPr>
        <w:t xml:space="preserve">4.2本项目由</w:t>
      </w:r>
      <w:r>
        <w:rPr>
          <w:rFonts w:hint="eastAsia" w:ascii="宋体" w:hAnsi="宋体" w:eastAsia="宋体" w:cs="宋体"/>
          <w:b/>
          <w:bCs w:val="0"/>
          <w:color w:val="000000"/>
          <w:szCs w:val="21"/>
          <w:highlight w:val="none"/>
          <w:shd w:val="clear" w:color="auto" w:fill="auto"/>
          <w:lang w:val="en-US" w:eastAsia="zh-CN"/>
        </w:rPr>
        <w:t xml:space="preserve">中标</w:t>
      </w:r>
      <w:r>
        <w:rPr>
          <w:rFonts w:hint="eastAsia" w:ascii="宋体" w:hAnsi="宋体" w:eastAsia="宋体" w:cs="宋体"/>
          <w:b/>
          <w:bCs w:val="0"/>
          <w:color w:val="000000"/>
          <w:szCs w:val="21"/>
          <w:highlight w:val="none"/>
          <w:shd w:val="clear" w:color="auto" w:fill="auto"/>
        </w:rPr>
        <w:t xml:space="preserve">供应商向招标代理机构支付代理服务费</w:t>
      </w:r>
      <w:r>
        <w:rPr>
          <w:rFonts w:hint="eastAsia" w:ascii="宋体" w:hAnsi="宋体" w:eastAsia="宋体" w:cs="宋体"/>
          <w:b/>
          <w:bCs w:val="0"/>
          <w:color w:val="000000"/>
          <w:szCs w:val="21"/>
          <w:highlight w:val="none"/>
          <w:shd w:val="clear" w:color="auto" w:fill="auto"/>
          <w:lang w:eastAsia="zh-CN"/>
        </w:rPr>
        <w:t xml:space="preserve">，</w:t>
      </w:r>
      <w:r>
        <w:rPr>
          <w:rFonts w:hint="eastAsia" w:ascii="宋体" w:hAnsi="宋体" w:eastAsia="宋体" w:cs="宋体"/>
          <w:b/>
          <w:bCs w:val="0"/>
          <w:color w:val="000000"/>
          <w:szCs w:val="21"/>
          <w:highlight w:val="none"/>
          <w:shd w:val="clear" w:color="auto" w:fill="auto"/>
        </w:rPr>
        <w:t xml:space="preserve">代理服务费按</w:t>
      </w:r>
      <w:r>
        <w:rPr>
          <w:rFonts w:hint="eastAsia" w:ascii="宋体" w:hAnsi="宋体" w:eastAsia="宋体" w:cs="宋体"/>
          <w:b/>
          <w:bCs w:val="0"/>
          <w:color w:val="000000"/>
          <w:szCs w:val="21"/>
          <w:highlight w:val="none"/>
          <w:shd w:val="clear" w:color="auto" w:fill="auto"/>
          <w:lang w:val="en-US" w:eastAsia="zh-CN"/>
        </w:rPr>
        <w:t xml:space="preserve">中标</w:t>
      </w:r>
      <w:r>
        <w:rPr>
          <w:rFonts w:hint="eastAsia" w:ascii="宋体" w:hAnsi="宋体" w:eastAsia="宋体" w:cs="宋体"/>
          <w:b/>
          <w:bCs w:val="0"/>
          <w:color w:val="000000"/>
          <w:szCs w:val="21"/>
          <w:highlight w:val="none"/>
          <w:shd w:val="clear" w:color="auto" w:fill="auto"/>
        </w:rPr>
        <w:t xml:space="preserve">金额的</w:t>
      </w:r>
      <w:r>
        <w:rPr>
          <w:rFonts w:hint="eastAsia" w:ascii="宋体" w:hAnsi="宋体" w:eastAsia="宋体" w:cs="宋体"/>
          <w:b/>
          <w:bCs w:val="0"/>
          <w:color w:val="000000"/>
          <w:szCs w:val="21"/>
          <w:highlight w:val="none"/>
          <w:shd w:val="clear" w:color="auto" w:fill="auto"/>
          <w:lang w:val="en-US" w:eastAsia="zh-CN"/>
        </w:rPr>
        <w:t xml:space="preserve">0.975</w:t>
      </w:r>
      <w:r>
        <w:rPr>
          <w:rFonts w:hint="eastAsia" w:ascii="宋体" w:hAnsi="宋体" w:eastAsia="宋体" w:cs="宋体"/>
          <w:b/>
          <w:bCs w:val="0"/>
          <w:color w:val="000000"/>
          <w:szCs w:val="21"/>
          <w:highlight w:val="none"/>
          <w:shd w:val="clear" w:color="auto" w:fill="auto"/>
        </w:rPr>
        <w:t xml:space="preserve">%收费，保底价</w:t>
      </w:r>
      <w:r>
        <w:rPr>
          <w:rFonts w:hint="eastAsia" w:ascii="宋体" w:hAnsi="宋体" w:eastAsia="宋体" w:cs="宋体"/>
          <w:b/>
          <w:bCs w:val="0"/>
          <w:color w:val="000000"/>
          <w:szCs w:val="21"/>
          <w:highlight w:val="none"/>
          <w:shd w:val="clear" w:color="auto" w:fill="auto"/>
          <w:lang w:val="en-US" w:eastAsia="zh-CN"/>
        </w:rPr>
        <w:t xml:space="preserve">3</w:t>
      </w:r>
      <w:r>
        <w:rPr>
          <w:rFonts w:hint="eastAsia" w:ascii="宋体" w:hAnsi="宋体" w:eastAsia="宋体" w:cs="宋体"/>
          <w:b/>
          <w:bCs w:val="0"/>
          <w:color w:val="000000"/>
          <w:szCs w:val="21"/>
          <w:highlight w:val="none"/>
          <w:shd w:val="clear" w:color="auto" w:fill="auto"/>
        </w:rPr>
        <w:t xml:space="preserve">000元。此项费用含在</w:t>
      </w:r>
      <w:r>
        <w:rPr>
          <w:rFonts w:hint="eastAsia" w:ascii="宋体" w:hAnsi="宋体" w:eastAsia="宋体" w:cs="宋体"/>
          <w:b/>
          <w:bCs w:val="0"/>
          <w:color w:val="000000"/>
          <w:szCs w:val="21"/>
          <w:highlight w:val="none"/>
          <w:shd w:val="clear" w:color="auto" w:fill="auto"/>
          <w:lang w:val="en-US" w:eastAsia="zh-CN"/>
        </w:rPr>
        <w:t xml:space="preserve">投标</w:t>
      </w:r>
      <w:r>
        <w:rPr>
          <w:rFonts w:hint="eastAsia" w:ascii="宋体" w:hAnsi="宋体" w:eastAsia="宋体" w:cs="宋体"/>
          <w:b/>
          <w:bCs w:val="0"/>
          <w:color w:val="000000"/>
          <w:szCs w:val="21"/>
          <w:highlight w:val="none"/>
          <w:shd w:val="clear" w:color="auto" w:fill="auto"/>
        </w:rPr>
        <w:t xml:space="preserve">报价中，并不单独立项。</w:t>
      </w:r>
      <w:r>
        <w:rPr>
          <w:rFonts w:hint="eastAsia" w:ascii="宋体" w:hAnsi="宋体" w:eastAsia="宋体" w:cs="宋体"/>
          <w:b/>
          <w:bCs w:val="0"/>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5.招标文件的约束力</w:t>
      </w:r>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w:t>
      </w:r>
      <w:r>
        <w:rPr>
          <w:rFonts w:hint="eastAsia" w:ascii="宋体" w:hAnsi="宋体" w:eastAsia="宋体" w:cs="宋体"/>
          <w:color w:val="000000"/>
          <w:szCs w:val="21"/>
          <w:highlight w:val="none"/>
          <w:shd w:val="clear" w:color="auto" w:fill="auto"/>
        </w:rPr>
        <w:t xml:space="preserve">投标供应商一旦参加本项目采购活动，即被认为接受了本招标文件的规定和约束。</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6.招标文件的解释</w:t>
      </w:r>
      <w:r>
        <w:rPr>
          <w:rFonts w:hint="eastAsia" w:ascii="宋体" w:hAnsi="宋体" w:eastAsia="宋体" w:cs="宋体"/>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w:t>
      </w:r>
      <w:r>
        <w:rPr>
          <w:rFonts w:hint="eastAsia" w:ascii="宋体" w:hAnsi="宋体" w:eastAsia="宋体" w:cs="宋体"/>
          <w:color w:val="000000"/>
          <w:szCs w:val="21"/>
          <w:highlight w:val="none"/>
          <w:shd w:val="clear" w:color="auto" w:fill="auto"/>
        </w:rPr>
        <w:t xml:space="preserve">招标文件需求部分（供应商资格要求、项目需求、商务技术评分标准）由采购人解释，其它部分由采购代理机构解释。</w:t>
      </w:r>
      <w:r>
        <w:rPr>
          <w:rFonts w:hint="eastAsia" w:ascii="宋体" w:hAnsi="宋体" w:eastAsia="宋体" w:cs="宋体"/>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43" w:name="_Toc20823281"/>
      <w:r/>
      <w:bookmarkStart w:id="44" w:name="_Toc16938525"/>
      <w:r/>
      <w:bookmarkStart w:id="45" w:name="_Toc120614215"/>
      <w:r/>
      <w:bookmarkStart w:id="46" w:name="_Toc513029209"/>
      <w:r>
        <w:rPr>
          <w:rFonts w:hint="eastAsia" w:ascii="宋体" w:hAnsi="宋体" w:eastAsia="宋体" w:cs="宋体"/>
          <w:color w:val="000000"/>
          <w:sz w:val="21"/>
          <w:szCs w:val="21"/>
          <w:highlight w:val="none"/>
          <w:shd w:val="clear" w:color="auto" w:fill="auto"/>
        </w:rPr>
        <w:t xml:space="preserve">（二）招标文件</w:t>
      </w:r>
      <w:bookmarkEnd w:id="43"/>
      <w:r/>
      <w:bookmarkEnd w:id="44"/>
      <w:r/>
      <w:bookmarkEnd w:id="45"/>
      <w:r/>
      <w:bookmarkEnd w:id="46"/>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47" w:name="_Toc20823282"/>
      <w:r/>
      <w:bookmarkStart w:id="48" w:name="_Toc513029210"/>
      <w:r/>
      <w:bookmarkStart w:id="49" w:name="_Toc16938526"/>
      <w:r>
        <w:rPr>
          <w:rFonts w:hint="eastAsia" w:ascii="宋体" w:hAnsi="宋体" w:eastAsia="宋体" w:cs="宋体"/>
          <w:color w:val="000000"/>
          <w:sz w:val="21"/>
          <w:highlight w:val="none"/>
          <w:shd w:val="clear" w:color="auto" w:fill="auto"/>
        </w:rPr>
        <w:t xml:space="preserve">1.招标文件构成</w:t>
      </w:r>
      <w:bookmarkEnd w:id="47"/>
      <w:r/>
      <w:bookmarkEnd w:id="48"/>
      <w:r/>
      <w:bookmarkEnd w:id="49"/>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w:t>
      </w:r>
      <w:r>
        <w:rPr>
          <w:rFonts w:hint="eastAsia" w:ascii="宋体" w:hAnsi="宋体" w:eastAsia="宋体" w:cs="宋体"/>
          <w:color w:val="000000"/>
          <w:szCs w:val="21"/>
          <w:highlight w:val="none"/>
          <w:shd w:val="clear" w:color="auto" w:fill="auto"/>
        </w:rPr>
        <w:t xml:space="preserve"> 招标文件由以下部分组成：</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（1）投标邀请</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（2）投标须知</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（3）项目需求</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（4）评标方法与评标标准</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（5）合同格式</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（6）投标文件组成</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（7）附件（如有）</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请仔细检查招标文件是否齐全，如有缺漏请立即与采购人或采购代理机构联系解决。</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w:t>
      </w:r>
      <w:r>
        <w:rPr>
          <w:rFonts w:hint="eastAsia" w:ascii="宋体" w:hAnsi="宋体" w:eastAsia="宋体" w:cs="宋体"/>
          <w:color w:val="000000"/>
          <w:szCs w:val="21"/>
          <w:highlight w:val="none"/>
          <w:shd w:val="clear" w:color="auto" w:fill="auto"/>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50" w:name="_Toc16938527"/>
      <w:r/>
      <w:bookmarkStart w:id="51" w:name="_Toc20823283"/>
      <w:r/>
      <w:bookmarkStart w:id="52" w:name="_Toc462564070"/>
      <w:r/>
      <w:bookmarkStart w:id="53" w:name="_Toc513029211"/>
      <w:r>
        <w:rPr>
          <w:rFonts w:hint="eastAsia" w:ascii="宋体" w:hAnsi="宋体" w:eastAsia="宋体" w:cs="宋体"/>
          <w:color w:val="000000"/>
          <w:sz w:val="21"/>
          <w:highlight w:val="none"/>
          <w:shd w:val="clear" w:color="auto" w:fill="auto"/>
        </w:rPr>
        <w:t xml:space="preserve">2.招标文件的澄清</w:t>
      </w:r>
      <w:bookmarkEnd w:id="50"/>
      <w:r/>
      <w:bookmarkEnd w:id="51"/>
      <w:r/>
      <w:bookmarkEnd w:id="52"/>
      <w:r/>
      <w:bookmarkEnd w:id="53"/>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w:t>
      </w:r>
      <w:r>
        <w:rPr>
          <w:rFonts w:hint="eastAsia" w:ascii="宋体" w:hAnsi="宋体" w:eastAsia="宋体" w:cs="宋体"/>
          <w:color w:val="000000"/>
          <w:szCs w:val="21"/>
          <w:highlight w:val="none"/>
          <w:shd w:val="clear" w:color="auto" w:fill="auto"/>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2.2采购人视情组织答疑会</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54" w:name="_Toc20823284"/>
      <w:r/>
      <w:bookmarkStart w:id="55" w:name="_Toc462564071"/>
      <w:r/>
      <w:bookmarkStart w:id="56" w:name="_Toc513029212"/>
      <w:r/>
      <w:bookmarkStart w:id="57" w:name="_Toc16938528"/>
      <w:r>
        <w:rPr>
          <w:rFonts w:hint="eastAsia" w:ascii="宋体" w:hAnsi="宋体" w:eastAsia="宋体" w:cs="宋体"/>
          <w:color w:val="000000"/>
          <w:sz w:val="21"/>
          <w:highlight w:val="none"/>
          <w:shd w:val="clear" w:color="auto" w:fill="auto"/>
        </w:rPr>
        <w:t xml:space="preserve">3.招标文件的修改</w:t>
      </w:r>
      <w:bookmarkEnd w:id="54"/>
      <w:r/>
      <w:bookmarkEnd w:id="55"/>
      <w:r/>
      <w:bookmarkEnd w:id="56"/>
      <w:r/>
      <w:bookmarkEnd w:id="57"/>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w:t>
      </w:r>
      <w:r>
        <w:rPr>
          <w:rFonts w:hint="eastAsia" w:ascii="宋体" w:hAnsi="宋体" w:eastAsia="宋体" w:cs="宋体"/>
          <w:color w:val="000000"/>
          <w:szCs w:val="21"/>
          <w:highlight w:val="none"/>
          <w:shd w:val="clear" w:color="auto" w:fill="auto"/>
        </w:rPr>
        <w:t xml:space="preserve"> 在投标截止时间前，采购人或采购代理机构可以对招标文件进行修改。</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 </w:t>
      </w:r>
      <w:r>
        <w:rPr>
          <w:rFonts w:hint="eastAsia" w:ascii="宋体" w:hAnsi="宋体" w:eastAsia="宋体" w:cs="宋体"/>
          <w:color w:val="000000"/>
          <w:szCs w:val="21"/>
          <w:highlight w:val="none"/>
          <w:shd w:val="clear" w:color="auto" w:fill="auto"/>
        </w:rPr>
        <w:t xml:space="preserve">采购人或采购代理机构有权按照法定的要求推迟投标截止日期和开标日期。</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3.3 </w:t>
      </w:r>
      <w:r>
        <w:rPr>
          <w:rFonts w:hint="eastAsia" w:ascii="宋体" w:hAnsi="宋体" w:eastAsia="宋体" w:cs="宋体"/>
          <w:color w:val="000000"/>
          <w:szCs w:val="21"/>
          <w:highlight w:val="none"/>
          <w:shd w:val="clear" w:color="auto" w:fill="auto"/>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w:t>
      </w:r>
      <w:r>
        <w:rPr>
          <w:rFonts w:hint="eastAsia" w:ascii="宋体" w:hAnsi="宋体" w:eastAsia="宋体" w:cs="宋体"/>
          <w:color w:val="000000"/>
          <w:szCs w:val="21"/>
          <w:highlight w:val="none"/>
          <w:shd w:val="clear" w:color="auto" w:fill="auto"/>
          <w:lang w:val="en-US" w:eastAsia="zh-CN"/>
        </w:rPr>
        <w:t xml:space="preserve">在</w:t>
      </w:r>
      <w:r>
        <w:rPr>
          <w:rFonts w:hint="eastAsia" w:ascii="宋体" w:hAnsi="宋体" w:eastAsia="宋体" w:cs="宋体"/>
          <w:color w:val="000000"/>
          <w:szCs w:val="21"/>
          <w:highlight w:val="none"/>
          <w:shd w:val="clear" w:color="auto" w:fill="auto"/>
        </w:rPr>
        <w:t xml:space="preserve">投标供应商关注本项目的“更正（澄清）公告”，并通过“苏采云”系统重新下载更正（澄清）后的采购文件（后缀名为“.kedt”），离线编制响应文件，否则，将自行承担相应的风险。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58" w:name="_Toc16938529"/>
      <w:r/>
      <w:bookmarkStart w:id="59" w:name="_Toc462564072"/>
      <w:r/>
      <w:bookmarkStart w:id="60" w:name="_Toc120614216"/>
      <w:r/>
      <w:bookmarkStart w:id="61" w:name="_Toc20823285"/>
      <w:r/>
      <w:bookmarkStart w:id="62" w:name="_Toc513029213"/>
      <w:r>
        <w:rPr>
          <w:rFonts w:hint="eastAsia" w:ascii="宋体" w:hAnsi="宋体" w:eastAsia="宋体" w:cs="宋体"/>
          <w:color w:val="000000"/>
          <w:sz w:val="21"/>
          <w:szCs w:val="21"/>
          <w:highlight w:val="none"/>
          <w:shd w:val="clear" w:color="auto" w:fill="auto"/>
        </w:rPr>
        <w:t xml:space="preserve">（三）投标文件的编制</w:t>
      </w:r>
      <w:bookmarkEnd w:id="58"/>
      <w:r/>
      <w:bookmarkEnd w:id="59"/>
      <w:r/>
      <w:bookmarkEnd w:id="60"/>
      <w:r/>
      <w:bookmarkEnd w:id="61"/>
      <w:r/>
      <w:bookmarkEnd w:id="62"/>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Cs/>
          <w:color w:val="000000"/>
          <w:sz w:val="21"/>
          <w:highlight w:val="none"/>
          <w:shd w:val="clear" w:color="auto" w:fill="auto"/>
        </w:rPr>
      </w:pPr>
      <w:r/>
      <w:bookmarkStart w:id="63" w:name="_Toc16938530"/>
      <w:r/>
      <w:bookmarkStart w:id="64" w:name="_Toc513029214"/>
      <w:r/>
      <w:bookmarkStart w:id="65" w:name="_Toc20823286"/>
      <w:r/>
      <w:bookmarkStart w:id="66" w:name="_Toc462564073"/>
      <w:r>
        <w:rPr>
          <w:rFonts w:hint="eastAsia" w:ascii="宋体" w:hAnsi="宋体" w:eastAsia="宋体" w:cs="宋体"/>
          <w:color w:val="000000"/>
          <w:sz w:val="21"/>
          <w:highlight w:val="none"/>
          <w:shd w:val="clear" w:color="auto" w:fill="auto"/>
        </w:rPr>
        <w:t xml:space="preserve">1.投标文件的语言及度量衡单位</w:t>
      </w:r>
      <w:bookmarkEnd w:id="63"/>
      <w:r/>
      <w:bookmarkEnd w:id="64"/>
      <w:r/>
      <w:bookmarkEnd w:id="65"/>
      <w:r/>
      <w:bookmarkEnd w:id="66"/>
      <w:r>
        <w:rPr>
          <w:rFonts w:hint="eastAsia" w:ascii="宋体" w:hAnsi="宋体" w:eastAsia="宋体" w:cs="宋体"/>
          <w:bCs/>
          <w:color w:val="000000"/>
          <w:sz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 除技术性能另有规定外，投标文件所使用的度量衡单位，均须采用国家法定计量单位。</w:t>
      </w:r>
      <w:r>
        <w:rPr>
          <w:rFonts w:hint="eastAsia" w:ascii="宋体" w:hAnsi="宋体" w:eastAsia="宋体" w:cs="宋体"/>
          <w:bCs/>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67" w:name="_Toc462564074"/>
      <w:r/>
      <w:bookmarkStart w:id="68" w:name="_Toc16938531"/>
      <w:r/>
      <w:bookmarkStart w:id="69" w:name="_Toc20823287"/>
      <w:r/>
      <w:bookmarkStart w:id="70" w:name="_Toc513029215"/>
      <w:r>
        <w:rPr>
          <w:rFonts w:hint="eastAsia" w:ascii="宋体" w:hAnsi="宋体" w:eastAsia="宋体" w:cs="宋体"/>
          <w:color w:val="000000"/>
          <w:sz w:val="21"/>
          <w:highlight w:val="none"/>
          <w:shd w:val="clear" w:color="auto" w:fill="auto"/>
        </w:rPr>
        <w:t xml:space="preserve">2.投标文件构成</w:t>
      </w:r>
      <w:bookmarkEnd w:id="67"/>
      <w:r/>
      <w:bookmarkEnd w:id="68"/>
      <w:r/>
      <w:bookmarkEnd w:id="69"/>
      <w:r/>
      <w:bookmarkEnd w:id="70"/>
      <w:r>
        <w:rPr>
          <w:rFonts w:hint="eastAsia" w:ascii="宋体" w:hAnsi="宋体" w:eastAsia="宋体" w:cs="宋体"/>
          <w:b/>
          <w:bCs/>
          <w:color w:val="000000"/>
          <w:sz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bookmarkStart w:id="71" w:name="_Hlt26668975"/>
      <w:r/>
      <w:bookmarkEnd w:id="71"/>
      <w:r/>
      <w:bookmarkStart w:id="72" w:name="_Toc49090511"/>
      <w:r/>
      <w:bookmarkStart w:id="73" w:name="_Toc14577360"/>
      <w:r/>
      <w:bookmarkStart w:id="74" w:name="_Hlt26670360"/>
      <w:r/>
      <w:bookmarkEnd w:id="74"/>
      <w:r/>
      <w:bookmarkStart w:id="75" w:name="_Hlt26954838"/>
      <w:r/>
      <w:bookmarkEnd w:id="75"/>
      <w:r>
        <w:rPr>
          <w:rFonts w:hint="eastAsia" w:ascii="宋体" w:hAnsi="宋体" w:eastAsia="宋体" w:cs="宋体"/>
          <w:bCs/>
          <w:color w:val="000000"/>
          <w:szCs w:val="21"/>
          <w:highlight w:val="none"/>
          <w:shd w:val="clear" w:color="auto" w:fill="auto"/>
        </w:rPr>
        <w:t xml:space="preserve">2.2 如标书制作工具中格式和内容与“江苏政府采购网”发布的招标文件不一致，请以“江苏政府采购网”发布的招标文件为准。</w:t>
      </w:r>
      <w:bookmarkStart w:id="76" w:name="_Toc513029219"/>
      <w:r/>
      <w:bookmarkStart w:id="77" w:name="_Toc14577357"/>
      <w:r/>
      <w:bookmarkStart w:id="78" w:name="_Toc513029216"/>
      <w:r/>
      <w:bookmarkStart w:id="79" w:name="_Toc49090509"/>
      <w:r/>
      <w:bookmarkStart w:id="80" w:name="_Toc49090507"/>
      <w:r/>
      <w:bookmarkStart w:id="81" w:name="_Toc49090508"/>
      <w:r/>
      <w:bookmarkStart w:id="82" w:name="_Toc14577355"/>
      <w:r/>
      <w:bookmarkStart w:id="83" w:name="_Toc14577354"/>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3.证明投标供应商及投标标的符合招标文件规定的文件</w:t>
      </w:r>
      <w:bookmarkEnd w:id="76"/>
      <w:r/>
      <w:bookmarkEnd w:id="77"/>
      <w:r/>
      <w:bookmarkEnd w:id="78"/>
      <w:r/>
      <w:bookmarkEnd w:id="79"/>
      <w:r/>
      <w:bookmarkEnd w:id="80"/>
      <w:r/>
      <w:bookmarkEnd w:id="83"/>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3.2招标文件对证明文件无明确形式要求的，证明文件可以以文字资料、图纸和数据等形式提交。</w:t>
      </w:r>
      <w:bookmarkEnd w:id="81"/>
      <w:r/>
      <w:bookmarkEnd w:id="82"/>
      <w:r>
        <w:rPr>
          <w:rFonts w:hint="eastAsia" w:ascii="宋体" w:hAnsi="宋体" w:eastAsia="宋体" w:cs="宋体"/>
          <w:bCs/>
          <w:color w:val="000000"/>
          <w:szCs w:val="21"/>
          <w:highlight w:val="none"/>
          <w:shd w:val="clear" w:color="auto" w:fill="auto"/>
        </w:rPr>
      </w:r>
      <w:r/>
    </w:p>
    <w:p>
      <w:pPr>
        <w:pStyle w:val="725"/>
        <w:numPr>
          <w:ilvl w:val="0"/>
          <w:numId w:val="2"/>
        </w:numPr>
        <w:spacing w:line="500" w:lineRule="exact"/>
        <w:shd w:val="clear" w:color="auto" w:fill="auto"/>
        <w:tabs>
          <w:tab w:val="left" w:pos="312"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投标分项报价表</w:t>
      </w:r>
      <w:r>
        <w:rPr>
          <w:rFonts w:hint="eastAsia" w:ascii="宋体" w:hAnsi="宋体" w:eastAsia="宋体" w:cs="宋体"/>
          <w:color w:val="000000"/>
          <w:szCs w:val="21"/>
          <w:highlight w:val="none"/>
          <w:shd w:val="clear" w:color="auto" w:fill="auto"/>
        </w:rPr>
      </w:r>
      <w:r/>
    </w:p>
    <w:p>
      <w:pPr>
        <w:pStyle w:val="725"/>
        <w:numPr>
          <w:ilvl w:val="1"/>
          <w:numId w:val="2"/>
        </w:numPr>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投标供应商按照招标文件规定格式填报投标分项报价表。</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4.2投标货币。投标文件中的单价和总价无特殊规定的采用人民币报价，以元为单位标注。招标文件中另有规定的按规定执行。</w:t>
      </w:r>
      <w:bookmarkStart w:id="84" w:name="_Hlt26670486"/>
      <w:r/>
      <w:bookmarkEnd w:id="84"/>
      <w:r/>
      <w:bookmarkStart w:id="85" w:name="_Hlt26954731"/>
      <w:r/>
      <w:bookmarkEnd w:id="85"/>
      <w:r/>
      <w:bookmarkStart w:id="86" w:name="_Hlt26670482"/>
      <w:r/>
      <w:bookmarkEnd w:id="86"/>
      <w:r/>
      <w:bookmarkStart w:id="87" w:name="_Hlt26954848"/>
      <w:r/>
      <w:bookmarkEnd w:id="87"/>
      <w:r/>
      <w:bookmarkStart w:id="88" w:name="_Hlt26954846"/>
      <w:r/>
      <w:bookmarkEnd w:id="88"/>
      <w:r>
        <w:rPr>
          <w:rFonts w:hint="eastAsia" w:ascii="宋体" w:hAnsi="宋体" w:eastAsia="宋体" w:cs="宋体"/>
          <w:color w:val="000000"/>
          <w:szCs w:val="21"/>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5.技术要求响应及偏离表、商务要求响应及偏离表</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shd w:val="clear" w:color="auto" w:fill="auto"/>
          <w:lang w:val="zh-CN"/>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.2投标供应商需按照</w:t>
      </w:r>
      <w:r>
        <w:rPr>
          <w:rFonts w:hint="eastAsia" w:ascii="宋体" w:hAnsi="宋体" w:eastAsia="宋体" w:cs="宋体"/>
          <w:color w:val="000000"/>
          <w:szCs w:val="21"/>
          <w:highlight w:val="none"/>
          <w:shd w:val="clear" w:color="auto" w:fill="auto"/>
        </w:rPr>
        <w:t xml:space="preserve">招标</w:t>
      </w:r>
      <w:r>
        <w:rPr>
          <w:rFonts w:hint="eastAsia" w:ascii="宋体" w:hAnsi="宋体" w:eastAsia="宋体" w:cs="宋体"/>
          <w:color w:val="000000"/>
          <w:szCs w:val="21"/>
          <w:highlight w:val="none"/>
          <w:shd w:val="clear" w:color="auto" w:fill="auto"/>
          <w:lang w:val="zh-CN"/>
        </w:rPr>
        <w:t xml:space="preserve">文件要求，在投标文件中提供与技术要求和商务要求相关的证明材料。</w:t>
      </w:r>
      <w:r>
        <w:rPr>
          <w:rFonts w:hint="eastAsia" w:ascii="宋体" w:hAnsi="宋体" w:eastAsia="宋体" w:cs="宋体"/>
          <w:color w:val="000000"/>
          <w:szCs w:val="21"/>
          <w:highlight w:val="none"/>
          <w:shd w:val="clear" w:color="auto" w:fill="auto"/>
          <w:lang w:val="zh-CN"/>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6.服务承诺、培训计划、人员安排及其他（根据项目需求的实际要求进行填写）</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shd w:val="clear" w:color="auto" w:fill="auto"/>
        </w:rPr>
      </w:r>
      <w:r/>
    </w:p>
    <w:p>
      <w:pPr>
        <w:pStyle w:val="729"/>
        <w:ind w:firstLine="420"/>
        <w:jc w:val="both"/>
        <w:spacing w:line="500" w:lineRule="exact"/>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6.2 投标供应商需根据招标文件要求提供培训计划。</w:t>
      </w:r>
      <w:r>
        <w:rPr>
          <w:rFonts w:hint="eastAsia" w:ascii="宋体" w:hAnsi="宋体" w:eastAsia="宋体" w:cs="宋体"/>
          <w:color w:val="000000"/>
          <w:sz w:val="21"/>
          <w:highlight w:val="none"/>
          <w:shd w:val="clear" w:color="auto" w:fill="auto"/>
        </w:rPr>
      </w:r>
      <w:r/>
    </w:p>
    <w:p>
      <w:pPr>
        <w:pStyle w:val="729"/>
        <w:ind w:firstLine="420"/>
        <w:jc w:val="both"/>
        <w:spacing w:line="500" w:lineRule="exact"/>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6.3 投标供应商需根据招标文件要求提供</w:t>
      </w:r>
      <w:r>
        <w:rPr>
          <w:rFonts w:hint="eastAsia" w:ascii="宋体" w:hAnsi="宋体" w:eastAsia="宋体" w:cs="宋体"/>
          <w:color w:val="000000"/>
          <w:sz w:val="21"/>
          <w:highlight w:val="none"/>
          <w:shd w:val="clear" w:color="auto" w:fill="auto"/>
          <w:lang w:val="zh-CN"/>
        </w:rPr>
        <w:t xml:space="preserve">所投标的的主要组成部分、功能设计、实现思路及关键技术等。</w:t>
      </w:r>
      <w:r>
        <w:rPr>
          <w:rFonts w:hint="eastAsia" w:ascii="宋体" w:hAnsi="宋体" w:eastAsia="宋体" w:cs="宋体"/>
          <w:color w:val="000000"/>
          <w:sz w:val="21"/>
          <w:highlight w:val="none"/>
          <w:shd w:val="clear" w:color="auto" w:fill="auto"/>
        </w:rPr>
      </w:r>
      <w:r/>
    </w:p>
    <w:p>
      <w:pPr>
        <w:pStyle w:val="729"/>
        <w:jc w:val="both"/>
        <w:spacing w:line="500" w:lineRule="exact"/>
        <w:shd w:val="clear" w:color="auto" w:fill="auto"/>
        <w:rPr>
          <w:rFonts w:hint="eastAsia" w:ascii="宋体" w:hAnsi="宋体" w:eastAsia="宋体" w:cs="宋体"/>
          <w:color w:val="000000"/>
          <w:sz w:val="21"/>
          <w:highlight w:val="none"/>
          <w:shd w:val="clear" w:color="auto" w:fill="auto"/>
          <w:lang w:eastAsia="zh-CN"/>
        </w:rPr>
      </w:pPr>
      <w:r/>
      <w:bookmarkStart w:id="89" w:name="_Toc14577359"/>
      <w:r/>
      <w:bookmarkStart w:id="90" w:name="_Toc49090510"/>
      <w:r>
        <w:rPr>
          <w:rFonts w:hint="eastAsia" w:ascii="宋体" w:hAnsi="宋体" w:eastAsia="宋体" w:cs="宋体"/>
          <w:color w:val="000000"/>
          <w:sz w:val="21"/>
          <w:highlight w:val="none"/>
          <w:shd w:val="clear" w:color="auto" w:fill="auto"/>
        </w:rPr>
        <w:t xml:space="preserve">7.投标函和</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lang w:eastAsia="zh-CN"/>
        </w:rPr>
      </w:r>
      <w:r/>
    </w:p>
    <w:p>
      <w:pPr>
        <w:pStyle w:val="729"/>
        <w:ind w:firstLine="420"/>
        <w:jc w:val="both"/>
        <w:spacing w:line="500" w:lineRule="exact"/>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7.1 投标供应商应按照招标文件中提供的格式完整、正确填写投标函、</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729"/>
        <w:ind w:firstLine="420"/>
        <w:jc w:val="both"/>
        <w:spacing w:line="500" w:lineRule="exact"/>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7.2 对于采用货币报价的项目，</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中的投标总报价应与投标分项报价表中的投标总报价一致，如不一致，不作为无效投标处理，但评标时按</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中价格为准。</w:t>
      </w:r>
      <w:r>
        <w:rPr>
          <w:rFonts w:hint="eastAsia" w:ascii="宋体" w:hAnsi="宋体" w:eastAsia="宋体" w:cs="宋体"/>
          <w:color w:val="000000"/>
          <w:sz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End w:id="89"/>
      <w:r/>
      <w:bookmarkEnd w:id="90"/>
      <w:r>
        <w:rPr>
          <w:rFonts w:hint="eastAsia" w:ascii="宋体" w:hAnsi="宋体" w:eastAsia="宋体" w:cs="宋体"/>
          <w:color w:val="000000"/>
          <w:sz w:val="21"/>
          <w:highlight w:val="none"/>
          <w:shd w:val="clear" w:color="auto" w:fill="auto"/>
        </w:rPr>
        <w:t xml:space="preserve">8.投标有效期</w:t>
      </w:r>
      <w:bookmarkEnd w:id="72"/>
      <w:r/>
      <w:bookmarkEnd w:id="73"/>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8.1投标有效期为招标文件规定的开标之日后</w:t>
      </w:r>
      <w:r>
        <w:rPr>
          <w:rFonts w:hint="eastAsia" w:ascii="宋体" w:hAnsi="宋体" w:eastAsia="宋体" w:cs="宋体"/>
          <w:b/>
          <w:color w:val="000000"/>
          <w:szCs w:val="21"/>
          <w:highlight w:val="none"/>
          <w:u w:val="single"/>
          <w:shd w:val="clear" w:color="auto" w:fill="auto"/>
        </w:rPr>
        <w:t xml:space="preserve">九十（90）天</w:t>
      </w:r>
      <w:r>
        <w:rPr>
          <w:rFonts w:hint="eastAsia" w:ascii="宋体" w:hAnsi="宋体" w:eastAsia="宋体" w:cs="宋体"/>
          <w:bCs/>
          <w:color w:val="000000"/>
          <w:szCs w:val="21"/>
          <w:highlight w:val="none"/>
          <w:shd w:val="clear" w:color="auto" w:fill="auto"/>
        </w:rPr>
        <w:t xml:space="preserve">。投标有效期比规定短的将被视为非响应性投标而予以拒绝。</w:t>
      </w:r>
      <w:r>
        <w:rPr>
          <w:rFonts w:hint="eastAsia" w:ascii="宋体" w:hAnsi="宋体" w:eastAsia="宋体" w:cs="宋体"/>
          <w:bCs/>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9.投标有效期的延长</w:t>
      </w:r>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shd w:val="clear" w:color="auto" w:fill="auto"/>
        </w:rPr>
        <w:t xml:space="preserve">受投标有效期约束的所有权利与义务均延长至新的有效期</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10.电子响应文件其他要求</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10.1电子招标投标交易平台（即“苏采云”系统）相关要求是本采购文件的组成部分。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91" w:name="_Hlt26954852"/>
      <w:r/>
      <w:bookmarkEnd w:id="91"/>
      <w:r/>
      <w:bookmarkStart w:id="92" w:name="_Toc120614217"/>
      <w:r/>
      <w:bookmarkStart w:id="93" w:name="_Toc513029224"/>
      <w:r/>
      <w:bookmarkStart w:id="94" w:name="_Toc16938540"/>
      <w:r/>
      <w:bookmarkStart w:id="95" w:name="_Toc20823296"/>
      <w:r/>
      <w:bookmarkStart w:id="96" w:name="_Hlt26954739"/>
      <w:r/>
      <w:bookmarkEnd w:id="96"/>
      <w:r>
        <w:rPr>
          <w:rFonts w:hint="eastAsia" w:ascii="宋体" w:hAnsi="宋体" w:eastAsia="宋体" w:cs="宋体"/>
          <w:color w:val="000000"/>
          <w:sz w:val="21"/>
          <w:szCs w:val="21"/>
          <w:highlight w:val="none"/>
          <w:shd w:val="clear" w:color="auto" w:fill="auto"/>
        </w:rPr>
        <w:t xml:space="preserve">（四）投标文件的递交</w:t>
      </w:r>
      <w:bookmarkEnd w:id="92"/>
      <w:r/>
      <w:bookmarkEnd w:id="93"/>
      <w:r/>
      <w:bookmarkEnd w:id="94"/>
      <w:r/>
      <w:bookmarkEnd w:id="95"/>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97" w:name="_Toc513029225"/>
      <w:r/>
      <w:bookmarkStart w:id="98" w:name="_Toc20823297"/>
      <w:r/>
      <w:bookmarkStart w:id="99" w:name="_Toc16938541"/>
      <w:r/>
      <w:bookmarkStart w:id="100" w:name="_Toc462564084"/>
      <w:r>
        <w:rPr>
          <w:rFonts w:hint="eastAsia" w:ascii="宋体" w:hAnsi="宋体" w:eastAsia="宋体" w:cs="宋体"/>
          <w:color w:val="000000"/>
          <w:sz w:val="21"/>
          <w:highlight w:val="none"/>
          <w:shd w:val="clear" w:color="auto" w:fill="auto"/>
        </w:rPr>
        <w:t xml:space="preserve">1.投标文件</w:t>
      </w:r>
      <w:bookmarkEnd w:id="97"/>
      <w:r/>
      <w:bookmarkEnd w:id="98"/>
      <w:r/>
      <w:bookmarkEnd w:id="99"/>
      <w:r/>
      <w:bookmarkEnd w:id="100"/>
      <w:r>
        <w:rPr>
          <w:rFonts w:hint="eastAsia" w:ascii="宋体" w:hAnsi="宋体" w:eastAsia="宋体" w:cs="宋体"/>
          <w:color w:val="000000"/>
          <w:sz w:val="21"/>
          <w:highlight w:val="none"/>
          <w:shd w:val="clear" w:color="auto" w:fill="auto"/>
        </w:rPr>
        <w:t xml:space="preserve">的递交</w:t>
      </w:r>
      <w:r>
        <w:rPr>
          <w:rFonts w:hint="eastAsia" w:ascii="宋体" w:hAnsi="宋体" w:eastAsia="宋体" w:cs="宋体"/>
          <w:b/>
          <w:bCs/>
          <w:color w:val="000000"/>
          <w:sz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bookmarkStart w:id="101" w:name="_Toc513029226"/>
      <w:r/>
      <w:bookmarkStart w:id="102" w:name="_Toc20823298"/>
      <w:r/>
      <w:bookmarkStart w:id="103" w:name="_Toc16938542"/>
      <w:r>
        <w:rPr>
          <w:rFonts w:hint="eastAsia" w:ascii="宋体" w:hAnsi="宋体" w:eastAsia="宋体" w:cs="宋体"/>
          <w:bCs/>
          <w:color w:val="000000"/>
          <w:szCs w:val="21"/>
          <w:highlight w:val="none"/>
          <w:shd w:val="clear" w:color="auto" w:fill="auto"/>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Cs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2.投标截止日期</w:t>
      </w:r>
      <w:bookmarkEnd w:id="101"/>
      <w:r/>
      <w:bookmarkEnd w:id="102"/>
      <w:r/>
      <w:bookmarkEnd w:id="103"/>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color w:val="000000"/>
          <w:szCs w:val="21"/>
          <w:highlight w:val="none"/>
          <w:u w:val="single"/>
          <w:shd w:val="clear" w:color="auto" w:fill="auto"/>
        </w:rPr>
      </w:pPr>
      <w:r>
        <w:rPr>
          <w:rFonts w:hint="eastAsia" w:ascii="宋体" w:hAnsi="宋体" w:eastAsia="宋体" w:cs="宋体"/>
          <w:b/>
          <w:color w:val="000000"/>
          <w:szCs w:val="21"/>
          <w:highlight w:val="none"/>
          <w:u w:val="single"/>
          <w:shd w:val="clear" w:color="auto" w:fill="auto"/>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2.2采购人或采购代理机构</w:t>
      </w:r>
      <w:r>
        <w:rPr>
          <w:rFonts w:hint="eastAsia" w:ascii="宋体" w:hAnsi="宋体" w:eastAsia="宋体" w:cs="宋体"/>
          <w:bCs/>
          <w:color w:val="000000"/>
          <w:szCs w:val="21"/>
          <w:highlight w:val="none"/>
          <w:shd w:val="clear" w:color="auto" w:fill="auto"/>
        </w:rPr>
        <w:t xml:space="preserve">可以按照规定，通过修改招标文件酌情延长投标截止日期，在此情况下，投标供应商的所有权利和义务以及投标供应商受制的截止日期均应以延长后新的截止日期为准。</w:t>
      </w:r>
      <w:bookmarkStart w:id="104" w:name="_Toc16938543"/>
      <w:r/>
      <w:bookmarkStart w:id="105" w:name="_Toc513029227"/>
      <w:r/>
      <w:bookmarkStart w:id="106" w:name="_Toc20823299"/>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3.投标文件的密封（加密）要求：</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3.3投标供应商未按规定加密的投标文件，“苏采云”系统应当拒收并提示。</w:t>
      </w:r>
      <w:r>
        <w:rPr>
          <w:rFonts w:hint="eastAsia" w:ascii="宋体" w:hAnsi="宋体" w:eastAsia="宋体" w:cs="宋体"/>
          <w:color w:val="000000"/>
          <w:szCs w:val="21"/>
          <w:highlight w:val="none"/>
          <w:shd w:val="clear" w:color="auto" w:fill="auto"/>
        </w:rPr>
      </w:r>
      <w:r/>
    </w:p>
    <w:p>
      <w:pPr>
        <w:pStyle w:val="725"/>
        <w:spacing w:line="50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4.投标文件</w:t>
      </w:r>
      <w:bookmarkEnd w:id="104"/>
      <w:r/>
      <w:bookmarkEnd w:id="105"/>
      <w:r/>
      <w:bookmarkEnd w:id="106"/>
      <w:r>
        <w:rPr>
          <w:rFonts w:hint="eastAsia" w:ascii="宋体" w:hAnsi="宋体" w:eastAsia="宋体" w:cs="宋体"/>
          <w:color w:val="000000"/>
          <w:szCs w:val="21"/>
          <w:highlight w:val="none"/>
          <w:shd w:val="clear" w:color="auto" w:fill="auto"/>
        </w:rPr>
        <w:t xml:space="preserve">的拒收</w:t>
      </w:r>
      <w:r>
        <w:rPr>
          <w:rFonts w:hint="eastAsia" w:ascii="宋体" w:hAnsi="宋体" w:eastAsia="宋体" w:cs="宋体"/>
          <w:b/>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4.1 采购人或采购代理机构拒绝接收在其规定的投标截止时间后上传的任何投标文件。</w:t>
      </w:r>
      <w:r>
        <w:rPr>
          <w:rFonts w:hint="eastAsia" w:ascii="宋体" w:hAnsi="宋体" w:eastAsia="宋体" w:cs="宋体"/>
          <w:bCs/>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107" w:name="_Toc20823300"/>
      <w:r/>
      <w:bookmarkStart w:id="108" w:name="_Toc16938544"/>
      <w:r/>
      <w:bookmarkStart w:id="109" w:name="_Toc513029228"/>
      <w:r>
        <w:rPr>
          <w:rFonts w:hint="eastAsia" w:ascii="宋体" w:hAnsi="宋体" w:eastAsia="宋体" w:cs="宋体"/>
          <w:color w:val="000000"/>
          <w:sz w:val="21"/>
          <w:highlight w:val="none"/>
          <w:shd w:val="clear" w:color="auto" w:fill="auto"/>
        </w:rPr>
        <w:t xml:space="preserve">5.投标文件的撤回和修改</w:t>
      </w:r>
      <w:bookmarkEnd w:id="107"/>
      <w:r/>
      <w:bookmarkEnd w:id="108"/>
      <w:r/>
      <w:bookmarkEnd w:id="109"/>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 投标文件的撤回</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5.1.1 电子投标文件的撤回</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投标供应商可在投标截止时间前，撤回其电子投标文件，具体操作方法见《操作手册》，可至江苏省政府采购网—办事指南-资料下载中心下载。</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5.1.2 投标供应商撤回电子投标文件，则认为其不再参与本项目投标活动。</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 投标文件的修改</w:t>
      </w:r>
      <w:r>
        <w:rPr>
          <w:rFonts w:hint="eastAsia" w:ascii="宋体" w:hAnsi="宋体" w:eastAsia="宋体" w:cs="宋体"/>
          <w:color w:val="000000"/>
          <w:szCs w:val="21"/>
          <w:highlight w:val="none"/>
          <w:shd w:val="clear" w:color="auto" w:fill="auto"/>
        </w:rPr>
      </w:r>
      <w:r/>
    </w:p>
    <w:p>
      <w:pPr>
        <w:pStyle w:val="725"/>
        <w:ind w:firstLine="55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投标供应商可在投标截止时间前，对其电子投标文件进行修改，</w:t>
      </w:r>
      <w:r>
        <w:rPr>
          <w:rFonts w:hint="eastAsia" w:ascii="宋体" w:hAnsi="宋体" w:eastAsia="宋体" w:cs="宋体"/>
          <w:color w:val="000000"/>
          <w:szCs w:val="21"/>
          <w:highlight w:val="none"/>
          <w:shd w:val="clear" w:color="auto" w:fill="auto"/>
        </w:rPr>
        <w:t xml:space="preserve">具体操作方法见《操作手册》。</w:t>
      </w:r>
      <w:r>
        <w:rPr>
          <w:rFonts w:hint="eastAsia" w:ascii="宋体" w:hAnsi="宋体" w:eastAsia="宋体" w:cs="宋体"/>
          <w:bCs/>
          <w:color w:val="000000"/>
          <w:szCs w:val="21"/>
          <w:highlight w:val="none"/>
          <w:shd w:val="clear" w:color="auto" w:fill="auto"/>
        </w:rPr>
      </w:r>
      <w:r/>
    </w:p>
    <w:p>
      <w:pPr>
        <w:pStyle w:val="725"/>
        <w:ind w:firstLine="55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 在投标截止时间之后，投标供应商不得对其电子投标文件作任何修改。</w:t>
      </w:r>
      <w:r>
        <w:rPr>
          <w:rFonts w:hint="eastAsia" w:ascii="宋体" w:hAnsi="宋体" w:eastAsia="宋体" w:cs="宋体"/>
          <w:bCs/>
          <w:color w:val="000000"/>
          <w:szCs w:val="21"/>
          <w:highlight w:val="none"/>
          <w:shd w:val="clear" w:color="auto" w:fill="auto"/>
        </w:rPr>
      </w:r>
      <w:r/>
    </w:p>
    <w:p>
      <w:pPr>
        <w:pStyle w:val="725"/>
        <w:ind w:firstLine="55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110" w:name="_Toc120614218"/>
      <w:r/>
      <w:bookmarkStart w:id="111" w:name="_Toc16938545"/>
      <w:r/>
      <w:bookmarkStart w:id="112" w:name="_Toc20823301"/>
      <w:r/>
      <w:bookmarkStart w:id="113" w:name="_Toc513029229"/>
      <w:r>
        <w:rPr>
          <w:rFonts w:hint="eastAsia" w:ascii="宋体" w:hAnsi="宋体" w:eastAsia="宋体" w:cs="宋体"/>
          <w:color w:val="000000"/>
          <w:sz w:val="21"/>
          <w:szCs w:val="21"/>
          <w:highlight w:val="none"/>
          <w:shd w:val="clear" w:color="auto" w:fill="auto"/>
        </w:rPr>
        <w:t xml:space="preserve">（五）开标与评标</w:t>
      </w:r>
      <w:bookmarkEnd w:id="110"/>
      <w:r/>
      <w:bookmarkEnd w:id="111"/>
      <w:r/>
      <w:bookmarkEnd w:id="112"/>
      <w:r/>
      <w:bookmarkEnd w:id="113"/>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114" w:name="_Toc16938546"/>
      <w:r/>
      <w:bookmarkStart w:id="115" w:name="_Toc20823302"/>
      <w:r/>
      <w:bookmarkStart w:id="116" w:name="_Toc513029230"/>
      <w:r>
        <w:rPr>
          <w:rFonts w:hint="eastAsia" w:ascii="宋体" w:hAnsi="宋体" w:eastAsia="宋体" w:cs="宋体"/>
          <w:color w:val="000000"/>
          <w:sz w:val="21"/>
          <w:highlight w:val="none"/>
          <w:shd w:val="clear" w:color="auto" w:fill="auto"/>
        </w:rPr>
        <w:t xml:space="preserve">1.开标</w:t>
      </w:r>
      <w:bookmarkEnd w:id="114"/>
      <w:r/>
      <w:bookmarkEnd w:id="115"/>
      <w:r/>
      <w:bookmarkEnd w:id="116"/>
      <w:r>
        <w:rPr>
          <w:rFonts w:hint="eastAsia" w:ascii="宋体" w:hAnsi="宋体" w:eastAsia="宋体" w:cs="宋体"/>
          <w:b/>
          <w:bCs/>
          <w:color w:val="000000"/>
          <w:sz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采购人或采购代理机构将在招标公告中规定的时间和地点组织公开开标。</w:t>
      </w:r>
      <w:r>
        <w:rPr>
          <w:rFonts w:hint="eastAsia" w:ascii="宋体" w:hAnsi="宋体" w:eastAsia="宋体" w:cs="宋体"/>
          <w:bCs/>
          <w:color w:val="000000"/>
          <w:szCs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shd w:val="clear" w:color="auto" w:fill="auto"/>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shd w:val="clear" w:color="auto" w:fill="auto"/>
        </w:rPr>
      </w:r>
      <w:r/>
    </w:p>
    <w:p>
      <w:pPr>
        <w:pStyle w:val="725"/>
        <w:ind w:firstLine="556"/>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1.2开标仪</w:t>
      </w:r>
      <w:r>
        <w:rPr>
          <w:rFonts w:hint="eastAsia" w:ascii="宋体" w:hAnsi="宋体" w:eastAsia="宋体" w:cs="宋体"/>
          <w:color w:val="000000"/>
          <w:szCs w:val="21"/>
          <w:highlight w:val="none"/>
          <w:shd w:val="clear" w:color="auto" w:fill="auto"/>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1.3投标供应商在开标过程中涉及投标文件解密、开标结果确认等工作，应按照《操作手册》规定执行。</w:t>
      </w:r>
      <w:r>
        <w:rPr>
          <w:rFonts w:hint="eastAsia" w:ascii="宋体" w:hAnsi="宋体" w:eastAsia="宋体" w:cs="宋体"/>
          <w:bCs/>
          <w:color w:val="000000"/>
          <w:szCs w:val="21"/>
          <w:highlight w:val="none"/>
          <w:shd w:val="clear" w:color="auto" w:fill="auto"/>
        </w:rPr>
      </w:r>
      <w:r/>
    </w:p>
    <w:p>
      <w:pPr>
        <w:pStyle w:val="725"/>
        <w:ind w:firstLine="556"/>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bookmarkStart w:id="117" w:name="_Toc20823303"/>
      <w:r/>
      <w:bookmarkStart w:id="118" w:name="_Toc16938547"/>
      <w:r/>
      <w:bookmarkStart w:id="119" w:name="_Toc513029231"/>
      <w:r>
        <w:rPr>
          <w:rFonts w:hint="eastAsia" w:ascii="宋体" w:hAnsi="宋体" w:eastAsia="宋体" w:cs="宋体"/>
          <w:color w:val="000000"/>
          <w:szCs w:val="21"/>
          <w:highlight w:val="none"/>
          <w:shd w:val="clear" w:color="auto" w:fill="auto"/>
        </w:rPr>
        <w:t xml:space="preserve">2.评标委员会</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2.1开标后，采购人或采购代理机构将立即组织评标委员会（以下简称评委会）进行评标。</w:t>
      </w:r>
      <w:r>
        <w:rPr>
          <w:rFonts w:hint="eastAsia" w:ascii="宋体" w:hAnsi="宋体" w:eastAsia="宋体" w:cs="宋体"/>
          <w:b/>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shd w:val="clear" w:color="auto" w:fill="auto"/>
        </w:rPr>
      </w:r>
      <w:r/>
    </w:p>
    <w:p>
      <w:pPr>
        <w:pStyle w:val="72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2.3评委会独立工作，负责评审所有投标文件并确定中标侯选人。</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3.评标过程的保密与公正</w:t>
      </w:r>
      <w:bookmarkEnd w:id="117"/>
      <w:r/>
      <w:bookmarkEnd w:id="118"/>
      <w:r/>
      <w:bookmarkEnd w:id="119"/>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w:t>
      </w:r>
      <w:r>
        <w:rPr>
          <w:rFonts w:hint="eastAsia" w:ascii="宋体" w:hAnsi="宋体" w:eastAsia="宋体" w:cs="宋体"/>
          <w:bCs/>
          <w:color w:val="000000"/>
          <w:szCs w:val="21"/>
          <w:highlight w:val="none"/>
          <w:shd w:val="clear" w:color="auto" w:fill="auto"/>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3.3在评标期间，采购代理机构将设专门人员与投标供应商联系。</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3.5 采用综合评分法的项目，未中标的投标人可于中标结果公告期限届满之日起通过苏采云系统查看自己的评审得分及排序情况。</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bookmarkStart w:id="120" w:name="_Toc513029232"/>
      <w:r/>
      <w:bookmarkStart w:id="121" w:name="_Toc16938548"/>
      <w:r/>
      <w:bookmarkStart w:id="122" w:name="_Toc20823304"/>
      <w:r>
        <w:rPr>
          <w:rFonts w:hint="eastAsia" w:ascii="宋体" w:hAnsi="宋体" w:eastAsia="宋体" w:cs="宋体"/>
          <w:color w:val="000000"/>
          <w:sz w:val="21"/>
          <w:highlight w:val="none"/>
          <w:shd w:val="clear" w:color="auto" w:fill="auto"/>
        </w:rPr>
        <w:t xml:space="preserve">4.投标的澄清</w:t>
      </w:r>
      <w:bookmarkEnd w:id="120"/>
      <w:r/>
      <w:bookmarkEnd w:id="121"/>
      <w:r/>
      <w:bookmarkEnd w:id="122"/>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bookmarkStart w:id="123" w:name="_Toc513029233"/>
      <w:r/>
      <w:bookmarkStart w:id="124" w:name="_Toc20823305"/>
      <w:r/>
      <w:bookmarkStart w:id="125" w:name="_Toc16938549"/>
      <w:r>
        <w:rPr>
          <w:rFonts w:hint="eastAsia" w:ascii="宋体" w:hAnsi="宋体" w:eastAsia="宋体" w:cs="宋体"/>
          <w:color w:val="000000"/>
          <w:szCs w:val="21"/>
          <w:highlight w:val="none"/>
          <w:shd w:val="clear" w:color="auto" w:fill="auto"/>
        </w:rPr>
        <w:t xml:space="preserve">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投标人的澄清、说明或者补正不得超出投标文件的范围或者改变投标文件的实质性内容。</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评标委员会并非对每个投标人都做澄清要求。</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4.3 接到评委会澄清、说明和补正要求的投标人如未按规定做出澄清、说明和补正，其风险由投标人自行承担。</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5对投标文件的初审</w:t>
      </w:r>
      <w:bookmarkEnd w:id="123"/>
      <w:r/>
      <w:bookmarkEnd w:id="124"/>
      <w:r/>
      <w:bookmarkEnd w:id="125"/>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w:t>
      </w:r>
      <w:r>
        <w:rPr>
          <w:rFonts w:hint="eastAsia" w:ascii="宋体" w:hAnsi="宋体" w:eastAsia="宋体" w:cs="宋体"/>
          <w:bCs/>
          <w:color w:val="000000"/>
          <w:szCs w:val="21"/>
          <w:highlight w:val="none"/>
          <w:shd w:val="clear" w:color="auto" w:fill="auto"/>
        </w:rPr>
        <w:t xml:space="preserve">投标文件初审分为资格审查和符合性审查。</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shd w:val="clear" w:color="auto" w:fill="auto"/>
        </w:rPr>
        <w:t xml:space="preserve">评委决定投标文件的响应性只根据投标文件本身的内容，而不寻求外部的证据。</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如果投标文件实质上没有响应招标文件的要求，评委会将予以拒绝，投标供应商不得通过修改或撤销不合要求的偏离或保留而使其投标成为实质性响应的投标。</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（1）投标文件中</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内容与投标文件中相应内容不一致的，以</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为准。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（2）大写金额和小写金额不一致的，以大写金额为准。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（3）单价金额小数点或者百分比有明显错位的，以</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的总价为准，并修改单价。</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（4）总价金额与按单价汇总金额不一致的，以单价金额计算结果为准。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同时出现两种以上错误的，按照前款规定的顺序修正。</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5.5</w:t>
      </w:r>
      <w:r>
        <w:rPr>
          <w:rFonts w:hint="eastAsia" w:ascii="宋体" w:hAnsi="宋体" w:eastAsia="宋体" w:cs="宋体"/>
          <w:bCs/>
          <w:color w:val="000000"/>
          <w:szCs w:val="21"/>
          <w:highlight w:val="none"/>
          <w:shd w:val="clear" w:color="auto" w:fill="auto"/>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5.6</w:t>
      </w:r>
      <w:r>
        <w:rPr>
          <w:rFonts w:hint="eastAsia" w:ascii="宋体" w:hAnsi="宋体" w:eastAsia="宋体" w:cs="宋体"/>
          <w:bCs/>
          <w:color w:val="000000"/>
          <w:szCs w:val="21"/>
          <w:highlight w:val="none"/>
          <w:shd w:val="clear" w:color="auto" w:fill="auto"/>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bookmarkStart w:id="126" w:name="_Toc16938550"/>
      <w:r/>
      <w:bookmarkStart w:id="127" w:name="_Toc20823306"/>
      <w:r/>
      <w:bookmarkStart w:id="128" w:name="_Toc513029234"/>
      <w:r>
        <w:rPr>
          <w:rFonts w:hint="eastAsia" w:ascii="宋体" w:hAnsi="宋体" w:eastAsia="宋体" w:cs="宋体"/>
          <w:color w:val="000000"/>
          <w:szCs w:val="21"/>
          <w:highlight w:val="none"/>
          <w:shd w:val="clear" w:color="auto" w:fill="auto"/>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使用综合评分法的采购项目，提供相同品牌产品且通过资格审查、符合性审查的不同投标供应商参加同一合同项下投标的，按一家投标供应商计算，评审后得分最高的同品牌投标供应商获得</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5.8 投标供应商在开、评标全过程中应保持通讯畅通，并安排专人与采购人或采购代理机构联系。</w:t>
      </w:r>
      <w:bookmarkEnd w:id="126"/>
      <w:r/>
      <w:bookmarkEnd w:id="127"/>
      <w:r/>
      <w:bookmarkEnd w:id="128"/>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6.无效投标条款和废标条款</w:t>
      </w:r>
      <w:r>
        <w:rPr>
          <w:rFonts w:hint="eastAsia" w:ascii="宋体" w:hAnsi="宋体" w:eastAsia="宋体" w:cs="宋体"/>
          <w:b/>
          <w:bCs/>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bookmarkStart w:id="129" w:name="_Toc513029235"/>
      <w:r/>
      <w:bookmarkStart w:id="130" w:name="_Toc16938551"/>
      <w:r/>
      <w:bookmarkStart w:id="131" w:name="_Toc20823307"/>
      <w:r>
        <w:rPr>
          <w:rFonts w:hint="eastAsia" w:ascii="宋体" w:hAnsi="宋体" w:eastAsia="宋体" w:cs="宋体"/>
          <w:bCs/>
          <w:color w:val="000000"/>
          <w:szCs w:val="21"/>
          <w:highlight w:val="none"/>
          <w:shd w:val="clear" w:color="auto" w:fill="auto"/>
        </w:rPr>
        <w:t xml:space="preserve">6.1无效投标条款</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 投标供应商在苏采云系统规定的时间内未成功解密电子投标文件的。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6.1.2 投标供应商未按照招标文件要求上传电子投标文件的。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6.1.3投标人同一分包提交两个（含两个）以上不同的投标报价的。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6.1.4投标供应商不具备招标文件中规定资格要求的。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6.1.5投标供应商的报价超过了采购预算或最高限价的。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6.1.6未通过符合性检查的。</w:t>
      </w:r>
      <w:r>
        <w:rPr>
          <w:rFonts w:hint="eastAsia" w:ascii="宋体" w:hAnsi="宋体" w:eastAsia="宋体" w:cs="宋体"/>
          <w:bCs/>
          <w:i/>
          <w:color w:val="000000"/>
          <w:szCs w:val="21"/>
          <w:highlight w:val="none"/>
          <w:u w:val="single"/>
          <w:shd w:val="clear" w:color="auto" w:fill="auto"/>
        </w:rPr>
      </w:r>
      <w:r/>
    </w:p>
    <w:p>
      <w:pPr>
        <w:pStyle w:val="725"/>
        <w:ind w:firstLine="420"/>
        <w:spacing w:line="500" w:lineRule="exact"/>
        <w:shd w:val="clear" w:color="auto" w:fill="auto"/>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 6.1.7不符合招标文件中规定的其他实质性要求和条件的。</w:t>
      </w:r>
      <w:r>
        <w:rPr>
          <w:rFonts w:hint="eastAsia" w:ascii="宋体" w:hAnsi="宋体" w:eastAsia="宋体" w:cs="宋体"/>
          <w:bCs/>
          <w:i/>
          <w:color w:val="000000"/>
          <w:szCs w:val="21"/>
          <w:highlight w:val="none"/>
          <w:u w:val="singl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6.1.9 投标文件含有采购人不能接受的附加条件的。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6.1.10评标委员会认为投标供应商的报价明显低于其他通过符合性审查投标供应商的报价，有可能影响产品质量或者不能诚信履约的，将通过</w:t>
      </w:r>
      <w:r>
        <w:rPr>
          <w:rFonts w:hint="eastAsia" w:ascii="宋体" w:hAnsi="宋体" w:eastAsia="宋体" w:cs="宋体"/>
          <w:color w:val="000000"/>
          <w:szCs w:val="21"/>
          <w:highlight w:val="none"/>
          <w:shd w:val="clear" w:color="auto" w:fill="auto"/>
        </w:rPr>
        <w:t xml:space="preserve">”苏采云系统”</w:t>
      </w:r>
      <w:r>
        <w:rPr>
          <w:rFonts w:hint="eastAsia" w:ascii="宋体" w:hAnsi="宋体" w:eastAsia="宋体" w:cs="宋体"/>
          <w:bCs/>
          <w:color w:val="000000"/>
          <w:szCs w:val="21"/>
          <w:highlight w:val="none"/>
          <w:shd w:val="clear" w:color="auto" w:fill="auto"/>
        </w:rPr>
        <w:t xml:space="preserve">要求其在合理的时间内提供说明，必要时提交相关证明材料；投标供应商不能证明其报价合理性的，评标委员会应当将其作为无效投标处理。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6.1.12投标文件未按照招标文件要求加盖CA电子签章。</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6.1.13不同的投标供应商投标文件制作机器码、文件创建标识码一致的。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6.1.15其他法律、法规及本招标文件规定的属无效投标的情形。</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6.2废标条款：</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6.2.1符合专业条件的供应商或者对招标文件作实质响应的供应商不足三家的。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6.2.2出现影响采购公正的违法、违规行为的。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6.2.3因重大变故，采购任务取消的。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6.2.4评标委员会认定招标文件存在歧义、重大缺陷导致评审工作无法进行。</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6.2.5 因苏采云系统故障原因造成开标不成功的。</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 投标截止时间结束后参加投标的供应商不足三家的处理：</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7.投标文件线上格式要求</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7.1投标供应商应当通过“苏采云”系统提交数据电文形式的投标文件（即电子投标）。</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7.3 本项目采用线上投标，即投标供应商的投标文件从政府采购客户端工具制作通过“苏采云”系统提交，未提供线上投标文件的，投标无效。</w:t>
      </w:r>
      <w:bookmarkEnd w:id="129"/>
      <w:r/>
      <w:bookmarkEnd w:id="130"/>
      <w:r/>
      <w:bookmarkEnd w:id="131"/>
      <w:r>
        <w:rPr>
          <w:rFonts w:hint="eastAsia" w:ascii="宋体" w:hAnsi="宋体" w:eastAsia="宋体" w:cs="宋体"/>
          <w:bCs/>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132" w:name="_Toc120614219"/>
      <w:r>
        <w:rPr>
          <w:rFonts w:hint="eastAsia" w:ascii="宋体" w:hAnsi="宋体" w:eastAsia="宋体" w:cs="宋体"/>
          <w:color w:val="000000"/>
          <w:sz w:val="21"/>
          <w:szCs w:val="21"/>
          <w:highlight w:val="none"/>
          <w:shd w:val="clear" w:color="auto" w:fill="auto"/>
        </w:rPr>
        <w:t xml:space="preserve">（六）定标</w:t>
      </w:r>
      <w:bookmarkEnd w:id="132"/>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color w:val="000000"/>
          <w:sz w:val="21"/>
          <w:highlight w:val="none"/>
          <w:shd w:val="clear" w:color="auto" w:fill="auto"/>
          <w:lang w:eastAsia="zh-CN"/>
        </w:rPr>
      </w:pPr>
      <w:r/>
      <w:bookmarkStart w:id="133" w:name="_Toc16938554"/>
      <w:r/>
      <w:bookmarkStart w:id="134" w:name="_Toc20823310"/>
      <w:r>
        <w:rPr>
          <w:rFonts w:hint="eastAsia" w:ascii="宋体" w:hAnsi="宋体" w:eastAsia="宋体" w:cs="宋体"/>
          <w:color w:val="000000"/>
          <w:sz w:val="21"/>
          <w:highlight w:val="none"/>
          <w:shd w:val="clear" w:color="auto" w:fill="auto"/>
        </w:rPr>
        <w:t xml:space="preserve">1.确定</w:t>
      </w:r>
      <w:bookmarkEnd w:id="133"/>
      <w:r/>
      <w:bookmarkEnd w:id="134"/>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b/>
          <w:color w:val="000000"/>
          <w:sz w:val="21"/>
          <w:highlight w:val="none"/>
          <w:shd w:val="clear" w:color="auto" w:fill="auto"/>
          <w:lang w:eastAsia="zh-CN"/>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1.1中标候选人的选取原则和数量见招标文件第四部分规定。 </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1.2采购人应根据评标委员会推荐的中标候选人确定</w:t>
      </w:r>
      <w:r>
        <w:rPr>
          <w:rFonts w:hint="eastAsia" w:ascii="宋体" w:hAnsi="宋体" w:eastAsia="宋体" w:cs="宋体"/>
          <w:bCs/>
          <w:color w:val="000000"/>
          <w:szCs w:val="21"/>
          <w:highlight w:val="none"/>
          <w:shd w:val="clear" w:color="auto" w:fill="auto"/>
          <w:lang w:eastAsia="zh-CN"/>
        </w:rPr>
        <w:t xml:space="preserve">中标供应商</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 </w:t>
      </w:r>
      <w:r>
        <w:rPr>
          <w:rFonts w:hint="eastAsia" w:ascii="宋体" w:hAnsi="宋体" w:eastAsia="宋体" w:cs="宋体"/>
          <w:color w:val="000000"/>
          <w:szCs w:val="21"/>
          <w:highlight w:val="none"/>
          <w:shd w:val="clear" w:color="auto" w:fill="auto"/>
        </w:rPr>
        <w:t xml:space="preserve">采购人或采购代理机构将在“江苏政府采购网”发布中标公告，公告期限为1个工作日。</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 若有充分证据证明，</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出现下列情况之一的，一经查实，将被取消中标资格：</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1.4.1提供虚假材料谋取中标的。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1.4.2向采购人或采购代理机构行贿或者评审专家提供其他不正当利益的。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1.4.3恶意竞争，投标总报价明显低于其自身合理成本且又无法提供证明的。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1.4.4属于本文件规定的无效条件，但在评标过程中又未被评委会发现的。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1.4.5与采购人或者其他供应商恶意串通的。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1.4.6采取不正当手段诋毁、排挤其他供应商的。</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bookmarkStart w:id="135" w:name="_Toc200451960"/>
      <w:r>
        <w:rPr>
          <w:rFonts w:hint="eastAsia" w:ascii="宋体" w:hAnsi="宋体" w:eastAsia="宋体" w:cs="宋体"/>
          <w:color w:val="000000"/>
          <w:szCs w:val="21"/>
          <w:highlight w:val="none"/>
          <w:shd w:val="clear" w:color="auto" w:fill="auto"/>
        </w:rPr>
        <w:t xml:space="preserve">1.5有下列情形之一的，视为投标供应商串通投标，投标无效：</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1.5.1不同投标供应商的投标文件由同一单位或者个人编制；</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1.5.2不同投标供应商委托同一单位或者个人办理投标事宜；</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1.5.3不同投标供应商的投标文件载明的项目管理成员或者联系人员为同一人；</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1.5.4不同投标供应商的投标文件异常一致或者投标报价呈规律性差异；</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1.5.5不同投标供应商的投标文件相互混装。</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2.质疑处理</w:t>
      </w:r>
      <w:bookmarkEnd w:id="135"/>
      <w:r>
        <w:rPr>
          <w:rFonts w:hint="eastAsia" w:ascii="宋体" w:hAnsi="宋体" w:eastAsia="宋体" w:cs="宋体"/>
          <w:b/>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2.2.2对采购过程提出质疑的，为各采购程序环节结束之日；</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2.2.3对中标结果提出质疑的，为中标结果公告期限届满之日。</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2.4质疑答复依据《政府采购质疑和投诉办法》（财政部令第94号）。</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质疑接收人及联系方式，见招标文件第一部分。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 以下情形的质疑不予受理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2.5.1 内容不符合《政府采购质疑和投诉办法》第十二条规定的质疑。</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2.5.2 超出政府采购法定期限的质疑。</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shd w:val="clear" w:color="auto" w:fill="auto"/>
        </w:rPr>
      </w:r>
      <w:r/>
    </w:p>
    <w:p>
      <w:pPr>
        <w:pStyle w:val="725"/>
        <w:ind w:firstLine="546"/>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3.中标通知书</w:t>
      </w:r>
      <w:r>
        <w:rPr>
          <w:rFonts w:hint="eastAsia" w:ascii="宋体" w:hAnsi="宋体" w:eastAsia="宋体" w:cs="宋体"/>
          <w:b/>
          <w:color w:val="000000"/>
          <w:sz w:val="21"/>
          <w:highlight w:val="none"/>
          <w:shd w:val="clear" w:color="auto" w:fill="auto"/>
        </w:rPr>
      </w:r>
      <w:r/>
    </w:p>
    <w:p>
      <w:pPr>
        <w:pStyle w:val="725"/>
        <w:ind w:firstLine="700"/>
        <w:spacing w:line="480" w:lineRule="exact"/>
        <w:shd w:val="clear" w:color="auto" w:fill="auto"/>
        <w:rPr>
          <w:rFonts w:hint="eastAsia" w:ascii="宋体" w:hAnsi="宋体" w:eastAsia="宋体" w:cs="宋体"/>
          <w:color w:val="000000"/>
          <w:szCs w:val="21"/>
          <w:highlight w:val="none"/>
          <w:shd w:val="clear" w:color="auto" w:fill="auto"/>
        </w:rPr>
        <w:outlineLvl w:val="0"/>
      </w:pPr>
      <w:r>
        <w:rPr>
          <w:rFonts w:hint="eastAsia" w:ascii="宋体" w:hAnsi="宋体" w:eastAsia="宋体" w:cs="宋体"/>
          <w:color w:val="000000"/>
          <w:szCs w:val="21"/>
          <w:highlight w:val="none"/>
          <w:shd w:val="clear" w:color="auto" w:fill="auto"/>
        </w:rPr>
        <w:t xml:space="preserve">3.1中标结果确定后，</w:t>
      </w:r>
      <w:r>
        <w:rPr>
          <w:rFonts w:hint="eastAsia" w:ascii="宋体" w:hAnsi="宋体" w:eastAsia="宋体" w:cs="宋体"/>
          <w:bCs/>
          <w:color w:val="000000"/>
          <w:szCs w:val="21"/>
          <w:highlight w:val="none"/>
          <w:shd w:val="clear" w:color="auto" w:fill="auto"/>
        </w:rPr>
        <w:t xml:space="preserve">采购人或采购代理机构</w:t>
      </w:r>
      <w:r>
        <w:rPr>
          <w:rFonts w:hint="eastAsia" w:ascii="宋体" w:hAnsi="宋体" w:eastAsia="宋体" w:cs="宋体"/>
          <w:color w:val="000000"/>
          <w:szCs w:val="21"/>
          <w:highlight w:val="none"/>
          <w:shd w:val="clear" w:color="auto" w:fill="auto"/>
        </w:rPr>
        <w:t xml:space="preserve">将向</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发出中标通知书。请</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自行承担。</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3.2中标通知书将是合同的一个组成部分。对采购人和</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均具有法律效力。中标通知书发出后，采购人改变中标结果的，或者</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放弃中标项目的，应当依法承担法律责任。</w:t>
      </w:r>
      <w:r>
        <w:rPr>
          <w:rFonts w:hint="eastAsia" w:ascii="宋体" w:hAnsi="宋体" w:eastAsia="宋体" w:cs="宋体"/>
          <w:color w:val="000000"/>
          <w:szCs w:val="21"/>
          <w:highlight w:val="none"/>
          <w:shd w:val="clear" w:color="auto" w:fill="auto"/>
        </w:rPr>
      </w:r>
      <w:r/>
    </w:p>
    <w:p>
      <w:pPr>
        <w:pStyle w:val="725"/>
        <w:ind w:firstLine="557"/>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3.3</w:t>
      </w:r>
      <w:r>
        <w:rPr>
          <w:rFonts w:hint="eastAsia" w:ascii="宋体" w:hAnsi="宋体" w:eastAsia="宋体" w:cs="宋体"/>
          <w:b/>
          <w:color w:val="000000"/>
          <w:szCs w:val="21"/>
          <w:highlight w:val="none"/>
          <w:shd w:val="clear" w:color="auto" w:fill="auto"/>
          <w:lang w:eastAsia="zh-CN"/>
        </w:rPr>
        <w:t xml:space="preserve">中标供应商</w:t>
      </w:r>
      <w:r>
        <w:rPr>
          <w:rFonts w:hint="eastAsia" w:ascii="宋体" w:hAnsi="宋体" w:eastAsia="宋体" w:cs="宋体"/>
          <w:b/>
          <w:color w:val="000000"/>
          <w:szCs w:val="21"/>
          <w:highlight w:val="none"/>
          <w:shd w:val="clear" w:color="auto" w:fill="auto"/>
        </w:rPr>
        <w:t xml:space="preserve">须提供两份纸质版投标文件至采购代理机构。</w:t>
      </w:r>
      <w:r>
        <w:rPr>
          <w:rFonts w:hint="eastAsia" w:ascii="宋体" w:hAnsi="宋体" w:eastAsia="宋体" w:cs="宋体"/>
          <w:b/>
          <w:color w:val="000000"/>
          <w:szCs w:val="21"/>
          <w:highlight w:val="none"/>
          <w:shd w:val="clear" w:color="auto" w:fill="auto"/>
        </w:rPr>
      </w:r>
      <w:r/>
    </w:p>
    <w:p>
      <w:pPr>
        <w:pStyle w:val="728"/>
        <w:spacing w:before="0" w:after="0" w:line="500" w:lineRule="exact"/>
        <w:shd w:val="clear" w:color="auto" w:fill="auto"/>
        <w:rPr>
          <w:rFonts w:hint="eastAsia" w:ascii="宋体" w:hAnsi="宋体" w:eastAsia="宋体" w:cs="宋体"/>
          <w:color w:val="000000"/>
          <w:sz w:val="21"/>
          <w:szCs w:val="21"/>
          <w:highlight w:val="none"/>
          <w:shd w:val="clear" w:color="auto" w:fill="auto"/>
        </w:rPr>
      </w:pPr>
      <w:r/>
      <w:bookmarkStart w:id="136" w:name="_Toc120614220"/>
      <w:r/>
      <w:bookmarkStart w:id="137" w:name="_Toc16938552"/>
      <w:r/>
      <w:bookmarkStart w:id="138" w:name="_Toc513029236"/>
      <w:r/>
      <w:bookmarkStart w:id="139" w:name="_Toc20823308"/>
      <w:r>
        <w:rPr>
          <w:rFonts w:hint="eastAsia" w:ascii="宋体" w:hAnsi="宋体" w:eastAsia="宋体" w:cs="宋体"/>
          <w:color w:val="000000"/>
          <w:sz w:val="21"/>
          <w:szCs w:val="21"/>
          <w:highlight w:val="none"/>
          <w:shd w:val="clear" w:color="auto" w:fill="auto"/>
        </w:rPr>
        <w:t xml:space="preserve">（七）授予合同</w:t>
      </w:r>
      <w:bookmarkEnd w:id="136"/>
      <w:r/>
      <w:bookmarkEnd w:id="137"/>
      <w:r/>
      <w:bookmarkEnd w:id="138"/>
      <w:r/>
      <w:bookmarkEnd w:id="139"/>
      <w:r>
        <w:rPr>
          <w:rFonts w:hint="eastAsia" w:ascii="宋体" w:hAnsi="宋体" w:eastAsia="宋体" w:cs="宋体"/>
          <w:color w:val="000000"/>
          <w:sz w:val="21"/>
          <w:szCs w:val="21"/>
          <w:highlight w:val="none"/>
          <w:shd w:val="clear" w:color="auto" w:fill="auto"/>
        </w:rPr>
      </w:r>
      <w:r/>
    </w:p>
    <w:p>
      <w:pPr>
        <w:pStyle w:val="729"/>
        <w:jc w:val="both"/>
        <w:spacing w:line="500" w:lineRule="exact"/>
        <w:shd w:val="clear" w:color="auto" w:fill="auto"/>
        <w:rPr>
          <w:rFonts w:hint="eastAsia" w:ascii="宋体" w:hAnsi="宋体" w:eastAsia="宋体" w:cs="宋体"/>
          <w:b/>
          <w:color w:val="000000"/>
          <w:sz w:val="21"/>
          <w:highlight w:val="none"/>
          <w:shd w:val="clear" w:color="auto" w:fill="auto"/>
        </w:rPr>
      </w:pPr>
      <w:r/>
      <w:bookmarkStart w:id="140" w:name="_Toc513029237"/>
      <w:r/>
      <w:bookmarkStart w:id="141" w:name="_Toc20823309"/>
      <w:r/>
      <w:bookmarkStart w:id="142" w:name="_Toc16938553"/>
      <w:r>
        <w:rPr>
          <w:rFonts w:hint="eastAsia" w:ascii="宋体" w:hAnsi="宋体" w:eastAsia="宋体" w:cs="宋体"/>
          <w:color w:val="000000"/>
          <w:sz w:val="21"/>
          <w:highlight w:val="none"/>
          <w:shd w:val="clear" w:color="auto" w:fill="auto"/>
        </w:rPr>
        <w:t xml:space="preserve">1.签订合同</w:t>
      </w:r>
      <w:r>
        <w:rPr>
          <w:rFonts w:hint="eastAsia" w:ascii="宋体" w:hAnsi="宋体" w:eastAsia="宋体" w:cs="宋体"/>
          <w:b/>
          <w:color w:val="000000"/>
          <w:sz w:val="21"/>
          <w:highlight w:val="none"/>
          <w:shd w:val="clear" w:color="auto" w:fill="auto"/>
        </w:rPr>
      </w:r>
      <w:r/>
    </w:p>
    <w:p>
      <w:pPr>
        <w:pStyle w:val="725"/>
        <w:ind w:firstLine="70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t xml:space="preserve">.l</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应当在中标通知书发出之日起三十日内，按照招标文件确定的事项与采购人签订政府采购合同。</w:t>
      </w:r>
      <w:r>
        <w:rPr>
          <w:rFonts w:hint="eastAsia" w:ascii="宋体" w:hAnsi="宋体" w:eastAsia="宋体" w:cs="宋体"/>
          <w:color w:val="000000"/>
          <w:szCs w:val="21"/>
          <w:highlight w:val="none"/>
          <w:shd w:val="clear" w:color="auto" w:fill="auto"/>
        </w:rPr>
      </w:r>
      <w:r/>
    </w:p>
    <w:p>
      <w:pPr>
        <w:pStyle w:val="725"/>
        <w:ind w:firstLine="70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1.2招标文件、</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的投标文件及招标过程中有关澄清、承诺文件均应作为合同附件。</w:t>
      </w:r>
      <w:r>
        <w:rPr>
          <w:rFonts w:hint="eastAsia" w:ascii="宋体" w:hAnsi="宋体" w:eastAsia="宋体" w:cs="宋体"/>
          <w:color w:val="000000"/>
          <w:szCs w:val="21"/>
          <w:highlight w:val="none"/>
          <w:shd w:val="clear" w:color="auto" w:fill="auto"/>
        </w:rPr>
      </w:r>
      <w:r/>
    </w:p>
    <w:p>
      <w:pPr>
        <w:pStyle w:val="725"/>
        <w:ind w:firstLine="70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1.3签订合同后，</w:t>
      </w:r>
      <w:r>
        <w:rPr>
          <w:rFonts w:hint="eastAsia" w:ascii="宋体" w:hAnsi="宋体" w:eastAsia="宋体" w:cs="宋体"/>
          <w:color w:val="000000"/>
          <w:szCs w:val="21"/>
          <w:highlight w:val="none"/>
          <w:u w:val="single"/>
          <w:shd w:val="clear" w:color="auto" w:fill="auto"/>
          <w:lang w:eastAsia="zh-CN"/>
        </w:rPr>
        <w:t xml:space="preserve">中标供应商</w:t>
      </w:r>
      <w:r>
        <w:rPr>
          <w:rFonts w:hint="eastAsia" w:ascii="宋体" w:hAnsi="宋体" w:eastAsia="宋体" w:cs="宋体"/>
          <w:color w:val="000000"/>
          <w:szCs w:val="21"/>
          <w:highlight w:val="none"/>
          <w:u w:val="single"/>
          <w:shd w:val="clear" w:color="auto" w:fill="auto"/>
        </w:rPr>
        <w:t xml:space="preserve">不得将合同标的进行转包</w:t>
      </w:r>
      <w:r>
        <w:rPr>
          <w:rFonts w:hint="eastAsia" w:ascii="宋体" w:hAnsi="宋体" w:eastAsia="宋体" w:cs="宋体"/>
          <w:color w:val="000000"/>
          <w:szCs w:val="21"/>
          <w:highlight w:val="none"/>
          <w:shd w:val="clear" w:color="auto" w:fill="auto"/>
        </w:rPr>
        <w:t xml:space="preserve">。未经采购人同意，</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也不得采用分包的形式履行合同，否则采购人有权终止合同。政府采购合同分包履行的，</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就采购项目和分包项目向采购人负责，分包供应商就分包项目承担责任。转包或分包造成采购人损失的，</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应承担相应赔偿责任。</w:t>
      </w:r>
      <w:r>
        <w:rPr>
          <w:rFonts w:hint="eastAsia" w:ascii="宋体" w:hAnsi="宋体" w:eastAsia="宋体" w:cs="宋体"/>
          <w:color w:val="000000"/>
          <w:szCs w:val="21"/>
          <w:highlight w:val="none"/>
          <w:shd w:val="clear" w:color="auto" w:fill="auto"/>
        </w:rPr>
      </w:r>
      <w:r/>
    </w:p>
    <w:p>
      <w:pPr>
        <w:pStyle w:val="729"/>
        <w:jc w:val="both"/>
        <w:spacing w:line="500" w:lineRule="exact"/>
        <w:shd w:val="clear" w:color="auto" w:fill="auto"/>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2.货物和服务的追加、减少和添购。</w:t>
      </w:r>
      <w:r>
        <w:rPr>
          <w:rFonts w:hint="eastAsia" w:ascii="宋体" w:hAnsi="宋体" w:eastAsia="宋体" w:cs="宋体"/>
          <w:b/>
          <w:color w:val="000000"/>
          <w:sz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2.1政府采购合同履行中，采购人需追加与合同标的相同的货物和服务的，在不改变合同其他条款的前提下，可以与</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协商签订补充合同，但所有补充合同的采购金额不超过原合同金额10%。</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40"/>
      <w:r/>
      <w:bookmarkEnd w:id="141"/>
      <w:r/>
      <w:bookmarkEnd w:id="142"/>
      <w:r>
        <w:rPr>
          <w:rFonts w:hint="eastAsia" w:ascii="宋体" w:hAnsi="宋体" w:eastAsia="宋体" w:cs="宋体"/>
          <w:color w:val="000000"/>
          <w:szCs w:val="21"/>
          <w:highlight w:val="none"/>
          <w:shd w:val="clear" w:color="auto" w:fill="auto"/>
        </w:rPr>
      </w:r>
      <w:r/>
    </w:p>
    <w:p>
      <w:pPr>
        <w:pStyle w:val="725"/>
        <w:spacing w:line="50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 政府采购合同信用融资扶持政策</w:t>
      </w:r>
      <w:r>
        <w:rPr>
          <w:rFonts w:hint="eastAsia" w:ascii="宋体" w:hAnsi="宋体" w:eastAsia="宋体" w:cs="宋体"/>
          <w:b/>
          <w:bCs/>
          <w:color w:val="000000"/>
          <w:szCs w:val="21"/>
          <w:highlight w:val="none"/>
          <w:shd w:val="clear" w:color="auto" w:fill="auto"/>
        </w:rPr>
      </w:r>
      <w:r/>
    </w:p>
    <w:p>
      <w:pPr>
        <w:pStyle w:val="725"/>
        <w:ind w:firstLine="422"/>
        <w:spacing w:line="50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w:t>
      </w:r>
      <w:r>
        <w:rPr>
          <w:rFonts w:hint="eastAsia" w:ascii="宋体" w:hAnsi="宋体" w:eastAsia="宋体" w:cs="宋体"/>
          <w:b/>
          <w:bCs/>
          <w:color w:val="000000"/>
          <w:szCs w:val="21"/>
          <w:highlight w:val="none"/>
          <w:shd w:val="clear" w:color="auto" w:fill="auto"/>
          <w:lang w:val="en-US" w:eastAsia="zh-CN"/>
        </w:rPr>
        <w:t xml:space="preserve">1</w:t>
      </w:r>
      <w:r>
        <w:rPr>
          <w:rFonts w:hint="eastAsia" w:ascii="宋体" w:hAnsi="宋体" w:eastAsia="宋体" w:cs="宋体"/>
          <w:b/>
          <w:bCs/>
          <w:color w:val="000000"/>
          <w:szCs w:val="21"/>
          <w:highlight w:val="none"/>
          <w:shd w:val="clear" w:color="auto" w:fill="auto"/>
        </w:rPr>
        <w:t xml:space="preserve"> 政府采购合同信用融资扶持政策</w:t>
      </w:r>
      <w:r>
        <w:rPr>
          <w:rFonts w:hint="eastAsia" w:ascii="宋体" w:hAnsi="宋体" w:eastAsia="宋体" w:cs="宋体"/>
          <w:b/>
          <w:bCs/>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rPr>
        <w:t xml:space="preserve">.1根据《关于深入开展南通市政府采购线上合同信用融资业务的通知》（通财购〔2022〕68号），</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可通过中征应收账款融资服务平台（简称“中征平台”）办理“政采贷”融资贷款，具体业务操作流程如下： </w:t>
      </w:r>
      <w:r>
        <w:rPr>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rPr>
        <w:t xml:space="preserve">.1.1确定融资意向。</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取得中标通知书后，联系意向金融机构，商治融资事项，确定融资意向。</w:t>
      </w:r>
      <w:r>
        <w:rPr>
          <w:rFonts w:hint="eastAsia" w:ascii="宋体" w:hAnsi="宋体" w:eastAsia="宋体" w:cs="宋体"/>
          <w:color w:val="000000"/>
          <w:szCs w:val="21"/>
          <w:highlight w:val="none"/>
          <w:shd w:val="clear" w:color="auto" w:fill="auto"/>
        </w:rPr>
      </w:r>
      <w:r/>
    </w:p>
    <w:p>
      <w:pPr>
        <w:pStyle w:val="729"/>
        <w:ind w:firstLine="420"/>
        <w:jc w:val="both"/>
        <w:spacing w:line="499" w:lineRule="atLeast"/>
        <w:shd w:val="clear" w:color="auto" w:fill="auto"/>
        <w:rPr>
          <w:rFonts w:hint="eastAsia" w:ascii="宋体" w:hAnsi="宋体" w:eastAsia="宋体" w:cs="宋体"/>
          <w:color w:val="000000"/>
          <w:sz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.1.2签订采购合同。</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与采购人签订政府采购合同时，应将自身融资需求告知采购人或其委托的采购代理机构，提醒 (或协助 ) 其当天在“苏采云”上传合同的同时将“供应商是否融资”选为“是”</w:t>
      </w:r>
      <w:r>
        <w:rPr>
          <w:rFonts w:hint="eastAsia" w:ascii="宋体" w:hAnsi="宋体" w:eastAsia="宋体" w:cs="宋体"/>
          <w:color w:val="000000"/>
          <w:sz w:val="21"/>
          <w:highlight w:val="none"/>
          <w:shd w:val="clear" w:color="auto" w:fill="auto"/>
        </w:rPr>
      </w:r>
      <w:r/>
    </w:p>
    <w:p>
      <w:pPr>
        <w:pStyle w:val="729"/>
        <w:ind w:firstLine="420"/>
        <w:jc w:val="both"/>
        <w:spacing w:line="499" w:lineRule="atLeast"/>
        <w:shd w:val="clear" w:color="auto" w:fill="auto"/>
        <w:rPr>
          <w:rFonts w:hint="eastAsia" w:ascii="宋体" w:hAnsi="宋体" w:eastAsia="宋体" w:cs="宋体"/>
          <w:color w:val="000000"/>
          <w:sz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.1.3提交融资申请。</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登录“中征平台”进行用户注册，查看“政采贷”融资产品，向确定合作的金融机构提交融资申请。</w:t>
      </w:r>
      <w:r>
        <w:rPr>
          <w:rFonts w:hint="eastAsia" w:ascii="宋体" w:hAnsi="宋体" w:eastAsia="宋体" w:cs="宋体"/>
          <w:color w:val="000000"/>
          <w:sz w:val="21"/>
          <w:highlight w:val="none"/>
          <w:shd w:val="clear" w:color="auto" w:fill="auto"/>
        </w:rPr>
      </w:r>
      <w:r/>
    </w:p>
    <w:p>
      <w:pPr>
        <w:pStyle w:val="729"/>
        <w:ind w:firstLine="420"/>
        <w:jc w:val="both"/>
        <w:spacing w:line="499" w:lineRule="atLeast"/>
        <w:shd w:val="clear" w:color="auto" w:fill="auto"/>
        <w:rPr>
          <w:rFonts w:hint="eastAsia" w:ascii="宋体" w:hAnsi="宋体" w:eastAsia="宋体" w:cs="宋体"/>
          <w:color w:val="000000"/>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.1.4确认回款账户。金融机构填写需要锁定的回款账户信息后</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应登录“中征平台”确认账户信息，以实现回款账户的锁定。</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shd w:val="clear" w:color="auto" w:fill="auto"/>
        </w:rPr>
      </w:r>
      <w:r/>
    </w:p>
    <w:p>
      <w:pPr>
        <w:pStyle w:val="725"/>
        <w:ind w:firstLine="281"/>
        <w:jc w:val="center"/>
        <w:spacing w:line="500" w:lineRule="exact"/>
        <w:shd w:val="clear" w:color="auto" w:fill="auto"/>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color w:val="000000"/>
          <w:sz w:val="28"/>
          <w:szCs w:val="28"/>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第三部分  项目需求</w:t>
      </w:r>
      <w:r>
        <w:rPr>
          <w:rFonts w:hint="eastAsia" w:ascii="宋体" w:hAnsi="宋体" w:eastAsia="宋体" w:cs="宋体"/>
          <w:bCs/>
          <w:color w:val="000000"/>
          <w:sz w:val="36"/>
          <w:szCs w:val="36"/>
          <w:highlight w:val="none"/>
          <w:shd w:val="clear" w:color="auto" w:fill="auto"/>
        </w:rPr>
      </w:r>
      <w:r/>
    </w:p>
    <w:p>
      <w:pPr>
        <w:pStyle w:val="725"/>
        <w:ind w:firstLine="422"/>
        <w:keepLines w:val="0"/>
        <w:keepNext w:val="0"/>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1"/>
          <w:szCs w:val="21"/>
          <w:highlight w:val="none"/>
          <w:shd w:val="clear" w:color="auto" w:fill="auto"/>
        </w:rPr>
      </w:r>
      <w:r/>
    </w:p>
    <w:p>
      <w:pPr>
        <w:pStyle w:val="725"/>
        <w:ind w:firstLine="422"/>
        <w:keepLines w:val="0"/>
        <w:keepNext w:val="0"/>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hint="eastAsia" w:ascii="宋体" w:hAnsi="宋体" w:eastAsia="宋体" w:cs="宋体"/>
          <w:b/>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hint="eastAsia" w:ascii="宋体" w:hAnsi="宋体" w:eastAsia="宋体" w:cs="宋体"/>
          <w:color w:val="000000"/>
          <w:sz w:val="21"/>
          <w:szCs w:val="21"/>
          <w:highlight w:val="none"/>
          <w:shd w:val="clear" w:color="auto" w:fill="auto"/>
          <w:lang w:val="en-US" w:eastAsia="zh-CN"/>
        </w:rPr>
        <w:br w:type="textWrapping" w:clear="all"/>
      </w:r>
      <w:r>
        <w:rPr>
          <w:rFonts w:hint="eastAsia" w:ascii="宋体" w:hAnsi="宋体" w:eastAsia="宋体" w:cs="宋体"/>
          <w:color w:val="000000"/>
          <w:sz w:val="21"/>
          <w:szCs w:val="21"/>
          <w:highlight w:val="none"/>
          <w:shd w:val="clear" w:color="auto" w:fill="auto"/>
          <w:lang w:val="en-US" w:eastAsia="zh-CN"/>
        </w:rPr>
        <w:t xml:space="preserve">    供应商不能简单照搬照抄采购文件项目需求说明中的技术、商务要求，必须作实事求是的响应。如供应商提供的货物和服务同采购人提出的项目需求说明中的技术、商务要求不同的，必须在《技术要求响应及偏离表》和《商务要求响应及偏离表》上明示，如不明示的视同完全响应。</w:t>
      </w:r>
      <w:r>
        <w:rPr>
          <w:rFonts w:hint="eastAsia" w:ascii="宋体" w:hAnsi="宋体" w:eastAsia="宋体" w:cs="宋体"/>
          <w:color w:val="000000"/>
          <w:sz w:val="21"/>
          <w:szCs w:val="21"/>
          <w:highlight w:val="none"/>
          <w:shd w:val="clear" w:color="auto" w:fill="auto"/>
          <w:lang w:val="en-US" w:eastAsia="zh-CN"/>
        </w:rPr>
        <w:br w:type="textWrapping" w:clear="all"/>
      </w:r>
      <w:r>
        <w:rPr>
          <w:rFonts w:hint="eastAsia" w:ascii="宋体" w:hAnsi="宋体" w:eastAsia="宋体" w:cs="宋体"/>
          <w:b/>
          <w:bCs/>
          <w:color w:val="000000"/>
          <w:sz w:val="21"/>
          <w:szCs w:val="21"/>
          <w:highlight w:val="none"/>
          <w:shd w:val="clear" w:color="auto" w:fill="auto"/>
        </w:rPr>
        <w:t xml:space="preserve">（一）采购标的需实现的功能或者目标,以及为落实政府采购政策需满足的要求</w:t>
      </w:r>
      <w:r>
        <w:rPr>
          <w:rFonts w:hint="eastAsia" w:ascii="宋体" w:hAnsi="宋体" w:eastAsia="宋体" w:cs="宋体"/>
          <w:b/>
          <w:bCs/>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主要运维的设备包含IBM E870 、P770、S822等小型机、超融合服务器、EMC VMAX、NS960及华为0ceanStor5500 V5存储。以上设备原为我市金保工程系统核心数据库，2021年8月江苏省人社一体化信息平台上线后，主要用作省厅回流库、本地</w:t>
      </w:r>
      <w:r>
        <w:rPr>
          <w:rFonts w:hint="eastAsia" w:ascii="宋体" w:hAnsi="宋体" w:eastAsia="宋体" w:cs="宋体"/>
          <w:color w:val="000000"/>
          <w:sz w:val="21"/>
          <w:szCs w:val="21"/>
          <w:highlight w:val="none"/>
          <w:shd w:val="clear" w:color="auto" w:fill="auto"/>
        </w:rPr>
        <w:t xml:space="preserve">数据分析库等，涉及系统包括南通人社数据共享交换平台、各业务条线数据分析平台、老金保工程系统、银社平台等。数据库上连省厅、下连各县（市、区），承载着全市800余万人的人社业务数据，数据体量大、范围广、业务全，这对设备性能和稳定性提出了非常高的要求。该项目中的小型机、存储、网络设备及Oracle数据库系统至今已经运行多年,且过了原厂的质量保证期。为保障南通人社业务系统的正常运行,切实加强核心设备维保工作，实现维保工作的程序化、专业化、规范化，需要具备相应实力和维护经验的专业服务商承担过保设备的软、硬件维保工作。</w:t>
      </w:r>
      <w:r>
        <w:rPr>
          <w:rFonts w:hint="eastAsia" w:ascii="宋体" w:hAnsi="宋体" w:eastAsia="宋体" w:cs="宋体"/>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项目运维服务内容包括但不限于软硬件的故障处置、系统软件及数据库维护、预防性维护、日常运行监控、技术支持、损坏设备和部件的修复和更换、根据需要搬迁或重新安装配置、运行状态评估服务、安全加固服务等内容，以及其他有助于提升设备系统安全稳定运行的运维服务。具体要求详见需求内容和范围。</w:t>
      </w:r>
      <w:r>
        <w:rPr>
          <w:rFonts w:hint="eastAsia" w:ascii="宋体" w:hAnsi="宋体" w:eastAsia="宋体" w:cs="宋体"/>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（二）采购标的需执行的国家相关标准、行业标准、地方标准或者其他标准、规范</w:t>
      </w:r>
      <w:r>
        <w:rPr>
          <w:rFonts w:hint="eastAsia" w:ascii="宋体" w:hAnsi="宋体" w:eastAsia="宋体" w:cs="宋体"/>
          <w:b/>
          <w:bCs/>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1.《关键信息基础设施安全保护条例》</w:t>
      </w:r>
      <w:r>
        <w:rPr>
          <w:rFonts w:hint="eastAsia" w:ascii="宋体" w:hAnsi="宋体" w:eastAsia="宋体" w:cs="宋体"/>
          <w:color w:val="000000"/>
          <w:sz w:val="21"/>
          <w:szCs w:val="21"/>
          <w:highlight w:val="none"/>
          <w:shd w:val="clear" w:color="auto" w:fill="auto"/>
        </w:rPr>
      </w:r>
      <w:r/>
    </w:p>
    <w:p>
      <w:pPr>
        <w:pStyle w:val="107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2.《信息技术存储管理》（GB/T 36450.2-2021）</w:t>
      </w:r>
      <w:r>
        <w:rPr>
          <w:rFonts w:hint="eastAsia" w:ascii="宋体" w:hAnsi="宋体" w:eastAsia="宋体" w:cs="宋体"/>
          <w:color w:val="000000"/>
          <w:sz w:val="21"/>
          <w:szCs w:val="21"/>
          <w:highlight w:val="none"/>
          <w:shd w:val="clear" w:color="auto" w:fill="auto"/>
        </w:rPr>
      </w:r>
      <w:r/>
    </w:p>
    <w:p>
      <w:pPr>
        <w:pStyle w:val="107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3.《信息技术服务-运行维护》（GB/T 28827.1-2022）</w:t>
      </w:r>
      <w:r>
        <w:rPr>
          <w:rFonts w:hint="eastAsia" w:ascii="宋体" w:hAnsi="宋体" w:eastAsia="宋体" w:cs="宋体"/>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（三）采购标的需满足的质量、安全、技术规格、物理特性等要求</w:t>
      </w:r>
      <w:r>
        <w:rPr>
          <w:rFonts w:hint="eastAsia" w:ascii="宋体" w:hAnsi="宋体" w:eastAsia="宋体" w:cs="宋体"/>
          <w:b/>
          <w:bCs/>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供应商提供的服务应保证采购人所涉设备7*24小时安全、稳定、高效运行。</w:t>
      </w:r>
      <w:r>
        <w:rPr>
          <w:rFonts w:hint="eastAsia" w:ascii="宋体" w:hAnsi="宋体" w:eastAsia="宋体" w:cs="宋体"/>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（四）采购标的数量、采购项目交付或者实施的时间和地点</w:t>
      </w:r>
      <w:r>
        <w:rPr>
          <w:rFonts w:hint="eastAsia" w:ascii="宋体" w:hAnsi="宋体" w:eastAsia="宋体" w:cs="宋体"/>
          <w:b/>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1.需要运维服务的软硬件列表：</w:t>
      </w:r>
      <w:r>
        <w:rPr>
          <w:rFonts w:hint="eastAsia" w:ascii="宋体" w:hAnsi="宋体" w:eastAsia="宋体" w:cs="宋体"/>
          <w:b/>
          <w:color w:val="000000"/>
          <w:sz w:val="21"/>
          <w:szCs w:val="21"/>
          <w:highlight w:val="none"/>
          <w:shd w:val="clear" w:color="auto" w:fill="auto"/>
        </w:rPr>
      </w:r>
      <w:r/>
    </w:p>
    <w:tbl>
      <w:tblPr>
        <w:tblW w:w="989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1"/>
        <w:gridCol w:w="1329"/>
        <w:gridCol w:w="691"/>
        <w:gridCol w:w="1890"/>
        <w:gridCol w:w="675"/>
        <w:gridCol w:w="1215"/>
        <w:gridCol w:w="3385"/>
      </w:tblGrid>
      <w:tr>
        <w:trPr>
          <w:trHeight w:val="456"/>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设备名称</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品牌</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型号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数量</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序列号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配置信息</w:t>
            </w:r>
            <w:r>
              <w:rPr>
                <w:rFonts w:hint="eastAsia" w:ascii="宋体" w:hAnsi="宋体" w:eastAsia="宋体" w:cs="宋体"/>
                <w:color w:val="000000"/>
                <w:sz w:val="21"/>
                <w:szCs w:val="21"/>
                <w:highlight w:val="none"/>
                <w:shd w:val="clear" w:color="auto" w:fill="auto"/>
              </w:rPr>
            </w:r>
            <w:r/>
          </w:p>
        </w:tc>
      </w:tr>
      <w:tr>
        <w:trPr>
          <w:trHeight w:val="583"/>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E870，高端小型机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7802DF8</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4.02GHZ 32-CORE POWER8*2，64GB DDR4 MEMORY*16</w:t>
            </w:r>
            <w:r>
              <w:rPr>
                <w:rFonts w:hint="eastAsia" w:ascii="宋体" w:hAnsi="宋体" w:eastAsia="宋体" w:cs="宋体"/>
                <w:color w:val="000000"/>
                <w:sz w:val="21"/>
                <w:szCs w:val="21"/>
                <w:highlight w:val="none"/>
                <w:shd w:val="clear" w:color="auto" w:fill="auto"/>
              </w:rPr>
            </w:r>
            <w:r/>
          </w:p>
        </w:tc>
      </w:tr>
      <w:tr>
        <w:trPr>
          <w:trHeight w:val="583"/>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E870，高端小型机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78021A8</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4.02GHZ 32-CORE POWER8*2，64GB DDR4 MEMORY*16</w:t>
            </w:r>
            <w:r>
              <w:rPr>
                <w:rFonts w:hint="eastAsia" w:ascii="宋体" w:hAnsi="宋体" w:eastAsia="宋体" w:cs="宋体"/>
                <w:color w:val="000000"/>
                <w:sz w:val="21"/>
                <w:szCs w:val="21"/>
                <w:highlight w:val="none"/>
                <w:shd w:val="clear" w:color="auto" w:fill="auto"/>
              </w:rPr>
            </w:r>
            <w:r/>
          </w:p>
        </w:tc>
      </w:tr>
      <w:tr>
        <w:trPr>
          <w:trHeight w:val="465"/>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S822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684189X</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8-CORE 4.1GHZ POWER8*2，16GB DDR4 MEMORY*16</w:t>
            </w:r>
            <w:r>
              <w:rPr>
                <w:rFonts w:hint="eastAsia" w:ascii="宋体" w:hAnsi="宋体" w:eastAsia="宋体" w:cs="宋体"/>
                <w:color w:val="000000"/>
                <w:sz w:val="21"/>
                <w:szCs w:val="21"/>
                <w:highlight w:val="none"/>
                <w:shd w:val="clear" w:color="auto" w:fill="auto"/>
              </w:rPr>
            </w:r>
            <w:r/>
          </w:p>
        </w:tc>
      </w:tr>
      <w:tr>
        <w:trPr>
          <w:trHeight w:val="476"/>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S822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68418AX</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8-CORE 4.1GHZ POWER8*2，16GB DDR4 MEMORY*16</w:t>
            </w:r>
            <w:r>
              <w:rPr>
                <w:rFonts w:hint="eastAsia" w:ascii="宋体" w:hAnsi="宋体" w:eastAsia="宋体" w:cs="宋体"/>
                <w:color w:val="000000"/>
                <w:sz w:val="21"/>
                <w:szCs w:val="21"/>
                <w:highlight w:val="none"/>
                <w:shd w:val="clear" w:color="auto" w:fill="auto"/>
              </w:rPr>
            </w:r>
            <w:r/>
          </w:p>
        </w:tc>
      </w:tr>
      <w:tr>
        <w:trPr>
          <w:trHeight w:val="334"/>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Power7-770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020676F17</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36CPU 288Gb内存</w:t>
            </w:r>
            <w:r>
              <w:rPr>
                <w:rFonts w:hint="eastAsia" w:ascii="宋体" w:hAnsi="宋体" w:eastAsia="宋体" w:cs="宋体"/>
                <w:color w:val="000000"/>
                <w:sz w:val="21"/>
                <w:szCs w:val="21"/>
                <w:highlight w:val="none"/>
                <w:shd w:val="clear" w:color="auto" w:fill="auto"/>
              </w:rPr>
            </w:r>
            <w:r/>
          </w:p>
        </w:tc>
      </w:tr>
      <w:tr>
        <w:trPr>
          <w:trHeight w:val="390"/>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Power7-770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020676F07</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36CPU 288Gb内存</w:t>
            </w:r>
            <w:r>
              <w:rPr>
                <w:rFonts w:hint="eastAsia" w:ascii="宋体" w:hAnsi="宋体" w:eastAsia="宋体" w:cs="宋体"/>
                <w:color w:val="000000"/>
                <w:sz w:val="21"/>
                <w:szCs w:val="21"/>
                <w:highlight w:val="none"/>
                <w:shd w:val="clear" w:color="auto" w:fill="auto"/>
              </w:rPr>
            </w:r>
            <w:r/>
          </w:p>
        </w:tc>
      </w:tr>
      <w:tr>
        <w:trPr>
          <w:trHeight w:val="240"/>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超融合平台</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华为</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2288H V5</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单个计算存储融合节点配置如下:2*英特尔至强银牌4114(主频2.2GHz/10-core/13.75MB/85W)处理器:192G内存:2*600G系统盘;1*800G SSD缓存盘:5*1.8T SAS10K数据盘:2个GE接口，4个万兆光口:双电源</w:t>
            </w:r>
            <w:r>
              <w:rPr>
                <w:rFonts w:hint="eastAsia" w:ascii="宋体" w:hAnsi="宋体" w:eastAsia="宋体" w:cs="宋体"/>
                <w:color w:val="000000"/>
                <w:sz w:val="21"/>
                <w:szCs w:val="21"/>
                <w:highlight w:val="none"/>
                <w:shd w:val="clear" w:color="auto" w:fill="auto"/>
              </w:rPr>
            </w:r>
            <w:r/>
          </w:p>
        </w:tc>
      </w:tr>
      <w:tr>
        <w:trPr>
          <w:trHeight w:val="40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超融合一体机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深信服</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aServer-2100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CPU E5-2630*2 V4,128G内存，160G内存5台，8*SATA/SAS 盘位，默认128G系统盘，1*480G SSD缓存盘，2*1.8T SAS数据盘，6个GE接口，2个万兆光口共计2台；CPU Silver 4114*2 ，160G内存，8*SATA/SAS 盘位，默认128G系统盘，1*480G SSD缓存盘，3*1.8T SAS数据盘，6个GE接口，2个万兆光口共计5台</w:t>
            </w:r>
            <w:r>
              <w:rPr>
                <w:rFonts w:hint="eastAsia" w:ascii="宋体" w:hAnsi="宋体" w:eastAsia="宋体" w:cs="宋体"/>
                <w:color w:val="000000"/>
                <w:sz w:val="21"/>
                <w:szCs w:val="21"/>
                <w:highlight w:val="none"/>
                <w:shd w:val="clear" w:color="auto" w:fill="auto"/>
              </w:rPr>
            </w:r>
            <w:r/>
          </w:p>
        </w:tc>
      </w:tr>
      <w:tr>
        <w:trPr>
          <w:trHeight w:val="422"/>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9</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VMAX250F，</w:t>
            </w:r>
            <w:r>
              <w:rPr>
                <w:rFonts w:hint="eastAsia" w:ascii="宋体" w:hAnsi="宋体" w:eastAsia="宋体" w:cs="宋体"/>
                <w:color w:val="000000"/>
                <w:sz w:val="21"/>
                <w:szCs w:val="21"/>
                <w:highlight w:val="none"/>
                <w:shd w:val="clear" w:color="auto" w:fill="auto"/>
              </w:rPr>
            </w:r>
            <w:r/>
          </w:p>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高端存储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双控，512GB缓存，1.92T SSD*25，16GB FC口*8</w:t>
            </w:r>
            <w:r>
              <w:rPr>
                <w:rFonts w:hint="eastAsia" w:ascii="宋体" w:hAnsi="宋体" w:eastAsia="宋体" w:cs="宋体"/>
                <w:color w:val="000000"/>
                <w:sz w:val="21"/>
                <w:szCs w:val="21"/>
                <w:highlight w:val="none"/>
                <w:shd w:val="clear" w:color="auto" w:fill="auto"/>
              </w:rPr>
            </w:r>
            <w:r/>
          </w:p>
        </w:tc>
      </w:tr>
      <w:tr>
        <w:trPr>
          <w:trHeight w:val="583"/>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10</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NS960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双控，300GB  15K 2/4Gb ,8GB·FC 门*8</w:t>
            </w:r>
            <w:r>
              <w:rPr>
                <w:rFonts w:hint="eastAsia" w:ascii="宋体" w:hAnsi="宋体" w:eastAsia="宋体" w:cs="宋体"/>
                <w:color w:val="000000"/>
                <w:sz w:val="21"/>
                <w:szCs w:val="21"/>
                <w:highlight w:val="none"/>
                <w:shd w:val="clear" w:color="auto" w:fill="auto"/>
              </w:rPr>
            </w:r>
            <w:r/>
          </w:p>
        </w:tc>
      </w:tr>
      <w:tr>
        <w:trPr>
          <w:trHeight w:val="583"/>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华为</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0ceanStor5500 V5</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2U，双控，交流240V高压直流，128GB缓存,SmartI0,8*16Gb FC,25*2.5，硬盘:10块1.92TB SASSSD硬盘(2.5")，10块8TB 7.2K RPM NL SAS硬盘单元(3.5")</w:t>
            </w:r>
            <w:r>
              <w:rPr>
                <w:rFonts w:hint="eastAsia" w:ascii="宋体" w:hAnsi="宋体" w:eastAsia="宋体" w:cs="宋体"/>
                <w:color w:val="000000"/>
                <w:sz w:val="21"/>
                <w:szCs w:val="21"/>
                <w:highlight w:val="none"/>
                <w:shd w:val="clear" w:color="auto" w:fill="auto"/>
              </w:rPr>
            </w:r>
            <w:r/>
          </w:p>
        </w:tc>
      </w:tr>
      <w:tr>
        <w:trPr>
          <w:trHeight w:val="358"/>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光纤交换机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DS-300B</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8GB·FC 口*24</w:t>
            </w:r>
            <w:r>
              <w:rPr>
                <w:rFonts w:hint="eastAsia" w:ascii="宋体" w:hAnsi="宋体" w:eastAsia="宋体" w:cs="宋体"/>
                <w:color w:val="000000"/>
                <w:sz w:val="21"/>
                <w:szCs w:val="21"/>
                <w:highlight w:val="none"/>
                <w:shd w:val="clear" w:color="auto" w:fill="auto"/>
              </w:rPr>
            </w:r>
            <w:r/>
          </w:p>
        </w:tc>
      </w:tr>
      <w:tr>
        <w:trPr>
          <w:trHeight w:val="337"/>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FC-SAN交换机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MDS9148S</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8GB FC口*24</w:t>
            </w:r>
            <w:r>
              <w:rPr>
                <w:rFonts w:hint="eastAsia" w:ascii="宋体" w:hAnsi="宋体" w:eastAsia="宋体" w:cs="宋体"/>
                <w:color w:val="000000"/>
                <w:sz w:val="21"/>
                <w:szCs w:val="21"/>
                <w:highlight w:val="none"/>
                <w:shd w:val="clear" w:color="auto" w:fill="auto"/>
              </w:rPr>
            </w:r>
            <w:r/>
          </w:p>
        </w:tc>
      </w:tr>
      <w:tr>
        <w:trPr>
          <w:trHeight w:val="337"/>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AIX操作系统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AIX操作系统日常维护</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集群软件系统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both"/>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操作系统集群和数据库系统集群软件系统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操作系统集群和数据库系统集群软件系统</w:t>
            </w:r>
            <w:r>
              <w:rPr>
                <w:rFonts w:hint="eastAsia" w:ascii="宋体" w:hAnsi="宋体" w:eastAsia="宋体" w:cs="宋体"/>
                <w:color w:val="000000"/>
                <w:sz w:val="21"/>
                <w:szCs w:val="21"/>
                <w:highlight w:val="none"/>
                <w:shd w:val="clear" w:color="auto" w:fill="auto"/>
              </w:rPr>
            </w:r>
            <w:r/>
          </w:p>
        </w:tc>
      </w:tr>
      <w:tr>
        <w:trPr>
          <w:trHeight w:val="240"/>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16</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both"/>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 Database 19c</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与本批设备相关的Oracle日常巡检、故障排除、应急处理</w:t>
            </w:r>
            <w:r>
              <w:rPr>
                <w:rFonts w:hint="eastAsia" w:ascii="宋体" w:hAnsi="宋体" w:eastAsia="宋体" w:cs="宋体"/>
                <w:color w:val="000000"/>
                <w:sz w:val="21"/>
                <w:szCs w:val="21"/>
                <w:highlight w:val="none"/>
                <w:shd w:val="clear" w:color="auto" w:fill="auto"/>
              </w:rPr>
            </w:r>
            <w:r/>
          </w:p>
        </w:tc>
      </w:tr>
      <w:tr>
        <w:trPr>
          <w:trHeight w:val="799"/>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社保管理信息系统数据库核心平台甲骨文数据库企业版</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Platform；Oracle Database Enterprise Edition；</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18</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社保管理信息系统数据库核心平台实时应用集群软件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Platform；Real Application Clusters；</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19</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社保管理信息系统数据库核心平台数据库分区软件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Platform；Partitioning；</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20</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社保管理信息系统数据库核心平台数据库容灾同步软件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Platform；Oracle Active Data Guard；</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社保管理信息系统数据库核心平台数据库性能调试工具包</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 l Insurance Management Information System Core Platform；Diagnostics Pack</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社保管理信息系统数据库核心平台数据库性能优化包</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Platform；Tuning Pack</w:t>
            </w:r>
            <w:r>
              <w:rPr>
                <w:rFonts w:hint="eastAsia" w:ascii="宋体" w:hAnsi="宋体" w:eastAsia="宋体" w:cs="宋体"/>
                <w:color w:val="000000"/>
                <w:sz w:val="21"/>
                <w:szCs w:val="21"/>
                <w:highlight w:val="none"/>
                <w:shd w:val="clear" w:color="auto" w:fill="auto"/>
              </w:rPr>
            </w:r>
            <w:r/>
          </w:p>
        </w:tc>
      </w:tr>
      <w:tr>
        <w:trPr>
          <w:trHeight w:val="262"/>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数据服务总线</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Service Bus</w:t>
            </w:r>
            <w:r>
              <w:rPr>
                <w:rFonts w:hint="eastAsia" w:ascii="宋体" w:hAnsi="宋体" w:eastAsia="宋体" w:cs="宋体"/>
                <w:color w:val="000000"/>
                <w:sz w:val="21"/>
                <w:szCs w:val="21"/>
                <w:highlight w:val="none"/>
                <w:shd w:val="clear" w:color="auto" w:fill="auto"/>
              </w:rPr>
            </w:r>
            <w:r/>
          </w:p>
        </w:tc>
      </w:tr>
      <w:tr>
        <w:trPr>
          <w:trHeight w:val="315"/>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中间件套件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Weblogic Suite</w:t>
            </w:r>
            <w:r>
              <w:rPr>
                <w:rFonts w:hint="eastAsia" w:ascii="宋体" w:hAnsi="宋体" w:eastAsia="宋体" w:cs="宋体"/>
                <w:color w:val="000000"/>
                <w:sz w:val="21"/>
                <w:szCs w:val="21"/>
                <w:highlight w:val="none"/>
                <w:shd w:val="clear" w:color="auto" w:fill="auto"/>
              </w:rPr>
            </w:r>
            <w:r/>
          </w:p>
        </w:tc>
      </w:tr>
      <w:tr>
        <w:trPr>
          <w:trHeight w:val="851"/>
        </w:trPr>
        <w:tc>
          <w:tcPr>
            <w:tcMar>
              <w:left w:w="108" w:type="dxa"/>
              <w:right w:w="108" w:type="dxa"/>
            </w:tcMar>
            <w:tcW w:w="71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企业版中间件应用选件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lang w:val="en-US" w:eastAsia="zh-CN"/>
              </w:rPr>
            </w:r>
            <w:r/>
          </w:p>
        </w:tc>
        <w:tc>
          <w:tcPr>
            <w:tcMar>
              <w:left w:w="108" w:type="dxa"/>
              <w:right w:w="108" w:type="dxa"/>
            </w:tcMar>
            <w:tcW w:w="121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Weblogic Server Enterprise Edition</w:t>
            </w:r>
            <w:r>
              <w:rPr>
                <w:rFonts w:hint="eastAsia" w:ascii="宋体" w:hAnsi="宋体" w:eastAsia="宋体" w:cs="宋体"/>
                <w:color w:val="000000"/>
                <w:sz w:val="21"/>
                <w:szCs w:val="21"/>
                <w:highlight w:val="none"/>
                <w:shd w:val="clear" w:color="auto" w:fill="auto"/>
              </w:rPr>
            </w:r>
            <w:r/>
          </w:p>
        </w:tc>
      </w:tr>
    </w:tbl>
    <w:p>
      <w:pPr>
        <w:pStyle w:val="757"/>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按照采购要求</w:t>
      </w:r>
      <w:r>
        <w:rPr>
          <w:rFonts w:hint="eastAsia" w:ascii="宋体" w:hAnsi="宋体" w:eastAsia="宋体" w:cs="宋体"/>
          <w:color w:val="000000"/>
          <w:sz w:val="21"/>
          <w:szCs w:val="21"/>
          <w:highlight w:val="none"/>
          <w:shd w:val="clear" w:color="auto" w:fill="auto"/>
        </w:rPr>
        <w:t xml:space="preserve">提供设备清单中所有设备及其相关设备的7X24小时</w:t>
      </w:r>
      <w:r>
        <w:rPr>
          <w:rFonts w:hint="eastAsia" w:ascii="宋体" w:hAnsi="宋体" w:eastAsia="宋体" w:cs="宋体"/>
          <w:color w:val="000000"/>
          <w:sz w:val="21"/>
          <w:szCs w:val="21"/>
          <w:highlight w:val="none"/>
          <w:shd w:val="clear" w:color="auto" w:fill="auto"/>
          <w:lang w:val="en-US" w:eastAsia="zh-CN"/>
        </w:rPr>
        <w:t xml:space="preserve">维保</w:t>
      </w:r>
      <w:r>
        <w:rPr>
          <w:rFonts w:hint="eastAsia" w:ascii="宋体" w:hAnsi="宋体" w:eastAsia="宋体" w:cs="宋体"/>
          <w:color w:val="000000"/>
          <w:sz w:val="21"/>
          <w:szCs w:val="21"/>
          <w:highlight w:val="none"/>
          <w:shd w:val="clear" w:color="auto" w:fill="auto"/>
        </w:rPr>
        <w:t xml:space="preserve">服务。</w:t>
      </w:r>
      <w:r>
        <w:rPr>
          <w:rFonts w:hint="eastAsia" w:ascii="宋体" w:hAnsi="宋体" w:eastAsia="宋体" w:cs="宋体"/>
          <w:color w:val="000000"/>
          <w:sz w:val="21"/>
          <w:szCs w:val="21"/>
          <w:highlight w:val="none"/>
          <w:shd w:val="clear" w:color="auto" w:fill="auto"/>
          <w:lang w:val="en-US" w:eastAsia="zh-CN"/>
        </w:rPr>
        <w:t xml:space="preserve">维保内容包括</w:t>
      </w:r>
      <w:r>
        <w:rPr>
          <w:rFonts w:hint="eastAsia" w:ascii="宋体" w:hAnsi="宋体" w:eastAsia="宋体" w:cs="宋体"/>
          <w:color w:val="000000"/>
          <w:sz w:val="21"/>
          <w:szCs w:val="21"/>
          <w:highlight w:val="none"/>
          <w:shd w:val="clear" w:color="auto" w:fill="auto"/>
        </w:rPr>
        <w:t xml:space="preserve">健康检查、故障</w:t>
      </w:r>
      <w:r>
        <w:rPr>
          <w:rFonts w:hint="eastAsia" w:ascii="宋体" w:hAnsi="宋体" w:eastAsia="宋体" w:cs="宋体"/>
          <w:color w:val="000000"/>
          <w:sz w:val="21"/>
          <w:szCs w:val="21"/>
          <w:highlight w:val="none"/>
          <w:shd w:val="clear" w:color="auto" w:fill="auto"/>
          <w:lang w:val="en-US" w:eastAsia="zh-CN"/>
        </w:rPr>
        <w:t xml:space="preserve">维修</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备件更换、</w:t>
      </w:r>
      <w:r>
        <w:rPr>
          <w:rFonts w:hint="eastAsia" w:ascii="宋体" w:hAnsi="宋体" w:eastAsia="宋体" w:cs="宋体"/>
          <w:color w:val="000000"/>
          <w:sz w:val="21"/>
          <w:szCs w:val="21"/>
          <w:highlight w:val="none"/>
          <w:shd w:val="clear" w:color="auto" w:fill="auto"/>
        </w:rPr>
        <w:t xml:space="preserve">补丁安装、版本升级、系统性能分析及调优、技术培训等服务</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保证采购人所涉设备7*24小时安全、稳定、高效运行。</w:t>
      </w:r>
      <w:r>
        <w:rPr>
          <w:rFonts w:hint="eastAsia" w:ascii="宋体" w:hAnsi="宋体" w:eastAsia="宋体" w:cs="宋体"/>
          <w:color w:val="000000"/>
          <w:sz w:val="21"/>
          <w:szCs w:val="21"/>
          <w:highlight w:val="none"/>
          <w:shd w:val="clear" w:color="auto" w:fill="auto"/>
          <w:lang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3.签订合同日期：自中标通知书发出之日起30日内签约。</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4.服务期限：</w:t>
      </w:r>
      <w:r>
        <w:rPr>
          <w:rFonts w:hint="eastAsia" w:ascii="宋体" w:hAnsi="宋体" w:eastAsia="宋体" w:cs="宋体"/>
          <w:color w:val="000000"/>
          <w:sz w:val="21"/>
          <w:szCs w:val="21"/>
          <w:highlight w:val="none"/>
          <w:shd w:val="clear" w:color="auto" w:fill="auto"/>
          <w:lang w:val="en-US" w:eastAsia="zh-CN"/>
        </w:rPr>
      </w:r>
      <w:r/>
    </w:p>
    <w:p>
      <w:pPr>
        <w:pStyle w:val="725"/>
        <w:ind w:firstLine="420"/>
        <w:pageBreakBefore w:val="0"/>
        <w:spacing w:line="360" w:lineRule="auto"/>
        <w:shd w:val="clear" w:color="auto" w:fill="auto"/>
        <w:rPr>
          <w:rFonts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本项目首年度合同履行期限为采购合同签订生效之日起1年（即12个月），若年度服务期满后，</w:t>
      </w:r>
      <w:r>
        <w:rPr>
          <w:rFonts w:hint="eastAsia" w:ascii="宋体" w:hAnsi="宋体" w:eastAsia="宋体" w:cs="宋体"/>
          <w:color w:val="000000"/>
          <w:sz w:val="21"/>
          <w:szCs w:val="21"/>
          <w:highlight w:val="none"/>
          <w:shd w:val="clear" w:color="auto" w:fill="auto"/>
        </w:rPr>
        <w:t xml:space="preserve">服务考核</w:t>
      </w:r>
      <w:r>
        <w:rPr>
          <w:rFonts w:hint="eastAsia" w:ascii="宋体" w:hAnsi="宋体" w:eastAsia="宋体" w:cs="宋体"/>
          <w:color w:val="000000"/>
          <w:sz w:val="21"/>
          <w:szCs w:val="21"/>
          <w:highlight w:val="none"/>
          <w:shd w:val="clear" w:color="auto" w:fill="auto"/>
          <w:lang w:eastAsia="zh-CN"/>
        </w:rPr>
        <w:t xml:space="preserve">最终得分在</w:t>
      </w:r>
      <w:r>
        <w:rPr>
          <w:rFonts w:hint="eastAsia" w:ascii="宋体" w:hAnsi="宋体" w:eastAsia="宋体" w:cs="宋体"/>
          <w:color w:val="000000"/>
          <w:sz w:val="21"/>
          <w:szCs w:val="21"/>
          <w:highlight w:val="none"/>
          <w:shd w:val="clear" w:color="auto" w:fill="auto"/>
          <w:lang w:val="en-US" w:eastAsia="zh-CN"/>
        </w:rPr>
        <w:t xml:space="preserve">95分以上</w:t>
      </w:r>
      <w:r>
        <w:rPr>
          <w:rFonts w:hint="eastAsia" w:ascii="宋体" w:hAnsi="宋体" w:eastAsia="宋体" w:cs="宋体"/>
          <w:b/>
          <w:bCs/>
          <w:color w:val="000000"/>
          <w:sz w:val="21"/>
          <w:szCs w:val="21"/>
          <w:highlight w:val="none"/>
          <w:shd w:val="clear" w:color="auto" w:fill="auto"/>
        </w:rPr>
        <w:t xml:space="preserve">，可续签</w:t>
      </w:r>
      <w:r>
        <w:rPr>
          <w:rFonts w:hint="eastAsia" w:ascii="宋体" w:hAnsi="宋体" w:eastAsia="宋体" w:cs="宋体"/>
          <w:b/>
          <w:bCs/>
          <w:color w:val="000000"/>
          <w:sz w:val="21"/>
          <w:szCs w:val="21"/>
          <w:highlight w:val="none"/>
          <w:shd w:val="clear" w:color="auto" w:fill="auto"/>
          <w:lang w:eastAsia="zh-CN"/>
        </w:rPr>
        <w:t xml:space="preserve">下一年</w:t>
      </w:r>
      <w:r>
        <w:rPr>
          <w:rFonts w:hint="eastAsia" w:ascii="宋体" w:hAnsi="宋体" w:eastAsia="宋体" w:cs="宋体"/>
          <w:b/>
          <w:bCs/>
          <w:color w:val="000000"/>
          <w:sz w:val="21"/>
          <w:szCs w:val="21"/>
          <w:highlight w:val="none"/>
          <w:shd w:val="clear" w:color="auto" w:fill="auto"/>
        </w:rPr>
        <w:t xml:space="preserve">服务合同</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总服务期不超过三年。</w:t>
      </w:r>
      <w:r>
        <w:rPr>
          <w:rFonts w:ascii="宋体" w:hAnsi="宋体" w:eastAsia="宋体" w:cs="宋体"/>
          <w:color w:val="000000"/>
          <w:sz w:val="21"/>
          <w:szCs w:val="21"/>
          <w:highlight w:val="none"/>
          <w:shd w:val="clear" w:color="auto" w:fill="auto"/>
          <w:lang w:val="en-US"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.交货（服务）地点：采购人指定地点。</w:t>
      </w:r>
      <w:r>
        <w:rPr>
          <w:rFonts w:hint="eastAsia" w:ascii="宋体" w:hAnsi="宋体" w:eastAsia="宋体" w:cs="宋体"/>
          <w:color w:val="000000"/>
          <w:sz w:val="21"/>
          <w:szCs w:val="21"/>
          <w:highlight w:val="none"/>
          <w:shd w:val="clear" w:color="auto" w:fill="auto"/>
        </w:rPr>
      </w:r>
      <w:r/>
    </w:p>
    <w:p>
      <w:pPr>
        <w:pStyle w:val="725"/>
        <w:ind w:left="16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jc w:val="left"/>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（五）采购标的需满足的服务标准、期限、效率等要求</w:t>
      </w:r>
      <w:r>
        <w:rPr>
          <w:rFonts w:hint="eastAsia" w:ascii="宋体" w:hAnsi="宋体" w:eastAsia="宋体" w:cs="宋体"/>
          <w:b/>
          <w:bCs/>
          <w:color w:val="000000"/>
          <w:sz w:val="21"/>
          <w:szCs w:val="21"/>
          <w:highlight w:val="none"/>
          <w:shd w:val="clear" w:color="auto" w:fill="auto"/>
        </w:rPr>
      </w:r>
      <w:r/>
    </w:p>
    <w:p>
      <w:pPr>
        <w:pStyle w:val="727"/>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1.主要服务规范及要求：</w:t>
      </w:r>
      <w:r>
        <w:rPr>
          <w:rFonts w:hint="eastAsia" w:ascii="宋体" w:hAnsi="宋体" w:eastAsia="宋体" w:cs="宋体"/>
          <w:color w:val="000000"/>
          <w:sz w:val="21"/>
          <w:szCs w:val="21"/>
          <w:highlight w:val="none"/>
          <w:shd w:val="clear" w:color="auto" w:fill="auto"/>
        </w:rPr>
      </w:r>
      <w:r/>
    </w:p>
    <w:p>
      <w:pPr>
        <w:pStyle w:val="725"/>
        <w:ind w:firstLine="59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bookmarkStart w:id="143" w:name="_Toc86607506"/>
      <w:r/>
      <w:bookmarkStart w:id="144" w:name="_Toc86607113"/>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必须根据服务经验，技术能力编写运维服务方案，方案须包含但不限于如下技术要求。</w:t>
      </w:r>
      <w:r>
        <w:rPr>
          <w:rFonts w:hint="eastAsia" w:ascii="宋体" w:hAnsi="宋体" w:eastAsia="宋体" w:cs="宋体"/>
          <w:color w:val="000000"/>
          <w:sz w:val="21"/>
          <w:szCs w:val="21"/>
          <w:highlight w:val="none"/>
          <w:shd w:val="clear" w:color="auto" w:fill="auto"/>
        </w:rPr>
      </w:r>
      <w:r/>
    </w:p>
    <w:p>
      <w:pPr>
        <w:pStyle w:val="72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1.1维护服务原则</w:t>
      </w:r>
      <w:bookmarkEnd w:id="143"/>
      <w:r/>
      <w:bookmarkEnd w:id="144"/>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 确保南通市人社信息系统的安全和正常运行；</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 维护保修设备范围包括：信息系统主机系统、存储系统、数据库系统及与主机系统相关的软硬件接口、备份软件和底层软件等；</w:t>
      </w:r>
      <w:r>
        <w:rPr>
          <w:rFonts w:hint="eastAsia" w:ascii="宋体" w:hAnsi="宋体" w:eastAsia="宋体" w:cs="宋体"/>
          <w:color w:val="000000"/>
          <w:sz w:val="21"/>
          <w:szCs w:val="21"/>
          <w:highlight w:val="none"/>
          <w:shd w:val="clear" w:color="auto" w:fill="auto"/>
        </w:rPr>
      </w:r>
      <w:r/>
    </w:p>
    <w:p>
      <w:pPr>
        <w:pStyle w:val="725"/>
        <w:ind w:left="120" w:firstLine="36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对维护范围内的设备的所有损坏部件，2小时内完成硬件免费更换和软件免费升级维护；要求有充足的备件（特别是CPU、内存、电源、电池、风扇、硬盘、模块、引擎、整机等），当机器发生故障或机件损坏时，保证能及时提供现场更换服务。备件库必须备有整机，当用户整机崩溃时，保证能迅速提供备机替代以保证业务不致停止。</w:t>
      </w:r>
      <w:r>
        <w:rPr>
          <w:rFonts w:hint="eastAsia" w:ascii="宋体" w:hAnsi="宋体" w:eastAsia="宋体" w:cs="宋体"/>
          <w:color w:val="000000"/>
          <w:sz w:val="21"/>
          <w:szCs w:val="21"/>
          <w:highlight w:val="none"/>
          <w:shd w:val="clear" w:color="auto" w:fill="auto"/>
        </w:rPr>
      </w:r>
      <w:r/>
    </w:p>
    <w:p>
      <w:pPr>
        <w:pStyle w:val="72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bookmarkStart w:id="145" w:name="_Toc86607507"/>
      <w:r/>
      <w:bookmarkStart w:id="146" w:name="_Toc42073559"/>
      <w:r/>
      <w:bookmarkStart w:id="147" w:name="_Toc86607114"/>
      <w:r>
        <w:rPr>
          <w:rFonts w:hint="eastAsia" w:ascii="宋体" w:hAnsi="宋体" w:eastAsia="宋体" w:cs="宋体"/>
          <w:color w:val="000000"/>
          <w:sz w:val="21"/>
          <w:szCs w:val="21"/>
          <w:highlight w:val="none"/>
          <w:shd w:val="clear" w:color="auto" w:fill="auto"/>
        </w:rPr>
        <w:t xml:space="preserve">1.2系统维护服务</w:t>
      </w:r>
      <w:bookmarkEnd w:id="145"/>
      <w:r/>
      <w:bookmarkEnd w:id="146"/>
      <w:r/>
      <w:bookmarkEnd w:id="147"/>
      <w:r>
        <w:rPr>
          <w:rFonts w:hint="eastAsia" w:ascii="宋体" w:hAnsi="宋体" w:eastAsia="宋体" w:cs="宋体"/>
          <w:color w:val="000000"/>
          <w:sz w:val="21"/>
          <w:szCs w:val="21"/>
          <w:highlight w:val="none"/>
          <w:shd w:val="clear" w:color="auto" w:fill="auto"/>
        </w:rPr>
        <w:t xml:space="preserve">主要内容</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 备件保修和技术服务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如果发生硬件系统宕机故障，在接到报修电话后10分钟内响应，并2小时内到达现场提供维修服务；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如果发生硬件系统非宕机故障，将在接到报修电话后30分钟内响应，并根据客户要求和实际情况到现场提供维护服务；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维修及换件服务：2小时内到达现场提供维修及换件服务。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 预防性维护服务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为使机器正常运行，须为客户提供现场预防性维护服务。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指派专责服务人员对系统依照服务方案进行维护。</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定期对机器进行例行检查、做预防性维护保养，并提交服务报告。</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为保证服务质量，成立服务小组专责工程师支持。</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（3）电话技术支持服务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为客户提供下列电话技术支持：</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分析判断或解答软硬件报障问题</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指导或解答有关系统软件日常运作和安装问题</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（4）到场服务</w:t>
      </w:r>
      <w:r>
        <w:rPr>
          <w:rFonts w:hint="eastAsia" w:ascii="宋体" w:hAnsi="宋体" w:eastAsia="宋体" w:cs="宋体"/>
          <w:color w:val="000000"/>
          <w:sz w:val="21"/>
          <w:szCs w:val="21"/>
          <w:highlight w:val="none"/>
          <w:shd w:val="clear" w:color="auto" w:fill="auto"/>
        </w:rPr>
      </w:r>
      <w:r/>
    </w:p>
    <w:p>
      <w:pPr>
        <w:pStyle w:val="725"/>
        <w:ind w:left="359" w:firstLine="36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对于电话技术支持和远程工程师服务无法解决或解答的问题，须提供技术专家团队到场服务。</w:t>
      </w:r>
      <w:r>
        <w:rPr>
          <w:rFonts w:hint="eastAsia" w:ascii="宋体" w:hAnsi="宋体" w:eastAsia="宋体" w:cs="宋体"/>
          <w:color w:val="000000"/>
          <w:sz w:val="21"/>
          <w:szCs w:val="21"/>
          <w:highlight w:val="none"/>
          <w:shd w:val="clear" w:color="auto" w:fill="auto"/>
        </w:rPr>
      </w:r>
      <w:r/>
    </w:p>
    <w:p>
      <w:pPr>
        <w:pStyle w:val="725"/>
        <w:ind w:firstLine="36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（5）升级与修复服务</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根据客户提出的升级计划做准备，并提供建议。</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安装新版本的IBM AIX。</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在新版本AIX上调试系统配置。</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D</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对已安装的新版本AIX双机软件进行测试。</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对相关存储软件检查安装修复，RAID硬盘组损坏的重建。</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 对服务器平台上系统软件的维护和监控</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协助客户进行受支持软件产品的基本日常维护和管理。</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协助客户对所报告的问题进行定义，指导客户相关技术人员完成解决问题所需要相关信息收集工作。</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帮助客户对所报告的问题进行问题根源的分析和诊断。</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D</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对于软件本身的问题，根据需要向客户免费提供相关的修正性软件。</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对客户所报告的有关受支持软件产品的问题，根据需要使用标准系统进行记录和跟踪，并根据实际情形对问题的严重程度和优先级别进行设定和更新。</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F</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在应用软件安装完毕后进行基本系统测试。</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（7）EMC存储维护</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 VMAX 250F是EMC的高端存储阵列软硬件维护质保服务、数据管理服务，须获得原厂管理软件、原厂动态管理口令等技术服务。服务工程师能提供微码的升级、内部inline命令问题诊断、metro SRDF软件配置和诊断服务，能处理系统内部tool0，tool1容器故障、emgmt0，emgmt1容器故障。到场服务的须是原厂认证</w:t>
      </w:r>
      <w:r>
        <w:rPr>
          <w:rFonts w:hint="eastAsia" w:ascii="宋体" w:hAnsi="宋体" w:eastAsia="宋体" w:cs="宋体"/>
          <w:color w:val="000000"/>
          <w:sz w:val="21"/>
          <w:szCs w:val="21"/>
          <w:highlight w:val="none"/>
          <w:shd w:val="clear" w:color="auto" w:fill="auto"/>
          <w:lang w:val="en-US" w:eastAsia="zh-CN"/>
        </w:rPr>
        <w:t xml:space="preserve">工程师</w:t>
      </w:r>
      <w:r>
        <w:rPr>
          <w:rFonts w:hint="eastAsia" w:ascii="宋体" w:hAnsi="宋体" w:eastAsia="宋体" w:cs="宋体"/>
          <w:color w:val="000000"/>
          <w:sz w:val="21"/>
          <w:szCs w:val="21"/>
          <w:highlight w:val="none"/>
          <w:shd w:val="clear" w:color="auto" w:fill="auto"/>
        </w:rPr>
        <w:t xml:space="preserve">，根据服务需要到场次数不限。</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（8）系统备份</w:t>
      </w:r>
      <w:r>
        <w:rPr>
          <w:rFonts w:hint="eastAsia" w:ascii="宋体" w:hAnsi="宋体" w:eastAsia="宋体" w:cs="宋体"/>
          <w:color w:val="000000"/>
          <w:sz w:val="21"/>
          <w:szCs w:val="21"/>
          <w:highlight w:val="none"/>
          <w:shd w:val="clear" w:color="auto" w:fill="auto"/>
          <w:lang w:val="en-US" w:eastAsia="zh-CN"/>
        </w:rPr>
        <w:t xml:space="preserve">与恢复</w:t>
      </w:r>
      <w:r>
        <w:rPr>
          <w:rFonts w:hint="eastAsia" w:ascii="宋体" w:hAnsi="宋体" w:eastAsia="宋体" w:cs="宋体"/>
          <w:color w:val="000000"/>
          <w:sz w:val="21"/>
          <w:szCs w:val="21"/>
          <w:highlight w:val="none"/>
          <w:shd w:val="clear" w:color="auto" w:fill="auto"/>
          <w:lang w:val="en-US" w:eastAsia="zh-CN"/>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定期对数据备份进行校验，检查备份策略和备份软件的设置的正确性、备份数据的可用性。</w:t>
      </w:r>
      <w:r>
        <w:rPr>
          <w:rFonts w:hint="eastAsia" w:ascii="宋体" w:hAnsi="宋体" w:eastAsia="宋体" w:cs="宋体"/>
          <w:color w:val="000000"/>
          <w:sz w:val="21"/>
          <w:szCs w:val="21"/>
          <w:highlight w:val="none"/>
          <w:shd w:val="clear" w:color="auto" w:fill="auto"/>
          <w:lang w:val="en-US" w:eastAsia="zh-CN"/>
        </w:rPr>
        <w:t xml:space="preserve">在灾难出现时，确保核心数据库可以完整及时的恢复。</w:t>
      </w:r>
      <w:r>
        <w:rPr>
          <w:rFonts w:hint="eastAsia" w:ascii="宋体" w:hAnsi="宋体" w:eastAsia="宋体" w:cs="宋体"/>
          <w:color w:val="000000"/>
          <w:sz w:val="21"/>
          <w:szCs w:val="21"/>
          <w:highlight w:val="none"/>
          <w:shd w:val="clear" w:color="auto" w:fill="auto"/>
        </w:rPr>
        <w:t xml:space="preserve">对备份软件支持服务以及应用软件商专有备份软件的检查与配置服务，需要同软件商协商提供服务所需费用已包含在报价中。</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9</w:t>
      </w:r>
      <w:r>
        <w:rPr>
          <w:rFonts w:hint="eastAsia" w:ascii="宋体" w:hAnsi="宋体" w:eastAsia="宋体" w:cs="宋体"/>
          <w:color w:val="000000"/>
          <w:sz w:val="21"/>
          <w:szCs w:val="21"/>
          <w:highlight w:val="none"/>
          <w:shd w:val="clear" w:color="auto" w:fill="auto"/>
        </w:rPr>
        <w:t xml:space="preserve">）系统优化</w:t>
      </w:r>
      <w:r>
        <w:rPr>
          <w:rFonts w:hint="eastAsia" w:ascii="宋体" w:hAnsi="宋体" w:eastAsia="宋体" w:cs="宋体"/>
          <w:color w:val="000000"/>
          <w:sz w:val="21"/>
          <w:szCs w:val="21"/>
          <w:highlight w:val="none"/>
          <w:shd w:val="clear" w:color="auto" w:fill="auto"/>
        </w:rPr>
      </w:r>
      <w:r/>
    </w:p>
    <w:p>
      <w:pPr>
        <w:pStyle w:val="1064"/>
        <w:ind w:firstLine="480"/>
        <w:jc w:val="both"/>
        <w:pageBreakBefore w:val="0"/>
        <w:spacing w:before="0" w:beforeAutospacing="0" w:after="0" w:afterAutospacing="0" w:line="360" w:lineRule="auto"/>
        <w:shd w:val="clear" w:color="auto" w:fill="auto"/>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定期对系统的运行状况进行检查，并对系统参数进行优化配置（优化服务包含了应用软件开发商配合支持的优化等），确保硬件系统、软件系统的正常运行。</w:t>
      </w:r>
      <w:r>
        <w:rPr>
          <w:rFonts w:hint="eastAsia" w:ascii="宋体" w:hAnsi="宋体" w:eastAsia="宋体" w:cs="宋体"/>
          <w:b w:val="0"/>
          <w:bCs w:val="0"/>
          <w:color w:val="000000"/>
          <w:sz w:val="21"/>
          <w:szCs w:val="21"/>
          <w:highlight w:val="none"/>
          <w:shd w:val="clear" w:color="auto" w:fill="auto"/>
        </w:rPr>
        <w:t xml:space="preserve">需保证系统性能处于优良运行状态，如果系统优化后出现数据库业务系统无法使用则按重大事故处理。</w:t>
      </w:r>
      <w:r>
        <w:rPr>
          <w:rFonts w:hint="eastAsia" w:ascii="宋体" w:hAnsi="宋体" w:eastAsia="宋体" w:cs="宋体"/>
          <w:b w:val="0"/>
          <w:bCs w:val="0"/>
          <w:color w:val="000000"/>
          <w:sz w:val="21"/>
          <w:szCs w:val="21"/>
          <w:highlight w:val="none"/>
          <w:shd w:val="clear" w:color="auto" w:fill="auto"/>
        </w:rPr>
      </w:r>
      <w:r/>
    </w:p>
    <w:p>
      <w:pPr>
        <w:pStyle w:val="725"/>
        <w:ind w:firstLine="360"/>
        <w:pageBreakBefore w:val="0"/>
        <w:spacing w:line="360" w:lineRule="auto"/>
        <w:shd w:val="clear" w:color="auto" w:fill="auto"/>
        <w:tabs>
          <w:tab w:val="left" w:pos="1440"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0</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技术交流与</w:t>
      </w:r>
      <w:r>
        <w:rPr>
          <w:rFonts w:hint="eastAsia" w:ascii="宋体" w:hAnsi="宋体" w:eastAsia="宋体" w:cs="宋体"/>
          <w:color w:val="000000"/>
          <w:sz w:val="21"/>
          <w:szCs w:val="21"/>
          <w:highlight w:val="none"/>
          <w:shd w:val="clear" w:color="auto" w:fill="auto"/>
        </w:rPr>
        <w:t xml:space="preserve">培训</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lang w:val="en-US" w:eastAsia="zh-CN"/>
        </w:rPr>
      </w:r>
      <w:r/>
    </w:p>
    <w:p>
      <w:pPr>
        <w:pStyle w:val="1064"/>
        <w:ind w:firstLine="480"/>
        <w:jc w:val="both"/>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服务期间</w:t>
      </w:r>
      <w:r>
        <w:rPr>
          <w:rFonts w:hint="eastAsia" w:ascii="宋体" w:hAnsi="宋体" w:eastAsia="宋体" w:cs="宋体"/>
          <w:color w:val="000000"/>
          <w:sz w:val="21"/>
          <w:szCs w:val="21"/>
          <w:highlight w:val="none"/>
          <w:shd w:val="clear" w:color="auto" w:fill="auto"/>
        </w:rPr>
        <w:t xml:space="preserve">负责对采购人</w:t>
      </w:r>
      <w:r>
        <w:rPr>
          <w:rFonts w:hint="eastAsia" w:ascii="宋体" w:hAnsi="宋体" w:eastAsia="宋体" w:cs="宋体"/>
          <w:color w:val="000000"/>
          <w:sz w:val="21"/>
          <w:szCs w:val="21"/>
          <w:highlight w:val="none"/>
          <w:shd w:val="clear" w:color="auto" w:fill="auto"/>
          <w:lang w:val="zh-CN"/>
        </w:rPr>
        <w:t xml:space="preserve">系统管理员</w:t>
      </w:r>
      <w:r>
        <w:rPr>
          <w:rFonts w:hint="eastAsia" w:ascii="宋体" w:hAnsi="宋体" w:eastAsia="宋体" w:cs="宋体"/>
          <w:color w:val="000000"/>
          <w:sz w:val="21"/>
          <w:szCs w:val="21"/>
          <w:highlight w:val="none"/>
          <w:shd w:val="clear" w:color="auto" w:fill="auto"/>
        </w:rPr>
        <w:t xml:space="preserve">进行技能培训，并对相关技术问题进行充分交流，使系统管理和使用人员熟练掌握系统配置与常规维护、故障处理等技能，确保整个系统的正常运行及工作开展。</w:t>
      </w:r>
      <w:r>
        <w:rPr>
          <w:rFonts w:hint="eastAsia" w:ascii="宋体" w:hAnsi="宋体" w:eastAsia="宋体" w:cs="宋体"/>
          <w:color w:val="000000"/>
          <w:sz w:val="21"/>
          <w:szCs w:val="21"/>
          <w:highlight w:val="none"/>
          <w:shd w:val="clear" w:color="auto" w:fill="auto"/>
          <w:lang w:val="zh-CN"/>
        </w:rPr>
        <w:t xml:space="preserve">提供现场技术指导，在检查和处理问题的同时指导采购人现场维护人员如何进行类似问题的处理,并现场解答疑问。在现场支持服务后，根据采购人的需要进行有针对性的现场技术交流，提高技术人员的技术水平。</w:t>
      </w:r>
      <w:r>
        <w:rPr>
          <w:rFonts w:hint="eastAsia" w:ascii="宋体" w:hAnsi="宋体" w:eastAsia="宋体" w:cs="宋体"/>
          <w:color w:val="000000"/>
          <w:sz w:val="21"/>
          <w:szCs w:val="21"/>
          <w:highlight w:val="none"/>
          <w:shd w:val="clear" w:color="auto" w:fill="auto"/>
        </w:rPr>
      </w:r>
      <w:r/>
    </w:p>
    <w:p>
      <w:pPr>
        <w:pStyle w:val="725"/>
        <w:ind w:firstLine="1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（1</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）服务时间</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提供7*24小时到场服务和热线电话服务，节假日照常工作。</w:t>
      </w:r>
      <w:r>
        <w:rPr>
          <w:rFonts w:hint="eastAsia" w:ascii="宋体" w:hAnsi="宋体" w:eastAsia="宋体" w:cs="宋体"/>
          <w:color w:val="000000"/>
          <w:sz w:val="21"/>
          <w:szCs w:val="21"/>
          <w:highlight w:val="none"/>
          <w:shd w:val="clear" w:color="auto" w:fill="auto"/>
        </w:rPr>
      </w:r>
      <w:r/>
    </w:p>
    <w:p>
      <w:pPr>
        <w:pStyle w:val="727"/>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1.3信息系统安全服务</w:t>
      </w:r>
      <w:r>
        <w:rPr>
          <w:rFonts w:hint="eastAsia" w:ascii="宋体" w:hAnsi="宋体" w:eastAsia="宋体" w:cs="宋体"/>
          <w:color w:val="000000"/>
          <w:sz w:val="21"/>
          <w:szCs w:val="21"/>
          <w:highlight w:val="none"/>
          <w:shd w:val="clear" w:color="auto" w:fill="auto"/>
        </w:rPr>
      </w:r>
      <w:r/>
    </w:p>
    <w:p>
      <w:pPr>
        <w:pStyle w:val="107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此处涉及的信息系统安全服务是指与本项目维护软硬件列表中相关的信息安全服务。</w:t>
      </w:r>
      <w:r>
        <w:rPr>
          <w:rFonts w:hint="eastAsia" w:ascii="宋体" w:hAnsi="宋体" w:eastAsia="宋体" w:cs="宋体"/>
          <w:color w:val="000000"/>
          <w:sz w:val="21"/>
          <w:szCs w:val="21"/>
          <w:highlight w:val="none"/>
          <w:shd w:val="clear" w:color="auto" w:fill="auto"/>
        </w:rPr>
      </w:r>
      <w:r/>
    </w:p>
    <w:p>
      <w:pPr>
        <w:pStyle w:val="725"/>
        <w:ind w:firstLine="561"/>
        <w:keepLines/>
        <w:keepNext/>
        <w:pageBreakBefore w:val="0"/>
        <w:spacing w:before="120" w:after="120" w:line="360" w:lineRule="auto"/>
        <w:shd w:val="clear" w:color="auto" w:fill="auto"/>
        <w:rPr>
          <w:rFonts w:hint="eastAsia" w:ascii="宋体" w:hAnsi="宋体" w:eastAsia="宋体" w:cs="宋体"/>
          <w:b/>
          <w:color w:val="000000"/>
          <w:sz w:val="21"/>
          <w:szCs w:val="21"/>
          <w:highlight w:val="none"/>
          <w:shd w:val="clear" w:color="auto" w:fill="auto"/>
        </w:rPr>
        <w:outlineLvl w:val="2"/>
      </w:pPr>
      <w:r/>
      <w:bookmarkStart w:id="148" w:name="_Toc19887643"/>
      <w:r>
        <w:rPr>
          <w:rFonts w:hint="eastAsia" w:ascii="宋体" w:hAnsi="宋体" w:eastAsia="宋体" w:cs="宋体"/>
          <w:b/>
          <w:color w:val="000000"/>
          <w:sz w:val="21"/>
          <w:szCs w:val="21"/>
          <w:highlight w:val="none"/>
          <w:shd w:val="clear" w:color="auto" w:fill="auto"/>
        </w:rPr>
        <w:t xml:space="preserve">1.3.1基础安全运维</w:t>
      </w:r>
      <w:bookmarkEnd w:id="148"/>
      <w:r>
        <w:rPr>
          <w:rFonts w:hint="eastAsia" w:ascii="宋体" w:hAnsi="宋体" w:eastAsia="宋体" w:cs="宋体"/>
          <w:b/>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按南通市人力资源和社会保障信息中心的安全要求，持续加强系统信息安全管理工作的质量和水平。应委派有经验的安全技术人员提供服务，协助处理日常信息安全工作，加快响应时间，保证服务质量，信息安全管理遵循ISO27001国际标准。</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基础安全运维服务具体内容如下：</w:t>
      </w:r>
      <w:r>
        <w:rPr>
          <w:rFonts w:hint="eastAsia" w:ascii="宋体" w:hAnsi="宋体" w:eastAsia="宋体" w:cs="宋体"/>
          <w:color w:val="000000"/>
          <w:sz w:val="21"/>
          <w:szCs w:val="21"/>
          <w:highlight w:val="none"/>
          <w:shd w:val="clear" w:color="auto" w:fill="auto"/>
        </w:rPr>
      </w:r>
      <w:r/>
    </w:p>
    <w:tbl>
      <w:tblPr>
        <w:tblW w:w="865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8"/>
        <w:gridCol w:w="6232"/>
      </w:tblGrid>
      <w:tr>
        <w:trPr/>
        <w:tc>
          <w:tcPr>
            <w:shd w:val="clear" w:color="auto" w:fill="ffffff"/>
            <w:tcW w:w="2418"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任务名称</w:t>
            </w:r>
            <w:r>
              <w:rPr>
                <w:rFonts w:hint="eastAsia" w:ascii="宋体" w:hAnsi="宋体" w:eastAsia="宋体" w:cs="宋体"/>
                <w:color w:val="000000"/>
                <w:sz w:val="21"/>
                <w:szCs w:val="21"/>
                <w:highlight w:val="none"/>
                <w:shd w:val="clear" w:color="auto" w:fill="auto"/>
              </w:rPr>
            </w:r>
            <w:r/>
          </w:p>
        </w:tc>
        <w:tc>
          <w:tcPr>
            <w:shd w:val="clear" w:color="auto" w:fill="ffffff"/>
            <w:tcW w:w="623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任务描述</w:t>
            </w:r>
            <w:r>
              <w:rPr>
                <w:rFonts w:hint="eastAsia" w:ascii="宋体" w:hAnsi="宋体" w:eastAsia="宋体" w:cs="宋体"/>
                <w:color w:val="000000"/>
                <w:sz w:val="21"/>
                <w:szCs w:val="21"/>
                <w:highlight w:val="none"/>
                <w:shd w:val="clear" w:color="auto" w:fill="auto"/>
              </w:rPr>
            </w:r>
            <w:r/>
          </w:p>
        </w:tc>
      </w:tr>
      <w:tr>
        <w:trPr/>
        <w:tc>
          <w:tcPr>
            <w:tcW w:w="2418"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安全巡检</w:t>
            </w:r>
            <w:r>
              <w:rPr>
                <w:rFonts w:hint="eastAsia" w:ascii="宋体" w:hAnsi="宋体" w:eastAsia="宋体" w:cs="宋体"/>
                <w:color w:val="000000"/>
                <w:sz w:val="21"/>
                <w:szCs w:val="21"/>
                <w:highlight w:val="none"/>
                <w:shd w:val="clear" w:color="auto" w:fill="auto"/>
                <w:lang w:val="en-US" w:eastAsia="zh-CN"/>
              </w:rPr>
            </w:r>
            <w:r/>
          </w:p>
        </w:tc>
        <w:tc>
          <w:tcPr>
            <w:tcW w:w="6232"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提供所涉及的服务器、存储、数据库等设备的安全巡检务，对设备的健康状况、日志等进行检查，发现异常登录、操作行为，及时排查安全事件。确保合规性和可用性从而保证采购人现有信息系统的正常运行，降低安全风险。</w:t>
            </w:r>
            <w:r>
              <w:rPr>
                <w:rFonts w:hint="eastAsia" w:ascii="宋体" w:hAnsi="宋体" w:eastAsia="宋体" w:cs="宋体"/>
                <w:color w:val="000000"/>
                <w:sz w:val="21"/>
                <w:szCs w:val="21"/>
                <w:highlight w:val="none"/>
                <w:shd w:val="clear" w:color="auto" w:fill="auto"/>
              </w:rPr>
            </w:r>
            <w:r/>
          </w:p>
        </w:tc>
      </w:tr>
      <w:tr>
        <w:trPr/>
        <w:tc>
          <w:tcPr>
            <w:tcW w:w="2418"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安全整改</w:t>
            </w:r>
            <w:r>
              <w:rPr>
                <w:rFonts w:hint="eastAsia" w:ascii="宋体" w:hAnsi="宋体" w:eastAsia="宋体" w:cs="宋体"/>
                <w:color w:val="000000"/>
                <w:sz w:val="21"/>
                <w:szCs w:val="21"/>
                <w:highlight w:val="none"/>
                <w:shd w:val="clear" w:color="auto" w:fill="auto"/>
                <w:lang w:val="en-US" w:eastAsia="zh-CN"/>
              </w:rPr>
            </w:r>
            <w:r/>
          </w:p>
        </w:tc>
        <w:tc>
          <w:tcPr>
            <w:tcW w:w="6232"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根据巡检过程中发现的各种安全隐患，及时更新补丁，修复漏洞，降低被攻击风险。</w:t>
            </w:r>
            <w:r>
              <w:rPr>
                <w:rFonts w:hint="eastAsia" w:ascii="宋体" w:hAnsi="宋体" w:eastAsia="宋体" w:cs="宋体"/>
                <w:color w:val="000000"/>
                <w:sz w:val="21"/>
                <w:szCs w:val="21"/>
                <w:highlight w:val="none"/>
                <w:shd w:val="clear" w:color="auto" w:fill="auto"/>
                <w:lang w:val="en-US"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对小型机及服务器的操作系统进行安全配置优化，增强系统的安全性。</w:t>
            </w:r>
            <w:r>
              <w:rPr>
                <w:rFonts w:hint="eastAsia" w:ascii="宋体" w:hAnsi="宋体" w:eastAsia="宋体" w:cs="宋体"/>
                <w:color w:val="000000"/>
                <w:sz w:val="21"/>
                <w:szCs w:val="21"/>
                <w:highlight w:val="none"/>
                <w:shd w:val="clear" w:color="auto" w:fill="auto"/>
                <w:lang w:val="en-US" w:eastAsia="zh-CN"/>
              </w:rPr>
            </w:r>
            <w:r/>
          </w:p>
        </w:tc>
      </w:tr>
    </w:tbl>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firstLine="561"/>
        <w:keepLines/>
        <w:keepNext/>
        <w:pageBreakBefore w:val="0"/>
        <w:spacing w:before="120" w:after="120" w:line="360" w:lineRule="auto"/>
        <w:shd w:val="clear" w:color="auto" w:fill="auto"/>
        <w:rPr>
          <w:rFonts w:hint="eastAsia" w:ascii="宋体" w:hAnsi="宋体" w:eastAsia="宋体" w:cs="宋体"/>
          <w:b/>
          <w:color w:val="000000"/>
          <w:sz w:val="21"/>
          <w:szCs w:val="21"/>
          <w:highlight w:val="none"/>
          <w:shd w:val="clear" w:color="auto" w:fill="auto"/>
        </w:rPr>
        <w:outlineLvl w:val="2"/>
      </w:pPr>
      <w:r/>
      <w:bookmarkStart w:id="149" w:name="_Toc19887644"/>
      <w:r>
        <w:rPr>
          <w:rFonts w:hint="eastAsia" w:ascii="宋体" w:hAnsi="宋体" w:eastAsia="宋体" w:cs="宋体"/>
          <w:b/>
          <w:color w:val="000000"/>
          <w:sz w:val="21"/>
          <w:szCs w:val="21"/>
          <w:highlight w:val="none"/>
          <w:shd w:val="clear" w:color="auto" w:fill="auto"/>
        </w:rPr>
        <w:t xml:space="preserve">1.3.2安全评估</w:t>
      </w:r>
      <w:bookmarkEnd w:id="149"/>
      <w:r>
        <w:rPr>
          <w:rFonts w:hint="eastAsia" w:ascii="宋体" w:hAnsi="宋体" w:eastAsia="宋体" w:cs="宋体"/>
          <w:b/>
          <w:color w:val="000000"/>
          <w:sz w:val="21"/>
          <w:szCs w:val="21"/>
          <w:highlight w:val="none"/>
          <w:shd w:val="clear" w:color="auto" w:fill="auto"/>
        </w:rPr>
        <w:t xml:space="preserve">服务</w:t>
      </w:r>
      <w:r>
        <w:rPr>
          <w:rFonts w:hint="eastAsia" w:ascii="宋体" w:hAnsi="宋体" w:eastAsia="宋体" w:cs="宋体"/>
          <w:b/>
          <w:color w:val="000000"/>
          <w:sz w:val="21"/>
          <w:szCs w:val="21"/>
          <w:highlight w:val="none"/>
          <w:shd w:val="clear" w:color="auto" w:fill="auto"/>
        </w:rPr>
      </w:r>
      <w:r/>
    </w:p>
    <w:p>
      <w:pPr>
        <w:pStyle w:val="1072"/>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（1）</w:t>
      </w:r>
      <w:r>
        <w:rPr>
          <w:rFonts w:hint="eastAsia" w:ascii="宋体" w:hAnsi="宋体" w:eastAsia="宋体" w:cs="宋体"/>
          <w:b/>
          <w:color w:val="000000"/>
          <w:sz w:val="21"/>
          <w:szCs w:val="21"/>
          <w:highlight w:val="none"/>
          <w:shd w:val="clear" w:color="auto" w:fill="auto"/>
          <w:lang w:val="zh-CN"/>
        </w:rPr>
        <w:t xml:space="preserve">远程安全评估系统工具</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bookmarkStart w:id="150" w:name="_Toc19887645"/>
      <w:r>
        <w:rPr>
          <w:rFonts w:hint="eastAsia" w:ascii="宋体" w:hAnsi="宋体" w:eastAsia="宋体" w:cs="宋体"/>
          <w:color w:val="000000"/>
          <w:sz w:val="21"/>
          <w:szCs w:val="21"/>
          <w:highlight w:val="none"/>
          <w:shd w:val="clear" w:color="auto" w:fill="auto"/>
        </w:rPr>
        <w:t xml:space="preserve">风险评估能保证安全控制措施应用在具有最大风险的区域。风险评估结果可作为对用户方所实施的安全措施进行优先级排序的重要依据。风险评估也将鉴别已有安全措施是否在用户方持续运营的过程中仍然具有相应的效力，从而保障用户方的已有安全投入。</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供应商必须具有远程安全评估系统工具，授权可扫描总数量为无限的IP地址或域名，并对存在的风险点提供打补丁及优化等服务。</w:t>
      </w:r>
      <w:r>
        <w:rPr>
          <w:rFonts w:hint="eastAsia" w:ascii="宋体" w:hAnsi="宋体" w:eastAsia="宋体" w:cs="宋体"/>
          <w:color w:val="000000"/>
          <w:sz w:val="21"/>
          <w:szCs w:val="21"/>
          <w:highlight w:val="none"/>
          <w:shd w:val="clear" w:color="auto" w:fill="auto"/>
          <w:lang w:val="zh-CN"/>
        </w:rPr>
      </w:r>
      <w:r/>
    </w:p>
    <w:p>
      <w:pPr>
        <w:pStyle w:val="1072"/>
        <w:pageBreakBefore w:val="0"/>
        <w:spacing w:line="360" w:lineRule="auto"/>
        <w:shd w:val="clear" w:color="auto" w:fill="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远程安全评估系统工具</w:t>
      </w:r>
      <w:r>
        <w:rPr>
          <w:rFonts w:hint="eastAsia" w:ascii="宋体" w:hAnsi="宋体" w:eastAsia="宋体" w:cs="宋体"/>
          <w:color w:val="000000"/>
          <w:sz w:val="21"/>
          <w:szCs w:val="21"/>
          <w:highlight w:val="none"/>
          <w:shd w:val="clear" w:color="auto" w:fill="auto"/>
        </w:rPr>
        <w:t xml:space="preserve">性能基本要求如下：</w:t>
      </w:r>
      <w:r>
        <w:rPr>
          <w:rFonts w:hint="eastAsia" w:ascii="宋体" w:hAnsi="宋体" w:eastAsia="宋体" w:cs="宋体"/>
          <w:color w:val="000000"/>
          <w:sz w:val="21"/>
          <w:szCs w:val="21"/>
          <w:highlight w:val="none"/>
          <w:shd w:val="clear" w:color="auto" w:fill="auto"/>
          <w:lang w:val="zh-CN"/>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633"/>
      </w:tblGrid>
      <w:tr>
        <w:trPr>
          <w:trHeight w:val="145"/>
          <w:tblHeader/>
        </w:trPr>
        <w:tc>
          <w:tcPr>
            <w:tcW w:w="973"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bookmarkStart w:id="151" w:name="_Toc181077322"/>
            <w:r>
              <w:rPr>
                <w:rFonts w:hint="eastAsia" w:ascii="宋体" w:hAnsi="宋体" w:eastAsia="宋体" w:cs="宋体"/>
                <w:b/>
                <w:color w:val="000000"/>
                <w:sz w:val="21"/>
                <w:szCs w:val="21"/>
                <w:highlight w:val="none"/>
                <w:shd w:val="clear" w:color="auto" w:fill="auto"/>
              </w:rPr>
              <w:t xml:space="preserve">指标项</w:t>
            </w:r>
            <w:r>
              <w:rPr>
                <w:rFonts w:hint="eastAsia" w:ascii="宋体" w:hAnsi="宋体" w:eastAsia="宋体" w:cs="宋体"/>
                <w:b/>
                <w:color w:val="000000"/>
                <w:sz w:val="21"/>
                <w:szCs w:val="21"/>
                <w:highlight w:val="none"/>
                <w:shd w:val="clear" w:color="auto" w:fill="auto"/>
              </w:rPr>
            </w:r>
            <w:r/>
          </w:p>
        </w:tc>
        <w:tc>
          <w:tcPr>
            <w:tcW w:w="8633" w:type="dxa"/>
            <w:vAlign w:val="top"/>
            <w:textDirection w:val="lrTb"/>
            <w:noWrap w:val="false"/>
          </w:tcPr>
          <w:p>
            <w:pPr>
              <w:pStyle w:val="725"/>
              <w:ind w:right="10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规格要求</w:t>
            </w:r>
            <w:r>
              <w:rPr>
                <w:rFonts w:hint="eastAsia" w:ascii="宋体" w:hAnsi="宋体" w:eastAsia="宋体" w:cs="宋体"/>
                <w:b/>
                <w:color w:val="000000"/>
                <w:sz w:val="21"/>
                <w:szCs w:val="21"/>
                <w:highlight w:val="none"/>
                <w:shd w:val="clear" w:color="auto" w:fill="auto"/>
              </w:rPr>
            </w:r>
            <w:r/>
          </w:p>
        </w:tc>
      </w:tr>
      <w:tr>
        <w:trPr>
          <w:trHeight w:val="90"/>
        </w:trPr>
        <w:tc>
          <w:tcPr>
            <w:tcW w:w="973" w:type="dxa"/>
            <w:vAlign w:val="center"/>
            <w:vMerge w:val="restart"/>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漏洞管理和分析</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支持检测的漏洞数大于49000条，兼容CVE、CNCVE、CNNVD、CNVD、Bugtraq等主流标准。</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提供高级漏洞模板过滤器，支持将符合筛选条件的漏洞自动加入到自定义漏洞模板中，及后续插件升级包中的漏洞也可以自动加入到模板中。</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内置不同的漏洞模板针对Unix、Windows操作系统、网络设备和防火墙等模板，同时支持用户自定义扫描范围和扫描策略</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支持扫描国产操作系统、应用及软件的安全漏洞，如红旗、麒麟、起点操作系统。</w:t>
            </w:r>
            <w:r>
              <w:rPr>
                <w:rFonts w:hint="eastAsia" w:ascii="宋体" w:hAnsi="宋体" w:eastAsia="宋体" w:cs="宋体"/>
                <w:color w:val="000000"/>
                <w:sz w:val="21"/>
                <w:szCs w:val="21"/>
                <w:highlight w:val="none"/>
                <w:shd w:val="clear" w:color="auto" w:fill="auto"/>
              </w:rPr>
            </w:r>
            <w:r/>
          </w:p>
        </w:tc>
      </w:tr>
      <w:tr>
        <w:trPr>
          <w:trHeight w:val="629"/>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支持扫描主流虚拟机管理系统的安全漏洞，如：VMWareESX/ESXi，要求能够扫描大于300条相关漏洞。</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支持Oracle、MySQL、MS SQL、DB2、Sybase数据库漏洞检查。</w:t>
            </w:r>
            <w:r>
              <w:rPr>
                <w:rFonts w:hint="eastAsia" w:ascii="宋体" w:hAnsi="宋体" w:eastAsia="宋体" w:cs="宋体"/>
                <w:color w:val="000000"/>
                <w:sz w:val="21"/>
                <w:szCs w:val="21"/>
                <w:highlight w:val="none"/>
                <w:shd w:val="clear" w:color="auto" w:fill="auto"/>
              </w:rPr>
            </w:r>
            <w:r/>
          </w:p>
        </w:tc>
      </w:tr>
      <w:tr>
        <w:trPr>
          <w:trHeight w:val="90"/>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具备单独口令猜测扫描任务，支持多种口令猜测方式，包括利用SMB、TELNET、FTP、SSH、POP3、TOMCAT、SQL SERVER、MYSQL、ORACLE、SYBASE、DB2、SNMP等协议进行口令猜测，允许外挂用户提供的用户名字典、密码字典和用户名密码组合字典。</w:t>
            </w:r>
            <w:r>
              <w:rPr>
                <w:rFonts w:hint="eastAsia" w:ascii="宋体" w:hAnsi="宋体" w:eastAsia="宋体" w:cs="宋体"/>
                <w:color w:val="000000"/>
                <w:sz w:val="21"/>
                <w:szCs w:val="21"/>
                <w:highlight w:val="none"/>
                <w:shd w:val="clear" w:color="auto" w:fill="auto"/>
              </w:rPr>
            </w:r>
            <w:r/>
          </w:p>
        </w:tc>
      </w:tr>
      <w:tr>
        <w:trPr>
          <w:trHeight w:val="844"/>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支持立即执行、定时执行、周期执行扫描任务，自定义的周期时间可精确至每*月第*个星期*的*点*分。</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restart"/>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资产和风险管理</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提供通过资产树对资产进行分级管理，支持可信设备登记，支持将资产信息批量导入到资产树，可在资产树上直接指定主机开展扫描任务。</w:t>
            </w:r>
            <w:r>
              <w:rPr>
                <w:rFonts w:hint="eastAsia" w:ascii="宋体" w:hAnsi="宋体" w:eastAsia="宋体" w:cs="宋体"/>
                <w:color w:val="000000"/>
                <w:sz w:val="21"/>
                <w:szCs w:val="21"/>
                <w:highlight w:val="none"/>
                <w:shd w:val="clear" w:color="auto" w:fill="auto"/>
              </w:rPr>
            </w:r>
            <w:r/>
          </w:p>
        </w:tc>
      </w:tr>
      <w:tr>
        <w:trPr>
          <w:trHeight w:val="635"/>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可以通过多种维度搜索定位资产和查看资产风险，包括并不限于：节点或设备名称、资产IP范围、资产管理员、资产操作系统类型、资产风险等级、漏洞名称、开放的端口、资产banner信息等。</w:t>
            </w:r>
            <w:r>
              <w:rPr>
                <w:rFonts w:hint="eastAsia" w:ascii="宋体" w:hAnsi="宋体" w:eastAsia="宋体" w:cs="宋体"/>
                <w:color w:val="000000"/>
                <w:sz w:val="21"/>
                <w:szCs w:val="21"/>
                <w:highlight w:val="none"/>
                <w:shd w:val="clear" w:color="auto" w:fill="auto"/>
              </w:rPr>
            </w:r>
            <w:r/>
          </w:p>
        </w:tc>
      </w:tr>
      <w:tr>
        <w:trPr>
          <w:trHeight w:val="762"/>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支持风险告警和风险闭环处理，可在集中告警平台灵活配置告警内容、告警方式、告警资产范围等，支持邮件和页面告警，支持单个或批量修改风险状态</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662"/>
        </w:trPr>
        <w:tc>
          <w:tcPr>
            <w:tcW w:w="973" w:type="dxa"/>
            <w:vAlign w:val="center"/>
            <w:vMerge w:val="restart"/>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风险展示和报表</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支持通过仪表盘直观展示资产风险值、主机风险等级分布、资产风险趋势、资产风险分布趋势等内容，并可查看详情。</w:t>
            </w:r>
            <w:r>
              <w:rPr>
                <w:rFonts w:hint="eastAsia" w:ascii="宋体" w:hAnsi="宋体" w:eastAsia="宋体" w:cs="宋体"/>
                <w:color w:val="000000"/>
                <w:sz w:val="21"/>
                <w:szCs w:val="21"/>
                <w:highlight w:val="none"/>
                <w:shd w:val="clear" w:color="auto" w:fill="auto"/>
              </w:rPr>
            </w:r>
            <w:r/>
          </w:p>
        </w:tc>
      </w:tr>
      <w:tr>
        <w:trPr>
          <w:trHeight w:val="90"/>
        </w:trPr>
        <w:tc>
          <w:tcPr>
            <w:tcW w:w="973"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支持实现显示扫描结果，包括扫描进度、主机存活数、预计扫描时间、漏洞风险信息等。</w:t>
            </w:r>
            <w:r>
              <w:rPr>
                <w:rFonts w:hint="eastAsia" w:ascii="宋体" w:hAnsi="宋体" w:eastAsia="宋体" w:cs="宋体"/>
                <w:color w:val="000000"/>
                <w:sz w:val="21"/>
                <w:szCs w:val="21"/>
                <w:highlight w:val="none"/>
                <w:shd w:val="clear" w:color="auto" w:fill="auto"/>
              </w:rPr>
            </w:r>
            <w:r/>
          </w:p>
        </w:tc>
      </w:tr>
    </w:tbl>
    <w:p>
      <w:pPr>
        <w:pStyle w:val="725"/>
        <w:ind w:firstLine="482"/>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bookmarkEnd w:id="151"/>
      <w:r>
        <w:rPr>
          <w:rFonts w:hint="eastAsia" w:ascii="宋体" w:hAnsi="宋体" w:eastAsia="宋体" w:cs="宋体"/>
          <w:b/>
          <w:bCs/>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（2）安全风险评估服务</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安全风险评估服务内容如下：</w:t>
      </w:r>
      <w:r>
        <w:rPr>
          <w:rFonts w:hint="eastAsia" w:ascii="宋体" w:hAnsi="宋体" w:eastAsia="宋体" w:cs="宋体"/>
          <w:color w:val="000000"/>
          <w:sz w:val="21"/>
          <w:szCs w:val="21"/>
          <w:highlight w:val="none"/>
          <w:shd w:val="clear" w:color="auto" w:fill="auto"/>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1376"/>
        <w:gridCol w:w="5844"/>
      </w:tblGrid>
      <w:tr>
        <w:trPr/>
        <w:tc>
          <w:tcPr>
            <w:tcW w:w="1399"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脆弱性分类</w:t>
            </w:r>
            <w:r>
              <w:rPr>
                <w:rFonts w:hint="eastAsia" w:ascii="宋体" w:hAnsi="宋体" w:eastAsia="宋体" w:cs="宋体"/>
                <w:color w:val="000000"/>
                <w:sz w:val="21"/>
                <w:szCs w:val="21"/>
                <w:highlight w:val="none"/>
                <w:shd w:val="clear" w:color="auto" w:fill="auto"/>
              </w:rPr>
            </w:r>
            <w:r/>
          </w:p>
        </w:tc>
        <w:tc>
          <w:tcPr>
            <w:tcW w:w="137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名称</w:t>
            </w:r>
            <w:r>
              <w:rPr>
                <w:rFonts w:hint="eastAsia" w:ascii="宋体" w:hAnsi="宋体" w:eastAsia="宋体" w:cs="宋体"/>
                <w:color w:val="000000"/>
                <w:sz w:val="21"/>
                <w:szCs w:val="21"/>
                <w:highlight w:val="none"/>
                <w:shd w:val="clear" w:color="auto" w:fill="auto"/>
              </w:rPr>
            </w:r>
            <w:r/>
          </w:p>
        </w:tc>
        <w:tc>
          <w:tcPr>
            <w:tcW w:w="5844"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包含内容</w:t>
            </w:r>
            <w:r>
              <w:rPr>
                <w:rFonts w:hint="eastAsia" w:ascii="宋体" w:hAnsi="宋体" w:eastAsia="宋体" w:cs="宋体"/>
                <w:color w:val="000000"/>
                <w:sz w:val="21"/>
                <w:szCs w:val="21"/>
                <w:highlight w:val="none"/>
                <w:shd w:val="clear" w:color="auto" w:fill="auto"/>
              </w:rPr>
            </w:r>
            <w:r/>
          </w:p>
        </w:tc>
      </w:tr>
      <w:tr>
        <w:trPr>
          <w:trHeight w:val="525"/>
        </w:trPr>
        <w:tc>
          <w:tcPr>
            <w:tcW w:w="1399" w:type="dxa"/>
            <w:vAlign w:val="center"/>
            <w:vMerge w:val="restart"/>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技术脆弱性</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物理安全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物理设备的访问控制，电力供应等</w:t>
            </w:r>
            <w:r>
              <w:rPr>
                <w:rFonts w:hint="eastAsia" w:ascii="宋体" w:hAnsi="宋体" w:eastAsia="宋体" w:cs="宋体"/>
                <w:color w:val="000000"/>
                <w:sz w:val="21"/>
                <w:szCs w:val="21"/>
                <w:highlight w:val="none"/>
                <w:shd w:val="clear" w:color="auto" w:fill="auto"/>
              </w:rPr>
            </w:r>
            <w:r/>
          </w:p>
        </w:tc>
      </w:tr>
      <w:tr>
        <w:trPr>
          <w:trHeight w:val="397"/>
        </w:trPr>
        <w:tc>
          <w:tcPr>
            <w:tcW w:w="1399"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系统软件安全漏洞，系统软件配置安全等</w:t>
            </w:r>
            <w:r>
              <w:rPr>
                <w:rFonts w:hint="eastAsia" w:ascii="宋体" w:hAnsi="宋体" w:eastAsia="宋体" w:cs="宋体"/>
                <w:color w:val="000000"/>
                <w:sz w:val="21"/>
                <w:szCs w:val="21"/>
                <w:highlight w:val="none"/>
                <w:shd w:val="clear" w:color="auto" w:fill="auto"/>
              </w:rPr>
            </w:r>
            <w:r/>
          </w:p>
        </w:tc>
      </w:tr>
      <w:tr>
        <w:trPr/>
        <w:tc>
          <w:tcPr>
            <w:tcW w:w="1399"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数据的机密性、完整性和可用性控制等</w:t>
            </w:r>
            <w:r>
              <w:rPr>
                <w:rFonts w:hint="eastAsia" w:ascii="宋体" w:hAnsi="宋体" w:eastAsia="宋体" w:cs="宋体"/>
                <w:color w:val="000000"/>
                <w:sz w:val="21"/>
                <w:szCs w:val="21"/>
                <w:highlight w:val="none"/>
                <w:shd w:val="clear" w:color="auto" w:fill="auto"/>
              </w:rPr>
            </w:r>
            <w:r/>
          </w:p>
        </w:tc>
      </w:tr>
      <w:tr>
        <w:trPr>
          <w:trHeight w:val="365"/>
        </w:trPr>
        <w:tc>
          <w:tcPr>
            <w:tcW w:w="1399"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漏洞检测</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漏洞检测服务</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全方位检测业务系统存在的脆弱性，发现信息系统存在的安全漏洞、安全配置问题、Web 应用安全漏洞、存在的弱口令，收集系统不必要开放的帐号、服务、端口，包括系统，数据库，中间件，web应用等全覆盖方式的漏洞扫描检查。能够全面发现存在的各种脆弱性问题，快速定位风险。</w:t>
            </w:r>
            <w:r>
              <w:rPr>
                <w:rFonts w:hint="eastAsia" w:ascii="宋体" w:hAnsi="宋体" w:eastAsia="宋体" w:cs="宋体"/>
                <w:color w:val="000000"/>
                <w:sz w:val="21"/>
                <w:szCs w:val="21"/>
                <w:highlight w:val="none"/>
                <w:shd w:val="clear" w:color="auto" w:fill="auto"/>
              </w:rPr>
            </w:r>
            <w:r/>
          </w:p>
        </w:tc>
      </w:tr>
      <w:tr>
        <w:trPr>
          <w:trHeight w:val="365"/>
        </w:trPr>
        <w:tc>
          <w:tcPr>
            <w:tcW w:w="1399"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安全现状和整改建议</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安全现状和整改建议</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依据</w:t>
            </w: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要求，</w:t>
            </w:r>
            <w:r>
              <w:rPr>
                <w:rFonts w:hint="eastAsia" w:ascii="宋体" w:hAnsi="宋体" w:eastAsia="宋体" w:cs="宋体"/>
                <w:color w:val="000000"/>
                <w:sz w:val="21"/>
                <w:szCs w:val="21"/>
                <w:highlight w:val="none"/>
                <w:shd w:val="clear" w:color="auto" w:fill="auto"/>
                <w:lang w:val="en-US" w:eastAsia="zh-CN"/>
              </w:rPr>
              <w:t xml:space="preserve">提供安全风险评估服务，</w:t>
            </w:r>
            <w:r>
              <w:rPr>
                <w:rFonts w:hint="eastAsia" w:ascii="宋体" w:hAnsi="宋体" w:eastAsia="宋体" w:cs="宋体"/>
                <w:color w:val="000000"/>
                <w:sz w:val="21"/>
                <w:szCs w:val="21"/>
                <w:highlight w:val="none"/>
                <w:shd w:val="clear" w:color="auto" w:fill="auto"/>
              </w:rPr>
              <w:t xml:space="preserve">对现有的系统脆弱性和威胁进行分析，评估现有安全措施是否足够，是否需要进行相应的安全整改，提出相应的整改建议</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并出具</w:t>
            </w:r>
            <w:r>
              <w:rPr>
                <w:rFonts w:hint="eastAsia" w:ascii="宋体" w:hAnsi="宋体" w:eastAsia="宋体" w:cs="宋体"/>
                <w:color w:val="000000"/>
                <w:sz w:val="21"/>
                <w:szCs w:val="21"/>
                <w:highlight w:val="none"/>
                <w:shd w:val="clear" w:color="auto" w:fill="auto"/>
              </w:rPr>
              <w:t xml:space="preserve">安全风险评估报告。为加强人社网络安全保障能力，安全风险评估服务中需向人社信息中心提供 SSL证书续费服务。</w:t>
            </w:r>
            <w:r>
              <w:rPr>
                <w:rFonts w:hint="eastAsia" w:ascii="宋体" w:hAnsi="宋体" w:eastAsia="宋体" w:cs="宋体"/>
                <w:color w:val="000000"/>
                <w:sz w:val="21"/>
                <w:szCs w:val="21"/>
                <w:highlight w:val="none"/>
                <w:shd w:val="clear" w:color="auto" w:fill="auto"/>
                <w:lang w:eastAsia="zh-CN"/>
              </w:rPr>
            </w:r>
            <w:r/>
          </w:p>
        </w:tc>
      </w:tr>
    </w:tbl>
    <w:p>
      <w:pPr>
        <w:pStyle w:val="725"/>
        <w:ind w:firstLine="561"/>
        <w:keepLines/>
        <w:keepNext/>
        <w:pageBreakBefore w:val="0"/>
        <w:spacing w:before="240" w:after="120" w:line="360" w:lineRule="auto"/>
        <w:shd w:val="clear" w:color="auto" w:fill="auto"/>
        <w:rPr>
          <w:rFonts w:hint="eastAsia" w:ascii="宋体" w:hAnsi="宋体" w:eastAsia="宋体" w:cs="宋体"/>
          <w:b/>
          <w:color w:val="000000"/>
          <w:sz w:val="21"/>
          <w:szCs w:val="21"/>
          <w:highlight w:val="none"/>
          <w:shd w:val="clear" w:color="auto" w:fill="auto"/>
        </w:rPr>
        <w:outlineLvl w:val="2"/>
      </w:pPr>
      <w:r>
        <w:rPr>
          <w:rFonts w:hint="eastAsia" w:ascii="宋体" w:hAnsi="宋体" w:eastAsia="宋体" w:cs="宋体"/>
          <w:b/>
          <w:color w:val="000000"/>
          <w:sz w:val="21"/>
          <w:szCs w:val="21"/>
          <w:highlight w:val="none"/>
          <w:shd w:val="clear" w:color="auto" w:fill="auto"/>
        </w:rPr>
        <w:t xml:space="preserve">1.3.3安全基线</w:t>
      </w:r>
      <w:bookmarkEnd w:id="150"/>
      <w:r>
        <w:rPr>
          <w:rFonts w:hint="eastAsia" w:ascii="宋体" w:hAnsi="宋体" w:eastAsia="宋体" w:cs="宋体"/>
          <w:b/>
          <w:color w:val="000000"/>
          <w:sz w:val="21"/>
          <w:szCs w:val="21"/>
          <w:highlight w:val="none"/>
          <w:shd w:val="clear" w:color="auto" w:fill="auto"/>
        </w:rPr>
        <w:t xml:space="preserve">加固</w:t>
      </w:r>
      <w:r>
        <w:rPr>
          <w:rFonts w:hint="eastAsia" w:ascii="宋体" w:hAnsi="宋体" w:eastAsia="宋体" w:cs="宋体"/>
          <w:b/>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安全加固服务是针对漏洞扫描和安全评估过程中发现的各种安全隐患，通过打补丁、修补漏洞、安全配置增强、系统架构和安全策略调整等方式及时进行加固和安全优化，提高系统的安全性和抗攻击能力。</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安全基线加固服务内容如下：</w:t>
      </w:r>
      <w:r>
        <w:rPr>
          <w:rFonts w:hint="eastAsia" w:ascii="宋体" w:hAnsi="宋体" w:eastAsia="宋体" w:cs="宋体"/>
          <w:color w:val="000000"/>
          <w:sz w:val="21"/>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1733"/>
        <w:gridCol w:w="4972"/>
      </w:tblGrid>
      <w:tr>
        <w:trPr>
          <w:trHeight w:val="513"/>
        </w:trPr>
        <w:tc>
          <w:tcPr>
            <w:shd w:val="clear" w:color="auto" w:fill="ffffff"/>
            <w:tcW w:w="1817" w:type="dxa"/>
            <w:vAlign w:val="center"/>
            <w:vMerge w:val="restart"/>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基本要求</w:t>
            </w: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检查方式</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应提供对服务器、中间件、数据库等进行安全基线加固服务。</w:t>
            </w:r>
            <w:r>
              <w:rPr>
                <w:rFonts w:hint="eastAsia" w:ascii="宋体" w:hAnsi="宋体" w:eastAsia="宋体" w:cs="宋体"/>
                <w:color w:val="000000"/>
                <w:sz w:val="21"/>
                <w:szCs w:val="21"/>
                <w:highlight w:val="none"/>
                <w:shd w:val="clear" w:color="auto" w:fill="auto"/>
              </w:rPr>
            </w:r>
            <w:r/>
          </w:p>
        </w:tc>
      </w:tr>
      <w:tr>
        <w:trPr>
          <w:trHeight w:val="327"/>
        </w:trPr>
        <w:tc>
          <w:tcPr>
            <w:tcW w:w="1817"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风险要求</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服务商应采取有关措施降低测试可能带来的安全风险，防止安全加固影响系统的正常运行。</w:t>
            </w:r>
            <w:r>
              <w:rPr>
                <w:rFonts w:hint="eastAsia" w:ascii="宋体" w:hAnsi="宋体" w:eastAsia="宋体" w:cs="宋体"/>
                <w:color w:val="000000"/>
                <w:sz w:val="21"/>
                <w:szCs w:val="21"/>
                <w:highlight w:val="none"/>
                <w:shd w:val="clear" w:color="auto" w:fill="auto"/>
              </w:rPr>
            </w:r>
            <w:r/>
          </w:p>
        </w:tc>
      </w:tr>
      <w:tr>
        <w:trPr>
          <w:trHeight w:val="580"/>
        </w:trPr>
        <w:tc>
          <w:tcPr>
            <w:tcW w:w="1817"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支持常用操作系检查，包含但不限于windows2003,2008,2012、redhat-linux、aix等系统类型。</w:t>
            </w:r>
            <w:r>
              <w:rPr>
                <w:rFonts w:hint="eastAsia" w:ascii="宋体" w:hAnsi="宋体" w:eastAsia="宋体" w:cs="宋体"/>
                <w:color w:val="000000"/>
                <w:sz w:val="21"/>
                <w:szCs w:val="21"/>
                <w:highlight w:val="none"/>
                <w:shd w:val="clear" w:color="auto" w:fill="auto"/>
              </w:rPr>
            </w:r>
            <w:r/>
          </w:p>
        </w:tc>
      </w:tr>
      <w:tr>
        <w:trPr>
          <w:trHeight w:val="873"/>
        </w:trPr>
        <w:tc>
          <w:tcPr>
            <w:tcW w:w="1817"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支持常用中间件检查，包含但不限于weblogic等中间件类型。</w:t>
            </w:r>
            <w:r>
              <w:rPr>
                <w:rFonts w:hint="eastAsia" w:ascii="宋体" w:hAnsi="宋体" w:eastAsia="宋体" w:cs="宋体"/>
                <w:color w:val="000000"/>
                <w:sz w:val="21"/>
                <w:szCs w:val="21"/>
                <w:highlight w:val="none"/>
                <w:shd w:val="clear" w:color="auto" w:fill="auto"/>
              </w:rPr>
            </w:r>
            <w:r/>
          </w:p>
        </w:tc>
      </w:tr>
      <w:tr>
        <w:trPr>
          <w:trHeight w:val="630"/>
        </w:trPr>
        <w:tc>
          <w:tcPr>
            <w:tcW w:w="1817"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支持常用数据库检查，包含但不限于oracle、mysql等数据库类型。</w:t>
            </w:r>
            <w:r>
              <w:rPr>
                <w:rFonts w:hint="eastAsia" w:ascii="宋体" w:hAnsi="宋体" w:eastAsia="宋体" w:cs="宋体"/>
                <w:color w:val="000000"/>
                <w:sz w:val="21"/>
                <w:szCs w:val="21"/>
                <w:highlight w:val="none"/>
                <w:shd w:val="clear" w:color="auto" w:fill="auto"/>
              </w:rPr>
            </w:r>
            <w:r/>
          </w:p>
        </w:tc>
      </w:tr>
    </w:tbl>
    <w:p>
      <w:pPr>
        <w:pStyle w:val="725"/>
        <w:ind w:firstLine="561"/>
        <w:keepLines/>
        <w:keepNext/>
        <w:pageBreakBefore w:val="0"/>
        <w:spacing w:before="240" w:after="120" w:line="360" w:lineRule="auto"/>
        <w:shd w:val="clear" w:color="auto" w:fill="auto"/>
        <w:rPr>
          <w:rFonts w:hint="eastAsia" w:ascii="宋体" w:hAnsi="宋体" w:eastAsia="宋体" w:cs="宋体"/>
          <w:b/>
          <w:color w:val="000000"/>
          <w:sz w:val="21"/>
          <w:szCs w:val="21"/>
          <w:highlight w:val="none"/>
          <w:shd w:val="clear" w:color="auto" w:fill="auto"/>
        </w:rPr>
        <w:outlineLvl w:val="2"/>
      </w:pPr>
      <w:r/>
      <w:bookmarkStart w:id="152" w:name="_Toc19887646"/>
      <w:r>
        <w:rPr>
          <w:rFonts w:hint="eastAsia" w:ascii="宋体" w:hAnsi="宋体" w:eastAsia="宋体" w:cs="宋体"/>
          <w:b/>
          <w:color w:val="000000"/>
          <w:sz w:val="21"/>
          <w:szCs w:val="21"/>
          <w:highlight w:val="none"/>
          <w:shd w:val="clear" w:color="auto" w:fill="auto"/>
        </w:rPr>
        <w:t xml:space="preserve">1.3.4应急响应服务</w:t>
      </w:r>
      <w:bookmarkEnd w:id="152"/>
      <w:r>
        <w:rPr>
          <w:rFonts w:hint="eastAsia" w:ascii="宋体" w:hAnsi="宋体" w:eastAsia="宋体" w:cs="宋体"/>
          <w:b/>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提供7*24小时应急响应服务。2小时内到达现场处理黑客攻击、病毒爆发、木马/后门程序、脱库/入侵事件等。协助</w:t>
      </w: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建立应急响应体系，梳理应急人员岗职技能，进行应急事件分类、处理，形成</w:t>
      </w:r>
      <w:r>
        <w:rPr>
          <w:rFonts w:hint="eastAsia" w:ascii="宋体" w:hAnsi="宋体" w:eastAsia="宋体" w:cs="宋体"/>
          <w:color w:val="000000"/>
          <w:sz w:val="21"/>
          <w:szCs w:val="21"/>
          <w:highlight w:val="none"/>
          <w:shd w:val="clear" w:color="auto" w:fill="auto"/>
          <w:lang w:val="en-US" w:eastAsia="zh-CN"/>
        </w:rPr>
        <w:t xml:space="preserve">并出具信息安全</w:t>
      </w:r>
      <w:r>
        <w:rPr>
          <w:rFonts w:hint="eastAsia" w:ascii="宋体" w:hAnsi="宋体" w:eastAsia="宋体" w:cs="宋体"/>
          <w:color w:val="000000"/>
          <w:sz w:val="21"/>
          <w:szCs w:val="21"/>
          <w:highlight w:val="none"/>
          <w:shd w:val="clear" w:color="auto" w:fill="auto"/>
        </w:rPr>
        <w:t xml:space="preserve">应急体系</w:t>
      </w:r>
      <w:r>
        <w:rPr>
          <w:rFonts w:hint="eastAsia" w:ascii="宋体" w:hAnsi="宋体" w:eastAsia="宋体" w:cs="宋体"/>
          <w:color w:val="000000"/>
          <w:sz w:val="21"/>
          <w:szCs w:val="21"/>
          <w:highlight w:val="none"/>
          <w:shd w:val="clear" w:color="auto" w:fill="auto"/>
          <w:lang w:val="en-US" w:eastAsia="zh-CN"/>
        </w:rPr>
        <w:t xml:space="preserve">方案</w:t>
      </w:r>
      <w:r>
        <w:rPr>
          <w:rFonts w:hint="eastAsia" w:ascii="宋体" w:hAnsi="宋体" w:eastAsia="宋体" w:cs="宋体"/>
          <w:color w:val="000000"/>
          <w:sz w:val="21"/>
          <w:szCs w:val="21"/>
          <w:highlight w:val="none"/>
          <w:shd w:val="clear" w:color="auto" w:fill="auto"/>
        </w:rPr>
        <w:t xml:space="preserve">。在特殊时期，如春节、国庆等节假日，两会等敏感时期，新系统和新功能上线等重要时期提供远程和现场安全运维保障。</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应急响应服务内容如下：</w:t>
      </w:r>
      <w:r>
        <w:rPr>
          <w:rFonts w:hint="eastAsia" w:ascii="宋体" w:hAnsi="宋体" w:eastAsia="宋体" w:cs="宋体"/>
          <w:color w:val="000000"/>
          <w:sz w:val="21"/>
          <w:szCs w:val="21"/>
          <w:highlight w:val="none"/>
          <w:shd w:val="clear" w:color="auto" w:fill="auto"/>
        </w:rPr>
      </w:r>
      <w:r/>
    </w:p>
    <w:tbl>
      <w:tblPr>
        <w:tblW w:w="0" w:type="auto"/>
        <w:tblInd w:w="66" w:type="dxa"/>
        <w:tblBorders>
          <w:top w:val="single" w:color="000000" w:sz="4" w:space="0"/>
          <w:left w:val="single" w:color="000000" w:sz="4" w:space="0"/>
          <w:bottom w:val="single" w:color="000000" w:sz="4"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275"/>
        <w:gridCol w:w="6390"/>
      </w:tblGrid>
      <w:tr>
        <w:trPr>
          <w:trHeight w:val="925"/>
        </w:trPr>
        <w:tc>
          <w:tcPr>
            <w:shd w:val="clear" w:color="auto" w:fill="ffffff"/>
            <w:tcW w:w="1245" w:type="dxa"/>
            <w:vAlign w:val="center"/>
            <w:vMerge w:val="restart"/>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基本要求</w:t>
            </w: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服务方式</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7*24小时应急响应，2小时内到达现场：黑客攻击、病毒爆发、木马/后门程序、脱库/入侵事件等。</w:t>
            </w:r>
            <w:r>
              <w:rPr>
                <w:rFonts w:hint="eastAsia" w:ascii="宋体" w:hAnsi="宋体" w:eastAsia="宋体" w:cs="宋体"/>
                <w:color w:val="000000"/>
                <w:sz w:val="21"/>
                <w:szCs w:val="21"/>
                <w:highlight w:val="none"/>
                <w:shd w:val="clear" w:color="auto" w:fill="auto"/>
              </w:rPr>
            </w:r>
            <w:r/>
          </w:p>
        </w:tc>
      </w:tr>
      <w:tr>
        <w:trPr>
          <w:trHeight w:val="1240"/>
        </w:trPr>
        <w:tc>
          <w:tcPr>
            <w:tcW w:w="1245"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风险要求</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应采取有关措施降低应急期间可能带来的安全风险，防止应急期间影响系统的正常运行，及时审计发现恶意的破坏或盗取信息行为。</w:t>
            </w:r>
            <w:r>
              <w:rPr>
                <w:rFonts w:hint="eastAsia" w:ascii="宋体" w:hAnsi="宋体" w:eastAsia="宋体" w:cs="宋体"/>
                <w:color w:val="000000"/>
                <w:sz w:val="21"/>
                <w:szCs w:val="21"/>
                <w:highlight w:val="none"/>
                <w:shd w:val="clear" w:color="auto" w:fill="auto"/>
              </w:rPr>
            </w:r>
            <w:r/>
          </w:p>
        </w:tc>
      </w:tr>
      <w:tr>
        <w:trPr>
          <w:trHeight w:val="1440"/>
        </w:trPr>
        <w:tc>
          <w:tcPr>
            <w:shd w:val="clear" w:color="auto" w:fill="ffffff"/>
            <w:tcW w:w="1245" w:type="dxa"/>
            <w:vAlign w:val="center"/>
            <w:vMerge w:val="restart"/>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应急响应服务</w:t>
            </w: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DoS事件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信息系统遭到DoS攻击，系统收到大量无意义数据包，无法对外提供正常业务服务；被攻击系统对外部访问请求响应处理缓慢，使用Ping命令无法Ping通（或存在大量丢包情况）。</w:t>
            </w:r>
            <w:r>
              <w:rPr>
                <w:rFonts w:hint="eastAsia" w:ascii="宋体" w:hAnsi="宋体" w:eastAsia="宋体" w:cs="宋体"/>
                <w:color w:val="000000"/>
                <w:sz w:val="21"/>
                <w:szCs w:val="21"/>
                <w:highlight w:val="none"/>
                <w:shd w:val="clear" w:color="auto" w:fill="auto"/>
              </w:rPr>
            </w:r>
            <w:r/>
          </w:p>
        </w:tc>
      </w:tr>
      <w:tr>
        <w:trPr>
          <w:trHeight w:val="580"/>
        </w:trPr>
        <w:tc>
          <w:tcPr>
            <w:tcW w:w="1245"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病毒/木马事件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信息系统服务器感染病毒（防病毒软件可能产生报警）或短时间内处于同一生产网络区域内的多台计算机均被病毒传播感染，且使用统一的防病毒软件无法自动清除或隔离。</w:t>
            </w:r>
            <w:r>
              <w:rPr>
                <w:rFonts w:hint="eastAsia" w:ascii="宋体" w:hAnsi="宋体" w:eastAsia="宋体" w:cs="宋体"/>
                <w:color w:val="000000"/>
                <w:sz w:val="21"/>
                <w:szCs w:val="21"/>
                <w:highlight w:val="none"/>
                <w:shd w:val="clear" w:color="auto" w:fill="auto"/>
              </w:rPr>
            </w:r>
            <w:r/>
          </w:p>
        </w:tc>
      </w:tr>
      <w:tr>
        <w:trPr>
          <w:trHeight w:val="319"/>
        </w:trPr>
        <w:tc>
          <w:tcPr>
            <w:tcW w:w="1245"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未授权访问事件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信息系统内的数据被未知行为更改。</w:t>
            </w:r>
            <w:r>
              <w:rPr>
                <w:rFonts w:hint="eastAsia" w:ascii="宋体" w:hAnsi="宋体" w:eastAsia="宋体" w:cs="宋体"/>
                <w:color w:val="000000"/>
                <w:sz w:val="21"/>
                <w:szCs w:val="21"/>
                <w:highlight w:val="none"/>
                <w:shd w:val="clear" w:color="auto" w:fill="auto"/>
              </w:rPr>
            </w:r>
            <w:r/>
          </w:p>
        </w:tc>
      </w:tr>
      <w:tr>
        <w:trPr>
          <w:trHeight w:val="1262"/>
        </w:trPr>
        <w:tc>
          <w:tcPr>
            <w:tcW w:w="1245" w:type="dxa"/>
            <w:vAlign w:val="center"/>
            <w:vMerge w:val="continue"/>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试探攻击事件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信息系统产生大量来自同一IP地址（或集中几个IP地址）的试探性访问；IDS设备产生报警日志；防火墙上也能看到来自同一IP地址（或集中几个IP地址）对信息系统的大量试探性数据访问。</w:t>
            </w:r>
            <w:r>
              <w:rPr>
                <w:rFonts w:hint="eastAsia" w:ascii="宋体" w:hAnsi="宋体" w:eastAsia="宋体" w:cs="宋体"/>
                <w:color w:val="000000"/>
                <w:sz w:val="21"/>
                <w:szCs w:val="21"/>
                <w:highlight w:val="none"/>
                <w:shd w:val="clear" w:color="auto" w:fill="auto"/>
              </w:rPr>
            </w:r>
            <w:r/>
          </w:p>
        </w:tc>
      </w:tr>
    </w:tbl>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本项目的信息安全服务是指与本维保系统相关的主机、存储、数据库相关的信息安全服务。</w:t>
      </w:r>
      <w:r>
        <w:rPr>
          <w:rFonts w:hint="eastAsia" w:ascii="宋体" w:hAnsi="宋体" w:eastAsia="宋体" w:cs="宋体"/>
          <w:color w:val="000000"/>
          <w:sz w:val="21"/>
          <w:szCs w:val="21"/>
          <w:highlight w:val="none"/>
          <w:shd w:val="clear" w:color="auto" w:fill="auto"/>
        </w:rPr>
      </w:r>
      <w:r/>
    </w:p>
    <w:p>
      <w:pPr>
        <w:pStyle w:val="72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1.4数据库与中间件维护服务</w:t>
      </w:r>
      <w:r>
        <w:rPr>
          <w:rFonts w:hint="eastAsia" w:ascii="宋体" w:hAnsi="宋体" w:eastAsia="宋体" w:cs="宋体"/>
          <w:color w:val="000000"/>
          <w:sz w:val="21"/>
          <w:szCs w:val="21"/>
          <w:highlight w:val="none"/>
          <w:shd w:val="clear" w:color="auto" w:fill="auto"/>
        </w:rPr>
      </w:r>
      <w:r/>
    </w:p>
    <w:p>
      <w:pPr>
        <w:pStyle w:val="1072"/>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（1）数据库性能软件分析工具</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具备自动化性能</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软件工具采集系统运行时的各项数据，</w:t>
      </w:r>
      <w:r>
        <w:rPr>
          <w:rFonts w:hint="eastAsia" w:ascii="宋体" w:hAnsi="宋体" w:eastAsia="宋体" w:cs="宋体"/>
          <w:color w:val="000000"/>
          <w:sz w:val="21"/>
          <w:szCs w:val="21"/>
          <w:highlight w:val="none"/>
          <w:shd w:val="clear" w:color="auto" w:fill="auto"/>
          <w:lang w:val="en-US" w:eastAsia="zh-CN"/>
        </w:rPr>
        <w:t xml:space="preserve">当系统运行缓慢，必要时能利用</w:t>
      </w:r>
      <w:r>
        <w:rPr>
          <w:rFonts w:hint="eastAsia" w:ascii="宋体" w:hAnsi="宋体" w:eastAsia="宋体" w:cs="宋体"/>
          <w:color w:val="000000"/>
          <w:sz w:val="21"/>
          <w:szCs w:val="21"/>
          <w:highlight w:val="none"/>
          <w:shd w:val="clear" w:color="auto" w:fill="auto"/>
        </w:rPr>
        <w:t xml:space="preserve">工具分析系统主要的数据库性能瓶颈，分析应用软件及数据库等各方面资源的使用情况，确定系统性能现状及性能调整的目标，定位系统中出现的性能瓶颈，测试验证针对性能瓶颈进行改进，对性能调整包括内存调优Memory Tuning、磁盘存取调优Disk I/O Tuning、SQL调优等数据库系统性能优化，工程师服务时能使用专业工具分析数据库的性能情况。</w:t>
      </w:r>
      <w:r>
        <w:rPr>
          <w:rFonts w:hint="eastAsia" w:ascii="宋体" w:hAnsi="宋体" w:eastAsia="宋体" w:cs="宋体"/>
          <w:color w:val="000000"/>
          <w:sz w:val="21"/>
          <w:szCs w:val="21"/>
          <w:highlight w:val="none"/>
          <w:shd w:val="clear" w:color="auto" w:fill="auto"/>
        </w:rPr>
      </w:r>
      <w:r/>
    </w:p>
    <w:p>
      <w:pPr>
        <w:pStyle w:val="107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数据库性能软件分析工具性能基本要求如下：</w:t>
      </w:r>
      <w:r>
        <w:rPr>
          <w:rFonts w:hint="eastAsia" w:ascii="宋体" w:hAnsi="宋体" w:eastAsia="宋体" w:cs="宋体"/>
          <w:color w:val="000000"/>
          <w:sz w:val="21"/>
          <w:szCs w:val="21"/>
          <w:highlight w:val="none"/>
          <w:shd w:val="clear" w:color="auto" w:fill="auto"/>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7228"/>
      </w:tblGrid>
      <w:tr>
        <w:trPr/>
        <w:tc>
          <w:tcPr>
            <w:tcW w:w="1277" w:type="dxa"/>
            <w:vAlign w:val="center"/>
            <w:textDirection w:val="lrTb"/>
            <w:noWrap/>
          </w:tcPr>
          <w:p>
            <w:pPr>
              <w:pStyle w:val="725"/>
              <w:jc w:val="center"/>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功能</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tcPr>
          <w:p>
            <w:pPr>
              <w:pStyle w:val="725"/>
              <w:jc w:val="center"/>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要求</w:t>
            </w:r>
            <w:r>
              <w:rPr>
                <w:rFonts w:hint="eastAsia" w:ascii="宋体" w:hAnsi="宋体" w:eastAsia="宋体" w:cs="宋体"/>
                <w:color w:val="000000"/>
                <w:sz w:val="21"/>
                <w:szCs w:val="21"/>
                <w:highlight w:val="none"/>
                <w:shd w:val="clear" w:color="auto" w:fill="auto"/>
              </w:rPr>
            </w:r>
            <w:r/>
          </w:p>
        </w:tc>
      </w:tr>
      <w:tr>
        <w:trPr/>
        <w:tc>
          <w:tcPr>
            <w:tcW w:w="1277" w:type="dxa"/>
            <w:vAlign w:val="center"/>
            <w:textDirection w:val="lrTb"/>
            <w:noWrap/>
          </w:tcPr>
          <w:p>
            <w:pPr>
              <w:pStyle w:val="725"/>
              <w:jc w:val="center"/>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运行情况分析</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847"/>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1.数据库运行状况</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，从Oracle共享内存中直接收集，不使用Oracle资源，即便数据库挂起hang住时，也可以持续收集数据。</w:t>
            </w:r>
            <w:r>
              <w:rPr>
                <w:rFonts w:hint="eastAsia" w:ascii="宋体" w:hAnsi="宋体" w:eastAsia="宋体" w:cs="宋体"/>
                <w:color w:val="000000"/>
                <w:sz w:val="21"/>
                <w:szCs w:val="21"/>
                <w:highlight w:val="none"/>
                <w:shd w:val="clear" w:color="auto" w:fill="auto"/>
              </w:rPr>
            </w:r>
            <w:r/>
          </w:p>
          <w:p>
            <w:pPr>
              <w:pStyle w:val="847"/>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.数据库系统发生问题时，提供原因的会话和追踪SQL</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.以会话为单位，联动</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现行SQL、数据库资源使用量、资源待机量、CPU使用量</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tc>
      </w:tr>
      <w:tr>
        <w:trPr/>
        <w:tc>
          <w:tcPr>
            <w:tcW w:w="1277" w:type="dxa"/>
            <w:vAlign w:val="center"/>
            <w:textDirection w:val="lrTb"/>
            <w:noWrap/>
          </w:tcPr>
          <w:p>
            <w:pPr>
              <w:pStyle w:val="725"/>
              <w:jc w:val="center"/>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性能实时分析、和事后分析</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725"/>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1.对整个系统的执行状态的记录可以重现，查看过去特定时刻数据库状态的功能，如资源使用量、待机量、锁(Lock)发生信息、参数，记录此时活动的所有会话相关内容。</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2.特定会话的执行状态的记录和重现功能。</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3.各特定时间带超负荷SQL的筛选和和记录功能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tc>
      </w:tr>
      <w:tr>
        <w:trPr/>
        <w:tc>
          <w:tcPr>
            <w:tcW w:w="1277" w:type="dxa"/>
            <w:vAlign w:val="center"/>
            <w:textDirection w:val="lrTb"/>
            <w:noWrap/>
          </w:tcPr>
          <w:p>
            <w:pPr>
              <w:pStyle w:val="725"/>
              <w:jc w:val="center"/>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SQL调优</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725"/>
              <w:jc w:val="left"/>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1.将执行SQL中所发生的Trace，可以按SQL、Curso等多角度分析。等级为12时，可分析binding变量值和等待的发生。DB服务器内的Trace，可通过 FTP或UTL_FILE包传送接受。</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2.查看SQL计划的及对象的功能。对一个SQL可以执行或查看计划，而计划以树形式表示。</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3.调优后的结果分析。对SQL调优后执行时，各执行中都启动Trace，可比较各执行的Plan , STAT, WAIT, CPU time, elapse time等。</w:t>
            </w:r>
            <w:r>
              <w:rPr>
                <w:rFonts w:hint="eastAsia" w:ascii="宋体" w:hAnsi="宋体" w:eastAsia="宋体" w:cs="宋体"/>
                <w:color w:val="000000"/>
                <w:sz w:val="21"/>
                <w:szCs w:val="21"/>
                <w:highlight w:val="none"/>
                <w:shd w:val="clear" w:color="auto" w:fill="auto"/>
              </w:rPr>
            </w:r>
            <w:r/>
          </w:p>
        </w:tc>
      </w:tr>
    </w:tbl>
    <w:p>
      <w:pPr>
        <w:pStyle w:val="725"/>
        <w:ind w:left="239" w:firstLine="207"/>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p>
      <w:pPr>
        <w:pStyle w:val="725"/>
        <w:ind w:left="239" w:firstLine="236"/>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（2）Oracle数据库及中间件维护主要服务规范</w:t>
      </w:r>
      <w:r>
        <w:rPr>
          <w:rFonts w:hint="eastAsia" w:ascii="宋体" w:hAnsi="宋体" w:eastAsia="宋体" w:cs="宋体"/>
          <w:b/>
          <w:color w:val="000000"/>
          <w:sz w:val="21"/>
          <w:szCs w:val="21"/>
          <w:highlight w:val="none"/>
          <w:shd w:val="clear" w:color="auto" w:fill="auto"/>
        </w:rPr>
      </w:r>
      <w:r/>
    </w:p>
    <w:p>
      <w:pPr>
        <w:pStyle w:val="725"/>
        <w:ind w:left="239" w:firstLine="236"/>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Oracle数据库及中间件维护主要服务规范如下表：</w:t>
      </w:r>
      <w:r>
        <w:rPr>
          <w:rFonts w:hint="eastAsia" w:ascii="宋体" w:hAnsi="宋体" w:eastAsia="宋体" w:cs="宋体"/>
          <w:color w:val="000000"/>
          <w:sz w:val="21"/>
          <w:szCs w:val="21"/>
          <w:highlight w:val="none"/>
          <w:shd w:val="clear" w:color="auto" w:fill="auto"/>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672"/>
        <w:gridCol w:w="7166"/>
      </w:tblGrid>
      <w:tr>
        <w:trPr/>
        <w:tc>
          <w:tcPr>
            <w:gridSpan w:val="2"/>
            <w:shd w:val="clear" w:color="auto" w:fill="f2f2f2"/>
            <w:tcW w:w="2387" w:type="dxa"/>
            <w:vAlign w:val="top"/>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功能要求</w:t>
            </w:r>
            <w:r>
              <w:rPr>
                <w:rFonts w:hint="eastAsia" w:ascii="宋体" w:hAnsi="宋体" w:eastAsia="宋体" w:cs="宋体"/>
                <w:b/>
                <w:color w:val="000000"/>
                <w:sz w:val="21"/>
                <w:szCs w:val="21"/>
                <w:highlight w:val="none"/>
                <w:shd w:val="clear" w:color="auto" w:fill="auto"/>
              </w:rPr>
            </w:r>
            <w:r/>
          </w:p>
        </w:tc>
        <w:tc>
          <w:tcPr>
            <w:shd w:val="clear" w:color="auto" w:fill="f2f2f2"/>
            <w:tcW w:w="7166" w:type="dxa"/>
            <w:vAlign w:val="top"/>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技术规格</w:t>
            </w:r>
            <w:r>
              <w:rPr>
                <w:rFonts w:hint="eastAsia" w:ascii="宋体" w:hAnsi="宋体" w:eastAsia="宋体" w:cs="宋体"/>
                <w:b/>
                <w:color w:val="000000"/>
                <w:sz w:val="21"/>
                <w:szCs w:val="21"/>
                <w:highlight w:val="none"/>
                <w:shd w:val="clear" w:color="auto" w:fill="auto"/>
              </w:rPr>
            </w:r>
            <w:r/>
          </w:p>
        </w:tc>
      </w:tr>
      <w:tr>
        <w:trPr/>
        <w:tc>
          <w:tcPr>
            <w:tcW w:w="715" w:type="dxa"/>
            <w:vAlign w:val="center"/>
            <w:vMerge w:val="restart"/>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服务方式与</w:t>
            </w:r>
            <w:r>
              <w:rPr>
                <w:rFonts w:hint="eastAsia" w:ascii="宋体" w:hAnsi="宋体" w:eastAsia="宋体" w:cs="宋体"/>
                <w:b/>
                <w:color w:val="000000"/>
                <w:sz w:val="21"/>
                <w:szCs w:val="21"/>
                <w:highlight w:val="none"/>
                <w:shd w:val="clear" w:color="auto" w:fill="auto"/>
              </w:rPr>
            </w:r>
            <w:r/>
          </w:p>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服务要求</w:t>
            </w: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核心服务级别</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包含提供</w:t>
            </w: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维护技术服务及提供原厂</w:t>
            </w:r>
            <w:r>
              <w:rPr>
                <w:rFonts w:hint="eastAsia" w:ascii="宋体" w:hAnsi="宋体" w:eastAsia="宋体" w:cs="宋体"/>
                <w:color w:val="000000"/>
                <w:sz w:val="21"/>
                <w:szCs w:val="21"/>
                <w:highlight w:val="none"/>
                <w:shd w:val="clear" w:color="auto" w:fill="auto"/>
                <w:lang w:val="en-US" w:eastAsia="zh-CN"/>
              </w:rPr>
              <w:t xml:space="preserve">认证OCM高级工程师</w:t>
            </w:r>
            <w:r>
              <w:rPr>
                <w:rFonts w:hint="eastAsia" w:ascii="宋体" w:hAnsi="宋体" w:eastAsia="宋体" w:cs="宋体"/>
                <w:color w:val="000000"/>
                <w:sz w:val="21"/>
                <w:szCs w:val="21"/>
                <w:highlight w:val="none"/>
                <w:shd w:val="clear" w:color="auto" w:fill="auto"/>
              </w:rPr>
              <w:t xml:space="preserve">支持服务，不低于7*24服务要求。（7*24：全天候提供技术支持服务，紧急故障2小时内到达现场）</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ind w:firstLine="2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现场服务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.提供</w:t>
            </w:r>
            <w:r>
              <w:rPr>
                <w:rFonts w:hint="eastAsia" w:ascii="宋体" w:hAnsi="宋体" w:eastAsia="宋体" w:cs="宋体"/>
                <w:color w:val="000000"/>
                <w:sz w:val="21"/>
                <w:szCs w:val="21"/>
                <w:highlight w:val="none"/>
                <w:shd w:val="clear" w:color="auto" w:fill="auto"/>
              </w:rPr>
              <w:t xml:space="preserve">原厂认证OCM高级工程师到场服务。</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对于非紧急响应的问题：双方确认日期后，派出工程师提供现场支持。</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对于影响业务运行的需要紧急响应的情况，承诺2小时内到达现场。</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原厂技术支持服务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提供Oracle公司</w:t>
            </w:r>
            <w:r>
              <w:rPr>
                <w:rFonts w:hint="eastAsia" w:ascii="宋体" w:hAnsi="宋体" w:eastAsia="宋体" w:cs="宋体"/>
                <w:color w:val="000000"/>
                <w:sz w:val="21"/>
                <w:szCs w:val="21"/>
                <w:highlight w:val="none"/>
                <w:shd w:val="clear" w:color="auto" w:fill="auto"/>
                <w:lang w:val="en-US" w:eastAsia="zh-CN"/>
              </w:rPr>
              <w:t xml:space="preserve">认证</w:t>
            </w:r>
            <w:r>
              <w:rPr>
                <w:rFonts w:hint="eastAsia" w:ascii="宋体" w:hAnsi="宋体" w:eastAsia="宋体" w:cs="宋体"/>
                <w:color w:val="000000"/>
                <w:sz w:val="21"/>
                <w:szCs w:val="21"/>
                <w:highlight w:val="none"/>
                <w:shd w:val="clear" w:color="auto" w:fill="auto"/>
              </w:rPr>
              <w:t xml:space="preserve">技术专家组对本项目的服务：</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产品升级服务：提供具有新增功能的升级软件产品(Version)；提供主要维护版本的升级软件产品(Release)；提供软件修补包(Patch fixes)及替代方法(workarounds)。</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提供电子服务-Oracle Metalink号及相关服务。</w:t>
            </w:r>
            <w:r>
              <w:rPr>
                <w:rFonts w:hint="eastAsia" w:ascii="宋体" w:hAnsi="宋体" w:eastAsia="宋体" w:cs="宋体"/>
                <w:color w:val="000000"/>
                <w:sz w:val="21"/>
                <w:szCs w:val="21"/>
                <w:highlight w:val="none"/>
                <w:shd w:val="clear" w:color="auto" w:fill="auto"/>
              </w:rPr>
            </w:r>
            <w:r/>
          </w:p>
        </w:tc>
      </w:tr>
      <w:tr>
        <w:trPr>
          <w:trHeight w:val="492"/>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远程支持服务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7*24小时电话、邮件及远程登录技术支持服务。</w:t>
            </w:r>
            <w:r>
              <w:rPr>
                <w:rFonts w:hint="eastAsia" w:ascii="宋体" w:hAnsi="宋体" w:eastAsia="宋体" w:cs="宋体"/>
                <w:bCs/>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应急响应服务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至少提供10天的现场技术支持服务和紧急故障处理服务。</w:t>
            </w:r>
            <w:r>
              <w:rPr>
                <w:rFonts w:hint="eastAsia" w:ascii="宋体" w:hAnsi="宋体" w:eastAsia="宋体" w:cs="宋体"/>
                <w:bCs/>
                <w:color w:val="000000"/>
                <w:sz w:val="21"/>
                <w:szCs w:val="21"/>
                <w:highlight w:val="none"/>
                <w:shd w:val="clear" w:color="auto" w:fill="auto"/>
              </w:rPr>
            </w:r>
            <w:r/>
          </w:p>
        </w:tc>
      </w:tr>
      <w:tr>
        <w:trPr/>
        <w:tc>
          <w:tcPr>
            <w:tcW w:w="715" w:type="dxa"/>
            <w:vAlign w:val="center"/>
            <w:vMerge w:val="restart"/>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现场服务</w:t>
            </w:r>
            <w:r>
              <w:rPr>
                <w:rFonts w:hint="eastAsia" w:ascii="宋体" w:hAnsi="宋体" w:eastAsia="宋体" w:cs="宋体"/>
                <w:b/>
                <w:color w:val="000000"/>
                <w:sz w:val="21"/>
                <w:szCs w:val="21"/>
                <w:highlight w:val="none"/>
                <w:shd w:val="clear" w:color="auto" w:fill="auto"/>
              </w:rPr>
            </w:r>
            <w:r/>
          </w:p>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主要内容</w:t>
            </w: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初次健康检查服务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1.</w:t>
            </w:r>
            <w:r>
              <w:rPr>
                <w:rFonts w:hint="eastAsia" w:ascii="宋体" w:hAnsi="宋体" w:eastAsia="宋体" w:cs="宋体"/>
                <w:bCs/>
                <w:color w:val="000000"/>
                <w:sz w:val="21"/>
                <w:szCs w:val="21"/>
                <w:highlight w:val="none"/>
                <w:shd w:val="clear" w:color="auto" w:fill="auto"/>
              </w:rPr>
              <w:t xml:space="preserve">进行初次的系统检查和建议。</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w:t>
            </w:r>
            <w:r>
              <w:rPr>
                <w:rFonts w:hint="eastAsia" w:ascii="宋体" w:hAnsi="宋体" w:eastAsia="宋体" w:cs="宋体"/>
                <w:bCs/>
                <w:color w:val="000000"/>
                <w:sz w:val="21"/>
                <w:szCs w:val="21"/>
                <w:highlight w:val="none"/>
                <w:shd w:val="clear" w:color="auto" w:fill="auto"/>
              </w:rPr>
              <w:t xml:space="preserve">收集系统信息，检查各类系统日志，分析潜在风险，并作保存。</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健康巡检服务</w:t>
            </w:r>
            <w:r>
              <w:rPr>
                <w:rFonts w:hint="eastAsia" w:ascii="宋体" w:hAnsi="宋体" w:eastAsia="宋体" w:cs="宋体"/>
                <w:color w:val="000000"/>
                <w:sz w:val="21"/>
                <w:szCs w:val="21"/>
                <w:highlight w:val="none"/>
                <w:shd w:val="clear" w:color="auto" w:fill="auto"/>
              </w:rPr>
            </w:r>
            <w:r/>
          </w:p>
        </w:tc>
        <w:tc>
          <w:tcPr>
            <w:shd w:val="clear" w:color="auto" w:fill="ffffff"/>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每月对南通市金保工程系统数据库及中间件产品进行一次健康检查，并提供健康检查报告。具体服务要求包括：</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检查数据库连接状态，分析操作系统瓶颈及运行状态。</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CPU分析，I/O及磁盘使用分析，内存使用状况，ASM及表空间使用情况，CACHE状态等。</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检查并记录现有系统的配置和运行情况。</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4</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检查当前系统的操作系统资源的使用情况。</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5</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检查当前Oracle数据库和中间件资源（如内存\服务\UBB）的使用情况。</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6</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检查Oracle数据库和中间件的安全配置情况。</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7</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检查应用运行情况，包括运行、配置、出错跟踪及解决方案。</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8</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检查服务配置部署及使用情况（如UBB/服务等）。</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9</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在</w:t>
            </w:r>
            <w:r>
              <w:rPr>
                <w:rFonts w:hint="eastAsia" w:ascii="宋体" w:hAnsi="宋体" w:eastAsia="宋体" w:cs="宋体"/>
                <w:bCs/>
                <w:color w:val="000000"/>
                <w:sz w:val="21"/>
                <w:szCs w:val="21"/>
                <w:highlight w:val="none"/>
                <w:shd w:val="clear" w:color="auto" w:fill="auto"/>
                <w:lang w:val="en-US" w:eastAsia="zh-CN"/>
              </w:rPr>
              <w:t xml:space="preserve">采购人</w:t>
            </w:r>
            <w:r>
              <w:rPr>
                <w:rFonts w:hint="eastAsia" w:ascii="宋体" w:hAnsi="宋体" w:eastAsia="宋体" w:cs="宋体"/>
                <w:bCs/>
                <w:color w:val="000000"/>
                <w:sz w:val="21"/>
                <w:szCs w:val="21"/>
                <w:highlight w:val="none"/>
                <w:shd w:val="clear" w:color="auto" w:fill="auto"/>
              </w:rPr>
              <w:t xml:space="preserve">的辅助下完成Oracle数据库和中间件的性能调整。</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10</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解决一段时间内系统发生的问题。</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系统检查及分析。</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操作系统简要分析，包括CPU使用，磁盘I/O，文件系统使用，内存，CACHE，及交换区使用情况。</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性能分析</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当数据库系统出现运行缓慢，需要对数据库系统进行性能分析，服务内容包括ORACLE数据库和中间件状态、操作系统使用状态、简约分析等数据库相关内容（如有调整，协商一致后，按采购人需求提供）。</w:t>
            </w:r>
            <w:r>
              <w:rPr>
                <w:rFonts w:hint="eastAsia" w:ascii="宋体" w:hAnsi="宋体" w:eastAsia="宋体" w:cs="宋体"/>
                <w:color w:val="000000"/>
                <w:sz w:val="21"/>
                <w:szCs w:val="21"/>
                <w:highlight w:val="none"/>
                <w:shd w:val="clear" w:color="auto" w:fill="auto"/>
                <w:lang w:eastAsia="zh-CN"/>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巡检任务的扩展</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如果巡检中发现问题，并且经双方确认的确需要加以解决。则双方就此问题进行技术协调确定调整日期。</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应急服务或系统会诊</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进行系统全面会诊，要求工程师到现场。</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系统性能出现明显下降，要求进行Oracle数据库和中间件性能调整。</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系统迁移或升级需要现场协助（比如硬件更换硬盘，CPU等非Oracle数据库和中间件自身原因需要工程师到现场的情况）。</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项目协助</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当</w:t>
            </w:r>
            <w:r>
              <w:rPr>
                <w:rFonts w:hint="eastAsia" w:ascii="宋体" w:hAnsi="宋体" w:eastAsia="宋体" w:cs="宋体"/>
                <w:bCs/>
                <w:color w:val="000000"/>
                <w:sz w:val="21"/>
                <w:szCs w:val="21"/>
                <w:highlight w:val="none"/>
                <w:shd w:val="clear" w:color="auto" w:fill="auto"/>
                <w:lang w:val="en-US" w:eastAsia="zh-CN"/>
              </w:rPr>
              <w:t xml:space="preserve">采购人</w:t>
            </w:r>
            <w:r>
              <w:rPr>
                <w:rFonts w:hint="eastAsia" w:ascii="宋体" w:hAnsi="宋体" w:eastAsia="宋体" w:cs="宋体"/>
                <w:bCs/>
                <w:color w:val="000000"/>
                <w:sz w:val="21"/>
                <w:szCs w:val="21"/>
                <w:highlight w:val="none"/>
                <w:shd w:val="clear" w:color="auto" w:fill="auto"/>
              </w:rPr>
              <w:t xml:space="preserve">有新的应用系统或者测试系统需要部署到Oracle数据库和中间件并投入使用，向采购人和第三方服务工程师提供咨询、规划乃至现场安装服务。</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当</w:t>
            </w:r>
            <w:r>
              <w:rPr>
                <w:rFonts w:hint="eastAsia" w:ascii="宋体" w:hAnsi="宋体" w:eastAsia="宋体" w:cs="宋体"/>
                <w:bCs/>
                <w:color w:val="000000"/>
                <w:sz w:val="21"/>
                <w:szCs w:val="21"/>
                <w:highlight w:val="none"/>
                <w:shd w:val="clear" w:color="auto" w:fill="auto"/>
                <w:lang w:val="en-US" w:eastAsia="zh-CN"/>
              </w:rPr>
              <w:t xml:space="preserve">采购人</w:t>
            </w:r>
            <w:r>
              <w:rPr>
                <w:rFonts w:hint="eastAsia" w:ascii="宋体" w:hAnsi="宋体" w:eastAsia="宋体" w:cs="宋体"/>
                <w:bCs/>
                <w:color w:val="000000"/>
                <w:sz w:val="21"/>
                <w:szCs w:val="21"/>
                <w:highlight w:val="none"/>
                <w:shd w:val="clear" w:color="auto" w:fill="auto"/>
              </w:rPr>
              <w:t xml:space="preserve">对</w:t>
            </w:r>
            <w:r>
              <w:rPr>
                <w:rFonts w:hint="eastAsia" w:ascii="宋体" w:hAnsi="宋体" w:eastAsia="宋体" w:cs="宋体"/>
                <w:bCs/>
                <w:color w:val="000000"/>
                <w:sz w:val="21"/>
                <w:szCs w:val="21"/>
                <w:highlight w:val="none"/>
                <w:shd w:val="clear" w:color="auto" w:fill="auto"/>
                <w:lang w:val="en-US" w:eastAsia="zh-CN"/>
              </w:rPr>
              <w:t xml:space="preserve">维保</w:t>
            </w:r>
            <w:r>
              <w:rPr>
                <w:rFonts w:hint="eastAsia" w:ascii="宋体" w:hAnsi="宋体" w:eastAsia="宋体" w:cs="宋体"/>
                <w:bCs/>
                <w:color w:val="000000"/>
                <w:sz w:val="21"/>
                <w:szCs w:val="21"/>
                <w:highlight w:val="none"/>
                <w:shd w:val="clear" w:color="auto" w:fill="auto"/>
              </w:rPr>
              <w:t xml:space="preserve">所包含的基于Oracle数据库和中间件的应用系统进行改造，或者应用系统有新的功能模块加入，向采购人和第三方工程师</w:t>
            </w:r>
            <w:r>
              <w:rPr>
                <w:rFonts w:hint="eastAsia" w:ascii="宋体" w:hAnsi="宋体" w:eastAsia="宋体" w:cs="宋体"/>
                <w:bCs/>
                <w:color w:val="000000"/>
                <w:sz w:val="21"/>
                <w:szCs w:val="21"/>
                <w:highlight w:val="none"/>
                <w:shd w:val="clear" w:color="auto" w:fill="auto"/>
                <w:lang w:val="en-US" w:eastAsia="zh-CN"/>
              </w:rPr>
              <w:t xml:space="preserve">提供</w:t>
            </w:r>
            <w:r>
              <w:rPr>
                <w:rFonts w:hint="eastAsia" w:ascii="宋体" w:hAnsi="宋体" w:eastAsia="宋体" w:cs="宋体"/>
                <w:bCs/>
                <w:color w:val="000000"/>
                <w:sz w:val="21"/>
                <w:szCs w:val="21"/>
                <w:highlight w:val="none"/>
                <w:shd w:val="clear" w:color="auto" w:fill="auto"/>
              </w:rPr>
              <w:t xml:space="preserve">现场服务。</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性能调优</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针对巡检中或运行过程中发现的Oracle数据库和中间件性能下降的问题，进行性能调整，力争使其性能得到提升。</w:t>
            </w:r>
            <w:r>
              <w:rPr>
                <w:rFonts w:hint="eastAsia" w:ascii="宋体" w:hAnsi="宋体" w:eastAsia="宋体" w:cs="宋体"/>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优化服务费包含了应用软件开发商配合支持的如索引重建，表空间的划分与拆分，SQL语句的优化等。</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压力测试服务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如用户和应用开发商需要进行压力测试，</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须提供相应Oracle数据库和中间件平台的配置和调试支持工作。</w:t>
            </w:r>
            <w:r>
              <w:rPr>
                <w:rFonts w:hint="eastAsia" w:ascii="宋体" w:hAnsi="宋体" w:eastAsia="宋体" w:cs="宋体"/>
                <w:color w:val="000000"/>
                <w:sz w:val="21"/>
                <w:szCs w:val="21"/>
                <w:highlight w:val="none"/>
                <w:shd w:val="clear" w:color="auto" w:fill="auto"/>
              </w:rPr>
            </w:r>
            <w:r/>
          </w:p>
        </w:tc>
      </w:tr>
      <w:tr>
        <w:trPr>
          <w:trHeight w:val="1244"/>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迁移实施支持</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如用户需要从其他平台迁移到Oracle数据库和中间件平台，</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须提供Oracle数据库和中间件平台相应服务，如Oracle数据库和中间件安装，配置和调试等。</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数据灾难处理</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w:t>
            </w:r>
            <w:r>
              <w:rPr>
                <w:rFonts w:hint="eastAsia" w:ascii="宋体" w:hAnsi="宋体" w:eastAsia="宋体" w:cs="宋体"/>
                <w:color w:val="000000"/>
                <w:sz w:val="21"/>
                <w:szCs w:val="21"/>
                <w:highlight w:val="none"/>
                <w:shd w:val="clear" w:color="auto" w:fill="auto"/>
              </w:rPr>
              <w:t xml:space="preserve">必须具备处理数据灾难恢复的能力，能修复UNIX系统平台下的Oracle数据软件、Weblogic中间件或底层硬件引起的各种数据灾难问题，确保数据不能丢失，一旦有灾难问题出现，能使用专业的ORACLE数据库专业数据修复工具尽可能恢复数据，必要时须提供原厂技术服务7*24小时的在线登录服务，用户将经常进行测试查验。</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产品安装升级</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对于准备新部署的Oracle数据库和中间件系统提供部署架构、现场安装及调试支持。</w:t>
            </w:r>
            <w:r>
              <w:rPr>
                <w:rFonts w:hint="eastAsia" w:ascii="宋体" w:hAnsi="宋体" w:eastAsia="宋体" w:cs="宋体"/>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跟踪与Oracle数据库和中间件有关的产品信息，并结合当前应用的实际，提出对ORACLE数据库和中间件软件的漏洞修复、补丁更新的建议和实施方案，经用户批准后进行漏洞修复、补丁更新。</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数据库安全与</w:t>
            </w:r>
            <w:r>
              <w:rPr>
                <w:rFonts w:hint="eastAsia" w:ascii="宋体" w:hAnsi="宋体" w:eastAsia="宋体" w:cs="宋体"/>
                <w:color w:val="000000"/>
                <w:sz w:val="21"/>
                <w:szCs w:val="21"/>
                <w:highlight w:val="none"/>
                <w:shd w:val="clear" w:color="auto" w:fill="auto"/>
                <w:lang w:val="en-US" w:eastAsia="zh-CN"/>
              </w:rPr>
              <w:t xml:space="preserve">数据分析</w:t>
            </w:r>
            <w:r>
              <w:rPr>
                <w:rFonts w:hint="eastAsia" w:ascii="宋体" w:hAnsi="宋体" w:eastAsia="宋体" w:cs="宋体"/>
                <w:color w:val="000000"/>
                <w:sz w:val="21"/>
                <w:szCs w:val="21"/>
                <w:highlight w:val="none"/>
                <w:shd w:val="clear" w:color="auto" w:fill="auto"/>
                <w:lang w:eastAsia="zh-CN"/>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具备工具采集系统运行时的各项数据</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分析系统主要的性能瓶颈，分析系统、网络、应用软件及数据库等各方面资源的使用情况，确定系统性能现状及性能调整的目标，定位系统中出现的性能瓶颈，测试验证针对性能瓶颈进行改进，适用于当前商业规则的Oracle 软件配置；服务中能为采购人提供实施问题的解决方案，进行现场技能讲解传授</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425"/>
        </w:trPr>
        <w:tc>
          <w:tcPr>
            <w:tcW w:w="715" w:type="dxa"/>
            <w:vAlign w:val="center"/>
            <w:vMerge w:val="continue"/>
            <w:textDirection w:val="lrTb"/>
            <w:noWrap w:val="false"/>
          </w:tcPr>
          <w:p>
            <w:pPr>
              <w:pStyle w:val="725"/>
              <w:jc w:val="center"/>
              <w:pageBreakBefore w:val="0"/>
              <w:spacing w:line="36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技术资料建档</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根据每次故障维修报告和预防性</w:t>
            </w:r>
            <w:r>
              <w:rPr>
                <w:rFonts w:hint="eastAsia" w:ascii="宋体" w:hAnsi="宋体" w:eastAsia="宋体" w:cs="宋体"/>
                <w:bCs/>
                <w:color w:val="000000"/>
                <w:sz w:val="21"/>
                <w:szCs w:val="21"/>
                <w:highlight w:val="none"/>
                <w:shd w:val="clear" w:color="auto" w:fill="auto"/>
                <w:lang w:val="en-US" w:eastAsia="zh-CN"/>
              </w:rPr>
              <w:t xml:space="preserve">巡检</w:t>
            </w:r>
            <w:r>
              <w:rPr>
                <w:rFonts w:hint="eastAsia" w:ascii="宋体" w:hAnsi="宋体" w:eastAsia="宋体" w:cs="宋体"/>
                <w:bCs/>
                <w:color w:val="000000"/>
                <w:sz w:val="21"/>
                <w:szCs w:val="21"/>
                <w:highlight w:val="none"/>
                <w:shd w:val="clear" w:color="auto" w:fill="auto"/>
              </w:rPr>
              <w:t xml:space="preserve">维护报告建立技术档案，记录每次故障响应服务和预防性</w:t>
            </w:r>
            <w:r>
              <w:rPr>
                <w:rFonts w:hint="eastAsia" w:ascii="宋体" w:hAnsi="宋体" w:eastAsia="宋体" w:cs="宋体"/>
                <w:bCs/>
                <w:color w:val="000000"/>
                <w:sz w:val="21"/>
                <w:szCs w:val="21"/>
                <w:highlight w:val="none"/>
                <w:shd w:val="clear" w:color="auto" w:fill="auto"/>
                <w:lang w:val="en-US" w:eastAsia="zh-CN"/>
              </w:rPr>
              <w:t xml:space="preserve">巡检服务</w:t>
            </w:r>
            <w:r>
              <w:rPr>
                <w:rFonts w:hint="eastAsia" w:ascii="宋体" w:hAnsi="宋体" w:eastAsia="宋体" w:cs="宋体"/>
                <w:bCs/>
                <w:color w:val="000000"/>
                <w:sz w:val="21"/>
                <w:szCs w:val="21"/>
                <w:highlight w:val="none"/>
                <w:shd w:val="clear" w:color="auto" w:fill="auto"/>
              </w:rPr>
              <w:t xml:space="preserve">的详细信息。文档内容应完备、清楚，具有延续性。</w:t>
            </w:r>
            <w:r>
              <w:rPr>
                <w:rFonts w:hint="eastAsia" w:ascii="宋体" w:hAnsi="宋体" w:eastAsia="宋体" w:cs="宋体"/>
                <w:color w:val="000000"/>
                <w:sz w:val="21"/>
                <w:szCs w:val="21"/>
                <w:highlight w:val="none"/>
                <w:shd w:val="clear" w:color="auto" w:fill="auto"/>
              </w:rPr>
            </w:r>
            <w:r/>
          </w:p>
        </w:tc>
      </w:tr>
      <w:tr>
        <w:trPr>
          <w:trHeight w:val="425"/>
        </w:trPr>
        <w:tc>
          <w:tcPr>
            <w:tcW w:w="715"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考核</w:t>
            </w:r>
            <w:r>
              <w:rPr>
                <w:rFonts w:hint="eastAsia" w:ascii="宋体" w:hAnsi="宋体" w:eastAsia="宋体" w:cs="宋体"/>
                <w:color w:val="000000"/>
                <w:sz w:val="21"/>
                <w:szCs w:val="21"/>
                <w:highlight w:val="none"/>
                <w:shd w:val="clear" w:color="auto" w:fill="auto"/>
              </w:rPr>
            </w:r>
            <w:r/>
          </w:p>
        </w:tc>
        <w:tc>
          <w:tcPr>
            <w:tcW w:w="1672" w:type="dxa"/>
            <w:vAlign w:val="center"/>
            <w:textDirection w:val="lrTb"/>
            <w:noWrap w:val="false"/>
          </w:tcPr>
          <w:p>
            <w:pPr>
              <w:pStyle w:val="725"/>
              <w:jc w:val="center"/>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服务考核</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对巡检、电话支持、服务报告等一般服务不及时的，每次扣5分；对重大故障</w:t>
            </w:r>
            <w:r>
              <w:rPr>
                <w:rFonts w:hint="eastAsia" w:ascii="宋体" w:hAnsi="宋体" w:eastAsia="宋体" w:cs="宋体"/>
                <w:color w:val="000000"/>
                <w:sz w:val="21"/>
                <w:szCs w:val="21"/>
                <w:highlight w:val="none"/>
                <w:shd w:val="clear" w:color="auto" w:fill="auto"/>
                <w:lang w:val="en-US" w:eastAsia="zh-CN"/>
              </w:rPr>
              <w:t xml:space="preserve">响应</w:t>
            </w:r>
            <w:r>
              <w:rPr>
                <w:rFonts w:hint="eastAsia" w:ascii="宋体" w:hAnsi="宋体" w:eastAsia="宋体" w:cs="宋体"/>
                <w:color w:val="000000"/>
                <w:sz w:val="21"/>
                <w:szCs w:val="21"/>
                <w:highlight w:val="none"/>
                <w:shd w:val="clear" w:color="auto" w:fill="auto"/>
              </w:rPr>
              <w:t xml:space="preserve">不及时或需要时没及时得到原厂技术支持的，每次扣20分。一票否决项：补丁分析及安装少做任何一次，系统优化</w:t>
            </w:r>
            <w:r>
              <w:rPr>
                <w:rFonts w:hint="eastAsia" w:ascii="宋体" w:hAnsi="宋体" w:eastAsia="宋体" w:cs="宋体"/>
                <w:color w:val="000000"/>
                <w:sz w:val="21"/>
                <w:szCs w:val="21"/>
                <w:highlight w:val="none"/>
                <w:shd w:val="clear" w:color="auto" w:fill="auto"/>
                <w:lang w:val="en-US" w:eastAsia="zh-CN"/>
              </w:rPr>
              <w:t xml:space="preserve">调整</w:t>
            </w:r>
            <w:r>
              <w:rPr>
                <w:rFonts w:hint="eastAsia" w:ascii="宋体" w:hAnsi="宋体" w:eastAsia="宋体" w:cs="宋体"/>
                <w:color w:val="000000"/>
                <w:sz w:val="21"/>
                <w:szCs w:val="21"/>
                <w:highlight w:val="none"/>
                <w:shd w:val="clear" w:color="auto" w:fill="auto"/>
              </w:rPr>
              <w:t xml:space="preserve">或优化没有达到用户要求的任何一次，采购人认定的其他影响数据库运行的严重违规行为等。考核得分小于60分或产生一票否决的，将不能获得相应服务费用。</w:t>
            </w:r>
            <w:r>
              <w:rPr>
                <w:rFonts w:hint="eastAsia" w:ascii="宋体" w:hAnsi="宋体" w:eastAsia="宋体" w:cs="宋体"/>
                <w:color w:val="000000"/>
                <w:sz w:val="21"/>
                <w:szCs w:val="21"/>
                <w:highlight w:val="none"/>
                <w:shd w:val="clear" w:color="auto" w:fill="auto"/>
              </w:rPr>
            </w:r>
            <w:r/>
          </w:p>
        </w:tc>
      </w:tr>
    </w:tbl>
    <w:p>
      <w:pPr>
        <w:pStyle w:val="72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1.5重要的服务质量保证</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故障处理速度和质量要求：对于维护范围内的故障，须在故障发生后立即响应，并尽快加以解决；对于非维护范围内的故障，须在故障发生后积极配合其他服务商尽快加以解决。</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备件投资：必须针对本服务项目进行备件投资，中标后用户</w:t>
      </w:r>
      <w:r>
        <w:rPr>
          <w:rFonts w:hint="eastAsia" w:ascii="宋体" w:hAnsi="宋体" w:eastAsia="宋体" w:cs="宋体"/>
          <w:color w:val="000000"/>
          <w:sz w:val="21"/>
          <w:szCs w:val="21"/>
          <w:highlight w:val="none"/>
          <w:shd w:val="clear" w:color="auto" w:fill="auto"/>
          <w:lang w:val="en-US" w:eastAsia="zh-CN"/>
        </w:rPr>
        <w:t xml:space="preserve">有权</w:t>
      </w:r>
      <w:r>
        <w:rPr>
          <w:rFonts w:hint="eastAsia" w:ascii="宋体" w:hAnsi="宋体" w:eastAsia="宋体" w:cs="宋体"/>
          <w:color w:val="000000"/>
          <w:sz w:val="21"/>
          <w:szCs w:val="21"/>
          <w:highlight w:val="none"/>
          <w:shd w:val="clear" w:color="auto" w:fill="auto"/>
        </w:rPr>
        <w:t xml:space="preserve">对备件库实地考查，同时提供要求备件直接存放到用户机房现场，并不得挪作别单位使用。本次设备为核心设备，必须确保设备质量，所提供备件必须原厂原装</w:t>
      </w:r>
      <w:r>
        <w:rPr>
          <w:rFonts w:hint="eastAsia" w:ascii="宋体" w:hAnsi="宋体" w:eastAsia="宋体" w:cs="宋体"/>
          <w:color w:val="000000"/>
          <w:sz w:val="21"/>
          <w:szCs w:val="21"/>
          <w:highlight w:val="none"/>
          <w:shd w:val="clear" w:color="auto" w:fill="auto"/>
          <w:lang w:val="en-US" w:eastAsia="zh-CN"/>
        </w:rPr>
        <w:t xml:space="preserve">设备</w:t>
      </w:r>
      <w:r>
        <w:rPr>
          <w:rFonts w:hint="eastAsia" w:ascii="宋体" w:hAnsi="宋体" w:eastAsia="宋体" w:cs="宋体"/>
          <w:color w:val="000000"/>
          <w:sz w:val="21"/>
          <w:szCs w:val="21"/>
          <w:highlight w:val="none"/>
          <w:shd w:val="clear" w:color="auto" w:fill="auto"/>
        </w:rPr>
        <w:t xml:space="preserve">，所有设备必须在中标后合同签订前一周内到场（否则视为违约），</w:t>
      </w: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将根据序列号逐一查验，查验合格后方签订合同，若有一件不合要求则所有设备没收，按骗标处理同时取消中标资格并追究责任。现场存放备件包含：</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在用户现场存放IBM E870、P770、S822小型机电源各1</w:t>
      </w:r>
      <w:r>
        <w:rPr>
          <w:rFonts w:hint="eastAsia" w:ascii="宋体" w:hAnsi="宋体" w:eastAsia="宋体" w:cs="宋体"/>
          <w:color w:val="000000"/>
          <w:sz w:val="21"/>
          <w:szCs w:val="21"/>
          <w:highlight w:val="none"/>
          <w:shd w:val="clear" w:color="auto" w:fill="auto"/>
          <w:lang w:val="en-US" w:eastAsia="zh-CN"/>
        </w:rPr>
        <w:t xml:space="preserve">个</w:t>
      </w:r>
      <w:r>
        <w:rPr>
          <w:rFonts w:hint="eastAsia" w:ascii="宋体" w:hAnsi="宋体" w:eastAsia="宋体" w:cs="宋体"/>
          <w:color w:val="000000"/>
          <w:sz w:val="21"/>
          <w:szCs w:val="21"/>
          <w:highlight w:val="none"/>
          <w:shd w:val="clear" w:color="auto" w:fill="auto"/>
        </w:rPr>
        <w:t xml:space="preserve">；华为0ceanStor5500 V5硬盘</w:t>
      </w:r>
      <w:r>
        <w:rPr>
          <w:rFonts w:hint="eastAsia" w:ascii="宋体" w:hAnsi="宋体" w:eastAsia="宋体" w:cs="宋体"/>
          <w:color w:val="000000"/>
          <w:sz w:val="21"/>
          <w:szCs w:val="21"/>
          <w:highlight w:val="none"/>
          <w:shd w:val="clear" w:color="auto" w:fill="auto"/>
          <w:lang w:val="en-US" w:eastAsia="zh-CN"/>
        </w:rPr>
        <w:t xml:space="preserve">1块</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B.备件库必须备有服务所需要的备件，需与采购人配置一样。</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备件必须经过严格测试，处于良好状态，确保设备的正常可用并将在紧急时立刻进行设备替换。</w:t>
      </w:r>
      <w:r>
        <w:rPr>
          <w:rFonts w:hint="eastAsia" w:ascii="宋体" w:hAnsi="宋体" w:eastAsia="宋体" w:cs="宋体"/>
          <w:color w:val="000000"/>
          <w:sz w:val="21"/>
          <w:szCs w:val="21"/>
          <w:highlight w:val="none"/>
          <w:shd w:val="clear" w:color="auto" w:fill="auto"/>
        </w:rPr>
      </w:r>
      <w:r/>
    </w:p>
    <w:p>
      <w:pPr>
        <w:pStyle w:val="725"/>
        <w:numPr>
          <w:ilvl w:val="0"/>
          <w:numId w:val="3"/>
        </w:numPr>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人力投资：针对本项目</w:t>
      </w:r>
      <w:r>
        <w:rPr>
          <w:rFonts w:hint="eastAsia" w:ascii="宋体" w:hAnsi="宋体" w:eastAsia="宋体" w:cs="宋体"/>
          <w:color w:val="000000"/>
          <w:sz w:val="21"/>
          <w:szCs w:val="21"/>
          <w:highlight w:val="none"/>
          <w:shd w:val="clear" w:color="auto" w:fill="auto"/>
          <w:lang w:val="en-US" w:eastAsia="zh-CN"/>
        </w:rPr>
        <w:t xml:space="preserve">组建</w:t>
      </w:r>
      <w:r>
        <w:rPr>
          <w:rFonts w:hint="eastAsia" w:ascii="宋体" w:hAnsi="宋体" w:eastAsia="宋体" w:cs="宋体"/>
          <w:color w:val="000000"/>
          <w:sz w:val="21"/>
          <w:szCs w:val="21"/>
          <w:highlight w:val="none"/>
          <w:shd w:val="clear" w:color="auto" w:fill="auto"/>
        </w:rPr>
        <w:t xml:space="preserve">专业技术团队，团队成员须具有</w:t>
      </w:r>
      <w:r>
        <w:rPr>
          <w:rFonts w:hint="eastAsia" w:ascii="宋体" w:hAnsi="宋体" w:eastAsia="宋体" w:cs="宋体"/>
          <w:color w:val="000000"/>
          <w:sz w:val="21"/>
          <w:szCs w:val="21"/>
          <w:highlight w:val="none"/>
          <w:shd w:val="clear" w:color="auto" w:fill="auto"/>
          <w:lang w:val="en-US" w:eastAsia="zh-CN"/>
        </w:rPr>
        <w:t xml:space="preserve">小型机</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存储、</w:t>
      </w:r>
      <w:r>
        <w:rPr>
          <w:rFonts w:hint="eastAsia" w:ascii="宋体" w:hAnsi="宋体" w:eastAsia="宋体" w:cs="宋体"/>
          <w:color w:val="000000"/>
          <w:sz w:val="21"/>
          <w:szCs w:val="21"/>
          <w:highlight w:val="none"/>
          <w:shd w:val="clear" w:color="auto" w:fill="auto"/>
        </w:rPr>
        <w:t xml:space="preserve">数据库等相关专业技术证书。在南通地区常驻两名服务工程师，其中一名服务工程师同时具有IBM HACMP认证及ORACLE </w:t>
      </w:r>
      <w:r>
        <w:rPr>
          <w:rFonts w:hint="eastAsia" w:ascii="宋体" w:hAnsi="宋体" w:eastAsia="宋体" w:cs="宋体"/>
          <w:color w:val="000000"/>
          <w:sz w:val="21"/>
          <w:szCs w:val="21"/>
          <w:highlight w:val="none"/>
          <w:shd w:val="clear" w:color="auto" w:fill="auto"/>
          <w:lang w:val="en-US" w:eastAsia="zh-CN"/>
        </w:rPr>
        <w:t xml:space="preserve">OCP认证证书，提供每月一周现场驻场服务。工程师入场工作时需提供在职记录验证，不合格则按骗标处理，并追究责任。</w:t>
      </w:r>
      <w:r>
        <w:rPr>
          <w:rFonts w:hint="eastAsia" w:ascii="宋体" w:hAnsi="宋体" w:eastAsia="宋体" w:cs="宋体"/>
          <w:color w:val="000000"/>
          <w:sz w:val="21"/>
          <w:szCs w:val="21"/>
          <w:highlight w:val="none"/>
          <w:shd w:val="clear" w:color="auto" w:fill="auto"/>
        </w:rPr>
        <w:t xml:space="preserve">工程师必须全天候听从</w:t>
      </w: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到场服务安排。</w:t>
      </w:r>
      <w:r>
        <w:rPr>
          <w:rFonts w:hint="eastAsia" w:ascii="宋体" w:hAnsi="宋体" w:eastAsia="宋体" w:cs="宋体"/>
          <w:color w:val="000000"/>
          <w:sz w:val="21"/>
          <w:szCs w:val="21"/>
          <w:highlight w:val="none"/>
          <w:shd w:val="clear" w:color="auto" w:fill="auto"/>
        </w:rPr>
      </w:r>
      <w:r/>
    </w:p>
    <w:p>
      <w:pPr>
        <w:pStyle w:val="725"/>
        <w:numPr>
          <w:ilvl w:val="0"/>
          <w:numId w:val="0"/>
        </w:numPr>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技术团队中现场服务工程师、专业工程师</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不达标或者未按照项目要求提供规范运维服务的，采购人有权要求中标人更换服务人员，并且拟更换服务人员的资格证书和专业技术能力不得低于项目需求</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2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须具备处理系统灾难恢复的能力，必须能修复系统软件、数据库软件、或底层硬件引起的各种数据灾难问题，确保数据无丢失，一旦出现灾难问题，使用专业数据修复工具恢复数据，或紧急送到专业数据灾难恢复中心修复数据。</w:t>
      </w:r>
      <w:r>
        <w:rPr>
          <w:rFonts w:hint="eastAsia" w:ascii="宋体" w:hAnsi="宋体" w:eastAsia="宋体" w:cs="宋体"/>
          <w:color w:val="000000"/>
          <w:sz w:val="21"/>
          <w:szCs w:val="21"/>
          <w:highlight w:val="none"/>
          <w:shd w:val="clear" w:color="auto" w:fill="auto"/>
        </w:rPr>
      </w:r>
      <w:r/>
    </w:p>
    <w:p>
      <w:pPr>
        <w:pStyle w:val="728"/>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1.6服务质量考核</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为促使供应商在服务期间提供高质量的维保服务，对供应商的在项目服务期内的服务质量进行考核评分，考核得分将作为年度服务费用的支付依据。</w:t>
      </w:r>
      <w:r>
        <w:rPr>
          <w:rFonts w:hint="eastAsia" w:ascii="宋体" w:hAnsi="宋体" w:eastAsia="宋体" w:cs="宋体"/>
          <w:bCs/>
          <w:color w:val="000000"/>
          <w:sz w:val="21"/>
          <w:szCs w:val="21"/>
          <w:highlight w:val="none"/>
          <w:shd w:val="clear" w:color="auto" w:fill="auto"/>
        </w:rPr>
      </w:r>
      <w:r/>
    </w:p>
    <w:p>
      <w:pPr>
        <w:pStyle w:val="725"/>
        <w:ind w:firstLine="211"/>
        <w:jc w:val="both"/>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《南通市人力资源和社会保障信息中心核心设备及数据库运维服务项目服务考核评分表》</w:t>
      </w:r>
      <w:r>
        <w:rPr>
          <w:rFonts w:hint="eastAsia" w:ascii="宋体" w:hAnsi="宋体" w:eastAsia="宋体" w:cs="宋体"/>
          <w:b/>
          <w:bCs/>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服务质量考核满分为100分。每一年度服务期开始时，得分为100分，服务开始后按照下表的考核标准进行扣分，服务期间当累计扣分总分超过40分，合同自动终止，采购方有权拒绝向投标人支付余款、追缴已支付的款项。</w:t>
      </w:r>
      <w:r>
        <w:rPr>
          <w:rFonts w:hint="eastAsia" w:ascii="宋体" w:hAnsi="宋体" w:eastAsia="宋体" w:cs="宋体"/>
          <w:bCs/>
          <w:color w:val="000000"/>
          <w:sz w:val="21"/>
          <w:szCs w:val="21"/>
          <w:highlight w:val="none"/>
          <w:shd w:val="clear" w:color="auto" w:fill="auto"/>
        </w:rPr>
      </w:r>
      <w:r/>
    </w:p>
    <w:tbl>
      <w:tblPr>
        <w:tblW w:w="58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40"/>
        <w:gridCol w:w="1849"/>
        <w:gridCol w:w="6100"/>
        <w:gridCol w:w="818"/>
      </w:tblGrid>
      <w:tr>
        <w:trPr>
          <w:trHeight w:val="624"/>
        </w:trPr>
        <w:tc>
          <w:tcPr>
            <w:shd w:val="clear" w:color="000000" w:fill="auto"/>
            <w:tcW w:w="349" w:type="dxa"/>
            <w:vAlign w:val="center"/>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序号</w:t>
            </w:r>
            <w:r>
              <w:rPr>
                <w:rFonts w:hint="eastAsia" w:ascii="宋体" w:hAnsi="宋体" w:eastAsia="宋体" w:cs="宋体"/>
                <w:b/>
                <w:bCs/>
                <w:color w:val="000000"/>
                <w:sz w:val="21"/>
                <w:szCs w:val="21"/>
                <w:highlight w:val="none"/>
                <w:shd w:val="clear" w:color="auto" w:fill="auto"/>
              </w:rPr>
            </w:r>
            <w:r/>
          </w:p>
        </w:tc>
        <w:tc>
          <w:tcPr>
            <w:shd w:val="clear" w:color="000000" w:fill="auto"/>
            <w:tcW w:w="535" w:type="dxa"/>
            <w:vAlign w:val="center"/>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服务类型</w:t>
            </w:r>
            <w:r>
              <w:rPr>
                <w:rFonts w:hint="eastAsia" w:ascii="宋体" w:hAnsi="宋体" w:eastAsia="宋体" w:cs="宋体"/>
                <w:b/>
                <w:bCs/>
                <w:color w:val="000000"/>
                <w:sz w:val="21"/>
                <w:szCs w:val="21"/>
                <w:highlight w:val="none"/>
                <w:shd w:val="clear" w:color="auto" w:fill="auto"/>
              </w:rPr>
            </w:r>
            <w:r/>
          </w:p>
        </w:tc>
        <w:tc>
          <w:tcPr>
            <w:shd w:val="clear" w:color="000000" w:fill="auto"/>
            <w:tcW w:w="868" w:type="dxa"/>
            <w:vAlign w:val="center"/>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考核因素</w:t>
            </w:r>
            <w:r>
              <w:rPr>
                <w:rFonts w:hint="eastAsia" w:ascii="宋体" w:hAnsi="宋体" w:eastAsia="宋体" w:cs="宋体"/>
                <w:b/>
                <w:bCs/>
                <w:color w:val="000000"/>
                <w:sz w:val="21"/>
                <w:szCs w:val="21"/>
                <w:highlight w:val="none"/>
                <w:shd w:val="clear" w:color="auto" w:fill="auto"/>
              </w:rPr>
            </w:r>
            <w:r/>
          </w:p>
        </w:tc>
        <w:tc>
          <w:tcPr>
            <w:shd w:val="clear" w:color="000000" w:fill="auto"/>
            <w:tcW w:w="2863" w:type="dxa"/>
            <w:vAlign w:val="center"/>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考核标准</w:t>
            </w:r>
            <w:r>
              <w:rPr>
                <w:rFonts w:hint="eastAsia" w:ascii="宋体" w:hAnsi="宋体" w:eastAsia="宋体" w:cs="宋体"/>
                <w:b/>
                <w:bCs/>
                <w:color w:val="000000"/>
                <w:sz w:val="21"/>
                <w:szCs w:val="21"/>
                <w:highlight w:val="none"/>
                <w:shd w:val="clear" w:color="auto" w:fill="auto"/>
              </w:rPr>
            </w:r>
            <w:r/>
          </w:p>
        </w:tc>
        <w:tc>
          <w:tcPr>
            <w:shd w:val="clear" w:color="000000" w:fill="auto"/>
            <w:tcW w:w="384" w:type="dxa"/>
            <w:vAlign w:val="center"/>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考核得分</w:t>
            </w:r>
            <w:r>
              <w:rPr>
                <w:rFonts w:hint="eastAsia" w:ascii="宋体" w:hAnsi="宋体" w:eastAsia="宋体" w:cs="宋体"/>
                <w:b/>
                <w:bCs/>
                <w:color w:val="000000"/>
                <w:sz w:val="21"/>
                <w:szCs w:val="21"/>
                <w:highlight w:val="none"/>
                <w:shd w:val="clear" w:color="auto" w:fill="auto"/>
              </w:rPr>
            </w:r>
            <w:r/>
          </w:p>
        </w:tc>
      </w:tr>
      <w:tr>
        <w:trPr>
          <w:trHeight w:val="524"/>
        </w:trPr>
        <w:tc>
          <w:tcPr>
            <w:tcW w:w="349" w:type="dxa"/>
            <w:vAlign w:val="center"/>
            <w:vMerge w:val="restart"/>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W w:w="535" w:type="dxa"/>
            <w:vAlign w:val="center"/>
            <w:vMerge w:val="restart"/>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硬件系统（含硬件相关软件）服务考核</w:t>
            </w: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故障修复服务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对因发生双方定义的故障级别未按响应时限要求对故障进行修复的，一级故障（</w:t>
            </w:r>
            <w:r>
              <w:rPr>
                <w:rFonts w:hint="eastAsia" w:ascii="宋体" w:hAnsi="宋体" w:eastAsia="宋体" w:cs="宋体"/>
                <w:bCs/>
                <w:color w:val="000000"/>
                <w:sz w:val="21"/>
                <w:szCs w:val="21"/>
                <w:highlight w:val="none"/>
                <w:shd w:val="clear" w:color="auto" w:fill="auto"/>
              </w:rPr>
              <w:t xml:space="preserve">设备运行出现重大故障，系统不能提供基本业务）</w:t>
            </w:r>
            <w:r>
              <w:rPr>
                <w:rFonts w:hint="eastAsia" w:ascii="宋体" w:hAnsi="宋体" w:eastAsia="宋体" w:cs="宋体"/>
                <w:color w:val="000000"/>
                <w:sz w:val="21"/>
                <w:szCs w:val="21"/>
                <w:highlight w:val="none"/>
                <w:shd w:val="clear" w:color="auto" w:fill="auto"/>
              </w:rPr>
              <w:t xml:space="preserve">扣5分，二级故障（</w:t>
            </w:r>
            <w:r>
              <w:rPr>
                <w:rFonts w:hint="eastAsia" w:ascii="宋体" w:hAnsi="宋体" w:eastAsia="宋体" w:cs="宋体"/>
                <w:bCs/>
                <w:color w:val="000000"/>
                <w:sz w:val="21"/>
                <w:szCs w:val="21"/>
                <w:highlight w:val="none"/>
                <w:shd w:val="clear" w:color="auto" w:fill="auto"/>
              </w:rPr>
              <w:t xml:space="preserve">设备出现故障，但能提供基本业务和主要辅助业务，少数次要辅助业务存在问题）</w:t>
            </w:r>
            <w:r>
              <w:rPr>
                <w:rFonts w:hint="eastAsia" w:ascii="宋体" w:hAnsi="宋体" w:eastAsia="宋体" w:cs="宋体"/>
                <w:color w:val="000000"/>
                <w:sz w:val="21"/>
                <w:szCs w:val="21"/>
                <w:highlight w:val="none"/>
                <w:shd w:val="clear" w:color="auto" w:fill="auto"/>
              </w:rPr>
              <w:t xml:space="preserve">扣4分，三级故障（</w:t>
            </w:r>
            <w:r>
              <w:rPr>
                <w:rFonts w:hint="eastAsia" w:ascii="宋体" w:hAnsi="宋体" w:eastAsia="宋体" w:cs="宋体"/>
                <w:bCs/>
                <w:color w:val="000000"/>
                <w:sz w:val="21"/>
                <w:szCs w:val="21"/>
                <w:highlight w:val="none"/>
                <w:shd w:val="clear" w:color="auto" w:fill="auto"/>
              </w:rPr>
              <w:t xml:space="preserve">设备运行出现小故障）</w:t>
            </w:r>
            <w:r>
              <w:rPr>
                <w:rFonts w:hint="eastAsia" w:ascii="宋体" w:hAnsi="宋体" w:eastAsia="宋体" w:cs="宋体"/>
                <w:color w:val="000000"/>
                <w:sz w:val="21"/>
                <w:szCs w:val="21"/>
                <w:highlight w:val="none"/>
                <w:shd w:val="clear" w:color="auto" w:fill="auto"/>
              </w:rPr>
              <w:t xml:space="preserve">扣3分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应急响应</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发生一次在遇到紧急事件时，未按采购方要求采取临时措施解决的扣3分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现场支持</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对因应采购方要求需到达现场支持服务，未按投标响应时间到达现场的每发生一次扣2分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远程支持服务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发生一次未及时按照采购方要求提供设备故障远程支持服务的扣2分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电话支持服务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发生一次未及时响应采购方的电话咨询的扣2分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系统更新升级服务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发生一次未按采购方要求将软件、固件及特征库升级到最新版本扣5分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高端存储原厂技术支持服务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 VMAX 250F高端存储服务过程中不能提供原厂动态口令的每次扣5分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安全事件</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未能按照约定履行安全防护义务导致中心发生业务中止或其他安全事件，视情节轻重每次至少扣5分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704"/>
        </w:trPr>
        <w:tc>
          <w:tcPr>
            <w:tcW w:w="349" w:type="dxa"/>
            <w:vAlign w:val="center"/>
            <w:vMerge w:val="continue"/>
            <w:textDirection w:val="lrTb"/>
            <w:noWrap w:val="false"/>
          </w:tcPr>
          <w:p>
            <w:pPr>
              <w:pStyle w:val="725"/>
              <w:jc w:val="center"/>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巡检服务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未按照采购方要求提供</w:t>
            </w:r>
            <w:r>
              <w:rPr>
                <w:rFonts w:hint="eastAsia" w:ascii="宋体" w:hAnsi="宋体" w:eastAsia="宋体" w:cs="宋体"/>
                <w:color w:val="000000"/>
                <w:sz w:val="21"/>
                <w:szCs w:val="21"/>
                <w:highlight w:val="none"/>
                <w:shd w:val="clear" w:color="auto" w:fill="auto"/>
                <w:lang w:val="en-US" w:eastAsia="zh-CN"/>
              </w:rPr>
              <w:t xml:space="preserve">月</w:t>
            </w:r>
            <w:r>
              <w:rPr>
                <w:rFonts w:hint="eastAsia" w:ascii="宋体" w:hAnsi="宋体" w:eastAsia="宋体" w:cs="宋体"/>
                <w:color w:val="000000"/>
                <w:sz w:val="21"/>
                <w:szCs w:val="21"/>
                <w:highlight w:val="none"/>
                <w:shd w:val="clear" w:color="auto" w:fill="auto"/>
              </w:rPr>
              <w:t xml:space="preserve">度巡检服务的每次扣2分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设备档案库建设服务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未按照要求提交巡检报告、故障修复报告、年度报告等，每少一份扣2分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重要时刻保障服务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发生一次未按照采购方要求在重要保障（业务上线、年终结算、扩容升级等）提供重要业务上线期间现场巡检及人员保障服务的扣2分。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培训服务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未按照要求组织约定培训的扣2分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textDirection w:val="lrTb"/>
            <w:noWrap w:val="false"/>
          </w:tcPr>
          <w:p>
            <w:pPr>
              <w:pStyle w:val="725"/>
              <w:ind w:firstLine="21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W w:w="535"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数据库软件服务考核</w:t>
            </w: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数据库软件维保服务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巡检、电话支持、服务报告等一般服务不及时的，每次扣5分；对重大故障响应不及时或需要时没及时得到原厂技术支持的，每次扣20分。一票否决项：补丁分析及安装少做任何一次，系统优化调整或优化没有达到用户要求的任何一次，采购人认定的其他影响数据库运行的严重违规行为等。考核得分小于60分或产生一票否决的，将不能获得相应服务费用。</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bl>
    <w:p>
      <w:pPr>
        <w:pStyle w:val="725"/>
        <w:ind w:firstLine="21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（2）一票否决项：系统优化调整或优化没有达到用户要求，采购人认定的其他影响系统运行的严重违规行为等，在年度服务期内出现二次。考核产生一票否决的，采购</w:t>
      </w:r>
      <w:r>
        <w:rPr>
          <w:rFonts w:hint="eastAsia" w:ascii="宋体" w:hAnsi="宋体" w:eastAsia="宋体" w:cs="宋体"/>
          <w:bCs/>
          <w:color w:val="000000"/>
          <w:sz w:val="21"/>
          <w:szCs w:val="21"/>
          <w:highlight w:val="none"/>
          <w:shd w:val="clear" w:color="auto" w:fill="auto"/>
          <w:lang w:val="en-US" w:eastAsia="zh-CN"/>
        </w:rPr>
        <w:t xml:space="preserve">人</w:t>
      </w:r>
      <w:r>
        <w:rPr>
          <w:rFonts w:hint="eastAsia" w:ascii="宋体" w:hAnsi="宋体" w:eastAsia="宋体" w:cs="宋体"/>
          <w:bCs/>
          <w:color w:val="000000"/>
          <w:sz w:val="21"/>
          <w:szCs w:val="21"/>
          <w:highlight w:val="none"/>
          <w:shd w:val="clear" w:color="auto" w:fill="auto"/>
        </w:rPr>
        <w:t xml:space="preserve">有权拒绝向</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支付余款、追缴已支付的款项，并有权提前终止与</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的合同。</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实际支付金额参照《南通市人力资源和社会保障信息中心核心设备及数据库运维服务项目服务考核评分表》的最终得分，按照最终得分的区间对应金额的比例得出（得分区间95-100的，支付规定金额的100%；得分区间85-94的，支付规定金额的90%；得分区间75-84的，支付规定金额的75%，得分区间60-74的，支付规定金额的50%，得分低于60的，当次不支付。</w:t>
      </w:r>
      <w:r>
        <w:rPr>
          <w:rFonts w:hint="eastAsia" w:ascii="宋体" w:hAnsi="宋体" w:eastAsia="宋体" w:cs="宋体"/>
          <w:bCs/>
          <w:color w:val="000000"/>
          <w:sz w:val="21"/>
          <w:szCs w:val="21"/>
          <w:highlight w:val="none"/>
          <w:shd w:val="clear" w:color="auto" w:fill="auto"/>
        </w:rPr>
        <w:t xml:space="preserve">一旦得分低于60分时，采购</w:t>
      </w:r>
      <w:r>
        <w:rPr>
          <w:rFonts w:hint="eastAsia" w:ascii="宋体" w:hAnsi="宋体" w:eastAsia="宋体" w:cs="宋体"/>
          <w:bCs/>
          <w:color w:val="000000"/>
          <w:sz w:val="21"/>
          <w:szCs w:val="21"/>
          <w:highlight w:val="none"/>
          <w:shd w:val="clear" w:color="auto" w:fill="auto"/>
          <w:lang w:val="en-US" w:eastAsia="zh-CN"/>
        </w:rPr>
        <w:t xml:space="preserve">人</w:t>
      </w:r>
      <w:r>
        <w:rPr>
          <w:rFonts w:hint="eastAsia" w:ascii="宋体" w:hAnsi="宋体" w:eastAsia="宋体" w:cs="宋体"/>
          <w:bCs/>
          <w:color w:val="000000"/>
          <w:sz w:val="21"/>
          <w:szCs w:val="21"/>
          <w:highlight w:val="none"/>
          <w:shd w:val="clear" w:color="auto" w:fill="auto"/>
        </w:rPr>
        <w:t xml:space="preserve">有权拒绝向中标</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支付余款，并有权提前终止与中标</w:t>
      </w:r>
      <w:r>
        <w:rPr>
          <w:rFonts w:hint="eastAsia" w:ascii="宋体" w:hAnsi="宋体" w:eastAsia="宋体" w:cs="宋体"/>
          <w:bCs/>
          <w:color w:val="000000"/>
          <w:sz w:val="21"/>
          <w:szCs w:val="21"/>
          <w:highlight w:val="none"/>
          <w:shd w:val="clear" w:color="auto" w:fill="auto"/>
          <w:lang w:val="en-US" w:eastAsia="zh-CN"/>
        </w:rPr>
        <w:t xml:space="preserve">供应商</w:t>
      </w:r>
      <w:r>
        <w:rPr>
          <w:rFonts w:hint="eastAsia" w:ascii="宋体" w:hAnsi="宋体" w:eastAsia="宋体" w:cs="宋体"/>
          <w:bCs/>
          <w:color w:val="000000"/>
          <w:sz w:val="21"/>
          <w:szCs w:val="21"/>
          <w:highlight w:val="none"/>
          <w:shd w:val="clear" w:color="auto" w:fill="auto"/>
        </w:rPr>
        <w:t xml:space="preserve">的合同。</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27"/>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2.服务期限</w:t>
      </w:r>
      <w:r>
        <w:rPr>
          <w:rFonts w:hint="eastAsia" w:ascii="宋体" w:hAnsi="宋体" w:eastAsia="宋体" w:cs="宋体"/>
          <w:color w:val="000000"/>
          <w:sz w:val="21"/>
          <w:szCs w:val="21"/>
          <w:highlight w:val="none"/>
          <w:shd w:val="clear" w:color="auto" w:fill="auto"/>
        </w:rPr>
      </w:r>
      <w:r/>
    </w:p>
    <w:p>
      <w:pPr>
        <w:pStyle w:val="725"/>
        <w:ind w:firstLine="480"/>
        <w:pageBreakBefore w:val="0"/>
        <w:spacing w:line="360" w:lineRule="auto"/>
        <w:shd w:val="clear" w:color="auto" w:fill="auto"/>
        <w:rPr>
          <w:rFonts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shd w:val="clear" w:color="auto" w:fill="auto"/>
        </w:rPr>
        <w:t xml:space="preserve">本项目首年度合同履行期限为采购合同签订生效之日起1年（即12个月），若年度服务期满后，</w:t>
      </w:r>
      <w:r>
        <w:rPr>
          <w:rFonts w:hint="eastAsia" w:ascii="宋体" w:hAnsi="宋体" w:eastAsia="宋体" w:cs="宋体"/>
          <w:color w:val="000000"/>
          <w:sz w:val="21"/>
          <w:szCs w:val="21"/>
          <w:highlight w:val="none"/>
          <w:shd w:val="clear" w:color="auto" w:fill="auto"/>
        </w:rPr>
        <w:t xml:space="preserve">服务考核</w:t>
      </w:r>
      <w:r>
        <w:rPr>
          <w:rFonts w:hint="eastAsia" w:ascii="宋体" w:hAnsi="宋体" w:eastAsia="宋体" w:cs="宋体"/>
          <w:color w:val="000000"/>
          <w:sz w:val="21"/>
          <w:szCs w:val="21"/>
          <w:highlight w:val="none"/>
          <w:shd w:val="clear" w:color="auto" w:fill="auto"/>
          <w:lang w:eastAsia="zh-CN"/>
        </w:rPr>
        <w:t xml:space="preserve">最终得分在</w:t>
      </w:r>
      <w:r>
        <w:rPr>
          <w:rFonts w:hint="eastAsia" w:ascii="宋体" w:hAnsi="宋体" w:eastAsia="宋体" w:cs="宋体"/>
          <w:color w:val="000000"/>
          <w:sz w:val="21"/>
          <w:szCs w:val="21"/>
          <w:highlight w:val="none"/>
          <w:shd w:val="clear" w:color="auto" w:fill="auto"/>
          <w:lang w:val="en-US" w:eastAsia="zh-CN"/>
        </w:rPr>
        <w:t xml:space="preserve">95分以上</w:t>
      </w:r>
      <w:r>
        <w:rPr>
          <w:rFonts w:hint="eastAsia" w:ascii="宋体" w:hAnsi="宋体" w:eastAsia="宋体" w:cs="宋体"/>
          <w:b/>
          <w:bCs/>
          <w:color w:val="000000"/>
          <w:sz w:val="21"/>
          <w:szCs w:val="21"/>
          <w:highlight w:val="none"/>
          <w:shd w:val="clear" w:color="auto" w:fill="auto"/>
        </w:rPr>
        <w:t xml:space="preserve">，可续签</w:t>
      </w:r>
      <w:r>
        <w:rPr>
          <w:rFonts w:hint="eastAsia" w:ascii="宋体" w:hAnsi="宋体" w:eastAsia="宋体" w:cs="宋体"/>
          <w:b/>
          <w:bCs/>
          <w:color w:val="000000"/>
          <w:sz w:val="21"/>
          <w:szCs w:val="21"/>
          <w:highlight w:val="none"/>
          <w:shd w:val="clear" w:color="auto" w:fill="auto"/>
          <w:lang w:eastAsia="zh-CN"/>
        </w:rPr>
        <w:t xml:space="preserve">下一年</w:t>
      </w:r>
      <w:r>
        <w:rPr>
          <w:rFonts w:hint="eastAsia" w:ascii="宋体" w:hAnsi="宋体" w:eastAsia="宋体" w:cs="宋体"/>
          <w:b/>
          <w:bCs/>
          <w:color w:val="000000"/>
          <w:sz w:val="21"/>
          <w:szCs w:val="21"/>
          <w:highlight w:val="none"/>
          <w:shd w:val="clear" w:color="auto" w:fill="auto"/>
        </w:rPr>
        <w:t xml:space="preserve">服务合同。</w:t>
      </w:r>
      <w:r>
        <w:rPr>
          <w:rFonts w:hint="eastAsia" w:ascii="宋体" w:hAnsi="宋体" w:eastAsia="宋体" w:cs="宋体"/>
          <w:b/>
          <w:bCs/>
          <w:color w:val="000000"/>
          <w:sz w:val="21"/>
          <w:szCs w:val="21"/>
          <w:highlight w:val="none"/>
          <w:shd w:val="clear" w:color="auto" w:fill="auto"/>
          <w:lang w:val="en-US" w:eastAsia="zh-CN"/>
        </w:rPr>
        <w:t xml:space="preserve">总服务期不超过三年</w:t>
      </w:r>
      <w:r>
        <w:rPr>
          <w:rFonts w:ascii="宋体" w:hAnsi="宋体" w:eastAsia="宋体" w:cs="宋体"/>
          <w:b/>
          <w:bCs/>
          <w:color w:val="000000"/>
          <w:sz w:val="21"/>
          <w:szCs w:val="21"/>
          <w:highlight w:val="none"/>
          <w:shd w:val="clear" w:color="auto" w:fill="auto"/>
          <w:lang w:val="en-US" w:eastAsia="zh-CN"/>
        </w:rPr>
      </w:r>
      <w:r/>
    </w:p>
    <w:p>
      <w:pPr>
        <w:pStyle w:val="725"/>
        <w:jc w:val="left"/>
        <w:pageBreakBefore w:val="0"/>
        <w:spacing w:line="360" w:lineRule="auto"/>
        <w:shd w:val="clear" w:color="auto" w:fill="auto"/>
        <w:widowControl/>
        <w:rPr>
          <w:rFonts w:hint="eastAsia" w:ascii="宋体" w:hAnsi="宋体" w:eastAsia="宋体" w:cs="宋体"/>
          <w:b/>
          <w:bCs/>
          <w:color w:val="000000"/>
          <w:sz w:val="21"/>
          <w:szCs w:val="21"/>
          <w:highlight w:val="none"/>
          <w:shd w:val="clear" w:color="auto" w:fill="auto"/>
          <w:lang w:bidi="ar"/>
        </w:rPr>
        <w:outlineLvl w:val="0"/>
      </w:pPr>
      <w:r>
        <w:rPr>
          <w:rFonts w:hint="eastAsia" w:ascii="宋体" w:hAnsi="宋体" w:eastAsia="宋体" w:cs="宋体"/>
          <w:b/>
          <w:bCs/>
          <w:color w:val="000000"/>
          <w:sz w:val="21"/>
          <w:szCs w:val="21"/>
          <w:highlight w:val="none"/>
          <w:shd w:val="clear" w:color="auto" w:fill="auto"/>
          <w:lang w:bidi="ar"/>
        </w:rPr>
        <w:t xml:space="preserve">（六）采购标的验收标准</w:t>
      </w:r>
      <w:r>
        <w:rPr>
          <w:rFonts w:hint="eastAsia" w:ascii="宋体" w:hAnsi="宋体" w:eastAsia="宋体" w:cs="宋体"/>
          <w:b/>
          <w:bCs/>
          <w:color w:val="000000"/>
          <w:sz w:val="21"/>
          <w:szCs w:val="21"/>
          <w:highlight w:val="none"/>
          <w:shd w:val="clear" w:color="auto" w:fill="auto"/>
          <w:lang w:bidi="ar"/>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在接到供应商以书面形式提出验收申请后，采购单位按合同约定积极配合供应商履约，按合同约定及时组织相关专业技术人员对维保服务的执行情况进行评定验收，并出具验收报告。</w:t>
      </w:r>
      <w:r>
        <w:rPr>
          <w:rFonts w:hint="eastAsia" w:ascii="宋体" w:hAnsi="宋体" w:eastAsia="宋体" w:cs="宋体"/>
          <w:color w:val="000000"/>
          <w:sz w:val="21"/>
          <w:szCs w:val="21"/>
          <w:highlight w:val="none"/>
          <w:shd w:val="clear" w:color="auto" w:fill="auto"/>
        </w:rPr>
      </w:r>
      <w:r/>
    </w:p>
    <w:p>
      <w:pPr>
        <w:pStyle w:val="725"/>
        <w:jc w:val="left"/>
        <w:pageBreakBefore w:val="0"/>
        <w:spacing w:line="360" w:lineRule="auto"/>
        <w:shd w:val="clear" w:color="auto" w:fill="auto"/>
        <w:widowControl/>
        <w:rPr>
          <w:rFonts w:hint="eastAsia" w:ascii="宋体" w:hAnsi="宋体" w:eastAsia="宋体" w:cs="宋体"/>
          <w:b/>
          <w:bCs/>
          <w:color w:val="000000"/>
          <w:sz w:val="21"/>
          <w:szCs w:val="21"/>
          <w:highlight w:val="none"/>
          <w:shd w:val="clear" w:color="auto" w:fill="auto"/>
          <w:lang w:bidi="ar"/>
        </w:rPr>
        <w:outlineLvl w:val="0"/>
      </w:pPr>
      <w:r>
        <w:rPr>
          <w:rFonts w:hint="eastAsia" w:ascii="宋体" w:hAnsi="宋体" w:eastAsia="宋体" w:cs="宋体"/>
          <w:b/>
          <w:bCs/>
          <w:color w:val="000000"/>
          <w:sz w:val="21"/>
          <w:szCs w:val="21"/>
          <w:highlight w:val="none"/>
          <w:shd w:val="clear" w:color="auto" w:fill="auto"/>
          <w:lang w:bidi="ar"/>
        </w:rPr>
        <w:t xml:space="preserve">（七）采购标的其他技术、服务等要求</w:t>
      </w:r>
      <w:r>
        <w:rPr>
          <w:rFonts w:hint="eastAsia" w:ascii="宋体" w:hAnsi="宋体" w:eastAsia="宋体" w:cs="宋体"/>
          <w:b/>
          <w:bCs/>
          <w:color w:val="000000"/>
          <w:sz w:val="21"/>
          <w:szCs w:val="21"/>
          <w:highlight w:val="none"/>
          <w:shd w:val="clear" w:color="auto" w:fill="auto"/>
          <w:lang w:bidi="ar"/>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供应商报价时需含全部维保费用，包括设备调试费用、人员培训费及其它所需配件等所需线材辅料等一切费用；供应商要对本次项目进行充分的调研，确保在项目实施过程中，采购人的各类业务系统必须正常运行。</w:t>
      </w:r>
      <w:r>
        <w:rPr>
          <w:rFonts w:hint="eastAsia" w:ascii="宋体" w:hAnsi="宋体" w:eastAsia="宋体" w:cs="宋体"/>
          <w:color w:val="000000"/>
          <w:sz w:val="21"/>
          <w:szCs w:val="21"/>
          <w:highlight w:val="none"/>
          <w:shd w:val="clear" w:color="auto" w:fill="auto"/>
        </w:rPr>
      </w:r>
      <w:r/>
    </w:p>
    <w:p>
      <w:pPr>
        <w:pStyle w:val="725"/>
        <w:ind w:firstLine="48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以上条款的内容如果需要修改或者有其他未涉及的事项，由双方协商解决。</w:t>
      </w:r>
      <w:r>
        <w:rPr>
          <w:rFonts w:hint="eastAsia" w:ascii="宋体" w:hAnsi="宋体" w:eastAsia="宋体" w:cs="宋体"/>
          <w:color w:val="000000"/>
          <w:sz w:val="21"/>
          <w:szCs w:val="21"/>
          <w:highlight w:val="none"/>
          <w:shd w:val="clear" w:color="auto" w:fill="auto"/>
        </w:rPr>
      </w:r>
      <w:r/>
    </w:p>
    <w:p>
      <w:pPr>
        <w:pStyle w:val="725"/>
        <w:jc w:val="left"/>
        <w:pageBreakBefore w:val="0"/>
        <w:spacing w:line="360" w:lineRule="auto"/>
        <w:shd w:val="clear" w:color="auto" w:fill="auto"/>
        <w:widowControl/>
        <w:rPr>
          <w:rFonts w:hint="eastAsia" w:ascii="宋体" w:hAnsi="宋体" w:eastAsia="宋体" w:cs="宋体"/>
          <w:b/>
          <w:bCs/>
          <w:color w:val="000000"/>
          <w:sz w:val="21"/>
          <w:szCs w:val="21"/>
          <w:highlight w:val="none"/>
          <w:shd w:val="clear" w:color="auto" w:fill="auto"/>
          <w:lang w:bidi="ar"/>
        </w:rPr>
        <w:outlineLvl w:val="0"/>
      </w:pPr>
      <w:r>
        <w:rPr>
          <w:rFonts w:hint="eastAsia" w:ascii="宋体" w:hAnsi="宋体" w:eastAsia="宋体" w:cs="宋体"/>
          <w:b/>
          <w:bCs/>
          <w:color w:val="000000"/>
          <w:sz w:val="21"/>
          <w:szCs w:val="21"/>
          <w:highlight w:val="none"/>
          <w:shd w:val="clear" w:color="auto" w:fill="auto"/>
          <w:lang w:bidi="ar"/>
        </w:rPr>
        <w:t xml:space="preserve">（</w:t>
      </w:r>
      <w:r>
        <w:rPr>
          <w:rFonts w:hint="eastAsia" w:ascii="宋体" w:hAnsi="宋体" w:eastAsia="宋体" w:cs="宋体"/>
          <w:b/>
          <w:bCs/>
          <w:color w:val="000000"/>
          <w:sz w:val="21"/>
          <w:szCs w:val="21"/>
          <w:highlight w:val="none"/>
          <w:shd w:val="clear" w:color="auto" w:fill="auto"/>
          <w:lang w:val="en-US" w:eastAsia="zh-CN" w:bidi="ar"/>
        </w:rPr>
        <w:t xml:space="preserve">八</w:t>
      </w:r>
      <w:r>
        <w:rPr>
          <w:rFonts w:hint="eastAsia" w:ascii="宋体" w:hAnsi="宋体" w:eastAsia="宋体" w:cs="宋体"/>
          <w:b/>
          <w:bCs/>
          <w:color w:val="000000"/>
          <w:sz w:val="21"/>
          <w:szCs w:val="21"/>
          <w:highlight w:val="none"/>
          <w:shd w:val="clear" w:color="auto" w:fill="auto"/>
          <w:lang w:bidi="ar"/>
        </w:rPr>
        <w:t xml:space="preserve">）付款方式</w:t>
      </w:r>
      <w:r>
        <w:rPr>
          <w:rFonts w:hint="eastAsia" w:ascii="宋体" w:hAnsi="宋体" w:eastAsia="宋体" w:cs="宋体"/>
          <w:b/>
          <w:bCs/>
          <w:color w:val="000000"/>
          <w:sz w:val="21"/>
          <w:szCs w:val="21"/>
          <w:highlight w:val="none"/>
          <w:shd w:val="clear" w:color="auto" w:fill="auto"/>
          <w:lang w:bidi="ar"/>
        </w:rPr>
      </w:r>
      <w:r/>
    </w:p>
    <w:p>
      <w:pPr>
        <w:pStyle w:val="1073"/>
        <w:ind w:firstLine="480"/>
        <w:pageBreakBefore w:val="0"/>
        <w:spacing w:before="0" w:beforeAutospacing="0" w:after="0" w:afterAutospacing="0"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在年度服务期开始2周后支付年度维护费用的50%，年度服务期满并且通过验收后支付剩余50%年度维护费用。</w:t>
      </w:r>
      <w:r>
        <w:rPr>
          <w:rFonts w:hint="eastAsia" w:ascii="宋体" w:hAnsi="宋体" w:eastAsia="宋体" w:cs="宋体"/>
          <w:b/>
          <w:bCs/>
          <w:color w:val="000000"/>
          <w:sz w:val="21"/>
          <w:szCs w:val="21"/>
          <w:highlight w:val="none"/>
          <w:shd w:val="clear" w:color="auto" w:fill="auto"/>
        </w:rPr>
      </w:r>
      <w:r/>
    </w:p>
    <w:p>
      <w:pPr>
        <w:pStyle w:val="725"/>
        <w:pageBreakBefore w:val="0"/>
        <w:spacing w:line="360" w:lineRule="auto"/>
        <w:shd w:val="clear" w:color="auto" w:fill="auto"/>
        <w:rPr>
          <w:rFonts w:hint="eastAsia" w:ascii="宋体" w:hAnsi="宋体" w:eastAsia="宋体" w:cs="宋体"/>
          <w:b/>
          <w:bCs/>
          <w:i/>
          <w:color w:val="000000"/>
          <w:sz w:val="21"/>
          <w:szCs w:val="21"/>
          <w:highlight w:val="none"/>
          <w:u w:val="single"/>
          <w:shd w:val="clear" w:color="auto" w:fill="auto"/>
        </w:rPr>
        <w:outlineLvl w:val="1"/>
      </w:pPr>
      <w:r>
        <w:rPr>
          <w:rFonts w:hint="eastAsia" w:ascii="宋体" w:hAnsi="宋体" w:eastAsia="宋体" w:cs="宋体"/>
          <w:b/>
          <w:color w:val="000000"/>
          <w:sz w:val="21"/>
          <w:szCs w:val="21"/>
          <w:highlight w:val="none"/>
          <w:shd w:val="clear" w:color="auto" w:fill="auto"/>
          <w:lang w:eastAsia="zh-CN"/>
        </w:rPr>
        <w:t xml:space="preserve">（</w:t>
      </w:r>
      <w:r>
        <w:rPr>
          <w:rFonts w:hint="eastAsia" w:ascii="宋体" w:hAnsi="宋体" w:eastAsia="宋体" w:cs="宋体"/>
          <w:b/>
          <w:color w:val="000000"/>
          <w:sz w:val="21"/>
          <w:szCs w:val="21"/>
          <w:highlight w:val="none"/>
          <w:shd w:val="clear" w:color="auto" w:fill="auto"/>
          <w:lang w:val="en-US" w:eastAsia="zh-CN"/>
        </w:rPr>
        <w:t xml:space="preserve">九）</w:t>
      </w:r>
      <w:r>
        <w:rPr>
          <w:rFonts w:hint="eastAsia" w:ascii="宋体" w:hAnsi="宋体" w:eastAsia="宋体" w:cs="宋体"/>
          <w:b/>
          <w:color w:val="000000"/>
          <w:sz w:val="21"/>
          <w:szCs w:val="21"/>
          <w:highlight w:val="none"/>
          <w:shd w:val="clear" w:color="auto" w:fill="auto"/>
        </w:rPr>
        <w:t xml:space="preserve">采购需求中必须满足的实质性要求。</w:t>
      </w:r>
      <w:r>
        <w:rPr>
          <w:rFonts w:hint="eastAsia" w:ascii="宋体" w:hAnsi="宋体" w:eastAsia="宋体" w:cs="宋体"/>
          <w:b/>
          <w:bCs/>
          <w:i/>
          <w:color w:val="000000"/>
          <w:sz w:val="21"/>
          <w:szCs w:val="21"/>
          <w:highlight w:val="none"/>
          <w:u w:val="single"/>
          <w:shd w:val="clear" w:color="auto" w:fill="auto"/>
        </w:rPr>
      </w:r>
      <w:r/>
    </w:p>
    <w:p>
      <w:pPr>
        <w:pStyle w:val="725"/>
        <w:ind w:firstLine="480"/>
        <w:jc w:val="left"/>
        <w:pageBreakBefore w:val="0"/>
        <w:spacing w:line="360" w:lineRule="auto"/>
        <w:shd w:val="clear" w:color="auto" w:fill="auto"/>
        <w:rPr>
          <w:rFonts w:hint="eastAsia" w:ascii="宋体" w:hAnsi="宋体" w:eastAsia="宋体" w:cs="宋体"/>
          <w:b/>
          <w:bCs/>
          <w:i/>
          <w:color w:val="000000"/>
          <w:sz w:val="21"/>
          <w:szCs w:val="21"/>
          <w:highlight w:val="none"/>
          <w:u w:val="single"/>
          <w:shd w:val="clear" w:color="auto" w:fill="auto"/>
        </w:rPr>
      </w:pPr>
      <w:r>
        <w:rPr>
          <w:rFonts w:hint="eastAsia" w:ascii="宋体" w:hAnsi="宋体" w:eastAsia="宋体" w:cs="宋体"/>
          <w:b/>
          <w:bCs/>
          <w:color w:val="000000"/>
          <w:sz w:val="21"/>
          <w:szCs w:val="21"/>
          <w:highlight w:val="none"/>
          <w:shd w:val="clear" w:color="auto" w:fill="auto"/>
        </w:rPr>
        <w:t xml:space="preserve">供应商必须完全响应并满足本项目采购需求全部内容。按照采购需求提供7*24小时维保服务。</w:t>
      </w:r>
      <w:r>
        <w:rPr>
          <w:rFonts w:hint="eastAsia" w:ascii="宋体" w:hAnsi="宋体" w:eastAsia="宋体" w:cs="宋体"/>
          <w:b/>
          <w:bCs/>
          <w:i/>
          <w:color w:val="000000"/>
          <w:sz w:val="21"/>
          <w:szCs w:val="21"/>
          <w:highlight w:val="none"/>
          <w:u w:val="single"/>
          <w:shd w:val="clear" w:color="auto" w:fill="auto"/>
        </w:rPr>
        <w:t xml:space="preserve">实质性要求需提供承诺函，格式</w:t>
      </w:r>
      <w:r>
        <w:rPr>
          <w:rFonts w:hint="eastAsia" w:ascii="宋体" w:hAnsi="宋体" w:eastAsia="宋体" w:cs="宋体"/>
          <w:b/>
          <w:bCs/>
          <w:i/>
          <w:color w:val="000000"/>
          <w:sz w:val="21"/>
          <w:szCs w:val="21"/>
          <w:highlight w:val="none"/>
          <w:u w:val="single"/>
          <w:shd w:val="clear" w:color="auto" w:fill="auto"/>
          <w:lang w:val="en-US" w:eastAsia="zh-CN"/>
        </w:rPr>
        <w:t xml:space="preserve">见附件</w:t>
      </w:r>
      <w:r>
        <w:rPr>
          <w:rFonts w:hint="eastAsia" w:ascii="宋体" w:hAnsi="宋体" w:eastAsia="宋体" w:cs="宋体"/>
          <w:b/>
          <w:bCs/>
          <w:i/>
          <w:color w:val="000000"/>
          <w:sz w:val="21"/>
          <w:szCs w:val="21"/>
          <w:highlight w:val="none"/>
          <w:u w:val="single"/>
          <w:shd w:val="clear" w:color="auto" w:fill="auto"/>
        </w:rPr>
        <w:t xml:space="preserve">。</w:t>
      </w:r>
      <w:r>
        <w:rPr>
          <w:rFonts w:hint="eastAsia" w:ascii="宋体" w:hAnsi="宋体" w:eastAsia="宋体" w:cs="宋体"/>
          <w:b/>
          <w:bCs/>
          <w:i/>
          <w:color w:val="000000"/>
          <w:sz w:val="21"/>
          <w:szCs w:val="21"/>
          <w:highlight w:val="none"/>
          <w:u w:val="single"/>
          <w:shd w:val="clear" w:color="auto" w:fill="auto"/>
        </w:rPr>
      </w:r>
      <w:r/>
    </w:p>
    <w:p>
      <w:pPr>
        <w:pStyle w:val="725"/>
        <w:jc w:val="center"/>
        <w:pageBreakBefore w:val="0"/>
        <w:spacing w:line="360" w:lineRule="auto"/>
        <w:shd w:val="clear" w:color="auto" w:fill="auto"/>
        <w:rPr>
          <w:rFonts w:hint="eastAsia" w:ascii="宋体" w:hAnsi="宋体" w:eastAsia="宋体" w:cs="宋体"/>
          <w:b/>
          <w:color w:val="000000"/>
          <w:sz w:val="36"/>
          <w:szCs w:val="36"/>
          <w:highlight w:val="none"/>
          <w:shd w:val="clear" w:color="auto" w:fill="auto"/>
        </w:rPr>
      </w:pPr>
      <w:r>
        <w:rPr>
          <w:rFonts w:hint="eastAsia" w:ascii="宋体" w:hAnsi="宋体" w:eastAsia="宋体" w:cs="宋体"/>
          <w:b/>
          <w:bCs/>
          <w:i/>
          <w:color w:val="000000"/>
          <w:sz w:val="21"/>
          <w:szCs w:val="21"/>
          <w:highlight w:val="none"/>
          <w:u w:val="single"/>
          <w:shd w:val="clear" w:color="auto" w:fill="auto"/>
        </w:rPr>
        <w:br w:type="page" w:clear="all"/>
      </w:r>
      <w:r>
        <w:rPr>
          <w:rFonts w:hint="eastAsia" w:ascii="宋体" w:hAnsi="宋体" w:eastAsia="宋体" w:cs="宋体"/>
          <w:b/>
          <w:color w:val="000000"/>
          <w:sz w:val="36"/>
          <w:szCs w:val="36"/>
          <w:highlight w:val="none"/>
          <w:shd w:val="clear" w:color="auto" w:fill="auto"/>
        </w:rPr>
        <w:t xml:space="preserve">第四部分  评标方法与评标标准</w:t>
      </w:r>
      <w:r>
        <w:rPr>
          <w:rFonts w:hint="eastAsia" w:ascii="宋体" w:hAnsi="宋体" w:eastAsia="宋体" w:cs="宋体"/>
          <w:b/>
          <w:color w:val="000000"/>
          <w:sz w:val="36"/>
          <w:szCs w:val="36"/>
          <w:highlight w:val="none"/>
          <w:shd w:val="clear" w:color="auto" w:fill="auto"/>
        </w:rPr>
      </w:r>
      <w:r/>
    </w:p>
    <w:p>
      <w:pPr>
        <w:pStyle w:val="725"/>
        <w:ind w:firstLine="555"/>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eastAsia="宋体" w:cs="宋体"/>
          <w:color w:val="000000"/>
          <w:szCs w:val="21"/>
          <w:highlight w:val="none"/>
          <w:shd w:val="clear" w:color="auto" w:fill="auto"/>
        </w:rPr>
      </w:r>
      <w:r/>
    </w:p>
    <w:tbl>
      <w:tblPr>
        <w:tblW w:w="0" w:type="auto"/>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6607"/>
      </w:tblGrid>
      <w:tr>
        <w:trPr>
          <w:trHeight w:val="513"/>
        </w:trPr>
        <w:tc>
          <w:tcPr>
            <w:tcW w:w="2193" w:type="dxa"/>
            <w:vAlign w:val="center"/>
            <w:textDirection w:val="lrTb"/>
            <w:noWrap/>
          </w:tcPr>
          <w:p>
            <w:pPr>
              <w:pStyle w:val="725"/>
              <w:jc w:val="center"/>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选取中标候选人数量</w:t>
            </w:r>
            <w:r>
              <w:rPr>
                <w:rFonts w:hint="eastAsia" w:ascii="宋体" w:hAnsi="宋体" w:eastAsia="宋体" w:cs="宋体"/>
                <w:color w:val="000000"/>
                <w:szCs w:val="21"/>
                <w:highlight w:val="none"/>
                <w:shd w:val="clear" w:color="auto" w:fill="auto"/>
              </w:rPr>
            </w:r>
            <w:r/>
          </w:p>
        </w:tc>
        <w:tc>
          <w:tcPr>
            <w:tcW w:w="6607" w:type="dxa"/>
            <w:vAlign w:val="center"/>
            <w:textDirection w:val="lrTb"/>
            <w:noWrap/>
          </w:tcPr>
          <w:p>
            <w:pPr>
              <w:pStyle w:val="725"/>
              <w:jc w:val="center"/>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选取中标候选人的原则</w:t>
            </w:r>
            <w:r>
              <w:rPr>
                <w:rFonts w:hint="eastAsia" w:ascii="宋体" w:hAnsi="宋体" w:eastAsia="宋体" w:cs="宋体"/>
                <w:color w:val="000000"/>
                <w:szCs w:val="21"/>
                <w:highlight w:val="none"/>
                <w:shd w:val="clear" w:color="auto" w:fill="auto"/>
              </w:rPr>
            </w:r>
            <w:r/>
          </w:p>
        </w:tc>
      </w:tr>
      <w:tr>
        <w:trPr/>
        <w:tc>
          <w:tcPr>
            <w:tcW w:w="2193" w:type="dxa"/>
            <w:vAlign w:val="center"/>
            <w:textDirection w:val="lrTb"/>
            <w:noWrap/>
          </w:tcPr>
          <w:p>
            <w:pPr>
              <w:pStyle w:val="725"/>
              <w:jc w:val="center"/>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6607" w:type="dxa"/>
            <w:vAlign w:val="center"/>
            <w:textDirection w:val="lrTb"/>
            <w:noWrap/>
          </w:tcPr>
          <w:p>
            <w:pPr>
              <w:pStyle w:val="725"/>
              <w:jc w:val="left"/>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满足招标文件全部实质性要求，且按照评审因素的量化指标评审得分最高的投标人为中标候选人。</w:t>
            </w:r>
            <w:r>
              <w:rPr>
                <w:rFonts w:hint="eastAsia" w:ascii="宋体" w:hAnsi="宋体" w:eastAsia="宋体" w:cs="宋体"/>
                <w:color w:val="000000"/>
                <w:szCs w:val="21"/>
                <w:highlight w:val="none"/>
                <w:shd w:val="clear" w:color="auto" w:fill="auto"/>
              </w:rPr>
            </w:r>
            <w:r/>
          </w:p>
        </w:tc>
      </w:tr>
    </w:tbl>
    <w:p>
      <w:pPr>
        <w:pStyle w:val="725"/>
        <w:ind w:firstLine="413"/>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评标方法与评标标准</w:t>
      </w:r>
      <w:r>
        <w:rPr>
          <w:rFonts w:hint="eastAsia" w:ascii="宋体" w:hAnsi="宋体" w:eastAsia="宋体" w:cs="宋体"/>
          <w:b/>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一、</w:t>
      </w:r>
      <w:r>
        <w:rPr>
          <w:rFonts w:hint="eastAsia" w:ascii="宋体" w:hAnsi="宋体" w:eastAsia="宋体" w:cs="宋体"/>
          <w:b/>
          <w:color w:val="000000"/>
          <w:szCs w:val="21"/>
          <w:highlight w:val="none"/>
          <w:shd w:val="clear" w:color="auto" w:fill="auto"/>
          <w:lang w:val="zh-CN"/>
        </w:rPr>
        <w:t xml:space="preserve">价格分</w:t>
      </w:r>
      <w:r>
        <w:rPr>
          <w:rFonts w:hint="eastAsia" w:ascii="宋体" w:hAnsi="宋体" w:eastAsia="宋体" w:cs="宋体"/>
          <w:b/>
          <w:color w:val="000000"/>
          <w:szCs w:val="21"/>
          <w:highlight w:val="none"/>
          <w:shd w:val="clear" w:color="auto" w:fill="auto"/>
        </w:rPr>
        <w:t xml:space="preserve">：</w:t>
      </w:r>
      <w:r>
        <w:rPr>
          <w:rFonts w:hint="eastAsia" w:ascii="宋体" w:hAnsi="宋体" w:eastAsia="宋体" w:cs="宋体"/>
          <w:b/>
          <w:color w:val="000000"/>
          <w:szCs w:val="21"/>
          <w:highlight w:val="none"/>
          <w:shd w:val="clear" w:color="auto" w:fill="auto"/>
          <w:lang w:val="en-US" w:eastAsia="zh-CN"/>
        </w:rPr>
        <w:t xml:space="preserve">1</w:t>
      </w:r>
      <w:r>
        <w:rPr>
          <w:rFonts w:hint="eastAsia" w:ascii="宋体" w:hAnsi="宋体" w:eastAsia="宋体" w:cs="宋体"/>
          <w:b/>
          <w:color w:val="000000"/>
          <w:szCs w:val="21"/>
          <w:highlight w:val="none"/>
          <w:shd w:val="clear" w:color="auto" w:fill="auto"/>
          <w:lang w:val="en-US" w:eastAsia="zh-CN"/>
        </w:rPr>
        <w:t xml:space="preserve">0</w:t>
      </w:r>
      <w:r>
        <w:rPr>
          <w:rFonts w:hint="eastAsia" w:ascii="宋体" w:hAnsi="宋体" w:eastAsia="宋体" w:cs="宋体"/>
          <w:b/>
          <w:color w:val="000000"/>
          <w:szCs w:val="21"/>
          <w:highlight w:val="none"/>
          <w:shd w:val="clear" w:color="auto" w:fill="auto"/>
          <w:lang w:val="zh-CN"/>
        </w:rPr>
        <w:t xml:space="preserve">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1.本次项目最高限价：</w:t>
      </w:r>
      <w:r>
        <w:rPr>
          <w:rFonts w:hint="eastAsia" w:ascii="宋体" w:hAnsi="宋体" w:eastAsia="宋体" w:cs="宋体"/>
          <w:color w:val="000000"/>
          <w:szCs w:val="21"/>
          <w:highlight w:val="none"/>
          <w:shd w:val="clear" w:color="auto" w:fill="auto"/>
          <w:lang w:val="en-US" w:eastAsia="zh-CN"/>
        </w:rPr>
        <w:t xml:space="preserve">145.34万元/年，</w:t>
      </w:r>
      <w:r>
        <w:rPr>
          <w:rFonts w:hint="eastAsia" w:ascii="宋体" w:hAnsi="宋体" w:eastAsia="宋体" w:cs="宋体"/>
          <w:color w:val="000000"/>
          <w:szCs w:val="21"/>
          <w:highlight w:val="none"/>
          <w:shd w:val="clear" w:color="auto" w:fill="auto"/>
        </w:rPr>
        <w:t xml:space="preserve">超过限价作无效标处理。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2.满足招标文件要求且投标报价最低的报价为评标基准价，其价格分为满分。</w:t>
      </w:r>
      <w:r>
        <w:rPr>
          <w:rFonts w:hint="eastAsia" w:ascii="宋体" w:hAnsi="宋体" w:eastAsia="宋体" w:cs="宋体"/>
          <w:color w:val="000000"/>
          <w:szCs w:val="21"/>
          <w:highlight w:val="none"/>
          <w:shd w:val="clear" w:color="auto" w:fill="auto"/>
        </w:rPr>
      </w:r>
      <w:r/>
    </w:p>
    <w:p>
      <w:pPr>
        <w:pStyle w:val="725"/>
        <w:ind w:firstLine="560"/>
        <w:spacing w:line="50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3.其他投标供应商的价格分统一按照下列公式计算：</w:t>
      </w:r>
      <w:r>
        <w:rPr>
          <w:rFonts w:hint="eastAsia" w:ascii="宋体" w:hAnsi="宋体" w:eastAsia="宋体" w:cs="宋体"/>
          <w:color w:val="000000"/>
          <w:szCs w:val="21"/>
          <w:highlight w:val="none"/>
          <w:shd w:val="clear" w:color="auto" w:fill="auto"/>
        </w:rPr>
      </w:r>
      <w:r/>
    </w:p>
    <w:p>
      <w:pPr>
        <w:pStyle w:val="72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投标报价得分=（评标基准价/投标报价）×价格权值×100</w:t>
      </w:r>
      <w:r>
        <w:rPr>
          <w:rFonts w:hint="eastAsia" w:ascii="宋体" w:hAnsi="宋体" w:eastAsia="宋体" w:cs="宋体"/>
          <w:color w:val="000000"/>
          <w:szCs w:val="21"/>
          <w:highlight w:val="none"/>
          <w:shd w:val="clear" w:color="auto" w:fill="auto"/>
        </w:rPr>
      </w:r>
      <w:r/>
    </w:p>
    <w:p>
      <w:pPr>
        <w:pStyle w:val="72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4.评审过程中出现下列情形之一的，评审小组应当启动</w:t>
      </w:r>
      <w:r>
        <w:rPr>
          <w:rFonts w:hint="eastAsia" w:ascii="宋体" w:hAnsi="宋体" w:eastAsia="宋体" w:cs="宋体"/>
          <w:color w:val="000000"/>
          <w:szCs w:val="21"/>
          <w:highlight w:val="none"/>
          <w:shd w:val="clear" w:color="auto" w:fill="auto"/>
          <w:lang w:val="en-US" w:eastAsia="zh-CN"/>
        </w:rPr>
        <w:t xml:space="preserve">异常低价投标审查</w:t>
      </w:r>
      <w:r>
        <w:rPr>
          <w:rFonts w:hint="eastAsia" w:ascii="宋体" w:hAnsi="宋体" w:eastAsia="宋体" w:cs="宋体"/>
          <w:color w:val="000000"/>
          <w:szCs w:val="21"/>
          <w:highlight w:val="none"/>
          <w:shd w:val="clear" w:color="auto" w:fill="auto"/>
        </w:rPr>
        <w:t xml:space="preserve">程序：</w:t>
      </w:r>
      <w:r>
        <w:rPr>
          <w:rFonts w:hint="eastAsia" w:ascii="宋体" w:hAnsi="宋体" w:eastAsia="宋体" w:cs="宋体"/>
          <w:color w:val="000000"/>
          <w:szCs w:val="21"/>
          <w:highlight w:val="none"/>
          <w:shd w:val="clear" w:color="auto" w:fill="auto"/>
        </w:rPr>
      </w:r>
      <w:r/>
    </w:p>
    <w:p>
      <w:pPr>
        <w:pStyle w:val="7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（3）投标报价低于采购项目最高限价45%的，即投标报价＜采购项目最高限价×45%；</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（4）评审小组基于专业判断，认定的供应商报价过低、有可能影响产品质量或者不能诚信履约的其他情形。</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评审委员会启动异常低价响应审查后，属于前述第（1）项至第（4）项情形的，应当要求相关供应商在</w:t>
      </w:r>
      <w:r>
        <w:rPr>
          <w:rFonts w:hint="eastAsia" w:ascii="宋体" w:hAnsi="宋体" w:eastAsia="宋体" w:cs="宋体"/>
          <w:b/>
          <w:bCs/>
          <w:color w:val="000000"/>
          <w:szCs w:val="21"/>
          <w:highlight w:val="none"/>
          <w:shd w:val="clear" w:color="auto" w:fill="auto"/>
          <w:lang w:val="en-US" w:eastAsia="zh-CN"/>
        </w:rPr>
        <w:t xml:space="preserve">30分钟</w:t>
      </w:r>
      <w:r>
        <w:rPr>
          <w:rFonts w:hint="eastAsia" w:ascii="宋体" w:hAnsi="宋体" w:eastAsia="宋体" w:cs="宋体"/>
          <w:color w:val="000000"/>
          <w:szCs w:val="21"/>
          <w:highlight w:val="none"/>
          <w:shd w:val="clear" w:color="auto" w:fill="auto"/>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Cs w:val="21"/>
          <w:highlight w:val="none"/>
          <w:shd w:val="clear" w:color="auto" w:fill="auto"/>
          <w:lang w:val="en-US" w:eastAsia="zh-CN"/>
        </w:rPr>
      </w:r>
      <w:r/>
    </w:p>
    <w:p>
      <w:pPr>
        <w:pStyle w:val="72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小组应当将其作为无效投标处理。</w:t>
      </w:r>
      <w:r>
        <w:rPr>
          <w:rFonts w:hint="eastAsia" w:ascii="宋体" w:hAnsi="宋体" w:eastAsia="宋体" w:cs="宋体"/>
          <w:color w:val="000000"/>
          <w:szCs w:val="21"/>
          <w:highlight w:val="none"/>
          <w:shd w:val="clear" w:color="auto" w:fill="auto"/>
          <w:lang w:val="en-US" w:eastAsia="zh-CN"/>
        </w:rPr>
      </w:r>
      <w:r/>
    </w:p>
    <w:p>
      <w:pPr>
        <w:pStyle w:val="72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eastAsia="宋体" w:cs="宋体"/>
          <w:color w:val="000000"/>
          <w:szCs w:val="21"/>
          <w:highlight w:val="none"/>
          <w:shd w:val="clear" w:color="auto" w:fill="auto"/>
          <w:lang w:val="en-US" w:eastAsia="zh-CN"/>
        </w:rPr>
      </w:r>
      <w:r/>
    </w:p>
    <w:p>
      <w:pPr>
        <w:pStyle w:val="72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异常低价投标审查的启动原因、审查意见和审查结果应当在评审报告中记录，并随供应商提供的相关书面说明及证明材料，以及评审小组有关互联网浏览、查询历史一并归档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numPr>
          <w:ilvl w:val="0"/>
          <w:numId w:val="0"/>
        </w:numPr>
        <w:ind w:firstLine="422"/>
        <w:spacing w:line="5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二、</w:t>
      </w:r>
      <w:r>
        <w:rPr>
          <w:rFonts w:hint="eastAsia" w:ascii="宋体" w:hAnsi="宋体" w:eastAsia="宋体" w:cs="宋体"/>
          <w:b/>
          <w:color w:val="000000"/>
          <w:szCs w:val="21"/>
          <w:highlight w:val="none"/>
          <w:shd w:val="clear" w:color="auto" w:fill="auto"/>
        </w:rPr>
        <w:t xml:space="preserve">商务技术分：</w:t>
      </w:r>
      <w:r>
        <w:rPr>
          <w:rFonts w:hint="eastAsia" w:ascii="宋体" w:hAnsi="宋体" w:eastAsia="宋体" w:cs="宋体"/>
          <w:b/>
          <w:color w:val="000000"/>
          <w:szCs w:val="21"/>
          <w:highlight w:val="none"/>
          <w:shd w:val="clear" w:color="auto" w:fill="auto"/>
          <w:lang w:val="en-US" w:eastAsia="zh-CN"/>
        </w:rPr>
        <w:t xml:space="preserve">9</w:t>
      </w:r>
      <w:r>
        <w:rPr>
          <w:rFonts w:hint="eastAsia" w:ascii="宋体" w:hAnsi="宋体" w:eastAsia="宋体" w:cs="宋体"/>
          <w:b/>
          <w:color w:val="000000"/>
          <w:szCs w:val="21"/>
          <w:highlight w:val="none"/>
          <w:shd w:val="clear" w:color="auto" w:fill="auto"/>
          <w:lang w:val="en-US" w:eastAsia="zh-CN"/>
        </w:rPr>
        <w:t xml:space="preserve">0</w:t>
      </w:r>
      <w:r>
        <w:rPr>
          <w:rFonts w:hint="eastAsia" w:ascii="宋体" w:hAnsi="宋体" w:eastAsia="宋体" w:cs="宋体"/>
          <w:b/>
          <w:color w:val="000000"/>
          <w:szCs w:val="21"/>
          <w:highlight w:val="none"/>
          <w:shd w:val="clear" w:color="auto" w:fill="auto"/>
        </w:rPr>
        <w:t xml:space="preserve">分</w:t>
      </w:r>
      <w:r>
        <w:rPr>
          <w:rFonts w:hint="eastAsia" w:ascii="宋体" w:hAnsi="宋体" w:eastAsia="宋体" w:cs="宋体"/>
          <w:b/>
          <w:color w:val="000000"/>
          <w:szCs w:val="21"/>
          <w:highlight w:val="none"/>
          <w:shd w:val="clear" w:color="auto" w:fill="auto"/>
        </w:rPr>
      </w:r>
      <w:r/>
    </w:p>
    <w:tbl>
      <w:tblPr>
        <w:tblpPr w:horzAnchor="page" w:tblpX="1691" w:vertAnchor="text" w:tblpY="474" w:leftFromText="180" w:topFromText="0" w:rightFromText="180" w:bottomFromText="0"/>
        <w:tblW w:w="4773" w:type="pct"/>
        <w:tblInd w:w="-108" w:type="dxa"/>
        <w:tblLayout w:type="autofit"/>
        <w:tblCellMar>
          <w:left w:w="108" w:type="dxa"/>
          <w:top w:w="0" w:type="dxa"/>
          <w:right w:w="108" w:type="dxa"/>
          <w:bottom w:w="0" w:type="dxa"/>
        </w:tblCellMar>
        <w:tblLook w:val="04A0" w:firstRow="1" w:lastRow="0" w:firstColumn="1" w:lastColumn="0" w:noHBand="0" w:noVBand="1"/>
      </w:tblPr>
      <w:tblGrid>
        <w:gridCol w:w="497"/>
        <w:gridCol w:w="915"/>
        <w:gridCol w:w="6674"/>
        <w:gridCol w:w="672"/>
      </w:tblGrid>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shd w:val="clear" w:color="auto" w:fill="auto"/>
              <w:rPr>
                <w:rFonts w:ascii="宋体" w:hAnsi="宋体" w:cs="宋体"/>
                <w:b/>
                <w:bCs/>
                <w:color w:val="000000"/>
                <w:sz w:val="24"/>
                <w:highlight w:val="none"/>
                <w:shd w:val="clear" w:color="auto" w:fill="auto"/>
              </w:rPr>
              <w:framePr w:vAnchor="text" w:hAnchor="page" w:x="1691" w:y="474"/>
            </w:pPr>
            <w:r>
              <w:rPr>
                <w:rFonts w:hint="eastAsia" w:ascii="宋体" w:hAnsi="宋体" w:cs="宋体"/>
                <w:b/>
                <w:bCs/>
                <w:color w:val="000000"/>
                <w:sz w:val="24"/>
                <w:highlight w:val="none"/>
                <w:shd w:val="clear" w:color="auto" w:fill="auto"/>
                <w:lang w:bidi="ar"/>
              </w:rPr>
              <w:t xml:space="preserve">序号</w:t>
            </w:r>
            <w:r>
              <w:rPr>
                <w:rFonts w:ascii="宋体" w:hAnsi="宋体" w:cs="宋体"/>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center"/>
              <w:shd w:val="clear" w:color="auto" w:fill="auto"/>
              <w:widowControl/>
              <w:rPr>
                <w:rFonts w:ascii="宋体" w:hAnsi="宋体" w:cs="宋体"/>
                <w:b/>
                <w:bCs/>
                <w:color w:val="000000"/>
                <w:sz w:val="24"/>
                <w:highlight w:val="none"/>
                <w:shd w:val="clear" w:color="auto" w:fill="auto"/>
              </w:rPr>
              <w:framePr w:vAnchor="text" w:hAnchor="page" w:x="1691" w:y="474"/>
            </w:pPr>
            <w:r>
              <w:rPr>
                <w:rFonts w:hint="eastAsia" w:ascii="宋体" w:hAnsi="宋体" w:cs="宋体"/>
                <w:b/>
                <w:bCs/>
                <w:color w:val="000000"/>
                <w:sz w:val="24"/>
                <w:highlight w:val="none"/>
                <w:shd w:val="clear" w:color="auto" w:fill="auto"/>
                <w:lang w:bidi="ar"/>
              </w:rPr>
              <w:t xml:space="preserve">评分点名称</w:t>
            </w:r>
            <w:r>
              <w:rPr>
                <w:rFonts w:ascii="宋体" w:hAnsi="宋体" w:cs="宋体"/>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center"/>
              <w:shd w:val="clear" w:color="auto" w:fill="auto"/>
              <w:widowControl/>
              <w:rPr>
                <w:rFonts w:ascii="宋体" w:hAnsi="宋体" w:cs="宋体"/>
                <w:b/>
                <w:bCs/>
                <w:color w:val="000000"/>
                <w:sz w:val="24"/>
                <w:highlight w:val="none"/>
                <w:shd w:val="clear" w:color="auto" w:fill="auto"/>
              </w:rPr>
              <w:framePr w:vAnchor="text" w:hAnchor="page" w:x="1691" w:y="474"/>
            </w:pPr>
            <w:r>
              <w:rPr>
                <w:rFonts w:hint="eastAsia" w:ascii="宋体" w:hAnsi="宋体" w:cs="宋体"/>
                <w:b/>
                <w:bCs/>
                <w:color w:val="000000"/>
                <w:sz w:val="24"/>
                <w:highlight w:val="none"/>
                <w:shd w:val="clear" w:color="auto" w:fill="auto"/>
                <w:lang w:bidi="ar"/>
              </w:rPr>
              <w:t xml:space="preserve">评审标准</w:t>
            </w:r>
            <w:r>
              <w:rPr>
                <w:rFonts w:ascii="宋体" w:hAnsi="宋体" w:cs="宋体"/>
                <w:b/>
                <w:bCs/>
                <w:color w:val="000000"/>
                <w:sz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eastAsia="宋体" w:cs="宋体"/>
                <w:b/>
                <w:bCs/>
                <w:color w:val="000000"/>
                <w:sz w:val="24"/>
                <w:highlight w:val="none"/>
                <w:shd w:val="clear" w:color="auto" w:fill="auto"/>
                <w:lang w:eastAsia="zh-CN"/>
              </w:rPr>
              <w:framePr w:vAnchor="text" w:hAnchor="page" w:x="1691" w:y="474"/>
            </w:pPr>
            <w:r>
              <w:rPr>
                <w:rFonts w:hint="eastAsia" w:ascii="宋体" w:hAnsi="宋体" w:cs="宋体"/>
                <w:b/>
                <w:bCs/>
                <w:color w:val="000000"/>
                <w:sz w:val="24"/>
                <w:highlight w:val="none"/>
                <w:shd w:val="clear" w:color="auto" w:fill="auto"/>
                <w:lang w:val="en-US" w:eastAsia="zh-CN" w:bidi="ar"/>
              </w:rPr>
              <w:t xml:space="preserve">分值</w:t>
            </w:r>
            <w:r>
              <w:rPr>
                <w:rFonts w:hint="eastAsia" w:ascii="宋体" w:hAnsi="宋体" w:eastAsia="宋体" w:cs="宋体"/>
                <w:b/>
                <w:bCs/>
                <w:color w:val="000000"/>
                <w:sz w:val="24"/>
                <w:highlight w:val="none"/>
                <w:shd w:val="clear" w:color="auto" w:fill="auto"/>
                <w:lang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1</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系统平台软硬件维保需求理解及分析</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ind w:firstLine="0"/>
              <w:jc w:val="left"/>
              <w:spacing w:line="300" w:lineRule="auto"/>
              <w:shd w:val="clear" w:color="auto" w:fill="auto"/>
              <w:widowControl/>
              <w:rPr>
                <w:rStyle w:val="1051"/>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能根据调研情况提供对本系统软硬件架构与业务系统情况理解及分析，提供用户网络拓扑图，对采购人现有的信息化系统的现状有深入的研究，对维保所需的各项服务理解透彻，提出重难点分析及应对措施。根据方案的合理性、规范性、可靠性综合评价分三个等级：优秀（内容详细完整，科学，可行性、针对性强）得</w:t>
            </w:r>
            <w:r>
              <w:rPr>
                <w:rFonts w:hint="eastAsia" w:ascii="宋体" w:hAnsi="宋体" w:cs="宋体"/>
                <w:color w:val="000000"/>
                <w:highlight w:val="none"/>
                <w:shd w:val="clear" w:color="auto" w:fill="auto"/>
                <w:lang w:val="en-US" w:eastAsia="zh-CN" w:bidi="ar"/>
              </w:rPr>
              <w:t xml:space="preserve">10</w:t>
            </w:r>
            <w:r>
              <w:rPr>
                <w:rFonts w:hint="eastAsia" w:ascii="宋体" w:hAnsi="宋体" w:cs="宋体"/>
                <w:color w:val="000000"/>
                <w:highlight w:val="none"/>
                <w:shd w:val="clear" w:color="auto" w:fill="auto"/>
                <w:lang w:bidi="ar"/>
              </w:rPr>
              <w:t xml:space="preserve">分，良好（内容符合采购文件要求且详尽完备，可行性、合理性、针对性较好）得</w:t>
            </w:r>
            <w:r>
              <w:rPr>
                <w:rFonts w:hint="eastAsia" w:ascii="宋体" w:hAnsi="宋体" w:cs="宋体"/>
                <w:color w:val="000000"/>
                <w:highlight w:val="none"/>
                <w:shd w:val="clear" w:color="auto" w:fill="auto"/>
                <w:lang w:val="en-US" w:eastAsia="zh-CN" w:bidi="ar"/>
              </w:rPr>
              <w:t xml:space="preserve">6</w:t>
            </w:r>
            <w:r>
              <w:rPr>
                <w:rFonts w:hint="eastAsia" w:ascii="宋体" w:hAnsi="宋体" w:cs="宋体"/>
                <w:color w:val="000000"/>
                <w:highlight w:val="none"/>
                <w:shd w:val="clear" w:color="auto" w:fill="auto"/>
                <w:lang w:bidi="ar"/>
              </w:rPr>
              <w:t xml:space="preserve">分，一般（内容无缺漏项，科学性、可行性一般）得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分，没有不得分。</w:t>
            </w:r>
            <w:r>
              <w:rPr>
                <w:rStyle w:val="1051"/>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ascii="宋体" w:hAnsi="宋体" w:eastAsia="宋体" w:cs="宋体"/>
                <w:color w:val="000000"/>
                <w:highlight w:val="none"/>
                <w:shd w:val="clear" w:color="auto" w:fill="auto"/>
                <w:lang w:val="en-US" w:eastAsia="zh-CN"/>
              </w:rPr>
              <w:framePr w:vAnchor="text" w:hAnchor="page" w:x="1691" w:y="474"/>
            </w:pPr>
            <w:r>
              <w:rPr>
                <w:rFonts w:hint="eastAsia" w:ascii="宋体" w:hAnsi="宋体" w:cs="宋体"/>
                <w:color w:val="000000"/>
                <w:highlight w:val="none"/>
                <w:shd w:val="clear" w:color="auto" w:fill="auto"/>
                <w:lang w:val="en-US" w:eastAsia="zh-CN"/>
              </w:rPr>
              <w:t xml:space="preserve">10</w:t>
            </w:r>
            <w:r>
              <w:rPr>
                <w:rFonts w:ascii="宋体" w:hAnsi="宋体" w:eastAsia="宋体" w:cs="宋体"/>
                <w:color w:val="000000"/>
                <w:highlight w:val="none"/>
                <w:shd w:val="clear" w:color="auto" w:fill="auto"/>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2</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数据库系统维保需求理解及分析</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ind w:firstLine="0"/>
              <w:jc w:val="left"/>
              <w:spacing w:line="300" w:lineRule="auto"/>
              <w:shd w:val="clear" w:color="auto" w:fill="auto"/>
              <w:widowControl/>
              <w:rPr>
                <w:rStyle w:val="1051"/>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能根据调研情况提供对本项目数据库系统情况理解及分析，包括当前数据库高性能SSD的ASM磁盘挂载结构，业务数据表在SSD盘上的分配使用，各个数据库中数据和归档日志分开存储策略，业务高峰期间的TOP wait event及应急处理方式，当前各个库在不同时段的性能表现曲线等内容。根据方案的合理性、规范性、可靠性综合评价分三个等级：优秀（内容详细完整，科学，可行性、针对性强）得</w:t>
            </w:r>
            <w:r>
              <w:rPr>
                <w:rFonts w:hint="eastAsia" w:ascii="宋体" w:hAnsi="宋体" w:cs="宋体"/>
                <w:color w:val="000000"/>
                <w:highlight w:val="none"/>
                <w:shd w:val="clear" w:color="auto" w:fill="auto"/>
                <w:lang w:val="en-US" w:eastAsia="zh-CN" w:bidi="ar"/>
              </w:rPr>
              <w:t xml:space="preserve">10</w:t>
            </w:r>
            <w:r>
              <w:rPr>
                <w:rFonts w:hint="eastAsia" w:ascii="宋体" w:hAnsi="宋体" w:cs="宋体"/>
                <w:color w:val="000000"/>
                <w:highlight w:val="none"/>
                <w:shd w:val="clear" w:color="auto" w:fill="auto"/>
                <w:lang w:bidi="ar"/>
              </w:rPr>
              <w:t xml:space="preserve">分，良好（内容符合采购文件要求且详尽完备，可行性、合理性、针对性较好）得6分，一般（内容无缺漏项，科学性、可行性一般）得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分，没有不得分。</w:t>
            </w:r>
            <w:r>
              <w:rPr>
                <w:rStyle w:val="1051"/>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ascii="宋体" w:hAnsi="宋体" w:eastAsia="宋体" w:cs="宋体"/>
                <w:color w:val="000000"/>
                <w:highlight w:val="none"/>
                <w:shd w:val="clear" w:color="auto" w:fill="auto"/>
                <w:lang w:val="en-US" w:eastAsia="zh-CN"/>
              </w:rPr>
              <w:framePr w:vAnchor="text" w:hAnchor="page" w:x="1691" w:y="474"/>
            </w:pPr>
            <w:r>
              <w:rPr>
                <w:rFonts w:hint="eastAsia" w:ascii="宋体" w:hAnsi="宋体" w:cs="宋体"/>
                <w:color w:val="000000"/>
                <w:highlight w:val="none"/>
                <w:shd w:val="clear" w:color="auto" w:fill="auto"/>
                <w:lang w:val="en-US" w:eastAsia="zh-CN"/>
              </w:rPr>
              <w:t xml:space="preserve">10</w:t>
            </w:r>
            <w:r>
              <w:rPr>
                <w:rFonts w:ascii="宋体" w:hAnsi="宋体" w:eastAsia="宋体" w:cs="宋体"/>
                <w:color w:val="000000"/>
                <w:highlight w:val="none"/>
                <w:shd w:val="clear" w:color="auto" w:fill="auto"/>
                <w:lang w:val="en-US"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3</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维保服务方案</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pacing w:line="300" w:lineRule="auto"/>
              <w:shd w:val="clear" w:color="auto" w:fill="auto"/>
              <w:widowControl/>
              <w:rPr>
                <w:rStyle w:val="1051"/>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根据机房系统现状提供的维保服务方案包括但不限于：从巡检服务、现场服务、系统优化升级、备件保障、人员安排、数据备份、安全服务、服务质量保证措施等。根据方案的合理性、规范性、可靠性综合评价分三个等级：优秀（内容详细完整，科学，可行性、针对性强）得</w:t>
            </w:r>
            <w:r>
              <w:rPr>
                <w:rFonts w:hint="eastAsia" w:ascii="宋体" w:hAnsi="宋体" w:cs="宋体"/>
                <w:color w:val="000000"/>
                <w:highlight w:val="none"/>
                <w:shd w:val="clear" w:color="auto" w:fill="auto"/>
                <w:lang w:val="en-US" w:eastAsia="zh-CN" w:bidi="ar"/>
              </w:rPr>
              <w:t xml:space="preserve">10</w:t>
            </w:r>
            <w:r>
              <w:rPr>
                <w:rFonts w:hint="eastAsia" w:ascii="宋体" w:hAnsi="宋体" w:cs="宋体"/>
                <w:color w:val="000000"/>
                <w:highlight w:val="none"/>
                <w:shd w:val="clear" w:color="auto" w:fill="auto"/>
                <w:lang w:bidi="ar"/>
              </w:rPr>
              <w:t xml:space="preserve">分，良好（内容符合采购文件要求且详尽完备，可行性、合理性、针对性较好）得6分，一般（内容无缺漏项，科学性、可行性一般）得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分，没有不得分。</w:t>
            </w:r>
            <w:r>
              <w:rPr>
                <w:rStyle w:val="1051"/>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ascii="宋体" w:hAnsi="宋体" w:eastAsia="宋体" w:cs="宋体"/>
                <w:color w:val="000000"/>
                <w:highlight w:val="none"/>
                <w:shd w:val="clear" w:color="auto" w:fill="auto"/>
                <w:lang w:val="en-US" w:eastAsia="zh-CN"/>
              </w:rPr>
              <w:framePr w:vAnchor="text" w:hAnchor="page" w:x="1691" w:y="474"/>
            </w:pPr>
            <w:r>
              <w:rPr>
                <w:rFonts w:hint="eastAsia" w:ascii="宋体" w:hAnsi="宋体" w:cs="宋体"/>
                <w:color w:val="000000"/>
                <w:highlight w:val="none"/>
                <w:shd w:val="clear" w:color="auto" w:fill="auto"/>
                <w:lang w:val="en-US" w:eastAsia="zh-CN"/>
              </w:rPr>
              <w:t xml:space="preserve">10</w:t>
            </w:r>
            <w:r>
              <w:rPr>
                <w:rFonts w:ascii="宋体" w:hAnsi="宋体" w:eastAsia="宋体" w:cs="宋体"/>
                <w:color w:val="000000"/>
                <w:highlight w:val="none"/>
                <w:shd w:val="clear" w:color="auto" w:fill="auto"/>
                <w:lang w:val="en-US"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4</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应急管理预案</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hd w:val="clear" w:color="auto" w:fill="auto"/>
              <w:widowControl/>
              <w:rPr>
                <w:rStyle w:val="1051"/>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根据系统情况，提供采购人工作中应采取的信息应急管理预案建议预案。根据方案的合理性、规范性、可靠性综合评价分三个等级：优秀（内容详细完整，科学，可行性、针对性强）得5分，良好（内容较详尽，可行性、合理性、针对性较好）得3分，一般（内容无缺漏项，科学性、可行性一般）得1分，没有不得分。</w:t>
            </w:r>
            <w:r>
              <w:rPr>
                <w:rStyle w:val="1051"/>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rPr>
              <w:framePr w:vAnchor="text" w:hAnchor="page" w:x="1691" w:y="474"/>
            </w:pPr>
            <w:r>
              <w:rPr>
                <w:rFonts w:hint="eastAsia" w:ascii="宋体" w:hAnsi="宋体" w:cs="宋体"/>
                <w:color w:val="000000"/>
                <w:highlight w:val="none"/>
                <w:shd w:val="clear" w:color="auto" w:fill="auto"/>
              </w:rPr>
              <w:t xml:space="preserve">5</w:t>
            </w:r>
            <w:r>
              <w:rPr>
                <w:rFonts w:ascii="宋体" w:hAnsi="宋体" w:cs="宋体"/>
                <w:color w:val="000000"/>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5</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培训方案</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提供完整的培训方案，包括培训流程、培训对象、培训方式、培训课程及时间安排等。根据方案的合理性、规范性、可靠性综合评价分三个等级：优秀（内容详细完整，科学，可行性强）得</w:t>
            </w:r>
            <w:r>
              <w:rPr>
                <w:rFonts w:hint="eastAsia" w:ascii="宋体" w:hAnsi="宋体" w:cs="宋体"/>
                <w:color w:val="000000"/>
                <w:highlight w:val="none"/>
                <w:shd w:val="clear" w:color="auto" w:fill="auto"/>
                <w:lang w:val="en-US" w:eastAsia="zh-CN" w:bidi="ar"/>
              </w:rPr>
              <w:t xml:space="preserve">3</w:t>
            </w:r>
            <w:r>
              <w:rPr>
                <w:rFonts w:hint="eastAsia" w:ascii="宋体" w:hAnsi="宋体" w:cs="宋体"/>
                <w:color w:val="000000"/>
                <w:highlight w:val="none"/>
                <w:shd w:val="clear" w:color="auto" w:fill="auto"/>
                <w:lang w:bidi="ar"/>
              </w:rPr>
              <w:t xml:space="preserve">分，良好（内容符合采购文件要求，可行性、合理性较好）得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分，一般（内容无缺漏项，科学性、可行性一般）得1分，没有不得分。</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eastAsia="zh-CN"/>
              </w:rPr>
              <w:framePr w:vAnchor="text" w:hAnchor="page" w:x="1691" w:y="474"/>
            </w:pPr>
            <w:r>
              <w:rPr>
                <w:rFonts w:hint="eastAsia" w:ascii="宋体" w:hAnsi="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lang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val="en-US"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6</w:t>
            </w:r>
            <w:r>
              <w:rPr>
                <w:rFonts w:hint="eastAsia" w:ascii="宋体" w:hAnsi="宋体" w:eastAsia="宋体" w:cs="宋体"/>
                <w:color w:val="000000"/>
                <w:highlight w:val="none"/>
                <w:shd w:val="clear" w:color="auto" w:fill="auto"/>
                <w:lang w:val="en-US" w:eastAsia="zh-CN"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服务承诺</w:t>
            </w:r>
            <w:r>
              <w:rPr>
                <w:rFonts w:hint="eastAsia"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服务期间发生紧急故障时承诺到达现场时间：服务期间紧急故障时承诺到达现场时间小于1小时的得</w:t>
            </w:r>
            <w:r>
              <w:rPr>
                <w:rFonts w:hint="eastAsia" w:ascii="宋体" w:hAnsi="宋体" w:cs="宋体"/>
                <w:color w:val="000000"/>
                <w:highlight w:val="none"/>
                <w:shd w:val="clear" w:color="auto" w:fill="auto"/>
                <w:lang w:val="en-US" w:eastAsia="zh-CN" w:bidi="ar"/>
              </w:rPr>
              <w:t xml:space="preserve">2</w:t>
            </w:r>
            <w:r>
              <w:rPr>
                <w:rFonts w:hint="eastAsia" w:ascii="宋体" w:hAnsi="宋体" w:cs="宋体"/>
                <w:color w:val="000000"/>
                <w:highlight w:val="none"/>
                <w:shd w:val="clear" w:color="auto" w:fill="auto"/>
                <w:lang w:bidi="ar"/>
              </w:rPr>
              <w:t xml:space="preserve">分，超出时限不得分。（提供承诺书</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val="en-US" w:eastAsia="zh-CN" w:bidi="ar"/>
              </w:rPr>
              <w:t xml:space="preserve">格式自拟</w:t>
            </w:r>
            <w:r>
              <w:rPr>
                <w:rFonts w:hint="eastAsia" w:ascii="宋体" w:hAnsi="宋体" w:cs="宋体"/>
                <w:color w:val="000000"/>
                <w:highlight w:val="none"/>
                <w:shd w:val="clear" w:color="auto" w:fill="auto"/>
                <w:lang w:bidi="ar"/>
              </w:rPr>
              <w:t xml:space="preserve">）</w:t>
            </w:r>
            <w:r>
              <w:rPr>
                <w:rFonts w:hint="eastAsia"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val="en-US" w:eastAsia="zh-CN"/>
              </w:rPr>
              <w:framePr w:vAnchor="text" w:hAnchor="page" w:x="1691" w:y="474"/>
            </w:pPr>
            <w:r>
              <w:rPr>
                <w:rFonts w:hint="eastAsia" w:ascii="宋体" w:hAnsi="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lang w:val="en-US"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7</w:t>
            </w:r>
            <w:r>
              <w:rPr>
                <w:rFonts w:hint="eastAsia" w:ascii="宋体" w:hAnsi="宋体" w:eastAsia="宋体" w:cs="宋体"/>
                <w:color w:val="000000"/>
                <w:highlight w:val="none"/>
                <w:shd w:val="clear" w:color="auto" w:fill="auto"/>
                <w:lang w:eastAsia="zh-CN"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服务能力</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spacing w:line="300" w:lineRule="auto"/>
              <w:shd w:val="clear" w:color="auto" w:fill="auto"/>
              <w:widowControl/>
              <w:rPr>
                <w:rFonts w:hint="eastAsia" w:ascii="宋体" w:hAnsi="宋体" w:eastAsia="宋体" w:cs="宋体"/>
                <w:b w:val="0"/>
                <w:bCs w:val="0"/>
                <w:color w:val="000000"/>
                <w:highlight w:val="none"/>
                <w:shd w:val="clear" w:color="auto" w:fill="auto"/>
                <w:lang w:bidi="ar"/>
              </w:rPr>
              <w:framePr w:vAnchor="text" w:hAnchor="page" w:x="1691" w:y="474"/>
            </w:pPr>
            <w:r>
              <w:rPr>
                <w:rFonts w:hint="eastAsia" w:ascii="宋体" w:hAnsi="宋体" w:eastAsia="宋体" w:cs="宋体"/>
                <w:color w:val="000000"/>
                <w:highlight w:val="none"/>
                <w:shd w:val="clear" w:color="auto" w:fill="auto"/>
                <w:lang w:bidi="ar"/>
              </w:rPr>
              <w:t xml:space="preserve">1.</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eastAsia="宋体" w:cs="宋体"/>
                <w:color w:val="000000"/>
                <w:highlight w:val="none"/>
                <w:shd w:val="clear" w:color="auto" w:fill="auto"/>
                <w:lang w:bidi="ar"/>
              </w:rPr>
              <w:t xml:space="preserve">具有的远程安全评估系统工具满足招标文件中远程安全评估系统工具性能基本要求，此外具备如下功能：支持安全漏洞检测，具备漏洞检测能力，支持木马检测并提供功能截图得2分；</w:t>
            </w:r>
            <w:r>
              <w:rPr>
                <w:rFonts w:hint="eastAsia" w:ascii="宋体" w:hAnsi="宋体" w:eastAsia="宋体" w:cs="宋体"/>
                <w:b w:val="0"/>
                <w:bCs w:val="0"/>
                <w:color w:val="000000"/>
                <w:highlight w:val="none"/>
                <w:shd w:val="clear" w:color="auto" w:fill="auto"/>
                <w:lang w:bidi="ar"/>
              </w:rPr>
            </w:r>
            <w:r/>
          </w:p>
          <w:p>
            <w:pPr>
              <w:pStyle w:val="725"/>
              <w:spacing w:line="300" w:lineRule="auto"/>
              <w:shd w:val="clear" w:color="auto" w:fill="auto"/>
              <w:widowControl/>
              <w:rPr>
                <w:rStyle w:val="1051"/>
                <w:rFonts w:hint="eastAsia" w:ascii="宋体" w:hAnsi="宋体" w:eastAsia="宋体" w:cs="宋体"/>
                <w:b w:val="0"/>
                <w:bCs w:val="0"/>
                <w:color w:val="000000"/>
                <w:sz w:val="21"/>
                <w:szCs w:val="21"/>
                <w:highlight w:val="none"/>
                <w:shd w:val="clear" w:color="auto" w:fill="auto"/>
                <w:lang w:bidi="ar"/>
              </w:rPr>
              <w:framePr w:vAnchor="text" w:hAnchor="page" w:x="1691" w:y="474"/>
            </w:pPr>
            <w:r>
              <w:rPr>
                <w:rFonts w:hint="eastAsia" w:ascii="宋体" w:hAnsi="宋体" w:eastAsia="宋体" w:cs="宋体"/>
                <w:b w:val="0"/>
                <w:bCs w:val="0"/>
                <w:color w:val="000000"/>
                <w:highlight w:val="none"/>
                <w:shd w:val="clear" w:color="auto" w:fill="auto"/>
                <w:lang w:bidi="ar"/>
              </w:rPr>
              <w:t xml:space="preserve">2.</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eastAsia="宋体" w:cs="宋体"/>
                <w:b w:val="0"/>
                <w:bCs w:val="0"/>
                <w:color w:val="000000"/>
                <w:highlight w:val="none"/>
                <w:shd w:val="clear" w:color="auto" w:fill="auto"/>
                <w:lang w:bidi="ar"/>
              </w:rPr>
              <w:t xml:space="preserve">具有的远程安全评估系统工具具备支持专门针对已有攻击利用代码的漏洞检测，检测用户资产是否存在可利用的</w:t>
            </w:r>
            <w:r>
              <w:rPr>
                <w:rStyle w:val="1051"/>
                <w:rFonts w:hint="eastAsia" w:ascii="宋体" w:hAnsi="宋体" w:eastAsia="宋体" w:cs="宋体"/>
                <w:b w:val="0"/>
                <w:bCs w:val="0"/>
                <w:color w:val="000000"/>
                <w:sz w:val="21"/>
                <w:szCs w:val="21"/>
                <w:highlight w:val="none"/>
                <w:shd w:val="clear" w:color="auto" w:fill="auto"/>
                <w:lang w:bidi="ar"/>
              </w:rPr>
              <w:t xml:space="preserve">漏洞并提供功能截图得2分；</w:t>
            </w:r>
            <w:r>
              <w:rPr>
                <w:rStyle w:val="1051"/>
                <w:rFonts w:hint="eastAsia" w:ascii="宋体" w:hAnsi="宋体" w:eastAsia="宋体" w:cs="宋体"/>
                <w:b w:val="0"/>
                <w:bCs w:val="0"/>
                <w:color w:val="000000"/>
                <w:sz w:val="21"/>
                <w:szCs w:val="21"/>
                <w:highlight w:val="none"/>
                <w:shd w:val="clear" w:color="auto" w:fill="auto"/>
                <w:lang w:bidi="ar"/>
              </w:rPr>
            </w:r>
            <w:r/>
          </w:p>
          <w:p>
            <w:pPr>
              <w:pStyle w:val="725"/>
              <w:spacing w:line="300" w:lineRule="auto"/>
              <w:shd w:val="clear" w:color="auto" w:fill="auto"/>
              <w:widowControl/>
              <w:rPr>
                <w:rStyle w:val="1051"/>
                <w:rFonts w:hint="eastAsia" w:ascii="宋体" w:hAnsi="宋体" w:eastAsia="宋体" w:cs="宋体"/>
                <w:b w:val="0"/>
                <w:bCs w:val="0"/>
                <w:color w:val="000000"/>
                <w:sz w:val="21"/>
                <w:szCs w:val="21"/>
                <w:highlight w:val="none"/>
                <w:shd w:val="clear" w:color="auto" w:fill="auto"/>
                <w:lang w:bidi="ar"/>
              </w:rPr>
              <w:framePr w:vAnchor="text" w:hAnchor="page" w:x="1691" w:y="474"/>
            </w:pPr>
            <w:r>
              <w:rPr>
                <w:rFonts w:hint="eastAsia" w:ascii="宋体" w:hAnsi="宋体" w:eastAsia="宋体" w:cs="宋体"/>
                <w:b w:val="0"/>
                <w:bCs w:val="0"/>
                <w:color w:val="000000"/>
                <w:highlight w:val="none"/>
                <w:shd w:val="clear" w:color="auto" w:fill="auto"/>
                <w:lang w:bidi="ar"/>
              </w:rPr>
              <w:t xml:space="preserve">3.</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eastAsia="宋体" w:cs="宋体"/>
                <w:b w:val="0"/>
                <w:bCs w:val="0"/>
                <w:color w:val="000000"/>
                <w:highlight w:val="none"/>
                <w:shd w:val="clear" w:color="auto" w:fill="auto"/>
                <w:lang w:bidi="ar"/>
              </w:rPr>
              <w:t xml:space="preserve">具有的远程安全评估系统工具</w:t>
            </w:r>
            <w:r>
              <w:rPr>
                <w:rStyle w:val="1051"/>
                <w:rFonts w:hint="eastAsia" w:ascii="宋体" w:hAnsi="宋体" w:eastAsia="宋体" w:cs="宋体"/>
                <w:b w:val="0"/>
                <w:bCs w:val="0"/>
                <w:color w:val="000000"/>
                <w:sz w:val="21"/>
                <w:szCs w:val="21"/>
                <w:highlight w:val="none"/>
                <w:shd w:val="clear" w:color="auto" w:fill="auto"/>
                <w:lang w:bidi="ar"/>
              </w:rPr>
              <w:t xml:space="preserve">具备支持扫描时间段控制，只在指定时间段内执行任务，未完成任务在下一时间段自动继续执行并提供功能截图得2分；</w:t>
            </w:r>
            <w:r>
              <w:rPr>
                <w:rStyle w:val="1051"/>
                <w:rFonts w:hint="eastAsia" w:ascii="宋体" w:hAnsi="宋体" w:eastAsia="宋体" w:cs="宋体"/>
                <w:b w:val="0"/>
                <w:bCs w:val="0"/>
                <w:color w:val="000000"/>
                <w:sz w:val="21"/>
                <w:szCs w:val="21"/>
                <w:highlight w:val="none"/>
                <w:shd w:val="clear" w:color="auto" w:fill="auto"/>
                <w:lang w:bidi="ar"/>
              </w:rPr>
            </w:r>
            <w:r/>
          </w:p>
          <w:p>
            <w:pPr>
              <w:pStyle w:val="725"/>
              <w:spacing w:line="300" w:lineRule="auto"/>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Fonts w:hint="eastAsia" w:ascii="宋体" w:hAnsi="宋体" w:eastAsia="宋体" w:cs="宋体"/>
                <w:b w:val="0"/>
                <w:bCs w:val="0"/>
                <w:color w:val="000000"/>
                <w:highlight w:val="none"/>
                <w:shd w:val="clear" w:color="auto" w:fill="auto"/>
                <w:lang w:bidi="ar"/>
              </w:rPr>
              <w:t xml:space="preserve">4.</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eastAsia="宋体" w:cs="宋体"/>
                <w:b w:val="0"/>
                <w:bCs w:val="0"/>
                <w:color w:val="000000"/>
                <w:highlight w:val="none"/>
                <w:shd w:val="clear" w:color="auto" w:fill="auto"/>
                <w:lang w:bidi="ar"/>
              </w:rPr>
              <w:t xml:space="preserve">具有的远程安全评估系统工具</w:t>
            </w:r>
            <w:r>
              <w:rPr>
                <w:rStyle w:val="1051"/>
                <w:rFonts w:hint="eastAsia" w:ascii="宋体" w:hAnsi="宋体" w:eastAsia="宋体" w:cs="宋体"/>
                <w:b w:val="0"/>
                <w:bCs w:val="0"/>
                <w:color w:val="000000"/>
                <w:sz w:val="21"/>
                <w:szCs w:val="21"/>
                <w:highlight w:val="none"/>
                <w:shd w:val="clear" w:color="auto" w:fill="auto"/>
                <w:lang w:bidi="ar"/>
              </w:rPr>
              <w:t xml:space="preserve">具备支持将按IP范围、起止时间、任务名称、任务状态、漏洞模板、用户等筛选扫描任务,并对筛选结果进行汇总和生成在线及离线报表并提供</w:t>
            </w:r>
            <w:r>
              <w:rPr>
                <w:rStyle w:val="1051"/>
                <w:rFonts w:hint="eastAsia" w:ascii="宋体" w:hAnsi="宋体" w:eastAsia="宋体" w:cs="宋体"/>
                <w:color w:val="000000"/>
                <w:sz w:val="21"/>
                <w:szCs w:val="21"/>
                <w:highlight w:val="none"/>
                <w:shd w:val="clear" w:color="auto" w:fill="auto"/>
                <w:lang w:bidi="ar"/>
              </w:rPr>
              <w:t xml:space="preserve">功能截图得2分。</w:t>
            </w:r>
            <w:r>
              <w:rPr>
                <w:rStyle w:val="1051"/>
                <w:rFonts w:hint="eastAsia" w:ascii="宋体" w:hAnsi="宋体" w:eastAsia="宋体" w:cs="宋体"/>
                <w:color w:val="000000"/>
                <w:sz w:val="21"/>
                <w:szCs w:val="21"/>
                <w:highlight w:val="none"/>
                <w:shd w:val="clear" w:color="auto" w:fill="auto"/>
                <w:lang w:bidi="ar"/>
              </w:rPr>
            </w:r>
            <w:r/>
          </w:p>
          <w:p>
            <w:pPr>
              <w:pStyle w:val="725"/>
              <w:spacing w:line="300" w:lineRule="auto"/>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Style w:val="1051"/>
                <w:rFonts w:hint="eastAsia" w:ascii="宋体" w:hAnsi="宋体" w:eastAsia="宋体" w:cs="宋体"/>
                <w:color w:val="000000"/>
                <w:sz w:val="21"/>
                <w:szCs w:val="21"/>
                <w:highlight w:val="none"/>
                <w:shd w:val="clear" w:color="auto" w:fill="auto"/>
                <w:lang w:bidi="ar"/>
              </w:rPr>
              <w:t xml:space="preserve">5.</w:t>
            </w:r>
            <w:r>
              <w:rPr>
                <w:rFonts w:hint="eastAsia" w:ascii="宋体" w:hAnsi="宋体" w:eastAsia="宋体" w:cs="宋体"/>
                <w:color w:val="000000"/>
                <w:highlight w:val="none"/>
                <w:shd w:val="clear" w:color="auto" w:fill="auto"/>
                <w:lang w:val="en-US" w:eastAsia="zh-CN" w:bidi="ar"/>
              </w:rPr>
              <w:t xml:space="preserve">供应商</w:t>
            </w:r>
            <w:r>
              <w:rPr>
                <w:rStyle w:val="1051"/>
                <w:rFonts w:hint="eastAsia" w:ascii="宋体" w:hAnsi="宋体" w:eastAsia="宋体" w:cs="宋体"/>
                <w:color w:val="000000"/>
                <w:sz w:val="21"/>
                <w:szCs w:val="21"/>
                <w:highlight w:val="none"/>
                <w:shd w:val="clear" w:color="auto" w:fill="auto"/>
                <w:lang w:bidi="ar"/>
              </w:rPr>
              <w:t xml:space="preserve">具有的数据库性能软件分析工具满足招标文件中数据库性能软件分析工具性能基本要求，此外具备如下功能：通过wait和stat信息进行诊断功能并提供功能截图得2分；</w:t>
            </w:r>
            <w:r>
              <w:rPr>
                <w:rStyle w:val="1051"/>
                <w:rFonts w:hint="eastAsia" w:ascii="宋体" w:hAnsi="宋体" w:eastAsia="宋体" w:cs="宋体"/>
                <w:color w:val="000000"/>
                <w:sz w:val="21"/>
                <w:szCs w:val="21"/>
                <w:highlight w:val="none"/>
                <w:shd w:val="clear" w:color="auto" w:fill="auto"/>
                <w:lang w:bidi="ar"/>
              </w:rPr>
            </w:r>
            <w:r/>
          </w:p>
          <w:p>
            <w:pPr>
              <w:pStyle w:val="725"/>
              <w:spacing w:line="300" w:lineRule="auto"/>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Style w:val="1051"/>
                <w:rFonts w:hint="eastAsia" w:ascii="宋体" w:hAnsi="宋体" w:eastAsia="宋体" w:cs="宋体"/>
                <w:color w:val="000000"/>
                <w:sz w:val="21"/>
                <w:szCs w:val="21"/>
                <w:highlight w:val="none"/>
                <w:shd w:val="clear" w:color="auto" w:fill="auto"/>
                <w:lang w:bidi="ar"/>
              </w:rPr>
              <w:t xml:space="preserve">6.</w:t>
            </w:r>
            <w:r>
              <w:rPr>
                <w:rFonts w:hint="eastAsia" w:ascii="宋体" w:hAnsi="宋体" w:eastAsia="宋体" w:cs="宋体"/>
                <w:color w:val="000000"/>
                <w:highlight w:val="none"/>
                <w:shd w:val="clear" w:color="auto" w:fill="auto"/>
                <w:lang w:val="en-US" w:eastAsia="zh-CN" w:bidi="ar"/>
              </w:rPr>
              <w:t xml:space="preserve">供应商</w:t>
            </w:r>
            <w:r>
              <w:rPr>
                <w:rStyle w:val="1051"/>
                <w:rFonts w:hint="eastAsia" w:ascii="宋体" w:hAnsi="宋体" w:eastAsia="宋体" w:cs="宋体"/>
                <w:color w:val="000000"/>
                <w:sz w:val="21"/>
                <w:szCs w:val="21"/>
                <w:highlight w:val="none"/>
                <w:shd w:val="clear" w:color="auto" w:fill="auto"/>
                <w:lang w:bidi="ar"/>
              </w:rPr>
              <w:t xml:space="preserve">具有的数据库性能软件分析工具具备显示指定区间的前10个(Elapsed Time为基准) SQL功能且提供功能截图得2分；</w:t>
            </w:r>
            <w:r>
              <w:rPr>
                <w:rStyle w:val="1051"/>
                <w:rFonts w:hint="eastAsia" w:ascii="宋体" w:hAnsi="宋体" w:eastAsia="宋体" w:cs="宋体"/>
                <w:color w:val="000000"/>
                <w:sz w:val="21"/>
                <w:szCs w:val="21"/>
                <w:highlight w:val="none"/>
                <w:shd w:val="clear" w:color="auto" w:fill="auto"/>
                <w:lang w:bidi="ar"/>
              </w:rPr>
            </w:r>
            <w:r/>
          </w:p>
          <w:p>
            <w:pPr>
              <w:pStyle w:val="725"/>
              <w:jc w:val="left"/>
              <w:shd w:val="clear" w:color="auto" w:fill="auto"/>
              <w:widowControl/>
              <w:rPr>
                <w:rFonts w:ascii="宋体" w:hAnsi="宋体" w:cs="宋体"/>
                <w:color w:val="000000"/>
                <w:highlight w:val="none"/>
                <w:shd w:val="clear" w:color="auto" w:fill="auto"/>
                <w:lang w:bidi="ar"/>
              </w:rPr>
              <w:framePr w:vAnchor="text" w:hAnchor="page" w:x="1691" w:y="474"/>
            </w:pPr>
            <w:r>
              <w:rPr>
                <w:rStyle w:val="1051"/>
                <w:rFonts w:hint="eastAsia" w:ascii="宋体" w:hAnsi="宋体" w:eastAsia="宋体" w:cs="宋体"/>
                <w:color w:val="000000"/>
                <w:sz w:val="21"/>
                <w:szCs w:val="21"/>
                <w:highlight w:val="none"/>
                <w:shd w:val="clear" w:color="auto" w:fill="auto"/>
                <w:lang w:bidi="ar"/>
              </w:rPr>
              <w:t xml:space="preserve">7.</w:t>
            </w:r>
            <w:r>
              <w:rPr>
                <w:rFonts w:hint="eastAsia" w:ascii="宋体" w:hAnsi="宋体" w:eastAsia="宋体" w:cs="宋体"/>
                <w:color w:val="000000"/>
                <w:highlight w:val="none"/>
                <w:shd w:val="clear" w:color="auto" w:fill="auto"/>
                <w:lang w:val="en-US" w:eastAsia="zh-CN" w:bidi="ar"/>
              </w:rPr>
              <w:t xml:space="preserve">供应商</w:t>
            </w:r>
            <w:r>
              <w:rPr>
                <w:rStyle w:val="1051"/>
                <w:rFonts w:hint="eastAsia" w:ascii="宋体" w:hAnsi="宋体" w:eastAsia="宋体" w:cs="宋体"/>
                <w:color w:val="000000"/>
                <w:sz w:val="21"/>
                <w:szCs w:val="21"/>
                <w:highlight w:val="none"/>
                <w:shd w:val="clear" w:color="auto" w:fill="auto"/>
                <w:lang w:bidi="ar"/>
              </w:rPr>
              <w:t xml:space="preserve">具有的数据库性能软件分析工具具备Trace分析功能且提供功能截图得2分。</w:t>
            </w:r>
            <w:r>
              <w:rPr>
                <w:rFonts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rPr>
              <w:framePr w:vAnchor="text" w:hAnchor="page" w:x="1691" w:y="474"/>
            </w:pPr>
            <w:r>
              <w:rPr>
                <w:rFonts w:hint="eastAsia" w:ascii="宋体" w:hAnsi="宋体" w:cs="宋体"/>
                <w:color w:val="000000"/>
                <w:highlight w:val="none"/>
                <w:shd w:val="clear" w:color="auto" w:fill="auto"/>
              </w:rPr>
              <w:t xml:space="preserve">14</w:t>
            </w:r>
            <w:r>
              <w:rPr>
                <w:rFonts w:ascii="宋体" w:hAnsi="宋体" w:cs="宋体"/>
                <w:color w:val="000000"/>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hint="eastAsia" w:ascii="宋体" w:hAnsi="宋体" w:cs="宋体"/>
                <w:color w:val="000000"/>
                <w:highlight w:val="none"/>
                <w:shd w:val="clear" w:color="auto" w:fill="auto"/>
                <w:lang w:val="en-US"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8</w:t>
            </w:r>
            <w:r>
              <w:rPr>
                <w:rFonts w:hint="eastAsia" w:ascii="宋体" w:hAnsi="宋体" w:cs="宋体"/>
                <w:color w:val="000000"/>
                <w:highlight w:val="none"/>
                <w:shd w:val="clear" w:color="auto" w:fill="auto"/>
                <w:lang w:val="en-US" w:eastAsia="zh-CN"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企业综合能力</w:t>
            </w:r>
            <w:r>
              <w:rPr>
                <w:rFonts w:hint="eastAsia"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pacing w:line="300" w:lineRule="auto"/>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1.</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具备有效期内的ISO20000信息技术服务管理体系认证证书，得2分</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提供证书扫描件同时另附证书在中国国家认证认可监督管理委员会官网查询截图)</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r>
            <w:r/>
          </w:p>
          <w:p>
            <w:pPr>
              <w:pStyle w:val="725"/>
              <w:jc w:val="left"/>
              <w:spacing w:line="300" w:lineRule="auto"/>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2.</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具备有效期内的ISO27001信息安全管理体系认证，得2分</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提供证书扫描件同时另附证书在中国国家认证认可监督管理委员会官网查询截图)</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r>
            <w:r/>
          </w:p>
          <w:p>
            <w:pPr>
              <w:pStyle w:val="725"/>
              <w:jc w:val="left"/>
              <w:spacing w:line="300" w:lineRule="auto"/>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3.</w:t>
            </w:r>
            <w:r>
              <w:rPr>
                <w:rFonts w:hint="eastAsia" w:ascii="宋体" w:hAnsi="宋体" w:eastAsia="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具备有效期内的ISO9001质量管理体系认证，得2分</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提供证书扫描件同时另附证书在中国国家认证认可监督管理委员会官网查询截图)</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r>
            <w:r/>
          </w:p>
          <w:p>
            <w:pPr>
              <w:pStyle w:val="725"/>
              <w:jc w:val="left"/>
              <w:spacing w:line="300" w:lineRule="auto"/>
              <w:shd w:val="clear" w:color="auto" w:fill="auto"/>
              <w:widowControl/>
              <w:rPr>
                <w:rFonts w:hint="eastAsia" w:ascii="宋体" w:hAnsi="宋体" w:cs="宋体"/>
                <w:color w:val="000000"/>
                <w:highlight w:val="none"/>
                <w:shd w:val="clear" w:color="auto" w:fill="auto"/>
                <w:lang w:val="en-US"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4</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供应商具有“运行维护”业务领域的ITSS信息技术服务标准符合性证书三级及以上的，得</w:t>
            </w:r>
            <w:r>
              <w:rPr>
                <w:rFonts w:hint="eastAsia" w:ascii="宋体" w:hAnsi="宋体" w:cs="宋体"/>
                <w:color w:val="000000"/>
                <w:highlight w:val="none"/>
                <w:shd w:val="clear" w:color="auto" w:fill="auto"/>
                <w:lang w:val="en-US" w:eastAsia="zh-CN" w:bidi="ar"/>
              </w:rPr>
              <w:t xml:space="preserve">3</w:t>
            </w:r>
            <w:r>
              <w:rPr>
                <w:rFonts w:hint="eastAsia" w:ascii="宋体" w:hAnsi="宋体" w:cs="宋体"/>
                <w:color w:val="000000"/>
                <w:highlight w:val="none"/>
                <w:shd w:val="clear" w:color="auto" w:fill="auto"/>
                <w:lang w:bidi="ar"/>
              </w:rPr>
              <w:t xml:space="preserve">分（提供证书扫描件同时出具</w:t>
            </w:r>
            <w:r>
              <w:rPr>
                <w:rFonts w:hint="eastAsia" w:ascii="宋体" w:hAnsi="宋体" w:cs="宋体"/>
                <w:color w:val="000000"/>
                <w:highlight w:val="none"/>
                <w:shd w:val="clear" w:color="auto" w:fill="auto"/>
                <w:lang w:val="en-US" w:eastAsia="zh-CN" w:bidi="ar"/>
              </w:rPr>
              <w:t xml:space="preserve">ITSS</w:t>
            </w:r>
            <w:r>
              <w:rPr>
                <w:rFonts w:hint="eastAsia" w:ascii="宋体" w:hAnsi="宋体" w:cs="宋体"/>
                <w:color w:val="000000"/>
                <w:highlight w:val="none"/>
                <w:shd w:val="clear" w:color="auto" w:fill="auto"/>
                <w:lang w:bidi="ar"/>
              </w:rPr>
              <w:t xml:space="preserve">中国电子工业标准化技术协会信息技术服务分会官网查询截图）</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val="en-US" w:eastAsia="zh-CN" w:bidi="ar"/>
              </w:rPr>
            </w:r>
            <w:r/>
          </w:p>
          <w:p>
            <w:pPr>
              <w:pStyle w:val="725"/>
              <w:jc w:val="left"/>
              <w:spacing w:line="300" w:lineRule="auto"/>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5.供应商</w:t>
            </w:r>
            <w:r>
              <w:rPr>
                <w:rFonts w:hint="eastAsia" w:ascii="宋体" w:hAnsi="宋体" w:cs="宋体"/>
                <w:color w:val="000000"/>
                <w:highlight w:val="none"/>
                <w:shd w:val="clear" w:color="auto" w:fill="auto"/>
                <w:lang w:bidi="ar"/>
              </w:rPr>
              <w:t xml:space="preserve">具备CCRC信息安全服务资质认证证书（信息系统安全运维服务三级或以上资质）的</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得</w:t>
            </w:r>
            <w:r>
              <w:rPr>
                <w:rFonts w:hint="eastAsia" w:ascii="宋体" w:hAnsi="宋体" w:cs="宋体"/>
                <w:color w:val="000000"/>
                <w:highlight w:val="none"/>
                <w:shd w:val="clear" w:color="auto" w:fill="auto"/>
                <w:lang w:val="en-US" w:eastAsia="zh-CN" w:bidi="ar"/>
              </w:rPr>
              <w:t xml:space="preserve">3</w:t>
            </w:r>
            <w:r>
              <w:rPr>
                <w:rFonts w:hint="eastAsia" w:ascii="宋体" w:hAnsi="宋体" w:cs="宋体"/>
                <w:color w:val="000000"/>
                <w:highlight w:val="none"/>
                <w:shd w:val="clear" w:color="auto" w:fill="auto"/>
                <w:lang w:bidi="ar"/>
              </w:rPr>
              <w:t xml:space="preserve">分</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提供证书扫描件同时另附证书在中国国家认证认可监督管理委员会官网查询截图)</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bidi="ar"/>
              </w:rPr>
              <w:t xml:space="preserve"> </w:t>
            </w:r>
            <w:r>
              <w:rPr>
                <w:rStyle w:val="1051"/>
                <w:rFonts w:hint="eastAsia" w:ascii="宋体" w:hAnsi="宋体" w:eastAsia="宋体" w:cs="宋体"/>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cs="宋体"/>
                <w:color w:val="000000"/>
                <w:highlight w:val="none"/>
                <w:shd w:val="clear" w:color="auto" w:fill="auto"/>
              </w:rPr>
              <w:framePr w:vAnchor="text" w:hAnchor="page" w:x="1691" w:y="474"/>
            </w:pPr>
            <w:r>
              <w:rPr>
                <w:rFonts w:hint="eastAsia" w:ascii="宋体" w:hAnsi="宋体" w:cs="宋体"/>
                <w:color w:val="000000"/>
                <w:highlight w:val="none"/>
                <w:shd w:val="clear" w:color="auto" w:fill="auto"/>
                <w:lang w:val="en-US" w:eastAsia="zh-CN" w:bidi="ar"/>
              </w:rPr>
              <w:t xml:space="preserve">12</w:t>
            </w:r>
            <w:r>
              <w:rPr>
                <w:rFonts w:hint="eastAsia" w:ascii="宋体" w:hAnsi="宋体" w:cs="宋体"/>
                <w:color w:val="000000"/>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hint="eastAsia" w:ascii="宋体" w:hAnsi="宋体" w:cs="宋体"/>
                <w:color w:val="000000"/>
                <w:highlight w:val="none"/>
                <w:shd w:val="clear" w:color="auto" w:fill="auto"/>
                <w:lang w:val="en-US"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9</w:t>
            </w:r>
            <w:r>
              <w:rPr>
                <w:rFonts w:hint="eastAsia" w:ascii="宋体" w:hAnsi="宋体" w:cs="宋体"/>
                <w:color w:val="000000"/>
                <w:highlight w:val="none"/>
                <w:shd w:val="clear" w:color="auto" w:fill="auto"/>
                <w:lang w:val="en-US" w:eastAsia="zh-CN"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类似案例</w:t>
            </w:r>
            <w:r>
              <w:rPr>
                <w:rFonts w:hint="eastAsia"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jc w:val="left"/>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提供</w:t>
            </w:r>
            <w:r>
              <w:rPr>
                <w:rFonts w:hint="eastAsia" w:ascii="宋体" w:hAnsi="宋体" w:cs="宋体"/>
                <w:color w:val="000000"/>
                <w:highlight w:val="none"/>
                <w:shd w:val="clear" w:color="auto" w:fill="auto"/>
                <w:lang w:val="en-US" w:eastAsia="zh-CN" w:bidi="ar"/>
              </w:rPr>
              <w:t xml:space="preserve">供应商自</w:t>
            </w:r>
            <w:r>
              <w:rPr>
                <w:rFonts w:hint="eastAsia" w:ascii="宋体" w:hAnsi="宋体" w:cs="宋体"/>
                <w:color w:val="000000"/>
                <w:highlight w:val="none"/>
                <w:shd w:val="clear" w:color="auto" w:fill="auto"/>
                <w:lang w:bidi="ar"/>
              </w:rPr>
              <w:t xml:space="preserve">202</w:t>
            </w:r>
            <w:r>
              <w:rPr>
                <w:rFonts w:hint="eastAsia" w:ascii="宋体" w:hAnsi="宋体" w:cs="宋体"/>
                <w:color w:val="000000"/>
                <w:highlight w:val="none"/>
                <w:shd w:val="clear" w:color="auto" w:fill="auto"/>
                <w:lang w:val="en-US" w:eastAsia="zh-CN" w:bidi="ar"/>
              </w:rPr>
              <w:t xml:space="preserve">3</w:t>
            </w:r>
            <w:r>
              <w:rPr>
                <w:rFonts w:hint="eastAsia" w:ascii="宋体" w:hAnsi="宋体" w:cs="宋体"/>
                <w:color w:val="000000"/>
                <w:highlight w:val="none"/>
                <w:shd w:val="clear" w:color="auto" w:fill="auto"/>
                <w:lang w:bidi="ar"/>
              </w:rPr>
              <w:t xml:space="preserve">年</w:t>
            </w:r>
            <w:r>
              <w:rPr>
                <w:rFonts w:hint="eastAsia" w:ascii="宋体" w:hAnsi="宋体" w:cs="宋体"/>
                <w:color w:val="000000"/>
                <w:highlight w:val="none"/>
                <w:shd w:val="clear" w:color="auto" w:fill="auto"/>
                <w:lang w:val="en-US" w:eastAsia="zh-CN" w:bidi="ar"/>
              </w:rPr>
              <w:t xml:space="preserve">1月1日</w:t>
            </w:r>
            <w:r>
              <w:rPr>
                <w:rFonts w:hint="eastAsia" w:ascii="宋体" w:hAnsi="宋体" w:cs="宋体"/>
                <w:color w:val="000000"/>
                <w:highlight w:val="none"/>
                <w:shd w:val="clear" w:color="auto" w:fill="auto"/>
                <w:lang w:bidi="ar"/>
              </w:rPr>
              <w:t xml:space="preserve">以来</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val="en-US" w:eastAsia="zh-CN" w:bidi="ar"/>
              </w:rPr>
              <w:t xml:space="preserve">以合同签订时间为准</w:t>
            </w:r>
            <w:r>
              <w:rPr>
                <w:rFonts w:hint="eastAsia" w:ascii="宋体" w:hAnsi="宋体" w:cs="宋体"/>
                <w:color w:val="000000"/>
                <w:highlight w:val="none"/>
                <w:shd w:val="clear" w:color="auto" w:fill="auto"/>
                <w:lang w:eastAsia="zh-CN" w:bidi="ar"/>
              </w:rPr>
              <w:t xml:space="preserve">）</w:t>
            </w:r>
            <w:r>
              <w:rPr>
                <w:rFonts w:hint="eastAsia" w:ascii="宋体" w:hAnsi="宋体" w:cs="宋体"/>
                <w:color w:val="000000"/>
                <w:highlight w:val="none"/>
                <w:shd w:val="clear" w:color="auto" w:fill="auto"/>
                <w:lang w:val="en-US" w:eastAsia="zh-CN" w:bidi="ar"/>
              </w:rPr>
              <w:t xml:space="preserve">承接的</w:t>
            </w:r>
            <w:r>
              <w:rPr>
                <w:rFonts w:hint="eastAsia" w:ascii="宋体" w:hAnsi="宋体" w:cs="宋体"/>
                <w:color w:val="000000"/>
                <w:highlight w:val="none"/>
                <w:shd w:val="clear" w:color="auto" w:fill="auto"/>
                <w:lang w:bidi="ar"/>
              </w:rPr>
              <w:t xml:space="preserve">类似信息系统维护（含IBM小型机、EMC存储及oracle数据库维保项目）合同（服务期一年及以上），每个案例得</w:t>
            </w:r>
            <w:r>
              <w:rPr>
                <w:rFonts w:hint="eastAsia" w:ascii="宋体" w:hAnsi="宋体" w:cs="宋体"/>
                <w:color w:val="000000"/>
                <w:highlight w:val="none"/>
                <w:shd w:val="clear" w:color="auto" w:fill="auto"/>
                <w:lang w:val="en-US" w:eastAsia="zh-CN" w:bidi="ar"/>
              </w:rPr>
              <w:t xml:space="preserve">4</w:t>
            </w:r>
            <w:r>
              <w:rPr>
                <w:rFonts w:hint="eastAsia" w:ascii="宋体" w:hAnsi="宋体" w:cs="宋体"/>
                <w:color w:val="000000"/>
                <w:highlight w:val="none"/>
                <w:shd w:val="clear" w:color="auto" w:fill="auto"/>
                <w:lang w:bidi="ar"/>
              </w:rPr>
              <w:t xml:space="preserve">分，该项最高得</w:t>
            </w:r>
            <w:r>
              <w:rPr>
                <w:rFonts w:hint="eastAsia" w:ascii="宋体" w:hAnsi="宋体" w:cs="宋体"/>
                <w:color w:val="000000"/>
                <w:highlight w:val="none"/>
                <w:shd w:val="clear" w:color="auto" w:fill="auto"/>
                <w:lang w:val="en-US" w:eastAsia="zh-CN" w:bidi="ar"/>
              </w:rPr>
              <w:t xml:space="preserve">8</w:t>
            </w:r>
            <w:r>
              <w:rPr>
                <w:rFonts w:hint="eastAsia" w:ascii="宋体" w:hAnsi="宋体" w:cs="宋体"/>
                <w:color w:val="000000"/>
                <w:highlight w:val="none"/>
                <w:shd w:val="clear" w:color="auto" w:fill="auto"/>
                <w:lang w:bidi="ar"/>
              </w:rPr>
              <w:t xml:space="preserve">分。</w:t>
            </w:r>
            <w:r>
              <w:rPr>
                <w:rFonts w:ascii="宋体" w:hAnsi="宋体" w:cs="宋体"/>
                <w:color w:val="000000"/>
                <w:highlight w:val="none"/>
                <w:shd w:val="clear" w:color="auto" w:fill="auto"/>
                <w:lang w:bidi="ar"/>
              </w:rPr>
            </w:r>
            <w:r/>
          </w:p>
          <w:p>
            <w:pPr>
              <w:pStyle w:val="725"/>
              <w:jc w:val="left"/>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须提供合同、服务验收报告的扫描件</w:t>
            </w:r>
            <w:r>
              <w:rPr>
                <w:rFonts w:hint="eastAsia" w:ascii="宋体" w:hAnsi="宋体" w:cs="宋体"/>
                <w:color w:val="000000"/>
                <w:highlight w:val="none"/>
                <w:shd w:val="clear" w:color="auto" w:fill="auto"/>
                <w:lang w:val="en-US" w:eastAsia="zh-CN" w:bidi="ar"/>
              </w:rPr>
              <w:t xml:space="preserve">及与合同对应的部分发票复印件</w:t>
            </w:r>
            <w:r>
              <w:rPr>
                <w:rFonts w:hint="eastAsia" w:ascii="宋体" w:hAnsi="宋体" w:cs="宋体"/>
                <w:color w:val="000000"/>
                <w:highlight w:val="none"/>
                <w:shd w:val="clear" w:color="auto" w:fill="auto"/>
                <w:lang w:bidi="ar"/>
              </w:rPr>
              <w:t xml:space="preserve">方可计分，不提供</w:t>
            </w:r>
            <w:r>
              <w:rPr>
                <w:rFonts w:hint="eastAsia" w:ascii="宋体" w:hAnsi="宋体" w:cs="宋体"/>
                <w:color w:val="000000"/>
                <w:highlight w:val="none"/>
                <w:shd w:val="clear" w:color="auto" w:fill="auto"/>
                <w:lang w:val="en-US" w:eastAsia="zh-CN" w:bidi="ar"/>
              </w:rPr>
              <w:t xml:space="preserve">或未提供完整</w:t>
            </w:r>
            <w:r>
              <w:rPr>
                <w:rFonts w:hint="eastAsia" w:ascii="宋体" w:hAnsi="宋体" w:cs="宋体"/>
                <w:color w:val="000000"/>
                <w:highlight w:val="none"/>
                <w:shd w:val="clear" w:color="auto" w:fill="auto"/>
                <w:lang w:bidi="ar"/>
              </w:rPr>
              <w:t xml:space="preserve">不得分。本评分表中同一用户只计一个案例，不重复计分。</w:t>
            </w:r>
            <w:r>
              <w:rPr>
                <w:rStyle w:val="1051"/>
                <w:rFonts w:hint="eastAsia" w:ascii="宋体" w:hAnsi="宋体" w:eastAsia="宋体" w:cs="宋体"/>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eastAsia="zh-CN"/>
              </w:rPr>
              <w:framePr w:vAnchor="text" w:hAnchor="page" w:x="1691" w:y="474"/>
            </w:pPr>
            <w:r>
              <w:rPr>
                <w:rFonts w:hint="eastAsia" w:ascii="宋体" w:hAnsi="宋体" w:cs="宋体"/>
                <w:color w:val="000000"/>
                <w:highlight w:val="none"/>
                <w:shd w:val="clear" w:color="auto" w:fill="auto"/>
                <w:lang w:val="en-US" w:eastAsia="zh-CN"/>
              </w:rPr>
              <w:t xml:space="preserve">8</w:t>
            </w:r>
            <w:r>
              <w:rPr>
                <w:rFonts w:hint="eastAsia" w:ascii="宋体" w:hAnsi="宋体" w:eastAsia="宋体" w:cs="宋体"/>
                <w:color w:val="000000"/>
                <w:highlight w:val="none"/>
                <w:shd w:val="clear" w:color="auto" w:fill="auto"/>
                <w:lang w:eastAsia="zh-CN"/>
              </w:rPr>
            </w:r>
            <w:r/>
          </w:p>
        </w:tc>
      </w:tr>
      <w:tr>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25"/>
              <w:jc w:val="center"/>
              <w:shd w:val="clear" w:color="auto" w:fill="auto"/>
              <w:widowControl/>
              <w:rPr>
                <w:rFonts w:ascii="宋体" w:hAnsi="宋体" w:cs="宋体"/>
                <w:color w:val="000000"/>
                <w:highlight w:val="none"/>
                <w:shd w:val="clear" w:color="auto" w:fill="auto"/>
                <w:lang w:val="en-US" w:eastAsia="zh-CN" w:bidi="ar"/>
              </w:rPr>
              <w:framePr w:vAnchor="text" w:hAnchor="page" w:x="1691" w:y="474"/>
            </w:pPr>
            <w:r>
              <w:rPr>
                <w:rFonts w:hint="eastAsia" w:ascii="宋体" w:hAnsi="宋体" w:cs="宋体"/>
                <w:color w:val="000000"/>
                <w:highlight w:val="none"/>
                <w:shd w:val="clear" w:color="auto" w:fill="auto"/>
                <w:lang w:val="en-US" w:eastAsia="zh-CN" w:bidi="ar"/>
              </w:rPr>
              <w:t xml:space="preserve">10</w:t>
            </w:r>
            <w:r>
              <w:rPr>
                <w:rFonts w:ascii="宋体" w:hAnsi="宋体" w:cs="宋体"/>
                <w:color w:val="000000"/>
                <w:highlight w:val="none"/>
                <w:shd w:val="clear" w:color="auto" w:fill="auto"/>
                <w:lang w:val="en-US" w:eastAsia="zh-CN" w:bidi="ar"/>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725"/>
              <w:jc w:val="left"/>
              <w:shd w:val="clear" w:color="auto" w:fill="auto"/>
              <w:widowControl/>
              <w:rPr>
                <w:rFonts w:hint="eastAsia"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人员能力</w:t>
            </w:r>
            <w:r>
              <w:rPr>
                <w:rFonts w:hint="eastAsia" w:ascii="宋体" w:hAnsi="宋体" w:cs="宋体"/>
                <w:color w:val="000000"/>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725"/>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1.</w:t>
            </w: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工程师具备信息系统项目管理师证书得2分；</w:t>
            </w:r>
            <w:r>
              <w:rPr>
                <w:rFonts w:ascii="宋体" w:hAnsi="宋体" w:cs="宋体"/>
                <w:color w:val="000000"/>
                <w:highlight w:val="none"/>
                <w:shd w:val="clear" w:color="auto" w:fill="auto"/>
                <w:lang w:bidi="ar"/>
              </w:rPr>
            </w:r>
            <w:r/>
          </w:p>
          <w:p>
            <w:pPr>
              <w:pStyle w:val="725"/>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2.</w:t>
            </w: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工程师具备ITSS认证工程师证书得2分；</w:t>
            </w:r>
            <w:r>
              <w:rPr>
                <w:rFonts w:ascii="宋体" w:hAnsi="宋体" w:cs="宋体"/>
                <w:color w:val="000000"/>
                <w:highlight w:val="none"/>
                <w:shd w:val="clear" w:color="auto" w:fill="auto"/>
                <w:lang w:bidi="ar"/>
              </w:rPr>
            </w:r>
            <w:r/>
          </w:p>
          <w:p>
            <w:pPr>
              <w:pStyle w:val="725"/>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3</w:t>
            </w:r>
            <w:r>
              <w:rPr>
                <w:rFonts w:hint="eastAsia" w:ascii="宋体" w:hAnsi="宋体" w:cs="宋体"/>
                <w:color w:val="000000"/>
                <w:highlight w:val="none"/>
                <w:shd w:val="clear" w:color="auto" w:fill="auto"/>
                <w:lang w:bidi="ar"/>
              </w:rPr>
              <w:t xml:space="preserve">.</w:t>
            </w: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工程师同时具备注册信息安全工程师（CISE）和Oracle WebLogic Server Administrator Certification 认证工程师证书得4分；</w:t>
            </w:r>
            <w:r>
              <w:rPr>
                <w:rFonts w:ascii="宋体" w:hAnsi="宋体" w:cs="宋体"/>
                <w:color w:val="000000"/>
                <w:highlight w:val="none"/>
                <w:shd w:val="clear" w:color="auto" w:fill="auto"/>
                <w:lang w:bidi="ar"/>
              </w:rPr>
            </w:r>
            <w:r/>
          </w:p>
          <w:p>
            <w:pPr>
              <w:pStyle w:val="725"/>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4</w:t>
            </w:r>
            <w:r>
              <w:rPr>
                <w:rFonts w:hint="eastAsia" w:ascii="宋体" w:hAnsi="宋体" w:cs="宋体"/>
                <w:color w:val="000000"/>
                <w:highlight w:val="none"/>
                <w:shd w:val="clear" w:color="auto" w:fill="auto"/>
                <w:lang w:bidi="ar"/>
              </w:rPr>
              <w:t xml:space="preserve">.</w:t>
            </w: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工程师同时具备IBM CATE和EMC Symmetrix Solutions Specialist认证工程师证书得4分；</w:t>
            </w:r>
            <w:r>
              <w:rPr>
                <w:rFonts w:ascii="宋体" w:hAnsi="宋体" w:cs="宋体"/>
                <w:color w:val="000000"/>
                <w:highlight w:val="none"/>
                <w:shd w:val="clear" w:color="auto" w:fill="auto"/>
                <w:lang w:bidi="ar"/>
              </w:rPr>
            </w:r>
            <w:r/>
          </w:p>
          <w:p>
            <w:pPr>
              <w:pStyle w:val="725"/>
              <w:spacing w:line="300" w:lineRule="auto"/>
              <w:shd w:val="clear" w:color="auto" w:fill="auto"/>
              <w:widowControl/>
              <w:rPr>
                <w:rFonts w:ascii="宋体" w:hAnsi="宋体" w:cs="宋体"/>
                <w:color w:val="000000"/>
                <w:highlight w:val="none"/>
                <w:shd w:val="clear" w:color="auto" w:fill="auto"/>
                <w:lang w:bidi="ar"/>
              </w:rPr>
              <w:framePr w:vAnchor="text" w:hAnchor="page" w:x="1691" w:y="474"/>
            </w:pPr>
            <w:r>
              <w:rPr>
                <w:rFonts w:hint="eastAsia" w:ascii="宋体" w:hAnsi="宋体" w:cs="宋体"/>
                <w:color w:val="000000"/>
                <w:highlight w:val="none"/>
                <w:shd w:val="clear" w:color="auto" w:fill="auto"/>
                <w:lang w:val="en-US" w:eastAsia="zh-CN" w:bidi="ar"/>
              </w:rPr>
              <w:t xml:space="preserve">5</w:t>
            </w:r>
            <w:r>
              <w:rPr>
                <w:rFonts w:hint="eastAsia" w:ascii="宋体" w:hAnsi="宋体" w:cs="宋体"/>
                <w:color w:val="000000"/>
                <w:highlight w:val="none"/>
                <w:shd w:val="clear" w:color="auto" w:fill="auto"/>
                <w:lang w:bidi="ar"/>
              </w:rPr>
              <w:t xml:space="preserve">.</w:t>
            </w:r>
            <w:r>
              <w:rPr>
                <w:rFonts w:hint="eastAsia" w:ascii="宋体" w:hAnsi="宋体" w:cs="宋体"/>
                <w:color w:val="000000"/>
                <w:highlight w:val="none"/>
                <w:shd w:val="clear" w:color="auto" w:fill="auto"/>
                <w:lang w:val="en-US" w:eastAsia="zh-CN" w:bidi="ar"/>
              </w:rPr>
              <w:t xml:space="preserve">供应商</w:t>
            </w:r>
            <w:r>
              <w:rPr>
                <w:rFonts w:hint="eastAsia" w:ascii="宋体" w:hAnsi="宋体" w:cs="宋体"/>
                <w:color w:val="000000"/>
                <w:highlight w:val="none"/>
                <w:shd w:val="clear" w:color="auto" w:fill="auto"/>
                <w:lang w:bidi="ar"/>
              </w:rPr>
              <w:t xml:space="preserve">工程师同时具有原厂IBM CATE认证和Oracle OCM认证工程师证书得4分；</w:t>
            </w:r>
            <w:r>
              <w:rPr>
                <w:rFonts w:ascii="宋体" w:hAnsi="宋体" w:cs="宋体"/>
                <w:color w:val="000000"/>
                <w:highlight w:val="none"/>
                <w:shd w:val="clear" w:color="auto" w:fill="auto"/>
                <w:lang w:bidi="ar"/>
              </w:rPr>
            </w:r>
            <w:r/>
          </w:p>
          <w:p>
            <w:pPr>
              <w:pStyle w:val="725"/>
              <w:jc w:val="left"/>
              <w:shd w:val="clear" w:color="auto" w:fill="auto"/>
              <w:widowControl/>
              <w:rPr>
                <w:rStyle w:val="1051"/>
                <w:rFonts w:hint="eastAsia" w:ascii="宋体" w:hAnsi="宋体" w:eastAsia="宋体" w:cs="宋体"/>
                <w:color w:val="000000"/>
                <w:sz w:val="21"/>
                <w:szCs w:val="21"/>
                <w:highlight w:val="none"/>
                <w:shd w:val="clear" w:color="auto" w:fill="auto"/>
                <w:lang w:bidi="ar"/>
              </w:rPr>
              <w:framePr w:vAnchor="text" w:hAnchor="page" w:x="1691" w:y="474"/>
            </w:pPr>
            <w:r>
              <w:rPr>
                <w:rFonts w:hint="eastAsia" w:ascii="宋体" w:hAnsi="宋体" w:cs="宋体"/>
                <w:color w:val="000000"/>
                <w:highlight w:val="none"/>
                <w:shd w:val="clear" w:color="auto" w:fill="auto"/>
                <w:lang w:bidi="ar"/>
              </w:rPr>
              <w:t xml:space="preserve">投标人须提供相关工程师</w:t>
            </w:r>
            <w:r>
              <w:rPr>
                <w:rFonts w:hint="eastAsia" w:ascii="宋体" w:hAnsi="宋体" w:cs="宋体"/>
                <w:color w:val="000000"/>
                <w:highlight w:val="none"/>
                <w:shd w:val="clear" w:color="auto" w:fill="auto"/>
                <w:lang w:val="en-US" w:eastAsia="zh-CN" w:bidi="ar"/>
              </w:rPr>
              <w:t xml:space="preserve">有效的证书扫描件及供应商为相关工程师缴纳开标当月或上一个月社保证明材料复印件</w:t>
            </w:r>
            <w:r>
              <w:rPr>
                <w:rFonts w:hint="eastAsia" w:ascii="宋体" w:hAnsi="宋体" w:cs="宋体"/>
                <w:color w:val="000000"/>
                <w:highlight w:val="none"/>
                <w:shd w:val="clear" w:color="auto" w:fill="auto"/>
                <w:lang w:bidi="ar"/>
              </w:rPr>
              <w:t xml:space="preserve">，不提供</w:t>
            </w:r>
            <w:r>
              <w:rPr>
                <w:rFonts w:hint="eastAsia" w:ascii="宋体" w:hAnsi="宋体" w:cs="宋体"/>
                <w:color w:val="000000"/>
                <w:highlight w:val="none"/>
                <w:shd w:val="clear" w:color="auto" w:fill="auto"/>
                <w:lang w:val="en-US" w:eastAsia="zh-CN" w:bidi="ar"/>
              </w:rPr>
              <w:t xml:space="preserve">或未完整提供</w:t>
            </w:r>
            <w:r>
              <w:rPr>
                <w:rFonts w:hint="eastAsia" w:ascii="宋体" w:hAnsi="宋体" w:cs="宋体"/>
                <w:color w:val="000000"/>
                <w:highlight w:val="none"/>
                <w:shd w:val="clear" w:color="auto" w:fill="auto"/>
                <w:lang w:bidi="ar"/>
              </w:rPr>
              <w:t xml:space="preserve">不得分。同一工程师符合多个计分条件的只计1次分，计最高分，不重复计分。</w:t>
            </w:r>
            <w:r>
              <w:rPr>
                <w:rStyle w:val="1051"/>
                <w:rFonts w:hint="eastAsia" w:ascii="宋体" w:hAnsi="宋体" w:eastAsia="宋体" w:cs="宋体"/>
                <w:color w:val="000000"/>
                <w:sz w:val="21"/>
                <w:szCs w:val="21"/>
                <w:highlight w:val="none"/>
                <w:shd w:val="clear" w:color="auto" w:fill="auto"/>
                <w:lang w:bidi="ar"/>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725"/>
              <w:jc w:val="center"/>
              <w:shd w:val="clear" w:color="auto" w:fill="auto"/>
              <w:widowControl/>
              <w:rPr>
                <w:rFonts w:hint="eastAsia" w:ascii="宋体" w:hAnsi="宋体" w:eastAsia="宋体" w:cs="宋体"/>
                <w:color w:val="000000"/>
                <w:highlight w:val="none"/>
                <w:shd w:val="clear" w:color="auto" w:fill="auto"/>
                <w:lang w:eastAsia="zh-CN"/>
              </w:rPr>
              <w:framePr w:vAnchor="text" w:hAnchor="page" w:x="1691" w:y="474"/>
            </w:pPr>
            <w:r>
              <w:rPr>
                <w:rFonts w:hint="eastAsia" w:ascii="宋体" w:hAnsi="宋体" w:cs="宋体"/>
                <w:color w:val="000000"/>
                <w:highlight w:val="none"/>
                <w:shd w:val="clear" w:color="auto" w:fill="auto"/>
                <w:lang w:bidi="ar"/>
              </w:rPr>
              <w:t xml:space="preserve">1</w:t>
            </w:r>
            <w:r>
              <w:rPr>
                <w:rFonts w:hint="eastAsia" w:ascii="宋体" w:hAnsi="宋体" w:cs="宋体"/>
                <w:color w:val="000000"/>
                <w:highlight w:val="none"/>
                <w:shd w:val="clear" w:color="auto" w:fill="auto"/>
                <w:lang w:val="en-US" w:eastAsia="zh-CN" w:bidi="ar"/>
              </w:rPr>
              <w:t xml:space="preserve">6</w:t>
            </w:r>
            <w:r>
              <w:rPr>
                <w:rFonts w:hint="eastAsia" w:ascii="宋体" w:hAnsi="宋体" w:eastAsia="宋体" w:cs="宋体"/>
                <w:color w:val="000000"/>
                <w:highlight w:val="none"/>
                <w:shd w:val="clear" w:color="auto" w:fill="auto"/>
                <w:lang w:eastAsia="zh-CN"/>
              </w:rPr>
            </w:r>
            <w:r/>
          </w:p>
        </w:tc>
      </w:tr>
    </w:tbl>
    <w:p>
      <w:pPr>
        <w:pStyle w:val="1061"/>
        <w:ind w:left="0" w:right="0" w:firstLine="422"/>
        <w:jc w:val="left"/>
        <w:spacing w:before="0" w:line="360" w:lineRule="auto"/>
        <w:shd w:val="clear" w:color="auto" w:fill="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p>
      <w:pPr>
        <w:pStyle w:val="1061"/>
        <w:ind w:left="0" w:right="0" w:firstLine="422"/>
        <w:jc w:val="left"/>
        <w:spacing w:before="0" w:line="360" w:lineRule="auto"/>
        <w:shd w:val="clear" w:color="auto" w:fill="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p>
      <w:pPr>
        <w:pStyle w:val="725"/>
        <w:jc w:val="center"/>
        <w:spacing w:line="500" w:lineRule="exact"/>
        <w:shd w:val="clear" w:color="auto" w:fill="auto"/>
        <w:rPr>
          <w:rFonts w:hint="eastAsia" w:ascii="宋体" w:hAnsi="宋体" w:eastAsia="宋体" w:cs="宋体"/>
          <w:b/>
          <w:color w:val="000000"/>
          <w:sz w:val="36"/>
          <w:szCs w:val="36"/>
          <w:highlight w:val="none"/>
          <w:shd w:val="clear" w:color="auto" w:fill="auto"/>
        </w:rPr>
        <w:outlineLvl w:val="0"/>
      </w:pPr>
      <w:r>
        <w:rPr>
          <w:rFonts w:hint="eastAsia" w:ascii="宋体" w:hAnsi="宋体" w:eastAsia="宋体" w:cs="宋体"/>
          <w:b/>
          <w:color w:val="000000"/>
          <w:sz w:val="36"/>
          <w:szCs w:val="36"/>
          <w:highlight w:val="none"/>
          <w:shd w:val="clear" w:color="auto" w:fill="auto"/>
        </w:rPr>
      </w:r>
      <w:r/>
    </w:p>
    <w:p>
      <w:pPr>
        <w:pStyle w:val="725"/>
        <w:jc w:val="center"/>
        <w:spacing w:line="500" w:lineRule="exact"/>
        <w:shd w:val="clear" w:color="auto" w:fill="auto"/>
        <w:rPr>
          <w:rFonts w:hint="eastAsia" w:ascii="宋体" w:hAnsi="宋体" w:eastAsia="宋体" w:cs="宋体"/>
          <w:b/>
          <w:color w:val="000000"/>
          <w:sz w:val="36"/>
          <w:szCs w:val="36"/>
          <w:highlight w:val="none"/>
          <w:shd w:val="clear" w:color="auto" w:fill="auto"/>
        </w:rPr>
        <w:outlineLvl w:val="0"/>
      </w:pPr>
      <w:r>
        <w:rPr>
          <w:rFonts w:hint="eastAsia" w:ascii="宋体" w:hAnsi="宋体" w:eastAsia="宋体" w:cs="宋体"/>
          <w:b/>
          <w:color w:val="000000"/>
          <w:sz w:val="36"/>
          <w:szCs w:val="36"/>
          <w:highlight w:val="none"/>
          <w:shd w:val="clear" w:color="auto" w:fill="auto"/>
        </w:rPr>
        <w:br w:type="page" w:clear="all"/>
      </w:r>
      <w:r>
        <w:rPr>
          <w:rFonts w:hint="eastAsia" w:ascii="宋体" w:hAnsi="宋体" w:eastAsia="宋体" w:cs="宋体"/>
          <w:b/>
          <w:color w:val="000000"/>
          <w:sz w:val="36"/>
          <w:szCs w:val="36"/>
          <w:highlight w:val="none"/>
          <w:shd w:val="clear" w:color="auto" w:fill="auto"/>
        </w:rPr>
        <w:t xml:space="preserve">第五部分  合同格式</w:t>
      </w:r>
      <w:r>
        <w:rPr>
          <w:rFonts w:hint="eastAsia" w:ascii="宋体" w:hAnsi="宋体" w:eastAsia="宋体" w:cs="宋体"/>
          <w:b/>
          <w:color w:val="000000"/>
          <w:sz w:val="36"/>
          <w:szCs w:val="36"/>
          <w:highlight w:val="none"/>
          <w:shd w:val="clear" w:color="auto" w:fill="auto"/>
        </w:rPr>
      </w:r>
      <w:r/>
    </w:p>
    <w:p>
      <w:pPr>
        <w:pStyle w:val="725"/>
        <w:spacing w:after="60" w:line="360" w:lineRule="auto"/>
        <w:shd w:val="clear" w:color="auto" w:fill="auto"/>
        <w:rPr>
          <w:rFonts w:hint="eastAsia" w:ascii="宋体" w:hAnsi="宋体" w:eastAsia="宋体" w:cs="宋体"/>
          <w:color w:val="000000"/>
          <w:szCs w:val="21"/>
          <w:highlight w:val="none"/>
          <w:shd w:val="clear" w:color="auto" w:fill="auto"/>
        </w:rPr>
      </w:pPr>
      <w:r/>
      <w:bookmarkStart w:id="153" w:name="_Toc14707"/>
      <w:r/>
      <w:bookmarkStart w:id="154" w:name="_Toc5321_WPSOffice_Level2"/>
      <w:r>
        <w:rPr>
          <w:rFonts w:hint="eastAsia" w:ascii="宋体" w:hAnsi="宋体" w:eastAsia="宋体" w:cs="宋体"/>
          <w:color w:val="000000"/>
          <w:szCs w:val="21"/>
          <w:highlight w:val="none"/>
          <w:shd w:val="clear" w:color="auto" w:fill="auto"/>
        </w:rPr>
      </w:r>
      <w:r/>
    </w:p>
    <w:p>
      <w:pPr>
        <w:pStyle w:val="725"/>
        <w:jc w:val="center"/>
        <w:shd w:val="clear" w:color="auto" w:fill="auto"/>
        <w:rPr>
          <w:rFonts w:hint="eastAsia" w:ascii="宋体" w:hAnsi="宋体" w:eastAsia="宋体" w:cs="宋体"/>
          <w:b/>
          <w:bCs/>
          <w:color w:val="000000"/>
          <w:sz w:val="28"/>
          <w:szCs w:val="36"/>
          <w:highlight w:val="none"/>
          <w:shd w:val="clear" w:color="auto" w:fill="auto"/>
        </w:rPr>
      </w:pPr>
      <w:r>
        <w:rPr>
          <w:rFonts w:hint="eastAsia" w:ascii="宋体" w:hAnsi="宋体" w:eastAsia="宋体" w:cs="宋体"/>
          <w:b/>
          <w:bCs/>
          <w:color w:val="000000"/>
          <w:sz w:val="28"/>
          <w:szCs w:val="36"/>
          <w:highlight w:val="none"/>
          <w:shd w:val="clear" w:color="auto" w:fill="auto"/>
          <w:lang w:eastAsia="zh-CN"/>
        </w:rPr>
        <w:t xml:space="preserve">南通市人力资源和社会保障信息中心核心设备及数据库运维服务项目</w:t>
      </w:r>
      <w:r>
        <w:rPr>
          <w:rFonts w:hint="eastAsia" w:ascii="宋体" w:hAnsi="宋体" w:eastAsia="宋体" w:cs="宋体"/>
          <w:b/>
          <w:bCs/>
          <w:color w:val="000000"/>
          <w:sz w:val="28"/>
          <w:szCs w:val="36"/>
          <w:highlight w:val="none"/>
          <w:shd w:val="clear" w:color="auto" w:fill="auto"/>
        </w:rPr>
        <w:t xml:space="preserve">合同</w:t>
      </w:r>
      <w:r>
        <w:rPr>
          <w:rFonts w:hint="eastAsia" w:ascii="宋体" w:hAnsi="宋体" w:eastAsia="宋体" w:cs="宋体"/>
          <w:b/>
          <w:bCs/>
          <w:color w:val="000000"/>
          <w:sz w:val="28"/>
          <w:szCs w:val="36"/>
          <w:highlight w:val="none"/>
          <w:shd w:val="clear" w:color="auto" w:fill="auto"/>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u w:val="singl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（或称甲方）：</w:t>
      </w:r>
      <w:r>
        <w:rPr>
          <w:rFonts w:hint="eastAsia" w:ascii="宋体" w:hAnsi="宋体" w:cs="宋体"/>
          <w:color w:val="000000"/>
          <w:sz w:val="21"/>
          <w:szCs w:val="21"/>
          <w:highlight w:val="none"/>
          <w:shd w:val="clear" w:color="auto" w:fill="auto"/>
          <w:lang w:eastAsia="zh-CN"/>
        </w:rPr>
        <w:t xml:space="preserve">南通市人力资源和社会保障信息中心</w:t>
      </w:r>
      <w:r>
        <w:rPr>
          <w:rFonts w:hint="eastAsia" w:ascii="宋体" w:hAnsi="宋体" w:eastAsia="宋体" w:cs="宋体"/>
          <w:color w:val="000000"/>
          <w:sz w:val="21"/>
          <w:szCs w:val="21"/>
          <w:highlight w:val="none"/>
          <w:u w:val="single"/>
          <w:shd w:val="clear" w:color="auto" w:fill="auto"/>
          <w:lang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中标供应商</w:t>
      </w:r>
      <w:r>
        <w:rPr>
          <w:rFonts w:hint="eastAsia" w:ascii="宋体" w:hAnsi="宋体" w:eastAsia="宋体" w:cs="宋体"/>
          <w:color w:val="000000"/>
          <w:sz w:val="21"/>
          <w:szCs w:val="21"/>
          <w:highlight w:val="none"/>
          <w:shd w:val="clear" w:color="auto" w:fill="auto"/>
        </w:rPr>
        <w:t xml:space="preserve">（或称乙方）：</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r>
      <w:r/>
    </w:p>
    <w:p>
      <w:pPr>
        <w:pStyle w:val="72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签订地点：南通</w:t>
      </w:r>
      <w:r>
        <w:rPr>
          <w:rFonts w:hint="eastAsia" w:ascii="宋体" w:hAnsi="宋体" w:eastAsia="宋体" w:cs="宋体"/>
          <w:color w:val="000000"/>
          <w:sz w:val="21"/>
          <w:szCs w:val="21"/>
          <w:highlight w:val="none"/>
          <w:shd w:val="clear" w:color="auto" w:fill="auto"/>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根据《中华人民共和国民法典》及其他有关法律法规，甲乙双方经友好协商，本着平等互利的原则，就</w:t>
      </w:r>
      <w:r>
        <w:rPr>
          <w:rFonts w:hint="eastAsia" w:ascii="宋体" w:hAnsi="宋体" w:cs="宋体"/>
          <w:color w:val="000000"/>
          <w:sz w:val="21"/>
          <w:szCs w:val="21"/>
          <w:highlight w:val="none"/>
          <w:shd w:val="clear" w:color="auto" w:fill="auto"/>
          <w:lang w:eastAsia="zh-CN"/>
        </w:rPr>
        <w:t xml:space="preserve">南通市人力资源和社会保障信息中心核心设备及数据库运维服务项目</w:t>
      </w:r>
      <w:r>
        <w:rPr>
          <w:rFonts w:hint="eastAsia" w:ascii="宋体" w:hAnsi="宋体" w:eastAsia="宋体" w:cs="宋体"/>
          <w:color w:val="000000"/>
          <w:sz w:val="21"/>
          <w:szCs w:val="21"/>
          <w:highlight w:val="none"/>
          <w:shd w:val="clear" w:color="auto" w:fill="auto"/>
        </w:rPr>
        <w:t xml:space="preserve">，达成一致并签订如下协议。</w:t>
      </w:r>
      <w:r>
        <w:rPr>
          <w:rFonts w:hint="eastAsia" w:ascii="宋体" w:hAnsi="宋体" w:eastAsia="宋体" w:cs="宋体"/>
          <w:color w:val="000000"/>
          <w:sz w:val="21"/>
          <w:szCs w:val="21"/>
          <w:highlight w:val="none"/>
          <w:shd w:val="clear" w:color="auto" w:fill="auto"/>
        </w:rPr>
      </w:r>
      <w:r/>
    </w:p>
    <w:p>
      <w:pPr>
        <w:pStyle w:val="1065"/>
        <w:numPr>
          <w:ilvl w:val="0"/>
          <w:numId w:val="0"/>
        </w:numPr>
        <w:pageBreakBefore w:val="0"/>
        <w:spacing w:before="120" w:after="120" w:line="240" w:lineRule="auto"/>
        <w:shd w:val="clear" w:color="auto" w:fill="auto"/>
        <w:tabs>
          <w:tab w:val="left" w:pos="0" w:leader="none"/>
        </w:tabs>
        <w:rPr>
          <w:rFonts w:hint="eastAsia" w:ascii="宋体" w:hAnsi="宋体" w:eastAsia="宋体" w:cs="宋体"/>
          <w:b/>
          <w:color w:val="000000"/>
          <w:sz w:val="21"/>
          <w:szCs w:val="21"/>
          <w:highlight w:val="none"/>
          <w:shd w:val="clear" w:color="auto" w:fill="auto"/>
          <w:lang w:val="en-US" w:eastAsia="zh-CN"/>
        </w:rPr>
      </w:pPr>
      <w:r>
        <w:rPr>
          <w:rFonts w:hint="eastAsia" w:ascii="宋体" w:hAnsi="宋体" w:eastAsia="宋体" w:cs="宋体"/>
          <w:b/>
          <w:color w:val="000000"/>
          <w:sz w:val="21"/>
          <w:szCs w:val="21"/>
          <w:highlight w:val="none"/>
          <w:shd w:val="clear" w:color="auto" w:fill="auto"/>
          <w:lang w:val="en-US" w:eastAsia="zh-CN"/>
        </w:rPr>
        <w:t xml:space="preserve">一、合同金额及付款方式</w:t>
      </w:r>
      <w:r>
        <w:rPr>
          <w:rFonts w:hint="eastAsia" w:ascii="宋体" w:hAnsi="宋体" w:eastAsia="宋体" w:cs="宋体"/>
          <w:b/>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本项目合同总额合计人民币：</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元（人民币大写</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t xml:space="preserve">元整</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fldChar w:fldCharType="begin"/>
      </w:r>
      <w:r>
        <w:rPr>
          <w:rFonts w:hint="eastAsia" w:ascii="宋体" w:hAnsi="宋体" w:eastAsia="宋体" w:cs="宋体"/>
          <w:color w:val="000000"/>
          <w:sz w:val="21"/>
          <w:szCs w:val="21"/>
          <w:highlight w:val="none"/>
          <w:shd w:val="clear" w:color="auto" w:fill="auto"/>
        </w:rPr>
        <w:instrText xml:space="preserve"> = 210706 \* CHINESENUM2 </w:instrText>
      </w:r>
      <w:r>
        <w:rPr>
          <w:rFonts w:hint="eastAsia" w:ascii="宋体" w:hAnsi="宋体" w:eastAsia="宋体" w:cs="宋体"/>
          <w:color w:val="000000"/>
          <w:sz w:val="21"/>
          <w:szCs w:val="21"/>
          <w:highlight w:val="none"/>
          <w:shd w:val="clear" w:color="auto" w:fill="auto"/>
        </w:rPr>
        <w:fldChar w:fldCharType="end"/>
      </w:r>
      <w:r>
        <w:rPr>
          <w:rFonts w:hint="eastAsia" w:ascii="宋体" w:hAnsi="宋体" w:eastAsia="宋体" w:cs="宋体"/>
          <w:color w:val="000000"/>
          <w:sz w:val="21"/>
          <w:szCs w:val="21"/>
          <w:highlight w:val="none"/>
          <w:shd w:val="clear" w:color="auto" w:fill="auto"/>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付款方式：按照政府采购政策，采购3年运维服务，该项目</w:t>
      </w:r>
      <w:r>
        <w:rPr>
          <w:rFonts w:hint="eastAsia" w:ascii="宋体" w:hAnsi="宋体" w:eastAsia="宋体" w:cs="宋体"/>
          <w:color w:val="000000"/>
          <w:sz w:val="21"/>
          <w:szCs w:val="21"/>
          <w:highlight w:val="none"/>
          <w:shd w:val="clear" w:color="auto" w:fill="auto"/>
          <w:lang w:eastAsia="zh-CN"/>
        </w:rPr>
        <w:t xml:space="preserve">中标</w:t>
      </w:r>
      <w:r>
        <w:rPr>
          <w:rFonts w:hint="eastAsia" w:ascii="宋体" w:hAnsi="宋体" w:eastAsia="宋体" w:cs="宋体"/>
          <w:color w:val="000000"/>
          <w:sz w:val="21"/>
          <w:szCs w:val="21"/>
          <w:highlight w:val="none"/>
          <w:shd w:val="clear" w:color="auto" w:fill="auto"/>
        </w:rPr>
        <w:t xml:space="preserve">价为每年度维护费用。费用分年度支付，每年支付2次。签订合同后</w:t>
      </w:r>
      <w:r>
        <w:rPr>
          <w:rFonts w:hint="eastAsia" w:ascii="宋体" w:hAnsi="宋体" w:eastAsia="宋体" w:cs="宋体"/>
          <w:color w:val="000000"/>
          <w:sz w:val="21"/>
          <w:szCs w:val="21"/>
          <w:highlight w:val="none"/>
          <w:shd w:val="clear" w:color="auto" w:fill="auto"/>
          <w:lang w:val="en-US" w:eastAsia="zh-CN"/>
        </w:rPr>
        <w:t xml:space="preserve">2周后</w:t>
      </w:r>
      <w:r>
        <w:rPr>
          <w:rFonts w:hint="eastAsia" w:ascii="宋体" w:hAnsi="宋体" w:eastAsia="宋体" w:cs="宋体"/>
          <w:color w:val="000000"/>
          <w:sz w:val="21"/>
          <w:szCs w:val="21"/>
          <w:highlight w:val="none"/>
          <w:shd w:val="clear" w:color="auto" w:fill="auto"/>
        </w:rPr>
        <w:t xml:space="preserve">支付合同金额50%的首付款，年度运维期结束验收通过后支付当前年度剩余合同款。</w:t>
      </w:r>
      <w:r>
        <w:rPr>
          <w:rFonts w:hint="eastAsia" w:ascii="宋体" w:hAnsi="宋体" w:eastAsia="宋体" w:cs="宋体"/>
          <w:color w:val="000000"/>
          <w:sz w:val="21"/>
          <w:szCs w:val="21"/>
          <w:highlight w:val="none"/>
          <w:shd w:val="clear" w:color="auto" w:fill="auto"/>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.每次付款前乙方需向甲方提供合法、相对应金额的增值税普通发票，否则甲方有权拒绝付款而不视为违约。以上付款均不计利息。</w:t>
      </w:r>
      <w:r>
        <w:rPr>
          <w:rFonts w:hint="eastAsia" w:ascii="宋体" w:hAnsi="宋体" w:eastAsia="宋体" w:cs="宋体"/>
          <w:color w:val="000000"/>
          <w:sz w:val="21"/>
          <w:szCs w:val="21"/>
          <w:highlight w:val="none"/>
          <w:shd w:val="clear" w:color="auto" w:fill="auto"/>
          <w:lang w:val="en-US" w:eastAsia="zh-CN"/>
        </w:rPr>
      </w:r>
      <w:r/>
    </w:p>
    <w:p>
      <w:pPr>
        <w:pStyle w:val="1065"/>
        <w:numPr>
          <w:ilvl w:val="0"/>
          <w:numId w:val="0"/>
        </w:numPr>
        <w:pageBreakBefore w:val="0"/>
        <w:spacing w:before="120" w:after="120" w:line="240" w:lineRule="auto"/>
        <w:shd w:val="clear" w:color="auto" w:fill="auto"/>
        <w:tabs>
          <w:tab w:val="left" w:pos="0" w:leader="none"/>
        </w:tabs>
        <w:rPr>
          <w:rFonts w:ascii="宋体" w:hAnsi="宋体" w:eastAsia="宋体" w:cs="宋体"/>
          <w:b/>
          <w:color w:val="000000"/>
          <w:sz w:val="21"/>
          <w:szCs w:val="21"/>
          <w:highlight w:val="none"/>
          <w:shd w:val="clear" w:color="auto" w:fill="auto"/>
          <w:lang w:val="en-US" w:eastAsia="zh-CN"/>
        </w:rPr>
      </w:pPr>
      <w:r>
        <w:rPr>
          <w:rFonts w:hint="eastAsia" w:hAnsi="宋体" w:cs="宋体"/>
          <w:b/>
          <w:color w:val="000000"/>
          <w:sz w:val="21"/>
          <w:szCs w:val="21"/>
          <w:highlight w:val="none"/>
          <w:shd w:val="clear" w:color="auto" w:fill="auto"/>
          <w:lang w:val="en-US" w:eastAsia="zh-CN"/>
        </w:rPr>
        <w:t xml:space="preserve">二</w:t>
      </w:r>
      <w:r>
        <w:rPr>
          <w:rFonts w:hint="eastAsia" w:ascii="宋体" w:hAnsi="宋体" w:eastAsia="宋体" w:cs="宋体"/>
          <w:b/>
          <w:color w:val="000000"/>
          <w:sz w:val="21"/>
          <w:szCs w:val="21"/>
          <w:highlight w:val="none"/>
          <w:shd w:val="clear" w:color="auto" w:fill="auto"/>
          <w:lang w:val="en-US" w:eastAsia="zh-CN"/>
        </w:rPr>
        <w:t xml:space="preserve">、</w:t>
      </w:r>
      <w:r>
        <w:rPr>
          <w:rFonts w:hint="eastAsia" w:hAnsi="宋体" w:cs="宋体"/>
          <w:b/>
          <w:color w:val="000000"/>
          <w:sz w:val="21"/>
          <w:szCs w:val="21"/>
          <w:highlight w:val="none"/>
          <w:shd w:val="clear" w:color="auto" w:fill="auto"/>
          <w:lang w:val="en-US" w:eastAsia="zh-CN"/>
        </w:rPr>
        <w:t xml:space="preserve">服务内容</w:t>
      </w:r>
      <w:r>
        <w:rPr>
          <w:rFonts w:ascii="宋体" w:hAnsi="宋体" w:eastAsia="宋体" w:cs="宋体"/>
          <w:b/>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（一）采购标的需实现的功能或者目标,以及为落实政府采购政策需满足的要求</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本项目运维服务内容包括但不限于软硬件的故障处置、系统软件及数据库维护、预防性维护、日常运行监控、技术支持、损坏设备和部件的修复和更换、根据需要搬迁或重新安装配置、运行状态评估服务、安全加固服务等内容，以及其他有助于提升设备系统安全稳定运行的运维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（二）采购标的需执行的国家相关标准、行业标准、地方标准或者其他标准、规范</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《关键信息基础设施安全保护条例》</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《信息技术存储管理》（GB/T 36450.2-2021）</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《信息技术服务-运行维护》（GB/T 28827.1-2022）</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（三）采购标的需满足的质量、安全、技术规格、物理特性等要求</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乙方提供的服务应保证甲方所涉设备7*24小时安全、稳定、高效运行。</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（四）采购标的数量、采购项目交付或者实施的时间和地点</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1.需要运维服务的软硬件列表：</w:t>
      </w:r>
      <w:r>
        <w:rPr>
          <w:rFonts w:hint="eastAsia" w:ascii="宋体" w:hAnsi="宋体" w:eastAsia="宋体" w:cs="宋体"/>
          <w:color w:val="000000"/>
          <w:sz w:val="21"/>
          <w:szCs w:val="21"/>
          <w:highlight w:val="none"/>
          <w:shd w:val="clear" w:color="auto" w:fill="auto"/>
          <w:lang w:val="en-US" w:eastAsia="zh-CN"/>
        </w:rPr>
      </w:r>
      <w:r/>
    </w:p>
    <w:tbl>
      <w:tblPr>
        <w:tblW w:w="989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1"/>
        <w:gridCol w:w="1329"/>
        <w:gridCol w:w="691"/>
        <w:gridCol w:w="1890"/>
        <w:gridCol w:w="675"/>
        <w:gridCol w:w="1215"/>
        <w:gridCol w:w="3385"/>
      </w:tblGrid>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设备名称</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品牌</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型号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数量</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序列号</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配置信息</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E870，高端小型机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7802DF8</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4.02GHZ 32-CORE POWER8*2，64GB DDR4 MEMORY*16</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E870，高端小型机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78021A8</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4.02GHZ 32-CORE POWER8*2，64GB DDR4 MEMORY*16</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S822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684189X</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8-CORE 4.1GHZ POWER8*2，16GB DDR4 MEMORY*16</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S822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68418AX</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8-CORE 4.1GHZ POWER8*2，16GB DDR4 MEMORY*16</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Power7-770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020676F17</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36CPU 288Gb内存</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小型机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Power7-770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020676F07</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36CPU 288Gb内存</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超融合平台</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华为</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2288H V5</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单个计算存储融合节点配置如下:2*英特尔至强银牌4114(主频2.2GHz/10-core/13.75MB/85W)处理器:192G内存:2*600G系统盘;1*800G SSD缓存盘:5*1.8T SAS10K数据盘:2个GE接口，4个万兆光口:双电源</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超融合一体机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深信服</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aServer-2100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CPU E5-2630*2 V4,128G内存，160G内存5台，8*SATA/SAS 盘位，默认128G系统盘，1*480G SSD缓存盘，2*1.8T SAS数据盘，6个GE接口，2个万兆光口共计2台；CPU Silver 4114*2 ，160G内存，8*SATA/SAS 盘位，默认128G系统盘，1*480G SSD缓存盘，3*1.8T SAS数据盘，6个GE接口，2个万兆光口共计5台</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9</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VMAX250F，</w:t>
            </w:r>
            <w:r>
              <w:rPr>
                <w:rFonts w:hint="eastAsia" w:ascii="宋体" w:hAnsi="宋体" w:eastAsia="宋体" w:cs="宋体"/>
                <w:color w:val="000000"/>
                <w:sz w:val="21"/>
                <w:szCs w:val="21"/>
                <w:highlight w:val="none"/>
                <w:shd w:val="clear" w:color="auto" w:fill="auto"/>
              </w:rPr>
            </w:r>
            <w:r/>
          </w:p>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高端存储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双控，512GB缓存，1.92T SSD*25，16GB FC口*8</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10</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NS960</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双控，300GB  15K 2/4Gb ,8GB·FC 门*8</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存储</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华为</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0ceanStor5500 V5</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2U，双控，交流240V高压直流，128GB缓存,SmartI0,8*16Gb FC,25*2.5，硬盘:10块1.92TB SASSSD硬盘(2.5")，10块8TB 7.2K RPM NL SAS硬盘单元(3.5")</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光纤交换机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DS-300B</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8GB·FC 口*24</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FC-SAN交换机</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MDS9148S</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8GB FC口*24</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AIX操作系统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AIX操作系统日常维护</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集群软件系统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IBM/Oracle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both"/>
              <w:spacing w:before="0" w:beforeAutospacing="0" w:after="0" w:afterAutospacing="0" w:line="23" w:lineRule="atLeas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操作系统集群和数据库系统集群软件系统</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操作系统集群和数据库系统集群软件系统</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16</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both"/>
              <w:spacing w:before="0" w:beforeAutospacing="0" w:after="0" w:afterAutospacing="0" w:line="23" w:lineRule="atLeas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 Database 19c</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与本批设备相关的Oracle日常巡检、故障排除、应急处理</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17</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社保管理信息系统数据库核心平台甲骨文数据库企业版</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Platform；Oracle Database Enterprise Edition；</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18</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社保管理信息系统数据库核心平台实时应用集群软件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Platform；Real Application Clusters；</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19</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社保管理信息系统数据库核心平台数据库分区软件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Platform；Partitioning；</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20</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社保管理信息系统数据库核心平台数据库容灾同步软件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Platform；Oracle Active Data Guard；</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21</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社保管理信息系统数据库核心平台数据库性能调试工具包</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 l Insurance Management Information System Core Platform；Diagnostics Pack</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社保管理信息系统数据库核心平台数据库性能优化包</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Social Insurance Management Information System Core Platform；Tuning Pack</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数据服务总线</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Service Bus</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24</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中间件套件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Weblogic Suite</w:t>
            </w:r>
            <w:r>
              <w:rPr>
                <w:rFonts w:hint="eastAsia" w:ascii="宋体" w:hAnsi="宋体" w:eastAsia="宋体" w:cs="宋体"/>
                <w:color w:val="000000"/>
                <w:sz w:val="21"/>
                <w:szCs w:val="21"/>
                <w:highlight w:val="none"/>
                <w:shd w:val="clear" w:color="auto" w:fill="auto"/>
              </w:rPr>
            </w:r>
            <w:r/>
          </w:p>
        </w:tc>
      </w:tr>
      <w:tr>
        <w:trPr>
          <w:trHeight w:val="23"/>
        </w:trPr>
        <w:tc>
          <w:tcPr>
            <w:tcMar>
              <w:left w:w="108" w:type="dxa"/>
              <w:right w:w="108" w:type="dxa"/>
            </w:tcMar>
            <w:tcW w:w="71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25</w:t>
            </w:r>
            <w:r>
              <w:rPr>
                <w:rFonts w:hint="eastAsia" w:ascii="宋体" w:hAnsi="宋体" w:eastAsia="宋体" w:cs="宋体"/>
                <w:color w:val="000000"/>
                <w:sz w:val="21"/>
                <w:szCs w:val="21"/>
                <w:highlight w:val="none"/>
                <w:shd w:val="clear" w:color="auto" w:fill="auto"/>
              </w:rPr>
            </w:r>
            <w:r/>
          </w:p>
        </w:tc>
        <w:tc>
          <w:tcPr>
            <w:tcMar>
              <w:left w:w="108" w:type="dxa"/>
              <w:right w:w="108" w:type="dxa"/>
            </w:tcMar>
            <w:tcW w:w="1329"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中间件软件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91"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Oracle</w:t>
            </w:r>
            <w:r>
              <w:rPr>
                <w:rFonts w:hint="eastAsia" w:ascii="宋体" w:hAnsi="宋体" w:eastAsia="宋体" w:cs="宋体"/>
                <w:color w:val="000000"/>
                <w:sz w:val="21"/>
                <w:szCs w:val="21"/>
                <w:highlight w:val="none"/>
                <w:shd w:val="clear" w:color="auto" w:fill="auto"/>
              </w:rPr>
            </w:r>
            <w:r/>
          </w:p>
        </w:tc>
        <w:tc>
          <w:tcPr>
            <w:tcMar>
              <w:left w:w="108" w:type="dxa"/>
              <w:right w:w="108" w:type="dxa"/>
            </w:tcMar>
            <w:tcW w:w="1890"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企业版中间件应用选件</w:t>
            </w:r>
            <w:r>
              <w:rPr>
                <w:rFonts w:hint="eastAsia" w:ascii="宋体" w:hAnsi="宋体" w:eastAsia="宋体" w:cs="宋体"/>
                <w:color w:val="000000"/>
                <w:sz w:val="21"/>
                <w:szCs w:val="21"/>
                <w:highlight w:val="none"/>
                <w:shd w:val="clear" w:color="auto" w:fill="auto"/>
              </w:rPr>
            </w:r>
            <w:r/>
          </w:p>
        </w:tc>
        <w:tc>
          <w:tcPr>
            <w:tcMar>
              <w:left w:w="108" w:type="dxa"/>
              <w:right w:w="108" w:type="dxa"/>
            </w:tcMar>
            <w:tcW w:w="675" w:type="dxa"/>
            <w:vAlign w:val="center"/>
            <w:textDirection w:val="lrTb"/>
            <w:noWrap w:val="false"/>
          </w:tcPr>
          <w:p>
            <w:pPr>
              <w:pStyle w:val="1064"/>
              <w:jc w:val="center"/>
              <w:pageBreakBefore w:val="0"/>
              <w:spacing w:before="0" w:beforeAutospacing="0" w:after="0" w:afterAutospacing="0"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r>
            <w:r/>
          </w:p>
        </w:tc>
        <w:tc>
          <w:tcPr>
            <w:tcMar>
              <w:left w:w="108" w:type="dxa"/>
              <w:right w:w="108" w:type="dxa"/>
            </w:tcMar>
            <w:tcW w:w="121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tc>
        <w:tc>
          <w:tcPr>
            <w:tcMar>
              <w:left w:w="108" w:type="dxa"/>
              <w:right w:w="108" w:type="dxa"/>
            </w:tcMar>
            <w:tcW w:w="3385" w:type="dxa"/>
            <w:vAlign w:val="center"/>
            <w:textDirection w:val="lrTb"/>
            <w:noWrap w:val="false"/>
          </w:tcPr>
          <w:p>
            <w:pPr>
              <w:pStyle w:val="1064"/>
              <w:jc w:val="center"/>
              <w:spacing w:before="0" w:beforeAutospacing="0" w:after="0" w:afterAutospacing="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Weblogic Server Enterprise Edition</w:t>
            </w:r>
            <w:r>
              <w:rPr>
                <w:rFonts w:hint="eastAsia" w:ascii="宋体" w:hAnsi="宋体" w:eastAsia="宋体" w:cs="宋体"/>
                <w:color w:val="000000"/>
                <w:sz w:val="21"/>
                <w:szCs w:val="21"/>
                <w:highlight w:val="none"/>
                <w:shd w:val="clear" w:color="auto" w:fill="auto"/>
              </w:rPr>
            </w:r>
            <w:r/>
          </w:p>
        </w:tc>
      </w:tr>
    </w:tbl>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乙方提供设备清单中所有设备及其相关设备的7X24小时维保服务。维保内容包括健康检查、故障维修、备件更换、补丁安装、版本升级、系统性能分析及调优、技术培训等服务，保证甲方所涉设备7*24小时安全、稳定、高效运行。</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（五）需满足的服务标准、期限、效率等要求</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1.主要服务规范及要求：</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乙方必须根据服务经验，技术能力编写运维服务方案，方案须包含但不限于如下技术要求。</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1.1维护服务原则</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 确保南通市人社信息系统的安全和正常运行；</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 维护保修设备范围包括：信息系统主机系统、存储系统、数据库系统及与主机系统相关的软硬件接口、备份软件和底层软件等；</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 对维护范围内的设备的所有损坏部件，2小时内完成硬件免费更换和软件免费升级维护；要求有充足的备件（特别是CPU、内存、电源、电池、风扇、硬盘、模块、引擎、整机等），当机器发生故障或机件损坏时，保证能及时提供现场更换服务。备件库必须备有整机，当用户整机崩溃时，保证能迅速提供备机替代以保证业务不致停止。</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1.2系统维护服务主要内容</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 备件保修和技术服务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A.如果发生硬件系统宕机故障，在接到报修电话后10分钟内响应，并2小时内到达现场提供维修服务；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B.如果发生硬件系统非宕机故障，将在接到报修电话后30分钟内响应，并根据客户要求和实际情况到现场提供维护服务；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C.维修及换件服务：2小时内到达现场提供维修及换件服务。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 预防性维护服务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为使机器正常运行，须为客户提供现场预防性维护服务。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A.指派专责服务人员对系统依照服务方案进行维护。</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B.定期对机器进行例行检查、做预防性维护保养，并提交服务报告。</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C.为保证服务质量，成立服务小组专责工程师支持。</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（3）电话技术支持服务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为客户提供下列电话技术支持：</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A.分析判断或解答软硬件报障问题</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B.指导或解答有关系统软件日常运作和安装问题</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（4）到场服务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对于电话技术支持和远程工程师服务无法解决或解答的问题，须提供技术专家团队到场服务。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（5）升级与修复服务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A.根据客户提出的升级计划做准备，并提供建议。</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B.安装新版本的IBM AIX。</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C.在新版本AIX上调试系统配置。</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D.对已安装的新版本AIX双机软件进行测试。</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E.对相关存储软件检查安装修复，RAID硬盘组损坏的重建。</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 对服务器平台上系统软件的维护和监控</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A.协助客户进行受支持软件产品的基本日常维护和管理。</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B.协助客户对所报告的问题进行定义，指导客户相关技术人员完成解决问题所需要相关信息收集工作。</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C.帮助客户对所报告的问题进行问题根源的分析和诊断。</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D.对于软件本身的问题，根据需要向客户免费提供相关的修正性软件。</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E.对客户所报告的有关受支持软件产品的问题，根据需要使用标准系统进行记录和跟踪，并根据实际情形对问题的严重程度和优先级别进行设定和更新。</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F.在应用软件安装完毕后进行基本系统测试。</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（7）EMC存储维护</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EMC VMAX 250F是EMC的高端存储阵列软硬件维护质保服务、数据管理服务，须获得原厂管理软件、原厂动态管理口令等技术服务。服务工程师能提供微码的升级、内部inline命令问题诊断、metro SRDF软件配置和诊断服务，能处理系统内部tool0，tool1容器故障、emgmt0，emgmt1容器故障。到场服务的须是原厂认证工程师，根据服务需要到场次数不限。</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（8）系统备份与恢复</w:t>
      </w:r>
      <w:r>
        <w:rPr>
          <w:rFonts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定期对数据备份进行校验，检查备份策略和备份软件的设置的正确性、备份数据的可用性。在灾难出现时，确保核心数据库可以完整及时的恢复。对备份软件支持服务以及应用软件商专有备份软件的检查与配置服务，需要同软件商协商提供服务所需费用已包含在报价中。</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（9）系统优化</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定期对系统的运行状况进行检查，并对系统参数进行优化配置（优化服务包含了应用软件开发商配合支持的优化等），确保硬件系统、软件系统的正常运行。需保证系统性能处于优良运行状态，如果系统优化后出现数据库业务系统无法使用则按重大事故处理。</w:t>
      </w:r>
      <w:r>
        <w:rPr>
          <w:rFonts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（10）技术交流与培训服务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服务期间负责对甲方</w:t>
      </w:r>
      <w:r>
        <w:rPr>
          <w:rFonts w:hint="eastAsia" w:ascii="宋体" w:hAnsi="宋体" w:eastAsia="宋体" w:cs="宋体"/>
          <w:color w:val="000000"/>
          <w:sz w:val="21"/>
          <w:szCs w:val="21"/>
          <w:highlight w:val="none"/>
          <w:shd w:val="clear" w:color="auto" w:fill="auto"/>
          <w:lang w:val="zh-CN" w:eastAsia="zh-CN"/>
        </w:rPr>
        <w:t xml:space="preserve">系统管理员</w:t>
      </w:r>
      <w:r>
        <w:rPr>
          <w:rFonts w:hint="eastAsia" w:ascii="宋体" w:hAnsi="宋体" w:eastAsia="宋体" w:cs="宋体"/>
          <w:color w:val="000000"/>
          <w:sz w:val="21"/>
          <w:szCs w:val="21"/>
          <w:highlight w:val="none"/>
          <w:shd w:val="clear" w:color="auto" w:fill="auto"/>
          <w:lang w:val="en-US" w:eastAsia="zh-CN"/>
        </w:rPr>
        <w:t xml:space="preserve">进行技能培训，并对相关技术问题进行充分交流，使系统管理和使用人员熟练掌握系统配置与常规维护、故障处理等技能，确保整个系统的正常运行及工作开展。</w:t>
      </w:r>
      <w:r>
        <w:rPr>
          <w:rFonts w:hint="eastAsia" w:ascii="宋体" w:hAnsi="宋体" w:eastAsia="宋体" w:cs="宋体"/>
          <w:color w:val="000000"/>
          <w:sz w:val="21"/>
          <w:szCs w:val="21"/>
          <w:highlight w:val="none"/>
          <w:shd w:val="clear" w:color="auto" w:fill="auto"/>
          <w:lang w:val="zh-CN" w:eastAsia="zh-CN"/>
        </w:rPr>
        <w:t xml:space="preserve">提供现场技术指导，在检查和处理问题的同时指导</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lang w:val="zh-CN" w:eastAsia="zh-CN"/>
        </w:rPr>
        <w:t xml:space="preserve">现场维护人员如何进行类似问题的处理,并现场解答疑问。在现场支持服务后，根据</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lang w:val="zh-CN" w:eastAsia="zh-CN"/>
        </w:rPr>
        <w:t xml:space="preserve">的需要进行有针对性的现场技术交流，提高技术人员的技术水平。</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  （11）服务时间</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提供7*24小时到场服务和热线电话服务，节假日照常工作。</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1.3信息系统安全服务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此处涉及的信息系统安全服务是指与本项目维护软硬件列表中相关的信息安全服务。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1.3.1基础安全运维</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按甲方的安全要求，持续加强系统信息安全管理工作的质量和水平。应委派有经验的安全技术人员提供服务，协助处理日常信息安全工作，加快响应时间，保证服务质量，信息安全管理遵循ISO27001国际标准。</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基础安全运维服务具体内容如下：</w:t>
      </w:r>
      <w:r>
        <w:rPr>
          <w:rFonts w:hint="eastAsia" w:ascii="宋体" w:hAnsi="宋体" w:eastAsia="宋体" w:cs="宋体"/>
          <w:color w:val="000000"/>
          <w:sz w:val="21"/>
          <w:szCs w:val="21"/>
          <w:highlight w:val="none"/>
          <w:shd w:val="clear" w:color="auto" w:fill="auto"/>
          <w:lang w:val="en-US" w:eastAsia="zh-CN"/>
        </w:rPr>
      </w:r>
      <w:r/>
    </w:p>
    <w:tbl>
      <w:tblPr>
        <w:tblW w:w="865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8"/>
        <w:gridCol w:w="6232"/>
      </w:tblGrid>
      <w:tr>
        <w:trPr/>
        <w:tc>
          <w:tcPr>
            <w:shd w:val="clear" w:color="auto" w:fill="ffffff"/>
            <w:tcW w:w="2418"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任务名称</w:t>
            </w:r>
            <w:r>
              <w:rPr>
                <w:rFonts w:hint="eastAsia" w:ascii="宋体" w:hAnsi="宋体" w:eastAsia="宋体" w:cs="宋体"/>
                <w:color w:val="000000"/>
                <w:sz w:val="21"/>
                <w:szCs w:val="21"/>
                <w:highlight w:val="none"/>
                <w:shd w:val="clear" w:color="auto" w:fill="auto"/>
              </w:rPr>
            </w:r>
            <w:r/>
          </w:p>
        </w:tc>
        <w:tc>
          <w:tcPr>
            <w:shd w:val="clear" w:color="auto" w:fill="ffffff"/>
            <w:tcW w:w="6232"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任务描述</w:t>
            </w:r>
            <w:r>
              <w:rPr>
                <w:rFonts w:hint="eastAsia" w:ascii="宋体" w:hAnsi="宋体" w:eastAsia="宋体" w:cs="宋体"/>
                <w:color w:val="000000"/>
                <w:sz w:val="21"/>
                <w:szCs w:val="21"/>
                <w:highlight w:val="none"/>
                <w:shd w:val="clear" w:color="auto" w:fill="auto"/>
              </w:rPr>
            </w:r>
            <w:r/>
          </w:p>
        </w:tc>
      </w:tr>
      <w:tr>
        <w:trPr/>
        <w:tc>
          <w:tcPr>
            <w:tcW w:w="2418"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安全巡检</w:t>
            </w:r>
            <w:r>
              <w:rPr>
                <w:rFonts w:hint="eastAsia" w:ascii="宋体" w:hAnsi="宋体" w:eastAsia="宋体" w:cs="宋体"/>
                <w:color w:val="000000"/>
                <w:sz w:val="21"/>
                <w:szCs w:val="21"/>
                <w:highlight w:val="none"/>
                <w:shd w:val="clear" w:color="auto" w:fill="auto"/>
                <w:lang w:val="en-US" w:eastAsia="zh-CN"/>
              </w:rPr>
            </w:r>
            <w:r/>
          </w:p>
        </w:tc>
        <w:tc>
          <w:tcPr>
            <w:tcW w:w="6232" w:type="dxa"/>
            <w:vAlign w:val="top"/>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提供所涉及的服务器、存储、数据库等设备的安全巡检务，对设备的健康状况、日志等进行检查，发现异常登录、操作行为，及时排查安全事件。确保合规性和可用性从而保证甲方现有信息系统的正常运行，降低安全风险。</w:t>
            </w:r>
            <w:r>
              <w:rPr>
                <w:rFonts w:hint="eastAsia" w:ascii="宋体" w:hAnsi="宋体" w:eastAsia="宋体" w:cs="宋体"/>
                <w:color w:val="000000"/>
                <w:sz w:val="21"/>
                <w:szCs w:val="21"/>
                <w:highlight w:val="none"/>
                <w:shd w:val="clear" w:color="auto" w:fill="auto"/>
              </w:rPr>
            </w:r>
            <w:r/>
          </w:p>
        </w:tc>
      </w:tr>
      <w:tr>
        <w:trPr/>
        <w:tc>
          <w:tcPr>
            <w:tcW w:w="2418"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安全整改</w:t>
            </w:r>
            <w:r>
              <w:rPr>
                <w:rFonts w:hint="eastAsia" w:ascii="宋体" w:hAnsi="宋体" w:eastAsia="宋体" w:cs="宋体"/>
                <w:color w:val="000000"/>
                <w:sz w:val="21"/>
                <w:szCs w:val="21"/>
                <w:highlight w:val="none"/>
                <w:shd w:val="clear" w:color="auto" w:fill="auto"/>
                <w:lang w:val="en-US" w:eastAsia="zh-CN"/>
              </w:rPr>
            </w:r>
            <w:r/>
          </w:p>
        </w:tc>
        <w:tc>
          <w:tcPr>
            <w:tcW w:w="6232" w:type="dxa"/>
            <w:vAlign w:val="top"/>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根据巡检过程中发现的各种安全隐患，及时更新补丁，修复漏洞，降低被攻击风险。</w:t>
            </w:r>
            <w:r>
              <w:rPr>
                <w:rFonts w:hint="eastAsia" w:ascii="宋体" w:hAnsi="宋体" w:eastAsia="宋体" w:cs="宋体"/>
                <w:color w:val="000000"/>
                <w:sz w:val="21"/>
                <w:szCs w:val="21"/>
                <w:highlight w:val="none"/>
                <w:shd w:val="clear" w:color="auto" w:fill="auto"/>
                <w:lang w:val="en-US" w:eastAsia="zh-CN"/>
              </w:rPr>
            </w:r>
            <w:r/>
          </w:p>
          <w:p>
            <w:pPr>
              <w:pStyle w:val="725"/>
              <w:spacing w:line="24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bidi="ar-SA"/>
              </w:rPr>
              <w:t xml:space="preserve">对小型机及服务器的操作系统进行安全配置优化，增强系统的安全性。</w:t>
            </w:r>
            <w:r>
              <w:rPr>
                <w:rFonts w:hint="eastAsia" w:ascii="宋体" w:hAnsi="宋体" w:eastAsia="宋体" w:cs="宋体"/>
                <w:color w:val="000000"/>
                <w:sz w:val="21"/>
                <w:szCs w:val="21"/>
                <w:highlight w:val="none"/>
                <w:shd w:val="clear" w:color="auto" w:fill="auto"/>
                <w:lang w:val="en-US" w:eastAsia="zh-CN"/>
              </w:rPr>
            </w:r>
            <w:r/>
          </w:p>
        </w:tc>
      </w:tr>
    </w:tbl>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1.3.2安全评估服务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lang w:val="zh-CN" w:eastAsia="zh-CN"/>
        </w:rPr>
        <w:t xml:space="preserve">远程安全评估系统工具</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风险评估能保证安全控制措施应用在具有最大风险的区域。风险评估结果可作为对用户方所实施的安全措施进行优先级排序的重要依据。风险评估也将鉴别已有安全措施是否在用户方持续运营的过程中仍然具有相应的效力，从而保障用户方的已有安全投入。</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zh-CN" w:eastAsia="zh-CN"/>
        </w:rPr>
      </w:pP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lang w:val="zh-CN" w:eastAsia="zh-CN"/>
        </w:rPr>
        <w:t xml:space="preserve">必须具有远程安全评估系统工具，授权可扫描总数量为无限的IP地址或域名，并对存在的风险点提供打补丁及优化等服务。</w:t>
      </w:r>
      <w:r>
        <w:rPr>
          <w:rFonts w:hint="eastAsia" w:ascii="宋体" w:hAnsi="宋体" w:eastAsia="宋体" w:cs="宋体"/>
          <w:color w:val="000000"/>
          <w:sz w:val="21"/>
          <w:szCs w:val="21"/>
          <w:highlight w:val="none"/>
          <w:shd w:val="clear" w:color="auto" w:fill="auto"/>
          <w:lang w:val="zh-CN"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zh-CN" w:eastAsia="zh-CN"/>
        </w:rPr>
      </w:pPr>
      <w:r>
        <w:rPr>
          <w:rFonts w:hint="eastAsia" w:ascii="宋体" w:hAnsi="宋体" w:eastAsia="宋体" w:cs="宋体"/>
          <w:color w:val="000000"/>
          <w:sz w:val="21"/>
          <w:szCs w:val="21"/>
          <w:highlight w:val="none"/>
          <w:shd w:val="clear" w:color="auto" w:fill="auto"/>
          <w:lang w:val="zh-CN" w:eastAsia="zh-CN"/>
        </w:rPr>
        <w:t xml:space="preserve">远程安全评估系统工具</w:t>
      </w:r>
      <w:r>
        <w:rPr>
          <w:rFonts w:hint="eastAsia" w:ascii="宋体" w:hAnsi="宋体" w:eastAsia="宋体" w:cs="宋体"/>
          <w:color w:val="000000"/>
          <w:sz w:val="21"/>
          <w:szCs w:val="21"/>
          <w:highlight w:val="none"/>
          <w:shd w:val="clear" w:color="auto" w:fill="auto"/>
          <w:lang w:val="en-US" w:eastAsia="zh-CN"/>
        </w:rPr>
        <w:t xml:space="preserve">性能基本要求如下：</w:t>
      </w:r>
      <w:r>
        <w:rPr>
          <w:rFonts w:hint="eastAsia" w:ascii="宋体" w:hAnsi="宋体" w:eastAsia="宋体" w:cs="宋体"/>
          <w:color w:val="000000"/>
          <w:sz w:val="21"/>
          <w:szCs w:val="21"/>
          <w:highlight w:val="none"/>
          <w:shd w:val="clear" w:color="auto" w:fill="auto"/>
          <w:lang w:val="zh-CN" w:eastAsia="zh-CN"/>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633"/>
      </w:tblGrid>
      <w:tr>
        <w:trPr>
          <w:trHeight w:val="145"/>
          <w:tblHeader/>
        </w:trPr>
        <w:tc>
          <w:tcPr>
            <w:tcW w:w="973" w:type="dxa"/>
            <w:vAlign w:val="center"/>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指标项</w:t>
            </w:r>
            <w:r>
              <w:rPr>
                <w:rFonts w:hint="eastAsia" w:ascii="宋体" w:hAnsi="宋体" w:eastAsia="宋体" w:cs="宋体"/>
                <w:b/>
                <w:color w:val="000000"/>
                <w:sz w:val="21"/>
                <w:szCs w:val="21"/>
                <w:highlight w:val="none"/>
                <w:shd w:val="clear" w:color="auto" w:fill="auto"/>
              </w:rPr>
            </w:r>
            <w:r/>
          </w:p>
        </w:tc>
        <w:tc>
          <w:tcPr>
            <w:tcW w:w="8633" w:type="dxa"/>
            <w:vAlign w:val="top"/>
            <w:textDirection w:val="lrTb"/>
            <w:noWrap w:val="false"/>
          </w:tcPr>
          <w:p>
            <w:pPr>
              <w:pStyle w:val="725"/>
              <w:ind w:right="10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规格要求</w:t>
            </w:r>
            <w:r>
              <w:rPr>
                <w:rFonts w:hint="eastAsia" w:ascii="宋体" w:hAnsi="宋体" w:eastAsia="宋体" w:cs="宋体"/>
                <w:b/>
                <w:color w:val="000000"/>
                <w:sz w:val="21"/>
                <w:szCs w:val="21"/>
                <w:highlight w:val="none"/>
                <w:shd w:val="clear" w:color="auto" w:fill="auto"/>
              </w:rPr>
            </w:r>
            <w:r/>
          </w:p>
        </w:tc>
      </w:tr>
      <w:tr>
        <w:trPr>
          <w:trHeight w:val="90"/>
        </w:trPr>
        <w:tc>
          <w:tcPr>
            <w:tcW w:w="973" w:type="dxa"/>
            <w:vAlign w:val="center"/>
            <w:vMerge w:val="restart"/>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漏洞管理和分析</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支持检测的漏洞数大于49000条，兼容CVE、CNCVE、CNNVD、CNVD、Bugtraq等主流标准。</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提供高级漏洞模板过滤器，支持将符合筛选条件的漏洞自动加入到自定义漏洞模板中，及后续插件升级包中的漏洞也可以自动加入到模板中。</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内置不同的漏洞模板针对Unix、Windows操作系统、网络设备和防火墙等模板，同时支持用户自定义扫描范围和扫描策略</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支持扫描国产操作系统、应用及软件的安全漏洞，如红旗、麒麟、起点操作系统。</w:t>
            </w:r>
            <w:r>
              <w:rPr>
                <w:rFonts w:hint="eastAsia" w:ascii="宋体" w:hAnsi="宋体" w:eastAsia="宋体" w:cs="宋体"/>
                <w:color w:val="000000"/>
                <w:sz w:val="21"/>
                <w:szCs w:val="21"/>
                <w:highlight w:val="none"/>
                <w:shd w:val="clear" w:color="auto" w:fill="auto"/>
              </w:rPr>
            </w:r>
            <w:r/>
          </w:p>
        </w:tc>
      </w:tr>
      <w:tr>
        <w:trPr>
          <w:trHeight w:val="629"/>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支持扫描主流虚拟机管理系统的安全漏洞，如：VMWareESX/ESXi，要求能够扫描大于300条相关漏洞。</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支持Oracle、MySQL、MS SQL、DB2、Sybase数据库漏洞检查。</w:t>
            </w:r>
            <w:r>
              <w:rPr>
                <w:rFonts w:hint="eastAsia" w:ascii="宋体" w:hAnsi="宋体" w:eastAsia="宋体" w:cs="宋体"/>
                <w:color w:val="000000"/>
                <w:sz w:val="21"/>
                <w:szCs w:val="21"/>
                <w:highlight w:val="none"/>
                <w:shd w:val="clear" w:color="auto" w:fill="auto"/>
              </w:rPr>
            </w:r>
            <w:r/>
          </w:p>
        </w:tc>
      </w:tr>
      <w:tr>
        <w:trPr>
          <w:trHeight w:val="90"/>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具备单独口令猜测扫描任务，支持多种口令猜测方式，包括利用SMB、TELNET、FTP、SSH、POP3、TOMCAT、SQL SERVER、MYSQL、ORACLE、SYBASE、DB2、SNMP等协议进行口令猜测，允许外挂用户提供的用户名字典、密码字典和用户名密码组合字典。</w:t>
            </w:r>
            <w:r>
              <w:rPr>
                <w:rFonts w:hint="eastAsia" w:ascii="宋体" w:hAnsi="宋体" w:eastAsia="宋体" w:cs="宋体"/>
                <w:color w:val="000000"/>
                <w:sz w:val="21"/>
                <w:szCs w:val="21"/>
                <w:highlight w:val="none"/>
                <w:shd w:val="clear" w:color="auto" w:fill="auto"/>
              </w:rPr>
            </w:r>
            <w:r/>
          </w:p>
        </w:tc>
      </w:tr>
      <w:tr>
        <w:trPr>
          <w:trHeight w:val="844"/>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支持立即执行、定时执行、周期执行扫描任务，自定义的周期时间可精确至每*月第*个星期*的*点*分。</w:t>
            </w:r>
            <w:r>
              <w:rPr>
                <w:rFonts w:hint="eastAsia" w:ascii="宋体" w:hAnsi="宋体" w:eastAsia="宋体" w:cs="宋体"/>
                <w:color w:val="000000"/>
                <w:sz w:val="21"/>
                <w:szCs w:val="21"/>
                <w:highlight w:val="none"/>
                <w:shd w:val="clear" w:color="auto" w:fill="auto"/>
              </w:rPr>
            </w:r>
            <w:r/>
          </w:p>
        </w:tc>
      </w:tr>
      <w:tr>
        <w:trPr>
          <w:trHeight w:val="294"/>
        </w:trPr>
        <w:tc>
          <w:tcPr>
            <w:tcW w:w="973" w:type="dxa"/>
            <w:vAlign w:val="center"/>
            <w:vMerge w:val="restart"/>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资产和风险管理</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提供通过资产树对资产进行分级管理，支持可信设备登记，支持将资产信息批量导入到资产树，可在资产树上直接指定主机开展扫描任务。</w:t>
            </w:r>
            <w:r>
              <w:rPr>
                <w:rFonts w:hint="eastAsia" w:ascii="宋体" w:hAnsi="宋体" w:eastAsia="宋体" w:cs="宋体"/>
                <w:color w:val="000000"/>
                <w:sz w:val="21"/>
                <w:szCs w:val="21"/>
                <w:highlight w:val="none"/>
                <w:shd w:val="clear" w:color="auto" w:fill="auto"/>
              </w:rPr>
            </w:r>
            <w:r/>
          </w:p>
        </w:tc>
      </w:tr>
      <w:tr>
        <w:trPr>
          <w:trHeight w:val="635"/>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可以通过多种维度搜索定位资产和查看资产风险，包括并不限于：节点或设备名称、资产IP范围、资产管理员、资产操作系统类型、资产风险等级、漏洞名称、开放的端口、资产banner信息等。</w:t>
            </w:r>
            <w:r>
              <w:rPr>
                <w:rFonts w:hint="eastAsia" w:ascii="宋体" w:hAnsi="宋体" w:eastAsia="宋体" w:cs="宋体"/>
                <w:color w:val="000000"/>
                <w:sz w:val="21"/>
                <w:szCs w:val="21"/>
                <w:highlight w:val="none"/>
                <w:shd w:val="clear" w:color="auto" w:fill="auto"/>
              </w:rPr>
            </w:r>
            <w:r/>
          </w:p>
        </w:tc>
      </w:tr>
      <w:tr>
        <w:trPr>
          <w:trHeight w:val="762"/>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支持风险告警和风险闭环处理，可在集中告警平台灵活配置告警内容、告警方式、告警资产范围等，支持邮件和页面告警，支持单个或批量修改风险状态</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662"/>
        </w:trPr>
        <w:tc>
          <w:tcPr>
            <w:tcW w:w="973" w:type="dxa"/>
            <w:vAlign w:val="center"/>
            <w:vMerge w:val="restart"/>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风险展示和报表</w:t>
            </w: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支持通过仪表盘直观展示资产风险值、主机风险等级分布、资产风险趋势、资产风险分布趋势等内容，并可查看详情。</w:t>
            </w:r>
            <w:r>
              <w:rPr>
                <w:rFonts w:hint="eastAsia" w:ascii="宋体" w:hAnsi="宋体" w:eastAsia="宋体" w:cs="宋体"/>
                <w:color w:val="000000"/>
                <w:sz w:val="21"/>
                <w:szCs w:val="21"/>
                <w:highlight w:val="none"/>
                <w:shd w:val="clear" w:color="auto" w:fill="auto"/>
              </w:rPr>
            </w:r>
            <w:r/>
          </w:p>
        </w:tc>
      </w:tr>
      <w:tr>
        <w:trPr>
          <w:trHeight w:val="90"/>
        </w:trPr>
        <w:tc>
          <w:tcPr>
            <w:tcW w:w="973"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33" w:type="dxa"/>
            <w:vAlign w:val="top"/>
            <w:textDirection w:val="lrTb"/>
            <w:noWrap w:val="false"/>
          </w:tcPr>
          <w:p>
            <w:pPr>
              <w:pStyle w:val="725"/>
              <w:numPr>
                <w:ilvl w:val="0"/>
                <w:numId w:val="0"/>
              </w:numP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支持实现显示扫描结果，包括扫描进度、主机存活数、预计扫描时间、漏洞风险信息等。</w:t>
            </w:r>
            <w:r>
              <w:rPr>
                <w:rFonts w:hint="eastAsia" w:ascii="宋体" w:hAnsi="宋体" w:eastAsia="宋体" w:cs="宋体"/>
                <w:color w:val="000000"/>
                <w:sz w:val="21"/>
                <w:szCs w:val="21"/>
                <w:highlight w:val="none"/>
                <w:shd w:val="clear" w:color="auto" w:fill="auto"/>
              </w:rPr>
            </w:r>
            <w:r/>
          </w:p>
        </w:tc>
      </w:tr>
    </w:tbl>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（2）安全风险评估服务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安全风险评估服务内容如下：</w:t>
      </w:r>
      <w:r>
        <w:rPr>
          <w:rFonts w:hint="eastAsia" w:ascii="宋体" w:hAnsi="宋体" w:eastAsia="宋体" w:cs="宋体"/>
          <w:color w:val="000000"/>
          <w:sz w:val="21"/>
          <w:szCs w:val="21"/>
          <w:highlight w:val="none"/>
          <w:shd w:val="clear" w:color="auto" w:fill="auto"/>
          <w:lang w:val="en-US" w:eastAsia="zh-CN"/>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1376"/>
        <w:gridCol w:w="5844"/>
      </w:tblGrid>
      <w:tr>
        <w:trPr/>
        <w:tc>
          <w:tcPr>
            <w:tcW w:w="1399"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脆弱性分类</w:t>
            </w:r>
            <w:r>
              <w:rPr>
                <w:rFonts w:hint="eastAsia" w:ascii="宋体" w:hAnsi="宋体" w:eastAsia="宋体" w:cs="宋体"/>
                <w:color w:val="000000"/>
                <w:sz w:val="21"/>
                <w:szCs w:val="21"/>
                <w:highlight w:val="none"/>
                <w:shd w:val="clear" w:color="auto" w:fill="auto"/>
              </w:rPr>
            </w:r>
            <w:r/>
          </w:p>
        </w:tc>
        <w:tc>
          <w:tcPr>
            <w:tcW w:w="137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名称</w:t>
            </w:r>
            <w:r>
              <w:rPr>
                <w:rFonts w:hint="eastAsia" w:ascii="宋体" w:hAnsi="宋体" w:eastAsia="宋体" w:cs="宋体"/>
                <w:color w:val="000000"/>
                <w:sz w:val="21"/>
                <w:szCs w:val="21"/>
                <w:highlight w:val="none"/>
                <w:shd w:val="clear" w:color="auto" w:fill="auto"/>
              </w:rPr>
            </w:r>
            <w:r/>
          </w:p>
        </w:tc>
        <w:tc>
          <w:tcPr>
            <w:tcW w:w="5844"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包含内容</w:t>
            </w:r>
            <w:r>
              <w:rPr>
                <w:rFonts w:hint="eastAsia" w:ascii="宋体" w:hAnsi="宋体" w:eastAsia="宋体" w:cs="宋体"/>
                <w:color w:val="000000"/>
                <w:sz w:val="21"/>
                <w:szCs w:val="21"/>
                <w:highlight w:val="none"/>
                <w:shd w:val="clear" w:color="auto" w:fill="auto"/>
              </w:rPr>
            </w:r>
            <w:r/>
          </w:p>
        </w:tc>
      </w:tr>
      <w:tr>
        <w:trPr>
          <w:trHeight w:val="525"/>
        </w:trPr>
        <w:tc>
          <w:tcPr>
            <w:tcW w:w="1399" w:type="dxa"/>
            <w:vAlign w:val="center"/>
            <w:vMerge w:val="restart"/>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技术脆弱性</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物理安全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物理设备的访问控制，电力供应等</w:t>
            </w:r>
            <w:r>
              <w:rPr>
                <w:rFonts w:hint="eastAsia" w:ascii="宋体" w:hAnsi="宋体" w:eastAsia="宋体" w:cs="宋体"/>
                <w:color w:val="000000"/>
                <w:sz w:val="21"/>
                <w:szCs w:val="21"/>
                <w:highlight w:val="none"/>
                <w:shd w:val="clear" w:color="auto" w:fill="auto"/>
              </w:rPr>
            </w:r>
            <w:r/>
          </w:p>
        </w:tc>
      </w:tr>
      <w:tr>
        <w:trPr>
          <w:trHeight w:val="397"/>
        </w:trPr>
        <w:tc>
          <w:tcPr>
            <w:tcW w:w="1399"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系统软件安全漏洞，系统软件配置安全等</w:t>
            </w:r>
            <w:r>
              <w:rPr>
                <w:rFonts w:hint="eastAsia" w:ascii="宋体" w:hAnsi="宋体" w:eastAsia="宋体" w:cs="宋体"/>
                <w:color w:val="000000"/>
                <w:sz w:val="21"/>
                <w:szCs w:val="21"/>
                <w:highlight w:val="none"/>
                <w:shd w:val="clear" w:color="auto" w:fill="auto"/>
              </w:rPr>
            </w:r>
            <w:r/>
          </w:p>
        </w:tc>
      </w:tr>
      <w:tr>
        <w:trPr/>
        <w:tc>
          <w:tcPr>
            <w:tcW w:w="1399"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数据安全</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数据的机密性、完整性和可用性控制等</w:t>
            </w:r>
            <w:r>
              <w:rPr>
                <w:rFonts w:hint="eastAsia" w:ascii="宋体" w:hAnsi="宋体" w:eastAsia="宋体" w:cs="宋体"/>
                <w:color w:val="000000"/>
                <w:sz w:val="21"/>
                <w:szCs w:val="21"/>
                <w:highlight w:val="none"/>
                <w:shd w:val="clear" w:color="auto" w:fill="auto"/>
              </w:rPr>
            </w:r>
            <w:r/>
          </w:p>
        </w:tc>
      </w:tr>
      <w:tr>
        <w:trPr>
          <w:trHeight w:val="365"/>
        </w:trPr>
        <w:tc>
          <w:tcPr>
            <w:tcW w:w="1399"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漏洞检测</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漏洞检测服务</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jc w:val="left"/>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全方位检测业务系统存在的脆弱性，发现信息系统存在的安全漏洞、安全配置问题、Web 应用安全漏洞、存在的弱口令，收集系统不必要开放的帐号、服务、端口，包括系统，数据库，中间件，web应用等全覆盖方式的漏洞扫描检查。能够全面发现存在的各种脆弱性问题，快速定位风险。</w:t>
            </w:r>
            <w:r>
              <w:rPr>
                <w:rFonts w:hint="eastAsia" w:ascii="宋体" w:hAnsi="宋体" w:eastAsia="宋体" w:cs="宋体"/>
                <w:color w:val="000000"/>
                <w:sz w:val="21"/>
                <w:szCs w:val="21"/>
                <w:highlight w:val="none"/>
                <w:shd w:val="clear" w:color="auto" w:fill="auto"/>
              </w:rPr>
            </w:r>
            <w:r/>
          </w:p>
        </w:tc>
      </w:tr>
      <w:tr>
        <w:trPr>
          <w:trHeight w:val="365"/>
        </w:trPr>
        <w:tc>
          <w:tcPr>
            <w:tcW w:w="1399"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安全现状和整改建议</w:t>
            </w:r>
            <w:r>
              <w:rPr>
                <w:rFonts w:hint="eastAsia" w:ascii="宋体" w:hAnsi="宋体" w:eastAsia="宋体" w:cs="宋体"/>
                <w:color w:val="000000"/>
                <w:sz w:val="21"/>
                <w:szCs w:val="21"/>
                <w:highlight w:val="none"/>
                <w:shd w:val="clear" w:color="auto" w:fill="auto"/>
              </w:rPr>
            </w:r>
            <w:r/>
          </w:p>
        </w:tc>
        <w:tc>
          <w:tcPr>
            <w:tcW w:w="1376"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安全现状和整改建议</w:t>
            </w:r>
            <w:r>
              <w:rPr>
                <w:rFonts w:hint="eastAsia" w:ascii="宋体" w:hAnsi="宋体" w:eastAsia="宋体" w:cs="宋体"/>
                <w:color w:val="000000"/>
                <w:sz w:val="21"/>
                <w:szCs w:val="21"/>
                <w:highlight w:val="none"/>
                <w:shd w:val="clear" w:color="auto" w:fill="auto"/>
              </w:rPr>
            </w:r>
            <w:r/>
          </w:p>
        </w:tc>
        <w:tc>
          <w:tcPr>
            <w:tcW w:w="5844" w:type="dxa"/>
            <w:vAlign w:val="center"/>
            <w:textDirection w:val="lrTb"/>
            <w:noWrap w:val="false"/>
          </w:tcPr>
          <w:p>
            <w:pPr>
              <w:pStyle w:val="725"/>
              <w:jc w:val="left"/>
              <w:spacing w:line="30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依据</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w:t>
            </w:r>
            <w:r>
              <w:rPr>
                <w:rFonts w:hint="eastAsia" w:ascii="宋体" w:hAnsi="宋体" w:eastAsia="宋体" w:cs="宋体"/>
                <w:color w:val="000000"/>
                <w:sz w:val="21"/>
                <w:szCs w:val="21"/>
                <w:highlight w:val="none"/>
                <w:shd w:val="clear" w:color="auto" w:fill="auto"/>
                <w:lang w:val="en-US" w:eastAsia="zh-CN"/>
              </w:rPr>
              <w:t xml:space="preserve">提供安全风险评估服务，</w:t>
            </w:r>
            <w:r>
              <w:rPr>
                <w:rFonts w:hint="eastAsia" w:ascii="宋体" w:hAnsi="宋体" w:eastAsia="宋体" w:cs="宋体"/>
                <w:color w:val="000000"/>
                <w:sz w:val="21"/>
                <w:szCs w:val="21"/>
                <w:highlight w:val="none"/>
                <w:shd w:val="clear" w:color="auto" w:fill="auto"/>
              </w:rPr>
              <w:t xml:space="preserve">对现有的系统脆弱性和威胁进行分析，评估现有安全措施是否足够，是否需要进行相应的安全整改，提出相应的整改建议</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并出具</w:t>
            </w:r>
            <w:r>
              <w:rPr>
                <w:rFonts w:hint="eastAsia" w:ascii="宋体" w:hAnsi="宋体" w:eastAsia="宋体" w:cs="宋体"/>
                <w:color w:val="000000"/>
                <w:sz w:val="21"/>
                <w:szCs w:val="21"/>
                <w:highlight w:val="none"/>
                <w:shd w:val="clear" w:color="auto" w:fill="auto"/>
              </w:rPr>
              <w:t xml:space="preserve">安全风险评估报告。为加强人社网络安全保障能力，安全风险评估服务中需向</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提供 SSL证书续费服务。</w:t>
            </w:r>
            <w:r>
              <w:rPr>
                <w:rFonts w:hint="eastAsia" w:ascii="宋体" w:hAnsi="宋体" w:eastAsia="宋体" w:cs="宋体"/>
                <w:color w:val="000000"/>
                <w:sz w:val="21"/>
                <w:szCs w:val="21"/>
                <w:highlight w:val="none"/>
                <w:shd w:val="clear" w:color="auto" w:fill="auto"/>
                <w:lang w:eastAsia="zh-CN"/>
              </w:rPr>
            </w:r>
            <w:r/>
          </w:p>
        </w:tc>
      </w:tr>
    </w:tbl>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1.3.3安全基线加固</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安全加固服务是针对漏洞扫描和安全评估过程中发现的各种安全隐患，通过打补丁、修补漏洞、安全配置增强、系统架构和安全策略调整等方式及时进行加固和安全优化，提高系统的安全性和抗攻击能力。</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安全基线加固服务内容如下：</w:t>
      </w:r>
      <w:r>
        <w:rPr>
          <w:rFonts w:hint="eastAsia" w:ascii="宋体" w:hAnsi="宋体" w:eastAsia="宋体" w:cs="宋体"/>
          <w:color w:val="000000"/>
          <w:sz w:val="21"/>
          <w:szCs w:val="21"/>
          <w:highlight w:val="none"/>
          <w:shd w:val="clear" w:color="auto" w:fill="auto"/>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1733"/>
        <w:gridCol w:w="4972"/>
      </w:tblGrid>
      <w:tr>
        <w:trPr>
          <w:trHeight w:val="513"/>
        </w:trPr>
        <w:tc>
          <w:tcPr>
            <w:shd w:val="clear" w:color="auto" w:fill="ffffff"/>
            <w:tcW w:w="1817" w:type="dxa"/>
            <w:vAlign w:val="center"/>
            <w:vMerge w:val="restart"/>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基本要求</w:t>
            </w: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检查方式</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应提供对服务器、中间件、数据库等进行安全基线加固服务。</w:t>
            </w:r>
            <w:r>
              <w:rPr>
                <w:rFonts w:hint="eastAsia" w:ascii="宋体" w:hAnsi="宋体" w:eastAsia="宋体" w:cs="宋体"/>
                <w:color w:val="000000"/>
                <w:sz w:val="21"/>
                <w:szCs w:val="21"/>
                <w:highlight w:val="none"/>
                <w:shd w:val="clear" w:color="auto" w:fill="auto"/>
              </w:rPr>
            </w:r>
            <w:r/>
          </w:p>
        </w:tc>
      </w:tr>
      <w:tr>
        <w:trPr>
          <w:trHeight w:val="327"/>
        </w:trPr>
        <w:tc>
          <w:tcPr>
            <w:tcW w:w="1817"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风险要求</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应采取有关措施降低测试可能带来的安全风险，防止安全加固影响系统的正常运行。</w:t>
            </w:r>
            <w:r>
              <w:rPr>
                <w:rFonts w:hint="eastAsia" w:ascii="宋体" w:hAnsi="宋体" w:eastAsia="宋体" w:cs="宋体"/>
                <w:color w:val="000000"/>
                <w:sz w:val="21"/>
                <w:szCs w:val="21"/>
                <w:highlight w:val="none"/>
                <w:shd w:val="clear" w:color="auto" w:fill="auto"/>
              </w:rPr>
            </w:r>
            <w:r/>
          </w:p>
        </w:tc>
      </w:tr>
      <w:tr>
        <w:trPr>
          <w:trHeight w:val="580"/>
        </w:trPr>
        <w:tc>
          <w:tcPr>
            <w:tcW w:w="1817"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操作系统加固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jc w:val="left"/>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支持常用操作系检查，包含但不限于windows2003,2008,2012、redhat-linux、aix等系统类型。</w:t>
            </w:r>
            <w:r>
              <w:rPr>
                <w:rFonts w:hint="eastAsia" w:ascii="宋体" w:hAnsi="宋体" w:eastAsia="宋体" w:cs="宋体"/>
                <w:color w:val="000000"/>
                <w:sz w:val="21"/>
                <w:szCs w:val="21"/>
                <w:highlight w:val="none"/>
                <w:shd w:val="clear" w:color="auto" w:fill="auto"/>
              </w:rPr>
            </w:r>
            <w:r/>
          </w:p>
        </w:tc>
      </w:tr>
      <w:tr>
        <w:trPr>
          <w:trHeight w:val="873"/>
        </w:trPr>
        <w:tc>
          <w:tcPr>
            <w:tcW w:w="1817"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中间件加固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支持常用中间件检查，包含但不限于weblogic等中间件类型。</w:t>
            </w:r>
            <w:r>
              <w:rPr>
                <w:rFonts w:hint="eastAsia" w:ascii="宋体" w:hAnsi="宋体" w:eastAsia="宋体" w:cs="宋体"/>
                <w:color w:val="000000"/>
                <w:sz w:val="21"/>
                <w:szCs w:val="21"/>
                <w:highlight w:val="none"/>
                <w:shd w:val="clear" w:color="auto" w:fill="auto"/>
              </w:rPr>
            </w:r>
            <w:r/>
          </w:p>
        </w:tc>
      </w:tr>
      <w:tr>
        <w:trPr>
          <w:trHeight w:val="630"/>
        </w:trPr>
        <w:tc>
          <w:tcPr>
            <w:tcW w:w="1817" w:type="dxa"/>
            <w:vAlign w:val="center"/>
            <w:vMerge w:val="continue"/>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733"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数据库加固</w:t>
            </w:r>
            <w:r>
              <w:rPr>
                <w:rFonts w:hint="eastAsia" w:ascii="宋体" w:hAnsi="宋体" w:eastAsia="宋体" w:cs="宋体"/>
                <w:color w:val="000000"/>
                <w:sz w:val="21"/>
                <w:szCs w:val="21"/>
                <w:highlight w:val="none"/>
                <w:shd w:val="clear" w:color="auto" w:fill="auto"/>
              </w:rPr>
            </w:r>
            <w:r/>
          </w:p>
        </w:tc>
        <w:tc>
          <w:tcPr>
            <w:shd w:val="clear" w:color="auto" w:fill="ffffff"/>
            <w:tcW w:w="4972"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支持常用数据库检查，包含但不限于oracle、mysql等数据库类型。</w:t>
            </w:r>
            <w:r>
              <w:rPr>
                <w:rFonts w:hint="eastAsia" w:ascii="宋体" w:hAnsi="宋体" w:eastAsia="宋体" w:cs="宋体"/>
                <w:color w:val="000000"/>
                <w:sz w:val="21"/>
                <w:szCs w:val="21"/>
                <w:highlight w:val="none"/>
                <w:shd w:val="clear" w:color="auto" w:fill="auto"/>
              </w:rPr>
            </w:r>
            <w:r/>
          </w:p>
        </w:tc>
      </w:tr>
    </w:tbl>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1.3.4应急响应服务</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乙方提供7*24小时应急响应服务。2小时内到达现场处理黑客攻击、病毒爆发、木马/后门程序、脱库/入侵事件等。协助甲方建立应急响应体系，梳理应急人员岗职技能，进行应急事件分类、处理，形成并出具信息安全应急体系方案。在特殊时期，如春节、国庆等节假日，两会等敏感时期，新系统和新功能上线等重要时期提供远程和现场安全运维保障。</w:t>
      </w:r>
      <w:r>
        <w:rPr>
          <w:rFonts w:hint="eastAsia" w:ascii="宋体" w:hAnsi="宋体" w:eastAsia="宋体" w:cs="宋体"/>
          <w:color w:val="000000"/>
          <w:sz w:val="21"/>
          <w:szCs w:val="21"/>
          <w:highlight w:val="none"/>
          <w:shd w:val="clear" w:color="auto" w:fill="auto"/>
          <w:lang w:val="en-US" w:eastAsia="zh-CN"/>
        </w:rPr>
      </w:r>
      <w:r/>
    </w:p>
    <w:p>
      <w:pPr>
        <w:pStyle w:val="72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应急响应服务内容如下：</w:t>
      </w:r>
      <w:r>
        <w:rPr>
          <w:rFonts w:hint="eastAsia" w:ascii="宋体" w:hAnsi="宋体" w:eastAsia="宋体" w:cs="宋体"/>
          <w:color w:val="000000"/>
          <w:sz w:val="21"/>
          <w:szCs w:val="21"/>
          <w:highlight w:val="none"/>
          <w:shd w:val="clear" w:color="auto" w:fill="auto"/>
          <w:lang w:val="en-US" w:eastAsia="zh-CN"/>
        </w:rPr>
      </w:r>
      <w:r/>
    </w:p>
    <w:tbl>
      <w:tblPr>
        <w:tblW w:w="0" w:type="auto"/>
        <w:tblInd w:w="68" w:type="dxa"/>
        <w:tblBorders>
          <w:top w:val="single" w:color="000000" w:sz="4" w:space="0"/>
          <w:left w:val="single" w:color="000000" w:sz="4" w:space="0"/>
          <w:bottom w:val="single" w:color="000000" w:sz="4" w:space="0"/>
          <w:right w:val="single" w:color="000000"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1275"/>
        <w:gridCol w:w="6390"/>
      </w:tblGrid>
      <w:tr>
        <w:trPr>
          <w:trHeight w:val="23"/>
        </w:trPr>
        <w:tc>
          <w:tcPr>
            <w:shd w:val="clear" w:color="auto" w:fill="ffffff"/>
            <w:tcW w:w="1245" w:type="dxa"/>
            <w:vAlign w:val="center"/>
            <w:vMerge w:val="restart"/>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基本要求</w:t>
            </w: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服务方式</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7*24小时应急响应，2小时内到达现场：黑客攻击、病毒爆发、木马/后门程序、脱库/入侵事件等。</w:t>
            </w:r>
            <w:r>
              <w:rPr>
                <w:rFonts w:hint="eastAsia" w:ascii="宋体" w:hAnsi="宋体" w:eastAsia="宋体" w:cs="宋体"/>
                <w:color w:val="000000"/>
                <w:sz w:val="21"/>
                <w:szCs w:val="21"/>
                <w:highlight w:val="none"/>
                <w:shd w:val="clear" w:color="auto" w:fill="auto"/>
              </w:rPr>
            </w:r>
            <w:r/>
          </w:p>
        </w:tc>
      </w:tr>
      <w:tr>
        <w:trPr>
          <w:trHeight w:val="23"/>
        </w:trPr>
        <w:tc>
          <w:tcPr>
            <w:tcW w:w="1245" w:type="dxa"/>
            <w:vAlign w:val="center"/>
            <w:vMerge w:val="continue"/>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风险要求</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应采取有关措施降低应急期间可能带来的安全风险，防止应急期间影响系统的正常运行，及时审计发现恶意的破坏或盗取信息行为。</w:t>
            </w:r>
            <w:r>
              <w:rPr>
                <w:rFonts w:hint="eastAsia" w:ascii="宋体" w:hAnsi="宋体" w:eastAsia="宋体" w:cs="宋体"/>
                <w:color w:val="000000"/>
                <w:sz w:val="21"/>
                <w:szCs w:val="21"/>
                <w:highlight w:val="none"/>
                <w:shd w:val="clear" w:color="auto" w:fill="auto"/>
              </w:rPr>
            </w:r>
            <w:r/>
          </w:p>
        </w:tc>
      </w:tr>
      <w:tr>
        <w:trPr>
          <w:trHeight w:val="23"/>
        </w:trPr>
        <w:tc>
          <w:tcPr>
            <w:shd w:val="clear" w:color="auto" w:fill="ffffff"/>
            <w:tcW w:w="1245" w:type="dxa"/>
            <w:vAlign w:val="center"/>
            <w:vMerge w:val="restart"/>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应急响应服务</w:t>
            </w: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DoS事件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信息系统遭到DoS攻击，系统收到大量无意义数据包，无法对外提供正常业务服务；被攻击系统对外部访问请求响应处理缓慢，使用Ping命令无法Ping通（或存在大量丢包情况）。</w:t>
            </w:r>
            <w:r>
              <w:rPr>
                <w:rFonts w:hint="eastAsia" w:ascii="宋体" w:hAnsi="宋体" w:eastAsia="宋体" w:cs="宋体"/>
                <w:color w:val="000000"/>
                <w:sz w:val="21"/>
                <w:szCs w:val="21"/>
                <w:highlight w:val="none"/>
                <w:shd w:val="clear" w:color="auto" w:fill="auto"/>
              </w:rPr>
            </w:r>
            <w:r/>
          </w:p>
        </w:tc>
      </w:tr>
      <w:tr>
        <w:trPr>
          <w:trHeight w:val="23"/>
        </w:trPr>
        <w:tc>
          <w:tcPr>
            <w:tcW w:w="1245" w:type="dxa"/>
            <w:vAlign w:val="center"/>
            <w:vMerge w:val="continue"/>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病毒/木马事件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信息系统服务器感染病毒（防病毒软件可能产生报警）或短时间内处于同一生产网络区域内的多台计算机均被病毒传播感染，且使用统一的防病毒软件无法自动清除或隔离。</w:t>
            </w:r>
            <w:r>
              <w:rPr>
                <w:rFonts w:hint="eastAsia" w:ascii="宋体" w:hAnsi="宋体" w:eastAsia="宋体" w:cs="宋体"/>
                <w:color w:val="000000"/>
                <w:sz w:val="21"/>
                <w:szCs w:val="21"/>
                <w:highlight w:val="none"/>
                <w:shd w:val="clear" w:color="auto" w:fill="auto"/>
              </w:rPr>
            </w:r>
            <w:r/>
          </w:p>
        </w:tc>
      </w:tr>
      <w:tr>
        <w:trPr>
          <w:trHeight w:val="23"/>
        </w:trPr>
        <w:tc>
          <w:tcPr>
            <w:tcW w:w="1245" w:type="dxa"/>
            <w:vAlign w:val="center"/>
            <w:vMerge w:val="continue"/>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未授权访问事件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信息系统内的数据被未知行为更改。</w:t>
            </w:r>
            <w:r>
              <w:rPr>
                <w:rFonts w:hint="eastAsia" w:ascii="宋体" w:hAnsi="宋体" w:eastAsia="宋体" w:cs="宋体"/>
                <w:color w:val="000000"/>
                <w:sz w:val="21"/>
                <w:szCs w:val="21"/>
                <w:highlight w:val="none"/>
                <w:shd w:val="clear" w:color="auto" w:fill="auto"/>
              </w:rPr>
            </w:r>
            <w:r/>
          </w:p>
        </w:tc>
      </w:tr>
      <w:tr>
        <w:trPr>
          <w:trHeight w:val="23"/>
        </w:trPr>
        <w:tc>
          <w:tcPr>
            <w:tcW w:w="1245" w:type="dxa"/>
            <w:vAlign w:val="center"/>
            <w:vMerge w:val="continue"/>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shd w:val="clear" w:color="auto" w:fill="ffffff"/>
            <w:tcW w:w="1275"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试探攻击事件</w:t>
            </w:r>
            <w:r>
              <w:rPr>
                <w:rFonts w:hint="eastAsia" w:ascii="宋体" w:hAnsi="宋体" w:eastAsia="宋体" w:cs="宋体"/>
                <w:color w:val="000000"/>
                <w:sz w:val="21"/>
                <w:szCs w:val="21"/>
                <w:highlight w:val="none"/>
                <w:shd w:val="clear" w:color="auto" w:fill="auto"/>
              </w:rPr>
            </w:r>
            <w:r/>
          </w:p>
        </w:tc>
        <w:tc>
          <w:tcPr>
            <w:shd w:val="clear" w:color="auto" w:fill="ffffff"/>
            <w:tcW w:w="6390" w:type="dxa"/>
            <w:vAlign w:val="center"/>
            <w:textDirection w:val="lrTb"/>
            <w:noWrap w:val="false"/>
          </w:tcPr>
          <w:p>
            <w:pPr>
              <w:pStyle w:val="725"/>
              <w:spacing w:line="24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信息系统产生大量来自同一IP地址（或集中几个IP地址）的试探性访问；IDS设备产生报警日志；防火墙上也能看到来自同一IP地址（或集中几个IP地址）对信息系统的大量试探性数据访问。</w:t>
            </w:r>
            <w:r>
              <w:rPr>
                <w:rFonts w:hint="eastAsia" w:ascii="宋体" w:hAnsi="宋体" w:eastAsia="宋体" w:cs="宋体"/>
                <w:color w:val="000000"/>
                <w:sz w:val="21"/>
                <w:szCs w:val="21"/>
                <w:highlight w:val="none"/>
                <w:shd w:val="clear" w:color="auto" w:fill="auto"/>
              </w:rPr>
            </w:r>
            <w:r/>
          </w:p>
        </w:tc>
      </w:tr>
    </w:tbl>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本项目的信息安全服务是指与本维保系统相关的主机、存储、数据库相关的信息安全服务。</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1.4数据库与中间件维护服务</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（1）数据库性能软件分析工具</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乙方具备自动化性能分析软件工具采集系统运行时的各项数据，当系统运行缓慢，必要时能利用工具分析系统主要的数据库性能瓶颈，分析应用软件及数据库等各方面资源的使用情况，确定系统性能现状及性能调整的目标，定位系统中出现的性能瓶颈，测试验证针对性能瓶颈进行改进，对性能调整包括内存调优Memory Tuning、磁盘存取调优Disk I/O Tuning、SQL调优等数据库系统性能优化，工程师服务时能使用专业工具分析数据库的性能情况。</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数据库性能软件分析工具性能基本要求如下：</w:t>
      </w:r>
      <w:r>
        <w:rPr>
          <w:rFonts w:hint="eastAsia" w:ascii="宋体" w:hAnsi="宋体" w:eastAsia="宋体" w:cs="宋体"/>
          <w:color w:val="000000"/>
          <w:sz w:val="21"/>
          <w:szCs w:val="21"/>
          <w:highlight w:val="none"/>
          <w:shd w:val="clear" w:color="auto" w:fill="auto"/>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7228"/>
      </w:tblGrid>
      <w:tr>
        <w:trPr/>
        <w:tc>
          <w:tcPr>
            <w:tcW w:w="1277" w:type="dxa"/>
            <w:vAlign w:val="center"/>
            <w:textDirection w:val="lrTb"/>
            <w:noWrap/>
          </w:tcPr>
          <w:p>
            <w:pPr>
              <w:pStyle w:val="725"/>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功能</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tcPr>
          <w:p>
            <w:pPr>
              <w:pStyle w:val="725"/>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要求</w:t>
            </w:r>
            <w:r>
              <w:rPr>
                <w:rFonts w:hint="eastAsia" w:ascii="宋体" w:hAnsi="宋体" w:eastAsia="宋体" w:cs="宋体"/>
                <w:color w:val="000000"/>
                <w:sz w:val="21"/>
                <w:szCs w:val="21"/>
                <w:highlight w:val="none"/>
                <w:shd w:val="clear" w:color="auto" w:fill="auto"/>
              </w:rPr>
            </w:r>
            <w:r/>
          </w:p>
        </w:tc>
      </w:tr>
      <w:tr>
        <w:trPr/>
        <w:tc>
          <w:tcPr>
            <w:tcW w:w="1277" w:type="dxa"/>
            <w:vAlign w:val="center"/>
            <w:textDirection w:val="lrTb"/>
            <w:noWrap/>
          </w:tcPr>
          <w:p>
            <w:pPr>
              <w:pStyle w:val="725"/>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运行情况分析</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847"/>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1.数据库运行状况</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，从Oracle共享内存中直接收集，不使用Oracle资源，即便数据库挂起hang住时，也可以持续收集数据。</w:t>
            </w:r>
            <w:r>
              <w:rPr>
                <w:rFonts w:hint="eastAsia" w:ascii="宋体" w:hAnsi="宋体" w:eastAsia="宋体" w:cs="宋体"/>
                <w:color w:val="000000"/>
                <w:sz w:val="21"/>
                <w:szCs w:val="21"/>
                <w:highlight w:val="none"/>
                <w:shd w:val="clear" w:color="auto" w:fill="auto"/>
              </w:rPr>
            </w:r>
            <w:r/>
          </w:p>
          <w:p>
            <w:pPr>
              <w:pStyle w:val="847"/>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.数据库系统发生问题时，提供原因的会话和追踪SQL</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25"/>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.以会话为单位，联动</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现行SQL、数据库资源使用量、资源待机量、CPU使用量</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tc>
      </w:tr>
      <w:tr>
        <w:trPr/>
        <w:tc>
          <w:tcPr>
            <w:tcW w:w="1277" w:type="dxa"/>
            <w:vAlign w:val="center"/>
            <w:textDirection w:val="lrTb"/>
            <w:noWrap/>
          </w:tcPr>
          <w:p>
            <w:pPr>
              <w:pStyle w:val="725"/>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性能实时分析、和事后分析</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725"/>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1.对整个系统的执行状态的记录可以重现，查看过去特定时刻数据库状态的功能，如资源使用量、待机量、锁(Lock)发生信息、参数，记录此时活动的所有会话相关内容。</w:t>
            </w:r>
            <w:r>
              <w:rPr>
                <w:rFonts w:hint="eastAsia" w:ascii="宋体" w:hAnsi="宋体" w:eastAsia="宋体" w:cs="宋体"/>
                <w:color w:val="000000"/>
                <w:sz w:val="21"/>
                <w:szCs w:val="21"/>
                <w:highlight w:val="none"/>
                <w:shd w:val="clear" w:color="auto" w:fill="auto"/>
              </w:rPr>
            </w:r>
            <w:r/>
          </w:p>
          <w:p>
            <w:pPr>
              <w:pStyle w:val="725"/>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2.特定会话的执行状态的记录和重现功能。</w:t>
            </w:r>
            <w:r>
              <w:rPr>
                <w:rFonts w:hint="eastAsia" w:ascii="宋体" w:hAnsi="宋体" w:eastAsia="宋体" w:cs="宋体"/>
                <w:color w:val="000000"/>
                <w:sz w:val="21"/>
                <w:szCs w:val="21"/>
                <w:highlight w:val="none"/>
                <w:shd w:val="clear" w:color="auto" w:fill="auto"/>
              </w:rPr>
            </w:r>
            <w:r/>
          </w:p>
          <w:p>
            <w:pPr>
              <w:pStyle w:val="725"/>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3.各特定时间带超负荷SQL的筛选和和记录功能</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tc>
      </w:tr>
      <w:tr>
        <w:trPr/>
        <w:tc>
          <w:tcPr>
            <w:tcW w:w="1277" w:type="dxa"/>
            <w:vAlign w:val="center"/>
            <w:textDirection w:val="lrTb"/>
            <w:noWrap/>
          </w:tcPr>
          <w:p>
            <w:pPr>
              <w:pStyle w:val="725"/>
              <w:jc w:val="center"/>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SQL调优</w:t>
            </w:r>
            <w:r>
              <w:rPr>
                <w:rFonts w:hint="eastAsia" w:ascii="宋体" w:hAnsi="宋体" w:eastAsia="宋体" w:cs="宋体"/>
                <w:color w:val="000000"/>
                <w:sz w:val="21"/>
                <w:szCs w:val="21"/>
                <w:highlight w:val="none"/>
                <w:shd w:val="clear" w:color="auto" w:fill="auto"/>
              </w:rPr>
            </w:r>
            <w:r/>
          </w:p>
        </w:tc>
        <w:tc>
          <w:tcPr>
            <w:tcW w:w="7228" w:type="dxa"/>
            <w:vAlign w:val="center"/>
            <w:textDirection w:val="lrTb"/>
            <w:noWrap w:val="false"/>
          </w:tcPr>
          <w:p>
            <w:pPr>
              <w:pStyle w:val="725"/>
              <w:jc w:val="left"/>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1.将执行SQL中所发生的Trace，可以按SQL、Curso等多角度分析。等级为12时，可分析binding变量值和等待的发生。DB服务器内的Trace，可通过 FTP或UTL_FILE包传送接受。</w:t>
            </w:r>
            <w:r>
              <w:rPr>
                <w:rFonts w:hint="eastAsia" w:ascii="宋体" w:hAnsi="宋体" w:eastAsia="宋体" w:cs="宋体"/>
                <w:color w:val="000000"/>
                <w:sz w:val="21"/>
                <w:szCs w:val="21"/>
                <w:highlight w:val="none"/>
                <w:shd w:val="clear" w:color="auto" w:fill="auto"/>
              </w:rPr>
            </w:r>
            <w:r/>
          </w:p>
          <w:p>
            <w:pPr>
              <w:pStyle w:val="725"/>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2.查看SQL计划的及对象的功能。对一个SQL可以执行或查看计划，而计划以树形式表示。</w:t>
            </w:r>
            <w:r>
              <w:rPr>
                <w:rFonts w:hint="eastAsia" w:ascii="宋体" w:hAnsi="宋体" w:eastAsia="宋体" w:cs="宋体"/>
                <w:color w:val="000000"/>
                <w:sz w:val="21"/>
                <w:szCs w:val="21"/>
                <w:highlight w:val="none"/>
                <w:shd w:val="clear" w:color="auto" w:fill="auto"/>
              </w:rPr>
            </w:r>
            <w:r/>
          </w:p>
          <w:p>
            <w:pPr>
              <w:pStyle w:val="725"/>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3.调优后的结果分析。对SQL调优后执行时，各执行中都启动Trace，可比较各执行的Plan , STAT, WAIT, CPU time, elapse time等。</w:t>
            </w:r>
            <w:r>
              <w:rPr>
                <w:rFonts w:hint="eastAsia" w:ascii="宋体" w:hAnsi="宋体" w:eastAsia="宋体" w:cs="宋体"/>
                <w:color w:val="000000"/>
                <w:sz w:val="21"/>
                <w:szCs w:val="21"/>
                <w:highlight w:val="none"/>
                <w:shd w:val="clear" w:color="auto" w:fill="auto"/>
              </w:rPr>
            </w:r>
            <w:r/>
          </w:p>
        </w:tc>
      </w:tr>
    </w:tbl>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（2）Oracle数据库及中间件维护主要服务规范</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Oracle数据库及中间件维护主要服务规范如下表：</w:t>
      </w:r>
      <w:r>
        <w:rPr>
          <w:rFonts w:hint="eastAsia" w:ascii="宋体" w:hAnsi="宋体" w:eastAsia="宋体" w:cs="宋体"/>
          <w:color w:val="000000"/>
          <w:sz w:val="21"/>
          <w:szCs w:val="21"/>
          <w:highlight w:val="none"/>
          <w:shd w:val="clear" w:color="auto" w:fill="auto"/>
          <w:lang w:val="en-US" w:eastAsia="zh-CN"/>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672"/>
        <w:gridCol w:w="7166"/>
      </w:tblGrid>
      <w:tr>
        <w:trPr/>
        <w:tc>
          <w:tcPr>
            <w:gridSpan w:val="2"/>
            <w:shd w:val="clear" w:color="auto" w:fill="f2f2f2"/>
            <w:tcW w:w="2387" w:type="dxa"/>
            <w:vAlign w:val="top"/>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功能要求</w:t>
            </w:r>
            <w:r>
              <w:rPr>
                <w:rFonts w:hint="eastAsia" w:ascii="宋体" w:hAnsi="宋体" w:eastAsia="宋体" w:cs="宋体"/>
                <w:b/>
                <w:color w:val="000000"/>
                <w:sz w:val="21"/>
                <w:szCs w:val="21"/>
                <w:highlight w:val="none"/>
                <w:shd w:val="clear" w:color="auto" w:fill="auto"/>
              </w:rPr>
            </w:r>
            <w:r/>
          </w:p>
        </w:tc>
        <w:tc>
          <w:tcPr>
            <w:shd w:val="clear" w:color="auto" w:fill="f2f2f2"/>
            <w:tcW w:w="7166" w:type="dxa"/>
            <w:vAlign w:val="top"/>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技术规格</w:t>
            </w:r>
            <w:r>
              <w:rPr>
                <w:rFonts w:hint="eastAsia" w:ascii="宋体" w:hAnsi="宋体" w:eastAsia="宋体" w:cs="宋体"/>
                <w:b/>
                <w:color w:val="000000"/>
                <w:sz w:val="21"/>
                <w:szCs w:val="21"/>
                <w:highlight w:val="none"/>
                <w:shd w:val="clear" w:color="auto" w:fill="auto"/>
              </w:rPr>
            </w:r>
            <w:r/>
          </w:p>
        </w:tc>
      </w:tr>
      <w:tr>
        <w:trPr/>
        <w:tc>
          <w:tcPr>
            <w:tcW w:w="715" w:type="dxa"/>
            <w:vAlign w:val="center"/>
            <w:vMerge w:val="restart"/>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服务方式与</w:t>
            </w:r>
            <w:r>
              <w:rPr>
                <w:rFonts w:hint="eastAsia" w:ascii="宋体" w:hAnsi="宋体" w:eastAsia="宋体" w:cs="宋体"/>
                <w:b/>
                <w:color w:val="000000"/>
                <w:sz w:val="21"/>
                <w:szCs w:val="21"/>
                <w:highlight w:val="none"/>
                <w:shd w:val="clear" w:color="auto" w:fill="auto"/>
              </w:rPr>
            </w:r>
            <w:r/>
          </w:p>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服务要求</w:t>
            </w: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核心服务级别</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包含提供</w:t>
            </w: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维护技术服务及提供原厂</w:t>
            </w:r>
            <w:r>
              <w:rPr>
                <w:rFonts w:hint="eastAsia" w:ascii="宋体" w:hAnsi="宋体" w:eastAsia="宋体" w:cs="宋体"/>
                <w:color w:val="000000"/>
                <w:sz w:val="21"/>
                <w:szCs w:val="21"/>
                <w:highlight w:val="none"/>
                <w:shd w:val="clear" w:color="auto" w:fill="auto"/>
                <w:lang w:val="en-US" w:eastAsia="zh-CN"/>
              </w:rPr>
              <w:t xml:space="preserve">认证OCM高级工程师</w:t>
            </w:r>
            <w:r>
              <w:rPr>
                <w:rFonts w:hint="eastAsia" w:ascii="宋体" w:hAnsi="宋体" w:eastAsia="宋体" w:cs="宋体"/>
                <w:color w:val="000000"/>
                <w:sz w:val="21"/>
                <w:szCs w:val="21"/>
                <w:highlight w:val="none"/>
                <w:shd w:val="clear" w:color="auto" w:fill="auto"/>
              </w:rPr>
              <w:t xml:space="preserve">支持服务，不低于7*24服务要求。（7*24：全天候提供技术支持服务，紧急故障2小时内到达现场）</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ind w:firstLine="220"/>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现场服务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.提供</w:t>
            </w:r>
            <w:r>
              <w:rPr>
                <w:rFonts w:hint="eastAsia" w:ascii="宋体" w:hAnsi="宋体" w:eastAsia="宋体" w:cs="宋体"/>
                <w:color w:val="000000"/>
                <w:sz w:val="21"/>
                <w:szCs w:val="21"/>
                <w:highlight w:val="none"/>
                <w:shd w:val="clear" w:color="auto" w:fill="auto"/>
              </w:rPr>
              <w:t xml:space="preserve">原厂认证OCM高级工程师到场服务。</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对于非紧急响应的问题：双方确认日期后，派出工程师提供现场支持。</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对于影响业务运行的需要紧急响应的情况，承诺2小时内到达现场。</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原厂技术支持服务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提供Oracle公司</w:t>
            </w:r>
            <w:r>
              <w:rPr>
                <w:rFonts w:hint="eastAsia" w:ascii="宋体" w:hAnsi="宋体" w:eastAsia="宋体" w:cs="宋体"/>
                <w:color w:val="000000"/>
                <w:sz w:val="21"/>
                <w:szCs w:val="21"/>
                <w:highlight w:val="none"/>
                <w:shd w:val="clear" w:color="auto" w:fill="auto"/>
                <w:lang w:val="en-US" w:eastAsia="zh-CN"/>
              </w:rPr>
              <w:t xml:space="preserve">认证</w:t>
            </w:r>
            <w:r>
              <w:rPr>
                <w:rFonts w:hint="eastAsia" w:ascii="宋体" w:hAnsi="宋体" w:eastAsia="宋体" w:cs="宋体"/>
                <w:color w:val="000000"/>
                <w:sz w:val="21"/>
                <w:szCs w:val="21"/>
                <w:highlight w:val="none"/>
                <w:shd w:val="clear" w:color="auto" w:fill="auto"/>
              </w:rPr>
              <w:t xml:space="preserve">技术专家组对本项目的服务：</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产品升级服务：提供具有新增功能的升级软件产品(Version)；提供主要维护版本的升级软件产品(Release)；提供软件修补包(Patch fixes)及替代方法(workarounds)。</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提供电子服务-Oracle Metalink号及相关服务。</w:t>
            </w:r>
            <w:r>
              <w:rPr>
                <w:rFonts w:hint="eastAsia" w:ascii="宋体" w:hAnsi="宋体" w:eastAsia="宋体" w:cs="宋体"/>
                <w:color w:val="000000"/>
                <w:sz w:val="21"/>
                <w:szCs w:val="21"/>
                <w:highlight w:val="none"/>
                <w:shd w:val="clear" w:color="auto" w:fill="auto"/>
              </w:rPr>
            </w:r>
            <w:r/>
          </w:p>
        </w:tc>
      </w:tr>
      <w:tr>
        <w:trPr>
          <w:trHeight w:val="492"/>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远程支持服务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7*24小时电话、邮件及远程登录技术支持服务。</w:t>
            </w:r>
            <w:r>
              <w:rPr>
                <w:rFonts w:hint="eastAsia" w:ascii="宋体" w:hAnsi="宋体" w:eastAsia="宋体" w:cs="宋体"/>
                <w:bCs/>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应急响应服务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至少提供10天的现场技术支持服务和紧急故障处理服务。</w:t>
            </w:r>
            <w:r>
              <w:rPr>
                <w:rFonts w:hint="eastAsia" w:ascii="宋体" w:hAnsi="宋体" w:eastAsia="宋体" w:cs="宋体"/>
                <w:bCs/>
                <w:color w:val="000000"/>
                <w:sz w:val="21"/>
                <w:szCs w:val="21"/>
                <w:highlight w:val="none"/>
                <w:shd w:val="clear" w:color="auto" w:fill="auto"/>
              </w:rPr>
            </w:r>
            <w:r/>
          </w:p>
        </w:tc>
      </w:tr>
      <w:tr>
        <w:trPr/>
        <w:tc>
          <w:tcPr>
            <w:tcW w:w="715" w:type="dxa"/>
            <w:vAlign w:val="center"/>
            <w:vMerge w:val="restart"/>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现场服务</w:t>
            </w:r>
            <w:r>
              <w:rPr>
                <w:rFonts w:hint="eastAsia" w:ascii="宋体" w:hAnsi="宋体" w:eastAsia="宋体" w:cs="宋体"/>
                <w:b/>
                <w:color w:val="000000"/>
                <w:sz w:val="21"/>
                <w:szCs w:val="21"/>
                <w:highlight w:val="none"/>
                <w:shd w:val="clear" w:color="auto" w:fill="auto"/>
              </w:rPr>
            </w:r>
            <w:r/>
          </w:p>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主要内容</w:t>
            </w: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初次健康检查服务</w:t>
            </w:r>
            <w:r>
              <w:rPr>
                <w:rFonts w:hint="eastAsia" w:ascii="宋体" w:hAnsi="宋体" w:eastAsia="宋体" w:cs="宋体"/>
                <w:bCs/>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1.</w:t>
            </w:r>
            <w:r>
              <w:rPr>
                <w:rFonts w:hint="eastAsia" w:ascii="宋体" w:hAnsi="宋体" w:eastAsia="宋体" w:cs="宋体"/>
                <w:bCs/>
                <w:color w:val="000000"/>
                <w:sz w:val="21"/>
                <w:szCs w:val="21"/>
                <w:highlight w:val="none"/>
                <w:shd w:val="clear" w:color="auto" w:fill="auto"/>
              </w:rPr>
              <w:t xml:space="preserve">进行初次的系统检查和建议。</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2.</w:t>
            </w:r>
            <w:r>
              <w:rPr>
                <w:rFonts w:hint="eastAsia" w:ascii="宋体" w:hAnsi="宋体" w:eastAsia="宋体" w:cs="宋体"/>
                <w:bCs/>
                <w:color w:val="000000"/>
                <w:sz w:val="21"/>
                <w:szCs w:val="21"/>
                <w:highlight w:val="none"/>
                <w:shd w:val="clear" w:color="auto" w:fill="auto"/>
              </w:rPr>
              <w:t xml:space="preserve">收集系统信息，检查各类系统日志，分析潜在风险，并作保存。</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健康巡检服务</w:t>
            </w:r>
            <w:r>
              <w:rPr>
                <w:rFonts w:hint="eastAsia" w:ascii="宋体" w:hAnsi="宋体" w:eastAsia="宋体" w:cs="宋体"/>
                <w:color w:val="000000"/>
                <w:sz w:val="21"/>
                <w:szCs w:val="21"/>
                <w:highlight w:val="none"/>
                <w:shd w:val="clear" w:color="auto" w:fill="auto"/>
              </w:rPr>
            </w:r>
            <w:r/>
          </w:p>
        </w:tc>
        <w:tc>
          <w:tcPr>
            <w:shd w:val="clear" w:color="auto" w:fill="ffffff"/>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每月对南通市金保工程系统数据库及中间件产品进行一次健康检查，并提供健康检查报告。具体服务要求包括：</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检查数据库连接状态，分析操作系统瓶颈及运行状态。</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CPU分析，I/O及磁盘使用分析，内存使用状况，ASM及表空间使用情况，CACHE状态等。</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检查并记录现有系统的配置和运行情况。</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4</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检查当前系统的操作系统资源的使用情况。</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5</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检查当前Oracle数据库和中间件资源（如内存\服务\UBB）的使用情况。</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6</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检查Oracle数据库和中间件的安全配置情况。</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7</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检查应用运行情况，包括运行、配置、出错跟踪及解决方案。</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8</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检查服务配置部署及使用情况（如UBB/服务等）。</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9</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在</w:t>
            </w: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的辅助下完成Oracle数据库和中间件的性能调整。</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10</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解决一段时间内系统发生的问题。</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系统检查及分析。</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操作系统简要分析，包括CPU使用，磁盘I/O，文件系统使用，内存，CACHE，及交换区使用情况。</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性能分析</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当数据库系统出现运行缓慢，需要对数据库系统进行性能分析，服务内容包括ORACLE数据库和中间件状态、操作系统使用状态、简约分析等数据库相关内容（如有调整，协商一致后，按</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需求提供）。</w:t>
            </w:r>
            <w:r>
              <w:rPr>
                <w:rFonts w:hint="eastAsia" w:ascii="宋体" w:hAnsi="宋体" w:eastAsia="宋体" w:cs="宋体"/>
                <w:color w:val="000000"/>
                <w:sz w:val="21"/>
                <w:szCs w:val="21"/>
                <w:highlight w:val="none"/>
                <w:shd w:val="clear" w:color="auto" w:fill="auto"/>
                <w:lang w:eastAsia="zh-CN"/>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巡检任务的扩展</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如果巡检中发现问题，并且经双方确认的确需要加以解决。则双方就此问题进行技术协调确定调整日期。</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应急服务或系统会诊</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进行系统全面会诊，要求工程师到现场。</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系统性能出现明显下降，要求进行Oracle数据库和中间件性能调整。</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系统迁移或升级需要现场协助（比如硬件更换硬盘，CPU等非Oracle数据库和中间件自身原因需要工程师到现场的情况）。</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项目协助</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当</w:t>
            </w: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有新的应用系统或者测试系统需要部署到Oracle数据库和中间件并投入使用，向</w:t>
            </w: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和第三方服务工程师提供咨询、规划乃至现场安装服务。</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当</w:t>
            </w: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对</w:t>
            </w:r>
            <w:r>
              <w:rPr>
                <w:rFonts w:hint="eastAsia" w:ascii="宋体" w:hAnsi="宋体" w:eastAsia="宋体" w:cs="宋体"/>
                <w:bCs/>
                <w:color w:val="000000"/>
                <w:sz w:val="21"/>
                <w:szCs w:val="21"/>
                <w:highlight w:val="none"/>
                <w:shd w:val="clear" w:color="auto" w:fill="auto"/>
                <w:lang w:val="en-US" w:eastAsia="zh-CN"/>
              </w:rPr>
              <w:t xml:space="preserve">维保</w:t>
            </w:r>
            <w:r>
              <w:rPr>
                <w:rFonts w:hint="eastAsia" w:ascii="宋体" w:hAnsi="宋体" w:eastAsia="宋体" w:cs="宋体"/>
                <w:bCs/>
                <w:color w:val="000000"/>
                <w:sz w:val="21"/>
                <w:szCs w:val="21"/>
                <w:highlight w:val="none"/>
                <w:shd w:val="clear" w:color="auto" w:fill="auto"/>
              </w:rPr>
              <w:t xml:space="preserve">所包含的基于Oracle数据库和中间件的应用系统进行改造，或者应用系统有新的功能模块加入，向</w:t>
            </w: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和第三方工程师</w:t>
            </w:r>
            <w:r>
              <w:rPr>
                <w:rFonts w:hint="eastAsia" w:ascii="宋体" w:hAnsi="宋体" w:eastAsia="宋体" w:cs="宋体"/>
                <w:bCs/>
                <w:color w:val="000000"/>
                <w:sz w:val="21"/>
                <w:szCs w:val="21"/>
                <w:highlight w:val="none"/>
                <w:shd w:val="clear" w:color="auto" w:fill="auto"/>
                <w:lang w:val="en-US" w:eastAsia="zh-CN"/>
              </w:rPr>
              <w:t xml:space="preserve">提供</w:t>
            </w:r>
            <w:r>
              <w:rPr>
                <w:rFonts w:hint="eastAsia" w:ascii="宋体" w:hAnsi="宋体" w:eastAsia="宋体" w:cs="宋体"/>
                <w:bCs/>
                <w:color w:val="000000"/>
                <w:sz w:val="21"/>
                <w:szCs w:val="21"/>
                <w:highlight w:val="none"/>
                <w:shd w:val="clear" w:color="auto" w:fill="auto"/>
              </w:rPr>
              <w:t xml:space="preserve">现场服务。</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性能调优</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针对巡检中或运行过程中发现的Oracle数据库和中间件性能下降的问题，进行性能调整，力争使其性能得到提升。</w:t>
            </w:r>
            <w:r>
              <w:rPr>
                <w:rFonts w:hint="eastAsia" w:ascii="宋体" w:hAnsi="宋体" w:eastAsia="宋体" w:cs="宋体"/>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优化服务费包含了应用软件开发商配合支持的如索引重建，表空间的划分与拆分，SQL语句的优化等。</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压力测试服务</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如用户和应用开发商需要进行压力测试，</w:t>
            </w:r>
            <w:r>
              <w:rPr>
                <w:rFonts w:hint="eastAsia" w:ascii="宋体" w:hAnsi="宋体" w:eastAsia="宋体" w:cs="宋体"/>
                <w:bCs/>
                <w:color w:val="000000"/>
                <w:sz w:val="21"/>
                <w:szCs w:val="21"/>
                <w:highlight w:val="none"/>
                <w:shd w:val="clear" w:color="auto" w:fill="auto"/>
                <w:lang w:val="en-US" w:eastAsia="zh-CN"/>
              </w:rPr>
              <w:t xml:space="preserve">乙方</w:t>
            </w:r>
            <w:r>
              <w:rPr>
                <w:rFonts w:hint="eastAsia" w:ascii="宋体" w:hAnsi="宋体" w:eastAsia="宋体" w:cs="宋体"/>
                <w:bCs/>
                <w:color w:val="000000"/>
                <w:sz w:val="21"/>
                <w:szCs w:val="21"/>
                <w:highlight w:val="none"/>
                <w:shd w:val="clear" w:color="auto" w:fill="auto"/>
              </w:rPr>
              <w:t xml:space="preserve">须提供相应Oracle数据库和中间件平台的配置和调试支持工作。</w:t>
            </w:r>
            <w:r>
              <w:rPr>
                <w:rFonts w:hint="eastAsia" w:ascii="宋体" w:hAnsi="宋体" w:eastAsia="宋体" w:cs="宋体"/>
                <w:color w:val="000000"/>
                <w:sz w:val="21"/>
                <w:szCs w:val="21"/>
                <w:highlight w:val="none"/>
                <w:shd w:val="clear" w:color="auto" w:fill="auto"/>
              </w:rPr>
            </w:r>
            <w:r/>
          </w:p>
        </w:tc>
      </w:tr>
      <w:tr>
        <w:trPr>
          <w:trHeight w:val="1038"/>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迁移实施支持</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如用户需要从其他平台迁移到Oracle数据库和中间件平台，</w:t>
            </w:r>
            <w:r>
              <w:rPr>
                <w:rFonts w:hint="eastAsia" w:ascii="宋体" w:hAnsi="宋体" w:eastAsia="宋体" w:cs="宋体"/>
                <w:bCs/>
                <w:color w:val="000000"/>
                <w:sz w:val="21"/>
                <w:szCs w:val="21"/>
                <w:highlight w:val="none"/>
                <w:shd w:val="clear" w:color="auto" w:fill="auto"/>
                <w:lang w:val="en-US" w:eastAsia="zh-CN"/>
              </w:rPr>
              <w:t xml:space="preserve">乙方</w:t>
            </w:r>
            <w:r>
              <w:rPr>
                <w:rFonts w:hint="eastAsia" w:ascii="宋体" w:hAnsi="宋体" w:eastAsia="宋体" w:cs="宋体"/>
                <w:bCs/>
                <w:color w:val="000000"/>
                <w:sz w:val="21"/>
                <w:szCs w:val="21"/>
                <w:highlight w:val="none"/>
                <w:shd w:val="clear" w:color="auto" w:fill="auto"/>
              </w:rPr>
              <w:t xml:space="preserve">须提供Oracle数据库和中间件平台相应服务，如Oracle数据库和中间件安装，配置和调试等。</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数据灾难处理</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必须具备处理数据灾难恢复的能力，能修复UNIX系统平台下的Oracle数据软件、Weblogic中间件或底层硬件引起的各种数据灾难问题，确保数据不能丢失，一旦有灾难问题出现，能使用专业的ORACLE数据库专业数据修复工具尽可能恢复数据，必要时须提供原厂技术服务7*24小时的在线登录服务，用户将经常进行测试查验。</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产品安装升级</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对于准备新部署的Oracle数据库和中间件系统提供部署架构、现场安装及调试支持。</w:t>
            </w:r>
            <w:r>
              <w:rPr>
                <w:rFonts w:hint="eastAsia" w:ascii="宋体" w:hAnsi="宋体" w:eastAsia="宋体" w:cs="宋体"/>
                <w:bCs/>
                <w:color w:val="000000"/>
                <w:sz w:val="21"/>
                <w:szCs w:val="21"/>
                <w:highlight w:val="none"/>
                <w:shd w:val="clear" w:color="auto" w:fill="auto"/>
              </w:rPr>
            </w:r>
            <w:r/>
          </w:p>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w:t>
            </w:r>
            <w:r>
              <w:rPr>
                <w:rFonts w:hint="eastAsia" w:ascii="宋体" w:hAnsi="宋体" w:eastAsia="宋体" w:cs="宋体"/>
                <w:bCs/>
                <w:color w:val="000000"/>
                <w:sz w:val="21"/>
                <w:szCs w:val="21"/>
                <w:highlight w:val="none"/>
                <w:shd w:val="clear" w:color="auto" w:fill="auto"/>
                <w:lang w:val="en-US" w:eastAsia="zh-CN"/>
              </w:rPr>
              <w:t xml:space="preserve">.</w:t>
            </w:r>
            <w:r>
              <w:rPr>
                <w:rFonts w:hint="eastAsia" w:ascii="宋体" w:hAnsi="宋体" w:eastAsia="宋体" w:cs="宋体"/>
                <w:bCs/>
                <w:color w:val="000000"/>
                <w:sz w:val="21"/>
                <w:szCs w:val="21"/>
                <w:highlight w:val="none"/>
                <w:shd w:val="clear" w:color="auto" w:fill="auto"/>
              </w:rPr>
              <w:t xml:space="preserve">跟踪与Oracle数据库和中间件有关的产品信息，并结合当前应用的实际，提出对ORACLE数据库和中间件软件的漏洞修复、补丁更新的建议和实施方案，经用户批准后进行漏洞修复、补丁更新。</w:t>
            </w:r>
            <w:r>
              <w:rPr>
                <w:rFonts w:hint="eastAsia" w:ascii="宋体" w:hAnsi="宋体" w:eastAsia="宋体" w:cs="宋体"/>
                <w:color w:val="000000"/>
                <w:sz w:val="21"/>
                <w:szCs w:val="21"/>
                <w:highlight w:val="none"/>
                <w:shd w:val="clear" w:color="auto" w:fill="auto"/>
              </w:rPr>
            </w:r>
            <w:r/>
          </w:p>
        </w:tc>
      </w:tr>
      <w:tr>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数据库安全与</w:t>
            </w:r>
            <w:r>
              <w:rPr>
                <w:rFonts w:hint="eastAsia" w:ascii="宋体" w:hAnsi="宋体" w:eastAsia="宋体" w:cs="宋体"/>
                <w:color w:val="000000"/>
                <w:sz w:val="21"/>
                <w:szCs w:val="21"/>
                <w:highlight w:val="none"/>
                <w:shd w:val="clear" w:color="auto" w:fill="auto"/>
                <w:lang w:val="en-US" w:eastAsia="zh-CN"/>
              </w:rPr>
              <w:t xml:space="preserve">数据分析</w:t>
            </w:r>
            <w:r>
              <w:rPr>
                <w:rFonts w:hint="eastAsia" w:ascii="宋体" w:hAnsi="宋体" w:eastAsia="宋体" w:cs="宋体"/>
                <w:color w:val="000000"/>
                <w:sz w:val="21"/>
                <w:szCs w:val="21"/>
                <w:highlight w:val="none"/>
                <w:shd w:val="clear" w:color="auto" w:fill="auto"/>
                <w:lang w:eastAsia="zh-CN"/>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具备工具采集系统运行时的各项数据</w:t>
            </w:r>
            <w:r>
              <w:rPr>
                <w:rFonts w:hint="eastAsia" w:ascii="宋体" w:hAnsi="宋体" w:eastAsia="宋体" w:cs="宋体"/>
                <w:color w:val="000000"/>
                <w:sz w:val="21"/>
                <w:szCs w:val="21"/>
                <w:highlight w:val="none"/>
                <w:shd w:val="clear" w:color="auto" w:fill="auto"/>
                <w:lang w:val="en-US" w:eastAsia="zh-CN"/>
              </w:rPr>
              <w:t xml:space="preserve">分析</w:t>
            </w:r>
            <w:r>
              <w:rPr>
                <w:rFonts w:hint="eastAsia" w:ascii="宋体" w:hAnsi="宋体" w:eastAsia="宋体" w:cs="宋体"/>
                <w:color w:val="000000"/>
                <w:sz w:val="21"/>
                <w:szCs w:val="21"/>
                <w:highlight w:val="none"/>
                <w:shd w:val="clear" w:color="auto" w:fill="auto"/>
              </w:rPr>
              <w:t xml:space="preserve">，分析系统主要的性能瓶颈，分析系统、网络、应用软件及数据库等各方面资源的使用情况，确定系统性能现状及性能调整的目标，定位系统中出现的性能瓶颈，测试验证针对性能瓶颈进行改进，适用于当前商业规则的Oracle 软件配置；服务中能为</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提供实施问题的解决方案，进行现场技能讲解传授</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r>
            <w:r/>
          </w:p>
        </w:tc>
      </w:tr>
      <w:tr>
        <w:trPr>
          <w:trHeight w:val="425"/>
        </w:trPr>
        <w:tc>
          <w:tcPr>
            <w:tcW w:w="715" w:type="dxa"/>
            <w:vAlign w:val="center"/>
            <w:vMerge w:val="continue"/>
            <w:textDirection w:val="lrTb"/>
            <w:noWrap w:val="false"/>
          </w:tcPr>
          <w:p>
            <w:pPr>
              <w:pStyle w:val="725"/>
              <w:jc w:val="center"/>
              <w:spacing w:line="300" w:lineRule="auto"/>
              <w:shd w:val="clear" w:color="auto" w:fill="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技术资料建档</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乙方</w:t>
            </w:r>
            <w:r>
              <w:rPr>
                <w:rFonts w:hint="eastAsia" w:ascii="宋体" w:hAnsi="宋体" w:eastAsia="宋体" w:cs="宋体"/>
                <w:bCs/>
                <w:color w:val="000000"/>
                <w:sz w:val="21"/>
                <w:szCs w:val="21"/>
                <w:highlight w:val="none"/>
                <w:shd w:val="clear" w:color="auto" w:fill="auto"/>
              </w:rPr>
              <w:t xml:space="preserve">根据每次故障维修报告和预防性</w:t>
            </w:r>
            <w:r>
              <w:rPr>
                <w:rFonts w:hint="eastAsia" w:ascii="宋体" w:hAnsi="宋体" w:eastAsia="宋体" w:cs="宋体"/>
                <w:bCs/>
                <w:color w:val="000000"/>
                <w:sz w:val="21"/>
                <w:szCs w:val="21"/>
                <w:highlight w:val="none"/>
                <w:shd w:val="clear" w:color="auto" w:fill="auto"/>
                <w:lang w:val="en-US" w:eastAsia="zh-CN"/>
              </w:rPr>
              <w:t xml:space="preserve">巡检</w:t>
            </w:r>
            <w:r>
              <w:rPr>
                <w:rFonts w:hint="eastAsia" w:ascii="宋体" w:hAnsi="宋体" w:eastAsia="宋体" w:cs="宋体"/>
                <w:bCs/>
                <w:color w:val="000000"/>
                <w:sz w:val="21"/>
                <w:szCs w:val="21"/>
                <w:highlight w:val="none"/>
                <w:shd w:val="clear" w:color="auto" w:fill="auto"/>
              </w:rPr>
              <w:t xml:space="preserve">维护报告建立技术档案，记录每次故障响应服务和预防性</w:t>
            </w:r>
            <w:r>
              <w:rPr>
                <w:rFonts w:hint="eastAsia" w:ascii="宋体" w:hAnsi="宋体" w:eastAsia="宋体" w:cs="宋体"/>
                <w:bCs/>
                <w:color w:val="000000"/>
                <w:sz w:val="21"/>
                <w:szCs w:val="21"/>
                <w:highlight w:val="none"/>
                <w:shd w:val="clear" w:color="auto" w:fill="auto"/>
                <w:lang w:val="en-US" w:eastAsia="zh-CN"/>
              </w:rPr>
              <w:t xml:space="preserve">巡检服务</w:t>
            </w:r>
            <w:r>
              <w:rPr>
                <w:rFonts w:hint="eastAsia" w:ascii="宋体" w:hAnsi="宋体" w:eastAsia="宋体" w:cs="宋体"/>
                <w:bCs/>
                <w:color w:val="000000"/>
                <w:sz w:val="21"/>
                <w:szCs w:val="21"/>
                <w:highlight w:val="none"/>
                <w:shd w:val="clear" w:color="auto" w:fill="auto"/>
              </w:rPr>
              <w:t xml:space="preserve">的详细信息。文档内容应完备、清楚，具有延续性。</w:t>
            </w:r>
            <w:r>
              <w:rPr>
                <w:rFonts w:hint="eastAsia" w:ascii="宋体" w:hAnsi="宋体" w:eastAsia="宋体" w:cs="宋体"/>
                <w:color w:val="000000"/>
                <w:sz w:val="21"/>
                <w:szCs w:val="21"/>
                <w:highlight w:val="none"/>
                <w:shd w:val="clear" w:color="auto" w:fill="auto"/>
              </w:rPr>
            </w:r>
            <w:r/>
          </w:p>
        </w:tc>
      </w:tr>
      <w:tr>
        <w:trPr>
          <w:trHeight w:val="425"/>
        </w:trPr>
        <w:tc>
          <w:tcPr>
            <w:tcW w:w="715"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考核</w:t>
            </w:r>
            <w:r>
              <w:rPr>
                <w:rFonts w:hint="eastAsia" w:ascii="宋体" w:hAnsi="宋体" w:eastAsia="宋体" w:cs="宋体"/>
                <w:color w:val="000000"/>
                <w:sz w:val="21"/>
                <w:szCs w:val="21"/>
                <w:highlight w:val="none"/>
                <w:shd w:val="clear" w:color="auto" w:fill="auto"/>
              </w:rPr>
            </w:r>
            <w:r/>
          </w:p>
        </w:tc>
        <w:tc>
          <w:tcPr>
            <w:tcW w:w="1672" w:type="dxa"/>
            <w:vAlign w:val="center"/>
            <w:textDirection w:val="lrTb"/>
            <w:noWrap w:val="false"/>
          </w:tcPr>
          <w:p>
            <w:pPr>
              <w:pStyle w:val="725"/>
              <w:jc w:val="center"/>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服务考核</w:t>
            </w:r>
            <w:r>
              <w:rPr>
                <w:rFonts w:hint="eastAsia" w:ascii="宋体" w:hAnsi="宋体" w:eastAsia="宋体" w:cs="宋体"/>
                <w:color w:val="000000"/>
                <w:sz w:val="21"/>
                <w:szCs w:val="21"/>
                <w:highlight w:val="none"/>
                <w:shd w:val="clear" w:color="auto" w:fill="auto"/>
              </w:rPr>
            </w:r>
            <w:r/>
          </w:p>
        </w:tc>
        <w:tc>
          <w:tcPr>
            <w:tcW w:w="7166" w:type="dxa"/>
            <w:vAlign w:val="top"/>
            <w:textDirection w:val="lrTb"/>
            <w:noWrap w:val="false"/>
          </w:tcPr>
          <w:p>
            <w:pPr>
              <w:pStyle w:val="725"/>
              <w:spacing w:line="30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对巡检、电话支持、服务报告等一般服务不及时的，每次扣5分；对重大故障相应不及时或需要时没及时得到原厂技术支持的，每次扣20分。一票否决项：补丁分析及安装少做任何一次，系统优化</w:t>
            </w:r>
            <w:r>
              <w:rPr>
                <w:rFonts w:hint="eastAsia" w:ascii="宋体" w:hAnsi="宋体" w:eastAsia="宋体" w:cs="宋体"/>
                <w:color w:val="000000"/>
                <w:sz w:val="21"/>
                <w:szCs w:val="21"/>
                <w:highlight w:val="none"/>
                <w:shd w:val="clear" w:color="auto" w:fill="auto"/>
                <w:lang w:val="en-US" w:eastAsia="zh-CN"/>
              </w:rPr>
              <w:t xml:space="preserve">调整</w:t>
            </w:r>
            <w:r>
              <w:rPr>
                <w:rFonts w:hint="eastAsia" w:ascii="宋体" w:hAnsi="宋体" w:eastAsia="宋体" w:cs="宋体"/>
                <w:color w:val="000000"/>
                <w:sz w:val="21"/>
                <w:szCs w:val="21"/>
                <w:highlight w:val="none"/>
                <w:shd w:val="clear" w:color="auto" w:fill="auto"/>
              </w:rPr>
              <w:t xml:space="preserve">或优化没有达到用户要求的任何一次，</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认定的其他影响数据库运行的严重违规行为等。考核得分小于60分或产生一票否决的，将不能获得相应服务费用。</w:t>
            </w:r>
            <w:r>
              <w:rPr>
                <w:rFonts w:hint="eastAsia" w:ascii="宋体" w:hAnsi="宋体" w:eastAsia="宋体" w:cs="宋体"/>
                <w:color w:val="000000"/>
                <w:sz w:val="21"/>
                <w:szCs w:val="21"/>
                <w:highlight w:val="none"/>
                <w:shd w:val="clear" w:color="auto" w:fill="auto"/>
              </w:rPr>
            </w:r>
            <w:r/>
          </w:p>
        </w:tc>
      </w:tr>
    </w:tbl>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1.5重要的服务质量保证</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故障处理速度和质量要求：对于维护范围内的故障，须在故障发生后立即响应，并尽快加以解决；对于非维护范围内的故障，须在故障发生后积极配合其他服务商尽快加以解决。</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备件投资：必须针对本服务项目进行备件投资，用户有权对备件库实地考查，同时提供要求备件直接存放到用户机房现场，并不得挪作别单位使用。本次设备为核心设备，必须确保设备质量，所提供备件必须原厂原装设备。现场存放备件包含：</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A.在用户现场存放IBM E870、P770、S822小型机电源各1个；华为0ceanStor5500 V5硬盘1块。</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B.备件库必须备有服务所需要的备件，需与甲方配置一样。</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备件必须经过严格测试，处于良好状态，确保设备的正常可用并将在紧急时立刻进行设备替换。</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人力投资：针对本项目组建专业技术团队，团队成员须具有小型机、存储、数据库等相关专业技术证书。在南通地区常驻两名服务工程师，其中一名服务工程师同时具有IBM HACMP认证及ORACLE OCP认证证书，提供每月一周现场驻场服务。工程师入场工作时需提供在职记录验证，不合格则按骗标处理，并追究责任。工程师必须全天候听从甲方到场服务安排。</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技术团队中现场服务工程师、专业工程师服务不达标或者未按照项目要求提供规范运维服务的，甲方有权要求乙方更换服务人员，并且拟更换服务人员的资格证书和专业技术能力不得低于项目需求。</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须具备处理系统灾难恢复的能力，必须能修复系统软件、数据库软件、或底层硬件引起的各种数据灾难问题，确保数据无丢失，一旦出现灾难问题，使用专业数据修复工具恢复数据，或紧急送到专业数据灾难恢复中心修复数据。</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1.6服务质量考核</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为促使服务乙方在服务期间提供高质量的维保服务，对乙方的在项目服务期内的服务质量进行考核评分，考核得分将作为年度服务费用的支付依据。</w:t>
      </w:r>
      <w:r>
        <w:rPr>
          <w:rFonts w:hint="eastAsia" w:ascii="宋体" w:hAnsi="宋体" w:eastAsia="宋体" w:cs="宋体"/>
          <w:color w:val="000000"/>
          <w:sz w:val="21"/>
          <w:szCs w:val="21"/>
          <w:highlight w:val="none"/>
          <w:shd w:val="clear" w:color="auto" w:fill="auto"/>
          <w:lang w:val="en-US" w:eastAsia="zh-CN"/>
        </w:rPr>
      </w:r>
      <w:r/>
    </w:p>
    <w:p>
      <w:pPr>
        <w:pStyle w:val="725"/>
        <w:ind w:firstLine="480"/>
        <w:jc w:val="center"/>
        <w:spacing w:line="360" w:lineRule="auto"/>
        <w:shd w:val="clear" w:color="auto" w:fill="auto"/>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shd w:val="clear" w:color="auto" w:fill="auto"/>
          <w:lang w:val="en-US" w:eastAsia="zh-CN"/>
        </w:rPr>
        <w:t xml:space="preserve">《南通市人力资源和社会保障信息中心核心设备及数据库运维服务项目服务考核评分表》</w:t>
      </w:r>
      <w:r>
        <w:rPr>
          <w:rFonts w:hint="eastAsia" w:ascii="宋体" w:hAnsi="宋体" w:eastAsia="宋体" w:cs="宋体"/>
          <w:b/>
          <w:bCs/>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服务质量考核满分为100分。每一年度服务期开始时，得分为100分，服务开始后按照下表的考核标准进行扣分，服务期间当累计扣分总分超过40分，合同自动终止，甲方有权拒绝向乙方支付余款、追缴已支付的款项。</w:t>
      </w:r>
      <w:r>
        <w:rPr>
          <w:rFonts w:hint="eastAsia" w:ascii="宋体" w:hAnsi="宋体" w:eastAsia="宋体" w:cs="宋体"/>
          <w:color w:val="000000"/>
          <w:sz w:val="21"/>
          <w:szCs w:val="21"/>
          <w:highlight w:val="none"/>
          <w:shd w:val="clear" w:color="auto" w:fill="auto"/>
          <w:lang w:val="en-US" w:eastAsia="zh-CN"/>
        </w:rPr>
      </w:r>
      <w:r/>
    </w:p>
    <w:tbl>
      <w:tblPr>
        <w:tblW w:w="5805" w:type="pct"/>
        <w:jc w:val="center"/>
        <w:tblInd w:w="-8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40"/>
        <w:gridCol w:w="1849"/>
        <w:gridCol w:w="6100"/>
        <w:gridCol w:w="818"/>
      </w:tblGrid>
      <w:tr>
        <w:trPr>
          <w:trHeight w:val="624"/>
        </w:trPr>
        <w:tc>
          <w:tcPr>
            <w:shd w:val="clear" w:color="000000" w:fill="auto"/>
            <w:tcW w:w="349" w:type="dxa"/>
            <w:vAlign w:val="center"/>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序号</w:t>
            </w:r>
            <w:r>
              <w:rPr>
                <w:rFonts w:hint="eastAsia" w:ascii="宋体" w:hAnsi="宋体" w:eastAsia="宋体" w:cs="宋体"/>
                <w:b/>
                <w:bCs/>
                <w:color w:val="000000"/>
                <w:sz w:val="21"/>
                <w:szCs w:val="21"/>
                <w:highlight w:val="none"/>
                <w:shd w:val="clear" w:color="auto" w:fill="auto"/>
              </w:rPr>
            </w:r>
            <w:r/>
          </w:p>
        </w:tc>
        <w:tc>
          <w:tcPr>
            <w:shd w:val="clear" w:color="000000" w:fill="auto"/>
            <w:tcW w:w="535" w:type="dxa"/>
            <w:vAlign w:val="center"/>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服务类型</w:t>
            </w:r>
            <w:r>
              <w:rPr>
                <w:rFonts w:hint="eastAsia" w:ascii="宋体" w:hAnsi="宋体" w:eastAsia="宋体" w:cs="宋体"/>
                <w:b/>
                <w:bCs/>
                <w:color w:val="000000"/>
                <w:sz w:val="21"/>
                <w:szCs w:val="21"/>
                <w:highlight w:val="none"/>
                <w:shd w:val="clear" w:color="auto" w:fill="auto"/>
              </w:rPr>
            </w:r>
            <w:r/>
          </w:p>
        </w:tc>
        <w:tc>
          <w:tcPr>
            <w:shd w:val="clear" w:color="000000" w:fill="auto"/>
            <w:tcW w:w="868" w:type="dxa"/>
            <w:vAlign w:val="center"/>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考核因素</w:t>
            </w:r>
            <w:r>
              <w:rPr>
                <w:rFonts w:hint="eastAsia" w:ascii="宋体" w:hAnsi="宋体" w:eastAsia="宋体" w:cs="宋体"/>
                <w:b/>
                <w:bCs/>
                <w:color w:val="000000"/>
                <w:sz w:val="21"/>
                <w:szCs w:val="21"/>
                <w:highlight w:val="none"/>
                <w:shd w:val="clear" w:color="auto" w:fill="auto"/>
              </w:rPr>
            </w:r>
            <w:r/>
          </w:p>
        </w:tc>
        <w:tc>
          <w:tcPr>
            <w:shd w:val="clear" w:color="000000" w:fill="auto"/>
            <w:tcW w:w="2863" w:type="dxa"/>
            <w:vAlign w:val="center"/>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考核标准</w:t>
            </w:r>
            <w:r>
              <w:rPr>
                <w:rFonts w:hint="eastAsia" w:ascii="宋体" w:hAnsi="宋体" w:eastAsia="宋体" w:cs="宋体"/>
                <w:b/>
                <w:bCs/>
                <w:color w:val="000000"/>
                <w:sz w:val="21"/>
                <w:szCs w:val="21"/>
                <w:highlight w:val="none"/>
                <w:shd w:val="clear" w:color="auto" w:fill="auto"/>
              </w:rPr>
            </w:r>
            <w:r/>
          </w:p>
        </w:tc>
        <w:tc>
          <w:tcPr>
            <w:shd w:val="clear" w:color="000000" w:fill="auto"/>
            <w:tcW w:w="384" w:type="dxa"/>
            <w:vAlign w:val="center"/>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考核得分</w:t>
            </w:r>
            <w:r>
              <w:rPr>
                <w:rFonts w:hint="eastAsia" w:ascii="宋体" w:hAnsi="宋体" w:eastAsia="宋体" w:cs="宋体"/>
                <w:b/>
                <w:bCs/>
                <w:color w:val="000000"/>
                <w:sz w:val="21"/>
                <w:szCs w:val="21"/>
                <w:highlight w:val="none"/>
                <w:shd w:val="clear" w:color="auto" w:fill="auto"/>
              </w:rPr>
            </w:r>
            <w:r/>
          </w:p>
        </w:tc>
      </w:tr>
      <w:tr>
        <w:trPr>
          <w:trHeight w:val="524"/>
        </w:trPr>
        <w:tc>
          <w:tcPr>
            <w:tcW w:w="349" w:type="dxa"/>
            <w:vAlign w:val="center"/>
            <w:vMerge w:val="restart"/>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W w:w="535" w:type="dxa"/>
            <w:vAlign w:val="center"/>
            <w:vMerge w:val="restart"/>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硬件系统（含硬件相关软件）服务考核</w:t>
            </w: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故障修复服务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对因发生双方定义的故障级别未按响应时限要求对故障进行修复的，一级故障（</w:t>
            </w:r>
            <w:r>
              <w:rPr>
                <w:rFonts w:hint="eastAsia" w:ascii="宋体" w:hAnsi="宋体" w:eastAsia="宋体" w:cs="宋体"/>
                <w:bCs/>
                <w:color w:val="000000"/>
                <w:sz w:val="21"/>
                <w:szCs w:val="21"/>
                <w:highlight w:val="none"/>
                <w:shd w:val="clear" w:color="auto" w:fill="auto"/>
              </w:rPr>
              <w:t xml:space="preserve">设备运行出现重大故障，系统不能提供基本业务）</w:t>
            </w:r>
            <w:r>
              <w:rPr>
                <w:rFonts w:hint="eastAsia" w:ascii="宋体" w:hAnsi="宋体" w:eastAsia="宋体" w:cs="宋体"/>
                <w:color w:val="000000"/>
                <w:sz w:val="21"/>
                <w:szCs w:val="21"/>
                <w:highlight w:val="none"/>
                <w:shd w:val="clear" w:color="auto" w:fill="auto"/>
              </w:rPr>
              <w:t xml:space="preserve">扣5分，二级故障（</w:t>
            </w:r>
            <w:r>
              <w:rPr>
                <w:rFonts w:hint="eastAsia" w:ascii="宋体" w:hAnsi="宋体" w:eastAsia="宋体" w:cs="宋体"/>
                <w:bCs/>
                <w:color w:val="000000"/>
                <w:sz w:val="21"/>
                <w:szCs w:val="21"/>
                <w:highlight w:val="none"/>
                <w:shd w:val="clear" w:color="auto" w:fill="auto"/>
              </w:rPr>
              <w:t xml:space="preserve">设备出现故障，但能提供基本业务和主要辅助业务，少数次要辅助业务存在问题）</w:t>
            </w:r>
            <w:r>
              <w:rPr>
                <w:rFonts w:hint="eastAsia" w:ascii="宋体" w:hAnsi="宋体" w:eastAsia="宋体" w:cs="宋体"/>
                <w:color w:val="000000"/>
                <w:sz w:val="21"/>
                <w:szCs w:val="21"/>
                <w:highlight w:val="none"/>
                <w:shd w:val="clear" w:color="auto" w:fill="auto"/>
              </w:rPr>
              <w:t xml:space="preserve">扣4分，三级故障（</w:t>
            </w:r>
            <w:r>
              <w:rPr>
                <w:rFonts w:hint="eastAsia" w:ascii="宋体" w:hAnsi="宋体" w:eastAsia="宋体" w:cs="宋体"/>
                <w:bCs/>
                <w:color w:val="000000"/>
                <w:sz w:val="21"/>
                <w:szCs w:val="21"/>
                <w:highlight w:val="none"/>
                <w:shd w:val="clear" w:color="auto" w:fill="auto"/>
              </w:rPr>
              <w:t xml:space="preserve">设备运行出现小故障）</w:t>
            </w:r>
            <w:r>
              <w:rPr>
                <w:rFonts w:hint="eastAsia" w:ascii="宋体" w:hAnsi="宋体" w:eastAsia="宋体" w:cs="宋体"/>
                <w:color w:val="000000"/>
                <w:sz w:val="21"/>
                <w:szCs w:val="21"/>
                <w:highlight w:val="none"/>
                <w:shd w:val="clear" w:color="auto" w:fill="auto"/>
              </w:rPr>
              <w:t xml:space="preserve">扣3分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应急响应</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发生一次在遇到紧急事件时，未按</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要求采取临时措施解决的扣3分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现场支持</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对因应</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要求需到达现场支持服务，未按投标响应时间到达现场的每发生一次扣2分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远程支持服务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发生一次未及时按照</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要求提供设备故障远程支持服务的扣2分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电话支持服务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发生一次未及时响应</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的电话咨询的扣2分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系统更新升级服务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发生一次未按</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要求将软件、固件及特征库升级到最新版本扣5分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高端存储原厂技术支持服务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EMC VMAX 250F高端存储服务过程中不能提供原厂动态口令的每次扣5分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199"/>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安全事件</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未能按照约定履行安全防护义务导致中心发生业务中止或其他安全事件，视情节轻重每次至少扣5分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704"/>
        </w:trPr>
        <w:tc>
          <w:tcPr>
            <w:tcW w:w="349" w:type="dxa"/>
            <w:vAlign w:val="center"/>
            <w:vMerge w:val="continue"/>
            <w:textDirection w:val="lrTb"/>
            <w:noWrap w:val="false"/>
          </w:tcPr>
          <w:p>
            <w:pPr>
              <w:pStyle w:val="725"/>
              <w:jc w:val="center"/>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巡检服务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要求提供</w:t>
            </w:r>
            <w:r>
              <w:rPr>
                <w:rFonts w:hint="eastAsia" w:ascii="宋体" w:hAnsi="宋体" w:eastAsia="宋体" w:cs="宋体"/>
                <w:color w:val="000000"/>
                <w:sz w:val="21"/>
                <w:szCs w:val="21"/>
                <w:highlight w:val="none"/>
                <w:shd w:val="clear" w:color="auto" w:fill="auto"/>
                <w:lang w:val="en-US" w:eastAsia="zh-CN"/>
              </w:rPr>
              <w:t xml:space="preserve">月</w:t>
            </w:r>
            <w:r>
              <w:rPr>
                <w:rFonts w:hint="eastAsia" w:ascii="宋体" w:hAnsi="宋体" w:eastAsia="宋体" w:cs="宋体"/>
                <w:color w:val="000000"/>
                <w:sz w:val="21"/>
                <w:szCs w:val="21"/>
                <w:highlight w:val="none"/>
                <w:shd w:val="clear" w:color="auto" w:fill="auto"/>
              </w:rPr>
              <w:t xml:space="preserve">度巡检服务的每次扣2分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设备档案库建设服务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未按照要求提交巡检报告、故障修复报告、年度报告等，每少一份扣2分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重要时刻保障服务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发生一次未按照</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要求在重要保障（业务上线、年终结算、扩容升级等）提供重要业务上线期间现场巡检及人员保障服务的扣2分。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vMerge w:val="continue"/>
            <w:textDirection w:val="lrTb"/>
            <w:noWrap w:val="false"/>
          </w:tcPr>
          <w:p>
            <w:pPr>
              <w:pStyle w:val="725"/>
              <w:ind w:firstLine="21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535" w:type="dxa"/>
            <w:vAlign w:val="center"/>
            <w:vMerge w:val="continue"/>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培训服务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未按照要求组织约定培训的扣2分</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trHeight w:val="524"/>
        </w:trPr>
        <w:tc>
          <w:tcPr>
            <w:tcW w:w="349" w:type="dxa"/>
            <w:vAlign w:val="center"/>
            <w:textDirection w:val="lrTb"/>
            <w:noWrap w:val="false"/>
          </w:tcPr>
          <w:p>
            <w:pPr>
              <w:pStyle w:val="725"/>
              <w:ind w:firstLine="21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rPr>
            </w:r>
            <w:r/>
          </w:p>
        </w:tc>
        <w:tc>
          <w:tcPr>
            <w:tcW w:w="535"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数据库软件服务考核</w:t>
            </w:r>
            <w:r>
              <w:rPr>
                <w:rFonts w:hint="eastAsia" w:ascii="宋体" w:hAnsi="宋体" w:eastAsia="宋体" w:cs="宋体"/>
                <w:color w:val="000000"/>
                <w:sz w:val="21"/>
                <w:szCs w:val="21"/>
                <w:highlight w:val="none"/>
                <w:shd w:val="clear" w:color="auto" w:fill="auto"/>
              </w:rPr>
            </w:r>
            <w:r/>
          </w:p>
        </w:tc>
        <w:tc>
          <w:tcPr>
            <w:tcW w:w="868"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数据库软件维保服务</w:t>
            </w:r>
            <w:r>
              <w:rPr>
                <w:rFonts w:hint="eastAsia" w:ascii="宋体" w:hAnsi="宋体" w:eastAsia="宋体" w:cs="宋体"/>
                <w:color w:val="000000"/>
                <w:sz w:val="21"/>
                <w:szCs w:val="21"/>
                <w:highlight w:val="none"/>
                <w:shd w:val="clear" w:color="auto" w:fill="auto"/>
              </w:rPr>
            </w:r>
            <w:r/>
          </w:p>
        </w:tc>
        <w:tc>
          <w:tcPr>
            <w:tcW w:w="2863" w:type="dxa"/>
            <w:vAlign w:val="center"/>
            <w:textDirection w:val="lrTb"/>
            <w:noWrap w:val="false"/>
          </w:tcPr>
          <w:p>
            <w:pPr>
              <w:pStyle w:val="725"/>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对巡检、电话支持、服务报告等一般服务不及时的，每次扣5分；对重大故障响应不及时或需要时没及时得到原厂技术支持的，每次扣20分。一票否决项：补丁分析及安装少做任何一次，系统优化调整或优化没有达到用户要求的任何一次，</w:t>
            </w:r>
            <w:r>
              <w:rPr>
                <w:rFonts w:hint="eastAsia" w:ascii="宋体" w:hAnsi="宋体" w:eastAsia="宋体" w:cs="宋体"/>
                <w:color w:val="000000"/>
                <w:sz w:val="21"/>
                <w:szCs w:val="21"/>
                <w:highlight w:val="none"/>
                <w:shd w:val="clear" w:color="auto" w:fill="auto"/>
                <w:lang w:val="en-US" w:eastAsia="zh-CN"/>
              </w:rPr>
              <w:t xml:space="preserve">甲方</w:t>
            </w:r>
            <w:r>
              <w:rPr>
                <w:rFonts w:hint="eastAsia" w:ascii="宋体" w:hAnsi="宋体" w:eastAsia="宋体" w:cs="宋体"/>
                <w:color w:val="000000"/>
                <w:sz w:val="21"/>
                <w:szCs w:val="21"/>
                <w:highlight w:val="none"/>
                <w:shd w:val="clear" w:color="auto" w:fill="auto"/>
              </w:rPr>
              <w:t xml:space="preserve">认定的其他影响数据库运行的严重违规行为等。考核得分小于60分或产生一票否决的，将不能获得相应服务费用。</w:t>
            </w:r>
            <w:r>
              <w:rPr>
                <w:rFonts w:hint="eastAsia" w:ascii="宋体" w:hAnsi="宋体" w:eastAsia="宋体" w:cs="宋体"/>
                <w:color w:val="000000"/>
                <w:sz w:val="21"/>
                <w:szCs w:val="21"/>
                <w:highlight w:val="none"/>
                <w:shd w:val="clear" w:color="auto" w:fill="auto"/>
              </w:rPr>
            </w:r>
            <w:r/>
          </w:p>
        </w:tc>
        <w:tc>
          <w:tcPr>
            <w:tcW w:w="384" w:type="dxa"/>
            <w:vAlign w:val="center"/>
            <w:textDirection w:val="lrTb"/>
            <w:noWrap w:val="false"/>
          </w:tcPr>
          <w:p>
            <w:pPr>
              <w:pStyle w:val="725"/>
              <w:ind w:firstLine="420"/>
              <w:keepLines w:val="0"/>
              <w:keepNext w:val="0"/>
              <w:pageBreakBefore w:val="0"/>
              <w:spacing w:line="30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bl>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一票否决项：系统优化调整或优化没有达到用户要求，甲方认定的其他影响系统运行的严重违规行为等，在年度服务期内出现二次。考核产生一票否决的，甲方有权拒绝向乙方支付余款、追缴已支付的款项，并有权提前终止与乙方的合同。</w:t>
      </w:r>
      <w:r>
        <w:rPr>
          <w:rFonts w:hint="eastAsia" w:ascii="宋体" w:hAnsi="宋体" w:eastAsia="宋体" w:cs="宋体"/>
          <w:color w:val="000000"/>
          <w:sz w:val="21"/>
          <w:szCs w:val="21"/>
          <w:highlight w:val="none"/>
          <w:shd w:val="clear" w:color="auto" w:fill="auto"/>
          <w:lang w:val="en-US" w:eastAsia="zh-CN"/>
        </w:rPr>
      </w:r>
      <w:r/>
    </w:p>
    <w:p>
      <w:pPr>
        <w:pStyle w:val="725"/>
        <w:ind w:firstLine="48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实际支付金额参照《南通市人力资源和社会保障信息中心核心设备及数据库运维服务项目服务考核评分表》的最终得分，按照最终得分的区间对应金额的比例得出（得分区间95-100的，支付规定金额的100%；得分区间85-94的，支付规定金额的90%；得分区间75-84的，支付规定金额的75%，得分区间60-74的，支付规定金额的50%，得分低于60的，当次不支付。一旦得分低于60分时，甲方有权拒绝向乙方支付余款，并有权提前终止与乙方的合同。）</w:t>
      </w:r>
      <w:r>
        <w:rPr>
          <w:rFonts w:hint="eastAsia" w:ascii="宋体" w:hAnsi="宋体" w:eastAsia="宋体" w:cs="宋体"/>
          <w:color w:val="000000"/>
          <w:sz w:val="21"/>
          <w:szCs w:val="21"/>
          <w:highlight w:val="none"/>
          <w:shd w:val="clear" w:color="auto" w:fill="auto"/>
          <w:lang w:val="en-US" w:eastAsia="zh-CN"/>
        </w:rPr>
      </w:r>
      <w:r/>
    </w:p>
    <w:p>
      <w:pPr>
        <w:pStyle w:val="725"/>
        <w:jc w:val="left"/>
        <w:keepLines w:val="0"/>
        <w:keepNext w:val="0"/>
        <w:pageBreakBefore w:val="0"/>
        <w:spacing w:line="360" w:lineRule="auto"/>
        <w:shd w:val="clear" w:color="auto" w:fill="auto"/>
        <w:rPr>
          <w:rFonts w:hint="eastAsia" w:ascii="宋体" w:hAnsi="宋体" w:eastAsia="宋体" w:cs="宋体"/>
          <w:b/>
          <w:bCs w:val="0"/>
          <w:color w:val="000000"/>
          <w:sz w:val="21"/>
          <w:szCs w:val="21"/>
          <w:highlight w:val="none"/>
          <w:shd w:val="clear" w:color="auto" w:fill="auto"/>
          <w:lang w:val="en-US" w:eastAsia="zh-CN" w:bidi="ar-SA"/>
        </w:rPr>
      </w:pPr>
      <w:r>
        <w:rPr>
          <w:rFonts w:hint="eastAsia" w:ascii="宋体" w:hAnsi="宋体" w:cs="宋体"/>
          <w:b/>
          <w:bCs w:val="0"/>
          <w:color w:val="000000"/>
          <w:sz w:val="21"/>
          <w:szCs w:val="21"/>
          <w:highlight w:val="none"/>
          <w:shd w:val="clear" w:color="auto" w:fill="auto"/>
          <w:lang w:val="en-US" w:eastAsia="zh-CN" w:bidi="ar-SA"/>
        </w:rPr>
        <w:t xml:space="preserve">三</w:t>
      </w:r>
      <w:r>
        <w:rPr>
          <w:rFonts w:hint="eastAsia" w:ascii="宋体" w:hAnsi="宋体" w:eastAsia="宋体" w:cs="宋体"/>
          <w:b/>
          <w:bCs w:val="0"/>
          <w:color w:val="000000"/>
          <w:sz w:val="21"/>
          <w:szCs w:val="21"/>
          <w:highlight w:val="none"/>
          <w:shd w:val="clear" w:color="auto" w:fill="auto"/>
          <w:lang w:val="en-US" w:eastAsia="zh-CN" w:bidi="ar-SA"/>
        </w:rPr>
        <w:t xml:space="preserve">、服务期限及服务地点</w:t>
      </w:r>
      <w:r>
        <w:rPr>
          <w:rFonts w:hint="eastAsia" w:ascii="宋体" w:hAnsi="宋体" w:eastAsia="宋体" w:cs="宋体"/>
          <w:b/>
          <w:bCs w:val="0"/>
          <w:color w:val="000000"/>
          <w:sz w:val="21"/>
          <w:szCs w:val="21"/>
          <w:highlight w:val="none"/>
          <w:shd w:val="clear" w:color="auto" w:fill="auto"/>
          <w:lang w:val="en-US" w:eastAsia="zh-CN" w:bidi="ar-SA"/>
        </w:rPr>
      </w:r>
      <w:r/>
    </w:p>
    <w:p>
      <w:pPr>
        <w:pStyle w:val="725"/>
        <w:ind w:firstLine="420"/>
        <w:jc w:val="left"/>
        <w:keepLines w:val="0"/>
        <w:keepNext w:val="0"/>
        <w:pageBreakBefore w:val="0"/>
        <w:spacing w:line="360" w:lineRule="auto"/>
        <w:shd w:val="clear" w:color="auto" w:fill="auto"/>
        <w:rPr>
          <w:rFonts w:ascii="宋体" w:hAnsi="宋体" w:eastAsia="宋体" w:cs="宋体"/>
          <w:i w:val="0"/>
          <w:iCs w:val="0"/>
          <w:color w:val="000000"/>
          <w:sz w:val="21"/>
          <w:szCs w:val="21"/>
          <w:highlight w:val="none"/>
          <w:u w:val="none"/>
          <w:shd w:val="clear" w:color="auto" w:fill="auto"/>
          <w:lang w:val="en-US" w:eastAsia="zh-CN" w:bidi="ar"/>
        </w:rPr>
      </w:pPr>
      <w:r>
        <w:rPr>
          <w:rFonts w:hint="eastAsia" w:ascii="宋体" w:hAnsi="宋体" w:eastAsia="宋体" w:cs="宋体"/>
          <w:b w:val="0"/>
          <w:bCs/>
          <w:color w:val="000000"/>
          <w:sz w:val="21"/>
          <w:szCs w:val="21"/>
          <w:highlight w:val="none"/>
          <w:shd w:val="clear" w:color="auto" w:fill="auto"/>
          <w:lang w:val="en-US" w:eastAsia="zh-CN"/>
        </w:rPr>
        <w:t xml:space="preserve">1.合同期限自</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年</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月</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日起至</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年</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月</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日。</w:t>
      </w:r>
      <w:r>
        <w:rPr>
          <w:rFonts w:hint="eastAsia" w:ascii="宋体" w:hAnsi="宋体" w:eastAsia="宋体" w:cs="宋体"/>
          <w:b w:val="0"/>
          <w:color w:val="000000"/>
          <w:highlight w:val="none"/>
          <w:shd w:val="clear" w:color="auto" w:fill="auto"/>
          <w:lang w:eastAsia="zh-CN"/>
        </w:rPr>
        <w:t xml:space="preserve">若年度服务期满后，服务考核最终得分在</w:t>
      </w:r>
      <w:r>
        <w:rPr>
          <w:rFonts w:hint="eastAsia" w:ascii="宋体" w:hAnsi="宋体" w:eastAsia="宋体" w:cs="宋体"/>
          <w:b w:val="0"/>
          <w:color w:val="000000"/>
          <w:highlight w:val="none"/>
          <w:shd w:val="clear" w:color="auto" w:fill="auto"/>
          <w:lang w:val="en-US" w:eastAsia="zh-CN"/>
        </w:rPr>
        <w:t xml:space="preserve">95分以上</w:t>
      </w:r>
      <w:r>
        <w:rPr>
          <w:rFonts w:hint="eastAsia" w:ascii="宋体" w:hAnsi="宋体" w:eastAsia="宋体" w:cs="宋体"/>
          <w:b w:val="0"/>
          <w:color w:val="000000"/>
          <w:highlight w:val="none"/>
          <w:shd w:val="clear" w:color="auto" w:fill="auto"/>
          <w:lang w:eastAsia="zh-CN"/>
        </w:rPr>
        <w:t xml:space="preserve">，可续签下一年服务合同。</w:t>
      </w:r>
      <w:r>
        <w:rPr>
          <w:rFonts w:hint="eastAsia" w:ascii="宋体" w:hAnsi="宋体" w:eastAsia="宋体" w:cs="宋体"/>
          <w:b w:val="0"/>
          <w:color w:val="000000"/>
          <w:highlight w:val="none"/>
          <w:shd w:val="clear" w:color="auto" w:fill="auto"/>
          <w:lang w:val="en-US" w:eastAsia="zh-CN"/>
        </w:rPr>
        <w:t xml:space="preserve">总服务期不超过三年</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本次为第一年合同。</w:t>
      </w:r>
      <w:r>
        <w:rPr>
          <w:rFonts w:ascii="宋体" w:hAnsi="宋体" w:eastAsia="宋体" w:cs="宋体"/>
          <w:i w:val="0"/>
          <w:iCs w:val="0"/>
          <w:color w:val="000000"/>
          <w:sz w:val="21"/>
          <w:szCs w:val="21"/>
          <w:highlight w:val="none"/>
          <w:u w:val="none"/>
          <w:shd w:val="clear" w:color="auto" w:fill="auto"/>
          <w:lang w:val="en-US" w:eastAsia="zh-CN" w:bidi="ar"/>
        </w:rPr>
      </w:r>
      <w:r/>
    </w:p>
    <w:p>
      <w:pPr>
        <w:pStyle w:val="725"/>
        <w:ind w:firstLine="420"/>
        <w:jc w:val="left"/>
        <w:keepLines w:val="0"/>
        <w:keepNext w:val="0"/>
        <w:pageBreakBefore w:val="0"/>
        <w:spacing w:line="360" w:lineRule="auto"/>
        <w:shd w:val="clear" w:color="auto" w:fill="auto"/>
        <w:rPr>
          <w:rFonts w:hint="eastAsia" w:ascii="宋体" w:hAnsi="宋体" w:eastAsia="宋体" w:cs="宋体"/>
          <w:i w:val="0"/>
          <w:iCs w:val="0"/>
          <w:color w:val="000000"/>
          <w:sz w:val="21"/>
          <w:szCs w:val="21"/>
          <w:highlight w:val="none"/>
          <w:u w:val="none"/>
          <w:shd w:val="clear" w:color="auto" w:fill="auto"/>
          <w:lang w:val="en-US" w:eastAsia="zh-CN" w:bidi="ar"/>
        </w:rPr>
      </w:pPr>
      <w:r>
        <w:rPr>
          <w:rFonts w:hint="eastAsia" w:ascii="宋体" w:hAnsi="宋体" w:eastAsia="宋体" w:cs="宋体"/>
          <w:i w:val="0"/>
          <w:iCs w:val="0"/>
          <w:color w:val="000000"/>
          <w:sz w:val="21"/>
          <w:szCs w:val="21"/>
          <w:highlight w:val="none"/>
          <w:u w:val="none"/>
          <w:shd w:val="clear" w:color="auto" w:fill="auto"/>
          <w:lang w:val="en-US" w:eastAsia="zh-CN" w:bidi="ar"/>
        </w:rPr>
        <w:t xml:space="preserve">2.服务地点：甲方指定地点。</w:t>
      </w:r>
      <w:r>
        <w:rPr>
          <w:rFonts w:hint="eastAsia" w:ascii="宋体" w:hAnsi="宋体" w:eastAsia="宋体" w:cs="宋体"/>
          <w:i w:val="0"/>
          <w:iCs w:val="0"/>
          <w:color w:val="000000"/>
          <w:sz w:val="21"/>
          <w:szCs w:val="21"/>
          <w:highlight w:val="none"/>
          <w:u w:val="none"/>
          <w:shd w:val="clear" w:color="auto" w:fill="auto"/>
          <w:lang w:val="en-US" w:eastAsia="zh-CN" w:bidi="ar"/>
        </w:rPr>
      </w:r>
      <w:r/>
    </w:p>
    <w:p>
      <w:pPr>
        <w:pStyle w:val="725"/>
        <w:jc w:val="left"/>
        <w:keepLines w:val="0"/>
        <w:keepNext w:val="0"/>
        <w:pageBreakBefore w:val="0"/>
        <w:spacing w:line="360" w:lineRule="auto"/>
        <w:shd w:val="clear" w:color="auto" w:fill="auto"/>
        <w:rPr>
          <w:rFonts w:ascii="宋体" w:hAnsi="宋体" w:eastAsia="宋体" w:cs="宋体"/>
          <w:b/>
          <w:bCs w:val="0"/>
          <w:color w:val="000000"/>
          <w:sz w:val="21"/>
          <w:szCs w:val="21"/>
          <w:highlight w:val="none"/>
          <w:shd w:val="clear" w:color="auto" w:fill="auto"/>
          <w:lang w:val="en-US" w:eastAsia="zh-CN" w:bidi="ar-SA"/>
        </w:rPr>
      </w:pPr>
      <w:r>
        <w:rPr>
          <w:rFonts w:hint="eastAsia" w:ascii="宋体" w:hAnsi="宋体" w:eastAsia="宋体" w:cs="宋体"/>
          <w:b/>
          <w:bCs w:val="0"/>
          <w:color w:val="000000"/>
          <w:sz w:val="21"/>
          <w:szCs w:val="21"/>
          <w:highlight w:val="none"/>
          <w:shd w:val="clear" w:color="auto" w:fill="auto"/>
          <w:lang w:val="en-US" w:eastAsia="zh-CN" w:bidi="ar-SA"/>
        </w:rPr>
        <w:t xml:space="preserve">四、验收标准</w:t>
      </w:r>
      <w:r>
        <w:rPr>
          <w:rFonts w:ascii="宋体" w:hAnsi="宋体" w:eastAsia="宋体" w:cs="宋体"/>
          <w:b/>
          <w:bCs w:val="0"/>
          <w:color w:val="000000"/>
          <w:sz w:val="21"/>
          <w:szCs w:val="21"/>
          <w:highlight w:val="none"/>
          <w:shd w:val="clear" w:color="auto" w:fill="auto"/>
          <w:lang w:val="en-US" w:eastAsia="zh-CN" w:bidi="ar-SA"/>
        </w:rPr>
      </w:r>
      <w:r/>
    </w:p>
    <w:p>
      <w:pPr>
        <w:pStyle w:val="725"/>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在接到乙方以书面形式提出验收申请后，甲方按合同约定积极配合乙方履约，按合同约定及时组织相关专业技术人员对维保服务的执行情况进行评定验收，必要时邀请采购中心、质检等部门共同参与验收并出具验收报告。</w:t>
      </w:r>
      <w:r>
        <w:rPr>
          <w:rFonts w:hint="eastAsia" w:ascii="宋体" w:hAnsi="宋体" w:eastAsia="宋体" w:cs="宋体"/>
          <w:color w:val="000000"/>
          <w:sz w:val="21"/>
          <w:szCs w:val="21"/>
          <w:highlight w:val="none"/>
          <w:shd w:val="clear" w:color="auto" w:fill="auto"/>
          <w:lang w:val="en-US" w:eastAsia="zh-CN"/>
        </w:rPr>
      </w:r>
      <w:r/>
    </w:p>
    <w:p>
      <w:pPr>
        <w:pStyle w:val="725"/>
        <w:jc w:val="left"/>
        <w:shd w:val="clear" w:color="auto" w:fill="auto"/>
        <w:widowControl/>
        <w:rPr>
          <w:rFonts w:hint="eastAsia" w:ascii="宋体" w:hAnsi="宋体" w:eastAsia="宋体" w:cs="宋体"/>
          <w:b/>
          <w:bCs/>
          <w:color w:val="000000"/>
          <w:sz w:val="21"/>
          <w:szCs w:val="21"/>
          <w:highlight w:val="none"/>
          <w:shd w:val="clear" w:color="auto" w:fill="auto"/>
        </w:rPr>
        <w:outlineLvl w:val="0"/>
      </w:pPr>
      <w:r>
        <w:rPr>
          <w:rFonts w:hint="eastAsia" w:ascii="宋体" w:hAnsi="宋体" w:eastAsia="宋体" w:cs="宋体"/>
          <w:b/>
          <w:bCs/>
          <w:color w:val="000000"/>
          <w:sz w:val="21"/>
          <w:szCs w:val="21"/>
          <w:highlight w:val="none"/>
          <w:shd w:val="clear" w:color="auto" w:fill="auto"/>
          <w:lang w:val="en-US" w:eastAsia="zh-CN"/>
        </w:rPr>
        <w:t xml:space="preserve">五</w:t>
      </w:r>
      <w:r>
        <w:rPr>
          <w:rFonts w:hint="eastAsia" w:ascii="宋体" w:hAnsi="宋体" w:eastAsia="宋体" w:cs="宋体"/>
          <w:b/>
          <w:bCs/>
          <w:color w:val="000000"/>
          <w:sz w:val="21"/>
          <w:szCs w:val="21"/>
          <w:highlight w:val="none"/>
          <w:shd w:val="clear" w:color="auto" w:fill="auto"/>
        </w:rPr>
        <w:t xml:space="preserve">、不可抗力</w:t>
      </w:r>
      <w:r>
        <w:rPr>
          <w:rFonts w:hint="eastAsia" w:ascii="宋体" w:hAnsi="宋体" w:eastAsia="宋体" w:cs="宋体"/>
          <w:b/>
          <w:bCs/>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条所述的“不可抗力”系指本合同各方不能预见、不能避免并不能克服的客观情况。不可抗力包括但不限于法律法规或国家有关政策变化、省级以上政府行为、战争、社会骚乱、恐怖活动、自然灾害等及其它国际上公认的不可抗力因素。</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本合同一方由于不可抗力而全部或部分不能履行本合同，则该方应在不可抗力发生后五个工作日内书面通知他方；并应在十五个工作日内提供事件的详细情况及有关主管机关、职能部门或公证机构证明本合同全部或部分不能履行的证明文件。</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因不可抗力而导致任何一方全部或部分不能履行本合同的，该方不承担违约责任，但该方应采取一切必要和适当的措施减轻给他方造成的损失。</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发生不可抗力，各方应依据不可抗力对履行本合同的影响程度，协商决定变更或终止本合同。否则，本合同的履行根据受影响的时间相应延长，但合同价款总额不得调整；不可抗力结束后，甲乙双方应及时履行合同，否则视为违约。</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如果不可抗力已发生并持续一百八十天，双方中任何一方均有权在通知对方三十天后终止合同，如果三十天的期限到期后不可抗力仍在持续，本合同即告终止。</w:t>
      </w:r>
      <w:r>
        <w:rPr>
          <w:rFonts w:hint="eastAsia" w:ascii="宋体" w:hAnsi="宋体" w:eastAsia="宋体" w:cs="宋体"/>
          <w:color w:val="000000"/>
          <w:sz w:val="21"/>
          <w:szCs w:val="21"/>
          <w:highlight w:val="none"/>
          <w:shd w:val="clear" w:color="auto" w:fill="auto"/>
        </w:rPr>
      </w:r>
      <w:r/>
    </w:p>
    <w:p>
      <w:pPr>
        <w:pStyle w:val="1066"/>
        <w:jc w:val="both"/>
        <w:pageBreakBefore w:val="0"/>
        <w:spacing w:line="24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rPr>
        <w:t xml:space="preserve">六</w:t>
      </w:r>
      <w:r>
        <w:rPr>
          <w:rFonts w:hint="eastAsia" w:ascii="宋体" w:hAnsi="宋体" w:eastAsia="宋体" w:cs="宋体"/>
          <w:b/>
          <w:bCs/>
          <w:color w:val="000000"/>
          <w:sz w:val="21"/>
          <w:szCs w:val="21"/>
          <w:highlight w:val="none"/>
          <w:shd w:val="clear" w:color="auto" w:fill="auto"/>
        </w:rPr>
        <w:t xml:space="preserve">、违约与赔偿损失</w:t>
      </w:r>
      <w:r>
        <w:rPr>
          <w:rFonts w:hint="eastAsia" w:ascii="宋体" w:hAnsi="宋体" w:eastAsia="宋体" w:cs="宋体"/>
          <w:b/>
          <w:bCs/>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1.</w:t>
      </w:r>
      <w:r>
        <w:rPr>
          <w:rFonts w:hint="eastAsia" w:ascii="宋体" w:hAnsi="宋体" w:eastAsia="宋体" w:cs="宋体"/>
          <w:color w:val="000000"/>
          <w:sz w:val="21"/>
          <w:szCs w:val="21"/>
          <w:highlight w:val="none"/>
          <w:shd w:val="clear" w:color="auto" w:fill="auto"/>
        </w:rPr>
        <w:t xml:space="preserve">服务缺陷的补救措施和索赔</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提供的服务不符合</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eastAsia="zh-CN"/>
        </w:rPr>
        <w:t xml:space="preserve">投标文件</w:t>
      </w:r>
      <w:r>
        <w:rPr>
          <w:rFonts w:hint="eastAsia" w:ascii="宋体" w:hAnsi="宋体" w:eastAsia="宋体" w:cs="宋体"/>
          <w:color w:val="000000"/>
          <w:sz w:val="21"/>
          <w:szCs w:val="21"/>
          <w:highlight w:val="none"/>
          <w:shd w:val="clear" w:color="auto" w:fill="auto"/>
        </w:rPr>
        <w:t xml:space="preserve">关于服务的要求和承诺，</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应按照</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同意的下列一种或几种方式结合起来解决索赔事宜：</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同意将服务款项目退还给</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，由此发生的一切费用和损失由</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承担。如</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以适当的条件和方法购买与未履约标的相类似的服务，</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应负担新购买类似服务所超出的费用。</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发出索赔通知后10日内</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未作答复，上述索赔应视为已被</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接受。如果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未能在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发出索赔通知后10日内或</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同意延长的期限内，按照上述规定的任何一种方法采取补救措施，</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有权从应付服务款中扣除索赔金额，如不足以弥补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损失的，</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有权进一步要求</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赔偿。</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2.</w:t>
      </w:r>
      <w:r>
        <w:rPr>
          <w:rFonts w:hint="eastAsia" w:ascii="宋体" w:hAnsi="宋体" w:eastAsia="宋体" w:cs="宋体"/>
          <w:color w:val="000000"/>
          <w:sz w:val="21"/>
          <w:szCs w:val="21"/>
          <w:highlight w:val="none"/>
          <w:shd w:val="clear" w:color="auto" w:fill="auto"/>
        </w:rPr>
        <w:t xml:space="preserve">延迟履约的违约责任</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应按照本</w:t>
      </w:r>
      <w:r>
        <w:rPr>
          <w:rFonts w:hint="eastAsia" w:ascii="宋体" w:hAnsi="宋体" w:eastAsia="宋体" w:cs="宋体"/>
          <w:color w:val="000000"/>
          <w:sz w:val="21"/>
          <w:szCs w:val="21"/>
          <w:highlight w:val="none"/>
          <w:shd w:val="clear" w:color="auto" w:fill="auto"/>
          <w:lang w:val="en-US" w:eastAsia="zh-CN"/>
        </w:rPr>
        <w:t xml:space="preserve">项目</w:t>
      </w:r>
      <w:r>
        <w:rPr>
          <w:rFonts w:hint="eastAsia" w:ascii="宋体" w:hAnsi="宋体" w:eastAsia="宋体" w:cs="宋体"/>
          <w:color w:val="000000"/>
          <w:sz w:val="21"/>
          <w:szCs w:val="21"/>
          <w:highlight w:val="none"/>
          <w:shd w:val="clear" w:color="auto" w:fill="auto"/>
        </w:rPr>
        <w:t xml:space="preserve">规定的时间、地点提供服务。</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(2)在履行合同过程中，如果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遇到可能妨碍按时提供服务的情形时，应及时以书面形式将迟延的事实、可能迟延的期限和理由通知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在收到</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通知后，应尽快对情况进行评价，并确定是否同意延期提供服务。</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(3)除双方另有约定外，如果</w:t>
      </w: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没有按照规定的时间提供服务，且没有在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同意的延长的期限内进行补救时，</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有权从服务款中扣除或要求</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另行支付</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而不影响合同项下的其他补救方法。</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每日按合同金额的</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%计收，直至提供服务为止。但</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的最高限额不超过合同价的20%。</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延迟履约超过20日，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有权终止全部或部分合同，并依其认为适当的条件和方法购买与未履约类似的服务，</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应负担购买类似服务所超出的费用。但是，</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应继续执行未终止的部分。</w:t>
      </w:r>
      <w:r>
        <w:rPr>
          <w:rFonts w:hint="eastAsia" w:ascii="宋体" w:hAnsi="宋体" w:eastAsia="宋体" w:cs="宋体"/>
          <w:color w:val="000000"/>
          <w:sz w:val="21"/>
          <w:szCs w:val="21"/>
          <w:highlight w:val="none"/>
          <w:shd w:val="clear" w:color="auto" w:fill="auto"/>
        </w:rPr>
      </w:r>
      <w:r/>
    </w:p>
    <w:p>
      <w:pPr>
        <w:pStyle w:val="106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七</w:t>
      </w:r>
      <w:r>
        <w:rPr>
          <w:rFonts w:hint="eastAsia" w:ascii="宋体" w:hAnsi="宋体" w:eastAsia="宋体" w:cs="宋体"/>
          <w:color w:val="000000"/>
          <w:sz w:val="21"/>
          <w:szCs w:val="21"/>
          <w:highlight w:val="none"/>
          <w:shd w:val="clear" w:color="auto" w:fill="auto"/>
          <w:lang w:val="en-US" w:eastAsia="zh-CN"/>
        </w:rPr>
        <w:t xml:space="preserve">、保密条款</w:t>
      </w:r>
      <w:r>
        <w:rPr>
          <w:rFonts w:hint="eastAsia" w:ascii="宋体" w:hAnsi="宋体" w:eastAsia="宋体" w:cs="宋体"/>
          <w:color w:val="000000"/>
          <w:sz w:val="21"/>
          <w:szCs w:val="21"/>
          <w:highlight w:val="none"/>
          <w:shd w:val="clear" w:color="auto" w:fill="auto"/>
          <w:lang w:val="en-US" w:eastAsia="zh-CN"/>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各方在讨论、订立及履行本合同及过程中向另一方提供的全部技术和商业信息、本合同的内容、存在均应被视为保密合同中所述的保密信息。</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基于乙方给甲方</w:t>
      </w:r>
      <w:r>
        <w:rPr>
          <w:rFonts w:hint="eastAsia" w:ascii="宋体" w:hAnsi="宋体" w:eastAsia="宋体" w:cs="宋体"/>
          <w:color w:val="000000"/>
          <w:sz w:val="21"/>
          <w:szCs w:val="21"/>
          <w:highlight w:val="none"/>
          <w:shd w:val="clear" w:color="auto" w:fill="auto"/>
          <w:lang w:val="en-US" w:eastAsia="zh-CN"/>
        </w:rPr>
        <w:t xml:space="preserve">的</w:t>
      </w:r>
      <w:r>
        <w:rPr>
          <w:rFonts w:hint="eastAsia" w:ascii="宋体" w:hAnsi="宋体" w:eastAsia="宋体" w:cs="宋体"/>
          <w:color w:val="000000"/>
          <w:sz w:val="21"/>
          <w:szCs w:val="21"/>
          <w:highlight w:val="none"/>
          <w:shd w:val="clear" w:color="auto" w:fill="auto"/>
        </w:rPr>
        <w:t xml:space="preserve">交付资料，在项目结束前完全提交甲方，乙方不得在未经过甲方许可的情况下将相关内容提供或者泄露给第三方。</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在项目期间乙方提供给甲方的资料，在项目结束前完全提交甲方，乙方不得在未经过甲方许可的情况下将相关内容提供给第三方。</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在项目实施</w:t>
      </w:r>
      <w:r>
        <w:rPr>
          <w:rFonts w:hint="eastAsia" w:ascii="宋体" w:hAnsi="宋体" w:eastAsia="宋体" w:cs="宋体"/>
          <w:color w:val="000000"/>
          <w:sz w:val="21"/>
          <w:szCs w:val="21"/>
          <w:highlight w:val="none"/>
          <w:shd w:val="clear" w:color="auto" w:fill="auto"/>
        </w:rPr>
        <w:t xml:space="preserve">中涉及甲方业务流程的基础配置数据进行保密。</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对于一方（“披露方”）向另一方（“接收方”）提供的保密信息，接收方负有保密义务，未经披露方事先书面同意，接收方不得以任何形式向任何第三方披露。接收方仅应为履行本合同的目的使用保密信息。接收方应采取必要合理的措施保护披露方的保密信息。接收方不应对披露方保密信息进行任何性质的反向工程。</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甲、乙双方对在签订和履行本合同过程中从其它方获知的技术和商业秘密，无论在本合同期限内还是合同终止后，均应共同遵守相关法律及合同规定，相互尊重其它方的知识产权，对所知悉的其它方的技术秘密和商业秘密负有保密责任。未经披露方事先书面授权，任一方不得以任何方式向任何其他组织或个人泄露、转让、许可使用、交换、赠与或与任何其他组织或个人共同使用或不正当使用。违反本条规定，给对方造成损失的，违约方应负相关的法律责任。</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46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本条中的保密义务，在本合同终止后，持续有效。</w:t>
      </w:r>
      <w:r>
        <w:rPr>
          <w:rFonts w:hint="eastAsia" w:ascii="宋体" w:hAnsi="宋体" w:eastAsia="宋体" w:cs="宋体"/>
          <w:color w:val="000000"/>
          <w:sz w:val="21"/>
          <w:szCs w:val="21"/>
          <w:highlight w:val="none"/>
          <w:shd w:val="clear" w:color="auto" w:fill="auto"/>
        </w:rPr>
      </w:r>
      <w:r/>
    </w:p>
    <w:p>
      <w:pPr>
        <w:pStyle w:val="106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lang w:val="en-US" w:eastAsia="zh-CN"/>
        </w:rPr>
        <w:t xml:space="preserve">八</w:t>
      </w:r>
      <w:r>
        <w:rPr>
          <w:rFonts w:hint="eastAsia" w:ascii="宋体" w:hAnsi="宋体" w:eastAsia="宋体" w:cs="宋体"/>
          <w:color w:val="000000"/>
          <w:sz w:val="21"/>
          <w:szCs w:val="21"/>
          <w:highlight w:val="none"/>
          <w:shd w:val="clear" w:color="auto" w:fill="auto"/>
        </w:rPr>
        <w:t xml:space="preserve">、适用法律及争议解决</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本合同的订立、生效、履行、解释、修改、争议解决和终止等事项适用中国大陆地区现行法律法规。</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本合同项下发生的争议，由双方当事人协商解决或申请调解解决；协商或调解不成的，依法向南通仲裁委员会申请仲裁。</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诉讼期间，双方继续享有各自在本合同项下的其它权利并应继续履行其在本合同下的相应义务。</w:t>
      </w:r>
      <w:r>
        <w:rPr>
          <w:rFonts w:hint="eastAsia" w:ascii="宋体" w:hAnsi="宋体" w:eastAsia="宋体" w:cs="宋体"/>
          <w:color w:val="000000"/>
          <w:sz w:val="21"/>
          <w:szCs w:val="21"/>
          <w:highlight w:val="none"/>
          <w:shd w:val="clear" w:color="auto" w:fill="auto"/>
        </w:rPr>
      </w:r>
      <w:r/>
    </w:p>
    <w:p>
      <w:pPr>
        <w:pStyle w:val="106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九</w:t>
      </w:r>
      <w:r>
        <w:rPr>
          <w:rFonts w:hint="eastAsia" w:ascii="宋体" w:hAnsi="宋体" w:eastAsia="宋体" w:cs="宋体"/>
          <w:color w:val="000000"/>
          <w:sz w:val="21"/>
          <w:szCs w:val="21"/>
          <w:highlight w:val="none"/>
          <w:shd w:val="clear" w:color="auto" w:fill="auto"/>
        </w:rPr>
        <w:t xml:space="preserve">、合同生效</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zh-CN"/>
        </w:rPr>
        <w:t xml:space="preserve">本合同在甲乙双方签字盖章后即生效。</w:t>
      </w:r>
      <w:r>
        <w:rPr>
          <w:rFonts w:hint="eastAsia" w:ascii="宋体" w:hAnsi="宋体" w:eastAsia="宋体" w:cs="宋体"/>
          <w:color w:val="000000"/>
          <w:sz w:val="21"/>
          <w:szCs w:val="21"/>
          <w:highlight w:val="none"/>
          <w:shd w:val="clear" w:color="auto" w:fill="auto"/>
        </w:rPr>
      </w:r>
      <w:r/>
    </w:p>
    <w:p>
      <w:pPr>
        <w:pStyle w:val="106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十</w:t>
      </w:r>
      <w:r>
        <w:rPr>
          <w:rFonts w:hint="eastAsia" w:ascii="宋体" w:hAnsi="宋体" w:eastAsia="宋体" w:cs="宋体"/>
          <w:color w:val="000000"/>
          <w:sz w:val="21"/>
          <w:szCs w:val="21"/>
          <w:highlight w:val="none"/>
          <w:shd w:val="clear" w:color="auto" w:fill="auto"/>
        </w:rPr>
        <w:t xml:space="preserve">、其他约定</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除本合同另有约定外，本合同及其条款仅可由双方签署书面文件方可被修改、改变、放弃、撤销或终止。</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未经甲方同意，乙方不可将本合同项下义务转移给任何第三人。</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本合同未尽事宜，双方可协商确定并另行签订补充协议。</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eastAsia="zh-CN"/>
        </w:rPr>
        <w:t xml:space="preserve">投标文件</w:t>
      </w:r>
      <w:r>
        <w:rPr>
          <w:rFonts w:hint="eastAsia" w:ascii="宋体" w:hAnsi="宋体" w:eastAsia="宋体" w:cs="宋体"/>
          <w:color w:val="000000"/>
          <w:sz w:val="21"/>
          <w:szCs w:val="21"/>
          <w:highlight w:val="none"/>
          <w:shd w:val="clear" w:color="auto" w:fill="auto"/>
        </w:rPr>
        <w:t xml:space="preserve">与本合同具有同等法律效力。</w:t>
      </w:r>
      <w:r>
        <w:rPr>
          <w:rFonts w:hint="eastAsia" w:ascii="宋体" w:hAnsi="宋体" w:eastAsia="宋体" w:cs="宋体"/>
          <w:color w:val="000000"/>
          <w:sz w:val="21"/>
          <w:szCs w:val="21"/>
          <w:highlight w:val="none"/>
          <w:shd w:val="clear" w:color="auto" w:fill="auto"/>
        </w:rPr>
      </w:r>
      <w:r/>
    </w:p>
    <w:p>
      <w:pPr>
        <w:pStyle w:val="72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本合同一式六份，甲方执四份，乙方执两份，均具有同等法律效力。</w:t>
      </w:r>
      <w:r>
        <w:rPr>
          <w:rFonts w:hint="eastAsia" w:ascii="宋体" w:hAnsi="宋体" w:eastAsia="宋体" w:cs="宋体"/>
          <w:color w:val="000000"/>
          <w:sz w:val="21"/>
          <w:szCs w:val="21"/>
          <w:highlight w:val="none"/>
          <w:shd w:val="clear" w:color="auto" w:fill="auto"/>
        </w:rPr>
      </w:r>
      <w:r/>
    </w:p>
    <w:p>
      <w:pPr>
        <w:pStyle w:val="725"/>
        <w:ind w:left="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left="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 ：                        </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725"/>
        <w:ind w:firstLine="424"/>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法定代表人或                     法定代表人或</w:t>
      </w:r>
      <w:r>
        <w:rPr>
          <w:rFonts w:hint="eastAsia" w:ascii="宋体" w:hAnsi="宋体" w:eastAsia="宋体" w:cs="宋体"/>
          <w:color w:val="000000"/>
          <w:sz w:val="21"/>
          <w:szCs w:val="21"/>
          <w:highlight w:val="none"/>
          <w:shd w:val="clear" w:color="auto" w:fill="auto"/>
        </w:rPr>
      </w:r>
      <w:r/>
    </w:p>
    <w:p>
      <w:pPr>
        <w:pStyle w:val="725"/>
        <w:ind w:firstLine="424"/>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委托代理人：                     委托代理人：</w:t>
      </w:r>
      <w:r>
        <w:rPr>
          <w:rFonts w:hint="eastAsia" w:ascii="宋体" w:hAnsi="宋体" w:eastAsia="宋体" w:cs="宋体"/>
          <w:color w:val="000000"/>
          <w:sz w:val="21"/>
          <w:szCs w:val="21"/>
          <w:highlight w:val="none"/>
          <w:shd w:val="clear" w:color="auto" w:fill="auto"/>
        </w:rPr>
      </w:r>
      <w:r/>
    </w:p>
    <w:p>
      <w:pPr>
        <w:pStyle w:val="725"/>
        <w:ind w:firstLine="21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签订时间：</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年  月  日</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签订时间：</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年  月  日</w:t>
      </w:r>
      <w:r>
        <w:rPr>
          <w:rFonts w:hint="eastAsia" w:ascii="宋体" w:hAnsi="宋体" w:eastAsia="宋体" w:cs="宋体"/>
          <w:color w:val="000000"/>
          <w:sz w:val="21"/>
          <w:szCs w:val="21"/>
          <w:highlight w:val="none"/>
          <w:shd w:val="clear" w:color="auto" w:fill="auto"/>
        </w:rPr>
      </w:r>
      <w:r/>
    </w:p>
    <w:p>
      <w:pPr>
        <w:pStyle w:val="72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p>
      <w:pPr>
        <w:pStyle w:val="725"/>
        <w:spacing w:after="60" w:line="360" w:lineRule="auto"/>
        <w:shd w:val="clear" w:color="auto" w:fill="auto"/>
        <w:tabs>
          <w:tab w:val="left" w:pos="3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1068"/>
        <w:ind w:firstLine="560"/>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shd w:val="clear" w:color="auto" w:fill="auto"/>
        <w:rPr>
          <w:color w:val="000000"/>
          <w:highlight w:val="none"/>
          <w:shd w:val="clear" w:color="auto" w:fill="auto"/>
        </w:rPr>
      </w:pPr>
      <w:r>
        <w:rPr>
          <w:color w:val="000000"/>
          <w:highlight w:val="none"/>
          <w:shd w:val="clear" w:color="auto" w:fill="auto"/>
        </w:rPr>
      </w:r>
      <w:r/>
    </w:p>
    <w:p>
      <w:pPr>
        <w:pStyle w:val="800"/>
        <w:ind w:firstLine="560"/>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shd w:val="clear" w:color="auto" w:fill="auto"/>
        <w:rPr>
          <w:rFonts w:hint="eastAsia" w:ascii="宋体" w:hAnsi="宋体" w:eastAsia="宋体" w:cs="宋体"/>
          <w:bCs/>
          <w:color w:val="000000"/>
          <w:sz w:val="36"/>
          <w:szCs w:val="36"/>
          <w:highlight w:val="none"/>
          <w:shd w:val="clear" w:color="auto" w:fill="auto"/>
        </w:rPr>
      </w:pPr>
      <w:r/>
      <w:bookmarkEnd w:id="153"/>
      <w:r/>
      <w:bookmarkEnd w:id="154"/>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r>
      <w:r/>
    </w:p>
    <w:p>
      <w:pPr>
        <w:pStyle w:val="725"/>
        <w:jc w:val="center"/>
        <w:spacing w:line="360" w:lineRule="auto"/>
        <w:shd w:val="clear" w:color="auto" w:fill="auto"/>
        <w:rPr>
          <w:rFonts w:hint="eastAsia" w:ascii="宋体" w:hAnsi="宋体" w:eastAsia="宋体" w:cs="宋体"/>
          <w:b/>
          <w:bCs w:val="0"/>
          <w:color w:val="000000"/>
          <w:sz w:val="36"/>
          <w:szCs w:val="36"/>
          <w:highlight w:val="none"/>
          <w:shd w:val="clear" w:color="auto" w:fill="auto"/>
        </w:rPr>
      </w:pPr>
      <w:r>
        <w:rPr>
          <w:rFonts w:hint="eastAsia" w:ascii="宋体" w:hAnsi="宋体" w:eastAsia="宋体" w:cs="宋体"/>
          <w:b/>
          <w:bCs w:val="0"/>
          <w:color w:val="000000"/>
          <w:sz w:val="36"/>
          <w:szCs w:val="36"/>
          <w:highlight w:val="none"/>
          <w:shd w:val="clear" w:color="auto" w:fill="auto"/>
        </w:rPr>
        <w:t xml:space="preserve">第六部分  投标文件组成</w:t>
      </w:r>
      <w:r>
        <w:rPr>
          <w:rFonts w:hint="eastAsia" w:ascii="宋体" w:hAnsi="宋体" w:eastAsia="宋体" w:cs="宋体"/>
          <w:b/>
          <w:bCs w:val="0"/>
          <w:color w:val="000000"/>
          <w:sz w:val="36"/>
          <w:szCs w:val="36"/>
          <w:highlight w:val="none"/>
          <w:shd w:val="clear" w:color="auto" w:fill="auto"/>
        </w:rPr>
      </w:r>
      <w:r/>
    </w:p>
    <w:p>
      <w:pPr>
        <w:pStyle w:val="725"/>
        <w:spacing w:line="360" w:lineRule="auto"/>
        <w:shd w:val="clear" w:color="auto" w:fill="auto"/>
        <w:rPr>
          <w:rFonts w:hint="eastAsia" w:ascii="宋体" w:hAnsi="宋体" w:eastAsia="宋体" w:cs="宋体"/>
          <w:b/>
          <w:bCs/>
          <w:color w:val="000000"/>
          <w:highlight w:val="none"/>
          <w:shd w:val="clear" w:color="auto" w:fill="auto"/>
        </w:rPr>
      </w:pPr>
      <w:r>
        <w:rPr>
          <w:rFonts w:hint="eastAsia" w:ascii="宋体" w:hAnsi="宋体" w:eastAsia="宋体" w:cs="宋体"/>
          <w:b/>
          <w:bCs/>
          <w:color w:val="000000"/>
          <w:highlight w:val="none"/>
          <w:shd w:val="clear" w:color="auto" w:fill="auto"/>
        </w:rPr>
        <w:t xml:space="preserve">一、基本目录</w:t>
      </w:r>
      <w:r>
        <w:rPr>
          <w:rFonts w:hint="eastAsia" w:ascii="宋体" w:hAnsi="宋体" w:eastAsia="宋体" w:cs="宋体"/>
          <w:b/>
          <w:bCs/>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1.</w:t>
      </w:r>
      <w:r>
        <w:rPr>
          <w:rFonts w:hint="eastAsia" w:ascii="宋体" w:hAnsi="宋体" w:eastAsia="宋体" w:cs="宋体"/>
          <w:color w:val="000000"/>
          <w:highlight w:val="none"/>
          <w:shd w:val="clear" w:color="auto" w:fill="auto"/>
          <w:lang w:eastAsia="zh-CN"/>
        </w:rPr>
        <w:t xml:space="preserve">报价一览表</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.投标分项报价表</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rPr>
        <w:t xml:space="preserve">.法人授权书</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lang w:val="zh-CN"/>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rPr>
        <w:t xml:space="preserve">.其他材料。</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二、</w:t>
      </w:r>
      <w:r>
        <w:rPr>
          <w:rFonts w:hint="eastAsia" w:ascii="宋体" w:hAnsi="宋体" w:eastAsia="宋体" w:cs="宋体"/>
          <w:b/>
          <w:bCs/>
          <w:color w:val="000000"/>
          <w:highlight w:val="none"/>
          <w:shd w:val="clear" w:color="auto" w:fill="auto"/>
          <w:lang w:val="zh-CN"/>
        </w:rPr>
        <w:t xml:space="preserve">资格</w:t>
      </w:r>
      <w:r>
        <w:rPr>
          <w:rFonts w:hint="eastAsia" w:ascii="宋体" w:hAnsi="宋体" w:eastAsia="宋体" w:cs="宋体"/>
          <w:b/>
          <w:bCs/>
          <w:color w:val="000000"/>
          <w:highlight w:val="none"/>
          <w:shd w:val="clear" w:color="auto" w:fill="auto"/>
        </w:rPr>
        <w:t xml:space="preserve">条件</w:t>
      </w:r>
      <w:r>
        <w:rPr>
          <w:rFonts w:hint="eastAsia" w:ascii="宋体" w:hAnsi="宋体" w:eastAsia="宋体" w:cs="宋体"/>
          <w:b/>
          <w:bCs/>
          <w:color w:val="000000"/>
          <w:highlight w:val="none"/>
          <w:shd w:val="clear" w:color="auto" w:fill="auto"/>
          <w:lang w:val="zh-CN"/>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1.</w:t>
      </w:r>
      <w:r>
        <w:rPr>
          <w:rFonts w:hint="eastAsia" w:ascii="宋体" w:hAnsi="宋体" w:eastAsia="宋体" w:cs="宋体"/>
          <w:color w:val="000000"/>
          <w:highlight w:val="none"/>
          <w:shd w:val="clear" w:color="auto" w:fill="auto"/>
        </w:rPr>
        <w:t xml:space="preserve">具有独立承担民事责任的能力（提供法人或者其他组织的营业执照；供应商为自然人的，提供其身份证）；</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2025年度经会计师事务所/</w:t>
      </w:r>
      <w:r>
        <w:rPr>
          <w:rFonts w:hint="eastAsia" w:ascii="宋体" w:hAnsi="宋体" w:eastAsia="宋体" w:cs="宋体"/>
          <w:color w:val="000000"/>
          <w:highlight w:val="none"/>
          <w:shd w:val="clear" w:color="auto" w:fill="auto"/>
        </w:rPr>
        <w:t xml:space="preserve">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3.具有履行合同所必需的设备和专业技术能力</w:t>
      </w:r>
      <w:r>
        <w:rPr>
          <w:rFonts w:hint="eastAsia" w:ascii="宋体" w:hAnsi="宋体" w:eastAsia="宋体" w:cs="宋体"/>
          <w:color w:val="000000"/>
          <w:highlight w:val="none"/>
          <w:shd w:val="clear" w:color="auto" w:fill="auto"/>
        </w:rPr>
        <w:t xml:space="preserve">（提供承诺书</w:t>
      </w:r>
      <w:r>
        <w:rPr>
          <w:rFonts w:hint="eastAsia" w:ascii="宋体" w:hAnsi="宋体" w:eastAsia="宋体" w:cs="宋体"/>
          <w:color w:val="000000"/>
          <w:highlight w:val="none"/>
          <w:shd w:val="clear" w:color="auto" w:fill="auto"/>
          <w:lang w:eastAsia="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rPr>
        <w:t xml:space="preserve">有依法缴纳税收和社会保障资金的良好记录</w:t>
      </w:r>
      <w:r>
        <w:rPr>
          <w:rFonts w:hint="eastAsia" w:ascii="宋体" w:hAnsi="宋体" w:eastAsia="宋体" w:cs="宋体"/>
          <w:color w:val="000000"/>
          <w:highlight w:val="none"/>
          <w:shd w:val="clear" w:color="auto" w:fill="auto"/>
          <w:lang w:val="en-US" w:eastAsia="zh-CN"/>
        </w:rPr>
        <w:t xml:space="preserve">[</w:t>
      </w:r>
      <w:r>
        <w:rPr>
          <w:rFonts w:hint="eastAsia" w:ascii="宋体" w:hAnsi="宋体" w:eastAsia="宋体" w:cs="宋体"/>
          <w:color w:val="000000"/>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highlight w:val="none"/>
          <w:shd w:val="clear" w:color="auto" w:fill="auto"/>
          <w:lang w:val="en-US" w:eastAsia="zh-CN"/>
        </w:rPr>
        <w:t xml:space="preserve">]</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5.</w:t>
      </w:r>
      <w:r>
        <w:rPr>
          <w:rFonts w:hint="eastAsia" w:ascii="宋体" w:hAnsi="宋体" w:eastAsia="宋体" w:cs="宋体"/>
          <w:color w:val="000000"/>
          <w:highlight w:val="none"/>
          <w:shd w:val="clear" w:color="auto" w:fill="auto"/>
        </w:rPr>
        <w:t xml:space="preserve">参加政府采购活动前三年内，在经营活动中没有重大违法记录（提供</w:t>
      </w:r>
      <w:r>
        <w:rPr>
          <w:rFonts w:hint="eastAsia" w:ascii="宋体" w:hAnsi="宋体" w:eastAsia="宋体" w:cs="宋体"/>
          <w:color w:val="000000"/>
          <w:highlight w:val="none"/>
          <w:shd w:val="clear" w:color="auto" w:fill="auto"/>
          <w:lang w:val="en-US" w:eastAsia="zh-CN"/>
        </w:rPr>
        <w:t xml:space="preserve">书面声明，</w:t>
      </w:r>
      <w:r>
        <w:rPr>
          <w:rFonts w:hint="eastAsia" w:ascii="宋体" w:hAnsi="宋体" w:eastAsia="宋体" w:cs="宋体"/>
          <w:color w:val="000000"/>
          <w:highlight w:val="none"/>
          <w:shd w:val="clear" w:color="auto" w:fill="auto"/>
          <w:lang w:eastAsia="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6.</w:t>
      </w:r>
      <w:r>
        <w:rPr>
          <w:rFonts w:hint="eastAsia" w:ascii="宋体" w:hAnsi="宋体" w:eastAsia="宋体" w:cs="宋体"/>
          <w:color w:val="000000"/>
          <w:highlight w:val="none"/>
          <w:shd w:val="clear" w:color="auto" w:fill="auto"/>
          <w:lang w:eastAsia="zh-CN"/>
        </w:rPr>
        <w:t xml:space="preserve">本项目专门面向中小企业采购</w:t>
      </w:r>
      <w:r>
        <w:rPr>
          <w:rFonts w:hint="eastAsia" w:ascii="宋体" w:hAnsi="宋体" w:eastAsia="宋体" w:cs="宋体"/>
          <w:color w:val="000000"/>
          <w:highlight w:val="none"/>
          <w:shd w:val="clear" w:color="auto" w:fill="auto"/>
          <w:lang w:eastAsia="en-US"/>
        </w:rPr>
        <w:t xml:space="preserve">。</w:t>
      </w:r>
      <w:r>
        <w:rPr>
          <w:rFonts w:hint="eastAsia" w:ascii="宋体" w:hAnsi="宋体" w:eastAsia="宋体" w:cs="宋体"/>
          <w:color w:val="000000"/>
          <w:highlight w:val="none"/>
          <w:shd w:val="clear" w:color="auto" w:fill="auto"/>
        </w:rPr>
        <w:t xml:space="preserve">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hint="eastAsia"/>
          <w:color w:val="000000"/>
          <w:highlight w:val="none"/>
          <w:shd w:val="clear" w:color="auto" w:fill="auto"/>
        </w:rPr>
      </w:r>
      <w:r/>
    </w:p>
    <w:p>
      <w:pPr>
        <w:pStyle w:val="725"/>
        <w:spacing w:line="360" w:lineRule="auto"/>
        <w:shd w:val="clear" w:color="auto" w:fill="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三、符合条件</w:t>
      </w:r>
      <w:r>
        <w:rPr>
          <w:rFonts w:hint="eastAsia" w:ascii="宋体" w:hAnsi="宋体" w:eastAsia="宋体" w:cs="宋体"/>
          <w:b/>
          <w:bCs/>
          <w:color w:val="000000"/>
          <w:highlight w:val="none"/>
          <w:shd w:val="clear" w:color="auto" w:fill="auto"/>
          <w:lang w:val="zh-CN"/>
        </w:rPr>
      </w:r>
      <w:r/>
    </w:p>
    <w:p>
      <w:pPr>
        <w:pStyle w:val="725"/>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报价符合性审查</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评审过程中出现</w:t>
      </w:r>
      <w:r>
        <w:rPr>
          <w:rFonts w:hint="eastAsia" w:ascii="宋体" w:hAnsi="宋体" w:eastAsia="宋体" w:cs="宋体"/>
          <w:color w:val="000000"/>
          <w:highlight w:val="none"/>
          <w:lang w:val="en-US" w:eastAsia="zh-CN"/>
        </w:rPr>
        <w:t xml:space="preserve">第四部分第一条第四点异常低价</w:t>
      </w:r>
      <w:r>
        <w:rPr>
          <w:rFonts w:hint="eastAsia" w:ascii="宋体" w:hAnsi="宋体" w:eastAsia="宋体" w:cs="宋体"/>
          <w:color w:val="000000"/>
          <w:highlight w:val="none"/>
          <w:lang w:val="zh-CN"/>
        </w:rPr>
        <w:t xml:space="preserve">情形之一的，</w:t>
      </w:r>
      <w:r>
        <w:rPr>
          <w:rFonts w:hint="eastAsia" w:ascii="宋体" w:hAnsi="宋体" w:eastAsia="宋体" w:cs="宋体"/>
          <w:color w:val="000000"/>
          <w:highlight w:val="none"/>
          <w:lang w:val="en-US" w:eastAsia="zh-CN"/>
        </w:rPr>
        <w:t xml:space="preserve">评标</w:t>
      </w:r>
      <w:r>
        <w:rPr>
          <w:rFonts w:hint="eastAsia" w:ascii="宋体" w:hAnsi="宋体" w:eastAsia="宋体" w:cs="宋体"/>
          <w:color w:val="000000"/>
          <w:highlight w:val="none"/>
          <w:lang w:val="zh-CN"/>
        </w:rPr>
        <w:t xml:space="preserve">小组应当启动异常低价响应审查程序</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属于</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响应报价低于采购项目最高限价45%的，即响应报价&lt;采购项目最高限价×45%</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情形，供应商</w:t>
      </w:r>
      <w:r>
        <w:rPr>
          <w:rFonts w:hint="eastAsia" w:ascii="宋体" w:hAnsi="宋体" w:eastAsia="宋体" w:cs="宋体"/>
          <w:color w:val="000000"/>
          <w:highlight w:val="none"/>
          <w:lang w:val="en-US" w:eastAsia="zh-CN"/>
        </w:rPr>
        <w:t xml:space="preserve">可</w:t>
      </w:r>
      <w:r>
        <w:rPr>
          <w:rFonts w:hint="eastAsia" w:ascii="宋体" w:hAnsi="宋体" w:eastAsia="宋体" w:cs="宋体"/>
          <w:color w:val="000000"/>
          <w:highlight w:val="none"/>
          <w:lang w:val="zh-CN"/>
        </w:rPr>
        <w:t xml:space="preserve">随响应文件一并提交相关书面说明及必要的证明材料</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eastAsia="zh-CN"/>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.报价承诺函</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rPr>
        <w:t xml:space="preserve">.投标函</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lang w:val="zh-CN"/>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lang w:val="zh-CN"/>
        </w:rPr>
        <w:t xml:space="preserve">实质性</w:t>
      </w:r>
      <w:r>
        <w:rPr>
          <w:rFonts w:hint="eastAsia" w:ascii="宋体" w:hAnsi="宋体" w:eastAsia="宋体" w:cs="宋体"/>
          <w:color w:val="000000"/>
          <w:highlight w:val="none"/>
          <w:shd w:val="clear" w:color="auto" w:fill="auto"/>
        </w:rPr>
        <w:t xml:space="preserve">响应承诺函</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r>
      <w:r/>
    </w:p>
    <w:p>
      <w:pPr>
        <w:pStyle w:val="725"/>
        <w:spacing w:line="360" w:lineRule="auto"/>
        <w:shd w:val="clear" w:color="auto" w:fill="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5</w:t>
      </w:r>
      <w:r>
        <w:rPr>
          <w:rFonts w:hint="eastAsia" w:ascii="宋体" w:hAnsi="宋体" w:eastAsia="宋体" w:cs="宋体"/>
          <w:color w:val="000000"/>
          <w:highlight w:val="none"/>
          <w:shd w:val="clear" w:color="auto" w:fill="auto"/>
          <w:lang w:val="zh-CN"/>
        </w:rPr>
        <w:t xml:space="preserve">.商务部分正负偏离表（格式见附件）；</w:t>
      </w:r>
      <w:r>
        <w:rPr>
          <w:rFonts w:hint="eastAsia" w:ascii="宋体" w:hAnsi="宋体" w:eastAsia="宋体" w:cs="宋体"/>
          <w:color w:val="000000"/>
          <w:highlight w:val="none"/>
          <w:shd w:val="clear" w:color="auto" w:fill="auto"/>
          <w:lang w:val="zh-CN"/>
        </w:rPr>
      </w:r>
      <w:r/>
    </w:p>
    <w:p>
      <w:pPr>
        <w:pStyle w:val="725"/>
        <w:spacing w:line="360" w:lineRule="auto"/>
        <w:shd w:val="clear" w:color="auto" w:fill="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6</w:t>
      </w:r>
      <w:r>
        <w:rPr>
          <w:rFonts w:hint="eastAsia" w:ascii="宋体" w:hAnsi="宋体" w:eastAsia="宋体" w:cs="宋体"/>
          <w:color w:val="000000"/>
          <w:highlight w:val="none"/>
          <w:shd w:val="clear" w:color="auto" w:fill="auto"/>
          <w:lang w:val="zh-CN"/>
        </w:rPr>
        <w:t xml:space="preserve">.技术部分正负偏离表（格式见附件）。</w:t>
      </w:r>
      <w:r>
        <w:rPr>
          <w:rFonts w:hint="eastAsia" w:ascii="宋体" w:hAnsi="宋体" w:eastAsia="宋体" w:cs="宋体"/>
          <w:color w:val="000000"/>
          <w:highlight w:val="none"/>
          <w:shd w:val="clear" w:color="auto" w:fill="auto"/>
          <w:lang w:val="zh-CN"/>
        </w:rPr>
      </w:r>
      <w:r/>
    </w:p>
    <w:p>
      <w:pPr>
        <w:pStyle w:val="725"/>
        <w:spacing w:line="360" w:lineRule="auto"/>
        <w:shd w:val="clear" w:color="auto" w:fill="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四、综合评审评分项</w:t>
      </w:r>
      <w:r>
        <w:rPr>
          <w:rFonts w:hint="eastAsia" w:ascii="宋体" w:hAnsi="宋体" w:eastAsia="宋体" w:cs="宋体"/>
          <w:b/>
          <w:bCs/>
          <w:color w:val="000000"/>
          <w:highlight w:val="none"/>
          <w:shd w:val="clear" w:color="auto" w:fill="auto"/>
          <w:lang w:val="zh-CN"/>
        </w:rPr>
      </w:r>
      <w:r/>
    </w:p>
    <w:p>
      <w:pPr>
        <w:pStyle w:val="725"/>
        <w:spacing w:line="360" w:lineRule="auto"/>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商务技术分评审标准中所涉及的事项需提供的所有资料。</w:t>
      </w:r>
      <w:r>
        <w:rPr>
          <w:rFonts w:hint="eastAsia" w:ascii="宋体" w:hAnsi="宋体" w:eastAsia="宋体" w:cs="宋体"/>
          <w:color w:val="000000"/>
          <w:highlight w:val="none"/>
          <w:shd w:val="clear" w:color="auto" w:fill="auto"/>
        </w:rPr>
      </w:r>
      <w:r/>
    </w:p>
    <w:p>
      <w:pPr>
        <w:pStyle w:val="725"/>
        <w:spacing w:line="48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t xml:space="preserve">附件：</w:t>
      </w:r>
      <w:r>
        <w:rPr>
          <w:rFonts w:hint="eastAsia" w:ascii="宋体" w:hAnsi="宋体" w:eastAsia="宋体" w:cs="宋体"/>
          <w:b/>
          <w:bCs/>
          <w:color w:val="000000"/>
          <w:szCs w:val="21"/>
          <w:highlight w:val="none"/>
          <w:shd w:val="clear" w:color="auto" w:fill="auto"/>
        </w:rPr>
      </w:r>
      <w:r/>
    </w:p>
    <w:p>
      <w:pPr>
        <w:pStyle w:val="725"/>
        <w:spacing w:line="480" w:lineRule="auto"/>
        <w:shd w:val="clear" w:color="auto" w:fill="auto"/>
        <w:rPr>
          <w:rFonts w:hint="eastAsia" w:ascii="宋体" w:hAnsi="宋体" w:eastAsia="宋体" w:cs="宋体"/>
          <w:b/>
          <w:bCs/>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rPr>
        <w:t xml:space="preserve">一、</w:t>
      </w:r>
      <w:r>
        <w:rPr>
          <w:rFonts w:hint="eastAsia" w:ascii="宋体" w:hAnsi="宋体" w:eastAsia="宋体" w:cs="宋体"/>
          <w:b/>
          <w:bCs/>
          <w:color w:val="000000"/>
          <w:szCs w:val="21"/>
          <w:highlight w:val="none"/>
          <w:shd w:val="clear" w:color="auto" w:fill="auto"/>
          <w:lang w:eastAsia="zh-CN"/>
        </w:rPr>
        <w:t xml:space="preserve">报价一览表</w:t>
      </w:r>
      <w:r>
        <w:rPr>
          <w:rFonts w:hint="eastAsia" w:ascii="宋体" w:hAnsi="宋体" w:eastAsia="宋体" w:cs="宋体"/>
          <w:b/>
          <w:bCs/>
          <w:color w:val="000000"/>
          <w:szCs w:val="21"/>
          <w:highlight w:val="none"/>
          <w:shd w:val="clear" w:color="auto" w:fill="auto"/>
          <w:lang w:eastAsia="zh-CN"/>
        </w:rPr>
      </w:r>
      <w:r/>
    </w:p>
    <w:p>
      <w:pPr>
        <w:pStyle w:val="725"/>
        <w:jc w:val="center"/>
        <w:spacing w:line="480" w:lineRule="auto"/>
        <w:shd w:val="clear" w:color="auto" w:fill="auto"/>
        <w:rPr>
          <w:rFonts w:hint="eastAsia" w:ascii="宋体" w:hAnsi="宋体" w:eastAsia="宋体" w:cs="宋体"/>
          <w:b/>
          <w:bCs/>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lang w:eastAsia="zh-CN"/>
        </w:rPr>
        <w:t xml:space="preserve">报价一览表</w:t>
      </w:r>
      <w:r>
        <w:rPr>
          <w:rFonts w:hint="eastAsia" w:ascii="宋体" w:hAnsi="宋体" w:eastAsia="宋体" w:cs="宋体"/>
          <w:b/>
          <w:bCs/>
          <w:color w:val="000000"/>
          <w:szCs w:val="21"/>
          <w:highlight w:val="none"/>
          <w:shd w:val="clear" w:color="auto" w:fill="auto"/>
          <w:lang w:eastAsia="zh-CN"/>
        </w:rPr>
      </w:r>
      <w:r/>
    </w:p>
    <w:p>
      <w:pPr>
        <w:pStyle w:val="725"/>
        <w:ind w:firstLine="480"/>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项目名称：</w:t>
      </w:r>
      <w:r>
        <w:rPr>
          <w:rFonts w:hint="eastAsia" w:ascii="宋体" w:hAnsi="宋体" w:eastAsia="宋体" w:cs="宋体"/>
          <w:color w:val="000000"/>
          <w:szCs w:val="21"/>
          <w:highlight w:val="none"/>
          <w:shd w:val="clear" w:color="auto" w:fill="auto"/>
          <w:lang w:val="en-US" w:eastAsia="zh-CN"/>
        </w:rPr>
      </w:r>
      <w:r/>
    </w:p>
    <w:p>
      <w:pPr>
        <w:pStyle w:val="725"/>
        <w:ind w:firstLine="480"/>
        <w:shd w:val="clear" w:color="auto" w:fill="auto"/>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r>
      <w:r/>
    </w:p>
    <w:p>
      <w:pPr>
        <w:pStyle w:val="725"/>
        <w:ind w:firstLine="480"/>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项目编号：    </w:t>
      </w:r>
      <w:r>
        <w:rPr>
          <w:rFonts w:hint="eastAsia" w:ascii="宋体" w:hAnsi="宋体" w:eastAsia="宋体" w:cs="宋体"/>
          <w:color w:val="000000"/>
          <w:szCs w:val="21"/>
          <w:highlight w:val="none"/>
          <w:shd w:val="clear" w:color="auto" w:fill="auto"/>
        </w:rPr>
      </w:r>
      <w:r/>
    </w:p>
    <w:p>
      <w:pPr>
        <w:pStyle w:val="800"/>
        <w:ind w:firstLine="420"/>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5165"/>
      </w:tblGrid>
      <w:tr>
        <w:trPr>
          <w:tblCellSpacing w:w="15" w:type="dxa"/>
        </w:trPr>
        <w:tc>
          <w:tcPr>
            <w:tcW w:w="2410" w:type="dxa"/>
            <w:vAlign w:val="center"/>
            <w:textDirection w:val="lrTb"/>
            <w:noWrap w:val="false"/>
          </w:tcPr>
          <w:p>
            <w:pPr>
              <w:pStyle w:val="798"/>
              <w:jc w:val="center"/>
              <w:shd w:val="clear" w:color="auto" w:fill="auto"/>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项目</w:t>
            </w:r>
            <w:r>
              <w:rPr>
                <w:rFonts w:hint="eastAsia" w:eastAsia="宋体" w:cs="宋体"/>
                <w:color w:val="000000"/>
                <w:sz w:val="21"/>
                <w:szCs w:val="21"/>
                <w:highlight w:val="none"/>
                <w:shd w:val="clear" w:color="auto" w:fill="auto"/>
                <w:lang w:val="en-US" w:eastAsia="zh-CN"/>
              </w:rPr>
              <w:t xml:space="preserve">内容</w:t>
            </w:r>
            <w:r>
              <w:rPr>
                <w:rFonts w:hint="eastAsia" w:ascii="宋体" w:hAnsi="宋体" w:eastAsia="宋体" w:cs="宋体"/>
                <w:color w:val="000000"/>
                <w:sz w:val="21"/>
                <w:szCs w:val="21"/>
                <w:highlight w:val="none"/>
                <w:shd w:val="clear" w:color="auto" w:fill="auto"/>
                <w:lang w:eastAsia="zh-CN"/>
              </w:rPr>
            </w:r>
            <w:r/>
          </w:p>
        </w:tc>
        <w:tc>
          <w:tcPr>
            <w:tcW w:w="5120" w:type="dxa"/>
            <w:vAlign w:val="center"/>
            <w:textDirection w:val="lrTb"/>
            <w:noWrap w:val="false"/>
          </w:tcPr>
          <w:p>
            <w:pPr>
              <w:pStyle w:val="798"/>
              <w:jc w:val="center"/>
              <w:shd w:val="clear" w:color="auto" w:fill="auto"/>
              <w:rPr>
                <w:rFonts w:hint="eastAsia" w:ascii="宋体" w:hAnsi="宋体" w:eastAsia="宋体" w:cs="宋体"/>
                <w:color w:val="000000"/>
                <w:sz w:val="21"/>
                <w:szCs w:val="21"/>
                <w:highlight w:val="none"/>
                <w:shd w:val="clear" w:color="auto" w:fill="auto"/>
              </w:rPr>
            </w:pPr>
            <w:r>
              <w:rPr>
                <w:rFonts w:hint="eastAsia" w:eastAsia="宋体" w:cs="宋体"/>
                <w:color w:val="000000"/>
                <w:sz w:val="21"/>
                <w:szCs w:val="21"/>
                <w:highlight w:val="none"/>
                <w:shd w:val="clear" w:color="auto" w:fill="auto"/>
                <w:lang w:val="en-US" w:eastAsia="zh-CN"/>
              </w:rPr>
              <w:t xml:space="preserve">总价</w:t>
            </w:r>
            <w:r>
              <w:rPr>
                <w:rFonts w:hint="eastAsia" w:ascii="宋体" w:hAnsi="宋体" w:eastAsia="宋体" w:cs="宋体"/>
                <w:color w:val="000000"/>
                <w:sz w:val="21"/>
                <w:szCs w:val="21"/>
                <w:highlight w:val="none"/>
                <w:shd w:val="clear" w:color="auto" w:fill="auto"/>
              </w:rPr>
              <w:t xml:space="preserve">（小写）</w:t>
            </w:r>
            <w:r>
              <w:rPr>
                <w:rFonts w:hint="eastAsia" w:ascii="宋体" w:hAnsi="宋体" w:eastAsia="宋体" w:cs="宋体"/>
                <w:color w:val="000000"/>
                <w:sz w:val="21"/>
                <w:szCs w:val="21"/>
                <w:highlight w:val="none"/>
                <w:shd w:val="clear" w:color="auto" w:fill="auto"/>
              </w:rPr>
            </w:r>
            <w:r/>
          </w:p>
        </w:tc>
      </w:tr>
      <w:tr>
        <w:trPr>
          <w:tblCellSpacing w:w="15" w:type="dxa"/>
        </w:trPr>
        <w:tc>
          <w:tcPr>
            <w:tcW w:w="2410" w:type="dxa"/>
            <w:vAlign w:val="center"/>
            <w:textDirection w:val="lrTb"/>
            <w:noWrap w:val="false"/>
          </w:tcPr>
          <w:p>
            <w:pPr>
              <w:pStyle w:val="798"/>
              <w:jc w:val="center"/>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详见投标文件</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798"/>
              <w:jc w:val="center"/>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_________元</w:t>
            </w:r>
            <w:r>
              <w:rPr>
                <w:rFonts w:hint="eastAsia" w:ascii="宋体" w:hAnsi="宋体" w:eastAsia="宋体" w:cs="宋体"/>
                <w:color w:val="000000"/>
                <w:sz w:val="21"/>
                <w:szCs w:val="21"/>
                <w:highlight w:val="none"/>
                <w:shd w:val="clear" w:color="auto" w:fill="auto"/>
              </w:rPr>
            </w:r>
            <w:r/>
          </w:p>
        </w:tc>
      </w:tr>
      <w:tr>
        <w:trPr>
          <w:tblCellSpacing w:w="15" w:type="dxa"/>
        </w:trPr>
        <w:tc>
          <w:tcPr>
            <w:tcW w:w="2410" w:type="dxa"/>
            <w:vAlign w:val="center"/>
            <w:textDirection w:val="lrTb"/>
            <w:noWrap w:val="false"/>
          </w:tcPr>
          <w:p>
            <w:pPr>
              <w:pStyle w:val="798"/>
              <w:jc w:val="center"/>
              <w:shd w:val="clear" w:color="auto" w:fill="auto"/>
              <w:rPr>
                <w:rFonts w:hint="eastAsia" w:ascii="宋体" w:hAnsi="宋体" w:eastAsia="宋体" w:cs="宋体"/>
                <w:color w:val="000000"/>
                <w:sz w:val="21"/>
                <w:szCs w:val="21"/>
                <w:highlight w:val="none"/>
                <w:shd w:val="clear" w:color="auto" w:fill="auto"/>
              </w:rPr>
            </w:pPr>
            <w:r>
              <w:rPr>
                <w:rFonts w:hint="eastAsia" w:eastAsia="宋体" w:cs="宋体"/>
                <w:color w:val="000000"/>
                <w:sz w:val="21"/>
                <w:szCs w:val="21"/>
                <w:highlight w:val="none"/>
                <w:shd w:val="clear" w:color="auto" w:fill="auto"/>
                <w:lang w:val="en-US" w:eastAsia="zh-CN"/>
              </w:rPr>
              <w:t xml:space="preserve">总价</w:t>
            </w:r>
            <w:r>
              <w:rPr>
                <w:rFonts w:hint="eastAsia" w:ascii="宋体" w:hAnsi="宋体" w:eastAsia="宋体" w:cs="宋体"/>
                <w:color w:val="000000"/>
                <w:sz w:val="21"/>
                <w:szCs w:val="21"/>
                <w:highlight w:val="none"/>
                <w:shd w:val="clear" w:color="auto" w:fill="auto"/>
              </w:rPr>
              <w:t xml:space="preserve">（大写）：</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798"/>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金额大写  </w:t>
            </w:r>
            <w:r>
              <w:rPr>
                <w:rFonts w:hint="eastAsia" w:ascii="宋体" w:hAnsi="宋体" w:eastAsia="宋体" w:cs="宋体"/>
                <w:color w:val="000000"/>
                <w:sz w:val="21"/>
                <w:szCs w:val="21"/>
                <w:highlight w:val="none"/>
                <w:shd w:val="clear" w:color="auto" w:fill="auto"/>
              </w:rPr>
            </w:r>
            <w:r/>
          </w:p>
        </w:tc>
      </w:tr>
    </w:tbl>
    <w:p>
      <w:pPr>
        <w:pStyle w:val="798"/>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798"/>
        <w:shd w:val="clear" w:color="auto" w:fill="auto"/>
        <w:rPr>
          <w:rFonts w:hint="eastAsia" w:ascii="宋体" w:hAnsi="宋体" w:eastAsia="宋体" w:cs="宋体"/>
          <w:color w:val="000000"/>
          <w:sz w:val="21"/>
          <w:szCs w:val="21"/>
          <w:highlight w:val="none"/>
          <w:shd w:val="clear" w:color="auto" w:fill="auto"/>
        </w:rPr>
      </w:pPr>
      <w:r>
        <w:rPr>
          <w:rFonts w:hint="eastAsia" w:eastAsia="宋体" w:cs="宋体"/>
          <w:color w:val="000000"/>
          <w:sz w:val="21"/>
          <w:szCs w:val="21"/>
          <w:highlight w:val="none"/>
          <w:shd w:val="clear" w:color="auto" w:fill="auto"/>
          <w:lang w:val="en-US" w:eastAsia="zh-CN"/>
        </w:rPr>
        <w:t xml:space="preserve">供应商全称</w:t>
      </w:r>
      <w:r>
        <w:rPr>
          <w:rFonts w:hint="eastAsia" w:ascii="宋体" w:hAnsi="宋体" w:eastAsia="宋体" w:cs="宋体"/>
          <w:color w:val="000000"/>
          <w:sz w:val="21"/>
          <w:szCs w:val="21"/>
          <w:highlight w:val="none"/>
          <w:shd w:val="clear" w:color="auto" w:fill="auto"/>
        </w:rPr>
        <w:t xml:space="preserve">（</w:t>
      </w:r>
      <w:r>
        <w:rPr>
          <w:rFonts w:hint="eastAsia" w:eastAsia="宋体" w:cs="宋体"/>
          <w:color w:val="000000"/>
          <w:sz w:val="21"/>
          <w:szCs w:val="21"/>
          <w:highlight w:val="none"/>
          <w:shd w:val="clear" w:color="auto" w:fill="auto"/>
          <w:lang w:val="en-US" w:eastAsia="zh-CN"/>
        </w:rPr>
        <w:t xml:space="preserve">加盖CA电子</w:t>
      </w:r>
      <w:r>
        <w:rPr>
          <w:rFonts w:hint="eastAsia" w:ascii="宋体" w:hAnsi="宋体" w:eastAsia="宋体" w:cs="宋体"/>
          <w:color w:val="000000"/>
          <w:sz w:val="21"/>
          <w:szCs w:val="21"/>
          <w:highlight w:val="none"/>
          <w:shd w:val="clear" w:color="auto" w:fill="auto"/>
        </w:rPr>
        <w:t xml:space="preserve">公章）：</w:t>
      </w:r>
      <w:r>
        <w:rPr>
          <w:rFonts w:hint="eastAsia" w:ascii="宋体" w:hAnsi="宋体" w:eastAsia="宋体" w:cs="宋体"/>
          <w:color w:val="000000"/>
          <w:sz w:val="21"/>
          <w:szCs w:val="21"/>
          <w:highlight w:val="none"/>
          <w:shd w:val="clear" w:color="auto" w:fill="auto"/>
        </w:rPr>
      </w:r>
      <w:r/>
    </w:p>
    <w:p>
      <w:pPr>
        <w:pStyle w:val="725"/>
        <w:ind w:firstLine="480"/>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color w:val="000000"/>
          <w:szCs w:val="21"/>
          <w:highlight w:val="none"/>
          <w:shd w:val="clear" w:color="auto" w:fill="auto"/>
        </w:rPr>
      </w:r>
      <w:r/>
    </w:p>
    <w:p>
      <w:pPr>
        <w:pStyle w:val="800"/>
        <w:ind w:left="0" w:firstLine="0"/>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w:t>
      </w: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p>
      <w:pPr>
        <w:pStyle w:val="725"/>
        <w:spacing w:line="480" w:lineRule="auto"/>
        <w:shd w:val="clear" w:color="auto" w:fill="auto"/>
        <w:rPr>
          <w:rFonts w:hint="eastAsia" w:ascii="宋体" w:hAnsi="宋体" w:eastAsia="宋体" w:cs="宋体"/>
          <w:b/>
          <w:bCs/>
          <w:color w:val="000000"/>
          <w:szCs w:val="21"/>
          <w:highlight w:val="none"/>
          <w:shd w:val="clear" w:color="auto" w:fill="auto"/>
          <w:lang w:eastAsia="en-US"/>
        </w:rPr>
      </w:pPr>
      <w:r>
        <w:rPr>
          <w:rFonts w:hint="eastAsia" w:ascii="宋体" w:hAnsi="宋体" w:eastAsia="宋体" w:cs="宋体"/>
          <w:b/>
          <w:bCs/>
          <w:color w:val="000000"/>
          <w:szCs w:val="21"/>
          <w:highlight w:val="none"/>
          <w:shd w:val="clear" w:color="auto" w:fill="auto"/>
          <w:lang w:eastAsia="en-US"/>
        </w:rPr>
      </w:r>
      <w:r/>
    </w:p>
    <w:p>
      <w:pPr>
        <w:pStyle w:val="800"/>
        <w:ind w:left="0" w:firstLine="0"/>
        <w:jc w:val="center"/>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序号</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r>
              <w:rPr>
                <w:rFonts w:hint="eastAsia" w:ascii="宋体" w:hAnsi="宋体" w:eastAsia="宋体" w:cs="宋体"/>
                <w:color w:val="000000"/>
                <w:szCs w:val="21"/>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r>
              <w:rPr>
                <w:rFonts w:hint="eastAsia" w:ascii="宋体" w:hAnsi="宋体" w:eastAsia="宋体" w:cs="宋体"/>
                <w:color w:val="000000"/>
                <w:szCs w:val="21"/>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w:t>
            </w:r>
            <w:r>
              <w:rPr>
                <w:rFonts w:hint="eastAsia" w:ascii="宋体" w:hAnsi="宋体" w:eastAsia="宋体" w:cs="宋体"/>
                <w:color w:val="000000"/>
                <w:szCs w:val="21"/>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w:t>
            </w:r>
            <w:r>
              <w:rPr>
                <w:rFonts w:hint="eastAsia" w:ascii="宋体" w:hAnsi="宋体" w:eastAsia="宋体" w:cs="宋体"/>
                <w:color w:val="000000"/>
                <w:szCs w:val="21"/>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8</w:t>
            </w:r>
            <w:r>
              <w:rPr>
                <w:rFonts w:hint="eastAsia" w:ascii="宋体" w:hAnsi="宋体" w:eastAsia="宋体" w:cs="宋体"/>
                <w:color w:val="000000"/>
                <w:szCs w:val="21"/>
                <w:highlight w:val="none"/>
                <w:shd w:val="clear" w:color="auto" w:fill="auto"/>
              </w:rPr>
            </w:r>
            <w:r/>
          </w:p>
        </w:tc>
      </w:tr>
      <w:tr>
        <w:trPr>
          <w:cantSplit/>
          <w:trHeight w:val="294"/>
        </w:trPr>
        <w:tc>
          <w:tcPr>
            <w:tcW w:w="55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分项服务名称</w:t>
            </w:r>
            <w:r>
              <w:rPr>
                <w:rFonts w:hint="eastAsia" w:ascii="宋体" w:hAnsi="宋体" w:eastAsia="宋体" w:cs="宋体"/>
                <w:color w:val="000000"/>
                <w:sz w:val="18"/>
                <w:szCs w:val="18"/>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交付期</w:t>
            </w:r>
            <w:r>
              <w:rPr>
                <w:rFonts w:hint="eastAsia" w:ascii="宋体" w:hAnsi="宋体" w:eastAsia="宋体" w:cs="宋体"/>
                <w:color w:val="000000"/>
                <w:sz w:val="18"/>
                <w:szCs w:val="18"/>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分项单位</w:t>
            </w:r>
            <w:r>
              <w:rPr>
                <w:rFonts w:hint="eastAsia" w:ascii="宋体" w:hAnsi="宋体" w:eastAsia="宋体" w:cs="宋体"/>
                <w:color w:val="000000"/>
                <w:sz w:val="18"/>
                <w:szCs w:val="18"/>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数量</w:t>
            </w:r>
            <w:r>
              <w:rPr>
                <w:rFonts w:hint="eastAsia" w:ascii="宋体" w:hAnsi="宋体" w:eastAsia="宋体" w:cs="宋体"/>
                <w:color w:val="000000"/>
                <w:sz w:val="18"/>
                <w:szCs w:val="18"/>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分项</w:t>
            </w:r>
            <w:r>
              <w:rPr>
                <w:rFonts w:hint="eastAsia" w:ascii="宋体" w:hAnsi="宋体" w:eastAsia="宋体" w:cs="宋体"/>
                <w:color w:val="000000"/>
                <w:sz w:val="21"/>
                <w:szCs w:val="21"/>
                <w:highlight w:val="none"/>
                <w:shd w:val="clear" w:color="auto" w:fill="auto"/>
              </w:rPr>
            </w:r>
            <w:r/>
          </w:p>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单价</w:t>
            </w:r>
            <w:r>
              <w:rPr>
                <w:rFonts w:hint="eastAsia" w:ascii="宋体" w:hAnsi="宋体" w:eastAsia="宋体" w:cs="宋体"/>
                <w:color w:val="000000"/>
                <w:sz w:val="18"/>
                <w:szCs w:val="18"/>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分项</w:t>
            </w:r>
            <w:r>
              <w:rPr>
                <w:rFonts w:hint="eastAsia" w:ascii="宋体" w:hAnsi="宋体" w:eastAsia="宋体" w:cs="宋体"/>
                <w:color w:val="000000"/>
                <w:sz w:val="21"/>
                <w:szCs w:val="21"/>
                <w:highlight w:val="none"/>
                <w:shd w:val="clear" w:color="auto" w:fill="auto"/>
              </w:rPr>
            </w:r>
            <w:r/>
          </w:p>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总价</w:t>
            </w:r>
            <w:r>
              <w:rPr>
                <w:rFonts w:hint="eastAsia" w:ascii="宋体" w:hAnsi="宋体" w:eastAsia="宋体" w:cs="宋体"/>
                <w:color w:val="000000"/>
                <w:sz w:val="18"/>
                <w:szCs w:val="18"/>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分项服务名称</w:t>
            </w:r>
            <w:r>
              <w:rPr>
                <w:rFonts w:hint="eastAsia" w:ascii="宋体" w:hAnsi="宋体" w:eastAsia="宋体" w:cs="宋体"/>
                <w:color w:val="000000"/>
                <w:sz w:val="18"/>
                <w:szCs w:val="18"/>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交付期</w:t>
            </w:r>
            <w:r>
              <w:rPr>
                <w:rFonts w:hint="eastAsia" w:ascii="宋体" w:hAnsi="宋体" w:eastAsia="宋体" w:cs="宋体"/>
                <w:color w:val="000000"/>
                <w:sz w:val="18"/>
                <w:szCs w:val="18"/>
                <w:highlight w:val="none"/>
                <w:shd w:val="clear" w:color="auto" w:fill="auto"/>
              </w:rPr>
            </w:r>
            <w:r/>
          </w:p>
        </w:tc>
      </w:tr>
      <w:tr>
        <w:trPr>
          <w:cantSplit/>
          <w:trHeight w:val="696"/>
        </w:trPr>
        <w:tc>
          <w:tcPr>
            <w:tcW w:w="55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724"/>
        </w:trPr>
        <w:tc>
          <w:tcPr>
            <w:tcW w:w="55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640"/>
        </w:trPr>
        <w:tc>
          <w:tcPr>
            <w:tcW w:w="55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55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tc>
        <w:tc>
          <w:tcPr>
            <w:tcW w:w="96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41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84"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980"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727"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372"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246"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1030"/>
        </w:trPr>
        <w:tc>
          <w:tcPr>
            <w:gridSpan w:val="8"/>
            <w:tcW w:w="7835" w:type="dxa"/>
            <w:vAlign w:val="center"/>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投标总报价（人民币：元）</w:t>
            </w:r>
            <w:r>
              <w:rPr>
                <w:rFonts w:hint="eastAsia" w:ascii="宋体" w:hAnsi="宋体" w:eastAsia="宋体" w:cs="宋体"/>
                <w:color w:val="000000"/>
                <w:szCs w:val="21"/>
                <w:highlight w:val="none"/>
                <w:shd w:val="clear" w:color="auto" w:fill="auto"/>
              </w:rPr>
            </w:r>
            <w:r/>
          </w:p>
        </w:tc>
        <w:tc>
          <w:tcPr>
            <w:tcW w:w="1246" w:type="dxa"/>
            <w:vAlign w:val="top"/>
            <w:textDirection w:val="lrTb"/>
            <w:noWrap/>
          </w:tcPr>
          <w:p>
            <w:pPr>
              <w:pStyle w:val="725"/>
              <w:jc w:val="center"/>
              <w:spacing w:line="0" w:lineRule="atLeas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bl>
    <w:p>
      <w:pPr>
        <w:pStyle w:val="725"/>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备注：</w:t>
      </w:r>
      <w:r>
        <w:rPr>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rPr>
        <w:t xml:space="preserve">1.投标报价采用总承包方式，报价为（以人民币计价）包括但不限于完成本项目所必须的</w:t>
      </w:r>
      <w:r>
        <w:rPr>
          <w:rFonts w:hint="eastAsia" w:ascii="宋体" w:hAnsi="宋体" w:eastAsia="宋体" w:cs="宋体"/>
          <w:color w:val="000000"/>
          <w:szCs w:val="21"/>
          <w:highlight w:val="none"/>
          <w:shd w:val="clear" w:color="auto" w:fill="auto"/>
          <w:lang w:val="en-US" w:eastAsia="zh-CN"/>
        </w:rPr>
        <w:t xml:space="preserve">所有工作及</w:t>
      </w:r>
      <w:r>
        <w:rPr>
          <w:rFonts w:hint="eastAsia" w:ascii="宋体" w:hAnsi="宋体" w:eastAsia="宋体" w:cs="宋体"/>
          <w:color w:val="000000"/>
          <w:szCs w:val="21"/>
          <w:highlight w:val="none"/>
          <w:shd w:val="clear" w:color="auto" w:fill="auto"/>
        </w:rPr>
        <w:t xml:space="preserve">其他辅助工作的相关费用及响应</w:t>
      </w:r>
      <w:r>
        <w:rPr>
          <w:rFonts w:hint="eastAsia" w:ascii="宋体" w:hAnsi="宋体" w:eastAsia="宋体" w:cs="宋体"/>
          <w:color w:val="000000"/>
          <w:szCs w:val="21"/>
          <w:highlight w:val="none"/>
          <w:shd w:val="clear" w:color="auto" w:fill="auto"/>
          <w:lang w:eastAsia="zh-CN"/>
        </w:rPr>
        <w:t xml:space="preserve">招标文件</w:t>
      </w:r>
      <w:r>
        <w:rPr>
          <w:rFonts w:hint="eastAsia" w:ascii="宋体" w:hAnsi="宋体" w:eastAsia="宋体" w:cs="宋体"/>
          <w:color w:val="000000"/>
          <w:szCs w:val="21"/>
          <w:highlight w:val="none"/>
          <w:shd w:val="clear" w:color="auto" w:fill="auto"/>
        </w:rPr>
        <w:t xml:space="preserve">要求的所有费用</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eastAsia="zh-CN"/>
        </w:rPr>
      </w:r>
      <w:r/>
    </w:p>
    <w:p>
      <w:pPr>
        <w:pStyle w:val="725"/>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2.“投标分项报价表”中“投标总报价”数额应当与“</w:t>
      </w:r>
      <w:r>
        <w:rPr>
          <w:rFonts w:hint="eastAsia" w:ascii="宋体" w:hAnsi="宋体" w:eastAsia="宋体" w:cs="宋体"/>
          <w:color w:val="000000"/>
          <w:szCs w:val="21"/>
          <w:highlight w:val="none"/>
          <w:shd w:val="clear" w:color="auto" w:fill="auto"/>
          <w:lang w:eastAsia="zh-CN"/>
        </w:rPr>
        <w:t xml:space="preserve">报价一览表</w:t>
      </w:r>
      <w:r>
        <w:rPr>
          <w:rFonts w:hint="eastAsia" w:ascii="宋体" w:hAnsi="宋体" w:eastAsia="宋体" w:cs="宋体"/>
          <w:color w:val="000000"/>
          <w:szCs w:val="21"/>
          <w:highlight w:val="none"/>
          <w:shd w:val="clear" w:color="auto" w:fill="auto"/>
        </w:rPr>
        <w:t xml:space="preserve">”中“投标总报价”数额一致。</w:t>
      </w:r>
      <w:r>
        <w:rPr>
          <w:rFonts w:hint="eastAsia" w:ascii="宋体" w:hAnsi="宋体" w:eastAsia="宋体" w:cs="宋体"/>
          <w:color w:val="000000"/>
          <w:szCs w:val="21"/>
          <w:highlight w:val="none"/>
          <w:shd w:val="clear" w:color="auto" w:fill="auto"/>
        </w:rPr>
      </w:r>
      <w:r/>
    </w:p>
    <w:p>
      <w:pPr>
        <w:pStyle w:val="725"/>
        <w:jc w:val="center"/>
        <w:spacing w:line="52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08"/>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jc w:val="right"/>
        <w:spacing w:line="52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725"/>
        <w:jc w:val="righ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日  期：</w:t>
      </w:r>
      <w:r>
        <w:rPr>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三、提供法人授权书</w:t>
      </w:r>
      <w:r>
        <w:rPr>
          <w:rFonts w:hint="eastAsia" w:ascii="宋体" w:hAnsi="宋体" w:eastAsia="宋体" w:cs="宋体"/>
          <w:b/>
          <w:bCs/>
          <w:color w:val="000000"/>
          <w:szCs w:val="21"/>
          <w:highlight w:val="none"/>
          <w:shd w:val="clear" w:color="auto" w:fill="auto"/>
        </w:rPr>
      </w:r>
      <w:r/>
    </w:p>
    <w:p>
      <w:pPr>
        <w:pStyle w:val="725"/>
        <w:ind w:firstLine="480"/>
        <w:spacing w:line="48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25"/>
        <w:ind w:firstLine="480"/>
        <w:jc w:val="center"/>
        <w:spacing w:line="36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法人授权书</w:t>
      </w:r>
      <w:r>
        <w:rPr>
          <w:rFonts w:hint="eastAsia" w:ascii="宋体" w:hAnsi="宋体" w:eastAsia="宋体" w:cs="宋体"/>
          <w:b/>
          <w:bCs/>
          <w:color w:val="000000"/>
          <w:szCs w:val="21"/>
          <w:highlight w:val="none"/>
          <w:shd w:val="clear" w:color="auto" w:fill="auto"/>
        </w:rPr>
      </w:r>
      <w:r/>
    </w:p>
    <w:p>
      <w:pPr>
        <w:pStyle w:val="725"/>
        <w:ind w:firstLine="420"/>
        <w:spacing w:line="360" w:lineRule="auto"/>
        <w:shd w:val="clear" w:color="auto" w:fill="auto"/>
        <w:tabs>
          <w:tab w:val="left" w:pos="3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ind w:firstLine="420"/>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本授权书声明：</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（供应商名称）授权</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（被授权人的姓名）为我方</w:t>
      </w:r>
      <w:r>
        <w:rPr>
          <w:rFonts w:hint="eastAsia" w:ascii="宋体" w:hAnsi="宋体" w:eastAsia="宋体" w:cs="宋体"/>
          <w:i w:val="0"/>
          <w:iCs/>
          <w:color w:val="000000"/>
          <w:sz w:val="21"/>
          <w:szCs w:val="21"/>
          <w:highlight w:val="none"/>
          <w:shd w:val="clear" w:color="auto" w:fill="auto"/>
          <w:lang w:val="en-US" w:eastAsia="zh-CN"/>
        </w:rPr>
        <w:t xml:space="preserve"> </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号</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项目编号</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______________</w:t>
      </w:r>
      <w:r>
        <w:rPr>
          <w:rFonts w:hint="eastAsia" w:ascii="宋体" w:hAnsi="宋体" w:eastAsia="宋体" w:cs="宋体"/>
          <w:i w:val="0"/>
          <w:iCs/>
          <w:color w:val="000000"/>
          <w:sz w:val="21"/>
          <w:szCs w:val="21"/>
          <w:highlight w:val="none"/>
          <w:shd w:val="clear" w:color="auto" w:fill="auto"/>
        </w:rPr>
        <w:t xml:space="preserve">项目</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项目名称</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rPr>
        <w:t xml:space="preserve">采购活动的合法代理人，以本单位名义全权处理一切与该项目采购有关的事务。</w:t>
      </w:r>
      <w:r>
        <w:rPr>
          <w:rFonts w:hint="eastAsia" w:ascii="宋体" w:hAnsi="宋体" w:eastAsia="宋体" w:cs="宋体"/>
          <w:i w:val="0"/>
          <w:iCs/>
          <w:color w:val="000000"/>
          <w:sz w:val="21"/>
          <w:szCs w:val="21"/>
          <w:highlight w:val="none"/>
          <w:shd w:val="clear" w:color="auto" w:fill="auto"/>
        </w:rPr>
      </w:r>
      <w:r/>
    </w:p>
    <w:p>
      <w:pPr>
        <w:pStyle w:val="725"/>
        <w:ind w:firstLine="420"/>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本授权书于______年____月____日起生效，特此声明。</w:t>
      </w: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    被授权人身份证号码：</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725"/>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    被授权人联系电话：（手机）</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725"/>
        <w:ind w:firstLine="420"/>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授权单位名称：</w:t>
      </w:r>
      <w:r>
        <w:rPr>
          <w:rFonts w:hint="eastAsia" w:ascii="宋体" w:hAnsi="宋体" w:eastAsia="宋体" w:cs="宋体"/>
          <w:i w:val="0"/>
          <w:iCs/>
          <w:color w:val="000000"/>
          <w:sz w:val="21"/>
          <w:szCs w:val="21"/>
          <w:highlight w:val="none"/>
          <w:u w:val="single"/>
          <w:shd w:val="clear" w:color="auto" w:fill="auto"/>
        </w:rPr>
        <w:t xml:space="preserve">（加盖CA电子公章）</w:t>
      </w:r>
      <w:r>
        <w:rPr>
          <w:rFonts w:hint="eastAsia" w:ascii="宋体" w:hAnsi="宋体" w:eastAsia="宋体" w:cs="宋体"/>
          <w:i w:val="0"/>
          <w:iCs/>
          <w:color w:val="000000"/>
          <w:sz w:val="21"/>
          <w:szCs w:val="21"/>
          <w:highlight w:val="none"/>
          <w:shd w:val="clear" w:color="auto" w:fill="auto"/>
        </w:rPr>
      </w:r>
      <w:r/>
    </w:p>
    <w:p>
      <w:pPr>
        <w:pStyle w:val="725"/>
        <w:ind w:firstLine="420"/>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单位地址：</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725"/>
        <w:ind w:firstLine="420"/>
        <w:keepLines w:val="0"/>
        <w:keepNext w:val="0"/>
        <w:pageBreakBefore w:val="0"/>
        <w:spacing w:line="360" w:lineRule="auto"/>
        <w:shd w:val="clear" w:color="auto" w:fill="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日期：</w:t>
      </w:r>
      <w:bookmarkStart w:id="155" w:name="_Hlt26955070"/>
      <w:r/>
      <w:bookmarkEnd w:id="155"/>
      <w:r/>
      <w:bookmarkStart w:id="156" w:name="_Hlt26671380"/>
      <w:r/>
      <w:bookmarkEnd w:id="156"/>
      <w:r/>
      <w:bookmarkStart w:id="157" w:name="_格式3__银行出具的资信证明"/>
      <w:r/>
      <w:bookmarkEnd w:id="157"/>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725"/>
        <w:ind w:firstLine="1050"/>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法定代表人身份证复印件</w:t>
      </w: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725"/>
        <w:jc w:val="center"/>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（粘贴此处）</w:t>
      </w: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被授权人身份证复印件</w:t>
      </w:r>
      <w:r>
        <w:rPr>
          <w:rFonts w:hint="eastAsia" w:ascii="宋体" w:hAnsi="宋体" w:eastAsia="宋体" w:cs="宋体"/>
          <w:i w:val="0"/>
          <w:iCs/>
          <w:color w:val="000000"/>
          <w:sz w:val="21"/>
          <w:szCs w:val="21"/>
          <w:highlight w:val="none"/>
          <w:shd w:val="clear" w:color="auto" w:fill="auto"/>
        </w:rPr>
      </w:r>
      <w:r/>
    </w:p>
    <w:p>
      <w:pPr>
        <w:pStyle w:val="725"/>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725"/>
        <w:jc w:val="center"/>
        <w:keepLines w:val="0"/>
        <w:keepNext w:val="0"/>
        <w:pageBreakBefore w:val="0"/>
        <w:spacing w:line="360" w:lineRule="auto"/>
        <w:shd w:val="clear" w:color="auto" w:fill="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725"/>
        <w:jc w:val="center"/>
        <w:keepLines w:val="0"/>
        <w:keepNext w:val="0"/>
        <w:pageBreakBefore w:val="0"/>
        <w:spacing w:line="360" w:lineRule="auto"/>
        <w:shd w:val="clear" w:color="auto" w:fill="auto"/>
        <w:widowControl w:val="off"/>
        <w:rPr>
          <w:rFonts w:hint="eastAsia" w:ascii="宋体" w:hAnsi="宋体" w:eastAsia="宋体" w:cs="宋体"/>
          <w:b/>
          <w:bCs/>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（粘贴此处）</w:t>
      </w:r>
      <w:r>
        <w:rPr>
          <w:rFonts w:hint="eastAsia" w:ascii="宋体" w:hAnsi="宋体" w:eastAsia="宋体" w:cs="宋体"/>
          <w:b/>
          <w:bCs/>
          <w:i w:val="0"/>
          <w:iCs/>
          <w:color w:val="000000"/>
          <w:sz w:val="21"/>
          <w:szCs w:val="21"/>
          <w:highlight w:val="none"/>
          <w:shd w:val="clear" w:color="auto" w:fill="auto"/>
        </w:rPr>
      </w:r>
      <w:r/>
    </w:p>
    <w:p>
      <w:pPr>
        <w:pStyle w:val="757"/>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jc w:val="center"/>
        <w:spacing w:line="36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四、</w:t>
      </w:r>
      <w:r>
        <w:rPr>
          <w:rFonts w:hint="eastAsia" w:ascii="宋体" w:hAnsi="宋体" w:eastAsia="宋体" w:cs="宋体"/>
          <w:b/>
          <w:bCs/>
          <w:color w:val="000000"/>
          <w:szCs w:val="21"/>
          <w:highlight w:val="none"/>
          <w:shd w:val="clear" w:color="auto" w:fill="auto"/>
          <w:lang w:eastAsia="zh-CN"/>
        </w:rPr>
        <w:t xml:space="preserve">具有履行合同所必需的设备和专业技术能力</w:t>
      </w:r>
      <w:r>
        <w:rPr>
          <w:rFonts w:hint="eastAsia" w:ascii="宋体" w:hAnsi="宋体" w:eastAsia="宋体" w:cs="宋体"/>
          <w:b/>
          <w:bCs/>
          <w:color w:val="000000"/>
          <w:szCs w:val="21"/>
          <w:highlight w:val="none"/>
          <w:shd w:val="clear" w:color="auto" w:fill="auto"/>
        </w:rPr>
        <w:t xml:space="preserve">的证明材料（提供承诺书）；</w:t>
      </w:r>
      <w:r>
        <w:rPr>
          <w:rFonts w:hint="eastAsia" w:ascii="宋体" w:hAnsi="宋体" w:eastAsia="宋体" w:cs="宋体"/>
          <w:b/>
          <w:bCs/>
          <w:color w:val="000000"/>
          <w:szCs w:val="21"/>
          <w:highlight w:val="none"/>
          <w:shd w:val="clear" w:color="auto" w:fill="auto"/>
        </w:rPr>
      </w:r>
      <w:r/>
    </w:p>
    <w:p>
      <w:pPr>
        <w:pStyle w:val="725"/>
        <w:ind w:firstLine="492"/>
        <w:jc w:val="center"/>
        <w:spacing w:line="46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25"/>
        <w:ind w:firstLine="492"/>
        <w:jc w:val="center"/>
        <w:spacing w:line="46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承诺书</w:t>
      </w:r>
      <w:r>
        <w:rPr>
          <w:rFonts w:hint="eastAsia" w:ascii="宋体" w:hAnsi="宋体" w:eastAsia="宋体" w:cs="宋体"/>
          <w:b/>
          <w:bCs/>
          <w:color w:val="000000"/>
          <w:szCs w:val="21"/>
          <w:highlight w:val="none"/>
          <w:shd w:val="clear" w:color="auto" w:fill="auto"/>
        </w:rPr>
      </w:r>
      <w:r/>
    </w:p>
    <w:p>
      <w:pPr>
        <w:pStyle w:val="725"/>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eastAsia="zh-CN"/>
        </w:rPr>
        <w:t xml:space="preserve">南通市人力资源和社会保障信息中心</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492"/>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我单位郑重承诺：我单位具</w:t>
      </w:r>
      <w:r>
        <w:rPr>
          <w:rFonts w:hint="eastAsia" w:ascii="宋体" w:hAnsi="宋体" w:eastAsia="宋体" w:cs="宋体"/>
          <w:b w:val="0"/>
          <w:bCs w:val="0"/>
          <w:color w:val="000000"/>
          <w:szCs w:val="21"/>
          <w:highlight w:val="none"/>
          <w:shd w:val="clear" w:color="auto" w:fill="auto"/>
          <w:lang w:eastAsia="zh-CN"/>
        </w:rPr>
        <w:t xml:space="preserve">有</w:t>
      </w:r>
      <w:r>
        <w:rPr>
          <w:rFonts w:hint="eastAsia" w:ascii="宋体" w:hAnsi="宋体" w:eastAsia="宋体" w:cs="宋体"/>
          <w:color w:val="000000"/>
          <w:szCs w:val="21"/>
          <w:highlight w:val="none"/>
          <w:shd w:val="clear" w:color="auto" w:fill="auto"/>
        </w:rPr>
        <w:t xml:space="preserve">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shd w:val="clear" w:color="auto" w:fill="auto"/>
        </w:rPr>
      </w:r>
      <w:r/>
    </w:p>
    <w:p>
      <w:pPr>
        <w:pStyle w:val="725"/>
        <w:ind w:firstLine="492"/>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主要设备有：</w:t>
      </w:r>
      <w:r>
        <w:rPr>
          <w:rFonts w:hint="eastAsia" w:ascii="宋体" w:hAnsi="宋体" w:eastAsia="宋体" w:cs="宋体"/>
          <w:color w:val="000000"/>
          <w:szCs w:val="21"/>
          <w:highlight w:val="none"/>
          <w:u w:val="single"/>
          <w:shd w:val="clear" w:color="auto" w:fill="auto"/>
          <w:lang w:val="en-US" w:eastAsia="zh-CN"/>
        </w:rPr>
        <w:t xml:space="preserve">      </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492"/>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主要专业技术能力有：</w:t>
      </w:r>
      <w:r>
        <w:rPr>
          <w:rFonts w:hint="eastAsia" w:ascii="宋体" w:hAnsi="宋体" w:eastAsia="宋体" w:cs="宋体"/>
          <w:color w:val="000000"/>
          <w:szCs w:val="21"/>
          <w:highlight w:val="none"/>
          <w:u w:val="singl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ind w:firstLine="492"/>
        <w:jc w:val="right"/>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供应商：（加盖CA电子公章）</w:t>
      </w:r>
      <w:r>
        <w:rPr>
          <w:rFonts w:hint="eastAsia" w:ascii="宋体" w:hAnsi="宋体" w:eastAsia="宋体" w:cs="宋体"/>
          <w:color w:val="000000"/>
          <w:szCs w:val="21"/>
          <w:highlight w:val="none"/>
          <w:shd w:val="clear" w:color="auto" w:fill="auto"/>
        </w:rPr>
      </w:r>
      <w:r/>
    </w:p>
    <w:p>
      <w:pPr>
        <w:pStyle w:val="745"/>
        <w:jc w:val="righ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contextualSpacing/>
        <w:ind w:firstLine="540"/>
        <w:jc w:val="right"/>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   年</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 月 </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日</w:t>
      </w: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25"/>
        <w:spacing w:line="46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五、参加政府采购活动前3年内在经营活动中没有重大违法记录的书面声明</w:t>
      </w:r>
      <w:r>
        <w:rPr>
          <w:rFonts w:hint="eastAsia" w:ascii="宋体" w:hAnsi="宋体" w:eastAsia="宋体" w:cs="宋体"/>
          <w:b/>
          <w:bCs/>
          <w:color w:val="000000"/>
          <w:szCs w:val="21"/>
          <w:highlight w:val="none"/>
          <w:shd w:val="clear" w:color="auto" w:fill="auto"/>
        </w:rPr>
      </w:r>
      <w:r/>
    </w:p>
    <w:p>
      <w:pPr>
        <w:pStyle w:val="729"/>
        <w:jc w:val="both"/>
        <w:shd w:val="clear" w:color="auto" w:fill="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p>
      <w:pPr>
        <w:pStyle w:val="725"/>
        <w:jc w:val="center"/>
        <w:spacing w:line="460" w:lineRule="exact"/>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无重大违法记录声明函</w:t>
      </w:r>
      <w:r>
        <w:rPr>
          <w:rFonts w:hint="eastAsia" w:ascii="宋体" w:hAnsi="宋体" w:eastAsia="宋体" w:cs="宋体"/>
          <w:b/>
          <w:bCs/>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lang w:eastAsia="zh-CN"/>
        </w:rPr>
        <w:t xml:space="preserve">南通市人力资源和社会保障信息中心</w:t>
      </w:r>
      <w:r>
        <w:rPr>
          <w:rStyle w:val="1045"/>
          <w:rFonts w:hint="eastAsia" w:ascii="宋体" w:hAnsi="宋体" w:eastAsia="宋体" w:cs="宋体"/>
          <w:color w:val="000000"/>
          <w:szCs w:val="21"/>
          <w:highlight w:val="none"/>
          <w:shd w:val="clear" w:color="auto" w:fill="auto"/>
        </w:rPr>
        <w:t xml:space="preserve">：</w:t>
      </w:r>
      <w:r>
        <w:rPr>
          <w:rStyle w:val="1045"/>
          <w:rFonts w:hint="eastAsia" w:ascii="宋体" w:hAnsi="宋体" w:eastAsia="宋体" w:cs="宋体"/>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我单位</w:t>
      </w:r>
      <w:r>
        <w:rPr>
          <w:rStyle w:val="1045"/>
          <w:rFonts w:hint="eastAsia" w:ascii="宋体" w:hAnsi="宋体" w:eastAsia="宋体" w:cs="宋体"/>
          <w:color w:val="000000"/>
          <w:szCs w:val="21"/>
          <w:highlight w:val="none"/>
          <w:shd w:val="clear" w:color="auto" w:fill="auto"/>
          <w:lang w:val="en-US" w:eastAsia="zh-CN"/>
        </w:rPr>
        <w:t xml:space="preserve">______________</w:t>
      </w:r>
      <w:r>
        <w:rPr>
          <w:rStyle w:val="1045"/>
          <w:rFonts w:hint="eastAsia" w:ascii="宋体" w:hAnsi="宋体" w:eastAsia="宋体" w:cs="宋体"/>
          <w:color w:val="000000"/>
          <w:szCs w:val="21"/>
          <w:highlight w:val="none"/>
          <w:shd w:val="clear" w:color="auto" w:fill="auto"/>
        </w:rPr>
        <w:t xml:space="preserve">（供应商名称）郑重声明：</w:t>
      </w:r>
      <w:r>
        <w:rPr>
          <w:rStyle w:val="1045"/>
          <w:rFonts w:hint="eastAsia" w:ascii="宋体" w:hAnsi="宋体" w:eastAsia="宋体" w:cs="宋体"/>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rPr>
          <w:rStyle w:val="1045"/>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045"/>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Style w:val="1045"/>
          <w:rFonts w:ascii="宋体" w:hAnsi="宋体" w:eastAsia="宋体" w:cs="宋体"/>
          <w:color w:val="000000"/>
          <w:szCs w:val="21"/>
          <w:highlight w:val="none"/>
          <w:shd w:val="clear" w:color="auto" w:fill="auto"/>
        </w:rPr>
      </w:pPr>
      <w:r>
        <w:rPr>
          <w:rStyle w:val="1045"/>
          <w:rFonts w:hint="eastAsia"/>
          <w:color w:val="000000"/>
          <w:highlight w:val="none"/>
          <w:shd w:val="clear" w:color="auto" w:fill="auto"/>
          <w:lang w:val="en-US" w:eastAsia="zh-CN"/>
        </w:rPr>
        <w:t xml:space="preserve">我单位满足</w:t>
      </w:r>
      <w:r>
        <w:rPr>
          <w:rStyle w:val="1045"/>
          <w:color w:val="000000"/>
          <w:highlight w:val="none"/>
          <w:shd w:val="clear" w:color="auto" w:fill="auto"/>
        </w:rPr>
        <w:t xml:space="preserve">法律、行政法规规定的其他条件</w:t>
      </w:r>
      <w:r>
        <w:rPr>
          <w:rStyle w:val="1045"/>
          <w:rFonts w:hint="eastAsia"/>
          <w:color w:val="000000"/>
          <w:highlight w:val="none"/>
          <w:shd w:val="clear" w:color="auto" w:fill="auto"/>
          <w:lang w:eastAsia="zh-CN"/>
        </w:rPr>
        <w:t xml:space="preserve">。</w:t>
      </w:r>
      <w:r>
        <w:rPr>
          <w:rStyle w:val="1045"/>
          <w:rFonts w:ascii="宋体" w:hAnsi="宋体" w:eastAsia="宋体" w:cs="宋体"/>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声明人：</w:t>
      </w:r>
      <w:r>
        <w:rPr>
          <w:rFonts w:hint="eastAsia" w:ascii="宋体" w:hAnsi="宋体" w:eastAsia="宋体" w:cs="宋体"/>
          <w:color w:val="000000"/>
          <w:szCs w:val="21"/>
          <w:highlight w:val="none"/>
          <w:shd w:val="clear" w:color="auto" w:fill="auto"/>
        </w:rPr>
        <w:t xml:space="preserve">（加盖CA电子公章）</w:t>
      </w:r>
      <w:r>
        <w:rPr>
          <w:rStyle w:val="1045"/>
          <w:rFonts w:hint="eastAsia" w:ascii="宋体" w:hAnsi="宋体" w:eastAsia="宋体" w:cs="宋体"/>
          <w:color w:val="000000"/>
          <w:szCs w:val="21"/>
          <w:highlight w:val="none"/>
          <w:shd w:val="clear" w:color="auto" w:fill="auto"/>
        </w:rPr>
      </w:r>
      <w:r/>
    </w:p>
    <w:p>
      <w:pPr>
        <w:pStyle w:val="725"/>
        <w:jc w:val="center"/>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年     月    日</w:t>
      </w:r>
      <w:r>
        <w:rPr>
          <w:rStyle w:val="1045"/>
          <w:rFonts w:hint="eastAsia" w:ascii="宋体" w:hAnsi="宋体" w:eastAsia="宋体" w:cs="宋体"/>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25"/>
        <w:spacing w:line="360" w:lineRule="auto"/>
        <w:shd w:val="clear" w:color="auto" w:fill="auto"/>
        <w:widowControl/>
        <w:rPr>
          <w:rFonts w:hint="eastAsia" w:ascii="宋体" w:hAnsi="宋体" w:eastAsia="宋体" w:cs="宋体"/>
          <w:b/>
          <w:bCs w:val="0"/>
          <w:color w:val="000000"/>
          <w:szCs w:val="21"/>
          <w:highlight w:val="none"/>
          <w:shd w:val="clear" w:color="auto" w:fill="auto"/>
          <w:lang w:val="en-US" w:eastAsia="en-US"/>
        </w:rPr>
        <w:outlineLvl w:val="0"/>
      </w:pPr>
      <w:r>
        <w:rPr>
          <w:rFonts w:hint="eastAsia" w:ascii="宋体" w:hAnsi="宋体" w:eastAsia="宋体" w:cs="宋体"/>
          <w:b/>
          <w:color w:val="000000"/>
          <w:szCs w:val="21"/>
          <w:highlight w:val="none"/>
          <w:shd w:val="clear" w:color="auto" w:fill="auto"/>
          <w:lang w:val="zh-CN"/>
        </w:rPr>
        <w:br w:type="page" w:clear="all"/>
      </w:r>
      <w:r>
        <w:rPr>
          <w:rFonts w:hint="eastAsia" w:ascii="宋体" w:hAnsi="宋体" w:eastAsia="宋体" w:cs="宋体"/>
          <w:b/>
          <w:color w:val="000000"/>
          <w:szCs w:val="21"/>
          <w:highlight w:val="none"/>
          <w:shd w:val="clear" w:color="auto" w:fill="auto"/>
          <w:lang w:val="en-US" w:eastAsia="zh-CN"/>
        </w:rPr>
        <w:t xml:space="preserve">六、</w:t>
      </w:r>
      <w:r>
        <w:rPr>
          <w:rFonts w:hint="eastAsia" w:ascii="宋体" w:hAnsi="宋体" w:eastAsia="宋体" w:cs="宋体"/>
          <w:b/>
          <w:bCs w:val="0"/>
          <w:color w:val="000000"/>
          <w:szCs w:val="21"/>
          <w:highlight w:val="none"/>
          <w:shd w:val="clear" w:color="auto" w:fill="auto"/>
          <w:lang w:val="en-US" w:eastAsia="zh-CN"/>
        </w:rPr>
        <w:t xml:space="preserve">本项目</w:t>
      </w:r>
      <w:r>
        <w:rPr>
          <w:rFonts w:hint="eastAsia" w:ascii="宋体" w:hAnsi="宋体" w:eastAsia="宋体" w:cs="宋体"/>
          <w:b/>
          <w:bCs w:val="0"/>
          <w:color w:val="000000"/>
          <w:szCs w:val="21"/>
          <w:highlight w:val="none"/>
          <w:shd w:val="clear" w:color="auto" w:fill="auto"/>
          <w:lang w:val="en-US" w:eastAsia="en-US"/>
        </w:rPr>
        <w:t xml:space="preserve">专门面向中小企业采购</w:t>
      </w:r>
      <w:r>
        <w:rPr>
          <w:rFonts w:hint="eastAsia" w:ascii="宋体" w:hAnsi="宋体" w:eastAsia="宋体" w:cs="宋体"/>
          <w:b/>
          <w:bCs w:val="0"/>
          <w:color w:val="000000"/>
          <w:szCs w:val="21"/>
          <w:highlight w:val="none"/>
          <w:shd w:val="clear" w:color="auto" w:fill="auto"/>
          <w:lang w:val="en-US" w:eastAsia="zh-CN"/>
        </w:rPr>
        <w:t xml:space="preserve">。本项目所有服务须全部由符合政策要求的中小企业承接。提供服务的供应商须为中小微企业、监狱企业或残疾人福利性单位</w:t>
      </w:r>
      <w:r>
        <w:rPr>
          <w:rFonts w:hint="eastAsia" w:ascii="宋体" w:hAnsi="宋体" w:eastAsia="宋体" w:cs="宋体"/>
          <w:b/>
          <w:bCs w:val="0"/>
          <w:color w:val="000000"/>
          <w:szCs w:val="21"/>
          <w:highlight w:val="none"/>
          <w:u w:val="single"/>
          <w:shd w:val="clear" w:color="auto" w:fill="auto"/>
          <w:lang w:val="en-US" w:eastAsia="zh-CN"/>
        </w:rPr>
        <w:t xml:space="preserve">，所有参与投标的供应商</w:t>
      </w:r>
      <w:r>
        <w:rPr>
          <w:rFonts w:hint="eastAsia" w:ascii="宋体" w:hAnsi="宋体" w:eastAsia="宋体" w:cs="宋体"/>
          <w:b/>
          <w:bCs w:val="0"/>
          <w:color w:val="000000"/>
          <w:szCs w:val="21"/>
          <w:highlight w:val="none"/>
          <w:shd w:val="clear" w:color="auto" w:fill="auto"/>
          <w:lang w:val="en-US" w:eastAsia="zh-CN"/>
        </w:rPr>
        <w:t xml:space="preserve">均需按照采购文件要求提供《中小企业声明函》《残疾人福利性单位声明函》或《监狱和戒毒企业证明材料》</w:t>
      </w:r>
      <w:r>
        <w:rPr>
          <w:rFonts w:hint="eastAsia" w:ascii="宋体" w:hAnsi="宋体" w:eastAsia="宋体" w:cs="宋体"/>
          <w:b/>
          <w:bCs w:val="0"/>
          <w:color w:val="000000"/>
          <w:szCs w:val="21"/>
          <w:highlight w:val="none"/>
          <w:shd w:val="clear" w:color="auto" w:fill="auto"/>
          <w:lang w:val="en-US" w:eastAsia="en-US"/>
        </w:rPr>
      </w:r>
      <w:r/>
    </w:p>
    <w:p>
      <w:pPr>
        <w:pStyle w:val="725"/>
        <w:numPr>
          <w:ilvl w:val="0"/>
          <w:numId w:val="0"/>
        </w:numPr>
        <w:jc w:val="both"/>
        <w:keepLines w:val="0"/>
        <w:keepNext w:val="0"/>
        <w:pageBreakBefore w:val="0"/>
        <w:spacing w:line="480" w:lineRule="auto"/>
        <w:shd w:val="clear" w:color="auto" w:fill="auto"/>
        <w:widowControl w:val="off"/>
        <w:rPr>
          <w:rFonts w:hint="eastAsia" w:ascii="宋体" w:hAnsi="宋体" w:eastAsia="宋体" w:cs="宋体"/>
          <w:b/>
          <w:color w:val="000000"/>
          <w:szCs w:val="21"/>
          <w:highlight w:val="none"/>
          <w:shd w:val="clear" w:color="auto" w:fill="auto"/>
          <w:lang w:val="en-US" w:eastAsia="zh-CN"/>
        </w:rPr>
      </w:pPr>
      <w:r>
        <w:rPr>
          <w:rFonts w:hint="eastAsia" w:ascii="宋体" w:hAnsi="宋体" w:eastAsia="宋体" w:cs="宋体"/>
          <w:b/>
          <w:color w:val="000000"/>
          <w:szCs w:val="21"/>
          <w:highlight w:val="none"/>
          <w:shd w:val="clear" w:color="auto" w:fill="auto"/>
          <w:lang w:val="en-US" w:eastAsia="zh-CN"/>
        </w:rPr>
      </w:r>
      <w:r/>
    </w:p>
    <w:p>
      <w:pPr>
        <w:pStyle w:val="725"/>
        <w:jc w:val="center"/>
        <w:spacing w:line="300" w:lineRule="auto"/>
        <w:shd w:val="clear" w:color="auto" w:fill="auto"/>
        <w:rPr>
          <w:rFonts w:hint="eastAsia" w:ascii="宋体" w:hAnsi="宋体" w:eastAsia="宋体" w:cs="宋体"/>
          <w:b/>
          <w:bCs/>
          <w:color w:val="000000"/>
          <w:sz w:val="21"/>
          <w:szCs w:val="21"/>
          <w:highlight w:val="none"/>
          <w:shd w:val="clear" w:color="auto" w:fill="auto"/>
          <w:lang w:bidi="zh-CN"/>
        </w:rPr>
        <w:outlineLvl w:val="0"/>
      </w:pPr>
      <w:r>
        <w:rPr>
          <w:rFonts w:hint="eastAsia" w:ascii="宋体" w:hAnsi="宋体" w:eastAsia="宋体" w:cs="宋体"/>
          <w:b/>
          <w:bCs/>
          <w:color w:val="000000"/>
          <w:sz w:val="21"/>
          <w:szCs w:val="21"/>
          <w:highlight w:val="none"/>
          <w:shd w:val="clear" w:color="auto" w:fill="auto"/>
          <w:lang w:bidi="zh-CN"/>
        </w:rPr>
      </w:r>
      <w:r/>
    </w:p>
    <w:p>
      <w:pPr>
        <w:pStyle w:val="757"/>
        <w:numPr>
          <w:ilvl w:val="0"/>
          <w:numId w:val="0"/>
        </w:numPr>
        <w:ind w:right="415"/>
        <w:jc w:val="center"/>
        <w:spacing w:line="360" w:lineRule="auto"/>
        <w:shd w:val="clear" w:color="auto" w:fill="auto"/>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中小企业声明函</w:t>
      </w:r>
      <w:r>
        <w:rPr>
          <w:rFonts w:hint="eastAsia" w:ascii="宋体" w:hAnsi="宋体" w:eastAsia="宋体" w:cs="宋体"/>
          <w:b/>
          <w:bCs/>
          <w:color w:val="000000"/>
          <w:sz w:val="24"/>
          <w:szCs w:val="24"/>
          <w:highlight w:val="none"/>
          <w:shd w:val="clear" w:color="auto" w:fill="auto"/>
          <w:lang w:val="en-US" w:eastAsia="zh-CN" w:bidi="ar-SA"/>
        </w:rPr>
      </w:r>
      <w:r/>
    </w:p>
    <w:p>
      <w:pPr>
        <w:pStyle w:val="757"/>
        <w:ind w:right="415" w:firstLine="64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lang w:val="en-US" w:eastAsia="zh-CN"/>
        </w:rPr>
        <w:t xml:space="preserve">采购</w:t>
      </w:r>
      <w:r>
        <w:rPr>
          <w:rFonts w:hint="eastAsia" w:ascii="宋体" w:hAnsi="宋体" w:eastAsia="宋体" w:cs="宋体"/>
          <w:color w:val="000000"/>
          <w:sz w:val="21"/>
          <w:szCs w:val="21"/>
          <w:highlight w:val="none"/>
          <w:u w:val="single"/>
          <w:shd w:val="clear" w:color="auto" w:fill="auto"/>
        </w:rPr>
        <w:t xml:space="preserve">单位名称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rPr>
        <w:t xml:space="preserve">项目名称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采购活动，服务全部由符合政策要求的中小企业承接。相关企业的具体情况如下：</w:t>
      </w:r>
      <w:r>
        <w:rPr>
          <w:rFonts w:hint="eastAsia" w:ascii="宋体" w:hAnsi="宋体" w:eastAsia="宋体" w:cs="宋体"/>
          <w:color w:val="000000"/>
          <w:sz w:val="21"/>
          <w:szCs w:val="21"/>
          <w:highlight w:val="none"/>
          <w:shd w:val="clear" w:color="auto" w:fill="auto"/>
        </w:rPr>
      </w:r>
      <w:r/>
    </w:p>
    <w:p>
      <w:pPr>
        <w:pStyle w:val="845"/>
        <w:numPr>
          <w:ilvl w:val="0"/>
          <w:numId w:val="4"/>
        </w:numPr>
        <w:ind w:left="420" w:firstLine="0"/>
        <w:spacing w:line="360" w:lineRule="auto"/>
        <w:shd w:val="clear" w:color="auto" w:fill="auto"/>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（标的名称）</w:t>
      </w:r>
      <w:r>
        <w:rPr>
          <w:rFonts w:hint="eastAsia" w:ascii="宋体" w:hAnsi="宋体" w:eastAsia="宋体" w:cs="宋体"/>
          <w:color w:val="000000"/>
          <w:sz w:val="21"/>
          <w:szCs w:val="21"/>
          <w:highlight w:val="none"/>
          <w:shd w:val="clear" w:color="auto" w:fill="auto"/>
        </w:rPr>
        <w:t xml:space="preserve">，属于</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t xml:space="preserve">软件和信息技术服务业</w:t>
      </w:r>
      <w:r>
        <w:rPr>
          <w:rFonts w:hint="eastAsia" w:ascii="宋体" w:hAnsi="宋体" w:eastAsia="宋体" w:cs="宋体"/>
          <w:color w:val="000000"/>
          <w:sz w:val="21"/>
          <w:szCs w:val="21"/>
          <w:highlight w:val="none"/>
          <w:u w:val="single"/>
          <w:shd w:val="clear" w:color="auto" w:fill="auto"/>
        </w:rPr>
        <w:t xml:space="preserve">（采购文件中明确的所属行业）</w:t>
      </w:r>
      <w:r>
        <w:rPr>
          <w:rFonts w:hint="eastAsia" w:ascii="宋体" w:hAnsi="宋体" w:eastAsia="宋体" w:cs="宋体"/>
          <w:color w:val="000000"/>
          <w:sz w:val="21"/>
          <w:szCs w:val="21"/>
          <w:highlight w:val="none"/>
          <w:shd w:val="clear" w:color="auto" w:fill="auto"/>
        </w:rPr>
        <w:t xml:space="preserve">；承接企业为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45"/>
        <w:numPr>
          <w:ilvl w:val="0"/>
          <w:numId w:val="0"/>
        </w:numPr>
        <w:spacing w:line="360" w:lineRule="auto"/>
        <w:shd w:val="clear" w:color="auto" w:fill="auto"/>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（标的名称）</w:t>
      </w:r>
      <w:r>
        <w:rPr>
          <w:rFonts w:hint="eastAsia" w:ascii="宋体" w:hAnsi="宋体" w:eastAsia="宋体" w:cs="宋体"/>
          <w:color w:val="000000"/>
          <w:sz w:val="21"/>
          <w:szCs w:val="21"/>
          <w:highlight w:val="none"/>
          <w:shd w:val="clear" w:color="auto" w:fill="auto"/>
        </w:rPr>
        <w:t xml:space="preserve">，属于</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t xml:space="preserve">软件和信息技术服务业（采</w:t>
      </w:r>
      <w:r>
        <w:rPr>
          <w:rFonts w:hint="eastAsia" w:ascii="宋体" w:hAnsi="宋体" w:eastAsia="宋体" w:cs="宋体"/>
          <w:color w:val="000000"/>
          <w:sz w:val="21"/>
          <w:szCs w:val="21"/>
          <w:highlight w:val="none"/>
          <w:u w:val="single"/>
          <w:shd w:val="clear" w:color="auto" w:fill="auto"/>
        </w:rPr>
        <w:t xml:space="preserve">购文件中明确的所属行业）</w:t>
      </w:r>
      <w:r>
        <w:rPr>
          <w:rFonts w:hint="eastAsia" w:ascii="宋体" w:hAnsi="宋体" w:eastAsia="宋体" w:cs="宋体"/>
          <w:color w:val="000000"/>
          <w:sz w:val="21"/>
          <w:szCs w:val="21"/>
          <w:highlight w:val="none"/>
          <w:shd w:val="clear" w:color="auto" w:fill="auto"/>
        </w:rPr>
        <w:t xml:space="preserve">；承建（承接）企业为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45"/>
        <w:ind w:left="420" w:right="258" w:firstLine="0"/>
        <w:spacing w:line="360" w:lineRule="auto"/>
        <w:shd w:val="clear" w:color="auto" w:fill="auto"/>
        <w:tabs>
          <w:tab w:val="left" w:pos="1243" w:leader="none"/>
          <w:tab w:val="left" w:pos="1806" w:leader="none"/>
          <w:tab w:val="left" w:pos="5005" w:leader="none"/>
          <w:tab w:val="left" w:pos="721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57"/>
        <w:ind w:left="860"/>
        <w:spacing w:before="11"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57"/>
        <w:ind w:right="417" w:firstLine="645"/>
        <w:spacing w:before="108"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以上企业，不属于大企业的分支机构，不存在控股股东</w:t>
      </w:r>
      <w:r>
        <w:rPr>
          <w:rFonts w:hint="eastAsia" w:ascii="宋体" w:hAnsi="宋体" w:eastAsia="宋体" w:cs="宋体"/>
          <w:color w:val="000000"/>
          <w:sz w:val="21"/>
          <w:szCs w:val="21"/>
          <w:highlight w:val="none"/>
          <w:shd w:val="clear" w:color="auto" w:fill="auto"/>
        </w:rPr>
        <w:t xml:space="preserve">为大企业的情形，也不存在与大企业的负责人为同一人的情</w:t>
      </w:r>
      <w:r>
        <w:rPr>
          <w:rFonts w:hint="eastAsia" w:ascii="宋体" w:hAnsi="宋体" w:eastAsia="宋体" w:cs="宋体"/>
          <w:color w:val="000000"/>
          <w:sz w:val="21"/>
          <w:szCs w:val="21"/>
          <w:highlight w:val="none"/>
          <w:shd w:val="clear" w:color="auto" w:fill="auto"/>
        </w:rPr>
        <w:t xml:space="preserve">形。</w:t>
      </w:r>
      <w:r>
        <w:rPr>
          <w:rFonts w:hint="eastAsia" w:ascii="宋体" w:hAnsi="宋体" w:eastAsia="宋体" w:cs="宋体"/>
          <w:color w:val="000000"/>
          <w:sz w:val="21"/>
          <w:szCs w:val="21"/>
          <w:highlight w:val="none"/>
          <w:shd w:val="clear" w:color="auto" w:fill="auto"/>
        </w:rPr>
      </w:r>
      <w:r/>
    </w:p>
    <w:p>
      <w:pPr>
        <w:pStyle w:val="757"/>
        <w:ind w:right="420" w:firstLine="64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本企业对上述声明内容的真实性负责。如有虚假，将依</w:t>
      </w:r>
      <w:r>
        <w:rPr>
          <w:rFonts w:hint="eastAsia" w:ascii="宋体" w:hAnsi="宋体" w:eastAsia="宋体" w:cs="宋体"/>
          <w:color w:val="000000"/>
          <w:sz w:val="21"/>
          <w:szCs w:val="21"/>
          <w:highlight w:val="none"/>
          <w:shd w:val="clear" w:color="auto" w:fill="auto"/>
        </w:rPr>
        <w:t xml:space="preserve">法承担相应责任。</w:t>
      </w:r>
      <w:r>
        <w:rPr>
          <w:rFonts w:hint="eastAsia" w:ascii="宋体" w:hAnsi="宋体" w:eastAsia="宋体" w:cs="宋体"/>
          <w:color w:val="000000"/>
          <w:sz w:val="21"/>
          <w:szCs w:val="21"/>
          <w:highlight w:val="none"/>
          <w:shd w:val="clear" w:color="auto" w:fill="auto"/>
        </w:rPr>
      </w:r>
      <w:r/>
    </w:p>
    <w:p>
      <w:pPr>
        <w:pStyle w:val="757"/>
        <w:ind w:right="2166"/>
        <w:jc w:val="right"/>
        <w:spacing w:before="29"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57"/>
        <w:ind w:right="2166"/>
        <w:jc w:val="right"/>
        <w:spacing w:before="29"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企业名称：（加盖</w:t>
      </w:r>
      <w:r>
        <w:rPr>
          <w:rFonts w:hint="eastAsia" w:ascii="宋体" w:hAnsi="宋体" w:eastAsia="宋体" w:cs="宋体"/>
          <w:color w:val="000000"/>
          <w:sz w:val="21"/>
          <w:szCs w:val="21"/>
          <w:highlight w:val="none"/>
          <w:shd w:val="clear" w:color="auto" w:fill="auto"/>
          <w:lang w:val="en-US" w:eastAsia="zh-CN"/>
        </w:rPr>
        <w:t xml:space="preserve">CA电子</w:t>
      </w:r>
      <w:r>
        <w:rPr>
          <w:rFonts w:hint="eastAsia" w:ascii="宋体" w:hAnsi="宋体" w:eastAsia="宋体" w:cs="宋体"/>
          <w:color w:val="000000"/>
          <w:sz w:val="21"/>
          <w:szCs w:val="21"/>
          <w:highlight w:val="none"/>
          <w:shd w:val="clear" w:color="auto" w:fill="auto"/>
        </w:rPr>
        <w:t xml:space="preserve">公章）</w:t>
      </w:r>
      <w:r>
        <w:rPr>
          <w:rFonts w:hint="eastAsia" w:ascii="宋体" w:hAnsi="宋体" w:eastAsia="宋体" w:cs="宋体"/>
          <w:color w:val="000000"/>
          <w:sz w:val="21"/>
          <w:szCs w:val="21"/>
          <w:highlight w:val="none"/>
          <w:shd w:val="clear" w:color="auto" w:fill="auto"/>
        </w:rPr>
      </w:r>
      <w:r/>
    </w:p>
    <w:p>
      <w:pPr>
        <w:pStyle w:val="757"/>
        <w:ind w:right="2166" w:firstLine="3780"/>
        <w:spacing w:before="29"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日 期：</w:t>
      </w:r>
      <w:r>
        <w:rPr>
          <w:rFonts w:hint="eastAsia" w:ascii="宋体" w:hAnsi="宋体" w:eastAsia="宋体" w:cs="宋体"/>
          <w:color w:val="000000"/>
          <w:sz w:val="21"/>
          <w:szCs w:val="21"/>
          <w:highlight w:val="none"/>
          <w:shd w:val="clear" w:color="auto" w:fill="auto"/>
        </w:rPr>
      </w:r>
      <w:r/>
    </w:p>
    <w:p>
      <w:pPr>
        <w:pStyle w:val="725"/>
        <w:ind w:firstLine="432"/>
        <w:spacing w:line="420" w:lineRule="exact"/>
        <w:shd w:val="clear" w:color="auto" w:fill="auto"/>
        <w:rPr>
          <w:rStyle w:val="1045"/>
          <w:rFonts w:hint="eastAsia" w:ascii="宋体" w:hAnsi="宋体" w:eastAsia="宋体" w:cs="宋体"/>
          <w:bCs/>
          <w:color w:val="000000"/>
          <w:sz w:val="21"/>
          <w:szCs w:val="21"/>
          <w:highlight w:val="none"/>
          <w:shd w:val="clear" w:color="auto" w:fill="auto"/>
          <w:lang w:val="en-US" w:eastAsia="zh-CN"/>
        </w:rPr>
      </w:pPr>
      <w:r>
        <w:rPr>
          <w:rStyle w:val="1045"/>
          <w:rFonts w:hint="eastAsia" w:ascii="宋体" w:hAnsi="宋体" w:eastAsia="宋体" w:cs="宋体"/>
          <w:bCs/>
          <w:color w:val="000000"/>
          <w:sz w:val="21"/>
          <w:szCs w:val="21"/>
          <w:highlight w:val="none"/>
          <w:shd w:val="clear" w:color="auto" w:fill="auto"/>
          <w:lang w:val="en-US" w:eastAsia="zh-CN"/>
        </w:rPr>
        <w:t xml:space="preserve">注：</w:t>
      </w:r>
      <w:r>
        <w:rPr>
          <w:rStyle w:val="1045"/>
          <w:rFonts w:hint="eastAsia" w:ascii="宋体" w:hAnsi="宋体" w:eastAsia="宋体" w:cs="宋体"/>
          <w:bCs/>
          <w:color w:val="000000"/>
          <w:sz w:val="21"/>
          <w:szCs w:val="21"/>
          <w:highlight w:val="none"/>
          <w:shd w:val="clear" w:color="auto" w:fill="auto"/>
          <w:lang w:val="en-US" w:eastAsia="zh-CN"/>
        </w:rPr>
      </w:r>
      <w:r/>
    </w:p>
    <w:p>
      <w:pPr>
        <w:pStyle w:val="725"/>
        <w:ind w:firstLine="432"/>
        <w:spacing w:line="420" w:lineRule="exact"/>
        <w:shd w:val="clear" w:color="auto" w:fill="auto"/>
        <w:rPr>
          <w:rStyle w:val="1045"/>
          <w:rFonts w:hint="eastAsia" w:ascii="宋体" w:hAnsi="宋体" w:eastAsia="宋体" w:cs="宋体"/>
          <w:bCs/>
          <w:color w:val="000000"/>
          <w:sz w:val="21"/>
          <w:szCs w:val="21"/>
          <w:highlight w:val="none"/>
          <w:shd w:val="clear" w:color="auto" w:fill="auto"/>
          <w:lang w:val="en-US" w:eastAsia="zh-CN"/>
        </w:rPr>
      </w:pPr>
      <w:r>
        <w:rPr>
          <w:rStyle w:val="1045"/>
          <w:rFonts w:hint="eastAsia" w:ascii="宋体" w:hAnsi="宋体" w:eastAsia="宋体" w:cs="宋体"/>
          <w:bCs/>
          <w:color w:val="000000"/>
          <w:sz w:val="21"/>
          <w:szCs w:val="21"/>
          <w:highlight w:val="none"/>
          <w:shd w:val="clear" w:color="auto" w:fill="auto"/>
          <w:lang w:val="en-US" w:eastAsia="zh-CN"/>
        </w:rPr>
        <w:t xml:space="preserve">（1）从业人员、营业收入、资产总额填报</w:t>
      </w:r>
      <w:r>
        <w:rPr>
          <w:rStyle w:val="1045"/>
          <w:rFonts w:hint="eastAsia" w:ascii="宋体" w:hAnsi="宋体" w:eastAsia="宋体" w:cs="宋体"/>
          <w:bCs/>
          <w:color w:val="000000"/>
          <w:sz w:val="21"/>
          <w:szCs w:val="21"/>
          <w:highlight w:val="none"/>
          <w:shd w:val="clear" w:color="auto" w:fill="auto"/>
          <w:lang w:val="en-US" w:eastAsia="zh-CN"/>
        </w:rPr>
        <w:t xml:space="preserve">上一年度</w:t>
      </w:r>
      <w:r>
        <w:rPr>
          <w:rStyle w:val="1045"/>
          <w:rFonts w:hint="eastAsia" w:ascii="宋体" w:hAnsi="宋体" w:eastAsia="宋体" w:cs="宋体"/>
          <w:bCs/>
          <w:color w:val="000000"/>
          <w:sz w:val="21"/>
          <w:szCs w:val="21"/>
          <w:highlight w:val="none"/>
          <w:shd w:val="clear" w:color="auto" w:fill="auto"/>
          <w:lang w:val="en-US" w:eastAsia="zh-CN"/>
        </w:rPr>
        <w:t xml:space="preserve">数据，无上一年度数据的新成立企业可不填报。</w:t>
      </w:r>
      <w:r>
        <w:rPr>
          <w:rStyle w:val="1045"/>
          <w:rFonts w:hint="eastAsia" w:ascii="宋体" w:hAnsi="宋体" w:eastAsia="宋体" w:cs="宋体"/>
          <w:bCs/>
          <w:color w:val="000000"/>
          <w:sz w:val="21"/>
          <w:szCs w:val="21"/>
          <w:highlight w:val="none"/>
          <w:shd w:val="clear" w:color="auto" w:fill="auto"/>
          <w:lang w:val="en-US" w:eastAsia="zh-CN"/>
        </w:rPr>
      </w:r>
      <w:r/>
    </w:p>
    <w:p>
      <w:pPr>
        <w:pStyle w:val="725"/>
        <w:ind w:firstLine="432"/>
        <w:spacing w:line="420" w:lineRule="exact"/>
        <w:shd w:val="clear" w:color="auto" w:fill="auto"/>
        <w:rPr>
          <w:rStyle w:val="1045"/>
          <w:rFonts w:hint="eastAsia" w:ascii="宋体" w:hAnsi="宋体" w:eastAsia="宋体" w:cs="宋体"/>
          <w:bCs/>
          <w:color w:val="000000"/>
          <w:sz w:val="21"/>
          <w:szCs w:val="21"/>
          <w:highlight w:val="none"/>
          <w:shd w:val="clear" w:color="auto" w:fill="auto"/>
          <w:lang w:val="en-US" w:eastAsia="zh-CN"/>
        </w:rPr>
      </w:pPr>
      <w:r>
        <w:rPr>
          <w:rStyle w:val="1045"/>
          <w:rFonts w:hint="eastAsia" w:ascii="宋体" w:hAnsi="宋体" w:eastAsia="宋体" w:cs="宋体"/>
          <w:bCs/>
          <w:color w:val="000000"/>
          <w:sz w:val="21"/>
          <w:szCs w:val="21"/>
          <w:highlight w:val="none"/>
          <w:shd w:val="clear" w:color="auto" w:fill="auto"/>
          <w:lang w:val="en-US" w:eastAsia="zh-CN"/>
        </w:rPr>
        <w:t xml:space="preserve">（2）《关于印发中小企业划型标准规定的通知》中“软件和信息技术服务业”中小企业划型标准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045"/>
          <w:rFonts w:hint="eastAsia" w:ascii="宋体" w:hAnsi="宋体" w:eastAsia="宋体" w:cs="宋体"/>
          <w:bCs/>
          <w:color w:val="000000"/>
          <w:sz w:val="21"/>
          <w:szCs w:val="21"/>
          <w:highlight w:val="none"/>
          <w:shd w:val="clear" w:color="auto" w:fill="auto"/>
          <w:lang w:val="en-US" w:eastAsia="zh-CN"/>
        </w:rPr>
        <w:br w:type="textWrapping" w:clear="all"/>
      </w:r>
      <w:r>
        <w:rPr>
          <w:rStyle w:val="1045"/>
          <w:rFonts w:hint="eastAsia" w:ascii="宋体" w:hAnsi="宋体" w:eastAsia="宋体" w:cs="宋体"/>
          <w:bCs/>
          <w:color w:val="000000"/>
          <w:sz w:val="21"/>
          <w:szCs w:val="21"/>
          <w:highlight w:val="none"/>
          <w:shd w:val="clear" w:color="auto" w:fill="auto"/>
          <w:lang w:val="en-US" w:eastAsia="zh-CN"/>
        </w:rPr>
      </w:r>
      <w:r/>
    </w:p>
    <w:p>
      <w:pPr>
        <w:pStyle w:val="725"/>
        <w:shd w:val="clear" w:color="auto" w:fill="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br w:type="page" w:clear="all"/>
      </w:r>
      <w:r>
        <w:rPr>
          <w:rFonts w:hint="eastAsia" w:ascii="宋体" w:hAnsi="宋体" w:eastAsia="宋体" w:cs="宋体"/>
          <w:b/>
          <w:bCs/>
          <w:color w:val="000000"/>
          <w:sz w:val="24"/>
          <w:szCs w:val="24"/>
          <w:highlight w:val="none"/>
          <w:shd w:val="clear" w:color="auto" w:fill="auto"/>
        </w:rPr>
      </w:r>
      <w:r/>
    </w:p>
    <w:p>
      <w:pPr>
        <w:pStyle w:val="725"/>
        <w:jc w:val="center"/>
        <w:spacing w:line="300" w:lineRule="auto"/>
        <w:shd w:val="clear" w:color="auto" w:fill="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4"/>
          <w:szCs w:val="24"/>
          <w:highlight w:val="none"/>
          <w:shd w:val="clear" w:color="auto" w:fill="auto"/>
        </w:rPr>
        <w:t xml:space="preserve">残疾人福利性单位声明函</w:t>
      </w:r>
      <w:r>
        <w:rPr>
          <w:rFonts w:hint="eastAsia" w:ascii="宋体" w:hAnsi="宋体" w:eastAsia="宋体" w:cs="宋体"/>
          <w:b/>
          <w:bCs/>
          <w:color w:val="000000"/>
          <w:sz w:val="24"/>
          <w:szCs w:val="24"/>
          <w:highlight w:val="none"/>
          <w:shd w:val="clear" w:color="auto" w:fill="auto"/>
        </w:rPr>
      </w:r>
      <w:r/>
    </w:p>
    <w:p>
      <w:pPr>
        <w:pStyle w:val="725"/>
        <w:jc w:val="center"/>
        <w:shd w:val="clear" w:color="auto" w:fill="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25"/>
        <w:ind w:firstLine="42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项目采购活动由本单位提供服务，或者提供其他残疾人福利性单位制造的货物（不包括使用非残疾人福利性单位注册商标的货物）。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shd w:val="clear" w:color="auto" w:fill="auto"/>
        </w:rPr>
      </w:r>
      <w:r/>
    </w:p>
    <w:p>
      <w:pPr>
        <w:pStyle w:val="725"/>
        <w:ind w:firstLine="42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本单位对上述声明的真实性负责。如有虚假，将依法承担相应责任。</w:t>
      </w:r>
      <w:r>
        <w:rPr>
          <w:rFonts w:hint="eastAsia" w:ascii="宋体" w:hAnsi="宋体" w:eastAsia="宋体" w:cs="宋体"/>
          <w:color w:val="000000"/>
          <w:sz w:val="21"/>
          <w:szCs w:val="21"/>
          <w:highlight w:val="none"/>
          <w:shd w:val="clear" w:color="auto" w:fill="auto"/>
        </w:rPr>
      </w:r>
      <w:r/>
    </w:p>
    <w:p>
      <w:pPr>
        <w:pStyle w:val="725"/>
        <w:ind w:firstLine="420"/>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（备注：中标供应商为残疾人福利单位的，此声明函将随中标结果同时公告，接受社会监督）</w:t>
      </w:r>
      <w:r>
        <w:rPr>
          <w:rFonts w:hint="eastAsia" w:ascii="宋体" w:hAnsi="宋体" w:eastAsia="宋体" w:cs="宋体"/>
          <w:color w:val="000000"/>
          <w:sz w:val="21"/>
          <w:szCs w:val="21"/>
          <w:highlight w:val="none"/>
          <w:shd w:val="clear" w:color="auto" w:fill="auto"/>
        </w:rPr>
      </w:r>
      <w:r/>
    </w:p>
    <w:p>
      <w:pPr>
        <w:pStyle w:val="725"/>
        <w:ind w:firstLine="444"/>
        <w:spacing w:line="360" w:lineRule="auto"/>
        <w:shd w:val="clear" w:color="auto" w:fill="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725"/>
        <w:spacing w:line="360" w:lineRule="auto"/>
        <w:shd w:val="clear" w:color="auto" w:fill="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725"/>
        <w:spacing w:line="360" w:lineRule="auto"/>
        <w:shd w:val="clear" w:color="auto" w:fill="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725"/>
        <w:ind w:right="1560" w:firstLine="444"/>
        <w:jc w:val="center"/>
        <w:spacing w:line="360" w:lineRule="auto"/>
        <w:shd w:val="clear" w:color="auto" w:fill="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t xml:space="preserve">           企业名称（盖章）</w:t>
      </w:r>
      <w:r>
        <w:rPr>
          <w:rFonts w:hint="eastAsia" w:ascii="宋体" w:hAnsi="宋体" w:eastAsia="宋体" w:cs="宋体"/>
          <w:color w:val="000000"/>
          <w:sz w:val="21"/>
          <w:szCs w:val="21"/>
          <w:highlight w:val="none"/>
          <w:shd w:val="clear" w:color="auto" w:fill="auto"/>
        </w:rPr>
      </w:r>
      <w:r/>
    </w:p>
    <w:p>
      <w:pPr>
        <w:pStyle w:val="725"/>
        <w:ind w:right="1560" w:firstLine="420"/>
        <w:jc w:val="center"/>
        <w:spacing w:line="360" w:lineRule="auto"/>
        <w:shd w:val="clear" w:color="auto" w:fill="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日  期：</w:t>
      </w:r>
      <w:r>
        <w:rPr>
          <w:rFonts w:hint="eastAsia" w:ascii="宋体" w:hAnsi="宋体" w:eastAsia="宋体" w:cs="宋体"/>
          <w:color w:val="000000"/>
          <w:sz w:val="21"/>
          <w:szCs w:val="21"/>
          <w:highlight w:val="none"/>
          <w:shd w:val="clear" w:color="auto" w:fill="auto"/>
        </w:rPr>
      </w:r>
      <w:r/>
    </w:p>
    <w:p>
      <w:pPr>
        <w:pStyle w:val="725"/>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jc w:val="center"/>
        <w:shd w:val="clear" w:color="auto" w:fill="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25"/>
        <w:jc w:val="center"/>
        <w:shd w:val="clear" w:color="auto" w:fill="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25"/>
        <w:jc w:val="center"/>
        <w:shd w:val="clear" w:color="auto" w:fill="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25"/>
        <w:jc w:val="center"/>
        <w:spacing w:line="300" w:lineRule="auto"/>
        <w:shd w:val="clear" w:color="auto" w:fill="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4"/>
          <w:szCs w:val="24"/>
          <w:highlight w:val="none"/>
          <w:shd w:val="clear" w:color="auto" w:fill="auto"/>
        </w:rPr>
        <w:t xml:space="preserve">监狱和戒毒企业证明材料</w:t>
      </w:r>
      <w:r>
        <w:rPr>
          <w:rFonts w:hint="eastAsia" w:ascii="宋体" w:hAnsi="宋体" w:eastAsia="宋体" w:cs="宋体"/>
          <w:b/>
          <w:bCs/>
          <w:color w:val="000000"/>
          <w:sz w:val="24"/>
          <w:szCs w:val="24"/>
          <w:highlight w:val="none"/>
          <w:shd w:val="clear" w:color="auto" w:fill="auto"/>
        </w:rPr>
      </w:r>
      <w:r/>
    </w:p>
    <w:p>
      <w:pPr>
        <w:pStyle w:val="725"/>
        <w:jc w:val="center"/>
        <w:shd w:val="clear" w:color="auto" w:fill="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25"/>
        <w:ind w:firstLine="371"/>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firstLine="373"/>
        <w:jc w:val="center"/>
        <w:spacing w:line="360" w:lineRule="auto"/>
        <w:shd w:val="clear" w:color="auto" w:fill="auto"/>
        <w:widowControl/>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（格式自拟）</w:t>
      </w:r>
      <w:r>
        <w:rPr>
          <w:rFonts w:hint="eastAsia" w:ascii="宋体" w:hAnsi="宋体" w:eastAsia="宋体" w:cs="宋体"/>
          <w:b/>
          <w:color w:val="000000"/>
          <w:sz w:val="21"/>
          <w:szCs w:val="21"/>
          <w:highlight w:val="none"/>
          <w:shd w:val="clear" w:color="auto" w:fill="auto"/>
        </w:rPr>
      </w:r>
      <w:r/>
    </w:p>
    <w:p>
      <w:pPr>
        <w:pStyle w:val="725"/>
        <w:ind w:firstLine="371"/>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25"/>
        <w:ind w:firstLine="495"/>
        <w:spacing w:line="360" w:lineRule="auto"/>
        <w:shd w:val="clear" w:color="auto" w:fill="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1"/>
          <w:szCs w:val="21"/>
          <w:highlight w:val="none"/>
          <w:shd w:val="clear" w:color="auto" w:fill="auto"/>
        </w:rPr>
      </w:r>
      <w:r/>
    </w:p>
    <w:p>
      <w:pPr>
        <w:pStyle w:val="725"/>
        <w:spacing w:line="360" w:lineRule="auto"/>
        <w:shd w:val="clear" w:color="auto" w:fill="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rPr>
      </w:r>
      <w:r/>
    </w:p>
    <w:p>
      <w:pPr>
        <w:pStyle w:val="725"/>
        <w:spacing w:line="360" w:lineRule="auto"/>
        <w:shd w:val="clear" w:color="auto" w:fill="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725"/>
        <w:spacing w:line="360" w:lineRule="auto"/>
        <w:shd w:val="clear" w:color="auto" w:fill="auto"/>
        <w:widowControl/>
        <w:rPr>
          <w:rFonts w:hint="eastAsia" w:ascii="宋体" w:hAnsi="宋体" w:eastAsia="宋体" w:cs="宋体"/>
          <w:b/>
          <w:color w:val="000000"/>
          <w:szCs w:val="21"/>
          <w:highlight w:val="none"/>
          <w:shd w:val="clear" w:color="auto" w:fill="auto"/>
          <w:lang w:val="en-US" w:eastAsia="zh-CN"/>
        </w:rPr>
        <w:outlineLvl w:val="0"/>
      </w:pPr>
      <w:r>
        <w:rPr>
          <w:rFonts w:hint="eastAsia" w:ascii="宋体" w:hAnsi="宋体" w:eastAsia="宋体" w:cs="宋体"/>
          <w:b/>
          <w:color w:val="000000"/>
          <w:szCs w:val="21"/>
          <w:highlight w:val="none"/>
          <w:shd w:val="clear" w:color="auto" w:fill="auto"/>
          <w:lang w:val="en-US" w:eastAsia="zh-CN"/>
        </w:rPr>
      </w:r>
      <w:r/>
    </w:p>
    <w:p>
      <w:pPr>
        <w:pStyle w:val="725"/>
        <w:spacing w:line="360" w:lineRule="auto"/>
        <w:shd w:val="clear" w:color="auto" w:fill="auto"/>
        <w:widowControl/>
        <w:rPr>
          <w:rFonts w:hint="eastAsia" w:ascii="宋体" w:hAnsi="宋体" w:eastAsia="宋体" w:cs="宋体"/>
          <w:b/>
          <w:bCs/>
          <w:i w:val="0"/>
          <w:iCs w:val="0"/>
          <w:color w:val="000000"/>
          <w:sz w:val="21"/>
          <w:szCs w:val="21"/>
          <w:highlight w:val="none"/>
          <w:u w:val="none"/>
          <w:shd w:val="clear" w:color="auto" w:fill="auto"/>
          <w:lang w:val="en-US" w:eastAsia="zh-CN"/>
        </w:rPr>
        <w:outlineLvl w:val="0"/>
      </w:pPr>
      <w:r>
        <w:rPr>
          <w:rFonts w:hint="eastAsia" w:ascii="宋体" w:hAnsi="宋体" w:eastAsia="宋体" w:cs="宋体"/>
          <w:b/>
          <w:bCs/>
          <w:i w:val="0"/>
          <w:iCs w:val="0"/>
          <w:color w:val="000000"/>
          <w:sz w:val="21"/>
          <w:szCs w:val="21"/>
          <w:highlight w:val="none"/>
          <w:u w:val="none"/>
          <w:shd w:val="clear" w:color="auto" w:fill="auto"/>
          <w:lang w:val="en-US" w:eastAsia="zh-CN"/>
        </w:rPr>
        <w:br w:type="page" w:clear="all"/>
      </w:r>
      <w:r>
        <w:rPr>
          <w:rFonts w:hint="eastAsia" w:ascii="宋体" w:hAnsi="宋体" w:eastAsia="宋体" w:cs="宋体"/>
          <w:b/>
          <w:bCs/>
          <w:i w:val="0"/>
          <w:iCs w:val="0"/>
          <w:color w:val="000000"/>
          <w:sz w:val="21"/>
          <w:szCs w:val="21"/>
          <w:highlight w:val="none"/>
          <w:u w:val="none"/>
          <w:shd w:val="clear" w:color="auto" w:fill="auto"/>
          <w:lang w:val="en-US" w:eastAsia="zh-CN"/>
        </w:rPr>
        <w:t xml:space="preserve">七、报价承诺函</w:t>
      </w:r>
      <w:r>
        <w:rPr>
          <w:rFonts w:hint="eastAsia" w:ascii="宋体" w:hAnsi="宋体" w:eastAsia="宋体" w:cs="宋体"/>
          <w:b/>
          <w:bCs/>
          <w:i w:val="0"/>
          <w:iCs w:val="0"/>
          <w:color w:val="000000"/>
          <w:sz w:val="21"/>
          <w:szCs w:val="21"/>
          <w:highlight w:val="none"/>
          <w:u w:val="none"/>
          <w:shd w:val="clear" w:color="auto" w:fill="auto"/>
          <w:lang w:val="en-US" w:eastAsia="zh-CN"/>
        </w:rPr>
      </w:r>
      <w:r/>
    </w:p>
    <w:p>
      <w:pPr>
        <w:pStyle w:val="725"/>
        <w:jc w:val="center"/>
        <w:shd w:val="clear" w:color="auto" w:fill="auto"/>
        <w:rPr>
          <w:rFonts w:hint="eastAsia" w:ascii="宋体" w:hAnsi="宋体" w:eastAsia="宋体" w:cs="宋体"/>
          <w:b/>
          <w:bCs/>
          <w:color w:val="000000"/>
          <w:sz w:val="44"/>
          <w:szCs w:val="44"/>
          <w:highlight w:val="none"/>
          <w:shd w:val="clear" w:color="auto" w:fill="auto"/>
          <w:lang w:val="en-US" w:eastAsia="zh-CN"/>
        </w:rPr>
      </w:pPr>
      <w:r>
        <w:rPr>
          <w:rFonts w:hint="eastAsia" w:ascii="宋体" w:hAnsi="宋体" w:eastAsia="宋体" w:cs="宋体"/>
          <w:b/>
          <w:bCs/>
          <w:color w:val="000000"/>
          <w:sz w:val="28"/>
          <w:szCs w:val="24"/>
          <w:highlight w:val="none"/>
          <w:shd w:val="clear" w:color="auto" w:fill="auto"/>
          <w:lang w:val="en-US" w:eastAsia="zh-CN"/>
        </w:rPr>
        <w:t xml:space="preserve">报价承诺函</w:t>
      </w:r>
      <w:r>
        <w:rPr>
          <w:rFonts w:hint="eastAsia" w:ascii="宋体" w:hAnsi="宋体" w:eastAsia="宋体" w:cs="宋体"/>
          <w:b/>
          <w:bCs/>
          <w:color w:val="000000"/>
          <w:sz w:val="44"/>
          <w:szCs w:val="44"/>
          <w:highlight w:val="none"/>
          <w:shd w:val="clear" w:color="auto" w:fill="auto"/>
          <w:lang w:val="en-US" w:eastAsia="zh-CN"/>
        </w:rPr>
      </w:r>
      <w:r/>
    </w:p>
    <w:p>
      <w:pPr>
        <w:pStyle w:val="988"/>
        <w:ind w:left="0" w:right="120" w:firstLine="0"/>
        <w:jc w:val="left"/>
        <w:keepLines w:val="0"/>
        <w:keepNext w:val="0"/>
        <w:pageBreakBefore w:val="0"/>
        <w:spacing w:before="0" w:after="0" w:line="360" w:lineRule="auto"/>
        <w:shd w:val="clear" w:color="auto" w:fill="auto"/>
        <w:widowControl w:val="off"/>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r>
      <w:r/>
    </w:p>
    <w:p>
      <w:pPr>
        <w:pStyle w:val="988"/>
        <w:ind w:left="0" w:right="120" w:firstLine="0"/>
        <w:jc w:val="left"/>
        <w:keepLines w:val="0"/>
        <w:keepNext w:val="0"/>
        <w:pageBreakBefore w:val="0"/>
        <w:spacing w:before="0" w:after="0"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南通市人力资源和社会保障信息中心</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25"/>
        <w:ind w:firstLine="492"/>
        <w:keepLines w:val="0"/>
        <w:keepNext w:val="0"/>
        <w:pageBreakBefore w:val="0"/>
        <w:spacing w:line="360" w:lineRule="auto"/>
        <w:shd w:val="clear" w:color="auto" w:fill="auto"/>
        <w:widowControl w:val="off"/>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Cs w:val="21"/>
          <w:highlight w:val="none"/>
          <w:shd w:val="clear" w:color="auto" w:fill="auto"/>
        </w:rPr>
        <w:t xml:space="preserve">郑重</w:t>
      </w:r>
      <w:r>
        <w:rPr>
          <w:rFonts w:hint="eastAsia" w:ascii="宋体" w:hAnsi="宋体" w:eastAsia="宋体" w:cs="宋体"/>
          <w:color w:val="000000"/>
          <w:szCs w:val="21"/>
          <w:highlight w:val="none"/>
          <w:shd w:val="clear" w:color="auto" w:fill="auto"/>
          <w:lang w:val="en-US" w:eastAsia="zh-CN"/>
        </w:rPr>
        <w:t xml:space="preserve">承诺：</w:t>
      </w:r>
      <w:r>
        <w:rPr>
          <w:rFonts w:hint="eastAsia" w:ascii="宋体" w:hAnsi="宋体" w:eastAsia="宋体" w:cs="宋体"/>
          <w:color w:val="000000"/>
          <w:szCs w:val="21"/>
          <w:highlight w:val="none"/>
          <w:shd w:val="clear" w:color="auto" w:fill="auto"/>
          <w:lang w:val="en-US" w:eastAsia="zh-CN"/>
        </w:rPr>
      </w:r>
      <w:r/>
    </w:p>
    <w:p>
      <w:pPr>
        <w:pStyle w:val="725"/>
        <w:ind w:firstLine="492"/>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Cs w:val="21"/>
          <w:highlight w:val="none"/>
          <w:shd w:val="clear" w:color="auto" w:fill="auto"/>
        </w:rPr>
        <w:t xml:space="preserve">报价</w:t>
      </w:r>
      <w:r>
        <w:rPr>
          <w:rFonts w:hint="eastAsia" w:ascii="宋体" w:hAnsi="宋体" w:eastAsia="宋体" w:cs="宋体"/>
          <w:color w:val="000000"/>
          <w:szCs w:val="21"/>
          <w:highlight w:val="none"/>
          <w:shd w:val="clear" w:color="auto" w:fill="auto"/>
          <w:lang w:val="en-US" w:eastAsia="zh-CN"/>
        </w:rPr>
        <w:t xml:space="preserve">未</w:t>
      </w:r>
      <w:r>
        <w:rPr>
          <w:rFonts w:hint="eastAsia" w:ascii="宋体" w:hAnsi="宋体" w:eastAsia="宋体" w:cs="宋体"/>
          <w:color w:val="000000"/>
          <w:szCs w:val="21"/>
          <w:highlight w:val="none"/>
          <w:shd w:val="clear" w:color="auto" w:fill="auto"/>
        </w:rPr>
        <w:t xml:space="preserve">超过最高限价。</w:t>
      </w: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 w:val="21"/>
          <w:szCs w:val="21"/>
          <w:highlight w:val="none"/>
          <w:shd w:val="clear" w:color="auto" w:fill="auto"/>
          <w:lang w:val="en-US" w:eastAsia="zh-CN"/>
        </w:rPr>
        <w:t xml:space="preserve">报价包</w:t>
      </w:r>
      <w:r>
        <w:rPr>
          <w:rFonts w:hint="eastAsia" w:ascii="宋体" w:hAnsi="宋体" w:eastAsia="宋体" w:cs="宋体"/>
          <w:color w:val="000000"/>
          <w:sz w:val="21"/>
          <w:szCs w:val="21"/>
          <w:highlight w:val="none"/>
          <w:shd w:val="clear" w:color="auto" w:fill="auto"/>
        </w:rPr>
        <w:t xml:space="preserve">含全部维保费用，包括设备调试费用、人员培训费及其它所需配件等所需线材辅料等一切费用；</w:t>
      </w: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 w:val="21"/>
          <w:szCs w:val="21"/>
          <w:highlight w:val="none"/>
          <w:shd w:val="clear" w:color="auto" w:fill="auto"/>
          <w:lang w:val="en-US" w:eastAsia="zh-CN"/>
        </w:rPr>
        <w:t xml:space="preserve">已</w:t>
      </w:r>
      <w:r>
        <w:rPr>
          <w:rFonts w:hint="eastAsia" w:ascii="宋体" w:hAnsi="宋体" w:eastAsia="宋体" w:cs="宋体"/>
          <w:color w:val="000000"/>
          <w:sz w:val="21"/>
          <w:szCs w:val="21"/>
          <w:highlight w:val="none"/>
          <w:shd w:val="clear" w:color="auto" w:fill="auto"/>
        </w:rPr>
        <w:t xml:space="preserve">对本次项目进行充分的调研，</w:t>
      </w:r>
      <w:r>
        <w:rPr>
          <w:rFonts w:hint="eastAsia" w:ascii="宋体" w:hAnsi="宋体" w:eastAsia="宋体" w:cs="宋体"/>
          <w:color w:val="000000"/>
          <w:sz w:val="21"/>
          <w:szCs w:val="21"/>
          <w:highlight w:val="none"/>
          <w:shd w:val="clear" w:color="auto" w:fill="auto"/>
          <w:lang w:val="en-US" w:eastAsia="zh-CN"/>
        </w:rPr>
        <w:t xml:space="preserve">若</w:t>
      </w: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 w:val="21"/>
          <w:szCs w:val="21"/>
          <w:highlight w:val="none"/>
          <w:shd w:val="clear" w:color="auto" w:fill="auto"/>
          <w:lang w:val="en-US" w:eastAsia="zh-CN"/>
        </w:rPr>
        <w:t xml:space="preserve">中标，</w:t>
      </w:r>
      <w:r>
        <w:rPr>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 w:val="21"/>
          <w:szCs w:val="21"/>
          <w:highlight w:val="none"/>
          <w:shd w:val="clear" w:color="auto" w:fill="auto"/>
        </w:rPr>
        <w:t xml:space="preserve">确保在项目实施过程中，采购人的各类业务系统正常运行。</w:t>
      </w:r>
      <w:r>
        <w:rPr>
          <w:rFonts w:hint="eastAsia" w:ascii="宋体" w:hAnsi="宋体" w:eastAsia="宋体" w:cs="宋体"/>
          <w:color w:val="000000"/>
          <w:sz w:val="21"/>
          <w:szCs w:val="21"/>
          <w:highlight w:val="none"/>
          <w:shd w:val="clear" w:color="auto" w:fill="auto"/>
        </w:rPr>
      </w:r>
      <w:r/>
    </w:p>
    <w:p>
      <w:pPr>
        <w:pStyle w:val="737"/>
        <w:shd w:val="clear" w:color="auto" w:fill="auto"/>
        <w:rPr>
          <w:rFonts w:hint="eastAsia"/>
          <w:color w:val="000000"/>
          <w:highlight w:val="none"/>
          <w:shd w:val="clear" w:color="auto" w:fill="auto"/>
          <w:lang w:eastAsia="zh-CN"/>
        </w:rPr>
      </w:pPr>
      <w:r>
        <w:rPr>
          <w:rFonts w:hint="eastAsia"/>
          <w:color w:val="000000"/>
          <w:highlight w:val="none"/>
          <w:shd w:val="clear" w:color="auto" w:fill="auto"/>
          <w:lang w:eastAsia="zh-CN"/>
        </w:rPr>
      </w:r>
      <w:r/>
    </w:p>
    <w:p>
      <w:pPr>
        <w:pStyle w:val="757"/>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ind w:firstLine="492"/>
        <w:jc w:val="righ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1"/>
          <w:highlight w:val="none"/>
          <w:shd w:val="clear" w:color="auto" w:fill="auto"/>
        </w:rPr>
      </w:pPr>
      <w:r>
        <w:rPr>
          <w:rFonts w:hint="eastAsia" w:ascii="宋体" w:hAnsi="宋体" w:eastAsia="宋体" w:cs="宋体"/>
          <w:b w:val="0"/>
          <w:bCs w:val="0"/>
          <w:color w:val="000000"/>
          <w:sz w:val="24"/>
          <w:szCs w:val="21"/>
          <w:highlight w:val="none"/>
          <w:shd w:val="clear" w:color="auto" w:fill="auto"/>
        </w:rPr>
        <w:t xml:space="preserve"> 供应商：（加盖CA电子公章）</w:t>
      </w:r>
      <w:r>
        <w:rPr>
          <w:rFonts w:hint="eastAsia" w:ascii="宋体" w:hAnsi="宋体" w:eastAsia="宋体" w:cs="宋体"/>
          <w:b w:val="0"/>
          <w:bCs w:val="0"/>
          <w:color w:val="000000"/>
          <w:sz w:val="24"/>
          <w:szCs w:val="21"/>
          <w:highlight w:val="none"/>
          <w:shd w:val="clear" w:color="auto" w:fill="auto"/>
        </w:rPr>
      </w:r>
      <w:r/>
    </w:p>
    <w:p>
      <w:pPr>
        <w:pStyle w:val="745"/>
        <w:jc w:val="righ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1"/>
          <w:highlight w:val="none"/>
          <w:shd w:val="clear" w:color="auto" w:fill="auto"/>
        </w:rPr>
      </w:pPr>
      <w:r>
        <w:rPr>
          <w:rFonts w:hint="eastAsia" w:ascii="宋体" w:hAnsi="宋体" w:eastAsia="宋体" w:cs="宋体"/>
          <w:b w:val="0"/>
          <w:bCs w:val="0"/>
          <w:color w:val="000000"/>
          <w:sz w:val="24"/>
          <w:szCs w:val="21"/>
          <w:highlight w:val="none"/>
          <w:shd w:val="clear" w:color="auto" w:fill="auto"/>
        </w:rPr>
        <w:t xml:space="preserve"> </w:t>
      </w:r>
      <w:r>
        <w:rPr>
          <w:rFonts w:hint="eastAsia" w:ascii="宋体" w:hAnsi="宋体" w:eastAsia="宋体" w:cs="宋体"/>
          <w:b w:val="0"/>
          <w:bCs w:val="0"/>
          <w:color w:val="000000"/>
          <w:sz w:val="24"/>
          <w:szCs w:val="21"/>
          <w:highlight w:val="none"/>
          <w:shd w:val="clear" w:color="auto" w:fill="auto"/>
        </w:rPr>
      </w:r>
      <w:r/>
    </w:p>
    <w:p>
      <w:pPr>
        <w:pStyle w:val="745"/>
        <w:jc w:val="right"/>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1"/>
          <w:highlight w:val="none"/>
          <w:shd w:val="clear" w:color="auto" w:fill="auto"/>
          <w:lang w:val="en-US" w:eastAsia="zh-CN" w:bidi="ar-SA"/>
        </w:rPr>
      </w:pPr>
      <w:r>
        <w:rPr>
          <w:rFonts w:hint="eastAsia" w:ascii="宋体" w:hAnsi="宋体" w:eastAsia="宋体" w:cs="宋体"/>
          <w:b w:val="0"/>
          <w:bCs w:val="0"/>
          <w:color w:val="000000"/>
          <w:sz w:val="24"/>
          <w:szCs w:val="21"/>
          <w:highlight w:val="none"/>
          <w:shd w:val="clear" w:color="auto" w:fill="auto"/>
          <w:lang w:val="en-US" w:eastAsia="zh-CN" w:bidi="ar-SA"/>
        </w:rPr>
        <w:t xml:space="preserve">   年</w:t>
      </w:r>
      <w:r>
        <w:rPr>
          <w:rFonts w:hint="eastAsia" w:ascii="宋体" w:hAnsi="宋体" w:eastAsia="宋体" w:cs="宋体"/>
          <w:b w:val="0"/>
          <w:bCs w:val="0"/>
          <w:color w:val="000000"/>
          <w:sz w:val="24"/>
          <w:szCs w:val="21"/>
          <w:highlight w:val="none"/>
          <w:shd w:val="clear" w:color="auto" w:fill="auto"/>
          <w:lang w:val="en-US" w:eastAsia="zh-CN" w:bidi="ar-SA"/>
        </w:rPr>
        <w:tab/>
      </w:r>
      <w:r>
        <w:rPr>
          <w:rFonts w:hint="eastAsia" w:ascii="宋体" w:hAnsi="宋体" w:eastAsia="宋体" w:cs="宋体"/>
          <w:b w:val="0"/>
          <w:bCs w:val="0"/>
          <w:color w:val="000000"/>
          <w:sz w:val="24"/>
          <w:szCs w:val="21"/>
          <w:highlight w:val="none"/>
          <w:shd w:val="clear" w:color="auto" w:fill="auto"/>
          <w:lang w:val="en-US" w:eastAsia="zh-CN" w:bidi="ar-SA"/>
        </w:rPr>
        <w:t xml:space="preserve"> 月 </w:t>
      </w:r>
      <w:r>
        <w:rPr>
          <w:rFonts w:hint="eastAsia" w:ascii="宋体" w:hAnsi="宋体" w:eastAsia="宋体" w:cs="宋体"/>
          <w:b w:val="0"/>
          <w:bCs w:val="0"/>
          <w:color w:val="000000"/>
          <w:sz w:val="24"/>
          <w:szCs w:val="21"/>
          <w:highlight w:val="none"/>
          <w:shd w:val="clear" w:color="auto" w:fill="auto"/>
          <w:lang w:val="en-US" w:eastAsia="zh-CN" w:bidi="ar-SA"/>
        </w:rPr>
        <w:tab/>
      </w:r>
      <w:r>
        <w:rPr>
          <w:rFonts w:hint="eastAsia" w:ascii="宋体" w:hAnsi="宋体" w:eastAsia="宋体" w:cs="宋体"/>
          <w:b w:val="0"/>
          <w:bCs w:val="0"/>
          <w:color w:val="000000"/>
          <w:sz w:val="24"/>
          <w:szCs w:val="21"/>
          <w:highlight w:val="none"/>
          <w:shd w:val="clear" w:color="auto" w:fill="auto"/>
          <w:lang w:val="en-US" w:eastAsia="zh-CN" w:bidi="ar-SA"/>
        </w:rPr>
        <w:t xml:space="preserve">日</w:t>
      </w:r>
      <w:r>
        <w:rPr>
          <w:rFonts w:hint="eastAsia" w:ascii="宋体" w:hAnsi="宋体" w:eastAsia="宋体" w:cs="宋体"/>
          <w:b w:val="0"/>
          <w:bCs w:val="0"/>
          <w:color w:val="000000"/>
          <w:sz w:val="24"/>
          <w:szCs w:val="21"/>
          <w:highlight w:val="none"/>
          <w:shd w:val="clear" w:color="auto" w:fill="auto"/>
          <w:lang w:val="en-US" w:eastAsia="zh-CN" w:bidi="ar-SA"/>
        </w:rPr>
      </w:r>
      <w:r/>
    </w:p>
    <w:p>
      <w:pPr>
        <w:pStyle w:val="725"/>
        <w:spacing w:line="48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br w:type="page" w:clear="all"/>
      </w:r>
      <w:r>
        <w:rPr>
          <w:rFonts w:hint="eastAsia" w:ascii="宋体" w:hAnsi="宋体" w:eastAsia="宋体" w:cs="宋体"/>
          <w:b/>
          <w:bCs/>
          <w:color w:val="000000"/>
          <w:szCs w:val="21"/>
          <w:highlight w:val="none"/>
          <w:shd w:val="clear" w:color="auto" w:fill="auto"/>
          <w:lang w:val="en-US" w:eastAsia="zh-CN"/>
        </w:rPr>
        <w:t xml:space="preserve">八</w:t>
      </w:r>
      <w:r>
        <w:rPr>
          <w:rFonts w:hint="eastAsia" w:ascii="宋体" w:hAnsi="宋体" w:eastAsia="宋体" w:cs="宋体"/>
          <w:b/>
          <w:bCs/>
          <w:color w:val="000000"/>
          <w:szCs w:val="21"/>
          <w:highlight w:val="none"/>
          <w:shd w:val="clear" w:color="auto" w:fill="auto"/>
        </w:rPr>
        <w:t xml:space="preserve">、投标函</w:t>
      </w:r>
      <w:r>
        <w:rPr>
          <w:rFonts w:hint="eastAsia" w:ascii="宋体" w:hAnsi="宋体" w:eastAsia="宋体" w:cs="宋体"/>
          <w:b/>
          <w:bCs/>
          <w:color w:val="000000"/>
          <w:szCs w:val="21"/>
          <w:highlight w:val="none"/>
          <w:shd w:val="clear" w:color="auto" w:fill="auto"/>
        </w:rPr>
      </w:r>
      <w:r/>
    </w:p>
    <w:p>
      <w:pPr>
        <w:pStyle w:val="725"/>
        <w:jc w:val="center"/>
        <w:spacing w:line="48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投标函</w:t>
      </w:r>
      <w:r>
        <w:rPr>
          <w:rFonts w:hint="eastAsia" w:ascii="宋体" w:hAnsi="宋体" w:eastAsia="宋体" w:cs="宋体"/>
          <w:b/>
          <w:bCs/>
          <w:color w:val="000000"/>
          <w:szCs w:val="21"/>
          <w:highlight w:val="none"/>
          <w:shd w:val="clear" w:color="auto" w:fill="auto"/>
        </w:rPr>
      </w:r>
      <w:r/>
    </w:p>
    <w:p>
      <w:pPr>
        <w:pStyle w:val="988"/>
        <w:ind w:left="0" w:right="120" w:firstLine="0"/>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南通市人力资源和社会保障信息中心</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根据贵方</w:t>
      </w:r>
      <w:r>
        <w:rPr>
          <w:rFonts w:hint="eastAsia" w:ascii="宋体" w:hAnsi="宋体" w:eastAsia="宋体" w:cs="宋体"/>
          <w:color w:val="000000"/>
          <w:sz w:val="21"/>
          <w:szCs w:val="21"/>
          <w:highlight w:val="none"/>
          <w:shd w:val="clear" w:color="auto" w:fill="auto"/>
        </w:rPr>
        <w:t xml:space="preserve">________</w:t>
      </w:r>
      <w:r>
        <w:rPr>
          <w:rFonts w:hint="eastAsia" w:ascii="宋体" w:hAnsi="宋体" w:eastAsia="宋体" w:cs="宋体"/>
          <w:color w:val="000000"/>
          <w:sz w:val="21"/>
          <w:szCs w:val="21"/>
          <w:highlight w:val="none"/>
          <w:shd w:val="clear" w:color="auto" w:fill="auto"/>
        </w:rPr>
        <w:t xml:space="preserve">号招标文件，正式授权_____(被授权人姓名)代表我方_______（投标人的名称），全权处理本次项目投标的有关事宜。</w:t>
      </w:r>
      <w:r>
        <w:rPr>
          <w:rFonts w:hint="eastAsia" w:ascii="宋体" w:hAnsi="宋体" w:eastAsia="宋体" w:cs="宋体"/>
          <w:color w:val="000000"/>
          <w:sz w:val="21"/>
          <w:szCs w:val="21"/>
          <w:highlight w:val="none"/>
          <w:shd w:val="clear" w:color="auto" w:fill="auto"/>
        </w:rPr>
      </w:r>
      <w:r/>
    </w:p>
    <w:p>
      <w:pPr>
        <w:pStyle w:val="725"/>
        <w:ind w:firstLine="560"/>
        <w:jc w:val="left"/>
        <w:spacing w:line="48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据此函，__________（被授权人</w:t>
      </w:r>
      <w:r>
        <w:rPr>
          <w:rFonts w:hint="eastAsia" w:ascii="宋体" w:hAnsi="宋体" w:eastAsia="宋体" w:cs="宋体"/>
          <w:b/>
          <w:bCs/>
          <w:color w:val="000000"/>
          <w:szCs w:val="21"/>
          <w:highlight w:val="none"/>
          <w:shd w:val="clear" w:color="auto" w:fill="auto"/>
        </w:rPr>
        <w:t xml:space="preserve">签字</w:t>
      </w:r>
      <w:r>
        <w:rPr>
          <w:rFonts w:hint="eastAsia" w:ascii="宋体" w:hAnsi="宋体" w:eastAsia="宋体" w:cs="宋体"/>
          <w:color w:val="000000"/>
          <w:szCs w:val="21"/>
          <w:highlight w:val="none"/>
          <w:shd w:val="clear" w:color="auto" w:fill="auto"/>
        </w:rPr>
        <w:t xml:space="preserve">）兹宣布同意如下：</w:t>
      </w:r>
      <w:r>
        <w:rPr>
          <w:rFonts w:hint="eastAsia" w:ascii="宋体" w:hAnsi="宋体" w:eastAsia="宋体" w:cs="宋体"/>
          <w:color w:val="000000"/>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1.按招标文件规定的各项要求，向买方提供所需</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（包含与</w:t>
      </w:r>
      <w:r>
        <w:rPr>
          <w:rFonts w:hint="eastAsia" w:ascii="宋体" w:hAnsi="宋体" w:eastAsia="宋体" w:cs="宋体"/>
          <w:color w:val="000000"/>
          <w:sz w:val="21"/>
          <w:szCs w:val="21"/>
          <w:highlight w:val="none"/>
          <w:shd w:val="clear" w:color="auto" w:fill="auto"/>
        </w:rPr>
        <w:t xml:space="preserve">服务</w:t>
      </w:r>
      <w:r>
        <w:rPr>
          <w:rFonts w:hint="eastAsia" w:ascii="宋体" w:hAnsi="宋体" w:eastAsia="宋体" w:cs="宋体"/>
          <w:color w:val="000000"/>
          <w:sz w:val="21"/>
          <w:szCs w:val="21"/>
          <w:highlight w:val="none"/>
          <w:shd w:val="clear" w:color="auto" w:fill="auto"/>
        </w:rPr>
        <w:t xml:space="preserve">相关的</w:t>
      </w:r>
      <w:r>
        <w:rPr>
          <w:rFonts w:hint="eastAsia" w:ascii="宋体" w:hAnsi="宋体" w:eastAsia="宋体" w:cs="宋体"/>
          <w:color w:val="000000"/>
          <w:sz w:val="21"/>
          <w:szCs w:val="21"/>
          <w:highlight w:val="none"/>
          <w:shd w:val="clear" w:color="auto" w:fill="auto"/>
          <w:lang w:val="en-US" w:eastAsia="zh-CN"/>
        </w:rPr>
        <w:t xml:space="preserve">货物</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2.我们完全理解贵方不一定将合同授予最低报价的投标供应商。</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shd w:val="clear" w:color="auto" w:fill="auto"/>
        </w:rPr>
      </w:r>
      <w:r/>
    </w:p>
    <w:p>
      <w:pPr>
        <w:pStyle w:val="988"/>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7.与本投标有关的正式通讯地址为：</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地          址：</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邮          编：</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          话：</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传          真：</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投标供应商开户行：</w:t>
      </w:r>
      <w:r>
        <w:rPr>
          <w:rFonts w:hint="eastAsia" w:ascii="宋体" w:hAnsi="宋体" w:eastAsia="宋体" w:cs="宋体"/>
          <w:color w:val="000000"/>
          <w:sz w:val="21"/>
          <w:szCs w:val="21"/>
          <w:highlight w:val="none"/>
          <w:shd w:val="clear" w:color="auto" w:fill="auto"/>
        </w:rPr>
      </w:r>
      <w:r/>
    </w:p>
    <w:p>
      <w:pPr>
        <w:pStyle w:val="988"/>
        <w:ind w:firstLine="596"/>
        <w:jc w:val="left"/>
        <w:spacing w:before="0" w:after="0" w:line="420" w:lineRule="exact"/>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账          号： </w:t>
      </w:r>
      <w:r>
        <w:rPr>
          <w:rFonts w:hint="eastAsia" w:ascii="宋体" w:hAnsi="宋体" w:eastAsia="宋体" w:cs="宋体"/>
          <w:color w:val="000000"/>
          <w:sz w:val="21"/>
          <w:szCs w:val="21"/>
          <w:highlight w:val="none"/>
          <w:shd w:val="clear" w:color="auto" w:fill="auto"/>
        </w:rPr>
      </w:r>
      <w:r/>
    </w:p>
    <w:p>
      <w:pPr>
        <w:pStyle w:val="725"/>
        <w:jc w:val="right"/>
        <w:spacing w:line="44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jc w:val="right"/>
        <w:spacing w:line="44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jc w:val="right"/>
        <w:spacing w:line="44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725"/>
        <w:jc w:val="right"/>
        <w:spacing w:line="44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年      月     日</w:t>
      </w:r>
      <w:r>
        <w:rPr>
          <w:rFonts w:hint="eastAsia" w:ascii="宋体" w:hAnsi="宋体" w:eastAsia="宋体" w:cs="宋体"/>
          <w:color w:val="000000"/>
          <w:szCs w:val="21"/>
          <w:highlight w:val="none"/>
          <w:shd w:val="clear" w:color="auto" w:fill="auto"/>
        </w:rPr>
      </w:r>
      <w:r/>
    </w:p>
    <w:p>
      <w:pPr>
        <w:pStyle w:val="72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725"/>
        <w:spacing w:line="500" w:lineRule="exact"/>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25"/>
        <w:spacing w:line="360" w:lineRule="auto"/>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t xml:space="preserve">九</w:t>
      </w:r>
      <w:r>
        <w:rPr>
          <w:rFonts w:hint="eastAsia" w:ascii="宋体" w:hAnsi="宋体" w:eastAsia="宋体" w:cs="宋体"/>
          <w:b/>
          <w:bCs/>
          <w:color w:val="000000"/>
          <w:szCs w:val="21"/>
          <w:highlight w:val="none"/>
          <w:shd w:val="clear" w:color="auto" w:fill="auto"/>
        </w:rPr>
        <w:t xml:space="preserve">、实质性响应承诺函</w:t>
      </w:r>
      <w:r>
        <w:rPr>
          <w:rFonts w:hint="eastAsia" w:ascii="宋体" w:hAnsi="宋体" w:eastAsia="宋体" w:cs="宋体"/>
          <w:b/>
          <w:bCs/>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25"/>
        <w:contextualSpacing/>
        <w:jc w:val="center"/>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实质性响应承诺函</w:t>
      </w:r>
      <w:r>
        <w:rPr>
          <w:rFonts w:hint="eastAsia" w:ascii="宋体" w:hAnsi="宋体" w:eastAsia="宋体" w:cs="宋体"/>
          <w:b/>
          <w:color w:val="000000"/>
          <w:szCs w:val="21"/>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lang w:eastAsia="zh-CN"/>
        </w:rPr>
        <w:t xml:space="preserve">南通市人力资源和社会保障信息中心</w:t>
      </w:r>
      <w:r>
        <w:rPr>
          <w:rStyle w:val="1045"/>
          <w:rFonts w:hint="eastAsia" w:ascii="宋体" w:hAnsi="宋体" w:eastAsia="宋体" w:cs="宋体"/>
          <w:color w:val="000000"/>
          <w:szCs w:val="21"/>
          <w:highlight w:val="none"/>
          <w:shd w:val="clear" w:color="auto" w:fill="auto"/>
        </w:rPr>
        <w:t xml:space="preserve">：</w:t>
      </w:r>
      <w:r>
        <w:rPr>
          <w:rStyle w:val="1045"/>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lang w:val="en-US" w:eastAsia="zh-CN"/>
        </w:rPr>
        <w:t xml:space="preserve">我公司</w:t>
      </w:r>
      <w:r>
        <w:rPr>
          <w:rFonts w:hint="eastAsia" w:ascii="宋体" w:hAnsi="宋体" w:eastAsia="宋体" w:cs="宋体"/>
          <w:color w:val="000000"/>
          <w:sz w:val="21"/>
          <w:szCs w:val="21"/>
          <w:highlight w:val="none"/>
          <w:shd w:val="clear" w:color="auto" w:fill="auto"/>
        </w:rPr>
        <w:t xml:space="preserve">________</w:t>
      </w:r>
      <w:r>
        <w:rPr>
          <w:rStyle w:val="1045"/>
          <w:rFonts w:hint="eastAsia" w:ascii="宋体" w:hAnsi="宋体" w:eastAsia="宋体" w:cs="宋体"/>
          <w:color w:val="000000"/>
          <w:szCs w:val="21"/>
          <w:highlight w:val="none"/>
          <w:shd w:val="clear" w:color="auto" w:fill="auto"/>
        </w:rPr>
        <w:t xml:space="preserve">（供应商名称）郑重承诺：</w:t>
      </w:r>
      <w:r>
        <w:rPr>
          <w:rStyle w:val="1045"/>
          <w:rFonts w:hint="eastAsia" w:ascii="宋体" w:hAnsi="宋体" w:eastAsia="宋体" w:cs="宋体"/>
          <w:color w:val="000000"/>
          <w:szCs w:val="21"/>
          <w:highlight w:val="none"/>
          <w:shd w:val="clear" w:color="auto" w:fill="auto"/>
        </w:rPr>
      </w:r>
      <w:r/>
    </w:p>
    <w:p>
      <w:pPr>
        <w:pStyle w:val="725"/>
        <w:ind w:firstLine="420"/>
        <w:spacing w:line="500" w:lineRule="exact"/>
        <w:shd w:val="clear" w:color="auto" w:fill="auto"/>
        <w:rPr>
          <w:rFonts w:hint="eastAsia" w:ascii="宋体" w:hAnsi="宋体" w:eastAsia="宋体" w:cs="宋体"/>
          <w:color w:val="000000"/>
          <w:highlight w:val="none"/>
          <w:shd w:val="clear" w:color="auto" w:fill="auto"/>
          <w:lang w:eastAsia="zh-CN"/>
        </w:rPr>
      </w:pPr>
      <w:r>
        <w:rPr>
          <w:rStyle w:val="1045"/>
          <w:rFonts w:hint="eastAsia" w:ascii="宋体" w:hAnsi="宋体" w:eastAsia="宋体" w:cs="宋体"/>
          <w:color w:val="000000"/>
          <w:szCs w:val="21"/>
          <w:highlight w:val="none"/>
          <w:shd w:val="clear" w:color="auto" w:fill="auto"/>
          <w:lang w:val="en-US" w:eastAsia="zh-CN"/>
        </w:rPr>
        <w:t xml:space="preserve">我公司</w:t>
      </w:r>
      <w:r>
        <w:rPr>
          <w:rStyle w:val="1045"/>
          <w:rFonts w:hint="eastAsia" w:ascii="宋体" w:hAnsi="宋体" w:eastAsia="宋体" w:cs="宋体"/>
          <w:color w:val="000000"/>
          <w:szCs w:val="21"/>
          <w:highlight w:val="none"/>
          <w:shd w:val="clear" w:color="auto" w:fill="auto"/>
          <w:lang w:val="en-US" w:eastAsia="zh-CN"/>
        </w:rPr>
        <w:t xml:space="preserve">完全响应招标文件项目需求的所有内容，无负偏离。若我公司中标，我公司承诺</w:t>
      </w:r>
      <w:r>
        <w:rPr>
          <w:rFonts w:hint="eastAsia" w:ascii="宋体" w:hAnsi="宋体" w:eastAsia="宋体" w:cs="宋体"/>
          <w:b/>
          <w:bCs/>
          <w:color w:val="000000"/>
          <w:sz w:val="21"/>
          <w:szCs w:val="21"/>
          <w:highlight w:val="none"/>
          <w:shd w:val="clear" w:color="auto" w:fill="auto"/>
        </w:rPr>
        <w:t xml:space="preserve">按照采购需求提供7*24小时维保服务。</w:t>
      </w:r>
      <w:r>
        <w:rPr>
          <w:rFonts w:hint="eastAsia" w:ascii="宋体" w:hAnsi="宋体" w:eastAsia="宋体" w:cs="宋体"/>
          <w:color w:val="000000"/>
          <w:highlight w:val="none"/>
          <w:shd w:val="clear" w:color="auto" w:fill="auto"/>
          <w:lang w:eastAsia="zh-CN"/>
        </w:rPr>
      </w:r>
      <w:r/>
    </w:p>
    <w:p>
      <w:pPr>
        <w:pStyle w:val="800"/>
        <w:ind w:firstLine="560"/>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57"/>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声明人：</w:t>
      </w:r>
      <w:r>
        <w:rPr>
          <w:rFonts w:hint="eastAsia" w:ascii="宋体" w:hAnsi="宋体" w:eastAsia="宋体" w:cs="宋体"/>
          <w:color w:val="000000"/>
          <w:szCs w:val="21"/>
          <w:highlight w:val="none"/>
          <w:shd w:val="clear" w:color="auto" w:fill="auto"/>
        </w:rPr>
        <w:t xml:space="preserve">（加盖CA电子公章）</w:t>
      </w:r>
      <w:r>
        <w:rPr>
          <w:rStyle w:val="1045"/>
          <w:rFonts w:hint="eastAsia" w:ascii="宋体" w:hAnsi="宋体" w:eastAsia="宋体" w:cs="宋体"/>
          <w:color w:val="000000"/>
          <w:szCs w:val="21"/>
          <w:highlight w:val="none"/>
          <w:shd w:val="clear" w:color="auto" w:fill="auto"/>
        </w:rPr>
      </w:r>
      <w:r/>
    </w:p>
    <w:p>
      <w:pPr>
        <w:pStyle w:val="725"/>
        <w:jc w:val="center"/>
        <w:spacing w:line="500" w:lineRule="exact"/>
        <w:shd w:val="clear" w:color="auto" w:fill="auto"/>
        <w:rPr>
          <w:rStyle w:val="1045"/>
          <w:rFonts w:hint="eastAsia" w:ascii="宋体" w:hAnsi="宋体" w:eastAsia="宋体" w:cs="宋体"/>
          <w:color w:val="000000"/>
          <w:szCs w:val="21"/>
          <w:highlight w:val="none"/>
          <w:shd w:val="clear" w:color="auto" w:fill="auto"/>
        </w:rPr>
      </w:pPr>
      <w:r>
        <w:rPr>
          <w:rStyle w:val="1045"/>
          <w:rFonts w:hint="eastAsia" w:ascii="宋体" w:hAnsi="宋体" w:eastAsia="宋体" w:cs="宋体"/>
          <w:color w:val="000000"/>
          <w:szCs w:val="21"/>
          <w:highlight w:val="none"/>
          <w:shd w:val="clear" w:color="auto" w:fill="auto"/>
        </w:rPr>
        <w:t xml:space="preserve">                                                  年     月    日</w:t>
      </w:r>
      <w:r>
        <w:rPr>
          <w:rStyle w:val="1045"/>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800"/>
        <w:ind w:firstLine="560"/>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25"/>
        <w:spacing w:line="460" w:lineRule="exact"/>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t xml:space="preserve">十</w:t>
      </w:r>
      <w:r>
        <w:rPr>
          <w:rFonts w:hint="eastAsia" w:ascii="宋体" w:hAnsi="宋体" w:eastAsia="宋体" w:cs="宋体"/>
          <w:b/>
          <w:bCs/>
          <w:color w:val="000000"/>
          <w:szCs w:val="21"/>
          <w:highlight w:val="none"/>
          <w:shd w:val="clear" w:color="auto" w:fill="auto"/>
        </w:rPr>
        <w:t xml:space="preserve">、商务部分正负偏离表</w:t>
      </w:r>
      <w:r>
        <w:rPr>
          <w:rFonts w:hint="eastAsia" w:ascii="宋体" w:hAnsi="宋体" w:eastAsia="宋体" w:cs="宋体"/>
          <w:color w:val="000000"/>
          <w:szCs w:val="21"/>
          <w:highlight w:val="none"/>
          <w:shd w:val="clear" w:color="auto" w:fill="auto"/>
        </w:rPr>
      </w:r>
      <w:r/>
    </w:p>
    <w:p>
      <w:pPr>
        <w:pStyle w:val="725"/>
        <w:contextualSpacing/>
        <w:jc w:val="center"/>
        <w:spacing w:line="300" w:lineRule="auto"/>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jc w:val="center"/>
        <w:spacing w:line="480" w:lineRule="auto"/>
        <w:shd w:val="clear" w:color="auto" w:fill="auto"/>
        <w:rPr>
          <w:rFonts w:hint="eastAsia" w:ascii="宋体" w:hAnsi="宋体" w:eastAsia="宋体" w:cs="宋体"/>
          <w:b/>
          <w:bCs/>
          <w:color w:val="000000"/>
          <w:sz w:val="24"/>
          <w:highlight w:val="none"/>
          <w:u w:val="single"/>
          <w:shd w:val="clear" w:color="auto" w:fill="auto"/>
          <w:lang w:eastAsia="en-US"/>
        </w:rPr>
      </w:pPr>
      <w:r>
        <w:rPr>
          <w:rFonts w:hint="eastAsia" w:ascii="宋体" w:hAnsi="宋体" w:eastAsia="宋体" w:cs="宋体"/>
          <w:b/>
          <w:bCs/>
          <w:color w:val="000000"/>
          <w:szCs w:val="21"/>
          <w:highlight w:val="none"/>
          <w:shd w:val="clear" w:color="auto" w:fill="auto"/>
        </w:rPr>
        <w:t xml:space="preserve">商务部分正负偏离表</w:t>
      </w:r>
      <w:r>
        <w:rPr>
          <w:rFonts w:hint="eastAsia" w:ascii="宋体" w:hAnsi="宋体" w:eastAsia="宋体" w:cs="宋体"/>
          <w:b/>
          <w:bCs/>
          <w:color w:val="000000"/>
          <w:sz w:val="24"/>
          <w:highlight w:val="none"/>
          <w:u w:val="single"/>
          <w:shd w:val="clear" w:color="auto" w:fill="auto"/>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725"/>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注： 行数不够，可自行添加。</w:t>
      </w:r>
      <w:r>
        <w:rPr>
          <w:rFonts w:hint="eastAsia" w:ascii="宋体" w:hAnsi="宋体" w:eastAsia="宋体" w:cs="宋体"/>
          <w:color w:val="000000"/>
          <w:sz w:val="24"/>
          <w:highlight w:val="none"/>
          <w:shd w:val="clear" w:color="auto" w:fill="auto"/>
        </w:rPr>
      </w:r>
      <w:r/>
    </w:p>
    <w:p>
      <w:pPr>
        <w:pStyle w:val="725"/>
        <w:ind w:firstLine="492"/>
        <w:jc w:val="right"/>
        <w:spacing w:line="460" w:lineRule="exact"/>
        <w:shd w:val="clear" w:color="auto" w:fill="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745"/>
        <w:shd w:val="clear" w:color="auto" w:fill="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800"/>
        <w:ind w:left="840" w:firstLine="0"/>
        <w:jc w:val="right"/>
        <w:shd w:val="clear" w:color="auto" w:fill="auto"/>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contextualSpacing/>
        <w:ind w:firstLine="540"/>
        <w:spacing w:line="400" w:lineRule="exact"/>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25"/>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十</w:t>
      </w:r>
      <w:r>
        <w:rPr>
          <w:rFonts w:hint="eastAsia" w:ascii="宋体" w:hAnsi="宋体" w:eastAsia="宋体" w:cs="宋体"/>
          <w:b/>
          <w:bCs/>
          <w:color w:val="000000"/>
          <w:szCs w:val="21"/>
          <w:highlight w:val="none"/>
          <w:shd w:val="clear" w:color="auto" w:fill="auto"/>
          <w:lang w:val="en-US" w:eastAsia="zh-CN"/>
        </w:rPr>
        <w:t xml:space="preserve">一</w:t>
      </w:r>
      <w:r>
        <w:rPr>
          <w:rFonts w:hint="eastAsia" w:ascii="宋体" w:hAnsi="宋体" w:eastAsia="宋体" w:cs="宋体"/>
          <w:b/>
          <w:bCs/>
          <w:color w:val="000000"/>
          <w:szCs w:val="21"/>
          <w:highlight w:val="none"/>
          <w:shd w:val="clear" w:color="auto" w:fill="auto"/>
        </w:rPr>
        <w:t xml:space="preserve">、</w:t>
      </w:r>
      <w:r>
        <w:rPr>
          <w:rFonts w:hint="eastAsia" w:ascii="宋体" w:hAnsi="宋体" w:eastAsia="宋体" w:cs="宋体"/>
          <w:b/>
          <w:color w:val="000000"/>
          <w:szCs w:val="21"/>
          <w:highlight w:val="none"/>
          <w:shd w:val="clear" w:color="auto" w:fill="auto"/>
        </w:rPr>
        <w:t xml:space="preserve">技术</w:t>
      </w:r>
      <w:r>
        <w:rPr>
          <w:rFonts w:hint="eastAsia" w:ascii="宋体" w:hAnsi="宋体" w:eastAsia="宋体" w:cs="宋体"/>
          <w:b/>
          <w:bCs/>
          <w:color w:val="000000"/>
          <w:szCs w:val="21"/>
          <w:highlight w:val="none"/>
          <w:shd w:val="clear" w:color="auto" w:fill="auto"/>
        </w:rPr>
        <w:t xml:space="preserve">部分正负偏离表</w:t>
      </w:r>
      <w:r>
        <w:rPr>
          <w:rFonts w:hint="eastAsia" w:ascii="宋体" w:hAnsi="宋体" w:eastAsia="宋体" w:cs="宋体"/>
          <w:bCs/>
          <w:color w:val="000000"/>
          <w:szCs w:val="21"/>
          <w:highlight w:val="none"/>
          <w:shd w:val="clear" w:color="auto" w:fill="auto"/>
        </w:rPr>
      </w:r>
      <w:r/>
    </w:p>
    <w:p>
      <w:pPr>
        <w:pStyle w:val="725"/>
        <w:contextualSpacing/>
        <w:jc w:val="center"/>
        <w:spacing w:line="300" w:lineRule="auto"/>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技术部分正负偏离表</w:t>
      </w:r>
      <w:r>
        <w:rPr>
          <w:rFonts w:hint="eastAsia" w:ascii="宋体" w:hAnsi="宋体" w:eastAsia="宋体" w:cs="宋体"/>
          <w:b/>
          <w:color w:val="000000"/>
          <w:szCs w:val="21"/>
          <w:highlight w:val="none"/>
          <w:shd w:val="clear" w:color="auto" w:fill="auto"/>
        </w:rPr>
      </w:r>
      <w:r/>
    </w:p>
    <w:p>
      <w:pPr>
        <w:pStyle w:val="725"/>
        <w:shd w:val="clear" w:color="auto" w:fill="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25"/>
              <w:spacing w:line="480" w:lineRule="auto"/>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25"/>
              <w:jc w:val="center"/>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725"/>
        <w:shd w:val="clear" w:color="auto" w:fill="auto"/>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注： 行数不够，可自行添加。</w:t>
      </w:r>
      <w:r>
        <w:rPr>
          <w:rFonts w:hint="eastAsia" w:ascii="宋体" w:hAnsi="宋体" w:eastAsia="宋体" w:cs="宋体"/>
          <w:color w:val="000000"/>
          <w:sz w:val="24"/>
          <w:highlight w:val="none"/>
          <w:shd w:val="clear" w:color="auto" w:fill="auto"/>
        </w:rPr>
      </w:r>
      <w:r/>
    </w:p>
    <w:p>
      <w:pPr>
        <w:pStyle w:val="725"/>
        <w:ind w:firstLine="492"/>
        <w:jc w:val="right"/>
        <w:spacing w:line="460" w:lineRule="exact"/>
        <w:shd w:val="clear" w:color="auto" w:fill="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745"/>
        <w:jc w:val="right"/>
        <w:shd w:val="clear" w:color="auto" w:fill="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745"/>
        <w:jc w:val="right"/>
        <w:shd w:val="clear" w:color="auto" w:fill="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sz w:val="24"/>
          <w:szCs w:val="21"/>
          <w:highlight w:val="none"/>
          <w:shd w:val="clear" w:color="auto" w:fill="auto"/>
        </w:rPr>
      </w:r>
      <w:r/>
    </w:p>
    <w:p>
      <w:pPr>
        <w:pStyle w:val="725"/>
        <w:jc w:val="center"/>
        <w:spacing w:line="360" w:lineRule="auto"/>
        <w:shd w:val="clear" w:color="auto" w:fill="auto"/>
        <w:widowControl/>
        <w:rPr>
          <w:rFonts w:hint="eastAsia" w:ascii="宋体" w:hAnsi="宋体" w:eastAsia="宋体" w:cs="宋体"/>
          <w:b/>
          <w:color w:val="000000"/>
          <w:sz w:val="28"/>
          <w:szCs w:val="28"/>
          <w:highlight w:val="none"/>
          <w:shd w:val="clear" w:color="auto" w:fill="auto"/>
        </w:rPr>
        <w:outlineLvl w:val="0"/>
      </w:pPr>
      <w:r>
        <w:rPr>
          <w:rFonts w:hint="eastAsia" w:ascii="宋体" w:hAnsi="宋体" w:eastAsia="宋体" w:cs="宋体"/>
          <w:b/>
          <w:bCs/>
          <w:color w:val="000000"/>
          <w:sz w:val="24"/>
          <w:szCs w:val="24"/>
          <w:highlight w:val="none"/>
          <w:shd w:val="clear" w:color="auto" w:fill="auto"/>
          <w:lang w:val="en-US" w:eastAsia="zh-CN" w:bidi="ar-SA"/>
        </w:rPr>
        <w:br w:type="page" w:clear="all"/>
      </w:r>
      <w:r>
        <w:rPr>
          <w:rFonts w:hint="eastAsia" w:ascii="宋体" w:hAnsi="宋体" w:eastAsia="宋体" w:cs="宋体"/>
          <w:b/>
          <w:color w:val="000000"/>
          <w:sz w:val="28"/>
          <w:szCs w:val="28"/>
          <w:highlight w:val="none"/>
          <w:shd w:val="clear" w:color="auto" w:fill="auto"/>
        </w:rPr>
        <w:t xml:space="preserve">质疑函范本</w:t>
      </w:r>
      <w:r>
        <w:rPr>
          <w:rFonts w:hint="eastAsia" w:ascii="宋体" w:hAnsi="宋体" w:eastAsia="宋体" w:cs="宋体"/>
          <w:b/>
          <w:color w:val="000000"/>
          <w:sz w:val="28"/>
          <w:szCs w:val="28"/>
          <w:highlight w:val="none"/>
          <w:shd w:val="clear" w:color="auto" w:fill="auto"/>
        </w:rPr>
      </w:r>
      <w:r/>
    </w:p>
    <w:p>
      <w:pPr>
        <w:pStyle w:val="725"/>
        <w:spacing w:before="312" w:line="360" w:lineRule="auto"/>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一、质疑供应商基本信息</w:t>
      </w:r>
      <w:r>
        <w:rPr>
          <w:rFonts w:hint="eastAsia" w:ascii="宋体" w:hAnsi="宋体" w:eastAsia="宋体" w:cs="宋体"/>
          <w:bCs/>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质疑供应商：</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联系人：联系电话：</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授权代表：</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联系电话：</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二、质疑项目基本情况</w:t>
      </w:r>
      <w:r>
        <w:rPr>
          <w:rFonts w:hint="eastAsia" w:ascii="宋体" w:hAnsi="宋体" w:eastAsia="宋体" w:cs="宋体"/>
          <w:bCs/>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质疑项目的名称：</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质疑项目的编号：包号：</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采购人名称：</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tabs>
          <w:tab w:val="left" w:pos="6839" w:leader="none"/>
        </w:tabs>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rPr>
        <w:t xml:space="preserve">采购文件获取日期：</w:t>
      </w:r>
      <w:r>
        <w:rPr>
          <w:rFonts w:hint="eastAsia" w:ascii="宋体" w:hAnsi="宋体" w:eastAsia="宋体" w:cs="宋体"/>
          <w:color w:val="000000"/>
          <w:szCs w:val="21"/>
          <w:highlight w:val="none"/>
          <w:shd w:val="clear" w:color="auto" w:fill="auto"/>
          <w:lang w:eastAsia="zh-CN"/>
        </w:rPr>
        <w:tab/>
      </w:r>
      <w:r>
        <w:rPr>
          <w:rFonts w:hint="eastAsia" w:ascii="宋体" w:hAnsi="宋体" w:eastAsia="宋体" w:cs="宋体"/>
          <w:color w:val="000000"/>
          <w:szCs w:val="21"/>
          <w:highlight w:val="none"/>
          <w:shd w:val="clear" w:color="auto" w:fill="auto"/>
          <w:lang w:eastAsia="zh-CN"/>
        </w:rPr>
      </w:r>
      <w:r/>
    </w:p>
    <w:p>
      <w:pPr>
        <w:pStyle w:val="725"/>
        <w:spacing w:line="360" w:lineRule="auto"/>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三、质疑事项具体内容</w:t>
      </w:r>
      <w:r>
        <w:rPr>
          <w:rFonts w:hint="eastAsia" w:ascii="宋体" w:hAnsi="宋体" w:eastAsia="宋体" w:cs="宋体"/>
          <w:bCs/>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质疑事项1：</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事实依据：</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法律依据：</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质疑事项2</w:t>
      </w:r>
      <w:r>
        <w:rPr>
          <w:rFonts w:hint="eastAsia" w:ascii="宋体" w:hAnsi="宋体" w:eastAsia="宋体" w:cs="宋体"/>
          <w:color w:val="000000"/>
          <w:szCs w:val="21"/>
          <w:highlight w:val="none"/>
          <w:u w:val="singl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四、与质疑事项相关的质疑请求</w:t>
      </w:r>
      <w:r>
        <w:rPr>
          <w:rFonts w:hint="eastAsia" w:ascii="宋体" w:hAnsi="宋体" w:eastAsia="宋体" w:cs="宋体"/>
          <w:bCs/>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请求：</w:t>
      </w:r>
      <w:r>
        <w:rPr>
          <w:rFonts w:hint="eastAsia" w:ascii="宋体" w:hAnsi="宋体" w:eastAsia="宋体" w:cs="宋体"/>
          <w:color w:val="000000"/>
          <w:szCs w:val="21"/>
          <w:highlight w:val="none"/>
          <w:u w:val="single"/>
          <w:shd w:val="clear" w:color="auto" w:fill="auto"/>
        </w:rPr>
      </w:r>
      <w:r/>
    </w:p>
    <w:p>
      <w:pPr>
        <w:pStyle w:val="725"/>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签字(签章)：                   公章：                      </w:t>
      </w:r>
      <w:r>
        <w:rPr>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日期：    </w:t>
      </w:r>
      <w:r>
        <w:rPr>
          <w:rFonts w:hint="eastAsia" w:ascii="宋体" w:hAnsi="宋体" w:eastAsia="宋体" w:cs="宋体"/>
          <w:color w:val="000000"/>
          <w:szCs w:val="21"/>
          <w:highlight w:val="none"/>
          <w:shd w:val="clear" w:color="auto" w:fill="auto"/>
        </w:rPr>
      </w:r>
      <w:r/>
    </w:p>
    <w:p>
      <w:pPr>
        <w:pStyle w:val="725"/>
        <w:spacing w:line="360" w:lineRule="auto"/>
        <w:shd w:val="clear" w:color="auto" w:fill="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25"/>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25"/>
        <w:shd w:val="clear" w:color="auto" w:fill="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质疑函制作说明：</w:t>
      </w:r>
      <w:r>
        <w:rPr>
          <w:rFonts w:hint="eastAsia" w:ascii="宋体" w:hAnsi="宋体" w:eastAsia="宋体" w:cs="宋体"/>
          <w:b/>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1.供应商提出质疑时，应提交质疑函和必要的证明材料。</w:t>
      </w:r>
      <w:r>
        <w:rPr>
          <w:rFonts w:hint="eastAsia" w:ascii="宋体" w:hAnsi="宋体" w:eastAsia="宋体" w:cs="宋体"/>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3.质疑供应商若对项目的某一分包进行质疑，质疑函中应列明具体分包号。</w:t>
      </w:r>
      <w:r>
        <w:rPr>
          <w:rFonts w:hint="eastAsia" w:ascii="宋体" w:hAnsi="宋体" w:eastAsia="宋体" w:cs="宋体"/>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4.质疑函的质疑事项应具体、明确，并有必要的事实依据和法律依据。</w:t>
      </w:r>
      <w:r>
        <w:rPr>
          <w:rFonts w:hint="eastAsia" w:ascii="宋体" w:hAnsi="宋体" w:eastAsia="宋体" w:cs="宋体"/>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5.质疑函的质疑请求应与质疑事项相关。</w:t>
      </w:r>
      <w:r>
        <w:rPr>
          <w:rFonts w:hint="eastAsia" w:ascii="宋体" w:hAnsi="宋体" w:eastAsia="宋体" w:cs="宋体"/>
          <w:color w:val="000000"/>
          <w:szCs w:val="21"/>
          <w:highlight w:val="none"/>
          <w:shd w:val="clear" w:color="auto" w:fill="auto"/>
        </w:rPr>
      </w:r>
      <w:r/>
    </w:p>
    <w:p>
      <w:pPr>
        <w:pStyle w:val="725"/>
        <w:ind w:firstLine="640"/>
        <w:jc w:val="left"/>
        <w:shd w:val="clear" w:color="auto" w:fill="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ambria">
    <w:panose1 w:val="02040503050406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6"/>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25"/>
        <w:tabs>
          <w:tab w:val="num" w:pos="312" w:leader="none"/>
        </w:tabs>
      </w:pPr>
    </w:lvl>
    <w:lvl w:ilvl="1">
      <w:start w:val="1"/>
      <w:numFmt w:val="decimal"/>
      <w:isLgl w:val="false"/>
      <w:suff w:val="space"/>
      <w:lvlText w:val="%1.%2"/>
      <w:lvlJc w:val="left"/>
      <w:pPr>
        <w:pStyle w:val="725"/>
        <w:ind w:left="0" w:firstLine="0"/>
      </w:pPr>
    </w:lvl>
    <w:lvl w:ilvl="2">
      <w:start w:val="1"/>
      <w:numFmt w:val="decimal"/>
      <w:isLgl w:val="false"/>
      <w:suff w:val="space"/>
      <w:lvlText w:val="%1.%2.%3"/>
      <w:lvlJc w:val="left"/>
      <w:pPr>
        <w:pStyle w:val="725"/>
        <w:ind w:left="0" w:firstLine="0"/>
      </w:pPr>
    </w:lvl>
    <w:lvl w:ilvl="3">
      <w:start w:val="1"/>
      <w:numFmt w:val="decimal"/>
      <w:isLgl w:val="false"/>
      <w:suff w:val="space"/>
      <w:lvlText w:val="%1.%2.%3.%4"/>
      <w:lvlJc w:val="left"/>
      <w:pPr>
        <w:pStyle w:val="725"/>
        <w:ind w:left="0" w:firstLine="0"/>
      </w:pPr>
    </w:lvl>
    <w:lvl w:ilvl="4">
      <w:start w:val="1"/>
      <w:numFmt w:val="decimal"/>
      <w:isLgl w:val="false"/>
      <w:suff w:val="space"/>
      <w:lvlText w:val="%1.%2.%3.%4.%5"/>
      <w:lvlJc w:val="left"/>
      <w:pPr>
        <w:pStyle w:val="725"/>
        <w:ind w:left="0" w:firstLine="0"/>
      </w:pPr>
    </w:lvl>
    <w:lvl w:ilvl="5">
      <w:start w:val="1"/>
      <w:numFmt w:val="decimal"/>
      <w:isLgl w:val="false"/>
      <w:suff w:val="space"/>
      <w:lvlText w:val="%1.%2.%3.%4.%5.%6"/>
      <w:lvlJc w:val="left"/>
      <w:pPr>
        <w:pStyle w:val="725"/>
        <w:ind w:left="0" w:firstLine="0"/>
      </w:pPr>
    </w:lvl>
    <w:lvl w:ilvl="6">
      <w:start w:val="1"/>
      <w:numFmt w:val="decimal"/>
      <w:isLgl w:val="false"/>
      <w:suff w:val="space"/>
      <w:lvlText w:val="%1.%2.%3.%4.%5.%6.%7"/>
      <w:lvlJc w:val="left"/>
      <w:pPr>
        <w:pStyle w:val="725"/>
        <w:ind w:left="0" w:firstLine="0"/>
      </w:pPr>
    </w:lvl>
    <w:lvl w:ilvl="7">
      <w:start w:val="1"/>
      <w:numFmt w:val="decimal"/>
      <w:isLgl w:val="false"/>
      <w:suff w:val="space"/>
      <w:lvlText w:val="%1.%2.%3.%4.%5.%6.%7.%8"/>
      <w:lvlJc w:val="left"/>
      <w:pPr>
        <w:pStyle w:val="725"/>
        <w:ind w:left="0" w:firstLine="0"/>
      </w:pPr>
    </w:lvl>
    <w:lvl w:ilvl="8">
      <w:start w:val="1"/>
      <w:numFmt w:val="decimal"/>
      <w:isLgl w:val="false"/>
      <w:suff w:val="space"/>
      <w:lvlText w:val="%1.%2.%3.%4.%5.%6.%7.%8.%9"/>
      <w:lvlJc w:val="left"/>
      <w:pPr>
        <w:pStyle w:val="725"/>
        <w:ind w:left="0" w:firstLine="0"/>
      </w:pPr>
    </w:lvl>
  </w:abstractNum>
  <w:abstractNum w:abstractNumId="1">
    <w:multiLevelType w:val="hybridMultilevel"/>
    <w:lvl w:ilvl="0">
      <w:start w:val="2"/>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9"/>
      <w:isLgl w:val="false"/>
      <w:suff w:val="tab"/>
      <w:lvlText w:val=""/>
      <w:lvlJc w:val="left"/>
      <w:pPr>
        <w:pStyle w:val="725"/>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25"/>
        <w:ind w:left="960" w:hanging="480"/>
        <w:tabs>
          <w:tab w:val="num" w:pos="960" w:leader="none"/>
        </w:tabs>
      </w:pPr>
    </w:lvl>
    <w:lvl w:ilvl="2">
      <w:start w:val="1"/>
      <w:numFmt w:val="lowerRoman"/>
      <w:isLgl w:val="false"/>
      <w:suff w:val="tab"/>
      <w:lvlText w:val="%3."/>
      <w:lvlJc w:val="right"/>
      <w:pPr>
        <w:pStyle w:val="725"/>
        <w:ind w:left="1440" w:hanging="480"/>
        <w:tabs>
          <w:tab w:val="num" w:pos="1440" w:leader="none"/>
        </w:tabs>
      </w:pPr>
    </w:lvl>
    <w:lvl w:ilvl="3">
      <w:start w:val="1"/>
      <w:numFmt w:val="decimal"/>
      <w:isLgl w:val="false"/>
      <w:suff w:val="tab"/>
      <w:lvlText w:val="%4."/>
      <w:lvlJc w:val="left"/>
      <w:pPr>
        <w:pStyle w:val="725"/>
        <w:ind w:left="1920" w:hanging="480"/>
        <w:tabs>
          <w:tab w:val="num" w:pos="1920" w:leader="none"/>
        </w:tabs>
      </w:pPr>
    </w:lvl>
    <w:lvl w:ilvl="4">
      <w:start w:val="1"/>
      <w:numFmt w:val="ideographTraditional"/>
      <w:isLgl w:val="false"/>
      <w:suff w:val="tab"/>
      <w:lvlText w:val="%5、"/>
      <w:lvlJc w:val="left"/>
      <w:pPr>
        <w:pStyle w:val="725"/>
        <w:ind w:left="2400" w:hanging="480"/>
        <w:tabs>
          <w:tab w:val="num" w:pos="2400" w:leader="none"/>
        </w:tabs>
      </w:pPr>
    </w:lvl>
    <w:lvl w:ilvl="5">
      <w:start w:val="1"/>
      <w:numFmt w:val="lowerRoman"/>
      <w:isLgl w:val="false"/>
      <w:suff w:val="tab"/>
      <w:lvlText w:val="%6."/>
      <w:lvlJc w:val="right"/>
      <w:pPr>
        <w:pStyle w:val="725"/>
        <w:ind w:left="2880" w:hanging="480"/>
        <w:tabs>
          <w:tab w:val="num" w:pos="2880" w:leader="none"/>
        </w:tabs>
      </w:pPr>
    </w:lvl>
    <w:lvl w:ilvl="6">
      <w:start w:val="1"/>
      <w:numFmt w:val="decimal"/>
      <w:isLgl w:val="false"/>
      <w:suff w:val="tab"/>
      <w:lvlText w:val="%7."/>
      <w:lvlJc w:val="left"/>
      <w:pPr>
        <w:pStyle w:val="725"/>
        <w:ind w:left="3360" w:hanging="480"/>
        <w:tabs>
          <w:tab w:val="num" w:pos="3360" w:leader="none"/>
        </w:tabs>
      </w:pPr>
    </w:lvl>
    <w:lvl w:ilvl="7">
      <w:start w:val="1"/>
      <w:numFmt w:val="ideographTraditional"/>
      <w:isLgl w:val="false"/>
      <w:suff w:val="tab"/>
      <w:lvlText w:val="%8、"/>
      <w:lvlJc w:val="left"/>
      <w:pPr>
        <w:pStyle w:val="725"/>
        <w:ind w:left="3840" w:hanging="480"/>
        <w:tabs>
          <w:tab w:val="num" w:pos="3840" w:leader="none"/>
        </w:tabs>
      </w:pPr>
    </w:lvl>
    <w:lvl w:ilvl="8">
      <w:start w:val="1"/>
      <w:numFmt w:val="lowerRoman"/>
      <w:isLgl w:val="false"/>
      <w:suff w:val="tab"/>
      <w:lvlText w:val="%9."/>
      <w:lvlJc w:val="right"/>
      <w:pPr>
        <w:pStyle w:val="725"/>
        <w:ind w:left="4320" w:hanging="480"/>
        <w:tabs>
          <w:tab w:val="num" w:pos="4320" w:leader="none"/>
        </w:tabs>
      </w:pPr>
    </w:lvl>
  </w:abstractNum>
  <w:abstractNum w:abstractNumId="3">
    <w:multiLevelType w:val="hybridMultilevel"/>
    <w:lvl w:ilvl="0">
      <w:start w:val="1"/>
      <w:numFmt w:val="decimal"/>
      <w:isLgl w:val="false"/>
      <w:suff w:val="space"/>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725"/>
    <w:next w:val="725"/>
    <w:link w:val="836"/>
    <w:uiPriority w:val="9"/>
    <w:qFormat/>
    <w:pPr>
      <w:keepLines/>
      <w:keepNext/>
      <w:spacing w:before="480" w:after="200"/>
      <w:outlineLvl w:val="0"/>
    </w:pPr>
    <w:rPr>
      <w:rFonts w:ascii="Arial" w:hAnsi="Arial" w:eastAsia="Arial" w:cs="Arial"/>
      <w:sz w:val="40"/>
      <w:szCs w:val="40"/>
    </w:rPr>
  </w:style>
  <w:style w:type="paragraph" w:styleId="691">
    <w:name w:val="Heading 2"/>
    <w:basedOn w:val="725"/>
    <w:next w:val="725"/>
    <w:link w:val="837"/>
    <w:uiPriority w:val="9"/>
    <w:unhideWhenUsed/>
    <w:qFormat/>
    <w:pPr>
      <w:keepLines/>
      <w:keepNext/>
      <w:spacing w:before="360" w:after="200"/>
      <w:outlineLvl w:val="1"/>
    </w:pPr>
    <w:rPr>
      <w:rFonts w:ascii="Arial" w:hAnsi="Arial" w:eastAsia="Arial" w:cs="Arial"/>
      <w:sz w:val="34"/>
    </w:rPr>
  </w:style>
  <w:style w:type="paragraph" w:styleId="692">
    <w:name w:val="Heading 3"/>
    <w:basedOn w:val="725"/>
    <w:next w:val="725"/>
    <w:link w:val="838"/>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725"/>
    <w:next w:val="725"/>
    <w:link w:val="839"/>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725"/>
    <w:next w:val="725"/>
    <w:link w:val="840"/>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725"/>
    <w:next w:val="725"/>
    <w:link w:val="841"/>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725"/>
    <w:next w:val="725"/>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725"/>
    <w:next w:val="725"/>
    <w:link w:val="843"/>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725"/>
    <w:next w:val="725"/>
    <w:link w:val="844"/>
    <w:uiPriority w:val="9"/>
    <w:unhideWhenUsed/>
    <w:qFormat/>
    <w:pPr>
      <w:keepLines/>
      <w:keepNext/>
      <w:spacing w:before="320" w:after="200"/>
      <w:outlineLvl w:val="8"/>
    </w:pPr>
    <w:rPr>
      <w:rFonts w:ascii="Arial" w:hAnsi="Arial" w:eastAsia="Arial" w:cs="Arial"/>
      <w:i/>
      <w:iCs/>
      <w:sz w:val="21"/>
      <w:szCs w:val="21"/>
    </w:rPr>
  </w:style>
  <w:style w:type="paragraph" w:styleId="699">
    <w:name w:val="List Paragraph"/>
    <w:basedOn w:val="725"/>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725"/>
    <w:next w:val="725"/>
    <w:link w:val="830"/>
    <w:uiPriority w:val="10"/>
    <w:qFormat/>
    <w:pPr>
      <w:contextualSpacing/>
      <w:spacing w:before="300" w:after="200"/>
    </w:pPr>
    <w:rPr>
      <w:sz w:val="48"/>
      <w:szCs w:val="48"/>
    </w:rPr>
  </w:style>
  <w:style w:type="paragraph" w:styleId="702">
    <w:name w:val="Subtitle"/>
    <w:basedOn w:val="725"/>
    <w:next w:val="725"/>
    <w:link w:val="831"/>
    <w:uiPriority w:val="11"/>
    <w:qFormat/>
    <w:pPr>
      <w:spacing w:before="200" w:after="200"/>
    </w:pPr>
    <w:rPr>
      <w:sz w:val="24"/>
      <w:szCs w:val="24"/>
    </w:rPr>
  </w:style>
  <w:style w:type="paragraph" w:styleId="703">
    <w:name w:val="Quote"/>
    <w:basedOn w:val="725"/>
    <w:next w:val="725"/>
    <w:link w:val="832"/>
    <w:uiPriority w:val="29"/>
    <w:qFormat/>
    <w:pPr>
      <w:ind w:left="720" w:right="720"/>
    </w:pPr>
    <w:rPr>
      <w:i/>
    </w:rPr>
  </w:style>
  <w:style w:type="paragraph" w:styleId="704">
    <w:name w:val="Intense Quote"/>
    <w:basedOn w:val="725"/>
    <w:next w:val="725"/>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5">
    <w:name w:val="Header"/>
    <w:basedOn w:val="725"/>
    <w:link w:val="852"/>
    <w:uiPriority w:val="99"/>
    <w:unhideWhenUsed/>
    <w:pPr>
      <w:spacing w:after="0" w:line="240" w:lineRule="auto"/>
      <w:tabs>
        <w:tab w:val="center" w:pos="7143" w:leader="none"/>
        <w:tab w:val="right" w:pos="14287" w:leader="none"/>
      </w:tabs>
    </w:pPr>
  </w:style>
  <w:style w:type="paragraph" w:styleId="706">
    <w:name w:val="Footer"/>
    <w:basedOn w:val="725"/>
    <w:link w:val="854"/>
    <w:uiPriority w:val="99"/>
    <w:unhideWhenUsed/>
    <w:pPr>
      <w:spacing w:after="0" w:line="240" w:lineRule="auto"/>
      <w:tabs>
        <w:tab w:val="center" w:pos="7143" w:leader="none"/>
        <w:tab w:val="right" w:pos="14287" w:leader="none"/>
      </w:tabs>
    </w:pPr>
  </w:style>
  <w:style w:type="paragraph" w:styleId="707">
    <w:name w:val="Caption"/>
    <w:basedOn w:val="725"/>
    <w:next w:val="725"/>
    <w:uiPriority w:val="35"/>
    <w:semiHidden/>
    <w:unhideWhenUsed/>
    <w:qFormat/>
    <w:pPr>
      <w:spacing w:line="276" w:lineRule="auto"/>
    </w:pPr>
    <w:rPr>
      <w:b/>
      <w:bCs/>
      <w:color w:val="4f81bd" w:themeColor="accent1"/>
      <w:sz w:val="18"/>
      <w:szCs w:val="18"/>
    </w:rPr>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Hyperlink"/>
    <w:uiPriority w:val="99"/>
    <w:unhideWhenUsed/>
    <w:rPr>
      <w:color w:val="0000ff" w:themeColor="hyperlink"/>
      <w:u w:val="single"/>
    </w:rPr>
  </w:style>
  <w:style w:type="paragraph" w:styleId="710">
    <w:name w:val="footnote text"/>
    <w:basedOn w:val="725"/>
    <w:link w:val="834"/>
    <w:uiPriority w:val="99"/>
    <w:semiHidden/>
    <w:unhideWhenUsed/>
    <w:pPr>
      <w:spacing w:after="40" w:line="240" w:lineRule="auto"/>
    </w:pPr>
    <w:rPr>
      <w:sz w:val="18"/>
    </w:rPr>
  </w:style>
  <w:style w:type="character" w:styleId="711">
    <w:name w:val="footnote reference"/>
    <w:uiPriority w:val="99"/>
    <w:unhideWhenUsed/>
    <w:rPr>
      <w:vertAlign w:val="superscript"/>
    </w:rPr>
  </w:style>
  <w:style w:type="paragraph" w:styleId="712">
    <w:name w:val="endnote text"/>
    <w:basedOn w:val="725"/>
    <w:link w:val="835"/>
    <w:uiPriority w:val="99"/>
    <w:semiHidden/>
    <w:unhideWhenUsed/>
    <w:pPr>
      <w:spacing w:after="0" w:line="240" w:lineRule="auto"/>
    </w:pPr>
    <w:rPr>
      <w:sz w:val="20"/>
    </w:rPr>
  </w:style>
  <w:style w:type="character" w:styleId="713">
    <w:name w:val="endnote reference"/>
    <w:uiPriority w:val="99"/>
    <w:semiHidden/>
    <w:unhideWhenUsed/>
    <w:rPr>
      <w:vertAlign w:val="superscript"/>
    </w:rPr>
  </w:style>
  <w:style w:type="paragraph" w:styleId="714">
    <w:name w:val="toc 1"/>
    <w:basedOn w:val="725"/>
    <w:next w:val="725"/>
    <w:uiPriority w:val="39"/>
    <w:unhideWhenUsed/>
    <w:pPr>
      <w:ind w:left="0" w:right="0" w:firstLine="0"/>
      <w:spacing w:after="57"/>
    </w:pPr>
  </w:style>
  <w:style w:type="paragraph" w:styleId="715">
    <w:name w:val="toc 2"/>
    <w:basedOn w:val="725"/>
    <w:next w:val="725"/>
    <w:uiPriority w:val="39"/>
    <w:unhideWhenUsed/>
    <w:pPr>
      <w:ind w:left="283" w:right="0" w:firstLine="0"/>
      <w:spacing w:after="57"/>
    </w:pPr>
  </w:style>
  <w:style w:type="paragraph" w:styleId="716">
    <w:name w:val="toc 3"/>
    <w:basedOn w:val="725"/>
    <w:next w:val="725"/>
    <w:uiPriority w:val="39"/>
    <w:unhideWhenUsed/>
    <w:pPr>
      <w:ind w:left="567" w:right="0" w:firstLine="0"/>
      <w:spacing w:after="57"/>
    </w:pPr>
  </w:style>
  <w:style w:type="paragraph" w:styleId="717">
    <w:name w:val="toc 4"/>
    <w:basedOn w:val="725"/>
    <w:next w:val="725"/>
    <w:uiPriority w:val="39"/>
    <w:unhideWhenUsed/>
    <w:pPr>
      <w:ind w:left="850" w:right="0" w:firstLine="0"/>
      <w:spacing w:after="57"/>
    </w:pPr>
  </w:style>
  <w:style w:type="paragraph" w:styleId="718">
    <w:name w:val="toc 5"/>
    <w:basedOn w:val="725"/>
    <w:next w:val="725"/>
    <w:uiPriority w:val="39"/>
    <w:unhideWhenUsed/>
    <w:pPr>
      <w:ind w:left="1134" w:right="0" w:firstLine="0"/>
      <w:spacing w:after="57"/>
    </w:pPr>
  </w:style>
  <w:style w:type="paragraph" w:styleId="719">
    <w:name w:val="toc 6"/>
    <w:basedOn w:val="725"/>
    <w:next w:val="725"/>
    <w:uiPriority w:val="39"/>
    <w:unhideWhenUsed/>
    <w:pPr>
      <w:ind w:left="1417" w:right="0" w:firstLine="0"/>
      <w:spacing w:after="57"/>
    </w:pPr>
  </w:style>
  <w:style w:type="paragraph" w:styleId="720">
    <w:name w:val="toc 7"/>
    <w:basedOn w:val="725"/>
    <w:next w:val="725"/>
    <w:uiPriority w:val="39"/>
    <w:unhideWhenUsed/>
    <w:pPr>
      <w:ind w:left="1701" w:right="0" w:firstLine="0"/>
      <w:spacing w:after="57"/>
    </w:pPr>
  </w:style>
  <w:style w:type="paragraph" w:styleId="721">
    <w:name w:val="toc 8"/>
    <w:basedOn w:val="725"/>
    <w:next w:val="725"/>
    <w:uiPriority w:val="39"/>
    <w:unhideWhenUsed/>
    <w:pPr>
      <w:ind w:left="1984" w:right="0" w:firstLine="0"/>
      <w:spacing w:after="57"/>
    </w:pPr>
  </w:style>
  <w:style w:type="paragraph" w:styleId="722">
    <w:name w:val="toc 9"/>
    <w:basedOn w:val="725"/>
    <w:next w:val="725"/>
    <w:uiPriority w:val="39"/>
    <w:unhideWhenUsed/>
    <w:pPr>
      <w:ind w:left="2268" w:right="0" w:firstLine="0"/>
      <w:spacing w:after="57"/>
    </w:pPr>
  </w:style>
  <w:style w:type="paragraph" w:styleId="723">
    <w:name w:val="TOC Heading"/>
    <w:uiPriority w:val="39"/>
    <w:unhideWhenUsed/>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sz w:val="21"/>
      <w:szCs w:val="24"/>
      <w:lang w:val="en-US" w:eastAsia="zh-CN" w:bidi="ar-SA"/>
    </w:rPr>
  </w:style>
  <w:style w:type="paragraph" w:styleId="726">
    <w:name w:val="标题 1"/>
    <w:basedOn w:val="725"/>
    <w:next w:val="725"/>
    <w:link w:val="739"/>
    <w:qFormat/>
    <w:pPr>
      <w:keepLines/>
      <w:keepNext/>
      <w:spacing w:before="340" w:after="330" w:line="578" w:lineRule="auto"/>
      <w:outlineLvl w:val="0"/>
    </w:pPr>
    <w:rPr>
      <w:b/>
      <w:bCs/>
      <w:sz w:val="44"/>
      <w:szCs w:val="44"/>
    </w:rPr>
  </w:style>
  <w:style w:type="paragraph" w:styleId="727">
    <w:name w:val="标题 2"/>
    <w:basedOn w:val="725"/>
    <w:next w:val="725"/>
    <w:link w:val="740"/>
    <w:qFormat/>
    <w:pPr>
      <w:keepLines/>
      <w:keepNext/>
      <w:spacing w:before="260" w:after="260" w:line="416" w:lineRule="auto"/>
      <w:outlineLvl w:val="1"/>
    </w:pPr>
    <w:rPr>
      <w:rFonts w:ascii="Arial" w:hAnsi="Arial" w:eastAsia="黑体"/>
      <w:b/>
      <w:bCs/>
      <w:sz w:val="32"/>
      <w:szCs w:val="32"/>
    </w:rPr>
  </w:style>
  <w:style w:type="paragraph" w:styleId="728">
    <w:name w:val="标题 3"/>
    <w:basedOn w:val="725"/>
    <w:next w:val="725"/>
    <w:link w:val="741"/>
    <w:qFormat/>
    <w:pPr>
      <w:keepLines/>
      <w:keepNext/>
      <w:spacing w:before="260" w:after="260" w:line="416" w:lineRule="auto"/>
      <w:outlineLvl w:val="2"/>
    </w:pPr>
    <w:rPr>
      <w:b/>
      <w:bCs/>
      <w:sz w:val="32"/>
      <w:szCs w:val="32"/>
    </w:rPr>
  </w:style>
  <w:style w:type="paragraph" w:styleId="729">
    <w:name w:val="标题 4"/>
    <w:basedOn w:val="725"/>
    <w:next w:val="725"/>
    <w:link w:val="742"/>
    <w:qFormat/>
    <w:pPr>
      <w:jc w:val="center"/>
      <w:keepNext/>
      <w:outlineLvl w:val="3"/>
    </w:pPr>
    <w:rPr>
      <w:rFonts w:eastAsia="新宋体"/>
      <w:sz w:val="30"/>
      <w:szCs w:val="21"/>
    </w:rPr>
  </w:style>
  <w:style w:type="paragraph" w:styleId="730">
    <w:name w:val="标题 5"/>
    <w:basedOn w:val="725"/>
    <w:next w:val="725"/>
    <w:link w:val="743"/>
    <w:qFormat/>
    <w:pPr>
      <w:keepLines/>
      <w:keepNext/>
      <w:spacing w:before="280" w:after="290" w:line="376" w:lineRule="auto"/>
      <w:outlineLvl w:val="4"/>
    </w:pPr>
    <w:rPr>
      <w:b/>
      <w:bCs/>
      <w:sz w:val="28"/>
      <w:szCs w:val="28"/>
    </w:rPr>
  </w:style>
  <w:style w:type="paragraph" w:styleId="731">
    <w:name w:val="标题 6"/>
    <w:basedOn w:val="725"/>
    <w:next w:val="745"/>
    <w:link w:val="744"/>
    <w:qFormat/>
    <w:pPr>
      <w:jc w:val="center"/>
      <w:keepNext/>
      <w:outlineLvl w:val="5"/>
    </w:pPr>
    <w:rPr>
      <w:b/>
      <w:sz w:val="44"/>
      <w:szCs w:val="20"/>
    </w:rPr>
  </w:style>
  <w:style w:type="paragraph" w:styleId="732">
    <w:name w:val="标题 7"/>
    <w:basedOn w:val="725"/>
    <w:next w:val="725"/>
    <w:link w:val="747"/>
    <w:qFormat/>
    <w:pPr>
      <w:keepLines/>
      <w:keepNext/>
      <w:spacing w:before="240" w:after="64" w:line="320" w:lineRule="auto"/>
      <w:outlineLvl w:val="6"/>
    </w:pPr>
    <w:rPr>
      <w:b/>
      <w:bCs/>
      <w:sz w:val="24"/>
    </w:rPr>
  </w:style>
  <w:style w:type="paragraph" w:styleId="733">
    <w:name w:val="标题 8"/>
    <w:basedOn w:val="725"/>
    <w:next w:val="725"/>
    <w:link w:val="748"/>
    <w:qFormat/>
    <w:pPr>
      <w:keepLines/>
      <w:keepNext/>
      <w:spacing w:before="240" w:after="64" w:line="320" w:lineRule="auto"/>
      <w:outlineLvl w:val="7"/>
    </w:pPr>
    <w:rPr>
      <w:rFonts w:ascii="Arial" w:hAnsi="Arial" w:eastAsia="黑体"/>
      <w:sz w:val="24"/>
    </w:rPr>
  </w:style>
  <w:style w:type="paragraph" w:styleId="734">
    <w:name w:val="标题 9"/>
    <w:basedOn w:val="725"/>
    <w:next w:val="725"/>
    <w:link w:val="749"/>
    <w:qFormat/>
    <w:pPr>
      <w:keepLines/>
      <w:keepNext/>
      <w:spacing w:before="240" w:after="64" w:line="320" w:lineRule="auto"/>
      <w:outlineLvl w:val="8"/>
    </w:pPr>
    <w:rPr>
      <w:rFonts w:ascii="Arial" w:hAnsi="Arial" w:eastAsia="黑体"/>
      <w:sz w:val="24"/>
      <w:szCs w:val="21"/>
    </w:rPr>
  </w:style>
  <w:style w:type="character" w:styleId="735">
    <w:name w:val="默认段落字体"/>
    <w:next w:val="735"/>
    <w:link w:val="725"/>
    <w:uiPriority w:val="1"/>
    <w:unhideWhenUsed/>
  </w:style>
  <w:style w:type="table" w:styleId="736">
    <w:name w:val="普通表格"/>
    <w:next w:val="736"/>
    <w:link w:val="725"/>
    <w:uiPriority w:val="99"/>
    <w:unhideWhenUsed/>
    <w:qFormat/>
    <w:tblPr/>
  </w:style>
  <w:style w:type="paragraph" w:styleId="737">
    <w:name w:val="标题"/>
    <w:basedOn w:val="725"/>
    <w:next w:val="725"/>
    <w:link w:val="738"/>
    <w:uiPriority w:val="10"/>
    <w:qFormat/>
    <w:pPr>
      <w:contextualSpacing/>
      <w:spacing w:before="300" w:after="200"/>
    </w:pPr>
    <w:rPr>
      <w:sz w:val="48"/>
      <w:szCs w:val="48"/>
    </w:rPr>
  </w:style>
  <w:style w:type="character" w:styleId="738">
    <w:name w:val="标题 Char"/>
    <w:next w:val="738"/>
    <w:link w:val="737"/>
    <w:uiPriority w:val="10"/>
    <w:qFormat/>
    <w:rPr>
      <w:sz w:val="48"/>
      <w:szCs w:val="48"/>
    </w:rPr>
  </w:style>
  <w:style w:type="character" w:styleId="739">
    <w:name w:val="标题 1 Char"/>
    <w:next w:val="739"/>
    <w:link w:val="726"/>
    <w:qFormat/>
    <w:rPr>
      <w:rFonts w:ascii="Times New Roman" w:hAnsi="Times New Roman" w:eastAsia="宋体" w:cs="Times New Roman"/>
      <w:b/>
      <w:bCs/>
      <w:sz w:val="44"/>
      <w:szCs w:val="44"/>
    </w:rPr>
  </w:style>
  <w:style w:type="character" w:styleId="740">
    <w:name w:val="标题 2 Char"/>
    <w:next w:val="740"/>
    <w:link w:val="727"/>
    <w:qFormat/>
    <w:rPr>
      <w:rFonts w:ascii="Arial" w:hAnsi="Arial" w:eastAsia="黑体" w:cs="Times New Roman"/>
      <w:b/>
      <w:bCs/>
      <w:sz w:val="32"/>
      <w:szCs w:val="32"/>
    </w:rPr>
  </w:style>
  <w:style w:type="character" w:styleId="741">
    <w:name w:val="标题 3 Char"/>
    <w:next w:val="741"/>
    <w:link w:val="728"/>
    <w:qFormat/>
    <w:rPr>
      <w:rFonts w:ascii="Times New Roman" w:hAnsi="Times New Roman" w:eastAsia="宋体" w:cs="Times New Roman"/>
      <w:b/>
      <w:bCs/>
      <w:sz w:val="32"/>
      <w:szCs w:val="32"/>
    </w:rPr>
  </w:style>
  <w:style w:type="character" w:styleId="742">
    <w:name w:val="标题 4 Char"/>
    <w:next w:val="742"/>
    <w:link w:val="729"/>
    <w:qFormat/>
    <w:rPr>
      <w:rFonts w:ascii="Times New Roman" w:hAnsi="Times New Roman" w:eastAsia="新宋体" w:cs="Times New Roman"/>
      <w:sz w:val="30"/>
      <w:szCs w:val="21"/>
    </w:rPr>
  </w:style>
  <w:style w:type="character" w:styleId="743">
    <w:name w:val="标题 5 Char"/>
    <w:next w:val="743"/>
    <w:link w:val="730"/>
    <w:qFormat/>
    <w:rPr>
      <w:rFonts w:ascii="Times New Roman" w:hAnsi="Times New Roman" w:eastAsia="宋体" w:cs="Times New Roman"/>
      <w:b/>
      <w:bCs/>
      <w:sz w:val="28"/>
      <w:szCs w:val="28"/>
    </w:rPr>
  </w:style>
  <w:style w:type="character" w:styleId="744">
    <w:name w:val="标题 6 Char"/>
    <w:next w:val="744"/>
    <w:link w:val="731"/>
    <w:qFormat/>
    <w:rPr>
      <w:rFonts w:ascii="Times New Roman" w:hAnsi="Times New Roman" w:eastAsia="宋体" w:cs="Times New Roman"/>
      <w:b/>
      <w:sz w:val="44"/>
      <w:szCs w:val="20"/>
    </w:rPr>
  </w:style>
  <w:style w:type="paragraph" w:styleId="745">
    <w:name w:val="正文缩进"/>
    <w:basedOn w:val="725"/>
    <w:next w:val="725"/>
    <w:link w:val="746"/>
    <w:qFormat/>
    <w:pPr>
      <w:ind w:firstLine="420"/>
    </w:pPr>
    <w:rPr>
      <w:sz w:val="20"/>
      <w:szCs w:val="20"/>
    </w:rPr>
  </w:style>
  <w:style w:type="character" w:styleId="746">
    <w:name w:val="正文缩进 Char"/>
    <w:next w:val="746"/>
    <w:link w:val="745"/>
    <w:qFormat/>
    <w:rPr>
      <w:rFonts w:ascii="Times New Roman" w:hAnsi="Times New Roman" w:eastAsia="宋体" w:cs="Times New Roman"/>
      <w:sz w:val="20"/>
      <w:szCs w:val="20"/>
    </w:rPr>
  </w:style>
  <w:style w:type="character" w:styleId="747">
    <w:name w:val="标题 7 Char"/>
    <w:next w:val="747"/>
    <w:link w:val="732"/>
    <w:qFormat/>
    <w:rPr>
      <w:rFonts w:ascii="Times New Roman" w:hAnsi="Times New Roman" w:eastAsia="宋体" w:cs="Times New Roman"/>
      <w:b/>
      <w:bCs/>
      <w:sz w:val="24"/>
      <w:szCs w:val="24"/>
    </w:rPr>
  </w:style>
  <w:style w:type="character" w:styleId="748">
    <w:name w:val="标题 8 Char"/>
    <w:next w:val="748"/>
    <w:link w:val="733"/>
    <w:qFormat/>
    <w:rPr>
      <w:rFonts w:ascii="Arial" w:hAnsi="Arial" w:eastAsia="黑体" w:cs="Times New Roman"/>
      <w:sz w:val="24"/>
      <w:szCs w:val="24"/>
    </w:rPr>
  </w:style>
  <w:style w:type="character" w:styleId="749">
    <w:name w:val="标题 9 Char"/>
    <w:next w:val="749"/>
    <w:link w:val="734"/>
    <w:qFormat/>
    <w:rPr>
      <w:rFonts w:ascii="Arial" w:hAnsi="Arial" w:eastAsia="黑体" w:cs="Times New Roman"/>
      <w:sz w:val="24"/>
      <w:szCs w:val="21"/>
    </w:rPr>
  </w:style>
  <w:style w:type="paragraph" w:styleId="750">
    <w:name w:val="目录 7"/>
    <w:basedOn w:val="725"/>
    <w:next w:val="725"/>
    <w:link w:val="725"/>
    <w:uiPriority w:val="39"/>
    <w:unhideWhenUsed/>
    <w:qFormat/>
    <w:pPr>
      <w:ind w:left="1701"/>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文档结构图"/>
    <w:basedOn w:val="725"/>
    <w:next w:val="752"/>
    <w:link w:val="753"/>
    <w:semiHidden/>
    <w:qFormat/>
    <w:pPr>
      <w:shd w:val="clear" w:color="auto" w:fill="000080"/>
    </w:pPr>
    <w:rPr>
      <w:sz w:val="20"/>
    </w:rPr>
  </w:style>
  <w:style w:type="character" w:styleId="753">
    <w:name w:val="文档结构图 Char"/>
    <w:next w:val="753"/>
    <w:link w:val="752"/>
    <w:semiHidden/>
    <w:qFormat/>
    <w:rPr>
      <w:szCs w:val="24"/>
      <w:shd w:val="clear" w:color="auto" w:fill="000080"/>
    </w:rPr>
  </w:style>
  <w:style w:type="paragraph" w:styleId="754">
    <w:name w:val="批注文字"/>
    <w:basedOn w:val="725"/>
    <w:next w:val="754"/>
    <w:link w:val="725"/>
    <w:uiPriority w:val="99"/>
    <w:unhideWhenUsed/>
    <w:qFormat/>
    <w:pPr>
      <w:jc w:val="left"/>
    </w:pPr>
  </w:style>
  <w:style w:type="paragraph" w:styleId="755">
    <w:name w:val="正文文本 3"/>
    <w:basedOn w:val="725"/>
    <w:next w:val="755"/>
    <w:link w:val="756"/>
    <w:qFormat/>
    <w:pPr>
      <w:spacing w:after="120"/>
    </w:pPr>
    <w:rPr>
      <w:sz w:val="16"/>
      <w:szCs w:val="16"/>
    </w:rPr>
  </w:style>
  <w:style w:type="character" w:styleId="756">
    <w:name w:val="正文文本 3 Char"/>
    <w:next w:val="756"/>
    <w:link w:val="755"/>
    <w:qFormat/>
    <w:rPr>
      <w:rFonts w:ascii="Times New Roman" w:hAnsi="Times New Roman" w:eastAsia="宋体" w:cs="Times New Roman"/>
      <w:sz w:val="16"/>
      <w:szCs w:val="16"/>
    </w:rPr>
  </w:style>
  <w:style w:type="paragraph" w:styleId="757">
    <w:name w:val="正文文本"/>
    <w:basedOn w:val="725"/>
    <w:next w:val="725"/>
    <w:link w:val="758"/>
    <w:qFormat/>
    <w:rPr>
      <w:rFonts w:ascii="仿宋_GB2312" w:eastAsia="仿宋_GB2312"/>
      <w:sz w:val="24"/>
      <w:szCs w:val="20"/>
    </w:rPr>
  </w:style>
  <w:style w:type="character" w:styleId="758">
    <w:name w:val="正文文本 Char"/>
    <w:next w:val="758"/>
    <w:link w:val="757"/>
    <w:qFormat/>
    <w:rPr>
      <w:rFonts w:ascii="仿宋_GB2312" w:hAnsi="Times New Roman" w:eastAsia="仿宋_GB2312" w:cs="Times New Roman"/>
      <w:sz w:val="24"/>
      <w:szCs w:val="20"/>
    </w:rPr>
  </w:style>
  <w:style w:type="paragraph" w:styleId="759">
    <w:name w:val="正文文本缩进"/>
    <w:basedOn w:val="725"/>
    <w:next w:val="761"/>
    <w:link w:val="760"/>
    <w:qFormat/>
    <w:pPr>
      <w:ind w:left="765"/>
    </w:pPr>
    <w:rPr>
      <w:rFonts w:ascii="仿宋_GB2312" w:eastAsia="仿宋_GB2312"/>
      <w:sz w:val="28"/>
      <w:szCs w:val="20"/>
    </w:rPr>
  </w:style>
  <w:style w:type="character" w:styleId="760">
    <w:name w:val="正文文本缩进 Char"/>
    <w:next w:val="760"/>
    <w:link w:val="759"/>
    <w:qFormat/>
    <w:rPr>
      <w:rFonts w:ascii="仿宋_GB2312" w:hAnsi="Times New Roman" w:eastAsia="仿宋_GB2312" w:cs="Times New Roman"/>
      <w:sz w:val="28"/>
      <w:szCs w:val="20"/>
    </w:rPr>
  </w:style>
  <w:style w:type="paragraph" w:styleId="761">
    <w:name w:val="寄信人地址"/>
    <w:basedOn w:val="725"/>
    <w:next w:val="761"/>
    <w:link w:val="725"/>
    <w:uiPriority w:val="99"/>
    <w:unhideWhenUsed/>
    <w:qFormat/>
    <w:rPr>
      <w:rFonts w:ascii="Arial" w:hAnsi="Arial"/>
    </w:rPr>
  </w:style>
  <w:style w:type="paragraph" w:styleId="762">
    <w:name w:val="索引 4"/>
    <w:basedOn w:val="725"/>
    <w:next w:val="725"/>
    <w:link w:val="725"/>
    <w:uiPriority w:val="99"/>
    <w:unhideWhenUsed/>
    <w:qFormat/>
    <w:pPr>
      <w:ind w:left="600"/>
    </w:pPr>
  </w:style>
  <w:style w:type="paragraph" w:styleId="763">
    <w:name w:val="目录 5"/>
    <w:basedOn w:val="725"/>
    <w:next w:val="725"/>
    <w:link w:val="725"/>
    <w:uiPriority w:val="39"/>
    <w:unhideWhenUsed/>
    <w:qFormat/>
    <w:pPr>
      <w:ind w:left="1134"/>
      <w:spacing w:after="57"/>
    </w:pPr>
  </w:style>
  <w:style w:type="paragraph" w:styleId="764">
    <w:name w:val="目录 3"/>
    <w:basedOn w:val="725"/>
    <w:next w:val="725"/>
    <w:link w:val="725"/>
    <w:uiPriority w:val="39"/>
    <w:unhideWhenUsed/>
    <w:qFormat/>
    <w:pPr>
      <w:ind w:left="567"/>
      <w:spacing w:after="57"/>
    </w:pPr>
  </w:style>
  <w:style w:type="paragraph" w:styleId="765">
    <w:name w:val="纯文本"/>
    <w:basedOn w:val="725"/>
    <w:next w:val="725"/>
    <w:link w:val="766"/>
    <w:qFormat/>
    <w:rPr>
      <w:rFonts w:ascii="宋体" w:hAnsi="Courier New"/>
      <w:sz w:val="20"/>
      <w:szCs w:val="21"/>
    </w:rPr>
  </w:style>
  <w:style w:type="character" w:styleId="766">
    <w:name w:val="纯文本 Char"/>
    <w:next w:val="766"/>
    <w:link w:val="765"/>
    <w:qFormat/>
    <w:rPr>
      <w:rFonts w:ascii="宋体" w:hAnsi="Courier New" w:eastAsia="宋体" w:cs="Courier New"/>
      <w:szCs w:val="21"/>
    </w:rPr>
  </w:style>
  <w:style w:type="paragraph" w:styleId="767">
    <w:name w:val="目录 8"/>
    <w:basedOn w:val="725"/>
    <w:next w:val="725"/>
    <w:link w:val="725"/>
    <w:uiPriority w:val="39"/>
    <w:unhideWhenUsed/>
    <w:qFormat/>
    <w:pPr>
      <w:ind w:left="1984"/>
      <w:spacing w:after="57"/>
    </w:pPr>
  </w:style>
  <w:style w:type="paragraph" w:styleId="768">
    <w:name w:val="日期"/>
    <w:basedOn w:val="725"/>
    <w:next w:val="725"/>
    <w:link w:val="769"/>
    <w:qFormat/>
    <w:rPr>
      <w:sz w:val="24"/>
      <w:szCs w:val="20"/>
    </w:rPr>
  </w:style>
  <w:style w:type="character" w:styleId="769">
    <w:name w:val="日期 Char"/>
    <w:next w:val="769"/>
    <w:link w:val="768"/>
    <w:qFormat/>
    <w:rPr>
      <w:rFonts w:ascii="Times New Roman" w:hAnsi="Times New Roman" w:eastAsia="宋体" w:cs="Times New Roman"/>
      <w:sz w:val="24"/>
      <w:szCs w:val="20"/>
    </w:rPr>
  </w:style>
  <w:style w:type="paragraph" w:styleId="770">
    <w:name w:val="正文文本缩进 2"/>
    <w:basedOn w:val="725"/>
    <w:next w:val="770"/>
    <w:link w:val="771"/>
    <w:qFormat/>
    <w:pPr>
      <w:ind w:firstLine="560"/>
      <w:spacing w:line="500" w:lineRule="exact"/>
    </w:pPr>
    <w:rPr>
      <w:rFonts w:eastAsia="仿宋_GB2312"/>
      <w:sz w:val="28"/>
      <w:szCs w:val="20"/>
    </w:rPr>
  </w:style>
  <w:style w:type="character" w:styleId="771">
    <w:name w:val="正文文本缩进 2 Char"/>
    <w:next w:val="771"/>
    <w:link w:val="770"/>
    <w:qFormat/>
    <w:rPr>
      <w:rFonts w:ascii="Times New Roman" w:hAnsi="Times New Roman" w:eastAsia="仿宋_GB2312" w:cs="Times New Roman"/>
      <w:sz w:val="28"/>
      <w:szCs w:val="20"/>
    </w:rPr>
  </w:style>
  <w:style w:type="paragraph" w:styleId="772">
    <w:name w:val="尾注文本"/>
    <w:basedOn w:val="725"/>
    <w:next w:val="772"/>
    <w:link w:val="773"/>
    <w:uiPriority w:val="99"/>
    <w:unhideWhenUsed/>
    <w:qFormat/>
    <w:rPr>
      <w:sz w:val="20"/>
      <w:szCs w:val="20"/>
    </w:rPr>
  </w:style>
  <w:style w:type="character" w:styleId="773">
    <w:name w:val="尾注文本 Char"/>
    <w:next w:val="773"/>
    <w:link w:val="772"/>
    <w:uiPriority w:val="99"/>
    <w:qFormat/>
    <w:rPr>
      <w:sz w:val="20"/>
    </w:rPr>
  </w:style>
  <w:style w:type="paragraph" w:styleId="774">
    <w:name w:val="批注框文本"/>
    <w:basedOn w:val="725"/>
    <w:next w:val="774"/>
    <w:link w:val="775"/>
    <w:semiHidden/>
    <w:qFormat/>
    <w:rPr>
      <w:sz w:val="18"/>
      <w:szCs w:val="18"/>
    </w:rPr>
  </w:style>
  <w:style w:type="character" w:styleId="775">
    <w:name w:val="批注框文本 Char"/>
    <w:next w:val="775"/>
    <w:link w:val="774"/>
    <w:semiHidden/>
    <w:qFormat/>
    <w:rPr>
      <w:sz w:val="18"/>
      <w:szCs w:val="18"/>
    </w:rPr>
  </w:style>
  <w:style w:type="paragraph" w:styleId="776">
    <w:name w:val="页脚"/>
    <w:basedOn w:val="725"/>
    <w:next w:val="725"/>
    <w:link w:val="777"/>
    <w:uiPriority w:val="99"/>
    <w:qFormat/>
    <w:pPr>
      <w:jc w:val="left"/>
      <w:tabs>
        <w:tab w:val="center" w:pos="4153" w:leader="none"/>
        <w:tab w:val="right" w:pos="8306" w:leader="none"/>
      </w:tabs>
    </w:pPr>
    <w:rPr>
      <w:sz w:val="18"/>
      <w:szCs w:val="20"/>
    </w:rPr>
  </w:style>
  <w:style w:type="character" w:styleId="777">
    <w:name w:val="页脚 Char"/>
    <w:next w:val="777"/>
    <w:link w:val="776"/>
    <w:uiPriority w:val="99"/>
    <w:qFormat/>
    <w:rPr>
      <w:rFonts w:ascii="Times New Roman" w:hAnsi="Times New Roman" w:eastAsia="宋体" w:cs="Times New Roman"/>
      <w:sz w:val="18"/>
      <w:szCs w:val="20"/>
    </w:rPr>
  </w:style>
  <w:style w:type="paragraph" w:styleId="778">
    <w:name w:val="页眉"/>
    <w:basedOn w:val="725"/>
    <w:next w:val="778"/>
    <w:link w:val="779"/>
    <w:qFormat/>
    <w:pPr>
      <w:jc w:val="center"/>
      <w:tabs>
        <w:tab w:val="center" w:pos="4153" w:leader="none"/>
        <w:tab w:val="right" w:pos="8306" w:leader="none"/>
      </w:tabs>
      <w:pBdr>
        <w:bottom w:val="single" w:color="000000" w:sz="6" w:space="1"/>
      </w:pBdr>
    </w:pPr>
    <w:rPr>
      <w:sz w:val="18"/>
      <w:szCs w:val="18"/>
    </w:rPr>
  </w:style>
  <w:style w:type="character" w:styleId="779">
    <w:name w:val="页眉 Char"/>
    <w:next w:val="779"/>
    <w:link w:val="778"/>
    <w:qFormat/>
    <w:rPr>
      <w:rFonts w:ascii="Times New Roman" w:hAnsi="Times New Roman" w:eastAsia="宋体" w:cs="Times New Roman"/>
      <w:sz w:val="18"/>
      <w:szCs w:val="18"/>
    </w:rPr>
  </w:style>
  <w:style w:type="paragraph" w:styleId="780">
    <w:name w:val="目录 1"/>
    <w:basedOn w:val="725"/>
    <w:next w:val="725"/>
    <w:link w:val="725"/>
    <w:uiPriority w:val="39"/>
    <w:unhideWhenUsed/>
    <w:qFormat/>
    <w:pPr>
      <w:spacing w:after="57"/>
    </w:pPr>
  </w:style>
  <w:style w:type="paragraph" w:styleId="781">
    <w:name w:val="目录 4"/>
    <w:basedOn w:val="725"/>
    <w:next w:val="725"/>
    <w:link w:val="725"/>
    <w:uiPriority w:val="39"/>
    <w:unhideWhenUsed/>
    <w:qFormat/>
    <w:pPr>
      <w:ind w:left="850"/>
      <w:spacing w:after="57"/>
    </w:pPr>
  </w:style>
  <w:style w:type="paragraph" w:styleId="782">
    <w:name w:val="副标题"/>
    <w:basedOn w:val="725"/>
    <w:next w:val="725"/>
    <w:link w:val="783"/>
    <w:uiPriority w:val="11"/>
    <w:qFormat/>
    <w:pPr>
      <w:spacing w:before="200" w:after="200"/>
    </w:pPr>
    <w:rPr>
      <w:sz w:val="24"/>
    </w:rPr>
  </w:style>
  <w:style w:type="character" w:styleId="783">
    <w:name w:val="副标题 Char"/>
    <w:next w:val="783"/>
    <w:link w:val="782"/>
    <w:uiPriority w:val="11"/>
    <w:qFormat/>
    <w:rPr>
      <w:sz w:val="24"/>
      <w:szCs w:val="24"/>
    </w:rPr>
  </w:style>
  <w:style w:type="paragraph" w:styleId="784">
    <w:name w:val="列表"/>
    <w:basedOn w:val="725"/>
    <w:next w:val="784"/>
    <w:link w:val="725"/>
    <w:qFormat/>
    <w:pPr>
      <w:ind w:left="200" w:hanging="200"/>
    </w:pPr>
  </w:style>
  <w:style w:type="paragraph" w:styleId="785">
    <w:name w:val="脚注文本"/>
    <w:basedOn w:val="725"/>
    <w:next w:val="785"/>
    <w:link w:val="786"/>
    <w:uiPriority w:val="99"/>
    <w:unhideWhenUsed/>
    <w:qFormat/>
    <w:pPr>
      <w:spacing w:after="40"/>
    </w:pPr>
    <w:rPr>
      <w:sz w:val="18"/>
      <w:szCs w:val="20"/>
    </w:rPr>
  </w:style>
  <w:style w:type="character" w:styleId="786">
    <w:name w:val="脚注文本 Char"/>
    <w:next w:val="786"/>
    <w:link w:val="785"/>
    <w:uiPriority w:val="99"/>
    <w:qFormat/>
    <w:rPr>
      <w:sz w:val="18"/>
    </w:rPr>
  </w:style>
  <w:style w:type="paragraph" w:styleId="787">
    <w:name w:val="目录 6"/>
    <w:basedOn w:val="725"/>
    <w:next w:val="725"/>
    <w:link w:val="725"/>
    <w:uiPriority w:val="39"/>
    <w:unhideWhenUsed/>
    <w:qFormat/>
    <w:pPr>
      <w:ind w:left="1417"/>
      <w:spacing w:after="57"/>
    </w:pPr>
  </w:style>
  <w:style w:type="paragraph" w:styleId="788">
    <w:name w:val="正文文本缩进 3"/>
    <w:basedOn w:val="725"/>
    <w:next w:val="788"/>
    <w:link w:val="789"/>
    <w:qFormat/>
    <w:pPr>
      <w:ind w:left="420"/>
      <w:spacing w:after="120"/>
    </w:pPr>
    <w:rPr>
      <w:sz w:val="16"/>
      <w:szCs w:val="16"/>
    </w:rPr>
  </w:style>
  <w:style w:type="character" w:styleId="789">
    <w:name w:val="正文文本缩进 3 Char"/>
    <w:next w:val="789"/>
    <w:link w:val="788"/>
    <w:qFormat/>
    <w:rPr>
      <w:rFonts w:ascii="Times New Roman" w:hAnsi="Times New Roman" w:eastAsia="宋体" w:cs="Times New Roman"/>
      <w:sz w:val="16"/>
      <w:szCs w:val="16"/>
    </w:rPr>
  </w:style>
  <w:style w:type="paragraph" w:styleId="790">
    <w:name w:val="图表目录"/>
    <w:basedOn w:val="725"/>
    <w:next w:val="725"/>
    <w:link w:val="725"/>
    <w:uiPriority w:val="99"/>
    <w:unhideWhenUsed/>
    <w:qFormat/>
  </w:style>
  <w:style w:type="paragraph" w:styleId="791">
    <w:name w:val="目录 2"/>
    <w:basedOn w:val="725"/>
    <w:next w:val="725"/>
    <w:link w:val="725"/>
    <w:uiPriority w:val="39"/>
    <w:unhideWhenUsed/>
    <w:qFormat/>
    <w:pPr>
      <w:ind w:left="283"/>
      <w:spacing w:after="57"/>
    </w:pPr>
  </w:style>
  <w:style w:type="paragraph" w:styleId="792">
    <w:name w:val="目录 9"/>
    <w:basedOn w:val="725"/>
    <w:next w:val="725"/>
    <w:link w:val="725"/>
    <w:uiPriority w:val="39"/>
    <w:unhideWhenUsed/>
    <w:qFormat/>
    <w:pPr>
      <w:ind w:left="2268"/>
      <w:spacing w:after="57"/>
    </w:pPr>
  </w:style>
  <w:style w:type="paragraph" w:styleId="793">
    <w:name w:val="正文文本 2"/>
    <w:basedOn w:val="725"/>
    <w:next w:val="793"/>
    <w:link w:val="794"/>
    <w:qFormat/>
    <w:rPr>
      <w:b/>
      <w:bCs/>
      <w:sz w:val="18"/>
    </w:rPr>
  </w:style>
  <w:style w:type="character" w:styleId="794">
    <w:name w:val="正文文本 2 Char"/>
    <w:next w:val="794"/>
    <w:link w:val="793"/>
    <w:qFormat/>
    <w:rPr>
      <w:rFonts w:ascii="Times New Roman" w:hAnsi="Times New Roman" w:eastAsia="宋体" w:cs="Times New Roman"/>
      <w:b/>
      <w:bCs/>
      <w:sz w:val="18"/>
      <w:szCs w:val="24"/>
    </w:rPr>
  </w:style>
  <w:style w:type="paragraph" w:styleId="795">
    <w:name w:val="信息标题"/>
    <w:basedOn w:val="725"/>
    <w:next w:val="795"/>
    <w:link w:val="72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796">
    <w:name w:val="HTML 预设格式"/>
    <w:basedOn w:val="725"/>
    <w:next w:val="796"/>
    <w:link w:val="7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97">
    <w:name w:val="HTML 预设格式 Char"/>
    <w:next w:val="797"/>
    <w:link w:val="796"/>
    <w:qFormat/>
    <w:rPr>
      <w:rFonts w:ascii="等线 Light" w:hAnsi="等线 Light" w:eastAsia="幼圆" w:cs="等线 Light"/>
      <w:sz w:val="24"/>
      <w:szCs w:val="22"/>
    </w:rPr>
  </w:style>
  <w:style w:type="paragraph" w:styleId="798">
    <w:name w:val="普通(网站)"/>
    <w:basedOn w:val="725"/>
    <w:next w:val="798"/>
    <w:link w:val="725"/>
    <w:qFormat/>
    <w:pPr>
      <w:jc w:val="left"/>
      <w:spacing w:before="100" w:beforeAutospacing="1" w:after="100" w:afterAutospacing="1"/>
      <w:widowControl/>
    </w:pPr>
    <w:rPr>
      <w:rFonts w:ascii="宋体" w:hAnsi="宋体"/>
      <w:color w:val="000000"/>
      <w:sz w:val="24"/>
    </w:rPr>
  </w:style>
  <w:style w:type="paragraph" w:styleId="799">
    <w:name w:val="正文首行缩进"/>
    <w:basedOn w:val="757"/>
    <w:next w:val="800"/>
    <w:link w:val="725"/>
    <w:uiPriority w:val="99"/>
    <w:qFormat/>
    <w:pPr>
      <w:ind w:firstLine="420"/>
    </w:pPr>
  </w:style>
  <w:style w:type="paragraph" w:styleId="800">
    <w:name w:val="正文首行缩进 2"/>
    <w:basedOn w:val="759"/>
    <w:next w:val="799"/>
    <w:link w:val="725"/>
    <w:uiPriority w:val="99"/>
    <w:qFormat/>
    <w:pPr>
      <w:ind w:firstLine="200"/>
      <w:spacing w:line="240" w:lineRule="auto"/>
    </w:pPr>
  </w:style>
  <w:style w:type="table" w:styleId="801">
    <w:name w:val="网格型"/>
    <w:basedOn w:val="736"/>
    <w:next w:val="801"/>
    <w:link w:val="725"/>
    <w:qFormat/>
    <w:tblPr/>
  </w:style>
  <w:style w:type="character" w:styleId="802">
    <w:name w:val="要点"/>
    <w:next w:val="802"/>
    <w:link w:val="725"/>
    <w:qFormat/>
    <w:rPr>
      <w:b/>
      <w:bCs/>
    </w:rPr>
  </w:style>
  <w:style w:type="character" w:styleId="803">
    <w:name w:val="尾注引用"/>
    <w:next w:val="803"/>
    <w:link w:val="725"/>
    <w:uiPriority w:val="99"/>
    <w:unhideWhenUsed/>
    <w:qFormat/>
    <w:rPr>
      <w:vertAlign w:val="superscript"/>
    </w:rPr>
  </w:style>
  <w:style w:type="character" w:styleId="804">
    <w:name w:val="页码"/>
    <w:next w:val="804"/>
    <w:link w:val="725"/>
    <w:qFormat/>
  </w:style>
  <w:style w:type="character" w:styleId="805">
    <w:name w:val="超链接"/>
    <w:next w:val="805"/>
    <w:link w:val="725"/>
    <w:qFormat/>
    <w:rPr>
      <w:color w:val="0000ff"/>
      <w:u w:val="single"/>
    </w:rPr>
  </w:style>
  <w:style w:type="character" w:styleId="806">
    <w:name w:val="脚注引用"/>
    <w:next w:val="806"/>
    <w:link w:val="725"/>
    <w:uiPriority w:val="99"/>
    <w:unhideWhenUsed/>
    <w:qFormat/>
    <w:rPr>
      <w:vertAlign w:val="superscript"/>
    </w:rPr>
  </w:style>
  <w:style w:type="paragraph" w:styleId="807">
    <w:name w:val="Default"/>
    <w:next w:val="807"/>
    <w:link w:val="725"/>
    <w:qFormat/>
    <w:pPr>
      <w:widowControl w:val="off"/>
    </w:pPr>
    <w:rPr>
      <w:rFonts w:ascii="Arial Unicode MS" w:eastAsia="Arial Unicode MS" w:cs="Arial Unicode MS"/>
      <w:color w:val="000000"/>
      <w:sz w:val="24"/>
      <w:szCs w:val="24"/>
      <w:lang w:val="en-US" w:eastAsia="zh-CN" w:bidi="ar-SA"/>
    </w:rPr>
  </w:style>
  <w:style w:type="paragraph" w:styleId="808">
    <w:name w:val="正文首行缩进 21"/>
    <w:basedOn w:val="809"/>
    <w:next w:val="808"/>
    <w:link w:val="725"/>
    <w:qFormat/>
    <w:pPr>
      <w:ind w:left="0" w:firstLine="420"/>
      <w:spacing w:after="0" w:line="360" w:lineRule="auto"/>
    </w:pPr>
    <w:rPr>
      <w:rFonts w:ascii="宋体" w:hAnsi="宋体"/>
      <w:sz w:val="20"/>
      <w:szCs w:val="20"/>
    </w:rPr>
  </w:style>
  <w:style w:type="paragraph" w:styleId="809">
    <w:name w:val="正文文本缩进1"/>
    <w:basedOn w:val="725"/>
    <w:next w:val="809"/>
    <w:link w:val="725"/>
    <w:uiPriority w:val="99"/>
    <w:unhideWhenUsed/>
    <w:qFormat/>
    <w:pPr>
      <w:ind w:left="420"/>
      <w:spacing w:after="120"/>
    </w:pPr>
  </w:style>
  <w:style w:type="table" w:styleId="810">
    <w:name w:val="Plain Table 1"/>
    <w:basedOn w:val="736"/>
    <w:next w:val="810"/>
    <w:link w:val="725"/>
    <w:uiPriority w:val="59"/>
    <w:qFormat/>
    <w:pPr>
      <w:spacing w:after="0" w:line="240" w:lineRule="auto"/>
    </w:pPr>
    <w:tblPr/>
  </w:style>
  <w:style w:type="table" w:styleId="811">
    <w:name w:val="Plain Table 2"/>
    <w:basedOn w:val="736"/>
    <w:next w:val="811"/>
    <w:link w:val="725"/>
    <w:uiPriority w:val="59"/>
    <w:qFormat/>
    <w:pPr>
      <w:spacing w:after="0" w:line="240" w:lineRule="auto"/>
    </w:pPr>
    <w:tblPr/>
  </w:style>
  <w:style w:type="table" w:styleId="812">
    <w:name w:val="Plain Table 3"/>
    <w:basedOn w:val="736"/>
    <w:next w:val="812"/>
    <w:link w:val="725"/>
    <w:uiPriority w:val="99"/>
    <w:qFormat/>
    <w:pPr>
      <w:spacing w:after="0" w:line="240" w:lineRule="auto"/>
    </w:pPr>
    <w:tblPr/>
  </w:style>
  <w:style w:type="table" w:styleId="813">
    <w:name w:val="Plain Table 4"/>
    <w:basedOn w:val="736"/>
    <w:next w:val="813"/>
    <w:link w:val="725"/>
    <w:uiPriority w:val="99"/>
    <w:qFormat/>
    <w:pPr>
      <w:spacing w:after="0" w:line="240" w:lineRule="auto"/>
    </w:pPr>
    <w:tblPr/>
  </w:style>
  <w:style w:type="table" w:styleId="814">
    <w:name w:val="Plain Table 5"/>
    <w:basedOn w:val="736"/>
    <w:next w:val="814"/>
    <w:link w:val="725"/>
    <w:uiPriority w:val="99"/>
    <w:qFormat/>
    <w:tblPr/>
  </w:style>
  <w:style w:type="table" w:styleId="815">
    <w:name w:val="Grid Table 1 Light"/>
    <w:basedOn w:val="736"/>
    <w:next w:val="815"/>
    <w:link w:val="725"/>
    <w:uiPriority w:val="99"/>
    <w:qFormat/>
    <w:pPr>
      <w:spacing w:after="0" w:line="240" w:lineRule="auto"/>
    </w:pPr>
    <w:tblPr/>
  </w:style>
  <w:style w:type="table" w:styleId="816">
    <w:name w:val="Grid Table 2"/>
    <w:basedOn w:val="736"/>
    <w:next w:val="816"/>
    <w:link w:val="725"/>
    <w:uiPriority w:val="99"/>
    <w:qFormat/>
    <w:pPr>
      <w:spacing w:after="0" w:line="240" w:lineRule="auto"/>
    </w:pPr>
    <w:tblPr/>
  </w:style>
  <w:style w:type="table" w:styleId="817">
    <w:name w:val="Grid Table 3"/>
    <w:basedOn w:val="736"/>
    <w:next w:val="817"/>
    <w:link w:val="725"/>
    <w:uiPriority w:val="99"/>
    <w:qFormat/>
    <w:tblPr/>
  </w:style>
  <w:style w:type="table" w:styleId="818">
    <w:name w:val="Grid Table 4"/>
    <w:basedOn w:val="736"/>
    <w:next w:val="818"/>
    <w:link w:val="725"/>
    <w:uiPriority w:val="59"/>
    <w:qFormat/>
    <w:pPr>
      <w:spacing w:after="0" w:line="240" w:lineRule="auto"/>
    </w:pPr>
    <w:tblPr/>
  </w:style>
  <w:style w:type="table" w:styleId="819">
    <w:name w:val="Grid Table 5 Dark"/>
    <w:basedOn w:val="736"/>
    <w:next w:val="819"/>
    <w:link w:val="725"/>
    <w:uiPriority w:val="99"/>
    <w:qFormat/>
    <w:pPr>
      <w:spacing w:after="0" w:line="240" w:lineRule="auto"/>
    </w:pPr>
    <w:tblPr/>
  </w:style>
  <w:style w:type="table" w:styleId="820">
    <w:name w:val="Grid Table 6 Colorful"/>
    <w:basedOn w:val="736"/>
    <w:next w:val="820"/>
    <w:link w:val="725"/>
    <w:uiPriority w:val="99"/>
    <w:qFormat/>
    <w:pPr>
      <w:spacing w:after="0" w:line="240" w:lineRule="auto"/>
    </w:pPr>
    <w:tblPr/>
  </w:style>
  <w:style w:type="table" w:styleId="821">
    <w:name w:val="Grid Table 7 Colorful"/>
    <w:basedOn w:val="736"/>
    <w:next w:val="821"/>
    <w:link w:val="725"/>
    <w:uiPriority w:val="99"/>
    <w:qFormat/>
    <w:tblPr/>
  </w:style>
  <w:style w:type="table" w:styleId="822">
    <w:name w:val="List Table 1 Light"/>
    <w:basedOn w:val="736"/>
    <w:next w:val="822"/>
    <w:link w:val="725"/>
    <w:uiPriority w:val="99"/>
    <w:qFormat/>
    <w:pPr>
      <w:spacing w:after="0" w:line="240" w:lineRule="auto"/>
    </w:pPr>
    <w:tblPr/>
  </w:style>
  <w:style w:type="table" w:styleId="823">
    <w:name w:val="List Table 2"/>
    <w:basedOn w:val="736"/>
    <w:next w:val="823"/>
    <w:link w:val="725"/>
    <w:uiPriority w:val="99"/>
    <w:qFormat/>
    <w:pPr>
      <w:spacing w:after="0" w:line="240" w:lineRule="auto"/>
    </w:pPr>
    <w:tblPr/>
  </w:style>
  <w:style w:type="table" w:styleId="824">
    <w:name w:val="List Table 3"/>
    <w:basedOn w:val="736"/>
    <w:next w:val="824"/>
    <w:link w:val="725"/>
    <w:uiPriority w:val="99"/>
    <w:qFormat/>
    <w:pPr>
      <w:spacing w:after="0" w:line="240" w:lineRule="auto"/>
    </w:pPr>
    <w:tblPr/>
  </w:style>
  <w:style w:type="table" w:styleId="825">
    <w:name w:val="List Table 4"/>
    <w:basedOn w:val="736"/>
    <w:next w:val="825"/>
    <w:link w:val="725"/>
    <w:uiPriority w:val="99"/>
    <w:qFormat/>
    <w:pPr>
      <w:spacing w:after="0" w:line="240" w:lineRule="auto"/>
    </w:pPr>
    <w:tblPr/>
  </w:style>
  <w:style w:type="table" w:styleId="826">
    <w:name w:val="List Table 5 Dark"/>
    <w:basedOn w:val="736"/>
    <w:next w:val="826"/>
    <w:link w:val="725"/>
    <w:uiPriority w:val="99"/>
    <w:qFormat/>
    <w:pPr>
      <w:spacing w:after="0" w:line="240" w:lineRule="auto"/>
    </w:pPr>
    <w:tblPr/>
  </w:style>
  <w:style w:type="table" w:styleId="827">
    <w:name w:val="List Table 6 Colorful"/>
    <w:basedOn w:val="736"/>
    <w:next w:val="827"/>
    <w:link w:val="725"/>
    <w:uiPriority w:val="99"/>
    <w:qFormat/>
    <w:pPr>
      <w:spacing w:after="0" w:line="240" w:lineRule="auto"/>
    </w:pPr>
    <w:tblPr/>
  </w:style>
  <w:style w:type="table" w:styleId="828">
    <w:name w:val="List Table 7 Colorful"/>
    <w:basedOn w:val="736"/>
    <w:next w:val="828"/>
    <w:link w:val="725"/>
    <w:uiPriority w:val="99"/>
    <w:qFormat/>
    <w:tblPr/>
  </w:style>
  <w:style w:type="paragraph" w:styleId="829">
    <w:name w:val="TOC 标题1"/>
    <w:next w:val="829"/>
    <w:link w:val="725"/>
    <w:uiPriority w:val="39"/>
    <w:unhideWhenUsed/>
    <w:qFormat/>
    <w:rPr>
      <w:lang w:val="en-US" w:eastAsia="zh-CN" w:bidi="ar-SA"/>
    </w:rPr>
  </w:style>
  <w:style w:type="character" w:styleId="830">
    <w:name w:val="Title Char"/>
    <w:basedOn w:val="735"/>
    <w:next w:val="830"/>
    <w:link w:val="725"/>
    <w:uiPriority w:val="10"/>
    <w:qFormat/>
    <w:rPr>
      <w:sz w:val="48"/>
      <w:szCs w:val="48"/>
    </w:rPr>
  </w:style>
  <w:style w:type="character" w:styleId="831">
    <w:name w:val="Subtitle Char"/>
    <w:basedOn w:val="735"/>
    <w:next w:val="831"/>
    <w:link w:val="725"/>
    <w:uiPriority w:val="11"/>
    <w:qFormat/>
    <w:rPr>
      <w:sz w:val="24"/>
      <w:szCs w:val="24"/>
    </w:rPr>
  </w:style>
  <w:style w:type="character" w:styleId="832">
    <w:name w:val="Quote Char"/>
    <w:next w:val="832"/>
    <w:link w:val="725"/>
    <w:uiPriority w:val="29"/>
    <w:qFormat/>
    <w:rPr>
      <w:i/>
    </w:rPr>
  </w:style>
  <w:style w:type="character" w:styleId="833">
    <w:name w:val="Intense Quote Char"/>
    <w:next w:val="833"/>
    <w:link w:val="725"/>
    <w:uiPriority w:val="30"/>
    <w:qFormat/>
    <w:rPr>
      <w:i/>
    </w:rPr>
  </w:style>
  <w:style w:type="character" w:styleId="834">
    <w:name w:val="Footnote Text Char"/>
    <w:next w:val="834"/>
    <w:link w:val="725"/>
    <w:uiPriority w:val="99"/>
    <w:qFormat/>
    <w:rPr>
      <w:sz w:val="18"/>
    </w:rPr>
  </w:style>
  <w:style w:type="character" w:styleId="835">
    <w:name w:val="Endnote Text Char"/>
    <w:next w:val="835"/>
    <w:link w:val="725"/>
    <w:uiPriority w:val="99"/>
    <w:qFormat/>
    <w:rPr>
      <w:sz w:val="20"/>
    </w:rPr>
  </w:style>
  <w:style w:type="character" w:styleId="836">
    <w:name w:val="Heading 1 Char"/>
    <w:next w:val="836"/>
    <w:link w:val="725"/>
    <w:uiPriority w:val="9"/>
    <w:qFormat/>
    <w:rPr>
      <w:rFonts w:ascii="Arial" w:hAnsi="Arial" w:eastAsia="Arial" w:cs="Arial"/>
      <w:sz w:val="40"/>
      <w:szCs w:val="40"/>
    </w:rPr>
  </w:style>
  <w:style w:type="character" w:styleId="837">
    <w:name w:val="Heading 2 Char"/>
    <w:next w:val="837"/>
    <w:link w:val="725"/>
    <w:uiPriority w:val="9"/>
    <w:qFormat/>
    <w:rPr>
      <w:rFonts w:ascii="Arial" w:hAnsi="Arial" w:eastAsia="Arial" w:cs="Arial"/>
      <w:sz w:val="34"/>
    </w:rPr>
  </w:style>
  <w:style w:type="character" w:styleId="838">
    <w:name w:val="Heading 3 Char"/>
    <w:next w:val="838"/>
    <w:link w:val="725"/>
    <w:uiPriority w:val="9"/>
    <w:qFormat/>
    <w:rPr>
      <w:rFonts w:ascii="Arial" w:hAnsi="Arial" w:eastAsia="Arial" w:cs="Arial"/>
      <w:sz w:val="30"/>
      <w:szCs w:val="30"/>
    </w:rPr>
  </w:style>
  <w:style w:type="character" w:styleId="839">
    <w:name w:val="Heading 4 Char"/>
    <w:next w:val="839"/>
    <w:link w:val="725"/>
    <w:uiPriority w:val="9"/>
    <w:qFormat/>
    <w:rPr>
      <w:rFonts w:ascii="Arial" w:hAnsi="Arial" w:eastAsia="Arial" w:cs="Arial"/>
      <w:b/>
      <w:bCs/>
      <w:sz w:val="26"/>
      <w:szCs w:val="26"/>
    </w:rPr>
  </w:style>
  <w:style w:type="character" w:styleId="840">
    <w:name w:val="Heading 5 Char"/>
    <w:next w:val="840"/>
    <w:link w:val="725"/>
    <w:uiPriority w:val="9"/>
    <w:qFormat/>
    <w:rPr>
      <w:rFonts w:ascii="Arial" w:hAnsi="Arial" w:eastAsia="Arial" w:cs="Arial"/>
      <w:b/>
      <w:bCs/>
      <w:sz w:val="24"/>
      <w:szCs w:val="24"/>
    </w:rPr>
  </w:style>
  <w:style w:type="character" w:styleId="841">
    <w:name w:val="Heading 6 Char"/>
    <w:next w:val="841"/>
    <w:link w:val="725"/>
    <w:uiPriority w:val="9"/>
    <w:qFormat/>
    <w:rPr>
      <w:rFonts w:ascii="Arial" w:hAnsi="Arial" w:eastAsia="Arial" w:cs="Arial"/>
      <w:b/>
      <w:bCs/>
      <w:sz w:val="22"/>
      <w:szCs w:val="22"/>
    </w:rPr>
  </w:style>
  <w:style w:type="character" w:styleId="842">
    <w:name w:val="Heading 7 Char"/>
    <w:next w:val="842"/>
    <w:link w:val="725"/>
    <w:uiPriority w:val="9"/>
    <w:qFormat/>
    <w:rPr>
      <w:rFonts w:ascii="Arial" w:hAnsi="Arial" w:eastAsia="Arial" w:cs="Arial"/>
      <w:b/>
      <w:bCs/>
      <w:i/>
      <w:iCs/>
      <w:sz w:val="22"/>
      <w:szCs w:val="22"/>
    </w:rPr>
  </w:style>
  <w:style w:type="character" w:styleId="843">
    <w:name w:val="Heading 8 Char"/>
    <w:next w:val="843"/>
    <w:link w:val="725"/>
    <w:uiPriority w:val="9"/>
    <w:qFormat/>
    <w:rPr>
      <w:rFonts w:ascii="Arial" w:hAnsi="Arial" w:eastAsia="Arial" w:cs="Arial"/>
      <w:i/>
      <w:iCs/>
      <w:sz w:val="22"/>
      <w:szCs w:val="22"/>
    </w:rPr>
  </w:style>
  <w:style w:type="character" w:styleId="844">
    <w:name w:val="Heading 9 Char"/>
    <w:next w:val="844"/>
    <w:link w:val="725"/>
    <w:uiPriority w:val="9"/>
    <w:qFormat/>
    <w:rPr>
      <w:rFonts w:ascii="Arial" w:hAnsi="Arial" w:eastAsia="Arial" w:cs="Arial"/>
      <w:i/>
      <w:iCs/>
      <w:sz w:val="21"/>
      <w:szCs w:val="21"/>
    </w:rPr>
  </w:style>
  <w:style w:type="paragraph" w:styleId="845">
    <w:name w:val="列出段落"/>
    <w:basedOn w:val="725"/>
    <w:next w:val="845"/>
    <w:link w:val="846"/>
    <w:uiPriority w:val="99"/>
    <w:qFormat/>
    <w:pPr>
      <w:ind w:firstLine="420"/>
    </w:pPr>
    <w:rPr>
      <w:sz w:val="20"/>
      <w:szCs w:val="20"/>
    </w:rPr>
  </w:style>
  <w:style w:type="character" w:styleId="846">
    <w:name w:val="列出段落 Char"/>
    <w:next w:val="846"/>
    <w:link w:val="845"/>
    <w:uiPriority w:val="99"/>
    <w:qFormat/>
  </w:style>
  <w:style w:type="paragraph" w:styleId="847">
    <w:name w:val="无间隔"/>
    <w:next w:val="847"/>
    <w:link w:val="725"/>
    <w:uiPriority w:val="1"/>
    <w:qFormat/>
    <w:rPr>
      <w:lang w:val="en-US" w:eastAsia="zh-CN" w:bidi="ar-SA"/>
    </w:rPr>
  </w:style>
  <w:style w:type="paragraph" w:styleId="848">
    <w:name w:val="引用"/>
    <w:basedOn w:val="725"/>
    <w:next w:val="725"/>
    <w:link w:val="849"/>
    <w:uiPriority w:val="29"/>
    <w:qFormat/>
    <w:pPr>
      <w:ind w:left="720" w:right="720"/>
    </w:pPr>
    <w:rPr>
      <w:i/>
      <w:sz w:val="20"/>
      <w:szCs w:val="20"/>
    </w:rPr>
  </w:style>
  <w:style w:type="character" w:styleId="849">
    <w:name w:val="引用 Char"/>
    <w:next w:val="849"/>
    <w:link w:val="848"/>
    <w:uiPriority w:val="29"/>
    <w:qFormat/>
    <w:rPr>
      <w:i/>
    </w:rPr>
  </w:style>
  <w:style w:type="paragraph" w:styleId="850">
    <w:name w:val="明显引用"/>
    <w:basedOn w:val="725"/>
    <w:next w:val="725"/>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1">
    <w:name w:val="明显引用 Char"/>
    <w:next w:val="851"/>
    <w:link w:val="850"/>
    <w:uiPriority w:val="30"/>
    <w:qFormat/>
    <w:rPr>
      <w:i/>
    </w:rPr>
  </w:style>
  <w:style w:type="character" w:styleId="852">
    <w:name w:val="Header Char"/>
    <w:next w:val="852"/>
    <w:link w:val="725"/>
    <w:uiPriority w:val="99"/>
    <w:qFormat/>
  </w:style>
  <w:style w:type="character" w:styleId="853">
    <w:name w:val="Footer Char"/>
    <w:next w:val="853"/>
    <w:link w:val="725"/>
    <w:uiPriority w:val="99"/>
    <w:qFormat/>
  </w:style>
  <w:style w:type="character" w:styleId="854">
    <w:name w:val="Caption Char"/>
    <w:next w:val="854"/>
    <w:link w:val="725"/>
    <w:uiPriority w:val="99"/>
    <w:qFormat/>
  </w:style>
  <w:style w:type="table" w:styleId="855">
    <w:name w:val="Table Grid Light"/>
    <w:next w:val="855"/>
    <w:link w:val="725"/>
    <w:uiPriority w:val="59"/>
    <w:qFormat/>
    <w:rPr>
      <w:lang w:val="en-US" w:eastAsia="zh-CN" w:bidi="ar-SA"/>
    </w:rPr>
    <w:tblPr/>
  </w:style>
  <w:style w:type="table" w:styleId="856">
    <w:name w:val="无格式表格 11"/>
    <w:next w:val="856"/>
    <w:link w:val="725"/>
    <w:uiPriority w:val="59"/>
    <w:qFormat/>
    <w:rPr>
      <w:lang w:val="en-US" w:eastAsia="zh-CN" w:bidi="ar-SA"/>
    </w:rPr>
    <w:tblPr/>
  </w:style>
  <w:style w:type="table" w:styleId="857">
    <w:name w:val="无格式表格 21"/>
    <w:next w:val="857"/>
    <w:link w:val="725"/>
    <w:uiPriority w:val="59"/>
    <w:qFormat/>
    <w:rPr>
      <w:lang w:val="en-US" w:eastAsia="zh-CN" w:bidi="ar-SA"/>
    </w:rPr>
    <w:tblPr/>
  </w:style>
  <w:style w:type="table" w:styleId="858">
    <w:name w:val="无格式表格 31"/>
    <w:next w:val="858"/>
    <w:link w:val="725"/>
    <w:uiPriority w:val="99"/>
    <w:qFormat/>
    <w:rPr>
      <w:lang w:val="en-US" w:eastAsia="zh-CN" w:bidi="ar-SA"/>
    </w:rPr>
    <w:tblPr/>
  </w:style>
  <w:style w:type="table" w:styleId="859">
    <w:name w:val="无格式表格 41"/>
    <w:next w:val="859"/>
    <w:link w:val="725"/>
    <w:uiPriority w:val="99"/>
    <w:qFormat/>
    <w:rPr>
      <w:lang w:val="en-US" w:eastAsia="zh-CN" w:bidi="ar-SA"/>
    </w:rPr>
    <w:tblPr/>
  </w:style>
  <w:style w:type="table" w:styleId="860">
    <w:name w:val="无格式表格 51"/>
    <w:next w:val="860"/>
    <w:link w:val="725"/>
    <w:uiPriority w:val="99"/>
    <w:qFormat/>
    <w:rPr>
      <w:lang w:val="en-US" w:eastAsia="zh-CN" w:bidi="ar-SA"/>
    </w:rPr>
    <w:tblPr/>
  </w:style>
  <w:style w:type="table" w:styleId="861">
    <w:name w:val="网格表 1 浅色1"/>
    <w:next w:val="861"/>
    <w:link w:val="725"/>
    <w:uiPriority w:val="99"/>
    <w:qFormat/>
    <w:rPr>
      <w:lang w:val="en-US" w:eastAsia="zh-CN" w:bidi="ar-SA"/>
    </w:rPr>
    <w:tblPr/>
  </w:style>
  <w:style w:type="table" w:styleId="862">
    <w:name w:val="Grid Table 1 Light - Accent 1"/>
    <w:next w:val="862"/>
    <w:link w:val="725"/>
    <w:uiPriority w:val="99"/>
    <w:qFormat/>
    <w:rPr>
      <w:lang w:val="en-US" w:eastAsia="zh-CN" w:bidi="ar-SA"/>
    </w:rPr>
    <w:tblPr/>
  </w:style>
  <w:style w:type="table" w:styleId="863">
    <w:name w:val="Grid Table 1 Light - Accent 2"/>
    <w:next w:val="863"/>
    <w:link w:val="725"/>
    <w:uiPriority w:val="99"/>
    <w:qFormat/>
    <w:rPr>
      <w:lang w:val="en-US" w:eastAsia="zh-CN" w:bidi="ar-SA"/>
    </w:rPr>
    <w:tblPr/>
  </w:style>
  <w:style w:type="table" w:styleId="864">
    <w:name w:val="Grid Table 1 Light - Accent 3"/>
    <w:next w:val="864"/>
    <w:link w:val="725"/>
    <w:uiPriority w:val="99"/>
    <w:qFormat/>
    <w:rPr>
      <w:lang w:val="en-US" w:eastAsia="zh-CN" w:bidi="ar-SA"/>
    </w:rPr>
    <w:tblPr/>
  </w:style>
  <w:style w:type="table" w:styleId="865">
    <w:name w:val="Grid Table 1 Light - Accent 4"/>
    <w:next w:val="865"/>
    <w:link w:val="725"/>
    <w:uiPriority w:val="99"/>
    <w:qFormat/>
    <w:rPr>
      <w:lang w:val="en-US" w:eastAsia="zh-CN" w:bidi="ar-SA"/>
    </w:rPr>
    <w:tblPr/>
  </w:style>
  <w:style w:type="table" w:styleId="866">
    <w:name w:val="Grid Table 1 Light - Accent 5"/>
    <w:next w:val="866"/>
    <w:link w:val="725"/>
    <w:uiPriority w:val="99"/>
    <w:qFormat/>
    <w:rPr>
      <w:lang w:val="en-US" w:eastAsia="zh-CN" w:bidi="ar-SA"/>
    </w:rPr>
    <w:tblPr/>
  </w:style>
  <w:style w:type="table" w:styleId="867">
    <w:name w:val="Grid Table 1 Light - Accent 6"/>
    <w:next w:val="867"/>
    <w:link w:val="725"/>
    <w:uiPriority w:val="99"/>
    <w:qFormat/>
    <w:rPr>
      <w:lang w:val="en-US" w:eastAsia="zh-CN" w:bidi="ar-SA"/>
    </w:rPr>
    <w:tblPr/>
  </w:style>
  <w:style w:type="table" w:styleId="868">
    <w:name w:val="网格表 21"/>
    <w:next w:val="868"/>
    <w:link w:val="725"/>
    <w:uiPriority w:val="99"/>
    <w:qFormat/>
    <w:rPr>
      <w:lang w:val="en-US" w:eastAsia="zh-CN" w:bidi="ar-SA"/>
    </w:rPr>
    <w:tblPr/>
  </w:style>
  <w:style w:type="table" w:styleId="869">
    <w:name w:val="Grid Table 2 - Accent 1"/>
    <w:next w:val="869"/>
    <w:link w:val="725"/>
    <w:uiPriority w:val="99"/>
    <w:qFormat/>
    <w:rPr>
      <w:lang w:val="en-US" w:eastAsia="zh-CN" w:bidi="ar-SA"/>
    </w:rPr>
    <w:tblPr/>
  </w:style>
  <w:style w:type="table" w:styleId="870">
    <w:name w:val="Grid Table 2 - Accent 2"/>
    <w:next w:val="870"/>
    <w:link w:val="725"/>
    <w:uiPriority w:val="99"/>
    <w:qFormat/>
    <w:rPr>
      <w:lang w:val="en-US" w:eastAsia="zh-CN" w:bidi="ar-SA"/>
    </w:rPr>
    <w:tblPr/>
  </w:style>
  <w:style w:type="table" w:styleId="871">
    <w:name w:val="Grid Table 2 - Accent 3"/>
    <w:next w:val="871"/>
    <w:link w:val="725"/>
    <w:uiPriority w:val="99"/>
    <w:qFormat/>
    <w:rPr>
      <w:lang w:val="en-US" w:eastAsia="zh-CN" w:bidi="ar-SA"/>
    </w:rPr>
    <w:tblPr/>
  </w:style>
  <w:style w:type="table" w:styleId="872">
    <w:name w:val="Grid Table 2 - Accent 4"/>
    <w:next w:val="872"/>
    <w:link w:val="725"/>
    <w:uiPriority w:val="99"/>
    <w:qFormat/>
    <w:rPr>
      <w:lang w:val="en-US" w:eastAsia="zh-CN" w:bidi="ar-SA"/>
    </w:rPr>
    <w:tblPr/>
  </w:style>
  <w:style w:type="table" w:styleId="873">
    <w:name w:val="Grid Table 2 - Accent 5"/>
    <w:next w:val="873"/>
    <w:link w:val="725"/>
    <w:uiPriority w:val="99"/>
    <w:qFormat/>
    <w:rPr>
      <w:lang w:val="en-US" w:eastAsia="zh-CN" w:bidi="ar-SA"/>
    </w:rPr>
    <w:tblPr/>
  </w:style>
  <w:style w:type="table" w:styleId="874">
    <w:name w:val="Grid Table 2 - Accent 6"/>
    <w:next w:val="874"/>
    <w:link w:val="725"/>
    <w:uiPriority w:val="99"/>
    <w:qFormat/>
    <w:rPr>
      <w:lang w:val="en-US" w:eastAsia="zh-CN" w:bidi="ar-SA"/>
    </w:rPr>
    <w:tblPr/>
  </w:style>
  <w:style w:type="table" w:styleId="875">
    <w:name w:val="网格表 31"/>
    <w:next w:val="875"/>
    <w:link w:val="725"/>
    <w:uiPriority w:val="99"/>
    <w:qFormat/>
    <w:rPr>
      <w:lang w:val="en-US" w:eastAsia="zh-CN" w:bidi="ar-SA"/>
    </w:rPr>
    <w:tblPr/>
  </w:style>
  <w:style w:type="table" w:styleId="876">
    <w:name w:val="Grid Table 3 - Accent 1"/>
    <w:next w:val="876"/>
    <w:link w:val="725"/>
    <w:uiPriority w:val="99"/>
    <w:qFormat/>
    <w:rPr>
      <w:lang w:val="en-US" w:eastAsia="zh-CN" w:bidi="ar-SA"/>
    </w:rPr>
    <w:tblPr/>
  </w:style>
  <w:style w:type="table" w:styleId="877">
    <w:name w:val="Grid Table 3 - Accent 2"/>
    <w:next w:val="877"/>
    <w:link w:val="725"/>
    <w:uiPriority w:val="99"/>
    <w:qFormat/>
    <w:rPr>
      <w:lang w:val="en-US" w:eastAsia="zh-CN" w:bidi="ar-SA"/>
    </w:rPr>
    <w:tblPr/>
  </w:style>
  <w:style w:type="table" w:styleId="878">
    <w:name w:val="Grid Table 3 - Accent 3"/>
    <w:next w:val="878"/>
    <w:link w:val="725"/>
    <w:uiPriority w:val="99"/>
    <w:qFormat/>
    <w:rPr>
      <w:lang w:val="en-US" w:eastAsia="zh-CN" w:bidi="ar-SA"/>
    </w:rPr>
    <w:tblPr/>
  </w:style>
  <w:style w:type="table" w:styleId="879">
    <w:name w:val="Grid Table 3 - Accent 4"/>
    <w:next w:val="879"/>
    <w:link w:val="725"/>
    <w:uiPriority w:val="99"/>
    <w:qFormat/>
    <w:rPr>
      <w:lang w:val="en-US" w:eastAsia="zh-CN" w:bidi="ar-SA"/>
    </w:rPr>
    <w:tblPr/>
  </w:style>
  <w:style w:type="table" w:styleId="880">
    <w:name w:val="Grid Table 3 - Accent 5"/>
    <w:next w:val="880"/>
    <w:link w:val="725"/>
    <w:uiPriority w:val="99"/>
    <w:qFormat/>
    <w:rPr>
      <w:lang w:val="en-US" w:eastAsia="zh-CN" w:bidi="ar-SA"/>
    </w:rPr>
    <w:tblPr/>
  </w:style>
  <w:style w:type="table" w:styleId="881">
    <w:name w:val="Grid Table 3 - Accent 6"/>
    <w:next w:val="881"/>
    <w:link w:val="725"/>
    <w:uiPriority w:val="99"/>
    <w:qFormat/>
    <w:rPr>
      <w:lang w:val="en-US" w:eastAsia="zh-CN" w:bidi="ar-SA"/>
    </w:rPr>
    <w:tblPr/>
  </w:style>
  <w:style w:type="table" w:styleId="882">
    <w:name w:val="网格表 41"/>
    <w:next w:val="882"/>
    <w:link w:val="725"/>
    <w:uiPriority w:val="59"/>
    <w:qFormat/>
    <w:rPr>
      <w:lang w:val="en-US" w:eastAsia="zh-CN" w:bidi="ar-SA"/>
    </w:rPr>
    <w:tblPr/>
  </w:style>
  <w:style w:type="table" w:styleId="883">
    <w:name w:val="Grid Table 4 - Accent 1"/>
    <w:next w:val="883"/>
    <w:link w:val="725"/>
    <w:uiPriority w:val="59"/>
    <w:qFormat/>
    <w:rPr>
      <w:lang w:val="en-US" w:eastAsia="zh-CN" w:bidi="ar-SA"/>
    </w:rPr>
    <w:tblPr/>
  </w:style>
  <w:style w:type="table" w:styleId="884">
    <w:name w:val="Grid Table 4 - Accent 2"/>
    <w:next w:val="884"/>
    <w:link w:val="725"/>
    <w:uiPriority w:val="59"/>
    <w:qFormat/>
    <w:rPr>
      <w:lang w:val="en-US" w:eastAsia="zh-CN" w:bidi="ar-SA"/>
    </w:rPr>
    <w:tblPr/>
  </w:style>
  <w:style w:type="table" w:styleId="885">
    <w:name w:val="Grid Table 4 - Accent 3"/>
    <w:next w:val="885"/>
    <w:link w:val="725"/>
    <w:uiPriority w:val="59"/>
    <w:qFormat/>
    <w:rPr>
      <w:lang w:val="en-US" w:eastAsia="zh-CN" w:bidi="ar-SA"/>
    </w:rPr>
    <w:tblPr/>
  </w:style>
  <w:style w:type="table" w:styleId="886">
    <w:name w:val="Grid Table 4 - Accent 4"/>
    <w:next w:val="886"/>
    <w:link w:val="725"/>
    <w:uiPriority w:val="59"/>
    <w:qFormat/>
    <w:rPr>
      <w:lang w:val="en-US" w:eastAsia="zh-CN" w:bidi="ar-SA"/>
    </w:rPr>
    <w:tblPr/>
  </w:style>
  <w:style w:type="table" w:styleId="887">
    <w:name w:val="Grid Table 4 - Accent 5"/>
    <w:next w:val="887"/>
    <w:link w:val="725"/>
    <w:uiPriority w:val="59"/>
    <w:qFormat/>
    <w:rPr>
      <w:lang w:val="en-US" w:eastAsia="zh-CN" w:bidi="ar-SA"/>
    </w:rPr>
    <w:tblPr/>
  </w:style>
  <w:style w:type="table" w:styleId="888">
    <w:name w:val="Grid Table 4 - Accent 6"/>
    <w:next w:val="888"/>
    <w:link w:val="725"/>
    <w:uiPriority w:val="59"/>
    <w:qFormat/>
    <w:rPr>
      <w:lang w:val="en-US" w:eastAsia="zh-CN" w:bidi="ar-SA"/>
    </w:rPr>
    <w:tblPr/>
  </w:style>
  <w:style w:type="table" w:styleId="889">
    <w:name w:val="网格表 5 深色1"/>
    <w:next w:val="889"/>
    <w:link w:val="725"/>
    <w:uiPriority w:val="99"/>
    <w:qFormat/>
    <w:rPr>
      <w:lang w:val="en-US" w:eastAsia="zh-CN" w:bidi="ar-SA"/>
    </w:rPr>
    <w:tblPr/>
  </w:style>
  <w:style w:type="table" w:styleId="890">
    <w:name w:val="Grid Table 5 Dark- Accent 1"/>
    <w:next w:val="890"/>
    <w:link w:val="725"/>
    <w:uiPriority w:val="99"/>
    <w:qFormat/>
    <w:rPr>
      <w:lang w:val="en-US" w:eastAsia="zh-CN" w:bidi="ar-SA"/>
    </w:rPr>
    <w:tblPr/>
  </w:style>
  <w:style w:type="table" w:styleId="891">
    <w:name w:val="Grid Table 5 Dark - Accent 2"/>
    <w:next w:val="891"/>
    <w:link w:val="725"/>
    <w:uiPriority w:val="99"/>
    <w:qFormat/>
    <w:rPr>
      <w:lang w:val="en-US" w:eastAsia="zh-CN" w:bidi="ar-SA"/>
    </w:rPr>
    <w:tblPr/>
  </w:style>
  <w:style w:type="table" w:styleId="892">
    <w:name w:val="Grid Table 5 Dark - Accent 3"/>
    <w:next w:val="892"/>
    <w:link w:val="725"/>
    <w:uiPriority w:val="99"/>
    <w:qFormat/>
    <w:rPr>
      <w:lang w:val="en-US" w:eastAsia="zh-CN" w:bidi="ar-SA"/>
    </w:rPr>
    <w:tblPr/>
  </w:style>
  <w:style w:type="table" w:styleId="893">
    <w:name w:val="Grid Table 5 Dark- Accent 4"/>
    <w:next w:val="893"/>
    <w:link w:val="725"/>
    <w:uiPriority w:val="99"/>
    <w:qFormat/>
    <w:rPr>
      <w:lang w:val="en-US" w:eastAsia="zh-CN" w:bidi="ar-SA"/>
    </w:rPr>
    <w:tblPr/>
  </w:style>
  <w:style w:type="table" w:styleId="894">
    <w:name w:val="Grid Table 5 Dark - Accent 5"/>
    <w:next w:val="894"/>
    <w:link w:val="725"/>
    <w:uiPriority w:val="99"/>
    <w:qFormat/>
    <w:rPr>
      <w:lang w:val="en-US" w:eastAsia="zh-CN" w:bidi="ar-SA"/>
    </w:rPr>
    <w:tblPr/>
  </w:style>
  <w:style w:type="table" w:styleId="895">
    <w:name w:val="Grid Table 5 Dark - Accent 6"/>
    <w:next w:val="895"/>
    <w:link w:val="725"/>
    <w:uiPriority w:val="99"/>
    <w:qFormat/>
    <w:rPr>
      <w:lang w:val="en-US" w:eastAsia="zh-CN" w:bidi="ar-SA"/>
    </w:rPr>
    <w:tblPr/>
  </w:style>
  <w:style w:type="table" w:styleId="896">
    <w:name w:val="网格表 6 彩色1"/>
    <w:next w:val="896"/>
    <w:link w:val="725"/>
    <w:uiPriority w:val="99"/>
    <w:qFormat/>
    <w:rPr>
      <w:lang w:val="en-US" w:eastAsia="zh-CN" w:bidi="ar-SA"/>
    </w:rPr>
    <w:tblPr/>
  </w:style>
  <w:style w:type="table" w:styleId="897">
    <w:name w:val="Grid Table 6 Colorful - Accent 1"/>
    <w:next w:val="897"/>
    <w:link w:val="725"/>
    <w:uiPriority w:val="99"/>
    <w:qFormat/>
    <w:rPr>
      <w:lang w:val="en-US" w:eastAsia="zh-CN" w:bidi="ar-SA"/>
    </w:rPr>
    <w:tblPr/>
  </w:style>
  <w:style w:type="table" w:styleId="898">
    <w:name w:val="Grid Table 6 Colorful - Accent 2"/>
    <w:next w:val="898"/>
    <w:link w:val="725"/>
    <w:uiPriority w:val="99"/>
    <w:qFormat/>
    <w:rPr>
      <w:lang w:val="en-US" w:eastAsia="zh-CN" w:bidi="ar-SA"/>
    </w:rPr>
    <w:tblPr/>
  </w:style>
  <w:style w:type="table" w:styleId="899">
    <w:name w:val="Grid Table 6 Colorful - Accent 3"/>
    <w:next w:val="899"/>
    <w:link w:val="725"/>
    <w:uiPriority w:val="99"/>
    <w:qFormat/>
    <w:rPr>
      <w:lang w:val="en-US" w:eastAsia="zh-CN" w:bidi="ar-SA"/>
    </w:rPr>
    <w:tblPr/>
  </w:style>
  <w:style w:type="table" w:styleId="900">
    <w:name w:val="Grid Table 6 Colorful - Accent 4"/>
    <w:next w:val="900"/>
    <w:link w:val="725"/>
    <w:uiPriority w:val="99"/>
    <w:qFormat/>
    <w:rPr>
      <w:lang w:val="en-US" w:eastAsia="zh-CN" w:bidi="ar-SA"/>
    </w:rPr>
    <w:tblPr/>
  </w:style>
  <w:style w:type="table" w:styleId="901">
    <w:name w:val="Grid Table 6 Colorful - Accent 5"/>
    <w:next w:val="901"/>
    <w:link w:val="725"/>
    <w:uiPriority w:val="99"/>
    <w:qFormat/>
    <w:rPr>
      <w:lang w:val="en-US" w:eastAsia="zh-CN" w:bidi="ar-SA"/>
    </w:rPr>
    <w:tblPr/>
  </w:style>
  <w:style w:type="table" w:styleId="902">
    <w:name w:val="Grid Table 6 Colorful - Accent 6"/>
    <w:next w:val="902"/>
    <w:link w:val="725"/>
    <w:uiPriority w:val="99"/>
    <w:qFormat/>
    <w:rPr>
      <w:lang w:val="en-US" w:eastAsia="zh-CN" w:bidi="ar-SA"/>
    </w:rPr>
    <w:tblPr/>
  </w:style>
  <w:style w:type="table" w:styleId="903">
    <w:name w:val="网格表 7 彩色1"/>
    <w:next w:val="903"/>
    <w:link w:val="725"/>
    <w:uiPriority w:val="99"/>
    <w:qFormat/>
    <w:rPr>
      <w:lang w:val="en-US" w:eastAsia="zh-CN" w:bidi="ar-SA"/>
    </w:rPr>
    <w:tblPr/>
  </w:style>
  <w:style w:type="table" w:styleId="904">
    <w:name w:val="Grid Table 7 Colorful - Accent 1"/>
    <w:next w:val="904"/>
    <w:link w:val="725"/>
    <w:uiPriority w:val="99"/>
    <w:qFormat/>
    <w:rPr>
      <w:lang w:val="en-US" w:eastAsia="zh-CN" w:bidi="ar-SA"/>
    </w:rPr>
    <w:tblPr/>
  </w:style>
  <w:style w:type="table" w:styleId="905">
    <w:name w:val="Grid Table 7 Colorful - Accent 2"/>
    <w:next w:val="905"/>
    <w:link w:val="725"/>
    <w:uiPriority w:val="99"/>
    <w:qFormat/>
    <w:rPr>
      <w:lang w:val="en-US" w:eastAsia="zh-CN" w:bidi="ar-SA"/>
    </w:rPr>
    <w:tblPr/>
  </w:style>
  <w:style w:type="table" w:styleId="906">
    <w:name w:val="Grid Table 7 Colorful - Accent 3"/>
    <w:next w:val="906"/>
    <w:link w:val="725"/>
    <w:uiPriority w:val="99"/>
    <w:qFormat/>
    <w:rPr>
      <w:lang w:val="en-US" w:eastAsia="zh-CN" w:bidi="ar-SA"/>
    </w:rPr>
    <w:tblPr/>
  </w:style>
  <w:style w:type="table" w:styleId="907">
    <w:name w:val="Grid Table 7 Colorful - Accent 4"/>
    <w:next w:val="907"/>
    <w:link w:val="725"/>
    <w:uiPriority w:val="99"/>
    <w:qFormat/>
    <w:rPr>
      <w:lang w:val="en-US" w:eastAsia="zh-CN" w:bidi="ar-SA"/>
    </w:rPr>
    <w:tblPr/>
  </w:style>
  <w:style w:type="table" w:styleId="908">
    <w:name w:val="Grid Table 7 Colorful - Accent 5"/>
    <w:next w:val="908"/>
    <w:link w:val="725"/>
    <w:uiPriority w:val="99"/>
    <w:qFormat/>
    <w:rPr>
      <w:lang w:val="en-US" w:eastAsia="zh-CN" w:bidi="ar-SA"/>
    </w:rPr>
    <w:tblPr/>
  </w:style>
  <w:style w:type="table" w:styleId="909">
    <w:name w:val="Grid Table 7 Colorful - Accent 6"/>
    <w:next w:val="909"/>
    <w:link w:val="725"/>
    <w:uiPriority w:val="99"/>
    <w:qFormat/>
    <w:rPr>
      <w:lang w:val="en-US" w:eastAsia="zh-CN" w:bidi="ar-SA"/>
    </w:rPr>
    <w:tblPr/>
  </w:style>
  <w:style w:type="table" w:styleId="910">
    <w:name w:val="清单表 1 浅色1"/>
    <w:next w:val="910"/>
    <w:link w:val="725"/>
    <w:uiPriority w:val="99"/>
    <w:qFormat/>
    <w:rPr>
      <w:lang w:val="en-US" w:eastAsia="zh-CN" w:bidi="ar-SA"/>
    </w:rPr>
    <w:tblPr/>
  </w:style>
  <w:style w:type="table" w:styleId="911">
    <w:name w:val="List Table 1 Light - Accent 1"/>
    <w:next w:val="911"/>
    <w:link w:val="725"/>
    <w:uiPriority w:val="99"/>
    <w:qFormat/>
    <w:rPr>
      <w:lang w:val="en-US" w:eastAsia="zh-CN" w:bidi="ar-SA"/>
    </w:rPr>
    <w:tblPr/>
  </w:style>
  <w:style w:type="table" w:styleId="912">
    <w:name w:val="List Table 1 Light - Accent 2"/>
    <w:next w:val="912"/>
    <w:link w:val="725"/>
    <w:uiPriority w:val="99"/>
    <w:qFormat/>
    <w:rPr>
      <w:lang w:val="en-US" w:eastAsia="zh-CN" w:bidi="ar-SA"/>
    </w:rPr>
    <w:tblPr/>
  </w:style>
  <w:style w:type="table" w:styleId="913">
    <w:name w:val="List Table 1 Light - Accent 3"/>
    <w:next w:val="913"/>
    <w:link w:val="725"/>
    <w:uiPriority w:val="99"/>
    <w:qFormat/>
    <w:rPr>
      <w:lang w:val="en-US" w:eastAsia="zh-CN" w:bidi="ar-SA"/>
    </w:rPr>
    <w:tblPr/>
  </w:style>
  <w:style w:type="table" w:styleId="914">
    <w:name w:val="List Table 1 Light - Accent 4"/>
    <w:next w:val="914"/>
    <w:link w:val="725"/>
    <w:uiPriority w:val="99"/>
    <w:qFormat/>
    <w:rPr>
      <w:lang w:val="en-US" w:eastAsia="zh-CN" w:bidi="ar-SA"/>
    </w:rPr>
    <w:tblPr/>
  </w:style>
  <w:style w:type="table" w:styleId="915">
    <w:name w:val="List Table 1 Light - Accent 5"/>
    <w:next w:val="915"/>
    <w:link w:val="725"/>
    <w:uiPriority w:val="99"/>
    <w:qFormat/>
    <w:rPr>
      <w:lang w:val="en-US" w:eastAsia="zh-CN" w:bidi="ar-SA"/>
    </w:rPr>
    <w:tblPr/>
  </w:style>
  <w:style w:type="table" w:styleId="916">
    <w:name w:val="List Table 1 Light - Accent 6"/>
    <w:next w:val="916"/>
    <w:link w:val="725"/>
    <w:uiPriority w:val="99"/>
    <w:qFormat/>
    <w:rPr>
      <w:lang w:val="en-US" w:eastAsia="zh-CN" w:bidi="ar-SA"/>
    </w:rPr>
    <w:tblPr/>
  </w:style>
  <w:style w:type="table" w:styleId="917">
    <w:name w:val="清单表 21"/>
    <w:next w:val="917"/>
    <w:link w:val="725"/>
    <w:uiPriority w:val="99"/>
    <w:qFormat/>
    <w:rPr>
      <w:lang w:val="en-US" w:eastAsia="zh-CN" w:bidi="ar-SA"/>
    </w:rPr>
    <w:tblPr/>
  </w:style>
  <w:style w:type="table" w:styleId="918">
    <w:name w:val="List Table 2 - Accent 1"/>
    <w:next w:val="918"/>
    <w:link w:val="725"/>
    <w:uiPriority w:val="99"/>
    <w:qFormat/>
    <w:rPr>
      <w:lang w:val="en-US" w:eastAsia="zh-CN" w:bidi="ar-SA"/>
    </w:rPr>
    <w:tblPr/>
  </w:style>
  <w:style w:type="table" w:styleId="919">
    <w:name w:val="List Table 2 - Accent 2"/>
    <w:next w:val="919"/>
    <w:link w:val="725"/>
    <w:uiPriority w:val="99"/>
    <w:qFormat/>
    <w:rPr>
      <w:lang w:val="en-US" w:eastAsia="zh-CN" w:bidi="ar-SA"/>
    </w:rPr>
    <w:tblPr/>
  </w:style>
  <w:style w:type="table" w:styleId="920">
    <w:name w:val="List Table 2 - Accent 3"/>
    <w:next w:val="920"/>
    <w:link w:val="725"/>
    <w:uiPriority w:val="99"/>
    <w:qFormat/>
    <w:rPr>
      <w:lang w:val="en-US" w:eastAsia="zh-CN" w:bidi="ar-SA"/>
    </w:rPr>
    <w:tblPr/>
  </w:style>
  <w:style w:type="table" w:styleId="921">
    <w:name w:val="List Table 2 - Accent 4"/>
    <w:next w:val="921"/>
    <w:link w:val="725"/>
    <w:uiPriority w:val="99"/>
    <w:qFormat/>
    <w:rPr>
      <w:lang w:val="en-US" w:eastAsia="zh-CN" w:bidi="ar-SA"/>
    </w:rPr>
    <w:tblPr/>
  </w:style>
  <w:style w:type="table" w:styleId="922">
    <w:name w:val="List Table 2 - Accent 5"/>
    <w:next w:val="922"/>
    <w:link w:val="725"/>
    <w:uiPriority w:val="99"/>
    <w:qFormat/>
    <w:rPr>
      <w:lang w:val="en-US" w:eastAsia="zh-CN" w:bidi="ar-SA"/>
    </w:rPr>
    <w:tblPr/>
  </w:style>
  <w:style w:type="table" w:styleId="923">
    <w:name w:val="List Table 2 - Accent 6"/>
    <w:next w:val="923"/>
    <w:link w:val="725"/>
    <w:uiPriority w:val="99"/>
    <w:qFormat/>
    <w:rPr>
      <w:lang w:val="en-US" w:eastAsia="zh-CN" w:bidi="ar-SA"/>
    </w:rPr>
    <w:tblPr/>
  </w:style>
  <w:style w:type="table" w:styleId="924">
    <w:name w:val="清单表 31"/>
    <w:next w:val="924"/>
    <w:link w:val="725"/>
    <w:uiPriority w:val="99"/>
    <w:qFormat/>
    <w:rPr>
      <w:lang w:val="en-US" w:eastAsia="zh-CN" w:bidi="ar-SA"/>
    </w:rPr>
    <w:tblPr/>
  </w:style>
  <w:style w:type="table" w:styleId="925">
    <w:name w:val="List Table 3 - Accent 1"/>
    <w:next w:val="925"/>
    <w:link w:val="725"/>
    <w:uiPriority w:val="99"/>
    <w:qFormat/>
    <w:rPr>
      <w:lang w:val="en-US" w:eastAsia="zh-CN" w:bidi="ar-SA"/>
    </w:rPr>
    <w:tblPr/>
  </w:style>
  <w:style w:type="table" w:styleId="926">
    <w:name w:val="List Table 3 - Accent 2"/>
    <w:next w:val="926"/>
    <w:link w:val="725"/>
    <w:uiPriority w:val="99"/>
    <w:qFormat/>
    <w:rPr>
      <w:lang w:val="en-US" w:eastAsia="zh-CN" w:bidi="ar-SA"/>
    </w:rPr>
    <w:tblPr/>
  </w:style>
  <w:style w:type="table" w:styleId="927">
    <w:name w:val="List Table 3 - Accent 3"/>
    <w:next w:val="927"/>
    <w:link w:val="725"/>
    <w:uiPriority w:val="99"/>
    <w:qFormat/>
    <w:rPr>
      <w:lang w:val="en-US" w:eastAsia="zh-CN" w:bidi="ar-SA"/>
    </w:rPr>
    <w:tblPr/>
  </w:style>
  <w:style w:type="table" w:styleId="928">
    <w:name w:val="List Table 3 - Accent 4"/>
    <w:next w:val="928"/>
    <w:link w:val="725"/>
    <w:uiPriority w:val="99"/>
    <w:qFormat/>
    <w:rPr>
      <w:lang w:val="en-US" w:eastAsia="zh-CN" w:bidi="ar-SA"/>
    </w:rPr>
    <w:tblPr/>
  </w:style>
  <w:style w:type="table" w:styleId="929">
    <w:name w:val="List Table 3 - Accent 5"/>
    <w:next w:val="929"/>
    <w:link w:val="725"/>
    <w:uiPriority w:val="99"/>
    <w:qFormat/>
    <w:rPr>
      <w:lang w:val="en-US" w:eastAsia="zh-CN" w:bidi="ar-SA"/>
    </w:rPr>
    <w:tblPr/>
  </w:style>
  <w:style w:type="table" w:styleId="930">
    <w:name w:val="List Table 3 - Accent 6"/>
    <w:next w:val="930"/>
    <w:link w:val="725"/>
    <w:uiPriority w:val="99"/>
    <w:qFormat/>
    <w:rPr>
      <w:lang w:val="en-US" w:eastAsia="zh-CN" w:bidi="ar-SA"/>
    </w:rPr>
    <w:tblPr/>
  </w:style>
  <w:style w:type="table" w:styleId="931">
    <w:name w:val="清单表 41"/>
    <w:next w:val="931"/>
    <w:link w:val="725"/>
    <w:uiPriority w:val="99"/>
    <w:qFormat/>
    <w:rPr>
      <w:lang w:val="en-US" w:eastAsia="zh-CN" w:bidi="ar-SA"/>
    </w:rPr>
    <w:tblPr/>
  </w:style>
  <w:style w:type="table" w:styleId="932">
    <w:name w:val="List Table 4 - Accent 1"/>
    <w:next w:val="932"/>
    <w:link w:val="725"/>
    <w:uiPriority w:val="99"/>
    <w:qFormat/>
    <w:rPr>
      <w:lang w:val="en-US" w:eastAsia="zh-CN" w:bidi="ar-SA"/>
    </w:rPr>
    <w:tblPr/>
  </w:style>
  <w:style w:type="table" w:styleId="933">
    <w:name w:val="List Table 4 - Accent 2"/>
    <w:next w:val="933"/>
    <w:link w:val="725"/>
    <w:uiPriority w:val="99"/>
    <w:qFormat/>
    <w:rPr>
      <w:lang w:val="en-US" w:eastAsia="zh-CN" w:bidi="ar-SA"/>
    </w:rPr>
    <w:tblPr/>
  </w:style>
  <w:style w:type="table" w:styleId="934">
    <w:name w:val="List Table 4 - Accent 3"/>
    <w:next w:val="934"/>
    <w:link w:val="725"/>
    <w:uiPriority w:val="99"/>
    <w:qFormat/>
    <w:rPr>
      <w:lang w:val="en-US" w:eastAsia="zh-CN" w:bidi="ar-SA"/>
    </w:rPr>
    <w:tblPr/>
  </w:style>
  <w:style w:type="table" w:styleId="935">
    <w:name w:val="List Table 4 - Accent 4"/>
    <w:next w:val="935"/>
    <w:link w:val="725"/>
    <w:uiPriority w:val="99"/>
    <w:qFormat/>
    <w:rPr>
      <w:lang w:val="en-US" w:eastAsia="zh-CN" w:bidi="ar-SA"/>
    </w:rPr>
    <w:tblPr/>
  </w:style>
  <w:style w:type="table" w:styleId="936">
    <w:name w:val="List Table 4 - Accent 5"/>
    <w:next w:val="936"/>
    <w:link w:val="725"/>
    <w:uiPriority w:val="99"/>
    <w:qFormat/>
    <w:rPr>
      <w:lang w:val="en-US" w:eastAsia="zh-CN" w:bidi="ar-SA"/>
    </w:rPr>
    <w:tblPr/>
  </w:style>
  <w:style w:type="table" w:styleId="937">
    <w:name w:val="List Table 4 - Accent 6"/>
    <w:next w:val="937"/>
    <w:link w:val="725"/>
    <w:uiPriority w:val="99"/>
    <w:qFormat/>
    <w:rPr>
      <w:lang w:val="en-US" w:eastAsia="zh-CN" w:bidi="ar-SA"/>
    </w:rPr>
    <w:tblPr/>
  </w:style>
  <w:style w:type="table" w:styleId="938">
    <w:name w:val="清单表 5 深色1"/>
    <w:next w:val="938"/>
    <w:link w:val="725"/>
    <w:uiPriority w:val="99"/>
    <w:qFormat/>
    <w:rPr>
      <w:lang w:val="en-US" w:eastAsia="zh-CN" w:bidi="ar-SA"/>
    </w:rPr>
    <w:tblPr/>
  </w:style>
  <w:style w:type="table" w:styleId="939">
    <w:name w:val="List Table 5 Dark - Accent 1"/>
    <w:next w:val="939"/>
    <w:link w:val="725"/>
    <w:uiPriority w:val="99"/>
    <w:qFormat/>
    <w:rPr>
      <w:lang w:val="en-US" w:eastAsia="zh-CN" w:bidi="ar-SA"/>
    </w:rPr>
    <w:tblPr/>
  </w:style>
  <w:style w:type="table" w:styleId="940">
    <w:name w:val="List Table 5 Dark - Accent 2"/>
    <w:next w:val="940"/>
    <w:link w:val="725"/>
    <w:uiPriority w:val="99"/>
    <w:qFormat/>
    <w:rPr>
      <w:lang w:val="en-US" w:eastAsia="zh-CN" w:bidi="ar-SA"/>
    </w:rPr>
    <w:tblPr/>
  </w:style>
  <w:style w:type="table" w:styleId="941">
    <w:name w:val="List Table 5 Dark - Accent 3"/>
    <w:next w:val="941"/>
    <w:link w:val="725"/>
    <w:uiPriority w:val="99"/>
    <w:qFormat/>
    <w:rPr>
      <w:lang w:val="en-US" w:eastAsia="zh-CN" w:bidi="ar-SA"/>
    </w:rPr>
    <w:tblPr/>
  </w:style>
  <w:style w:type="table" w:styleId="942">
    <w:name w:val="List Table 5 Dark - Accent 4"/>
    <w:next w:val="942"/>
    <w:link w:val="725"/>
    <w:uiPriority w:val="99"/>
    <w:qFormat/>
    <w:rPr>
      <w:lang w:val="en-US" w:eastAsia="zh-CN" w:bidi="ar-SA"/>
    </w:rPr>
    <w:tblPr/>
  </w:style>
  <w:style w:type="table" w:styleId="943">
    <w:name w:val="List Table 5 Dark - Accent 5"/>
    <w:next w:val="943"/>
    <w:link w:val="725"/>
    <w:uiPriority w:val="99"/>
    <w:qFormat/>
    <w:rPr>
      <w:lang w:val="en-US" w:eastAsia="zh-CN" w:bidi="ar-SA"/>
    </w:rPr>
    <w:tblPr/>
  </w:style>
  <w:style w:type="table" w:styleId="944">
    <w:name w:val="List Table 5 Dark - Accent 6"/>
    <w:next w:val="944"/>
    <w:link w:val="725"/>
    <w:uiPriority w:val="99"/>
    <w:qFormat/>
    <w:rPr>
      <w:lang w:val="en-US" w:eastAsia="zh-CN" w:bidi="ar-SA"/>
    </w:rPr>
    <w:tblPr/>
  </w:style>
  <w:style w:type="table" w:styleId="945">
    <w:name w:val="清单表 6 彩色1"/>
    <w:next w:val="945"/>
    <w:link w:val="725"/>
    <w:uiPriority w:val="99"/>
    <w:qFormat/>
    <w:rPr>
      <w:lang w:val="en-US" w:eastAsia="zh-CN" w:bidi="ar-SA"/>
    </w:rPr>
    <w:tblPr/>
  </w:style>
  <w:style w:type="table" w:styleId="946">
    <w:name w:val="List Table 6 Colorful - Accent 1"/>
    <w:next w:val="946"/>
    <w:link w:val="725"/>
    <w:uiPriority w:val="99"/>
    <w:qFormat/>
    <w:rPr>
      <w:lang w:val="en-US" w:eastAsia="zh-CN" w:bidi="ar-SA"/>
    </w:rPr>
    <w:tblPr/>
  </w:style>
  <w:style w:type="table" w:styleId="947">
    <w:name w:val="List Table 6 Colorful - Accent 2"/>
    <w:next w:val="947"/>
    <w:link w:val="725"/>
    <w:uiPriority w:val="99"/>
    <w:qFormat/>
    <w:rPr>
      <w:lang w:val="en-US" w:eastAsia="zh-CN" w:bidi="ar-SA"/>
    </w:rPr>
    <w:tblPr/>
  </w:style>
  <w:style w:type="table" w:styleId="948">
    <w:name w:val="List Table 6 Colorful - Accent 3"/>
    <w:next w:val="948"/>
    <w:link w:val="725"/>
    <w:uiPriority w:val="99"/>
    <w:qFormat/>
    <w:rPr>
      <w:lang w:val="en-US" w:eastAsia="zh-CN" w:bidi="ar-SA"/>
    </w:rPr>
    <w:tblPr/>
  </w:style>
  <w:style w:type="table" w:styleId="949">
    <w:name w:val="List Table 6 Colorful - Accent 4"/>
    <w:next w:val="949"/>
    <w:link w:val="725"/>
    <w:uiPriority w:val="99"/>
    <w:qFormat/>
    <w:rPr>
      <w:lang w:val="en-US" w:eastAsia="zh-CN" w:bidi="ar-SA"/>
    </w:rPr>
    <w:tblPr/>
  </w:style>
  <w:style w:type="table" w:styleId="950">
    <w:name w:val="List Table 6 Colorful - Accent 5"/>
    <w:next w:val="950"/>
    <w:link w:val="725"/>
    <w:uiPriority w:val="99"/>
    <w:qFormat/>
    <w:rPr>
      <w:lang w:val="en-US" w:eastAsia="zh-CN" w:bidi="ar-SA"/>
    </w:rPr>
    <w:tblPr/>
  </w:style>
  <w:style w:type="table" w:styleId="951">
    <w:name w:val="List Table 6 Colorful - Accent 6"/>
    <w:next w:val="951"/>
    <w:link w:val="725"/>
    <w:uiPriority w:val="99"/>
    <w:qFormat/>
    <w:rPr>
      <w:lang w:val="en-US" w:eastAsia="zh-CN" w:bidi="ar-SA"/>
    </w:rPr>
    <w:tblPr/>
  </w:style>
  <w:style w:type="table" w:styleId="952">
    <w:name w:val="清单表 7 彩色1"/>
    <w:next w:val="952"/>
    <w:link w:val="725"/>
    <w:uiPriority w:val="99"/>
    <w:qFormat/>
    <w:rPr>
      <w:lang w:val="en-US" w:eastAsia="zh-CN" w:bidi="ar-SA"/>
    </w:rPr>
    <w:tblPr/>
  </w:style>
  <w:style w:type="table" w:styleId="953">
    <w:name w:val="List Table 7 Colorful - Accent 1"/>
    <w:next w:val="953"/>
    <w:link w:val="725"/>
    <w:uiPriority w:val="99"/>
    <w:qFormat/>
    <w:rPr>
      <w:lang w:val="en-US" w:eastAsia="zh-CN" w:bidi="ar-SA"/>
    </w:rPr>
    <w:tblPr/>
  </w:style>
  <w:style w:type="table" w:styleId="954">
    <w:name w:val="List Table 7 Colorful - Accent 2"/>
    <w:next w:val="954"/>
    <w:link w:val="725"/>
    <w:uiPriority w:val="99"/>
    <w:qFormat/>
    <w:rPr>
      <w:lang w:val="en-US" w:eastAsia="zh-CN" w:bidi="ar-SA"/>
    </w:rPr>
    <w:tblPr/>
  </w:style>
  <w:style w:type="table" w:styleId="955">
    <w:name w:val="List Table 7 Colorful - Accent 3"/>
    <w:next w:val="955"/>
    <w:link w:val="725"/>
    <w:uiPriority w:val="99"/>
    <w:qFormat/>
    <w:rPr>
      <w:lang w:val="en-US" w:eastAsia="zh-CN" w:bidi="ar-SA"/>
    </w:rPr>
    <w:tblPr/>
  </w:style>
  <w:style w:type="table" w:styleId="956">
    <w:name w:val="List Table 7 Colorful - Accent 4"/>
    <w:next w:val="956"/>
    <w:link w:val="725"/>
    <w:uiPriority w:val="99"/>
    <w:qFormat/>
    <w:rPr>
      <w:lang w:val="en-US" w:eastAsia="zh-CN" w:bidi="ar-SA"/>
    </w:rPr>
    <w:tblPr/>
  </w:style>
  <w:style w:type="table" w:styleId="957">
    <w:name w:val="List Table 7 Colorful - Accent 5"/>
    <w:next w:val="957"/>
    <w:link w:val="725"/>
    <w:uiPriority w:val="99"/>
    <w:qFormat/>
    <w:rPr>
      <w:lang w:val="en-US" w:eastAsia="zh-CN" w:bidi="ar-SA"/>
    </w:rPr>
    <w:tblPr/>
  </w:style>
  <w:style w:type="table" w:styleId="958">
    <w:name w:val="List Table 7 Colorful - Accent 6"/>
    <w:next w:val="958"/>
    <w:link w:val="725"/>
    <w:uiPriority w:val="99"/>
    <w:qFormat/>
    <w:rPr>
      <w:lang w:val="en-US" w:eastAsia="zh-CN" w:bidi="ar-SA"/>
    </w:rPr>
    <w:tblPr/>
  </w:style>
  <w:style w:type="table" w:styleId="959">
    <w:name w:val="Lined - Accent"/>
    <w:next w:val="959"/>
    <w:link w:val="725"/>
    <w:uiPriority w:val="99"/>
    <w:qFormat/>
    <w:rPr>
      <w:color w:val="404040"/>
      <w:lang w:val="en-US" w:eastAsia="zh-CN" w:bidi="ar-SA"/>
    </w:rPr>
    <w:tblPr/>
  </w:style>
  <w:style w:type="table" w:styleId="960">
    <w:name w:val="Lined - Accent 1"/>
    <w:next w:val="960"/>
    <w:link w:val="725"/>
    <w:uiPriority w:val="99"/>
    <w:qFormat/>
    <w:rPr>
      <w:color w:val="404040"/>
      <w:lang w:val="en-US" w:eastAsia="zh-CN" w:bidi="ar-SA"/>
    </w:rPr>
    <w:tblPr/>
  </w:style>
  <w:style w:type="table" w:styleId="961">
    <w:name w:val="Lined - Accent 2"/>
    <w:next w:val="961"/>
    <w:link w:val="725"/>
    <w:uiPriority w:val="99"/>
    <w:qFormat/>
    <w:rPr>
      <w:color w:val="404040"/>
      <w:lang w:val="en-US" w:eastAsia="zh-CN" w:bidi="ar-SA"/>
    </w:rPr>
    <w:tblPr/>
  </w:style>
  <w:style w:type="table" w:styleId="962">
    <w:name w:val="Lined - Accent 3"/>
    <w:next w:val="962"/>
    <w:link w:val="725"/>
    <w:uiPriority w:val="99"/>
    <w:qFormat/>
    <w:rPr>
      <w:color w:val="404040"/>
      <w:lang w:val="en-US" w:eastAsia="zh-CN" w:bidi="ar-SA"/>
    </w:rPr>
    <w:tblPr/>
  </w:style>
  <w:style w:type="table" w:styleId="963">
    <w:name w:val="Lined - Accent 4"/>
    <w:next w:val="963"/>
    <w:link w:val="725"/>
    <w:uiPriority w:val="99"/>
    <w:qFormat/>
    <w:rPr>
      <w:color w:val="404040"/>
      <w:lang w:val="en-US" w:eastAsia="zh-CN" w:bidi="ar-SA"/>
    </w:rPr>
    <w:tblPr/>
  </w:style>
  <w:style w:type="table" w:styleId="964">
    <w:name w:val="Lined - Accent 5"/>
    <w:next w:val="964"/>
    <w:link w:val="725"/>
    <w:uiPriority w:val="99"/>
    <w:qFormat/>
    <w:rPr>
      <w:color w:val="404040"/>
      <w:lang w:val="en-US" w:eastAsia="zh-CN" w:bidi="ar-SA"/>
    </w:rPr>
    <w:tblPr/>
  </w:style>
  <w:style w:type="table" w:styleId="965">
    <w:name w:val="Lined - Accent 6"/>
    <w:next w:val="965"/>
    <w:link w:val="725"/>
    <w:uiPriority w:val="99"/>
    <w:qFormat/>
    <w:rPr>
      <w:color w:val="404040"/>
      <w:lang w:val="en-US" w:eastAsia="zh-CN" w:bidi="ar-SA"/>
    </w:rPr>
    <w:tblPr/>
  </w:style>
  <w:style w:type="table" w:styleId="966">
    <w:name w:val="Bordered &amp; Lined - Accent"/>
    <w:next w:val="966"/>
    <w:link w:val="725"/>
    <w:uiPriority w:val="99"/>
    <w:qFormat/>
    <w:rPr>
      <w:color w:val="404040"/>
      <w:lang w:val="en-US" w:eastAsia="zh-CN" w:bidi="ar-SA"/>
    </w:rPr>
    <w:tblPr/>
  </w:style>
  <w:style w:type="table" w:styleId="967">
    <w:name w:val="Bordered &amp; Lined - Accent 1"/>
    <w:next w:val="967"/>
    <w:link w:val="725"/>
    <w:uiPriority w:val="99"/>
    <w:qFormat/>
    <w:rPr>
      <w:color w:val="404040"/>
      <w:lang w:val="en-US" w:eastAsia="zh-CN" w:bidi="ar-SA"/>
    </w:rPr>
    <w:tblPr/>
  </w:style>
  <w:style w:type="table" w:styleId="968">
    <w:name w:val="Bordered &amp; Lined - Accent 2"/>
    <w:next w:val="968"/>
    <w:link w:val="725"/>
    <w:uiPriority w:val="99"/>
    <w:qFormat/>
    <w:rPr>
      <w:color w:val="404040"/>
      <w:lang w:val="en-US" w:eastAsia="zh-CN" w:bidi="ar-SA"/>
    </w:rPr>
    <w:tblPr/>
  </w:style>
  <w:style w:type="table" w:styleId="969">
    <w:name w:val="Bordered &amp; Lined - Accent 3"/>
    <w:next w:val="969"/>
    <w:link w:val="725"/>
    <w:uiPriority w:val="99"/>
    <w:qFormat/>
    <w:rPr>
      <w:color w:val="404040"/>
      <w:lang w:val="en-US" w:eastAsia="zh-CN" w:bidi="ar-SA"/>
    </w:rPr>
    <w:tblPr/>
  </w:style>
  <w:style w:type="table" w:styleId="970">
    <w:name w:val="Bordered &amp; Lined - Accent 4"/>
    <w:next w:val="970"/>
    <w:link w:val="725"/>
    <w:uiPriority w:val="99"/>
    <w:qFormat/>
    <w:rPr>
      <w:color w:val="404040"/>
      <w:lang w:val="en-US" w:eastAsia="zh-CN" w:bidi="ar-SA"/>
    </w:rPr>
    <w:tblPr/>
  </w:style>
  <w:style w:type="table" w:styleId="971">
    <w:name w:val="Bordered &amp; Lined - Accent 5"/>
    <w:next w:val="971"/>
    <w:link w:val="725"/>
    <w:uiPriority w:val="99"/>
    <w:qFormat/>
    <w:rPr>
      <w:color w:val="404040"/>
      <w:lang w:val="en-US" w:eastAsia="zh-CN" w:bidi="ar-SA"/>
    </w:rPr>
    <w:tblPr/>
  </w:style>
  <w:style w:type="table" w:styleId="972">
    <w:name w:val="Bordered &amp; Lined - Accent 6"/>
    <w:next w:val="972"/>
    <w:link w:val="725"/>
    <w:uiPriority w:val="99"/>
    <w:qFormat/>
    <w:rPr>
      <w:color w:val="404040"/>
      <w:lang w:val="en-US" w:eastAsia="zh-CN" w:bidi="ar-SA"/>
    </w:rPr>
    <w:tblPr/>
  </w:style>
  <w:style w:type="table" w:styleId="973">
    <w:name w:val="Bordered"/>
    <w:next w:val="973"/>
    <w:link w:val="725"/>
    <w:uiPriority w:val="99"/>
    <w:qFormat/>
    <w:rPr>
      <w:lang w:val="en-US" w:eastAsia="zh-CN" w:bidi="ar-SA"/>
    </w:rPr>
    <w:tblPr/>
  </w:style>
  <w:style w:type="table" w:styleId="974">
    <w:name w:val="Bordered - Accent 1"/>
    <w:next w:val="974"/>
    <w:link w:val="725"/>
    <w:uiPriority w:val="99"/>
    <w:qFormat/>
    <w:rPr>
      <w:lang w:val="en-US" w:eastAsia="zh-CN" w:bidi="ar-SA"/>
    </w:rPr>
    <w:tblPr/>
  </w:style>
  <w:style w:type="table" w:styleId="975">
    <w:name w:val="Bordered - Accent 2"/>
    <w:next w:val="975"/>
    <w:link w:val="725"/>
    <w:uiPriority w:val="99"/>
    <w:qFormat/>
    <w:rPr>
      <w:lang w:val="en-US" w:eastAsia="zh-CN" w:bidi="ar-SA"/>
    </w:rPr>
    <w:tblPr/>
  </w:style>
  <w:style w:type="table" w:styleId="976">
    <w:name w:val="Bordered - Accent 3"/>
    <w:next w:val="976"/>
    <w:link w:val="725"/>
    <w:uiPriority w:val="99"/>
    <w:qFormat/>
    <w:rPr>
      <w:lang w:val="en-US" w:eastAsia="zh-CN" w:bidi="ar-SA"/>
    </w:rPr>
    <w:tblPr/>
  </w:style>
  <w:style w:type="table" w:styleId="977">
    <w:name w:val="Bordered - Accent 4"/>
    <w:next w:val="977"/>
    <w:link w:val="725"/>
    <w:uiPriority w:val="99"/>
    <w:qFormat/>
    <w:rPr>
      <w:lang w:val="en-US" w:eastAsia="zh-CN" w:bidi="ar-SA"/>
    </w:rPr>
    <w:tblPr/>
  </w:style>
  <w:style w:type="table" w:styleId="978">
    <w:name w:val="Bordered - Accent 5"/>
    <w:next w:val="978"/>
    <w:link w:val="725"/>
    <w:uiPriority w:val="99"/>
    <w:qFormat/>
    <w:rPr>
      <w:lang w:val="en-US" w:eastAsia="zh-CN" w:bidi="ar-SA"/>
    </w:rPr>
    <w:tblPr/>
  </w:style>
  <w:style w:type="table" w:styleId="979">
    <w:name w:val="Bordered - Accent 6"/>
    <w:next w:val="979"/>
    <w:link w:val="725"/>
    <w:uiPriority w:val="99"/>
    <w:qFormat/>
    <w:rPr>
      <w:lang w:val="en-US" w:eastAsia="zh-CN" w:bidi="ar-SA"/>
    </w:rPr>
    <w:tblPr/>
  </w:style>
  <w:style w:type="paragraph" w:styleId="980">
    <w:name w:val="TOC 标题11"/>
    <w:next w:val="980"/>
    <w:link w:val="725"/>
    <w:uiPriority w:val="39"/>
    <w:unhideWhenUsed/>
    <w:qFormat/>
    <w:rPr>
      <w:lang w:val="en-US" w:eastAsia="zh-CN" w:bidi="ar-SA"/>
    </w:rPr>
  </w:style>
  <w:style w:type="paragraph" w:styleId="981">
    <w:name w:val="目录 11"/>
    <w:basedOn w:val="725"/>
    <w:next w:val="725"/>
    <w:link w:val="725"/>
    <w:semiHidden/>
    <w:qFormat/>
    <w:rPr>
      <w:sz w:val="24"/>
    </w:rPr>
  </w:style>
  <w:style w:type="paragraph" w:styleId="982">
    <w:name w:val="正文首行缩进1"/>
    <w:basedOn w:val="983"/>
    <w:next w:val="982"/>
    <w:link w:val="984"/>
    <w:qFormat/>
    <w:pPr>
      <w:ind w:firstLine="420"/>
      <w:spacing w:after="120"/>
    </w:pPr>
    <w:rPr>
      <w:rFonts w:ascii="Times New Roman" w:eastAsia="宋体"/>
      <w:szCs w:val="24"/>
    </w:rPr>
  </w:style>
  <w:style w:type="paragraph" w:styleId="983">
    <w:name w:val="正文文本1"/>
    <w:basedOn w:val="725"/>
    <w:next w:val="807"/>
    <w:link w:val="725"/>
    <w:qFormat/>
    <w:rPr>
      <w:rFonts w:ascii="仿宋_GB2312" w:eastAsia="仿宋_GB2312"/>
      <w:sz w:val="24"/>
      <w:szCs w:val="20"/>
    </w:rPr>
  </w:style>
  <w:style w:type="character" w:styleId="984">
    <w:name w:val="正文文本首行缩进 字符"/>
    <w:next w:val="984"/>
    <w:link w:val="982"/>
    <w:qFormat/>
    <w:rPr>
      <w:rFonts w:ascii="Times New Roman" w:hAnsi="Times New Roman" w:eastAsia="宋体" w:cs="Times New Roman"/>
      <w:sz w:val="24"/>
      <w:szCs w:val="24"/>
    </w:rPr>
  </w:style>
  <w:style w:type="character" w:styleId="985">
    <w:name w:val="已访问的超链接1"/>
    <w:next w:val="985"/>
    <w:link w:val="725"/>
    <w:qFormat/>
    <w:rPr>
      <w:color w:val="800080"/>
      <w:u w:val="single"/>
    </w:rPr>
  </w:style>
  <w:style w:type="character" w:styleId="986">
    <w:name w:val="文档结构图 Char1"/>
    <w:next w:val="986"/>
    <w:link w:val="725"/>
    <w:uiPriority w:val="99"/>
    <w:semiHidden/>
    <w:qFormat/>
    <w:rPr>
      <w:rFonts w:ascii="宋体" w:hAnsi="Times New Roman" w:eastAsia="宋体" w:cs="Times New Roman"/>
      <w:sz w:val="18"/>
      <w:szCs w:val="18"/>
    </w:rPr>
  </w:style>
  <w:style w:type="character" w:styleId="987">
    <w:name w:val="普通正文 Char"/>
    <w:next w:val="987"/>
    <w:link w:val="988"/>
    <w:qFormat/>
    <w:rPr>
      <w:rFonts w:ascii="Arial" w:hAnsi="Arial"/>
      <w:sz w:val="24"/>
      <w:szCs w:val="24"/>
    </w:rPr>
  </w:style>
  <w:style w:type="paragraph" w:styleId="988">
    <w:name w:val="普通正文"/>
    <w:basedOn w:val="725"/>
    <w:next w:val="988"/>
    <w:link w:val="987"/>
    <w:qFormat/>
    <w:pPr>
      <w:ind w:left="-2" w:right="120" w:firstLine="480"/>
      <w:jc w:val="center"/>
      <w:spacing w:before="120" w:after="120" w:line="360" w:lineRule="auto"/>
    </w:pPr>
    <w:rPr>
      <w:rFonts w:ascii="Arial" w:hAnsi="Arial"/>
      <w:sz w:val="24"/>
    </w:rPr>
  </w:style>
  <w:style w:type="character" w:styleId="989">
    <w:name w:val="FA正文 Char"/>
    <w:next w:val="989"/>
    <w:link w:val="990"/>
    <w:qFormat/>
    <w:rPr>
      <w:rFonts w:ascii="宋体" w:hAnsi="宋体" w:eastAsia="宋体" w:cs="Times New Roman"/>
      <w:sz w:val="28"/>
      <w:szCs w:val="28"/>
    </w:rPr>
  </w:style>
  <w:style w:type="paragraph" w:styleId="990">
    <w:name w:val="FA正文"/>
    <w:basedOn w:val="725"/>
    <w:next w:val="990"/>
    <w:link w:val="989"/>
    <w:qFormat/>
    <w:pPr>
      <w:ind w:firstLine="538"/>
      <w:spacing w:line="440" w:lineRule="atLeast"/>
      <w:tabs>
        <w:tab w:val="left" w:pos="3375" w:leader="none"/>
      </w:tabs>
    </w:pPr>
    <w:rPr>
      <w:rFonts w:ascii="宋体" w:hAnsi="宋体"/>
      <w:sz w:val="28"/>
      <w:szCs w:val="28"/>
    </w:rPr>
  </w:style>
  <w:style w:type="character" w:styleId="991">
    <w:name w:val="正文缩进2格 Char"/>
    <w:next w:val="991"/>
    <w:link w:val="992"/>
    <w:qFormat/>
    <w:rPr>
      <w:rFonts w:ascii="仿宋_GB2312" w:hAnsi="宋体" w:eastAsia="仿宋_GB2312" w:cs="Times New Roman"/>
      <w:sz w:val="31"/>
      <w:szCs w:val="28"/>
    </w:rPr>
  </w:style>
  <w:style w:type="paragraph" w:styleId="992">
    <w:name w:val="正文缩进2格"/>
    <w:basedOn w:val="725"/>
    <w:next w:val="992"/>
    <w:link w:val="991"/>
    <w:qFormat/>
    <w:pPr>
      <w:ind w:firstLine="639"/>
      <w:spacing w:line="600" w:lineRule="exact"/>
    </w:pPr>
    <w:rPr>
      <w:rFonts w:ascii="仿宋_GB2312" w:hAnsi="宋体" w:eastAsia="仿宋_GB2312"/>
      <w:sz w:val="31"/>
      <w:szCs w:val="28"/>
    </w:rPr>
  </w:style>
  <w:style w:type="character" w:styleId="993">
    <w:name w:val="cn_text1"/>
    <w:next w:val="993"/>
    <w:link w:val="725"/>
    <w:qFormat/>
    <w:rPr>
      <w:rFonts w:ascii="ˎ̥" w:hAnsi="ˎ̥"/>
      <w:color w:val="003399"/>
      <w:spacing w:val="15"/>
      <w:sz w:val="18"/>
      <w:szCs w:val="18"/>
    </w:rPr>
  </w:style>
  <w:style w:type="character" w:styleId="994">
    <w:name w:val="ssss Char"/>
    <w:next w:val="994"/>
    <w:link w:val="725"/>
    <w:qFormat/>
    <w:rPr>
      <w:rFonts w:eastAsia="宋体"/>
      <w:sz w:val="24"/>
      <w:szCs w:val="24"/>
      <w:lang w:val="en-US" w:eastAsia="zh-CN" w:bidi="ar-SA"/>
    </w:rPr>
  </w:style>
  <w:style w:type="character" w:styleId="995">
    <w:name w:val="ssss Char1"/>
    <w:next w:val="995"/>
    <w:link w:val="996"/>
    <w:qFormat/>
    <w:rPr>
      <w:rFonts w:ascii="Times New Roman" w:hAnsi="Times New Roman" w:eastAsia="宋体" w:cs="Times New Roman"/>
      <w:sz w:val="24"/>
      <w:szCs w:val="24"/>
    </w:rPr>
  </w:style>
  <w:style w:type="paragraph" w:styleId="996">
    <w:name w:val="ssss"/>
    <w:basedOn w:val="725"/>
    <w:next w:val="996"/>
    <w:link w:val="995"/>
    <w:qFormat/>
    <w:pPr>
      <w:ind w:firstLine="480"/>
      <w:spacing w:line="360" w:lineRule="auto"/>
    </w:pPr>
    <w:rPr>
      <w:sz w:val="24"/>
    </w:rPr>
  </w:style>
  <w:style w:type="character" w:styleId="997">
    <w:name w:val="标题 4 Char1"/>
    <w:next w:val="997"/>
    <w:link w:val="725"/>
    <w:qFormat/>
    <w:rPr>
      <w:rFonts w:ascii="Arial" w:hAnsi="Arial" w:eastAsia="黑体"/>
      <w:b/>
      <w:bCs/>
      <w:sz w:val="28"/>
      <w:szCs w:val="28"/>
      <w:lang w:val="en-US" w:eastAsia="zh-CN" w:bidi="ar-SA"/>
    </w:rPr>
  </w:style>
  <w:style w:type="character" w:styleId="998">
    <w:name w:val="列表段落 字符"/>
    <w:next w:val="998"/>
    <w:link w:val="725"/>
    <w:uiPriority w:val="34"/>
    <w:qFormat/>
    <w:rPr>
      <w:rFonts w:ascii="Calibri" w:hAnsi="Calibri"/>
      <w:sz w:val="21"/>
      <w:szCs w:val="22"/>
    </w:rPr>
  </w:style>
  <w:style w:type="character" w:styleId="999">
    <w:name w:val="批注框文本 Char1"/>
    <w:next w:val="999"/>
    <w:link w:val="725"/>
    <w:uiPriority w:val="99"/>
    <w:semiHidden/>
    <w:qFormat/>
    <w:rPr>
      <w:rFonts w:ascii="Times New Roman" w:hAnsi="Times New Roman" w:eastAsia="宋体" w:cs="Times New Roman"/>
      <w:sz w:val="18"/>
      <w:szCs w:val="18"/>
    </w:rPr>
  </w:style>
  <w:style w:type="character" w:styleId="1000">
    <w:name w:val="样式 ssss + 宋体 五号1 Char"/>
    <w:next w:val="1000"/>
    <w:link w:val="1001"/>
    <w:qFormat/>
    <w:rPr>
      <w:rFonts w:ascii="宋体" w:hAnsi="宋体" w:eastAsia="宋体" w:cs="Times New Roman"/>
      <w:sz w:val="24"/>
      <w:szCs w:val="24"/>
    </w:rPr>
  </w:style>
  <w:style w:type="paragraph" w:styleId="1001">
    <w:name w:val="样式 ssss + 宋体 五号1"/>
    <w:basedOn w:val="996"/>
    <w:next w:val="1001"/>
    <w:link w:val="1000"/>
    <w:qFormat/>
    <w:rPr>
      <w:rFonts w:ascii="宋体" w:hAnsi="宋体"/>
    </w:rPr>
  </w:style>
  <w:style w:type="character" w:styleId="1002">
    <w:name w:val="point_normal1"/>
    <w:next w:val="1002"/>
    <w:link w:val="725"/>
    <w:qFormat/>
    <w:rPr>
      <w:rFonts w:ascii="Arial" w:hAnsi="Arial" w:cs="Arial"/>
      <w:sz w:val="16"/>
      <w:szCs w:val="16"/>
    </w:rPr>
  </w:style>
  <w:style w:type="paragraph" w:styleId="1003">
    <w:name w:val="样式 正文文本缩进 3 + 四号"/>
    <w:basedOn w:val="788"/>
    <w:next w:val="1003"/>
    <w:link w:val="725"/>
    <w:qFormat/>
    <w:pPr>
      <w:ind w:left="0" w:firstLine="437"/>
      <w:spacing w:after="0" w:line="360" w:lineRule="auto"/>
    </w:pPr>
    <w:rPr>
      <w:sz w:val="24"/>
      <w:szCs w:val="21"/>
    </w:rPr>
  </w:style>
  <w:style w:type="paragraph" w:styleId="1004">
    <w:name w:val="2cxsplast"/>
    <w:basedOn w:val="725"/>
    <w:next w:val="1004"/>
    <w:link w:val="725"/>
    <w:qFormat/>
    <w:pPr>
      <w:jc w:val="left"/>
      <w:spacing w:before="100" w:beforeAutospacing="1" w:after="100" w:afterAutospacing="1"/>
      <w:widowControl/>
    </w:pPr>
    <w:rPr>
      <w:rFonts w:ascii="宋体" w:hAnsi="宋体" w:cs="宋体"/>
      <w:sz w:val="24"/>
    </w:rPr>
  </w:style>
  <w:style w:type="paragraph" w:styleId="1005">
    <w:name w:val="ec_msonormal"/>
    <w:basedOn w:val="725"/>
    <w:next w:val="1005"/>
    <w:link w:val="725"/>
    <w:qFormat/>
    <w:pPr>
      <w:jc w:val="left"/>
      <w:spacing w:before="100" w:beforeAutospacing="1" w:after="100" w:afterAutospacing="1"/>
      <w:widowControl/>
    </w:pPr>
    <w:rPr>
      <w:rFonts w:ascii="宋体" w:hAnsi="宋体"/>
      <w:sz w:val="24"/>
    </w:rPr>
  </w:style>
  <w:style w:type="paragraph" w:styleId="1006">
    <w:name w:val="Char Char Char Char"/>
    <w:basedOn w:val="725"/>
    <w:next w:val="1006"/>
    <w:link w:val="725"/>
    <w:qFormat/>
    <w:rPr>
      <w:rFonts w:ascii="Tahoma" w:hAnsi="Tahoma"/>
      <w:sz w:val="24"/>
      <w:szCs w:val="20"/>
    </w:rPr>
  </w:style>
  <w:style w:type="paragraph" w:styleId="1007">
    <w:name w:val="Char Char Char Char Char Char Char Char Char Char Char Char Char"/>
    <w:basedOn w:val="725"/>
    <w:next w:val="1007"/>
    <w:link w:val="725"/>
    <w:qFormat/>
  </w:style>
  <w:style w:type="paragraph" w:styleId="1008">
    <w:name w:val="表格正文"/>
    <w:basedOn w:val="725"/>
    <w:next w:val="1008"/>
    <w:link w:val="725"/>
    <w:qFormat/>
    <w:pPr>
      <w:jc w:val="left"/>
      <w:spacing w:line="360" w:lineRule="auto"/>
    </w:pPr>
    <w:rPr>
      <w:rFonts w:ascii="Calibri" w:hAnsi="Calibri"/>
      <w:color w:val="000000"/>
      <w:szCs w:val="28"/>
    </w:rPr>
  </w:style>
  <w:style w:type="paragraph" w:styleId="1009">
    <w:name w:val="Normal1"/>
    <w:next w:val="1009"/>
    <w:link w:val="725"/>
    <w:qFormat/>
    <w:pPr>
      <w:jc w:val="both"/>
      <w:spacing w:line="315" w:lineRule="atLeast"/>
      <w:widowControl w:val="off"/>
    </w:pPr>
    <w:rPr>
      <w:rFonts w:ascii="宋体"/>
      <w:sz w:val="24"/>
      <w:lang w:val="en-US" w:eastAsia="zh-CN" w:bidi="ar-SA"/>
    </w:rPr>
  </w:style>
  <w:style w:type="paragraph" w:styleId="1010">
    <w:name w:val="Char Char Char Char1"/>
    <w:basedOn w:val="725"/>
    <w:next w:val="1010"/>
    <w:link w:val="725"/>
    <w:qFormat/>
    <w:rPr>
      <w:rFonts w:ascii="Tahoma" w:hAnsi="Tahoma"/>
      <w:sz w:val="24"/>
      <w:szCs w:val="20"/>
    </w:rPr>
  </w:style>
  <w:style w:type="paragraph" w:styleId="1011">
    <w:name w:val="Char Char Char"/>
    <w:basedOn w:val="725"/>
    <w:next w:val="1011"/>
    <w:link w:val="725"/>
    <w:qFormat/>
    <w:rPr>
      <w:rFonts w:ascii="Tahoma" w:hAnsi="Tahoma"/>
      <w:sz w:val="24"/>
      <w:szCs w:val="20"/>
    </w:rPr>
  </w:style>
  <w:style w:type="paragraph" w:styleId="1012">
    <w:name w:val="标题-----3"/>
    <w:basedOn w:val="728"/>
    <w:next w:val="1012"/>
    <w:link w:val="725"/>
    <w:qFormat/>
    <w:pPr>
      <w:spacing w:before="0" w:after="0" w:line="240" w:lineRule="auto"/>
      <w:outlineLvl w:val="0"/>
    </w:pPr>
    <w:rPr>
      <w:rFonts w:ascii="宋体" w:hAnsi="宋体"/>
      <w:b w:val="0"/>
      <w:bCs w:val="0"/>
      <w:sz w:val="28"/>
      <w:szCs w:val="28"/>
    </w:rPr>
  </w:style>
  <w:style w:type="paragraph" w:styleId="1013">
    <w:name w:val="样式 ssss + 居中"/>
    <w:basedOn w:val="996"/>
    <w:next w:val="1013"/>
    <w:link w:val="725"/>
    <w:qFormat/>
    <w:pPr>
      <w:jc w:val="center"/>
    </w:pPr>
    <w:rPr>
      <w:rFonts w:cs="宋体"/>
      <w:szCs w:val="20"/>
    </w:rPr>
  </w:style>
  <w:style w:type="paragraph" w:styleId="1014">
    <w:name w:val="样式 宋体 四号 黑色 左侧:  0.74 厘米 首行缩进:  0.74 厘米 行距: 1.5 倍行距"/>
    <w:basedOn w:val="725"/>
    <w:next w:val="1014"/>
    <w:link w:val="725"/>
    <w:qFormat/>
    <w:pPr>
      <w:ind w:firstLine="420"/>
      <w:spacing w:line="360" w:lineRule="auto"/>
    </w:pPr>
    <w:rPr>
      <w:rFonts w:ascii="宋体"/>
      <w:color w:val="000000"/>
      <w:sz w:val="24"/>
      <w:szCs w:val="21"/>
    </w:rPr>
  </w:style>
  <w:style w:type="paragraph" w:styleId="1015">
    <w:name w:val="样式 样式 ssss + 宋体 五号 + 首行缩进:  2 字符"/>
    <w:basedOn w:val="1016"/>
    <w:next w:val="1015"/>
    <w:link w:val="725"/>
    <w:qFormat/>
    <w:pPr>
      <w:ind w:firstLine="480"/>
    </w:pPr>
  </w:style>
  <w:style w:type="paragraph" w:styleId="1016">
    <w:name w:val="样式 ssss + 宋体 五号"/>
    <w:basedOn w:val="996"/>
    <w:next w:val="1016"/>
    <w:link w:val="725"/>
    <w:qFormat/>
    <w:pPr>
      <w:ind w:firstLine="420"/>
    </w:pPr>
    <w:rPr>
      <w:rFonts w:ascii="宋体" w:hAnsi="宋体" w:cs="宋体"/>
      <w:szCs w:val="20"/>
    </w:rPr>
  </w:style>
  <w:style w:type="paragraph" w:styleId="1017">
    <w:name w:val="msonormalcxsplast"/>
    <w:basedOn w:val="725"/>
    <w:next w:val="1017"/>
    <w:link w:val="725"/>
    <w:qFormat/>
    <w:pPr>
      <w:jc w:val="left"/>
      <w:spacing w:before="100" w:beforeAutospacing="1" w:after="100" w:afterAutospacing="1"/>
      <w:widowControl/>
    </w:pPr>
    <w:rPr>
      <w:rFonts w:ascii="宋体" w:hAnsi="宋体" w:cs="宋体"/>
      <w:sz w:val="24"/>
    </w:rPr>
  </w:style>
  <w:style w:type="paragraph" w:styleId="1018">
    <w:name w:val="Char"/>
    <w:basedOn w:val="725"/>
    <w:next w:val="1018"/>
    <w:link w:val="725"/>
    <w:qFormat/>
    <w:rPr>
      <w:rFonts w:ascii="Tahoma" w:hAnsi="Tahoma"/>
      <w:sz w:val="24"/>
      <w:szCs w:val="20"/>
    </w:rPr>
  </w:style>
  <w:style w:type="paragraph" w:styleId="1019">
    <w:name w:val="xl25"/>
    <w:basedOn w:val="725"/>
    <w:next w:val="1019"/>
    <w:link w:val="725"/>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0">
    <w:name w:val="标题------4"/>
    <w:basedOn w:val="729"/>
    <w:next w:val="1020"/>
    <w:link w:val="725"/>
    <w:qFormat/>
    <w:pPr>
      <w:ind w:left="960" w:hanging="420"/>
      <w:jc w:val="both"/>
      <w:keepLines/>
      <w:spacing w:line="360" w:lineRule="auto"/>
    </w:pPr>
    <w:rPr>
      <w:rFonts w:ascii="仿宋_GB2312" w:hAnsi="宋体" w:eastAsia="仿宋_GB2312" w:cs="仿宋_GB2312"/>
      <w:b/>
      <w:sz w:val="28"/>
      <w:szCs w:val="28"/>
      <w:lang w:val="zh-CN"/>
    </w:rPr>
  </w:style>
  <w:style w:type="paragraph" w:styleId="1021">
    <w:name w:val="msonormalcxspmiddle"/>
    <w:basedOn w:val="725"/>
    <w:next w:val="1021"/>
    <w:link w:val="725"/>
    <w:qFormat/>
    <w:pPr>
      <w:jc w:val="left"/>
      <w:spacing w:before="100" w:beforeAutospacing="1" w:after="100" w:afterAutospacing="1"/>
      <w:widowControl/>
    </w:pPr>
    <w:rPr>
      <w:rFonts w:ascii="宋体" w:hAnsi="宋体" w:cs="宋体"/>
      <w:sz w:val="24"/>
    </w:rPr>
  </w:style>
  <w:style w:type="paragraph" w:styleId="1022">
    <w:name w:val="Char Char Char Char Char Char Char Char Char Char Char Char Char1"/>
    <w:basedOn w:val="725"/>
    <w:next w:val="1022"/>
    <w:link w:val="725"/>
    <w:qFormat/>
    <w:rPr>
      <w:sz w:val="24"/>
    </w:rPr>
  </w:style>
  <w:style w:type="paragraph" w:styleId="1023">
    <w:name w:val="表格"/>
    <w:basedOn w:val="725"/>
    <w:next w:val="1023"/>
    <w:link w:val="725"/>
    <w:qFormat/>
    <w:rPr>
      <w:rFonts w:ascii="Arial" w:hAnsi="Arial"/>
      <w:sz w:val="24"/>
    </w:rPr>
  </w:style>
  <w:style w:type="paragraph" w:styleId="1024">
    <w:name w:val="正文样式1"/>
    <w:basedOn w:val="725"/>
    <w:next w:val="1024"/>
    <w:link w:val="725"/>
    <w:qFormat/>
    <w:pPr>
      <w:ind w:firstLine="480"/>
      <w:spacing w:before="120" w:after="120" w:line="360" w:lineRule="auto"/>
    </w:pPr>
    <w:rPr>
      <w:sz w:val="24"/>
      <w:szCs w:val="20"/>
    </w:rPr>
  </w:style>
  <w:style w:type="paragraph" w:styleId="1025">
    <w:name w:val="Char Char1 Char Char Char Char Char Char"/>
    <w:basedOn w:val="725"/>
    <w:next w:val="1025"/>
    <w:link w:val="725"/>
    <w:qFormat/>
    <w:pPr>
      <w:jc w:val="left"/>
      <w:spacing w:after="160" w:line="240" w:lineRule="exact"/>
      <w:widowControl/>
    </w:pPr>
    <w:rPr>
      <w:rFonts w:ascii="Verdana" w:hAnsi="Verdana" w:eastAsia="仿宋_GB2312"/>
      <w:sz w:val="24"/>
      <w:szCs w:val="20"/>
      <w:lang w:eastAsia="en-US"/>
    </w:rPr>
  </w:style>
  <w:style w:type="paragraph" w:styleId="1026">
    <w:name w:val="Char Char Char Char Char Char Char Char Char Char"/>
    <w:basedOn w:val="725"/>
    <w:next w:val="1026"/>
    <w:link w:val="725"/>
    <w:qFormat/>
    <w:rPr>
      <w:rFonts w:ascii="Tahoma" w:hAnsi="Tahoma"/>
      <w:sz w:val="24"/>
      <w:szCs w:val="20"/>
    </w:rPr>
  </w:style>
  <w:style w:type="paragraph" w:styleId="1027">
    <w:name w:val="Char1"/>
    <w:basedOn w:val="725"/>
    <w:next w:val="1027"/>
    <w:link w:val="725"/>
    <w:qFormat/>
    <w:pPr>
      <w:tabs>
        <w:tab w:val="left" w:pos="360" w:leader="none"/>
      </w:tabs>
    </w:pPr>
    <w:rPr>
      <w:sz w:val="24"/>
    </w:rPr>
  </w:style>
  <w:style w:type="paragraph" w:styleId="1028">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Header2"/>
    <w:basedOn w:val="725"/>
    <w:next w:val="1029"/>
    <w:link w:val="725"/>
    <w:qFormat/>
    <w:pPr>
      <w:numPr>
        <w:ilvl w:val="0"/>
        <w:numId w:val="1"/>
      </w:numPr>
      <w:tabs>
        <w:tab w:val="left" w:pos="480" w:leader="none"/>
      </w:tabs>
    </w:pPr>
  </w:style>
  <w:style w:type="paragraph" w:styleId="1030">
    <w:name w:val="Char Char 字元 字元 字元 Char Char Char Char"/>
    <w:basedOn w:val="725"/>
    <w:next w:val="1030"/>
    <w:link w:val="725"/>
    <w:qFormat/>
    <w:pPr>
      <w:spacing w:line="360" w:lineRule="auto"/>
    </w:pPr>
    <w:rPr>
      <w:sz w:val="24"/>
      <w:szCs w:val="20"/>
    </w:rPr>
  </w:style>
  <w:style w:type="paragraph" w:styleId="1031">
    <w:name w:val="2cxspmiddle"/>
    <w:basedOn w:val="725"/>
    <w:next w:val="1031"/>
    <w:link w:val="725"/>
    <w:qFormat/>
    <w:pPr>
      <w:jc w:val="left"/>
      <w:spacing w:before="100" w:beforeAutospacing="1" w:after="100" w:afterAutospacing="1"/>
      <w:widowControl/>
    </w:pPr>
    <w:rPr>
      <w:rFonts w:ascii="宋体" w:hAnsi="宋体" w:cs="宋体"/>
      <w:sz w:val="24"/>
    </w:rPr>
  </w:style>
  <w:style w:type="paragraph" w:styleId="1032">
    <w:name w:val="正文_0_0"/>
    <w:next w:val="1032"/>
    <w:link w:val="725"/>
    <w:qFormat/>
    <w:pPr>
      <w:jc w:val="both"/>
      <w:widowControl w:val="off"/>
    </w:pPr>
    <w:rPr>
      <w:sz w:val="21"/>
      <w:szCs w:val="24"/>
      <w:lang w:val="en-US" w:eastAsia="zh-CN" w:bidi="ar-SA"/>
    </w:rPr>
  </w:style>
  <w:style w:type="paragraph" w:styleId="1033">
    <w:name w:val="正文_1_0"/>
    <w:next w:val="1033"/>
    <w:link w:val="725"/>
    <w:qFormat/>
    <w:pPr>
      <w:jc w:val="both"/>
      <w:widowControl w:val="off"/>
    </w:pPr>
    <w:rPr>
      <w:sz w:val="21"/>
      <w:szCs w:val="24"/>
      <w:lang w:val="en-US" w:eastAsia="zh-CN" w:bidi="ar-SA"/>
    </w:rPr>
  </w:style>
  <w:style w:type="table" w:styleId="1034">
    <w:name w:val="网格型1"/>
    <w:basedOn w:val="736"/>
    <w:next w:val="1034"/>
    <w:link w:val="725"/>
    <w:uiPriority w:val="39"/>
    <w:qFormat/>
    <w:rPr>
      <w:rFonts w:ascii="等线" w:hAnsi="等线" w:eastAsia="等线"/>
      <w:sz w:val="21"/>
      <w:szCs w:val="22"/>
    </w:rPr>
    <w:tblPr/>
  </w:style>
  <w:style w:type="paragraph" w:styleId="1035">
    <w:name w:val="正文_3"/>
    <w:next w:val="1035"/>
    <w:link w:val="725"/>
    <w:qFormat/>
    <w:pPr>
      <w:jc w:val="both"/>
      <w:widowControl w:val="off"/>
    </w:pPr>
    <w:rPr>
      <w:sz w:val="21"/>
      <w:szCs w:val="24"/>
      <w:lang w:val="en-US" w:eastAsia="zh-CN" w:bidi="ar-SA"/>
    </w:rPr>
  </w:style>
  <w:style w:type="paragraph" w:styleId="1036">
    <w:name w:val="修订1"/>
    <w:next w:val="1036"/>
    <w:link w:val="725"/>
    <w:uiPriority w:val="99"/>
    <w:unhideWhenUsed/>
    <w:qFormat/>
    <w:rPr>
      <w:sz w:val="21"/>
      <w:szCs w:val="24"/>
      <w:lang w:val="en-US" w:eastAsia="zh-CN" w:bidi="ar-SA"/>
    </w:rPr>
  </w:style>
  <w:style w:type="paragraph" w:styleId="1037">
    <w:name w:val="列出段落1"/>
    <w:basedOn w:val="725"/>
    <w:next w:val="1037"/>
    <w:link w:val="725"/>
    <w:qFormat/>
    <w:pPr>
      <w:ind w:firstLine="200"/>
    </w:pPr>
    <w:rPr>
      <w:rFonts w:ascii="Wingdings" w:hAnsi="Wingdings" w:eastAsia="幼圆" w:cs="Helvetica-Light"/>
      <w:szCs w:val="22"/>
    </w:rPr>
  </w:style>
  <w:style w:type="paragraph" w:styleId="1038">
    <w:name w:val="Char1 Char Char Char"/>
    <w:basedOn w:val="725"/>
    <w:next w:val="1038"/>
    <w:link w:val="725"/>
    <w:qFormat/>
    <w:pPr>
      <w:jc w:val="left"/>
      <w:spacing w:after="160" w:line="240" w:lineRule="exact"/>
      <w:widowControl/>
    </w:pPr>
    <w:rPr>
      <w:szCs w:val="20"/>
    </w:rPr>
  </w:style>
  <w:style w:type="paragraph" w:styleId="1039">
    <w:name w:val="正文_2"/>
    <w:next w:val="1039"/>
    <w:link w:val="725"/>
    <w:qFormat/>
    <w:pPr>
      <w:jc w:val="both"/>
      <w:widowControl w:val="off"/>
    </w:pPr>
    <w:rPr>
      <w:rFonts w:ascii="等线" w:hAnsi="等线" w:eastAsia="等线" w:cs="等线"/>
      <w:sz w:val="21"/>
      <w:lang w:val="en-US" w:eastAsia="zh-CN" w:bidi="ar-SA"/>
    </w:rPr>
  </w:style>
  <w:style w:type="paragraph" w:styleId="1040">
    <w:name w:val="列表段落4"/>
    <w:basedOn w:val="725"/>
    <w:next w:val="1040"/>
    <w:link w:val="725"/>
    <w:uiPriority w:val="34"/>
    <w:qFormat/>
    <w:pPr>
      <w:ind w:firstLine="420"/>
    </w:pPr>
    <w:rPr>
      <w:szCs w:val="22"/>
    </w:rPr>
  </w:style>
  <w:style w:type="character" w:styleId="1041">
    <w:name w:val="font51"/>
    <w:basedOn w:val="735"/>
    <w:next w:val="1041"/>
    <w:link w:val="725"/>
    <w:qFormat/>
    <w:rPr>
      <w:rFonts w:hint="eastAsia" w:ascii="宋体" w:hAnsi="宋体" w:eastAsia="宋体" w:cs="宋体"/>
      <w:color w:val="000000"/>
      <w:sz w:val="24"/>
      <w:szCs w:val="24"/>
      <w:u w:val="none"/>
    </w:rPr>
  </w:style>
  <w:style w:type="character" w:styleId="1042">
    <w:name w:val="font71"/>
    <w:basedOn w:val="735"/>
    <w:next w:val="1042"/>
    <w:link w:val="725"/>
    <w:qFormat/>
    <w:rPr>
      <w:rFonts w:hint="eastAsia" w:ascii="宋体" w:hAnsi="宋体" w:eastAsia="宋体" w:cs="宋体"/>
      <w:color w:val="000000"/>
      <w:sz w:val="24"/>
      <w:szCs w:val="24"/>
      <w:u w:val="none"/>
    </w:rPr>
  </w:style>
  <w:style w:type="character" w:styleId="1043">
    <w:name w:val="font61"/>
    <w:basedOn w:val="735"/>
    <w:next w:val="1043"/>
    <w:link w:val="725"/>
    <w:qFormat/>
    <w:rPr>
      <w:rFonts w:hint="eastAsia" w:ascii="宋体" w:hAnsi="宋体" w:eastAsia="宋体" w:cs="宋体"/>
      <w:color w:val="000000"/>
      <w:sz w:val="24"/>
      <w:szCs w:val="24"/>
      <w:u w:val="none"/>
    </w:rPr>
  </w:style>
  <w:style w:type="character" w:styleId="1044">
    <w:name w:val="font81"/>
    <w:basedOn w:val="735"/>
    <w:next w:val="1044"/>
    <w:link w:val="725"/>
    <w:qFormat/>
    <w:rPr>
      <w:rFonts w:hint="eastAsia" w:ascii="宋体" w:hAnsi="宋体" w:eastAsia="宋体" w:cs="宋体"/>
      <w:color w:val="000000"/>
      <w:sz w:val="24"/>
      <w:szCs w:val="24"/>
      <w:u w:val="none"/>
    </w:rPr>
  </w:style>
  <w:style w:type="character" w:styleId="1045">
    <w:name w:val="NormalCharacter1"/>
    <w:next w:val="1045"/>
    <w:link w:val="725"/>
    <w:qFormat/>
  </w:style>
  <w:style w:type="paragraph" w:styleId="1046">
    <w:name w:val="BodyText1I21"/>
    <w:basedOn w:val="1047"/>
    <w:next w:val="1046"/>
    <w:link w:val="725"/>
    <w:qFormat/>
    <w:pPr>
      <w:ind w:firstLine="420"/>
    </w:pPr>
  </w:style>
  <w:style w:type="paragraph" w:styleId="1047">
    <w:name w:val="BodyTextIndent1"/>
    <w:basedOn w:val="725"/>
    <w:next w:val="1048"/>
    <w:link w:val="725"/>
    <w:qFormat/>
    <w:pPr>
      <w:ind w:left="570"/>
      <w:spacing w:line="520" w:lineRule="exact"/>
    </w:pPr>
    <w:rPr>
      <w:rFonts w:ascii="方正仿宋简体" w:hAnsi="创艺简仿宋" w:eastAsia="方正仿宋简体"/>
      <w:sz w:val="24"/>
    </w:rPr>
  </w:style>
  <w:style w:type="paragraph" w:styleId="1048">
    <w:name w:val="EnvelopeReturn1"/>
    <w:basedOn w:val="725"/>
    <w:next w:val="1048"/>
    <w:link w:val="725"/>
    <w:qFormat/>
    <w:rPr>
      <w:rFonts w:ascii="Arial" w:hAnsi="Arial"/>
    </w:rPr>
  </w:style>
  <w:style w:type="paragraph" w:styleId="1049">
    <w:name w:val="Table Paragraph"/>
    <w:basedOn w:val="725"/>
    <w:next w:val="1049"/>
    <w:link w:val="725"/>
    <w:uiPriority w:val="1"/>
    <w:qFormat/>
    <w:pPr>
      <w:ind w:left="107"/>
      <w:spacing w:before="31"/>
    </w:pPr>
    <w:rPr>
      <w:rFonts w:ascii="微软雅黑" w:hAnsi="微软雅黑" w:eastAsia="微软雅黑" w:cs="微软雅黑"/>
    </w:rPr>
  </w:style>
  <w:style w:type="character" w:styleId="1050">
    <w:name w:val="font11"/>
    <w:basedOn w:val="735"/>
    <w:next w:val="1050"/>
    <w:link w:val="725"/>
    <w:qFormat/>
    <w:rPr>
      <w:rFonts w:hint="eastAsia" w:ascii="宋体" w:hAnsi="宋体" w:eastAsia="宋体" w:cs="宋体"/>
      <w:color w:val="000000"/>
      <w:sz w:val="20"/>
      <w:szCs w:val="20"/>
      <w:u w:val="none"/>
      <w:vertAlign w:val="superscript"/>
    </w:rPr>
  </w:style>
  <w:style w:type="character" w:styleId="1051">
    <w:name w:val="font21"/>
    <w:basedOn w:val="735"/>
    <w:next w:val="1051"/>
    <w:link w:val="725"/>
    <w:qFormat/>
    <w:rPr>
      <w:rFonts w:hint="eastAsia" w:ascii="宋体" w:hAnsi="宋体" w:eastAsia="宋体" w:cs="宋体"/>
      <w:color w:val="000000"/>
      <w:sz w:val="20"/>
      <w:szCs w:val="20"/>
      <w:u w:val="none"/>
    </w:rPr>
  </w:style>
  <w:style w:type="character" w:styleId="1052">
    <w:name w:val="font41"/>
    <w:basedOn w:val="735"/>
    <w:next w:val="1052"/>
    <w:link w:val="725"/>
    <w:qFormat/>
    <w:rPr>
      <w:rFonts w:ascii="Times New Roman" w:hAnsi="Times New Roman" w:cs="Times New Roman"/>
      <w:b/>
      <w:bCs/>
      <w:color w:val="000000"/>
      <w:sz w:val="32"/>
      <w:szCs w:val="32"/>
      <w:u w:val="none"/>
    </w:rPr>
  </w:style>
  <w:style w:type="character" w:styleId="1053">
    <w:name w:val="font91"/>
    <w:basedOn w:val="735"/>
    <w:next w:val="1053"/>
    <w:link w:val="725"/>
    <w:qFormat/>
    <w:rPr>
      <w:rFonts w:hint="eastAsia" w:ascii="宋体" w:hAnsi="宋体" w:eastAsia="宋体" w:cs="宋体"/>
      <w:b/>
      <w:bCs/>
      <w:color w:val="000000"/>
      <w:sz w:val="22"/>
      <w:szCs w:val="22"/>
      <w:u w:val="none"/>
    </w:rPr>
  </w:style>
  <w:style w:type="character" w:styleId="1054">
    <w:name w:val="font01"/>
    <w:basedOn w:val="735"/>
    <w:next w:val="1054"/>
    <w:link w:val="725"/>
    <w:qFormat/>
    <w:rPr>
      <w:rFonts w:hint="eastAsia" w:ascii="宋体" w:hAnsi="宋体" w:eastAsia="宋体" w:cs="宋体"/>
      <w:color w:val="000000"/>
      <w:sz w:val="22"/>
      <w:szCs w:val="22"/>
      <w:u w:val="none"/>
    </w:rPr>
  </w:style>
  <w:style w:type="character" w:styleId="1055">
    <w:name w:val="font31"/>
    <w:basedOn w:val="735"/>
    <w:next w:val="1055"/>
    <w:link w:val="725"/>
    <w:qFormat/>
    <w:rPr>
      <w:rFonts w:ascii="Times New Roman" w:hAnsi="Times New Roman" w:cs="Times New Roman"/>
      <w:color w:val="000000"/>
      <w:sz w:val="22"/>
      <w:szCs w:val="22"/>
      <w:u w:val="none"/>
    </w:rPr>
  </w:style>
  <w:style w:type="character" w:styleId="1056">
    <w:name w:val="font101"/>
    <w:basedOn w:val="735"/>
    <w:next w:val="1056"/>
    <w:link w:val="725"/>
    <w:qFormat/>
    <w:rPr>
      <w:rFonts w:ascii="Times New Roman" w:hAnsi="Times New Roman" w:cs="Times New Roman"/>
      <w:color w:val="000000"/>
      <w:sz w:val="22"/>
      <w:szCs w:val="22"/>
      <w:u w:val="none"/>
      <w:vertAlign w:val="superscript"/>
    </w:rPr>
  </w:style>
  <w:style w:type="character" w:styleId="1057">
    <w:name w:val="font112"/>
    <w:basedOn w:val="735"/>
    <w:next w:val="1057"/>
    <w:link w:val="725"/>
    <w:rPr>
      <w:rFonts w:ascii="Times New Roman" w:hAnsi="Times New Roman" w:cs="Times New Roman"/>
      <w:color w:val="000000"/>
      <w:sz w:val="22"/>
      <w:szCs w:val="22"/>
      <w:u w:val="none"/>
      <w:vertAlign w:val="superscript"/>
    </w:rPr>
  </w:style>
  <w:style w:type="paragraph" w:styleId="1058">
    <w:name w:val="Body text|1"/>
    <w:basedOn w:val="725"/>
    <w:next w:val="1058"/>
    <w:link w:val="725"/>
    <w:qFormat/>
    <w:pPr>
      <w:ind w:firstLine="400"/>
      <w:jc w:val="left"/>
      <w:spacing w:line="386" w:lineRule="auto"/>
    </w:pPr>
    <w:rPr>
      <w:rFonts w:ascii="宋体" w:hAnsi="宋体" w:eastAsia="宋体" w:cs="宋体"/>
      <w:color w:val="000000"/>
      <w:sz w:val="22"/>
      <w:szCs w:val="22"/>
      <w:lang w:val="zh-TW" w:eastAsia="zh-TW" w:bidi="zh-TW"/>
    </w:rPr>
  </w:style>
  <w:style w:type="table" w:styleId="1059">
    <w:name w:val="网格型2"/>
    <w:basedOn w:val="736"/>
    <w:next w:val="1059"/>
    <w:link w:val="725"/>
    <w:uiPriority w:val="39"/>
    <w:qFormat/>
    <w:rPr>
      <w:rFonts w:ascii="Times New Roman" w:hAnsi="Times New Roman" w:eastAsia="宋体" w:cs="Times New Roman"/>
    </w:rPr>
    <w:tblPr/>
  </w:style>
  <w:style w:type="paragraph" w:styleId="1060">
    <w:name w:val="标题 81"/>
    <w:basedOn w:val="725"/>
    <w:next w:val="1060"/>
    <w:link w:val="725"/>
    <w:uiPriority w:val="1"/>
    <w:qFormat/>
    <w:pPr>
      <w:ind w:left="680"/>
      <w:outlineLvl w:val="8"/>
    </w:pPr>
    <w:rPr>
      <w:b/>
      <w:bCs/>
      <w:sz w:val="21"/>
      <w:szCs w:val="21"/>
    </w:rPr>
  </w:style>
  <w:style w:type="paragraph" w:styleId="1061">
    <w:name w:val="标题 71"/>
    <w:basedOn w:val="725"/>
    <w:next w:val="1061"/>
    <w:link w:val="725"/>
    <w:uiPriority w:val="1"/>
    <w:qFormat/>
    <w:pPr>
      <w:ind w:left="664" w:right="994"/>
      <w:jc w:val="center"/>
      <w:spacing w:before="93"/>
      <w:outlineLvl w:val="7"/>
    </w:pPr>
    <w:rPr>
      <w:b/>
      <w:bCs/>
    </w:rPr>
  </w:style>
  <w:style w:type="paragraph" w:styleId="1062">
    <w:name w:val="标题 61"/>
    <w:basedOn w:val="725"/>
    <w:next w:val="1062"/>
    <w:link w:val="725"/>
    <w:uiPriority w:val="1"/>
    <w:qFormat/>
    <w:pPr>
      <w:ind w:left="680"/>
      <w:outlineLvl w:val="6"/>
    </w:pPr>
    <w:rPr>
      <w:sz w:val="24"/>
      <w:szCs w:val="24"/>
    </w:rPr>
  </w:style>
  <w:style w:type="paragraph" w:styleId="1063">
    <w:name w:val="标题 11"/>
    <w:basedOn w:val="725"/>
    <w:next w:val="1063"/>
    <w:link w:val="725"/>
    <w:uiPriority w:val="1"/>
    <w:qFormat/>
    <w:pPr>
      <w:ind w:left="664" w:right="665"/>
      <w:jc w:val="center"/>
      <w:spacing w:before="30"/>
      <w:outlineLvl w:val="1"/>
    </w:pPr>
    <w:rPr>
      <w:b/>
      <w:bCs/>
      <w:sz w:val="32"/>
      <w:szCs w:val="32"/>
    </w:rPr>
  </w:style>
  <w:style w:type="paragraph" w:styleId="1064">
    <w:name w:val="普通(网站) Char"/>
    <w:basedOn w:val="725"/>
    <w:next w:val="1064"/>
    <w:link w:val="725"/>
    <w:qFormat/>
    <w:pPr>
      <w:jc w:val="left"/>
      <w:spacing w:before="100" w:beforeAutospacing="1" w:after="100" w:afterAutospacing="1"/>
      <w:widowControl/>
    </w:pPr>
    <w:rPr>
      <w:rFonts w:hint="eastAsia" w:ascii="宋体" w:hAnsi="宋体"/>
      <w:sz w:val="24"/>
    </w:rPr>
  </w:style>
  <w:style w:type="paragraph" w:styleId="1065">
    <w:name w:val="纯文本1"/>
    <w:basedOn w:val="725"/>
    <w:next w:val="725"/>
    <w:link w:val="725"/>
    <w:qFormat/>
    <w:rPr>
      <w:rFonts w:ascii="宋体" w:hAnsi="Courier New"/>
      <w:sz w:val="20"/>
      <w:szCs w:val="21"/>
    </w:rPr>
  </w:style>
  <w:style w:type="paragraph" w:styleId="1066">
    <w:name w:val="标题 41"/>
    <w:basedOn w:val="725"/>
    <w:next w:val="725"/>
    <w:link w:val="725"/>
    <w:qFormat/>
    <w:pPr>
      <w:jc w:val="center"/>
      <w:keepNext/>
      <w:outlineLvl w:val="3"/>
    </w:pPr>
    <w:rPr>
      <w:rFonts w:eastAsia="新宋体"/>
      <w:sz w:val="30"/>
      <w:szCs w:val="21"/>
    </w:rPr>
  </w:style>
  <w:style w:type="paragraph" w:styleId="1067">
    <w:name w:val="标题 111"/>
    <w:basedOn w:val="725"/>
    <w:next w:val="725"/>
    <w:link w:val="725"/>
    <w:qFormat/>
    <w:pPr>
      <w:keepLines/>
      <w:keepNext/>
      <w:spacing w:before="340" w:after="330" w:line="578" w:lineRule="auto"/>
      <w:outlineLvl w:val="0"/>
    </w:pPr>
    <w:rPr>
      <w:b/>
      <w:bCs/>
      <w:sz w:val="44"/>
      <w:szCs w:val="44"/>
    </w:rPr>
  </w:style>
  <w:style w:type="paragraph" w:styleId="1068">
    <w:name w:val="正文首行缩进 211"/>
    <w:basedOn w:val="1069"/>
    <w:next w:val="1071"/>
    <w:link w:val="725"/>
    <w:uiPriority w:val="99"/>
    <w:qFormat/>
    <w:pPr>
      <w:ind w:firstLine="200"/>
      <w:spacing w:line="240" w:lineRule="auto"/>
    </w:pPr>
  </w:style>
  <w:style w:type="paragraph" w:styleId="1069">
    <w:name w:val="正文文本缩进11"/>
    <w:basedOn w:val="725"/>
    <w:next w:val="1070"/>
    <w:link w:val="725"/>
    <w:qFormat/>
    <w:pPr>
      <w:ind w:left="765"/>
    </w:pPr>
    <w:rPr>
      <w:rFonts w:ascii="仿宋_GB2312" w:eastAsia="仿宋_GB2312"/>
      <w:sz w:val="28"/>
      <w:szCs w:val="20"/>
    </w:rPr>
  </w:style>
  <w:style w:type="paragraph" w:styleId="1070">
    <w:name w:val="寄信人地址1"/>
    <w:basedOn w:val="725"/>
    <w:next w:val="1070"/>
    <w:link w:val="725"/>
    <w:uiPriority w:val="99"/>
    <w:unhideWhenUsed/>
    <w:qFormat/>
    <w:rPr>
      <w:rFonts w:ascii="Arial" w:hAnsi="Arial"/>
    </w:rPr>
  </w:style>
  <w:style w:type="paragraph" w:styleId="1071">
    <w:name w:val="正文首行缩进11"/>
    <w:basedOn w:val="983"/>
    <w:next w:val="1068"/>
    <w:link w:val="725"/>
    <w:uiPriority w:val="99"/>
    <w:qFormat/>
    <w:pPr>
      <w:ind w:firstLine="420"/>
    </w:pPr>
  </w:style>
  <w:style w:type="paragraph" w:styleId="1072">
    <w:name w:val="首行缩进"/>
    <w:basedOn w:val="725"/>
    <w:next w:val="725"/>
    <w:link w:val="725"/>
    <w:qFormat/>
    <w:pPr>
      <w:ind w:firstLine="480"/>
      <w:spacing w:line="360" w:lineRule="auto"/>
    </w:pPr>
    <w:rPr>
      <w:rFonts w:ascii="宋体" w:hAnsi="宋体" w:cs="宋体"/>
      <w:sz w:val="24"/>
    </w:rPr>
  </w:style>
  <w:style w:type="paragraph" w:styleId="1073">
    <w:name w:val="普通(网站) Char Char"/>
    <w:basedOn w:val="725"/>
    <w:next w:val="1073"/>
    <w:link w:val="725"/>
    <w:qFormat/>
    <w:pPr>
      <w:jc w:val="left"/>
      <w:spacing w:before="100" w:beforeAutospacing="1" w:after="100" w:afterAutospacing="1"/>
      <w:widowControl/>
    </w:pPr>
    <w:rPr>
      <w:rFonts w:hint="eastAsia" w:ascii="宋体" w:hAnsi="宋体"/>
      <w:sz w:val="24"/>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3</cp:revision>
  <dcterms:created xsi:type="dcterms:W3CDTF">2024-11-26T06:25:00Z</dcterms:created>
  <dcterms:modified xsi:type="dcterms:W3CDTF">2026-07-10T07:14:56Z</dcterms:modified>
</cp:coreProperties>
</file>